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2.xml" ContentType="application/vnd.openxmlformats-officedocument.wordprocessingml.foot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8E6D1B" w14:textId="77777777" w:rsidR="00715B1C" w:rsidRPr="00EA77A4" w:rsidRDefault="00715B1C">
      <w:bookmarkStart w:id="0" w:name="_GoBack"/>
      <w:bookmarkEnd w:id="0"/>
    </w:p>
    <w:tbl>
      <w:tblPr>
        <w:tblpPr w:leftFromText="141" w:rightFromText="141" w:vertAnchor="page" w:horzAnchor="margin" w:tblpY="1321"/>
        <w:tblW w:w="10024" w:type="dxa"/>
        <w:tblLook w:val="01E0" w:firstRow="1" w:lastRow="1" w:firstColumn="1" w:lastColumn="1" w:noHBand="0" w:noVBand="0"/>
      </w:tblPr>
      <w:tblGrid>
        <w:gridCol w:w="4253"/>
        <w:gridCol w:w="2205"/>
        <w:gridCol w:w="3566"/>
      </w:tblGrid>
      <w:tr w:rsidR="00EA77A4" w:rsidRPr="00EA77A4" w14:paraId="3037073A" w14:textId="77777777" w:rsidTr="00715B1C">
        <w:trPr>
          <w:trHeight w:val="20"/>
        </w:trPr>
        <w:tc>
          <w:tcPr>
            <w:tcW w:w="4253" w:type="dxa"/>
            <w:tcMar>
              <w:left w:w="0" w:type="dxa"/>
              <w:right w:w="0" w:type="dxa"/>
            </w:tcMar>
          </w:tcPr>
          <w:p w14:paraId="768A7E7B" w14:textId="469F8625" w:rsidR="00286B9B" w:rsidRPr="00EA77A4" w:rsidRDefault="00286B9B" w:rsidP="00CE5CF9">
            <w:pPr>
              <w:spacing w:after="0"/>
              <w:jc w:val="center"/>
              <w:rPr>
                <w:b/>
                <w:szCs w:val="24"/>
              </w:rPr>
            </w:pPr>
            <w:bookmarkStart w:id="1" w:name="_Toc161731464"/>
            <w:r w:rsidRPr="00EA77A4">
              <w:rPr>
                <w:b/>
                <w:szCs w:val="24"/>
              </w:rPr>
              <w:t>MINISTÈRE D</w:t>
            </w:r>
            <w:r w:rsidR="00CE5CF9" w:rsidRPr="00EA77A4">
              <w:rPr>
                <w:b/>
                <w:szCs w:val="24"/>
              </w:rPr>
              <w:t>U</w:t>
            </w:r>
            <w:r w:rsidRPr="00EA77A4">
              <w:rPr>
                <w:b/>
                <w:szCs w:val="24"/>
              </w:rPr>
              <w:t xml:space="preserve"> </w:t>
            </w:r>
            <w:r w:rsidR="00CE5CF9" w:rsidRPr="00EA77A4">
              <w:rPr>
                <w:b/>
                <w:szCs w:val="24"/>
              </w:rPr>
              <w:t>DEVELOPPEME</w:t>
            </w:r>
            <w:r w:rsidR="00135A0C" w:rsidRPr="00EA77A4">
              <w:rPr>
                <w:b/>
                <w:szCs w:val="24"/>
              </w:rPr>
              <w:t>N</w:t>
            </w:r>
            <w:r w:rsidR="00CE5CF9" w:rsidRPr="00EA77A4">
              <w:rPr>
                <w:b/>
                <w:szCs w:val="24"/>
              </w:rPr>
              <w:t>T</w:t>
            </w:r>
          </w:p>
          <w:p w14:paraId="208389B9" w14:textId="4A43792B" w:rsidR="00715B1C" w:rsidRPr="00EA77A4" w:rsidRDefault="00CE5CF9" w:rsidP="00CE5CF9">
            <w:pPr>
              <w:spacing w:after="0"/>
              <w:jc w:val="center"/>
              <w:rPr>
                <w:b/>
                <w:szCs w:val="24"/>
              </w:rPr>
            </w:pPr>
            <w:r w:rsidRPr="00EA77A4">
              <w:rPr>
                <w:b/>
                <w:szCs w:val="24"/>
              </w:rPr>
              <w:t>RURAL</w:t>
            </w:r>
          </w:p>
          <w:p w14:paraId="3A23370F" w14:textId="77777777" w:rsidR="00286B9B" w:rsidRPr="00EA77A4" w:rsidRDefault="00286B9B" w:rsidP="00715B1C">
            <w:pPr>
              <w:spacing w:after="0"/>
              <w:jc w:val="center"/>
              <w:rPr>
                <w:b/>
                <w:szCs w:val="24"/>
              </w:rPr>
            </w:pPr>
            <w:r w:rsidRPr="00EA77A4">
              <w:rPr>
                <w:b/>
                <w:szCs w:val="24"/>
              </w:rPr>
              <w:t>------------------**------------------</w:t>
            </w:r>
          </w:p>
        </w:tc>
        <w:tc>
          <w:tcPr>
            <w:tcW w:w="2205" w:type="dxa"/>
            <w:vMerge w:val="restart"/>
            <w:tcMar>
              <w:left w:w="0" w:type="dxa"/>
              <w:right w:w="0" w:type="dxa"/>
            </w:tcMar>
          </w:tcPr>
          <w:p w14:paraId="634BBAD6" w14:textId="77777777" w:rsidR="00286B9B" w:rsidRPr="00EA77A4" w:rsidRDefault="00286B9B" w:rsidP="00715B1C">
            <w:pPr>
              <w:spacing w:after="0"/>
              <w:jc w:val="center"/>
              <w:rPr>
                <w:b/>
                <w:szCs w:val="24"/>
              </w:rPr>
            </w:pPr>
          </w:p>
          <w:p w14:paraId="6B4B8AFE" w14:textId="77777777" w:rsidR="00286B9B" w:rsidRPr="00EA77A4" w:rsidRDefault="00286B9B" w:rsidP="00715B1C">
            <w:pPr>
              <w:spacing w:after="0"/>
              <w:jc w:val="center"/>
              <w:rPr>
                <w:b/>
                <w:szCs w:val="24"/>
              </w:rPr>
            </w:pPr>
          </w:p>
          <w:p w14:paraId="4C2017A7" w14:textId="77777777" w:rsidR="00286B9B" w:rsidRPr="00EA77A4" w:rsidRDefault="00286B9B" w:rsidP="00715B1C">
            <w:pPr>
              <w:spacing w:after="0"/>
              <w:jc w:val="center"/>
              <w:rPr>
                <w:b/>
                <w:szCs w:val="24"/>
              </w:rPr>
            </w:pPr>
          </w:p>
          <w:p w14:paraId="74041662" w14:textId="1E59C949" w:rsidR="00286B9B" w:rsidRPr="00EA77A4" w:rsidRDefault="00286B9B" w:rsidP="00715B1C">
            <w:pPr>
              <w:spacing w:after="0"/>
              <w:jc w:val="center"/>
              <w:rPr>
                <w:b/>
                <w:szCs w:val="24"/>
              </w:rPr>
            </w:pPr>
            <w:r w:rsidRPr="00EA77A4">
              <w:rPr>
                <w:rFonts w:ascii="Arial" w:hAnsi="Arial" w:cs="Arial"/>
                <w:b/>
                <w:noProof/>
                <w:szCs w:val="24"/>
              </w:rPr>
              <w:drawing>
                <wp:inline distT="0" distB="0" distL="0" distR="0" wp14:anchorId="758BBC66" wp14:editId="7430534B">
                  <wp:extent cx="1350520" cy="885825"/>
                  <wp:effectExtent l="0" t="0" r="254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55124" cy="888845"/>
                          </a:xfrm>
                          <a:prstGeom prst="rect">
                            <a:avLst/>
                          </a:prstGeom>
                          <a:noFill/>
                          <a:ln>
                            <a:noFill/>
                          </a:ln>
                        </pic:spPr>
                      </pic:pic>
                    </a:graphicData>
                  </a:graphic>
                </wp:inline>
              </w:drawing>
            </w:r>
          </w:p>
        </w:tc>
        <w:tc>
          <w:tcPr>
            <w:tcW w:w="3566" w:type="dxa"/>
            <w:tcMar>
              <w:left w:w="0" w:type="dxa"/>
              <w:right w:w="0" w:type="dxa"/>
            </w:tcMar>
          </w:tcPr>
          <w:p w14:paraId="5BDBA8EF" w14:textId="77777777" w:rsidR="00286B9B" w:rsidRPr="00EA77A4" w:rsidRDefault="00286B9B" w:rsidP="00715B1C">
            <w:pPr>
              <w:spacing w:after="0"/>
              <w:jc w:val="center"/>
              <w:rPr>
                <w:b/>
                <w:szCs w:val="24"/>
              </w:rPr>
            </w:pPr>
            <w:r w:rsidRPr="00EA77A4">
              <w:rPr>
                <w:b/>
                <w:szCs w:val="24"/>
              </w:rPr>
              <w:t>RÉPUBLIQUE DU MALI</w:t>
            </w:r>
          </w:p>
          <w:p w14:paraId="14ECB211" w14:textId="77777777" w:rsidR="00286B9B" w:rsidRPr="00EA77A4" w:rsidRDefault="00286B9B" w:rsidP="00715B1C">
            <w:pPr>
              <w:spacing w:after="0"/>
              <w:jc w:val="center"/>
              <w:rPr>
                <w:b/>
                <w:i/>
                <w:szCs w:val="24"/>
              </w:rPr>
            </w:pPr>
            <w:r w:rsidRPr="00EA77A4">
              <w:rPr>
                <w:b/>
                <w:i/>
                <w:szCs w:val="24"/>
              </w:rPr>
              <w:t>Un Peuple – Un But – Une Foi</w:t>
            </w:r>
          </w:p>
          <w:p w14:paraId="5777F677" w14:textId="77777777" w:rsidR="00286B9B" w:rsidRPr="00EA77A4" w:rsidRDefault="00286B9B" w:rsidP="00715B1C">
            <w:pPr>
              <w:spacing w:after="0"/>
              <w:jc w:val="center"/>
              <w:rPr>
                <w:b/>
                <w:szCs w:val="24"/>
              </w:rPr>
            </w:pPr>
            <w:r w:rsidRPr="00EA77A4">
              <w:rPr>
                <w:b/>
                <w:szCs w:val="24"/>
              </w:rPr>
              <w:t>-----------------**-----------------</w:t>
            </w:r>
          </w:p>
        </w:tc>
      </w:tr>
      <w:tr w:rsidR="00286B9B" w:rsidRPr="006D755E" w14:paraId="3DD962F5" w14:textId="77777777" w:rsidTr="00715B1C">
        <w:trPr>
          <w:trHeight w:val="20"/>
        </w:trPr>
        <w:tc>
          <w:tcPr>
            <w:tcW w:w="4253" w:type="dxa"/>
            <w:tcMar>
              <w:left w:w="0" w:type="dxa"/>
              <w:right w:w="0" w:type="dxa"/>
            </w:tcMar>
          </w:tcPr>
          <w:p w14:paraId="4A1D074C" w14:textId="77777777" w:rsidR="00286B9B" w:rsidRPr="006D755E" w:rsidRDefault="00286B9B" w:rsidP="00715B1C">
            <w:pPr>
              <w:spacing w:after="0"/>
              <w:jc w:val="center"/>
              <w:rPr>
                <w:b/>
                <w:szCs w:val="24"/>
              </w:rPr>
            </w:pPr>
            <w:r w:rsidRPr="006D755E">
              <w:rPr>
                <w:b/>
                <w:szCs w:val="24"/>
              </w:rPr>
              <w:t>Agence d’Aménagement des Terres</w:t>
            </w:r>
          </w:p>
          <w:p w14:paraId="56ADD689" w14:textId="77777777" w:rsidR="00286B9B" w:rsidRPr="006D755E" w:rsidRDefault="00286B9B" w:rsidP="00715B1C">
            <w:pPr>
              <w:spacing w:after="0"/>
              <w:jc w:val="center"/>
              <w:rPr>
                <w:b/>
                <w:szCs w:val="24"/>
              </w:rPr>
            </w:pPr>
            <w:r w:rsidRPr="006D755E">
              <w:rPr>
                <w:b/>
                <w:szCs w:val="24"/>
              </w:rPr>
              <w:t>et de Fourniture de l’Eau d’Irrigation</w:t>
            </w:r>
          </w:p>
          <w:p w14:paraId="660C1D22" w14:textId="77777777" w:rsidR="00286B9B" w:rsidRPr="006D755E" w:rsidRDefault="00286B9B" w:rsidP="00715B1C">
            <w:pPr>
              <w:spacing w:after="0"/>
              <w:jc w:val="center"/>
              <w:rPr>
                <w:b/>
                <w:szCs w:val="24"/>
              </w:rPr>
            </w:pPr>
            <w:r w:rsidRPr="006D755E">
              <w:rPr>
                <w:b/>
                <w:szCs w:val="24"/>
              </w:rPr>
              <w:t>------------------**------------------</w:t>
            </w:r>
          </w:p>
        </w:tc>
        <w:tc>
          <w:tcPr>
            <w:tcW w:w="2205" w:type="dxa"/>
            <w:vMerge/>
            <w:tcMar>
              <w:left w:w="0" w:type="dxa"/>
              <w:right w:w="0" w:type="dxa"/>
            </w:tcMar>
          </w:tcPr>
          <w:p w14:paraId="79C6999C" w14:textId="77777777" w:rsidR="00286B9B" w:rsidRPr="006D755E" w:rsidRDefault="00286B9B" w:rsidP="00715B1C">
            <w:pPr>
              <w:spacing w:after="0"/>
              <w:jc w:val="center"/>
              <w:rPr>
                <w:b/>
                <w:szCs w:val="24"/>
              </w:rPr>
            </w:pPr>
          </w:p>
        </w:tc>
        <w:tc>
          <w:tcPr>
            <w:tcW w:w="3566" w:type="dxa"/>
            <w:tcMar>
              <w:left w:w="0" w:type="dxa"/>
              <w:right w:w="0" w:type="dxa"/>
            </w:tcMar>
          </w:tcPr>
          <w:p w14:paraId="52FFE3F7" w14:textId="77777777" w:rsidR="00286B9B" w:rsidRPr="006D755E" w:rsidRDefault="00286B9B" w:rsidP="00715B1C">
            <w:pPr>
              <w:spacing w:after="0"/>
              <w:jc w:val="center"/>
              <w:rPr>
                <w:b/>
                <w:szCs w:val="24"/>
              </w:rPr>
            </w:pPr>
          </w:p>
        </w:tc>
      </w:tr>
      <w:tr w:rsidR="00286B9B" w:rsidRPr="006D755E" w14:paraId="1398B1AC" w14:textId="77777777" w:rsidTr="00715B1C">
        <w:trPr>
          <w:trHeight w:val="20"/>
        </w:trPr>
        <w:tc>
          <w:tcPr>
            <w:tcW w:w="4253" w:type="dxa"/>
            <w:tcMar>
              <w:left w:w="0" w:type="dxa"/>
              <w:right w:w="0" w:type="dxa"/>
            </w:tcMar>
          </w:tcPr>
          <w:p w14:paraId="57B61DE1" w14:textId="77777777" w:rsidR="00286B9B" w:rsidRPr="006D755E" w:rsidRDefault="00286B9B" w:rsidP="00715B1C">
            <w:pPr>
              <w:spacing w:after="0"/>
              <w:jc w:val="center"/>
              <w:rPr>
                <w:b/>
                <w:szCs w:val="24"/>
              </w:rPr>
            </w:pPr>
            <w:r>
              <w:rPr>
                <w:b/>
                <w:szCs w:val="24"/>
              </w:rPr>
              <w:t>Projet d’Appui R</w:t>
            </w:r>
            <w:r w:rsidRPr="006D755E">
              <w:rPr>
                <w:b/>
                <w:szCs w:val="24"/>
              </w:rPr>
              <w:t>égional</w:t>
            </w:r>
            <w:r>
              <w:rPr>
                <w:b/>
                <w:szCs w:val="24"/>
              </w:rPr>
              <w:t xml:space="preserve"> a l’Initiative pour l’Irrigation au S</w:t>
            </w:r>
            <w:r w:rsidRPr="006D755E">
              <w:rPr>
                <w:b/>
                <w:szCs w:val="24"/>
              </w:rPr>
              <w:t>ahel</w:t>
            </w:r>
          </w:p>
          <w:p w14:paraId="00A52885" w14:textId="77777777" w:rsidR="00286B9B" w:rsidRPr="006D755E" w:rsidRDefault="00286B9B" w:rsidP="00715B1C">
            <w:pPr>
              <w:spacing w:after="0"/>
              <w:jc w:val="center"/>
              <w:rPr>
                <w:b/>
                <w:szCs w:val="24"/>
              </w:rPr>
            </w:pPr>
            <w:r w:rsidRPr="006D755E">
              <w:rPr>
                <w:b/>
                <w:szCs w:val="24"/>
              </w:rPr>
              <w:t>------------------**------------------</w:t>
            </w:r>
          </w:p>
        </w:tc>
        <w:tc>
          <w:tcPr>
            <w:tcW w:w="2205" w:type="dxa"/>
            <w:vMerge/>
            <w:tcMar>
              <w:left w:w="0" w:type="dxa"/>
              <w:right w:w="0" w:type="dxa"/>
            </w:tcMar>
          </w:tcPr>
          <w:p w14:paraId="5B101962" w14:textId="77777777" w:rsidR="00286B9B" w:rsidRPr="006D755E" w:rsidRDefault="00286B9B" w:rsidP="00715B1C">
            <w:pPr>
              <w:spacing w:after="0"/>
              <w:jc w:val="center"/>
              <w:rPr>
                <w:b/>
                <w:szCs w:val="24"/>
              </w:rPr>
            </w:pPr>
          </w:p>
        </w:tc>
        <w:tc>
          <w:tcPr>
            <w:tcW w:w="3566" w:type="dxa"/>
            <w:tcMar>
              <w:left w:w="0" w:type="dxa"/>
              <w:right w:w="0" w:type="dxa"/>
            </w:tcMar>
          </w:tcPr>
          <w:p w14:paraId="13AA9EBF" w14:textId="77777777" w:rsidR="00286B9B" w:rsidRPr="006D755E" w:rsidRDefault="00286B9B" w:rsidP="00715B1C">
            <w:pPr>
              <w:spacing w:after="0"/>
              <w:jc w:val="center"/>
              <w:rPr>
                <w:b/>
                <w:szCs w:val="24"/>
              </w:rPr>
            </w:pPr>
          </w:p>
        </w:tc>
      </w:tr>
    </w:tbl>
    <w:p w14:paraId="1560E2D0" w14:textId="68B783E4" w:rsidR="0050661D" w:rsidRPr="00A67F27" w:rsidRDefault="0050661D" w:rsidP="0050661D">
      <w:pPr>
        <w:suppressAutoHyphens/>
        <w:overflowPunct w:val="0"/>
        <w:autoSpaceDE w:val="0"/>
        <w:autoSpaceDN w:val="0"/>
        <w:adjustRightInd w:val="0"/>
        <w:spacing w:after="0"/>
        <w:ind w:left="0" w:firstLine="0"/>
        <w:jc w:val="center"/>
        <w:textAlignment w:val="baseline"/>
        <w:rPr>
          <w:rFonts w:ascii="Arial" w:hAnsi="Arial" w:cs="Arial"/>
          <w:b/>
          <w:bCs/>
          <w:szCs w:val="24"/>
        </w:rPr>
      </w:pPr>
    </w:p>
    <w:p w14:paraId="29349BC1" w14:textId="77777777" w:rsidR="007F12CC" w:rsidRPr="00286B9B" w:rsidRDefault="007F12CC" w:rsidP="007F12CC">
      <w:pPr>
        <w:spacing w:after="0"/>
        <w:ind w:left="0" w:firstLine="0"/>
        <w:jc w:val="left"/>
        <w:rPr>
          <w:b/>
          <w:sz w:val="28"/>
          <w:szCs w:val="24"/>
        </w:rPr>
      </w:pPr>
      <w:bookmarkStart w:id="2" w:name="_Toc348175650"/>
      <w:bookmarkEnd w:id="1"/>
    </w:p>
    <w:p w14:paraId="5567D0A2" w14:textId="2FC0CCD5" w:rsidR="000A450A" w:rsidRPr="00EA77A4" w:rsidRDefault="000A450A" w:rsidP="007F12CC">
      <w:pPr>
        <w:pStyle w:val="Titre"/>
        <w:spacing w:after="0"/>
        <w:ind w:left="0" w:firstLine="0"/>
        <w:rPr>
          <w:sz w:val="28"/>
          <w:szCs w:val="24"/>
          <w:lang w:val="fr-FR"/>
        </w:rPr>
      </w:pPr>
      <w:r w:rsidRPr="00EA77A4">
        <w:rPr>
          <w:sz w:val="28"/>
          <w:szCs w:val="24"/>
          <w:lang w:val="fr-FR"/>
        </w:rPr>
        <w:t>DOSSIER D’APPEL D’OFFRES</w:t>
      </w:r>
      <w:r w:rsidR="00B167B3" w:rsidRPr="00EA77A4">
        <w:rPr>
          <w:sz w:val="28"/>
          <w:szCs w:val="24"/>
          <w:lang w:val="fr-FR"/>
        </w:rPr>
        <w:t xml:space="preserve"> </w:t>
      </w:r>
      <w:r w:rsidR="00F26027" w:rsidRPr="00EA77A4">
        <w:rPr>
          <w:sz w:val="28"/>
          <w:szCs w:val="24"/>
          <w:lang w:val="fr-FR"/>
        </w:rPr>
        <w:t>NATIONAL</w:t>
      </w:r>
    </w:p>
    <w:p w14:paraId="127ED47C" w14:textId="77777777" w:rsidR="009C7247" w:rsidRPr="00EA77A4" w:rsidRDefault="009C7247" w:rsidP="007F12CC">
      <w:pPr>
        <w:pStyle w:val="Titre"/>
        <w:spacing w:after="0"/>
        <w:ind w:left="0" w:firstLine="0"/>
        <w:rPr>
          <w:sz w:val="28"/>
          <w:szCs w:val="24"/>
          <w:lang w:val="fr-FR"/>
        </w:rPr>
      </w:pPr>
    </w:p>
    <w:p w14:paraId="75B5A10D" w14:textId="2E0F03C3" w:rsidR="009C7247" w:rsidRPr="00EA77A4" w:rsidRDefault="00624D86" w:rsidP="009C7247">
      <w:pPr>
        <w:pStyle w:val="Titre"/>
        <w:spacing w:after="0"/>
        <w:ind w:left="0" w:firstLine="0"/>
        <w:rPr>
          <w:sz w:val="28"/>
          <w:szCs w:val="24"/>
          <w:lang w:val="fr-FR"/>
        </w:rPr>
      </w:pPr>
      <w:r w:rsidRPr="00EA77A4">
        <w:rPr>
          <w:sz w:val="28"/>
          <w:szCs w:val="24"/>
          <w:lang w:val="fr-FR"/>
        </w:rPr>
        <w:t xml:space="preserve">Travaux d'aménagement hydro-agricole de 212 ha de </w:t>
      </w:r>
      <w:proofErr w:type="spellStart"/>
      <w:r w:rsidRPr="00EA77A4">
        <w:rPr>
          <w:sz w:val="28"/>
          <w:szCs w:val="24"/>
          <w:lang w:val="fr-FR"/>
        </w:rPr>
        <w:t>bas fonds</w:t>
      </w:r>
      <w:proofErr w:type="spellEnd"/>
      <w:r w:rsidRPr="00EA77A4">
        <w:rPr>
          <w:sz w:val="28"/>
          <w:szCs w:val="24"/>
          <w:lang w:val="fr-FR"/>
        </w:rPr>
        <w:t xml:space="preserve"> à </w:t>
      </w:r>
      <w:proofErr w:type="spellStart"/>
      <w:r w:rsidRPr="00EA77A4">
        <w:rPr>
          <w:sz w:val="28"/>
          <w:szCs w:val="24"/>
          <w:lang w:val="fr-FR"/>
        </w:rPr>
        <w:t>Kissakoro</w:t>
      </w:r>
      <w:proofErr w:type="spellEnd"/>
      <w:r w:rsidRPr="00EA77A4">
        <w:rPr>
          <w:sz w:val="28"/>
          <w:szCs w:val="24"/>
          <w:lang w:val="fr-FR"/>
        </w:rPr>
        <w:t xml:space="preserve"> et la construction d'un magasin de stockage et de conservation d’échalote - commune de </w:t>
      </w:r>
      <w:proofErr w:type="spellStart"/>
      <w:r w:rsidRPr="00EA77A4">
        <w:rPr>
          <w:sz w:val="28"/>
          <w:szCs w:val="24"/>
          <w:lang w:val="fr-FR"/>
        </w:rPr>
        <w:t>Benkadi</w:t>
      </w:r>
      <w:proofErr w:type="spellEnd"/>
      <w:r w:rsidRPr="00EA77A4">
        <w:rPr>
          <w:sz w:val="28"/>
          <w:szCs w:val="24"/>
          <w:lang w:val="fr-FR"/>
        </w:rPr>
        <w:t xml:space="preserve"> dans la Région de Koulikoro, Mali.</w:t>
      </w:r>
    </w:p>
    <w:p w14:paraId="130AB179" w14:textId="77777777" w:rsidR="007F12CC" w:rsidRPr="00EA77A4" w:rsidRDefault="007F12CC" w:rsidP="007F12CC">
      <w:pPr>
        <w:spacing w:after="0"/>
        <w:ind w:left="0" w:firstLine="0"/>
        <w:jc w:val="left"/>
        <w:rPr>
          <w:b/>
          <w:sz w:val="28"/>
          <w:szCs w:val="24"/>
        </w:rPr>
      </w:pPr>
    </w:p>
    <w:p w14:paraId="1C472F9F" w14:textId="77777777" w:rsidR="007F12CC" w:rsidRPr="00EA77A4" w:rsidRDefault="007F12CC" w:rsidP="007F12CC">
      <w:pPr>
        <w:spacing w:after="0"/>
        <w:ind w:left="0" w:firstLine="0"/>
        <w:jc w:val="left"/>
        <w:rPr>
          <w:szCs w:val="24"/>
          <w:lang w:eastAsia="en-US"/>
        </w:rPr>
      </w:pPr>
    </w:p>
    <w:p w14:paraId="482C1694" w14:textId="1827E460" w:rsidR="00AD3F5D" w:rsidRPr="00EA77A4" w:rsidRDefault="00AD3F5D" w:rsidP="00AD3F5D">
      <w:pPr>
        <w:suppressAutoHyphens/>
        <w:spacing w:after="60"/>
        <w:ind w:left="0" w:firstLine="0"/>
        <w:jc w:val="left"/>
        <w:rPr>
          <w:b/>
          <w:sz w:val="28"/>
          <w:szCs w:val="24"/>
        </w:rPr>
      </w:pPr>
      <w:r w:rsidRPr="00EA77A4">
        <w:rPr>
          <w:b/>
          <w:sz w:val="28"/>
          <w:szCs w:val="24"/>
        </w:rPr>
        <w:t xml:space="preserve">Appel d’Offres No : </w:t>
      </w:r>
      <w:r w:rsidR="009C7247" w:rsidRPr="00EA77A4">
        <w:rPr>
          <w:b/>
          <w:sz w:val="28"/>
          <w:szCs w:val="24"/>
        </w:rPr>
        <w:t>…</w:t>
      </w:r>
      <w:r w:rsidR="009E0C41" w:rsidRPr="00EA77A4">
        <w:rPr>
          <w:b/>
          <w:sz w:val="28"/>
          <w:szCs w:val="24"/>
        </w:rPr>
        <w:t>……</w:t>
      </w:r>
      <w:r w:rsidR="00C2287E" w:rsidRPr="00EA77A4">
        <w:rPr>
          <w:b/>
          <w:sz w:val="28"/>
          <w:szCs w:val="24"/>
        </w:rPr>
        <w:t>/</w:t>
      </w:r>
      <w:r w:rsidR="00F26027" w:rsidRPr="00EA77A4">
        <w:rPr>
          <w:b/>
          <w:sz w:val="28"/>
          <w:szCs w:val="24"/>
        </w:rPr>
        <w:t>AO</w:t>
      </w:r>
      <w:r w:rsidR="004460D8" w:rsidRPr="00EA77A4">
        <w:rPr>
          <w:b/>
          <w:sz w:val="28"/>
          <w:szCs w:val="24"/>
        </w:rPr>
        <w:t>N</w:t>
      </w:r>
      <w:r w:rsidR="00F26027" w:rsidRPr="00EA77A4">
        <w:rPr>
          <w:b/>
          <w:sz w:val="28"/>
          <w:szCs w:val="24"/>
        </w:rPr>
        <w:t>/</w:t>
      </w:r>
      <w:r w:rsidR="00C2287E" w:rsidRPr="00EA77A4">
        <w:rPr>
          <w:b/>
          <w:sz w:val="28"/>
          <w:szCs w:val="24"/>
        </w:rPr>
        <w:t>202</w:t>
      </w:r>
      <w:r w:rsidR="009E0C41" w:rsidRPr="00EA77A4">
        <w:rPr>
          <w:b/>
          <w:sz w:val="28"/>
          <w:szCs w:val="24"/>
        </w:rPr>
        <w:t>1</w:t>
      </w:r>
      <w:r w:rsidR="00C2287E" w:rsidRPr="00EA77A4">
        <w:rPr>
          <w:b/>
          <w:sz w:val="28"/>
          <w:szCs w:val="24"/>
        </w:rPr>
        <w:t>/PARIIS</w:t>
      </w:r>
      <w:r w:rsidR="004460D8" w:rsidRPr="00EA77A4">
        <w:rPr>
          <w:b/>
          <w:sz w:val="28"/>
          <w:szCs w:val="24"/>
        </w:rPr>
        <w:t xml:space="preserve"> </w:t>
      </w:r>
      <w:r w:rsidR="009C7247" w:rsidRPr="00EA77A4">
        <w:rPr>
          <w:b/>
          <w:sz w:val="28"/>
          <w:szCs w:val="24"/>
        </w:rPr>
        <w:t>ML</w:t>
      </w:r>
      <w:r w:rsidR="00C2287E" w:rsidRPr="00EA77A4">
        <w:rPr>
          <w:b/>
          <w:sz w:val="28"/>
          <w:szCs w:val="24"/>
        </w:rPr>
        <w:t>/IDA</w:t>
      </w:r>
    </w:p>
    <w:p w14:paraId="49F04993" w14:textId="4F54CD09" w:rsidR="006A4718" w:rsidRPr="00EA77A4" w:rsidRDefault="00AD3F5D" w:rsidP="006A4718">
      <w:pPr>
        <w:pStyle w:val="Sansinterligne"/>
        <w:rPr>
          <w:rFonts w:eastAsia="Calibri"/>
          <w:szCs w:val="24"/>
        </w:rPr>
      </w:pPr>
      <w:r w:rsidRPr="00EA77A4">
        <w:rPr>
          <w:b/>
          <w:szCs w:val="24"/>
        </w:rPr>
        <w:t xml:space="preserve">Projet : </w:t>
      </w:r>
      <w:r w:rsidR="006A4718" w:rsidRPr="00EA77A4">
        <w:rPr>
          <w:rFonts w:eastAsia="Calibri"/>
          <w:szCs w:val="24"/>
        </w:rPr>
        <w:t xml:space="preserve">Projet d’Appui Régional à l’Initiative pour </w:t>
      </w:r>
      <w:r w:rsidR="00034B26" w:rsidRPr="00EA77A4">
        <w:rPr>
          <w:rFonts w:eastAsia="Calibri"/>
          <w:szCs w:val="24"/>
        </w:rPr>
        <w:t>l’Irrigation au Sahel (PARIIS-ML</w:t>
      </w:r>
      <w:r w:rsidR="006A4718" w:rsidRPr="00EA77A4">
        <w:rPr>
          <w:rFonts w:eastAsia="Calibri"/>
          <w:szCs w:val="24"/>
        </w:rPr>
        <w:t>)</w:t>
      </w:r>
    </w:p>
    <w:p w14:paraId="5E6B188F" w14:textId="224361F9" w:rsidR="00AD3F5D" w:rsidRPr="00EA77A4" w:rsidRDefault="00AD3F5D" w:rsidP="006A4718">
      <w:pPr>
        <w:pStyle w:val="BankNormal"/>
        <w:suppressAutoHyphens/>
        <w:spacing w:after="60"/>
        <w:rPr>
          <w:b/>
          <w:sz w:val="28"/>
          <w:szCs w:val="24"/>
          <w:lang w:val="fr-FR"/>
        </w:rPr>
      </w:pPr>
    </w:p>
    <w:p w14:paraId="54580589" w14:textId="1963945A" w:rsidR="006A4718" w:rsidRPr="00EA77A4" w:rsidRDefault="00AD3F5D" w:rsidP="006A4718">
      <w:pPr>
        <w:pStyle w:val="Sansinterligne"/>
        <w:rPr>
          <w:rFonts w:eastAsia="Calibri"/>
          <w:sz w:val="22"/>
          <w:szCs w:val="22"/>
        </w:rPr>
      </w:pPr>
      <w:r w:rsidRPr="00EA77A4">
        <w:rPr>
          <w:b/>
          <w:sz w:val="28"/>
          <w:szCs w:val="24"/>
        </w:rPr>
        <w:t>Maître de l’Ouvrage :</w:t>
      </w:r>
      <w:r w:rsidRPr="00EA77A4">
        <w:rPr>
          <w:sz w:val="28"/>
          <w:szCs w:val="24"/>
        </w:rPr>
        <w:t xml:space="preserve"> </w:t>
      </w:r>
      <w:r w:rsidR="006A4718" w:rsidRPr="00EA77A4">
        <w:rPr>
          <w:rFonts w:eastAsia="Calibri"/>
          <w:sz w:val="22"/>
          <w:szCs w:val="22"/>
        </w:rPr>
        <w:t xml:space="preserve">MINISTERE </w:t>
      </w:r>
      <w:r w:rsidR="00681BEB" w:rsidRPr="00EA77A4">
        <w:rPr>
          <w:rFonts w:eastAsia="Calibri"/>
          <w:sz w:val="22"/>
          <w:szCs w:val="22"/>
        </w:rPr>
        <w:t>DU DEVELOPPEMENT RURAL</w:t>
      </w:r>
      <w:r w:rsidR="006A4718" w:rsidRPr="00EA77A4">
        <w:rPr>
          <w:rFonts w:eastAsia="Calibri"/>
          <w:sz w:val="22"/>
          <w:szCs w:val="22"/>
        </w:rPr>
        <w:t xml:space="preserve"> </w:t>
      </w:r>
    </w:p>
    <w:p w14:paraId="2C3B08EA" w14:textId="0850776F" w:rsidR="00AD3F5D" w:rsidRPr="00EA77A4" w:rsidRDefault="00AD3F5D" w:rsidP="007A0C9C">
      <w:pPr>
        <w:suppressAutoHyphens/>
        <w:spacing w:after="0"/>
        <w:ind w:left="578" w:hanging="578"/>
        <w:jc w:val="left"/>
        <w:rPr>
          <w:sz w:val="28"/>
          <w:szCs w:val="24"/>
        </w:rPr>
      </w:pPr>
      <w:r w:rsidRPr="00EA77A4">
        <w:rPr>
          <w:b/>
          <w:sz w:val="28"/>
          <w:szCs w:val="24"/>
        </w:rPr>
        <w:t xml:space="preserve">Pays : </w:t>
      </w:r>
      <w:r w:rsidR="009C7247" w:rsidRPr="00EA77A4">
        <w:rPr>
          <w:sz w:val="28"/>
          <w:szCs w:val="24"/>
        </w:rPr>
        <w:t>MALI</w:t>
      </w:r>
    </w:p>
    <w:p w14:paraId="314F0EDF" w14:textId="0AA34F81" w:rsidR="00A90190" w:rsidRPr="00EA77A4" w:rsidRDefault="00A90190" w:rsidP="007A0C9C">
      <w:pPr>
        <w:tabs>
          <w:tab w:val="left" w:pos="720"/>
          <w:tab w:val="right" w:leader="dot" w:pos="8640"/>
        </w:tabs>
        <w:spacing w:before="240" w:after="0"/>
        <w:rPr>
          <w:sz w:val="32"/>
          <w:szCs w:val="32"/>
        </w:rPr>
      </w:pPr>
      <w:r w:rsidRPr="00EA77A4">
        <w:rPr>
          <w:b/>
          <w:sz w:val="32"/>
          <w:szCs w:val="32"/>
        </w:rPr>
        <w:t>Identification du Projet : 154482</w:t>
      </w:r>
    </w:p>
    <w:p w14:paraId="40FA5D2C" w14:textId="77777777" w:rsidR="00A90190" w:rsidRPr="00EA77A4" w:rsidRDefault="00A90190" w:rsidP="007A0C9C">
      <w:pPr>
        <w:tabs>
          <w:tab w:val="left" w:pos="720"/>
          <w:tab w:val="right" w:leader="dot" w:pos="8640"/>
        </w:tabs>
        <w:spacing w:after="0"/>
        <w:rPr>
          <w:b/>
          <w:sz w:val="32"/>
          <w:szCs w:val="32"/>
        </w:rPr>
      </w:pPr>
      <w:r w:rsidRPr="00EA77A4">
        <w:rPr>
          <w:b/>
          <w:sz w:val="32"/>
          <w:szCs w:val="32"/>
        </w:rPr>
        <w:t xml:space="preserve">Financement : </w:t>
      </w:r>
      <w:r w:rsidRPr="00EA77A4">
        <w:rPr>
          <w:b/>
          <w:bCs/>
        </w:rPr>
        <w:t>Crédit IDA N°6161-ML</w:t>
      </w:r>
    </w:p>
    <w:p w14:paraId="4BC2A1D5" w14:textId="5FD54ADB" w:rsidR="00A90190" w:rsidRPr="00EA77A4" w:rsidRDefault="00A90190" w:rsidP="007A0C9C">
      <w:pPr>
        <w:spacing w:after="0"/>
        <w:rPr>
          <w:b/>
          <w:sz w:val="32"/>
          <w:szCs w:val="32"/>
        </w:rPr>
      </w:pPr>
      <w:r w:rsidRPr="00EA77A4">
        <w:rPr>
          <w:b/>
          <w:sz w:val="32"/>
          <w:szCs w:val="32"/>
        </w:rPr>
        <w:t xml:space="preserve">                          </w:t>
      </w:r>
      <w:r w:rsidRPr="00EA77A4">
        <w:rPr>
          <w:b/>
          <w:bCs/>
        </w:rPr>
        <w:t>Don IDA N°D253</w:t>
      </w:r>
    </w:p>
    <w:p w14:paraId="1C03A93C" w14:textId="77777777" w:rsidR="00284AEA" w:rsidRPr="007D0A39" w:rsidRDefault="00284AEA" w:rsidP="00A90190">
      <w:pPr>
        <w:pStyle w:val="BankNormal"/>
        <w:suppressAutoHyphens/>
        <w:spacing w:after="60"/>
        <w:ind w:left="578" w:hanging="578"/>
        <w:rPr>
          <w:sz w:val="28"/>
          <w:szCs w:val="24"/>
          <w:lang w:val="fr-FR"/>
        </w:rPr>
      </w:pPr>
    </w:p>
    <w:p w14:paraId="75DDB422" w14:textId="77777777" w:rsidR="00284AEA" w:rsidRDefault="00284AEA" w:rsidP="00A90190">
      <w:pPr>
        <w:pStyle w:val="BankNormal"/>
        <w:suppressAutoHyphens/>
        <w:spacing w:after="60"/>
        <w:ind w:left="578" w:hanging="578"/>
        <w:rPr>
          <w:sz w:val="28"/>
          <w:szCs w:val="24"/>
          <w:lang w:val="fr-FR"/>
        </w:rPr>
      </w:pPr>
    </w:p>
    <w:p w14:paraId="6AAA468B" w14:textId="380CF7EE" w:rsidR="000A450A" w:rsidRPr="00EA77A4" w:rsidRDefault="00AD3F5D" w:rsidP="00A90190">
      <w:pPr>
        <w:pStyle w:val="BankNormal"/>
        <w:suppressAutoHyphens/>
        <w:spacing w:after="60"/>
        <w:ind w:left="578" w:hanging="578"/>
        <w:rPr>
          <w:b/>
          <w:i/>
          <w:iCs/>
          <w:sz w:val="28"/>
          <w:szCs w:val="24"/>
          <w:lang w:val="fr-FR"/>
        </w:rPr>
      </w:pPr>
      <w:r w:rsidRPr="00EA77A4">
        <w:rPr>
          <w:sz w:val="28"/>
          <w:szCs w:val="24"/>
          <w:lang w:val="fr-FR"/>
        </w:rPr>
        <w:t>Émis le :</w:t>
      </w:r>
      <w:r w:rsidR="00405919" w:rsidRPr="00EA77A4">
        <w:rPr>
          <w:sz w:val="28"/>
          <w:szCs w:val="24"/>
          <w:lang w:val="fr-FR"/>
        </w:rPr>
        <w:t xml:space="preserve"> </w:t>
      </w:r>
      <w:r w:rsidR="007A56DB" w:rsidRPr="00EA77A4">
        <w:rPr>
          <w:sz w:val="28"/>
          <w:szCs w:val="24"/>
          <w:lang w:val="fr-FR"/>
        </w:rPr>
        <w:t>…</w:t>
      </w:r>
      <w:r w:rsidR="00681BEB" w:rsidRPr="00EA77A4">
        <w:rPr>
          <w:sz w:val="28"/>
          <w:szCs w:val="24"/>
          <w:lang w:val="fr-FR"/>
        </w:rPr>
        <w:t>..</w:t>
      </w:r>
      <w:r w:rsidR="007A56DB" w:rsidRPr="00EA77A4">
        <w:rPr>
          <w:sz w:val="28"/>
          <w:szCs w:val="24"/>
          <w:lang w:val="fr-FR"/>
        </w:rPr>
        <w:t>..</w:t>
      </w:r>
      <w:r w:rsidR="00284AEA" w:rsidRPr="00EA77A4">
        <w:rPr>
          <w:sz w:val="28"/>
          <w:szCs w:val="24"/>
          <w:lang w:val="fr-FR"/>
        </w:rPr>
        <w:t>……..</w:t>
      </w:r>
      <w:r w:rsidR="00E17229" w:rsidRPr="00EA77A4">
        <w:rPr>
          <w:sz w:val="28"/>
          <w:szCs w:val="24"/>
          <w:lang w:val="fr-FR"/>
        </w:rPr>
        <w:t xml:space="preserve"> </w:t>
      </w:r>
      <w:r w:rsidR="00405919" w:rsidRPr="00EA77A4">
        <w:rPr>
          <w:sz w:val="28"/>
          <w:szCs w:val="24"/>
          <w:lang w:val="fr-FR"/>
        </w:rPr>
        <w:t>202</w:t>
      </w:r>
      <w:r w:rsidR="007A56DB" w:rsidRPr="00EA77A4">
        <w:rPr>
          <w:sz w:val="28"/>
          <w:szCs w:val="24"/>
          <w:lang w:val="fr-FR"/>
        </w:rPr>
        <w:t>1</w:t>
      </w:r>
    </w:p>
    <w:p w14:paraId="1B0B59E4" w14:textId="5472B530" w:rsidR="007A0C9C" w:rsidRPr="00EA77A4" w:rsidRDefault="007A0C9C">
      <w:pPr>
        <w:rPr>
          <w:i/>
          <w:iCs/>
          <w:sz w:val="28"/>
          <w:szCs w:val="24"/>
        </w:rPr>
      </w:pPr>
      <w:r w:rsidRPr="00EA77A4">
        <w:rPr>
          <w:b/>
          <w:i/>
          <w:iCs/>
          <w:sz w:val="28"/>
          <w:szCs w:val="24"/>
        </w:rPr>
        <w:br w:type="page"/>
      </w:r>
    </w:p>
    <w:p w14:paraId="1E40185D" w14:textId="369F702C" w:rsidR="00F26027" w:rsidRPr="00EA77A4" w:rsidRDefault="00F26027" w:rsidP="00994464">
      <w:pPr>
        <w:pStyle w:val="Heading1a"/>
        <w:keepNext w:val="0"/>
        <w:keepLines w:val="0"/>
        <w:tabs>
          <w:tab w:val="clear" w:pos="-720"/>
        </w:tabs>
        <w:suppressAutoHyphens w:val="0"/>
        <w:rPr>
          <w:rFonts w:ascii="Arial Narrow" w:hAnsi="Arial Narrow"/>
          <w:bCs/>
          <w:smallCaps w:val="0"/>
          <w:szCs w:val="32"/>
          <w:lang w:val="fr-FR"/>
        </w:rPr>
      </w:pPr>
      <w:r w:rsidRPr="00EA77A4">
        <w:rPr>
          <w:rFonts w:ascii="Arial Narrow" w:hAnsi="Arial Narrow"/>
          <w:bCs/>
          <w:smallCaps w:val="0"/>
          <w:szCs w:val="32"/>
          <w:lang w:val="fr-FR"/>
        </w:rPr>
        <w:lastRenderedPageBreak/>
        <w:t>Avis d’Appel d’</w:t>
      </w:r>
      <w:r w:rsidR="004460D8" w:rsidRPr="00EA77A4">
        <w:rPr>
          <w:rFonts w:ascii="Arial Narrow" w:hAnsi="Arial Narrow"/>
          <w:bCs/>
          <w:smallCaps w:val="0"/>
          <w:szCs w:val="32"/>
          <w:lang w:val="fr-FR"/>
        </w:rPr>
        <w:t>O</w:t>
      </w:r>
      <w:r w:rsidRPr="00EA77A4">
        <w:rPr>
          <w:rFonts w:ascii="Arial Narrow" w:hAnsi="Arial Narrow"/>
          <w:bCs/>
          <w:smallCaps w:val="0"/>
          <w:szCs w:val="32"/>
          <w:lang w:val="fr-FR"/>
        </w:rPr>
        <w:t>ffres</w:t>
      </w:r>
      <w:r w:rsidR="004460D8" w:rsidRPr="00EA77A4">
        <w:rPr>
          <w:rFonts w:ascii="Arial Narrow" w:hAnsi="Arial Narrow"/>
          <w:bCs/>
          <w:smallCaps w:val="0"/>
          <w:szCs w:val="32"/>
          <w:lang w:val="fr-FR"/>
        </w:rPr>
        <w:t xml:space="preserve"> National (AON)</w:t>
      </w:r>
    </w:p>
    <w:p w14:paraId="5A0EBE84" w14:textId="77777777" w:rsidR="00192E9D" w:rsidRPr="00EA77A4" w:rsidRDefault="00192E9D" w:rsidP="00994464">
      <w:pPr>
        <w:spacing w:after="0"/>
        <w:rPr>
          <w:rFonts w:ascii="Arial Narrow" w:hAnsi="Arial Narrow"/>
          <w:sz w:val="28"/>
          <w:szCs w:val="24"/>
        </w:rPr>
      </w:pPr>
    </w:p>
    <w:p w14:paraId="00FAA0AF" w14:textId="581375BD" w:rsidR="00F26027" w:rsidRPr="00EA77A4" w:rsidRDefault="00F26027" w:rsidP="00994464">
      <w:pPr>
        <w:rPr>
          <w:rFonts w:ascii="Arial Narrow" w:hAnsi="Arial Narrow"/>
          <w:szCs w:val="24"/>
        </w:rPr>
      </w:pPr>
      <w:r w:rsidRPr="00EA77A4">
        <w:rPr>
          <w:rFonts w:ascii="Arial Narrow" w:hAnsi="Arial Narrow"/>
          <w:szCs w:val="24"/>
        </w:rPr>
        <w:t xml:space="preserve">Date de lancement : </w:t>
      </w:r>
      <w:r w:rsidR="009C7247" w:rsidRPr="00EA77A4">
        <w:rPr>
          <w:rFonts w:ascii="Arial Narrow" w:hAnsi="Arial Narrow"/>
          <w:b/>
          <w:szCs w:val="24"/>
        </w:rPr>
        <w:t>…</w:t>
      </w:r>
      <w:r w:rsidR="007A56DB" w:rsidRPr="00EA77A4">
        <w:rPr>
          <w:rFonts w:ascii="Arial Narrow" w:hAnsi="Arial Narrow"/>
          <w:b/>
          <w:szCs w:val="24"/>
        </w:rPr>
        <w:t>……. ……</w:t>
      </w:r>
      <w:r w:rsidR="00405919" w:rsidRPr="00EA77A4">
        <w:rPr>
          <w:rFonts w:ascii="Arial Narrow" w:hAnsi="Arial Narrow"/>
          <w:b/>
          <w:szCs w:val="24"/>
        </w:rPr>
        <w:t>202</w:t>
      </w:r>
      <w:r w:rsidR="007A56DB" w:rsidRPr="00EA77A4">
        <w:rPr>
          <w:rFonts w:ascii="Arial Narrow" w:hAnsi="Arial Narrow"/>
          <w:b/>
          <w:szCs w:val="24"/>
        </w:rPr>
        <w:t>1</w:t>
      </w:r>
    </w:p>
    <w:p w14:paraId="29F31153" w14:textId="3517E025" w:rsidR="00F26027" w:rsidRPr="00EA77A4" w:rsidRDefault="00F26027" w:rsidP="00994464">
      <w:pPr>
        <w:spacing w:after="0"/>
        <w:rPr>
          <w:rFonts w:ascii="Arial Narrow" w:hAnsi="Arial Narrow"/>
          <w:szCs w:val="24"/>
        </w:rPr>
      </w:pPr>
      <w:r w:rsidRPr="00EA77A4">
        <w:rPr>
          <w:rFonts w:ascii="Arial Narrow" w:hAnsi="Arial Narrow"/>
          <w:szCs w:val="24"/>
        </w:rPr>
        <w:t>Date de clôture</w:t>
      </w:r>
      <w:r w:rsidR="00FC059E" w:rsidRPr="00EA77A4">
        <w:rPr>
          <w:rFonts w:ascii="Arial Narrow" w:hAnsi="Arial Narrow"/>
          <w:szCs w:val="24"/>
        </w:rPr>
        <w:t> </w:t>
      </w:r>
      <w:proofErr w:type="gramStart"/>
      <w:r w:rsidR="00FC059E" w:rsidRPr="00EA77A4">
        <w:rPr>
          <w:rFonts w:ascii="Arial Narrow" w:hAnsi="Arial Narrow"/>
          <w:szCs w:val="24"/>
        </w:rPr>
        <w:t xml:space="preserve">: </w:t>
      </w:r>
      <w:r w:rsidR="001175F2" w:rsidRPr="00EA77A4">
        <w:rPr>
          <w:rFonts w:ascii="Arial Narrow" w:hAnsi="Arial Narrow"/>
          <w:b/>
          <w:szCs w:val="24"/>
        </w:rPr>
        <w:t xml:space="preserve"> …</w:t>
      </w:r>
      <w:proofErr w:type="gramEnd"/>
      <w:r w:rsidR="007A56DB" w:rsidRPr="00EA77A4">
        <w:rPr>
          <w:rFonts w:ascii="Arial Narrow" w:hAnsi="Arial Narrow"/>
          <w:b/>
          <w:szCs w:val="24"/>
        </w:rPr>
        <w:t>……….</w:t>
      </w:r>
      <w:r w:rsidR="004F6302" w:rsidRPr="00EA77A4">
        <w:rPr>
          <w:rFonts w:ascii="Arial Narrow" w:hAnsi="Arial Narrow"/>
          <w:b/>
          <w:szCs w:val="24"/>
        </w:rPr>
        <w:t xml:space="preserve"> </w:t>
      </w:r>
      <w:r w:rsidR="00405919" w:rsidRPr="00EA77A4">
        <w:rPr>
          <w:rFonts w:ascii="Arial Narrow" w:hAnsi="Arial Narrow"/>
          <w:b/>
          <w:szCs w:val="24"/>
        </w:rPr>
        <w:t>202</w:t>
      </w:r>
      <w:r w:rsidR="007A56DB" w:rsidRPr="00EA77A4">
        <w:rPr>
          <w:rFonts w:ascii="Arial Narrow" w:hAnsi="Arial Narrow"/>
          <w:b/>
          <w:szCs w:val="24"/>
        </w:rPr>
        <w:t>1</w:t>
      </w:r>
      <w:r w:rsidRPr="00EA77A4">
        <w:rPr>
          <w:rFonts w:ascii="Arial Narrow" w:hAnsi="Arial Narrow"/>
          <w:b/>
          <w:szCs w:val="24"/>
        </w:rPr>
        <w:t xml:space="preserve"> à 10heures 00 (heure locale à </w:t>
      </w:r>
      <w:r w:rsidR="00FC059E" w:rsidRPr="00EA77A4">
        <w:rPr>
          <w:rFonts w:ascii="Arial Narrow" w:hAnsi="Arial Narrow"/>
          <w:b/>
          <w:szCs w:val="24"/>
        </w:rPr>
        <w:t>BAMAKO</w:t>
      </w:r>
      <w:r w:rsidRPr="00EA77A4">
        <w:rPr>
          <w:rFonts w:ascii="Arial Narrow" w:hAnsi="Arial Narrow"/>
          <w:b/>
          <w:szCs w:val="24"/>
        </w:rPr>
        <w:t>)</w:t>
      </w:r>
    </w:p>
    <w:p w14:paraId="0CAA3154" w14:textId="4741AB9C" w:rsidR="00A90190" w:rsidRPr="00EA77A4" w:rsidRDefault="00A90190" w:rsidP="00994464">
      <w:pPr>
        <w:tabs>
          <w:tab w:val="left" w:pos="720"/>
          <w:tab w:val="right" w:leader="dot" w:pos="8640"/>
        </w:tabs>
        <w:spacing w:before="240" w:after="0"/>
        <w:rPr>
          <w:rFonts w:ascii="Arial Narrow" w:hAnsi="Arial Narrow"/>
          <w:szCs w:val="24"/>
        </w:rPr>
      </w:pPr>
      <w:r w:rsidRPr="00EA77A4">
        <w:rPr>
          <w:rFonts w:ascii="Arial Narrow" w:hAnsi="Arial Narrow"/>
          <w:b/>
          <w:szCs w:val="24"/>
        </w:rPr>
        <w:t>Identification du Projet : 154482</w:t>
      </w:r>
    </w:p>
    <w:p w14:paraId="78331BEF" w14:textId="77777777" w:rsidR="00A90190" w:rsidRPr="00EA77A4" w:rsidRDefault="00A90190" w:rsidP="00994464">
      <w:pPr>
        <w:tabs>
          <w:tab w:val="left" w:pos="720"/>
          <w:tab w:val="right" w:leader="dot" w:pos="8640"/>
        </w:tabs>
        <w:spacing w:after="0"/>
        <w:rPr>
          <w:rFonts w:ascii="Arial Narrow" w:hAnsi="Arial Narrow"/>
          <w:b/>
          <w:szCs w:val="24"/>
        </w:rPr>
      </w:pPr>
      <w:r w:rsidRPr="00EA77A4">
        <w:rPr>
          <w:rFonts w:ascii="Arial Narrow" w:hAnsi="Arial Narrow"/>
          <w:b/>
          <w:szCs w:val="24"/>
        </w:rPr>
        <w:t xml:space="preserve">Financement : </w:t>
      </w:r>
      <w:r w:rsidRPr="00EA77A4">
        <w:rPr>
          <w:rFonts w:ascii="Arial Narrow" w:hAnsi="Arial Narrow"/>
          <w:b/>
          <w:bCs/>
          <w:szCs w:val="24"/>
        </w:rPr>
        <w:t>Crédit IDA N°6161-ML</w:t>
      </w:r>
    </w:p>
    <w:p w14:paraId="5BC39769" w14:textId="77777777" w:rsidR="00A90190" w:rsidRPr="00EA77A4" w:rsidRDefault="00A90190" w:rsidP="00994464">
      <w:pPr>
        <w:spacing w:after="0"/>
        <w:rPr>
          <w:rFonts w:ascii="Arial Narrow" w:hAnsi="Arial Narrow"/>
          <w:b/>
          <w:szCs w:val="24"/>
        </w:rPr>
      </w:pPr>
      <w:r w:rsidRPr="00EA77A4">
        <w:rPr>
          <w:rFonts w:ascii="Arial Narrow" w:hAnsi="Arial Narrow"/>
          <w:b/>
          <w:szCs w:val="24"/>
        </w:rPr>
        <w:t xml:space="preserve">                          </w:t>
      </w:r>
      <w:r w:rsidRPr="00EA77A4">
        <w:rPr>
          <w:rFonts w:ascii="Arial Narrow" w:hAnsi="Arial Narrow"/>
          <w:b/>
          <w:bCs/>
          <w:szCs w:val="24"/>
        </w:rPr>
        <w:t>Don IDA N°D253</w:t>
      </w:r>
    </w:p>
    <w:p w14:paraId="41AD045A" w14:textId="13E33A71" w:rsidR="00F26027" w:rsidRPr="00EA77A4" w:rsidRDefault="00F26027" w:rsidP="00994464">
      <w:pPr>
        <w:spacing w:after="0"/>
        <w:rPr>
          <w:rFonts w:ascii="Arial Narrow" w:hAnsi="Arial Narrow"/>
          <w:szCs w:val="24"/>
        </w:rPr>
      </w:pPr>
      <w:r w:rsidRPr="00EA77A4">
        <w:rPr>
          <w:rFonts w:ascii="Arial Narrow" w:hAnsi="Arial Narrow"/>
          <w:szCs w:val="24"/>
        </w:rPr>
        <w:t>AAO</w:t>
      </w:r>
      <w:r w:rsidR="00805F20" w:rsidRPr="00EA77A4">
        <w:rPr>
          <w:rFonts w:ascii="Arial Narrow" w:hAnsi="Arial Narrow"/>
          <w:szCs w:val="24"/>
        </w:rPr>
        <w:t>N</w:t>
      </w:r>
      <w:r w:rsidRPr="00EA77A4">
        <w:rPr>
          <w:rFonts w:ascii="Arial Narrow" w:hAnsi="Arial Narrow"/>
          <w:szCs w:val="24"/>
        </w:rPr>
        <w:t xml:space="preserve"> N° </w:t>
      </w:r>
      <w:r w:rsidR="00FC059E" w:rsidRPr="00EA77A4">
        <w:rPr>
          <w:rFonts w:ascii="Arial Narrow" w:hAnsi="Arial Narrow"/>
          <w:b/>
          <w:szCs w:val="24"/>
        </w:rPr>
        <w:t>…</w:t>
      </w:r>
      <w:r w:rsidRPr="00EA77A4">
        <w:rPr>
          <w:rFonts w:ascii="Arial Narrow" w:hAnsi="Arial Narrow"/>
          <w:b/>
          <w:szCs w:val="24"/>
        </w:rPr>
        <w:t>/202</w:t>
      </w:r>
      <w:r w:rsidR="00F75C0F" w:rsidRPr="00EA77A4">
        <w:rPr>
          <w:rFonts w:ascii="Arial Narrow" w:hAnsi="Arial Narrow"/>
          <w:b/>
          <w:szCs w:val="24"/>
        </w:rPr>
        <w:t>1</w:t>
      </w:r>
      <w:r w:rsidRPr="00EA77A4">
        <w:rPr>
          <w:rFonts w:ascii="Arial Narrow" w:hAnsi="Arial Narrow"/>
          <w:b/>
          <w:szCs w:val="24"/>
        </w:rPr>
        <w:t>/PARIIS</w:t>
      </w:r>
      <w:r w:rsidR="004460D8" w:rsidRPr="00EA77A4">
        <w:rPr>
          <w:rFonts w:ascii="Arial Narrow" w:hAnsi="Arial Narrow"/>
          <w:b/>
          <w:szCs w:val="24"/>
        </w:rPr>
        <w:t xml:space="preserve"> </w:t>
      </w:r>
      <w:r w:rsidR="00FC059E" w:rsidRPr="00EA77A4">
        <w:rPr>
          <w:rFonts w:ascii="Arial Narrow" w:hAnsi="Arial Narrow"/>
          <w:b/>
          <w:szCs w:val="24"/>
        </w:rPr>
        <w:t>ML</w:t>
      </w:r>
      <w:r w:rsidRPr="00EA77A4">
        <w:rPr>
          <w:rFonts w:ascii="Arial Narrow" w:hAnsi="Arial Narrow"/>
          <w:b/>
          <w:szCs w:val="24"/>
        </w:rPr>
        <w:t>/</w:t>
      </w:r>
      <w:r w:rsidR="00F915A4" w:rsidRPr="00EA77A4">
        <w:rPr>
          <w:rFonts w:ascii="Arial Narrow" w:hAnsi="Arial Narrow"/>
          <w:b/>
          <w:szCs w:val="24"/>
        </w:rPr>
        <w:t>MA</w:t>
      </w:r>
    </w:p>
    <w:p w14:paraId="68D08C50" w14:textId="3109AF13" w:rsidR="00F26027" w:rsidRPr="00EA77A4" w:rsidRDefault="00F26027" w:rsidP="00994464">
      <w:pPr>
        <w:shd w:val="clear" w:color="auto" w:fill="FFFFFF" w:themeFill="background1"/>
        <w:suppressAutoHyphens/>
        <w:spacing w:before="120" w:after="120"/>
        <w:ind w:left="2430" w:hanging="2430"/>
        <w:rPr>
          <w:rFonts w:ascii="Arial Narrow" w:hAnsi="Arial Narrow"/>
          <w:bCs/>
          <w:i/>
          <w:iCs/>
          <w:szCs w:val="24"/>
        </w:rPr>
      </w:pPr>
      <w:r w:rsidRPr="00EA77A4">
        <w:rPr>
          <w:rFonts w:ascii="Arial Narrow" w:hAnsi="Arial Narrow"/>
          <w:b/>
          <w:spacing w:val="-2"/>
          <w:szCs w:val="24"/>
        </w:rPr>
        <w:t>NOM DU PROJET : Projet d’Appui Régional à l’Initia</w:t>
      </w:r>
      <w:r w:rsidR="00D2242C" w:rsidRPr="00EA77A4">
        <w:rPr>
          <w:rFonts w:ascii="Arial Narrow" w:hAnsi="Arial Narrow"/>
          <w:b/>
          <w:spacing w:val="-2"/>
          <w:szCs w:val="24"/>
        </w:rPr>
        <w:t>tive pour l’Irrigation au Sahel (</w:t>
      </w:r>
      <w:r w:rsidRPr="00EA77A4">
        <w:rPr>
          <w:rFonts w:ascii="Arial Narrow" w:hAnsi="Arial Narrow"/>
          <w:b/>
          <w:spacing w:val="-2"/>
          <w:szCs w:val="24"/>
        </w:rPr>
        <w:t xml:space="preserve">PARIIS </w:t>
      </w:r>
      <w:r w:rsidR="00FC059E" w:rsidRPr="00EA77A4">
        <w:rPr>
          <w:rFonts w:ascii="Arial Narrow" w:hAnsi="Arial Narrow"/>
          <w:b/>
          <w:spacing w:val="-2"/>
          <w:szCs w:val="24"/>
        </w:rPr>
        <w:t>MALI</w:t>
      </w:r>
      <w:r w:rsidRPr="00EA77A4">
        <w:rPr>
          <w:rFonts w:ascii="Arial Narrow" w:hAnsi="Arial Narrow"/>
          <w:b/>
          <w:spacing w:val="-2"/>
          <w:szCs w:val="24"/>
        </w:rPr>
        <w:t>)</w:t>
      </w:r>
    </w:p>
    <w:p w14:paraId="23A3D79E" w14:textId="77777777" w:rsidR="00F26027" w:rsidRPr="00EA77A4" w:rsidRDefault="00F26027" w:rsidP="00994464">
      <w:pPr>
        <w:suppressAutoHyphens/>
        <w:spacing w:after="0"/>
        <w:ind w:hanging="2430"/>
        <w:rPr>
          <w:rFonts w:ascii="Arial Narrow" w:hAnsi="Arial Narrow"/>
          <w:b/>
          <w:spacing w:val="-2"/>
          <w:szCs w:val="24"/>
        </w:rPr>
      </w:pPr>
    </w:p>
    <w:p w14:paraId="049AB579" w14:textId="7D5C3291" w:rsidR="00F26027" w:rsidRPr="00EA77A4" w:rsidRDefault="00F26027" w:rsidP="001B0201">
      <w:pPr>
        <w:pStyle w:val="Corpsdetexte"/>
        <w:spacing w:after="0"/>
        <w:jc w:val="left"/>
        <w:rPr>
          <w:rFonts w:ascii="Arial Narrow" w:hAnsi="Arial Narrow"/>
          <w:b/>
          <w:spacing w:val="-2"/>
          <w:szCs w:val="24"/>
          <w:lang w:val="fr-FR"/>
        </w:rPr>
      </w:pPr>
      <w:r w:rsidRPr="00EA77A4">
        <w:rPr>
          <w:rFonts w:ascii="Arial Narrow" w:hAnsi="Arial Narrow"/>
          <w:b/>
          <w:szCs w:val="24"/>
          <w:lang w:val="fr-FR"/>
        </w:rPr>
        <w:t xml:space="preserve">Nom du Marché : </w:t>
      </w:r>
      <w:r w:rsidR="001B0201" w:rsidRPr="00EA77A4">
        <w:rPr>
          <w:rFonts w:ascii="Arial Narrow" w:hAnsi="Arial Narrow"/>
          <w:b/>
          <w:spacing w:val="-2"/>
          <w:szCs w:val="24"/>
          <w:lang w:val="fr-FR"/>
        </w:rPr>
        <w:t xml:space="preserve">Travaux d'aménagement hydro-agricole de 212 ha de </w:t>
      </w:r>
      <w:proofErr w:type="spellStart"/>
      <w:r w:rsidR="001B0201" w:rsidRPr="00EA77A4">
        <w:rPr>
          <w:rFonts w:ascii="Arial Narrow" w:hAnsi="Arial Narrow"/>
          <w:b/>
          <w:spacing w:val="-2"/>
          <w:szCs w:val="24"/>
          <w:lang w:val="fr-FR"/>
        </w:rPr>
        <w:t>bas fonds</w:t>
      </w:r>
      <w:proofErr w:type="spellEnd"/>
      <w:r w:rsidR="001B0201" w:rsidRPr="00EA77A4">
        <w:rPr>
          <w:rFonts w:ascii="Arial Narrow" w:hAnsi="Arial Narrow"/>
          <w:b/>
          <w:spacing w:val="-2"/>
          <w:szCs w:val="24"/>
          <w:lang w:val="fr-FR"/>
        </w:rPr>
        <w:t xml:space="preserve"> </w:t>
      </w:r>
      <w:r w:rsidR="00624D86" w:rsidRPr="00EA77A4">
        <w:rPr>
          <w:rFonts w:ascii="Arial Narrow" w:hAnsi="Arial Narrow"/>
          <w:b/>
          <w:spacing w:val="-2"/>
          <w:szCs w:val="24"/>
          <w:lang w:val="fr-FR"/>
        </w:rPr>
        <w:t>à</w:t>
      </w:r>
      <w:r w:rsidR="001B0201" w:rsidRPr="00EA77A4">
        <w:rPr>
          <w:rFonts w:ascii="Arial Narrow" w:hAnsi="Arial Narrow"/>
          <w:b/>
          <w:spacing w:val="-2"/>
          <w:szCs w:val="24"/>
          <w:lang w:val="fr-FR"/>
        </w:rPr>
        <w:t xml:space="preserve"> </w:t>
      </w:r>
      <w:proofErr w:type="spellStart"/>
      <w:r w:rsidR="001B0201" w:rsidRPr="00EA77A4">
        <w:rPr>
          <w:rFonts w:ascii="Arial Narrow" w:hAnsi="Arial Narrow"/>
          <w:b/>
          <w:spacing w:val="-2"/>
          <w:szCs w:val="24"/>
          <w:lang w:val="fr-FR"/>
        </w:rPr>
        <w:t>Kissakoro</w:t>
      </w:r>
      <w:proofErr w:type="spellEnd"/>
      <w:r w:rsidR="001B0201" w:rsidRPr="00EA77A4">
        <w:rPr>
          <w:rFonts w:ascii="Arial Narrow" w:hAnsi="Arial Narrow"/>
          <w:b/>
          <w:spacing w:val="-2"/>
          <w:szCs w:val="24"/>
          <w:lang w:val="fr-FR"/>
        </w:rPr>
        <w:t xml:space="preserve"> et la construction d'un magasin de stockage et de conservation d’échalote - commune de </w:t>
      </w:r>
      <w:proofErr w:type="spellStart"/>
      <w:r w:rsidR="001B0201" w:rsidRPr="00EA77A4">
        <w:rPr>
          <w:rFonts w:ascii="Arial Narrow" w:hAnsi="Arial Narrow"/>
          <w:b/>
          <w:spacing w:val="-2"/>
          <w:szCs w:val="24"/>
          <w:lang w:val="fr-FR"/>
        </w:rPr>
        <w:t>Benkadi</w:t>
      </w:r>
      <w:proofErr w:type="spellEnd"/>
      <w:r w:rsidR="001B0201" w:rsidRPr="00EA77A4">
        <w:rPr>
          <w:rFonts w:ascii="Arial Narrow" w:hAnsi="Arial Narrow"/>
          <w:b/>
          <w:spacing w:val="-2"/>
          <w:szCs w:val="24"/>
          <w:lang w:val="fr-FR"/>
        </w:rPr>
        <w:t xml:space="preserve"> dans la Région de Koulikoro, Mali.</w:t>
      </w:r>
    </w:p>
    <w:p w14:paraId="43E5FC7D" w14:textId="550CEC38" w:rsidR="00F26027" w:rsidRPr="00EA77A4" w:rsidRDefault="00F26027" w:rsidP="00F26027">
      <w:pPr>
        <w:numPr>
          <w:ilvl w:val="0"/>
          <w:numId w:val="20"/>
        </w:numPr>
        <w:spacing w:before="240" w:after="120"/>
        <w:ind w:left="0" w:firstLine="0"/>
        <w:rPr>
          <w:rFonts w:ascii="Arial Narrow" w:hAnsi="Arial Narrow" w:cstheme="majorBidi"/>
          <w:szCs w:val="24"/>
        </w:rPr>
      </w:pPr>
      <w:r w:rsidRPr="00EA77A4">
        <w:rPr>
          <w:rFonts w:ascii="Arial Narrow" w:hAnsi="Arial Narrow" w:cstheme="majorBidi"/>
          <w:szCs w:val="24"/>
        </w:rPr>
        <w:t xml:space="preserve">Le </w:t>
      </w:r>
      <w:r w:rsidRPr="00EA77A4">
        <w:rPr>
          <w:rFonts w:ascii="Arial Narrow" w:hAnsi="Arial Narrow" w:cstheme="majorBidi"/>
          <w:iCs/>
          <w:szCs w:val="24"/>
        </w:rPr>
        <w:t xml:space="preserve">Gouvernement de la République du </w:t>
      </w:r>
      <w:r w:rsidR="000A02CB" w:rsidRPr="00EA77A4">
        <w:rPr>
          <w:rFonts w:ascii="Arial Narrow" w:hAnsi="Arial Narrow" w:cstheme="majorBidi"/>
          <w:iCs/>
          <w:szCs w:val="24"/>
        </w:rPr>
        <w:t>Mali</w:t>
      </w:r>
      <w:r w:rsidRPr="00EA77A4">
        <w:rPr>
          <w:rFonts w:ascii="Arial Narrow" w:hAnsi="Arial Narrow" w:cstheme="majorBidi"/>
          <w:iCs/>
          <w:szCs w:val="24"/>
        </w:rPr>
        <w:t xml:space="preserve"> a reçu</w:t>
      </w:r>
      <w:r w:rsidRPr="00EA77A4">
        <w:rPr>
          <w:rFonts w:ascii="Arial Narrow" w:hAnsi="Arial Narrow" w:cstheme="majorBidi"/>
          <w:szCs w:val="24"/>
        </w:rPr>
        <w:t xml:space="preserve"> un </w:t>
      </w:r>
      <w:r w:rsidRPr="00EA77A4">
        <w:rPr>
          <w:rFonts w:ascii="Arial Narrow" w:hAnsi="Arial Narrow" w:cstheme="majorBidi"/>
          <w:iCs/>
          <w:szCs w:val="24"/>
        </w:rPr>
        <w:t>crédit</w:t>
      </w:r>
      <w:r w:rsidRPr="00EA77A4">
        <w:rPr>
          <w:rFonts w:ascii="Arial Narrow" w:hAnsi="Arial Narrow" w:cstheme="majorBidi"/>
          <w:szCs w:val="24"/>
        </w:rPr>
        <w:t xml:space="preserve"> de </w:t>
      </w:r>
      <w:r w:rsidRPr="00EA77A4">
        <w:rPr>
          <w:rFonts w:ascii="Arial Narrow" w:hAnsi="Arial Narrow" w:cstheme="majorBidi"/>
          <w:iCs/>
          <w:szCs w:val="24"/>
        </w:rPr>
        <w:t>l’Association Internationale pour le Développement</w:t>
      </w:r>
      <w:r w:rsidRPr="00EA77A4">
        <w:rPr>
          <w:rFonts w:ascii="Arial Narrow" w:hAnsi="Arial Narrow" w:cstheme="majorBidi"/>
          <w:szCs w:val="24"/>
        </w:rPr>
        <w:t xml:space="preserve"> pour financer</w:t>
      </w:r>
      <w:r w:rsidRPr="00EA77A4">
        <w:rPr>
          <w:rFonts w:ascii="Arial Narrow" w:hAnsi="Arial Narrow" w:cstheme="majorBidi"/>
          <w:iCs/>
          <w:szCs w:val="24"/>
        </w:rPr>
        <w:t xml:space="preserve"> le Projet d’Appui Régional à l’Initiative pour l’Irrigation au Sahel (PARIIS </w:t>
      </w:r>
      <w:r w:rsidR="000A02CB" w:rsidRPr="00EA77A4">
        <w:rPr>
          <w:rFonts w:ascii="Arial Narrow" w:hAnsi="Arial Narrow" w:cstheme="majorBidi"/>
          <w:iCs/>
          <w:szCs w:val="24"/>
        </w:rPr>
        <w:t>MALI</w:t>
      </w:r>
      <w:r w:rsidRPr="00EA77A4">
        <w:rPr>
          <w:rFonts w:ascii="Arial Narrow" w:hAnsi="Arial Narrow" w:cstheme="majorBidi"/>
          <w:iCs/>
          <w:szCs w:val="24"/>
        </w:rPr>
        <w:t>),</w:t>
      </w:r>
      <w:r w:rsidRPr="00EA77A4">
        <w:rPr>
          <w:rFonts w:ascii="Arial Narrow" w:hAnsi="Arial Narrow" w:cstheme="majorBidi"/>
          <w:szCs w:val="24"/>
        </w:rPr>
        <w:t xml:space="preserve"> et a l’intention d’utiliser une partie de ce </w:t>
      </w:r>
      <w:r w:rsidRPr="00EA77A4">
        <w:rPr>
          <w:rFonts w:ascii="Arial Narrow" w:hAnsi="Arial Narrow" w:cstheme="majorBidi"/>
          <w:iCs/>
          <w:szCs w:val="24"/>
        </w:rPr>
        <w:t>crédit</w:t>
      </w:r>
      <w:r w:rsidR="006D14BE" w:rsidRPr="00EA77A4">
        <w:rPr>
          <w:rFonts w:ascii="Arial Narrow" w:hAnsi="Arial Narrow" w:cstheme="majorBidi"/>
          <w:iCs/>
          <w:szCs w:val="24"/>
        </w:rPr>
        <w:t>/don</w:t>
      </w:r>
      <w:r w:rsidRPr="00EA77A4">
        <w:rPr>
          <w:rFonts w:ascii="Arial Narrow" w:hAnsi="Arial Narrow" w:cstheme="majorBidi"/>
          <w:szCs w:val="24"/>
        </w:rPr>
        <w:t xml:space="preserve"> pour effectuer des paiements éligibles au titre du </w:t>
      </w:r>
      <w:r w:rsidR="00DD7AAB" w:rsidRPr="00EA77A4">
        <w:rPr>
          <w:rFonts w:ascii="Arial Narrow" w:hAnsi="Arial Narrow" w:cstheme="majorBidi"/>
          <w:szCs w:val="24"/>
        </w:rPr>
        <w:t>m</w:t>
      </w:r>
      <w:r w:rsidRPr="00EA77A4">
        <w:rPr>
          <w:rFonts w:ascii="Arial Narrow" w:hAnsi="Arial Narrow" w:cstheme="majorBidi"/>
          <w:szCs w:val="24"/>
        </w:rPr>
        <w:t>arché</w:t>
      </w:r>
      <w:r w:rsidR="00DD7AAB" w:rsidRPr="00EA77A4">
        <w:rPr>
          <w:rFonts w:ascii="Arial Narrow" w:hAnsi="Arial Narrow" w:cstheme="majorBidi"/>
          <w:szCs w:val="24"/>
        </w:rPr>
        <w:t xml:space="preserve"> des </w:t>
      </w:r>
      <w:r w:rsidR="001B0201" w:rsidRPr="00EA77A4">
        <w:rPr>
          <w:rFonts w:ascii="Arial Narrow" w:hAnsi="Arial Narrow"/>
          <w:b/>
          <w:spacing w:val="-2"/>
          <w:szCs w:val="24"/>
        </w:rPr>
        <w:t xml:space="preserve">Travaux d'aménagement hydro-agricole de 212 ha de </w:t>
      </w:r>
      <w:proofErr w:type="spellStart"/>
      <w:r w:rsidR="001B0201" w:rsidRPr="00EA77A4">
        <w:rPr>
          <w:rFonts w:ascii="Arial Narrow" w:hAnsi="Arial Narrow"/>
          <w:b/>
          <w:spacing w:val="-2"/>
          <w:szCs w:val="24"/>
        </w:rPr>
        <w:t>bas fonds</w:t>
      </w:r>
      <w:proofErr w:type="spellEnd"/>
      <w:r w:rsidR="001B0201" w:rsidRPr="00EA77A4">
        <w:rPr>
          <w:rFonts w:ascii="Arial Narrow" w:hAnsi="Arial Narrow"/>
          <w:b/>
          <w:spacing w:val="-2"/>
          <w:szCs w:val="24"/>
        </w:rPr>
        <w:t xml:space="preserve"> </w:t>
      </w:r>
      <w:r w:rsidR="00624D86" w:rsidRPr="00EA77A4">
        <w:rPr>
          <w:rFonts w:ascii="Arial Narrow" w:hAnsi="Arial Narrow"/>
          <w:b/>
          <w:spacing w:val="-2"/>
          <w:szCs w:val="24"/>
        </w:rPr>
        <w:t>à</w:t>
      </w:r>
      <w:r w:rsidR="001B0201" w:rsidRPr="00EA77A4">
        <w:rPr>
          <w:rFonts w:ascii="Arial Narrow" w:hAnsi="Arial Narrow"/>
          <w:b/>
          <w:spacing w:val="-2"/>
          <w:szCs w:val="24"/>
        </w:rPr>
        <w:t xml:space="preserve"> </w:t>
      </w:r>
      <w:proofErr w:type="spellStart"/>
      <w:r w:rsidR="001B0201" w:rsidRPr="00EA77A4">
        <w:rPr>
          <w:rFonts w:ascii="Arial Narrow" w:hAnsi="Arial Narrow"/>
          <w:b/>
          <w:spacing w:val="-2"/>
          <w:szCs w:val="24"/>
        </w:rPr>
        <w:t>Kissakoro</w:t>
      </w:r>
      <w:proofErr w:type="spellEnd"/>
      <w:r w:rsidR="001B0201" w:rsidRPr="00EA77A4">
        <w:rPr>
          <w:rFonts w:ascii="Arial Narrow" w:hAnsi="Arial Narrow"/>
          <w:b/>
          <w:spacing w:val="-2"/>
          <w:szCs w:val="24"/>
        </w:rPr>
        <w:t xml:space="preserve"> et la construction d'un magasin de stockage et de conservation d’échalote - commune de </w:t>
      </w:r>
      <w:proofErr w:type="spellStart"/>
      <w:r w:rsidR="001B0201" w:rsidRPr="00EA77A4">
        <w:rPr>
          <w:rFonts w:ascii="Arial Narrow" w:hAnsi="Arial Narrow"/>
          <w:b/>
          <w:spacing w:val="-2"/>
          <w:szCs w:val="24"/>
        </w:rPr>
        <w:t>Benkadi</w:t>
      </w:r>
      <w:proofErr w:type="spellEnd"/>
      <w:r w:rsidR="001B0201" w:rsidRPr="00EA77A4">
        <w:rPr>
          <w:rFonts w:ascii="Arial Narrow" w:hAnsi="Arial Narrow"/>
          <w:b/>
          <w:spacing w:val="-2"/>
          <w:szCs w:val="24"/>
        </w:rPr>
        <w:t xml:space="preserve"> dans la Région de Koulikoro, Mali.</w:t>
      </w:r>
    </w:p>
    <w:p w14:paraId="3247BF4B" w14:textId="01C4C7B2" w:rsidR="000E755F" w:rsidRPr="00EA77A4" w:rsidRDefault="00F26027" w:rsidP="007243FD">
      <w:pPr>
        <w:numPr>
          <w:ilvl w:val="0"/>
          <w:numId w:val="20"/>
        </w:numPr>
        <w:spacing w:before="240" w:after="120"/>
        <w:ind w:left="0" w:firstLine="0"/>
        <w:rPr>
          <w:rFonts w:ascii="Arial Narrow" w:hAnsi="Arial Narrow" w:cstheme="majorBidi"/>
          <w:szCs w:val="24"/>
        </w:rPr>
      </w:pPr>
      <w:r w:rsidRPr="00EA77A4">
        <w:rPr>
          <w:rFonts w:ascii="Arial Narrow" w:hAnsi="Arial Narrow" w:cstheme="majorBidi"/>
          <w:szCs w:val="24"/>
        </w:rPr>
        <w:t xml:space="preserve">Le </w:t>
      </w:r>
      <w:r w:rsidR="00134B5A" w:rsidRPr="00EA77A4">
        <w:rPr>
          <w:rFonts w:ascii="Arial Narrow" w:hAnsi="Arial Narrow" w:cstheme="majorBidi"/>
          <w:szCs w:val="24"/>
        </w:rPr>
        <w:t>Ministère du Développement Rural</w:t>
      </w:r>
      <w:r w:rsidRPr="00EA77A4">
        <w:rPr>
          <w:rFonts w:ascii="Arial Narrow" w:hAnsi="Arial Narrow" w:cstheme="majorBidi"/>
          <w:szCs w:val="24"/>
        </w:rPr>
        <w:t xml:space="preserve"> sollicite des offres sous pli fermé de la part de soumissionnaires éligibles pour exécuter les </w:t>
      </w:r>
      <w:r w:rsidR="001B0201" w:rsidRPr="00EA77A4">
        <w:rPr>
          <w:rFonts w:ascii="Arial Narrow" w:hAnsi="Arial Narrow"/>
          <w:b/>
          <w:spacing w:val="-2"/>
          <w:szCs w:val="24"/>
        </w:rPr>
        <w:t xml:space="preserve">Travaux d’aménagement hydro-agricole de 212 ha de </w:t>
      </w:r>
      <w:proofErr w:type="spellStart"/>
      <w:r w:rsidR="001B0201" w:rsidRPr="00EA77A4">
        <w:rPr>
          <w:rFonts w:ascii="Arial Narrow" w:hAnsi="Arial Narrow"/>
          <w:b/>
          <w:spacing w:val="-2"/>
          <w:szCs w:val="24"/>
        </w:rPr>
        <w:t>bas fonds</w:t>
      </w:r>
      <w:proofErr w:type="spellEnd"/>
      <w:r w:rsidR="001B0201" w:rsidRPr="00EA77A4">
        <w:rPr>
          <w:rFonts w:ascii="Arial Narrow" w:hAnsi="Arial Narrow"/>
          <w:b/>
          <w:spacing w:val="-2"/>
          <w:szCs w:val="24"/>
        </w:rPr>
        <w:t xml:space="preserve"> </w:t>
      </w:r>
      <w:r w:rsidR="00624D86" w:rsidRPr="00EA77A4">
        <w:rPr>
          <w:rFonts w:ascii="Arial Narrow" w:hAnsi="Arial Narrow"/>
          <w:b/>
          <w:spacing w:val="-2"/>
          <w:szCs w:val="24"/>
        </w:rPr>
        <w:t>à</w:t>
      </w:r>
      <w:r w:rsidR="001B0201" w:rsidRPr="00EA77A4">
        <w:rPr>
          <w:rFonts w:ascii="Arial Narrow" w:hAnsi="Arial Narrow"/>
          <w:b/>
          <w:spacing w:val="-2"/>
          <w:szCs w:val="24"/>
        </w:rPr>
        <w:t xml:space="preserve"> </w:t>
      </w:r>
      <w:proofErr w:type="spellStart"/>
      <w:r w:rsidR="001B0201" w:rsidRPr="00EA77A4">
        <w:rPr>
          <w:rFonts w:ascii="Arial Narrow" w:hAnsi="Arial Narrow"/>
          <w:b/>
          <w:spacing w:val="-2"/>
          <w:szCs w:val="24"/>
        </w:rPr>
        <w:t>Kissakoro</w:t>
      </w:r>
      <w:proofErr w:type="spellEnd"/>
      <w:r w:rsidR="001B0201" w:rsidRPr="00EA77A4">
        <w:rPr>
          <w:rFonts w:ascii="Arial Narrow" w:hAnsi="Arial Narrow"/>
          <w:b/>
          <w:spacing w:val="-2"/>
          <w:szCs w:val="24"/>
        </w:rPr>
        <w:t xml:space="preserve"> et la construction d’un magasin de stockage et de conservation d’échalote - commune de </w:t>
      </w:r>
      <w:proofErr w:type="spellStart"/>
      <w:r w:rsidR="001B0201" w:rsidRPr="00EA77A4">
        <w:rPr>
          <w:rFonts w:ascii="Arial Narrow" w:hAnsi="Arial Narrow"/>
          <w:b/>
          <w:spacing w:val="-2"/>
          <w:szCs w:val="24"/>
        </w:rPr>
        <w:t>Benkadi</w:t>
      </w:r>
      <w:proofErr w:type="spellEnd"/>
      <w:r w:rsidR="001B0201" w:rsidRPr="00EA77A4">
        <w:rPr>
          <w:rFonts w:ascii="Arial Narrow" w:hAnsi="Arial Narrow"/>
          <w:b/>
          <w:spacing w:val="-2"/>
          <w:szCs w:val="24"/>
        </w:rPr>
        <w:t xml:space="preserve"> dans la Région de Koulikoro, Mali</w:t>
      </w:r>
      <w:r w:rsidR="004919E2" w:rsidRPr="00EA77A4">
        <w:rPr>
          <w:rFonts w:ascii="Arial Narrow" w:hAnsi="Arial Narrow"/>
          <w:b/>
          <w:spacing w:val="-2"/>
          <w:szCs w:val="24"/>
        </w:rPr>
        <w:t>. Les travaux son</w:t>
      </w:r>
      <w:r w:rsidR="00533D4F" w:rsidRPr="00EA77A4">
        <w:rPr>
          <w:rFonts w:ascii="Arial Narrow" w:hAnsi="Arial Narrow"/>
          <w:b/>
          <w:spacing w:val="-2"/>
          <w:szCs w:val="24"/>
        </w:rPr>
        <w:t xml:space="preserve">t repartis en </w:t>
      </w:r>
      <w:r w:rsidR="001B0201" w:rsidRPr="00EA77A4">
        <w:rPr>
          <w:rFonts w:ascii="Arial Narrow" w:hAnsi="Arial Narrow"/>
          <w:b/>
          <w:spacing w:val="-2"/>
          <w:szCs w:val="24"/>
        </w:rPr>
        <w:t xml:space="preserve">un </w:t>
      </w:r>
      <w:r w:rsidR="004919E2" w:rsidRPr="00EA77A4">
        <w:rPr>
          <w:rFonts w:ascii="Arial Narrow" w:hAnsi="Arial Narrow"/>
          <w:b/>
          <w:spacing w:val="-2"/>
          <w:szCs w:val="24"/>
        </w:rPr>
        <w:t>lot</w:t>
      </w:r>
      <w:r w:rsidR="001B0201" w:rsidRPr="00EA77A4">
        <w:rPr>
          <w:rFonts w:ascii="Arial Narrow" w:hAnsi="Arial Narrow"/>
          <w:b/>
          <w:spacing w:val="-2"/>
          <w:szCs w:val="24"/>
        </w:rPr>
        <w:t xml:space="preserve"> unique</w:t>
      </w:r>
      <w:r w:rsidR="00214FAA" w:rsidRPr="00EA77A4">
        <w:rPr>
          <w:rFonts w:ascii="Arial Narrow" w:hAnsi="Arial Narrow"/>
          <w:b/>
          <w:spacing w:val="-2"/>
          <w:szCs w:val="24"/>
        </w:rPr>
        <w:t>.</w:t>
      </w:r>
    </w:p>
    <w:p w14:paraId="441008A3" w14:textId="53903538" w:rsidR="00F26027" w:rsidRPr="00EA77A4" w:rsidRDefault="00F26027" w:rsidP="007243FD">
      <w:pPr>
        <w:numPr>
          <w:ilvl w:val="0"/>
          <w:numId w:val="20"/>
        </w:numPr>
        <w:spacing w:before="240" w:after="120"/>
        <w:ind w:left="0" w:firstLine="0"/>
        <w:rPr>
          <w:rFonts w:ascii="Arial Narrow" w:hAnsi="Arial Narrow" w:cstheme="majorBidi"/>
          <w:szCs w:val="24"/>
        </w:rPr>
      </w:pPr>
      <w:r w:rsidRPr="00EA77A4">
        <w:rPr>
          <w:rFonts w:ascii="Arial Narrow" w:hAnsi="Arial Narrow" w:cstheme="majorBidi"/>
          <w:szCs w:val="24"/>
        </w:rPr>
        <w:t xml:space="preserve">La procédure d’appel d’offres se déroulera conformément aux procédures d’appel d’offres national spécifiées dans les </w:t>
      </w:r>
      <w:hyperlink r:id="rId13" w:history="1">
        <w:r w:rsidRPr="00EA77A4">
          <w:rPr>
            <w:rFonts w:ascii="Arial Narrow" w:hAnsi="Arial Narrow" w:cstheme="majorBidi"/>
            <w:szCs w:val="24"/>
          </w:rPr>
          <w:t xml:space="preserve">Directives relatives à la passation des marchés financés par </w:t>
        </w:r>
        <w:r w:rsidR="007A56DB" w:rsidRPr="00EA77A4">
          <w:rPr>
            <w:rFonts w:ascii="Arial Narrow" w:hAnsi="Arial Narrow" w:cstheme="majorBidi"/>
            <w:szCs w:val="24"/>
          </w:rPr>
          <w:t>les crédits</w:t>
        </w:r>
        <w:r w:rsidRPr="00EA77A4">
          <w:rPr>
            <w:rFonts w:ascii="Arial Narrow" w:hAnsi="Arial Narrow" w:cstheme="majorBidi"/>
            <w:szCs w:val="24"/>
          </w:rPr>
          <w:t xml:space="preserve"> de l’AID, janvier 2011</w:t>
        </w:r>
        <w:r w:rsidR="00F73E63" w:rsidRPr="00EA77A4">
          <w:rPr>
            <w:rFonts w:ascii="Arial Narrow" w:hAnsi="Arial Narrow" w:cstheme="majorBidi"/>
            <w:szCs w:val="24"/>
          </w:rPr>
          <w:t xml:space="preserve"> et révisées en juillet 2014</w:t>
        </w:r>
        <w:r w:rsidRPr="00EA77A4">
          <w:rPr>
            <w:rFonts w:ascii="Arial Narrow" w:hAnsi="Arial Narrow" w:cstheme="majorBidi"/>
            <w:szCs w:val="24"/>
          </w:rPr>
          <w:t> </w:t>
        </w:r>
      </w:hyperlink>
      <w:r w:rsidRPr="00EA77A4">
        <w:rPr>
          <w:rFonts w:ascii="Arial Narrow" w:hAnsi="Arial Narrow" w:cstheme="majorBidi"/>
          <w:szCs w:val="24"/>
        </w:rPr>
        <w:t>; elle est ouverte à tous les soumissionnaires des pays qui répondent aux critères d’éligibilité, tels que définis dans les Directives.</w:t>
      </w:r>
    </w:p>
    <w:p w14:paraId="693A7823" w14:textId="415F25B3" w:rsidR="00132427" w:rsidRPr="00EA77A4" w:rsidRDefault="00F26027" w:rsidP="00132427">
      <w:pPr>
        <w:ind w:left="0" w:firstLine="0"/>
        <w:rPr>
          <w:rFonts w:ascii="Arial Narrow" w:hAnsi="Arial Narrow"/>
          <w:b/>
          <w:szCs w:val="24"/>
        </w:rPr>
      </w:pPr>
      <w:r w:rsidRPr="00EA77A4">
        <w:rPr>
          <w:rFonts w:ascii="Arial Narrow" w:hAnsi="Arial Narrow"/>
          <w:szCs w:val="24"/>
        </w:rPr>
        <w:t xml:space="preserve">Les soumissionnaires éligibles et intéressés peuvent obtenir des informations auprès de </w:t>
      </w:r>
      <w:r w:rsidR="000E52DE" w:rsidRPr="00EA77A4">
        <w:rPr>
          <w:rFonts w:ascii="Arial Narrow" w:hAnsi="Arial Narrow"/>
          <w:szCs w:val="24"/>
        </w:rPr>
        <w:t xml:space="preserve">l’Unité de Gestion du </w:t>
      </w:r>
      <w:r w:rsidR="00132427" w:rsidRPr="00EA77A4">
        <w:rPr>
          <w:rFonts w:ascii="Arial Narrow" w:hAnsi="Arial Narrow"/>
          <w:b/>
          <w:szCs w:val="24"/>
        </w:rPr>
        <w:t xml:space="preserve">Projet d’Appui Régional à l’Initiative pour l’Irrigation au Sahel (PARIIS-Mali), </w:t>
      </w:r>
      <w:proofErr w:type="spellStart"/>
      <w:r w:rsidR="00132427" w:rsidRPr="00EA77A4">
        <w:rPr>
          <w:rFonts w:ascii="Arial Narrow" w:hAnsi="Arial Narrow"/>
          <w:b/>
          <w:szCs w:val="24"/>
        </w:rPr>
        <w:t>Hamdallaye</w:t>
      </w:r>
      <w:proofErr w:type="spellEnd"/>
      <w:r w:rsidR="00132427" w:rsidRPr="00EA77A4">
        <w:rPr>
          <w:rFonts w:ascii="Arial Narrow" w:hAnsi="Arial Narrow"/>
          <w:b/>
          <w:szCs w:val="24"/>
        </w:rPr>
        <w:t xml:space="preserve"> ACI 2000 Bamako Mali, Rue 333 Porte 16 – </w:t>
      </w:r>
      <w:proofErr w:type="spellStart"/>
      <w:r w:rsidR="00132427" w:rsidRPr="00EA77A4">
        <w:rPr>
          <w:rFonts w:ascii="Arial Narrow" w:hAnsi="Arial Narrow"/>
          <w:b/>
          <w:szCs w:val="24"/>
        </w:rPr>
        <w:t>Imm</w:t>
      </w:r>
      <w:proofErr w:type="spellEnd"/>
      <w:r w:rsidR="00132427" w:rsidRPr="00EA77A4">
        <w:rPr>
          <w:rFonts w:ascii="Arial Narrow" w:hAnsi="Arial Narrow"/>
          <w:b/>
          <w:szCs w:val="24"/>
        </w:rPr>
        <w:t xml:space="preserve">. De Mme TANDIA </w:t>
      </w:r>
      <w:proofErr w:type="spellStart"/>
      <w:r w:rsidR="00132427" w:rsidRPr="00EA77A4">
        <w:rPr>
          <w:rFonts w:ascii="Arial Narrow" w:hAnsi="Arial Narrow"/>
          <w:b/>
          <w:szCs w:val="24"/>
        </w:rPr>
        <w:t>Hawa</w:t>
      </w:r>
      <w:proofErr w:type="spellEnd"/>
      <w:r w:rsidR="00132427" w:rsidRPr="00EA77A4">
        <w:rPr>
          <w:rFonts w:ascii="Arial Narrow" w:hAnsi="Arial Narrow"/>
          <w:b/>
          <w:szCs w:val="24"/>
        </w:rPr>
        <w:t xml:space="preserve"> HAIDARA, Tél (223) 20 23 33 46/20 23 34 20</w:t>
      </w:r>
      <w:r w:rsidR="006C6D58" w:rsidRPr="00EA77A4">
        <w:rPr>
          <w:rFonts w:ascii="Arial Narrow" w:hAnsi="Arial Narrow"/>
          <w:b/>
          <w:szCs w:val="24"/>
        </w:rPr>
        <w:t>.</w:t>
      </w:r>
    </w:p>
    <w:p w14:paraId="016A85AB" w14:textId="6D5EEAFB" w:rsidR="006C6D58" w:rsidRPr="00EA77A4" w:rsidRDefault="006C6D58" w:rsidP="006C6D58">
      <w:pPr>
        <w:rPr>
          <w:rFonts w:ascii="Arial Narrow" w:hAnsi="Arial Narrow"/>
          <w:b/>
          <w:szCs w:val="24"/>
        </w:rPr>
      </w:pPr>
      <w:r w:rsidRPr="00EA77A4">
        <w:rPr>
          <w:rFonts w:ascii="Arial Narrow" w:hAnsi="Arial Narrow"/>
          <w:spacing w:val="-2"/>
          <w:szCs w:val="24"/>
        </w:rPr>
        <w:t xml:space="preserve">Le délai d’exécution maximum des travaux est fixé </w:t>
      </w:r>
      <w:r w:rsidR="00214FAA" w:rsidRPr="00EA77A4">
        <w:rPr>
          <w:rFonts w:ascii="Arial Narrow" w:hAnsi="Arial Narrow"/>
          <w:spacing w:val="-2"/>
          <w:szCs w:val="24"/>
        </w:rPr>
        <w:t xml:space="preserve">à </w:t>
      </w:r>
      <w:r w:rsidR="00214FAA" w:rsidRPr="00EA77A4">
        <w:rPr>
          <w:rFonts w:ascii="Arial Narrow" w:hAnsi="Arial Narrow"/>
          <w:b/>
          <w:spacing w:val="-2"/>
          <w:szCs w:val="24"/>
        </w:rPr>
        <w:t>quatre (04) mois</w:t>
      </w:r>
      <w:r w:rsidR="00214FAA" w:rsidRPr="00EA77A4">
        <w:rPr>
          <w:rFonts w:ascii="Arial Narrow" w:hAnsi="Arial Narrow"/>
          <w:spacing w:val="-2"/>
          <w:szCs w:val="24"/>
        </w:rPr>
        <w:t>.</w:t>
      </w:r>
    </w:p>
    <w:p w14:paraId="3AB388C9" w14:textId="48190E87" w:rsidR="00192E9D" w:rsidRPr="00EA77A4" w:rsidRDefault="00F26027" w:rsidP="00192E9D">
      <w:pPr>
        <w:numPr>
          <w:ilvl w:val="0"/>
          <w:numId w:val="20"/>
        </w:numPr>
        <w:tabs>
          <w:tab w:val="clear" w:pos="720"/>
        </w:tabs>
        <w:spacing w:before="120" w:after="120"/>
        <w:ind w:left="630" w:hanging="630"/>
        <w:rPr>
          <w:rFonts w:ascii="Arial Narrow" w:hAnsi="Arial Narrow"/>
          <w:szCs w:val="24"/>
        </w:rPr>
      </w:pPr>
      <w:r w:rsidRPr="00EA77A4">
        <w:rPr>
          <w:rFonts w:ascii="Arial Narrow" w:hAnsi="Arial Narrow" w:cstheme="majorBidi"/>
          <w:szCs w:val="24"/>
        </w:rPr>
        <w:t xml:space="preserve">Les soumissionnaires intéressés peuvent obtenir le Dossier d’Appel d’Offres complet en français à l’adresse mentionnée ci-dessus contre un paiement non remboursable de </w:t>
      </w:r>
      <w:r w:rsidRPr="00EA77A4">
        <w:rPr>
          <w:rFonts w:ascii="Arial Narrow" w:hAnsi="Arial Narrow" w:cstheme="majorBidi"/>
          <w:b/>
          <w:iCs/>
          <w:szCs w:val="24"/>
        </w:rPr>
        <w:t>Cent mille (</w:t>
      </w:r>
      <w:r w:rsidR="006D14BE" w:rsidRPr="00EA77A4">
        <w:rPr>
          <w:rFonts w:ascii="Arial Narrow" w:hAnsi="Arial Narrow" w:cstheme="majorBidi"/>
          <w:b/>
          <w:iCs/>
          <w:szCs w:val="24"/>
        </w:rPr>
        <w:t>1</w:t>
      </w:r>
      <w:r w:rsidRPr="00EA77A4">
        <w:rPr>
          <w:rFonts w:ascii="Arial Narrow" w:hAnsi="Arial Narrow" w:cstheme="majorBidi"/>
          <w:b/>
          <w:iCs/>
          <w:szCs w:val="24"/>
        </w:rPr>
        <w:t>00.000) Francs CFA</w:t>
      </w:r>
      <w:r w:rsidRPr="00EA77A4">
        <w:rPr>
          <w:rFonts w:ascii="Arial Narrow" w:hAnsi="Arial Narrow" w:cstheme="majorBidi"/>
          <w:iCs/>
          <w:szCs w:val="24"/>
        </w:rPr>
        <w:t>.</w:t>
      </w:r>
      <w:r w:rsidRPr="00EA77A4">
        <w:rPr>
          <w:rFonts w:ascii="Arial Narrow" w:hAnsi="Arial Narrow" w:cstheme="majorBidi"/>
          <w:szCs w:val="24"/>
        </w:rPr>
        <w:t xml:space="preserve"> </w:t>
      </w:r>
      <w:r w:rsidR="00192E9D" w:rsidRPr="00EA77A4">
        <w:rPr>
          <w:rFonts w:ascii="Arial Narrow" w:hAnsi="Arial Narrow" w:cstheme="majorBidi"/>
          <w:szCs w:val="24"/>
        </w:rPr>
        <w:t>La méthode de paiement sera en cash</w:t>
      </w:r>
      <w:r w:rsidR="00192E9D" w:rsidRPr="00EA77A4">
        <w:rPr>
          <w:rFonts w:ascii="Arial Narrow" w:hAnsi="Arial Narrow" w:cstheme="majorBidi"/>
          <w:iCs/>
          <w:szCs w:val="24"/>
        </w:rPr>
        <w:t xml:space="preserve"> auprès du Secrétariat du Projet PARIIS </w:t>
      </w:r>
      <w:r w:rsidR="00445FC8" w:rsidRPr="00EA77A4">
        <w:rPr>
          <w:rFonts w:ascii="Arial Narrow" w:hAnsi="Arial Narrow" w:cstheme="majorBidi"/>
          <w:iCs/>
          <w:szCs w:val="24"/>
        </w:rPr>
        <w:t>MALI</w:t>
      </w:r>
      <w:r w:rsidR="00192E9D" w:rsidRPr="00EA77A4">
        <w:rPr>
          <w:rFonts w:ascii="Arial Narrow" w:hAnsi="Arial Narrow" w:cstheme="majorBidi"/>
          <w:iCs/>
          <w:szCs w:val="24"/>
        </w:rPr>
        <w:t xml:space="preserve"> </w:t>
      </w:r>
      <w:r w:rsidR="00192E9D" w:rsidRPr="00EA77A4">
        <w:rPr>
          <w:rFonts w:ascii="Arial Narrow" w:hAnsi="Arial Narrow" w:cstheme="majorBidi"/>
          <w:szCs w:val="24"/>
        </w:rPr>
        <w:t>ou par virement bancaire au compte suivant, ouvert au nom du projet PARIIS</w:t>
      </w:r>
      <w:r w:rsidR="00445FC8" w:rsidRPr="00EA77A4">
        <w:rPr>
          <w:rFonts w:ascii="Arial Narrow" w:hAnsi="Arial Narrow" w:cstheme="majorBidi"/>
          <w:szCs w:val="24"/>
        </w:rPr>
        <w:t xml:space="preserve"> MALI BP….</w:t>
      </w:r>
      <w:r w:rsidR="00192E9D" w:rsidRPr="00EA77A4">
        <w:rPr>
          <w:rFonts w:ascii="Arial Narrow" w:hAnsi="Arial Narrow" w:cstheme="majorBidi"/>
          <w:szCs w:val="24"/>
        </w:rPr>
        <w:t xml:space="preserve"> </w:t>
      </w:r>
      <w:r w:rsidR="00445FC8" w:rsidRPr="00EA77A4">
        <w:rPr>
          <w:rFonts w:ascii="Arial Narrow" w:hAnsi="Arial Narrow" w:cstheme="majorBidi"/>
          <w:szCs w:val="24"/>
        </w:rPr>
        <w:t>Bamako, MALI</w:t>
      </w:r>
      <w:r w:rsidR="00192E9D" w:rsidRPr="00EA77A4">
        <w:rPr>
          <w:rFonts w:ascii="Arial Narrow" w:hAnsi="Arial Narrow" w:cstheme="majorBidi"/>
          <w:szCs w:val="24"/>
        </w:rPr>
        <w:t xml:space="preserve"> :</w:t>
      </w:r>
    </w:p>
    <w:p w14:paraId="40094D98" w14:textId="0C017FCC" w:rsidR="00F26027" w:rsidRPr="00EA77A4" w:rsidRDefault="00F910DE" w:rsidP="00192E9D">
      <w:pPr>
        <w:numPr>
          <w:ilvl w:val="0"/>
          <w:numId w:val="20"/>
        </w:numPr>
        <w:spacing w:before="240" w:after="120"/>
        <w:ind w:left="0" w:firstLine="0"/>
        <w:rPr>
          <w:rFonts w:ascii="Arial Narrow" w:hAnsi="Arial Narrow" w:cstheme="majorBidi"/>
          <w:szCs w:val="24"/>
        </w:rPr>
      </w:pPr>
      <w:r w:rsidRPr="00EA77A4">
        <w:rPr>
          <w:rFonts w:ascii="Arial Narrow" w:hAnsi="Arial Narrow"/>
          <w:szCs w:val="24"/>
        </w:rPr>
        <w:lastRenderedPageBreak/>
        <w:t>Le dossier d’appel d’offres en fichier non modifiable sera adressé par courrier électronique</w:t>
      </w:r>
      <w:r w:rsidR="002B747C" w:rsidRPr="00EA77A4">
        <w:rPr>
          <w:rFonts w:ascii="Arial Narrow" w:hAnsi="Arial Narrow"/>
          <w:szCs w:val="24"/>
        </w:rPr>
        <w:t xml:space="preserve"> aux soumissionnaires intéressés mais ne pouvant pas faire le déplacement</w:t>
      </w:r>
      <w:r w:rsidRPr="00EA77A4">
        <w:rPr>
          <w:rFonts w:ascii="Arial Narrow" w:hAnsi="Arial Narrow"/>
          <w:szCs w:val="24"/>
        </w:rPr>
        <w:t>.</w:t>
      </w:r>
    </w:p>
    <w:p w14:paraId="3FF28933" w14:textId="5A20A5E6" w:rsidR="00F26027" w:rsidRPr="00EA77A4" w:rsidRDefault="00F26027" w:rsidP="00F26027">
      <w:pPr>
        <w:numPr>
          <w:ilvl w:val="0"/>
          <w:numId w:val="20"/>
        </w:numPr>
        <w:spacing w:before="240" w:after="120"/>
        <w:ind w:left="0" w:firstLine="0"/>
        <w:rPr>
          <w:rFonts w:ascii="Arial Narrow" w:hAnsi="Arial Narrow" w:cstheme="majorBidi"/>
          <w:szCs w:val="24"/>
        </w:rPr>
      </w:pPr>
      <w:r w:rsidRPr="00EA77A4">
        <w:rPr>
          <w:rFonts w:ascii="Arial Narrow" w:hAnsi="Arial Narrow" w:cstheme="majorBidi"/>
          <w:szCs w:val="24"/>
        </w:rPr>
        <w:t xml:space="preserve">Les offres devront être soumises à l’adresse ci-dessus au plus tard le </w:t>
      </w:r>
      <w:r w:rsidR="00445FC8" w:rsidRPr="00EA77A4">
        <w:rPr>
          <w:rFonts w:ascii="Arial Narrow" w:hAnsi="Arial Narrow" w:cstheme="majorBidi"/>
          <w:b/>
          <w:szCs w:val="24"/>
        </w:rPr>
        <w:t>……….</w:t>
      </w:r>
      <w:r w:rsidR="00405919" w:rsidRPr="00EA77A4">
        <w:rPr>
          <w:rFonts w:ascii="Arial Narrow" w:hAnsi="Arial Narrow" w:cstheme="majorBidi"/>
          <w:b/>
          <w:szCs w:val="24"/>
        </w:rPr>
        <w:t xml:space="preserve"> 202</w:t>
      </w:r>
      <w:r w:rsidR="007A56DB" w:rsidRPr="00EA77A4">
        <w:rPr>
          <w:rFonts w:ascii="Arial Narrow" w:hAnsi="Arial Narrow" w:cstheme="majorBidi"/>
          <w:b/>
          <w:szCs w:val="24"/>
        </w:rPr>
        <w:t>1</w:t>
      </w:r>
      <w:r w:rsidR="00405919" w:rsidRPr="00EA77A4">
        <w:rPr>
          <w:rFonts w:ascii="Arial Narrow" w:hAnsi="Arial Narrow" w:cstheme="majorBidi"/>
          <w:b/>
          <w:szCs w:val="24"/>
        </w:rPr>
        <w:t xml:space="preserve"> à 10 </w:t>
      </w:r>
      <w:r w:rsidRPr="00EA77A4">
        <w:rPr>
          <w:rFonts w:ascii="Arial Narrow" w:hAnsi="Arial Narrow" w:cstheme="majorBidi"/>
          <w:b/>
          <w:iCs/>
          <w:szCs w:val="24"/>
        </w:rPr>
        <w:t>heures locales</w:t>
      </w:r>
      <w:r w:rsidRPr="00EA77A4">
        <w:rPr>
          <w:rFonts w:ascii="Arial Narrow" w:hAnsi="Arial Narrow" w:cstheme="majorBidi"/>
          <w:b/>
          <w:szCs w:val="24"/>
        </w:rPr>
        <w:t xml:space="preserve">. </w:t>
      </w:r>
      <w:r w:rsidRPr="00EA77A4">
        <w:rPr>
          <w:rFonts w:ascii="Arial Narrow" w:hAnsi="Arial Narrow" w:cstheme="majorBidi"/>
          <w:b/>
          <w:szCs w:val="24"/>
          <w:u w:val="single"/>
        </w:rPr>
        <w:t>La procédure de remise des offres par</w:t>
      </w:r>
      <w:r w:rsidRPr="00EA77A4">
        <w:rPr>
          <w:rFonts w:ascii="Arial Narrow" w:hAnsi="Arial Narrow" w:cstheme="majorBidi"/>
          <w:szCs w:val="24"/>
          <w:u w:val="single"/>
        </w:rPr>
        <w:t xml:space="preserve"> </w:t>
      </w:r>
      <w:r w:rsidRPr="00EA77A4">
        <w:rPr>
          <w:rFonts w:ascii="Arial Narrow" w:hAnsi="Arial Narrow" w:cstheme="majorBidi"/>
          <w:b/>
          <w:szCs w:val="24"/>
          <w:u w:val="single"/>
        </w:rPr>
        <w:t>voie électronique sera permise</w:t>
      </w:r>
      <w:r w:rsidRPr="00EA77A4">
        <w:rPr>
          <w:rFonts w:ascii="Arial Narrow" w:hAnsi="Arial Narrow" w:cstheme="majorBidi"/>
          <w:szCs w:val="24"/>
        </w:rPr>
        <w:t xml:space="preserve">. Toute offre reçue en retard sera rejetée. Les offres seront ouvertes en présence des représentants des soumissionnaires </w:t>
      </w:r>
      <w:r w:rsidR="00577795" w:rsidRPr="00EA77A4">
        <w:rPr>
          <w:rFonts w:ascii="Arial Narrow" w:hAnsi="Arial Narrow" w:cstheme="majorBidi"/>
          <w:szCs w:val="24"/>
        </w:rPr>
        <w:t xml:space="preserve">(ou leur représentants) </w:t>
      </w:r>
      <w:r w:rsidRPr="00EA77A4">
        <w:rPr>
          <w:rFonts w:ascii="Arial Narrow" w:hAnsi="Arial Narrow" w:cstheme="majorBidi"/>
          <w:szCs w:val="24"/>
        </w:rPr>
        <w:t xml:space="preserve">qui le souhaitent </w:t>
      </w:r>
      <w:r w:rsidR="00577795" w:rsidRPr="00EA77A4">
        <w:rPr>
          <w:rFonts w:ascii="Arial Narrow" w:hAnsi="Arial Narrow" w:cstheme="majorBidi"/>
          <w:szCs w:val="24"/>
        </w:rPr>
        <w:t xml:space="preserve">dans </w:t>
      </w:r>
      <w:r w:rsidR="004715A2" w:rsidRPr="00EA77A4">
        <w:rPr>
          <w:rFonts w:ascii="Arial Narrow" w:hAnsi="Arial Narrow" w:cstheme="majorBidi"/>
          <w:szCs w:val="24"/>
        </w:rPr>
        <w:t xml:space="preserve">la Salle de réunion du </w:t>
      </w:r>
      <w:r w:rsidR="00D2242C" w:rsidRPr="00EA77A4">
        <w:rPr>
          <w:rFonts w:ascii="Arial Narrow" w:hAnsi="Arial Narrow" w:cstheme="majorBidi"/>
          <w:szCs w:val="24"/>
        </w:rPr>
        <w:t>PARIIS sise à</w:t>
      </w:r>
      <w:r w:rsidR="00A36589" w:rsidRPr="00EA77A4">
        <w:rPr>
          <w:rFonts w:ascii="Arial Narrow" w:hAnsi="Arial Narrow"/>
          <w:b/>
          <w:szCs w:val="24"/>
        </w:rPr>
        <w:t xml:space="preserve"> </w:t>
      </w:r>
      <w:proofErr w:type="spellStart"/>
      <w:r w:rsidR="00A36589" w:rsidRPr="00EA77A4">
        <w:rPr>
          <w:rFonts w:ascii="Arial Narrow" w:hAnsi="Arial Narrow"/>
          <w:b/>
          <w:szCs w:val="24"/>
        </w:rPr>
        <w:t>Hamdallaye</w:t>
      </w:r>
      <w:proofErr w:type="spellEnd"/>
      <w:r w:rsidR="00A36589" w:rsidRPr="00EA77A4">
        <w:rPr>
          <w:rFonts w:ascii="Arial Narrow" w:hAnsi="Arial Narrow"/>
          <w:b/>
          <w:szCs w:val="24"/>
        </w:rPr>
        <w:t xml:space="preserve"> ACI 2000 Bamako Mali, Rue 333 Porte 16 – </w:t>
      </w:r>
      <w:proofErr w:type="spellStart"/>
      <w:r w:rsidR="00A36589" w:rsidRPr="00EA77A4">
        <w:rPr>
          <w:rFonts w:ascii="Arial Narrow" w:hAnsi="Arial Narrow"/>
          <w:b/>
          <w:szCs w:val="24"/>
        </w:rPr>
        <w:t>Imm</w:t>
      </w:r>
      <w:proofErr w:type="spellEnd"/>
      <w:r w:rsidR="00A36589" w:rsidRPr="00EA77A4">
        <w:rPr>
          <w:rFonts w:ascii="Arial Narrow" w:hAnsi="Arial Narrow"/>
          <w:b/>
          <w:szCs w:val="24"/>
        </w:rPr>
        <w:t xml:space="preserve">. De Mme TANDIA </w:t>
      </w:r>
      <w:proofErr w:type="spellStart"/>
      <w:r w:rsidR="00A36589" w:rsidRPr="00EA77A4">
        <w:rPr>
          <w:rFonts w:ascii="Arial Narrow" w:hAnsi="Arial Narrow"/>
          <w:b/>
          <w:szCs w:val="24"/>
        </w:rPr>
        <w:t>Hawa</w:t>
      </w:r>
      <w:proofErr w:type="spellEnd"/>
      <w:r w:rsidR="00A36589" w:rsidRPr="00EA77A4">
        <w:rPr>
          <w:rFonts w:ascii="Arial Narrow" w:hAnsi="Arial Narrow"/>
          <w:b/>
          <w:szCs w:val="24"/>
        </w:rPr>
        <w:t xml:space="preserve"> HAIDARA, Tél (223) 20 23 33 46/20 23 34 20</w:t>
      </w:r>
      <w:r w:rsidR="004715A2" w:rsidRPr="00EA77A4">
        <w:rPr>
          <w:rFonts w:ascii="Arial Narrow" w:hAnsi="Arial Narrow" w:cstheme="majorBidi"/>
          <w:szCs w:val="24"/>
        </w:rPr>
        <w:t xml:space="preserve">, </w:t>
      </w:r>
      <w:r w:rsidR="00577795" w:rsidRPr="00EA77A4">
        <w:rPr>
          <w:rFonts w:ascii="Arial Narrow" w:hAnsi="Arial Narrow" w:cstheme="majorBidi"/>
          <w:szCs w:val="24"/>
        </w:rPr>
        <w:t xml:space="preserve">à </w:t>
      </w:r>
      <w:r w:rsidR="00405919" w:rsidRPr="00EA77A4">
        <w:rPr>
          <w:rFonts w:ascii="Arial Narrow" w:hAnsi="Arial Narrow" w:cstheme="majorBidi"/>
          <w:szCs w:val="24"/>
        </w:rPr>
        <w:t xml:space="preserve">10 </w:t>
      </w:r>
      <w:r w:rsidR="00577795" w:rsidRPr="00EA77A4">
        <w:rPr>
          <w:rFonts w:ascii="Arial Narrow" w:hAnsi="Arial Narrow" w:cstheme="majorBidi"/>
          <w:szCs w:val="24"/>
        </w:rPr>
        <w:t>heures</w:t>
      </w:r>
      <w:r w:rsidR="00B167B3" w:rsidRPr="00EA77A4">
        <w:rPr>
          <w:rFonts w:ascii="Arial Narrow" w:hAnsi="Arial Narrow" w:cstheme="majorBidi"/>
          <w:szCs w:val="24"/>
        </w:rPr>
        <w:t xml:space="preserve"> 30 minutes</w:t>
      </w:r>
      <w:r w:rsidR="00405919" w:rsidRPr="00EA77A4">
        <w:rPr>
          <w:rFonts w:ascii="Arial Narrow" w:hAnsi="Arial Narrow" w:cstheme="majorBidi"/>
          <w:szCs w:val="24"/>
        </w:rPr>
        <w:t>.</w:t>
      </w:r>
      <w:r w:rsidRPr="00EA77A4">
        <w:rPr>
          <w:rFonts w:ascii="Arial Narrow" w:hAnsi="Arial Narrow" w:cstheme="majorBidi"/>
          <w:szCs w:val="24"/>
        </w:rPr>
        <w:t xml:space="preserve"> </w:t>
      </w:r>
    </w:p>
    <w:p w14:paraId="03013B12" w14:textId="78748F3C" w:rsidR="00577795" w:rsidRPr="00EA77A4" w:rsidRDefault="00577795" w:rsidP="00CD6FB4">
      <w:pPr>
        <w:pStyle w:val="S1-Header2"/>
        <w:rPr>
          <w:rFonts w:ascii="Arial Narrow" w:hAnsi="Arial Narrow"/>
          <w:lang w:val="fr-FR"/>
        </w:rPr>
      </w:pPr>
      <w:r w:rsidRPr="00EA77A4">
        <w:rPr>
          <w:rFonts w:ascii="Arial Narrow" w:hAnsi="Arial Narrow"/>
          <w:lang w:val="fr-FR"/>
        </w:rPr>
        <w:t>Les offres doivent être accompagnées d’</w:t>
      </w:r>
      <w:r w:rsidRPr="00EA77A4">
        <w:rPr>
          <w:rFonts w:ascii="Arial Narrow" w:hAnsi="Arial Narrow"/>
          <w:iCs/>
          <w:lang w:val="fr-FR"/>
        </w:rPr>
        <w:t xml:space="preserve">une </w:t>
      </w:r>
      <w:r w:rsidR="006B5815" w:rsidRPr="00EA77A4">
        <w:rPr>
          <w:rFonts w:ascii="Arial Narrow" w:hAnsi="Arial Narrow"/>
          <w:lang w:val="fr-FR"/>
        </w:rPr>
        <w:t>garantie de soumission</w:t>
      </w:r>
      <w:r w:rsidR="00214FAA" w:rsidRPr="00EA77A4">
        <w:rPr>
          <w:rFonts w:ascii="Arial Narrow" w:hAnsi="Arial Narrow"/>
          <w:iCs/>
          <w:lang w:val="fr-FR"/>
        </w:rPr>
        <w:t xml:space="preserve"> de </w:t>
      </w:r>
      <w:r w:rsidR="00CD6FB4" w:rsidRPr="00EA77A4">
        <w:rPr>
          <w:rFonts w:ascii="Arial Narrow" w:hAnsi="Arial Narrow"/>
          <w:iCs/>
          <w:lang w:val="fr-FR" w:eastAsia="fr-FR"/>
        </w:rPr>
        <w:t>1</w:t>
      </w:r>
      <w:r w:rsidR="005F6E56" w:rsidRPr="00EA77A4">
        <w:rPr>
          <w:rFonts w:ascii="Arial Narrow" w:hAnsi="Arial Narrow"/>
          <w:iCs/>
          <w:lang w:val="fr-FR" w:eastAsia="fr-FR"/>
        </w:rPr>
        <w:t xml:space="preserve">4 250 000 </w:t>
      </w:r>
      <w:r w:rsidR="00214FAA" w:rsidRPr="00EA77A4">
        <w:rPr>
          <w:rFonts w:ascii="Arial Narrow" w:hAnsi="Arial Narrow"/>
          <w:iCs/>
          <w:lang w:val="fr-FR" w:eastAsia="fr-FR"/>
        </w:rPr>
        <w:t>(</w:t>
      </w:r>
      <w:r w:rsidR="005F6E56" w:rsidRPr="00EA77A4">
        <w:rPr>
          <w:rFonts w:ascii="Arial Narrow" w:hAnsi="Arial Narrow"/>
          <w:iCs/>
          <w:lang w:val="fr-FR" w:eastAsia="fr-FR"/>
        </w:rPr>
        <w:t xml:space="preserve">Quatorze </w:t>
      </w:r>
      <w:r w:rsidR="00214FAA" w:rsidRPr="00EA77A4">
        <w:rPr>
          <w:rFonts w:ascii="Arial Narrow" w:hAnsi="Arial Narrow"/>
          <w:iCs/>
          <w:lang w:val="fr-FR" w:eastAsia="fr-FR"/>
        </w:rPr>
        <w:t>millions</w:t>
      </w:r>
      <w:r w:rsidR="00F23E12" w:rsidRPr="00EA77A4">
        <w:rPr>
          <w:rFonts w:ascii="Arial Narrow" w:hAnsi="Arial Narrow"/>
          <w:iCs/>
          <w:lang w:val="fr-FR" w:eastAsia="fr-FR"/>
        </w:rPr>
        <w:t xml:space="preserve"> </w:t>
      </w:r>
      <w:r w:rsidR="005F6E56" w:rsidRPr="00EA77A4">
        <w:rPr>
          <w:rFonts w:ascii="Arial Narrow" w:hAnsi="Arial Narrow"/>
          <w:iCs/>
          <w:lang w:val="fr-FR" w:eastAsia="fr-FR"/>
        </w:rPr>
        <w:t>deux cent cinquante mille</w:t>
      </w:r>
      <w:r w:rsidR="00214FAA" w:rsidRPr="00EA77A4">
        <w:rPr>
          <w:rFonts w:ascii="Arial Narrow" w:hAnsi="Arial Narrow"/>
          <w:iCs/>
          <w:lang w:val="fr-FR" w:eastAsia="fr-FR"/>
        </w:rPr>
        <w:t>) F</w:t>
      </w:r>
      <w:r w:rsidR="005F6E56" w:rsidRPr="00EA77A4">
        <w:rPr>
          <w:rFonts w:ascii="Arial Narrow" w:hAnsi="Arial Narrow"/>
          <w:iCs/>
          <w:lang w:val="fr-FR" w:eastAsia="fr-FR"/>
        </w:rPr>
        <w:t xml:space="preserve"> </w:t>
      </w:r>
      <w:r w:rsidR="00214FAA" w:rsidRPr="00EA77A4">
        <w:rPr>
          <w:rFonts w:ascii="Arial Narrow" w:hAnsi="Arial Narrow"/>
          <w:iCs/>
          <w:lang w:val="fr-FR" w:eastAsia="fr-FR"/>
        </w:rPr>
        <w:t>C</w:t>
      </w:r>
      <w:r w:rsidR="005F6E56" w:rsidRPr="00EA77A4">
        <w:rPr>
          <w:rFonts w:ascii="Arial Narrow" w:hAnsi="Arial Narrow"/>
          <w:iCs/>
          <w:lang w:val="fr-FR" w:eastAsia="fr-FR"/>
        </w:rPr>
        <w:t>F</w:t>
      </w:r>
      <w:r w:rsidR="00214FAA" w:rsidRPr="00EA77A4">
        <w:rPr>
          <w:rFonts w:ascii="Arial Narrow" w:hAnsi="Arial Narrow"/>
          <w:iCs/>
          <w:lang w:val="fr-FR" w:eastAsia="fr-FR"/>
        </w:rPr>
        <w:t>A</w:t>
      </w:r>
      <w:r w:rsidR="00996314" w:rsidRPr="00EA77A4">
        <w:rPr>
          <w:rFonts w:ascii="Arial Narrow" w:hAnsi="Arial Narrow"/>
          <w:iCs/>
          <w:lang w:val="fr-FR" w:eastAsia="fr-FR"/>
        </w:rPr>
        <w:t>.</w:t>
      </w:r>
    </w:p>
    <w:p w14:paraId="39C3B73F" w14:textId="77777777" w:rsidR="007D36C3" w:rsidRPr="00EA77A4" w:rsidRDefault="00F26027" w:rsidP="00F26027">
      <w:pPr>
        <w:numPr>
          <w:ilvl w:val="0"/>
          <w:numId w:val="20"/>
        </w:numPr>
        <w:spacing w:before="240" w:after="120"/>
        <w:ind w:left="0" w:firstLine="0"/>
        <w:rPr>
          <w:rFonts w:ascii="Arial Narrow" w:hAnsi="Arial Narrow" w:cstheme="majorBidi"/>
          <w:szCs w:val="24"/>
        </w:rPr>
      </w:pPr>
      <w:r w:rsidRPr="00EA77A4">
        <w:rPr>
          <w:rFonts w:ascii="Arial Narrow" w:hAnsi="Arial Narrow" w:cstheme="majorBidi"/>
          <w:szCs w:val="24"/>
        </w:rPr>
        <w:t>Les exigences en matière de qualifications sont </w:t>
      </w:r>
      <w:r w:rsidR="00D90CB4" w:rsidRPr="00EA77A4">
        <w:rPr>
          <w:rFonts w:ascii="Arial Narrow" w:hAnsi="Arial Narrow" w:cstheme="majorBidi"/>
          <w:szCs w:val="24"/>
        </w:rPr>
        <w:t>contenues dans le Dossier d’Appel d’Offres</w:t>
      </w:r>
      <w:r w:rsidRPr="00EA77A4">
        <w:rPr>
          <w:rFonts w:ascii="Arial Narrow" w:hAnsi="Arial Narrow" w:cstheme="majorBidi"/>
          <w:i/>
          <w:iCs/>
          <w:szCs w:val="24"/>
        </w:rPr>
        <w:t xml:space="preserve">. </w:t>
      </w:r>
    </w:p>
    <w:p w14:paraId="61D8809B" w14:textId="77777777" w:rsidR="00097EA7" w:rsidRPr="00EA77A4" w:rsidRDefault="00097EA7" w:rsidP="002A45C1">
      <w:pPr>
        <w:numPr>
          <w:ilvl w:val="0"/>
          <w:numId w:val="115"/>
        </w:numPr>
        <w:autoSpaceDN w:val="0"/>
        <w:spacing w:after="0"/>
        <w:ind w:left="720"/>
        <w:jc w:val="left"/>
        <w:rPr>
          <w:rFonts w:ascii="Arial Narrow" w:hAnsi="Arial Narrow" w:cs="Arial"/>
          <w:szCs w:val="24"/>
          <w:u w:val="single"/>
        </w:rPr>
      </w:pPr>
      <w:r w:rsidRPr="00EA77A4">
        <w:rPr>
          <w:rFonts w:ascii="Arial Narrow" w:hAnsi="Arial Narrow" w:cs="Arial"/>
          <w:szCs w:val="24"/>
          <w:u w:val="single"/>
        </w:rPr>
        <w:t>Capacité financière</w:t>
      </w:r>
    </w:p>
    <w:p w14:paraId="6547C10B" w14:textId="0B4A3DE7" w:rsidR="00097EA7" w:rsidRPr="00EA77A4" w:rsidRDefault="00097EA7" w:rsidP="0070113A">
      <w:pPr>
        <w:ind w:left="0" w:firstLine="0"/>
        <w:rPr>
          <w:rFonts w:ascii="Arial Narrow" w:hAnsi="Arial Narrow" w:cs="Arial"/>
          <w:szCs w:val="24"/>
        </w:rPr>
      </w:pPr>
      <w:r w:rsidRPr="00EA77A4">
        <w:rPr>
          <w:rFonts w:ascii="Arial Narrow" w:hAnsi="Arial Narrow" w:cs="Arial"/>
          <w:szCs w:val="24"/>
        </w:rPr>
        <w:t>Le soumissionnaire doit avoir réalisé pour des travaux au cours des trois derniers exercices (201</w:t>
      </w:r>
      <w:r w:rsidR="007A56DB" w:rsidRPr="00EA77A4">
        <w:rPr>
          <w:rFonts w:ascii="Arial Narrow" w:hAnsi="Arial Narrow" w:cs="Arial"/>
          <w:szCs w:val="24"/>
        </w:rPr>
        <w:t>8</w:t>
      </w:r>
      <w:r w:rsidRPr="00EA77A4">
        <w:rPr>
          <w:rFonts w:ascii="Arial Narrow" w:hAnsi="Arial Narrow" w:cs="Arial"/>
          <w:szCs w:val="24"/>
        </w:rPr>
        <w:t>, 201</w:t>
      </w:r>
      <w:r w:rsidR="007A56DB" w:rsidRPr="00EA77A4">
        <w:rPr>
          <w:rFonts w:ascii="Arial Narrow" w:hAnsi="Arial Narrow" w:cs="Arial"/>
          <w:szCs w:val="24"/>
        </w:rPr>
        <w:t>9</w:t>
      </w:r>
      <w:r w:rsidRPr="00EA77A4">
        <w:rPr>
          <w:rFonts w:ascii="Arial Narrow" w:hAnsi="Arial Narrow" w:cs="Arial"/>
          <w:szCs w:val="24"/>
        </w:rPr>
        <w:t xml:space="preserve"> et 20</w:t>
      </w:r>
      <w:r w:rsidR="007A56DB" w:rsidRPr="00EA77A4">
        <w:rPr>
          <w:rFonts w:ascii="Arial Narrow" w:hAnsi="Arial Narrow" w:cs="Arial"/>
          <w:szCs w:val="24"/>
        </w:rPr>
        <w:t>20</w:t>
      </w:r>
      <w:r w:rsidRPr="00EA77A4">
        <w:rPr>
          <w:rFonts w:ascii="Arial Narrow" w:hAnsi="Arial Narrow" w:cs="Arial"/>
          <w:szCs w:val="24"/>
        </w:rPr>
        <w:t xml:space="preserve">) un chiffre d’affaires annuel moyen </w:t>
      </w:r>
      <w:r w:rsidR="00170FDC" w:rsidRPr="00EA77A4">
        <w:rPr>
          <w:rFonts w:ascii="Arial Narrow" w:hAnsi="Arial Narrow" w:cs="Arial"/>
          <w:szCs w:val="24"/>
        </w:rPr>
        <w:t>d</w:t>
      </w:r>
      <w:r w:rsidR="002A168C" w:rsidRPr="00EA77A4">
        <w:rPr>
          <w:rFonts w:ascii="Arial Narrow" w:hAnsi="Arial Narrow" w:cs="Arial"/>
          <w:szCs w:val="24"/>
        </w:rPr>
        <w:t xml:space="preserve">e </w:t>
      </w:r>
      <w:r w:rsidR="002A168C" w:rsidRPr="00EA77A4">
        <w:rPr>
          <w:rFonts w:ascii="Arial Narrow" w:hAnsi="Arial Narrow" w:cs="Arial"/>
          <w:b/>
          <w:bCs/>
          <w:szCs w:val="24"/>
        </w:rPr>
        <w:t>’</w:t>
      </w:r>
      <w:r w:rsidR="00170FDC" w:rsidRPr="00EA77A4">
        <w:rPr>
          <w:rFonts w:ascii="Arial Narrow" w:hAnsi="Arial Narrow" w:cs="Arial"/>
          <w:b/>
          <w:bCs/>
          <w:szCs w:val="24"/>
          <w:u w:val="single"/>
        </w:rPr>
        <w:t>Un</w:t>
      </w:r>
      <w:r w:rsidR="00214FAA" w:rsidRPr="00EA77A4">
        <w:rPr>
          <w:rFonts w:ascii="Arial Narrow" w:hAnsi="Arial Narrow" w:cs="Arial"/>
          <w:b/>
          <w:bCs/>
          <w:szCs w:val="24"/>
          <w:u w:val="single"/>
        </w:rPr>
        <w:t xml:space="preserve"> milliard</w:t>
      </w:r>
      <w:r w:rsidR="00214FAA" w:rsidRPr="00EA77A4">
        <w:rPr>
          <w:rFonts w:ascii="Arial Narrow" w:hAnsi="Arial Narrow" w:cs="Arial"/>
          <w:b/>
          <w:szCs w:val="24"/>
          <w:u w:val="single"/>
        </w:rPr>
        <w:t xml:space="preserve"> </w:t>
      </w:r>
      <w:r w:rsidR="00FF4857" w:rsidRPr="00EA77A4">
        <w:rPr>
          <w:rFonts w:ascii="Arial Narrow" w:hAnsi="Arial Narrow" w:cs="Arial"/>
          <w:b/>
          <w:szCs w:val="24"/>
          <w:u w:val="single"/>
        </w:rPr>
        <w:t xml:space="preserve">quatre cent vingt </w:t>
      </w:r>
      <w:proofErr w:type="spellStart"/>
      <w:r w:rsidR="00FF4857" w:rsidRPr="00EA77A4">
        <w:rPr>
          <w:rFonts w:ascii="Arial Narrow" w:hAnsi="Arial Narrow" w:cs="Arial"/>
          <w:b/>
          <w:szCs w:val="24"/>
          <w:u w:val="single"/>
        </w:rPr>
        <w:t>vingt</w:t>
      </w:r>
      <w:proofErr w:type="spellEnd"/>
      <w:r w:rsidR="00FF4857" w:rsidRPr="00EA77A4">
        <w:rPr>
          <w:rFonts w:ascii="Arial Narrow" w:hAnsi="Arial Narrow" w:cs="Arial"/>
          <w:b/>
          <w:szCs w:val="24"/>
          <w:u w:val="single"/>
        </w:rPr>
        <w:t xml:space="preserve"> millions </w:t>
      </w:r>
      <w:r w:rsidR="0070113A" w:rsidRPr="00EA77A4">
        <w:rPr>
          <w:rFonts w:ascii="Arial Narrow" w:hAnsi="Arial Narrow" w:cs="Arial"/>
          <w:b/>
          <w:szCs w:val="24"/>
          <w:u w:val="single"/>
        </w:rPr>
        <w:t>(</w:t>
      </w:r>
      <w:r w:rsidR="00FF4857" w:rsidRPr="00EA77A4">
        <w:rPr>
          <w:rFonts w:ascii="Arial Narrow" w:hAnsi="Arial Narrow" w:cs="Arial"/>
          <w:b/>
          <w:szCs w:val="24"/>
          <w:u w:val="single"/>
        </w:rPr>
        <w:t xml:space="preserve">1 425 000 000) </w:t>
      </w:r>
      <w:r w:rsidR="00214FAA" w:rsidRPr="00EA77A4">
        <w:rPr>
          <w:rFonts w:ascii="Arial Narrow" w:hAnsi="Arial Narrow" w:cs="Arial"/>
          <w:b/>
          <w:szCs w:val="24"/>
          <w:u w:val="single"/>
        </w:rPr>
        <w:t>FCFA</w:t>
      </w:r>
      <w:r w:rsidR="002A168C" w:rsidRPr="00EA77A4">
        <w:rPr>
          <w:rFonts w:ascii="Arial Narrow" w:hAnsi="Arial Narrow" w:cs="Arial"/>
          <w:b/>
          <w:szCs w:val="24"/>
          <w:u w:val="single"/>
        </w:rPr>
        <w:t>’</w:t>
      </w:r>
      <w:r w:rsidRPr="00EA77A4">
        <w:rPr>
          <w:rFonts w:ascii="Arial Narrow" w:hAnsi="Arial Narrow" w:cs="Arial"/>
          <w:b/>
          <w:szCs w:val="24"/>
        </w:rPr>
        <w:t xml:space="preserve"> </w:t>
      </w:r>
      <w:r w:rsidR="0070113A" w:rsidRPr="00EA77A4">
        <w:rPr>
          <w:rFonts w:ascii="Arial Narrow" w:hAnsi="Arial Narrow" w:cs="Arial"/>
          <w:szCs w:val="24"/>
        </w:rPr>
        <w:t>ou le</w:t>
      </w:r>
      <w:r w:rsidRPr="00EA77A4">
        <w:rPr>
          <w:rFonts w:ascii="Arial Narrow" w:hAnsi="Arial Narrow" w:cs="Arial"/>
          <w:szCs w:val="24"/>
        </w:rPr>
        <w:t xml:space="preserve"> montant équivalent en monnaie librement convertible</w:t>
      </w:r>
      <w:r w:rsidR="0070113A" w:rsidRPr="00EA77A4">
        <w:rPr>
          <w:rFonts w:ascii="Arial Narrow" w:hAnsi="Arial Narrow" w:cs="Arial"/>
          <w:szCs w:val="24"/>
        </w:rPr>
        <w:t>.</w:t>
      </w:r>
    </w:p>
    <w:p w14:paraId="3F371172" w14:textId="2AD3FBDD" w:rsidR="00097EA7" w:rsidRPr="00EA77A4" w:rsidRDefault="00097EA7" w:rsidP="006E5D25">
      <w:pPr>
        <w:ind w:left="0" w:firstLine="0"/>
        <w:rPr>
          <w:rFonts w:ascii="Arial Narrow" w:hAnsi="Arial Narrow" w:cs="Arial"/>
          <w:szCs w:val="24"/>
        </w:rPr>
      </w:pPr>
      <w:r w:rsidRPr="00EA77A4">
        <w:rPr>
          <w:rFonts w:ascii="Arial Narrow" w:hAnsi="Arial Narrow" w:cs="Arial"/>
          <w:szCs w:val="24"/>
        </w:rPr>
        <w:t>Il devra disposer de liquidités ou de fa</w:t>
      </w:r>
      <w:r w:rsidR="0070113A" w:rsidRPr="00EA77A4">
        <w:rPr>
          <w:rFonts w:ascii="Arial Narrow" w:hAnsi="Arial Narrow" w:cs="Arial"/>
          <w:szCs w:val="24"/>
        </w:rPr>
        <w:t>cilités de crédit à hauteur de </w:t>
      </w:r>
      <w:r w:rsidR="003B3858" w:rsidRPr="00EA77A4">
        <w:rPr>
          <w:rFonts w:ascii="Arial Narrow" w:hAnsi="Arial Narrow" w:cs="Arial"/>
          <w:b/>
          <w:szCs w:val="24"/>
        </w:rPr>
        <w:t xml:space="preserve">deux </w:t>
      </w:r>
      <w:r w:rsidRPr="00EA77A4">
        <w:rPr>
          <w:rFonts w:ascii="Arial Narrow" w:hAnsi="Arial Narrow" w:cs="Arial"/>
          <w:b/>
          <w:szCs w:val="24"/>
        </w:rPr>
        <w:t>cent</w:t>
      </w:r>
      <w:r w:rsidR="003B3858" w:rsidRPr="00EA77A4">
        <w:rPr>
          <w:rFonts w:ascii="Arial Narrow" w:hAnsi="Arial Narrow" w:cs="Arial"/>
          <w:b/>
          <w:szCs w:val="24"/>
        </w:rPr>
        <w:t xml:space="preserve"> cinquante</w:t>
      </w:r>
      <w:r w:rsidR="0096009D" w:rsidRPr="00EA77A4">
        <w:rPr>
          <w:rFonts w:ascii="Arial Narrow" w:hAnsi="Arial Narrow" w:cs="Arial"/>
          <w:b/>
          <w:szCs w:val="24"/>
        </w:rPr>
        <w:t xml:space="preserve"> </w:t>
      </w:r>
      <w:r w:rsidRPr="00EA77A4">
        <w:rPr>
          <w:rFonts w:ascii="Arial Narrow" w:hAnsi="Arial Narrow" w:cs="Arial"/>
          <w:b/>
          <w:szCs w:val="24"/>
        </w:rPr>
        <w:t xml:space="preserve">millions </w:t>
      </w:r>
      <w:r w:rsidR="001D5F5C" w:rsidRPr="00EA77A4">
        <w:rPr>
          <w:rFonts w:ascii="Arial Narrow" w:hAnsi="Arial Narrow" w:cs="Arial"/>
          <w:b/>
          <w:szCs w:val="24"/>
        </w:rPr>
        <w:t>(250 000 000</w:t>
      </w:r>
      <w:r w:rsidR="009C1D7D" w:rsidRPr="00EA77A4">
        <w:rPr>
          <w:rFonts w:ascii="Arial Narrow" w:hAnsi="Arial Narrow" w:cs="Arial"/>
          <w:b/>
          <w:szCs w:val="24"/>
        </w:rPr>
        <w:t xml:space="preserve">) </w:t>
      </w:r>
      <w:r w:rsidRPr="00EA77A4">
        <w:rPr>
          <w:rFonts w:ascii="Arial Narrow" w:hAnsi="Arial Narrow" w:cs="Arial"/>
          <w:b/>
          <w:szCs w:val="24"/>
        </w:rPr>
        <w:t>francs CFA</w:t>
      </w:r>
      <w:r w:rsidR="0070113A" w:rsidRPr="00EA77A4">
        <w:rPr>
          <w:rFonts w:ascii="Arial Narrow" w:hAnsi="Arial Narrow" w:cs="Arial"/>
          <w:b/>
          <w:szCs w:val="24"/>
        </w:rPr>
        <w:t xml:space="preserve"> </w:t>
      </w:r>
      <w:r w:rsidR="0070113A" w:rsidRPr="00EA77A4">
        <w:rPr>
          <w:rFonts w:ascii="Arial Narrow" w:hAnsi="Arial Narrow" w:cs="Arial"/>
          <w:szCs w:val="24"/>
        </w:rPr>
        <w:t>ou le montant équivalent</w:t>
      </w:r>
      <w:r w:rsidRPr="00EA77A4">
        <w:rPr>
          <w:rFonts w:ascii="Arial Narrow" w:hAnsi="Arial Narrow" w:cs="Arial"/>
          <w:szCs w:val="24"/>
        </w:rPr>
        <w:t xml:space="preserve"> en monnaie librement convertible.</w:t>
      </w:r>
    </w:p>
    <w:p w14:paraId="3EA51B48" w14:textId="77777777" w:rsidR="00097EA7" w:rsidRPr="00EA77A4" w:rsidRDefault="00097EA7" w:rsidP="002A45C1">
      <w:pPr>
        <w:numPr>
          <w:ilvl w:val="0"/>
          <w:numId w:val="115"/>
        </w:numPr>
        <w:autoSpaceDN w:val="0"/>
        <w:spacing w:after="0"/>
        <w:ind w:left="720"/>
        <w:jc w:val="left"/>
        <w:rPr>
          <w:rFonts w:ascii="Arial Narrow" w:hAnsi="Arial Narrow" w:cs="Arial"/>
          <w:szCs w:val="24"/>
          <w:u w:val="single"/>
        </w:rPr>
      </w:pPr>
      <w:r w:rsidRPr="00EA77A4">
        <w:rPr>
          <w:rFonts w:ascii="Arial Narrow" w:hAnsi="Arial Narrow" w:cs="Arial"/>
          <w:szCs w:val="24"/>
          <w:u w:val="single"/>
        </w:rPr>
        <w:t>Capacité technique et expérience</w:t>
      </w:r>
    </w:p>
    <w:p w14:paraId="5F145CF7" w14:textId="0897AAFD" w:rsidR="00097EA7" w:rsidRPr="00EA77A4" w:rsidRDefault="00097EA7" w:rsidP="001D5F5C">
      <w:pPr>
        <w:spacing w:after="0"/>
        <w:ind w:left="0" w:firstLine="0"/>
        <w:rPr>
          <w:rFonts w:ascii="Arial Narrow" w:hAnsi="Arial Narrow" w:cs="Arial"/>
          <w:szCs w:val="24"/>
        </w:rPr>
      </w:pPr>
      <w:r w:rsidRPr="00EA77A4">
        <w:rPr>
          <w:rFonts w:ascii="Arial Narrow" w:hAnsi="Arial Narrow" w:cs="Arial"/>
          <w:szCs w:val="24"/>
        </w:rPr>
        <w:t xml:space="preserve">Le Soumissionnaire doit prouver, documentation à l’appui qu’il satisfait aux exigences de capacité technique ci-après : </w:t>
      </w:r>
    </w:p>
    <w:p w14:paraId="3D8763CF" w14:textId="77777777" w:rsidR="006E5D25" w:rsidRPr="00EA77A4" w:rsidRDefault="006E5D25" w:rsidP="00960482">
      <w:pPr>
        <w:spacing w:after="0"/>
        <w:ind w:left="348"/>
        <w:rPr>
          <w:rFonts w:ascii="Arial Narrow" w:hAnsi="Arial Narrow" w:cs="Arial"/>
          <w:szCs w:val="24"/>
        </w:rPr>
      </w:pPr>
    </w:p>
    <w:p w14:paraId="2B3F5855" w14:textId="2F99E6B8" w:rsidR="00097EA7" w:rsidRPr="00EA77A4" w:rsidRDefault="00097EA7" w:rsidP="001D5F5C">
      <w:pPr>
        <w:widowControl w:val="0"/>
        <w:autoSpaceDE w:val="0"/>
        <w:autoSpaceDN w:val="0"/>
        <w:adjustRightInd w:val="0"/>
        <w:ind w:left="0" w:firstLine="0"/>
        <w:rPr>
          <w:rFonts w:ascii="Arial Narrow" w:hAnsi="Arial Narrow" w:cs="Arial"/>
          <w:szCs w:val="24"/>
        </w:rPr>
      </w:pPr>
      <w:r w:rsidRPr="00D05939">
        <w:rPr>
          <w:rFonts w:ascii="Arial Narrow" w:hAnsi="Arial Narrow" w:cs="Arial"/>
          <w:szCs w:val="24"/>
        </w:rPr>
        <w:t>Expérience de marchés d’aménagement hydro</w:t>
      </w:r>
      <w:r w:rsidR="007D0C06" w:rsidRPr="00D05939">
        <w:rPr>
          <w:rFonts w:ascii="Arial Narrow" w:hAnsi="Arial Narrow" w:cs="Arial"/>
          <w:szCs w:val="24"/>
        </w:rPr>
        <w:t>-</w:t>
      </w:r>
      <w:r w:rsidRPr="00D05939">
        <w:rPr>
          <w:rFonts w:ascii="Arial Narrow" w:hAnsi="Arial Narrow" w:cs="Arial"/>
          <w:szCs w:val="24"/>
        </w:rPr>
        <w:t>agricole</w:t>
      </w:r>
      <w:r w:rsidR="00EB6E6C" w:rsidRPr="00D05939">
        <w:rPr>
          <w:rFonts w:ascii="Arial Narrow" w:hAnsi="Arial Narrow" w:cs="Arial"/>
          <w:szCs w:val="24"/>
        </w:rPr>
        <w:t xml:space="preserve"> ou </w:t>
      </w:r>
      <w:r w:rsidR="000947E8" w:rsidRPr="00D05939">
        <w:rPr>
          <w:rFonts w:ascii="Arial Narrow" w:hAnsi="Arial Narrow" w:cs="Arial"/>
          <w:szCs w:val="24"/>
        </w:rPr>
        <w:t>de</w:t>
      </w:r>
      <w:r w:rsidR="00EB6E6C" w:rsidRPr="00D05939">
        <w:rPr>
          <w:rFonts w:ascii="Arial Narrow" w:hAnsi="Arial Narrow" w:cs="Arial"/>
          <w:szCs w:val="24"/>
        </w:rPr>
        <w:t xml:space="preserve"> pistes</w:t>
      </w:r>
      <w:r w:rsidR="000947E8" w:rsidRPr="00D05939">
        <w:rPr>
          <w:rFonts w:ascii="Arial Narrow" w:hAnsi="Arial Narrow" w:cs="Arial"/>
          <w:szCs w:val="24"/>
        </w:rPr>
        <w:t xml:space="preserve"> et ouvrages </w:t>
      </w:r>
      <w:proofErr w:type="spellStart"/>
      <w:r w:rsidR="000947E8" w:rsidRPr="00D05939">
        <w:rPr>
          <w:rFonts w:ascii="Arial Narrow" w:hAnsi="Arial Narrow" w:cs="Arial"/>
          <w:szCs w:val="24"/>
        </w:rPr>
        <w:t>ossociés</w:t>
      </w:r>
      <w:proofErr w:type="spellEnd"/>
      <w:r w:rsidRPr="00D05939">
        <w:rPr>
          <w:rFonts w:ascii="Arial Narrow" w:hAnsi="Arial Narrow" w:cs="Arial"/>
          <w:szCs w:val="24"/>
        </w:rPr>
        <w:t xml:space="preserve"> à titre d’entrepreneur</w:t>
      </w:r>
      <w:r w:rsidR="003B3858" w:rsidRPr="00D05939">
        <w:rPr>
          <w:rFonts w:ascii="Arial Narrow" w:hAnsi="Arial Narrow" w:cs="Arial"/>
          <w:szCs w:val="24"/>
        </w:rPr>
        <w:t xml:space="preserve"> principal ou </w:t>
      </w:r>
      <w:r w:rsidR="003B3858" w:rsidRPr="00D05939">
        <w:rPr>
          <w:rFonts w:ascii="Arial Narrow" w:hAnsi="Arial Narrow" w:cstheme="majorBidi"/>
          <w:szCs w:val="24"/>
        </w:rPr>
        <w:t xml:space="preserve">de membre d’un </w:t>
      </w:r>
      <w:proofErr w:type="spellStart"/>
      <w:r w:rsidR="003B3858" w:rsidRPr="00D05939">
        <w:rPr>
          <w:rFonts w:ascii="Arial Narrow" w:hAnsi="Arial Narrow" w:cstheme="majorBidi"/>
          <w:szCs w:val="24"/>
        </w:rPr>
        <w:t>groupement</w:t>
      </w:r>
      <w:r w:rsidRPr="00D05939">
        <w:rPr>
          <w:rFonts w:ascii="Arial Narrow" w:hAnsi="Arial Narrow" w:cs="Arial"/>
          <w:szCs w:val="24"/>
        </w:rPr>
        <w:t>au</w:t>
      </w:r>
      <w:proofErr w:type="spellEnd"/>
      <w:r w:rsidRPr="00D05939">
        <w:rPr>
          <w:rFonts w:ascii="Arial Narrow" w:hAnsi="Arial Narrow" w:cs="Arial"/>
          <w:szCs w:val="24"/>
        </w:rPr>
        <w:t xml:space="preserve"> cours des </w:t>
      </w:r>
      <w:r w:rsidR="00386DAB" w:rsidRPr="00D05939">
        <w:rPr>
          <w:rFonts w:ascii="Arial Narrow" w:hAnsi="Arial Narrow" w:cs="Arial"/>
          <w:b/>
          <w:szCs w:val="24"/>
        </w:rPr>
        <w:t xml:space="preserve">Cinq </w:t>
      </w:r>
      <w:r w:rsidRPr="00D05939">
        <w:rPr>
          <w:rFonts w:ascii="Arial Narrow" w:hAnsi="Arial Narrow" w:cs="Arial"/>
          <w:b/>
          <w:szCs w:val="24"/>
        </w:rPr>
        <w:t>(</w:t>
      </w:r>
      <w:r w:rsidR="00386DAB" w:rsidRPr="00D05939">
        <w:rPr>
          <w:rFonts w:ascii="Arial Narrow" w:hAnsi="Arial Narrow" w:cs="Arial"/>
          <w:b/>
          <w:szCs w:val="24"/>
        </w:rPr>
        <w:t>5</w:t>
      </w:r>
      <w:r w:rsidRPr="00D05939">
        <w:rPr>
          <w:rFonts w:ascii="Arial Narrow" w:hAnsi="Arial Narrow" w:cs="Arial"/>
          <w:b/>
          <w:szCs w:val="24"/>
        </w:rPr>
        <w:t>)</w:t>
      </w:r>
      <w:r w:rsidRPr="00D05939">
        <w:rPr>
          <w:rFonts w:ascii="Arial Narrow" w:hAnsi="Arial Narrow" w:cs="Arial"/>
          <w:szCs w:val="24"/>
        </w:rPr>
        <w:t xml:space="preserve"> dernières années</w:t>
      </w:r>
      <w:r w:rsidR="00905D66" w:rsidRPr="00D05939">
        <w:rPr>
          <w:rFonts w:ascii="Arial Narrow" w:hAnsi="Arial Narrow" w:cs="Arial"/>
          <w:szCs w:val="24"/>
        </w:rPr>
        <w:t xml:space="preserve"> à partir du 1 er janvier 2016</w:t>
      </w:r>
      <w:r w:rsidR="00905D66" w:rsidRPr="00EA77A4">
        <w:rPr>
          <w:rFonts w:ascii="Arial Narrow" w:hAnsi="Arial Narrow" w:cs="Arial"/>
          <w:szCs w:val="24"/>
        </w:rPr>
        <w:t> :</w:t>
      </w:r>
    </w:p>
    <w:p w14:paraId="571E991F" w14:textId="0C3E382D" w:rsidR="00BA2B08" w:rsidRPr="00D05939" w:rsidRDefault="00BA2B08" w:rsidP="00E80CE2">
      <w:pPr>
        <w:pStyle w:val="Retraitcorpsdetexte"/>
        <w:numPr>
          <w:ilvl w:val="0"/>
          <w:numId w:val="116"/>
        </w:numPr>
        <w:spacing w:before="60" w:after="60"/>
        <w:rPr>
          <w:rFonts w:ascii="Arial Narrow" w:hAnsi="Arial Narrow" w:cstheme="majorBidi"/>
          <w:szCs w:val="24"/>
          <w:lang w:val="fr-FR"/>
        </w:rPr>
      </w:pPr>
      <w:r w:rsidRPr="00D05939">
        <w:rPr>
          <w:rFonts w:ascii="Arial Narrow" w:hAnsi="Arial Narrow" w:cstheme="majorBidi"/>
          <w:szCs w:val="24"/>
          <w:lang w:val="fr-FR"/>
        </w:rPr>
        <w:t xml:space="preserve">Réalisation à </w:t>
      </w:r>
      <w:r w:rsidR="00D05939">
        <w:rPr>
          <w:rFonts w:ascii="Arial Narrow" w:hAnsi="Arial Narrow" w:cstheme="majorBidi"/>
          <w:szCs w:val="24"/>
          <w:lang w:val="fr-FR"/>
        </w:rPr>
        <w:t xml:space="preserve">titre d’entrepreneur principal ou </w:t>
      </w:r>
      <w:r w:rsidRPr="00D05939">
        <w:rPr>
          <w:rFonts w:ascii="Arial Narrow" w:hAnsi="Arial Narrow" w:cstheme="majorBidi"/>
          <w:szCs w:val="24"/>
          <w:lang w:val="fr-FR"/>
        </w:rPr>
        <w:t>de membr</w:t>
      </w:r>
      <w:r w:rsidR="00D05939">
        <w:rPr>
          <w:rFonts w:ascii="Arial Narrow" w:hAnsi="Arial Narrow" w:cstheme="majorBidi"/>
          <w:szCs w:val="24"/>
          <w:lang w:val="fr-FR"/>
        </w:rPr>
        <w:t xml:space="preserve">e d’un groupement, </w:t>
      </w:r>
      <w:r w:rsidRPr="00D05939">
        <w:rPr>
          <w:rFonts w:ascii="Arial Narrow" w:hAnsi="Arial Narrow" w:cstheme="majorBidi"/>
          <w:szCs w:val="24"/>
          <w:lang w:val="fr-FR"/>
        </w:rPr>
        <w:t xml:space="preserve">d’au </w:t>
      </w:r>
      <w:r w:rsidRPr="00D05939">
        <w:rPr>
          <w:rFonts w:ascii="Arial Narrow" w:hAnsi="Arial Narrow" w:cstheme="majorBidi"/>
          <w:b/>
          <w:szCs w:val="24"/>
          <w:lang w:val="fr-FR"/>
        </w:rPr>
        <w:t>moins</w:t>
      </w:r>
      <w:r w:rsidRPr="00D05939">
        <w:rPr>
          <w:rFonts w:ascii="Arial Narrow" w:hAnsi="Arial Narrow" w:cstheme="majorBidi"/>
          <w:szCs w:val="24"/>
          <w:lang w:val="fr-FR"/>
        </w:rPr>
        <w:t xml:space="preserve"> trois</w:t>
      </w:r>
      <w:r w:rsidRPr="00D05939">
        <w:rPr>
          <w:rFonts w:ascii="Arial Narrow" w:hAnsi="Arial Narrow" w:cstheme="majorBidi"/>
          <w:b/>
          <w:szCs w:val="24"/>
          <w:lang w:val="fr-FR"/>
        </w:rPr>
        <w:t xml:space="preserve"> (3) marchés des travaux d’aménagement hydro-agricole</w:t>
      </w:r>
      <w:r w:rsidR="00E72BF0" w:rsidRPr="00D05939">
        <w:rPr>
          <w:rFonts w:ascii="Arial Narrow" w:hAnsi="Arial Narrow" w:cstheme="majorBidi"/>
          <w:b/>
          <w:szCs w:val="24"/>
          <w:lang w:val="fr-FR"/>
        </w:rPr>
        <w:t xml:space="preserve">, route, barrage, seuils, ou </w:t>
      </w:r>
      <w:r w:rsidRPr="00D05939">
        <w:rPr>
          <w:rFonts w:ascii="Arial Narrow" w:hAnsi="Arial Narrow" w:cstheme="majorBidi"/>
          <w:b/>
          <w:szCs w:val="24"/>
          <w:lang w:val="fr-FR"/>
        </w:rPr>
        <w:t>pistes et ouvrages associés</w:t>
      </w:r>
      <w:r w:rsidR="00E72BF0" w:rsidRPr="00D05939">
        <w:rPr>
          <w:rFonts w:ascii="Arial Narrow" w:hAnsi="Arial Narrow" w:cstheme="majorBidi"/>
          <w:b/>
          <w:szCs w:val="24"/>
          <w:lang w:val="fr-FR"/>
        </w:rPr>
        <w:t xml:space="preserve"> </w:t>
      </w:r>
      <w:proofErr w:type="spellStart"/>
      <w:r w:rsidR="00E72BF0" w:rsidRPr="00D05939">
        <w:rPr>
          <w:rFonts w:ascii="Arial Narrow" w:hAnsi="Arial Narrow" w:cs="Arial"/>
          <w:szCs w:val="24"/>
        </w:rPr>
        <w:t>au</w:t>
      </w:r>
      <w:proofErr w:type="spellEnd"/>
      <w:r w:rsidR="00E72BF0" w:rsidRPr="00D05939">
        <w:rPr>
          <w:rFonts w:ascii="Arial Narrow" w:hAnsi="Arial Narrow" w:cs="Arial"/>
          <w:szCs w:val="24"/>
        </w:rPr>
        <w:t xml:space="preserve"> </w:t>
      </w:r>
      <w:proofErr w:type="spellStart"/>
      <w:r w:rsidR="00E72BF0" w:rsidRPr="00D05939">
        <w:rPr>
          <w:rFonts w:ascii="Arial Narrow" w:hAnsi="Arial Narrow" w:cs="Arial"/>
          <w:szCs w:val="24"/>
        </w:rPr>
        <w:t>cours</w:t>
      </w:r>
      <w:proofErr w:type="spellEnd"/>
      <w:r w:rsidR="00E72BF0" w:rsidRPr="00D05939">
        <w:rPr>
          <w:rFonts w:ascii="Arial Narrow" w:hAnsi="Arial Narrow" w:cs="Arial"/>
          <w:szCs w:val="24"/>
        </w:rPr>
        <w:t xml:space="preserve"> des </w:t>
      </w:r>
      <w:proofErr w:type="spellStart"/>
      <w:r w:rsidR="00386DAB" w:rsidRPr="00D05939">
        <w:rPr>
          <w:rFonts w:ascii="Arial Narrow" w:hAnsi="Arial Narrow" w:cs="Arial"/>
          <w:szCs w:val="24"/>
        </w:rPr>
        <w:t>cinq</w:t>
      </w:r>
      <w:proofErr w:type="spellEnd"/>
      <w:r w:rsidR="00E72BF0" w:rsidRPr="00D05939">
        <w:rPr>
          <w:rFonts w:ascii="Arial Narrow" w:hAnsi="Arial Narrow" w:cs="Arial"/>
          <w:szCs w:val="24"/>
        </w:rPr>
        <w:t xml:space="preserve"> (</w:t>
      </w:r>
      <w:r w:rsidR="00386DAB" w:rsidRPr="00D05939">
        <w:rPr>
          <w:rFonts w:ascii="Arial Narrow" w:hAnsi="Arial Narrow" w:cs="Arial"/>
          <w:szCs w:val="24"/>
        </w:rPr>
        <w:t>5</w:t>
      </w:r>
      <w:r w:rsidR="00E72BF0" w:rsidRPr="00D05939">
        <w:rPr>
          <w:rFonts w:ascii="Arial Narrow" w:hAnsi="Arial Narrow" w:cs="Arial"/>
          <w:szCs w:val="24"/>
        </w:rPr>
        <w:t xml:space="preserve">) </w:t>
      </w:r>
      <w:proofErr w:type="spellStart"/>
      <w:r w:rsidR="00E72BF0" w:rsidRPr="00D05939">
        <w:rPr>
          <w:rFonts w:ascii="Arial Narrow" w:hAnsi="Arial Narrow" w:cs="Arial"/>
          <w:szCs w:val="24"/>
        </w:rPr>
        <w:t>dernières</w:t>
      </w:r>
      <w:proofErr w:type="spellEnd"/>
      <w:r w:rsidR="00E72BF0" w:rsidRPr="00D05939">
        <w:rPr>
          <w:rFonts w:ascii="Arial Narrow" w:hAnsi="Arial Narrow" w:cs="Arial"/>
          <w:szCs w:val="24"/>
        </w:rPr>
        <w:t xml:space="preserve"> </w:t>
      </w:r>
      <w:proofErr w:type="spellStart"/>
      <w:r w:rsidR="00E72BF0" w:rsidRPr="00D05939">
        <w:rPr>
          <w:rFonts w:ascii="Arial Narrow" w:hAnsi="Arial Narrow" w:cs="Arial"/>
          <w:szCs w:val="24"/>
        </w:rPr>
        <w:t>années</w:t>
      </w:r>
      <w:proofErr w:type="spellEnd"/>
      <w:r w:rsidRPr="00D05939">
        <w:rPr>
          <w:rFonts w:ascii="Arial Narrow" w:hAnsi="Arial Narrow" w:cs="Arial"/>
          <w:szCs w:val="24"/>
        </w:rPr>
        <w:t>.</w:t>
      </w:r>
    </w:p>
    <w:p w14:paraId="62D35F9F" w14:textId="77777777" w:rsidR="00C12A6B" w:rsidRPr="00EA77A4" w:rsidRDefault="00C12A6B" w:rsidP="00C12A6B">
      <w:pPr>
        <w:pStyle w:val="Retraitcorpsdetexte"/>
        <w:spacing w:before="60" w:after="60"/>
        <w:ind w:firstLine="0"/>
        <w:rPr>
          <w:rFonts w:ascii="Arial Narrow" w:hAnsi="Arial Narrow" w:cstheme="majorBidi"/>
          <w:szCs w:val="24"/>
          <w:lang w:val="fr-FR"/>
        </w:rPr>
      </w:pPr>
    </w:p>
    <w:p w14:paraId="1899B5EF" w14:textId="2F02233B" w:rsidR="00097EA7" w:rsidRPr="00D05939" w:rsidRDefault="00BA2B08" w:rsidP="002A45C1">
      <w:pPr>
        <w:widowControl w:val="0"/>
        <w:numPr>
          <w:ilvl w:val="0"/>
          <w:numId w:val="116"/>
        </w:numPr>
        <w:autoSpaceDE w:val="0"/>
        <w:autoSpaceDN w:val="0"/>
        <w:adjustRightInd w:val="0"/>
        <w:ind w:left="708"/>
        <w:rPr>
          <w:rFonts w:ascii="Arial Narrow" w:hAnsi="Arial Narrow" w:cs="Arial"/>
          <w:szCs w:val="24"/>
        </w:rPr>
      </w:pPr>
      <w:r w:rsidRPr="00D05939">
        <w:rPr>
          <w:rFonts w:ascii="Arial Narrow" w:hAnsi="Arial Narrow" w:cstheme="majorBidi"/>
          <w:szCs w:val="24"/>
        </w:rPr>
        <w:t>Réalisation</w:t>
      </w:r>
      <w:r w:rsidR="00097EA7" w:rsidRPr="00D05939">
        <w:rPr>
          <w:rFonts w:ascii="Arial Narrow" w:hAnsi="Arial Narrow" w:cs="Arial"/>
          <w:szCs w:val="24"/>
        </w:rPr>
        <w:t xml:space="preserve"> à titre d’entrepreneur</w:t>
      </w:r>
      <w:r w:rsidR="003B3858" w:rsidRPr="00D05939">
        <w:rPr>
          <w:rFonts w:ascii="Arial Narrow" w:hAnsi="Arial Narrow" w:cs="Arial"/>
          <w:szCs w:val="24"/>
        </w:rPr>
        <w:t xml:space="preserve"> principal ou </w:t>
      </w:r>
      <w:r w:rsidR="003B3858" w:rsidRPr="00D05939">
        <w:rPr>
          <w:rFonts w:ascii="Arial Narrow" w:hAnsi="Arial Narrow" w:cstheme="majorBidi"/>
          <w:szCs w:val="24"/>
        </w:rPr>
        <w:t>de membre d’un groupement</w:t>
      </w:r>
      <w:r w:rsidR="00097EA7" w:rsidRPr="00D05939">
        <w:rPr>
          <w:rFonts w:ascii="Arial Narrow" w:hAnsi="Arial Narrow" w:cs="Arial"/>
          <w:szCs w:val="24"/>
        </w:rPr>
        <w:t xml:space="preserve">, dans au moins un (1) </w:t>
      </w:r>
      <w:r w:rsidR="00807C07" w:rsidRPr="00D05939">
        <w:rPr>
          <w:rFonts w:ascii="Arial Narrow" w:hAnsi="Arial Narrow" w:cstheme="majorBidi"/>
          <w:b/>
          <w:szCs w:val="24"/>
        </w:rPr>
        <w:t xml:space="preserve">marché des travaux </w:t>
      </w:r>
      <w:r w:rsidR="00097EA7" w:rsidRPr="00D05939">
        <w:rPr>
          <w:rFonts w:ascii="Arial Narrow" w:hAnsi="Arial Narrow" w:cs="Arial"/>
          <w:szCs w:val="24"/>
        </w:rPr>
        <w:t xml:space="preserve">au cours des </w:t>
      </w:r>
      <w:r w:rsidR="00153355" w:rsidRPr="00D05939">
        <w:rPr>
          <w:rFonts w:ascii="Arial Narrow" w:hAnsi="Arial Narrow" w:cs="Arial"/>
          <w:szCs w:val="24"/>
        </w:rPr>
        <w:t>cinq</w:t>
      </w:r>
      <w:r w:rsidR="00097EA7" w:rsidRPr="00D05939">
        <w:rPr>
          <w:rFonts w:ascii="Arial Narrow" w:hAnsi="Arial Narrow" w:cs="Arial"/>
          <w:szCs w:val="24"/>
        </w:rPr>
        <w:t xml:space="preserve"> (</w:t>
      </w:r>
      <w:r w:rsidR="00153355" w:rsidRPr="00D05939">
        <w:rPr>
          <w:rFonts w:ascii="Arial Narrow" w:hAnsi="Arial Narrow" w:cs="Arial"/>
          <w:szCs w:val="24"/>
        </w:rPr>
        <w:t>5</w:t>
      </w:r>
      <w:r w:rsidR="00097EA7" w:rsidRPr="00D05939">
        <w:rPr>
          <w:rFonts w:ascii="Arial Narrow" w:hAnsi="Arial Narrow" w:cs="Arial"/>
          <w:szCs w:val="24"/>
        </w:rPr>
        <w:t>) dernières années avec une valeur minimum de </w:t>
      </w:r>
      <w:r w:rsidR="00071DB1" w:rsidRPr="00D05939">
        <w:rPr>
          <w:rFonts w:ascii="Arial Narrow" w:hAnsi="Arial Narrow" w:cs="Arial"/>
          <w:b/>
          <w:szCs w:val="24"/>
        </w:rPr>
        <w:t xml:space="preserve">six </w:t>
      </w:r>
      <w:r w:rsidR="00416B5D" w:rsidRPr="00D05939">
        <w:rPr>
          <w:rFonts w:ascii="Arial Narrow" w:hAnsi="Arial Narrow" w:cs="Arial"/>
          <w:b/>
          <w:szCs w:val="24"/>
        </w:rPr>
        <w:t>cent</w:t>
      </w:r>
      <w:r w:rsidR="00097EA7" w:rsidRPr="00D05939">
        <w:rPr>
          <w:rFonts w:ascii="Arial Narrow" w:hAnsi="Arial Narrow" w:cs="Arial"/>
          <w:b/>
          <w:szCs w:val="24"/>
        </w:rPr>
        <w:t xml:space="preserve"> </w:t>
      </w:r>
      <w:r w:rsidR="0070113A" w:rsidRPr="00D05939">
        <w:rPr>
          <w:rFonts w:ascii="Arial Narrow" w:hAnsi="Arial Narrow" w:cs="Arial"/>
          <w:b/>
          <w:szCs w:val="24"/>
        </w:rPr>
        <w:t>m</w:t>
      </w:r>
      <w:r w:rsidR="00097EA7" w:rsidRPr="00D05939">
        <w:rPr>
          <w:rFonts w:ascii="Arial Narrow" w:hAnsi="Arial Narrow" w:cs="Arial"/>
          <w:b/>
          <w:szCs w:val="24"/>
        </w:rPr>
        <w:t>illions (</w:t>
      </w:r>
      <w:r w:rsidR="00071DB1" w:rsidRPr="00D05939">
        <w:rPr>
          <w:rFonts w:ascii="Arial Narrow" w:hAnsi="Arial Narrow" w:cs="Arial"/>
          <w:b/>
          <w:szCs w:val="24"/>
        </w:rPr>
        <w:t>6</w:t>
      </w:r>
      <w:r w:rsidR="00715438" w:rsidRPr="00D05939">
        <w:rPr>
          <w:rFonts w:ascii="Arial Narrow" w:hAnsi="Arial Narrow" w:cs="Arial"/>
          <w:b/>
          <w:szCs w:val="24"/>
        </w:rPr>
        <w:t xml:space="preserve">00 </w:t>
      </w:r>
      <w:r w:rsidR="00097EA7" w:rsidRPr="00D05939">
        <w:rPr>
          <w:rFonts w:ascii="Arial Narrow" w:hAnsi="Arial Narrow" w:cs="Arial"/>
          <w:b/>
          <w:szCs w:val="24"/>
        </w:rPr>
        <w:t xml:space="preserve">000 000) de FCFA </w:t>
      </w:r>
      <w:r w:rsidR="00097EA7" w:rsidRPr="00D05939">
        <w:rPr>
          <w:rFonts w:ascii="Arial Narrow" w:hAnsi="Arial Narrow" w:cs="Arial"/>
          <w:szCs w:val="24"/>
        </w:rPr>
        <w:t>ou le montant équivalent en monnaie librement convertible, et qui ont été exécutés de manière satisfaisante et terminés, pour l’essentiel, et qui sont similaires aux travaux proposés.</w:t>
      </w:r>
    </w:p>
    <w:p w14:paraId="5BE5563B" w14:textId="1DCD1912" w:rsidR="00097EA7" w:rsidRPr="00EA77A4" w:rsidRDefault="00097EA7" w:rsidP="00CB65BC">
      <w:pPr>
        <w:ind w:left="348" w:hanging="348"/>
        <w:rPr>
          <w:rFonts w:ascii="Arial Narrow" w:hAnsi="Arial Narrow" w:cs="Arial"/>
          <w:bCs/>
          <w:szCs w:val="24"/>
        </w:rPr>
      </w:pPr>
      <w:r w:rsidRPr="00EA77A4">
        <w:rPr>
          <w:rFonts w:ascii="Arial Narrow" w:hAnsi="Arial Narrow" w:cs="Arial"/>
          <w:szCs w:val="24"/>
        </w:rPr>
        <w:t>Disponibilité</w:t>
      </w:r>
      <w:r w:rsidRPr="00EA77A4">
        <w:rPr>
          <w:rFonts w:ascii="Arial Narrow" w:hAnsi="Arial Narrow" w:cs="Arial"/>
          <w:bCs/>
          <w:szCs w:val="24"/>
        </w:rPr>
        <w:t xml:space="preserve"> d’un personnel clé qualifié : </w:t>
      </w:r>
    </w:p>
    <w:p w14:paraId="280A7C79" w14:textId="4ED6AB14" w:rsidR="00252684" w:rsidRPr="00EA77A4" w:rsidRDefault="00097EA7" w:rsidP="00252684">
      <w:pPr>
        <w:pStyle w:val="i"/>
        <w:autoSpaceDE w:val="0"/>
        <w:autoSpaceDN w:val="0"/>
        <w:adjustRightInd w:val="0"/>
        <w:spacing w:after="0"/>
        <w:ind w:left="0" w:firstLine="0"/>
        <w:rPr>
          <w:rFonts w:ascii="Arial Narrow" w:hAnsi="Arial Narrow" w:cs="Arial"/>
          <w:b/>
          <w:bCs/>
          <w:szCs w:val="24"/>
          <w:lang w:val="fr-FR"/>
        </w:rPr>
      </w:pPr>
      <w:r w:rsidRPr="00EA77A4">
        <w:rPr>
          <w:rFonts w:ascii="Arial Narrow" w:hAnsi="Arial Narrow" w:cs="Arial"/>
          <w:b/>
          <w:bCs/>
          <w:szCs w:val="24"/>
          <w:lang w:val="fr-FR"/>
        </w:rPr>
        <w:t xml:space="preserve">Un </w:t>
      </w:r>
      <w:r w:rsidR="00440E95" w:rsidRPr="00EA77A4">
        <w:rPr>
          <w:rFonts w:ascii="Arial Narrow" w:hAnsi="Arial Narrow" w:cs="Arial"/>
          <w:b/>
          <w:bCs/>
          <w:szCs w:val="24"/>
          <w:lang w:val="fr-FR"/>
        </w:rPr>
        <w:t>chef de projet</w:t>
      </w:r>
      <w:r w:rsidRPr="00EA77A4">
        <w:rPr>
          <w:rFonts w:ascii="Arial Narrow" w:hAnsi="Arial Narrow" w:cs="Arial"/>
          <w:b/>
          <w:bCs/>
          <w:szCs w:val="24"/>
          <w:lang w:val="fr-FR"/>
        </w:rPr>
        <w:t>,</w:t>
      </w:r>
      <w:r w:rsidR="00440E95" w:rsidRPr="00EA77A4">
        <w:rPr>
          <w:rFonts w:ascii="Arial Narrow" w:hAnsi="Arial Narrow"/>
          <w:i/>
          <w:szCs w:val="24"/>
          <w:lang w:val="fr-FR"/>
        </w:rPr>
        <w:t xml:space="preserve"> </w:t>
      </w:r>
      <w:r w:rsidR="00440E95" w:rsidRPr="00EA77A4">
        <w:rPr>
          <w:rFonts w:ascii="Arial Narrow" w:hAnsi="Arial Narrow" w:cs="Arial"/>
          <w:b/>
          <w:bCs/>
          <w:szCs w:val="24"/>
          <w:lang w:val="fr-FR"/>
        </w:rPr>
        <w:t>un Conducteur des travaux,</w:t>
      </w:r>
      <w:r w:rsidRPr="00EA77A4">
        <w:rPr>
          <w:rFonts w:ascii="Arial Narrow" w:hAnsi="Arial Narrow" w:cs="Arial"/>
          <w:b/>
          <w:bCs/>
          <w:szCs w:val="24"/>
          <w:lang w:val="fr-FR"/>
        </w:rPr>
        <w:t xml:space="preserve"> </w:t>
      </w:r>
      <w:r w:rsidR="00ED3B37" w:rsidRPr="00EA77A4">
        <w:rPr>
          <w:rFonts w:ascii="Arial Narrow" w:hAnsi="Arial Narrow" w:cs="Arial"/>
          <w:b/>
          <w:bCs/>
          <w:szCs w:val="24"/>
          <w:lang w:val="fr-FR"/>
        </w:rPr>
        <w:t>deux</w:t>
      </w:r>
      <w:r w:rsidRPr="00EA77A4">
        <w:rPr>
          <w:rFonts w:ascii="Arial Narrow" w:hAnsi="Arial Narrow" w:cs="Arial"/>
          <w:b/>
          <w:bCs/>
          <w:szCs w:val="24"/>
          <w:lang w:val="fr-FR"/>
        </w:rPr>
        <w:t xml:space="preserve"> chef</w:t>
      </w:r>
      <w:r w:rsidR="00ED3B37" w:rsidRPr="00EA77A4">
        <w:rPr>
          <w:rFonts w:ascii="Arial Narrow" w:hAnsi="Arial Narrow" w:cs="Arial"/>
          <w:b/>
          <w:bCs/>
          <w:szCs w:val="24"/>
          <w:lang w:val="fr-FR"/>
        </w:rPr>
        <w:t>s</w:t>
      </w:r>
      <w:r w:rsidRPr="00EA77A4">
        <w:rPr>
          <w:rFonts w:ascii="Arial Narrow" w:hAnsi="Arial Narrow" w:cs="Arial"/>
          <w:b/>
          <w:bCs/>
          <w:szCs w:val="24"/>
          <w:lang w:val="fr-FR"/>
        </w:rPr>
        <w:t xml:space="preserve"> de chantier, un Expert environnementaliste</w:t>
      </w:r>
      <w:r w:rsidR="00440E95" w:rsidRPr="00EA77A4">
        <w:rPr>
          <w:rFonts w:ascii="Arial Narrow" w:hAnsi="Arial Narrow" w:cs="Arial"/>
          <w:b/>
          <w:bCs/>
          <w:szCs w:val="24"/>
          <w:lang w:val="fr-FR"/>
        </w:rPr>
        <w:t xml:space="preserve">, </w:t>
      </w:r>
      <w:r w:rsidR="00624D86" w:rsidRPr="00EA77A4">
        <w:rPr>
          <w:rFonts w:ascii="Arial Narrow" w:hAnsi="Arial Narrow" w:cs="Arial"/>
          <w:b/>
          <w:bCs/>
          <w:szCs w:val="24"/>
          <w:lang w:val="fr-FR"/>
        </w:rPr>
        <w:t xml:space="preserve">un géotechnicien, </w:t>
      </w:r>
      <w:r w:rsidR="00440E95" w:rsidRPr="00EA77A4">
        <w:rPr>
          <w:rFonts w:ascii="Arial Narrow" w:hAnsi="Arial Narrow" w:cs="Arial"/>
          <w:b/>
          <w:bCs/>
          <w:szCs w:val="24"/>
          <w:lang w:val="fr-FR"/>
        </w:rPr>
        <w:t>un technicien topographe</w:t>
      </w:r>
      <w:r w:rsidRPr="00EA77A4">
        <w:rPr>
          <w:rFonts w:ascii="Arial Narrow" w:hAnsi="Arial Narrow" w:cs="Arial"/>
          <w:b/>
          <w:bCs/>
          <w:szCs w:val="24"/>
          <w:lang w:val="fr-FR"/>
        </w:rPr>
        <w:t>.</w:t>
      </w:r>
    </w:p>
    <w:p w14:paraId="1C6E0E5C" w14:textId="77777777" w:rsidR="00252684" w:rsidRPr="00252684" w:rsidRDefault="00252684" w:rsidP="00252684">
      <w:pPr>
        <w:pStyle w:val="i"/>
        <w:autoSpaceDE w:val="0"/>
        <w:autoSpaceDN w:val="0"/>
        <w:adjustRightInd w:val="0"/>
        <w:spacing w:after="0"/>
        <w:ind w:left="708" w:firstLine="0"/>
        <w:rPr>
          <w:rFonts w:ascii="Arial Narrow" w:hAnsi="Arial Narrow" w:cs="Arial"/>
          <w:b/>
          <w:bCs/>
          <w:sz w:val="28"/>
          <w:szCs w:val="28"/>
          <w:lang w:val="fr-F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638"/>
        <w:gridCol w:w="1693"/>
        <w:gridCol w:w="2980"/>
        <w:gridCol w:w="1179"/>
        <w:gridCol w:w="1566"/>
        <w:gridCol w:w="1564"/>
      </w:tblGrid>
      <w:tr w:rsidR="00252684" w:rsidRPr="007D0A39" w14:paraId="17BF0A0F" w14:textId="77777777" w:rsidTr="002A1EEB">
        <w:trPr>
          <w:trHeight w:val="1111"/>
          <w:jc w:val="center"/>
        </w:trPr>
        <w:tc>
          <w:tcPr>
            <w:tcW w:w="331" w:type="pct"/>
          </w:tcPr>
          <w:p w14:paraId="3555F36B" w14:textId="77777777" w:rsidR="00252684" w:rsidRPr="007D0A39" w:rsidRDefault="00252684" w:rsidP="002A1EEB">
            <w:pPr>
              <w:spacing w:after="0"/>
              <w:jc w:val="center"/>
              <w:rPr>
                <w:b/>
                <w:i/>
                <w:sz w:val="20"/>
              </w:rPr>
            </w:pPr>
            <w:r w:rsidRPr="007D0A39">
              <w:rPr>
                <w:b/>
                <w:i/>
                <w:sz w:val="20"/>
              </w:rPr>
              <w:lastRenderedPageBreak/>
              <w:t>No.</w:t>
            </w:r>
          </w:p>
        </w:tc>
        <w:tc>
          <w:tcPr>
            <w:tcW w:w="880" w:type="pct"/>
          </w:tcPr>
          <w:p w14:paraId="3D6811F5" w14:textId="77777777" w:rsidR="00252684" w:rsidRPr="007D0A39" w:rsidRDefault="00252684" w:rsidP="002A1EEB">
            <w:pPr>
              <w:spacing w:after="0"/>
              <w:jc w:val="center"/>
              <w:rPr>
                <w:b/>
                <w:i/>
                <w:sz w:val="20"/>
              </w:rPr>
            </w:pPr>
            <w:r w:rsidRPr="007D0A39">
              <w:rPr>
                <w:b/>
                <w:i/>
                <w:sz w:val="20"/>
              </w:rPr>
              <w:t>Position</w:t>
            </w:r>
          </w:p>
        </w:tc>
        <w:tc>
          <w:tcPr>
            <w:tcW w:w="1549" w:type="pct"/>
          </w:tcPr>
          <w:p w14:paraId="5C85C5C9" w14:textId="77777777" w:rsidR="00252684" w:rsidRPr="007D0A39" w:rsidRDefault="00252684" w:rsidP="002A1EEB">
            <w:pPr>
              <w:spacing w:after="0"/>
              <w:jc w:val="center"/>
              <w:rPr>
                <w:b/>
                <w:i/>
                <w:sz w:val="20"/>
              </w:rPr>
            </w:pPr>
            <w:r>
              <w:rPr>
                <w:b/>
                <w:i/>
                <w:sz w:val="20"/>
              </w:rPr>
              <w:t>Qualification</w:t>
            </w:r>
            <w:r w:rsidRPr="007D0A39">
              <w:rPr>
                <w:b/>
                <w:i/>
                <w:sz w:val="20"/>
              </w:rPr>
              <w:t xml:space="preserve"> (années)</w:t>
            </w:r>
          </w:p>
        </w:tc>
        <w:tc>
          <w:tcPr>
            <w:tcW w:w="613" w:type="pct"/>
          </w:tcPr>
          <w:p w14:paraId="13018B6F" w14:textId="77777777" w:rsidR="00252684" w:rsidRPr="007D0A39" w:rsidRDefault="00252684" w:rsidP="002A1EEB">
            <w:pPr>
              <w:spacing w:after="0"/>
              <w:ind w:left="0" w:firstLine="0"/>
              <w:jc w:val="center"/>
              <w:rPr>
                <w:b/>
                <w:i/>
                <w:sz w:val="20"/>
              </w:rPr>
            </w:pPr>
            <w:r w:rsidRPr="007D0A39">
              <w:rPr>
                <w:b/>
                <w:i/>
                <w:sz w:val="20"/>
              </w:rPr>
              <w:t xml:space="preserve">Expérience dans des travaux similaires </w:t>
            </w:r>
          </w:p>
          <w:p w14:paraId="3D4EEBE1" w14:textId="77777777" w:rsidR="00252684" w:rsidRPr="007D0A39" w:rsidRDefault="00252684" w:rsidP="002A1EEB">
            <w:pPr>
              <w:spacing w:after="0"/>
              <w:jc w:val="center"/>
              <w:rPr>
                <w:b/>
                <w:i/>
                <w:sz w:val="20"/>
              </w:rPr>
            </w:pPr>
            <w:r w:rsidRPr="007D0A39">
              <w:rPr>
                <w:b/>
                <w:i/>
                <w:sz w:val="20"/>
              </w:rPr>
              <w:t>(Années)</w:t>
            </w:r>
          </w:p>
        </w:tc>
        <w:tc>
          <w:tcPr>
            <w:tcW w:w="814" w:type="pct"/>
          </w:tcPr>
          <w:p w14:paraId="17BBE651" w14:textId="77777777" w:rsidR="00252684" w:rsidRPr="007D0A39" w:rsidRDefault="00252684" w:rsidP="002A1EEB">
            <w:pPr>
              <w:spacing w:after="0"/>
              <w:ind w:left="-101" w:firstLine="0"/>
              <w:rPr>
                <w:b/>
                <w:i/>
                <w:sz w:val="20"/>
              </w:rPr>
            </w:pPr>
            <w:r w:rsidRPr="007D0A39">
              <w:rPr>
                <w:b/>
                <w:i/>
                <w:sz w:val="20"/>
              </w:rPr>
              <w:t>Expérience</w:t>
            </w:r>
            <w:r>
              <w:rPr>
                <w:b/>
                <w:i/>
                <w:sz w:val="20"/>
              </w:rPr>
              <w:t xml:space="preserve"> en </w:t>
            </w:r>
            <w:r w:rsidRPr="007D0A39">
              <w:rPr>
                <w:b/>
                <w:i/>
                <w:sz w:val="20"/>
              </w:rPr>
              <w:t>Nombre</w:t>
            </w:r>
            <w:r>
              <w:rPr>
                <w:b/>
                <w:i/>
                <w:sz w:val="20"/>
              </w:rPr>
              <w:t xml:space="preserve"> de missions similaires réalisées</w:t>
            </w:r>
          </w:p>
        </w:tc>
        <w:tc>
          <w:tcPr>
            <w:tcW w:w="813" w:type="pct"/>
          </w:tcPr>
          <w:p w14:paraId="1E7F6128" w14:textId="77777777" w:rsidR="00252684" w:rsidRPr="00611A83" w:rsidRDefault="00252684" w:rsidP="002A1EEB">
            <w:pPr>
              <w:spacing w:after="0"/>
              <w:ind w:left="-101" w:firstLine="0"/>
              <w:jc w:val="center"/>
              <w:rPr>
                <w:b/>
                <w:i/>
                <w:color w:val="000000" w:themeColor="text1"/>
                <w:sz w:val="20"/>
              </w:rPr>
            </w:pPr>
            <w:r w:rsidRPr="00611A83">
              <w:rPr>
                <w:b/>
                <w:i/>
                <w:color w:val="000000" w:themeColor="text1"/>
                <w:sz w:val="20"/>
              </w:rPr>
              <w:t>Nombre</w:t>
            </w:r>
          </w:p>
        </w:tc>
      </w:tr>
      <w:tr w:rsidR="00252684" w:rsidRPr="007D0A39" w14:paraId="64763FCF" w14:textId="77777777" w:rsidTr="002A1EEB">
        <w:trPr>
          <w:trHeight w:val="428"/>
          <w:jc w:val="center"/>
        </w:trPr>
        <w:tc>
          <w:tcPr>
            <w:tcW w:w="331" w:type="pct"/>
            <w:vAlign w:val="center"/>
          </w:tcPr>
          <w:p w14:paraId="16F1A2B7" w14:textId="77777777" w:rsidR="00252684" w:rsidRPr="007D0A39" w:rsidRDefault="00252684" w:rsidP="002A1EEB">
            <w:pPr>
              <w:pStyle w:val="En-tte"/>
              <w:spacing w:after="0"/>
              <w:rPr>
                <w:i/>
              </w:rPr>
            </w:pPr>
            <w:r w:rsidRPr="007D0A39">
              <w:rPr>
                <w:i/>
              </w:rPr>
              <w:t>1.1</w:t>
            </w:r>
          </w:p>
        </w:tc>
        <w:tc>
          <w:tcPr>
            <w:tcW w:w="880" w:type="pct"/>
            <w:vAlign w:val="center"/>
          </w:tcPr>
          <w:p w14:paraId="4EFC01F9" w14:textId="77777777" w:rsidR="00252684" w:rsidRPr="007D0A39" w:rsidRDefault="00252684" w:rsidP="002A1EEB">
            <w:pPr>
              <w:spacing w:after="0"/>
              <w:ind w:left="0" w:firstLine="0"/>
              <w:jc w:val="left"/>
              <w:rPr>
                <w:i/>
                <w:sz w:val="20"/>
              </w:rPr>
            </w:pPr>
            <w:r w:rsidRPr="007D0A39">
              <w:rPr>
                <w:i/>
                <w:sz w:val="20"/>
              </w:rPr>
              <w:t>Chef de Projet</w:t>
            </w:r>
          </w:p>
        </w:tc>
        <w:tc>
          <w:tcPr>
            <w:tcW w:w="1549" w:type="pct"/>
            <w:vAlign w:val="center"/>
          </w:tcPr>
          <w:p w14:paraId="34E48FD7" w14:textId="77777777" w:rsidR="00252684" w:rsidRPr="007D0A39" w:rsidRDefault="00252684" w:rsidP="002A1EEB">
            <w:pPr>
              <w:spacing w:after="0"/>
              <w:ind w:left="29" w:hanging="29"/>
              <w:rPr>
                <w:i/>
                <w:sz w:val="20"/>
              </w:rPr>
            </w:pPr>
            <w:r w:rsidRPr="007D0A39">
              <w:rPr>
                <w:sz w:val="20"/>
              </w:rPr>
              <w:t>Minimum Bac+</w:t>
            </w:r>
            <w:r>
              <w:rPr>
                <w:sz w:val="20"/>
              </w:rPr>
              <w:t>4</w:t>
            </w:r>
            <w:r w:rsidRPr="007D0A39">
              <w:rPr>
                <w:sz w:val="20"/>
              </w:rPr>
              <w:t xml:space="preserve"> Ingénieur du Génie Rural, des Constructions Civiles </w:t>
            </w:r>
          </w:p>
        </w:tc>
        <w:tc>
          <w:tcPr>
            <w:tcW w:w="613" w:type="pct"/>
            <w:vAlign w:val="center"/>
          </w:tcPr>
          <w:p w14:paraId="3F6EF18A" w14:textId="77777777" w:rsidR="00252684" w:rsidRPr="007D0A39" w:rsidRDefault="00252684" w:rsidP="002A1EEB">
            <w:pPr>
              <w:spacing w:after="0"/>
              <w:jc w:val="center"/>
              <w:rPr>
                <w:i/>
                <w:sz w:val="20"/>
              </w:rPr>
            </w:pPr>
            <w:r>
              <w:rPr>
                <w:i/>
                <w:sz w:val="20"/>
              </w:rPr>
              <w:t>10</w:t>
            </w:r>
          </w:p>
        </w:tc>
        <w:tc>
          <w:tcPr>
            <w:tcW w:w="814" w:type="pct"/>
            <w:vAlign w:val="center"/>
          </w:tcPr>
          <w:p w14:paraId="1E350B15" w14:textId="77777777" w:rsidR="00252684" w:rsidRPr="007D0A39" w:rsidRDefault="00252684" w:rsidP="002A1EEB">
            <w:pPr>
              <w:spacing w:after="0"/>
              <w:jc w:val="center"/>
              <w:rPr>
                <w:i/>
                <w:sz w:val="20"/>
              </w:rPr>
            </w:pPr>
            <w:r>
              <w:rPr>
                <w:sz w:val="20"/>
              </w:rPr>
              <w:t>5</w:t>
            </w:r>
          </w:p>
        </w:tc>
        <w:tc>
          <w:tcPr>
            <w:tcW w:w="813" w:type="pct"/>
            <w:vAlign w:val="center"/>
          </w:tcPr>
          <w:p w14:paraId="73F6F732" w14:textId="77777777" w:rsidR="00252684" w:rsidRPr="00611A83" w:rsidRDefault="00252684" w:rsidP="002A1EEB">
            <w:pPr>
              <w:spacing w:after="0"/>
              <w:jc w:val="center"/>
              <w:rPr>
                <w:color w:val="000000" w:themeColor="text1"/>
                <w:sz w:val="20"/>
              </w:rPr>
            </w:pPr>
            <w:r w:rsidRPr="00611A83">
              <w:rPr>
                <w:color w:val="000000" w:themeColor="text1"/>
                <w:sz w:val="20"/>
              </w:rPr>
              <w:t>1</w:t>
            </w:r>
          </w:p>
        </w:tc>
      </w:tr>
      <w:tr w:rsidR="00252684" w:rsidRPr="007D0A39" w14:paraId="02AFBBAA" w14:textId="77777777" w:rsidTr="002A1EEB">
        <w:trPr>
          <w:trHeight w:val="414"/>
          <w:jc w:val="center"/>
        </w:trPr>
        <w:tc>
          <w:tcPr>
            <w:tcW w:w="331" w:type="pct"/>
            <w:vAlign w:val="center"/>
          </w:tcPr>
          <w:p w14:paraId="277AD1C6" w14:textId="77777777" w:rsidR="00252684" w:rsidRPr="007D0A39" w:rsidRDefault="00252684" w:rsidP="002A1EEB">
            <w:pPr>
              <w:pStyle w:val="En-tte"/>
              <w:spacing w:after="0"/>
              <w:rPr>
                <w:i/>
              </w:rPr>
            </w:pPr>
            <w:r w:rsidRPr="007D0A39">
              <w:rPr>
                <w:i/>
              </w:rPr>
              <w:t>1.2</w:t>
            </w:r>
          </w:p>
        </w:tc>
        <w:tc>
          <w:tcPr>
            <w:tcW w:w="880" w:type="pct"/>
            <w:vAlign w:val="center"/>
          </w:tcPr>
          <w:p w14:paraId="2DCE7026" w14:textId="77777777" w:rsidR="00252684" w:rsidRPr="007D0A39" w:rsidRDefault="00252684" w:rsidP="002A1EEB">
            <w:pPr>
              <w:spacing w:after="0"/>
              <w:ind w:left="29" w:hanging="29"/>
              <w:jc w:val="left"/>
              <w:rPr>
                <w:i/>
                <w:sz w:val="20"/>
              </w:rPr>
            </w:pPr>
            <w:r w:rsidRPr="007D0A39">
              <w:rPr>
                <w:i/>
                <w:sz w:val="20"/>
              </w:rPr>
              <w:t>Conducteur des travaux</w:t>
            </w:r>
          </w:p>
        </w:tc>
        <w:tc>
          <w:tcPr>
            <w:tcW w:w="1549" w:type="pct"/>
            <w:vAlign w:val="center"/>
          </w:tcPr>
          <w:p w14:paraId="63B125C3" w14:textId="77777777" w:rsidR="00252684" w:rsidRPr="007D0A39" w:rsidRDefault="00252684" w:rsidP="002A1EEB">
            <w:pPr>
              <w:spacing w:after="0"/>
              <w:ind w:left="29" w:hanging="29"/>
              <w:rPr>
                <w:sz w:val="20"/>
              </w:rPr>
            </w:pPr>
            <w:r w:rsidRPr="007D0A39">
              <w:rPr>
                <w:sz w:val="20"/>
              </w:rPr>
              <w:t xml:space="preserve">Minimum Bac+4 Ingénieur du Génie Rural, des Constructions Civiles ou du Génie Civil </w:t>
            </w:r>
          </w:p>
        </w:tc>
        <w:tc>
          <w:tcPr>
            <w:tcW w:w="613" w:type="pct"/>
            <w:vAlign w:val="center"/>
          </w:tcPr>
          <w:p w14:paraId="1E02A061" w14:textId="77777777" w:rsidR="00252684" w:rsidRPr="007D0A39" w:rsidRDefault="00252684" w:rsidP="002A1EEB">
            <w:pPr>
              <w:spacing w:after="0"/>
              <w:jc w:val="center"/>
              <w:rPr>
                <w:i/>
                <w:sz w:val="20"/>
              </w:rPr>
            </w:pPr>
            <w:r>
              <w:rPr>
                <w:i/>
                <w:sz w:val="20"/>
              </w:rPr>
              <w:t>10</w:t>
            </w:r>
          </w:p>
        </w:tc>
        <w:tc>
          <w:tcPr>
            <w:tcW w:w="814" w:type="pct"/>
            <w:vAlign w:val="center"/>
          </w:tcPr>
          <w:p w14:paraId="65CF6A59" w14:textId="77777777" w:rsidR="00252684" w:rsidRPr="007D0A39" w:rsidRDefault="00252684" w:rsidP="002A1EEB">
            <w:pPr>
              <w:spacing w:after="0"/>
              <w:jc w:val="center"/>
              <w:rPr>
                <w:i/>
                <w:sz w:val="20"/>
              </w:rPr>
            </w:pPr>
            <w:r>
              <w:rPr>
                <w:sz w:val="20"/>
              </w:rPr>
              <w:t>5</w:t>
            </w:r>
          </w:p>
        </w:tc>
        <w:tc>
          <w:tcPr>
            <w:tcW w:w="813" w:type="pct"/>
            <w:vAlign w:val="center"/>
          </w:tcPr>
          <w:p w14:paraId="612FD29D" w14:textId="77777777" w:rsidR="00252684" w:rsidRPr="00611A83" w:rsidRDefault="00252684" w:rsidP="002A1EEB">
            <w:pPr>
              <w:spacing w:after="0"/>
              <w:jc w:val="center"/>
              <w:rPr>
                <w:color w:val="000000" w:themeColor="text1"/>
                <w:sz w:val="20"/>
              </w:rPr>
            </w:pPr>
            <w:r w:rsidRPr="00611A83">
              <w:rPr>
                <w:color w:val="000000" w:themeColor="text1"/>
                <w:sz w:val="20"/>
              </w:rPr>
              <w:t>1</w:t>
            </w:r>
          </w:p>
        </w:tc>
      </w:tr>
      <w:tr w:rsidR="00252684" w:rsidRPr="007D0A39" w14:paraId="3BFA371E" w14:textId="77777777" w:rsidTr="002A1EEB">
        <w:trPr>
          <w:trHeight w:val="428"/>
          <w:jc w:val="center"/>
        </w:trPr>
        <w:tc>
          <w:tcPr>
            <w:tcW w:w="331" w:type="pct"/>
            <w:vAlign w:val="center"/>
          </w:tcPr>
          <w:p w14:paraId="2ABF0814" w14:textId="77777777" w:rsidR="00252684" w:rsidRPr="007D0A39" w:rsidRDefault="00252684" w:rsidP="002A1EEB">
            <w:pPr>
              <w:spacing w:after="0"/>
              <w:rPr>
                <w:i/>
                <w:sz w:val="20"/>
              </w:rPr>
            </w:pPr>
            <w:r>
              <w:rPr>
                <w:i/>
                <w:sz w:val="20"/>
              </w:rPr>
              <w:t>1.3</w:t>
            </w:r>
          </w:p>
        </w:tc>
        <w:tc>
          <w:tcPr>
            <w:tcW w:w="880" w:type="pct"/>
            <w:vAlign w:val="center"/>
          </w:tcPr>
          <w:p w14:paraId="7DA5BE42" w14:textId="77777777" w:rsidR="00252684" w:rsidRPr="007D0A39" w:rsidRDefault="00252684" w:rsidP="002A1EEB">
            <w:pPr>
              <w:spacing w:after="0"/>
              <w:ind w:left="0" w:firstLine="28"/>
              <w:rPr>
                <w:sz w:val="20"/>
              </w:rPr>
            </w:pPr>
            <w:r>
              <w:rPr>
                <w:sz w:val="20"/>
              </w:rPr>
              <w:t>Spécialiste en sauvegarde environnementale et sociale</w:t>
            </w:r>
          </w:p>
        </w:tc>
        <w:tc>
          <w:tcPr>
            <w:tcW w:w="1549" w:type="pct"/>
            <w:vAlign w:val="center"/>
          </w:tcPr>
          <w:p w14:paraId="5A80D666" w14:textId="77777777" w:rsidR="00252684" w:rsidRPr="007D0A39" w:rsidRDefault="00252684" w:rsidP="002A1EEB">
            <w:pPr>
              <w:spacing w:after="0"/>
              <w:ind w:left="29" w:hanging="29"/>
              <w:rPr>
                <w:sz w:val="20"/>
              </w:rPr>
            </w:pPr>
            <w:r>
              <w:rPr>
                <w:sz w:val="20"/>
              </w:rPr>
              <w:t>E</w:t>
            </w:r>
            <w:r w:rsidRPr="00D94010">
              <w:rPr>
                <w:sz w:val="20"/>
              </w:rPr>
              <w:t>nvironnementaliste de niveau minimum bac + 4 ou équivalent</w:t>
            </w:r>
          </w:p>
        </w:tc>
        <w:tc>
          <w:tcPr>
            <w:tcW w:w="613" w:type="pct"/>
            <w:vAlign w:val="center"/>
          </w:tcPr>
          <w:p w14:paraId="1BADDA9A" w14:textId="77777777" w:rsidR="00252684" w:rsidRPr="007D0A39" w:rsidRDefault="00252684" w:rsidP="002A1EEB">
            <w:pPr>
              <w:spacing w:after="0"/>
              <w:jc w:val="center"/>
              <w:rPr>
                <w:i/>
                <w:sz w:val="20"/>
              </w:rPr>
            </w:pPr>
            <w:r>
              <w:rPr>
                <w:i/>
                <w:sz w:val="20"/>
              </w:rPr>
              <w:t>10</w:t>
            </w:r>
          </w:p>
        </w:tc>
        <w:tc>
          <w:tcPr>
            <w:tcW w:w="814" w:type="pct"/>
            <w:vAlign w:val="center"/>
          </w:tcPr>
          <w:p w14:paraId="77A80DB9" w14:textId="77777777" w:rsidR="00252684" w:rsidRPr="007D0A39" w:rsidRDefault="00252684" w:rsidP="002A1EEB">
            <w:pPr>
              <w:spacing w:after="0"/>
              <w:jc w:val="center"/>
              <w:rPr>
                <w:sz w:val="20"/>
              </w:rPr>
            </w:pPr>
            <w:r>
              <w:rPr>
                <w:sz w:val="20"/>
              </w:rPr>
              <w:t>5</w:t>
            </w:r>
          </w:p>
        </w:tc>
        <w:tc>
          <w:tcPr>
            <w:tcW w:w="813" w:type="pct"/>
            <w:vAlign w:val="center"/>
          </w:tcPr>
          <w:p w14:paraId="052372DD" w14:textId="77777777" w:rsidR="00252684" w:rsidRPr="00611A83" w:rsidRDefault="00252684" w:rsidP="002A1EEB">
            <w:pPr>
              <w:spacing w:after="0"/>
              <w:jc w:val="center"/>
              <w:rPr>
                <w:color w:val="000000" w:themeColor="text1"/>
                <w:sz w:val="20"/>
              </w:rPr>
            </w:pPr>
            <w:r w:rsidRPr="00611A83">
              <w:rPr>
                <w:color w:val="000000" w:themeColor="text1"/>
                <w:sz w:val="20"/>
              </w:rPr>
              <w:t>1</w:t>
            </w:r>
          </w:p>
        </w:tc>
      </w:tr>
      <w:tr w:rsidR="00252684" w:rsidRPr="007D0A39" w14:paraId="6C9C602B" w14:textId="77777777" w:rsidTr="002A1EEB">
        <w:trPr>
          <w:trHeight w:val="428"/>
          <w:jc w:val="center"/>
        </w:trPr>
        <w:tc>
          <w:tcPr>
            <w:tcW w:w="331" w:type="pct"/>
            <w:vAlign w:val="center"/>
          </w:tcPr>
          <w:p w14:paraId="09214189" w14:textId="77777777" w:rsidR="00252684" w:rsidRPr="007D0A39" w:rsidRDefault="00252684" w:rsidP="002A1EEB">
            <w:pPr>
              <w:spacing w:after="0"/>
              <w:rPr>
                <w:i/>
                <w:sz w:val="20"/>
              </w:rPr>
            </w:pPr>
            <w:r w:rsidRPr="007D0A39">
              <w:rPr>
                <w:i/>
                <w:sz w:val="20"/>
              </w:rPr>
              <w:t>1.</w:t>
            </w:r>
            <w:r>
              <w:rPr>
                <w:i/>
                <w:sz w:val="20"/>
              </w:rPr>
              <w:t>4</w:t>
            </w:r>
          </w:p>
        </w:tc>
        <w:tc>
          <w:tcPr>
            <w:tcW w:w="880" w:type="pct"/>
            <w:vAlign w:val="center"/>
          </w:tcPr>
          <w:p w14:paraId="5BDBCAC2" w14:textId="77777777" w:rsidR="00252684" w:rsidRPr="007D0A39" w:rsidRDefault="00252684" w:rsidP="002A1EEB">
            <w:pPr>
              <w:spacing w:after="0"/>
              <w:ind w:left="0" w:firstLine="0"/>
              <w:jc w:val="left"/>
              <w:rPr>
                <w:i/>
                <w:sz w:val="20"/>
              </w:rPr>
            </w:pPr>
            <w:r w:rsidRPr="007D0A39">
              <w:rPr>
                <w:sz w:val="20"/>
              </w:rPr>
              <w:t>Chef de chantier</w:t>
            </w:r>
            <w:r>
              <w:rPr>
                <w:sz w:val="20"/>
              </w:rPr>
              <w:t xml:space="preserve"> 1 - Terrassement</w:t>
            </w:r>
          </w:p>
        </w:tc>
        <w:tc>
          <w:tcPr>
            <w:tcW w:w="1549" w:type="pct"/>
            <w:vAlign w:val="center"/>
          </w:tcPr>
          <w:p w14:paraId="19FE51D7" w14:textId="77777777" w:rsidR="00252684" w:rsidRPr="007D0A39" w:rsidRDefault="00252684" w:rsidP="002A1EEB">
            <w:pPr>
              <w:spacing w:after="0"/>
              <w:ind w:left="29" w:hanging="29"/>
              <w:rPr>
                <w:sz w:val="20"/>
              </w:rPr>
            </w:pPr>
            <w:r w:rsidRPr="007D0A39">
              <w:rPr>
                <w:sz w:val="20"/>
              </w:rPr>
              <w:t xml:space="preserve">Technicien supérieur du Génie Rural, des Constructions Civiles ou du Génie Civil, </w:t>
            </w:r>
          </w:p>
        </w:tc>
        <w:tc>
          <w:tcPr>
            <w:tcW w:w="613" w:type="pct"/>
            <w:vAlign w:val="center"/>
          </w:tcPr>
          <w:p w14:paraId="4C966505" w14:textId="77777777" w:rsidR="00252684" w:rsidRPr="007D0A39" w:rsidRDefault="00252684" w:rsidP="002A1EEB">
            <w:pPr>
              <w:spacing w:after="0"/>
              <w:jc w:val="center"/>
              <w:rPr>
                <w:i/>
                <w:sz w:val="20"/>
              </w:rPr>
            </w:pPr>
            <w:r>
              <w:rPr>
                <w:i/>
                <w:sz w:val="20"/>
              </w:rPr>
              <w:t>5</w:t>
            </w:r>
          </w:p>
        </w:tc>
        <w:tc>
          <w:tcPr>
            <w:tcW w:w="814" w:type="pct"/>
            <w:vAlign w:val="center"/>
          </w:tcPr>
          <w:p w14:paraId="40AE4855" w14:textId="77777777" w:rsidR="00252684" w:rsidRPr="007D0A39" w:rsidRDefault="00252684" w:rsidP="002A1EEB">
            <w:pPr>
              <w:spacing w:after="0"/>
              <w:jc w:val="center"/>
              <w:rPr>
                <w:i/>
                <w:sz w:val="20"/>
              </w:rPr>
            </w:pPr>
            <w:r>
              <w:rPr>
                <w:sz w:val="20"/>
              </w:rPr>
              <w:t>3</w:t>
            </w:r>
          </w:p>
        </w:tc>
        <w:tc>
          <w:tcPr>
            <w:tcW w:w="813" w:type="pct"/>
            <w:vAlign w:val="center"/>
          </w:tcPr>
          <w:p w14:paraId="7919C4B6" w14:textId="77777777" w:rsidR="00252684" w:rsidRPr="00611A83" w:rsidRDefault="00252684" w:rsidP="002A1EEB">
            <w:pPr>
              <w:spacing w:after="0"/>
              <w:jc w:val="center"/>
              <w:rPr>
                <w:color w:val="000000" w:themeColor="text1"/>
                <w:sz w:val="20"/>
              </w:rPr>
            </w:pPr>
            <w:r w:rsidRPr="00611A83">
              <w:rPr>
                <w:color w:val="000000" w:themeColor="text1"/>
                <w:sz w:val="20"/>
              </w:rPr>
              <w:t>1</w:t>
            </w:r>
          </w:p>
        </w:tc>
      </w:tr>
      <w:tr w:rsidR="00252684" w:rsidRPr="007D0A39" w14:paraId="41B6892F" w14:textId="77777777" w:rsidTr="002A1EEB">
        <w:trPr>
          <w:trHeight w:val="428"/>
          <w:jc w:val="center"/>
        </w:trPr>
        <w:tc>
          <w:tcPr>
            <w:tcW w:w="331" w:type="pct"/>
            <w:vAlign w:val="center"/>
          </w:tcPr>
          <w:p w14:paraId="46223ABF" w14:textId="77777777" w:rsidR="00252684" w:rsidRPr="007D0A39" w:rsidRDefault="00252684" w:rsidP="002A1EEB">
            <w:pPr>
              <w:spacing w:after="0"/>
              <w:rPr>
                <w:i/>
                <w:sz w:val="20"/>
              </w:rPr>
            </w:pPr>
            <w:r>
              <w:rPr>
                <w:i/>
                <w:sz w:val="20"/>
              </w:rPr>
              <w:t>1.5</w:t>
            </w:r>
          </w:p>
        </w:tc>
        <w:tc>
          <w:tcPr>
            <w:tcW w:w="880" w:type="pct"/>
            <w:vAlign w:val="center"/>
          </w:tcPr>
          <w:p w14:paraId="2A34853C" w14:textId="77777777" w:rsidR="00252684" w:rsidRPr="007D0A39" w:rsidRDefault="00252684" w:rsidP="002A1EEB">
            <w:pPr>
              <w:spacing w:after="0"/>
              <w:ind w:left="0" w:firstLine="0"/>
              <w:jc w:val="left"/>
              <w:rPr>
                <w:sz w:val="20"/>
              </w:rPr>
            </w:pPr>
            <w:r w:rsidRPr="007D0A39">
              <w:rPr>
                <w:sz w:val="20"/>
              </w:rPr>
              <w:t>Chef de chantier</w:t>
            </w:r>
            <w:r>
              <w:rPr>
                <w:sz w:val="20"/>
              </w:rPr>
              <w:t xml:space="preserve"> 2 - Génie civil</w:t>
            </w:r>
          </w:p>
        </w:tc>
        <w:tc>
          <w:tcPr>
            <w:tcW w:w="1549" w:type="pct"/>
            <w:vAlign w:val="center"/>
          </w:tcPr>
          <w:p w14:paraId="3BE80C17" w14:textId="77777777" w:rsidR="00252684" w:rsidRPr="007D0A39" w:rsidRDefault="00252684" w:rsidP="002A1EEB">
            <w:pPr>
              <w:spacing w:after="0"/>
              <w:ind w:left="29" w:hanging="29"/>
              <w:rPr>
                <w:sz w:val="20"/>
              </w:rPr>
            </w:pPr>
            <w:r w:rsidRPr="007D0A39">
              <w:rPr>
                <w:sz w:val="20"/>
              </w:rPr>
              <w:t xml:space="preserve">Technicien supérieur du Génie Rural, des Constructions Civiles ou du Génie Civil, </w:t>
            </w:r>
          </w:p>
        </w:tc>
        <w:tc>
          <w:tcPr>
            <w:tcW w:w="613" w:type="pct"/>
            <w:vAlign w:val="center"/>
          </w:tcPr>
          <w:p w14:paraId="50249829" w14:textId="77777777" w:rsidR="00252684" w:rsidRDefault="00252684" w:rsidP="002A1EEB">
            <w:pPr>
              <w:spacing w:after="0"/>
              <w:jc w:val="center"/>
              <w:rPr>
                <w:i/>
                <w:sz w:val="20"/>
              </w:rPr>
            </w:pPr>
            <w:r>
              <w:rPr>
                <w:i/>
                <w:sz w:val="20"/>
              </w:rPr>
              <w:t>5</w:t>
            </w:r>
          </w:p>
        </w:tc>
        <w:tc>
          <w:tcPr>
            <w:tcW w:w="814" w:type="pct"/>
            <w:vAlign w:val="center"/>
          </w:tcPr>
          <w:p w14:paraId="26EE3383" w14:textId="77777777" w:rsidR="00252684" w:rsidRDefault="00252684" w:rsidP="002A1EEB">
            <w:pPr>
              <w:spacing w:after="0"/>
              <w:jc w:val="center"/>
              <w:rPr>
                <w:sz w:val="20"/>
              </w:rPr>
            </w:pPr>
            <w:r>
              <w:rPr>
                <w:sz w:val="20"/>
              </w:rPr>
              <w:t>3</w:t>
            </w:r>
          </w:p>
        </w:tc>
        <w:tc>
          <w:tcPr>
            <w:tcW w:w="813" w:type="pct"/>
            <w:vAlign w:val="center"/>
          </w:tcPr>
          <w:p w14:paraId="1B3B0188" w14:textId="77777777" w:rsidR="00252684" w:rsidRPr="00611A83" w:rsidRDefault="00252684" w:rsidP="002A1EEB">
            <w:pPr>
              <w:spacing w:after="0"/>
              <w:jc w:val="center"/>
              <w:rPr>
                <w:color w:val="000000" w:themeColor="text1"/>
                <w:sz w:val="20"/>
              </w:rPr>
            </w:pPr>
            <w:r w:rsidRPr="00611A83">
              <w:rPr>
                <w:color w:val="000000" w:themeColor="text1"/>
                <w:sz w:val="20"/>
              </w:rPr>
              <w:t>1</w:t>
            </w:r>
          </w:p>
        </w:tc>
      </w:tr>
      <w:tr w:rsidR="00252684" w:rsidRPr="00ED40DD" w14:paraId="6163A64E" w14:textId="77777777" w:rsidTr="002A1EEB">
        <w:trPr>
          <w:trHeight w:val="428"/>
          <w:jc w:val="center"/>
        </w:trPr>
        <w:tc>
          <w:tcPr>
            <w:tcW w:w="331" w:type="pct"/>
            <w:vAlign w:val="center"/>
          </w:tcPr>
          <w:p w14:paraId="12B9B48E" w14:textId="77777777" w:rsidR="00252684" w:rsidRPr="00ED40DD" w:rsidRDefault="00252684" w:rsidP="002A1EEB">
            <w:pPr>
              <w:spacing w:after="0"/>
              <w:rPr>
                <w:i/>
                <w:sz w:val="20"/>
              </w:rPr>
            </w:pPr>
            <w:r w:rsidRPr="00ED40DD">
              <w:rPr>
                <w:i/>
                <w:sz w:val="20"/>
              </w:rPr>
              <w:t>1.5</w:t>
            </w:r>
          </w:p>
        </w:tc>
        <w:tc>
          <w:tcPr>
            <w:tcW w:w="880" w:type="pct"/>
            <w:vAlign w:val="center"/>
          </w:tcPr>
          <w:p w14:paraId="79507550" w14:textId="77777777" w:rsidR="00252684" w:rsidRPr="00ED40DD" w:rsidRDefault="00252684" w:rsidP="002A1EEB">
            <w:pPr>
              <w:spacing w:after="0"/>
              <w:ind w:left="0" w:firstLine="0"/>
              <w:jc w:val="left"/>
              <w:rPr>
                <w:sz w:val="20"/>
              </w:rPr>
            </w:pPr>
            <w:r w:rsidRPr="00ED40DD">
              <w:rPr>
                <w:sz w:val="20"/>
              </w:rPr>
              <w:t>Géotechnicien</w:t>
            </w:r>
          </w:p>
        </w:tc>
        <w:tc>
          <w:tcPr>
            <w:tcW w:w="1549" w:type="pct"/>
          </w:tcPr>
          <w:p w14:paraId="1EB17414" w14:textId="77777777" w:rsidR="00252684" w:rsidRPr="00ED40DD" w:rsidRDefault="00252684" w:rsidP="002A1EEB">
            <w:pPr>
              <w:spacing w:after="0"/>
              <w:ind w:left="29" w:hanging="29"/>
              <w:rPr>
                <w:sz w:val="20"/>
              </w:rPr>
            </w:pPr>
            <w:r w:rsidRPr="00ED40DD">
              <w:rPr>
                <w:sz w:val="20"/>
              </w:rPr>
              <w:t xml:space="preserve">Minimum Bac+2 en </w:t>
            </w:r>
            <w:proofErr w:type="spellStart"/>
            <w:r w:rsidRPr="00ED40DD">
              <w:rPr>
                <w:sz w:val="20"/>
              </w:rPr>
              <w:t>Géotechnie</w:t>
            </w:r>
            <w:proofErr w:type="spellEnd"/>
            <w:r w:rsidRPr="00ED40DD">
              <w:rPr>
                <w:sz w:val="20"/>
              </w:rPr>
              <w:t xml:space="preserve"> ou Génie Civil </w:t>
            </w:r>
          </w:p>
        </w:tc>
        <w:tc>
          <w:tcPr>
            <w:tcW w:w="613" w:type="pct"/>
            <w:vAlign w:val="center"/>
          </w:tcPr>
          <w:p w14:paraId="18BEDA0A" w14:textId="77777777" w:rsidR="00252684" w:rsidRPr="00ED40DD" w:rsidRDefault="00252684" w:rsidP="002A1EEB">
            <w:pPr>
              <w:spacing w:after="0"/>
              <w:jc w:val="center"/>
              <w:rPr>
                <w:i/>
                <w:sz w:val="20"/>
              </w:rPr>
            </w:pPr>
            <w:r w:rsidRPr="00ED40DD">
              <w:rPr>
                <w:i/>
                <w:sz w:val="20"/>
              </w:rPr>
              <w:t>5</w:t>
            </w:r>
          </w:p>
        </w:tc>
        <w:tc>
          <w:tcPr>
            <w:tcW w:w="814" w:type="pct"/>
            <w:vAlign w:val="center"/>
          </w:tcPr>
          <w:p w14:paraId="6CBF8301" w14:textId="77777777" w:rsidR="00252684" w:rsidRPr="00ED40DD" w:rsidRDefault="00252684" w:rsidP="002A1EEB">
            <w:pPr>
              <w:spacing w:after="0"/>
              <w:jc w:val="center"/>
              <w:rPr>
                <w:sz w:val="20"/>
              </w:rPr>
            </w:pPr>
            <w:r w:rsidRPr="00ED40DD">
              <w:rPr>
                <w:sz w:val="20"/>
              </w:rPr>
              <w:t>3</w:t>
            </w:r>
          </w:p>
        </w:tc>
        <w:tc>
          <w:tcPr>
            <w:tcW w:w="813" w:type="pct"/>
            <w:vAlign w:val="center"/>
          </w:tcPr>
          <w:p w14:paraId="0A11A13F" w14:textId="77777777" w:rsidR="00252684" w:rsidRPr="00611A83" w:rsidRDefault="00252684" w:rsidP="002A1EEB">
            <w:pPr>
              <w:spacing w:after="0"/>
              <w:jc w:val="center"/>
              <w:rPr>
                <w:color w:val="000000" w:themeColor="text1"/>
                <w:sz w:val="20"/>
              </w:rPr>
            </w:pPr>
            <w:r w:rsidRPr="00611A83">
              <w:rPr>
                <w:color w:val="000000" w:themeColor="text1"/>
                <w:sz w:val="20"/>
              </w:rPr>
              <w:t>1</w:t>
            </w:r>
          </w:p>
        </w:tc>
      </w:tr>
      <w:tr w:rsidR="00252684" w:rsidRPr="007D0A39" w14:paraId="0A0B60C1" w14:textId="77777777" w:rsidTr="002A1EEB">
        <w:trPr>
          <w:trHeight w:val="428"/>
          <w:jc w:val="center"/>
        </w:trPr>
        <w:tc>
          <w:tcPr>
            <w:tcW w:w="331" w:type="pct"/>
            <w:vAlign w:val="center"/>
          </w:tcPr>
          <w:p w14:paraId="46EFF5EC" w14:textId="77777777" w:rsidR="00252684" w:rsidRPr="007D0A39" w:rsidRDefault="00252684" w:rsidP="002A1EEB">
            <w:pPr>
              <w:spacing w:after="0"/>
              <w:rPr>
                <w:i/>
                <w:sz w:val="20"/>
              </w:rPr>
            </w:pPr>
            <w:r>
              <w:rPr>
                <w:i/>
                <w:sz w:val="20"/>
              </w:rPr>
              <w:t>1</w:t>
            </w:r>
            <w:r w:rsidRPr="007D0A39">
              <w:rPr>
                <w:i/>
                <w:sz w:val="20"/>
              </w:rPr>
              <w:t>.</w:t>
            </w:r>
            <w:r>
              <w:rPr>
                <w:i/>
                <w:sz w:val="20"/>
              </w:rPr>
              <w:t>6</w:t>
            </w:r>
          </w:p>
        </w:tc>
        <w:tc>
          <w:tcPr>
            <w:tcW w:w="880" w:type="pct"/>
            <w:vAlign w:val="center"/>
          </w:tcPr>
          <w:p w14:paraId="7EBA34AC" w14:textId="77777777" w:rsidR="00252684" w:rsidRPr="007D0A39" w:rsidRDefault="00252684" w:rsidP="002A1EEB">
            <w:pPr>
              <w:spacing w:after="0"/>
              <w:rPr>
                <w:i/>
                <w:sz w:val="20"/>
              </w:rPr>
            </w:pPr>
            <w:r w:rsidRPr="007D0A39">
              <w:rPr>
                <w:sz w:val="20"/>
              </w:rPr>
              <w:t>Chef de Brigade</w:t>
            </w:r>
          </w:p>
        </w:tc>
        <w:tc>
          <w:tcPr>
            <w:tcW w:w="1549" w:type="pct"/>
            <w:vAlign w:val="center"/>
          </w:tcPr>
          <w:p w14:paraId="4883B7CD" w14:textId="77777777" w:rsidR="00252684" w:rsidRPr="007D0A39" w:rsidRDefault="00252684" w:rsidP="002A1EEB">
            <w:pPr>
              <w:spacing w:after="0"/>
              <w:ind w:left="29" w:hanging="29"/>
              <w:rPr>
                <w:sz w:val="20"/>
              </w:rPr>
            </w:pPr>
            <w:r w:rsidRPr="007D0A39">
              <w:rPr>
                <w:sz w:val="20"/>
              </w:rPr>
              <w:t xml:space="preserve">Technicien supérieur en topographie </w:t>
            </w:r>
          </w:p>
        </w:tc>
        <w:tc>
          <w:tcPr>
            <w:tcW w:w="613" w:type="pct"/>
            <w:vAlign w:val="center"/>
          </w:tcPr>
          <w:p w14:paraId="002EFD22" w14:textId="77777777" w:rsidR="00252684" w:rsidRPr="007D0A39" w:rsidRDefault="00252684" w:rsidP="002A1EEB">
            <w:pPr>
              <w:spacing w:after="0"/>
              <w:jc w:val="center"/>
              <w:rPr>
                <w:i/>
                <w:sz w:val="20"/>
              </w:rPr>
            </w:pPr>
            <w:r>
              <w:rPr>
                <w:i/>
                <w:sz w:val="20"/>
              </w:rPr>
              <w:t>5</w:t>
            </w:r>
          </w:p>
        </w:tc>
        <w:tc>
          <w:tcPr>
            <w:tcW w:w="814" w:type="pct"/>
            <w:vAlign w:val="center"/>
          </w:tcPr>
          <w:p w14:paraId="25B1A3AC" w14:textId="77777777" w:rsidR="00252684" w:rsidRPr="007D0A39" w:rsidRDefault="00252684" w:rsidP="002A1EEB">
            <w:pPr>
              <w:spacing w:after="0"/>
              <w:jc w:val="center"/>
              <w:rPr>
                <w:i/>
                <w:sz w:val="20"/>
              </w:rPr>
            </w:pPr>
            <w:r>
              <w:rPr>
                <w:i/>
                <w:sz w:val="20"/>
              </w:rPr>
              <w:t>3</w:t>
            </w:r>
          </w:p>
        </w:tc>
        <w:tc>
          <w:tcPr>
            <w:tcW w:w="813" w:type="pct"/>
            <w:vAlign w:val="center"/>
          </w:tcPr>
          <w:p w14:paraId="2AE0B84E" w14:textId="77777777" w:rsidR="00252684" w:rsidRPr="00611A83" w:rsidRDefault="00252684" w:rsidP="002A1EEB">
            <w:pPr>
              <w:spacing w:after="0"/>
              <w:jc w:val="center"/>
              <w:rPr>
                <w:i/>
                <w:color w:val="000000" w:themeColor="text1"/>
                <w:sz w:val="20"/>
              </w:rPr>
            </w:pPr>
            <w:r w:rsidRPr="00611A83">
              <w:rPr>
                <w:i/>
                <w:color w:val="000000" w:themeColor="text1"/>
                <w:sz w:val="20"/>
              </w:rPr>
              <w:t>1</w:t>
            </w:r>
          </w:p>
        </w:tc>
      </w:tr>
    </w:tbl>
    <w:p w14:paraId="49FDC0AF" w14:textId="77777777" w:rsidR="00D05939" w:rsidRDefault="00D05939" w:rsidP="00CB65BC">
      <w:pPr>
        <w:ind w:left="348" w:hanging="348"/>
        <w:rPr>
          <w:rFonts w:ascii="Arial Narrow" w:hAnsi="Arial Narrow" w:cs="Arial"/>
          <w:szCs w:val="28"/>
        </w:rPr>
      </w:pPr>
    </w:p>
    <w:p w14:paraId="509E4A9F" w14:textId="77777777" w:rsidR="00097EA7" w:rsidRPr="00D05939" w:rsidRDefault="00097EA7" w:rsidP="00CB65BC">
      <w:pPr>
        <w:ind w:left="348" w:hanging="348"/>
        <w:rPr>
          <w:rFonts w:ascii="Arial Narrow" w:hAnsi="Arial Narrow" w:cs="Arial"/>
          <w:szCs w:val="28"/>
        </w:rPr>
      </w:pPr>
      <w:r w:rsidRPr="00D05939">
        <w:rPr>
          <w:rFonts w:ascii="Arial Narrow" w:hAnsi="Arial Narrow" w:cs="Arial"/>
          <w:szCs w:val="28"/>
        </w:rPr>
        <w:t>Une marge de préférence ne sera pas octroyée aux soumissionnaires éligibles. Voir le document d’Appel d’offres pour les informations détaillées.</w:t>
      </w:r>
    </w:p>
    <w:p w14:paraId="66907845" w14:textId="7131DA13" w:rsidR="00F26027" w:rsidRPr="00EA77A4" w:rsidRDefault="00192E9D" w:rsidP="00F26027">
      <w:pPr>
        <w:suppressAutoHyphens/>
        <w:spacing w:before="240" w:after="120"/>
        <w:rPr>
          <w:rFonts w:ascii="Arial Narrow" w:hAnsi="Arial Narrow"/>
          <w:szCs w:val="24"/>
        </w:rPr>
      </w:pPr>
      <w:r w:rsidRPr="00EA77A4">
        <w:rPr>
          <w:rFonts w:ascii="Arial Narrow" w:hAnsi="Arial Narrow"/>
          <w:iCs/>
          <w:spacing w:val="-2"/>
          <w:szCs w:val="24"/>
        </w:rPr>
        <w:t>10</w:t>
      </w:r>
      <w:r w:rsidR="00F26027" w:rsidRPr="00EA77A4">
        <w:rPr>
          <w:rFonts w:ascii="Arial Narrow" w:hAnsi="Arial Narrow"/>
          <w:iCs/>
          <w:spacing w:val="-2"/>
          <w:szCs w:val="24"/>
        </w:rPr>
        <w:t>.</w:t>
      </w:r>
      <w:r w:rsidR="00F26027" w:rsidRPr="00CB65BC">
        <w:rPr>
          <w:rFonts w:ascii="Arial Narrow" w:hAnsi="Arial Narrow"/>
          <w:iCs/>
          <w:spacing w:val="-2"/>
          <w:sz w:val="28"/>
          <w:szCs w:val="28"/>
        </w:rPr>
        <w:tab/>
      </w:r>
      <w:r w:rsidR="00F26027" w:rsidRPr="00EA77A4">
        <w:rPr>
          <w:rFonts w:ascii="Arial Narrow" w:hAnsi="Arial Narrow"/>
          <w:szCs w:val="24"/>
        </w:rPr>
        <w:t xml:space="preserve">L’adresse à laquelle il est fait référence ci-dessus est : </w:t>
      </w:r>
    </w:p>
    <w:p w14:paraId="3EAD0383" w14:textId="507689F4" w:rsidR="00457054" w:rsidRPr="00EA77A4" w:rsidRDefault="00D90CB4" w:rsidP="00A36589">
      <w:pPr>
        <w:suppressAutoHyphens/>
        <w:spacing w:after="0"/>
        <w:ind w:left="578" w:hanging="38"/>
        <w:rPr>
          <w:rFonts w:ascii="Arial Narrow" w:hAnsi="Arial Narrow"/>
          <w:szCs w:val="24"/>
          <w:lang w:eastAsia="en-US"/>
        </w:rPr>
      </w:pPr>
      <w:r w:rsidRPr="00EA77A4">
        <w:rPr>
          <w:rFonts w:ascii="Arial Narrow" w:hAnsi="Arial Narrow"/>
          <w:b/>
          <w:bCs/>
          <w:iCs/>
          <w:szCs w:val="24"/>
        </w:rPr>
        <w:t>Unité de Gestion du Projet</w:t>
      </w:r>
      <w:r w:rsidR="00440E95" w:rsidRPr="00EA77A4">
        <w:rPr>
          <w:rFonts w:ascii="Arial Narrow" w:hAnsi="Arial Narrow"/>
          <w:b/>
          <w:bCs/>
          <w:iCs/>
          <w:szCs w:val="24"/>
        </w:rPr>
        <w:t xml:space="preserve"> du </w:t>
      </w:r>
      <w:r w:rsidRPr="00EA77A4">
        <w:rPr>
          <w:rFonts w:ascii="Arial Narrow" w:hAnsi="Arial Narrow"/>
          <w:b/>
          <w:bCs/>
          <w:iCs/>
          <w:szCs w:val="24"/>
        </w:rPr>
        <w:t xml:space="preserve">Projet d’Appui Régional à l’Initiative pour l’Irrigation au Sahel (PARIIS </w:t>
      </w:r>
      <w:r w:rsidR="00A36589" w:rsidRPr="00EA77A4">
        <w:rPr>
          <w:rFonts w:ascii="Arial Narrow" w:hAnsi="Arial Narrow"/>
          <w:b/>
          <w:bCs/>
          <w:iCs/>
          <w:szCs w:val="24"/>
        </w:rPr>
        <w:t>MALI</w:t>
      </w:r>
      <w:r w:rsidRPr="00EA77A4">
        <w:rPr>
          <w:rFonts w:ascii="Arial Narrow" w:hAnsi="Arial Narrow"/>
          <w:b/>
          <w:bCs/>
          <w:iCs/>
          <w:szCs w:val="24"/>
        </w:rPr>
        <w:t>)</w:t>
      </w:r>
      <w:r w:rsidR="00A36589" w:rsidRPr="00EA77A4">
        <w:rPr>
          <w:rFonts w:ascii="Arial Narrow" w:hAnsi="Arial Narrow"/>
          <w:b/>
          <w:bCs/>
          <w:iCs/>
          <w:szCs w:val="24"/>
        </w:rPr>
        <w:t xml:space="preserve"> - </w:t>
      </w:r>
      <w:bookmarkStart w:id="3" w:name="_Toc494778669"/>
      <w:proofErr w:type="spellStart"/>
      <w:r w:rsidR="00A36589" w:rsidRPr="00EA77A4">
        <w:rPr>
          <w:rFonts w:ascii="Arial Narrow" w:hAnsi="Arial Narrow"/>
          <w:b/>
          <w:szCs w:val="24"/>
        </w:rPr>
        <w:t>Hamdallaye</w:t>
      </w:r>
      <w:proofErr w:type="spellEnd"/>
      <w:r w:rsidR="00A36589" w:rsidRPr="00EA77A4">
        <w:rPr>
          <w:rFonts w:ascii="Arial Narrow" w:hAnsi="Arial Narrow"/>
          <w:b/>
          <w:szCs w:val="24"/>
        </w:rPr>
        <w:t xml:space="preserve"> ACI 2000 Bamako Mali, Rue 333 Porte 16 – </w:t>
      </w:r>
      <w:proofErr w:type="spellStart"/>
      <w:r w:rsidR="00A36589" w:rsidRPr="00EA77A4">
        <w:rPr>
          <w:rFonts w:ascii="Arial Narrow" w:hAnsi="Arial Narrow"/>
          <w:b/>
          <w:szCs w:val="24"/>
        </w:rPr>
        <w:t>Imm</w:t>
      </w:r>
      <w:proofErr w:type="spellEnd"/>
      <w:r w:rsidR="00A36589" w:rsidRPr="00EA77A4">
        <w:rPr>
          <w:rFonts w:ascii="Arial Narrow" w:hAnsi="Arial Narrow"/>
          <w:b/>
          <w:szCs w:val="24"/>
        </w:rPr>
        <w:t xml:space="preserve">. De Mme TANDIA </w:t>
      </w:r>
      <w:proofErr w:type="spellStart"/>
      <w:r w:rsidR="00A36589" w:rsidRPr="00EA77A4">
        <w:rPr>
          <w:rFonts w:ascii="Arial Narrow" w:hAnsi="Arial Narrow"/>
          <w:b/>
          <w:szCs w:val="24"/>
        </w:rPr>
        <w:t>Hawa</w:t>
      </w:r>
      <w:proofErr w:type="spellEnd"/>
      <w:r w:rsidR="00A36589" w:rsidRPr="00EA77A4">
        <w:rPr>
          <w:rFonts w:ascii="Arial Narrow" w:hAnsi="Arial Narrow"/>
          <w:b/>
          <w:szCs w:val="24"/>
        </w:rPr>
        <w:t xml:space="preserve"> HAIDARA, Tél (223) 20 23 33 46/20 23 34 20</w:t>
      </w:r>
      <w:r w:rsidR="00996314" w:rsidRPr="00EA77A4">
        <w:rPr>
          <w:rFonts w:ascii="Arial Narrow" w:hAnsi="Arial Narrow"/>
          <w:b/>
          <w:szCs w:val="24"/>
        </w:rPr>
        <w:t>.</w:t>
      </w:r>
    </w:p>
    <w:p w14:paraId="74EFC7AF" w14:textId="77777777" w:rsidR="00D90CB4" w:rsidRPr="007D0A39" w:rsidRDefault="00D90CB4" w:rsidP="00457054">
      <w:pPr>
        <w:spacing w:after="0"/>
        <w:ind w:left="0" w:firstLine="0"/>
        <w:jc w:val="center"/>
        <w:rPr>
          <w:b/>
          <w:sz w:val="32"/>
          <w:szCs w:val="32"/>
          <w:lang w:eastAsia="en-US"/>
        </w:rPr>
      </w:pPr>
    </w:p>
    <w:p w14:paraId="1DD0224B" w14:textId="06A98A89" w:rsidR="00D90CB4" w:rsidRDefault="00D90CB4" w:rsidP="00457054">
      <w:pPr>
        <w:spacing w:after="0"/>
        <w:ind w:left="0" w:firstLine="0"/>
        <w:jc w:val="center"/>
        <w:rPr>
          <w:b/>
          <w:sz w:val="32"/>
          <w:szCs w:val="32"/>
          <w:lang w:eastAsia="en-US"/>
        </w:rPr>
      </w:pPr>
    </w:p>
    <w:p w14:paraId="31344D36" w14:textId="0367CE09" w:rsidR="00013AB1" w:rsidRDefault="00013AB1" w:rsidP="00457054">
      <w:pPr>
        <w:spacing w:after="0"/>
        <w:ind w:left="0" w:firstLine="0"/>
        <w:jc w:val="center"/>
        <w:rPr>
          <w:b/>
          <w:sz w:val="32"/>
          <w:szCs w:val="32"/>
          <w:lang w:eastAsia="en-US"/>
        </w:rPr>
      </w:pPr>
    </w:p>
    <w:p w14:paraId="316A3960" w14:textId="7C19D4D6" w:rsidR="006B6232" w:rsidRDefault="006B6232" w:rsidP="00457054">
      <w:pPr>
        <w:spacing w:after="0"/>
        <w:ind w:left="0" w:firstLine="0"/>
        <w:jc w:val="center"/>
        <w:rPr>
          <w:b/>
          <w:sz w:val="32"/>
          <w:szCs w:val="32"/>
          <w:lang w:eastAsia="en-US"/>
        </w:rPr>
      </w:pPr>
    </w:p>
    <w:p w14:paraId="06071AD2" w14:textId="424C1682" w:rsidR="00B9179C" w:rsidRDefault="00B9179C" w:rsidP="00457054">
      <w:pPr>
        <w:spacing w:after="0"/>
        <w:ind w:left="0" w:firstLine="0"/>
        <w:jc w:val="center"/>
        <w:rPr>
          <w:b/>
          <w:sz w:val="32"/>
          <w:szCs w:val="32"/>
          <w:lang w:eastAsia="en-US"/>
        </w:rPr>
      </w:pPr>
    </w:p>
    <w:p w14:paraId="7C084640" w14:textId="77777777" w:rsidR="00B9179C" w:rsidRDefault="00B9179C" w:rsidP="00457054">
      <w:pPr>
        <w:spacing w:after="0"/>
        <w:ind w:left="0" w:firstLine="0"/>
        <w:jc w:val="center"/>
        <w:rPr>
          <w:b/>
          <w:sz w:val="32"/>
          <w:szCs w:val="32"/>
          <w:lang w:eastAsia="en-US"/>
        </w:rPr>
      </w:pPr>
    </w:p>
    <w:p w14:paraId="1FCCDBC8" w14:textId="77777777" w:rsidR="00386E18" w:rsidRDefault="00386E18" w:rsidP="00736F4E">
      <w:pPr>
        <w:pStyle w:val="Part"/>
        <w:keepNext/>
        <w:spacing w:before="2280" w:after="0"/>
        <w:ind w:left="0" w:firstLine="0"/>
        <w:rPr>
          <w:sz w:val="52"/>
          <w:szCs w:val="24"/>
          <w:lang w:eastAsia="en-US"/>
        </w:rPr>
      </w:pPr>
      <w:bookmarkStart w:id="4" w:name="_Toc494778682"/>
      <w:bookmarkStart w:id="5" w:name="_Toc499607136"/>
      <w:bookmarkStart w:id="6" w:name="_Toc499608189"/>
      <w:bookmarkStart w:id="7" w:name="_Toc156372846"/>
      <w:bookmarkStart w:id="8" w:name="_Toc438529596"/>
      <w:bookmarkStart w:id="9" w:name="_Toc438725752"/>
      <w:bookmarkStart w:id="10" w:name="_Toc438817747"/>
      <w:bookmarkStart w:id="11" w:name="_Toc438954441"/>
      <w:bookmarkStart w:id="12" w:name="_Toc461939615"/>
      <w:bookmarkStart w:id="13" w:name="_Toc326657859"/>
      <w:bookmarkStart w:id="14" w:name="_Toc483210552"/>
      <w:bookmarkStart w:id="15" w:name="_Toc487641840"/>
      <w:bookmarkEnd w:id="3"/>
    </w:p>
    <w:p w14:paraId="06794851" w14:textId="77777777" w:rsidR="00386E18" w:rsidRDefault="00386E18" w:rsidP="00736F4E">
      <w:pPr>
        <w:pStyle w:val="Part"/>
        <w:keepNext/>
        <w:spacing w:before="2280" w:after="0"/>
        <w:ind w:left="0" w:firstLine="0"/>
        <w:rPr>
          <w:sz w:val="52"/>
          <w:szCs w:val="24"/>
          <w:lang w:eastAsia="en-US"/>
        </w:rPr>
      </w:pPr>
    </w:p>
    <w:p w14:paraId="0F4820BA" w14:textId="03B9B59F" w:rsidR="00D55904" w:rsidRPr="00A67F27" w:rsidRDefault="000A450A" w:rsidP="00736F4E">
      <w:pPr>
        <w:pStyle w:val="Part"/>
        <w:keepNext/>
        <w:spacing w:before="2280" w:after="0"/>
        <w:ind w:left="0" w:firstLine="0"/>
        <w:rPr>
          <w:sz w:val="52"/>
          <w:szCs w:val="24"/>
          <w:lang w:eastAsia="en-US"/>
        </w:rPr>
      </w:pPr>
      <w:r w:rsidRPr="00A67F27">
        <w:rPr>
          <w:sz w:val="52"/>
          <w:szCs w:val="24"/>
          <w:lang w:eastAsia="en-US"/>
        </w:rPr>
        <w:t>PARTIE</w:t>
      </w:r>
      <w:bookmarkStart w:id="16" w:name="_Toc494778683"/>
      <w:bookmarkStart w:id="17" w:name="_Toc499607137"/>
      <w:bookmarkStart w:id="18" w:name="_Toc499608190"/>
      <w:bookmarkEnd w:id="4"/>
      <w:bookmarkEnd w:id="5"/>
      <w:bookmarkEnd w:id="6"/>
      <w:bookmarkEnd w:id="7"/>
      <w:r w:rsidRPr="00A67F27">
        <w:rPr>
          <w:sz w:val="52"/>
          <w:szCs w:val="24"/>
          <w:lang w:eastAsia="en-US"/>
        </w:rPr>
        <w:t xml:space="preserve"> </w:t>
      </w:r>
      <w:r w:rsidR="00842368" w:rsidRPr="00A67F27">
        <w:rPr>
          <w:sz w:val="52"/>
          <w:szCs w:val="24"/>
          <w:lang w:eastAsia="en-US"/>
        </w:rPr>
        <w:t xml:space="preserve">1 </w:t>
      </w:r>
      <w:r w:rsidRPr="00A67F27">
        <w:rPr>
          <w:sz w:val="52"/>
          <w:szCs w:val="24"/>
          <w:lang w:eastAsia="en-US"/>
        </w:rPr>
        <w:t>- Procédures</w:t>
      </w:r>
      <w:bookmarkEnd w:id="8"/>
      <w:bookmarkEnd w:id="9"/>
      <w:bookmarkEnd w:id="10"/>
      <w:bookmarkEnd w:id="11"/>
      <w:bookmarkEnd w:id="12"/>
      <w:r w:rsidRPr="00A67F27">
        <w:rPr>
          <w:sz w:val="52"/>
          <w:szCs w:val="24"/>
          <w:lang w:eastAsia="en-US"/>
        </w:rPr>
        <w:t xml:space="preserve"> d’appel d’offres</w:t>
      </w:r>
      <w:bookmarkEnd w:id="13"/>
      <w:bookmarkEnd w:id="14"/>
      <w:bookmarkEnd w:id="15"/>
      <w:bookmarkEnd w:id="16"/>
      <w:bookmarkEnd w:id="17"/>
      <w:bookmarkEnd w:id="18"/>
    </w:p>
    <w:p w14:paraId="49A60401" w14:textId="77777777" w:rsidR="00736F4E" w:rsidRPr="00A67F27" w:rsidRDefault="00736F4E" w:rsidP="00736F4E">
      <w:pPr>
        <w:rPr>
          <w:lang w:eastAsia="en-US"/>
        </w:rPr>
      </w:pPr>
    </w:p>
    <w:p w14:paraId="5D1C4960" w14:textId="77777777" w:rsidR="000A450A" w:rsidRPr="00A67F27" w:rsidRDefault="000A450A">
      <w:pPr>
        <w:rPr>
          <w:rFonts w:asciiTheme="majorBidi" w:hAnsiTheme="majorBidi" w:cstheme="majorBidi"/>
        </w:rPr>
        <w:sectPr w:rsidR="000A450A" w:rsidRPr="00A67F27" w:rsidSect="008D2EE3">
          <w:headerReference w:type="even" r:id="rId14"/>
          <w:footnotePr>
            <w:numRestart w:val="eachPage"/>
          </w:footnotePr>
          <w:endnotePr>
            <w:numFmt w:val="decimal"/>
          </w:endnotePr>
          <w:type w:val="oddPage"/>
          <w:pgSz w:w="12240" w:h="15840" w:code="1"/>
          <w:pgMar w:top="1418" w:right="1418" w:bottom="1418" w:left="1418" w:header="720" w:footer="720" w:gutter="0"/>
          <w:pgNumType w:start="1"/>
          <w:cols w:space="720"/>
          <w:titlePg/>
        </w:sectPr>
      </w:pPr>
    </w:p>
    <w:tbl>
      <w:tblPr>
        <w:tblW w:w="0" w:type="auto"/>
        <w:tblLayout w:type="fixed"/>
        <w:tblLook w:val="0000" w:firstRow="0" w:lastRow="0" w:firstColumn="0" w:lastColumn="0" w:noHBand="0" w:noVBand="0"/>
      </w:tblPr>
      <w:tblGrid>
        <w:gridCol w:w="9198"/>
      </w:tblGrid>
      <w:tr w:rsidR="000A450A" w:rsidRPr="00A67F27" w14:paraId="2954F743" w14:textId="77777777">
        <w:trPr>
          <w:trHeight w:val="801"/>
        </w:trPr>
        <w:tc>
          <w:tcPr>
            <w:tcW w:w="9198" w:type="dxa"/>
            <w:tcBorders>
              <w:top w:val="nil"/>
              <w:left w:val="nil"/>
              <w:bottom w:val="nil"/>
              <w:right w:val="nil"/>
            </w:tcBorders>
          </w:tcPr>
          <w:p w14:paraId="7293C0B6" w14:textId="4C5A2E14" w:rsidR="000A450A" w:rsidRPr="00A67F27" w:rsidRDefault="000A450A" w:rsidP="00736F4E">
            <w:pPr>
              <w:pStyle w:val="Sous-titre"/>
              <w:spacing w:before="240" w:after="240"/>
              <w:ind w:left="0" w:firstLine="0"/>
              <w:rPr>
                <w:sz w:val="36"/>
                <w:lang w:val="fr-FR" w:eastAsia="en-US"/>
              </w:rPr>
            </w:pPr>
            <w:bookmarkStart w:id="19" w:name="_Toc156027991"/>
            <w:bookmarkStart w:id="20" w:name="_Toc156372847"/>
            <w:bookmarkStart w:id="21" w:name="_Toc326657860"/>
            <w:bookmarkStart w:id="22" w:name="_Toc483210553"/>
            <w:bookmarkStart w:id="23" w:name="_Toc487641841"/>
            <w:r w:rsidRPr="00A67F27">
              <w:rPr>
                <w:sz w:val="36"/>
                <w:lang w:val="fr-FR" w:eastAsia="en-US"/>
              </w:rPr>
              <w:lastRenderedPageBreak/>
              <w:t>Section I.</w:t>
            </w:r>
            <w:r w:rsidR="009B2302" w:rsidRPr="00A67F27">
              <w:rPr>
                <w:sz w:val="36"/>
                <w:lang w:val="fr-FR" w:eastAsia="en-US"/>
              </w:rPr>
              <w:t xml:space="preserve"> </w:t>
            </w:r>
            <w:r w:rsidRPr="00A67F27">
              <w:rPr>
                <w:sz w:val="36"/>
                <w:lang w:val="fr-FR" w:eastAsia="en-US"/>
              </w:rPr>
              <w:t>Instructions aux soumissionnaires</w:t>
            </w:r>
            <w:bookmarkEnd w:id="19"/>
            <w:bookmarkEnd w:id="20"/>
            <w:bookmarkEnd w:id="21"/>
            <w:bookmarkEnd w:id="22"/>
            <w:bookmarkEnd w:id="23"/>
          </w:p>
        </w:tc>
      </w:tr>
    </w:tbl>
    <w:p w14:paraId="3B9E839B" w14:textId="77777777" w:rsidR="000A450A" w:rsidRPr="00A67F27" w:rsidRDefault="000A450A">
      <w:pPr>
        <w:rPr>
          <w:rFonts w:asciiTheme="majorBidi" w:hAnsiTheme="majorBidi" w:cstheme="majorBidi"/>
        </w:rPr>
      </w:pPr>
    </w:p>
    <w:p w14:paraId="4B2BA8F9" w14:textId="7C5E0A11" w:rsidR="000A450A" w:rsidRPr="00A67F27" w:rsidRDefault="000A450A" w:rsidP="00736F4E">
      <w:pPr>
        <w:pStyle w:val="Corpsdetexte"/>
        <w:spacing w:after="0"/>
        <w:ind w:left="180" w:right="288" w:firstLine="0"/>
        <w:jc w:val="center"/>
        <w:rPr>
          <w:b/>
          <w:szCs w:val="24"/>
          <w:lang w:val="fr-FR" w:eastAsia="en-US"/>
        </w:rPr>
      </w:pPr>
      <w:bookmarkStart w:id="24" w:name="_Toc494778684"/>
      <w:r w:rsidRPr="00BE5856">
        <w:rPr>
          <w:b/>
          <w:szCs w:val="24"/>
          <w:lang w:val="fr-FR" w:eastAsia="en-US"/>
        </w:rPr>
        <w:t xml:space="preserve">Table </w:t>
      </w:r>
      <w:bookmarkEnd w:id="24"/>
      <w:r w:rsidR="000605B6" w:rsidRPr="00BE5856">
        <w:rPr>
          <w:b/>
          <w:szCs w:val="24"/>
          <w:lang w:val="fr-FR" w:eastAsia="en-US"/>
        </w:rPr>
        <w:t>Matières</w:t>
      </w:r>
    </w:p>
    <w:p w14:paraId="6A5E2AE3" w14:textId="77777777" w:rsidR="00736F4E" w:rsidRPr="00A67F27" w:rsidRDefault="00736F4E" w:rsidP="00736F4E">
      <w:pPr>
        <w:pStyle w:val="Corpsdetexte"/>
        <w:spacing w:after="0"/>
        <w:ind w:left="180" w:right="288" w:firstLine="0"/>
        <w:jc w:val="center"/>
        <w:rPr>
          <w:b/>
          <w:szCs w:val="24"/>
          <w:lang w:val="fr-FR" w:eastAsia="en-US"/>
        </w:rPr>
      </w:pPr>
    </w:p>
    <w:p w14:paraId="3660746D" w14:textId="12D1E7C6" w:rsidR="00C024BD" w:rsidRPr="00A67F27" w:rsidRDefault="00736F4E">
      <w:pPr>
        <w:pStyle w:val="TM1"/>
        <w:rPr>
          <w:rFonts w:asciiTheme="minorHAnsi" w:eastAsiaTheme="minorEastAsia" w:hAnsiTheme="minorHAnsi" w:cstheme="minorBidi"/>
          <w:b w:val="0"/>
          <w:noProof/>
          <w:sz w:val="22"/>
          <w:szCs w:val="22"/>
          <w:lang w:eastAsia="zh-CN"/>
        </w:rPr>
      </w:pPr>
      <w:r w:rsidRPr="00A67F27">
        <w:rPr>
          <w:bCs/>
          <w:lang w:eastAsia="en-US"/>
        </w:rPr>
        <w:fldChar w:fldCharType="begin"/>
      </w:r>
      <w:r w:rsidRPr="00A67F27">
        <w:rPr>
          <w:bCs/>
          <w:lang w:eastAsia="en-US"/>
        </w:rPr>
        <w:instrText xml:space="preserve"> TOC \h \z \t "Subtitle 2,2,S1-Header2,2,Style Style S1-Header1 + Times New Roman 14 pt +1,1" </w:instrText>
      </w:r>
      <w:r w:rsidRPr="00A67F27">
        <w:rPr>
          <w:bCs/>
          <w:lang w:eastAsia="en-US"/>
        </w:rPr>
        <w:fldChar w:fldCharType="separate"/>
      </w:r>
      <w:hyperlink w:anchor="_Toc487641768" w:history="1">
        <w:r w:rsidR="00C024BD" w:rsidRPr="00A67F27">
          <w:rPr>
            <w:rStyle w:val="Lienhypertexte"/>
            <w:noProof/>
          </w:rPr>
          <w:t xml:space="preserve">A. </w:t>
        </w:r>
        <w:r w:rsidR="00C024BD" w:rsidRPr="00A67F27">
          <w:rPr>
            <w:rFonts w:asciiTheme="minorHAnsi" w:eastAsiaTheme="minorEastAsia" w:hAnsiTheme="minorHAnsi" w:cstheme="minorBidi"/>
            <w:b w:val="0"/>
            <w:noProof/>
            <w:sz w:val="22"/>
            <w:szCs w:val="22"/>
            <w:lang w:eastAsia="zh-CN"/>
          </w:rPr>
          <w:tab/>
        </w:r>
        <w:r w:rsidR="00C024BD" w:rsidRPr="00A67F27">
          <w:rPr>
            <w:rStyle w:val="Lienhypertexte"/>
            <w:noProof/>
          </w:rPr>
          <w:t>G</w:t>
        </w:r>
        <w:r w:rsidR="00C024BD" w:rsidRPr="00A67F27">
          <w:rPr>
            <w:rStyle w:val="Lienhypertexte"/>
            <w:rFonts w:hint="eastAsia"/>
            <w:noProof/>
          </w:rPr>
          <w:t>é</w:t>
        </w:r>
        <w:r w:rsidR="00C024BD" w:rsidRPr="00A67F27">
          <w:rPr>
            <w:rStyle w:val="Lienhypertexte"/>
            <w:noProof/>
          </w:rPr>
          <w:t>n</w:t>
        </w:r>
        <w:r w:rsidR="00C024BD" w:rsidRPr="00A67F27">
          <w:rPr>
            <w:rStyle w:val="Lienhypertexte"/>
            <w:rFonts w:hint="eastAsia"/>
            <w:noProof/>
          </w:rPr>
          <w:t>é</w:t>
        </w:r>
        <w:r w:rsidR="00C024BD" w:rsidRPr="00A67F27">
          <w:rPr>
            <w:rStyle w:val="Lienhypertexte"/>
            <w:noProof/>
          </w:rPr>
          <w:t>ralit</w:t>
        </w:r>
        <w:r w:rsidR="00C024BD" w:rsidRPr="00A67F27">
          <w:rPr>
            <w:rStyle w:val="Lienhypertexte"/>
            <w:rFonts w:hint="eastAsia"/>
            <w:noProof/>
          </w:rPr>
          <w:t>é</w:t>
        </w:r>
        <w:r w:rsidR="00C024BD" w:rsidRPr="00A67F27">
          <w:rPr>
            <w:rStyle w:val="Lienhypertexte"/>
            <w:noProof/>
          </w:rPr>
          <w:t>s</w:t>
        </w:r>
        <w:r w:rsidR="00C024BD" w:rsidRPr="00A67F27">
          <w:rPr>
            <w:noProof/>
            <w:webHidden/>
          </w:rPr>
          <w:tab/>
        </w:r>
        <w:r w:rsidR="00C024BD" w:rsidRPr="00DE2F75">
          <w:rPr>
            <w:noProof/>
            <w:webHidden/>
          </w:rPr>
          <w:fldChar w:fldCharType="begin"/>
        </w:r>
        <w:r w:rsidR="00C024BD" w:rsidRPr="00A67F27">
          <w:rPr>
            <w:noProof/>
            <w:webHidden/>
          </w:rPr>
          <w:instrText xml:space="preserve"> PAGEREF _Toc487641768 \h </w:instrText>
        </w:r>
        <w:r w:rsidR="00C024BD" w:rsidRPr="00DE2F75">
          <w:rPr>
            <w:noProof/>
            <w:webHidden/>
          </w:rPr>
        </w:r>
        <w:r w:rsidR="00C024BD" w:rsidRPr="00DE2F75">
          <w:rPr>
            <w:noProof/>
            <w:webHidden/>
          </w:rPr>
          <w:fldChar w:fldCharType="separate"/>
        </w:r>
        <w:r w:rsidR="006C5B9E">
          <w:rPr>
            <w:noProof/>
            <w:webHidden/>
          </w:rPr>
          <w:t>9</w:t>
        </w:r>
        <w:r w:rsidR="00C024BD" w:rsidRPr="00DE2F75">
          <w:rPr>
            <w:noProof/>
            <w:webHidden/>
          </w:rPr>
          <w:fldChar w:fldCharType="end"/>
        </w:r>
      </w:hyperlink>
    </w:p>
    <w:p w14:paraId="2D5F41AE" w14:textId="170C8B6F" w:rsidR="00C024BD" w:rsidRPr="00A67F27" w:rsidRDefault="00B37E92">
      <w:pPr>
        <w:pStyle w:val="TM2"/>
        <w:tabs>
          <w:tab w:val="left" w:pos="1440"/>
        </w:tabs>
        <w:rPr>
          <w:rFonts w:asciiTheme="minorHAnsi" w:eastAsiaTheme="minorEastAsia" w:hAnsiTheme="minorHAnsi" w:cstheme="minorBidi"/>
          <w:noProof/>
          <w:sz w:val="22"/>
          <w:szCs w:val="22"/>
          <w:lang w:eastAsia="zh-CN"/>
        </w:rPr>
      </w:pPr>
      <w:hyperlink w:anchor="_Toc487641769" w:history="1">
        <w:r w:rsidR="00C024BD" w:rsidRPr="001627D7">
          <w:rPr>
            <w:rStyle w:val="Lienhypertexte"/>
            <w:noProof/>
          </w:rPr>
          <w:t>1.</w:t>
        </w:r>
        <w:r w:rsidR="00C024BD" w:rsidRPr="001627D7">
          <w:rPr>
            <w:rFonts w:asciiTheme="minorHAnsi" w:eastAsiaTheme="minorEastAsia" w:hAnsiTheme="minorHAnsi" w:cstheme="minorBidi"/>
            <w:noProof/>
            <w:sz w:val="22"/>
            <w:szCs w:val="22"/>
            <w:lang w:eastAsia="zh-CN"/>
          </w:rPr>
          <w:tab/>
        </w:r>
        <w:r w:rsidR="00C024BD" w:rsidRPr="00043C85">
          <w:rPr>
            <w:rStyle w:val="Lienhypertexte"/>
            <w:noProof/>
          </w:rPr>
          <w:t>Objet du Marché</w:t>
        </w:r>
        <w:r w:rsidR="00C024BD" w:rsidRPr="00442531">
          <w:rPr>
            <w:noProof/>
            <w:webHidden/>
          </w:rPr>
          <w:tab/>
        </w:r>
        <w:r w:rsidR="00C024BD" w:rsidRPr="001627D7">
          <w:rPr>
            <w:noProof/>
            <w:webHidden/>
          </w:rPr>
          <w:fldChar w:fldCharType="begin"/>
        </w:r>
        <w:r w:rsidR="00C024BD" w:rsidRPr="00A67F27">
          <w:rPr>
            <w:noProof/>
            <w:webHidden/>
          </w:rPr>
          <w:instrText xml:space="preserve"> PAGEREF _Toc487641769 \h </w:instrText>
        </w:r>
        <w:r w:rsidR="00C024BD" w:rsidRPr="001627D7">
          <w:rPr>
            <w:noProof/>
            <w:webHidden/>
          </w:rPr>
        </w:r>
        <w:r w:rsidR="00C024BD" w:rsidRPr="001627D7">
          <w:rPr>
            <w:noProof/>
            <w:webHidden/>
          </w:rPr>
          <w:fldChar w:fldCharType="separate"/>
        </w:r>
        <w:r w:rsidR="006C5B9E">
          <w:rPr>
            <w:noProof/>
            <w:webHidden/>
          </w:rPr>
          <w:t>9</w:t>
        </w:r>
        <w:r w:rsidR="00C024BD" w:rsidRPr="001627D7">
          <w:rPr>
            <w:noProof/>
            <w:webHidden/>
          </w:rPr>
          <w:fldChar w:fldCharType="end"/>
        </w:r>
      </w:hyperlink>
    </w:p>
    <w:p w14:paraId="3A678003" w14:textId="61D51807" w:rsidR="00C024BD" w:rsidRPr="00A67F27" w:rsidRDefault="00B37E92">
      <w:pPr>
        <w:pStyle w:val="TM2"/>
        <w:tabs>
          <w:tab w:val="left" w:pos="1440"/>
        </w:tabs>
        <w:rPr>
          <w:rFonts w:asciiTheme="minorHAnsi" w:eastAsiaTheme="minorEastAsia" w:hAnsiTheme="minorHAnsi" w:cstheme="minorBidi"/>
          <w:noProof/>
          <w:sz w:val="22"/>
          <w:szCs w:val="22"/>
          <w:lang w:eastAsia="zh-CN"/>
        </w:rPr>
      </w:pPr>
      <w:hyperlink w:anchor="_Toc487641770" w:history="1">
        <w:r w:rsidR="00C024BD" w:rsidRPr="001627D7">
          <w:rPr>
            <w:rStyle w:val="Lienhypertexte"/>
            <w:noProof/>
          </w:rPr>
          <w:t>2.</w:t>
        </w:r>
        <w:r w:rsidR="00C024BD" w:rsidRPr="001627D7">
          <w:rPr>
            <w:rFonts w:asciiTheme="minorHAnsi" w:eastAsiaTheme="minorEastAsia" w:hAnsiTheme="minorHAnsi" w:cstheme="minorBidi"/>
            <w:noProof/>
            <w:sz w:val="22"/>
            <w:szCs w:val="22"/>
            <w:lang w:eastAsia="zh-CN"/>
          </w:rPr>
          <w:tab/>
        </w:r>
        <w:r w:rsidR="00C024BD" w:rsidRPr="00043C85">
          <w:rPr>
            <w:rStyle w:val="Lienhypertexte"/>
            <w:noProof/>
          </w:rPr>
          <w:t>Origine des fonds</w:t>
        </w:r>
        <w:r w:rsidR="00C024BD" w:rsidRPr="00442531">
          <w:rPr>
            <w:noProof/>
            <w:webHidden/>
          </w:rPr>
          <w:tab/>
        </w:r>
        <w:r w:rsidR="00C024BD" w:rsidRPr="001627D7">
          <w:rPr>
            <w:noProof/>
            <w:webHidden/>
          </w:rPr>
          <w:fldChar w:fldCharType="begin"/>
        </w:r>
        <w:r w:rsidR="00C024BD" w:rsidRPr="00A67F27">
          <w:rPr>
            <w:noProof/>
            <w:webHidden/>
          </w:rPr>
          <w:instrText xml:space="preserve"> PAGEREF _Toc487641770 \h </w:instrText>
        </w:r>
        <w:r w:rsidR="00C024BD" w:rsidRPr="001627D7">
          <w:rPr>
            <w:noProof/>
            <w:webHidden/>
          </w:rPr>
        </w:r>
        <w:r w:rsidR="00C024BD" w:rsidRPr="001627D7">
          <w:rPr>
            <w:noProof/>
            <w:webHidden/>
          </w:rPr>
          <w:fldChar w:fldCharType="separate"/>
        </w:r>
        <w:r w:rsidR="006C5B9E">
          <w:rPr>
            <w:noProof/>
            <w:webHidden/>
          </w:rPr>
          <w:t>9</w:t>
        </w:r>
        <w:r w:rsidR="00C024BD" w:rsidRPr="001627D7">
          <w:rPr>
            <w:noProof/>
            <w:webHidden/>
          </w:rPr>
          <w:fldChar w:fldCharType="end"/>
        </w:r>
      </w:hyperlink>
    </w:p>
    <w:p w14:paraId="2FA6B7BA" w14:textId="0DE31E48" w:rsidR="00C024BD" w:rsidRPr="00A67F27" w:rsidRDefault="00B37E92">
      <w:pPr>
        <w:pStyle w:val="TM2"/>
        <w:tabs>
          <w:tab w:val="left" w:pos="1440"/>
        </w:tabs>
        <w:rPr>
          <w:rFonts w:asciiTheme="minorHAnsi" w:eastAsiaTheme="minorEastAsia" w:hAnsiTheme="minorHAnsi" w:cstheme="minorBidi"/>
          <w:noProof/>
          <w:sz w:val="22"/>
          <w:szCs w:val="22"/>
          <w:lang w:eastAsia="zh-CN"/>
        </w:rPr>
      </w:pPr>
      <w:hyperlink w:anchor="_Toc487641771" w:history="1">
        <w:r w:rsidR="00C024BD" w:rsidRPr="001627D7">
          <w:rPr>
            <w:rStyle w:val="Lienhypertexte"/>
            <w:noProof/>
          </w:rPr>
          <w:t>3.</w:t>
        </w:r>
        <w:r w:rsidR="00C024BD" w:rsidRPr="001627D7">
          <w:rPr>
            <w:rFonts w:asciiTheme="minorHAnsi" w:eastAsiaTheme="minorEastAsia" w:hAnsiTheme="minorHAnsi" w:cstheme="minorBidi"/>
            <w:noProof/>
            <w:sz w:val="22"/>
            <w:szCs w:val="22"/>
            <w:lang w:eastAsia="zh-CN"/>
          </w:rPr>
          <w:tab/>
        </w:r>
        <w:r w:rsidR="00C024BD" w:rsidRPr="00043C85">
          <w:rPr>
            <w:rStyle w:val="Lienhypertexte"/>
            <w:noProof/>
          </w:rPr>
          <w:t>Pratique de Fraude et Corruption</w:t>
        </w:r>
        <w:r w:rsidR="00C024BD" w:rsidRPr="00442531">
          <w:rPr>
            <w:noProof/>
            <w:webHidden/>
          </w:rPr>
          <w:tab/>
        </w:r>
        <w:r w:rsidR="00C024BD" w:rsidRPr="001627D7">
          <w:rPr>
            <w:noProof/>
            <w:webHidden/>
          </w:rPr>
          <w:fldChar w:fldCharType="begin"/>
        </w:r>
        <w:r w:rsidR="00C024BD" w:rsidRPr="00A67F27">
          <w:rPr>
            <w:noProof/>
            <w:webHidden/>
          </w:rPr>
          <w:instrText xml:space="preserve"> PAGEREF _Toc487641771 \h </w:instrText>
        </w:r>
        <w:r w:rsidR="00C024BD" w:rsidRPr="001627D7">
          <w:rPr>
            <w:noProof/>
            <w:webHidden/>
          </w:rPr>
        </w:r>
        <w:r w:rsidR="00C024BD" w:rsidRPr="001627D7">
          <w:rPr>
            <w:noProof/>
            <w:webHidden/>
          </w:rPr>
          <w:fldChar w:fldCharType="separate"/>
        </w:r>
        <w:r w:rsidR="006C5B9E">
          <w:rPr>
            <w:noProof/>
            <w:webHidden/>
          </w:rPr>
          <w:t>9</w:t>
        </w:r>
        <w:r w:rsidR="00C024BD" w:rsidRPr="001627D7">
          <w:rPr>
            <w:noProof/>
            <w:webHidden/>
          </w:rPr>
          <w:fldChar w:fldCharType="end"/>
        </w:r>
      </w:hyperlink>
    </w:p>
    <w:p w14:paraId="29E31CBC" w14:textId="655533CA" w:rsidR="00C024BD" w:rsidRPr="00A67F27" w:rsidRDefault="00B37E92">
      <w:pPr>
        <w:pStyle w:val="TM2"/>
        <w:tabs>
          <w:tab w:val="left" w:pos="1440"/>
        </w:tabs>
        <w:rPr>
          <w:rFonts w:asciiTheme="minorHAnsi" w:eastAsiaTheme="minorEastAsia" w:hAnsiTheme="minorHAnsi" w:cstheme="minorBidi"/>
          <w:noProof/>
          <w:sz w:val="22"/>
          <w:szCs w:val="22"/>
          <w:lang w:eastAsia="zh-CN"/>
        </w:rPr>
      </w:pPr>
      <w:hyperlink w:anchor="_Toc487641772" w:history="1">
        <w:r w:rsidR="00C024BD" w:rsidRPr="001627D7">
          <w:rPr>
            <w:rStyle w:val="Lienhypertexte"/>
            <w:noProof/>
          </w:rPr>
          <w:t>4.</w:t>
        </w:r>
        <w:r w:rsidR="00C024BD" w:rsidRPr="001627D7">
          <w:rPr>
            <w:rFonts w:asciiTheme="minorHAnsi" w:eastAsiaTheme="minorEastAsia" w:hAnsiTheme="minorHAnsi" w:cstheme="minorBidi"/>
            <w:noProof/>
            <w:sz w:val="22"/>
            <w:szCs w:val="22"/>
            <w:lang w:eastAsia="zh-CN"/>
          </w:rPr>
          <w:tab/>
        </w:r>
        <w:r w:rsidR="00C024BD" w:rsidRPr="00043C85">
          <w:rPr>
            <w:rStyle w:val="Lienhypertexte"/>
            <w:noProof/>
          </w:rPr>
          <w:t>Candidats admis à concourir</w:t>
        </w:r>
        <w:r w:rsidR="00C024BD" w:rsidRPr="00442531">
          <w:rPr>
            <w:noProof/>
            <w:webHidden/>
          </w:rPr>
          <w:tab/>
        </w:r>
        <w:r w:rsidR="00C024BD" w:rsidRPr="001627D7">
          <w:rPr>
            <w:noProof/>
            <w:webHidden/>
          </w:rPr>
          <w:fldChar w:fldCharType="begin"/>
        </w:r>
        <w:r w:rsidR="00C024BD" w:rsidRPr="00A67F27">
          <w:rPr>
            <w:noProof/>
            <w:webHidden/>
          </w:rPr>
          <w:instrText xml:space="preserve"> PAGEREF _Toc487641772 \h </w:instrText>
        </w:r>
        <w:r w:rsidR="00C024BD" w:rsidRPr="001627D7">
          <w:rPr>
            <w:noProof/>
            <w:webHidden/>
          </w:rPr>
        </w:r>
        <w:r w:rsidR="00C024BD" w:rsidRPr="001627D7">
          <w:rPr>
            <w:noProof/>
            <w:webHidden/>
          </w:rPr>
          <w:fldChar w:fldCharType="separate"/>
        </w:r>
        <w:r w:rsidR="006C5B9E">
          <w:rPr>
            <w:noProof/>
            <w:webHidden/>
          </w:rPr>
          <w:t>10</w:t>
        </w:r>
        <w:r w:rsidR="00C024BD" w:rsidRPr="001627D7">
          <w:rPr>
            <w:noProof/>
            <w:webHidden/>
          </w:rPr>
          <w:fldChar w:fldCharType="end"/>
        </w:r>
      </w:hyperlink>
    </w:p>
    <w:p w14:paraId="08D21AB0" w14:textId="66F66712" w:rsidR="00C024BD" w:rsidRPr="00A67F27" w:rsidRDefault="00B37E92">
      <w:pPr>
        <w:pStyle w:val="TM2"/>
        <w:tabs>
          <w:tab w:val="left" w:pos="1440"/>
        </w:tabs>
        <w:rPr>
          <w:rFonts w:asciiTheme="minorHAnsi" w:eastAsiaTheme="minorEastAsia" w:hAnsiTheme="minorHAnsi" w:cstheme="minorBidi"/>
          <w:noProof/>
          <w:sz w:val="22"/>
          <w:szCs w:val="22"/>
          <w:lang w:eastAsia="zh-CN"/>
        </w:rPr>
      </w:pPr>
      <w:hyperlink w:anchor="_Toc487641773" w:history="1">
        <w:r w:rsidR="00C024BD" w:rsidRPr="001627D7">
          <w:rPr>
            <w:rStyle w:val="Lienhypertexte"/>
            <w:noProof/>
          </w:rPr>
          <w:t>5.</w:t>
        </w:r>
        <w:r w:rsidR="00C024BD" w:rsidRPr="001627D7">
          <w:rPr>
            <w:rFonts w:asciiTheme="minorHAnsi" w:eastAsiaTheme="minorEastAsia" w:hAnsiTheme="minorHAnsi" w:cstheme="minorBidi"/>
            <w:noProof/>
            <w:sz w:val="22"/>
            <w:szCs w:val="22"/>
            <w:lang w:eastAsia="zh-CN"/>
          </w:rPr>
          <w:tab/>
        </w:r>
        <w:r w:rsidR="00C024BD" w:rsidRPr="00043C85">
          <w:rPr>
            <w:rStyle w:val="Lienhypertexte"/>
            <w:noProof/>
          </w:rPr>
          <w:t>Matériaux, matériels et Services répondant aux critères de provenance</w:t>
        </w:r>
        <w:r w:rsidR="00C024BD" w:rsidRPr="00442531">
          <w:rPr>
            <w:noProof/>
            <w:webHidden/>
          </w:rPr>
          <w:tab/>
        </w:r>
        <w:r w:rsidR="00C024BD" w:rsidRPr="001627D7">
          <w:rPr>
            <w:noProof/>
            <w:webHidden/>
          </w:rPr>
          <w:fldChar w:fldCharType="begin"/>
        </w:r>
        <w:r w:rsidR="00C024BD" w:rsidRPr="00A67F27">
          <w:rPr>
            <w:noProof/>
            <w:webHidden/>
          </w:rPr>
          <w:instrText xml:space="preserve"> PAGEREF _Toc487641773 \h </w:instrText>
        </w:r>
        <w:r w:rsidR="00C024BD" w:rsidRPr="001627D7">
          <w:rPr>
            <w:noProof/>
            <w:webHidden/>
          </w:rPr>
        </w:r>
        <w:r w:rsidR="00C024BD" w:rsidRPr="001627D7">
          <w:rPr>
            <w:noProof/>
            <w:webHidden/>
          </w:rPr>
          <w:fldChar w:fldCharType="separate"/>
        </w:r>
        <w:r w:rsidR="006C5B9E">
          <w:rPr>
            <w:noProof/>
            <w:webHidden/>
          </w:rPr>
          <w:t>12</w:t>
        </w:r>
        <w:r w:rsidR="00C024BD" w:rsidRPr="001627D7">
          <w:rPr>
            <w:noProof/>
            <w:webHidden/>
          </w:rPr>
          <w:fldChar w:fldCharType="end"/>
        </w:r>
      </w:hyperlink>
    </w:p>
    <w:p w14:paraId="7F5682DD" w14:textId="5CD98A11" w:rsidR="00C024BD" w:rsidRPr="00A67F27" w:rsidRDefault="00B37E92">
      <w:pPr>
        <w:pStyle w:val="TM1"/>
        <w:rPr>
          <w:rFonts w:asciiTheme="minorHAnsi" w:eastAsiaTheme="minorEastAsia" w:hAnsiTheme="minorHAnsi" w:cstheme="minorBidi"/>
          <w:b w:val="0"/>
          <w:noProof/>
          <w:sz w:val="22"/>
          <w:szCs w:val="22"/>
          <w:lang w:eastAsia="zh-CN"/>
        </w:rPr>
      </w:pPr>
      <w:hyperlink w:anchor="_Toc487641774" w:history="1">
        <w:r w:rsidR="00C024BD" w:rsidRPr="001627D7">
          <w:rPr>
            <w:rStyle w:val="Lienhypertexte"/>
            <w:noProof/>
          </w:rPr>
          <w:t xml:space="preserve">B. </w:t>
        </w:r>
        <w:r w:rsidR="00C024BD" w:rsidRPr="001627D7">
          <w:rPr>
            <w:rFonts w:asciiTheme="minorHAnsi" w:eastAsiaTheme="minorEastAsia" w:hAnsiTheme="minorHAnsi" w:cstheme="minorBidi"/>
            <w:b w:val="0"/>
            <w:noProof/>
            <w:sz w:val="22"/>
            <w:szCs w:val="22"/>
            <w:lang w:eastAsia="zh-CN"/>
          </w:rPr>
          <w:tab/>
        </w:r>
        <w:r w:rsidR="00C024BD" w:rsidRPr="00043C85">
          <w:rPr>
            <w:rStyle w:val="Lienhypertexte"/>
            <w:noProof/>
          </w:rPr>
          <w:t>Contenu du Dossier d’Appel d’offres</w:t>
        </w:r>
        <w:r w:rsidR="00C024BD" w:rsidRPr="00442531">
          <w:rPr>
            <w:noProof/>
            <w:webHidden/>
          </w:rPr>
          <w:tab/>
        </w:r>
        <w:r w:rsidR="00C024BD" w:rsidRPr="001627D7">
          <w:rPr>
            <w:noProof/>
            <w:webHidden/>
          </w:rPr>
          <w:fldChar w:fldCharType="begin"/>
        </w:r>
        <w:r w:rsidR="00C024BD" w:rsidRPr="00A67F27">
          <w:rPr>
            <w:noProof/>
            <w:webHidden/>
          </w:rPr>
          <w:instrText xml:space="preserve"> PAGEREF _Toc487641774 \h </w:instrText>
        </w:r>
        <w:r w:rsidR="00C024BD" w:rsidRPr="001627D7">
          <w:rPr>
            <w:noProof/>
            <w:webHidden/>
          </w:rPr>
        </w:r>
        <w:r w:rsidR="00C024BD" w:rsidRPr="001627D7">
          <w:rPr>
            <w:noProof/>
            <w:webHidden/>
          </w:rPr>
          <w:fldChar w:fldCharType="separate"/>
        </w:r>
        <w:r w:rsidR="006C5B9E">
          <w:rPr>
            <w:noProof/>
            <w:webHidden/>
          </w:rPr>
          <w:t>12</w:t>
        </w:r>
        <w:r w:rsidR="00C024BD" w:rsidRPr="001627D7">
          <w:rPr>
            <w:noProof/>
            <w:webHidden/>
          </w:rPr>
          <w:fldChar w:fldCharType="end"/>
        </w:r>
      </w:hyperlink>
    </w:p>
    <w:p w14:paraId="34E74994" w14:textId="33C30D3C" w:rsidR="00C024BD" w:rsidRPr="00A67F27" w:rsidRDefault="00B37E92">
      <w:pPr>
        <w:pStyle w:val="TM2"/>
        <w:tabs>
          <w:tab w:val="left" w:pos="1440"/>
        </w:tabs>
        <w:rPr>
          <w:rFonts w:asciiTheme="minorHAnsi" w:eastAsiaTheme="minorEastAsia" w:hAnsiTheme="minorHAnsi" w:cstheme="minorBidi"/>
          <w:noProof/>
          <w:sz w:val="22"/>
          <w:szCs w:val="22"/>
          <w:lang w:eastAsia="zh-CN"/>
        </w:rPr>
      </w:pPr>
      <w:hyperlink w:anchor="_Toc487641775" w:history="1">
        <w:r w:rsidR="00C024BD" w:rsidRPr="001627D7">
          <w:rPr>
            <w:rStyle w:val="Lienhypertexte"/>
            <w:noProof/>
          </w:rPr>
          <w:t>6.</w:t>
        </w:r>
        <w:r w:rsidR="00C024BD" w:rsidRPr="001627D7">
          <w:rPr>
            <w:rFonts w:asciiTheme="minorHAnsi" w:eastAsiaTheme="minorEastAsia" w:hAnsiTheme="minorHAnsi" w:cstheme="minorBidi"/>
            <w:noProof/>
            <w:sz w:val="22"/>
            <w:szCs w:val="22"/>
            <w:lang w:eastAsia="zh-CN"/>
          </w:rPr>
          <w:tab/>
        </w:r>
        <w:r w:rsidR="00C024BD" w:rsidRPr="00043C85">
          <w:rPr>
            <w:rStyle w:val="Lienhypertexte"/>
            <w:noProof/>
          </w:rPr>
          <w:t>Sections du Dossier d’Appel d’Offres</w:t>
        </w:r>
        <w:r w:rsidR="00C024BD" w:rsidRPr="00442531">
          <w:rPr>
            <w:noProof/>
            <w:webHidden/>
          </w:rPr>
          <w:tab/>
        </w:r>
        <w:r w:rsidR="00C024BD" w:rsidRPr="001627D7">
          <w:rPr>
            <w:noProof/>
            <w:webHidden/>
          </w:rPr>
          <w:fldChar w:fldCharType="begin"/>
        </w:r>
        <w:r w:rsidR="00C024BD" w:rsidRPr="00A67F27">
          <w:rPr>
            <w:noProof/>
            <w:webHidden/>
          </w:rPr>
          <w:instrText xml:space="preserve"> PAGEREF _Toc487641775 \h </w:instrText>
        </w:r>
        <w:r w:rsidR="00C024BD" w:rsidRPr="001627D7">
          <w:rPr>
            <w:noProof/>
            <w:webHidden/>
          </w:rPr>
        </w:r>
        <w:r w:rsidR="00C024BD" w:rsidRPr="001627D7">
          <w:rPr>
            <w:noProof/>
            <w:webHidden/>
          </w:rPr>
          <w:fldChar w:fldCharType="separate"/>
        </w:r>
        <w:r w:rsidR="006C5B9E">
          <w:rPr>
            <w:noProof/>
            <w:webHidden/>
          </w:rPr>
          <w:t>12</w:t>
        </w:r>
        <w:r w:rsidR="00C024BD" w:rsidRPr="001627D7">
          <w:rPr>
            <w:noProof/>
            <w:webHidden/>
          </w:rPr>
          <w:fldChar w:fldCharType="end"/>
        </w:r>
      </w:hyperlink>
    </w:p>
    <w:p w14:paraId="27FE7ED2" w14:textId="04F0CF18" w:rsidR="00C024BD" w:rsidRPr="00A67F27" w:rsidRDefault="00B37E92">
      <w:pPr>
        <w:pStyle w:val="TM2"/>
        <w:tabs>
          <w:tab w:val="left" w:pos="1440"/>
        </w:tabs>
        <w:rPr>
          <w:rFonts w:asciiTheme="minorHAnsi" w:eastAsiaTheme="minorEastAsia" w:hAnsiTheme="minorHAnsi" w:cstheme="minorBidi"/>
          <w:noProof/>
          <w:sz w:val="22"/>
          <w:szCs w:val="22"/>
          <w:lang w:eastAsia="zh-CN"/>
        </w:rPr>
      </w:pPr>
      <w:hyperlink w:anchor="_Toc487641776" w:history="1">
        <w:r w:rsidR="00C024BD" w:rsidRPr="001627D7">
          <w:rPr>
            <w:rStyle w:val="Lienhypertexte"/>
            <w:noProof/>
          </w:rPr>
          <w:t>7.</w:t>
        </w:r>
        <w:r w:rsidR="00C024BD" w:rsidRPr="001627D7">
          <w:rPr>
            <w:rFonts w:asciiTheme="minorHAnsi" w:eastAsiaTheme="minorEastAsia" w:hAnsiTheme="minorHAnsi" w:cstheme="minorBidi"/>
            <w:noProof/>
            <w:sz w:val="22"/>
            <w:szCs w:val="22"/>
            <w:lang w:eastAsia="zh-CN"/>
          </w:rPr>
          <w:tab/>
        </w:r>
        <w:r w:rsidR="00C024BD" w:rsidRPr="00043C85">
          <w:rPr>
            <w:rStyle w:val="Lienhypertexte"/>
            <w:noProof/>
          </w:rPr>
          <w:t>Éclaircisse-ments apportés au Dossier d’Appel d’Offres, visite du site et réunion préparatoire</w:t>
        </w:r>
        <w:r w:rsidR="00C024BD" w:rsidRPr="00442531">
          <w:rPr>
            <w:noProof/>
            <w:webHidden/>
          </w:rPr>
          <w:tab/>
        </w:r>
        <w:r w:rsidR="00C024BD" w:rsidRPr="001627D7">
          <w:rPr>
            <w:noProof/>
            <w:webHidden/>
          </w:rPr>
          <w:fldChar w:fldCharType="begin"/>
        </w:r>
        <w:r w:rsidR="00C024BD" w:rsidRPr="00A67F27">
          <w:rPr>
            <w:noProof/>
            <w:webHidden/>
          </w:rPr>
          <w:instrText xml:space="preserve"> PAGEREF _Toc487641776 \h </w:instrText>
        </w:r>
        <w:r w:rsidR="00C024BD" w:rsidRPr="001627D7">
          <w:rPr>
            <w:noProof/>
            <w:webHidden/>
          </w:rPr>
        </w:r>
        <w:r w:rsidR="00C024BD" w:rsidRPr="001627D7">
          <w:rPr>
            <w:noProof/>
            <w:webHidden/>
          </w:rPr>
          <w:fldChar w:fldCharType="separate"/>
        </w:r>
        <w:r w:rsidR="006C5B9E">
          <w:rPr>
            <w:noProof/>
            <w:webHidden/>
          </w:rPr>
          <w:t>13</w:t>
        </w:r>
        <w:r w:rsidR="00C024BD" w:rsidRPr="001627D7">
          <w:rPr>
            <w:noProof/>
            <w:webHidden/>
          </w:rPr>
          <w:fldChar w:fldCharType="end"/>
        </w:r>
      </w:hyperlink>
    </w:p>
    <w:p w14:paraId="6953FFC6" w14:textId="74A9644B" w:rsidR="00C024BD" w:rsidRPr="00A67F27" w:rsidRDefault="00B37E92">
      <w:pPr>
        <w:pStyle w:val="TM2"/>
        <w:tabs>
          <w:tab w:val="left" w:pos="1440"/>
        </w:tabs>
        <w:rPr>
          <w:rFonts w:asciiTheme="minorHAnsi" w:eastAsiaTheme="minorEastAsia" w:hAnsiTheme="minorHAnsi" w:cstheme="minorBidi"/>
          <w:noProof/>
          <w:sz w:val="22"/>
          <w:szCs w:val="22"/>
          <w:lang w:eastAsia="zh-CN"/>
        </w:rPr>
      </w:pPr>
      <w:hyperlink w:anchor="_Toc487641777" w:history="1">
        <w:r w:rsidR="00C024BD" w:rsidRPr="001627D7">
          <w:rPr>
            <w:rStyle w:val="Lienhypertexte"/>
            <w:noProof/>
          </w:rPr>
          <w:t>8.</w:t>
        </w:r>
        <w:r w:rsidR="00C024BD" w:rsidRPr="001627D7">
          <w:rPr>
            <w:rFonts w:asciiTheme="minorHAnsi" w:eastAsiaTheme="minorEastAsia" w:hAnsiTheme="minorHAnsi" w:cstheme="minorBidi"/>
            <w:noProof/>
            <w:sz w:val="22"/>
            <w:szCs w:val="22"/>
            <w:lang w:eastAsia="zh-CN"/>
          </w:rPr>
          <w:tab/>
        </w:r>
        <w:r w:rsidR="00C024BD" w:rsidRPr="00043C85">
          <w:rPr>
            <w:rStyle w:val="Lienhypertexte"/>
            <w:noProof/>
          </w:rPr>
          <w:t>Modifications apportées au Dossier d’Appel d’Offres</w:t>
        </w:r>
        <w:r w:rsidR="00C024BD" w:rsidRPr="00442531">
          <w:rPr>
            <w:noProof/>
            <w:webHidden/>
          </w:rPr>
          <w:tab/>
        </w:r>
        <w:r w:rsidR="00C024BD" w:rsidRPr="001627D7">
          <w:rPr>
            <w:noProof/>
            <w:webHidden/>
          </w:rPr>
          <w:fldChar w:fldCharType="begin"/>
        </w:r>
        <w:r w:rsidR="00C024BD" w:rsidRPr="00A67F27">
          <w:rPr>
            <w:noProof/>
            <w:webHidden/>
          </w:rPr>
          <w:instrText xml:space="preserve"> PAGEREF _Toc487641777 \h </w:instrText>
        </w:r>
        <w:r w:rsidR="00C024BD" w:rsidRPr="001627D7">
          <w:rPr>
            <w:noProof/>
            <w:webHidden/>
          </w:rPr>
        </w:r>
        <w:r w:rsidR="00C024BD" w:rsidRPr="001627D7">
          <w:rPr>
            <w:noProof/>
            <w:webHidden/>
          </w:rPr>
          <w:fldChar w:fldCharType="separate"/>
        </w:r>
        <w:r w:rsidR="006C5B9E">
          <w:rPr>
            <w:noProof/>
            <w:webHidden/>
          </w:rPr>
          <w:t>14</w:t>
        </w:r>
        <w:r w:rsidR="00C024BD" w:rsidRPr="001627D7">
          <w:rPr>
            <w:noProof/>
            <w:webHidden/>
          </w:rPr>
          <w:fldChar w:fldCharType="end"/>
        </w:r>
      </w:hyperlink>
    </w:p>
    <w:p w14:paraId="568845B1" w14:textId="4CDF7C5A" w:rsidR="00C024BD" w:rsidRPr="00A67F27" w:rsidRDefault="00B37E92">
      <w:pPr>
        <w:pStyle w:val="TM1"/>
        <w:rPr>
          <w:rFonts w:asciiTheme="minorHAnsi" w:eastAsiaTheme="minorEastAsia" w:hAnsiTheme="minorHAnsi" w:cstheme="minorBidi"/>
          <w:b w:val="0"/>
          <w:noProof/>
          <w:sz w:val="22"/>
          <w:szCs w:val="22"/>
          <w:lang w:eastAsia="zh-CN"/>
        </w:rPr>
      </w:pPr>
      <w:hyperlink w:anchor="_Toc487641778" w:history="1">
        <w:r w:rsidR="00C024BD" w:rsidRPr="001627D7">
          <w:rPr>
            <w:rStyle w:val="Lienhypertexte"/>
            <w:noProof/>
          </w:rPr>
          <w:t xml:space="preserve">C. </w:t>
        </w:r>
        <w:r w:rsidR="00C024BD" w:rsidRPr="001627D7">
          <w:rPr>
            <w:rFonts w:asciiTheme="minorHAnsi" w:eastAsiaTheme="minorEastAsia" w:hAnsiTheme="minorHAnsi" w:cstheme="minorBidi"/>
            <w:b w:val="0"/>
            <w:noProof/>
            <w:sz w:val="22"/>
            <w:szCs w:val="22"/>
            <w:lang w:eastAsia="zh-CN"/>
          </w:rPr>
          <w:tab/>
        </w:r>
        <w:r w:rsidR="00C024BD" w:rsidRPr="00043C85">
          <w:rPr>
            <w:rStyle w:val="Lienhypertexte"/>
            <w:noProof/>
          </w:rPr>
          <w:t>Préparation des offres</w:t>
        </w:r>
        <w:r w:rsidR="00C024BD" w:rsidRPr="00442531">
          <w:rPr>
            <w:noProof/>
            <w:webHidden/>
          </w:rPr>
          <w:tab/>
        </w:r>
        <w:r w:rsidR="00C024BD" w:rsidRPr="001627D7">
          <w:rPr>
            <w:noProof/>
            <w:webHidden/>
          </w:rPr>
          <w:fldChar w:fldCharType="begin"/>
        </w:r>
        <w:r w:rsidR="00C024BD" w:rsidRPr="00A67F27">
          <w:rPr>
            <w:noProof/>
            <w:webHidden/>
          </w:rPr>
          <w:instrText xml:space="preserve"> PAGEREF _Toc487641778 \h </w:instrText>
        </w:r>
        <w:r w:rsidR="00C024BD" w:rsidRPr="001627D7">
          <w:rPr>
            <w:noProof/>
            <w:webHidden/>
          </w:rPr>
        </w:r>
        <w:r w:rsidR="00C024BD" w:rsidRPr="001627D7">
          <w:rPr>
            <w:noProof/>
            <w:webHidden/>
          </w:rPr>
          <w:fldChar w:fldCharType="separate"/>
        </w:r>
        <w:r w:rsidR="006C5B9E">
          <w:rPr>
            <w:noProof/>
            <w:webHidden/>
          </w:rPr>
          <w:t>15</w:t>
        </w:r>
        <w:r w:rsidR="00C024BD" w:rsidRPr="001627D7">
          <w:rPr>
            <w:noProof/>
            <w:webHidden/>
          </w:rPr>
          <w:fldChar w:fldCharType="end"/>
        </w:r>
      </w:hyperlink>
    </w:p>
    <w:p w14:paraId="44E66D52" w14:textId="3CB6F9B5" w:rsidR="00C024BD" w:rsidRPr="00A67F27" w:rsidRDefault="00B37E92">
      <w:pPr>
        <w:pStyle w:val="TM2"/>
        <w:tabs>
          <w:tab w:val="left" w:pos="1440"/>
        </w:tabs>
        <w:rPr>
          <w:rFonts w:asciiTheme="minorHAnsi" w:eastAsiaTheme="minorEastAsia" w:hAnsiTheme="minorHAnsi" w:cstheme="minorBidi"/>
          <w:noProof/>
          <w:sz w:val="22"/>
          <w:szCs w:val="22"/>
          <w:lang w:eastAsia="zh-CN"/>
        </w:rPr>
      </w:pPr>
      <w:hyperlink w:anchor="_Toc487641779" w:history="1">
        <w:r w:rsidR="00C024BD" w:rsidRPr="001627D7">
          <w:rPr>
            <w:rStyle w:val="Lienhypertexte"/>
            <w:noProof/>
          </w:rPr>
          <w:t>9.</w:t>
        </w:r>
        <w:r w:rsidR="00C024BD" w:rsidRPr="001627D7">
          <w:rPr>
            <w:rFonts w:asciiTheme="minorHAnsi" w:eastAsiaTheme="minorEastAsia" w:hAnsiTheme="minorHAnsi" w:cstheme="minorBidi"/>
            <w:noProof/>
            <w:sz w:val="22"/>
            <w:szCs w:val="22"/>
            <w:lang w:eastAsia="zh-CN"/>
          </w:rPr>
          <w:tab/>
        </w:r>
        <w:r w:rsidR="00C024BD" w:rsidRPr="00043C85">
          <w:rPr>
            <w:rStyle w:val="Lienhypertexte"/>
            <w:noProof/>
          </w:rPr>
          <w:t>Frais afférents à la soumission</w:t>
        </w:r>
        <w:r w:rsidR="00C024BD" w:rsidRPr="00442531">
          <w:rPr>
            <w:noProof/>
            <w:webHidden/>
          </w:rPr>
          <w:tab/>
        </w:r>
        <w:r w:rsidR="00C024BD" w:rsidRPr="001627D7">
          <w:rPr>
            <w:noProof/>
            <w:webHidden/>
          </w:rPr>
          <w:fldChar w:fldCharType="begin"/>
        </w:r>
        <w:r w:rsidR="00C024BD" w:rsidRPr="00A67F27">
          <w:rPr>
            <w:noProof/>
            <w:webHidden/>
          </w:rPr>
          <w:instrText xml:space="preserve"> PAGEREF _Toc487641779 \h </w:instrText>
        </w:r>
        <w:r w:rsidR="00C024BD" w:rsidRPr="001627D7">
          <w:rPr>
            <w:noProof/>
            <w:webHidden/>
          </w:rPr>
        </w:r>
        <w:r w:rsidR="00C024BD" w:rsidRPr="001627D7">
          <w:rPr>
            <w:noProof/>
            <w:webHidden/>
          </w:rPr>
          <w:fldChar w:fldCharType="separate"/>
        </w:r>
        <w:r w:rsidR="006C5B9E">
          <w:rPr>
            <w:noProof/>
            <w:webHidden/>
          </w:rPr>
          <w:t>15</w:t>
        </w:r>
        <w:r w:rsidR="00C024BD" w:rsidRPr="001627D7">
          <w:rPr>
            <w:noProof/>
            <w:webHidden/>
          </w:rPr>
          <w:fldChar w:fldCharType="end"/>
        </w:r>
      </w:hyperlink>
    </w:p>
    <w:p w14:paraId="56FCAA58" w14:textId="6DE188A0" w:rsidR="00C024BD" w:rsidRPr="00A67F27" w:rsidRDefault="00B37E92">
      <w:pPr>
        <w:pStyle w:val="TM2"/>
        <w:tabs>
          <w:tab w:val="left" w:pos="1440"/>
        </w:tabs>
        <w:rPr>
          <w:rFonts w:asciiTheme="minorHAnsi" w:eastAsiaTheme="minorEastAsia" w:hAnsiTheme="minorHAnsi" w:cstheme="minorBidi"/>
          <w:noProof/>
          <w:sz w:val="22"/>
          <w:szCs w:val="22"/>
          <w:lang w:eastAsia="zh-CN"/>
        </w:rPr>
      </w:pPr>
      <w:hyperlink w:anchor="_Toc487641780" w:history="1">
        <w:r w:rsidR="00C024BD" w:rsidRPr="001627D7">
          <w:rPr>
            <w:rStyle w:val="Lienhypertexte"/>
            <w:noProof/>
          </w:rPr>
          <w:t>10.</w:t>
        </w:r>
        <w:r w:rsidR="00C024BD" w:rsidRPr="00043C85">
          <w:rPr>
            <w:rFonts w:asciiTheme="minorHAnsi" w:eastAsiaTheme="minorEastAsia" w:hAnsiTheme="minorHAnsi" w:cstheme="minorBidi"/>
            <w:noProof/>
            <w:sz w:val="22"/>
            <w:szCs w:val="22"/>
            <w:lang w:eastAsia="zh-CN"/>
          </w:rPr>
          <w:tab/>
        </w:r>
        <w:r w:rsidR="00C024BD" w:rsidRPr="00442531">
          <w:rPr>
            <w:rStyle w:val="Lienhypertexte"/>
            <w:noProof/>
          </w:rPr>
          <w:t>Langue de l’offre</w:t>
        </w:r>
        <w:r w:rsidR="00C024BD" w:rsidRPr="00442531">
          <w:rPr>
            <w:noProof/>
            <w:webHidden/>
          </w:rPr>
          <w:tab/>
        </w:r>
        <w:r w:rsidR="00C024BD" w:rsidRPr="001627D7">
          <w:rPr>
            <w:noProof/>
            <w:webHidden/>
          </w:rPr>
          <w:fldChar w:fldCharType="begin"/>
        </w:r>
        <w:r w:rsidR="00C024BD" w:rsidRPr="00A67F27">
          <w:rPr>
            <w:noProof/>
            <w:webHidden/>
          </w:rPr>
          <w:instrText xml:space="preserve"> PAGEREF _Toc487641780 \h </w:instrText>
        </w:r>
        <w:r w:rsidR="00C024BD" w:rsidRPr="001627D7">
          <w:rPr>
            <w:noProof/>
            <w:webHidden/>
          </w:rPr>
        </w:r>
        <w:r w:rsidR="00C024BD" w:rsidRPr="001627D7">
          <w:rPr>
            <w:noProof/>
            <w:webHidden/>
          </w:rPr>
          <w:fldChar w:fldCharType="separate"/>
        </w:r>
        <w:r w:rsidR="006C5B9E">
          <w:rPr>
            <w:noProof/>
            <w:webHidden/>
          </w:rPr>
          <w:t>15</w:t>
        </w:r>
        <w:r w:rsidR="00C024BD" w:rsidRPr="001627D7">
          <w:rPr>
            <w:noProof/>
            <w:webHidden/>
          </w:rPr>
          <w:fldChar w:fldCharType="end"/>
        </w:r>
      </w:hyperlink>
    </w:p>
    <w:p w14:paraId="361FDDB7" w14:textId="3079CC5F" w:rsidR="00C024BD" w:rsidRPr="00A67F27" w:rsidRDefault="00B37E92">
      <w:pPr>
        <w:pStyle w:val="TM2"/>
        <w:tabs>
          <w:tab w:val="left" w:pos="1440"/>
        </w:tabs>
        <w:rPr>
          <w:rFonts w:asciiTheme="minorHAnsi" w:eastAsiaTheme="minorEastAsia" w:hAnsiTheme="minorHAnsi" w:cstheme="minorBidi"/>
          <w:noProof/>
          <w:sz w:val="22"/>
          <w:szCs w:val="22"/>
          <w:lang w:eastAsia="zh-CN"/>
        </w:rPr>
      </w:pPr>
      <w:hyperlink w:anchor="_Toc487641781" w:history="1">
        <w:r w:rsidR="00C024BD" w:rsidRPr="001627D7">
          <w:rPr>
            <w:rStyle w:val="Lienhypertexte"/>
            <w:noProof/>
          </w:rPr>
          <w:t>11.</w:t>
        </w:r>
        <w:r w:rsidR="00C024BD" w:rsidRPr="001627D7">
          <w:rPr>
            <w:rFonts w:asciiTheme="minorHAnsi" w:eastAsiaTheme="minorEastAsia" w:hAnsiTheme="minorHAnsi" w:cstheme="minorBidi"/>
            <w:noProof/>
            <w:sz w:val="22"/>
            <w:szCs w:val="22"/>
            <w:lang w:eastAsia="zh-CN"/>
          </w:rPr>
          <w:tab/>
        </w:r>
        <w:r w:rsidR="00C024BD" w:rsidRPr="00043C85">
          <w:rPr>
            <w:rStyle w:val="Lienhypertexte"/>
            <w:noProof/>
          </w:rPr>
          <w:t>Documents constitutifs de l’offre</w:t>
        </w:r>
        <w:r w:rsidR="00C024BD" w:rsidRPr="00442531">
          <w:rPr>
            <w:noProof/>
            <w:webHidden/>
          </w:rPr>
          <w:tab/>
        </w:r>
        <w:r w:rsidR="00C024BD" w:rsidRPr="001627D7">
          <w:rPr>
            <w:noProof/>
            <w:webHidden/>
          </w:rPr>
          <w:fldChar w:fldCharType="begin"/>
        </w:r>
        <w:r w:rsidR="00C024BD" w:rsidRPr="00A67F27">
          <w:rPr>
            <w:noProof/>
            <w:webHidden/>
          </w:rPr>
          <w:instrText xml:space="preserve"> PAGEREF _Toc487641781 \h </w:instrText>
        </w:r>
        <w:r w:rsidR="00C024BD" w:rsidRPr="001627D7">
          <w:rPr>
            <w:noProof/>
            <w:webHidden/>
          </w:rPr>
        </w:r>
        <w:r w:rsidR="00C024BD" w:rsidRPr="001627D7">
          <w:rPr>
            <w:noProof/>
            <w:webHidden/>
          </w:rPr>
          <w:fldChar w:fldCharType="separate"/>
        </w:r>
        <w:r w:rsidR="006C5B9E">
          <w:rPr>
            <w:noProof/>
            <w:webHidden/>
          </w:rPr>
          <w:t>15</w:t>
        </w:r>
        <w:r w:rsidR="00C024BD" w:rsidRPr="001627D7">
          <w:rPr>
            <w:noProof/>
            <w:webHidden/>
          </w:rPr>
          <w:fldChar w:fldCharType="end"/>
        </w:r>
      </w:hyperlink>
    </w:p>
    <w:p w14:paraId="7F8996F5" w14:textId="2436D783" w:rsidR="00C024BD" w:rsidRPr="00A67F27" w:rsidRDefault="00B37E92">
      <w:pPr>
        <w:pStyle w:val="TM2"/>
        <w:tabs>
          <w:tab w:val="left" w:pos="1440"/>
        </w:tabs>
        <w:rPr>
          <w:rFonts w:asciiTheme="minorHAnsi" w:eastAsiaTheme="minorEastAsia" w:hAnsiTheme="minorHAnsi" w:cstheme="minorBidi"/>
          <w:noProof/>
          <w:sz w:val="22"/>
          <w:szCs w:val="22"/>
          <w:lang w:eastAsia="zh-CN"/>
        </w:rPr>
      </w:pPr>
      <w:hyperlink w:anchor="_Toc487641782" w:history="1">
        <w:r w:rsidR="00C024BD" w:rsidRPr="001627D7">
          <w:rPr>
            <w:rStyle w:val="Lienhypertexte"/>
            <w:noProof/>
          </w:rPr>
          <w:t>12.</w:t>
        </w:r>
        <w:r w:rsidR="00C024BD" w:rsidRPr="001627D7">
          <w:rPr>
            <w:rFonts w:asciiTheme="minorHAnsi" w:eastAsiaTheme="minorEastAsia" w:hAnsiTheme="minorHAnsi" w:cstheme="minorBidi"/>
            <w:noProof/>
            <w:sz w:val="22"/>
            <w:szCs w:val="22"/>
            <w:lang w:eastAsia="zh-CN"/>
          </w:rPr>
          <w:tab/>
        </w:r>
        <w:r w:rsidR="00C024BD" w:rsidRPr="00043C85">
          <w:rPr>
            <w:rStyle w:val="Lienhypertexte"/>
            <w:noProof/>
          </w:rPr>
          <w:t>Lettre de soumission, et annexes</w:t>
        </w:r>
        <w:r w:rsidR="00C024BD" w:rsidRPr="00442531">
          <w:rPr>
            <w:noProof/>
            <w:webHidden/>
          </w:rPr>
          <w:tab/>
        </w:r>
        <w:r w:rsidR="00C024BD" w:rsidRPr="001627D7">
          <w:rPr>
            <w:noProof/>
            <w:webHidden/>
          </w:rPr>
          <w:fldChar w:fldCharType="begin"/>
        </w:r>
        <w:r w:rsidR="00C024BD" w:rsidRPr="00A67F27">
          <w:rPr>
            <w:noProof/>
            <w:webHidden/>
          </w:rPr>
          <w:instrText xml:space="preserve"> PAGEREF _Toc487641782 \h </w:instrText>
        </w:r>
        <w:r w:rsidR="00C024BD" w:rsidRPr="001627D7">
          <w:rPr>
            <w:noProof/>
            <w:webHidden/>
          </w:rPr>
        </w:r>
        <w:r w:rsidR="00C024BD" w:rsidRPr="001627D7">
          <w:rPr>
            <w:noProof/>
            <w:webHidden/>
          </w:rPr>
          <w:fldChar w:fldCharType="separate"/>
        </w:r>
        <w:r w:rsidR="006C5B9E">
          <w:rPr>
            <w:noProof/>
            <w:webHidden/>
          </w:rPr>
          <w:t>15</w:t>
        </w:r>
        <w:r w:rsidR="00C024BD" w:rsidRPr="001627D7">
          <w:rPr>
            <w:noProof/>
            <w:webHidden/>
          </w:rPr>
          <w:fldChar w:fldCharType="end"/>
        </w:r>
      </w:hyperlink>
    </w:p>
    <w:p w14:paraId="5C714145" w14:textId="1949D5ED" w:rsidR="00C024BD" w:rsidRPr="00A67F27" w:rsidRDefault="00B37E92">
      <w:pPr>
        <w:pStyle w:val="TM2"/>
        <w:tabs>
          <w:tab w:val="left" w:pos="1440"/>
        </w:tabs>
        <w:rPr>
          <w:rFonts w:asciiTheme="minorHAnsi" w:eastAsiaTheme="minorEastAsia" w:hAnsiTheme="minorHAnsi" w:cstheme="minorBidi"/>
          <w:noProof/>
          <w:sz w:val="22"/>
          <w:szCs w:val="22"/>
          <w:lang w:eastAsia="zh-CN"/>
        </w:rPr>
      </w:pPr>
      <w:hyperlink w:anchor="_Toc487641783" w:history="1">
        <w:r w:rsidR="00C024BD" w:rsidRPr="001627D7">
          <w:rPr>
            <w:rStyle w:val="Lienhypertexte"/>
            <w:noProof/>
          </w:rPr>
          <w:t>13.</w:t>
        </w:r>
        <w:r w:rsidR="00C024BD" w:rsidRPr="001627D7">
          <w:rPr>
            <w:rFonts w:asciiTheme="minorHAnsi" w:eastAsiaTheme="minorEastAsia" w:hAnsiTheme="minorHAnsi" w:cstheme="minorBidi"/>
            <w:noProof/>
            <w:sz w:val="22"/>
            <w:szCs w:val="22"/>
            <w:lang w:eastAsia="zh-CN"/>
          </w:rPr>
          <w:tab/>
        </w:r>
        <w:r w:rsidR="00C024BD" w:rsidRPr="00043C85">
          <w:rPr>
            <w:rStyle w:val="Lienhypertexte"/>
            <w:noProof/>
          </w:rPr>
          <w:t>Variantes</w:t>
        </w:r>
        <w:r w:rsidR="00C024BD" w:rsidRPr="00442531">
          <w:rPr>
            <w:noProof/>
            <w:webHidden/>
          </w:rPr>
          <w:tab/>
        </w:r>
        <w:r w:rsidR="00C024BD" w:rsidRPr="001627D7">
          <w:rPr>
            <w:noProof/>
            <w:webHidden/>
          </w:rPr>
          <w:fldChar w:fldCharType="begin"/>
        </w:r>
        <w:r w:rsidR="00C024BD" w:rsidRPr="00A67F27">
          <w:rPr>
            <w:noProof/>
            <w:webHidden/>
          </w:rPr>
          <w:instrText xml:space="preserve"> PAGEREF _Toc487641783 \h </w:instrText>
        </w:r>
        <w:r w:rsidR="00C024BD" w:rsidRPr="001627D7">
          <w:rPr>
            <w:noProof/>
            <w:webHidden/>
          </w:rPr>
        </w:r>
        <w:r w:rsidR="00C024BD" w:rsidRPr="001627D7">
          <w:rPr>
            <w:noProof/>
            <w:webHidden/>
          </w:rPr>
          <w:fldChar w:fldCharType="separate"/>
        </w:r>
        <w:r w:rsidR="006C5B9E">
          <w:rPr>
            <w:noProof/>
            <w:webHidden/>
          </w:rPr>
          <w:t>16</w:t>
        </w:r>
        <w:r w:rsidR="00C024BD" w:rsidRPr="001627D7">
          <w:rPr>
            <w:noProof/>
            <w:webHidden/>
          </w:rPr>
          <w:fldChar w:fldCharType="end"/>
        </w:r>
      </w:hyperlink>
    </w:p>
    <w:p w14:paraId="7FE1CF1A" w14:textId="6CB3A971" w:rsidR="00C024BD" w:rsidRPr="00A67F27" w:rsidRDefault="00B37E92">
      <w:pPr>
        <w:pStyle w:val="TM2"/>
        <w:tabs>
          <w:tab w:val="left" w:pos="1440"/>
        </w:tabs>
        <w:rPr>
          <w:rFonts w:asciiTheme="minorHAnsi" w:eastAsiaTheme="minorEastAsia" w:hAnsiTheme="minorHAnsi" w:cstheme="minorBidi"/>
          <w:noProof/>
          <w:sz w:val="22"/>
          <w:szCs w:val="22"/>
          <w:lang w:eastAsia="zh-CN"/>
        </w:rPr>
      </w:pPr>
      <w:hyperlink w:anchor="_Toc487641784" w:history="1">
        <w:r w:rsidR="00C024BD" w:rsidRPr="001627D7">
          <w:rPr>
            <w:rStyle w:val="Lienhypertexte"/>
            <w:noProof/>
          </w:rPr>
          <w:t>14.</w:t>
        </w:r>
        <w:r w:rsidR="00C024BD" w:rsidRPr="001627D7">
          <w:rPr>
            <w:rFonts w:asciiTheme="minorHAnsi" w:eastAsiaTheme="minorEastAsia" w:hAnsiTheme="minorHAnsi" w:cstheme="minorBidi"/>
            <w:noProof/>
            <w:sz w:val="22"/>
            <w:szCs w:val="22"/>
            <w:lang w:eastAsia="zh-CN"/>
          </w:rPr>
          <w:tab/>
        </w:r>
        <w:r w:rsidR="00C024BD" w:rsidRPr="00043C85">
          <w:rPr>
            <w:rStyle w:val="Lienhypertexte"/>
            <w:noProof/>
          </w:rPr>
          <w:t>Prix de l’offre et rabais</w:t>
        </w:r>
        <w:r w:rsidR="00C024BD" w:rsidRPr="00442531">
          <w:rPr>
            <w:noProof/>
            <w:webHidden/>
          </w:rPr>
          <w:tab/>
        </w:r>
        <w:r w:rsidR="00C024BD" w:rsidRPr="001627D7">
          <w:rPr>
            <w:noProof/>
            <w:webHidden/>
          </w:rPr>
          <w:fldChar w:fldCharType="begin"/>
        </w:r>
        <w:r w:rsidR="00C024BD" w:rsidRPr="00A67F27">
          <w:rPr>
            <w:noProof/>
            <w:webHidden/>
          </w:rPr>
          <w:instrText xml:space="preserve"> PAGEREF _Toc487641784 \h </w:instrText>
        </w:r>
        <w:r w:rsidR="00C024BD" w:rsidRPr="001627D7">
          <w:rPr>
            <w:noProof/>
            <w:webHidden/>
          </w:rPr>
        </w:r>
        <w:r w:rsidR="00C024BD" w:rsidRPr="001627D7">
          <w:rPr>
            <w:noProof/>
            <w:webHidden/>
          </w:rPr>
          <w:fldChar w:fldCharType="separate"/>
        </w:r>
        <w:r w:rsidR="006C5B9E">
          <w:rPr>
            <w:noProof/>
            <w:webHidden/>
          </w:rPr>
          <w:t>16</w:t>
        </w:r>
        <w:r w:rsidR="00C024BD" w:rsidRPr="001627D7">
          <w:rPr>
            <w:noProof/>
            <w:webHidden/>
          </w:rPr>
          <w:fldChar w:fldCharType="end"/>
        </w:r>
      </w:hyperlink>
    </w:p>
    <w:p w14:paraId="14D30CE3" w14:textId="78428A6E" w:rsidR="00C024BD" w:rsidRPr="00A67F27" w:rsidRDefault="00B37E92">
      <w:pPr>
        <w:pStyle w:val="TM2"/>
        <w:tabs>
          <w:tab w:val="left" w:pos="1440"/>
        </w:tabs>
        <w:rPr>
          <w:rFonts w:asciiTheme="minorHAnsi" w:eastAsiaTheme="minorEastAsia" w:hAnsiTheme="minorHAnsi" w:cstheme="minorBidi"/>
          <w:noProof/>
          <w:sz w:val="22"/>
          <w:szCs w:val="22"/>
          <w:lang w:eastAsia="zh-CN"/>
        </w:rPr>
      </w:pPr>
      <w:hyperlink w:anchor="_Toc487641785" w:history="1">
        <w:r w:rsidR="00C024BD" w:rsidRPr="001627D7">
          <w:rPr>
            <w:rStyle w:val="Lienhypertexte"/>
            <w:noProof/>
          </w:rPr>
          <w:t>15.</w:t>
        </w:r>
        <w:r w:rsidR="00C024BD" w:rsidRPr="001627D7">
          <w:rPr>
            <w:rFonts w:asciiTheme="minorHAnsi" w:eastAsiaTheme="minorEastAsia" w:hAnsiTheme="minorHAnsi" w:cstheme="minorBidi"/>
            <w:noProof/>
            <w:sz w:val="22"/>
            <w:szCs w:val="22"/>
            <w:lang w:eastAsia="zh-CN"/>
          </w:rPr>
          <w:tab/>
        </w:r>
        <w:r w:rsidR="00C024BD" w:rsidRPr="00043C85">
          <w:rPr>
            <w:rStyle w:val="Lienhypertexte"/>
            <w:noProof/>
          </w:rPr>
          <w:t>Monnaies de l</w:t>
        </w:r>
        <w:r w:rsidR="00C024BD" w:rsidRPr="00442531">
          <w:rPr>
            <w:rStyle w:val="Lienhypertexte"/>
            <w:noProof/>
          </w:rPr>
          <w:t>’offre</w:t>
        </w:r>
        <w:r w:rsidR="00C024BD" w:rsidRPr="00442531">
          <w:rPr>
            <w:noProof/>
            <w:webHidden/>
          </w:rPr>
          <w:tab/>
        </w:r>
        <w:r w:rsidR="00C024BD" w:rsidRPr="001627D7">
          <w:rPr>
            <w:noProof/>
            <w:webHidden/>
          </w:rPr>
          <w:fldChar w:fldCharType="begin"/>
        </w:r>
        <w:r w:rsidR="00C024BD" w:rsidRPr="00A67F27">
          <w:rPr>
            <w:noProof/>
            <w:webHidden/>
          </w:rPr>
          <w:instrText xml:space="preserve"> PAGEREF _Toc487641785 \h </w:instrText>
        </w:r>
        <w:r w:rsidR="00C024BD" w:rsidRPr="001627D7">
          <w:rPr>
            <w:noProof/>
            <w:webHidden/>
          </w:rPr>
        </w:r>
        <w:r w:rsidR="00C024BD" w:rsidRPr="001627D7">
          <w:rPr>
            <w:noProof/>
            <w:webHidden/>
          </w:rPr>
          <w:fldChar w:fldCharType="separate"/>
        </w:r>
        <w:r w:rsidR="006C5B9E">
          <w:rPr>
            <w:noProof/>
            <w:webHidden/>
          </w:rPr>
          <w:t>17</w:t>
        </w:r>
        <w:r w:rsidR="00C024BD" w:rsidRPr="001627D7">
          <w:rPr>
            <w:noProof/>
            <w:webHidden/>
          </w:rPr>
          <w:fldChar w:fldCharType="end"/>
        </w:r>
      </w:hyperlink>
    </w:p>
    <w:p w14:paraId="7FA21E6D" w14:textId="589094B9" w:rsidR="00C024BD" w:rsidRPr="00A67F27" w:rsidRDefault="00B37E92">
      <w:pPr>
        <w:pStyle w:val="TM2"/>
        <w:tabs>
          <w:tab w:val="left" w:pos="1440"/>
        </w:tabs>
        <w:rPr>
          <w:rFonts w:asciiTheme="minorHAnsi" w:eastAsiaTheme="minorEastAsia" w:hAnsiTheme="minorHAnsi" w:cstheme="minorBidi"/>
          <w:noProof/>
          <w:sz w:val="22"/>
          <w:szCs w:val="22"/>
          <w:lang w:eastAsia="zh-CN"/>
        </w:rPr>
      </w:pPr>
      <w:hyperlink w:anchor="_Toc487641786" w:history="1">
        <w:r w:rsidR="00C024BD" w:rsidRPr="001627D7">
          <w:rPr>
            <w:rStyle w:val="Lienhypertexte"/>
            <w:noProof/>
          </w:rPr>
          <w:t>16.</w:t>
        </w:r>
        <w:r w:rsidR="00C024BD" w:rsidRPr="001627D7">
          <w:rPr>
            <w:rFonts w:asciiTheme="minorHAnsi" w:eastAsiaTheme="minorEastAsia" w:hAnsiTheme="minorHAnsi" w:cstheme="minorBidi"/>
            <w:noProof/>
            <w:sz w:val="22"/>
            <w:szCs w:val="22"/>
            <w:lang w:eastAsia="zh-CN"/>
          </w:rPr>
          <w:tab/>
        </w:r>
        <w:r w:rsidR="00C024BD" w:rsidRPr="00043C85">
          <w:rPr>
            <w:rStyle w:val="Lienhypertexte"/>
            <w:noProof/>
          </w:rPr>
          <w:t>Documents constituant la proposition technique</w:t>
        </w:r>
        <w:r w:rsidR="00C024BD" w:rsidRPr="00442531">
          <w:rPr>
            <w:noProof/>
            <w:webHidden/>
          </w:rPr>
          <w:tab/>
        </w:r>
        <w:r w:rsidR="00C024BD" w:rsidRPr="001627D7">
          <w:rPr>
            <w:noProof/>
            <w:webHidden/>
          </w:rPr>
          <w:fldChar w:fldCharType="begin"/>
        </w:r>
        <w:r w:rsidR="00C024BD" w:rsidRPr="00A67F27">
          <w:rPr>
            <w:noProof/>
            <w:webHidden/>
          </w:rPr>
          <w:instrText xml:space="preserve"> PAGEREF _Toc487641786 \h </w:instrText>
        </w:r>
        <w:r w:rsidR="00C024BD" w:rsidRPr="001627D7">
          <w:rPr>
            <w:noProof/>
            <w:webHidden/>
          </w:rPr>
        </w:r>
        <w:r w:rsidR="00C024BD" w:rsidRPr="001627D7">
          <w:rPr>
            <w:noProof/>
            <w:webHidden/>
          </w:rPr>
          <w:fldChar w:fldCharType="separate"/>
        </w:r>
        <w:r w:rsidR="006C5B9E">
          <w:rPr>
            <w:noProof/>
            <w:webHidden/>
          </w:rPr>
          <w:t>17</w:t>
        </w:r>
        <w:r w:rsidR="00C024BD" w:rsidRPr="001627D7">
          <w:rPr>
            <w:noProof/>
            <w:webHidden/>
          </w:rPr>
          <w:fldChar w:fldCharType="end"/>
        </w:r>
      </w:hyperlink>
    </w:p>
    <w:p w14:paraId="0976441F" w14:textId="33DBBCB6" w:rsidR="00C024BD" w:rsidRPr="00A67F27" w:rsidRDefault="00B37E92" w:rsidP="00C024BD">
      <w:pPr>
        <w:pStyle w:val="TM2"/>
        <w:tabs>
          <w:tab w:val="left" w:pos="1440"/>
        </w:tabs>
        <w:rPr>
          <w:rFonts w:asciiTheme="minorHAnsi" w:eastAsiaTheme="minorEastAsia" w:hAnsiTheme="minorHAnsi" w:cstheme="minorBidi"/>
          <w:noProof/>
          <w:sz w:val="22"/>
          <w:szCs w:val="22"/>
          <w:lang w:eastAsia="zh-CN"/>
        </w:rPr>
      </w:pPr>
      <w:hyperlink w:anchor="_Toc487641787" w:history="1">
        <w:r w:rsidR="00C024BD" w:rsidRPr="001627D7">
          <w:rPr>
            <w:rStyle w:val="Lienhypertexte"/>
            <w:noProof/>
          </w:rPr>
          <w:t>17.</w:t>
        </w:r>
        <w:r w:rsidR="00C024BD" w:rsidRPr="001627D7">
          <w:rPr>
            <w:rFonts w:asciiTheme="minorHAnsi" w:eastAsiaTheme="minorEastAsia" w:hAnsiTheme="minorHAnsi" w:cstheme="minorBidi"/>
            <w:noProof/>
            <w:sz w:val="22"/>
            <w:szCs w:val="22"/>
            <w:lang w:eastAsia="zh-CN"/>
          </w:rPr>
          <w:tab/>
        </w:r>
        <w:r w:rsidR="00C024BD" w:rsidRPr="00043C85">
          <w:rPr>
            <w:rStyle w:val="Lienhypertexte"/>
            <w:noProof/>
          </w:rPr>
          <w:t>Documents attestant de l’éligibilité  et des qualifi</w:t>
        </w:r>
        <w:r w:rsidR="00C024BD" w:rsidRPr="00442531">
          <w:rPr>
            <w:rStyle w:val="Lienhypertexte"/>
            <w:noProof/>
          </w:rPr>
          <w:t>cations du soumissionnaire</w:t>
        </w:r>
        <w:r w:rsidR="00C024BD" w:rsidRPr="00442531">
          <w:rPr>
            <w:noProof/>
            <w:webHidden/>
          </w:rPr>
          <w:tab/>
        </w:r>
        <w:r w:rsidR="00C024BD" w:rsidRPr="001627D7">
          <w:rPr>
            <w:noProof/>
            <w:webHidden/>
          </w:rPr>
          <w:fldChar w:fldCharType="begin"/>
        </w:r>
        <w:r w:rsidR="00C024BD" w:rsidRPr="00A67F27">
          <w:rPr>
            <w:noProof/>
            <w:webHidden/>
          </w:rPr>
          <w:instrText xml:space="preserve"> PAGEREF _Toc487641787 \h </w:instrText>
        </w:r>
        <w:r w:rsidR="00C024BD" w:rsidRPr="001627D7">
          <w:rPr>
            <w:noProof/>
            <w:webHidden/>
          </w:rPr>
        </w:r>
        <w:r w:rsidR="00C024BD" w:rsidRPr="001627D7">
          <w:rPr>
            <w:noProof/>
            <w:webHidden/>
          </w:rPr>
          <w:fldChar w:fldCharType="separate"/>
        </w:r>
        <w:r w:rsidR="006C5B9E">
          <w:rPr>
            <w:noProof/>
            <w:webHidden/>
          </w:rPr>
          <w:t>17</w:t>
        </w:r>
        <w:r w:rsidR="00C024BD" w:rsidRPr="001627D7">
          <w:rPr>
            <w:noProof/>
            <w:webHidden/>
          </w:rPr>
          <w:fldChar w:fldCharType="end"/>
        </w:r>
      </w:hyperlink>
    </w:p>
    <w:p w14:paraId="19200AF1" w14:textId="1F9AEB3E" w:rsidR="00C024BD" w:rsidRPr="00A67F27" w:rsidRDefault="00B37E92">
      <w:pPr>
        <w:pStyle w:val="TM2"/>
        <w:tabs>
          <w:tab w:val="left" w:pos="1440"/>
        </w:tabs>
        <w:rPr>
          <w:rFonts w:asciiTheme="minorHAnsi" w:eastAsiaTheme="minorEastAsia" w:hAnsiTheme="minorHAnsi" w:cstheme="minorBidi"/>
          <w:noProof/>
          <w:sz w:val="22"/>
          <w:szCs w:val="22"/>
          <w:lang w:eastAsia="zh-CN"/>
        </w:rPr>
      </w:pPr>
      <w:hyperlink w:anchor="_Toc487641788" w:history="1">
        <w:r w:rsidR="00C024BD" w:rsidRPr="001627D7">
          <w:rPr>
            <w:rStyle w:val="Lienhypertexte"/>
            <w:noProof/>
          </w:rPr>
          <w:t>18.</w:t>
        </w:r>
        <w:r w:rsidR="00C024BD" w:rsidRPr="001627D7">
          <w:rPr>
            <w:rFonts w:asciiTheme="minorHAnsi" w:eastAsiaTheme="minorEastAsia" w:hAnsiTheme="minorHAnsi" w:cstheme="minorBidi"/>
            <w:noProof/>
            <w:sz w:val="22"/>
            <w:szCs w:val="22"/>
            <w:lang w:eastAsia="zh-CN"/>
          </w:rPr>
          <w:tab/>
        </w:r>
        <w:r w:rsidR="00C024BD" w:rsidRPr="00043C85">
          <w:rPr>
            <w:rStyle w:val="Lienhypertexte"/>
            <w:noProof/>
          </w:rPr>
          <w:t>Période de validité des offres</w:t>
        </w:r>
        <w:r w:rsidR="00C024BD" w:rsidRPr="00442531">
          <w:rPr>
            <w:noProof/>
            <w:webHidden/>
          </w:rPr>
          <w:tab/>
        </w:r>
        <w:r w:rsidR="00C024BD" w:rsidRPr="001627D7">
          <w:rPr>
            <w:noProof/>
            <w:webHidden/>
          </w:rPr>
          <w:fldChar w:fldCharType="begin"/>
        </w:r>
        <w:r w:rsidR="00C024BD" w:rsidRPr="00A67F27">
          <w:rPr>
            <w:noProof/>
            <w:webHidden/>
          </w:rPr>
          <w:instrText xml:space="preserve"> PAGEREF _Toc487641788 \h </w:instrText>
        </w:r>
        <w:r w:rsidR="00C024BD" w:rsidRPr="001627D7">
          <w:rPr>
            <w:noProof/>
            <w:webHidden/>
          </w:rPr>
        </w:r>
        <w:r w:rsidR="00C024BD" w:rsidRPr="001627D7">
          <w:rPr>
            <w:noProof/>
            <w:webHidden/>
          </w:rPr>
          <w:fldChar w:fldCharType="separate"/>
        </w:r>
        <w:r w:rsidR="006C5B9E">
          <w:rPr>
            <w:noProof/>
            <w:webHidden/>
          </w:rPr>
          <w:t>18</w:t>
        </w:r>
        <w:r w:rsidR="00C024BD" w:rsidRPr="001627D7">
          <w:rPr>
            <w:noProof/>
            <w:webHidden/>
          </w:rPr>
          <w:fldChar w:fldCharType="end"/>
        </w:r>
      </w:hyperlink>
    </w:p>
    <w:p w14:paraId="7D50836F" w14:textId="3DEA97A0" w:rsidR="00C024BD" w:rsidRPr="00A67F27" w:rsidRDefault="00B37E92">
      <w:pPr>
        <w:pStyle w:val="TM2"/>
        <w:tabs>
          <w:tab w:val="left" w:pos="1440"/>
        </w:tabs>
        <w:rPr>
          <w:rFonts w:asciiTheme="minorHAnsi" w:eastAsiaTheme="minorEastAsia" w:hAnsiTheme="minorHAnsi" w:cstheme="minorBidi"/>
          <w:noProof/>
          <w:sz w:val="22"/>
          <w:szCs w:val="22"/>
          <w:lang w:eastAsia="zh-CN"/>
        </w:rPr>
      </w:pPr>
      <w:hyperlink w:anchor="_Toc487641789" w:history="1">
        <w:r w:rsidR="00C024BD" w:rsidRPr="001627D7">
          <w:rPr>
            <w:rStyle w:val="Lienhypertexte"/>
            <w:noProof/>
          </w:rPr>
          <w:t>19.</w:t>
        </w:r>
        <w:r w:rsidR="00C024BD" w:rsidRPr="001627D7">
          <w:rPr>
            <w:rFonts w:asciiTheme="minorHAnsi" w:eastAsiaTheme="minorEastAsia" w:hAnsiTheme="minorHAnsi" w:cstheme="minorBidi"/>
            <w:noProof/>
            <w:sz w:val="22"/>
            <w:szCs w:val="22"/>
            <w:lang w:eastAsia="zh-CN"/>
          </w:rPr>
          <w:tab/>
        </w:r>
        <w:r w:rsidR="00C024BD" w:rsidRPr="00043C85">
          <w:rPr>
            <w:rStyle w:val="Lienhypertexte"/>
            <w:noProof/>
          </w:rPr>
          <w:t>Garantie d’offre</w:t>
        </w:r>
        <w:r w:rsidR="00C024BD" w:rsidRPr="00442531">
          <w:rPr>
            <w:noProof/>
            <w:webHidden/>
          </w:rPr>
          <w:tab/>
        </w:r>
        <w:r w:rsidR="00C024BD" w:rsidRPr="001627D7">
          <w:rPr>
            <w:noProof/>
            <w:webHidden/>
          </w:rPr>
          <w:fldChar w:fldCharType="begin"/>
        </w:r>
        <w:r w:rsidR="00C024BD" w:rsidRPr="00A67F27">
          <w:rPr>
            <w:noProof/>
            <w:webHidden/>
          </w:rPr>
          <w:instrText xml:space="preserve"> PAGEREF _Toc487641789 \h </w:instrText>
        </w:r>
        <w:r w:rsidR="00C024BD" w:rsidRPr="001627D7">
          <w:rPr>
            <w:noProof/>
            <w:webHidden/>
          </w:rPr>
        </w:r>
        <w:r w:rsidR="00C024BD" w:rsidRPr="001627D7">
          <w:rPr>
            <w:noProof/>
            <w:webHidden/>
          </w:rPr>
          <w:fldChar w:fldCharType="separate"/>
        </w:r>
        <w:r w:rsidR="006C5B9E">
          <w:rPr>
            <w:noProof/>
            <w:webHidden/>
          </w:rPr>
          <w:t>18</w:t>
        </w:r>
        <w:r w:rsidR="00C024BD" w:rsidRPr="001627D7">
          <w:rPr>
            <w:noProof/>
            <w:webHidden/>
          </w:rPr>
          <w:fldChar w:fldCharType="end"/>
        </w:r>
      </w:hyperlink>
    </w:p>
    <w:p w14:paraId="14CF28E5" w14:textId="65DAF38C" w:rsidR="00C024BD" w:rsidRPr="00A67F27" w:rsidRDefault="00B37E92">
      <w:pPr>
        <w:pStyle w:val="TM2"/>
        <w:tabs>
          <w:tab w:val="left" w:pos="1440"/>
        </w:tabs>
        <w:rPr>
          <w:rFonts w:asciiTheme="minorHAnsi" w:eastAsiaTheme="minorEastAsia" w:hAnsiTheme="minorHAnsi" w:cstheme="minorBidi"/>
          <w:noProof/>
          <w:sz w:val="22"/>
          <w:szCs w:val="22"/>
          <w:lang w:eastAsia="zh-CN"/>
        </w:rPr>
      </w:pPr>
      <w:hyperlink w:anchor="_Toc487641790" w:history="1">
        <w:r w:rsidR="00C024BD" w:rsidRPr="001627D7">
          <w:rPr>
            <w:rStyle w:val="Lienhypertexte"/>
            <w:noProof/>
          </w:rPr>
          <w:t>20.</w:t>
        </w:r>
        <w:r w:rsidR="00C024BD" w:rsidRPr="001627D7">
          <w:rPr>
            <w:rFonts w:asciiTheme="minorHAnsi" w:eastAsiaTheme="minorEastAsia" w:hAnsiTheme="minorHAnsi" w:cstheme="minorBidi"/>
            <w:noProof/>
            <w:sz w:val="22"/>
            <w:szCs w:val="22"/>
            <w:lang w:eastAsia="zh-CN"/>
          </w:rPr>
          <w:tab/>
        </w:r>
        <w:r w:rsidR="00C024BD" w:rsidRPr="00043C85">
          <w:rPr>
            <w:rStyle w:val="Lienhypertexte"/>
            <w:noProof/>
          </w:rPr>
          <w:t>Forme et signature de l’offre</w:t>
        </w:r>
        <w:r w:rsidR="00C024BD" w:rsidRPr="00442531">
          <w:rPr>
            <w:noProof/>
            <w:webHidden/>
          </w:rPr>
          <w:tab/>
        </w:r>
        <w:r w:rsidR="00C024BD" w:rsidRPr="001627D7">
          <w:rPr>
            <w:noProof/>
            <w:webHidden/>
          </w:rPr>
          <w:fldChar w:fldCharType="begin"/>
        </w:r>
        <w:r w:rsidR="00C024BD" w:rsidRPr="00A67F27">
          <w:rPr>
            <w:noProof/>
            <w:webHidden/>
          </w:rPr>
          <w:instrText xml:space="preserve"> PAGEREF _Toc487641790 \h </w:instrText>
        </w:r>
        <w:r w:rsidR="00C024BD" w:rsidRPr="001627D7">
          <w:rPr>
            <w:noProof/>
            <w:webHidden/>
          </w:rPr>
        </w:r>
        <w:r w:rsidR="00C024BD" w:rsidRPr="001627D7">
          <w:rPr>
            <w:noProof/>
            <w:webHidden/>
          </w:rPr>
          <w:fldChar w:fldCharType="separate"/>
        </w:r>
        <w:r w:rsidR="006C5B9E">
          <w:rPr>
            <w:noProof/>
            <w:webHidden/>
          </w:rPr>
          <w:t>20</w:t>
        </w:r>
        <w:r w:rsidR="00C024BD" w:rsidRPr="001627D7">
          <w:rPr>
            <w:noProof/>
            <w:webHidden/>
          </w:rPr>
          <w:fldChar w:fldCharType="end"/>
        </w:r>
      </w:hyperlink>
    </w:p>
    <w:p w14:paraId="6A609E7F" w14:textId="6B94C185" w:rsidR="00C024BD" w:rsidRPr="00A67F27" w:rsidRDefault="00B37E92">
      <w:pPr>
        <w:pStyle w:val="TM1"/>
        <w:rPr>
          <w:rFonts w:asciiTheme="minorHAnsi" w:eastAsiaTheme="minorEastAsia" w:hAnsiTheme="minorHAnsi" w:cstheme="minorBidi"/>
          <w:b w:val="0"/>
          <w:noProof/>
          <w:sz w:val="22"/>
          <w:szCs w:val="22"/>
          <w:lang w:eastAsia="zh-CN"/>
        </w:rPr>
      </w:pPr>
      <w:hyperlink w:anchor="_Toc487641791" w:history="1">
        <w:r w:rsidR="00C024BD" w:rsidRPr="001627D7">
          <w:rPr>
            <w:rStyle w:val="Lienhypertexte"/>
            <w:noProof/>
          </w:rPr>
          <w:t xml:space="preserve">D. </w:t>
        </w:r>
        <w:r w:rsidR="00C024BD" w:rsidRPr="001627D7">
          <w:rPr>
            <w:rFonts w:asciiTheme="minorHAnsi" w:eastAsiaTheme="minorEastAsia" w:hAnsiTheme="minorHAnsi" w:cstheme="minorBidi"/>
            <w:b w:val="0"/>
            <w:noProof/>
            <w:sz w:val="22"/>
            <w:szCs w:val="22"/>
            <w:lang w:eastAsia="zh-CN"/>
          </w:rPr>
          <w:tab/>
        </w:r>
        <w:r w:rsidR="00C024BD" w:rsidRPr="00043C85">
          <w:rPr>
            <w:rStyle w:val="Lienhypertexte"/>
            <w:noProof/>
          </w:rPr>
          <w:t>Remise des Offres et Ouverture des plis</w:t>
        </w:r>
        <w:r w:rsidR="00C024BD" w:rsidRPr="00442531">
          <w:rPr>
            <w:noProof/>
            <w:webHidden/>
          </w:rPr>
          <w:tab/>
        </w:r>
        <w:r w:rsidR="00C024BD" w:rsidRPr="001627D7">
          <w:rPr>
            <w:noProof/>
            <w:webHidden/>
          </w:rPr>
          <w:fldChar w:fldCharType="begin"/>
        </w:r>
        <w:r w:rsidR="00C024BD" w:rsidRPr="00A67F27">
          <w:rPr>
            <w:noProof/>
            <w:webHidden/>
          </w:rPr>
          <w:instrText xml:space="preserve"> PAGEREF _Toc487641791 \h </w:instrText>
        </w:r>
        <w:r w:rsidR="00C024BD" w:rsidRPr="001627D7">
          <w:rPr>
            <w:noProof/>
            <w:webHidden/>
          </w:rPr>
        </w:r>
        <w:r w:rsidR="00C024BD" w:rsidRPr="001627D7">
          <w:rPr>
            <w:noProof/>
            <w:webHidden/>
          </w:rPr>
          <w:fldChar w:fldCharType="separate"/>
        </w:r>
        <w:r w:rsidR="006C5B9E">
          <w:rPr>
            <w:noProof/>
            <w:webHidden/>
          </w:rPr>
          <w:t>21</w:t>
        </w:r>
        <w:r w:rsidR="00C024BD" w:rsidRPr="001627D7">
          <w:rPr>
            <w:noProof/>
            <w:webHidden/>
          </w:rPr>
          <w:fldChar w:fldCharType="end"/>
        </w:r>
      </w:hyperlink>
    </w:p>
    <w:p w14:paraId="17AD6F04" w14:textId="1EBA2CD9" w:rsidR="00C024BD" w:rsidRPr="00A67F27" w:rsidRDefault="00B37E92">
      <w:pPr>
        <w:pStyle w:val="TM2"/>
        <w:tabs>
          <w:tab w:val="left" w:pos="1440"/>
        </w:tabs>
        <w:rPr>
          <w:rFonts w:asciiTheme="minorHAnsi" w:eastAsiaTheme="minorEastAsia" w:hAnsiTheme="minorHAnsi" w:cstheme="minorBidi"/>
          <w:noProof/>
          <w:sz w:val="22"/>
          <w:szCs w:val="22"/>
          <w:lang w:eastAsia="zh-CN"/>
        </w:rPr>
      </w:pPr>
      <w:hyperlink w:anchor="_Toc487641792" w:history="1">
        <w:r w:rsidR="00C024BD" w:rsidRPr="001627D7">
          <w:rPr>
            <w:rStyle w:val="Lienhypertexte"/>
            <w:noProof/>
          </w:rPr>
          <w:t>21.</w:t>
        </w:r>
        <w:r w:rsidR="00C024BD" w:rsidRPr="001627D7">
          <w:rPr>
            <w:rFonts w:asciiTheme="minorHAnsi" w:eastAsiaTheme="minorEastAsia" w:hAnsiTheme="minorHAnsi" w:cstheme="minorBidi"/>
            <w:noProof/>
            <w:sz w:val="22"/>
            <w:szCs w:val="22"/>
            <w:lang w:eastAsia="zh-CN"/>
          </w:rPr>
          <w:tab/>
        </w:r>
        <w:r w:rsidR="00C024BD" w:rsidRPr="00043C85">
          <w:rPr>
            <w:rStyle w:val="Lienhypertexte"/>
            <w:noProof/>
          </w:rPr>
          <w:t>Cachetage et marquage des offres</w:t>
        </w:r>
        <w:r w:rsidR="00C024BD" w:rsidRPr="00442531">
          <w:rPr>
            <w:noProof/>
            <w:webHidden/>
          </w:rPr>
          <w:tab/>
        </w:r>
        <w:r w:rsidR="00C024BD" w:rsidRPr="001627D7">
          <w:rPr>
            <w:noProof/>
            <w:webHidden/>
          </w:rPr>
          <w:fldChar w:fldCharType="begin"/>
        </w:r>
        <w:r w:rsidR="00C024BD" w:rsidRPr="00A67F27">
          <w:rPr>
            <w:noProof/>
            <w:webHidden/>
          </w:rPr>
          <w:instrText xml:space="preserve"> PAGEREF _Toc487641792 \h </w:instrText>
        </w:r>
        <w:r w:rsidR="00C024BD" w:rsidRPr="001627D7">
          <w:rPr>
            <w:noProof/>
            <w:webHidden/>
          </w:rPr>
        </w:r>
        <w:r w:rsidR="00C024BD" w:rsidRPr="001627D7">
          <w:rPr>
            <w:noProof/>
            <w:webHidden/>
          </w:rPr>
          <w:fldChar w:fldCharType="separate"/>
        </w:r>
        <w:r w:rsidR="006C5B9E">
          <w:rPr>
            <w:noProof/>
            <w:webHidden/>
          </w:rPr>
          <w:t>21</w:t>
        </w:r>
        <w:r w:rsidR="00C024BD" w:rsidRPr="001627D7">
          <w:rPr>
            <w:noProof/>
            <w:webHidden/>
          </w:rPr>
          <w:fldChar w:fldCharType="end"/>
        </w:r>
      </w:hyperlink>
    </w:p>
    <w:p w14:paraId="7388B01C" w14:textId="18A0DF50" w:rsidR="00C024BD" w:rsidRPr="00A67F27" w:rsidRDefault="00B37E92">
      <w:pPr>
        <w:pStyle w:val="TM2"/>
        <w:tabs>
          <w:tab w:val="left" w:pos="1440"/>
        </w:tabs>
        <w:rPr>
          <w:rFonts w:asciiTheme="minorHAnsi" w:eastAsiaTheme="minorEastAsia" w:hAnsiTheme="minorHAnsi" w:cstheme="minorBidi"/>
          <w:noProof/>
          <w:sz w:val="22"/>
          <w:szCs w:val="22"/>
          <w:lang w:eastAsia="zh-CN"/>
        </w:rPr>
      </w:pPr>
      <w:hyperlink w:anchor="_Toc487641793" w:history="1">
        <w:r w:rsidR="00C024BD" w:rsidRPr="001627D7">
          <w:rPr>
            <w:rStyle w:val="Lienhypertexte"/>
            <w:noProof/>
          </w:rPr>
          <w:t>22.</w:t>
        </w:r>
        <w:r w:rsidR="00C024BD" w:rsidRPr="001627D7">
          <w:rPr>
            <w:rFonts w:asciiTheme="minorHAnsi" w:eastAsiaTheme="minorEastAsia" w:hAnsiTheme="minorHAnsi" w:cstheme="minorBidi"/>
            <w:noProof/>
            <w:sz w:val="22"/>
            <w:szCs w:val="22"/>
            <w:lang w:eastAsia="zh-CN"/>
          </w:rPr>
          <w:tab/>
        </w:r>
        <w:r w:rsidR="00C024BD" w:rsidRPr="00043C85">
          <w:rPr>
            <w:rStyle w:val="Lienhypertexte"/>
            <w:noProof/>
          </w:rPr>
          <w:t>Date et heure limite de remise des offres</w:t>
        </w:r>
        <w:r w:rsidR="00C024BD" w:rsidRPr="00442531">
          <w:rPr>
            <w:noProof/>
            <w:webHidden/>
          </w:rPr>
          <w:tab/>
        </w:r>
        <w:r w:rsidR="00C024BD" w:rsidRPr="001627D7">
          <w:rPr>
            <w:noProof/>
            <w:webHidden/>
          </w:rPr>
          <w:fldChar w:fldCharType="begin"/>
        </w:r>
        <w:r w:rsidR="00C024BD" w:rsidRPr="00A67F27">
          <w:rPr>
            <w:noProof/>
            <w:webHidden/>
          </w:rPr>
          <w:instrText xml:space="preserve"> PAGEREF _Toc487641793 \h </w:instrText>
        </w:r>
        <w:r w:rsidR="00C024BD" w:rsidRPr="001627D7">
          <w:rPr>
            <w:noProof/>
            <w:webHidden/>
          </w:rPr>
        </w:r>
        <w:r w:rsidR="00C024BD" w:rsidRPr="001627D7">
          <w:rPr>
            <w:noProof/>
            <w:webHidden/>
          </w:rPr>
          <w:fldChar w:fldCharType="separate"/>
        </w:r>
        <w:r w:rsidR="006C5B9E">
          <w:rPr>
            <w:noProof/>
            <w:webHidden/>
          </w:rPr>
          <w:t>21</w:t>
        </w:r>
        <w:r w:rsidR="00C024BD" w:rsidRPr="001627D7">
          <w:rPr>
            <w:noProof/>
            <w:webHidden/>
          </w:rPr>
          <w:fldChar w:fldCharType="end"/>
        </w:r>
      </w:hyperlink>
    </w:p>
    <w:p w14:paraId="5DD92332" w14:textId="19F79DA0" w:rsidR="00C024BD" w:rsidRPr="00A67F27" w:rsidRDefault="00B37E92">
      <w:pPr>
        <w:pStyle w:val="TM2"/>
        <w:tabs>
          <w:tab w:val="left" w:pos="1440"/>
        </w:tabs>
        <w:rPr>
          <w:rFonts w:asciiTheme="minorHAnsi" w:eastAsiaTheme="minorEastAsia" w:hAnsiTheme="minorHAnsi" w:cstheme="minorBidi"/>
          <w:noProof/>
          <w:sz w:val="22"/>
          <w:szCs w:val="22"/>
          <w:lang w:eastAsia="zh-CN"/>
        </w:rPr>
      </w:pPr>
      <w:hyperlink w:anchor="_Toc487641794" w:history="1">
        <w:r w:rsidR="00C024BD" w:rsidRPr="001627D7">
          <w:rPr>
            <w:rStyle w:val="Lienhypertexte"/>
            <w:noProof/>
          </w:rPr>
          <w:t>23.</w:t>
        </w:r>
        <w:r w:rsidR="00C024BD" w:rsidRPr="001627D7">
          <w:rPr>
            <w:rFonts w:asciiTheme="minorHAnsi" w:eastAsiaTheme="minorEastAsia" w:hAnsiTheme="minorHAnsi" w:cstheme="minorBidi"/>
            <w:noProof/>
            <w:sz w:val="22"/>
            <w:szCs w:val="22"/>
            <w:lang w:eastAsia="zh-CN"/>
          </w:rPr>
          <w:tab/>
        </w:r>
        <w:r w:rsidR="00C024BD" w:rsidRPr="00043C85">
          <w:rPr>
            <w:rStyle w:val="Lienhypertexte"/>
            <w:noProof/>
          </w:rPr>
          <w:t>Offres hors délai</w:t>
        </w:r>
        <w:r w:rsidR="00C024BD" w:rsidRPr="00442531">
          <w:rPr>
            <w:noProof/>
            <w:webHidden/>
          </w:rPr>
          <w:tab/>
        </w:r>
        <w:r w:rsidR="00C024BD" w:rsidRPr="001627D7">
          <w:rPr>
            <w:noProof/>
            <w:webHidden/>
          </w:rPr>
          <w:fldChar w:fldCharType="begin"/>
        </w:r>
        <w:r w:rsidR="00C024BD" w:rsidRPr="00A67F27">
          <w:rPr>
            <w:noProof/>
            <w:webHidden/>
          </w:rPr>
          <w:instrText xml:space="preserve"> PAGEREF _Toc487641794 \h </w:instrText>
        </w:r>
        <w:r w:rsidR="00C024BD" w:rsidRPr="001627D7">
          <w:rPr>
            <w:noProof/>
            <w:webHidden/>
          </w:rPr>
        </w:r>
        <w:r w:rsidR="00C024BD" w:rsidRPr="001627D7">
          <w:rPr>
            <w:noProof/>
            <w:webHidden/>
          </w:rPr>
          <w:fldChar w:fldCharType="separate"/>
        </w:r>
        <w:r w:rsidR="006C5B9E">
          <w:rPr>
            <w:noProof/>
            <w:webHidden/>
          </w:rPr>
          <w:t>21</w:t>
        </w:r>
        <w:r w:rsidR="00C024BD" w:rsidRPr="001627D7">
          <w:rPr>
            <w:noProof/>
            <w:webHidden/>
          </w:rPr>
          <w:fldChar w:fldCharType="end"/>
        </w:r>
      </w:hyperlink>
    </w:p>
    <w:p w14:paraId="6E282D46" w14:textId="408EAB90" w:rsidR="00C024BD" w:rsidRPr="00A67F27" w:rsidRDefault="00B37E92">
      <w:pPr>
        <w:pStyle w:val="TM2"/>
        <w:tabs>
          <w:tab w:val="left" w:pos="1440"/>
        </w:tabs>
        <w:rPr>
          <w:rFonts w:asciiTheme="minorHAnsi" w:eastAsiaTheme="minorEastAsia" w:hAnsiTheme="minorHAnsi" w:cstheme="minorBidi"/>
          <w:noProof/>
          <w:sz w:val="22"/>
          <w:szCs w:val="22"/>
          <w:lang w:eastAsia="zh-CN"/>
        </w:rPr>
      </w:pPr>
      <w:hyperlink w:anchor="_Toc487641795" w:history="1">
        <w:r w:rsidR="00C024BD" w:rsidRPr="001627D7">
          <w:rPr>
            <w:rStyle w:val="Lienhypertexte"/>
            <w:noProof/>
          </w:rPr>
          <w:t>24.</w:t>
        </w:r>
        <w:r w:rsidR="00C024BD" w:rsidRPr="001627D7">
          <w:rPr>
            <w:rFonts w:asciiTheme="minorHAnsi" w:eastAsiaTheme="minorEastAsia" w:hAnsiTheme="minorHAnsi" w:cstheme="minorBidi"/>
            <w:noProof/>
            <w:sz w:val="22"/>
            <w:szCs w:val="22"/>
            <w:lang w:eastAsia="zh-CN"/>
          </w:rPr>
          <w:tab/>
        </w:r>
        <w:r w:rsidR="00C024BD" w:rsidRPr="00043C85">
          <w:rPr>
            <w:rStyle w:val="Lienhypertexte"/>
            <w:noProof/>
          </w:rPr>
          <w:t>Retrait, substitution et modification des offres</w:t>
        </w:r>
        <w:r w:rsidR="00C024BD" w:rsidRPr="00442531">
          <w:rPr>
            <w:noProof/>
            <w:webHidden/>
          </w:rPr>
          <w:tab/>
        </w:r>
        <w:r w:rsidR="00C024BD" w:rsidRPr="001627D7">
          <w:rPr>
            <w:noProof/>
            <w:webHidden/>
          </w:rPr>
          <w:fldChar w:fldCharType="begin"/>
        </w:r>
        <w:r w:rsidR="00C024BD" w:rsidRPr="00A67F27">
          <w:rPr>
            <w:noProof/>
            <w:webHidden/>
          </w:rPr>
          <w:instrText xml:space="preserve"> PAGEREF _Toc487641795 \h </w:instrText>
        </w:r>
        <w:r w:rsidR="00C024BD" w:rsidRPr="001627D7">
          <w:rPr>
            <w:noProof/>
            <w:webHidden/>
          </w:rPr>
        </w:r>
        <w:r w:rsidR="00C024BD" w:rsidRPr="001627D7">
          <w:rPr>
            <w:noProof/>
            <w:webHidden/>
          </w:rPr>
          <w:fldChar w:fldCharType="separate"/>
        </w:r>
        <w:r w:rsidR="006C5B9E">
          <w:rPr>
            <w:noProof/>
            <w:webHidden/>
          </w:rPr>
          <w:t>22</w:t>
        </w:r>
        <w:r w:rsidR="00C024BD" w:rsidRPr="001627D7">
          <w:rPr>
            <w:noProof/>
            <w:webHidden/>
          </w:rPr>
          <w:fldChar w:fldCharType="end"/>
        </w:r>
      </w:hyperlink>
    </w:p>
    <w:p w14:paraId="165DB6CA" w14:textId="2C376253" w:rsidR="00C024BD" w:rsidRPr="00A67F27" w:rsidRDefault="00B37E92">
      <w:pPr>
        <w:pStyle w:val="TM2"/>
        <w:tabs>
          <w:tab w:val="left" w:pos="1440"/>
        </w:tabs>
        <w:rPr>
          <w:rFonts w:asciiTheme="minorHAnsi" w:eastAsiaTheme="minorEastAsia" w:hAnsiTheme="minorHAnsi" w:cstheme="minorBidi"/>
          <w:noProof/>
          <w:sz w:val="22"/>
          <w:szCs w:val="22"/>
          <w:lang w:eastAsia="zh-CN"/>
        </w:rPr>
      </w:pPr>
      <w:hyperlink w:anchor="_Toc487641796" w:history="1">
        <w:r w:rsidR="00C024BD" w:rsidRPr="001627D7">
          <w:rPr>
            <w:rStyle w:val="Lienhypertexte"/>
            <w:noProof/>
          </w:rPr>
          <w:t>25.</w:t>
        </w:r>
        <w:r w:rsidR="00C024BD" w:rsidRPr="001627D7">
          <w:rPr>
            <w:rFonts w:asciiTheme="minorHAnsi" w:eastAsiaTheme="minorEastAsia" w:hAnsiTheme="minorHAnsi" w:cstheme="minorBidi"/>
            <w:noProof/>
            <w:sz w:val="22"/>
            <w:szCs w:val="22"/>
            <w:lang w:eastAsia="zh-CN"/>
          </w:rPr>
          <w:tab/>
        </w:r>
        <w:r w:rsidR="00C024BD" w:rsidRPr="00043C85">
          <w:rPr>
            <w:rStyle w:val="Lienhypertexte"/>
            <w:noProof/>
          </w:rPr>
          <w:t>Ouverture des plis</w:t>
        </w:r>
        <w:r w:rsidR="00C024BD" w:rsidRPr="00442531">
          <w:rPr>
            <w:noProof/>
            <w:webHidden/>
          </w:rPr>
          <w:tab/>
        </w:r>
        <w:r w:rsidR="00C024BD" w:rsidRPr="001627D7">
          <w:rPr>
            <w:noProof/>
            <w:webHidden/>
          </w:rPr>
          <w:fldChar w:fldCharType="begin"/>
        </w:r>
        <w:r w:rsidR="00C024BD" w:rsidRPr="00A67F27">
          <w:rPr>
            <w:noProof/>
            <w:webHidden/>
          </w:rPr>
          <w:instrText xml:space="preserve"> PAGEREF _Toc487641796 \h </w:instrText>
        </w:r>
        <w:r w:rsidR="00C024BD" w:rsidRPr="001627D7">
          <w:rPr>
            <w:noProof/>
            <w:webHidden/>
          </w:rPr>
        </w:r>
        <w:r w:rsidR="00C024BD" w:rsidRPr="001627D7">
          <w:rPr>
            <w:noProof/>
            <w:webHidden/>
          </w:rPr>
          <w:fldChar w:fldCharType="separate"/>
        </w:r>
        <w:r w:rsidR="006C5B9E">
          <w:rPr>
            <w:noProof/>
            <w:webHidden/>
          </w:rPr>
          <w:t>22</w:t>
        </w:r>
        <w:r w:rsidR="00C024BD" w:rsidRPr="001627D7">
          <w:rPr>
            <w:noProof/>
            <w:webHidden/>
          </w:rPr>
          <w:fldChar w:fldCharType="end"/>
        </w:r>
      </w:hyperlink>
    </w:p>
    <w:p w14:paraId="243A2DA4" w14:textId="6A84B62C" w:rsidR="00C024BD" w:rsidRPr="00A67F27" w:rsidRDefault="00B37E92" w:rsidP="00C024BD">
      <w:pPr>
        <w:pStyle w:val="TM1"/>
        <w:keepNext/>
        <w:rPr>
          <w:rFonts w:asciiTheme="minorHAnsi" w:eastAsiaTheme="minorEastAsia" w:hAnsiTheme="minorHAnsi" w:cstheme="minorBidi"/>
          <w:b w:val="0"/>
          <w:noProof/>
          <w:sz w:val="22"/>
          <w:szCs w:val="22"/>
          <w:lang w:eastAsia="zh-CN"/>
        </w:rPr>
      </w:pPr>
      <w:hyperlink w:anchor="_Toc487641797" w:history="1">
        <w:r w:rsidR="00C024BD" w:rsidRPr="00A67F27">
          <w:rPr>
            <w:rStyle w:val="Lienhypertexte"/>
            <w:noProof/>
          </w:rPr>
          <w:t xml:space="preserve">E. </w:t>
        </w:r>
        <w:r w:rsidR="00C024BD" w:rsidRPr="001627D7">
          <w:rPr>
            <w:rFonts w:asciiTheme="minorHAnsi" w:eastAsiaTheme="minorEastAsia" w:hAnsiTheme="minorHAnsi" w:cstheme="minorBidi"/>
            <w:b w:val="0"/>
            <w:noProof/>
            <w:sz w:val="22"/>
            <w:szCs w:val="22"/>
            <w:lang w:eastAsia="zh-CN"/>
          </w:rPr>
          <w:tab/>
        </w:r>
        <w:r w:rsidR="00C024BD" w:rsidRPr="001627D7">
          <w:rPr>
            <w:rStyle w:val="Lienhypertexte"/>
            <w:noProof/>
          </w:rPr>
          <w:t>Évaluation et comparaison des offres</w:t>
        </w:r>
        <w:r w:rsidR="00C024BD" w:rsidRPr="00043C85">
          <w:rPr>
            <w:noProof/>
            <w:webHidden/>
          </w:rPr>
          <w:tab/>
        </w:r>
        <w:r w:rsidR="00C024BD" w:rsidRPr="001627D7">
          <w:rPr>
            <w:noProof/>
            <w:webHidden/>
          </w:rPr>
          <w:fldChar w:fldCharType="begin"/>
        </w:r>
        <w:r w:rsidR="00C024BD" w:rsidRPr="00A67F27">
          <w:rPr>
            <w:noProof/>
            <w:webHidden/>
          </w:rPr>
          <w:instrText xml:space="preserve"> PAGEREF _Toc487641797 \h </w:instrText>
        </w:r>
        <w:r w:rsidR="00C024BD" w:rsidRPr="001627D7">
          <w:rPr>
            <w:noProof/>
            <w:webHidden/>
          </w:rPr>
        </w:r>
        <w:r w:rsidR="00C024BD" w:rsidRPr="001627D7">
          <w:rPr>
            <w:noProof/>
            <w:webHidden/>
          </w:rPr>
          <w:fldChar w:fldCharType="separate"/>
        </w:r>
        <w:r w:rsidR="006C5B9E">
          <w:rPr>
            <w:noProof/>
            <w:webHidden/>
          </w:rPr>
          <w:t>23</w:t>
        </w:r>
        <w:r w:rsidR="00C024BD" w:rsidRPr="001627D7">
          <w:rPr>
            <w:noProof/>
            <w:webHidden/>
          </w:rPr>
          <w:fldChar w:fldCharType="end"/>
        </w:r>
      </w:hyperlink>
    </w:p>
    <w:p w14:paraId="66F5A047" w14:textId="3C1A51BD" w:rsidR="00C024BD" w:rsidRPr="00A67F27" w:rsidRDefault="00B37E92">
      <w:pPr>
        <w:pStyle w:val="TM2"/>
        <w:tabs>
          <w:tab w:val="left" w:pos="1440"/>
        </w:tabs>
        <w:rPr>
          <w:rFonts w:asciiTheme="minorHAnsi" w:eastAsiaTheme="minorEastAsia" w:hAnsiTheme="minorHAnsi" w:cstheme="minorBidi"/>
          <w:noProof/>
          <w:sz w:val="22"/>
          <w:szCs w:val="22"/>
          <w:lang w:eastAsia="zh-CN"/>
        </w:rPr>
      </w:pPr>
      <w:hyperlink w:anchor="_Toc487641798" w:history="1">
        <w:r w:rsidR="00C024BD" w:rsidRPr="00A67F27">
          <w:rPr>
            <w:rStyle w:val="Lienhypertexte"/>
            <w:noProof/>
          </w:rPr>
          <w:t>26.</w:t>
        </w:r>
        <w:r w:rsidR="00C024BD" w:rsidRPr="001627D7">
          <w:rPr>
            <w:rFonts w:asciiTheme="minorHAnsi" w:eastAsiaTheme="minorEastAsia" w:hAnsiTheme="minorHAnsi" w:cstheme="minorBidi"/>
            <w:noProof/>
            <w:sz w:val="22"/>
            <w:szCs w:val="22"/>
            <w:lang w:eastAsia="zh-CN"/>
          </w:rPr>
          <w:tab/>
        </w:r>
        <w:r w:rsidR="00C024BD" w:rsidRPr="001627D7">
          <w:rPr>
            <w:rStyle w:val="Lienhypertexte"/>
            <w:noProof/>
          </w:rPr>
          <w:t>Confidentialité</w:t>
        </w:r>
        <w:r w:rsidR="00C024BD" w:rsidRPr="00043C85">
          <w:rPr>
            <w:noProof/>
            <w:webHidden/>
          </w:rPr>
          <w:tab/>
        </w:r>
        <w:r w:rsidR="00C024BD" w:rsidRPr="001627D7">
          <w:rPr>
            <w:noProof/>
            <w:webHidden/>
          </w:rPr>
          <w:fldChar w:fldCharType="begin"/>
        </w:r>
        <w:r w:rsidR="00C024BD" w:rsidRPr="00A67F27">
          <w:rPr>
            <w:noProof/>
            <w:webHidden/>
          </w:rPr>
          <w:instrText xml:space="preserve"> PAGEREF _Toc487641798 \h </w:instrText>
        </w:r>
        <w:r w:rsidR="00C024BD" w:rsidRPr="001627D7">
          <w:rPr>
            <w:noProof/>
            <w:webHidden/>
          </w:rPr>
        </w:r>
        <w:r w:rsidR="00C024BD" w:rsidRPr="001627D7">
          <w:rPr>
            <w:noProof/>
            <w:webHidden/>
          </w:rPr>
          <w:fldChar w:fldCharType="separate"/>
        </w:r>
        <w:r w:rsidR="006C5B9E">
          <w:rPr>
            <w:noProof/>
            <w:webHidden/>
          </w:rPr>
          <w:t>23</w:t>
        </w:r>
        <w:r w:rsidR="00C024BD" w:rsidRPr="001627D7">
          <w:rPr>
            <w:noProof/>
            <w:webHidden/>
          </w:rPr>
          <w:fldChar w:fldCharType="end"/>
        </w:r>
      </w:hyperlink>
    </w:p>
    <w:p w14:paraId="7812AA5E" w14:textId="1F818CB0" w:rsidR="00C024BD" w:rsidRPr="00A67F27" w:rsidRDefault="00B37E92">
      <w:pPr>
        <w:pStyle w:val="TM2"/>
        <w:tabs>
          <w:tab w:val="left" w:pos="1440"/>
        </w:tabs>
        <w:rPr>
          <w:rFonts w:asciiTheme="minorHAnsi" w:eastAsiaTheme="minorEastAsia" w:hAnsiTheme="minorHAnsi" w:cstheme="minorBidi"/>
          <w:noProof/>
          <w:sz w:val="22"/>
          <w:szCs w:val="22"/>
          <w:lang w:eastAsia="zh-CN"/>
        </w:rPr>
      </w:pPr>
      <w:hyperlink w:anchor="_Toc487641799" w:history="1">
        <w:r w:rsidR="00C024BD" w:rsidRPr="00A67F27">
          <w:rPr>
            <w:rStyle w:val="Lienhypertexte"/>
            <w:noProof/>
          </w:rPr>
          <w:t>27.</w:t>
        </w:r>
        <w:r w:rsidR="00C024BD" w:rsidRPr="001627D7">
          <w:rPr>
            <w:rFonts w:asciiTheme="minorHAnsi" w:eastAsiaTheme="minorEastAsia" w:hAnsiTheme="minorHAnsi" w:cstheme="minorBidi"/>
            <w:noProof/>
            <w:sz w:val="22"/>
            <w:szCs w:val="22"/>
            <w:lang w:eastAsia="zh-CN"/>
          </w:rPr>
          <w:tab/>
        </w:r>
        <w:r w:rsidR="00C024BD" w:rsidRPr="001627D7">
          <w:rPr>
            <w:rStyle w:val="Lienhypertexte"/>
            <w:noProof/>
          </w:rPr>
          <w:t>Éclaircisse-ments con</w:t>
        </w:r>
        <w:r w:rsidR="00C024BD" w:rsidRPr="00043C85">
          <w:rPr>
            <w:rStyle w:val="Lienhypertexte"/>
            <w:noProof/>
          </w:rPr>
          <w:t>cernant les Offres</w:t>
        </w:r>
        <w:r w:rsidR="00C024BD" w:rsidRPr="00442531">
          <w:rPr>
            <w:noProof/>
            <w:webHidden/>
          </w:rPr>
          <w:tab/>
        </w:r>
        <w:r w:rsidR="00C024BD" w:rsidRPr="001627D7">
          <w:rPr>
            <w:noProof/>
            <w:webHidden/>
          </w:rPr>
          <w:fldChar w:fldCharType="begin"/>
        </w:r>
        <w:r w:rsidR="00C024BD" w:rsidRPr="00A67F27">
          <w:rPr>
            <w:noProof/>
            <w:webHidden/>
          </w:rPr>
          <w:instrText xml:space="preserve"> PAGEREF _Toc487641799 \h </w:instrText>
        </w:r>
        <w:r w:rsidR="00C024BD" w:rsidRPr="001627D7">
          <w:rPr>
            <w:noProof/>
            <w:webHidden/>
          </w:rPr>
        </w:r>
        <w:r w:rsidR="00C024BD" w:rsidRPr="001627D7">
          <w:rPr>
            <w:noProof/>
            <w:webHidden/>
          </w:rPr>
          <w:fldChar w:fldCharType="separate"/>
        </w:r>
        <w:r w:rsidR="006C5B9E">
          <w:rPr>
            <w:noProof/>
            <w:webHidden/>
          </w:rPr>
          <w:t>23</w:t>
        </w:r>
        <w:r w:rsidR="00C024BD" w:rsidRPr="001627D7">
          <w:rPr>
            <w:noProof/>
            <w:webHidden/>
          </w:rPr>
          <w:fldChar w:fldCharType="end"/>
        </w:r>
      </w:hyperlink>
    </w:p>
    <w:p w14:paraId="7F1ECB89" w14:textId="1A5605A1" w:rsidR="00C024BD" w:rsidRPr="00A67F27" w:rsidRDefault="00B37E92">
      <w:pPr>
        <w:pStyle w:val="TM2"/>
        <w:tabs>
          <w:tab w:val="left" w:pos="1440"/>
        </w:tabs>
        <w:rPr>
          <w:rFonts w:asciiTheme="minorHAnsi" w:eastAsiaTheme="minorEastAsia" w:hAnsiTheme="minorHAnsi" w:cstheme="minorBidi"/>
          <w:noProof/>
          <w:sz w:val="22"/>
          <w:szCs w:val="22"/>
          <w:lang w:eastAsia="zh-CN"/>
        </w:rPr>
      </w:pPr>
      <w:hyperlink w:anchor="_Toc487641800" w:history="1">
        <w:r w:rsidR="00C024BD" w:rsidRPr="00A67F27">
          <w:rPr>
            <w:rStyle w:val="Lienhypertexte"/>
            <w:noProof/>
          </w:rPr>
          <w:t>28.</w:t>
        </w:r>
        <w:r w:rsidR="00C024BD" w:rsidRPr="001627D7">
          <w:rPr>
            <w:rFonts w:asciiTheme="minorHAnsi" w:eastAsiaTheme="minorEastAsia" w:hAnsiTheme="minorHAnsi" w:cstheme="minorBidi"/>
            <w:noProof/>
            <w:sz w:val="22"/>
            <w:szCs w:val="22"/>
            <w:lang w:eastAsia="zh-CN"/>
          </w:rPr>
          <w:tab/>
        </w:r>
        <w:r w:rsidR="00C024BD" w:rsidRPr="001627D7">
          <w:rPr>
            <w:rStyle w:val="Lienhypertexte"/>
            <w:noProof/>
          </w:rPr>
          <w:t>Divergences, réserves ou omissions</w:t>
        </w:r>
        <w:r w:rsidR="00C024BD" w:rsidRPr="00043C85">
          <w:rPr>
            <w:noProof/>
            <w:webHidden/>
          </w:rPr>
          <w:tab/>
        </w:r>
        <w:r w:rsidR="00C024BD" w:rsidRPr="001627D7">
          <w:rPr>
            <w:noProof/>
            <w:webHidden/>
          </w:rPr>
          <w:fldChar w:fldCharType="begin"/>
        </w:r>
        <w:r w:rsidR="00C024BD" w:rsidRPr="00A67F27">
          <w:rPr>
            <w:noProof/>
            <w:webHidden/>
          </w:rPr>
          <w:instrText xml:space="preserve"> PAGEREF _Toc487641800 \h </w:instrText>
        </w:r>
        <w:r w:rsidR="00C024BD" w:rsidRPr="001627D7">
          <w:rPr>
            <w:noProof/>
            <w:webHidden/>
          </w:rPr>
        </w:r>
        <w:r w:rsidR="00C024BD" w:rsidRPr="001627D7">
          <w:rPr>
            <w:noProof/>
            <w:webHidden/>
          </w:rPr>
          <w:fldChar w:fldCharType="separate"/>
        </w:r>
        <w:r w:rsidR="006C5B9E">
          <w:rPr>
            <w:noProof/>
            <w:webHidden/>
          </w:rPr>
          <w:t>24</w:t>
        </w:r>
        <w:r w:rsidR="00C024BD" w:rsidRPr="001627D7">
          <w:rPr>
            <w:noProof/>
            <w:webHidden/>
          </w:rPr>
          <w:fldChar w:fldCharType="end"/>
        </w:r>
      </w:hyperlink>
    </w:p>
    <w:p w14:paraId="5B733C7B" w14:textId="5D247B1A" w:rsidR="00C024BD" w:rsidRPr="00A67F27" w:rsidRDefault="00B37E92">
      <w:pPr>
        <w:pStyle w:val="TM2"/>
        <w:tabs>
          <w:tab w:val="left" w:pos="1440"/>
        </w:tabs>
        <w:rPr>
          <w:rFonts w:asciiTheme="minorHAnsi" w:eastAsiaTheme="minorEastAsia" w:hAnsiTheme="minorHAnsi" w:cstheme="minorBidi"/>
          <w:noProof/>
          <w:sz w:val="22"/>
          <w:szCs w:val="22"/>
          <w:lang w:eastAsia="zh-CN"/>
        </w:rPr>
      </w:pPr>
      <w:hyperlink w:anchor="_Toc487641801" w:history="1">
        <w:r w:rsidR="00C024BD" w:rsidRPr="00A67F27">
          <w:rPr>
            <w:rStyle w:val="Lienhypertexte"/>
            <w:noProof/>
          </w:rPr>
          <w:t>29.</w:t>
        </w:r>
        <w:r w:rsidR="00C024BD" w:rsidRPr="001627D7">
          <w:rPr>
            <w:rFonts w:asciiTheme="minorHAnsi" w:eastAsiaTheme="minorEastAsia" w:hAnsiTheme="minorHAnsi" w:cstheme="minorBidi"/>
            <w:noProof/>
            <w:sz w:val="22"/>
            <w:szCs w:val="22"/>
            <w:lang w:eastAsia="zh-CN"/>
          </w:rPr>
          <w:tab/>
        </w:r>
        <w:r w:rsidR="00C024BD" w:rsidRPr="001627D7">
          <w:rPr>
            <w:rStyle w:val="Lienhypertexte"/>
            <w:noProof/>
          </w:rPr>
          <w:t>Conformité des offres</w:t>
        </w:r>
        <w:r w:rsidR="00C024BD" w:rsidRPr="00043C85">
          <w:rPr>
            <w:noProof/>
            <w:webHidden/>
          </w:rPr>
          <w:tab/>
        </w:r>
        <w:r w:rsidR="00C024BD" w:rsidRPr="001627D7">
          <w:rPr>
            <w:noProof/>
            <w:webHidden/>
          </w:rPr>
          <w:fldChar w:fldCharType="begin"/>
        </w:r>
        <w:r w:rsidR="00C024BD" w:rsidRPr="00A67F27">
          <w:rPr>
            <w:noProof/>
            <w:webHidden/>
          </w:rPr>
          <w:instrText xml:space="preserve"> PAGEREF _Toc487641801 \h </w:instrText>
        </w:r>
        <w:r w:rsidR="00C024BD" w:rsidRPr="001627D7">
          <w:rPr>
            <w:noProof/>
            <w:webHidden/>
          </w:rPr>
        </w:r>
        <w:r w:rsidR="00C024BD" w:rsidRPr="001627D7">
          <w:rPr>
            <w:noProof/>
            <w:webHidden/>
          </w:rPr>
          <w:fldChar w:fldCharType="separate"/>
        </w:r>
        <w:r w:rsidR="006C5B9E">
          <w:rPr>
            <w:noProof/>
            <w:webHidden/>
          </w:rPr>
          <w:t>24</w:t>
        </w:r>
        <w:r w:rsidR="00C024BD" w:rsidRPr="001627D7">
          <w:rPr>
            <w:noProof/>
            <w:webHidden/>
          </w:rPr>
          <w:fldChar w:fldCharType="end"/>
        </w:r>
      </w:hyperlink>
    </w:p>
    <w:p w14:paraId="6EE4224F" w14:textId="45089504" w:rsidR="00C024BD" w:rsidRPr="00A67F27" w:rsidRDefault="00B37E92">
      <w:pPr>
        <w:pStyle w:val="TM2"/>
        <w:tabs>
          <w:tab w:val="left" w:pos="1440"/>
        </w:tabs>
        <w:rPr>
          <w:rFonts w:asciiTheme="minorHAnsi" w:eastAsiaTheme="minorEastAsia" w:hAnsiTheme="minorHAnsi" w:cstheme="minorBidi"/>
          <w:noProof/>
          <w:sz w:val="22"/>
          <w:szCs w:val="22"/>
          <w:lang w:eastAsia="zh-CN"/>
        </w:rPr>
      </w:pPr>
      <w:hyperlink w:anchor="_Toc487641802" w:history="1">
        <w:r w:rsidR="00C024BD" w:rsidRPr="00A67F27">
          <w:rPr>
            <w:rStyle w:val="Lienhypertexte"/>
            <w:noProof/>
          </w:rPr>
          <w:t>30.</w:t>
        </w:r>
        <w:r w:rsidR="00C024BD" w:rsidRPr="001627D7">
          <w:rPr>
            <w:rFonts w:asciiTheme="minorHAnsi" w:eastAsiaTheme="minorEastAsia" w:hAnsiTheme="minorHAnsi" w:cstheme="minorBidi"/>
            <w:noProof/>
            <w:sz w:val="22"/>
            <w:szCs w:val="22"/>
            <w:lang w:eastAsia="zh-CN"/>
          </w:rPr>
          <w:tab/>
        </w:r>
        <w:r w:rsidR="00C024BD" w:rsidRPr="001627D7">
          <w:rPr>
            <w:rStyle w:val="Lienhypertexte"/>
            <w:noProof/>
          </w:rPr>
          <w:t>Non-Conformité et erreurs</w:t>
        </w:r>
        <w:r w:rsidR="00C024BD" w:rsidRPr="00043C85">
          <w:rPr>
            <w:noProof/>
            <w:webHidden/>
          </w:rPr>
          <w:tab/>
        </w:r>
        <w:r w:rsidR="00C024BD" w:rsidRPr="001627D7">
          <w:rPr>
            <w:noProof/>
            <w:webHidden/>
          </w:rPr>
          <w:fldChar w:fldCharType="begin"/>
        </w:r>
        <w:r w:rsidR="00C024BD" w:rsidRPr="00A67F27">
          <w:rPr>
            <w:noProof/>
            <w:webHidden/>
          </w:rPr>
          <w:instrText xml:space="preserve"> PAGEREF _Toc487641802 \h </w:instrText>
        </w:r>
        <w:r w:rsidR="00C024BD" w:rsidRPr="001627D7">
          <w:rPr>
            <w:noProof/>
            <w:webHidden/>
          </w:rPr>
        </w:r>
        <w:r w:rsidR="00C024BD" w:rsidRPr="001627D7">
          <w:rPr>
            <w:noProof/>
            <w:webHidden/>
          </w:rPr>
          <w:fldChar w:fldCharType="separate"/>
        </w:r>
        <w:r w:rsidR="006C5B9E">
          <w:rPr>
            <w:noProof/>
            <w:webHidden/>
          </w:rPr>
          <w:t>25</w:t>
        </w:r>
        <w:r w:rsidR="00C024BD" w:rsidRPr="001627D7">
          <w:rPr>
            <w:noProof/>
            <w:webHidden/>
          </w:rPr>
          <w:fldChar w:fldCharType="end"/>
        </w:r>
      </w:hyperlink>
    </w:p>
    <w:p w14:paraId="4105128E" w14:textId="2177A22E" w:rsidR="00C024BD" w:rsidRPr="00A67F27" w:rsidRDefault="00B37E92">
      <w:pPr>
        <w:pStyle w:val="TM2"/>
        <w:tabs>
          <w:tab w:val="left" w:pos="1440"/>
        </w:tabs>
        <w:rPr>
          <w:rFonts w:asciiTheme="minorHAnsi" w:eastAsiaTheme="minorEastAsia" w:hAnsiTheme="minorHAnsi" w:cstheme="minorBidi"/>
          <w:noProof/>
          <w:sz w:val="22"/>
          <w:szCs w:val="22"/>
          <w:lang w:eastAsia="zh-CN"/>
        </w:rPr>
      </w:pPr>
      <w:hyperlink w:anchor="_Toc487641803" w:history="1">
        <w:r w:rsidR="00C024BD" w:rsidRPr="00A67F27">
          <w:rPr>
            <w:rStyle w:val="Lienhypertexte"/>
            <w:noProof/>
          </w:rPr>
          <w:t>31.</w:t>
        </w:r>
        <w:r w:rsidR="00C024BD" w:rsidRPr="001627D7">
          <w:rPr>
            <w:rFonts w:asciiTheme="minorHAnsi" w:eastAsiaTheme="minorEastAsia" w:hAnsiTheme="minorHAnsi" w:cstheme="minorBidi"/>
            <w:noProof/>
            <w:sz w:val="22"/>
            <w:szCs w:val="22"/>
            <w:lang w:eastAsia="zh-CN"/>
          </w:rPr>
          <w:tab/>
        </w:r>
        <w:r w:rsidR="00C024BD" w:rsidRPr="001627D7">
          <w:rPr>
            <w:rStyle w:val="Lienhypertexte"/>
            <w:noProof/>
          </w:rPr>
          <w:t>Correction des erreurs arithmétiques</w:t>
        </w:r>
        <w:r w:rsidR="00C024BD" w:rsidRPr="00043C85">
          <w:rPr>
            <w:noProof/>
            <w:webHidden/>
          </w:rPr>
          <w:tab/>
        </w:r>
        <w:r w:rsidR="00C024BD" w:rsidRPr="001627D7">
          <w:rPr>
            <w:noProof/>
            <w:webHidden/>
          </w:rPr>
          <w:fldChar w:fldCharType="begin"/>
        </w:r>
        <w:r w:rsidR="00C024BD" w:rsidRPr="00A67F27">
          <w:rPr>
            <w:noProof/>
            <w:webHidden/>
          </w:rPr>
          <w:instrText xml:space="preserve"> PAGEREF _Toc487641803 \h </w:instrText>
        </w:r>
        <w:r w:rsidR="00C024BD" w:rsidRPr="001627D7">
          <w:rPr>
            <w:noProof/>
            <w:webHidden/>
          </w:rPr>
        </w:r>
        <w:r w:rsidR="00C024BD" w:rsidRPr="001627D7">
          <w:rPr>
            <w:noProof/>
            <w:webHidden/>
          </w:rPr>
          <w:fldChar w:fldCharType="separate"/>
        </w:r>
        <w:r w:rsidR="006C5B9E">
          <w:rPr>
            <w:noProof/>
            <w:webHidden/>
          </w:rPr>
          <w:t>25</w:t>
        </w:r>
        <w:r w:rsidR="00C024BD" w:rsidRPr="001627D7">
          <w:rPr>
            <w:noProof/>
            <w:webHidden/>
          </w:rPr>
          <w:fldChar w:fldCharType="end"/>
        </w:r>
      </w:hyperlink>
    </w:p>
    <w:p w14:paraId="7AA5B41D" w14:textId="551BC123" w:rsidR="00C024BD" w:rsidRPr="00A67F27" w:rsidRDefault="00B37E92">
      <w:pPr>
        <w:pStyle w:val="TM2"/>
        <w:tabs>
          <w:tab w:val="left" w:pos="1440"/>
        </w:tabs>
        <w:rPr>
          <w:rFonts w:asciiTheme="minorHAnsi" w:eastAsiaTheme="minorEastAsia" w:hAnsiTheme="minorHAnsi" w:cstheme="minorBidi"/>
          <w:noProof/>
          <w:sz w:val="22"/>
          <w:szCs w:val="22"/>
          <w:lang w:eastAsia="zh-CN"/>
        </w:rPr>
      </w:pPr>
      <w:hyperlink w:anchor="_Toc487641804" w:history="1">
        <w:r w:rsidR="00C024BD" w:rsidRPr="00A67F27">
          <w:rPr>
            <w:rStyle w:val="Lienhypertexte"/>
            <w:noProof/>
          </w:rPr>
          <w:t>32</w:t>
        </w:r>
        <w:r w:rsidR="00C024BD" w:rsidRPr="001627D7">
          <w:rPr>
            <w:rStyle w:val="Lienhypertexte"/>
            <w:noProof/>
          </w:rPr>
          <w:t>.</w:t>
        </w:r>
        <w:r w:rsidR="00C024BD" w:rsidRPr="001627D7">
          <w:rPr>
            <w:rFonts w:asciiTheme="minorHAnsi" w:eastAsiaTheme="minorEastAsia" w:hAnsiTheme="minorHAnsi" w:cstheme="minorBidi"/>
            <w:noProof/>
            <w:sz w:val="22"/>
            <w:szCs w:val="22"/>
            <w:lang w:eastAsia="zh-CN"/>
          </w:rPr>
          <w:tab/>
        </w:r>
        <w:r w:rsidR="00C024BD" w:rsidRPr="00043C85">
          <w:rPr>
            <w:rStyle w:val="Lienhypertexte"/>
            <w:noProof/>
          </w:rPr>
          <w:t>Conversion en une seule monnaie</w:t>
        </w:r>
        <w:r w:rsidR="00C024BD" w:rsidRPr="00442531">
          <w:rPr>
            <w:noProof/>
            <w:webHidden/>
          </w:rPr>
          <w:tab/>
        </w:r>
        <w:r w:rsidR="00C024BD" w:rsidRPr="001627D7">
          <w:rPr>
            <w:noProof/>
            <w:webHidden/>
          </w:rPr>
          <w:fldChar w:fldCharType="begin"/>
        </w:r>
        <w:r w:rsidR="00C024BD" w:rsidRPr="00A67F27">
          <w:rPr>
            <w:noProof/>
            <w:webHidden/>
          </w:rPr>
          <w:instrText xml:space="preserve"> PAGEREF _Toc487641804 \h </w:instrText>
        </w:r>
        <w:r w:rsidR="00C024BD" w:rsidRPr="001627D7">
          <w:rPr>
            <w:noProof/>
            <w:webHidden/>
          </w:rPr>
        </w:r>
        <w:r w:rsidR="00C024BD" w:rsidRPr="001627D7">
          <w:rPr>
            <w:noProof/>
            <w:webHidden/>
          </w:rPr>
          <w:fldChar w:fldCharType="separate"/>
        </w:r>
        <w:r w:rsidR="006C5B9E">
          <w:rPr>
            <w:noProof/>
            <w:webHidden/>
          </w:rPr>
          <w:t>25</w:t>
        </w:r>
        <w:r w:rsidR="00C024BD" w:rsidRPr="001627D7">
          <w:rPr>
            <w:noProof/>
            <w:webHidden/>
          </w:rPr>
          <w:fldChar w:fldCharType="end"/>
        </w:r>
      </w:hyperlink>
    </w:p>
    <w:p w14:paraId="41FBB745" w14:textId="72387B7A" w:rsidR="00C024BD" w:rsidRPr="00A67F27" w:rsidRDefault="00B37E92">
      <w:pPr>
        <w:pStyle w:val="TM2"/>
        <w:tabs>
          <w:tab w:val="left" w:pos="1440"/>
        </w:tabs>
        <w:rPr>
          <w:rFonts w:asciiTheme="minorHAnsi" w:eastAsiaTheme="minorEastAsia" w:hAnsiTheme="minorHAnsi" w:cstheme="minorBidi"/>
          <w:noProof/>
          <w:sz w:val="22"/>
          <w:szCs w:val="22"/>
          <w:lang w:eastAsia="zh-CN"/>
        </w:rPr>
      </w:pPr>
      <w:hyperlink w:anchor="_Toc487641805" w:history="1">
        <w:r w:rsidR="00C024BD" w:rsidRPr="00A67F27">
          <w:rPr>
            <w:rStyle w:val="Lienhypertexte"/>
            <w:noProof/>
          </w:rPr>
          <w:t>33.</w:t>
        </w:r>
        <w:r w:rsidR="00C024BD" w:rsidRPr="001627D7">
          <w:rPr>
            <w:rFonts w:asciiTheme="minorHAnsi" w:eastAsiaTheme="minorEastAsia" w:hAnsiTheme="minorHAnsi" w:cstheme="minorBidi"/>
            <w:noProof/>
            <w:sz w:val="22"/>
            <w:szCs w:val="22"/>
            <w:lang w:eastAsia="zh-CN"/>
          </w:rPr>
          <w:tab/>
        </w:r>
        <w:r w:rsidR="00C024BD" w:rsidRPr="001627D7">
          <w:rPr>
            <w:rStyle w:val="Lienhypertexte"/>
            <w:noProof/>
          </w:rPr>
          <w:t>Marge de préférence</w:t>
        </w:r>
        <w:r w:rsidR="00C024BD" w:rsidRPr="00043C85">
          <w:rPr>
            <w:noProof/>
            <w:webHidden/>
          </w:rPr>
          <w:tab/>
        </w:r>
        <w:r w:rsidR="00C024BD" w:rsidRPr="001627D7">
          <w:rPr>
            <w:noProof/>
            <w:webHidden/>
          </w:rPr>
          <w:fldChar w:fldCharType="begin"/>
        </w:r>
        <w:r w:rsidR="00C024BD" w:rsidRPr="00A67F27">
          <w:rPr>
            <w:noProof/>
            <w:webHidden/>
          </w:rPr>
          <w:instrText xml:space="preserve"> PAGEREF _Toc487641805 \h </w:instrText>
        </w:r>
        <w:r w:rsidR="00C024BD" w:rsidRPr="001627D7">
          <w:rPr>
            <w:noProof/>
            <w:webHidden/>
          </w:rPr>
        </w:r>
        <w:r w:rsidR="00C024BD" w:rsidRPr="001627D7">
          <w:rPr>
            <w:noProof/>
            <w:webHidden/>
          </w:rPr>
          <w:fldChar w:fldCharType="separate"/>
        </w:r>
        <w:r w:rsidR="006C5B9E">
          <w:rPr>
            <w:noProof/>
            <w:webHidden/>
          </w:rPr>
          <w:t>26</w:t>
        </w:r>
        <w:r w:rsidR="00C024BD" w:rsidRPr="001627D7">
          <w:rPr>
            <w:noProof/>
            <w:webHidden/>
          </w:rPr>
          <w:fldChar w:fldCharType="end"/>
        </w:r>
      </w:hyperlink>
    </w:p>
    <w:p w14:paraId="70B299EC" w14:textId="3D02C7B5" w:rsidR="00C024BD" w:rsidRPr="00A67F27" w:rsidRDefault="00B37E92">
      <w:pPr>
        <w:pStyle w:val="TM2"/>
        <w:tabs>
          <w:tab w:val="left" w:pos="1440"/>
        </w:tabs>
        <w:rPr>
          <w:rFonts w:asciiTheme="minorHAnsi" w:eastAsiaTheme="minorEastAsia" w:hAnsiTheme="minorHAnsi" w:cstheme="minorBidi"/>
          <w:noProof/>
          <w:sz w:val="22"/>
          <w:szCs w:val="22"/>
          <w:lang w:eastAsia="zh-CN"/>
        </w:rPr>
      </w:pPr>
      <w:hyperlink w:anchor="_Toc487641806" w:history="1">
        <w:r w:rsidR="00C024BD" w:rsidRPr="00A67F27">
          <w:rPr>
            <w:rStyle w:val="Lienhypertexte"/>
            <w:noProof/>
          </w:rPr>
          <w:t>34.</w:t>
        </w:r>
        <w:r w:rsidR="00C024BD" w:rsidRPr="001627D7">
          <w:rPr>
            <w:rFonts w:asciiTheme="minorHAnsi" w:eastAsiaTheme="minorEastAsia" w:hAnsiTheme="minorHAnsi" w:cstheme="minorBidi"/>
            <w:noProof/>
            <w:sz w:val="22"/>
            <w:szCs w:val="22"/>
            <w:lang w:eastAsia="zh-CN"/>
          </w:rPr>
          <w:tab/>
        </w:r>
        <w:r w:rsidR="00C024BD" w:rsidRPr="001627D7">
          <w:rPr>
            <w:rStyle w:val="Lienhypertexte"/>
            <w:noProof/>
          </w:rPr>
          <w:t>Sous-traitants</w:t>
        </w:r>
        <w:r w:rsidR="00C024BD" w:rsidRPr="00043C85">
          <w:rPr>
            <w:noProof/>
            <w:webHidden/>
          </w:rPr>
          <w:tab/>
        </w:r>
        <w:r w:rsidR="00C024BD" w:rsidRPr="001627D7">
          <w:rPr>
            <w:noProof/>
            <w:webHidden/>
          </w:rPr>
          <w:fldChar w:fldCharType="begin"/>
        </w:r>
        <w:r w:rsidR="00C024BD" w:rsidRPr="00A67F27">
          <w:rPr>
            <w:noProof/>
            <w:webHidden/>
          </w:rPr>
          <w:instrText xml:space="preserve"> PAGEREF _Toc487641806 \h </w:instrText>
        </w:r>
        <w:r w:rsidR="00C024BD" w:rsidRPr="001627D7">
          <w:rPr>
            <w:noProof/>
            <w:webHidden/>
          </w:rPr>
        </w:r>
        <w:r w:rsidR="00C024BD" w:rsidRPr="001627D7">
          <w:rPr>
            <w:noProof/>
            <w:webHidden/>
          </w:rPr>
          <w:fldChar w:fldCharType="separate"/>
        </w:r>
        <w:r w:rsidR="006C5B9E">
          <w:rPr>
            <w:noProof/>
            <w:webHidden/>
          </w:rPr>
          <w:t>26</w:t>
        </w:r>
        <w:r w:rsidR="00C024BD" w:rsidRPr="001627D7">
          <w:rPr>
            <w:noProof/>
            <w:webHidden/>
          </w:rPr>
          <w:fldChar w:fldCharType="end"/>
        </w:r>
      </w:hyperlink>
    </w:p>
    <w:p w14:paraId="0EC7D3FF" w14:textId="548A4EF5" w:rsidR="00C024BD" w:rsidRPr="00A67F27" w:rsidRDefault="00B37E92">
      <w:pPr>
        <w:pStyle w:val="TM2"/>
        <w:tabs>
          <w:tab w:val="left" w:pos="1440"/>
        </w:tabs>
        <w:rPr>
          <w:rFonts w:asciiTheme="minorHAnsi" w:eastAsiaTheme="minorEastAsia" w:hAnsiTheme="minorHAnsi" w:cstheme="minorBidi"/>
          <w:noProof/>
          <w:sz w:val="22"/>
          <w:szCs w:val="22"/>
          <w:lang w:eastAsia="zh-CN"/>
        </w:rPr>
      </w:pPr>
      <w:hyperlink w:anchor="_Toc487641807" w:history="1">
        <w:r w:rsidR="00C024BD" w:rsidRPr="00A67F27">
          <w:rPr>
            <w:rStyle w:val="Lienhypertexte"/>
            <w:noProof/>
          </w:rPr>
          <w:t>35.</w:t>
        </w:r>
        <w:r w:rsidR="00C024BD" w:rsidRPr="001627D7">
          <w:rPr>
            <w:rFonts w:asciiTheme="minorHAnsi" w:eastAsiaTheme="minorEastAsia" w:hAnsiTheme="minorHAnsi" w:cstheme="minorBidi"/>
            <w:noProof/>
            <w:sz w:val="22"/>
            <w:szCs w:val="22"/>
            <w:lang w:eastAsia="zh-CN"/>
          </w:rPr>
          <w:tab/>
        </w:r>
        <w:r w:rsidR="00C024BD" w:rsidRPr="001627D7">
          <w:rPr>
            <w:rStyle w:val="Lienhypertexte"/>
            <w:noProof/>
          </w:rPr>
          <w:t>Évaluation des Offres</w:t>
        </w:r>
        <w:r w:rsidR="00C024BD" w:rsidRPr="00043C85">
          <w:rPr>
            <w:noProof/>
            <w:webHidden/>
          </w:rPr>
          <w:tab/>
        </w:r>
        <w:r w:rsidR="00C024BD" w:rsidRPr="001627D7">
          <w:rPr>
            <w:noProof/>
            <w:webHidden/>
          </w:rPr>
          <w:fldChar w:fldCharType="begin"/>
        </w:r>
        <w:r w:rsidR="00C024BD" w:rsidRPr="00A67F27">
          <w:rPr>
            <w:noProof/>
            <w:webHidden/>
          </w:rPr>
          <w:instrText xml:space="preserve"> PAGEREF _Toc487641807 \h </w:instrText>
        </w:r>
        <w:r w:rsidR="00C024BD" w:rsidRPr="001627D7">
          <w:rPr>
            <w:noProof/>
            <w:webHidden/>
          </w:rPr>
        </w:r>
        <w:r w:rsidR="00C024BD" w:rsidRPr="001627D7">
          <w:rPr>
            <w:noProof/>
            <w:webHidden/>
          </w:rPr>
          <w:fldChar w:fldCharType="separate"/>
        </w:r>
        <w:r w:rsidR="006C5B9E">
          <w:rPr>
            <w:noProof/>
            <w:webHidden/>
          </w:rPr>
          <w:t>26</w:t>
        </w:r>
        <w:r w:rsidR="00C024BD" w:rsidRPr="001627D7">
          <w:rPr>
            <w:noProof/>
            <w:webHidden/>
          </w:rPr>
          <w:fldChar w:fldCharType="end"/>
        </w:r>
      </w:hyperlink>
    </w:p>
    <w:p w14:paraId="231C886C" w14:textId="09CC4F54" w:rsidR="00C024BD" w:rsidRPr="00A67F27" w:rsidRDefault="00B37E92">
      <w:pPr>
        <w:pStyle w:val="TM2"/>
        <w:tabs>
          <w:tab w:val="left" w:pos="1440"/>
        </w:tabs>
        <w:rPr>
          <w:rFonts w:asciiTheme="minorHAnsi" w:eastAsiaTheme="minorEastAsia" w:hAnsiTheme="minorHAnsi" w:cstheme="minorBidi"/>
          <w:noProof/>
          <w:sz w:val="22"/>
          <w:szCs w:val="22"/>
          <w:lang w:eastAsia="zh-CN"/>
        </w:rPr>
      </w:pPr>
      <w:hyperlink w:anchor="_Toc487641808" w:history="1">
        <w:r w:rsidR="00C024BD" w:rsidRPr="00A67F27">
          <w:rPr>
            <w:rStyle w:val="Lienhypertexte"/>
            <w:noProof/>
          </w:rPr>
          <w:t>36.</w:t>
        </w:r>
        <w:r w:rsidR="00C024BD" w:rsidRPr="001627D7">
          <w:rPr>
            <w:rFonts w:asciiTheme="minorHAnsi" w:eastAsiaTheme="minorEastAsia" w:hAnsiTheme="minorHAnsi" w:cstheme="minorBidi"/>
            <w:noProof/>
            <w:sz w:val="22"/>
            <w:szCs w:val="22"/>
            <w:lang w:eastAsia="zh-CN"/>
          </w:rPr>
          <w:tab/>
        </w:r>
        <w:r w:rsidR="00C024BD" w:rsidRPr="001627D7">
          <w:rPr>
            <w:rStyle w:val="Lienhypertexte"/>
            <w:noProof/>
          </w:rPr>
          <w:t>Comparaison des Offres</w:t>
        </w:r>
        <w:r w:rsidR="00C024BD" w:rsidRPr="00043C85">
          <w:rPr>
            <w:noProof/>
            <w:webHidden/>
          </w:rPr>
          <w:tab/>
        </w:r>
        <w:r w:rsidR="00C024BD" w:rsidRPr="001627D7">
          <w:rPr>
            <w:noProof/>
            <w:webHidden/>
          </w:rPr>
          <w:fldChar w:fldCharType="begin"/>
        </w:r>
        <w:r w:rsidR="00C024BD" w:rsidRPr="00A67F27">
          <w:rPr>
            <w:noProof/>
            <w:webHidden/>
          </w:rPr>
          <w:instrText xml:space="preserve"> PAGEREF _Toc487641808 \h </w:instrText>
        </w:r>
        <w:r w:rsidR="00C024BD" w:rsidRPr="001627D7">
          <w:rPr>
            <w:noProof/>
            <w:webHidden/>
          </w:rPr>
        </w:r>
        <w:r w:rsidR="00C024BD" w:rsidRPr="001627D7">
          <w:rPr>
            <w:noProof/>
            <w:webHidden/>
          </w:rPr>
          <w:fldChar w:fldCharType="separate"/>
        </w:r>
        <w:r w:rsidR="006C5B9E">
          <w:rPr>
            <w:noProof/>
            <w:webHidden/>
          </w:rPr>
          <w:t>27</w:t>
        </w:r>
        <w:r w:rsidR="00C024BD" w:rsidRPr="001627D7">
          <w:rPr>
            <w:noProof/>
            <w:webHidden/>
          </w:rPr>
          <w:fldChar w:fldCharType="end"/>
        </w:r>
      </w:hyperlink>
    </w:p>
    <w:p w14:paraId="18AA6636" w14:textId="2D8AE739" w:rsidR="00C024BD" w:rsidRPr="00A67F27" w:rsidRDefault="00B37E92">
      <w:pPr>
        <w:pStyle w:val="TM2"/>
        <w:tabs>
          <w:tab w:val="left" w:pos="1440"/>
        </w:tabs>
        <w:rPr>
          <w:rFonts w:asciiTheme="minorHAnsi" w:eastAsiaTheme="minorEastAsia" w:hAnsiTheme="minorHAnsi" w:cstheme="minorBidi"/>
          <w:noProof/>
          <w:sz w:val="22"/>
          <w:szCs w:val="22"/>
          <w:lang w:eastAsia="zh-CN"/>
        </w:rPr>
      </w:pPr>
      <w:hyperlink w:anchor="_Toc487641809" w:history="1">
        <w:r w:rsidR="00C024BD" w:rsidRPr="00A67F27">
          <w:rPr>
            <w:rStyle w:val="Lienhypertexte"/>
            <w:noProof/>
          </w:rPr>
          <w:t>37.</w:t>
        </w:r>
        <w:r w:rsidR="00C024BD" w:rsidRPr="001627D7">
          <w:rPr>
            <w:rFonts w:asciiTheme="minorHAnsi" w:eastAsiaTheme="minorEastAsia" w:hAnsiTheme="minorHAnsi" w:cstheme="minorBidi"/>
            <w:noProof/>
            <w:sz w:val="22"/>
            <w:szCs w:val="22"/>
            <w:lang w:eastAsia="zh-CN"/>
          </w:rPr>
          <w:tab/>
        </w:r>
        <w:r w:rsidR="00C024BD" w:rsidRPr="001627D7">
          <w:rPr>
            <w:rStyle w:val="Lienhypertexte"/>
            <w:noProof/>
          </w:rPr>
          <w:t>Qualification du Soumis</w:t>
        </w:r>
        <w:r w:rsidR="00C024BD" w:rsidRPr="00043C85">
          <w:rPr>
            <w:rStyle w:val="Lienhypertexte"/>
            <w:noProof/>
          </w:rPr>
          <w:t>sion-naire</w:t>
        </w:r>
        <w:r w:rsidR="00C024BD" w:rsidRPr="00442531">
          <w:rPr>
            <w:noProof/>
            <w:webHidden/>
          </w:rPr>
          <w:tab/>
        </w:r>
        <w:r w:rsidR="00C024BD" w:rsidRPr="001627D7">
          <w:rPr>
            <w:noProof/>
            <w:webHidden/>
          </w:rPr>
          <w:fldChar w:fldCharType="begin"/>
        </w:r>
        <w:r w:rsidR="00C024BD" w:rsidRPr="00A67F27">
          <w:rPr>
            <w:noProof/>
            <w:webHidden/>
          </w:rPr>
          <w:instrText xml:space="preserve"> PAGEREF _Toc487641809 \h </w:instrText>
        </w:r>
        <w:r w:rsidR="00C024BD" w:rsidRPr="001627D7">
          <w:rPr>
            <w:noProof/>
            <w:webHidden/>
          </w:rPr>
        </w:r>
        <w:r w:rsidR="00C024BD" w:rsidRPr="001627D7">
          <w:rPr>
            <w:noProof/>
            <w:webHidden/>
          </w:rPr>
          <w:fldChar w:fldCharType="separate"/>
        </w:r>
        <w:r w:rsidR="006C5B9E">
          <w:rPr>
            <w:noProof/>
            <w:webHidden/>
          </w:rPr>
          <w:t>27</w:t>
        </w:r>
        <w:r w:rsidR="00C024BD" w:rsidRPr="001627D7">
          <w:rPr>
            <w:noProof/>
            <w:webHidden/>
          </w:rPr>
          <w:fldChar w:fldCharType="end"/>
        </w:r>
      </w:hyperlink>
    </w:p>
    <w:p w14:paraId="5C1FEA53" w14:textId="42EFA6D9" w:rsidR="00C024BD" w:rsidRPr="00A67F27" w:rsidRDefault="00B37E92">
      <w:pPr>
        <w:pStyle w:val="TM2"/>
        <w:tabs>
          <w:tab w:val="left" w:pos="1440"/>
        </w:tabs>
        <w:rPr>
          <w:rFonts w:asciiTheme="minorHAnsi" w:eastAsiaTheme="minorEastAsia" w:hAnsiTheme="minorHAnsi" w:cstheme="minorBidi"/>
          <w:noProof/>
          <w:sz w:val="22"/>
          <w:szCs w:val="22"/>
          <w:lang w:eastAsia="zh-CN"/>
        </w:rPr>
      </w:pPr>
      <w:hyperlink w:anchor="_Toc487641810" w:history="1">
        <w:r w:rsidR="00C024BD" w:rsidRPr="00A67F27">
          <w:rPr>
            <w:rStyle w:val="Lienhypertexte"/>
            <w:noProof/>
          </w:rPr>
          <w:t>38.</w:t>
        </w:r>
        <w:r w:rsidR="00C024BD" w:rsidRPr="001627D7">
          <w:rPr>
            <w:rFonts w:asciiTheme="minorHAnsi" w:eastAsiaTheme="minorEastAsia" w:hAnsiTheme="minorHAnsi" w:cstheme="minorBidi"/>
            <w:noProof/>
            <w:sz w:val="22"/>
            <w:szCs w:val="22"/>
            <w:lang w:eastAsia="zh-CN"/>
          </w:rPr>
          <w:tab/>
        </w:r>
        <w:r w:rsidR="00C024BD" w:rsidRPr="001627D7">
          <w:rPr>
            <w:rStyle w:val="Lienhypertexte"/>
            <w:noProof/>
          </w:rPr>
          <w:t>Droit du Maître de l’Ouvrage d’accepter et d’écarter les offres</w:t>
        </w:r>
        <w:r w:rsidR="00C024BD" w:rsidRPr="00043C85">
          <w:rPr>
            <w:noProof/>
            <w:webHidden/>
          </w:rPr>
          <w:tab/>
        </w:r>
        <w:r w:rsidR="00C024BD" w:rsidRPr="001627D7">
          <w:rPr>
            <w:noProof/>
            <w:webHidden/>
          </w:rPr>
          <w:fldChar w:fldCharType="begin"/>
        </w:r>
        <w:r w:rsidR="00C024BD" w:rsidRPr="00A67F27">
          <w:rPr>
            <w:noProof/>
            <w:webHidden/>
          </w:rPr>
          <w:instrText xml:space="preserve"> PAGEREF _Toc487641810 \h </w:instrText>
        </w:r>
        <w:r w:rsidR="00C024BD" w:rsidRPr="001627D7">
          <w:rPr>
            <w:noProof/>
            <w:webHidden/>
          </w:rPr>
        </w:r>
        <w:r w:rsidR="00C024BD" w:rsidRPr="001627D7">
          <w:rPr>
            <w:noProof/>
            <w:webHidden/>
          </w:rPr>
          <w:fldChar w:fldCharType="separate"/>
        </w:r>
        <w:r w:rsidR="006C5B9E">
          <w:rPr>
            <w:noProof/>
            <w:webHidden/>
          </w:rPr>
          <w:t>28</w:t>
        </w:r>
        <w:r w:rsidR="00C024BD" w:rsidRPr="001627D7">
          <w:rPr>
            <w:noProof/>
            <w:webHidden/>
          </w:rPr>
          <w:fldChar w:fldCharType="end"/>
        </w:r>
      </w:hyperlink>
    </w:p>
    <w:p w14:paraId="4F6D61A5" w14:textId="0A41EBB2" w:rsidR="00C024BD" w:rsidRPr="00A67F27" w:rsidRDefault="00B37E92">
      <w:pPr>
        <w:pStyle w:val="TM1"/>
        <w:rPr>
          <w:rFonts w:asciiTheme="minorHAnsi" w:eastAsiaTheme="minorEastAsia" w:hAnsiTheme="minorHAnsi" w:cstheme="minorBidi"/>
          <w:b w:val="0"/>
          <w:noProof/>
          <w:sz w:val="22"/>
          <w:szCs w:val="22"/>
          <w:lang w:eastAsia="zh-CN"/>
        </w:rPr>
      </w:pPr>
      <w:hyperlink w:anchor="_Toc487641811" w:history="1">
        <w:r w:rsidR="00C024BD" w:rsidRPr="00A67F27">
          <w:rPr>
            <w:rStyle w:val="Lienhypertexte"/>
            <w:noProof/>
          </w:rPr>
          <w:t xml:space="preserve">F. </w:t>
        </w:r>
        <w:r w:rsidR="00C024BD" w:rsidRPr="001627D7">
          <w:rPr>
            <w:rFonts w:asciiTheme="minorHAnsi" w:eastAsiaTheme="minorEastAsia" w:hAnsiTheme="minorHAnsi" w:cstheme="minorBidi"/>
            <w:b w:val="0"/>
            <w:noProof/>
            <w:sz w:val="22"/>
            <w:szCs w:val="22"/>
            <w:lang w:eastAsia="zh-CN"/>
          </w:rPr>
          <w:tab/>
        </w:r>
        <w:r w:rsidR="00C024BD" w:rsidRPr="001627D7">
          <w:rPr>
            <w:rStyle w:val="Lienhypertexte"/>
            <w:noProof/>
          </w:rPr>
          <w:t>Attribution du Marché</w:t>
        </w:r>
        <w:r w:rsidR="00C024BD" w:rsidRPr="00043C85">
          <w:rPr>
            <w:noProof/>
            <w:webHidden/>
          </w:rPr>
          <w:tab/>
        </w:r>
        <w:r w:rsidR="00C024BD" w:rsidRPr="001627D7">
          <w:rPr>
            <w:noProof/>
            <w:webHidden/>
          </w:rPr>
          <w:fldChar w:fldCharType="begin"/>
        </w:r>
        <w:r w:rsidR="00C024BD" w:rsidRPr="00A67F27">
          <w:rPr>
            <w:noProof/>
            <w:webHidden/>
          </w:rPr>
          <w:instrText xml:space="preserve"> PAGEREF _Toc487641811 \h </w:instrText>
        </w:r>
        <w:r w:rsidR="00C024BD" w:rsidRPr="001627D7">
          <w:rPr>
            <w:noProof/>
            <w:webHidden/>
          </w:rPr>
        </w:r>
        <w:r w:rsidR="00C024BD" w:rsidRPr="001627D7">
          <w:rPr>
            <w:noProof/>
            <w:webHidden/>
          </w:rPr>
          <w:fldChar w:fldCharType="separate"/>
        </w:r>
        <w:r w:rsidR="006C5B9E">
          <w:rPr>
            <w:noProof/>
            <w:webHidden/>
          </w:rPr>
          <w:t>28</w:t>
        </w:r>
        <w:r w:rsidR="00C024BD" w:rsidRPr="001627D7">
          <w:rPr>
            <w:noProof/>
            <w:webHidden/>
          </w:rPr>
          <w:fldChar w:fldCharType="end"/>
        </w:r>
      </w:hyperlink>
    </w:p>
    <w:p w14:paraId="3247DB92" w14:textId="60F9F60E" w:rsidR="00C024BD" w:rsidRPr="00A67F27" w:rsidRDefault="00B37E92">
      <w:pPr>
        <w:pStyle w:val="TM2"/>
        <w:tabs>
          <w:tab w:val="left" w:pos="1440"/>
        </w:tabs>
        <w:rPr>
          <w:rFonts w:asciiTheme="minorHAnsi" w:eastAsiaTheme="minorEastAsia" w:hAnsiTheme="minorHAnsi" w:cstheme="minorBidi"/>
          <w:noProof/>
          <w:sz w:val="22"/>
          <w:szCs w:val="22"/>
          <w:lang w:eastAsia="zh-CN"/>
        </w:rPr>
      </w:pPr>
      <w:hyperlink w:anchor="_Toc487641812" w:history="1">
        <w:r w:rsidR="00C024BD" w:rsidRPr="00A67F27">
          <w:rPr>
            <w:rStyle w:val="Lienhypertexte"/>
            <w:noProof/>
          </w:rPr>
          <w:t>39.</w:t>
        </w:r>
        <w:r w:rsidR="00C024BD" w:rsidRPr="001627D7">
          <w:rPr>
            <w:rFonts w:asciiTheme="minorHAnsi" w:eastAsiaTheme="minorEastAsia" w:hAnsiTheme="minorHAnsi" w:cstheme="minorBidi"/>
            <w:noProof/>
            <w:sz w:val="22"/>
            <w:szCs w:val="22"/>
            <w:lang w:eastAsia="zh-CN"/>
          </w:rPr>
          <w:tab/>
        </w:r>
        <w:r w:rsidR="00C024BD" w:rsidRPr="001627D7">
          <w:rPr>
            <w:rStyle w:val="Lienhypertexte"/>
            <w:noProof/>
          </w:rPr>
          <w:t>Critères d’attribution</w:t>
        </w:r>
        <w:r w:rsidR="00C024BD" w:rsidRPr="00043C85">
          <w:rPr>
            <w:noProof/>
            <w:webHidden/>
          </w:rPr>
          <w:tab/>
        </w:r>
        <w:r w:rsidR="00C024BD" w:rsidRPr="001627D7">
          <w:rPr>
            <w:noProof/>
            <w:webHidden/>
          </w:rPr>
          <w:fldChar w:fldCharType="begin"/>
        </w:r>
        <w:r w:rsidR="00C024BD" w:rsidRPr="00A67F27">
          <w:rPr>
            <w:noProof/>
            <w:webHidden/>
          </w:rPr>
          <w:instrText xml:space="preserve"> PAGEREF _Toc487641812 \h </w:instrText>
        </w:r>
        <w:r w:rsidR="00C024BD" w:rsidRPr="001627D7">
          <w:rPr>
            <w:noProof/>
            <w:webHidden/>
          </w:rPr>
        </w:r>
        <w:r w:rsidR="00C024BD" w:rsidRPr="001627D7">
          <w:rPr>
            <w:noProof/>
            <w:webHidden/>
          </w:rPr>
          <w:fldChar w:fldCharType="separate"/>
        </w:r>
        <w:r w:rsidR="006C5B9E">
          <w:rPr>
            <w:noProof/>
            <w:webHidden/>
          </w:rPr>
          <w:t>28</w:t>
        </w:r>
        <w:r w:rsidR="00C024BD" w:rsidRPr="001627D7">
          <w:rPr>
            <w:noProof/>
            <w:webHidden/>
          </w:rPr>
          <w:fldChar w:fldCharType="end"/>
        </w:r>
      </w:hyperlink>
    </w:p>
    <w:p w14:paraId="09BF47B5" w14:textId="625E8F44" w:rsidR="00C024BD" w:rsidRPr="00A67F27" w:rsidRDefault="00B37E92">
      <w:pPr>
        <w:pStyle w:val="TM2"/>
        <w:tabs>
          <w:tab w:val="left" w:pos="1440"/>
        </w:tabs>
        <w:rPr>
          <w:rFonts w:asciiTheme="minorHAnsi" w:eastAsiaTheme="minorEastAsia" w:hAnsiTheme="minorHAnsi" w:cstheme="minorBidi"/>
          <w:noProof/>
          <w:sz w:val="22"/>
          <w:szCs w:val="22"/>
          <w:lang w:eastAsia="zh-CN"/>
        </w:rPr>
      </w:pPr>
      <w:hyperlink w:anchor="_Toc487641813" w:history="1">
        <w:r w:rsidR="00C024BD" w:rsidRPr="00A67F27">
          <w:rPr>
            <w:rStyle w:val="Lienhypertexte"/>
            <w:noProof/>
          </w:rPr>
          <w:t>40.</w:t>
        </w:r>
        <w:r w:rsidR="00C024BD" w:rsidRPr="001627D7">
          <w:rPr>
            <w:rFonts w:asciiTheme="minorHAnsi" w:eastAsiaTheme="minorEastAsia" w:hAnsiTheme="minorHAnsi" w:cstheme="minorBidi"/>
            <w:noProof/>
            <w:sz w:val="22"/>
            <w:szCs w:val="22"/>
            <w:lang w:eastAsia="zh-CN"/>
          </w:rPr>
          <w:tab/>
        </w:r>
        <w:r w:rsidR="00C024BD" w:rsidRPr="001627D7">
          <w:rPr>
            <w:rStyle w:val="Lienhypertexte"/>
            <w:noProof/>
          </w:rPr>
          <w:t>Notification de l’attribution du Marché</w:t>
        </w:r>
        <w:r w:rsidR="00C024BD" w:rsidRPr="00043C85">
          <w:rPr>
            <w:noProof/>
            <w:webHidden/>
          </w:rPr>
          <w:tab/>
        </w:r>
        <w:r w:rsidR="00C024BD" w:rsidRPr="001627D7">
          <w:rPr>
            <w:noProof/>
            <w:webHidden/>
          </w:rPr>
          <w:fldChar w:fldCharType="begin"/>
        </w:r>
        <w:r w:rsidR="00C024BD" w:rsidRPr="00A67F27">
          <w:rPr>
            <w:noProof/>
            <w:webHidden/>
          </w:rPr>
          <w:instrText xml:space="preserve"> PAGEREF _Toc487641813 \h </w:instrText>
        </w:r>
        <w:r w:rsidR="00C024BD" w:rsidRPr="001627D7">
          <w:rPr>
            <w:noProof/>
            <w:webHidden/>
          </w:rPr>
        </w:r>
        <w:r w:rsidR="00C024BD" w:rsidRPr="001627D7">
          <w:rPr>
            <w:noProof/>
            <w:webHidden/>
          </w:rPr>
          <w:fldChar w:fldCharType="separate"/>
        </w:r>
        <w:r w:rsidR="006C5B9E">
          <w:rPr>
            <w:noProof/>
            <w:webHidden/>
          </w:rPr>
          <w:t>28</w:t>
        </w:r>
        <w:r w:rsidR="00C024BD" w:rsidRPr="001627D7">
          <w:rPr>
            <w:noProof/>
            <w:webHidden/>
          </w:rPr>
          <w:fldChar w:fldCharType="end"/>
        </w:r>
      </w:hyperlink>
    </w:p>
    <w:p w14:paraId="0A2EB22A" w14:textId="1C827B83" w:rsidR="00C024BD" w:rsidRPr="00A67F27" w:rsidRDefault="00B37E92">
      <w:pPr>
        <w:pStyle w:val="TM2"/>
        <w:tabs>
          <w:tab w:val="left" w:pos="1440"/>
        </w:tabs>
        <w:rPr>
          <w:rFonts w:asciiTheme="minorHAnsi" w:eastAsiaTheme="minorEastAsia" w:hAnsiTheme="minorHAnsi" w:cstheme="minorBidi"/>
          <w:noProof/>
          <w:sz w:val="22"/>
          <w:szCs w:val="22"/>
          <w:lang w:eastAsia="zh-CN"/>
        </w:rPr>
      </w:pPr>
      <w:hyperlink w:anchor="_Toc487641814" w:history="1">
        <w:r w:rsidR="00C024BD" w:rsidRPr="00A67F27">
          <w:rPr>
            <w:rStyle w:val="Lienhypertexte"/>
            <w:noProof/>
          </w:rPr>
          <w:t>41.</w:t>
        </w:r>
        <w:r w:rsidR="00C024BD" w:rsidRPr="001627D7">
          <w:rPr>
            <w:rFonts w:asciiTheme="minorHAnsi" w:eastAsiaTheme="minorEastAsia" w:hAnsiTheme="minorHAnsi" w:cstheme="minorBidi"/>
            <w:noProof/>
            <w:sz w:val="22"/>
            <w:szCs w:val="22"/>
            <w:lang w:eastAsia="zh-CN"/>
          </w:rPr>
          <w:tab/>
        </w:r>
        <w:r w:rsidR="00C024BD" w:rsidRPr="001627D7">
          <w:rPr>
            <w:rStyle w:val="Lienhypertexte"/>
            <w:noProof/>
          </w:rPr>
          <w:t>Signature du Marché</w:t>
        </w:r>
        <w:r w:rsidR="00C024BD" w:rsidRPr="00043C85">
          <w:rPr>
            <w:noProof/>
            <w:webHidden/>
          </w:rPr>
          <w:tab/>
        </w:r>
        <w:r w:rsidR="00C024BD" w:rsidRPr="001627D7">
          <w:rPr>
            <w:noProof/>
            <w:webHidden/>
          </w:rPr>
          <w:fldChar w:fldCharType="begin"/>
        </w:r>
        <w:r w:rsidR="00C024BD" w:rsidRPr="00A67F27">
          <w:rPr>
            <w:noProof/>
            <w:webHidden/>
          </w:rPr>
          <w:instrText xml:space="preserve"> PAGEREF _Toc487641814 \h </w:instrText>
        </w:r>
        <w:r w:rsidR="00C024BD" w:rsidRPr="001627D7">
          <w:rPr>
            <w:noProof/>
            <w:webHidden/>
          </w:rPr>
        </w:r>
        <w:r w:rsidR="00C024BD" w:rsidRPr="001627D7">
          <w:rPr>
            <w:noProof/>
            <w:webHidden/>
          </w:rPr>
          <w:fldChar w:fldCharType="separate"/>
        </w:r>
        <w:r w:rsidR="006C5B9E">
          <w:rPr>
            <w:noProof/>
            <w:webHidden/>
          </w:rPr>
          <w:t>29</w:t>
        </w:r>
        <w:r w:rsidR="00C024BD" w:rsidRPr="001627D7">
          <w:rPr>
            <w:noProof/>
            <w:webHidden/>
          </w:rPr>
          <w:fldChar w:fldCharType="end"/>
        </w:r>
      </w:hyperlink>
    </w:p>
    <w:p w14:paraId="3C75ACB5" w14:textId="42796623" w:rsidR="00C024BD" w:rsidRPr="00A67F27" w:rsidRDefault="00B37E92">
      <w:pPr>
        <w:pStyle w:val="TM2"/>
        <w:tabs>
          <w:tab w:val="left" w:pos="1440"/>
        </w:tabs>
        <w:rPr>
          <w:rFonts w:asciiTheme="minorHAnsi" w:eastAsiaTheme="minorEastAsia" w:hAnsiTheme="minorHAnsi" w:cstheme="minorBidi"/>
          <w:noProof/>
          <w:sz w:val="22"/>
          <w:szCs w:val="22"/>
          <w:lang w:eastAsia="zh-CN"/>
        </w:rPr>
      </w:pPr>
      <w:hyperlink w:anchor="_Toc487641815" w:history="1">
        <w:r w:rsidR="00C024BD" w:rsidRPr="00A67F27">
          <w:rPr>
            <w:rStyle w:val="Lienhypertexte"/>
            <w:noProof/>
          </w:rPr>
          <w:t>42.</w:t>
        </w:r>
        <w:r w:rsidR="00C024BD" w:rsidRPr="001627D7">
          <w:rPr>
            <w:rFonts w:asciiTheme="minorHAnsi" w:eastAsiaTheme="minorEastAsia" w:hAnsiTheme="minorHAnsi" w:cstheme="minorBidi"/>
            <w:noProof/>
            <w:sz w:val="22"/>
            <w:szCs w:val="22"/>
            <w:lang w:eastAsia="zh-CN"/>
          </w:rPr>
          <w:tab/>
        </w:r>
        <w:r w:rsidR="00C024BD" w:rsidRPr="001627D7">
          <w:rPr>
            <w:rStyle w:val="Lienhypertexte"/>
            <w:noProof/>
          </w:rPr>
          <w:t>Garantie de bonne exécution</w:t>
        </w:r>
        <w:r w:rsidR="00C024BD" w:rsidRPr="00043C85">
          <w:rPr>
            <w:noProof/>
            <w:webHidden/>
          </w:rPr>
          <w:tab/>
        </w:r>
        <w:r w:rsidR="00C024BD" w:rsidRPr="001627D7">
          <w:rPr>
            <w:noProof/>
            <w:webHidden/>
          </w:rPr>
          <w:fldChar w:fldCharType="begin"/>
        </w:r>
        <w:r w:rsidR="00C024BD" w:rsidRPr="00A67F27">
          <w:rPr>
            <w:noProof/>
            <w:webHidden/>
          </w:rPr>
          <w:instrText xml:space="preserve"> PAGEREF _Toc487641815 \h </w:instrText>
        </w:r>
        <w:r w:rsidR="00C024BD" w:rsidRPr="001627D7">
          <w:rPr>
            <w:noProof/>
            <w:webHidden/>
          </w:rPr>
        </w:r>
        <w:r w:rsidR="00C024BD" w:rsidRPr="001627D7">
          <w:rPr>
            <w:noProof/>
            <w:webHidden/>
          </w:rPr>
          <w:fldChar w:fldCharType="separate"/>
        </w:r>
        <w:r w:rsidR="006C5B9E">
          <w:rPr>
            <w:noProof/>
            <w:webHidden/>
          </w:rPr>
          <w:t>29</w:t>
        </w:r>
        <w:r w:rsidR="00C024BD" w:rsidRPr="001627D7">
          <w:rPr>
            <w:noProof/>
            <w:webHidden/>
          </w:rPr>
          <w:fldChar w:fldCharType="end"/>
        </w:r>
      </w:hyperlink>
    </w:p>
    <w:p w14:paraId="096F5F1E" w14:textId="0A0C7C79" w:rsidR="00C024BD" w:rsidRPr="00A67F27" w:rsidRDefault="00B37E92">
      <w:pPr>
        <w:pStyle w:val="TM2"/>
        <w:tabs>
          <w:tab w:val="left" w:pos="1440"/>
        </w:tabs>
        <w:rPr>
          <w:rFonts w:asciiTheme="minorHAnsi" w:eastAsiaTheme="minorEastAsia" w:hAnsiTheme="minorHAnsi" w:cstheme="minorBidi"/>
          <w:noProof/>
          <w:sz w:val="22"/>
          <w:szCs w:val="22"/>
          <w:lang w:eastAsia="zh-CN"/>
        </w:rPr>
      </w:pPr>
      <w:hyperlink w:anchor="_Toc487641816" w:history="1">
        <w:r w:rsidR="00C024BD" w:rsidRPr="00A67F27">
          <w:rPr>
            <w:rStyle w:val="Lienhypertexte"/>
            <w:noProof/>
          </w:rPr>
          <w:t>43.</w:t>
        </w:r>
        <w:r w:rsidR="00C024BD" w:rsidRPr="001627D7">
          <w:rPr>
            <w:rFonts w:asciiTheme="minorHAnsi" w:eastAsiaTheme="minorEastAsia" w:hAnsiTheme="minorHAnsi" w:cstheme="minorBidi"/>
            <w:noProof/>
            <w:sz w:val="22"/>
            <w:szCs w:val="22"/>
            <w:lang w:eastAsia="zh-CN"/>
          </w:rPr>
          <w:tab/>
        </w:r>
        <w:r w:rsidR="00C024BD" w:rsidRPr="001627D7">
          <w:rPr>
            <w:rStyle w:val="Lienhypertexte"/>
            <w:noProof/>
          </w:rPr>
          <w:t>Conciliateur</w:t>
        </w:r>
        <w:r w:rsidR="00C024BD" w:rsidRPr="00043C85">
          <w:rPr>
            <w:noProof/>
            <w:webHidden/>
          </w:rPr>
          <w:tab/>
        </w:r>
        <w:r w:rsidR="00C024BD" w:rsidRPr="001627D7">
          <w:rPr>
            <w:noProof/>
            <w:webHidden/>
          </w:rPr>
          <w:fldChar w:fldCharType="begin"/>
        </w:r>
        <w:r w:rsidR="00C024BD" w:rsidRPr="00A67F27">
          <w:rPr>
            <w:noProof/>
            <w:webHidden/>
          </w:rPr>
          <w:instrText xml:space="preserve"> PAGEREF _Toc487641816 \h </w:instrText>
        </w:r>
        <w:r w:rsidR="00C024BD" w:rsidRPr="001627D7">
          <w:rPr>
            <w:noProof/>
            <w:webHidden/>
          </w:rPr>
        </w:r>
        <w:r w:rsidR="00C024BD" w:rsidRPr="001627D7">
          <w:rPr>
            <w:noProof/>
            <w:webHidden/>
          </w:rPr>
          <w:fldChar w:fldCharType="separate"/>
        </w:r>
        <w:r w:rsidR="006C5B9E">
          <w:rPr>
            <w:noProof/>
            <w:webHidden/>
          </w:rPr>
          <w:t>29</w:t>
        </w:r>
        <w:r w:rsidR="00C024BD" w:rsidRPr="001627D7">
          <w:rPr>
            <w:noProof/>
            <w:webHidden/>
          </w:rPr>
          <w:fldChar w:fldCharType="end"/>
        </w:r>
      </w:hyperlink>
    </w:p>
    <w:p w14:paraId="33DE2807" w14:textId="3E53F811" w:rsidR="000A450A" w:rsidRPr="00A67F27" w:rsidRDefault="00736F4E" w:rsidP="00736F4E">
      <w:pPr>
        <w:pStyle w:val="Outline"/>
        <w:spacing w:before="60" w:after="60"/>
        <w:rPr>
          <w:rFonts w:asciiTheme="majorBidi" w:hAnsiTheme="majorBidi" w:cstheme="majorBidi"/>
        </w:rPr>
      </w:pPr>
      <w:r w:rsidRPr="00A67F27">
        <w:rPr>
          <w:b/>
          <w:bCs/>
          <w:kern w:val="0"/>
          <w:szCs w:val="24"/>
          <w:lang w:eastAsia="en-US"/>
        </w:rPr>
        <w:fldChar w:fldCharType="end"/>
      </w:r>
    </w:p>
    <w:p w14:paraId="61CA46F3" w14:textId="77777777" w:rsidR="00736F4E" w:rsidRPr="00A67F27" w:rsidRDefault="00736F4E" w:rsidP="00BE4B6F">
      <w:pPr>
        <w:pStyle w:val="Outline"/>
        <w:spacing w:before="60" w:after="60"/>
        <w:rPr>
          <w:rFonts w:asciiTheme="majorBidi" w:hAnsiTheme="majorBidi" w:cstheme="majorBidi"/>
        </w:rPr>
      </w:pPr>
    </w:p>
    <w:p w14:paraId="2D3B7219" w14:textId="77777777" w:rsidR="000F78BD" w:rsidRPr="00A67F27" w:rsidRDefault="000F78BD">
      <w:pPr>
        <w:rPr>
          <w:rFonts w:asciiTheme="majorBidi" w:hAnsiTheme="majorBidi" w:cstheme="majorBidi"/>
        </w:rPr>
        <w:sectPr w:rsidR="000F78BD" w:rsidRPr="00A67F27" w:rsidSect="00736F4E">
          <w:headerReference w:type="even" r:id="rId15"/>
          <w:headerReference w:type="default" r:id="rId16"/>
          <w:endnotePr>
            <w:numFmt w:val="decimal"/>
          </w:endnotePr>
          <w:type w:val="oddPage"/>
          <w:pgSz w:w="12240" w:h="15840" w:code="1"/>
          <w:pgMar w:top="1418" w:right="1418" w:bottom="1418" w:left="1418" w:header="720" w:footer="720" w:gutter="0"/>
          <w:cols w:space="720"/>
          <w:titlePg/>
        </w:sectPr>
      </w:pPr>
    </w:p>
    <w:tbl>
      <w:tblPr>
        <w:tblW w:w="0" w:type="auto"/>
        <w:tblInd w:w="-72" w:type="dxa"/>
        <w:tblLayout w:type="fixed"/>
        <w:tblLook w:val="0000" w:firstRow="0" w:lastRow="0" w:firstColumn="0" w:lastColumn="0" w:noHBand="0" w:noVBand="0"/>
      </w:tblPr>
      <w:tblGrid>
        <w:gridCol w:w="2250"/>
        <w:gridCol w:w="7380"/>
      </w:tblGrid>
      <w:tr w:rsidR="000A450A" w:rsidRPr="00A67F27" w14:paraId="0FBDF98E" w14:textId="77777777" w:rsidTr="007318E7">
        <w:trPr>
          <w:cantSplit/>
          <w:trHeight w:val="20"/>
        </w:trPr>
        <w:tc>
          <w:tcPr>
            <w:tcW w:w="9630" w:type="dxa"/>
            <w:gridSpan w:val="2"/>
            <w:tcBorders>
              <w:top w:val="nil"/>
              <w:left w:val="nil"/>
              <w:bottom w:val="nil"/>
              <w:right w:val="nil"/>
            </w:tcBorders>
          </w:tcPr>
          <w:p w14:paraId="0FFA488D" w14:textId="77777777" w:rsidR="00D55904" w:rsidRPr="00A67F27" w:rsidRDefault="000A450A" w:rsidP="007318E7">
            <w:pPr>
              <w:spacing w:after="0"/>
              <w:ind w:left="0" w:firstLine="0"/>
              <w:jc w:val="center"/>
              <w:rPr>
                <w:rFonts w:asciiTheme="majorBidi" w:hAnsiTheme="majorBidi" w:cstheme="majorBidi"/>
                <w:b/>
                <w:sz w:val="44"/>
                <w:szCs w:val="44"/>
              </w:rPr>
            </w:pPr>
            <w:r w:rsidRPr="00A67F27">
              <w:rPr>
                <w:rFonts w:asciiTheme="majorBidi" w:hAnsiTheme="majorBidi" w:cstheme="majorBidi"/>
                <w:u w:val="single"/>
              </w:rPr>
              <w:lastRenderedPageBreak/>
              <w:br w:type="page"/>
            </w:r>
            <w:r w:rsidRPr="00A67F27">
              <w:rPr>
                <w:rFonts w:asciiTheme="majorBidi" w:hAnsiTheme="majorBidi" w:cstheme="majorBidi"/>
              </w:rPr>
              <w:br w:type="page"/>
            </w:r>
            <w:bookmarkStart w:id="25" w:name="_Hlt438532663"/>
            <w:bookmarkStart w:id="26" w:name="_Toc438266923"/>
            <w:bookmarkStart w:id="27" w:name="_Toc438267877"/>
            <w:bookmarkStart w:id="28" w:name="_Toc438366664"/>
            <w:bookmarkEnd w:id="25"/>
            <w:r w:rsidRPr="00A67F27">
              <w:rPr>
                <w:b/>
                <w:sz w:val="36"/>
                <w:szCs w:val="36"/>
                <w:lang w:eastAsia="en-US"/>
              </w:rPr>
              <w:t>Section I. Instructions aux soumissionnaires</w:t>
            </w:r>
            <w:bookmarkEnd w:id="26"/>
            <w:bookmarkEnd w:id="27"/>
            <w:bookmarkEnd w:id="28"/>
          </w:p>
        </w:tc>
      </w:tr>
      <w:tr w:rsidR="005D6945" w:rsidRPr="00A67F27" w14:paraId="0C984C57" w14:textId="77777777" w:rsidTr="007318E7">
        <w:trPr>
          <w:trHeight w:val="20"/>
        </w:trPr>
        <w:tc>
          <w:tcPr>
            <w:tcW w:w="9630" w:type="dxa"/>
            <w:gridSpan w:val="2"/>
            <w:tcBorders>
              <w:top w:val="nil"/>
              <w:left w:val="nil"/>
              <w:bottom w:val="nil"/>
              <w:right w:val="nil"/>
            </w:tcBorders>
          </w:tcPr>
          <w:p w14:paraId="3352DA95" w14:textId="2E1EA294" w:rsidR="005D6945" w:rsidRPr="00A67F27" w:rsidRDefault="005D6945" w:rsidP="007318E7">
            <w:pPr>
              <w:pStyle w:val="StyleStyleS1-Header1TimesNewRoman14pt1"/>
              <w:spacing w:before="0" w:after="0"/>
              <w:rPr>
                <w:rFonts w:asciiTheme="majorBidi" w:hAnsiTheme="majorBidi" w:cstheme="majorBidi"/>
                <w:lang w:val="fr-FR"/>
              </w:rPr>
            </w:pPr>
            <w:bookmarkStart w:id="29" w:name="_Toc438438819"/>
            <w:bookmarkStart w:id="30" w:name="_Toc438532553"/>
            <w:bookmarkStart w:id="31" w:name="_Toc438733963"/>
            <w:bookmarkStart w:id="32" w:name="_Toc438962045"/>
            <w:bookmarkStart w:id="33" w:name="_Toc461939616"/>
            <w:bookmarkStart w:id="34" w:name="_Toc483210569"/>
            <w:bookmarkStart w:id="35" w:name="_Toc487641768"/>
            <w:r w:rsidRPr="00A67F27">
              <w:rPr>
                <w:lang w:val="fr-FR"/>
              </w:rPr>
              <w:t xml:space="preserve">A. </w:t>
            </w:r>
            <w:r w:rsidRPr="00A67F27">
              <w:rPr>
                <w:lang w:val="fr-FR"/>
              </w:rPr>
              <w:tab/>
              <w:t>Général</w:t>
            </w:r>
            <w:bookmarkEnd w:id="29"/>
            <w:bookmarkEnd w:id="30"/>
            <w:bookmarkEnd w:id="31"/>
            <w:bookmarkEnd w:id="32"/>
            <w:bookmarkEnd w:id="33"/>
            <w:r w:rsidRPr="00A67F27">
              <w:rPr>
                <w:lang w:val="fr-FR"/>
              </w:rPr>
              <w:t>ités</w:t>
            </w:r>
            <w:bookmarkEnd w:id="34"/>
            <w:bookmarkEnd w:id="35"/>
          </w:p>
        </w:tc>
      </w:tr>
      <w:tr w:rsidR="000A450A" w:rsidRPr="00A67F27" w14:paraId="796EC651" w14:textId="77777777" w:rsidTr="007318E7">
        <w:trPr>
          <w:trHeight w:val="20"/>
        </w:trPr>
        <w:tc>
          <w:tcPr>
            <w:tcW w:w="2250" w:type="dxa"/>
            <w:tcBorders>
              <w:top w:val="nil"/>
              <w:left w:val="nil"/>
              <w:bottom w:val="nil"/>
              <w:right w:val="nil"/>
            </w:tcBorders>
          </w:tcPr>
          <w:p w14:paraId="49B560A6" w14:textId="1CA38541" w:rsidR="000A450A" w:rsidRPr="00A67F27" w:rsidRDefault="00B125FF" w:rsidP="007318E7">
            <w:pPr>
              <w:pStyle w:val="S1-Header2"/>
              <w:numPr>
                <w:ilvl w:val="0"/>
                <w:numId w:val="0"/>
              </w:numPr>
              <w:tabs>
                <w:tab w:val="num" w:pos="432"/>
              </w:tabs>
              <w:spacing w:after="0"/>
              <w:ind w:left="432" w:hanging="432"/>
              <w:rPr>
                <w:rFonts w:asciiTheme="majorBidi" w:hAnsiTheme="majorBidi" w:cstheme="majorBidi"/>
                <w:lang w:val="fr-FR"/>
              </w:rPr>
            </w:pPr>
            <w:bookmarkStart w:id="36" w:name="_Toc156373284"/>
            <w:bookmarkStart w:id="37" w:name="_Toc483210570"/>
            <w:bookmarkStart w:id="38" w:name="_Toc487641769"/>
            <w:r w:rsidRPr="00A67F27">
              <w:rPr>
                <w:lang w:val="fr-FR"/>
              </w:rPr>
              <w:t>1.</w:t>
            </w:r>
            <w:r w:rsidR="000A450A" w:rsidRPr="00A67F27">
              <w:rPr>
                <w:lang w:val="fr-FR"/>
              </w:rPr>
              <w:tab/>
              <w:t>Objet du Marché</w:t>
            </w:r>
            <w:bookmarkEnd w:id="36"/>
            <w:bookmarkEnd w:id="37"/>
            <w:bookmarkEnd w:id="38"/>
          </w:p>
        </w:tc>
        <w:tc>
          <w:tcPr>
            <w:tcW w:w="7380" w:type="dxa"/>
            <w:tcBorders>
              <w:top w:val="nil"/>
              <w:left w:val="nil"/>
              <w:bottom w:val="nil"/>
              <w:right w:val="nil"/>
            </w:tcBorders>
          </w:tcPr>
          <w:p w14:paraId="4E499F3D" w14:textId="566AA040" w:rsidR="000A450A" w:rsidRPr="00A67F27" w:rsidRDefault="00842368" w:rsidP="00D510E8">
            <w:pPr>
              <w:pStyle w:val="Header2-SubClauses"/>
              <w:numPr>
                <w:ilvl w:val="1"/>
                <w:numId w:val="27"/>
              </w:numPr>
              <w:tabs>
                <w:tab w:val="clear" w:pos="619"/>
                <w:tab w:val="left" w:pos="576"/>
              </w:tabs>
              <w:spacing w:after="0"/>
              <w:rPr>
                <w:rFonts w:asciiTheme="majorBidi" w:hAnsiTheme="majorBidi" w:cstheme="majorBidi"/>
                <w:lang w:val="fr-FR"/>
              </w:rPr>
            </w:pPr>
            <w:r w:rsidRPr="00A67F27">
              <w:rPr>
                <w:rFonts w:asciiTheme="majorBidi" w:hAnsiTheme="majorBidi" w:cstheme="majorBidi"/>
                <w:lang w:val="fr-FR"/>
              </w:rPr>
              <w:t>Faisant suite</w:t>
            </w:r>
            <w:r w:rsidR="000A450A" w:rsidRPr="00A67F27">
              <w:rPr>
                <w:rFonts w:asciiTheme="majorBidi" w:hAnsiTheme="majorBidi" w:cstheme="majorBidi"/>
                <w:lang w:val="fr-FR"/>
              </w:rPr>
              <w:t xml:space="preserve"> à l’Avis d’Appel d’Offres</w:t>
            </w:r>
            <w:r w:rsidR="00BC693B" w:rsidRPr="00A67F27">
              <w:rPr>
                <w:rFonts w:asciiTheme="majorBidi" w:hAnsiTheme="majorBidi" w:cstheme="majorBidi"/>
                <w:lang w:val="fr-FR"/>
              </w:rPr>
              <w:t xml:space="preserve"> </w:t>
            </w:r>
            <w:r w:rsidRPr="00A67F27">
              <w:rPr>
                <w:rFonts w:asciiTheme="majorBidi" w:hAnsiTheme="majorBidi" w:cstheme="majorBidi"/>
                <w:b/>
                <w:bCs/>
                <w:lang w:val="fr-FR"/>
              </w:rPr>
              <w:t xml:space="preserve">indiqué </w:t>
            </w:r>
            <w:r w:rsidR="00BC693B" w:rsidRPr="00A67F27">
              <w:rPr>
                <w:rFonts w:asciiTheme="majorBidi" w:hAnsiTheme="majorBidi" w:cstheme="majorBidi"/>
                <w:b/>
                <w:bCs/>
                <w:lang w:val="fr-FR"/>
              </w:rPr>
              <w:t>dans les Données Particulières de l’Appel d’Offres</w:t>
            </w:r>
            <w:r w:rsidR="00BC693B" w:rsidRPr="00A67F27">
              <w:rPr>
                <w:rFonts w:asciiTheme="majorBidi" w:hAnsiTheme="majorBidi" w:cstheme="majorBidi"/>
                <w:lang w:val="fr-FR"/>
              </w:rPr>
              <w:t xml:space="preserve"> (</w:t>
            </w:r>
            <w:r w:rsidR="00BC693B" w:rsidRPr="00A67F27">
              <w:rPr>
                <w:rFonts w:asciiTheme="majorBidi" w:hAnsiTheme="majorBidi" w:cstheme="majorBidi"/>
                <w:b/>
                <w:lang w:val="fr-FR"/>
              </w:rPr>
              <w:t>DPAO</w:t>
            </w:r>
            <w:r w:rsidR="00BC693B" w:rsidRPr="00A67F27">
              <w:rPr>
                <w:rFonts w:asciiTheme="majorBidi" w:hAnsiTheme="majorBidi" w:cstheme="majorBidi"/>
                <w:lang w:val="fr-FR"/>
              </w:rPr>
              <w:t>)</w:t>
            </w:r>
            <w:r w:rsidR="000A450A" w:rsidRPr="00A67F27">
              <w:rPr>
                <w:rFonts w:asciiTheme="majorBidi" w:hAnsiTheme="majorBidi" w:cstheme="majorBidi"/>
                <w:lang w:val="fr-FR"/>
              </w:rPr>
              <w:t xml:space="preserve">, </w:t>
            </w:r>
            <w:r w:rsidR="00257102" w:rsidRPr="00A67F27">
              <w:rPr>
                <w:rFonts w:asciiTheme="majorBidi" w:hAnsiTheme="majorBidi" w:cstheme="majorBidi"/>
                <w:lang w:val="fr-FR"/>
              </w:rPr>
              <w:t xml:space="preserve">le </w:t>
            </w:r>
            <w:r w:rsidR="000A450A" w:rsidRPr="00A67F27">
              <w:rPr>
                <w:rFonts w:asciiTheme="majorBidi" w:hAnsiTheme="majorBidi" w:cstheme="majorBidi"/>
                <w:lang w:val="fr-FR"/>
              </w:rPr>
              <w:t xml:space="preserve">Maître de l’Ouvrage tel qu’il est </w:t>
            </w:r>
            <w:r w:rsidRPr="00A67F27">
              <w:rPr>
                <w:rFonts w:asciiTheme="majorBidi" w:hAnsiTheme="majorBidi" w:cstheme="majorBidi"/>
                <w:b/>
                <w:bCs/>
                <w:lang w:val="fr-FR"/>
              </w:rPr>
              <w:t xml:space="preserve">indiqué </w:t>
            </w:r>
            <w:r w:rsidR="000A450A" w:rsidRPr="00A67F27">
              <w:rPr>
                <w:rFonts w:asciiTheme="majorBidi" w:hAnsiTheme="majorBidi" w:cstheme="majorBidi"/>
                <w:b/>
                <w:bCs/>
                <w:lang w:val="fr-FR"/>
              </w:rPr>
              <w:t>dans les</w:t>
            </w:r>
            <w:r w:rsidR="000A450A" w:rsidRPr="00A67F27">
              <w:rPr>
                <w:rFonts w:asciiTheme="majorBidi" w:hAnsiTheme="majorBidi" w:cstheme="majorBidi"/>
                <w:lang w:val="fr-FR"/>
              </w:rPr>
              <w:t xml:space="preserve"> </w:t>
            </w:r>
            <w:r w:rsidR="000A450A" w:rsidRPr="00A67F27">
              <w:rPr>
                <w:rFonts w:asciiTheme="majorBidi" w:hAnsiTheme="majorBidi" w:cstheme="majorBidi"/>
                <w:b/>
                <w:lang w:val="fr-FR"/>
              </w:rPr>
              <w:t>DPAO</w:t>
            </w:r>
            <w:r w:rsidR="000A450A" w:rsidRPr="00A67F27">
              <w:rPr>
                <w:rFonts w:asciiTheme="majorBidi" w:hAnsiTheme="majorBidi" w:cstheme="majorBidi"/>
                <w:lang w:val="fr-FR"/>
              </w:rPr>
              <w:t xml:space="preserve"> publie le présent Dossier d’Appel d’Offres en vue de la réalisation des </w:t>
            </w:r>
            <w:r w:rsidR="00EC5BDA" w:rsidRPr="00A67F27">
              <w:rPr>
                <w:rFonts w:asciiTheme="majorBidi" w:hAnsiTheme="majorBidi" w:cstheme="majorBidi"/>
                <w:lang w:val="fr-FR"/>
              </w:rPr>
              <w:t>T</w:t>
            </w:r>
            <w:r w:rsidR="000A450A" w:rsidRPr="00A67F27">
              <w:rPr>
                <w:rFonts w:asciiTheme="majorBidi" w:hAnsiTheme="majorBidi" w:cstheme="majorBidi"/>
                <w:lang w:val="fr-FR"/>
              </w:rPr>
              <w:t xml:space="preserve">ravaux spécifiés à la Section VII-Spécifications techniques et plans. Le nom, le numéro d’identification et le nombre de lots </w:t>
            </w:r>
            <w:r w:rsidR="005C2AB4" w:rsidRPr="00A67F27">
              <w:rPr>
                <w:rFonts w:asciiTheme="majorBidi" w:hAnsiTheme="majorBidi" w:cstheme="majorBidi"/>
                <w:lang w:val="fr-FR"/>
              </w:rPr>
              <w:t>distincts</w:t>
            </w:r>
            <w:r w:rsidR="000A450A" w:rsidRPr="00A67F27">
              <w:rPr>
                <w:rFonts w:asciiTheme="majorBidi" w:hAnsiTheme="majorBidi" w:cstheme="majorBidi"/>
                <w:lang w:val="fr-FR"/>
              </w:rPr>
              <w:t xml:space="preserve"> faisant l’objet de l’Appel d’Offres (AO) </w:t>
            </w:r>
            <w:r w:rsidR="000A450A" w:rsidRPr="00A67F27">
              <w:rPr>
                <w:rFonts w:asciiTheme="majorBidi" w:hAnsiTheme="majorBidi" w:cstheme="majorBidi"/>
                <w:b/>
                <w:bCs/>
                <w:lang w:val="fr-FR"/>
              </w:rPr>
              <w:t>figurent dans les</w:t>
            </w:r>
            <w:r w:rsidR="000A450A" w:rsidRPr="00A67F27">
              <w:rPr>
                <w:rFonts w:asciiTheme="majorBidi" w:hAnsiTheme="majorBidi" w:cstheme="majorBidi"/>
                <w:lang w:val="fr-FR"/>
              </w:rPr>
              <w:t xml:space="preserve"> </w:t>
            </w:r>
            <w:r w:rsidR="000A450A" w:rsidRPr="00A67F27">
              <w:rPr>
                <w:rFonts w:asciiTheme="majorBidi" w:hAnsiTheme="majorBidi" w:cstheme="majorBidi"/>
                <w:b/>
                <w:lang w:val="fr-FR"/>
              </w:rPr>
              <w:t>DPAO</w:t>
            </w:r>
            <w:r w:rsidR="000A450A" w:rsidRPr="00A67F27">
              <w:rPr>
                <w:rFonts w:asciiTheme="majorBidi" w:hAnsiTheme="majorBidi" w:cstheme="majorBidi"/>
                <w:lang w:val="fr-FR"/>
              </w:rPr>
              <w:t>.</w:t>
            </w:r>
          </w:p>
        </w:tc>
      </w:tr>
      <w:tr w:rsidR="000A450A" w:rsidRPr="00A67F27" w14:paraId="72D60394" w14:textId="77777777" w:rsidTr="007318E7">
        <w:trPr>
          <w:trHeight w:val="20"/>
        </w:trPr>
        <w:tc>
          <w:tcPr>
            <w:tcW w:w="2250" w:type="dxa"/>
            <w:tcBorders>
              <w:top w:val="nil"/>
              <w:left w:val="nil"/>
              <w:bottom w:val="nil"/>
              <w:right w:val="nil"/>
            </w:tcBorders>
          </w:tcPr>
          <w:p w14:paraId="29BB057E" w14:textId="77777777" w:rsidR="000A450A" w:rsidRPr="00A67F27" w:rsidRDefault="000A450A" w:rsidP="007318E7">
            <w:pPr>
              <w:spacing w:after="0"/>
              <w:rPr>
                <w:rFonts w:asciiTheme="majorBidi" w:hAnsiTheme="majorBidi" w:cstheme="majorBidi"/>
              </w:rPr>
            </w:pPr>
            <w:bookmarkStart w:id="39" w:name="_Toc438530847"/>
            <w:bookmarkStart w:id="40" w:name="_Toc438532555"/>
            <w:bookmarkEnd w:id="39"/>
            <w:bookmarkEnd w:id="40"/>
          </w:p>
        </w:tc>
        <w:tc>
          <w:tcPr>
            <w:tcW w:w="7380" w:type="dxa"/>
            <w:tcBorders>
              <w:top w:val="nil"/>
              <w:left w:val="nil"/>
              <w:bottom w:val="nil"/>
              <w:right w:val="nil"/>
            </w:tcBorders>
          </w:tcPr>
          <w:p w14:paraId="06CE7431" w14:textId="639E9E50" w:rsidR="000A450A" w:rsidRPr="00A67F27" w:rsidRDefault="000A450A" w:rsidP="00D510E8">
            <w:pPr>
              <w:pStyle w:val="Header2-SubClauses"/>
              <w:numPr>
                <w:ilvl w:val="1"/>
                <w:numId w:val="27"/>
              </w:numPr>
              <w:tabs>
                <w:tab w:val="clear" w:pos="619"/>
                <w:tab w:val="left" w:pos="576"/>
              </w:tabs>
              <w:spacing w:after="0"/>
              <w:rPr>
                <w:rFonts w:asciiTheme="majorBidi" w:hAnsiTheme="majorBidi" w:cstheme="majorBidi"/>
                <w:lang w:val="fr-FR"/>
              </w:rPr>
            </w:pPr>
            <w:r w:rsidRPr="00A67F27">
              <w:rPr>
                <w:rFonts w:asciiTheme="majorBidi" w:hAnsiTheme="majorBidi" w:cstheme="majorBidi"/>
                <w:lang w:val="fr-FR"/>
              </w:rPr>
              <w:t>Dans le présent Dossier d’Appel d’Offres</w:t>
            </w:r>
            <w:r w:rsidR="009B2302" w:rsidRPr="00A67F27">
              <w:rPr>
                <w:rFonts w:asciiTheme="majorBidi" w:hAnsiTheme="majorBidi" w:cstheme="majorBidi"/>
                <w:lang w:val="fr-FR"/>
              </w:rPr>
              <w:t> :</w:t>
            </w:r>
          </w:p>
          <w:p w14:paraId="394C1EDE" w14:textId="5B6D9110" w:rsidR="000A450A" w:rsidRPr="00A67F27" w:rsidRDefault="000A450A" w:rsidP="007318E7">
            <w:pPr>
              <w:pStyle w:val="Header3-Paragraph"/>
              <w:numPr>
                <w:ilvl w:val="0"/>
                <w:numId w:val="2"/>
              </w:numPr>
              <w:tabs>
                <w:tab w:val="clear" w:pos="504"/>
                <w:tab w:val="left" w:pos="576"/>
              </w:tabs>
              <w:spacing w:after="0"/>
              <w:ind w:left="1152" w:hanging="576"/>
              <w:rPr>
                <w:rFonts w:asciiTheme="majorBidi" w:hAnsiTheme="majorBidi" w:cstheme="majorBidi"/>
                <w:lang w:val="fr-FR"/>
              </w:rPr>
            </w:pPr>
            <w:r w:rsidRPr="00A67F27">
              <w:rPr>
                <w:rFonts w:asciiTheme="majorBidi" w:hAnsiTheme="majorBidi" w:cstheme="majorBidi"/>
                <w:lang w:val="fr-FR"/>
              </w:rPr>
              <w:t xml:space="preserve">Le terme </w:t>
            </w:r>
            <w:r w:rsidR="009B2302" w:rsidRPr="00A67F27">
              <w:rPr>
                <w:rFonts w:asciiTheme="majorBidi" w:hAnsiTheme="majorBidi" w:cstheme="majorBidi"/>
                <w:lang w:val="fr-FR"/>
              </w:rPr>
              <w:t>« </w:t>
            </w:r>
            <w:r w:rsidRPr="00A67F27">
              <w:rPr>
                <w:rFonts w:asciiTheme="majorBidi" w:hAnsiTheme="majorBidi" w:cstheme="majorBidi"/>
                <w:lang w:val="fr-FR"/>
              </w:rPr>
              <w:t>par écrit</w:t>
            </w:r>
            <w:r w:rsidR="009B2302" w:rsidRPr="00A67F27">
              <w:rPr>
                <w:rFonts w:asciiTheme="majorBidi" w:hAnsiTheme="majorBidi" w:cstheme="majorBidi"/>
                <w:lang w:val="fr-FR"/>
              </w:rPr>
              <w:t> »</w:t>
            </w:r>
            <w:r w:rsidRPr="00A67F27">
              <w:rPr>
                <w:rFonts w:asciiTheme="majorBidi" w:hAnsiTheme="majorBidi" w:cstheme="majorBidi"/>
                <w:lang w:val="fr-FR"/>
              </w:rPr>
              <w:t xml:space="preserve"> signifie communiqué sous forme écrite avec accusé de réception</w:t>
            </w:r>
            <w:r w:rsidR="009B2302" w:rsidRPr="00A67F27">
              <w:rPr>
                <w:rFonts w:asciiTheme="majorBidi" w:hAnsiTheme="majorBidi" w:cstheme="majorBidi"/>
                <w:lang w:val="fr-FR"/>
              </w:rPr>
              <w:t> ;</w:t>
            </w:r>
          </w:p>
          <w:p w14:paraId="384904CA" w14:textId="0E995A4B" w:rsidR="000A450A" w:rsidRPr="00A67F27" w:rsidRDefault="000A450A" w:rsidP="007318E7">
            <w:pPr>
              <w:numPr>
                <w:ilvl w:val="0"/>
                <w:numId w:val="2"/>
              </w:numPr>
              <w:tabs>
                <w:tab w:val="left" w:pos="576"/>
              </w:tabs>
              <w:spacing w:after="0"/>
              <w:ind w:left="1152" w:hanging="576"/>
              <w:rPr>
                <w:rFonts w:asciiTheme="majorBidi" w:hAnsiTheme="majorBidi" w:cstheme="majorBidi"/>
              </w:rPr>
            </w:pPr>
            <w:r w:rsidRPr="00A67F27">
              <w:rPr>
                <w:rFonts w:asciiTheme="majorBidi" w:hAnsiTheme="majorBidi" w:cstheme="majorBidi"/>
              </w:rPr>
              <w:t>Si le contexte l’exige, le singulier désigne le pluriel, et vice versa</w:t>
            </w:r>
            <w:r w:rsidR="009B2302" w:rsidRPr="00A67F27">
              <w:rPr>
                <w:rFonts w:asciiTheme="majorBidi" w:hAnsiTheme="majorBidi" w:cstheme="majorBidi"/>
              </w:rPr>
              <w:t> ;</w:t>
            </w:r>
            <w:r w:rsidRPr="00A67F27">
              <w:rPr>
                <w:rFonts w:asciiTheme="majorBidi" w:hAnsiTheme="majorBidi" w:cstheme="majorBidi"/>
              </w:rPr>
              <w:t xml:space="preserve"> et</w:t>
            </w:r>
          </w:p>
          <w:p w14:paraId="64498090" w14:textId="0DDDA9EB" w:rsidR="000A450A" w:rsidRPr="00A67F27" w:rsidRDefault="000A450A" w:rsidP="007318E7">
            <w:pPr>
              <w:numPr>
                <w:ilvl w:val="0"/>
                <w:numId w:val="2"/>
              </w:numPr>
              <w:tabs>
                <w:tab w:val="left" w:pos="576"/>
              </w:tabs>
              <w:spacing w:after="0"/>
              <w:ind w:left="1152" w:hanging="576"/>
              <w:rPr>
                <w:rFonts w:asciiTheme="majorBidi" w:hAnsiTheme="majorBidi" w:cstheme="majorBidi"/>
              </w:rPr>
            </w:pPr>
            <w:r w:rsidRPr="00A67F27">
              <w:rPr>
                <w:rFonts w:asciiTheme="majorBidi" w:hAnsiTheme="majorBidi" w:cstheme="majorBidi"/>
              </w:rPr>
              <w:t xml:space="preserve">Le terme </w:t>
            </w:r>
            <w:r w:rsidR="009B2302" w:rsidRPr="00A67F27">
              <w:rPr>
                <w:rFonts w:asciiTheme="majorBidi" w:hAnsiTheme="majorBidi" w:cstheme="majorBidi"/>
              </w:rPr>
              <w:t>« </w:t>
            </w:r>
            <w:r w:rsidRPr="00A67F27">
              <w:rPr>
                <w:rFonts w:asciiTheme="majorBidi" w:hAnsiTheme="majorBidi" w:cstheme="majorBidi"/>
              </w:rPr>
              <w:t>jour</w:t>
            </w:r>
            <w:r w:rsidR="009B2302" w:rsidRPr="00A67F27">
              <w:rPr>
                <w:rFonts w:asciiTheme="majorBidi" w:hAnsiTheme="majorBidi" w:cstheme="majorBidi"/>
              </w:rPr>
              <w:t> »</w:t>
            </w:r>
            <w:r w:rsidRPr="00A67F27">
              <w:rPr>
                <w:rFonts w:asciiTheme="majorBidi" w:hAnsiTheme="majorBidi" w:cstheme="majorBidi"/>
              </w:rPr>
              <w:t xml:space="preserve"> désigne un jour calendaire.</w:t>
            </w:r>
            <w:r w:rsidR="00257102" w:rsidRPr="00A67F27">
              <w:rPr>
                <w:rFonts w:asciiTheme="majorBidi" w:hAnsiTheme="majorBidi" w:cstheme="majorBidi"/>
              </w:rPr>
              <w:t xml:space="preserve"> </w:t>
            </w:r>
          </w:p>
        </w:tc>
      </w:tr>
      <w:tr w:rsidR="000A450A" w:rsidRPr="00A67F27" w14:paraId="03CFF45B" w14:textId="77777777" w:rsidTr="007318E7">
        <w:trPr>
          <w:trHeight w:val="20"/>
        </w:trPr>
        <w:tc>
          <w:tcPr>
            <w:tcW w:w="2250" w:type="dxa"/>
            <w:tcBorders>
              <w:top w:val="nil"/>
              <w:left w:val="nil"/>
              <w:bottom w:val="nil"/>
              <w:right w:val="nil"/>
            </w:tcBorders>
          </w:tcPr>
          <w:p w14:paraId="17543ADB" w14:textId="6BBE5590" w:rsidR="000A450A" w:rsidRPr="00A67F27" w:rsidRDefault="00AD134E" w:rsidP="007318E7">
            <w:pPr>
              <w:pStyle w:val="S1-Header2"/>
              <w:numPr>
                <w:ilvl w:val="0"/>
                <w:numId w:val="0"/>
              </w:numPr>
              <w:tabs>
                <w:tab w:val="num" w:pos="432"/>
              </w:tabs>
              <w:spacing w:after="0"/>
              <w:ind w:left="432" w:hanging="432"/>
              <w:rPr>
                <w:rFonts w:asciiTheme="majorBidi" w:hAnsiTheme="majorBidi" w:cstheme="majorBidi"/>
                <w:lang w:val="fr-FR"/>
              </w:rPr>
            </w:pPr>
            <w:bookmarkStart w:id="41" w:name="_Toc438438821"/>
            <w:bookmarkStart w:id="42" w:name="_Toc438532556"/>
            <w:bookmarkStart w:id="43" w:name="_Toc438733965"/>
            <w:bookmarkStart w:id="44" w:name="_Toc438907006"/>
            <w:bookmarkStart w:id="45" w:name="_Toc438907205"/>
            <w:bookmarkStart w:id="46" w:name="_Toc156373285"/>
            <w:bookmarkStart w:id="47" w:name="_Toc483210571"/>
            <w:bookmarkStart w:id="48" w:name="_Toc487641770"/>
            <w:r w:rsidRPr="00A67F27">
              <w:rPr>
                <w:lang w:val="fr-FR"/>
              </w:rPr>
              <w:t>2.</w:t>
            </w:r>
            <w:r w:rsidR="000A450A" w:rsidRPr="00A67F27">
              <w:rPr>
                <w:lang w:val="fr-FR"/>
              </w:rPr>
              <w:tab/>
              <w:t>Origine des</w:t>
            </w:r>
            <w:r w:rsidR="005D6945" w:rsidRPr="00A67F27">
              <w:rPr>
                <w:lang w:val="fr-FR"/>
              </w:rPr>
              <w:t> </w:t>
            </w:r>
            <w:r w:rsidR="000A450A" w:rsidRPr="00A67F27">
              <w:rPr>
                <w:lang w:val="fr-FR"/>
              </w:rPr>
              <w:t>fonds</w:t>
            </w:r>
            <w:bookmarkEnd w:id="41"/>
            <w:bookmarkEnd w:id="42"/>
            <w:bookmarkEnd w:id="43"/>
            <w:bookmarkEnd w:id="44"/>
            <w:bookmarkEnd w:id="45"/>
            <w:bookmarkEnd w:id="46"/>
            <w:bookmarkEnd w:id="47"/>
            <w:bookmarkEnd w:id="48"/>
          </w:p>
        </w:tc>
        <w:tc>
          <w:tcPr>
            <w:tcW w:w="7380" w:type="dxa"/>
            <w:tcBorders>
              <w:top w:val="nil"/>
              <w:left w:val="nil"/>
              <w:bottom w:val="nil"/>
              <w:right w:val="nil"/>
            </w:tcBorders>
          </w:tcPr>
          <w:p w14:paraId="1562A13A" w14:textId="226DF4C0" w:rsidR="000A450A" w:rsidRPr="00A67F27" w:rsidRDefault="000A450A" w:rsidP="00D510E8">
            <w:pPr>
              <w:pStyle w:val="Paragraphedeliste"/>
              <w:numPr>
                <w:ilvl w:val="1"/>
                <w:numId w:val="28"/>
              </w:numPr>
              <w:tabs>
                <w:tab w:val="left" w:pos="576"/>
              </w:tabs>
              <w:spacing w:after="0"/>
              <w:rPr>
                <w:rFonts w:asciiTheme="majorBidi" w:hAnsiTheme="majorBidi" w:cstheme="majorBidi"/>
              </w:rPr>
            </w:pPr>
            <w:r w:rsidRPr="00A67F27">
              <w:rPr>
                <w:rFonts w:asciiTheme="majorBidi" w:hAnsiTheme="majorBidi" w:cstheme="majorBidi"/>
              </w:rPr>
              <w:t xml:space="preserve">L’Emprunteur ou le bénéficiaire (ci-après dénommé </w:t>
            </w:r>
            <w:r w:rsidR="009B2302" w:rsidRPr="00A67F27">
              <w:rPr>
                <w:rFonts w:asciiTheme="majorBidi" w:hAnsiTheme="majorBidi" w:cstheme="majorBidi"/>
              </w:rPr>
              <w:t>« </w:t>
            </w:r>
            <w:r w:rsidRPr="00A67F27">
              <w:rPr>
                <w:rFonts w:asciiTheme="majorBidi" w:hAnsiTheme="majorBidi" w:cstheme="majorBidi"/>
              </w:rPr>
              <w:t>l’Emprunteur</w:t>
            </w:r>
            <w:r w:rsidR="009B2302" w:rsidRPr="00A67F27">
              <w:rPr>
                <w:rFonts w:asciiTheme="majorBidi" w:hAnsiTheme="majorBidi" w:cstheme="majorBidi"/>
              </w:rPr>
              <w:t> »</w:t>
            </w:r>
            <w:r w:rsidRPr="00A67F27">
              <w:rPr>
                <w:rFonts w:asciiTheme="majorBidi" w:hAnsiTheme="majorBidi" w:cstheme="majorBidi"/>
              </w:rPr>
              <w:t>),</w:t>
            </w:r>
            <w:r w:rsidR="009B2302" w:rsidRPr="00A67F27">
              <w:rPr>
                <w:rFonts w:asciiTheme="majorBidi" w:hAnsiTheme="majorBidi" w:cstheme="majorBidi"/>
              </w:rPr>
              <w:t xml:space="preserve"> </w:t>
            </w:r>
            <w:r w:rsidRPr="00A67F27">
              <w:rPr>
                <w:rFonts w:asciiTheme="majorBidi" w:hAnsiTheme="majorBidi" w:cstheme="majorBidi"/>
                <w:b/>
                <w:bCs/>
              </w:rPr>
              <w:t>identifié dans les</w:t>
            </w:r>
            <w:r w:rsidRPr="00A67F27">
              <w:rPr>
                <w:rFonts w:asciiTheme="majorBidi" w:hAnsiTheme="majorBidi" w:cstheme="majorBidi"/>
              </w:rPr>
              <w:t xml:space="preserve"> </w:t>
            </w:r>
            <w:r w:rsidR="00B125FF" w:rsidRPr="00A67F27">
              <w:rPr>
                <w:rFonts w:asciiTheme="majorBidi" w:hAnsiTheme="majorBidi" w:cstheme="majorBidi"/>
                <w:b/>
              </w:rPr>
              <w:t>DPAO</w:t>
            </w:r>
            <w:r w:rsidR="00B125FF" w:rsidRPr="00A67F27">
              <w:rPr>
                <w:rFonts w:asciiTheme="majorBidi" w:hAnsiTheme="majorBidi" w:cstheme="majorBidi"/>
              </w:rPr>
              <w:t>,</w:t>
            </w:r>
            <w:r w:rsidRPr="00A67F27">
              <w:rPr>
                <w:rFonts w:asciiTheme="majorBidi" w:hAnsiTheme="majorBidi" w:cstheme="majorBidi"/>
              </w:rPr>
              <w:t xml:space="preserve"> a sollicité ou obtenu un </w:t>
            </w:r>
            <w:r w:rsidR="005C2AB4" w:rsidRPr="00A67F27">
              <w:rPr>
                <w:rFonts w:asciiTheme="majorBidi" w:hAnsiTheme="majorBidi" w:cstheme="majorBidi"/>
              </w:rPr>
              <w:t xml:space="preserve">Prêt/Crédit/Don </w:t>
            </w:r>
            <w:r w:rsidRPr="00A67F27">
              <w:rPr>
                <w:rFonts w:asciiTheme="majorBidi" w:hAnsiTheme="majorBidi" w:cstheme="majorBidi"/>
              </w:rPr>
              <w:t xml:space="preserve">(ci-après dénommé </w:t>
            </w:r>
            <w:r w:rsidR="009B2302" w:rsidRPr="00A67F27">
              <w:rPr>
                <w:rFonts w:asciiTheme="majorBidi" w:hAnsiTheme="majorBidi" w:cstheme="majorBidi"/>
              </w:rPr>
              <w:t>« </w:t>
            </w:r>
            <w:r w:rsidRPr="00A67F27">
              <w:rPr>
                <w:rFonts w:asciiTheme="majorBidi" w:hAnsiTheme="majorBidi" w:cstheme="majorBidi"/>
              </w:rPr>
              <w:t>les fonds</w:t>
            </w:r>
            <w:r w:rsidR="009B2302" w:rsidRPr="00A67F27">
              <w:rPr>
                <w:rFonts w:asciiTheme="majorBidi" w:hAnsiTheme="majorBidi" w:cstheme="majorBidi"/>
              </w:rPr>
              <w:t> »</w:t>
            </w:r>
            <w:r w:rsidRPr="00A67F27">
              <w:rPr>
                <w:rFonts w:asciiTheme="majorBidi" w:hAnsiTheme="majorBidi" w:cstheme="majorBidi"/>
              </w:rPr>
              <w:t xml:space="preserve">) de la Banque internationale pour la Reconstruction et le Développement ou de l’Association internationale de Développement (ci-après dénommée la </w:t>
            </w:r>
            <w:r w:rsidR="009B2302" w:rsidRPr="00A67F27">
              <w:rPr>
                <w:rFonts w:asciiTheme="majorBidi" w:hAnsiTheme="majorBidi" w:cstheme="majorBidi"/>
              </w:rPr>
              <w:t>« </w:t>
            </w:r>
            <w:r w:rsidRPr="00A67F27">
              <w:rPr>
                <w:rFonts w:asciiTheme="majorBidi" w:hAnsiTheme="majorBidi" w:cstheme="majorBidi"/>
              </w:rPr>
              <w:t>Banque</w:t>
            </w:r>
            <w:r w:rsidR="009B2302" w:rsidRPr="00A67F27">
              <w:rPr>
                <w:rFonts w:asciiTheme="majorBidi" w:hAnsiTheme="majorBidi" w:cstheme="majorBidi"/>
              </w:rPr>
              <w:t> »</w:t>
            </w:r>
            <w:r w:rsidRPr="00A67F27">
              <w:rPr>
                <w:rFonts w:asciiTheme="majorBidi" w:hAnsiTheme="majorBidi" w:cstheme="majorBidi"/>
              </w:rPr>
              <w:t xml:space="preserve">), d’un montant </w:t>
            </w:r>
            <w:r w:rsidRPr="00A67F27">
              <w:rPr>
                <w:rFonts w:asciiTheme="majorBidi" w:hAnsiTheme="majorBidi" w:cstheme="majorBidi"/>
                <w:b/>
                <w:bCs/>
              </w:rPr>
              <w:t>spécifié dans les</w:t>
            </w:r>
            <w:r w:rsidRPr="00A67F27">
              <w:rPr>
                <w:rFonts w:asciiTheme="majorBidi" w:hAnsiTheme="majorBidi" w:cstheme="majorBidi"/>
              </w:rPr>
              <w:t xml:space="preserve"> </w:t>
            </w:r>
            <w:r w:rsidRPr="00A67F27">
              <w:rPr>
                <w:rFonts w:asciiTheme="majorBidi" w:hAnsiTheme="majorBidi" w:cstheme="majorBidi"/>
                <w:b/>
              </w:rPr>
              <w:t>DPAO</w:t>
            </w:r>
            <w:r w:rsidRPr="00A67F27">
              <w:rPr>
                <w:rFonts w:asciiTheme="majorBidi" w:hAnsiTheme="majorBidi" w:cstheme="majorBidi"/>
              </w:rPr>
              <w:t xml:space="preserve"> en vue de financer le projet décrit </w:t>
            </w:r>
            <w:r w:rsidRPr="00A67F27">
              <w:rPr>
                <w:rFonts w:asciiTheme="majorBidi" w:hAnsiTheme="majorBidi" w:cstheme="majorBidi"/>
                <w:b/>
                <w:bCs/>
              </w:rPr>
              <w:t>dans les</w:t>
            </w:r>
            <w:r w:rsidRPr="00A67F27">
              <w:rPr>
                <w:rFonts w:asciiTheme="majorBidi" w:hAnsiTheme="majorBidi" w:cstheme="majorBidi"/>
              </w:rPr>
              <w:t xml:space="preserve"> </w:t>
            </w:r>
            <w:r w:rsidR="00B125FF" w:rsidRPr="00A67F27">
              <w:rPr>
                <w:rFonts w:asciiTheme="majorBidi" w:hAnsiTheme="majorBidi" w:cstheme="majorBidi"/>
                <w:b/>
              </w:rPr>
              <w:t>DPAO</w:t>
            </w:r>
            <w:r w:rsidRPr="00A67F27">
              <w:rPr>
                <w:rFonts w:asciiTheme="majorBidi" w:hAnsiTheme="majorBidi" w:cstheme="majorBidi"/>
              </w:rPr>
              <w:t>. L’Emprunteur a l’intention d’utiliser une partie de ces fonds pour effectuer des paiements autorisés au titre du Marché pour lequel le présent appel d’offres est lancé.</w:t>
            </w:r>
          </w:p>
        </w:tc>
      </w:tr>
      <w:tr w:rsidR="000A450A" w:rsidRPr="00A67F27" w14:paraId="03A8A63C" w14:textId="77777777" w:rsidTr="007318E7">
        <w:trPr>
          <w:trHeight w:val="20"/>
        </w:trPr>
        <w:tc>
          <w:tcPr>
            <w:tcW w:w="2250" w:type="dxa"/>
            <w:tcBorders>
              <w:top w:val="nil"/>
              <w:left w:val="nil"/>
              <w:bottom w:val="nil"/>
              <w:right w:val="nil"/>
            </w:tcBorders>
          </w:tcPr>
          <w:p w14:paraId="5BDE0912" w14:textId="77777777" w:rsidR="000A450A" w:rsidRPr="00A67F27" w:rsidRDefault="000A450A" w:rsidP="007318E7">
            <w:pPr>
              <w:spacing w:after="0"/>
              <w:rPr>
                <w:rFonts w:asciiTheme="majorBidi" w:hAnsiTheme="majorBidi" w:cstheme="majorBidi"/>
              </w:rPr>
            </w:pPr>
            <w:bookmarkStart w:id="49" w:name="_Toc438532557"/>
            <w:bookmarkEnd w:id="49"/>
          </w:p>
        </w:tc>
        <w:tc>
          <w:tcPr>
            <w:tcW w:w="7380" w:type="dxa"/>
            <w:tcBorders>
              <w:top w:val="nil"/>
              <w:left w:val="nil"/>
              <w:bottom w:val="nil"/>
              <w:right w:val="nil"/>
            </w:tcBorders>
          </w:tcPr>
          <w:p w14:paraId="700ED259" w14:textId="195C1C69" w:rsidR="000A450A" w:rsidRPr="00A67F27" w:rsidRDefault="000A450A" w:rsidP="00D510E8">
            <w:pPr>
              <w:pStyle w:val="Paragraphedeliste"/>
              <w:numPr>
                <w:ilvl w:val="1"/>
                <w:numId w:val="28"/>
              </w:numPr>
              <w:tabs>
                <w:tab w:val="left" w:pos="576"/>
              </w:tabs>
              <w:spacing w:after="0"/>
              <w:rPr>
                <w:rFonts w:asciiTheme="majorBidi" w:hAnsiTheme="majorBidi" w:cstheme="majorBidi"/>
              </w:rPr>
            </w:pPr>
            <w:r w:rsidRPr="00A67F27">
              <w:rPr>
                <w:rFonts w:asciiTheme="majorBidi" w:hAnsiTheme="majorBidi" w:cstheme="majorBidi"/>
              </w:rPr>
              <w:t>La Banque n’effectuera les paiements qu’à la demande de l’Emprunteur, après avoir approuvé lesdits paiements, conformément aux articles et conditions de l’accord de financement intervenu entre l’Emprunteur et la Banque</w:t>
            </w:r>
            <w:r w:rsidR="00AD134E" w:rsidRPr="00A67F27">
              <w:rPr>
                <w:rFonts w:asciiTheme="majorBidi" w:hAnsiTheme="majorBidi" w:cstheme="majorBidi"/>
              </w:rPr>
              <w:t xml:space="preserve"> pour l’octroi d’un prêt, crédit ou don</w:t>
            </w:r>
            <w:r w:rsidR="00B26B6C" w:rsidRPr="00A67F27">
              <w:rPr>
                <w:rFonts w:asciiTheme="majorBidi" w:hAnsiTheme="majorBidi" w:cstheme="majorBidi"/>
              </w:rPr>
              <w:t xml:space="preserve"> </w:t>
            </w:r>
            <w:r w:rsidRPr="00A67F27">
              <w:rPr>
                <w:rFonts w:asciiTheme="majorBidi" w:hAnsiTheme="majorBidi" w:cstheme="majorBidi"/>
              </w:rPr>
              <w:t xml:space="preserve">(ci-après dénommé </w:t>
            </w:r>
            <w:r w:rsidR="009B2302" w:rsidRPr="00A67F27">
              <w:rPr>
                <w:rFonts w:asciiTheme="majorBidi" w:hAnsiTheme="majorBidi" w:cstheme="majorBidi"/>
              </w:rPr>
              <w:t>« </w:t>
            </w:r>
            <w:r w:rsidRPr="00A67F27">
              <w:rPr>
                <w:rFonts w:asciiTheme="majorBidi" w:hAnsiTheme="majorBidi" w:cstheme="majorBidi"/>
              </w:rPr>
              <w:t>l’Accord</w:t>
            </w:r>
            <w:r w:rsidR="00E03C52" w:rsidRPr="00A67F27">
              <w:rPr>
                <w:rFonts w:asciiTheme="majorBidi" w:hAnsiTheme="majorBidi" w:cstheme="majorBidi"/>
              </w:rPr>
              <w:t xml:space="preserve"> de </w:t>
            </w:r>
            <w:r w:rsidR="00115947" w:rsidRPr="00A67F27">
              <w:rPr>
                <w:rFonts w:asciiTheme="majorBidi" w:hAnsiTheme="majorBidi" w:cstheme="majorBidi"/>
              </w:rPr>
              <w:t>financement</w:t>
            </w:r>
            <w:r w:rsidR="009B2302" w:rsidRPr="00A67F27">
              <w:rPr>
                <w:rFonts w:asciiTheme="majorBidi" w:hAnsiTheme="majorBidi" w:cstheme="majorBidi"/>
              </w:rPr>
              <w:t xml:space="preserve"> »</w:t>
            </w:r>
            <w:r w:rsidRPr="00A67F27">
              <w:rPr>
                <w:rFonts w:asciiTheme="majorBidi" w:hAnsiTheme="majorBidi" w:cstheme="majorBidi"/>
              </w:rPr>
              <w:t>)</w:t>
            </w:r>
            <w:r w:rsidR="006573B5" w:rsidRPr="00A67F27">
              <w:rPr>
                <w:rFonts w:asciiTheme="majorBidi" w:hAnsiTheme="majorBidi" w:cstheme="majorBidi"/>
              </w:rPr>
              <w:t xml:space="preserve"> et ces </w:t>
            </w:r>
            <w:r w:rsidRPr="00A67F27">
              <w:rPr>
                <w:rFonts w:asciiTheme="majorBidi" w:hAnsiTheme="majorBidi" w:cstheme="majorBidi"/>
              </w:rPr>
              <w:t xml:space="preserve">paiements seront soumis à tous égards aux clauses et conditions dudit Accord de </w:t>
            </w:r>
            <w:r w:rsidR="00115947" w:rsidRPr="00A67F27">
              <w:rPr>
                <w:rFonts w:asciiTheme="majorBidi" w:hAnsiTheme="majorBidi" w:cstheme="majorBidi"/>
              </w:rPr>
              <w:t>financement</w:t>
            </w:r>
            <w:r w:rsidR="006573B5" w:rsidRPr="00A67F27">
              <w:rPr>
                <w:rFonts w:asciiTheme="majorBidi" w:hAnsiTheme="majorBidi" w:cstheme="majorBidi"/>
              </w:rPr>
              <w:t xml:space="preserve">. </w:t>
            </w:r>
            <w:r w:rsidRPr="00A67F27">
              <w:rPr>
                <w:rFonts w:asciiTheme="majorBidi" w:hAnsiTheme="majorBidi" w:cstheme="majorBidi"/>
              </w:rPr>
              <w:t xml:space="preserve">L’Accord de </w:t>
            </w:r>
            <w:r w:rsidR="00115947" w:rsidRPr="00A67F27">
              <w:rPr>
                <w:rFonts w:asciiTheme="majorBidi" w:hAnsiTheme="majorBidi" w:cstheme="majorBidi"/>
              </w:rPr>
              <w:t xml:space="preserve">financement </w:t>
            </w:r>
            <w:r w:rsidRPr="00A67F27">
              <w:rPr>
                <w:rFonts w:asciiTheme="majorBidi" w:hAnsiTheme="majorBidi" w:cstheme="majorBidi"/>
              </w:rPr>
              <w:t>interdit tout retrait du Compte de prêt destiné au paiement de toute personne physique ou morale, ou de toute importation de fournitures</w:t>
            </w:r>
            <w:r w:rsidR="00115947" w:rsidRPr="00A67F27">
              <w:rPr>
                <w:rFonts w:asciiTheme="majorBidi" w:hAnsiTheme="majorBidi" w:cstheme="majorBidi"/>
              </w:rPr>
              <w:t>, matériels, équipement ou matériaux</w:t>
            </w:r>
            <w:r w:rsidRPr="00A67F27">
              <w:rPr>
                <w:rFonts w:asciiTheme="majorBidi" w:hAnsiTheme="majorBidi" w:cstheme="majorBidi"/>
              </w:rPr>
              <w:t xml:space="preserve"> lorsque, à la connaissance de la Banque, ledit paiement, ou ladite importation, tombe sous le coup d’une interdiction prononcée par le Conseil de Sécurité de l’Organisation des Nations Unies, au titre du Chapitre VII de la Charte des Nations Unies.</w:t>
            </w:r>
            <w:r w:rsidR="006573B5" w:rsidRPr="00A67F27">
              <w:rPr>
                <w:rFonts w:asciiTheme="majorBidi" w:hAnsiTheme="majorBidi" w:cstheme="majorBidi"/>
              </w:rPr>
              <w:t xml:space="preserve"> Aucune partie autre que l’Emprunteur ne peut se prévaloir de l’un quelconque des droits stipulés dans l’Accord de prêt ni prétendre détenir une créance sur les fonds provenant du </w:t>
            </w:r>
            <w:r w:rsidR="00115947" w:rsidRPr="00A67F27">
              <w:rPr>
                <w:rFonts w:asciiTheme="majorBidi" w:hAnsiTheme="majorBidi" w:cstheme="majorBidi"/>
              </w:rPr>
              <w:t>financement</w:t>
            </w:r>
            <w:r w:rsidR="006573B5" w:rsidRPr="00A67F27">
              <w:rPr>
                <w:rFonts w:asciiTheme="majorBidi" w:hAnsiTheme="majorBidi" w:cstheme="majorBidi"/>
              </w:rPr>
              <w:t>.</w:t>
            </w:r>
          </w:p>
        </w:tc>
      </w:tr>
      <w:tr w:rsidR="005A7E23" w:rsidRPr="00A67F27" w14:paraId="4BBC9FBA" w14:textId="77777777" w:rsidTr="007318E7">
        <w:trPr>
          <w:trHeight w:val="20"/>
        </w:trPr>
        <w:tc>
          <w:tcPr>
            <w:tcW w:w="2250" w:type="dxa"/>
            <w:tcBorders>
              <w:top w:val="nil"/>
              <w:left w:val="nil"/>
              <w:bottom w:val="nil"/>
              <w:right w:val="nil"/>
            </w:tcBorders>
          </w:tcPr>
          <w:p w14:paraId="77FDEFAF" w14:textId="183D2436" w:rsidR="005A7E23" w:rsidRPr="00A67F27" w:rsidRDefault="005A7E23" w:rsidP="007318E7">
            <w:pPr>
              <w:pStyle w:val="S1-Header2"/>
              <w:numPr>
                <w:ilvl w:val="0"/>
                <w:numId w:val="0"/>
              </w:numPr>
              <w:tabs>
                <w:tab w:val="num" w:pos="432"/>
              </w:tabs>
              <w:spacing w:after="0"/>
              <w:ind w:left="432" w:hanging="432"/>
              <w:rPr>
                <w:rFonts w:asciiTheme="majorBidi" w:hAnsiTheme="majorBidi" w:cstheme="majorBidi"/>
                <w:lang w:val="fr-FR"/>
              </w:rPr>
            </w:pPr>
            <w:bookmarkStart w:id="50" w:name="_Toc438532558"/>
            <w:bookmarkStart w:id="51" w:name="_Toc438002631"/>
            <w:bookmarkEnd w:id="50"/>
            <w:r w:rsidRPr="00A67F27">
              <w:rPr>
                <w:rFonts w:asciiTheme="majorBidi" w:hAnsiTheme="majorBidi" w:cstheme="majorBidi"/>
                <w:b w:val="0"/>
                <w:lang w:val="fr-FR"/>
              </w:rPr>
              <w:br w:type="page"/>
            </w:r>
            <w:r w:rsidRPr="00A67F27">
              <w:rPr>
                <w:rFonts w:asciiTheme="majorBidi" w:hAnsiTheme="majorBidi" w:cstheme="majorBidi"/>
                <w:b w:val="0"/>
                <w:lang w:val="fr-FR"/>
              </w:rPr>
              <w:br w:type="page"/>
            </w:r>
            <w:bookmarkStart w:id="52" w:name="_Toc438438822"/>
            <w:bookmarkStart w:id="53" w:name="_Toc438532559"/>
            <w:bookmarkStart w:id="54" w:name="_Toc438733966"/>
            <w:bookmarkStart w:id="55" w:name="_Toc438907007"/>
            <w:bookmarkStart w:id="56" w:name="_Toc438907206"/>
            <w:bookmarkStart w:id="57" w:name="_Toc156373286"/>
            <w:bookmarkStart w:id="58" w:name="_Toc483210572"/>
            <w:bookmarkStart w:id="59" w:name="_Toc487641771"/>
            <w:r w:rsidRPr="00A67F27">
              <w:rPr>
                <w:lang w:val="fr-FR"/>
              </w:rPr>
              <w:t>3.</w:t>
            </w:r>
            <w:r w:rsidRPr="00A67F27">
              <w:rPr>
                <w:lang w:val="fr-FR"/>
              </w:rPr>
              <w:tab/>
              <w:t>Pratique de Fraude et Corruption</w:t>
            </w:r>
            <w:bookmarkEnd w:id="51"/>
            <w:bookmarkEnd w:id="52"/>
            <w:bookmarkEnd w:id="53"/>
            <w:bookmarkEnd w:id="54"/>
            <w:bookmarkEnd w:id="55"/>
            <w:bookmarkEnd w:id="56"/>
            <w:bookmarkEnd w:id="57"/>
            <w:bookmarkEnd w:id="58"/>
            <w:bookmarkEnd w:id="59"/>
            <w:r w:rsidRPr="00A67F27">
              <w:rPr>
                <w:rFonts w:asciiTheme="majorBidi" w:hAnsiTheme="majorBidi" w:cstheme="majorBidi"/>
                <w:lang w:val="fr-FR"/>
              </w:rPr>
              <w:t xml:space="preserve"> </w:t>
            </w:r>
          </w:p>
        </w:tc>
        <w:tc>
          <w:tcPr>
            <w:tcW w:w="7380" w:type="dxa"/>
            <w:tcBorders>
              <w:top w:val="nil"/>
              <w:left w:val="nil"/>
              <w:bottom w:val="nil"/>
              <w:right w:val="nil"/>
            </w:tcBorders>
          </w:tcPr>
          <w:p w14:paraId="63E10D00" w14:textId="204621FE" w:rsidR="005A7E23" w:rsidRPr="00A67F27" w:rsidRDefault="005A7E23" w:rsidP="00D510E8">
            <w:pPr>
              <w:pStyle w:val="Corpsdetexte"/>
              <w:numPr>
                <w:ilvl w:val="1"/>
                <w:numId w:val="29"/>
              </w:numPr>
              <w:tabs>
                <w:tab w:val="left" w:pos="657"/>
              </w:tabs>
              <w:spacing w:after="0"/>
              <w:ind w:left="576" w:hanging="576"/>
              <w:rPr>
                <w:rFonts w:asciiTheme="majorBidi" w:hAnsiTheme="majorBidi" w:cstheme="majorBidi"/>
                <w:lang w:val="fr-FR"/>
              </w:rPr>
            </w:pPr>
            <w:r w:rsidRPr="00A67F27">
              <w:rPr>
                <w:rFonts w:asciiTheme="majorBidi" w:hAnsiTheme="majorBidi" w:cstheme="majorBidi"/>
                <w:lang w:val="fr-FR"/>
              </w:rPr>
              <w:t>La Banque demande que les règles relatives aux pratiques de fraude et corruption telles qu’elles figurent à la Section VI soient appliquées.</w:t>
            </w:r>
          </w:p>
        </w:tc>
      </w:tr>
      <w:tr w:rsidR="005A7E23" w:rsidRPr="00A67F27" w14:paraId="760EF4AC" w14:textId="77777777" w:rsidTr="007318E7">
        <w:trPr>
          <w:cantSplit/>
          <w:trHeight w:val="20"/>
        </w:trPr>
        <w:tc>
          <w:tcPr>
            <w:tcW w:w="2250" w:type="dxa"/>
            <w:tcBorders>
              <w:top w:val="nil"/>
              <w:left w:val="nil"/>
              <w:bottom w:val="nil"/>
              <w:right w:val="nil"/>
            </w:tcBorders>
          </w:tcPr>
          <w:p w14:paraId="1E487D89" w14:textId="77777777" w:rsidR="005A7E23" w:rsidRPr="00A67F27" w:rsidRDefault="005A7E23" w:rsidP="007318E7">
            <w:pPr>
              <w:spacing w:after="0"/>
              <w:rPr>
                <w:rFonts w:asciiTheme="majorBidi" w:hAnsiTheme="majorBidi" w:cstheme="majorBidi"/>
              </w:rPr>
            </w:pPr>
          </w:p>
        </w:tc>
        <w:tc>
          <w:tcPr>
            <w:tcW w:w="7380" w:type="dxa"/>
            <w:tcBorders>
              <w:top w:val="nil"/>
              <w:left w:val="nil"/>
              <w:bottom w:val="nil"/>
              <w:right w:val="nil"/>
            </w:tcBorders>
          </w:tcPr>
          <w:p w14:paraId="5E04B7E0" w14:textId="44D484F5" w:rsidR="005A7E23" w:rsidRPr="00A67F27" w:rsidRDefault="005A7E23" w:rsidP="00D510E8">
            <w:pPr>
              <w:pStyle w:val="Corpsdetexte"/>
              <w:numPr>
                <w:ilvl w:val="1"/>
                <w:numId w:val="29"/>
              </w:numPr>
              <w:tabs>
                <w:tab w:val="left" w:pos="657"/>
              </w:tabs>
              <w:spacing w:after="0"/>
              <w:ind w:left="576" w:hanging="576"/>
              <w:rPr>
                <w:rFonts w:asciiTheme="majorBidi" w:hAnsiTheme="majorBidi" w:cstheme="majorBidi"/>
                <w:spacing w:val="-2"/>
                <w:lang w:val="fr-FR"/>
              </w:rPr>
            </w:pPr>
            <w:r w:rsidRPr="00A67F27">
              <w:rPr>
                <w:rFonts w:asciiTheme="majorBidi" w:hAnsiTheme="majorBidi" w:cstheme="majorBidi"/>
                <w:spacing w:val="-2"/>
                <w:szCs w:val="24"/>
                <w:lang w:val="fr-FR"/>
              </w:rPr>
              <w:t>Aux fins d’application de ces dispositions, les Soumissionnaires devront permettre et faire en sorte que leurs agents (qu’ils soient déclarés ou non), leurs sous-traitants, consultants, prestataires de services, fournisseurs, et leur personnel, permettent à la Banque d’examiner les comptes, pièces comptables, relevés et autres documents relatifs à toute procédure de pré-qualification, de passation, et d’exécution des marchés</w:t>
            </w:r>
            <w:r w:rsidR="009B2302" w:rsidRPr="00A67F27">
              <w:rPr>
                <w:rFonts w:asciiTheme="majorBidi" w:hAnsiTheme="majorBidi" w:cstheme="majorBidi"/>
                <w:spacing w:val="-2"/>
                <w:szCs w:val="24"/>
                <w:lang w:val="fr-FR"/>
              </w:rPr>
              <w:t xml:space="preserve"> </w:t>
            </w:r>
            <w:r w:rsidRPr="00A67F27">
              <w:rPr>
                <w:rFonts w:asciiTheme="majorBidi" w:hAnsiTheme="majorBidi" w:cstheme="majorBidi"/>
                <w:spacing w:val="-2"/>
                <w:szCs w:val="24"/>
                <w:lang w:val="fr-FR"/>
              </w:rPr>
              <w:t>(en cas d’attribution), et de les soumettre pour vérification à des auditeurs désignés par la Banque.</w:t>
            </w:r>
          </w:p>
        </w:tc>
      </w:tr>
      <w:tr w:rsidR="000A450A" w:rsidRPr="00A67F27" w14:paraId="799D7CD3" w14:textId="77777777" w:rsidTr="007318E7">
        <w:trPr>
          <w:trHeight w:val="20"/>
        </w:trPr>
        <w:tc>
          <w:tcPr>
            <w:tcW w:w="2250" w:type="dxa"/>
            <w:tcBorders>
              <w:top w:val="nil"/>
              <w:left w:val="nil"/>
              <w:bottom w:val="nil"/>
              <w:right w:val="nil"/>
            </w:tcBorders>
          </w:tcPr>
          <w:p w14:paraId="36CD64B1" w14:textId="2C0A8B69" w:rsidR="000A450A" w:rsidRPr="00A67F27" w:rsidRDefault="00AD134E" w:rsidP="007318E7">
            <w:pPr>
              <w:pStyle w:val="S1-Header2"/>
              <w:numPr>
                <w:ilvl w:val="0"/>
                <w:numId w:val="0"/>
              </w:numPr>
              <w:tabs>
                <w:tab w:val="num" w:pos="432"/>
              </w:tabs>
              <w:spacing w:after="0"/>
              <w:ind w:left="432" w:hanging="432"/>
              <w:rPr>
                <w:rFonts w:asciiTheme="majorBidi" w:hAnsiTheme="majorBidi" w:cstheme="majorBidi"/>
                <w:lang w:val="fr-FR"/>
              </w:rPr>
            </w:pPr>
            <w:bookmarkStart w:id="60" w:name="_Toc156373287"/>
            <w:bookmarkStart w:id="61" w:name="_Toc483210573"/>
            <w:bookmarkStart w:id="62" w:name="_Toc487641772"/>
            <w:r w:rsidRPr="00A67F27">
              <w:rPr>
                <w:lang w:val="fr-FR"/>
              </w:rPr>
              <w:t>4.</w:t>
            </w:r>
            <w:r w:rsidR="000A450A" w:rsidRPr="00A67F27">
              <w:rPr>
                <w:lang w:val="fr-FR"/>
              </w:rPr>
              <w:tab/>
            </w:r>
            <w:r w:rsidR="00894E82" w:rsidRPr="00A67F27">
              <w:rPr>
                <w:lang w:val="fr-FR"/>
              </w:rPr>
              <w:t xml:space="preserve">Candidats </w:t>
            </w:r>
            <w:r w:rsidR="000A450A" w:rsidRPr="00A67F27">
              <w:rPr>
                <w:lang w:val="fr-FR"/>
              </w:rPr>
              <w:t>admis à concourir</w:t>
            </w:r>
            <w:bookmarkEnd w:id="60"/>
            <w:bookmarkEnd w:id="61"/>
            <w:bookmarkEnd w:id="62"/>
          </w:p>
        </w:tc>
        <w:tc>
          <w:tcPr>
            <w:tcW w:w="7380" w:type="dxa"/>
            <w:tcBorders>
              <w:top w:val="nil"/>
              <w:left w:val="nil"/>
              <w:bottom w:val="nil"/>
              <w:right w:val="nil"/>
            </w:tcBorders>
          </w:tcPr>
          <w:p w14:paraId="009CBE09" w14:textId="43E7C12E" w:rsidR="005001E0" w:rsidRPr="00A67F27" w:rsidRDefault="00B125FF" w:rsidP="00D510E8">
            <w:pPr>
              <w:pStyle w:val="Paragraphedeliste"/>
              <w:numPr>
                <w:ilvl w:val="1"/>
                <w:numId w:val="30"/>
              </w:numPr>
              <w:spacing w:after="0"/>
              <w:contextualSpacing w:val="0"/>
              <w:rPr>
                <w:rFonts w:asciiTheme="majorBidi" w:hAnsiTheme="majorBidi" w:cstheme="majorBidi"/>
              </w:rPr>
            </w:pPr>
            <w:r w:rsidRPr="00A67F27">
              <w:rPr>
                <w:rFonts w:asciiTheme="majorBidi" w:hAnsiTheme="majorBidi" w:cstheme="majorBidi"/>
              </w:rPr>
              <w:t xml:space="preserve">Les Soumissionnaires peuvent être constitués d’entreprises privées ou publiques (sous réserve des dispositions de l’article </w:t>
            </w:r>
            <w:r w:rsidRPr="00A67F27">
              <w:rPr>
                <w:rFonts w:asciiTheme="majorBidi" w:hAnsiTheme="majorBidi" w:cstheme="majorBidi"/>
                <w:spacing w:val="-4"/>
              </w:rPr>
              <w:t>4.</w:t>
            </w:r>
            <w:r w:rsidR="00D158AD" w:rsidRPr="00A67F27">
              <w:rPr>
                <w:rFonts w:asciiTheme="majorBidi" w:hAnsiTheme="majorBidi" w:cstheme="majorBidi"/>
                <w:spacing w:val="-4"/>
              </w:rPr>
              <w:t xml:space="preserve">5 </w:t>
            </w:r>
            <w:r w:rsidRPr="00A67F27">
              <w:rPr>
                <w:rFonts w:asciiTheme="majorBidi" w:hAnsiTheme="majorBidi" w:cstheme="majorBidi"/>
              </w:rPr>
              <w:t xml:space="preserve">des IS) ou </w:t>
            </w:r>
            <w:r w:rsidR="0046193E" w:rsidRPr="00A67F27">
              <w:rPr>
                <w:rFonts w:asciiTheme="majorBidi" w:hAnsiTheme="majorBidi" w:cstheme="majorBidi"/>
              </w:rPr>
              <w:t xml:space="preserve">de </w:t>
            </w:r>
            <w:r w:rsidRPr="00A67F27">
              <w:rPr>
                <w:rFonts w:asciiTheme="majorBidi" w:hAnsiTheme="majorBidi" w:cstheme="majorBidi"/>
              </w:rPr>
              <w:t>tout groupement les comprenant au titre d’un accord existant ou tel qu’il ressort d’</w:t>
            </w:r>
            <w:r w:rsidR="00114B52" w:rsidRPr="00A67F27">
              <w:rPr>
                <w:rFonts w:asciiTheme="majorBidi" w:hAnsiTheme="majorBidi" w:cstheme="majorBidi"/>
              </w:rPr>
              <w:t xml:space="preserve">une intention </w:t>
            </w:r>
            <w:r w:rsidR="0049298B" w:rsidRPr="00A67F27">
              <w:rPr>
                <w:rFonts w:asciiTheme="majorBidi" w:hAnsiTheme="majorBidi" w:cstheme="majorBidi"/>
              </w:rPr>
              <w:t>de former un tel accord supporté par une lettre d’intention et un projet d’accord de groupement.</w:t>
            </w:r>
            <w:r w:rsidRPr="00A67F27">
              <w:rPr>
                <w:rFonts w:asciiTheme="majorBidi" w:hAnsiTheme="majorBidi" w:cstheme="majorBidi"/>
              </w:rPr>
              <w:t xml:space="preserve"> En cas de groupement tous les membres le constituant seront solidairement responsables pour l’exécution </w:t>
            </w:r>
            <w:r w:rsidR="003A5607" w:rsidRPr="00A67F27">
              <w:rPr>
                <w:rFonts w:asciiTheme="majorBidi" w:hAnsiTheme="majorBidi" w:cstheme="majorBidi"/>
              </w:rPr>
              <w:t xml:space="preserve">de la totalité </w:t>
            </w:r>
            <w:r w:rsidRPr="00A67F27">
              <w:rPr>
                <w:rFonts w:asciiTheme="majorBidi" w:hAnsiTheme="majorBidi" w:cstheme="majorBidi"/>
              </w:rPr>
              <w:t xml:space="preserve">du Marché conformément à ses termes. Le groupement désignera un Mandataire avec pouvoir de représenter valablement tous ses membres durant l’appel d’offre, et en cas d’attribution du Marché à ce groupement, durant l’exécution du Marché. </w:t>
            </w:r>
            <w:r w:rsidRPr="00A67F27">
              <w:rPr>
                <w:rFonts w:asciiTheme="majorBidi" w:hAnsiTheme="majorBidi" w:cstheme="majorBidi"/>
                <w:b/>
                <w:bCs/>
              </w:rPr>
              <w:t>A moins que le DPAO n’en dispose autrement</w:t>
            </w:r>
            <w:r w:rsidRPr="00A67F27">
              <w:rPr>
                <w:rFonts w:asciiTheme="majorBidi" w:hAnsiTheme="majorBidi" w:cstheme="majorBidi"/>
              </w:rPr>
              <w:t>, le nombre des participants au groupement n’est pas limité.</w:t>
            </w:r>
          </w:p>
          <w:p w14:paraId="183309AF" w14:textId="045BA752" w:rsidR="00BC693B" w:rsidRPr="00A67F27" w:rsidRDefault="00B125FF" w:rsidP="00D510E8">
            <w:pPr>
              <w:pStyle w:val="Corpsdetexte"/>
              <w:numPr>
                <w:ilvl w:val="1"/>
                <w:numId w:val="30"/>
              </w:numPr>
              <w:tabs>
                <w:tab w:val="left" w:pos="657"/>
              </w:tabs>
              <w:spacing w:after="0"/>
              <w:rPr>
                <w:rFonts w:asciiTheme="majorBidi" w:hAnsiTheme="majorBidi" w:cstheme="majorBidi"/>
                <w:color w:val="000000"/>
                <w:szCs w:val="24"/>
                <w:lang w:val="fr-FR"/>
              </w:rPr>
            </w:pPr>
            <w:r w:rsidRPr="00A67F27">
              <w:rPr>
                <w:rFonts w:asciiTheme="majorBidi" w:hAnsiTheme="majorBidi" w:cstheme="majorBidi"/>
                <w:lang w:val="fr-FR"/>
              </w:rPr>
              <w:t>Les Soumissionnaires ne peuvent être en situation de conflit d’intérêt et ceux dont il est déterminé qu’ils sont dans une telle situation seront disqualifiés. Sont considérés comme pouvant avoir un tel conflit avec l’un ou plusieurs intervenants</w:t>
            </w:r>
            <w:r w:rsidR="00585E1E" w:rsidRPr="00A67F27">
              <w:rPr>
                <w:rFonts w:asciiTheme="majorBidi" w:hAnsiTheme="majorBidi" w:cstheme="majorBidi"/>
                <w:lang w:val="fr-FR"/>
              </w:rPr>
              <w:t xml:space="preserve"> au processus d’</w:t>
            </w:r>
            <w:r w:rsidR="00FF2AB0" w:rsidRPr="00A67F27">
              <w:rPr>
                <w:rFonts w:asciiTheme="majorBidi" w:hAnsiTheme="majorBidi" w:cstheme="majorBidi"/>
                <w:lang w:val="fr-FR"/>
              </w:rPr>
              <w:t>A</w:t>
            </w:r>
            <w:r w:rsidR="00585E1E" w:rsidRPr="00A67F27">
              <w:rPr>
                <w:rFonts w:asciiTheme="majorBidi" w:hAnsiTheme="majorBidi" w:cstheme="majorBidi"/>
                <w:lang w:val="fr-FR"/>
              </w:rPr>
              <w:t>ppel d’offres les Soumissionnaires dans les situations suivantes</w:t>
            </w:r>
            <w:r w:rsidR="009B2302" w:rsidRPr="00A67F27">
              <w:rPr>
                <w:rFonts w:asciiTheme="majorBidi" w:hAnsiTheme="majorBidi" w:cstheme="majorBidi"/>
                <w:lang w:val="fr-FR"/>
              </w:rPr>
              <w:t> :</w:t>
            </w:r>
            <w:r w:rsidR="00585E1E" w:rsidRPr="00A67F27">
              <w:rPr>
                <w:rFonts w:asciiTheme="majorBidi" w:hAnsiTheme="majorBidi" w:cstheme="majorBidi"/>
                <w:lang w:val="fr-FR"/>
              </w:rPr>
              <w:t xml:space="preserve"> </w:t>
            </w:r>
          </w:p>
          <w:p w14:paraId="79072AB4" w14:textId="7821BE8F" w:rsidR="00BC693B" w:rsidRPr="00A67F27" w:rsidRDefault="005F4350" w:rsidP="007318E7">
            <w:pPr>
              <w:pStyle w:val="Paragraphedeliste"/>
              <w:numPr>
                <w:ilvl w:val="0"/>
                <w:numId w:val="23"/>
              </w:numPr>
              <w:spacing w:after="0"/>
              <w:ind w:left="1152" w:hanging="576"/>
              <w:contextualSpacing w:val="0"/>
              <w:rPr>
                <w:rFonts w:asciiTheme="majorBidi" w:hAnsiTheme="majorBidi" w:cstheme="majorBidi"/>
                <w:b/>
                <w:sz w:val="28"/>
              </w:rPr>
            </w:pPr>
            <w:r w:rsidRPr="00A67F27">
              <w:rPr>
                <w:rFonts w:asciiTheme="majorBidi" w:hAnsiTheme="majorBidi" w:cstheme="majorBidi"/>
              </w:rPr>
              <w:t>L</w:t>
            </w:r>
            <w:r w:rsidR="002C26D0" w:rsidRPr="00A67F27">
              <w:rPr>
                <w:rFonts w:asciiTheme="majorBidi" w:hAnsiTheme="majorBidi" w:cstheme="majorBidi"/>
              </w:rPr>
              <w:t>es Soumis</w:t>
            </w:r>
            <w:r w:rsidR="00D2106E" w:rsidRPr="00A67F27">
              <w:rPr>
                <w:rFonts w:asciiTheme="majorBidi" w:hAnsiTheme="majorBidi" w:cstheme="majorBidi"/>
              </w:rPr>
              <w:t>s</w:t>
            </w:r>
            <w:r w:rsidR="002C26D0" w:rsidRPr="00A67F27">
              <w:rPr>
                <w:rFonts w:asciiTheme="majorBidi" w:hAnsiTheme="majorBidi" w:cstheme="majorBidi"/>
              </w:rPr>
              <w:t>ionnaires placés sous le contrôle de la même entreprise</w:t>
            </w:r>
            <w:r w:rsidR="009B2302" w:rsidRPr="00A67F27">
              <w:rPr>
                <w:rFonts w:asciiTheme="majorBidi" w:hAnsiTheme="majorBidi" w:cstheme="majorBidi"/>
              </w:rPr>
              <w:t> ;</w:t>
            </w:r>
          </w:p>
          <w:p w14:paraId="22FE4692" w14:textId="0F03610F" w:rsidR="00BC693B" w:rsidRPr="00A67F27" w:rsidRDefault="00691D11" w:rsidP="007318E7">
            <w:pPr>
              <w:pStyle w:val="Paragraphedeliste"/>
              <w:numPr>
                <w:ilvl w:val="0"/>
                <w:numId w:val="23"/>
              </w:numPr>
              <w:spacing w:after="0"/>
              <w:ind w:left="1152" w:hanging="576"/>
              <w:contextualSpacing w:val="0"/>
              <w:rPr>
                <w:rFonts w:asciiTheme="majorBidi" w:hAnsiTheme="majorBidi" w:cstheme="majorBidi"/>
                <w:b/>
                <w:sz w:val="28"/>
              </w:rPr>
            </w:pPr>
            <w:r w:rsidRPr="00A67F27">
              <w:rPr>
                <w:rFonts w:asciiTheme="majorBidi" w:hAnsiTheme="majorBidi" w:cstheme="majorBidi"/>
              </w:rPr>
              <w:t xml:space="preserve"> </w:t>
            </w:r>
            <w:r w:rsidR="005F4350" w:rsidRPr="00A67F27">
              <w:rPr>
                <w:rFonts w:asciiTheme="majorBidi" w:hAnsiTheme="majorBidi" w:cstheme="majorBidi"/>
              </w:rPr>
              <w:t>Les Soumissionnaires qui</w:t>
            </w:r>
            <w:r w:rsidR="002C26D0" w:rsidRPr="00A67F27">
              <w:rPr>
                <w:rFonts w:asciiTheme="majorBidi" w:hAnsiTheme="majorBidi" w:cstheme="majorBidi"/>
              </w:rPr>
              <w:t xml:space="preserve"> reçoivent directement ou i</w:t>
            </w:r>
            <w:r w:rsidR="00E03C52" w:rsidRPr="00A67F27">
              <w:rPr>
                <w:rFonts w:asciiTheme="majorBidi" w:hAnsiTheme="majorBidi" w:cstheme="majorBidi"/>
              </w:rPr>
              <w:t>ndirectement des subventions l’</w:t>
            </w:r>
            <w:r w:rsidR="002C26D0" w:rsidRPr="00A67F27">
              <w:rPr>
                <w:rFonts w:asciiTheme="majorBidi" w:hAnsiTheme="majorBidi" w:cstheme="majorBidi"/>
              </w:rPr>
              <w:t>un de l’autre</w:t>
            </w:r>
            <w:r w:rsidR="009B2302" w:rsidRPr="00A67F27">
              <w:rPr>
                <w:rFonts w:asciiTheme="majorBidi" w:hAnsiTheme="majorBidi" w:cstheme="majorBidi"/>
              </w:rPr>
              <w:t> ;</w:t>
            </w:r>
          </w:p>
          <w:p w14:paraId="0FE624FC" w14:textId="468A455C" w:rsidR="00BC693B" w:rsidRPr="00A67F27" w:rsidRDefault="005F4350" w:rsidP="007318E7">
            <w:pPr>
              <w:pStyle w:val="Paragraphedeliste"/>
              <w:numPr>
                <w:ilvl w:val="0"/>
                <w:numId w:val="23"/>
              </w:numPr>
              <w:spacing w:after="0"/>
              <w:ind w:left="1152" w:hanging="576"/>
              <w:contextualSpacing w:val="0"/>
              <w:rPr>
                <w:rFonts w:asciiTheme="majorBidi" w:hAnsiTheme="majorBidi" w:cstheme="majorBidi"/>
                <w:b/>
                <w:sz w:val="28"/>
              </w:rPr>
            </w:pPr>
            <w:r w:rsidRPr="00A67F27">
              <w:rPr>
                <w:rFonts w:asciiTheme="majorBidi" w:hAnsiTheme="majorBidi" w:cstheme="majorBidi"/>
              </w:rPr>
              <w:t xml:space="preserve">Les Soumissionnaires qui </w:t>
            </w:r>
            <w:r w:rsidR="00691D11" w:rsidRPr="00A67F27">
              <w:rPr>
                <w:rFonts w:asciiTheme="majorBidi" w:hAnsiTheme="majorBidi" w:cstheme="majorBidi"/>
              </w:rPr>
              <w:t>ont le même représentant légal dans le cadre</w:t>
            </w:r>
            <w:r w:rsidR="009B2302" w:rsidRPr="00A67F27">
              <w:rPr>
                <w:rFonts w:asciiTheme="majorBidi" w:hAnsiTheme="majorBidi" w:cstheme="majorBidi"/>
              </w:rPr>
              <w:t xml:space="preserve"> </w:t>
            </w:r>
            <w:r w:rsidR="00691D11" w:rsidRPr="00A67F27">
              <w:rPr>
                <w:rFonts w:asciiTheme="majorBidi" w:hAnsiTheme="majorBidi" w:cstheme="majorBidi"/>
              </w:rPr>
              <w:t xml:space="preserve">du présent </w:t>
            </w:r>
            <w:r w:rsidR="00B01DA0" w:rsidRPr="00A67F27">
              <w:rPr>
                <w:rFonts w:asciiTheme="majorBidi" w:hAnsiTheme="majorBidi" w:cstheme="majorBidi"/>
              </w:rPr>
              <w:t>A</w:t>
            </w:r>
            <w:r w:rsidR="00691D11" w:rsidRPr="00A67F27">
              <w:rPr>
                <w:rFonts w:asciiTheme="majorBidi" w:hAnsiTheme="majorBidi" w:cstheme="majorBidi"/>
              </w:rPr>
              <w:t>ppel d’offre</w:t>
            </w:r>
            <w:r w:rsidR="009B2302" w:rsidRPr="00A67F27">
              <w:rPr>
                <w:rFonts w:asciiTheme="majorBidi" w:hAnsiTheme="majorBidi" w:cstheme="majorBidi"/>
              </w:rPr>
              <w:t> ;</w:t>
            </w:r>
            <w:r w:rsidR="00691D11" w:rsidRPr="00A67F27">
              <w:rPr>
                <w:rFonts w:asciiTheme="majorBidi" w:hAnsiTheme="majorBidi" w:cstheme="majorBidi"/>
              </w:rPr>
              <w:t> </w:t>
            </w:r>
          </w:p>
          <w:p w14:paraId="0B259823" w14:textId="11D04A54" w:rsidR="00BC693B" w:rsidRPr="00A67F27" w:rsidRDefault="005F4350" w:rsidP="007318E7">
            <w:pPr>
              <w:pStyle w:val="Paragraphedeliste"/>
              <w:numPr>
                <w:ilvl w:val="0"/>
                <w:numId w:val="23"/>
              </w:numPr>
              <w:spacing w:after="0"/>
              <w:ind w:left="1152" w:hanging="576"/>
              <w:contextualSpacing w:val="0"/>
              <w:rPr>
                <w:rFonts w:asciiTheme="majorBidi" w:hAnsiTheme="majorBidi" w:cstheme="majorBidi"/>
                <w:b/>
                <w:sz w:val="36"/>
                <w:szCs w:val="24"/>
              </w:rPr>
            </w:pPr>
            <w:r w:rsidRPr="00A67F27">
              <w:rPr>
                <w:rFonts w:asciiTheme="majorBidi" w:hAnsiTheme="majorBidi" w:cstheme="majorBidi"/>
              </w:rPr>
              <w:t xml:space="preserve">Les Soumissionnaires qui </w:t>
            </w:r>
            <w:r w:rsidR="00691D11" w:rsidRPr="00A67F27">
              <w:rPr>
                <w:rFonts w:asciiTheme="majorBidi" w:hAnsiTheme="majorBidi" w:cstheme="majorBidi"/>
              </w:rPr>
              <w:t>entretiennent entre eux directement ou par l’intermédiaire d</w:t>
            </w:r>
            <w:r w:rsidR="00185346" w:rsidRPr="00A67F27">
              <w:rPr>
                <w:rFonts w:asciiTheme="majorBidi" w:hAnsiTheme="majorBidi" w:cstheme="majorBidi"/>
                <w:szCs w:val="24"/>
              </w:rPr>
              <w:t>’</w:t>
            </w:r>
            <w:r w:rsidR="00691D11" w:rsidRPr="00A67F27">
              <w:rPr>
                <w:rFonts w:asciiTheme="majorBidi" w:hAnsiTheme="majorBidi" w:cstheme="majorBidi"/>
                <w:szCs w:val="24"/>
              </w:rPr>
              <w:t>un tiers, des contacts leur permettant d’avoir accès</w:t>
            </w:r>
            <w:r w:rsidRPr="00A67F27">
              <w:rPr>
                <w:rFonts w:asciiTheme="majorBidi" w:hAnsiTheme="majorBidi" w:cstheme="majorBidi"/>
                <w:szCs w:val="24"/>
              </w:rPr>
              <w:t xml:space="preserve"> aux </w:t>
            </w:r>
            <w:r w:rsidR="00691D11" w:rsidRPr="00A67F27">
              <w:rPr>
                <w:rFonts w:asciiTheme="majorBidi" w:hAnsiTheme="majorBidi" w:cstheme="majorBidi"/>
                <w:szCs w:val="24"/>
              </w:rPr>
              <w:t>informations contenues dans l</w:t>
            </w:r>
            <w:r w:rsidR="00E03C52" w:rsidRPr="00A67F27">
              <w:rPr>
                <w:rFonts w:asciiTheme="majorBidi" w:hAnsiTheme="majorBidi" w:cstheme="majorBidi"/>
                <w:szCs w:val="24"/>
              </w:rPr>
              <w:t xml:space="preserve">eurs </w:t>
            </w:r>
            <w:r w:rsidR="00691D11" w:rsidRPr="00A67F27">
              <w:rPr>
                <w:rFonts w:asciiTheme="majorBidi" w:hAnsiTheme="majorBidi" w:cstheme="majorBidi"/>
                <w:szCs w:val="24"/>
              </w:rPr>
              <w:t>offre</w:t>
            </w:r>
            <w:r w:rsidR="00E03C52" w:rsidRPr="00A67F27">
              <w:rPr>
                <w:rFonts w:asciiTheme="majorBidi" w:hAnsiTheme="majorBidi" w:cstheme="majorBidi"/>
                <w:szCs w:val="24"/>
              </w:rPr>
              <w:t>s</w:t>
            </w:r>
            <w:r w:rsidR="00691D11" w:rsidRPr="00A67F27">
              <w:rPr>
                <w:rFonts w:asciiTheme="majorBidi" w:hAnsiTheme="majorBidi" w:cstheme="majorBidi"/>
                <w:szCs w:val="24"/>
              </w:rPr>
              <w:t xml:space="preserve"> ou de l</w:t>
            </w:r>
            <w:r w:rsidR="00E03C52" w:rsidRPr="00A67F27">
              <w:rPr>
                <w:rFonts w:asciiTheme="majorBidi" w:hAnsiTheme="majorBidi" w:cstheme="majorBidi"/>
                <w:szCs w:val="24"/>
              </w:rPr>
              <w:t xml:space="preserve">es </w:t>
            </w:r>
            <w:r w:rsidR="00691D11" w:rsidRPr="00A67F27">
              <w:rPr>
                <w:rFonts w:asciiTheme="majorBidi" w:hAnsiTheme="majorBidi" w:cstheme="majorBidi"/>
                <w:szCs w:val="24"/>
              </w:rPr>
              <w:t>influencer</w:t>
            </w:r>
            <w:r w:rsidR="009B2302" w:rsidRPr="00A67F27">
              <w:rPr>
                <w:rFonts w:asciiTheme="majorBidi" w:hAnsiTheme="majorBidi" w:cstheme="majorBidi"/>
                <w:szCs w:val="24"/>
              </w:rPr>
              <w:t> ;</w:t>
            </w:r>
          </w:p>
          <w:p w14:paraId="5C22B566" w14:textId="5CE42413" w:rsidR="00D158AD" w:rsidRPr="00A67F27" w:rsidRDefault="00D158AD" w:rsidP="007318E7">
            <w:pPr>
              <w:pStyle w:val="Paragraphedeliste"/>
              <w:numPr>
                <w:ilvl w:val="0"/>
                <w:numId w:val="23"/>
              </w:numPr>
              <w:spacing w:after="0"/>
              <w:ind w:left="1152" w:hanging="576"/>
              <w:contextualSpacing w:val="0"/>
              <w:rPr>
                <w:rFonts w:asciiTheme="majorBidi" w:hAnsiTheme="majorBidi" w:cstheme="majorBidi"/>
                <w:b/>
                <w:sz w:val="36"/>
                <w:szCs w:val="24"/>
              </w:rPr>
            </w:pPr>
            <w:r w:rsidRPr="00A67F27">
              <w:rPr>
                <w:rFonts w:asciiTheme="majorBidi" w:hAnsiTheme="majorBidi" w:cstheme="majorBidi"/>
                <w:szCs w:val="24"/>
              </w:rPr>
              <w:t>Les Soumissionnaires qui participent à plusieurs offres dans le cadre du présent</w:t>
            </w:r>
            <w:r w:rsidRPr="00A67F27">
              <w:rPr>
                <w:rFonts w:asciiTheme="majorBidi" w:hAnsiTheme="majorBidi" w:cstheme="majorBidi"/>
                <w:color w:val="000000"/>
                <w:szCs w:val="24"/>
              </w:rPr>
              <w:t xml:space="preserve"> Appel d’offres. La participation d’un Soumissionnaire à plusieurs offres provoquera la disqualification de toutes les offres auxquelles il aura participé</w:t>
            </w:r>
            <w:r w:rsidR="009B2302" w:rsidRPr="00A67F27">
              <w:rPr>
                <w:rFonts w:asciiTheme="majorBidi" w:hAnsiTheme="majorBidi" w:cstheme="majorBidi"/>
                <w:color w:val="000000"/>
                <w:szCs w:val="24"/>
              </w:rPr>
              <w:t> ;</w:t>
            </w:r>
            <w:r w:rsidRPr="00A67F27">
              <w:rPr>
                <w:rFonts w:asciiTheme="majorBidi" w:hAnsiTheme="majorBidi" w:cstheme="majorBidi"/>
                <w:color w:val="000000"/>
                <w:szCs w:val="24"/>
              </w:rPr>
              <w:t xml:space="preserve"> toutefois, une entreprise peut figurer en tant que sous-traitant dans plusieurs offres</w:t>
            </w:r>
            <w:r w:rsidR="009B2302" w:rsidRPr="00A67F27">
              <w:rPr>
                <w:rFonts w:asciiTheme="majorBidi" w:hAnsiTheme="majorBidi" w:cstheme="majorBidi"/>
                <w:color w:val="000000"/>
                <w:szCs w:val="24"/>
              </w:rPr>
              <w:t> ;</w:t>
            </w:r>
            <w:r w:rsidR="009B2302" w:rsidRPr="00A67F27">
              <w:rPr>
                <w:rFonts w:asciiTheme="majorBidi" w:hAnsiTheme="majorBidi" w:cstheme="majorBidi"/>
                <w:szCs w:val="24"/>
              </w:rPr>
              <w:t xml:space="preserve"> </w:t>
            </w:r>
            <w:r w:rsidRPr="00A67F27">
              <w:rPr>
                <w:rFonts w:asciiTheme="majorBidi" w:hAnsiTheme="majorBidi" w:cstheme="majorBidi"/>
                <w:szCs w:val="24"/>
              </w:rPr>
              <w:t xml:space="preserve"> </w:t>
            </w:r>
          </w:p>
          <w:p w14:paraId="078E8574" w14:textId="6A11A742" w:rsidR="00BC693B" w:rsidRPr="00A67F27" w:rsidRDefault="005F4350" w:rsidP="007318E7">
            <w:pPr>
              <w:pStyle w:val="Paragraphedeliste"/>
              <w:numPr>
                <w:ilvl w:val="0"/>
                <w:numId w:val="23"/>
              </w:numPr>
              <w:spacing w:after="0"/>
              <w:ind w:left="1152" w:hanging="576"/>
              <w:contextualSpacing w:val="0"/>
              <w:rPr>
                <w:rFonts w:asciiTheme="majorBidi" w:hAnsiTheme="majorBidi" w:cstheme="majorBidi"/>
                <w:b/>
                <w:sz w:val="36"/>
                <w:szCs w:val="24"/>
              </w:rPr>
            </w:pPr>
            <w:r w:rsidRPr="00A67F27">
              <w:rPr>
                <w:rFonts w:asciiTheme="majorBidi" w:hAnsiTheme="majorBidi" w:cstheme="majorBidi"/>
                <w:szCs w:val="24"/>
              </w:rPr>
              <w:t xml:space="preserve">Les Soumissionnaires </w:t>
            </w:r>
            <w:r w:rsidR="00B01DA0" w:rsidRPr="00A67F27">
              <w:rPr>
                <w:rFonts w:asciiTheme="majorBidi" w:hAnsiTheme="majorBidi" w:cstheme="majorBidi"/>
                <w:szCs w:val="24"/>
              </w:rPr>
              <w:t xml:space="preserve">ou l’une des firmes auxquelles ils sont affiliés </w:t>
            </w:r>
            <w:r w:rsidRPr="00A67F27">
              <w:rPr>
                <w:rFonts w:asciiTheme="majorBidi" w:hAnsiTheme="majorBidi" w:cstheme="majorBidi"/>
                <w:szCs w:val="24"/>
              </w:rPr>
              <w:t>qui ont</w:t>
            </w:r>
            <w:r w:rsidR="0089567D" w:rsidRPr="00A67F27">
              <w:rPr>
                <w:rFonts w:asciiTheme="majorBidi" w:hAnsiTheme="majorBidi" w:cstheme="majorBidi"/>
                <w:szCs w:val="24"/>
              </w:rPr>
              <w:t xml:space="preserve"> fourni des services de conseil pour la préparation des spécifications, plans, calculs et autres documents</w:t>
            </w:r>
            <w:r w:rsidR="009B2302" w:rsidRPr="00A67F27">
              <w:rPr>
                <w:rFonts w:asciiTheme="majorBidi" w:hAnsiTheme="majorBidi" w:cstheme="majorBidi"/>
                <w:szCs w:val="24"/>
              </w:rPr>
              <w:t xml:space="preserve"> </w:t>
            </w:r>
            <w:r w:rsidR="005F253F" w:rsidRPr="00A67F27">
              <w:rPr>
                <w:rFonts w:asciiTheme="majorBidi" w:hAnsiTheme="majorBidi" w:cstheme="majorBidi"/>
                <w:szCs w:val="24"/>
              </w:rPr>
              <w:t>pour les travaux qui font l’objet</w:t>
            </w:r>
            <w:r w:rsidR="0089567D" w:rsidRPr="00A67F27">
              <w:rPr>
                <w:rFonts w:asciiTheme="majorBidi" w:hAnsiTheme="majorBidi" w:cstheme="majorBidi"/>
                <w:szCs w:val="24"/>
              </w:rPr>
              <w:t xml:space="preserve"> du présent </w:t>
            </w:r>
            <w:r w:rsidR="005B1F3D" w:rsidRPr="00A67F27">
              <w:rPr>
                <w:rFonts w:asciiTheme="majorBidi" w:hAnsiTheme="majorBidi" w:cstheme="majorBidi"/>
                <w:szCs w:val="24"/>
              </w:rPr>
              <w:t>A</w:t>
            </w:r>
            <w:r w:rsidR="0089567D" w:rsidRPr="00A67F27">
              <w:rPr>
                <w:rFonts w:asciiTheme="majorBidi" w:hAnsiTheme="majorBidi" w:cstheme="majorBidi"/>
                <w:szCs w:val="24"/>
              </w:rPr>
              <w:t>ppel d’offres</w:t>
            </w:r>
            <w:r w:rsidR="009B2302" w:rsidRPr="00A67F27">
              <w:rPr>
                <w:rFonts w:asciiTheme="majorBidi" w:hAnsiTheme="majorBidi" w:cstheme="majorBidi"/>
                <w:szCs w:val="24"/>
              </w:rPr>
              <w:t> ;</w:t>
            </w:r>
            <w:r w:rsidR="0089567D" w:rsidRPr="00A67F27">
              <w:rPr>
                <w:rFonts w:asciiTheme="majorBidi" w:hAnsiTheme="majorBidi" w:cstheme="majorBidi"/>
                <w:szCs w:val="24"/>
              </w:rPr>
              <w:t xml:space="preserve"> </w:t>
            </w:r>
          </w:p>
          <w:p w14:paraId="01A27635" w14:textId="6E67D31E" w:rsidR="00BC693B" w:rsidRPr="00A67F27" w:rsidRDefault="005F4350" w:rsidP="007318E7">
            <w:pPr>
              <w:pStyle w:val="Paragraphedeliste"/>
              <w:numPr>
                <w:ilvl w:val="0"/>
                <w:numId w:val="23"/>
              </w:numPr>
              <w:spacing w:after="0"/>
              <w:ind w:left="1152" w:hanging="576"/>
              <w:contextualSpacing w:val="0"/>
              <w:rPr>
                <w:rFonts w:asciiTheme="majorBidi" w:hAnsiTheme="majorBidi" w:cstheme="majorBidi"/>
                <w:b/>
                <w:sz w:val="36"/>
                <w:szCs w:val="24"/>
              </w:rPr>
            </w:pPr>
            <w:r w:rsidRPr="00A67F27">
              <w:rPr>
                <w:rFonts w:asciiTheme="majorBidi" w:hAnsiTheme="majorBidi" w:cstheme="majorBidi"/>
                <w:color w:val="000000"/>
                <w:szCs w:val="24"/>
              </w:rPr>
              <w:lastRenderedPageBreak/>
              <w:t>Le Soumissionnaire qui</w:t>
            </w:r>
            <w:r w:rsidR="00553171" w:rsidRPr="00A67F27">
              <w:rPr>
                <w:rFonts w:asciiTheme="majorBidi" w:hAnsiTheme="majorBidi" w:cstheme="majorBidi"/>
                <w:color w:val="000000"/>
                <w:szCs w:val="24"/>
              </w:rPr>
              <w:t>,</w:t>
            </w:r>
            <w:r w:rsidR="009B2302" w:rsidRPr="00A67F27">
              <w:rPr>
                <w:rFonts w:asciiTheme="majorBidi" w:hAnsiTheme="majorBidi" w:cstheme="majorBidi"/>
                <w:color w:val="000000"/>
                <w:szCs w:val="24"/>
              </w:rPr>
              <w:t xml:space="preserve"> </w:t>
            </w:r>
            <w:r w:rsidR="001E6F55" w:rsidRPr="00A67F27">
              <w:rPr>
                <w:rFonts w:asciiTheme="majorBidi" w:hAnsiTheme="majorBidi" w:cstheme="majorBidi"/>
                <w:color w:val="000000"/>
                <w:szCs w:val="24"/>
              </w:rPr>
              <w:t>lui-même</w:t>
            </w:r>
            <w:r w:rsidRPr="00A67F27">
              <w:rPr>
                <w:rFonts w:asciiTheme="majorBidi" w:hAnsiTheme="majorBidi" w:cstheme="majorBidi"/>
                <w:color w:val="000000"/>
                <w:szCs w:val="24"/>
              </w:rPr>
              <w:t xml:space="preserve">, </w:t>
            </w:r>
            <w:r w:rsidR="001E6F55" w:rsidRPr="00A67F27">
              <w:rPr>
                <w:rFonts w:asciiTheme="majorBidi" w:hAnsiTheme="majorBidi" w:cstheme="majorBidi"/>
                <w:color w:val="000000"/>
                <w:szCs w:val="24"/>
              </w:rPr>
              <w:t>ou</w:t>
            </w:r>
            <w:r w:rsidR="009B2302" w:rsidRPr="00A67F27">
              <w:rPr>
                <w:rFonts w:asciiTheme="majorBidi" w:hAnsiTheme="majorBidi" w:cstheme="majorBidi"/>
                <w:color w:val="000000"/>
                <w:szCs w:val="24"/>
              </w:rPr>
              <w:t xml:space="preserve"> </w:t>
            </w:r>
            <w:r w:rsidR="005F253F" w:rsidRPr="00A67F27">
              <w:rPr>
                <w:rFonts w:asciiTheme="majorBidi" w:hAnsiTheme="majorBidi" w:cstheme="majorBidi"/>
                <w:color w:val="000000"/>
                <w:szCs w:val="24"/>
              </w:rPr>
              <w:t>l’une des</w:t>
            </w:r>
            <w:r w:rsidR="009B2302" w:rsidRPr="00A67F27">
              <w:rPr>
                <w:rFonts w:asciiTheme="majorBidi" w:hAnsiTheme="majorBidi" w:cstheme="majorBidi"/>
                <w:color w:val="000000"/>
                <w:szCs w:val="24"/>
              </w:rPr>
              <w:t xml:space="preserve"> </w:t>
            </w:r>
            <w:r w:rsidR="005F253F" w:rsidRPr="00A67F27">
              <w:rPr>
                <w:rFonts w:asciiTheme="majorBidi" w:hAnsiTheme="majorBidi" w:cstheme="majorBidi"/>
                <w:color w:val="000000"/>
                <w:szCs w:val="24"/>
              </w:rPr>
              <w:t xml:space="preserve">firmes auxquelles il </w:t>
            </w:r>
            <w:r w:rsidR="0089567D" w:rsidRPr="00A67F27">
              <w:rPr>
                <w:rFonts w:asciiTheme="majorBidi" w:hAnsiTheme="majorBidi" w:cstheme="majorBidi"/>
                <w:szCs w:val="24"/>
              </w:rPr>
              <w:t>est affilié</w:t>
            </w:r>
            <w:r w:rsidRPr="00A67F27">
              <w:rPr>
                <w:rFonts w:asciiTheme="majorBidi" w:hAnsiTheme="majorBidi" w:cstheme="majorBidi"/>
                <w:szCs w:val="24"/>
              </w:rPr>
              <w:t xml:space="preserve">, </w:t>
            </w:r>
            <w:r w:rsidR="004F02F9" w:rsidRPr="00A67F27">
              <w:rPr>
                <w:rFonts w:asciiTheme="majorBidi" w:hAnsiTheme="majorBidi" w:cstheme="majorBidi"/>
                <w:szCs w:val="24"/>
              </w:rPr>
              <w:t>a ét</w:t>
            </w:r>
            <w:r w:rsidR="00527C50" w:rsidRPr="00A67F27">
              <w:rPr>
                <w:rFonts w:asciiTheme="majorBidi" w:hAnsiTheme="majorBidi" w:cstheme="majorBidi"/>
                <w:szCs w:val="24"/>
              </w:rPr>
              <w:t xml:space="preserve">é </w:t>
            </w:r>
            <w:r w:rsidR="001E6F55" w:rsidRPr="00A67F27">
              <w:rPr>
                <w:rFonts w:asciiTheme="majorBidi" w:hAnsiTheme="majorBidi" w:cstheme="majorBidi"/>
                <w:szCs w:val="24"/>
              </w:rPr>
              <w:t xml:space="preserve">recruté ou </w:t>
            </w:r>
            <w:r w:rsidR="004F02F9" w:rsidRPr="00A67F27">
              <w:rPr>
                <w:rFonts w:asciiTheme="majorBidi" w:hAnsiTheme="majorBidi" w:cstheme="majorBidi"/>
                <w:szCs w:val="24"/>
              </w:rPr>
              <w:t xml:space="preserve">doit </w:t>
            </w:r>
            <w:r w:rsidR="001E6F55" w:rsidRPr="00A67F27">
              <w:rPr>
                <w:rFonts w:asciiTheme="majorBidi" w:hAnsiTheme="majorBidi" w:cstheme="majorBidi"/>
                <w:szCs w:val="24"/>
              </w:rPr>
              <w:t>l’être par</w:t>
            </w:r>
            <w:r w:rsidR="009B2302" w:rsidRPr="00A67F27">
              <w:rPr>
                <w:rFonts w:asciiTheme="majorBidi" w:hAnsiTheme="majorBidi" w:cstheme="majorBidi"/>
                <w:szCs w:val="24"/>
              </w:rPr>
              <w:t xml:space="preserve"> </w:t>
            </w:r>
            <w:r w:rsidR="001E6F55" w:rsidRPr="00A67F27">
              <w:rPr>
                <w:rFonts w:asciiTheme="majorBidi" w:hAnsiTheme="majorBidi" w:cstheme="majorBidi"/>
                <w:szCs w:val="24"/>
              </w:rPr>
              <w:t>l’Emprunteur ou le Maître</w:t>
            </w:r>
            <w:r w:rsidR="00B01DA0" w:rsidRPr="00A67F27">
              <w:rPr>
                <w:rFonts w:asciiTheme="majorBidi" w:hAnsiTheme="majorBidi" w:cstheme="majorBidi"/>
                <w:szCs w:val="24"/>
              </w:rPr>
              <w:t xml:space="preserve"> de l’Ouvrage</w:t>
            </w:r>
            <w:r w:rsidR="001E6F55" w:rsidRPr="00A67F27">
              <w:rPr>
                <w:rFonts w:asciiTheme="majorBidi" w:hAnsiTheme="majorBidi" w:cstheme="majorBidi"/>
                <w:szCs w:val="24"/>
              </w:rPr>
              <w:t>,</w:t>
            </w:r>
            <w:r w:rsidR="001E6F55" w:rsidRPr="00A67F27">
              <w:rPr>
                <w:rFonts w:asciiTheme="majorBidi" w:hAnsiTheme="majorBidi" w:cstheme="majorBidi"/>
                <w:color w:val="000000"/>
                <w:szCs w:val="24"/>
              </w:rPr>
              <w:t xml:space="preserve"> </w:t>
            </w:r>
            <w:r w:rsidR="0089567D" w:rsidRPr="00A67F27">
              <w:rPr>
                <w:rFonts w:asciiTheme="majorBidi" w:hAnsiTheme="majorBidi" w:cstheme="majorBidi"/>
                <w:szCs w:val="24"/>
              </w:rPr>
              <w:t xml:space="preserve">pour </w:t>
            </w:r>
            <w:r w:rsidR="001E6F55" w:rsidRPr="00A67F27">
              <w:rPr>
                <w:rFonts w:asciiTheme="majorBidi" w:hAnsiTheme="majorBidi" w:cstheme="majorBidi"/>
                <w:szCs w:val="24"/>
              </w:rPr>
              <w:t xml:space="preserve">effectuer </w:t>
            </w:r>
            <w:r w:rsidR="005B1F3D" w:rsidRPr="00A67F27">
              <w:rPr>
                <w:rFonts w:asciiTheme="majorBidi" w:hAnsiTheme="majorBidi" w:cstheme="majorBidi"/>
                <w:szCs w:val="24"/>
              </w:rPr>
              <w:t xml:space="preserve">la supervision ou </w:t>
            </w:r>
            <w:r w:rsidR="001E6F55" w:rsidRPr="00A67F27">
              <w:rPr>
                <w:rFonts w:asciiTheme="majorBidi" w:hAnsiTheme="majorBidi" w:cstheme="majorBidi"/>
                <w:szCs w:val="24"/>
              </w:rPr>
              <w:t>le</w:t>
            </w:r>
            <w:r w:rsidR="0089567D" w:rsidRPr="00A67F27">
              <w:rPr>
                <w:rFonts w:asciiTheme="majorBidi" w:hAnsiTheme="majorBidi" w:cstheme="majorBidi"/>
                <w:szCs w:val="24"/>
              </w:rPr>
              <w:t xml:space="preserve"> contrôle de</w:t>
            </w:r>
            <w:r w:rsidR="00B01DA0" w:rsidRPr="00A67F27">
              <w:rPr>
                <w:rFonts w:asciiTheme="majorBidi" w:hAnsiTheme="majorBidi" w:cstheme="majorBidi"/>
                <w:szCs w:val="24"/>
              </w:rPr>
              <w:t>s</w:t>
            </w:r>
            <w:r w:rsidR="0089567D" w:rsidRPr="00A67F27">
              <w:rPr>
                <w:rFonts w:asciiTheme="majorBidi" w:hAnsiTheme="majorBidi" w:cstheme="majorBidi"/>
                <w:szCs w:val="24"/>
              </w:rPr>
              <w:t xml:space="preserve"> </w:t>
            </w:r>
            <w:r w:rsidR="00B01DA0" w:rsidRPr="00A67F27">
              <w:rPr>
                <w:rFonts w:asciiTheme="majorBidi" w:hAnsiTheme="majorBidi" w:cstheme="majorBidi"/>
                <w:szCs w:val="24"/>
              </w:rPr>
              <w:t>T</w:t>
            </w:r>
            <w:r w:rsidR="0089567D" w:rsidRPr="00A67F27">
              <w:rPr>
                <w:rFonts w:asciiTheme="majorBidi" w:hAnsiTheme="majorBidi" w:cstheme="majorBidi"/>
                <w:szCs w:val="24"/>
              </w:rPr>
              <w:t>ravaux dans le cadre du Marché.</w:t>
            </w:r>
          </w:p>
          <w:p w14:paraId="509D722B" w14:textId="18D743A9" w:rsidR="00294BAD" w:rsidRPr="00A67F27" w:rsidRDefault="00585E1E" w:rsidP="007318E7">
            <w:pPr>
              <w:pStyle w:val="Paragraphedeliste"/>
              <w:numPr>
                <w:ilvl w:val="0"/>
                <w:numId w:val="23"/>
              </w:numPr>
              <w:spacing w:after="0"/>
              <w:ind w:left="1152" w:hanging="576"/>
              <w:contextualSpacing w:val="0"/>
              <w:rPr>
                <w:rFonts w:asciiTheme="majorBidi" w:hAnsiTheme="majorBidi" w:cstheme="majorBidi"/>
                <w:b/>
                <w:sz w:val="36"/>
                <w:szCs w:val="24"/>
              </w:rPr>
            </w:pPr>
            <w:r w:rsidRPr="00A67F27">
              <w:rPr>
                <w:rFonts w:asciiTheme="majorBidi" w:hAnsiTheme="majorBidi" w:cstheme="majorBidi"/>
                <w:szCs w:val="24"/>
              </w:rPr>
              <w:t> </w:t>
            </w:r>
            <w:r w:rsidR="00294BAD" w:rsidRPr="00A67F27">
              <w:rPr>
                <w:rFonts w:asciiTheme="majorBidi" w:hAnsiTheme="majorBidi" w:cstheme="majorBidi"/>
                <w:szCs w:val="24"/>
              </w:rPr>
              <w:t xml:space="preserve">Le Soumissionnaire qui fournit des biens, des travaux ou des services autres que des services de consultant qui font suite ou sont liés directement aux services de conseil fournis pour la préparation ou l’exécution du </w:t>
            </w:r>
            <w:r w:rsidR="00B9743A" w:rsidRPr="00A67F27">
              <w:rPr>
                <w:rFonts w:asciiTheme="majorBidi" w:hAnsiTheme="majorBidi" w:cstheme="majorBidi"/>
                <w:szCs w:val="24"/>
              </w:rPr>
              <w:t>P</w:t>
            </w:r>
            <w:r w:rsidR="00294BAD" w:rsidRPr="00A67F27">
              <w:rPr>
                <w:rFonts w:asciiTheme="majorBidi" w:hAnsiTheme="majorBidi" w:cstheme="majorBidi"/>
                <w:szCs w:val="24"/>
              </w:rPr>
              <w:t xml:space="preserve">rojet mentionné </w:t>
            </w:r>
            <w:r w:rsidR="001D76CD" w:rsidRPr="00A67F27">
              <w:rPr>
                <w:rFonts w:asciiTheme="majorBidi" w:hAnsiTheme="majorBidi" w:cstheme="majorBidi"/>
                <w:szCs w:val="24"/>
              </w:rPr>
              <w:t>dans</w:t>
            </w:r>
            <w:r w:rsidR="00294BAD" w:rsidRPr="00A67F27">
              <w:rPr>
                <w:rFonts w:asciiTheme="majorBidi" w:hAnsiTheme="majorBidi" w:cstheme="majorBidi"/>
                <w:szCs w:val="24"/>
              </w:rPr>
              <w:t xml:space="preserve"> l’article 2.1 des IS, qu’il avait lui-même fournis ou qui avaient été fournis par toute autre entreprise qui lui est affiliée et qu’il contrôle directement ou indirectement ou qui le contrôle ou avec laquelle il est soumis à un contrôle commun.</w:t>
            </w:r>
          </w:p>
          <w:p w14:paraId="4331CE30" w14:textId="49D7048B" w:rsidR="00BC693B" w:rsidRPr="00A67F27" w:rsidRDefault="005F4350" w:rsidP="007318E7">
            <w:pPr>
              <w:pStyle w:val="Paragraphedeliste"/>
              <w:numPr>
                <w:ilvl w:val="0"/>
                <w:numId w:val="23"/>
              </w:numPr>
              <w:spacing w:after="0"/>
              <w:ind w:left="1152" w:hanging="576"/>
              <w:contextualSpacing w:val="0"/>
              <w:rPr>
                <w:rFonts w:asciiTheme="majorBidi" w:hAnsiTheme="majorBidi" w:cstheme="majorBidi"/>
                <w:szCs w:val="24"/>
              </w:rPr>
            </w:pPr>
            <w:r w:rsidRPr="00A67F27">
              <w:rPr>
                <w:rFonts w:asciiTheme="majorBidi" w:hAnsiTheme="majorBidi" w:cstheme="majorBidi"/>
                <w:szCs w:val="24"/>
              </w:rPr>
              <w:t xml:space="preserve">Les Soumissionnaires qui </w:t>
            </w:r>
            <w:r w:rsidR="00B125FF" w:rsidRPr="00A67F27">
              <w:rPr>
                <w:rFonts w:asciiTheme="majorBidi" w:hAnsiTheme="majorBidi" w:cstheme="majorBidi"/>
                <w:szCs w:val="24"/>
              </w:rPr>
              <w:t xml:space="preserve">entretiennent une étroite relation d’affaires ou </w:t>
            </w:r>
            <w:r w:rsidR="00BD6D38" w:rsidRPr="00A67F27">
              <w:rPr>
                <w:rFonts w:asciiTheme="majorBidi" w:hAnsiTheme="majorBidi" w:cstheme="majorBidi"/>
                <w:szCs w:val="24"/>
              </w:rPr>
              <w:t xml:space="preserve">de </w:t>
            </w:r>
            <w:r w:rsidR="00B125FF" w:rsidRPr="00A67F27">
              <w:rPr>
                <w:rFonts w:asciiTheme="majorBidi" w:hAnsiTheme="majorBidi" w:cstheme="majorBidi"/>
                <w:szCs w:val="24"/>
              </w:rPr>
              <w:t>famil</w:t>
            </w:r>
            <w:r w:rsidR="00BD6D38" w:rsidRPr="00A67F27">
              <w:rPr>
                <w:rFonts w:asciiTheme="majorBidi" w:hAnsiTheme="majorBidi" w:cstheme="majorBidi"/>
                <w:szCs w:val="24"/>
              </w:rPr>
              <w:t>le</w:t>
            </w:r>
            <w:r w:rsidR="00B125FF" w:rsidRPr="00A67F27">
              <w:rPr>
                <w:rFonts w:asciiTheme="majorBidi" w:hAnsiTheme="majorBidi" w:cstheme="majorBidi"/>
                <w:szCs w:val="24"/>
              </w:rPr>
              <w:t xml:space="preserve"> avec un membre du personnel de l’Emprunteur (ou du personnel de l’entité d’exécution du </w:t>
            </w:r>
            <w:r w:rsidR="00B9743A" w:rsidRPr="00A67F27">
              <w:rPr>
                <w:rFonts w:asciiTheme="majorBidi" w:hAnsiTheme="majorBidi" w:cstheme="majorBidi"/>
                <w:szCs w:val="24"/>
              </w:rPr>
              <w:t>P</w:t>
            </w:r>
            <w:r w:rsidR="00B125FF" w:rsidRPr="00A67F27">
              <w:rPr>
                <w:rFonts w:asciiTheme="majorBidi" w:hAnsiTheme="majorBidi" w:cstheme="majorBidi"/>
                <w:szCs w:val="24"/>
              </w:rPr>
              <w:t xml:space="preserve">rojet ou d’un bénéficiaire d’une partie du </w:t>
            </w:r>
            <w:r w:rsidR="00B9743A" w:rsidRPr="00A67F27">
              <w:rPr>
                <w:rFonts w:asciiTheme="majorBidi" w:hAnsiTheme="majorBidi" w:cstheme="majorBidi"/>
                <w:szCs w:val="24"/>
              </w:rPr>
              <w:t>P</w:t>
            </w:r>
            <w:r w:rsidR="00B125FF" w:rsidRPr="00A67F27">
              <w:rPr>
                <w:rFonts w:asciiTheme="majorBidi" w:hAnsiTheme="majorBidi" w:cstheme="majorBidi"/>
                <w:szCs w:val="24"/>
              </w:rPr>
              <w:t>rêt)</w:t>
            </w:r>
            <w:r w:rsidR="009B2302" w:rsidRPr="00A67F27">
              <w:rPr>
                <w:rFonts w:asciiTheme="majorBidi" w:hAnsiTheme="majorBidi" w:cstheme="majorBidi"/>
                <w:szCs w:val="24"/>
              </w:rPr>
              <w:t> :</w:t>
            </w:r>
            <w:r w:rsidR="00B125FF" w:rsidRPr="00A67F27">
              <w:rPr>
                <w:rFonts w:asciiTheme="majorBidi" w:hAnsiTheme="majorBidi" w:cstheme="majorBidi"/>
                <w:szCs w:val="24"/>
              </w:rPr>
              <w:t xml:space="preserve"> i) qui intervient directement ou indirectement dans la préparation du </w:t>
            </w:r>
            <w:r w:rsidR="005B1F3D" w:rsidRPr="00A67F27">
              <w:rPr>
                <w:rFonts w:asciiTheme="majorBidi" w:hAnsiTheme="majorBidi" w:cstheme="majorBidi"/>
                <w:szCs w:val="24"/>
              </w:rPr>
              <w:t>D</w:t>
            </w:r>
            <w:r w:rsidR="00B125FF" w:rsidRPr="00A67F27">
              <w:rPr>
                <w:rFonts w:asciiTheme="majorBidi" w:hAnsiTheme="majorBidi" w:cstheme="majorBidi"/>
                <w:szCs w:val="24"/>
              </w:rPr>
              <w:t xml:space="preserve">ossier d’appel d’offres ou des </w:t>
            </w:r>
            <w:r w:rsidR="005B1F3D" w:rsidRPr="00A67F27">
              <w:rPr>
                <w:rFonts w:asciiTheme="majorBidi" w:hAnsiTheme="majorBidi" w:cstheme="majorBidi"/>
                <w:szCs w:val="24"/>
              </w:rPr>
              <w:t>S</w:t>
            </w:r>
            <w:r w:rsidR="00B125FF" w:rsidRPr="00A67F27">
              <w:rPr>
                <w:rFonts w:asciiTheme="majorBidi" w:hAnsiTheme="majorBidi" w:cstheme="majorBidi"/>
                <w:szCs w:val="24"/>
              </w:rPr>
              <w:t xml:space="preserve">pécifications du </w:t>
            </w:r>
            <w:r w:rsidR="00B9743A" w:rsidRPr="00A67F27">
              <w:rPr>
                <w:rFonts w:asciiTheme="majorBidi" w:hAnsiTheme="majorBidi" w:cstheme="majorBidi"/>
                <w:szCs w:val="24"/>
              </w:rPr>
              <w:t>M</w:t>
            </w:r>
            <w:r w:rsidR="00B125FF" w:rsidRPr="00A67F27">
              <w:rPr>
                <w:rFonts w:asciiTheme="majorBidi" w:hAnsiTheme="majorBidi" w:cstheme="majorBidi"/>
                <w:szCs w:val="24"/>
              </w:rPr>
              <w:t xml:space="preserve">arché, et/ou dans le processus d’évaluation des </w:t>
            </w:r>
            <w:r w:rsidR="005B1F3D" w:rsidRPr="00A67F27">
              <w:rPr>
                <w:rFonts w:asciiTheme="majorBidi" w:hAnsiTheme="majorBidi" w:cstheme="majorBidi"/>
                <w:szCs w:val="24"/>
              </w:rPr>
              <w:t>O</w:t>
            </w:r>
            <w:r w:rsidR="00B125FF" w:rsidRPr="00A67F27">
              <w:rPr>
                <w:rFonts w:asciiTheme="majorBidi" w:hAnsiTheme="majorBidi" w:cstheme="majorBidi"/>
                <w:szCs w:val="24"/>
              </w:rPr>
              <w:t>ffres</w:t>
            </w:r>
            <w:r w:rsidR="009B2302" w:rsidRPr="00A67F27">
              <w:rPr>
                <w:rFonts w:asciiTheme="majorBidi" w:hAnsiTheme="majorBidi" w:cstheme="majorBidi"/>
                <w:szCs w:val="24"/>
              </w:rPr>
              <w:t> ;</w:t>
            </w:r>
            <w:r w:rsidR="00B125FF" w:rsidRPr="00A67F27">
              <w:rPr>
                <w:rFonts w:asciiTheme="majorBidi" w:hAnsiTheme="majorBidi" w:cstheme="majorBidi"/>
                <w:szCs w:val="24"/>
              </w:rPr>
              <w:t xml:space="preserve"> ou ii) qui pourrait intervenir dans l’exécution ou la supervision de ce même </w:t>
            </w:r>
            <w:r w:rsidR="005B1F3D" w:rsidRPr="00A67F27">
              <w:rPr>
                <w:rFonts w:asciiTheme="majorBidi" w:hAnsiTheme="majorBidi" w:cstheme="majorBidi"/>
                <w:szCs w:val="24"/>
              </w:rPr>
              <w:t>M</w:t>
            </w:r>
            <w:r w:rsidR="00B125FF" w:rsidRPr="00A67F27">
              <w:rPr>
                <w:rFonts w:asciiTheme="majorBidi" w:hAnsiTheme="majorBidi" w:cstheme="majorBidi"/>
                <w:szCs w:val="24"/>
              </w:rPr>
              <w:t>arché, sauf si le conflit qui découle de cette relation a été réglé d’une manière s</w:t>
            </w:r>
            <w:r w:rsidR="00BD6D38" w:rsidRPr="00A67F27">
              <w:rPr>
                <w:rFonts w:asciiTheme="majorBidi" w:hAnsiTheme="majorBidi" w:cstheme="majorBidi"/>
                <w:szCs w:val="24"/>
              </w:rPr>
              <w:t>atisfaisante pour la Banque pendant le</w:t>
            </w:r>
            <w:r w:rsidR="00B125FF" w:rsidRPr="00A67F27">
              <w:rPr>
                <w:rFonts w:asciiTheme="majorBidi" w:hAnsiTheme="majorBidi" w:cstheme="majorBidi"/>
                <w:szCs w:val="24"/>
              </w:rPr>
              <w:t xml:space="preserve"> processus de sélection et l’exécution du marché .</w:t>
            </w:r>
            <w:r w:rsidR="009B2302" w:rsidRPr="00A67F27">
              <w:rPr>
                <w:rFonts w:asciiTheme="majorBidi" w:hAnsiTheme="majorBidi" w:cstheme="majorBidi"/>
                <w:szCs w:val="24"/>
              </w:rPr>
              <w:t xml:space="preserve"> </w:t>
            </w:r>
          </w:p>
          <w:p w14:paraId="245A70A8" w14:textId="19C8CD3F" w:rsidR="005001E0" w:rsidRPr="00A67F27" w:rsidRDefault="00D86EDA" w:rsidP="00D510E8">
            <w:pPr>
              <w:pStyle w:val="Paragraphedeliste"/>
              <w:numPr>
                <w:ilvl w:val="1"/>
                <w:numId w:val="30"/>
              </w:numPr>
              <w:spacing w:after="0"/>
              <w:contextualSpacing w:val="0"/>
              <w:rPr>
                <w:rFonts w:asciiTheme="majorBidi" w:hAnsiTheme="majorBidi" w:cstheme="majorBidi"/>
                <w:szCs w:val="24"/>
              </w:rPr>
            </w:pPr>
            <w:r w:rsidRPr="00A67F27">
              <w:rPr>
                <w:rFonts w:asciiTheme="majorBidi" w:hAnsiTheme="majorBidi" w:cstheme="majorBidi"/>
                <w:szCs w:val="24"/>
              </w:rPr>
              <w:t>Sous réserve des dispositions de l’article 4.</w:t>
            </w:r>
            <w:r w:rsidR="00D158AD" w:rsidRPr="00A67F27">
              <w:rPr>
                <w:rFonts w:asciiTheme="majorBidi" w:hAnsiTheme="majorBidi" w:cstheme="majorBidi"/>
                <w:szCs w:val="24"/>
              </w:rPr>
              <w:t>7</w:t>
            </w:r>
            <w:r w:rsidRPr="00A67F27">
              <w:rPr>
                <w:rFonts w:asciiTheme="majorBidi" w:hAnsiTheme="majorBidi" w:cstheme="majorBidi"/>
                <w:szCs w:val="24"/>
              </w:rPr>
              <w:t xml:space="preserve"> des IS, un Soumissionnaire, ainsi que les entités qui le constituent, doit avoir la nationalité d’un des pays éligibles tels que définis dans la Section V</w:t>
            </w:r>
            <w:r w:rsidR="00441938" w:rsidRPr="00A67F27">
              <w:rPr>
                <w:rFonts w:asciiTheme="majorBidi" w:hAnsiTheme="majorBidi" w:cstheme="majorBidi"/>
                <w:szCs w:val="24"/>
              </w:rPr>
              <w:t>.</w:t>
            </w:r>
            <w:r w:rsidRPr="00A67F27">
              <w:rPr>
                <w:rFonts w:asciiTheme="majorBidi" w:hAnsiTheme="majorBidi" w:cstheme="majorBidi"/>
                <w:szCs w:val="24"/>
              </w:rPr>
              <w:t xml:space="preserve"> du présent document-Pays éligibles. Un Soumissionnaire sera réputé avoir la nationalité d'un pays donné s’il y est constitué en société, ou enregistré, et soumis à son droit,</w:t>
            </w:r>
            <w:r w:rsidR="009B2302" w:rsidRPr="00A67F27">
              <w:rPr>
                <w:rFonts w:asciiTheme="majorBidi" w:hAnsiTheme="majorBidi" w:cstheme="majorBidi"/>
                <w:szCs w:val="24"/>
              </w:rPr>
              <w:t xml:space="preserve"> </w:t>
            </w:r>
            <w:r w:rsidRPr="00A67F27">
              <w:rPr>
                <w:rFonts w:asciiTheme="majorBidi" w:hAnsiTheme="majorBidi" w:cstheme="majorBidi"/>
                <w:szCs w:val="24"/>
              </w:rPr>
              <w:t xml:space="preserve">tel </w:t>
            </w:r>
            <w:r w:rsidR="008C0DBB" w:rsidRPr="00A67F27">
              <w:rPr>
                <w:rFonts w:asciiTheme="majorBidi" w:hAnsiTheme="majorBidi" w:cstheme="majorBidi"/>
                <w:szCs w:val="24"/>
              </w:rPr>
              <w:t>qu’il</w:t>
            </w:r>
            <w:r w:rsidR="009B2302" w:rsidRPr="00A67F27">
              <w:rPr>
                <w:rFonts w:asciiTheme="majorBidi" w:hAnsiTheme="majorBidi" w:cstheme="majorBidi"/>
                <w:szCs w:val="24"/>
              </w:rPr>
              <w:t xml:space="preserve"> </w:t>
            </w:r>
            <w:r w:rsidRPr="00A67F27">
              <w:rPr>
                <w:rFonts w:asciiTheme="majorBidi" w:hAnsiTheme="majorBidi" w:cstheme="majorBidi"/>
                <w:szCs w:val="24"/>
              </w:rPr>
              <w:t>ressort de</w:t>
            </w:r>
            <w:r w:rsidR="009B2302" w:rsidRPr="00A67F27">
              <w:rPr>
                <w:rFonts w:asciiTheme="majorBidi" w:hAnsiTheme="majorBidi" w:cstheme="majorBidi"/>
                <w:szCs w:val="24"/>
              </w:rPr>
              <w:t xml:space="preserve"> </w:t>
            </w:r>
            <w:r w:rsidRPr="00A67F27">
              <w:rPr>
                <w:rFonts w:asciiTheme="majorBidi" w:hAnsiTheme="majorBidi" w:cstheme="majorBidi"/>
                <w:szCs w:val="24"/>
              </w:rPr>
              <w:t>ses statuts ou documents équivalents et de ses documents d'enregistrement. Ce critère s’appliquera également à la détermination de la nationalité des sous-traitants et fournisseurs du Marché.</w:t>
            </w:r>
            <w:r w:rsidR="00585E1E" w:rsidRPr="00A67F27">
              <w:rPr>
                <w:rFonts w:asciiTheme="majorBidi" w:hAnsiTheme="majorBidi" w:cstheme="majorBidi"/>
                <w:szCs w:val="24"/>
              </w:rPr>
              <w:t xml:space="preserve"> </w:t>
            </w:r>
          </w:p>
          <w:p w14:paraId="3CA0A317" w14:textId="289CB32A" w:rsidR="00407E7D" w:rsidRPr="00A67F27" w:rsidRDefault="00D158AD" w:rsidP="00D510E8">
            <w:pPr>
              <w:pStyle w:val="Paragraphedeliste"/>
              <w:numPr>
                <w:ilvl w:val="1"/>
                <w:numId w:val="30"/>
              </w:numPr>
              <w:spacing w:after="0"/>
              <w:contextualSpacing w:val="0"/>
              <w:rPr>
                <w:rFonts w:asciiTheme="majorBidi" w:hAnsiTheme="majorBidi" w:cstheme="majorBidi"/>
              </w:rPr>
            </w:pPr>
            <w:r w:rsidRPr="00A67F27">
              <w:rPr>
                <w:rFonts w:asciiTheme="majorBidi" w:hAnsiTheme="majorBidi" w:cstheme="majorBidi"/>
              </w:rPr>
              <w:t>Un soumissionnaire faisant l’objet d’une sanction prononcée par la Banque conformément à l’Article 3 .1 des IS, notamment au titre des Directives de la Banque pour la Prévention et la lutte contre la corruption dans les projets financés par les prêts de la BIRD et les dons et crédits de l’IDA (</w:t>
            </w:r>
            <w:r w:rsidR="009B2302" w:rsidRPr="00A67F27">
              <w:rPr>
                <w:rFonts w:asciiTheme="majorBidi" w:hAnsiTheme="majorBidi" w:cstheme="majorBidi"/>
              </w:rPr>
              <w:t xml:space="preserve">« </w:t>
            </w:r>
            <w:r w:rsidRPr="00A67F27">
              <w:rPr>
                <w:rFonts w:asciiTheme="majorBidi" w:hAnsiTheme="majorBidi" w:cstheme="majorBidi"/>
              </w:rPr>
              <w:t>les Directives sur la prévention de la corruption</w:t>
            </w:r>
            <w:r w:rsidR="009B2302" w:rsidRPr="00A67F27">
              <w:rPr>
                <w:rFonts w:asciiTheme="majorBidi" w:hAnsiTheme="majorBidi" w:cstheme="majorBidi"/>
              </w:rPr>
              <w:t> »</w:t>
            </w:r>
            <w:r w:rsidRPr="00A67F27">
              <w:rPr>
                <w:rFonts w:asciiTheme="majorBidi" w:hAnsiTheme="majorBidi" w:cstheme="majorBidi"/>
              </w:rPr>
              <w:t xml:space="preserve">), sera exclue de toute pré-qualification ou attribution et de tout autre bénéfice (financier ou autres) d’un marché financé par la Banque durant la période que la Banque aura déterminée. La liste des exclusions est disponible à l’adresse électronique </w:t>
            </w:r>
            <w:r w:rsidRPr="00A67F27">
              <w:rPr>
                <w:rFonts w:asciiTheme="majorBidi" w:hAnsiTheme="majorBidi" w:cstheme="majorBidi"/>
                <w:b/>
                <w:bCs/>
              </w:rPr>
              <w:t>mentionnée aux</w:t>
            </w:r>
            <w:r w:rsidRPr="00A67F27">
              <w:rPr>
                <w:rFonts w:asciiTheme="majorBidi" w:hAnsiTheme="majorBidi" w:cstheme="majorBidi"/>
              </w:rPr>
              <w:t xml:space="preserve"> </w:t>
            </w:r>
            <w:r w:rsidRPr="00A67F27">
              <w:rPr>
                <w:rFonts w:asciiTheme="majorBidi" w:hAnsiTheme="majorBidi" w:cstheme="majorBidi"/>
                <w:b/>
              </w:rPr>
              <w:t>DPAO</w:t>
            </w:r>
            <w:r w:rsidRPr="00A67F27">
              <w:rPr>
                <w:rFonts w:asciiTheme="majorBidi" w:hAnsiTheme="majorBidi" w:cstheme="majorBidi"/>
              </w:rPr>
              <w:t>.</w:t>
            </w:r>
            <w:r w:rsidR="009B2302" w:rsidRPr="00A67F27">
              <w:rPr>
                <w:rFonts w:asciiTheme="majorBidi" w:hAnsiTheme="majorBidi" w:cstheme="majorBidi"/>
                <w:szCs w:val="24"/>
              </w:rPr>
              <w:t xml:space="preserve"> </w:t>
            </w:r>
          </w:p>
        </w:tc>
      </w:tr>
      <w:tr w:rsidR="000A450A" w:rsidRPr="00A67F27" w14:paraId="668A3706" w14:textId="77777777" w:rsidTr="007318E7">
        <w:trPr>
          <w:trHeight w:val="20"/>
        </w:trPr>
        <w:tc>
          <w:tcPr>
            <w:tcW w:w="2250" w:type="dxa"/>
            <w:tcBorders>
              <w:top w:val="nil"/>
              <w:left w:val="nil"/>
              <w:bottom w:val="nil"/>
              <w:right w:val="nil"/>
            </w:tcBorders>
          </w:tcPr>
          <w:p w14:paraId="29CA91D5" w14:textId="77777777" w:rsidR="000A450A" w:rsidRPr="00A67F27" w:rsidRDefault="000A450A" w:rsidP="007318E7">
            <w:pPr>
              <w:numPr>
                <w:ilvl w:val="12"/>
                <w:numId w:val="0"/>
              </w:numPr>
              <w:spacing w:after="0"/>
              <w:rPr>
                <w:rFonts w:asciiTheme="majorBidi" w:hAnsiTheme="majorBidi" w:cstheme="majorBidi"/>
              </w:rPr>
            </w:pPr>
            <w:bookmarkStart w:id="63" w:name="_Toc438532561"/>
            <w:bookmarkStart w:id="64" w:name="_Toc438532562"/>
            <w:bookmarkEnd w:id="63"/>
            <w:bookmarkEnd w:id="64"/>
          </w:p>
        </w:tc>
        <w:tc>
          <w:tcPr>
            <w:tcW w:w="7380" w:type="dxa"/>
            <w:tcBorders>
              <w:top w:val="nil"/>
              <w:left w:val="nil"/>
              <w:bottom w:val="nil"/>
              <w:right w:val="nil"/>
            </w:tcBorders>
          </w:tcPr>
          <w:p w14:paraId="5B495080" w14:textId="568B9CE9" w:rsidR="005001E0" w:rsidRPr="00A67F27" w:rsidRDefault="007C3F62" w:rsidP="00D510E8">
            <w:pPr>
              <w:pStyle w:val="Paragraphedeliste"/>
              <w:numPr>
                <w:ilvl w:val="1"/>
                <w:numId w:val="30"/>
              </w:numPr>
              <w:spacing w:after="0"/>
              <w:contextualSpacing w:val="0"/>
              <w:rPr>
                <w:rFonts w:asciiTheme="majorBidi" w:hAnsiTheme="majorBidi" w:cstheme="majorBidi"/>
              </w:rPr>
            </w:pPr>
            <w:r w:rsidRPr="00A67F27">
              <w:rPr>
                <w:rFonts w:asciiTheme="majorBidi" w:hAnsiTheme="majorBidi" w:cstheme="majorBidi"/>
              </w:rPr>
              <w:t xml:space="preserve">Les </w:t>
            </w:r>
            <w:r w:rsidR="00BC5D5C" w:rsidRPr="00A67F27">
              <w:rPr>
                <w:rFonts w:asciiTheme="majorBidi" w:hAnsiTheme="majorBidi" w:cstheme="majorBidi"/>
              </w:rPr>
              <w:t>établissements</w:t>
            </w:r>
            <w:r w:rsidRPr="00A67F27">
              <w:rPr>
                <w:rFonts w:asciiTheme="majorBidi" w:hAnsiTheme="majorBidi" w:cstheme="majorBidi"/>
              </w:rPr>
              <w:t xml:space="preserve"> publics du pays du Maître de l’Ouvrage sont admis à participer à la condition qu‘ils puissent établir </w:t>
            </w:r>
            <w:r w:rsidR="00C242BB" w:rsidRPr="00A67F27">
              <w:rPr>
                <w:rFonts w:asciiTheme="majorBidi" w:hAnsiTheme="majorBidi" w:cstheme="majorBidi"/>
              </w:rPr>
              <w:t xml:space="preserve">(i) </w:t>
            </w:r>
            <w:r w:rsidRPr="00A67F27">
              <w:rPr>
                <w:rFonts w:asciiTheme="majorBidi" w:hAnsiTheme="majorBidi" w:cstheme="majorBidi"/>
              </w:rPr>
              <w:t>qu’ils jouissent d</w:t>
            </w:r>
            <w:r w:rsidR="004668D1" w:rsidRPr="00A67F27">
              <w:rPr>
                <w:rFonts w:asciiTheme="majorBidi" w:hAnsiTheme="majorBidi" w:cstheme="majorBidi"/>
              </w:rPr>
              <w:t>e l’</w:t>
            </w:r>
            <w:r w:rsidRPr="00A67F27">
              <w:rPr>
                <w:rFonts w:asciiTheme="majorBidi" w:hAnsiTheme="majorBidi" w:cstheme="majorBidi"/>
              </w:rPr>
              <w:t xml:space="preserve">autonomie juridique et financière, </w:t>
            </w:r>
            <w:r w:rsidR="00C242BB" w:rsidRPr="00A67F27">
              <w:rPr>
                <w:rFonts w:asciiTheme="majorBidi" w:hAnsiTheme="majorBidi" w:cstheme="majorBidi"/>
              </w:rPr>
              <w:t xml:space="preserve">(ii) </w:t>
            </w:r>
            <w:r w:rsidRPr="00A67F27">
              <w:rPr>
                <w:rFonts w:asciiTheme="majorBidi" w:hAnsiTheme="majorBidi" w:cstheme="majorBidi"/>
              </w:rPr>
              <w:t xml:space="preserve">qu’ils sont régis par les </w:t>
            </w:r>
            <w:r w:rsidR="004668D1" w:rsidRPr="00A67F27">
              <w:rPr>
                <w:rFonts w:asciiTheme="majorBidi" w:hAnsiTheme="majorBidi" w:cstheme="majorBidi"/>
              </w:rPr>
              <w:t xml:space="preserve">règles </w:t>
            </w:r>
            <w:r w:rsidRPr="00A67F27">
              <w:rPr>
                <w:rFonts w:asciiTheme="majorBidi" w:hAnsiTheme="majorBidi" w:cstheme="majorBidi"/>
              </w:rPr>
              <w:t xml:space="preserve">du droit commercial, et </w:t>
            </w:r>
            <w:r w:rsidR="00C242BB" w:rsidRPr="00A67F27">
              <w:rPr>
                <w:rFonts w:asciiTheme="majorBidi" w:hAnsiTheme="majorBidi" w:cstheme="majorBidi"/>
              </w:rPr>
              <w:t xml:space="preserve">(iii) </w:t>
            </w:r>
            <w:r w:rsidR="00D158AD" w:rsidRPr="00A67F27">
              <w:rPr>
                <w:rFonts w:asciiTheme="majorBidi" w:hAnsiTheme="majorBidi" w:cstheme="majorBidi"/>
              </w:rPr>
              <w:t>qu’ils ne dépendent pas</w:t>
            </w:r>
            <w:r w:rsidR="009B2302" w:rsidRPr="00A67F27">
              <w:rPr>
                <w:rFonts w:asciiTheme="majorBidi" w:hAnsiTheme="majorBidi" w:cstheme="majorBidi"/>
              </w:rPr>
              <w:t xml:space="preserve"> </w:t>
            </w:r>
            <w:r w:rsidR="00D158AD" w:rsidRPr="00A67F27">
              <w:rPr>
                <w:rFonts w:asciiTheme="majorBidi" w:hAnsiTheme="majorBidi" w:cstheme="majorBidi"/>
              </w:rPr>
              <w:lastRenderedPageBreak/>
              <w:t>du Maître de l’Ouvrage. A cette fin, les établissements</w:t>
            </w:r>
            <w:r w:rsidR="009B2302" w:rsidRPr="00A67F27">
              <w:rPr>
                <w:rFonts w:asciiTheme="majorBidi" w:hAnsiTheme="majorBidi" w:cstheme="majorBidi"/>
              </w:rPr>
              <w:t xml:space="preserve"> </w:t>
            </w:r>
            <w:r w:rsidR="00D158AD" w:rsidRPr="00A67F27">
              <w:rPr>
                <w:rFonts w:asciiTheme="majorBidi" w:hAnsiTheme="majorBidi" w:cstheme="majorBidi"/>
              </w:rPr>
              <w:t>publics doivent fournir tout document (y compris leurs statuts) permettant d’établir à la satisfaction de la Banque (i) qu’ils ont une personnalité juridique distincte de celle de l’Etat, (ii) qu’ils ne reçoivent aucune subvention publique</w:t>
            </w:r>
            <w:r w:rsidR="009B2302" w:rsidRPr="00A67F27">
              <w:rPr>
                <w:rFonts w:asciiTheme="majorBidi" w:hAnsiTheme="majorBidi" w:cstheme="majorBidi"/>
              </w:rPr>
              <w:t xml:space="preserve"> </w:t>
            </w:r>
            <w:r w:rsidR="00D158AD" w:rsidRPr="00A67F27">
              <w:rPr>
                <w:rFonts w:asciiTheme="majorBidi" w:hAnsiTheme="majorBidi" w:cstheme="majorBidi"/>
              </w:rPr>
              <w:t>ou aide budgétaire importante, (iii) qu’ils sont régis par les dispositions du droit commercial</w:t>
            </w:r>
            <w:r w:rsidR="009B2302" w:rsidRPr="00A67F27">
              <w:rPr>
                <w:rFonts w:asciiTheme="majorBidi" w:hAnsiTheme="majorBidi" w:cstheme="majorBidi"/>
              </w:rPr>
              <w:t xml:space="preserve"> </w:t>
            </w:r>
            <w:r w:rsidR="00D158AD" w:rsidRPr="00A67F27">
              <w:rPr>
                <w:rFonts w:asciiTheme="majorBidi" w:hAnsiTheme="majorBidi" w:cstheme="majorBidi"/>
              </w:rPr>
              <w:t>et qu’ en particulier ils ne sont pas tenus de reverser leurs excédents financiers à l’Etat, qu’ils peuvent acquérir des droits et des obligations, emprunter des fonds, sont tenus du remboursement de leurs dettes et peuvent faire l’objet d’une procédure de faillite, et (iv) le Maître de l’ouvrage ou l’entité en charge de l’attribution du marché n’est pas leur organe de tutelle, en situation de les contrôler, les superviser ou d’exercer sur eux une influence</w:t>
            </w:r>
            <w:r w:rsidR="00D158AD" w:rsidRPr="00A67F27">
              <w:rPr>
                <w:rFonts w:asciiTheme="majorBidi" w:hAnsiTheme="majorBidi" w:cstheme="majorBidi"/>
                <w:sz w:val="16"/>
                <w:szCs w:val="16"/>
              </w:rPr>
              <w:t>.</w:t>
            </w:r>
          </w:p>
          <w:p w14:paraId="26A21A37" w14:textId="4C438AB5" w:rsidR="00BC693B" w:rsidRPr="00A67F27" w:rsidRDefault="00BD6D38" w:rsidP="00D510E8">
            <w:pPr>
              <w:pStyle w:val="Paragraphedeliste"/>
              <w:numPr>
                <w:ilvl w:val="1"/>
                <w:numId w:val="30"/>
              </w:numPr>
              <w:spacing w:after="0"/>
              <w:contextualSpacing w:val="0"/>
              <w:rPr>
                <w:rFonts w:asciiTheme="majorBidi" w:hAnsiTheme="majorBidi" w:cstheme="majorBidi"/>
              </w:rPr>
            </w:pPr>
            <w:r w:rsidRPr="00A67F27">
              <w:rPr>
                <w:rFonts w:asciiTheme="majorBidi" w:hAnsiTheme="majorBidi" w:cstheme="majorBidi"/>
              </w:rPr>
              <w:t>Le S</w:t>
            </w:r>
            <w:r w:rsidR="009762E4" w:rsidRPr="00A67F27">
              <w:rPr>
                <w:rFonts w:asciiTheme="majorBidi" w:hAnsiTheme="majorBidi" w:cstheme="majorBidi"/>
              </w:rPr>
              <w:t>oumissionnaire ne devr</w:t>
            </w:r>
            <w:r w:rsidR="00E43360" w:rsidRPr="00A67F27">
              <w:rPr>
                <w:rFonts w:asciiTheme="majorBidi" w:hAnsiTheme="majorBidi" w:cstheme="majorBidi"/>
              </w:rPr>
              <w:t>a</w:t>
            </w:r>
            <w:r w:rsidR="009762E4" w:rsidRPr="00A67F27">
              <w:rPr>
                <w:rFonts w:asciiTheme="majorBidi" w:hAnsiTheme="majorBidi" w:cstheme="majorBidi"/>
              </w:rPr>
              <w:t xml:space="preserve"> pas faire l’objet d’une exclusion tempo</w:t>
            </w:r>
            <w:r w:rsidR="00D86EDA" w:rsidRPr="00A67F27">
              <w:rPr>
                <w:rFonts w:asciiTheme="majorBidi" w:hAnsiTheme="majorBidi" w:cstheme="majorBidi"/>
              </w:rPr>
              <w:t>r</w:t>
            </w:r>
            <w:r w:rsidR="009762E4" w:rsidRPr="00A67F27">
              <w:rPr>
                <w:rFonts w:asciiTheme="majorBidi" w:hAnsiTheme="majorBidi" w:cstheme="majorBidi"/>
              </w:rPr>
              <w:t xml:space="preserve">aire </w:t>
            </w:r>
            <w:r w:rsidR="00090BF9" w:rsidRPr="00A67F27">
              <w:rPr>
                <w:rFonts w:asciiTheme="majorBidi" w:hAnsiTheme="majorBidi" w:cstheme="majorBidi"/>
              </w:rPr>
              <w:t>par le Maître de l’</w:t>
            </w:r>
            <w:r w:rsidR="00262E56" w:rsidRPr="00A67F27">
              <w:rPr>
                <w:rFonts w:asciiTheme="majorBidi" w:hAnsiTheme="majorBidi" w:cstheme="majorBidi"/>
              </w:rPr>
              <w:t>O</w:t>
            </w:r>
            <w:r w:rsidR="00090BF9" w:rsidRPr="00A67F27">
              <w:rPr>
                <w:rFonts w:asciiTheme="majorBidi" w:hAnsiTheme="majorBidi" w:cstheme="majorBidi"/>
              </w:rPr>
              <w:t xml:space="preserve">uvrage </w:t>
            </w:r>
            <w:r w:rsidR="009762E4" w:rsidRPr="00A67F27">
              <w:rPr>
                <w:rFonts w:asciiTheme="majorBidi" w:hAnsiTheme="majorBidi" w:cstheme="majorBidi"/>
              </w:rPr>
              <w:t>au ti</w:t>
            </w:r>
            <w:r w:rsidR="0005607C" w:rsidRPr="00A67F27">
              <w:rPr>
                <w:rFonts w:asciiTheme="majorBidi" w:hAnsiTheme="majorBidi" w:cstheme="majorBidi"/>
                <w:sz w:val="16"/>
                <w:szCs w:val="16"/>
              </w:rPr>
              <w:t>t</w:t>
            </w:r>
            <w:r w:rsidR="009762E4" w:rsidRPr="00A67F27">
              <w:rPr>
                <w:rFonts w:asciiTheme="majorBidi" w:hAnsiTheme="majorBidi" w:cstheme="majorBidi"/>
              </w:rPr>
              <w:t xml:space="preserve">re </w:t>
            </w:r>
            <w:r w:rsidR="007D41E4" w:rsidRPr="00A67F27">
              <w:rPr>
                <w:rFonts w:asciiTheme="majorBidi" w:hAnsiTheme="majorBidi" w:cstheme="majorBidi"/>
              </w:rPr>
              <w:t>d’une</w:t>
            </w:r>
            <w:r w:rsidR="009762E4" w:rsidRPr="00A67F27">
              <w:rPr>
                <w:rFonts w:asciiTheme="majorBidi" w:hAnsiTheme="majorBidi" w:cstheme="majorBidi"/>
              </w:rPr>
              <w:t xml:space="preserve"> </w:t>
            </w:r>
            <w:r w:rsidR="00F24CFC" w:rsidRPr="00A67F27">
              <w:rPr>
                <w:rFonts w:asciiTheme="majorBidi" w:hAnsiTheme="majorBidi" w:cstheme="majorBidi"/>
              </w:rPr>
              <w:t>D</w:t>
            </w:r>
            <w:r w:rsidR="009762E4" w:rsidRPr="00A67F27">
              <w:rPr>
                <w:rFonts w:asciiTheme="majorBidi" w:hAnsiTheme="majorBidi" w:cstheme="majorBidi"/>
              </w:rPr>
              <w:t>éclaration de</w:t>
            </w:r>
            <w:r w:rsidR="00D86EDA" w:rsidRPr="00A67F27">
              <w:rPr>
                <w:rFonts w:asciiTheme="majorBidi" w:hAnsiTheme="majorBidi" w:cstheme="majorBidi"/>
              </w:rPr>
              <w:t xml:space="preserve"> </w:t>
            </w:r>
            <w:r w:rsidR="00EF6B71" w:rsidRPr="00A67F27">
              <w:rPr>
                <w:rFonts w:asciiTheme="majorBidi" w:hAnsiTheme="majorBidi" w:cstheme="majorBidi"/>
              </w:rPr>
              <w:t>garantie d’offre</w:t>
            </w:r>
            <w:r w:rsidR="00D86EDA" w:rsidRPr="00A67F27">
              <w:rPr>
                <w:rFonts w:asciiTheme="majorBidi" w:hAnsiTheme="majorBidi" w:cstheme="majorBidi"/>
              </w:rPr>
              <w:t>.</w:t>
            </w:r>
          </w:p>
          <w:p w14:paraId="33D4700C" w14:textId="7E46A09A" w:rsidR="00BC693B" w:rsidRPr="00A67F27" w:rsidRDefault="00B0222D" w:rsidP="00D510E8">
            <w:pPr>
              <w:pStyle w:val="Paragraphedeliste"/>
              <w:numPr>
                <w:ilvl w:val="1"/>
                <w:numId w:val="30"/>
              </w:numPr>
              <w:spacing w:after="0"/>
              <w:contextualSpacing w:val="0"/>
              <w:rPr>
                <w:rFonts w:asciiTheme="majorBidi" w:hAnsiTheme="majorBidi" w:cstheme="majorBidi"/>
                <w:szCs w:val="24"/>
              </w:rPr>
            </w:pPr>
            <w:r w:rsidRPr="00A67F27">
              <w:rPr>
                <w:rFonts w:asciiTheme="majorBidi" w:hAnsiTheme="majorBidi" w:cstheme="majorBidi"/>
              </w:rPr>
              <w:t>Les entreprises et les individus en provenance des pays énumérés à la Section V sont inéligible</w:t>
            </w:r>
            <w:r w:rsidR="009278E5" w:rsidRPr="00A67F27">
              <w:rPr>
                <w:rFonts w:asciiTheme="majorBidi" w:hAnsiTheme="majorBidi" w:cstheme="majorBidi"/>
              </w:rPr>
              <w:t>s à la condition que (a) la loi ou la réglementation du pays de l’Emprunteur interdise les relations commerciales avec le pays de l’entreprise, sous réserve qu’il soit établi à la satisfaction de la Banque que cette exclusion n’empêche pas le jeu efficace de la concurrence pour les Travaux objet du présent Appel d’offres</w:t>
            </w:r>
            <w:r w:rsidR="009B2302" w:rsidRPr="00A67F27">
              <w:rPr>
                <w:rFonts w:asciiTheme="majorBidi" w:hAnsiTheme="majorBidi" w:cstheme="majorBidi"/>
              </w:rPr>
              <w:t> ;</w:t>
            </w:r>
            <w:r w:rsidR="009278E5" w:rsidRPr="00A67F27">
              <w:rPr>
                <w:rFonts w:asciiTheme="majorBidi" w:hAnsiTheme="majorBidi" w:cstheme="majorBidi"/>
              </w:rPr>
              <w:t xml:space="preserve"> ou (b) si, en application d’une décision prise par le Conseil de Sécurité des Nations Unies au titre du Chapitre VII de la Charte des Nations Unies, le pays de l’Emprunteur interdit toute importation de fournitures en provenance du pays de l’entreprise ou tout paiement aux personnes physiques ou morales dudit pays.</w:t>
            </w:r>
            <w:r w:rsidR="009B2302" w:rsidRPr="00A67F27">
              <w:rPr>
                <w:rFonts w:asciiTheme="majorBidi" w:hAnsiTheme="majorBidi" w:cstheme="majorBidi"/>
              </w:rPr>
              <w:t xml:space="preserve"> </w:t>
            </w:r>
          </w:p>
          <w:p w14:paraId="3084825F" w14:textId="0EC01A35" w:rsidR="00C07783" w:rsidRPr="00A67F27" w:rsidRDefault="00A96E27" w:rsidP="00D510E8">
            <w:pPr>
              <w:pStyle w:val="Paragraphedeliste"/>
              <w:numPr>
                <w:ilvl w:val="1"/>
                <w:numId w:val="30"/>
              </w:numPr>
              <w:spacing w:after="0"/>
              <w:contextualSpacing w:val="0"/>
              <w:rPr>
                <w:rFonts w:asciiTheme="majorBidi" w:hAnsiTheme="majorBidi" w:cstheme="majorBidi"/>
              </w:rPr>
            </w:pPr>
            <w:r w:rsidRPr="00A67F27">
              <w:rPr>
                <w:rFonts w:asciiTheme="majorBidi" w:hAnsiTheme="majorBidi" w:cstheme="majorBidi"/>
              </w:rPr>
              <w:t xml:space="preserve">Le Soumissionnaire doit fournir tout document que le Maître de l’Ouvrage peut raisonnablement exiger, établissant à la satisfaction du Maître de l’Ouvrage qu’il continue d’être admis à concourir. </w:t>
            </w:r>
          </w:p>
        </w:tc>
      </w:tr>
      <w:tr w:rsidR="000A450A" w:rsidRPr="00A67F27" w14:paraId="7D1338D2" w14:textId="77777777" w:rsidTr="007318E7">
        <w:trPr>
          <w:trHeight w:val="20"/>
        </w:trPr>
        <w:tc>
          <w:tcPr>
            <w:tcW w:w="2250" w:type="dxa"/>
            <w:tcBorders>
              <w:top w:val="nil"/>
              <w:left w:val="nil"/>
              <w:bottom w:val="nil"/>
              <w:right w:val="nil"/>
            </w:tcBorders>
          </w:tcPr>
          <w:p w14:paraId="5F6DCA14" w14:textId="49AA2834" w:rsidR="000A450A" w:rsidRPr="00A67F27" w:rsidRDefault="000A450A" w:rsidP="007318E7">
            <w:pPr>
              <w:pStyle w:val="S1-Header2"/>
              <w:numPr>
                <w:ilvl w:val="0"/>
                <w:numId w:val="0"/>
              </w:numPr>
              <w:tabs>
                <w:tab w:val="num" w:pos="432"/>
              </w:tabs>
              <w:spacing w:after="0"/>
              <w:ind w:left="432" w:hanging="432"/>
              <w:rPr>
                <w:rFonts w:asciiTheme="majorBidi" w:hAnsiTheme="majorBidi" w:cstheme="majorBidi"/>
                <w:lang w:val="fr-FR"/>
              </w:rPr>
            </w:pPr>
            <w:bookmarkStart w:id="65" w:name="_Toc438532563"/>
            <w:bookmarkStart w:id="66" w:name="_Toc438532564"/>
            <w:bookmarkStart w:id="67" w:name="_Toc438532565"/>
            <w:bookmarkStart w:id="68" w:name="_Toc438532566"/>
            <w:bookmarkStart w:id="69" w:name="_Toc438532567"/>
            <w:bookmarkStart w:id="70" w:name="_Toc438438824"/>
            <w:bookmarkStart w:id="71" w:name="_Toc438532568"/>
            <w:bookmarkStart w:id="72" w:name="_Toc438733968"/>
            <w:bookmarkStart w:id="73" w:name="_Toc438907009"/>
            <w:bookmarkStart w:id="74" w:name="_Toc438907208"/>
            <w:bookmarkStart w:id="75" w:name="_Toc461953561"/>
            <w:bookmarkStart w:id="76" w:name="_Toc156373288"/>
            <w:bookmarkStart w:id="77" w:name="_Toc483210574"/>
            <w:bookmarkStart w:id="78" w:name="_Toc487641773"/>
            <w:bookmarkEnd w:id="65"/>
            <w:bookmarkEnd w:id="66"/>
            <w:bookmarkEnd w:id="67"/>
            <w:bookmarkEnd w:id="68"/>
            <w:bookmarkEnd w:id="69"/>
            <w:r w:rsidRPr="00A67F27">
              <w:rPr>
                <w:lang w:val="fr-FR"/>
              </w:rPr>
              <w:lastRenderedPageBreak/>
              <w:t>5.</w:t>
            </w:r>
            <w:r w:rsidRPr="00A67F27">
              <w:rPr>
                <w:lang w:val="fr-FR"/>
              </w:rPr>
              <w:tab/>
              <w:t>Matériaux, matériels et Services répondant aux critères de provenance</w:t>
            </w:r>
            <w:bookmarkEnd w:id="70"/>
            <w:bookmarkEnd w:id="71"/>
            <w:bookmarkEnd w:id="72"/>
            <w:bookmarkEnd w:id="73"/>
            <w:bookmarkEnd w:id="74"/>
            <w:bookmarkEnd w:id="75"/>
            <w:bookmarkEnd w:id="76"/>
            <w:bookmarkEnd w:id="77"/>
            <w:bookmarkEnd w:id="78"/>
          </w:p>
        </w:tc>
        <w:tc>
          <w:tcPr>
            <w:tcW w:w="7380" w:type="dxa"/>
            <w:tcBorders>
              <w:top w:val="nil"/>
              <w:left w:val="nil"/>
              <w:bottom w:val="nil"/>
              <w:right w:val="nil"/>
            </w:tcBorders>
          </w:tcPr>
          <w:p w14:paraId="11EE467F" w14:textId="49CBCDCA" w:rsidR="000A450A" w:rsidRPr="00A67F27" w:rsidRDefault="00E761FF" w:rsidP="00D510E8">
            <w:pPr>
              <w:pStyle w:val="Paragraphedeliste"/>
              <w:numPr>
                <w:ilvl w:val="1"/>
                <w:numId w:val="31"/>
              </w:numPr>
              <w:tabs>
                <w:tab w:val="left" w:pos="576"/>
              </w:tabs>
              <w:spacing w:after="0"/>
              <w:rPr>
                <w:rFonts w:asciiTheme="majorBidi" w:hAnsiTheme="majorBidi" w:cstheme="majorBidi"/>
              </w:rPr>
            </w:pPr>
            <w:r w:rsidRPr="00A67F27">
              <w:rPr>
                <w:rFonts w:asciiTheme="majorBidi" w:hAnsiTheme="majorBidi" w:cstheme="majorBidi"/>
              </w:rPr>
              <w:t>Sous réserve des dispositions figurant à la Section V</w:t>
            </w:r>
            <w:r w:rsidR="00114B52" w:rsidRPr="00A67F27">
              <w:rPr>
                <w:rFonts w:asciiTheme="majorBidi" w:hAnsiTheme="majorBidi" w:cstheme="majorBidi"/>
              </w:rPr>
              <w:t>, Pays éligibles</w:t>
            </w:r>
            <w:r w:rsidRPr="00A67F27">
              <w:rPr>
                <w:rFonts w:asciiTheme="majorBidi" w:hAnsiTheme="majorBidi" w:cstheme="majorBidi"/>
              </w:rPr>
              <w:t>, t</w:t>
            </w:r>
            <w:r w:rsidR="000A450A" w:rsidRPr="00A67F27">
              <w:rPr>
                <w:rFonts w:asciiTheme="majorBidi" w:hAnsiTheme="majorBidi" w:cstheme="majorBidi"/>
              </w:rPr>
              <w:t>ous les matériaux, matériels, équipements et services faisant l’objet du présent marché et financés par la Banque peuvent provenir de tout pays et les dépenses pour les besoins du Marché seront limitées à de tels matériaux, matériels, équipements et services. Les soumissionnaires peuvent se voir demander par le Maître de l’Ouvrage de justifier la provenance de</w:t>
            </w:r>
            <w:r w:rsidR="00BD6D38" w:rsidRPr="00A67F27">
              <w:rPr>
                <w:rFonts w:asciiTheme="majorBidi" w:hAnsiTheme="majorBidi" w:cstheme="majorBidi"/>
              </w:rPr>
              <w:t xml:space="preserve"> ce</w:t>
            </w:r>
            <w:r w:rsidR="000A450A" w:rsidRPr="00A67F27">
              <w:rPr>
                <w:rFonts w:asciiTheme="majorBidi" w:hAnsiTheme="majorBidi" w:cstheme="majorBidi"/>
              </w:rPr>
              <w:t>s matériaux, matériels, équipements et services.</w:t>
            </w:r>
          </w:p>
        </w:tc>
      </w:tr>
      <w:tr w:rsidR="005D6945" w:rsidRPr="00A67F27" w14:paraId="05FD2CB4" w14:textId="77777777" w:rsidTr="007318E7">
        <w:trPr>
          <w:trHeight w:val="20"/>
        </w:trPr>
        <w:tc>
          <w:tcPr>
            <w:tcW w:w="9630" w:type="dxa"/>
            <w:gridSpan w:val="2"/>
            <w:tcBorders>
              <w:top w:val="nil"/>
              <w:left w:val="nil"/>
              <w:bottom w:val="nil"/>
              <w:right w:val="nil"/>
            </w:tcBorders>
          </w:tcPr>
          <w:p w14:paraId="3E921A06" w14:textId="25A58209" w:rsidR="005D6945" w:rsidRPr="00A67F27" w:rsidRDefault="005D6945" w:rsidP="007318E7">
            <w:pPr>
              <w:pStyle w:val="StyleStyleS1-Header1TimesNewRoman14pt1"/>
              <w:spacing w:before="0" w:after="0"/>
              <w:rPr>
                <w:rFonts w:asciiTheme="majorBidi" w:hAnsiTheme="majorBidi" w:cstheme="majorBidi"/>
                <w:lang w:val="fr-FR"/>
              </w:rPr>
            </w:pPr>
            <w:bookmarkStart w:id="79" w:name="_Toc438532569"/>
            <w:bookmarkStart w:id="80" w:name="_Toc438532570"/>
            <w:bookmarkStart w:id="81" w:name="_Toc438532571"/>
            <w:bookmarkStart w:id="82" w:name="_Toc438532572"/>
            <w:bookmarkStart w:id="83" w:name="_Toc438438825"/>
            <w:bookmarkStart w:id="84" w:name="_Toc438532573"/>
            <w:bookmarkStart w:id="85" w:name="_Toc438733969"/>
            <w:bookmarkStart w:id="86" w:name="_Toc438962051"/>
            <w:bookmarkStart w:id="87" w:name="_Toc461939617"/>
            <w:bookmarkStart w:id="88" w:name="_Toc483210575"/>
            <w:bookmarkStart w:id="89" w:name="_Toc487641774"/>
            <w:bookmarkEnd w:id="79"/>
            <w:bookmarkEnd w:id="80"/>
            <w:bookmarkEnd w:id="81"/>
            <w:bookmarkEnd w:id="82"/>
            <w:r w:rsidRPr="00A67F27">
              <w:rPr>
                <w:lang w:val="fr-FR"/>
              </w:rPr>
              <w:t xml:space="preserve">B. </w:t>
            </w:r>
            <w:r w:rsidRPr="00A67F27">
              <w:rPr>
                <w:lang w:val="fr-FR"/>
              </w:rPr>
              <w:tab/>
              <w:t xml:space="preserve">Contenu du </w:t>
            </w:r>
            <w:bookmarkEnd w:id="83"/>
            <w:bookmarkEnd w:id="84"/>
            <w:bookmarkEnd w:id="85"/>
            <w:bookmarkEnd w:id="86"/>
            <w:bookmarkEnd w:id="87"/>
            <w:r w:rsidRPr="00A67F27">
              <w:rPr>
                <w:lang w:val="fr-FR"/>
              </w:rPr>
              <w:t>Dossier d’Appel d’offres</w:t>
            </w:r>
            <w:bookmarkEnd w:id="88"/>
            <w:bookmarkEnd w:id="89"/>
          </w:p>
        </w:tc>
      </w:tr>
      <w:tr w:rsidR="005D6945" w:rsidRPr="00A67F27" w14:paraId="4F27DF4D" w14:textId="77777777" w:rsidTr="007318E7">
        <w:trPr>
          <w:trHeight w:val="20"/>
        </w:trPr>
        <w:tc>
          <w:tcPr>
            <w:tcW w:w="2250" w:type="dxa"/>
            <w:vMerge w:val="restart"/>
            <w:tcBorders>
              <w:top w:val="nil"/>
              <w:left w:val="nil"/>
              <w:right w:val="nil"/>
            </w:tcBorders>
          </w:tcPr>
          <w:p w14:paraId="5CA8A4AB" w14:textId="7B02D6AB" w:rsidR="005D6945" w:rsidRPr="00A67F27" w:rsidRDefault="005D6945" w:rsidP="007318E7">
            <w:pPr>
              <w:pStyle w:val="S1-Header2"/>
              <w:numPr>
                <w:ilvl w:val="0"/>
                <w:numId w:val="0"/>
              </w:numPr>
              <w:tabs>
                <w:tab w:val="num" w:pos="432"/>
              </w:tabs>
              <w:spacing w:after="0"/>
              <w:ind w:left="432" w:hanging="432"/>
              <w:rPr>
                <w:rFonts w:asciiTheme="majorBidi" w:hAnsiTheme="majorBidi" w:cstheme="majorBidi"/>
                <w:lang w:val="fr-FR"/>
              </w:rPr>
            </w:pPr>
            <w:bookmarkStart w:id="90" w:name="_Toc438438826"/>
            <w:bookmarkStart w:id="91" w:name="_Toc438532574"/>
            <w:bookmarkStart w:id="92" w:name="_Toc438733970"/>
            <w:bookmarkStart w:id="93" w:name="_Toc438907010"/>
            <w:bookmarkStart w:id="94" w:name="_Toc438907209"/>
            <w:bookmarkStart w:id="95" w:name="_Toc156373289"/>
            <w:bookmarkStart w:id="96" w:name="_Toc483210576"/>
            <w:bookmarkStart w:id="97" w:name="_Toc487641775"/>
            <w:r w:rsidRPr="00A67F27">
              <w:rPr>
                <w:lang w:val="fr-FR"/>
              </w:rPr>
              <w:t>6.</w:t>
            </w:r>
            <w:r w:rsidRPr="00A67F27">
              <w:rPr>
                <w:lang w:val="fr-FR"/>
              </w:rPr>
              <w:tab/>
              <w:t xml:space="preserve">Sections du </w:t>
            </w:r>
            <w:bookmarkEnd w:id="90"/>
            <w:bookmarkEnd w:id="91"/>
            <w:bookmarkEnd w:id="92"/>
            <w:bookmarkEnd w:id="93"/>
            <w:bookmarkEnd w:id="94"/>
            <w:bookmarkEnd w:id="95"/>
            <w:r w:rsidRPr="00A67F27">
              <w:rPr>
                <w:lang w:val="fr-FR"/>
              </w:rPr>
              <w:t>Dossier d’Appel d’Offres</w:t>
            </w:r>
            <w:bookmarkEnd w:id="96"/>
            <w:bookmarkEnd w:id="97"/>
          </w:p>
        </w:tc>
        <w:tc>
          <w:tcPr>
            <w:tcW w:w="7380" w:type="dxa"/>
            <w:tcBorders>
              <w:top w:val="nil"/>
              <w:left w:val="nil"/>
              <w:bottom w:val="nil"/>
              <w:right w:val="nil"/>
            </w:tcBorders>
          </w:tcPr>
          <w:p w14:paraId="4CC22590" w14:textId="77777777" w:rsidR="005D6945" w:rsidRPr="00A67F27" w:rsidRDefault="005D6945" w:rsidP="007318E7">
            <w:pPr>
              <w:numPr>
                <w:ilvl w:val="1"/>
                <w:numId w:val="16"/>
              </w:numPr>
              <w:tabs>
                <w:tab w:val="clear" w:pos="360"/>
              </w:tabs>
              <w:spacing w:after="0"/>
              <w:ind w:left="612" w:hanging="612"/>
              <w:rPr>
                <w:rFonts w:asciiTheme="majorBidi" w:hAnsiTheme="majorBidi" w:cstheme="majorBidi"/>
              </w:rPr>
            </w:pPr>
            <w:r w:rsidRPr="00A67F27">
              <w:rPr>
                <w:rFonts w:asciiTheme="majorBidi" w:hAnsiTheme="majorBidi" w:cstheme="majorBidi"/>
              </w:rPr>
              <w:t xml:space="preserve">Le Dossier d’Appel d’Offres comprend toutes les Sections dont la liste figure ci-après. Il doit être interprété à la lumière des additifs issus conformément à l’article 8 des IS. </w:t>
            </w:r>
          </w:p>
        </w:tc>
      </w:tr>
      <w:tr w:rsidR="005D6945" w:rsidRPr="00A67F27" w14:paraId="7D2AD847" w14:textId="77777777" w:rsidTr="007318E7">
        <w:trPr>
          <w:trHeight w:val="20"/>
        </w:trPr>
        <w:tc>
          <w:tcPr>
            <w:tcW w:w="2250" w:type="dxa"/>
            <w:vMerge/>
            <w:tcBorders>
              <w:left w:val="nil"/>
              <w:bottom w:val="nil"/>
              <w:right w:val="nil"/>
            </w:tcBorders>
          </w:tcPr>
          <w:p w14:paraId="47AE6C95" w14:textId="77777777" w:rsidR="005D6945" w:rsidRPr="00A67F27" w:rsidRDefault="005D6945" w:rsidP="007318E7">
            <w:pPr>
              <w:spacing w:after="0"/>
              <w:rPr>
                <w:rFonts w:asciiTheme="majorBidi" w:hAnsiTheme="majorBidi" w:cstheme="majorBidi"/>
              </w:rPr>
            </w:pPr>
          </w:p>
        </w:tc>
        <w:tc>
          <w:tcPr>
            <w:tcW w:w="7380" w:type="dxa"/>
            <w:tcBorders>
              <w:top w:val="nil"/>
              <w:left w:val="nil"/>
              <w:bottom w:val="nil"/>
              <w:right w:val="nil"/>
            </w:tcBorders>
          </w:tcPr>
          <w:p w14:paraId="09886148" w14:textId="7410803B" w:rsidR="005D6945" w:rsidRPr="00A67F27" w:rsidRDefault="005D6945" w:rsidP="007318E7">
            <w:pPr>
              <w:tabs>
                <w:tab w:val="left" w:pos="1935"/>
                <w:tab w:val="left" w:pos="2502"/>
              </w:tabs>
              <w:spacing w:after="0"/>
              <w:ind w:left="432" w:firstLine="90"/>
              <w:rPr>
                <w:rFonts w:asciiTheme="majorBidi" w:hAnsiTheme="majorBidi" w:cstheme="majorBidi"/>
                <w:b/>
              </w:rPr>
            </w:pPr>
            <w:r w:rsidRPr="00A67F27">
              <w:rPr>
                <w:rFonts w:asciiTheme="majorBidi" w:hAnsiTheme="majorBidi" w:cstheme="majorBidi"/>
                <w:b/>
              </w:rPr>
              <w:t>PARTIE 1 :</w:t>
            </w:r>
            <w:r w:rsidRPr="00A67F27">
              <w:rPr>
                <w:rFonts w:asciiTheme="majorBidi" w:hAnsiTheme="majorBidi" w:cstheme="majorBidi"/>
                <w:b/>
              </w:rPr>
              <w:tab/>
              <w:t>Procédures d’appel d’offres</w:t>
            </w:r>
          </w:p>
          <w:p w14:paraId="5008AFC4" w14:textId="77777777" w:rsidR="005D6945" w:rsidRPr="00A67F27" w:rsidRDefault="005D6945" w:rsidP="007318E7">
            <w:pPr>
              <w:tabs>
                <w:tab w:val="left" w:pos="1602"/>
                <w:tab w:val="left" w:pos="2502"/>
              </w:tabs>
              <w:spacing w:after="0"/>
              <w:ind w:left="2927" w:hanging="992"/>
              <w:rPr>
                <w:rFonts w:asciiTheme="majorBidi" w:hAnsiTheme="majorBidi" w:cstheme="majorBidi"/>
              </w:rPr>
            </w:pPr>
            <w:r w:rsidRPr="00A67F27">
              <w:rPr>
                <w:rFonts w:asciiTheme="majorBidi" w:hAnsiTheme="majorBidi" w:cstheme="majorBidi"/>
              </w:rPr>
              <w:t>Section I. Instructions aux soumissionnaires (IS)</w:t>
            </w:r>
          </w:p>
          <w:p w14:paraId="784BDD46" w14:textId="77777777" w:rsidR="005D6945" w:rsidRPr="00A67F27" w:rsidRDefault="005D6945" w:rsidP="007318E7">
            <w:pPr>
              <w:spacing w:after="0"/>
              <w:ind w:left="2927" w:hanging="992"/>
              <w:rPr>
                <w:rFonts w:asciiTheme="majorBidi" w:hAnsiTheme="majorBidi" w:cstheme="majorBidi"/>
              </w:rPr>
            </w:pPr>
            <w:r w:rsidRPr="00A67F27">
              <w:rPr>
                <w:rFonts w:asciiTheme="majorBidi" w:hAnsiTheme="majorBidi" w:cstheme="majorBidi"/>
              </w:rPr>
              <w:t xml:space="preserve">Section II. Données particulières de l’appel d’offres </w:t>
            </w:r>
            <w:r w:rsidRPr="00A67F27">
              <w:rPr>
                <w:rFonts w:asciiTheme="majorBidi" w:hAnsiTheme="majorBidi" w:cstheme="majorBidi"/>
              </w:rPr>
              <w:lastRenderedPageBreak/>
              <w:t>(DPAO)</w:t>
            </w:r>
          </w:p>
          <w:p w14:paraId="1174B5ED" w14:textId="77777777" w:rsidR="005D6945" w:rsidRPr="00A67F27" w:rsidRDefault="005D6945" w:rsidP="007318E7">
            <w:pPr>
              <w:tabs>
                <w:tab w:val="left" w:pos="1602"/>
                <w:tab w:val="left" w:pos="2502"/>
              </w:tabs>
              <w:spacing w:after="0"/>
              <w:ind w:left="2927" w:hanging="992"/>
              <w:rPr>
                <w:rFonts w:asciiTheme="majorBidi" w:hAnsiTheme="majorBidi" w:cstheme="majorBidi"/>
              </w:rPr>
            </w:pPr>
            <w:r w:rsidRPr="00A67F27">
              <w:rPr>
                <w:rFonts w:asciiTheme="majorBidi" w:hAnsiTheme="majorBidi" w:cstheme="majorBidi"/>
              </w:rPr>
              <w:t>Section III. Critères d’évaluation et de qualification</w:t>
            </w:r>
          </w:p>
          <w:p w14:paraId="4574035D" w14:textId="77777777" w:rsidR="005D6945" w:rsidRPr="00A67F27" w:rsidRDefault="005D6945" w:rsidP="007318E7">
            <w:pPr>
              <w:tabs>
                <w:tab w:val="left" w:pos="1602"/>
                <w:tab w:val="left" w:pos="2502"/>
              </w:tabs>
              <w:spacing w:after="0"/>
              <w:ind w:left="2927" w:hanging="992"/>
              <w:rPr>
                <w:rFonts w:asciiTheme="majorBidi" w:hAnsiTheme="majorBidi" w:cstheme="majorBidi"/>
              </w:rPr>
            </w:pPr>
            <w:r w:rsidRPr="00A67F27">
              <w:rPr>
                <w:rFonts w:asciiTheme="majorBidi" w:hAnsiTheme="majorBidi" w:cstheme="majorBidi"/>
              </w:rPr>
              <w:t>Section IV. Formulaires de soumission</w:t>
            </w:r>
          </w:p>
          <w:p w14:paraId="0EB1DE74" w14:textId="2E714948" w:rsidR="005D6945" w:rsidRPr="00A67F27" w:rsidRDefault="005D6945" w:rsidP="007318E7">
            <w:pPr>
              <w:tabs>
                <w:tab w:val="left" w:pos="1602"/>
                <w:tab w:val="left" w:pos="2502"/>
              </w:tabs>
              <w:spacing w:after="0"/>
              <w:ind w:left="2927" w:hanging="992"/>
              <w:rPr>
                <w:rFonts w:asciiTheme="majorBidi" w:hAnsiTheme="majorBidi" w:cstheme="majorBidi"/>
              </w:rPr>
            </w:pPr>
            <w:r w:rsidRPr="00A67F27">
              <w:rPr>
                <w:rFonts w:asciiTheme="majorBidi" w:hAnsiTheme="majorBidi" w:cstheme="majorBidi"/>
              </w:rPr>
              <w:t>Section V. Pays éligibles</w:t>
            </w:r>
          </w:p>
          <w:p w14:paraId="58AFCF8C" w14:textId="3A6AE6BE" w:rsidR="005D6945" w:rsidRPr="00A67F27" w:rsidRDefault="005D6945" w:rsidP="007318E7">
            <w:pPr>
              <w:tabs>
                <w:tab w:val="left" w:pos="1602"/>
                <w:tab w:val="left" w:pos="2502"/>
              </w:tabs>
              <w:spacing w:after="0"/>
              <w:ind w:left="2927" w:hanging="992"/>
              <w:rPr>
                <w:rFonts w:asciiTheme="majorBidi" w:hAnsiTheme="majorBidi" w:cstheme="majorBidi"/>
              </w:rPr>
            </w:pPr>
            <w:r w:rsidRPr="00A67F27">
              <w:rPr>
                <w:rFonts w:asciiTheme="majorBidi" w:hAnsiTheme="majorBidi" w:cstheme="majorBidi"/>
              </w:rPr>
              <w:t>Section VI. Règles de la Banque en matière de</w:t>
            </w:r>
            <w:r w:rsidRPr="00A67F27">
              <w:rPr>
                <w:rFonts w:asciiTheme="majorBidi" w:hAnsiTheme="majorBidi" w:cstheme="majorBidi"/>
                <w:b/>
              </w:rPr>
              <w:t xml:space="preserve"> </w:t>
            </w:r>
            <w:r w:rsidRPr="00A67F27">
              <w:rPr>
                <w:rFonts w:asciiTheme="majorBidi" w:hAnsiTheme="majorBidi" w:cstheme="majorBidi"/>
              </w:rPr>
              <w:t>Fraude et Corruption</w:t>
            </w:r>
          </w:p>
          <w:p w14:paraId="6BBA0BAB" w14:textId="7F0B5E9D" w:rsidR="005D6945" w:rsidRPr="00A67F27" w:rsidRDefault="005D6945" w:rsidP="007318E7">
            <w:pPr>
              <w:numPr>
                <w:ilvl w:val="12"/>
                <w:numId w:val="0"/>
              </w:numPr>
              <w:tabs>
                <w:tab w:val="left" w:pos="1935"/>
                <w:tab w:val="left" w:pos="2502"/>
              </w:tabs>
              <w:spacing w:after="0"/>
              <w:ind w:left="432" w:firstLine="90"/>
              <w:rPr>
                <w:rFonts w:asciiTheme="majorBidi" w:hAnsiTheme="majorBidi" w:cstheme="majorBidi"/>
                <w:b/>
              </w:rPr>
            </w:pPr>
            <w:r w:rsidRPr="00A67F27">
              <w:rPr>
                <w:rFonts w:asciiTheme="majorBidi" w:hAnsiTheme="majorBidi" w:cstheme="majorBidi"/>
                <w:b/>
              </w:rPr>
              <w:t>PARTIE 2 :</w:t>
            </w:r>
            <w:r w:rsidRPr="00A67F27">
              <w:rPr>
                <w:rFonts w:asciiTheme="majorBidi" w:hAnsiTheme="majorBidi" w:cstheme="majorBidi"/>
                <w:b/>
              </w:rPr>
              <w:tab/>
              <w:t>Spécifications des Travaux</w:t>
            </w:r>
          </w:p>
          <w:p w14:paraId="5B5E88D8" w14:textId="77777777" w:rsidR="005D6945" w:rsidRPr="00A67F27" w:rsidRDefault="005D6945" w:rsidP="007318E7">
            <w:pPr>
              <w:tabs>
                <w:tab w:val="left" w:pos="1602"/>
                <w:tab w:val="left" w:pos="2502"/>
              </w:tabs>
              <w:spacing w:after="0"/>
              <w:ind w:left="2927" w:hanging="992"/>
              <w:rPr>
                <w:rFonts w:asciiTheme="majorBidi" w:hAnsiTheme="majorBidi" w:cstheme="majorBidi"/>
              </w:rPr>
            </w:pPr>
            <w:r w:rsidRPr="00A67F27">
              <w:rPr>
                <w:rFonts w:asciiTheme="majorBidi" w:hAnsiTheme="majorBidi" w:cstheme="majorBidi"/>
              </w:rPr>
              <w:t>Section VII. Spécifications techniques et plans</w:t>
            </w:r>
          </w:p>
          <w:p w14:paraId="54B4ABB2" w14:textId="29EE6C87" w:rsidR="005D6945" w:rsidRPr="00A67F27" w:rsidRDefault="005D6945" w:rsidP="007318E7">
            <w:pPr>
              <w:numPr>
                <w:ilvl w:val="12"/>
                <w:numId w:val="0"/>
              </w:numPr>
              <w:tabs>
                <w:tab w:val="left" w:pos="1940"/>
                <w:tab w:val="left" w:pos="2502"/>
              </w:tabs>
              <w:spacing w:after="0"/>
              <w:ind w:left="432" w:firstLine="90"/>
              <w:rPr>
                <w:rFonts w:asciiTheme="majorBidi" w:hAnsiTheme="majorBidi" w:cstheme="majorBidi"/>
                <w:b/>
              </w:rPr>
            </w:pPr>
            <w:r w:rsidRPr="00A67F27">
              <w:rPr>
                <w:rFonts w:asciiTheme="majorBidi" w:hAnsiTheme="majorBidi" w:cstheme="majorBidi"/>
                <w:b/>
              </w:rPr>
              <w:t xml:space="preserve">PARTIE 3 : </w:t>
            </w:r>
            <w:r w:rsidRPr="00A67F27">
              <w:rPr>
                <w:rFonts w:asciiTheme="majorBidi" w:hAnsiTheme="majorBidi" w:cstheme="majorBidi"/>
                <w:b/>
              </w:rPr>
              <w:tab/>
              <w:t>Marché</w:t>
            </w:r>
          </w:p>
          <w:p w14:paraId="322BB4B7" w14:textId="77777777" w:rsidR="005D6945" w:rsidRPr="00A67F27" w:rsidRDefault="005D6945" w:rsidP="007318E7">
            <w:pPr>
              <w:spacing w:after="0"/>
              <w:ind w:left="2927" w:hanging="992"/>
              <w:rPr>
                <w:rFonts w:asciiTheme="majorBidi" w:hAnsiTheme="majorBidi" w:cstheme="majorBidi"/>
              </w:rPr>
            </w:pPr>
            <w:r w:rsidRPr="00A67F27">
              <w:rPr>
                <w:rFonts w:asciiTheme="majorBidi" w:hAnsiTheme="majorBidi" w:cstheme="majorBidi"/>
              </w:rPr>
              <w:t>Section VIII. Cahier des Clauses administratives générales (CCAG)</w:t>
            </w:r>
          </w:p>
          <w:p w14:paraId="51C09D48" w14:textId="77777777" w:rsidR="005D6945" w:rsidRPr="00A67F27" w:rsidRDefault="005D6945" w:rsidP="007318E7">
            <w:pPr>
              <w:spacing w:after="0"/>
              <w:ind w:left="2927" w:hanging="992"/>
              <w:rPr>
                <w:rFonts w:asciiTheme="majorBidi" w:hAnsiTheme="majorBidi" w:cstheme="majorBidi"/>
              </w:rPr>
            </w:pPr>
            <w:r w:rsidRPr="00A67F27">
              <w:rPr>
                <w:rFonts w:asciiTheme="majorBidi" w:hAnsiTheme="majorBidi" w:cstheme="majorBidi"/>
              </w:rPr>
              <w:t>Section IX. Cahier des Clauses administratives particulières (CCAP)</w:t>
            </w:r>
          </w:p>
          <w:p w14:paraId="655EB3F6" w14:textId="464674CA" w:rsidR="005D6945" w:rsidRPr="00A67F27" w:rsidRDefault="005D6945" w:rsidP="007318E7">
            <w:pPr>
              <w:spacing w:after="0"/>
              <w:ind w:left="2927" w:hanging="992"/>
              <w:rPr>
                <w:rFonts w:asciiTheme="majorBidi" w:hAnsiTheme="majorBidi" w:cstheme="majorBidi"/>
              </w:rPr>
            </w:pPr>
            <w:r w:rsidRPr="00A67F27">
              <w:rPr>
                <w:rFonts w:asciiTheme="majorBidi" w:hAnsiTheme="majorBidi" w:cstheme="majorBidi"/>
              </w:rPr>
              <w:t>Section X. Formulaires du Marché</w:t>
            </w:r>
          </w:p>
        </w:tc>
      </w:tr>
      <w:tr w:rsidR="000A450A" w:rsidRPr="00A67F27" w14:paraId="0760912E" w14:textId="77777777" w:rsidTr="007318E7">
        <w:trPr>
          <w:trHeight w:val="20"/>
        </w:trPr>
        <w:tc>
          <w:tcPr>
            <w:tcW w:w="2250" w:type="dxa"/>
            <w:tcBorders>
              <w:top w:val="nil"/>
              <w:left w:val="nil"/>
              <w:bottom w:val="nil"/>
              <w:right w:val="nil"/>
            </w:tcBorders>
          </w:tcPr>
          <w:p w14:paraId="6FB81BEB" w14:textId="77777777" w:rsidR="000A450A" w:rsidRPr="00A67F27" w:rsidRDefault="000A450A" w:rsidP="007318E7">
            <w:pPr>
              <w:spacing w:after="0"/>
              <w:ind w:left="432" w:hanging="432"/>
              <w:jc w:val="left"/>
              <w:rPr>
                <w:rFonts w:asciiTheme="majorBidi" w:hAnsiTheme="majorBidi" w:cstheme="majorBidi"/>
              </w:rPr>
            </w:pPr>
          </w:p>
        </w:tc>
        <w:tc>
          <w:tcPr>
            <w:tcW w:w="7380" w:type="dxa"/>
            <w:tcBorders>
              <w:top w:val="nil"/>
              <w:left w:val="nil"/>
              <w:bottom w:val="nil"/>
              <w:right w:val="nil"/>
            </w:tcBorders>
          </w:tcPr>
          <w:p w14:paraId="0513F797" w14:textId="145186DF" w:rsidR="00BC693B" w:rsidRPr="00A67F27" w:rsidRDefault="009B2D42" w:rsidP="007318E7">
            <w:pPr>
              <w:pStyle w:val="Paragraphedeliste"/>
              <w:numPr>
                <w:ilvl w:val="1"/>
                <w:numId w:val="16"/>
              </w:numPr>
              <w:tabs>
                <w:tab w:val="clear" w:pos="360"/>
                <w:tab w:val="left" w:pos="162"/>
                <w:tab w:val="left" w:pos="612"/>
                <w:tab w:val="num" w:pos="657"/>
              </w:tabs>
              <w:spacing w:after="0"/>
              <w:ind w:left="658" w:hanging="567"/>
              <w:contextualSpacing w:val="0"/>
              <w:rPr>
                <w:rFonts w:asciiTheme="majorBidi" w:hAnsiTheme="majorBidi" w:cstheme="majorBidi"/>
                <w:b/>
                <w:sz w:val="28"/>
              </w:rPr>
            </w:pPr>
            <w:r w:rsidRPr="00A67F27">
              <w:rPr>
                <w:rFonts w:asciiTheme="majorBidi" w:hAnsiTheme="majorBidi" w:cstheme="majorBidi"/>
              </w:rPr>
              <w:t xml:space="preserve">L’Avis d’Appel d’Offres </w:t>
            </w:r>
            <w:r w:rsidR="00A96E27" w:rsidRPr="00A67F27">
              <w:rPr>
                <w:rFonts w:asciiTheme="majorBidi" w:hAnsiTheme="majorBidi" w:cstheme="majorBidi"/>
              </w:rPr>
              <w:t xml:space="preserve">publié par le Maître de l’Ouvrage </w:t>
            </w:r>
            <w:r w:rsidRPr="00A67F27">
              <w:rPr>
                <w:rFonts w:asciiTheme="majorBidi" w:hAnsiTheme="majorBidi" w:cstheme="majorBidi"/>
              </w:rPr>
              <w:t xml:space="preserve">ne fait pas partie </w:t>
            </w:r>
            <w:r w:rsidR="00A96E27" w:rsidRPr="00A67F27">
              <w:rPr>
                <w:rFonts w:asciiTheme="majorBidi" w:hAnsiTheme="majorBidi" w:cstheme="majorBidi"/>
              </w:rPr>
              <w:t>du Dossier d’appel d’offres</w:t>
            </w:r>
            <w:r w:rsidRPr="00A67F27">
              <w:rPr>
                <w:rFonts w:asciiTheme="majorBidi" w:hAnsiTheme="majorBidi" w:cstheme="majorBidi"/>
              </w:rPr>
              <w:t>.</w:t>
            </w:r>
          </w:p>
          <w:p w14:paraId="3E3C7A01" w14:textId="77777777" w:rsidR="00F47D6D" w:rsidRPr="00A67F27" w:rsidRDefault="000A450A" w:rsidP="007318E7">
            <w:pPr>
              <w:pStyle w:val="Paragraphedeliste"/>
              <w:numPr>
                <w:ilvl w:val="1"/>
                <w:numId w:val="16"/>
              </w:numPr>
              <w:tabs>
                <w:tab w:val="clear" w:pos="360"/>
                <w:tab w:val="num" w:pos="657"/>
              </w:tabs>
              <w:spacing w:after="0"/>
              <w:ind w:left="658" w:hanging="567"/>
              <w:contextualSpacing w:val="0"/>
              <w:rPr>
                <w:rFonts w:asciiTheme="majorBidi" w:hAnsiTheme="majorBidi" w:cstheme="majorBidi"/>
              </w:rPr>
            </w:pPr>
            <w:r w:rsidRPr="00A67F27">
              <w:rPr>
                <w:rFonts w:asciiTheme="majorBidi" w:hAnsiTheme="majorBidi" w:cstheme="majorBidi"/>
              </w:rPr>
              <w:t>Le Maître de l’Ouvrage ne peut être</w:t>
            </w:r>
            <w:r w:rsidR="00AF74F7" w:rsidRPr="00A67F27">
              <w:rPr>
                <w:rFonts w:asciiTheme="majorBidi" w:hAnsiTheme="majorBidi" w:cstheme="majorBidi"/>
              </w:rPr>
              <w:t xml:space="preserve"> tenu responsable </w:t>
            </w:r>
            <w:r w:rsidR="005F6646" w:rsidRPr="00A67F27">
              <w:rPr>
                <w:rFonts w:asciiTheme="majorBidi" w:hAnsiTheme="majorBidi" w:cstheme="majorBidi"/>
              </w:rPr>
              <w:t xml:space="preserve">vis-à-vis des Soumissionnaires </w:t>
            </w:r>
            <w:r w:rsidR="00AF74F7" w:rsidRPr="00A67F27">
              <w:rPr>
                <w:rFonts w:asciiTheme="majorBidi" w:hAnsiTheme="majorBidi" w:cstheme="majorBidi"/>
              </w:rPr>
              <w:t>de l’inté</w:t>
            </w:r>
            <w:r w:rsidR="00A96E27" w:rsidRPr="00A67F27">
              <w:rPr>
                <w:rFonts w:asciiTheme="majorBidi" w:hAnsiTheme="majorBidi" w:cstheme="majorBidi"/>
              </w:rPr>
              <w:t xml:space="preserve">grité du </w:t>
            </w:r>
            <w:r w:rsidRPr="00A67F27">
              <w:rPr>
                <w:rFonts w:asciiTheme="majorBidi" w:hAnsiTheme="majorBidi" w:cstheme="majorBidi"/>
              </w:rPr>
              <w:t>Dossier d’Appel d’</w:t>
            </w:r>
            <w:r w:rsidR="00B5523D" w:rsidRPr="00A67F27">
              <w:rPr>
                <w:rFonts w:asciiTheme="majorBidi" w:hAnsiTheme="majorBidi" w:cstheme="majorBidi"/>
              </w:rPr>
              <w:t>o</w:t>
            </w:r>
            <w:r w:rsidRPr="00A67F27">
              <w:rPr>
                <w:rFonts w:asciiTheme="majorBidi" w:hAnsiTheme="majorBidi" w:cstheme="majorBidi"/>
              </w:rPr>
              <w:t>ffres</w:t>
            </w:r>
            <w:r w:rsidR="00D50FB2" w:rsidRPr="00A67F27">
              <w:rPr>
                <w:rFonts w:asciiTheme="majorBidi" w:hAnsiTheme="majorBidi" w:cstheme="majorBidi"/>
              </w:rPr>
              <w:t>, des réponses aux demandes de clarifications, d</w:t>
            </w:r>
            <w:r w:rsidR="003037F7" w:rsidRPr="00A67F27">
              <w:rPr>
                <w:rFonts w:asciiTheme="majorBidi" w:hAnsiTheme="majorBidi" w:cstheme="majorBidi"/>
              </w:rPr>
              <w:t>u compte rendu</w:t>
            </w:r>
            <w:r w:rsidR="00D50FB2" w:rsidRPr="00A67F27">
              <w:rPr>
                <w:rFonts w:asciiTheme="majorBidi" w:hAnsiTheme="majorBidi" w:cstheme="majorBidi"/>
              </w:rPr>
              <w:t xml:space="preserve"> de la réunion </w:t>
            </w:r>
            <w:r w:rsidR="007307CB" w:rsidRPr="00A67F27">
              <w:rPr>
                <w:rFonts w:asciiTheme="majorBidi" w:hAnsiTheme="majorBidi" w:cstheme="majorBidi"/>
              </w:rPr>
              <w:t xml:space="preserve">préparatoire </w:t>
            </w:r>
            <w:r w:rsidR="00D50FB2" w:rsidRPr="00A67F27">
              <w:rPr>
                <w:rFonts w:asciiTheme="majorBidi" w:hAnsiTheme="majorBidi" w:cstheme="majorBidi"/>
              </w:rPr>
              <w:t xml:space="preserve">précédant le dépôt des </w:t>
            </w:r>
            <w:r w:rsidR="00B5523D" w:rsidRPr="00A67F27">
              <w:rPr>
                <w:rFonts w:asciiTheme="majorBidi" w:hAnsiTheme="majorBidi" w:cstheme="majorBidi"/>
              </w:rPr>
              <w:t>O</w:t>
            </w:r>
            <w:r w:rsidR="00D50FB2" w:rsidRPr="00A67F27">
              <w:rPr>
                <w:rFonts w:asciiTheme="majorBidi" w:hAnsiTheme="majorBidi" w:cstheme="majorBidi"/>
              </w:rPr>
              <w:t>ffres (le cas échéant)</w:t>
            </w:r>
            <w:r w:rsidRPr="00A67F27">
              <w:rPr>
                <w:rFonts w:asciiTheme="majorBidi" w:hAnsiTheme="majorBidi" w:cstheme="majorBidi"/>
              </w:rPr>
              <w:t xml:space="preserve"> et de</w:t>
            </w:r>
            <w:r w:rsidR="00BD6D38" w:rsidRPr="00A67F27">
              <w:rPr>
                <w:rFonts w:asciiTheme="majorBidi" w:hAnsiTheme="majorBidi" w:cstheme="majorBidi"/>
              </w:rPr>
              <w:t>s additifs au Dossier d’Appel d’Offres</w:t>
            </w:r>
            <w:r w:rsidR="00B5523D" w:rsidRPr="00A67F27">
              <w:rPr>
                <w:rFonts w:asciiTheme="majorBidi" w:hAnsiTheme="majorBidi" w:cstheme="majorBidi"/>
              </w:rPr>
              <w:t xml:space="preserve"> conformément à l’article 8 des IS</w:t>
            </w:r>
            <w:r w:rsidRPr="00A67F27">
              <w:rPr>
                <w:rFonts w:asciiTheme="majorBidi" w:hAnsiTheme="majorBidi" w:cstheme="majorBidi"/>
              </w:rPr>
              <w:t xml:space="preserve">, s’ils n’ont pas été obtenus directement </w:t>
            </w:r>
            <w:r w:rsidR="00D50FB2" w:rsidRPr="00A67F27">
              <w:rPr>
                <w:rFonts w:asciiTheme="majorBidi" w:hAnsiTheme="majorBidi" w:cstheme="majorBidi"/>
              </w:rPr>
              <w:t xml:space="preserve">auprès </w:t>
            </w:r>
            <w:r w:rsidRPr="00A67F27">
              <w:rPr>
                <w:rFonts w:asciiTheme="majorBidi" w:hAnsiTheme="majorBidi" w:cstheme="majorBidi"/>
              </w:rPr>
              <w:t>de lui</w:t>
            </w:r>
            <w:r w:rsidR="00A323E4" w:rsidRPr="00A67F27">
              <w:rPr>
                <w:rFonts w:asciiTheme="majorBidi" w:hAnsiTheme="majorBidi" w:cstheme="majorBidi"/>
              </w:rPr>
              <w:t>.</w:t>
            </w:r>
            <w:r w:rsidRPr="00A67F27">
              <w:rPr>
                <w:rFonts w:asciiTheme="majorBidi" w:hAnsiTheme="majorBidi" w:cstheme="majorBidi"/>
              </w:rPr>
              <w:t xml:space="preserve"> </w:t>
            </w:r>
            <w:r w:rsidR="00D50FB2" w:rsidRPr="00A67F27">
              <w:rPr>
                <w:rFonts w:asciiTheme="majorBidi" w:hAnsiTheme="majorBidi" w:cstheme="majorBidi"/>
              </w:rPr>
              <w:t xml:space="preserve">En cas de contradiction, les documents directement </w:t>
            </w:r>
            <w:r w:rsidR="004D0EE5" w:rsidRPr="00A67F27">
              <w:rPr>
                <w:rFonts w:asciiTheme="majorBidi" w:hAnsiTheme="majorBidi" w:cstheme="majorBidi"/>
              </w:rPr>
              <w:t xml:space="preserve">issus </w:t>
            </w:r>
            <w:r w:rsidR="007307CB" w:rsidRPr="00A67F27">
              <w:rPr>
                <w:rFonts w:asciiTheme="majorBidi" w:hAnsiTheme="majorBidi" w:cstheme="majorBidi"/>
              </w:rPr>
              <w:t xml:space="preserve">par le Maître de l’Ouvrage auront </w:t>
            </w:r>
            <w:r w:rsidR="00B26B6C" w:rsidRPr="00A67F27">
              <w:rPr>
                <w:rFonts w:asciiTheme="majorBidi" w:hAnsiTheme="majorBidi" w:cstheme="majorBidi"/>
              </w:rPr>
              <w:t>précédence</w:t>
            </w:r>
            <w:r w:rsidR="007307CB" w:rsidRPr="00A67F27">
              <w:rPr>
                <w:rFonts w:asciiTheme="majorBidi" w:hAnsiTheme="majorBidi" w:cstheme="majorBidi"/>
              </w:rPr>
              <w:t>.</w:t>
            </w:r>
          </w:p>
          <w:p w14:paraId="0DD6E01E" w14:textId="31213F9F" w:rsidR="00BC693B" w:rsidRPr="00A67F27" w:rsidRDefault="000A450A" w:rsidP="007318E7">
            <w:pPr>
              <w:pStyle w:val="Paragraphedeliste"/>
              <w:numPr>
                <w:ilvl w:val="1"/>
                <w:numId w:val="16"/>
              </w:numPr>
              <w:tabs>
                <w:tab w:val="clear" w:pos="360"/>
                <w:tab w:val="num" w:pos="657"/>
              </w:tabs>
              <w:spacing w:after="0"/>
              <w:ind w:left="648" w:hanging="562"/>
              <w:contextualSpacing w:val="0"/>
              <w:rPr>
                <w:rFonts w:asciiTheme="majorBidi" w:hAnsiTheme="majorBidi" w:cstheme="majorBidi"/>
              </w:rPr>
            </w:pPr>
            <w:r w:rsidRPr="00A67F27">
              <w:rPr>
                <w:rFonts w:asciiTheme="majorBidi" w:hAnsiTheme="majorBidi" w:cstheme="majorBidi"/>
              </w:rPr>
              <w:t>Le Soumissionnaire d</w:t>
            </w:r>
            <w:r w:rsidR="00E761FF" w:rsidRPr="00A67F27">
              <w:rPr>
                <w:rFonts w:asciiTheme="majorBidi" w:hAnsiTheme="majorBidi" w:cstheme="majorBidi"/>
              </w:rPr>
              <w:t>evra</w:t>
            </w:r>
            <w:r w:rsidRPr="00A67F27">
              <w:rPr>
                <w:rFonts w:asciiTheme="majorBidi" w:hAnsiTheme="majorBidi" w:cstheme="majorBidi"/>
              </w:rPr>
              <w:t xml:space="preserve"> examiner l’ensemble des instructions, formulaires, conditions et spécifications figurant </w:t>
            </w:r>
            <w:r w:rsidR="00A323E4" w:rsidRPr="00A67F27">
              <w:rPr>
                <w:rFonts w:asciiTheme="majorBidi" w:hAnsiTheme="majorBidi" w:cstheme="majorBidi"/>
              </w:rPr>
              <w:t xml:space="preserve">au </w:t>
            </w:r>
            <w:r w:rsidRPr="00A67F27">
              <w:rPr>
                <w:rFonts w:asciiTheme="majorBidi" w:hAnsiTheme="majorBidi" w:cstheme="majorBidi"/>
              </w:rPr>
              <w:t xml:space="preserve">Dossier d’Appel d’Offres. Il lui appartient de fournir tous les renseignements et documents demandés dans le Dossier d’Appel d’Offres. </w:t>
            </w:r>
          </w:p>
        </w:tc>
      </w:tr>
      <w:tr w:rsidR="000A450A" w:rsidRPr="00A67F27" w14:paraId="5DC6143B" w14:textId="77777777" w:rsidTr="007318E7">
        <w:trPr>
          <w:trHeight w:val="20"/>
        </w:trPr>
        <w:tc>
          <w:tcPr>
            <w:tcW w:w="2250" w:type="dxa"/>
            <w:tcBorders>
              <w:top w:val="nil"/>
              <w:left w:val="nil"/>
              <w:bottom w:val="nil"/>
              <w:right w:val="nil"/>
            </w:tcBorders>
          </w:tcPr>
          <w:p w14:paraId="1EAE409E" w14:textId="3783C11C" w:rsidR="000A450A" w:rsidRPr="00A67F27" w:rsidRDefault="00AD134E" w:rsidP="007318E7">
            <w:pPr>
              <w:pStyle w:val="S1-Header2"/>
              <w:numPr>
                <w:ilvl w:val="0"/>
                <w:numId w:val="0"/>
              </w:numPr>
              <w:tabs>
                <w:tab w:val="num" w:pos="432"/>
              </w:tabs>
              <w:spacing w:after="0"/>
              <w:ind w:left="432" w:hanging="432"/>
              <w:rPr>
                <w:rFonts w:asciiTheme="majorBidi" w:hAnsiTheme="majorBidi" w:cstheme="majorBidi"/>
                <w:lang w:val="fr-FR"/>
              </w:rPr>
            </w:pPr>
            <w:bookmarkStart w:id="98" w:name="_Toc156373290"/>
            <w:bookmarkStart w:id="99" w:name="_Toc483210577"/>
            <w:bookmarkStart w:id="100" w:name="_Toc487641776"/>
            <w:r w:rsidRPr="00A67F27">
              <w:rPr>
                <w:lang w:val="fr-FR"/>
              </w:rPr>
              <w:t>7.</w:t>
            </w:r>
            <w:r w:rsidR="008225DD" w:rsidRPr="00A67F27">
              <w:rPr>
                <w:lang w:val="fr-FR"/>
              </w:rPr>
              <w:tab/>
            </w:r>
            <w:proofErr w:type="spellStart"/>
            <w:r w:rsidR="008225DD" w:rsidRPr="00A67F27">
              <w:rPr>
                <w:lang w:val="fr-FR"/>
              </w:rPr>
              <w:t>Éclaircisse-</w:t>
            </w:r>
            <w:r w:rsidR="000A450A" w:rsidRPr="00A67F27">
              <w:rPr>
                <w:lang w:val="fr-FR"/>
              </w:rPr>
              <w:t>ments</w:t>
            </w:r>
            <w:proofErr w:type="spellEnd"/>
            <w:r w:rsidR="000A450A" w:rsidRPr="00A67F27">
              <w:rPr>
                <w:lang w:val="fr-FR"/>
              </w:rPr>
              <w:t xml:space="preserve"> apportés au Dossier d’Appel d’Offres, visite du site et réunion préparatoire</w:t>
            </w:r>
            <w:bookmarkEnd w:id="98"/>
            <w:bookmarkEnd w:id="99"/>
            <w:bookmarkEnd w:id="100"/>
          </w:p>
        </w:tc>
        <w:tc>
          <w:tcPr>
            <w:tcW w:w="7380" w:type="dxa"/>
            <w:tcBorders>
              <w:top w:val="nil"/>
              <w:left w:val="nil"/>
              <w:bottom w:val="nil"/>
              <w:right w:val="nil"/>
            </w:tcBorders>
          </w:tcPr>
          <w:p w14:paraId="1DF1BC00" w14:textId="7988E0B1" w:rsidR="000A450A" w:rsidRPr="00A67F27" w:rsidRDefault="00291F0A" w:rsidP="007318E7">
            <w:pPr>
              <w:numPr>
                <w:ilvl w:val="0"/>
                <w:numId w:val="3"/>
              </w:numPr>
              <w:tabs>
                <w:tab w:val="left" w:pos="522"/>
                <w:tab w:val="left" w:pos="576"/>
              </w:tabs>
              <w:spacing w:after="0"/>
              <w:rPr>
                <w:rFonts w:asciiTheme="majorBidi" w:hAnsiTheme="majorBidi" w:cstheme="majorBidi"/>
              </w:rPr>
            </w:pPr>
            <w:r w:rsidRPr="00A67F27">
              <w:rPr>
                <w:rFonts w:asciiTheme="majorBidi" w:hAnsiTheme="majorBidi" w:cstheme="majorBidi"/>
              </w:rPr>
              <w:t xml:space="preserve">Un </w:t>
            </w:r>
            <w:r w:rsidR="000A450A" w:rsidRPr="00A67F27">
              <w:rPr>
                <w:rFonts w:asciiTheme="majorBidi" w:hAnsiTheme="majorBidi" w:cstheme="majorBidi"/>
              </w:rPr>
              <w:t xml:space="preserve">soumissionnaire </w:t>
            </w:r>
            <w:r w:rsidRPr="00A67F27">
              <w:rPr>
                <w:rFonts w:asciiTheme="majorBidi" w:hAnsiTheme="majorBidi" w:cstheme="majorBidi"/>
              </w:rPr>
              <w:t xml:space="preserve">souhaitant </w:t>
            </w:r>
            <w:r w:rsidR="000A450A" w:rsidRPr="00A67F27">
              <w:rPr>
                <w:rFonts w:asciiTheme="majorBidi" w:hAnsiTheme="majorBidi" w:cstheme="majorBidi"/>
              </w:rPr>
              <w:t>obtenir des éclaircissements sur l</w:t>
            </w:r>
            <w:r w:rsidR="00A323E4" w:rsidRPr="00A67F27">
              <w:rPr>
                <w:rFonts w:asciiTheme="majorBidi" w:hAnsiTheme="majorBidi" w:cstheme="majorBidi"/>
              </w:rPr>
              <w:t xml:space="preserve">e Dossier d’Appel d’Offres </w:t>
            </w:r>
            <w:r w:rsidRPr="00A67F27">
              <w:rPr>
                <w:rFonts w:asciiTheme="majorBidi" w:hAnsiTheme="majorBidi" w:cstheme="majorBidi"/>
              </w:rPr>
              <w:t xml:space="preserve">devra </w:t>
            </w:r>
            <w:r w:rsidR="000A450A" w:rsidRPr="00A67F27">
              <w:rPr>
                <w:rFonts w:asciiTheme="majorBidi" w:hAnsiTheme="majorBidi" w:cstheme="majorBidi"/>
              </w:rPr>
              <w:t xml:space="preserve">contacter le Maître de l’Ouvrage, par écrit, à l’adresse du Maître de l’Ouvrage </w:t>
            </w:r>
            <w:r w:rsidR="000A450A" w:rsidRPr="00A67F27">
              <w:rPr>
                <w:rFonts w:asciiTheme="majorBidi" w:hAnsiTheme="majorBidi" w:cstheme="majorBidi"/>
                <w:b/>
                <w:bCs/>
              </w:rPr>
              <w:t>indiquée dans les</w:t>
            </w:r>
            <w:r w:rsidR="000A450A" w:rsidRPr="00A67F27">
              <w:rPr>
                <w:rFonts w:asciiTheme="majorBidi" w:hAnsiTheme="majorBidi" w:cstheme="majorBidi"/>
              </w:rPr>
              <w:t xml:space="preserve"> </w:t>
            </w:r>
            <w:r w:rsidR="000A450A" w:rsidRPr="00A67F27">
              <w:rPr>
                <w:rFonts w:asciiTheme="majorBidi" w:hAnsiTheme="majorBidi" w:cstheme="majorBidi"/>
                <w:b/>
              </w:rPr>
              <w:t>DPAO</w:t>
            </w:r>
            <w:r w:rsidR="000A450A" w:rsidRPr="00A67F27">
              <w:rPr>
                <w:rFonts w:asciiTheme="majorBidi" w:hAnsiTheme="majorBidi" w:cstheme="majorBidi"/>
              </w:rPr>
              <w:t xml:space="preserve"> ou soumettra sa demande au cours de la réunion préparatoire prévue</w:t>
            </w:r>
            <w:r w:rsidR="004D0EE5" w:rsidRPr="00A67F27">
              <w:rPr>
                <w:rFonts w:asciiTheme="majorBidi" w:hAnsiTheme="majorBidi" w:cstheme="majorBidi"/>
              </w:rPr>
              <w:t>,</w:t>
            </w:r>
            <w:r w:rsidR="000A450A" w:rsidRPr="00A67F27">
              <w:rPr>
                <w:rFonts w:asciiTheme="majorBidi" w:hAnsiTheme="majorBidi" w:cstheme="majorBidi"/>
              </w:rPr>
              <w:t xml:space="preserve"> le cas échéant</w:t>
            </w:r>
            <w:r w:rsidR="004D0EE5" w:rsidRPr="00A67F27">
              <w:rPr>
                <w:rFonts w:asciiTheme="majorBidi" w:hAnsiTheme="majorBidi" w:cstheme="majorBidi"/>
              </w:rPr>
              <w:t xml:space="preserve">, </w:t>
            </w:r>
            <w:r w:rsidR="000A450A" w:rsidRPr="00A67F27">
              <w:rPr>
                <w:rFonts w:asciiTheme="majorBidi" w:hAnsiTheme="majorBidi" w:cstheme="majorBidi"/>
              </w:rPr>
              <w:t>en application des dispositions de l’article 7.4 des IS. Le Maître de l’Ouvrage répondra par écrit à toute demande d’éclaircissements reçue</w:t>
            </w:r>
            <w:r w:rsidR="00A323E4" w:rsidRPr="00A67F27">
              <w:rPr>
                <w:rFonts w:asciiTheme="majorBidi" w:hAnsiTheme="majorBidi" w:cstheme="majorBidi"/>
              </w:rPr>
              <w:t xml:space="preserve"> </w:t>
            </w:r>
            <w:r w:rsidR="000A450A" w:rsidRPr="00A67F27">
              <w:rPr>
                <w:rFonts w:asciiTheme="majorBidi" w:hAnsiTheme="majorBidi" w:cstheme="majorBidi"/>
              </w:rPr>
              <w:t xml:space="preserve">au plus tard </w:t>
            </w:r>
            <w:r w:rsidR="007307CB" w:rsidRPr="00A67F27">
              <w:rPr>
                <w:rFonts w:asciiTheme="majorBidi" w:hAnsiTheme="majorBidi" w:cstheme="majorBidi"/>
              </w:rPr>
              <w:t xml:space="preserve">quatorze jours </w:t>
            </w:r>
            <w:r w:rsidR="000A450A" w:rsidRPr="00A67F27">
              <w:rPr>
                <w:rFonts w:asciiTheme="majorBidi" w:hAnsiTheme="majorBidi" w:cstheme="majorBidi"/>
              </w:rPr>
              <w:t>(</w:t>
            </w:r>
            <w:r w:rsidR="007307CB" w:rsidRPr="00A67F27">
              <w:rPr>
                <w:rFonts w:asciiTheme="majorBidi" w:hAnsiTheme="majorBidi" w:cstheme="majorBidi"/>
              </w:rPr>
              <w:t>14</w:t>
            </w:r>
            <w:r w:rsidR="000A450A" w:rsidRPr="00A67F27">
              <w:rPr>
                <w:rFonts w:asciiTheme="majorBidi" w:hAnsiTheme="majorBidi" w:cstheme="majorBidi"/>
              </w:rPr>
              <w:t xml:space="preserve">) jours avant la date limite de dépôt des offres. Il adressera une copie de sa réponse (indiquant la question posée mais sans mention de son origine) à tous les soumissionnaires qui auront obtenu le Dossier d’Appel d’Offres conformément à l’article 6.3 des IS. </w:t>
            </w:r>
            <w:r w:rsidR="00A40D69" w:rsidRPr="00A67F27">
              <w:rPr>
                <w:rFonts w:asciiTheme="majorBidi" w:hAnsiTheme="majorBidi" w:cstheme="majorBidi"/>
                <w:b/>
                <w:bCs/>
              </w:rPr>
              <w:t>Si les</w:t>
            </w:r>
            <w:r w:rsidR="00A40D69" w:rsidRPr="00A67F27">
              <w:rPr>
                <w:rFonts w:asciiTheme="majorBidi" w:hAnsiTheme="majorBidi" w:cstheme="majorBidi"/>
              </w:rPr>
              <w:t xml:space="preserve"> </w:t>
            </w:r>
            <w:r w:rsidR="00A40D69" w:rsidRPr="00A67F27">
              <w:rPr>
                <w:rFonts w:asciiTheme="majorBidi" w:hAnsiTheme="majorBidi" w:cstheme="majorBidi"/>
                <w:b/>
              </w:rPr>
              <w:t>DPAO</w:t>
            </w:r>
            <w:r w:rsidR="00A40D69" w:rsidRPr="00A67F27">
              <w:rPr>
                <w:rFonts w:asciiTheme="majorBidi" w:hAnsiTheme="majorBidi" w:cstheme="majorBidi"/>
              </w:rPr>
              <w:t xml:space="preserve"> le prévoient, le Ma</w:t>
            </w:r>
            <w:r w:rsidR="003037F7" w:rsidRPr="00A67F27">
              <w:rPr>
                <w:rFonts w:asciiTheme="majorBidi" w:hAnsiTheme="majorBidi" w:cstheme="majorBidi"/>
              </w:rPr>
              <w:t>ître de</w:t>
            </w:r>
            <w:r w:rsidR="00A323E4" w:rsidRPr="00A67F27">
              <w:rPr>
                <w:rFonts w:asciiTheme="majorBidi" w:hAnsiTheme="majorBidi" w:cstheme="majorBidi"/>
              </w:rPr>
              <w:t xml:space="preserve"> l’</w:t>
            </w:r>
            <w:r w:rsidR="00A40D69" w:rsidRPr="00A67F27">
              <w:rPr>
                <w:rFonts w:asciiTheme="majorBidi" w:hAnsiTheme="majorBidi" w:cstheme="majorBidi"/>
              </w:rPr>
              <w:t xml:space="preserve">Ouvrage publiera également sa réponse sur </w:t>
            </w:r>
            <w:r w:rsidRPr="00A67F27">
              <w:rPr>
                <w:rFonts w:asciiTheme="majorBidi" w:hAnsiTheme="majorBidi" w:cstheme="majorBidi"/>
              </w:rPr>
              <w:t>site internet</w:t>
            </w:r>
            <w:r w:rsidR="00A40D69" w:rsidRPr="00A67F27">
              <w:rPr>
                <w:rFonts w:asciiTheme="majorBidi" w:hAnsiTheme="majorBidi" w:cstheme="majorBidi"/>
              </w:rPr>
              <w:t xml:space="preserve"> </w:t>
            </w:r>
            <w:r w:rsidR="00A40D69" w:rsidRPr="00A67F27">
              <w:rPr>
                <w:rFonts w:asciiTheme="majorBidi" w:hAnsiTheme="majorBidi" w:cstheme="majorBidi"/>
                <w:b/>
                <w:bCs/>
              </w:rPr>
              <w:t>identifié dans le</w:t>
            </w:r>
            <w:r w:rsidR="008321CB" w:rsidRPr="00A67F27">
              <w:rPr>
                <w:rFonts w:asciiTheme="majorBidi" w:hAnsiTheme="majorBidi" w:cstheme="majorBidi"/>
                <w:b/>
                <w:bCs/>
              </w:rPr>
              <w:t>s</w:t>
            </w:r>
            <w:r w:rsidR="00A40D69" w:rsidRPr="00A67F27">
              <w:rPr>
                <w:rFonts w:asciiTheme="majorBidi" w:hAnsiTheme="majorBidi" w:cstheme="majorBidi"/>
              </w:rPr>
              <w:t xml:space="preserve"> </w:t>
            </w:r>
            <w:r w:rsidR="00A40D69" w:rsidRPr="00A67F27">
              <w:rPr>
                <w:rFonts w:asciiTheme="majorBidi" w:hAnsiTheme="majorBidi" w:cstheme="majorBidi"/>
                <w:b/>
              </w:rPr>
              <w:t>DPAO</w:t>
            </w:r>
            <w:r w:rsidR="00A40D69" w:rsidRPr="00A67F27">
              <w:rPr>
                <w:rFonts w:asciiTheme="majorBidi" w:hAnsiTheme="majorBidi" w:cstheme="majorBidi"/>
              </w:rPr>
              <w:t xml:space="preserve">. </w:t>
            </w:r>
            <w:r w:rsidR="000A450A" w:rsidRPr="00A67F27">
              <w:rPr>
                <w:rFonts w:asciiTheme="majorBidi" w:hAnsiTheme="majorBidi" w:cstheme="majorBidi"/>
              </w:rPr>
              <w:t xml:space="preserve">Au cas où le Maître de l’Ouvrage jugerait nécessaire de modifier le Dossier d’Appel d’Offres pour donner suite aux éclaircissements demandés, il le fera conformément à la procédure stipulée </w:t>
            </w:r>
            <w:r w:rsidR="004D0EE5" w:rsidRPr="00A67F27">
              <w:rPr>
                <w:rFonts w:asciiTheme="majorBidi" w:hAnsiTheme="majorBidi" w:cstheme="majorBidi"/>
              </w:rPr>
              <w:t>aux a</w:t>
            </w:r>
            <w:r w:rsidR="000A450A" w:rsidRPr="00A67F27">
              <w:rPr>
                <w:rFonts w:asciiTheme="majorBidi" w:hAnsiTheme="majorBidi" w:cstheme="majorBidi"/>
              </w:rPr>
              <w:t>rticle</w:t>
            </w:r>
            <w:r w:rsidR="004D0EE5" w:rsidRPr="00A67F27">
              <w:rPr>
                <w:rFonts w:asciiTheme="majorBidi" w:hAnsiTheme="majorBidi" w:cstheme="majorBidi"/>
              </w:rPr>
              <w:t>s</w:t>
            </w:r>
            <w:r w:rsidR="000A450A" w:rsidRPr="00A67F27">
              <w:rPr>
                <w:rFonts w:asciiTheme="majorBidi" w:hAnsiTheme="majorBidi" w:cstheme="majorBidi"/>
              </w:rPr>
              <w:t xml:space="preserve"> 8 et</w:t>
            </w:r>
            <w:r w:rsidR="009B2302" w:rsidRPr="00A67F27">
              <w:rPr>
                <w:rFonts w:asciiTheme="majorBidi" w:hAnsiTheme="majorBidi" w:cstheme="majorBidi"/>
              </w:rPr>
              <w:t xml:space="preserve"> </w:t>
            </w:r>
            <w:r w:rsidR="000A450A" w:rsidRPr="00A67F27">
              <w:rPr>
                <w:rFonts w:asciiTheme="majorBidi" w:hAnsiTheme="majorBidi" w:cstheme="majorBidi"/>
              </w:rPr>
              <w:t>22.2 des IS.</w:t>
            </w:r>
          </w:p>
        </w:tc>
      </w:tr>
      <w:tr w:rsidR="000A450A" w:rsidRPr="00A67F27" w14:paraId="27473451" w14:textId="77777777" w:rsidTr="007318E7">
        <w:trPr>
          <w:trHeight w:val="20"/>
        </w:trPr>
        <w:tc>
          <w:tcPr>
            <w:tcW w:w="2250" w:type="dxa"/>
            <w:tcBorders>
              <w:top w:val="nil"/>
              <w:left w:val="nil"/>
              <w:bottom w:val="nil"/>
              <w:right w:val="nil"/>
            </w:tcBorders>
          </w:tcPr>
          <w:p w14:paraId="1302F92C" w14:textId="77777777" w:rsidR="000A450A" w:rsidRPr="00A67F27" w:rsidRDefault="000A450A" w:rsidP="007318E7">
            <w:pPr>
              <w:pStyle w:val="Header1-Clauses"/>
              <w:spacing w:after="0"/>
              <w:ind w:left="288" w:hanging="288"/>
              <w:rPr>
                <w:rFonts w:asciiTheme="majorBidi" w:hAnsiTheme="majorBidi" w:cstheme="majorBidi"/>
                <w:lang w:val="fr-FR"/>
              </w:rPr>
            </w:pPr>
          </w:p>
        </w:tc>
        <w:tc>
          <w:tcPr>
            <w:tcW w:w="7380" w:type="dxa"/>
            <w:tcBorders>
              <w:top w:val="nil"/>
              <w:left w:val="nil"/>
              <w:bottom w:val="nil"/>
              <w:right w:val="nil"/>
            </w:tcBorders>
          </w:tcPr>
          <w:p w14:paraId="741DC960" w14:textId="6FDBB8BF" w:rsidR="000A450A" w:rsidRPr="00A67F27" w:rsidRDefault="000A450A" w:rsidP="007318E7">
            <w:pPr>
              <w:numPr>
                <w:ilvl w:val="0"/>
                <w:numId w:val="3"/>
              </w:numPr>
              <w:tabs>
                <w:tab w:val="left" w:pos="540"/>
                <w:tab w:val="left" w:pos="576"/>
              </w:tabs>
              <w:spacing w:after="0"/>
              <w:rPr>
                <w:rFonts w:asciiTheme="majorBidi" w:hAnsiTheme="majorBidi" w:cstheme="majorBidi"/>
              </w:rPr>
            </w:pPr>
            <w:r w:rsidRPr="00A67F27">
              <w:rPr>
                <w:rFonts w:asciiTheme="majorBidi" w:hAnsiTheme="majorBidi" w:cstheme="majorBidi"/>
              </w:rPr>
              <w:t xml:space="preserve">Il est recommandé au Soumissionnaire de visiter et d’inspecter le site des travaux et ses environs et d’obtenir par lui-même, et sous sa </w:t>
            </w:r>
            <w:r w:rsidRPr="00A67F27">
              <w:rPr>
                <w:rFonts w:asciiTheme="majorBidi" w:hAnsiTheme="majorBidi" w:cstheme="majorBidi"/>
              </w:rPr>
              <w:lastRenderedPageBreak/>
              <w:t>propre responsabilité, tous les renseignements qui peuvent être nécessaires pour la préparation de son offre et la signature d’un marché pour l’exécution des Travaux.</w:t>
            </w:r>
            <w:r w:rsidR="009B2302" w:rsidRPr="00A67F27">
              <w:rPr>
                <w:rFonts w:asciiTheme="majorBidi" w:hAnsiTheme="majorBidi" w:cstheme="majorBidi"/>
              </w:rPr>
              <w:t xml:space="preserve"> </w:t>
            </w:r>
            <w:r w:rsidRPr="00A67F27">
              <w:rPr>
                <w:rFonts w:asciiTheme="majorBidi" w:hAnsiTheme="majorBidi" w:cstheme="majorBidi"/>
              </w:rPr>
              <w:t>Les coûts liés à la visite du site sont entièrement à la charge du Soumissionnaire.</w:t>
            </w:r>
          </w:p>
          <w:p w14:paraId="35C35126" w14:textId="77777777" w:rsidR="000A450A" w:rsidRPr="00A67F27" w:rsidRDefault="000A450A" w:rsidP="007318E7">
            <w:pPr>
              <w:numPr>
                <w:ilvl w:val="0"/>
                <w:numId w:val="3"/>
              </w:numPr>
              <w:tabs>
                <w:tab w:val="left" w:pos="540"/>
                <w:tab w:val="left" w:pos="576"/>
              </w:tabs>
              <w:spacing w:after="0"/>
              <w:rPr>
                <w:rFonts w:asciiTheme="majorBidi" w:hAnsiTheme="majorBidi" w:cstheme="majorBidi"/>
              </w:rPr>
            </w:pPr>
            <w:r w:rsidRPr="00A67F27">
              <w:rPr>
                <w:rFonts w:asciiTheme="majorBidi" w:hAnsiTheme="majorBidi" w:cstheme="majorBidi"/>
              </w:rPr>
              <w:t>Le Maître de l’Ouvrage autorisera le Soumissionnaire et ses employés ou agents à pénétrer dans ses locaux et sur ses terrains aux fins de ladite visite, mais seulement à la condition expresse que le Soumissionnaire, ses employés et agents dégagent le Maître de l’Ouvrage, ses employés et agents, de toute responsabilité pouvant en résulter et les indemnisent si nécessaire, et qu’ils demeurent responsables des accidents mortels ou corporels, des pertes ou dommages matériels, coûts et frais encourus du fait de cette visite.</w:t>
            </w:r>
          </w:p>
          <w:p w14:paraId="210D0097" w14:textId="77777777" w:rsidR="000A450A" w:rsidRPr="00A67F27" w:rsidRDefault="000A450A" w:rsidP="007318E7">
            <w:pPr>
              <w:numPr>
                <w:ilvl w:val="0"/>
                <w:numId w:val="3"/>
              </w:numPr>
              <w:tabs>
                <w:tab w:val="left" w:pos="576"/>
              </w:tabs>
              <w:spacing w:after="0"/>
              <w:rPr>
                <w:rFonts w:asciiTheme="majorBidi" w:hAnsiTheme="majorBidi" w:cstheme="majorBidi"/>
              </w:rPr>
            </w:pPr>
            <w:r w:rsidRPr="00A67F27">
              <w:rPr>
                <w:rFonts w:asciiTheme="majorBidi" w:hAnsiTheme="majorBidi" w:cstheme="majorBidi"/>
                <w:b/>
                <w:bCs/>
              </w:rPr>
              <w:t>Lorsque les DPAO le prévoient</w:t>
            </w:r>
            <w:r w:rsidRPr="00A67F27">
              <w:rPr>
                <w:rFonts w:asciiTheme="majorBidi" w:hAnsiTheme="majorBidi" w:cstheme="majorBidi"/>
              </w:rPr>
              <w:t xml:space="preserve">, le représentant que le Soumissionnaire aura désigné est invité à assister à une réunion préparatoire </w:t>
            </w:r>
            <w:r w:rsidR="00E761FF" w:rsidRPr="00A67F27">
              <w:rPr>
                <w:rFonts w:asciiTheme="majorBidi" w:hAnsiTheme="majorBidi" w:cstheme="majorBidi"/>
              </w:rPr>
              <w:t>sur le Site des Travaux</w:t>
            </w:r>
            <w:r w:rsidR="004D0EE5" w:rsidRPr="00A67F27">
              <w:rPr>
                <w:rFonts w:asciiTheme="majorBidi" w:hAnsiTheme="majorBidi" w:cstheme="majorBidi"/>
              </w:rPr>
              <w:t xml:space="preserve">. </w:t>
            </w:r>
            <w:r w:rsidRPr="00A67F27">
              <w:rPr>
                <w:rFonts w:asciiTheme="majorBidi" w:hAnsiTheme="majorBidi" w:cstheme="majorBidi"/>
              </w:rPr>
              <w:t>L’objet de la réunion est d’éclaircir tout point et de répondre à toute</w:t>
            </w:r>
            <w:r w:rsidR="00B5523D" w:rsidRPr="00A67F27">
              <w:rPr>
                <w:rFonts w:asciiTheme="majorBidi" w:hAnsiTheme="majorBidi" w:cstheme="majorBidi"/>
              </w:rPr>
              <w:t>s</w:t>
            </w:r>
            <w:r w:rsidRPr="00A67F27">
              <w:rPr>
                <w:rFonts w:asciiTheme="majorBidi" w:hAnsiTheme="majorBidi" w:cstheme="majorBidi"/>
              </w:rPr>
              <w:t xml:space="preserve"> questions qui pourraient être soulevées à ce stade.</w:t>
            </w:r>
          </w:p>
          <w:p w14:paraId="0ADC55E9" w14:textId="76F5E7AB" w:rsidR="000A450A" w:rsidRPr="00A67F27" w:rsidRDefault="000A450A" w:rsidP="007318E7">
            <w:pPr>
              <w:numPr>
                <w:ilvl w:val="0"/>
                <w:numId w:val="3"/>
              </w:numPr>
              <w:tabs>
                <w:tab w:val="left" w:pos="540"/>
                <w:tab w:val="left" w:pos="576"/>
              </w:tabs>
              <w:spacing w:after="0"/>
              <w:rPr>
                <w:rFonts w:asciiTheme="majorBidi" w:hAnsiTheme="majorBidi" w:cstheme="majorBidi"/>
              </w:rPr>
            </w:pPr>
            <w:r w:rsidRPr="00A67F27">
              <w:rPr>
                <w:rFonts w:asciiTheme="majorBidi" w:hAnsiTheme="majorBidi" w:cstheme="majorBidi"/>
              </w:rPr>
              <w:t>Il est demandé au Soumissionnaire</w:t>
            </w:r>
            <w:r w:rsidR="004D0EE5" w:rsidRPr="00A67F27">
              <w:rPr>
                <w:rFonts w:asciiTheme="majorBidi" w:hAnsiTheme="majorBidi" w:cstheme="majorBidi"/>
              </w:rPr>
              <w:t xml:space="preserve"> </w:t>
            </w:r>
            <w:r w:rsidRPr="00A67F27">
              <w:rPr>
                <w:rFonts w:asciiTheme="majorBidi" w:hAnsiTheme="majorBidi" w:cstheme="majorBidi"/>
              </w:rPr>
              <w:t>de soumettre</w:t>
            </w:r>
            <w:r w:rsidR="004D0EE5" w:rsidRPr="00A67F27">
              <w:rPr>
                <w:rFonts w:asciiTheme="majorBidi" w:hAnsiTheme="majorBidi" w:cstheme="majorBidi"/>
              </w:rPr>
              <w:t>,</w:t>
            </w:r>
            <w:r w:rsidRPr="00A67F27">
              <w:rPr>
                <w:rFonts w:asciiTheme="majorBidi" w:hAnsiTheme="majorBidi" w:cstheme="majorBidi"/>
              </w:rPr>
              <w:t xml:space="preserve"> dans la mesure du possible, toutes ses questions par écrit, de façon </w:t>
            </w:r>
            <w:r w:rsidR="004D0EE5" w:rsidRPr="00A67F27">
              <w:rPr>
                <w:rFonts w:asciiTheme="majorBidi" w:hAnsiTheme="majorBidi" w:cstheme="majorBidi"/>
              </w:rPr>
              <w:t>à</w:t>
            </w:r>
            <w:r w:rsidR="00444BDD" w:rsidRPr="00A67F27">
              <w:rPr>
                <w:rFonts w:asciiTheme="majorBidi" w:hAnsiTheme="majorBidi" w:cstheme="majorBidi"/>
              </w:rPr>
              <w:t xml:space="preserve"> ce</w:t>
            </w:r>
            <w:r w:rsidR="004D0EE5" w:rsidRPr="00A67F27">
              <w:rPr>
                <w:rFonts w:asciiTheme="majorBidi" w:hAnsiTheme="majorBidi" w:cstheme="majorBidi"/>
              </w:rPr>
              <w:t xml:space="preserve"> </w:t>
            </w:r>
            <w:r w:rsidRPr="00A67F27">
              <w:rPr>
                <w:rFonts w:asciiTheme="majorBidi" w:hAnsiTheme="majorBidi" w:cstheme="majorBidi"/>
              </w:rPr>
              <w:t>qu’elles parviennent au Maître de l’Ouvrage au plus tard une semaine avant la réunion préparatoire.</w:t>
            </w:r>
            <w:r w:rsidR="009B2302" w:rsidRPr="00A67F27">
              <w:rPr>
                <w:rFonts w:asciiTheme="majorBidi" w:hAnsiTheme="majorBidi" w:cstheme="majorBidi"/>
              </w:rPr>
              <w:t xml:space="preserve"> </w:t>
            </w:r>
          </w:p>
          <w:p w14:paraId="41D86FD6" w14:textId="7F328A45" w:rsidR="000A450A" w:rsidRPr="00A67F27" w:rsidRDefault="000A450A" w:rsidP="007318E7">
            <w:pPr>
              <w:numPr>
                <w:ilvl w:val="0"/>
                <w:numId w:val="3"/>
              </w:numPr>
              <w:tabs>
                <w:tab w:val="left" w:pos="576"/>
              </w:tabs>
              <w:spacing w:after="0"/>
              <w:rPr>
                <w:rFonts w:asciiTheme="majorBidi" w:hAnsiTheme="majorBidi" w:cstheme="majorBidi"/>
                <w:spacing w:val="-4"/>
              </w:rPr>
            </w:pPr>
            <w:r w:rsidRPr="00A67F27">
              <w:rPr>
                <w:rFonts w:asciiTheme="majorBidi" w:hAnsiTheme="majorBidi" w:cstheme="majorBidi"/>
                <w:spacing w:val="-4"/>
              </w:rPr>
              <w:t>Le compte-rendu de la réunion</w:t>
            </w:r>
            <w:r w:rsidR="00E761FF" w:rsidRPr="00A67F27">
              <w:rPr>
                <w:rFonts w:asciiTheme="majorBidi" w:hAnsiTheme="majorBidi" w:cstheme="majorBidi"/>
                <w:spacing w:val="-4"/>
              </w:rPr>
              <w:t xml:space="preserve">, le cas échéant, </w:t>
            </w:r>
            <w:r w:rsidRPr="00A67F27">
              <w:rPr>
                <w:rFonts w:asciiTheme="majorBidi" w:hAnsiTheme="majorBidi" w:cstheme="majorBidi"/>
                <w:spacing w:val="-4"/>
              </w:rPr>
              <w:t xml:space="preserve">incluant le texte des questions posées </w:t>
            </w:r>
            <w:r w:rsidR="00444BDD" w:rsidRPr="00A67F27">
              <w:rPr>
                <w:rFonts w:asciiTheme="majorBidi" w:hAnsiTheme="majorBidi" w:cstheme="majorBidi"/>
                <w:spacing w:val="-4"/>
              </w:rPr>
              <w:t xml:space="preserve">par les Soumissionnaires </w:t>
            </w:r>
            <w:r w:rsidRPr="00A67F27">
              <w:rPr>
                <w:rFonts w:asciiTheme="majorBidi" w:hAnsiTheme="majorBidi" w:cstheme="majorBidi"/>
                <w:spacing w:val="-4"/>
              </w:rPr>
              <w:t>(sans en identifier la source) et des réponses données, y compris les réponses préparées après la réunion, sera transmis sans délai à tous ceux qui ont obtenu le Dossier d’Appel d’Offres en conformité avec les dispositions de l’article 6.3 des IS.</w:t>
            </w:r>
            <w:r w:rsidR="009B2302" w:rsidRPr="00A67F27">
              <w:rPr>
                <w:rFonts w:asciiTheme="majorBidi" w:hAnsiTheme="majorBidi" w:cstheme="majorBidi"/>
                <w:spacing w:val="-4"/>
              </w:rPr>
              <w:t xml:space="preserve"> </w:t>
            </w:r>
            <w:r w:rsidRPr="00A67F27">
              <w:rPr>
                <w:rFonts w:asciiTheme="majorBidi" w:hAnsiTheme="majorBidi" w:cstheme="majorBidi"/>
                <w:spacing w:val="-4"/>
              </w:rPr>
              <w:t xml:space="preserve">Toute modification </w:t>
            </w:r>
            <w:r w:rsidR="00131009" w:rsidRPr="00A67F27">
              <w:rPr>
                <w:rFonts w:asciiTheme="majorBidi" w:hAnsiTheme="majorBidi" w:cstheme="majorBidi"/>
                <w:spacing w:val="-4"/>
              </w:rPr>
              <w:t xml:space="preserve">du </w:t>
            </w:r>
            <w:r w:rsidR="003F707D" w:rsidRPr="00A67F27">
              <w:rPr>
                <w:rFonts w:asciiTheme="majorBidi" w:hAnsiTheme="majorBidi" w:cstheme="majorBidi"/>
                <w:spacing w:val="-4"/>
              </w:rPr>
              <w:t xml:space="preserve">dossier </w:t>
            </w:r>
            <w:r w:rsidRPr="00A67F27">
              <w:rPr>
                <w:rFonts w:asciiTheme="majorBidi" w:hAnsiTheme="majorBidi" w:cstheme="majorBidi"/>
                <w:spacing w:val="-4"/>
              </w:rPr>
              <w:t xml:space="preserve">d’appel d’offres qui pourrait s’avérer nécessaire à l’issue de la réunion préparatoire sera faite par le Maître de l’Ouvrage </w:t>
            </w:r>
            <w:r w:rsidR="004D0EE5" w:rsidRPr="00A67F27">
              <w:rPr>
                <w:rFonts w:asciiTheme="majorBidi" w:hAnsiTheme="majorBidi" w:cstheme="majorBidi"/>
                <w:spacing w:val="-4"/>
              </w:rPr>
              <w:t>par la publication d’</w:t>
            </w:r>
            <w:r w:rsidRPr="00A67F27">
              <w:rPr>
                <w:rFonts w:asciiTheme="majorBidi" w:hAnsiTheme="majorBidi" w:cstheme="majorBidi"/>
                <w:spacing w:val="-4"/>
              </w:rPr>
              <w:t>un additif conformément aux dispositions de l’article 8 des IS, et non par le canal du compte-rendu de la réunion préparatoire</w:t>
            </w:r>
            <w:r w:rsidR="003037F7" w:rsidRPr="00A67F27">
              <w:rPr>
                <w:rFonts w:asciiTheme="majorBidi" w:hAnsiTheme="majorBidi" w:cstheme="majorBidi"/>
                <w:spacing w:val="-4"/>
              </w:rPr>
              <w:t>.</w:t>
            </w:r>
            <w:r w:rsidR="009B2302" w:rsidRPr="00A67F27">
              <w:rPr>
                <w:rFonts w:asciiTheme="majorBidi" w:hAnsiTheme="majorBidi" w:cstheme="majorBidi"/>
                <w:spacing w:val="-4"/>
              </w:rPr>
              <w:t xml:space="preserve"> </w:t>
            </w:r>
            <w:r w:rsidR="00E761FF" w:rsidRPr="00A67F27">
              <w:rPr>
                <w:rFonts w:asciiTheme="majorBidi" w:hAnsiTheme="majorBidi" w:cstheme="majorBidi"/>
                <w:spacing w:val="-4"/>
              </w:rPr>
              <w:t>Le fait qu’un soumissionnaire n’assiste pas à la réunion préparatoire à l’établissement des offres ne constituera pas un motif de rejet de son offre</w:t>
            </w:r>
            <w:r w:rsidRPr="00A67F27">
              <w:rPr>
                <w:rFonts w:asciiTheme="majorBidi" w:hAnsiTheme="majorBidi" w:cstheme="majorBidi"/>
                <w:spacing w:val="-4"/>
              </w:rPr>
              <w:t>.</w:t>
            </w:r>
          </w:p>
        </w:tc>
      </w:tr>
      <w:tr w:rsidR="000A450A" w:rsidRPr="00A67F27" w14:paraId="2BD282C4" w14:textId="77777777" w:rsidTr="007318E7">
        <w:trPr>
          <w:trHeight w:val="20"/>
        </w:trPr>
        <w:tc>
          <w:tcPr>
            <w:tcW w:w="2250" w:type="dxa"/>
            <w:tcBorders>
              <w:top w:val="nil"/>
              <w:left w:val="nil"/>
              <w:bottom w:val="nil"/>
              <w:right w:val="nil"/>
            </w:tcBorders>
          </w:tcPr>
          <w:p w14:paraId="71AEDD84" w14:textId="0EB298B6" w:rsidR="000A450A" w:rsidRPr="00A67F27" w:rsidRDefault="00AD134E" w:rsidP="007318E7">
            <w:pPr>
              <w:pStyle w:val="S1-Header2"/>
              <w:numPr>
                <w:ilvl w:val="0"/>
                <w:numId w:val="0"/>
              </w:numPr>
              <w:tabs>
                <w:tab w:val="num" w:pos="432"/>
              </w:tabs>
              <w:spacing w:after="0"/>
              <w:ind w:left="432" w:hanging="432"/>
              <w:rPr>
                <w:rFonts w:asciiTheme="majorBidi" w:hAnsiTheme="majorBidi" w:cstheme="majorBidi"/>
                <w:lang w:val="fr-FR"/>
              </w:rPr>
            </w:pPr>
            <w:bookmarkStart w:id="101" w:name="_Toc156373291"/>
            <w:bookmarkStart w:id="102" w:name="_Toc483210578"/>
            <w:bookmarkStart w:id="103" w:name="_Toc487641777"/>
            <w:r w:rsidRPr="00A67F27">
              <w:rPr>
                <w:lang w:val="fr-FR"/>
              </w:rPr>
              <w:lastRenderedPageBreak/>
              <w:t>8.</w:t>
            </w:r>
            <w:r w:rsidR="000A450A" w:rsidRPr="00A67F27">
              <w:rPr>
                <w:lang w:val="fr-FR"/>
              </w:rPr>
              <w:tab/>
              <w:t xml:space="preserve">Modifications apportées au </w:t>
            </w:r>
            <w:bookmarkEnd w:id="101"/>
            <w:r w:rsidR="000A450A" w:rsidRPr="00A67F27">
              <w:rPr>
                <w:lang w:val="fr-FR"/>
              </w:rPr>
              <w:t>Dossier d’Appel d’Offres</w:t>
            </w:r>
            <w:bookmarkEnd w:id="102"/>
            <w:bookmarkEnd w:id="103"/>
            <w:r w:rsidR="000A450A" w:rsidRPr="00A67F27">
              <w:rPr>
                <w:rFonts w:asciiTheme="majorBidi" w:hAnsiTheme="majorBidi" w:cstheme="majorBidi"/>
                <w:lang w:val="fr-FR"/>
              </w:rPr>
              <w:t xml:space="preserve"> </w:t>
            </w:r>
          </w:p>
        </w:tc>
        <w:tc>
          <w:tcPr>
            <w:tcW w:w="7380" w:type="dxa"/>
            <w:tcBorders>
              <w:top w:val="nil"/>
              <w:left w:val="nil"/>
              <w:bottom w:val="nil"/>
              <w:right w:val="nil"/>
            </w:tcBorders>
          </w:tcPr>
          <w:p w14:paraId="5C7505D7" w14:textId="640B8A8B" w:rsidR="00BC693B" w:rsidRPr="00A67F27" w:rsidRDefault="000A450A" w:rsidP="00D510E8">
            <w:pPr>
              <w:pStyle w:val="Paragraphedeliste"/>
              <w:numPr>
                <w:ilvl w:val="1"/>
                <w:numId w:val="32"/>
              </w:numPr>
              <w:spacing w:after="0"/>
              <w:contextualSpacing w:val="0"/>
              <w:rPr>
                <w:rFonts w:asciiTheme="majorBidi" w:hAnsiTheme="majorBidi" w:cstheme="majorBidi"/>
              </w:rPr>
            </w:pPr>
            <w:r w:rsidRPr="00A67F27">
              <w:rPr>
                <w:rFonts w:asciiTheme="majorBidi" w:hAnsiTheme="majorBidi" w:cstheme="majorBidi"/>
              </w:rPr>
              <w:t xml:space="preserve">Le Maître de l’Ouvrage peut à tout moment avant la date limite de dépôt des offres, modifier le Dossier d’Appel d’Offres en publiant un additif. </w:t>
            </w:r>
          </w:p>
          <w:p w14:paraId="106DF0BC" w14:textId="5F03A853" w:rsidR="000A450A" w:rsidRPr="00A67F27" w:rsidRDefault="000A450A" w:rsidP="00D510E8">
            <w:pPr>
              <w:pStyle w:val="Paragraphedeliste"/>
              <w:numPr>
                <w:ilvl w:val="1"/>
                <w:numId w:val="32"/>
              </w:numPr>
              <w:spacing w:after="0"/>
              <w:contextualSpacing w:val="0"/>
              <w:rPr>
                <w:rFonts w:asciiTheme="majorBidi" w:hAnsiTheme="majorBidi" w:cstheme="majorBidi"/>
              </w:rPr>
            </w:pPr>
            <w:r w:rsidRPr="00A67F27">
              <w:rPr>
                <w:rFonts w:asciiTheme="majorBidi" w:hAnsiTheme="majorBidi" w:cstheme="majorBidi"/>
              </w:rPr>
              <w:t xml:space="preserve">Tout additif publié sera considéré comme faisant partie intégrante du Dossier d’Appel d’Offres et sera communiqué par écrit à tous les </w:t>
            </w:r>
            <w:r w:rsidR="00444BDD" w:rsidRPr="00A67F27">
              <w:rPr>
                <w:rFonts w:asciiTheme="majorBidi" w:hAnsiTheme="majorBidi" w:cstheme="majorBidi"/>
              </w:rPr>
              <w:t>S</w:t>
            </w:r>
            <w:r w:rsidRPr="00A67F27">
              <w:rPr>
                <w:rFonts w:asciiTheme="majorBidi" w:hAnsiTheme="majorBidi" w:cstheme="majorBidi"/>
              </w:rPr>
              <w:t>oumissionnaires éventuels qui ont obtenu le Dossier d’Appel d’Offres du Maître de l’Ouvrage en conformité avec les dispositions de l’article 6.3 des IS.</w:t>
            </w:r>
            <w:r w:rsidR="003037F7" w:rsidRPr="00A67F27">
              <w:rPr>
                <w:rFonts w:asciiTheme="majorBidi" w:hAnsiTheme="majorBidi" w:cstheme="majorBidi"/>
              </w:rPr>
              <w:t xml:space="preserve"> Le Maître de l’Ouvrage publiera immédiatement l</w:t>
            </w:r>
            <w:r w:rsidR="004D0EE5" w:rsidRPr="00A67F27">
              <w:rPr>
                <w:rFonts w:asciiTheme="majorBidi" w:hAnsiTheme="majorBidi" w:cstheme="majorBidi"/>
              </w:rPr>
              <w:t>’</w:t>
            </w:r>
            <w:r w:rsidR="003037F7" w:rsidRPr="00A67F27">
              <w:rPr>
                <w:rFonts w:asciiTheme="majorBidi" w:hAnsiTheme="majorBidi" w:cstheme="majorBidi"/>
              </w:rPr>
              <w:t>additif sur la page Web</w:t>
            </w:r>
            <w:r w:rsidR="008321CB" w:rsidRPr="00A67F27">
              <w:rPr>
                <w:rFonts w:asciiTheme="majorBidi" w:hAnsiTheme="majorBidi" w:cstheme="majorBidi"/>
              </w:rPr>
              <w:t xml:space="preserve"> identifiée </w:t>
            </w:r>
            <w:r w:rsidR="00444BDD" w:rsidRPr="00A67F27">
              <w:rPr>
                <w:rFonts w:asciiTheme="majorBidi" w:hAnsiTheme="majorBidi" w:cstheme="majorBidi"/>
              </w:rPr>
              <w:t>à l’article 7.1 des IS</w:t>
            </w:r>
            <w:r w:rsidR="008321CB" w:rsidRPr="00A67F27">
              <w:rPr>
                <w:rFonts w:asciiTheme="majorBidi" w:hAnsiTheme="majorBidi" w:cstheme="majorBidi"/>
              </w:rPr>
              <w:t>.</w:t>
            </w:r>
            <w:r w:rsidRPr="00A67F27">
              <w:rPr>
                <w:rFonts w:asciiTheme="majorBidi" w:hAnsiTheme="majorBidi" w:cstheme="majorBidi"/>
              </w:rPr>
              <w:t xml:space="preserve"> </w:t>
            </w:r>
          </w:p>
          <w:p w14:paraId="64B917CA" w14:textId="0C31D33B" w:rsidR="000A450A" w:rsidRPr="00A67F27" w:rsidRDefault="000A450A" w:rsidP="00D510E8">
            <w:pPr>
              <w:pStyle w:val="Paragraphedeliste"/>
              <w:numPr>
                <w:ilvl w:val="1"/>
                <w:numId w:val="32"/>
              </w:numPr>
              <w:tabs>
                <w:tab w:val="left" w:pos="612"/>
              </w:tabs>
              <w:spacing w:after="0"/>
              <w:contextualSpacing w:val="0"/>
              <w:rPr>
                <w:rFonts w:asciiTheme="majorBidi" w:hAnsiTheme="majorBidi" w:cstheme="majorBidi"/>
              </w:rPr>
            </w:pPr>
            <w:r w:rsidRPr="00A67F27">
              <w:rPr>
                <w:rFonts w:asciiTheme="majorBidi" w:hAnsiTheme="majorBidi" w:cstheme="majorBidi"/>
              </w:rPr>
              <w:t xml:space="preserve">Afin de laisser aux soumissionnaires éventuels un délai raisonnable pour prendre en compte l’additif </w:t>
            </w:r>
            <w:r w:rsidR="00291F0A" w:rsidRPr="00A67F27">
              <w:rPr>
                <w:rFonts w:asciiTheme="majorBidi" w:hAnsiTheme="majorBidi" w:cstheme="majorBidi"/>
              </w:rPr>
              <w:t xml:space="preserve">lors de </w:t>
            </w:r>
            <w:r w:rsidRPr="00A67F27">
              <w:rPr>
                <w:rFonts w:asciiTheme="majorBidi" w:hAnsiTheme="majorBidi" w:cstheme="majorBidi"/>
              </w:rPr>
              <w:t>la préparation</w:t>
            </w:r>
            <w:r w:rsidR="009B2302" w:rsidRPr="00A67F27">
              <w:rPr>
                <w:rFonts w:asciiTheme="majorBidi" w:hAnsiTheme="majorBidi" w:cstheme="majorBidi"/>
              </w:rPr>
              <w:t xml:space="preserve"> </w:t>
            </w:r>
            <w:r w:rsidRPr="00A67F27">
              <w:rPr>
                <w:rFonts w:asciiTheme="majorBidi" w:hAnsiTheme="majorBidi" w:cstheme="majorBidi"/>
              </w:rPr>
              <w:t xml:space="preserve">de leur offre, le Maître de l’Ouvrage peut, à sa </w:t>
            </w:r>
            <w:r w:rsidR="00291F0A" w:rsidRPr="00A67F27">
              <w:rPr>
                <w:rFonts w:asciiTheme="majorBidi" w:hAnsiTheme="majorBidi" w:cstheme="majorBidi"/>
              </w:rPr>
              <w:t>discrétion</w:t>
            </w:r>
            <w:r w:rsidRPr="00A67F27">
              <w:rPr>
                <w:rFonts w:asciiTheme="majorBidi" w:hAnsiTheme="majorBidi" w:cstheme="majorBidi"/>
              </w:rPr>
              <w:t xml:space="preserve">, reporter la date limite de remise des </w:t>
            </w:r>
            <w:r w:rsidR="00444BDD" w:rsidRPr="00A67F27">
              <w:rPr>
                <w:rFonts w:asciiTheme="majorBidi" w:hAnsiTheme="majorBidi" w:cstheme="majorBidi"/>
              </w:rPr>
              <w:t>O</w:t>
            </w:r>
            <w:r w:rsidRPr="00A67F27">
              <w:rPr>
                <w:rFonts w:asciiTheme="majorBidi" w:hAnsiTheme="majorBidi" w:cstheme="majorBidi"/>
              </w:rPr>
              <w:t xml:space="preserve">ffres conformément </w:t>
            </w:r>
            <w:r w:rsidR="004D0EE5" w:rsidRPr="00A67F27">
              <w:rPr>
                <w:rFonts w:asciiTheme="majorBidi" w:hAnsiTheme="majorBidi" w:cstheme="majorBidi"/>
              </w:rPr>
              <w:t>aux dispositions de</w:t>
            </w:r>
            <w:r w:rsidRPr="00A67F27">
              <w:rPr>
                <w:rFonts w:asciiTheme="majorBidi" w:hAnsiTheme="majorBidi" w:cstheme="majorBidi"/>
              </w:rPr>
              <w:t xml:space="preserve"> l’article </w:t>
            </w:r>
            <w:r w:rsidRPr="00A67F27">
              <w:rPr>
                <w:rFonts w:asciiTheme="majorBidi" w:hAnsiTheme="majorBidi" w:cstheme="majorBidi"/>
              </w:rPr>
              <w:lastRenderedPageBreak/>
              <w:t xml:space="preserve">22.2 des IS. </w:t>
            </w:r>
          </w:p>
        </w:tc>
      </w:tr>
      <w:tr w:rsidR="008225DD" w:rsidRPr="00A67F27" w14:paraId="01BCDDD5" w14:textId="77777777" w:rsidTr="007318E7">
        <w:trPr>
          <w:trHeight w:val="20"/>
        </w:trPr>
        <w:tc>
          <w:tcPr>
            <w:tcW w:w="9630" w:type="dxa"/>
            <w:gridSpan w:val="2"/>
            <w:tcBorders>
              <w:top w:val="nil"/>
              <w:left w:val="nil"/>
              <w:bottom w:val="nil"/>
              <w:right w:val="nil"/>
            </w:tcBorders>
          </w:tcPr>
          <w:p w14:paraId="0B34C02B" w14:textId="084B6D65" w:rsidR="008225DD" w:rsidRPr="00A67F27" w:rsidRDefault="008225DD" w:rsidP="007318E7">
            <w:pPr>
              <w:pStyle w:val="StyleStyleS1-Header1TimesNewRoman14pt1"/>
              <w:spacing w:before="0" w:after="0"/>
              <w:rPr>
                <w:rFonts w:asciiTheme="majorBidi" w:hAnsiTheme="majorBidi" w:cstheme="majorBidi"/>
                <w:lang w:val="fr-FR"/>
              </w:rPr>
            </w:pPr>
            <w:bookmarkStart w:id="104" w:name="_Toc438438829"/>
            <w:bookmarkStart w:id="105" w:name="_Toc438532577"/>
            <w:bookmarkStart w:id="106" w:name="_Toc438733973"/>
            <w:bookmarkStart w:id="107" w:name="_Toc438962055"/>
            <w:bookmarkStart w:id="108" w:name="_Toc461939618"/>
            <w:bookmarkStart w:id="109" w:name="_Toc483210579"/>
            <w:bookmarkStart w:id="110" w:name="_Toc487641778"/>
            <w:r w:rsidRPr="00A67F27">
              <w:rPr>
                <w:lang w:val="fr-FR"/>
              </w:rPr>
              <w:lastRenderedPageBreak/>
              <w:t xml:space="preserve">C. </w:t>
            </w:r>
            <w:r w:rsidRPr="00A67F27">
              <w:rPr>
                <w:lang w:val="fr-FR"/>
              </w:rPr>
              <w:tab/>
              <w:t>Préparation des offres</w:t>
            </w:r>
            <w:bookmarkEnd w:id="104"/>
            <w:bookmarkEnd w:id="105"/>
            <w:bookmarkEnd w:id="106"/>
            <w:bookmarkEnd w:id="107"/>
            <w:bookmarkEnd w:id="108"/>
            <w:bookmarkEnd w:id="109"/>
            <w:bookmarkEnd w:id="110"/>
          </w:p>
        </w:tc>
      </w:tr>
      <w:tr w:rsidR="000A450A" w:rsidRPr="00A67F27" w14:paraId="3189F06D" w14:textId="77777777" w:rsidTr="007318E7">
        <w:trPr>
          <w:trHeight w:val="20"/>
        </w:trPr>
        <w:tc>
          <w:tcPr>
            <w:tcW w:w="2250" w:type="dxa"/>
            <w:tcBorders>
              <w:top w:val="nil"/>
              <w:left w:val="nil"/>
              <w:bottom w:val="nil"/>
              <w:right w:val="nil"/>
            </w:tcBorders>
          </w:tcPr>
          <w:p w14:paraId="4596EE4C" w14:textId="0B5DAF41" w:rsidR="000A450A" w:rsidRPr="00A67F27" w:rsidRDefault="00AD134E" w:rsidP="007318E7">
            <w:pPr>
              <w:pStyle w:val="S1-Header2"/>
              <w:numPr>
                <w:ilvl w:val="0"/>
                <w:numId w:val="0"/>
              </w:numPr>
              <w:tabs>
                <w:tab w:val="num" w:pos="432"/>
              </w:tabs>
              <w:spacing w:after="0"/>
              <w:ind w:left="432" w:hanging="432"/>
              <w:rPr>
                <w:rFonts w:asciiTheme="majorBidi" w:hAnsiTheme="majorBidi" w:cstheme="majorBidi"/>
                <w:lang w:val="fr-FR"/>
              </w:rPr>
            </w:pPr>
            <w:bookmarkStart w:id="111" w:name="_Toc156373292"/>
            <w:bookmarkStart w:id="112" w:name="_Toc483210580"/>
            <w:bookmarkStart w:id="113" w:name="_Toc487641779"/>
            <w:bookmarkStart w:id="114" w:name="_Toc438438830"/>
            <w:bookmarkStart w:id="115" w:name="_Toc438532578"/>
            <w:bookmarkStart w:id="116" w:name="_Toc438733974"/>
            <w:bookmarkStart w:id="117" w:name="_Toc438907013"/>
            <w:bookmarkStart w:id="118" w:name="_Toc438907212"/>
            <w:r w:rsidRPr="00A67F27">
              <w:rPr>
                <w:lang w:val="fr-FR"/>
              </w:rPr>
              <w:t>9.</w:t>
            </w:r>
            <w:r w:rsidR="000A450A" w:rsidRPr="00A67F27">
              <w:rPr>
                <w:lang w:val="fr-FR"/>
              </w:rPr>
              <w:tab/>
              <w:t>Frais afférents à la soumission</w:t>
            </w:r>
            <w:bookmarkEnd w:id="111"/>
            <w:bookmarkEnd w:id="112"/>
            <w:bookmarkEnd w:id="113"/>
            <w:r w:rsidR="000A450A" w:rsidRPr="00A67F27">
              <w:rPr>
                <w:rFonts w:asciiTheme="majorBidi" w:hAnsiTheme="majorBidi" w:cstheme="majorBidi"/>
                <w:lang w:val="fr-FR"/>
              </w:rPr>
              <w:t xml:space="preserve"> </w:t>
            </w:r>
            <w:bookmarkEnd w:id="114"/>
            <w:bookmarkEnd w:id="115"/>
            <w:bookmarkEnd w:id="116"/>
            <w:bookmarkEnd w:id="117"/>
            <w:bookmarkEnd w:id="118"/>
          </w:p>
        </w:tc>
        <w:tc>
          <w:tcPr>
            <w:tcW w:w="7380" w:type="dxa"/>
            <w:tcBorders>
              <w:top w:val="nil"/>
              <w:left w:val="nil"/>
              <w:bottom w:val="nil"/>
              <w:right w:val="nil"/>
            </w:tcBorders>
          </w:tcPr>
          <w:p w14:paraId="4A40C31C" w14:textId="7BFB2CAC" w:rsidR="000A450A" w:rsidRPr="00A67F27" w:rsidRDefault="000A450A" w:rsidP="00D510E8">
            <w:pPr>
              <w:pStyle w:val="Paragraphedeliste"/>
              <w:numPr>
                <w:ilvl w:val="1"/>
                <w:numId w:val="33"/>
              </w:numPr>
              <w:tabs>
                <w:tab w:val="left" w:pos="576"/>
                <w:tab w:val="left" w:pos="1152"/>
              </w:tabs>
              <w:spacing w:after="0"/>
              <w:rPr>
                <w:rFonts w:asciiTheme="majorBidi" w:hAnsiTheme="majorBidi" w:cstheme="majorBidi"/>
              </w:rPr>
            </w:pPr>
            <w:r w:rsidRPr="00A67F27">
              <w:rPr>
                <w:rFonts w:asciiTheme="majorBidi" w:hAnsiTheme="majorBidi" w:cstheme="majorBidi"/>
              </w:rPr>
              <w:t>Le soumissionnaire supportera tous les frais afférents à la préparation et à la présentation de son offre, et le Maître de l’Ouvrage ne sera en aucun cas responsable de ces frais ni tenu de les régler, quels que soient le déroulement et l’issue de la procédure d’</w:t>
            </w:r>
            <w:r w:rsidR="00444BDD" w:rsidRPr="00A67F27">
              <w:rPr>
                <w:rFonts w:asciiTheme="majorBidi" w:hAnsiTheme="majorBidi" w:cstheme="majorBidi"/>
              </w:rPr>
              <w:t>A</w:t>
            </w:r>
            <w:r w:rsidRPr="00A67F27">
              <w:rPr>
                <w:rFonts w:asciiTheme="majorBidi" w:hAnsiTheme="majorBidi" w:cstheme="majorBidi"/>
              </w:rPr>
              <w:t>ppel d’offres.</w:t>
            </w:r>
          </w:p>
        </w:tc>
      </w:tr>
      <w:tr w:rsidR="000A450A" w:rsidRPr="00A67F27" w14:paraId="150E16F5" w14:textId="77777777" w:rsidTr="007318E7">
        <w:trPr>
          <w:cantSplit/>
          <w:trHeight w:val="20"/>
        </w:trPr>
        <w:tc>
          <w:tcPr>
            <w:tcW w:w="2250" w:type="dxa"/>
            <w:tcBorders>
              <w:top w:val="nil"/>
              <w:left w:val="nil"/>
              <w:bottom w:val="nil"/>
              <w:right w:val="nil"/>
            </w:tcBorders>
          </w:tcPr>
          <w:p w14:paraId="13D9449E" w14:textId="3661A1AD" w:rsidR="000A450A" w:rsidRPr="00A67F27" w:rsidRDefault="00AD134E" w:rsidP="007318E7">
            <w:pPr>
              <w:pStyle w:val="S1-Header2"/>
              <w:numPr>
                <w:ilvl w:val="0"/>
                <w:numId w:val="0"/>
              </w:numPr>
              <w:tabs>
                <w:tab w:val="num" w:pos="432"/>
              </w:tabs>
              <w:spacing w:after="0"/>
              <w:ind w:left="432" w:hanging="432"/>
              <w:rPr>
                <w:rFonts w:asciiTheme="majorBidi" w:hAnsiTheme="majorBidi" w:cstheme="majorBidi"/>
                <w:lang w:val="fr-FR"/>
              </w:rPr>
            </w:pPr>
            <w:bookmarkStart w:id="119" w:name="_Toc438438831"/>
            <w:bookmarkStart w:id="120" w:name="_Toc438532579"/>
            <w:bookmarkStart w:id="121" w:name="_Toc438733975"/>
            <w:bookmarkStart w:id="122" w:name="_Toc438907014"/>
            <w:bookmarkStart w:id="123" w:name="_Toc438907213"/>
            <w:bookmarkStart w:id="124" w:name="_Toc156373293"/>
            <w:bookmarkStart w:id="125" w:name="_Toc483210581"/>
            <w:bookmarkStart w:id="126" w:name="_Toc487641780"/>
            <w:r w:rsidRPr="00A67F27">
              <w:rPr>
                <w:lang w:val="fr-FR"/>
              </w:rPr>
              <w:t>10.</w:t>
            </w:r>
            <w:r w:rsidR="000A450A" w:rsidRPr="00A67F27">
              <w:rPr>
                <w:lang w:val="fr-FR"/>
              </w:rPr>
              <w:tab/>
              <w:t>Langue de l’offre</w:t>
            </w:r>
            <w:bookmarkEnd w:id="119"/>
            <w:bookmarkEnd w:id="120"/>
            <w:bookmarkEnd w:id="121"/>
            <w:bookmarkEnd w:id="122"/>
            <w:bookmarkEnd w:id="123"/>
            <w:bookmarkEnd w:id="124"/>
            <w:bookmarkEnd w:id="125"/>
            <w:bookmarkEnd w:id="126"/>
          </w:p>
        </w:tc>
        <w:tc>
          <w:tcPr>
            <w:tcW w:w="7380" w:type="dxa"/>
            <w:tcBorders>
              <w:top w:val="nil"/>
              <w:left w:val="nil"/>
              <w:bottom w:val="nil"/>
              <w:right w:val="nil"/>
            </w:tcBorders>
          </w:tcPr>
          <w:p w14:paraId="112A0BA9" w14:textId="07565063" w:rsidR="000A450A" w:rsidRPr="00A67F27" w:rsidRDefault="000A450A" w:rsidP="00D510E8">
            <w:pPr>
              <w:pStyle w:val="Paragraphedeliste"/>
              <w:numPr>
                <w:ilvl w:val="1"/>
                <w:numId w:val="34"/>
              </w:numPr>
              <w:tabs>
                <w:tab w:val="left" w:pos="576"/>
                <w:tab w:val="left" w:pos="1152"/>
              </w:tabs>
              <w:spacing w:after="0"/>
              <w:rPr>
                <w:rFonts w:asciiTheme="majorBidi" w:hAnsiTheme="majorBidi" w:cstheme="majorBidi"/>
              </w:rPr>
            </w:pPr>
            <w:r w:rsidRPr="00A67F27">
              <w:rPr>
                <w:rFonts w:asciiTheme="majorBidi" w:hAnsiTheme="majorBidi" w:cstheme="majorBidi"/>
              </w:rPr>
              <w:t xml:space="preserve">L’Offre, ainsi que toute la correspondance et tous les documents la concernant échangés entre le Soumissionnaire et le Maître de l’Ouvrage seront rédigés dans la langue </w:t>
            </w:r>
            <w:r w:rsidRPr="00A67F27">
              <w:rPr>
                <w:rFonts w:asciiTheme="majorBidi" w:hAnsiTheme="majorBidi" w:cstheme="majorBidi"/>
                <w:b/>
                <w:bCs/>
              </w:rPr>
              <w:t>indiquée dans les</w:t>
            </w:r>
            <w:r w:rsidRPr="00A67F27">
              <w:rPr>
                <w:rFonts w:asciiTheme="majorBidi" w:hAnsiTheme="majorBidi" w:cstheme="majorBidi"/>
              </w:rPr>
              <w:t xml:space="preserve"> </w:t>
            </w:r>
            <w:r w:rsidRPr="00A67F27">
              <w:rPr>
                <w:rFonts w:asciiTheme="majorBidi" w:hAnsiTheme="majorBidi" w:cstheme="majorBidi"/>
                <w:b/>
              </w:rPr>
              <w:t>DPAO</w:t>
            </w:r>
            <w:r w:rsidRPr="00A67F27">
              <w:rPr>
                <w:rFonts w:asciiTheme="majorBidi" w:hAnsiTheme="majorBidi" w:cstheme="majorBidi"/>
              </w:rPr>
              <w:t xml:space="preserve">. Les documents complémentaires et les publications fournis par le Soumissionnaire dans le cadre de la soumission peuvent être rédigés dans une autre langue à condition d’être accompagnés d’une traduction des passages pertinents à l’offre dans la langue </w:t>
            </w:r>
            <w:r w:rsidRPr="00A67F27">
              <w:rPr>
                <w:rFonts w:asciiTheme="majorBidi" w:hAnsiTheme="majorBidi" w:cstheme="majorBidi"/>
                <w:b/>
                <w:bCs/>
              </w:rPr>
              <w:t>indiquée dans les</w:t>
            </w:r>
            <w:r w:rsidRPr="00A67F27">
              <w:rPr>
                <w:rFonts w:asciiTheme="majorBidi" w:hAnsiTheme="majorBidi" w:cstheme="majorBidi"/>
              </w:rPr>
              <w:t xml:space="preserve"> </w:t>
            </w:r>
            <w:r w:rsidRPr="00A67F27">
              <w:rPr>
                <w:rFonts w:asciiTheme="majorBidi" w:hAnsiTheme="majorBidi" w:cstheme="majorBidi"/>
                <w:b/>
              </w:rPr>
              <w:t>DPAO</w:t>
            </w:r>
            <w:r w:rsidRPr="00A67F27">
              <w:rPr>
                <w:rFonts w:asciiTheme="majorBidi" w:hAnsiTheme="majorBidi" w:cstheme="majorBidi"/>
              </w:rPr>
              <w:t>, auquel cas, aux fins d’interprétation de l’offre, la traduction fera foi.</w:t>
            </w:r>
          </w:p>
        </w:tc>
      </w:tr>
      <w:tr w:rsidR="000A450A" w:rsidRPr="00A67F27" w14:paraId="56A5C5ED" w14:textId="77777777" w:rsidTr="007318E7">
        <w:trPr>
          <w:cantSplit/>
          <w:trHeight w:val="20"/>
        </w:trPr>
        <w:tc>
          <w:tcPr>
            <w:tcW w:w="2250" w:type="dxa"/>
            <w:tcBorders>
              <w:top w:val="nil"/>
              <w:left w:val="nil"/>
              <w:bottom w:val="nil"/>
              <w:right w:val="nil"/>
            </w:tcBorders>
          </w:tcPr>
          <w:p w14:paraId="58937032" w14:textId="05376067" w:rsidR="000A450A" w:rsidRPr="00A67F27" w:rsidRDefault="00B125FF" w:rsidP="007318E7">
            <w:pPr>
              <w:pStyle w:val="S1-Header2"/>
              <w:numPr>
                <w:ilvl w:val="0"/>
                <w:numId w:val="0"/>
              </w:numPr>
              <w:tabs>
                <w:tab w:val="num" w:pos="432"/>
              </w:tabs>
              <w:spacing w:after="0"/>
              <w:ind w:left="432" w:hanging="432"/>
              <w:rPr>
                <w:rFonts w:asciiTheme="majorBidi" w:hAnsiTheme="majorBidi" w:cstheme="majorBidi"/>
                <w:lang w:val="fr-FR"/>
              </w:rPr>
            </w:pPr>
            <w:bookmarkStart w:id="127" w:name="_Toc438438832"/>
            <w:bookmarkStart w:id="128" w:name="_Toc438532580"/>
            <w:bookmarkStart w:id="129" w:name="_Toc438733976"/>
            <w:bookmarkStart w:id="130" w:name="_Toc438907015"/>
            <w:bookmarkStart w:id="131" w:name="_Toc438907214"/>
            <w:bookmarkStart w:id="132" w:name="_Toc156373294"/>
            <w:bookmarkStart w:id="133" w:name="_Toc483210582"/>
            <w:bookmarkStart w:id="134" w:name="_Toc487641781"/>
            <w:r w:rsidRPr="00A67F27">
              <w:rPr>
                <w:lang w:val="fr-FR"/>
              </w:rPr>
              <w:t>11.</w:t>
            </w:r>
            <w:r w:rsidR="000A450A" w:rsidRPr="00A67F27">
              <w:rPr>
                <w:lang w:val="fr-FR"/>
              </w:rPr>
              <w:tab/>
              <w:t>Documents constitutifs de</w:t>
            </w:r>
            <w:r w:rsidR="00BD3777" w:rsidRPr="00A67F27">
              <w:rPr>
                <w:lang w:val="fr-FR"/>
              </w:rPr>
              <w:t> </w:t>
            </w:r>
            <w:r w:rsidR="000A450A" w:rsidRPr="00A67F27">
              <w:rPr>
                <w:lang w:val="fr-FR"/>
              </w:rPr>
              <w:t>l’offre</w:t>
            </w:r>
            <w:bookmarkEnd w:id="127"/>
            <w:bookmarkEnd w:id="128"/>
            <w:bookmarkEnd w:id="129"/>
            <w:bookmarkEnd w:id="130"/>
            <w:bookmarkEnd w:id="131"/>
            <w:bookmarkEnd w:id="132"/>
            <w:bookmarkEnd w:id="133"/>
            <w:bookmarkEnd w:id="134"/>
          </w:p>
        </w:tc>
        <w:tc>
          <w:tcPr>
            <w:tcW w:w="7380" w:type="dxa"/>
            <w:tcBorders>
              <w:top w:val="nil"/>
              <w:left w:val="nil"/>
              <w:bottom w:val="nil"/>
              <w:right w:val="nil"/>
            </w:tcBorders>
          </w:tcPr>
          <w:p w14:paraId="2B441B09" w14:textId="6125ED4B" w:rsidR="000A450A" w:rsidRPr="00A67F27" w:rsidRDefault="000A450A" w:rsidP="00D510E8">
            <w:pPr>
              <w:pStyle w:val="Paragraphedeliste"/>
              <w:numPr>
                <w:ilvl w:val="1"/>
                <w:numId w:val="35"/>
              </w:numPr>
              <w:tabs>
                <w:tab w:val="left" w:pos="576"/>
                <w:tab w:val="left" w:pos="1152"/>
              </w:tabs>
              <w:spacing w:after="0"/>
              <w:rPr>
                <w:rFonts w:asciiTheme="majorBidi" w:hAnsiTheme="majorBidi" w:cstheme="majorBidi"/>
              </w:rPr>
            </w:pPr>
            <w:r w:rsidRPr="00A67F27">
              <w:rPr>
                <w:rFonts w:asciiTheme="majorBidi" w:hAnsiTheme="majorBidi" w:cstheme="majorBidi"/>
              </w:rPr>
              <w:t>L’offre comprendra les documents suivants</w:t>
            </w:r>
            <w:r w:rsidR="009B2302" w:rsidRPr="00A67F27">
              <w:rPr>
                <w:rFonts w:asciiTheme="majorBidi" w:hAnsiTheme="majorBidi" w:cstheme="majorBidi"/>
              </w:rPr>
              <w:t> :</w:t>
            </w:r>
          </w:p>
          <w:p w14:paraId="6ECDFF2F" w14:textId="249518A4" w:rsidR="000A450A" w:rsidRPr="00A67F27" w:rsidRDefault="000A450A" w:rsidP="007318E7">
            <w:pPr>
              <w:numPr>
                <w:ilvl w:val="0"/>
                <w:numId w:val="4"/>
              </w:numPr>
              <w:tabs>
                <w:tab w:val="left" w:pos="576"/>
                <w:tab w:val="left" w:pos="1152"/>
              </w:tabs>
              <w:spacing w:after="0"/>
              <w:ind w:left="1152" w:hanging="576"/>
              <w:rPr>
                <w:rFonts w:asciiTheme="majorBidi" w:hAnsiTheme="majorBidi" w:cstheme="majorBidi"/>
              </w:rPr>
            </w:pPr>
            <w:r w:rsidRPr="00A67F27">
              <w:rPr>
                <w:rFonts w:asciiTheme="majorBidi" w:hAnsiTheme="majorBidi" w:cstheme="majorBidi"/>
              </w:rPr>
              <w:t xml:space="preserve">La </w:t>
            </w:r>
            <w:r w:rsidR="00291F0A" w:rsidRPr="00A67F27">
              <w:rPr>
                <w:rFonts w:asciiTheme="majorBidi" w:hAnsiTheme="majorBidi" w:cstheme="majorBidi"/>
              </w:rPr>
              <w:t xml:space="preserve">Lettre de </w:t>
            </w:r>
            <w:r w:rsidRPr="00A67F27">
              <w:rPr>
                <w:rFonts w:asciiTheme="majorBidi" w:hAnsiTheme="majorBidi" w:cstheme="majorBidi"/>
              </w:rPr>
              <w:t>Soumission </w:t>
            </w:r>
            <w:r w:rsidR="00291F0A" w:rsidRPr="00A67F27">
              <w:rPr>
                <w:rFonts w:asciiTheme="majorBidi" w:hAnsiTheme="majorBidi" w:cstheme="majorBidi"/>
              </w:rPr>
              <w:t>préparée conformément aux dispositions de l’Article 12 des IS</w:t>
            </w:r>
            <w:r w:rsidR="009B2302" w:rsidRPr="00A67F27">
              <w:rPr>
                <w:rFonts w:asciiTheme="majorBidi" w:hAnsiTheme="majorBidi" w:cstheme="majorBidi"/>
              </w:rPr>
              <w:t> ;</w:t>
            </w:r>
            <w:r w:rsidRPr="00A67F27">
              <w:rPr>
                <w:rFonts w:asciiTheme="majorBidi" w:hAnsiTheme="majorBidi" w:cstheme="majorBidi"/>
              </w:rPr>
              <w:t xml:space="preserve"> </w:t>
            </w:r>
          </w:p>
          <w:p w14:paraId="6FC3A2E3" w14:textId="395ACF2A" w:rsidR="000A450A" w:rsidRPr="00A67F27" w:rsidRDefault="000A450A" w:rsidP="007318E7">
            <w:pPr>
              <w:numPr>
                <w:ilvl w:val="0"/>
                <w:numId w:val="4"/>
              </w:numPr>
              <w:tabs>
                <w:tab w:val="left" w:pos="576"/>
                <w:tab w:val="left" w:pos="1152"/>
              </w:tabs>
              <w:spacing w:after="0"/>
              <w:ind w:left="1152" w:hanging="576"/>
              <w:rPr>
                <w:rFonts w:asciiTheme="majorBidi" w:hAnsiTheme="majorBidi" w:cstheme="majorBidi"/>
              </w:rPr>
            </w:pPr>
            <w:r w:rsidRPr="00A67F27">
              <w:rPr>
                <w:rFonts w:asciiTheme="majorBidi" w:hAnsiTheme="majorBidi" w:cstheme="majorBidi"/>
              </w:rPr>
              <w:t xml:space="preserve">Les autres formulaires inclus dans la Section IV-Formulaires de </w:t>
            </w:r>
            <w:r w:rsidR="008321CB" w:rsidRPr="00A67F27">
              <w:rPr>
                <w:rFonts w:asciiTheme="majorBidi" w:hAnsiTheme="majorBidi" w:cstheme="majorBidi"/>
              </w:rPr>
              <w:t>S</w:t>
            </w:r>
            <w:r w:rsidRPr="00A67F27">
              <w:rPr>
                <w:rFonts w:asciiTheme="majorBidi" w:hAnsiTheme="majorBidi" w:cstheme="majorBidi"/>
              </w:rPr>
              <w:t>oumission dûment remplis</w:t>
            </w:r>
            <w:r w:rsidR="008321CB" w:rsidRPr="00A67F27">
              <w:rPr>
                <w:rFonts w:asciiTheme="majorBidi" w:hAnsiTheme="majorBidi" w:cstheme="majorBidi"/>
              </w:rPr>
              <w:t>, y compris le B</w:t>
            </w:r>
            <w:r w:rsidRPr="00A67F27">
              <w:rPr>
                <w:rFonts w:asciiTheme="majorBidi" w:hAnsiTheme="majorBidi" w:cstheme="majorBidi"/>
              </w:rPr>
              <w:t xml:space="preserve">ordereau des </w:t>
            </w:r>
            <w:r w:rsidR="008321CB" w:rsidRPr="00A67F27">
              <w:rPr>
                <w:rFonts w:asciiTheme="majorBidi" w:hAnsiTheme="majorBidi" w:cstheme="majorBidi"/>
              </w:rPr>
              <w:t>P</w:t>
            </w:r>
            <w:r w:rsidRPr="00A67F27">
              <w:rPr>
                <w:rFonts w:asciiTheme="majorBidi" w:hAnsiTheme="majorBidi" w:cstheme="majorBidi"/>
              </w:rPr>
              <w:t xml:space="preserve">rix </w:t>
            </w:r>
            <w:r w:rsidR="008321CB" w:rsidRPr="00A67F27">
              <w:rPr>
                <w:rFonts w:asciiTheme="majorBidi" w:hAnsiTheme="majorBidi" w:cstheme="majorBidi"/>
              </w:rPr>
              <w:t>u</w:t>
            </w:r>
            <w:r w:rsidRPr="00A67F27">
              <w:rPr>
                <w:rFonts w:asciiTheme="majorBidi" w:hAnsiTheme="majorBidi" w:cstheme="majorBidi"/>
              </w:rPr>
              <w:t xml:space="preserve">nitaires et le </w:t>
            </w:r>
            <w:r w:rsidR="008321CB" w:rsidRPr="00A67F27">
              <w:rPr>
                <w:rFonts w:asciiTheme="majorBidi" w:hAnsiTheme="majorBidi" w:cstheme="majorBidi"/>
              </w:rPr>
              <w:t>D</w:t>
            </w:r>
            <w:r w:rsidRPr="00A67F27">
              <w:rPr>
                <w:rFonts w:asciiTheme="majorBidi" w:hAnsiTheme="majorBidi" w:cstheme="majorBidi"/>
              </w:rPr>
              <w:t>étail quantitatif et estimatif,</w:t>
            </w:r>
            <w:r w:rsidR="009D1095" w:rsidRPr="00A67F27">
              <w:rPr>
                <w:rFonts w:asciiTheme="majorBidi" w:hAnsiTheme="majorBidi" w:cstheme="majorBidi"/>
              </w:rPr>
              <w:t xml:space="preserve"> ou le Programme d’Activités</w:t>
            </w:r>
            <w:r w:rsidRPr="00A67F27">
              <w:rPr>
                <w:rFonts w:asciiTheme="majorBidi" w:hAnsiTheme="majorBidi" w:cstheme="majorBidi"/>
              </w:rPr>
              <w:t xml:space="preserve"> remplis conformément aux dispositions des articles 12 et 14 des IS</w:t>
            </w:r>
            <w:r w:rsidR="009B2302" w:rsidRPr="00A67F27">
              <w:rPr>
                <w:rFonts w:asciiTheme="majorBidi" w:hAnsiTheme="majorBidi" w:cstheme="majorBidi"/>
              </w:rPr>
              <w:t> ;</w:t>
            </w:r>
          </w:p>
          <w:p w14:paraId="3F4CBF33" w14:textId="6DD4A445" w:rsidR="000A450A" w:rsidRPr="00A67F27" w:rsidRDefault="000A450A" w:rsidP="007318E7">
            <w:pPr>
              <w:pStyle w:val="Outline1"/>
              <w:keepNext w:val="0"/>
              <w:numPr>
                <w:ilvl w:val="0"/>
                <w:numId w:val="4"/>
              </w:numPr>
              <w:tabs>
                <w:tab w:val="clear" w:pos="432"/>
                <w:tab w:val="left" w:pos="576"/>
                <w:tab w:val="left" w:pos="1152"/>
              </w:tabs>
              <w:spacing w:before="0" w:after="0"/>
              <w:ind w:left="1152" w:hanging="576"/>
              <w:jc w:val="both"/>
              <w:rPr>
                <w:rFonts w:asciiTheme="majorBidi" w:hAnsiTheme="majorBidi" w:cstheme="majorBidi"/>
                <w:kern w:val="0"/>
              </w:rPr>
            </w:pPr>
            <w:r w:rsidRPr="00A67F27">
              <w:rPr>
                <w:rFonts w:asciiTheme="majorBidi" w:hAnsiTheme="majorBidi" w:cstheme="majorBidi"/>
                <w:kern w:val="0"/>
              </w:rPr>
              <w:t xml:space="preserve">la </w:t>
            </w:r>
            <w:r w:rsidR="00EF6B71" w:rsidRPr="00A67F27">
              <w:rPr>
                <w:rFonts w:asciiTheme="majorBidi" w:hAnsiTheme="majorBidi" w:cstheme="majorBidi"/>
                <w:kern w:val="0"/>
              </w:rPr>
              <w:t xml:space="preserve">Garantie </w:t>
            </w:r>
            <w:r w:rsidR="00131009" w:rsidRPr="00A67F27">
              <w:rPr>
                <w:rFonts w:asciiTheme="majorBidi" w:hAnsiTheme="majorBidi" w:cstheme="majorBidi"/>
                <w:kern w:val="0"/>
              </w:rPr>
              <w:t>d’offre</w:t>
            </w:r>
            <w:r w:rsidR="009B2302" w:rsidRPr="00A67F27">
              <w:rPr>
                <w:rFonts w:asciiTheme="majorBidi" w:hAnsiTheme="majorBidi" w:cstheme="majorBidi"/>
                <w:kern w:val="0"/>
              </w:rPr>
              <w:t xml:space="preserve"> </w:t>
            </w:r>
            <w:r w:rsidR="00291F0A" w:rsidRPr="00A67F27">
              <w:rPr>
                <w:rFonts w:asciiTheme="majorBidi" w:hAnsiTheme="majorBidi" w:cstheme="majorBidi"/>
                <w:kern w:val="0"/>
              </w:rPr>
              <w:t>ou la déclaration de garantie d</w:t>
            </w:r>
            <w:r w:rsidR="009D1095" w:rsidRPr="00A67F27">
              <w:rPr>
                <w:rFonts w:asciiTheme="majorBidi" w:hAnsiTheme="majorBidi" w:cstheme="majorBidi"/>
                <w:kern w:val="0"/>
              </w:rPr>
              <w:t>’</w:t>
            </w:r>
            <w:r w:rsidR="00291F0A" w:rsidRPr="00A67F27">
              <w:rPr>
                <w:rFonts w:asciiTheme="majorBidi" w:hAnsiTheme="majorBidi" w:cstheme="majorBidi"/>
                <w:kern w:val="0"/>
              </w:rPr>
              <w:t xml:space="preserve">offre </w:t>
            </w:r>
            <w:r w:rsidRPr="00A67F27">
              <w:rPr>
                <w:rFonts w:asciiTheme="majorBidi" w:hAnsiTheme="majorBidi" w:cstheme="majorBidi"/>
                <w:kern w:val="0"/>
              </w:rPr>
              <w:t>établie conformément aux dispositions de l’article 19</w:t>
            </w:r>
            <w:r w:rsidR="00291F0A" w:rsidRPr="00A67F27">
              <w:rPr>
                <w:rFonts w:asciiTheme="majorBidi" w:hAnsiTheme="majorBidi" w:cstheme="majorBidi"/>
                <w:kern w:val="0"/>
              </w:rPr>
              <w:t>.1</w:t>
            </w:r>
            <w:r w:rsidRPr="00A67F27">
              <w:rPr>
                <w:rFonts w:asciiTheme="majorBidi" w:hAnsiTheme="majorBidi" w:cstheme="majorBidi"/>
                <w:kern w:val="0"/>
              </w:rPr>
              <w:t xml:space="preserve"> des IS</w:t>
            </w:r>
            <w:r w:rsidR="009B2302" w:rsidRPr="00A67F27">
              <w:rPr>
                <w:rFonts w:asciiTheme="majorBidi" w:hAnsiTheme="majorBidi" w:cstheme="majorBidi"/>
                <w:kern w:val="0"/>
              </w:rPr>
              <w:t> ;</w:t>
            </w:r>
          </w:p>
          <w:p w14:paraId="7E4FCE2E" w14:textId="47F6DBAF" w:rsidR="000A450A" w:rsidRPr="00A67F27" w:rsidRDefault="000A450A" w:rsidP="007318E7">
            <w:pPr>
              <w:numPr>
                <w:ilvl w:val="0"/>
                <w:numId w:val="4"/>
              </w:numPr>
              <w:tabs>
                <w:tab w:val="left" w:pos="576"/>
                <w:tab w:val="left" w:pos="1152"/>
              </w:tabs>
              <w:spacing w:after="0"/>
              <w:ind w:left="1152" w:hanging="576"/>
              <w:rPr>
                <w:rFonts w:asciiTheme="majorBidi" w:hAnsiTheme="majorBidi" w:cstheme="majorBidi"/>
              </w:rPr>
            </w:pPr>
            <w:r w:rsidRPr="00A67F27">
              <w:rPr>
                <w:rFonts w:asciiTheme="majorBidi" w:hAnsiTheme="majorBidi" w:cstheme="majorBidi"/>
              </w:rPr>
              <w:t>des variantes, si leur présentation est autorisée, conformément aux dispositions de l’article 13 des IS</w:t>
            </w:r>
            <w:r w:rsidR="009B2302" w:rsidRPr="00A67F27">
              <w:rPr>
                <w:rFonts w:asciiTheme="majorBidi" w:hAnsiTheme="majorBidi" w:cstheme="majorBidi"/>
              </w:rPr>
              <w:t> ;</w:t>
            </w:r>
          </w:p>
        </w:tc>
      </w:tr>
      <w:tr w:rsidR="000A450A" w:rsidRPr="00A67F27" w14:paraId="26CC0FB8" w14:textId="77777777" w:rsidTr="007318E7">
        <w:trPr>
          <w:trHeight w:val="20"/>
        </w:trPr>
        <w:tc>
          <w:tcPr>
            <w:tcW w:w="2250" w:type="dxa"/>
            <w:tcBorders>
              <w:top w:val="nil"/>
              <w:left w:val="nil"/>
              <w:bottom w:val="nil"/>
              <w:right w:val="nil"/>
            </w:tcBorders>
          </w:tcPr>
          <w:p w14:paraId="30A701D2" w14:textId="77777777" w:rsidR="000A450A" w:rsidRPr="00A67F27" w:rsidRDefault="000A450A" w:rsidP="007318E7">
            <w:pPr>
              <w:numPr>
                <w:ilvl w:val="12"/>
                <w:numId w:val="0"/>
              </w:numPr>
              <w:spacing w:after="0"/>
              <w:rPr>
                <w:rFonts w:asciiTheme="majorBidi" w:hAnsiTheme="majorBidi" w:cstheme="majorBidi"/>
              </w:rPr>
            </w:pPr>
            <w:bookmarkStart w:id="135" w:name="_Toc438532581"/>
            <w:bookmarkEnd w:id="135"/>
          </w:p>
        </w:tc>
        <w:tc>
          <w:tcPr>
            <w:tcW w:w="7380" w:type="dxa"/>
            <w:tcBorders>
              <w:top w:val="nil"/>
              <w:left w:val="nil"/>
              <w:bottom w:val="nil"/>
              <w:right w:val="nil"/>
            </w:tcBorders>
          </w:tcPr>
          <w:p w14:paraId="11FD9E46" w14:textId="69935A56" w:rsidR="000A450A" w:rsidRPr="00A67F27" w:rsidRDefault="000A450A" w:rsidP="007318E7">
            <w:pPr>
              <w:numPr>
                <w:ilvl w:val="0"/>
                <w:numId w:val="4"/>
              </w:numPr>
              <w:tabs>
                <w:tab w:val="left" w:pos="576"/>
                <w:tab w:val="left" w:pos="1152"/>
              </w:tabs>
              <w:spacing w:after="0"/>
              <w:ind w:left="1152" w:hanging="576"/>
              <w:rPr>
                <w:rFonts w:asciiTheme="majorBidi" w:hAnsiTheme="majorBidi" w:cstheme="majorBidi"/>
              </w:rPr>
            </w:pPr>
            <w:r w:rsidRPr="00A67F27">
              <w:rPr>
                <w:rFonts w:asciiTheme="majorBidi" w:hAnsiTheme="majorBidi" w:cstheme="majorBidi"/>
              </w:rPr>
              <w:t xml:space="preserve">la confirmation </w:t>
            </w:r>
            <w:r w:rsidR="001E54EB" w:rsidRPr="00A67F27">
              <w:rPr>
                <w:rFonts w:asciiTheme="majorBidi" w:hAnsiTheme="majorBidi" w:cstheme="majorBidi"/>
              </w:rPr>
              <w:t xml:space="preserve">par </w:t>
            </w:r>
            <w:r w:rsidRPr="00A67F27">
              <w:rPr>
                <w:rFonts w:asciiTheme="majorBidi" w:hAnsiTheme="majorBidi" w:cstheme="majorBidi"/>
              </w:rPr>
              <w:t>écrit de l’habilitation du signataire de l’offre à engager le Soumissionnaire, conformément aux dispositions de l’article 20.</w:t>
            </w:r>
            <w:r w:rsidR="000C2173" w:rsidRPr="00A67F27">
              <w:rPr>
                <w:rFonts w:asciiTheme="majorBidi" w:hAnsiTheme="majorBidi" w:cstheme="majorBidi"/>
              </w:rPr>
              <w:t>3</w:t>
            </w:r>
            <w:r w:rsidRPr="00A67F27">
              <w:rPr>
                <w:rFonts w:asciiTheme="majorBidi" w:hAnsiTheme="majorBidi" w:cstheme="majorBidi"/>
              </w:rPr>
              <w:t xml:space="preserve"> des IS</w:t>
            </w:r>
            <w:r w:rsidR="009B2302" w:rsidRPr="00A67F27">
              <w:rPr>
                <w:rFonts w:asciiTheme="majorBidi" w:hAnsiTheme="majorBidi" w:cstheme="majorBidi"/>
              </w:rPr>
              <w:t> ;</w:t>
            </w:r>
            <w:r w:rsidRPr="00A67F27">
              <w:rPr>
                <w:rFonts w:asciiTheme="majorBidi" w:hAnsiTheme="majorBidi" w:cstheme="majorBidi"/>
              </w:rPr>
              <w:t xml:space="preserve"> </w:t>
            </w:r>
          </w:p>
          <w:p w14:paraId="49AD93C2" w14:textId="7D5F5500" w:rsidR="000A450A" w:rsidRPr="00A67F27" w:rsidRDefault="00D42529" w:rsidP="007318E7">
            <w:pPr>
              <w:numPr>
                <w:ilvl w:val="0"/>
                <w:numId w:val="4"/>
              </w:numPr>
              <w:tabs>
                <w:tab w:val="left" w:pos="576"/>
                <w:tab w:val="left" w:pos="1152"/>
              </w:tabs>
              <w:spacing w:after="0"/>
              <w:ind w:left="1152" w:hanging="576"/>
              <w:rPr>
                <w:rFonts w:asciiTheme="majorBidi" w:hAnsiTheme="majorBidi" w:cstheme="majorBidi"/>
              </w:rPr>
            </w:pPr>
            <w:r w:rsidRPr="00A67F27">
              <w:rPr>
                <w:rFonts w:asciiTheme="majorBidi" w:hAnsiTheme="majorBidi" w:cstheme="majorBidi"/>
              </w:rPr>
              <w:t xml:space="preserve">les documents </w:t>
            </w:r>
            <w:r w:rsidR="006C135D" w:rsidRPr="00A67F27">
              <w:rPr>
                <w:rFonts w:asciiTheme="majorBidi" w:hAnsiTheme="majorBidi" w:cstheme="majorBidi"/>
              </w:rPr>
              <w:t xml:space="preserve">conformément à l’article 17 des IS </w:t>
            </w:r>
            <w:r w:rsidRPr="00A67F27">
              <w:rPr>
                <w:rFonts w:asciiTheme="majorBidi" w:hAnsiTheme="majorBidi" w:cstheme="majorBidi"/>
              </w:rPr>
              <w:t>attestant</w:t>
            </w:r>
            <w:r w:rsidR="009B2302" w:rsidRPr="00A67F27">
              <w:rPr>
                <w:rFonts w:asciiTheme="majorBidi" w:hAnsiTheme="majorBidi" w:cstheme="majorBidi"/>
              </w:rPr>
              <w:t xml:space="preserve"> </w:t>
            </w:r>
            <w:r w:rsidR="006C135D" w:rsidRPr="00A67F27">
              <w:rPr>
                <w:rFonts w:asciiTheme="majorBidi" w:hAnsiTheme="majorBidi" w:cstheme="majorBidi"/>
              </w:rPr>
              <w:t xml:space="preserve">que le Soumissionnaire </w:t>
            </w:r>
            <w:r w:rsidR="001E54EB" w:rsidRPr="00A67F27">
              <w:rPr>
                <w:rFonts w:asciiTheme="majorBidi" w:hAnsiTheme="majorBidi" w:cstheme="majorBidi"/>
              </w:rPr>
              <w:t>est qualifié pour exécuter le Marché si son offre est retenue</w:t>
            </w:r>
            <w:r w:rsidR="009B2302" w:rsidRPr="00A67F27">
              <w:rPr>
                <w:rFonts w:asciiTheme="majorBidi" w:hAnsiTheme="majorBidi" w:cstheme="majorBidi"/>
              </w:rPr>
              <w:t> ;</w:t>
            </w:r>
          </w:p>
          <w:p w14:paraId="230A5963" w14:textId="51AB828A" w:rsidR="000A450A" w:rsidRPr="00A67F27" w:rsidRDefault="001E54EB" w:rsidP="007318E7">
            <w:pPr>
              <w:numPr>
                <w:ilvl w:val="0"/>
                <w:numId w:val="4"/>
              </w:numPr>
              <w:tabs>
                <w:tab w:val="left" w:pos="576"/>
                <w:tab w:val="left" w:pos="1152"/>
              </w:tabs>
              <w:spacing w:after="0"/>
              <w:ind w:left="1152" w:hanging="576"/>
              <w:rPr>
                <w:rFonts w:asciiTheme="majorBidi" w:hAnsiTheme="majorBidi" w:cstheme="majorBidi"/>
              </w:rPr>
            </w:pPr>
            <w:r w:rsidRPr="00A67F27">
              <w:rPr>
                <w:rFonts w:asciiTheme="majorBidi" w:hAnsiTheme="majorBidi" w:cstheme="majorBidi"/>
              </w:rPr>
              <w:t xml:space="preserve">la Proposition </w:t>
            </w:r>
            <w:r w:rsidR="00E761FF" w:rsidRPr="00A67F27">
              <w:rPr>
                <w:rFonts w:asciiTheme="majorBidi" w:hAnsiTheme="majorBidi" w:cstheme="majorBidi"/>
              </w:rPr>
              <w:t>t</w:t>
            </w:r>
            <w:r w:rsidRPr="00A67F27">
              <w:rPr>
                <w:rFonts w:asciiTheme="majorBidi" w:hAnsiTheme="majorBidi" w:cstheme="majorBidi"/>
              </w:rPr>
              <w:t>echniq</w:t>
            </w:r>
            <w:r w:rsidR="00E761FF" w:rsidRPr="00A67F27">
              <w:rPr>
                <w:rFonts w:asciiTheme="majorBidi" w:hAnsiTheme="majorBidi" w:cstheme="majorBidi"/>
              </w:rPr>
              <w:t>ue soumise conformément à l’art</w:t>
            </w:r>
            <w:r w:rsidRPr="00A67F27">
              <w:rPr>
                <w:rFonts w:asciiTheme="majorBidi" w:hAnsiTheme="majorBidi" w:cstheme="majorBidi"/>
              </w:rPr>
              <w:t>i</w:t>
            </w:r>
            <w:r w:rsidR="00E761FF" w:rsidRPr="00A67F27">
              <w:rPr>
                <w:rFonts w:asciiTheme="majorBidi" w:hAnsiTheme="majorBidi" w:cstheme="majorBidi"/>
              </w:rPr>
              <w:t>c</w:t>
            </w:r>
            <w:r w:rsidRPr="00A67F27">
              <w:rPr>
                <w:rFonts w:asciiTheme="majorBidi" w:hAnsiTheme="majorBidi" w:cstheme="majorBidi"/>
              </w:rPr>
              <w:t xml:space="preserve">le </w:t>
            </w:r>
            <w:r w:rsidR="005C7E71" w:rsidRPr="00A67F27">
              <w:rPr>
                <w:rFonts w:asciiTheme="majorBidi" w:hAnsiTheme="majorBidi" w:cstheme="majorBidi"/>
              </w:rPr>
              <w:t>16 des IS</w:t>
            </w:r>
            <w:r w:rsidR="009B2302" w:rsidRPr="00A67F27">
              <w:rPr>
                <w:rFonts w:asciiTheme="majorBidi" w:hAnsiTheme="majorBidi" w:cstheme="majorBidi"/>
              </w:rPr>
              <w:t> ;</w:t>
            </w:r>
            <w:r w:rsidR="000A450A" w:rsidRPr="00A67F27">
              <w:rPr>
                <w:rFonts w:asciiTheme="majorBidi" w:hAnsiTheme="majorBidi" w:cstheme="majorBidi"/>
              </w:rPr>
              <w:t xml:space="preserve"> et </w:t>
            </w:r>
          </w:p>
          <w:p w14:paraId="5F13F19F" w14:textId="77777777" w:rsidR="000A450A" w:rsidRPr="00A67F27" w:rsidRDefault="00E761FF" w:rsidP="007318E7">
            <w:pPr>
              <w:numPr>
                <w:ilvl w:val="0"/>
                <w:numId w:val="4"/>
              </w:numPr>
              <w:tabs>
                <w:tab w:val="left" w:pos="576"/>
                <w:tab w:val="left" w:pos="1152"/>
              </w:tabs>
              <w:spacing w:after="0"/>
              <w:ind w:left="1152" w:hanging="576"/>
              <w:rPr>
                <w:rFonts w:asciiTheme="majorBidi" w:hAnsiTheme="majorBidi" w:cstheme="majorBidi"/>
              </w:rPr>
            </w:pPr>
            <w:r w:rsidRPr="00A67F27">
              <w:rPr>
                <w:rFonts w:asciiTheme="majorBidi" w:hAnsiTheme="majorBidi" w:cstheme="majorBidi"/>
              </w:rPr>
              <w:t xml:space="preserve">tout autre document </w:t>
            </w:r>
            <w:r w:rsidRPr="00A67F27">
              <w:rPr>
                <w:rFonts w:asciiTheme="majorBidi" w:hAnsiTheme="majorBidi" w:cstheme="majorBidi"/>
                <w:b/>
                <w:bCs/>
              </w:rPr>
              <w:t>requis par les</w:t>
            </w:r>
            <w:r w:rsidRPr="00A67F27">
              <w:rPr>
                <w:rFonts w:asciiTheme="majorBidi" w:hAnsiTheme="majorBidi" w:cstheme="majorBidi"/>
              </w:rPr>
              <w:t xml:space="preserve"> </w:t>
            </w:r>
            <w:r w:rsidRPr="00A67F27">
              <w:rPr>
                <w:rFonts w:asciiTheme="majorBidi" w:hAnsiTheme="majorBidi" w:cstheme="majorBidi"/>
                <w:b/>
              </w:rPr>
              <w:t>DPAO</w:t>
            </w:r>
            <w:r w:rsidRPr="00A67F27">
              <w:rPr>
                <w:rFonts w:asciiTheme="majorBidi" w:hAnsiTheme="majorBidi" w:cstheme="majorBidi"/>
              </w:rPr>
              <w:t>.</w:t>
            </w:r>
          </w:p>
          <w:p w14:paraId="1B29459E" w14:textId="2E1B559B" w:rsidR="00BC693B" w:rsidRPr="00A67F27" w:rsidRDefault="000A450A" w:rsidP="00D510E8">
            <w:pPr>
              <w:pStyle w:val="Paragraphedeliste"/>
              <w:numPr>
                <w:ilvl w:val="1"/>
                <w:numId w:val="35"/>
              </w:numPr>
              <w:tabs>
                <w:tab w:val="left" w:pos="576"/>
                <w:tab w:val="left" w:pos="1152"/>
              </w:tabs>
              <w:spacing w:after="0"/>
              <w:contextualSpacing w:val="0"/>
              <w:rPr>
                <w:rFonts w:asciiTheme="majorBidi" w:hAnsiTheme="majorBidi" w:cstheme="majorBidi"/>
                <w:spacing w:val="-2"/>
              </w:rPr>
            </w:pPr>
            <w:r w:rsidRPr="00A67F27">
              <w:rPr>
                <w:rFonts w:asciiTheme="majorBidi" w:hAnsiTheme="majorBidi" w:cstheme="majorBidi"/>
                <w:spacing w:val="-2"/>
              </w:rPr>
              <w:t xml:space="preserve">En sus des documents requis à l’article 11.1 des IS, </w:t>
            </w:r>
            <w:r w:rsidR="00D42529" w:rsidRPr="00A67F27">
              <w:rPr>
                <w:rFonts w:asciiTheme="majorBidi" w:hAnsiTheme="majorBidi" w:cstheme="majorBidi"/>
                <w:spacing w:val="-2"/>
              </w:rPr>
              <w:t xml:space="preserve">l’Offre </w:t>
            </w:r>
            <w:r w:rsidRPr="00A67F27">
              <w:rPr>
                <w:rFonts w:asciiTheme="majorBidi" w:hAnsiTheme="majorBidi" w:cstheme="majorBidi"/>
                <w:spacing w:val="-2"/>
              </w:rPr>
              <w:t xml:space="preserve">présentée par un </w:t>
            </w:r>
            <w:r w:rsidR="00E86F41" w:rsidRPr="00A67F27">
              <w:rPr>
                <w:rFonts w:asciiTheme="majorBidi" w:hAnsiTheme="majorBidi" w:cstheme="majorBidi"/>
                <w:spacing w:val="-2"/>
              </w:rPr>
              <w:t>G</w:t>
            </w:r>
            <w:r w:rsidRPr="00A67F27">
              <w:rPr>
                <w:rFonts w:asciiTheme="majorBidi" w:hAnsiTheme="majorBidi" w:cstheme="majorBidi"/>
                <w:spacing w:val="-2"/>
              </w:rPr>
              <w:t>roupement d’entreprises devra inclure soit une copie de l’</w:t>
            </w:r>
            <w:r w:rsidR="00E86F41" w:rsidRPr="00A67F27">
              <w:rPr>
                <w:rFonts w:asciiTheme="majorBidi" w:hAnsiTheme="majorBidi" w:cstheme="majorBidi"/>
                <w:spacing w:val="-2"/>
              </w:rPr>
              <w:t>A</w:t>
            </w:r>
            <w:r w:rsidRPr="00A67F27">
              <w:rPr>
                <w:rFonts w:asciiTheme="majorBidi" w:hAnsiTheme="majorBidi" w:cstheme="majorBidi"/>
                <w:spacing w:val="-2"/>
              </w:rPr>
              <w:t xml:space="preserve">ccord de </w:t>
            </w:r>
            <w:r w:rsidR="00E86F41" w:rsidRPr="00A67F27">
              <w:rPr>
                <w:rFonts w:asciiTheme="majorBidi" w:hAnsiTheme="majorBidi" w:cstheme="majorBidi"/>
                <w:spacing w:val="-2"/>
              </w:rPr>
              <w:t>G</w:t>
            </w:r>
            <w:r w:rsidRPr="00A67F27">
              <w:rPr>
                <w:rFonts w:asciiTheme="majorBidi" w:hAnsiTheme="majorBidi" w:cstheme="majorBidi"/>
                <w:spacing w:val="-2"/>
              </w:rPr>
              <w:t xml:space="preserve">roupement liant tous les membres du </w:t>
            </w:r>
            <w:r w:rsidR="00E86F41" w:rsidRPr="00A67F27">
              <w:rPr>
                <w:rFonts w:asciiTheme="majorBidi" w:hAnsiTheme="majorBidi" w:cstheme="majorBidi"/>
                <w:spacing w:val="-2"/>
              </w:rPr>
              <w:t>G</w:t>
            </w:r>
            <w:r w:rsidRPr="00A67F27">
              <w:rPr>
                <w:rFonts w:asciiTheme="majorBidi" w:hAnsiTheme="majorBidi" w:cstheme="majorBidi"/>
                <w:spacing w:val="-2"/>
              </w:rPr>
              <w:t xml:space="preserve">roupement, </w:t>
            </w:r>
            <w:r w:rsidR="009D03BB" w:rsidRPr="00A67F27">
              <w:rPr>
                <w:rFonts w:asciiTheme="majorBidi" w:hAnsiTheme="majorBidi" w:cstheme="majorBidi"/>
                <w:spacing w:val="-2"/>
              </w:rPr>
              <w:t xml:space="preserve">soit </w:t>
            </w:r>
            <w:r w:rsidRPr="00A67F27">
              <w:rPr>
                <w:rFonts w:asciiTheme="majorBidi" w:hAnsiTheme="majorBidi" w:cstheme="majorBidi"/>
                <w:spacing w:val="-2"/>
              </w:rPr>
              <w:t xml:space="preserve">une lettre d’intention de constituer un tel </w:t>
            </w:r>
            <w:r w:rsidR="00E86F41" w:rsidRPr="00A67F27">
              <w:rPr>
                <w:rFonts w:asciiTheme="majorBidi" w:hAnsiTheme="majorBidi" w:cstheme="majorBidi"/>
                <w:spacing w:val="-2"/>
              </w:rPr>
              <w:t>G</w:t>
            </w:r>
            <w:r w:rsidRPr="00A67F27">
              <w:rPr>
                <w:rFonts w:asciiTheme="majorBidi" w:hAnsiTheme="majorBidi" w:cstheme="majorBidi"/>
                <w:spacing w:val="-2"/>
              </w:rPr>
              <w:t xml:space="preserve">roupement signée par tous les membres </w:t>
            </w:r>
            <w:r w:rsidR="00C3597B" w:rsidRPr="00A67F27">
              <w:rPr>
                <w:rFonts w:asciiTheme="majorBidi" w:hAnsiTheme="majorBidi" w:cstheme="majorBidi"/>
                <w:spacing w:val="-2"/>
              </w:rPr>
              <w:t xml:space="preserve">du </w:t>
            </w:r>
            <w:r w:rsidR="00E86F41" w:rsidRPr="00A67F27">
              <w:rPr>
                <w:rFonts w:asciiTheme="majorBidi" w:hAnsiTheme="majorBidi" w:cstheme="majorBidi"/>
                <w:spacing w:val="-2"/>
              </w:rPr>
              <w:t>G</w:t>
            </w:r>
            <w:r w:rsidR="00C3597B" w:rsidRPr="00A67F27">
              <w:rPr>
                <w:rFonts w:asciiTheme="majorBidi" w:hAnsiTheme="majorBidi" w:cstheme="majorBidi"/>
                <w:spacing w:val="-2"/>
              </w:rPr>
              <w:t xml:space="preserve">roupement </w:t>
            </w:r>
            <w:r w:rsidRPr="00A67F27">
              <w:rPr>
                <w:rFonts w:asciiTheme="majorBidi" w:hAnsiTheme="majorBidi" w:cstheme="majorBidi"/>
                <w:spacing w:val="-2"/>
              </w:rPr>
              <w:t xml:space="preserve">et assortie d’un projet d’accord. </w:t>
            </w:r>
          </w:p>
          <w:p w14:paraId="1960849C" w14:textId="69AFD7D9" w:rsidR="00BC693B" w:rsidRPr="00A67F27" w:rsidRDefault="00D42529" w:rsidP="00D510E8">
            <w:pPr>
              <w:pStyle w:val="Paragraphedeliste"/>
              <w:numPr>
                <w:ilvl w:val="1"/>
                <w:numId w:val="35"/>
              </w:numPr>
              <w:tabs>
                <w:tab w:val="left" w:pos="576"/>
                <w:tab w:val="left" w:pos="1152"/>
              </w:tabs>
              <w:spacing w:after="0"/>
              <w:contextualSpacing w:val="0"/>
              <w:rPr>
                <w:rFonts w:asciiTheme="majorBidi" w:hAnsiTheme="majorBidi" w:cstheme="majorBidi"/>
              </w:rPr>
            </w:pPr>
            <w:r w:rsidRPr="00A67F27">
              <w:rPr>
                <w:rFonts w:asciiTheme="majorBidi" w:hAnsiTheme="majorBidi" w:cstheme="majorBidi"/>
              </w:rPr>
              <w:t>Dans la Lettre de Soumission, l</w:t>
            </w:r>
            <w:r w:rsidR="00115435" w:rsidRPr="00A67F27">
              <w:rPr>
                <w:rFonts w:asciiTheme="majorBidi" w:hAnsiTheme="majorBidi" w:cstheme="majorBidi"/>
              </w:rPr>
              <w:t>e</w:t>
            </w:r>
            <w:r w:rsidR="00E761FF" w:rsidRPr="00A67F27">
              <w:rPr>
                <w:rFonts w:asciiTheme="majorBidi" w:hAnsiTheme="majorBidi" w:cstheme="majorBidi"/>
              </w:rPr>
              <w:t xml:space="preserve"> </w:t>
            </w:r>
            <w:r w:rsidR="00115435" w:rsidRPr="00A67F27">
              <w:rPr>
                <w:rFonts w:asciiTheme="majorBidi" w:hAnsiTheme="majorBidi" w:cstheme="majorBidi"/>
              </w:rPr>
              <w:t>Soumissionnaire fournira les informations relatives aux commissions et indemnités versées en r</w:t>
            </w:r>
            <w:r w:rsidR="00E761FF" w:rsidRPr="00A67F27">
              <w:rPr>
                <w:rFonts w:asciiTheme="majorBidi" w:hAnsiTheme="majorBidi" w:cstheme="majorBidi"/>
              </w:rPr>
              <w:t>e</w:t>
            </w:r>
            <w:r w:rsidR="00115435" w:rsidRPr="00A67F27">
              <w:rPr>
                <w:rFonts w:asciiTheme="majorBidi" w:hAnsiTheme="majorBidi" w:cstheme="majorBidi"/>
              </w:rPr>
              <w:t>l</w:t>
            </w:r>
            <w:r w:rsidR="00E761FF" w:rsidRPr="00A67F27">
              <w:rPr>
                <w:rFonts w:asciiTheme="majorBidi" w:hAnsiTheme="majorBidi" w:cstheme="majorBidi"/>
              </w:rPr>
              <w:t>a</w:t>
            </w:r>
            <w:r w:rsidR="00115435" w:rsidRPr="00A67F27">
              <w:rPr>
                <w:rFonts w:asciiTheme="majorBidi" w:hAnsiTheme="majorBidi" w:cstheme="majorBidi"/>
              </w:rPr>
              <w:t>tion avec son Offre.</w:t>
            </w:r>
          </w:p>
        </w:tc>
      </w:tr>
      <w:tr w:rsidR="000A450A" w:rsidRPr="00A67F27" w14:paraId="4AF4B8F9" w14:textId="77777777" w:rsidTr="007318E7">
        <w:trPr>
          <w:trHeight w:val="20"/>
        </w:trPr>
        <w:tc>
          <w:tcPr>
            <w:tcW w:w="2250" w:type="dxa"/>
          </w:tcPr>
          <w:p w14:paraId="7D83BE69" w14:textId="791699CF" w:rsidR="000A450A" w:rsidRPr="00A67F27" w:rsidRDefault="000A450A" w:rsidP="007318E7">
            <w:pPr>
              <w:pStyle w:val="S1-Header2"/>
              <w:numPr>
                <w:ilvl w:val="0"/>
                <w:numId w:val="0"/>
              </w:numPr>
              <w:tabs>
                <w:tab w:val="num" w:pos="432"/>
              </w:tabs>
              <w:spacing w:after="0"/>
              <w:ind w:left="432" w:hanging="432"/>
              <w:rPr>
                <w:rFonts w:asciiTheme="majorBidi" w:hAnsiTheme="majorBidi" w:cstheme="majorBidi"/>
                <w:lang w:val="fr-FR"/>
              </w:rPr>
            </w:pPr>
            <w:bookmarkStart w:id="136" w:name="_Toc438532582"/>
            <w:bookmarkStart w:id="137" w:name="_Toc438438833"/>
            <w:bookmarkStart w:id="138" w:name="_Toc438532583"/>
            <w:bookmarkStart w:id="139" w:name="_Toc438733977"/>
            <w:bookmarkStart w:id="140" w:name="_Toc438907016"/>
            <w:bookmarkStart w:id="141" w:name="_Toc438907215"/>
            <w:bookmarkStart w:id="142" w:name="_Toc156373295"/>
            <w:bookmarkStart w:id="143" w:name="_Toc483210583"/>
            <w:bookmarkStart w:id="144" w:name="_Toc487641782"/>
            <w:bookmarkEnd w:id="136"/>
            <w:r w:rsidRPr="00A67F27">
              <w:rPr>
                <w:lang w:val="fr-FR"/>
              </w:rPr>
              <w:t>12.</w:t>
            </w:r>
            <w:r w:rsidRPr="00A67F27">
              <w:rPr>
                <w:lang w:val="fr-FR"/>
              </w:rPr>
              <w:tab/>
            </w:r>
            <w:r w:rsidR="00D42529" w:rsidRPr="00A67F27">
              <w:rPr>
                <w:lang w:val="fr-FR"/>
              </w:rPr>
              <w:t xml:space="preserve">Lettre de </w:t>
            </w:r>
            <w:r w:rsidR="00D42529" w:rsidRPr="00A67F27">
              <w:rPr>
                <w:lang w:val="fr-FR"/>
              </w:rPr>
              <w:lastRenderedPageBreak/>
              <w:t>soumission</w:t>
            </w:r>
            <w:r w:rsidRPr="00A67F27">
              <w:rPr>
                <w:lang w:val="fr-FR"/>
              </w:rPr>
              <w:t xml:space="preserve">, </w:t>
            </w:r>
            <w:r w:rsidR="00A736A8" w:rsidRPr="00A67F27">
              <w:rPr>
                <w:lang w:val="fr-FR"/>
              </w:rPr>
              <w:t>et</w:t>
            </w:r>
            <w:r w:rsidR="0080710B" w:rsidRPr="00A67F27">
              <w:rPr>
                <w:lang w:val="fr-FR"/>
              </w:rPr>
              <w:t> </w:t>
            </w:r>
            <w:r w:rsidR="00A736A8" w:rsidRPr="00A67F27">
              <w:rPr>
                <w:lang w:val="fr-FR"/>
              </w:rPr>
              <w:t>annexes</w:t>
            </w:r>
            <w:bookmarkEnd w:id="137"/>
            <w:bookmarkEnd w:id="138"/>
            <w:bookmarkEnd w:id="139"/>
            <w:bookmarkEnd w:id="140"/>
            <w:bookmarkEnd w:id="141"/>
            <w:bookmarkEnd w:id="142"/>
            <w:bookmarkEnd w:id="143"/>
            <w:bookmarkEnd w:id="144"/>
          </w:p>
        </w:tc>
        <w:tc>
          <w:tcPr>
            <w:tcW w:w="7380" w:type="dxa"/>
          </w:tcPr>
          <w:p w14:paraId="422CC7AB" w14:textId="1A233129" w:rsidR="00BC693B" w:rsidRPr="00A67F27" w:rsidRDefault="000A450A" w:rsidP="00D510E8">
            <w:pPr>
              <w:pStyle w:val="Header2-SubClauses"/>
              <w:numPr>
                <w:ilvl w:val="1"/>
                <w:numId w:val="36"/>
              </w:numPr>
              <w:tabs>
                <w:tab w:val="clear" w:pos="619"/>
                <w:tab w:val="left" w:pos="576"/>
                <w:tab w:val="left" w:pos="1152"/>
              </w:tabs>
              <w:spacing w:after="0"/>
              <w:rPr>
                <w:rFonts w:asciiTheme="majorBidi" w:hAnsiTheme="majorBidi" w:cstheme="majorBidi"/>
                <w:lang w:val="fr-FR"/>
              </w:rPr>
            </w:pPr>
            <w:r w:rsidRPr="00A67F27">
              <w:rPr>
                <w:rFonts w:asciiTheme="majorBidi" w:hAnsiTheme="majorBidi" w:cstheme="majorBidi"/>
                <w:lang w:val="fr-FR"/>
              </w:rPr>
              <w:lastRenderedPageBreak/>
              <w:t>Le Soumissionnaire établira s</w:t>
            </w:r>
            <w:r w:rsidR="00C3597B" w:rsidRPr="00A67F27">
              <w:rPr>
                <w:rFonts w:asciiTheme="majorBidi" w:hAnsiTheme="majorBidi" w:cstheme="majorBidi"/>
                <w:lang w:val="fr-FR"/>
              </w:rPr>
              <w:t>on offre</w:t>
            </w:r>
            <w:r w:rsidRPr="00A67F27">
              <w:rPr>
                <w:rFonts w:asciiTheme="majorBidi" w:hAnsiTheme="majorBidi" w:cstheme="majorBidi"/>
                <w:lang w:val="fr-FR"/>
              </w:rPr>
              <w:t xml:space="preserve"> </w:t>
            </w:r>
            <w:r w:rsidR="00A736A8" w:rsidRPr="00A67F27">
              <w:rPr>
                <w:rFonts w:asciiTheme="majorBidi" w:hAnsiTheme="majorBidi" w:cstheme="majorBidi"/>
                <w:lang w:val="fr-FR"/>
              </w:rPr>
              <w:t xml:space="preserve">et les annexes (le Programme </w:t>
            </w:r>
            <w:r w:rsidR="00A736A8" w:rsidRPr="00A67F27">
              <w:rPr>
                <w:rFonts w:asciiTheme="majorBidi" w:hAnsiTheme="majorBidi" w:cstheme="majorBidi"/>
                <w:lang w:val="fr-FR"/>
              </w:rPr>
              <w:lastRenderedPageBreak/>
              <w:t xml:space="preserve">d’Activités ou le Bordereau des Prix unitaires et le Détail quantitatif et estimatif) </w:t>
            </w:r>
            <w:r w:rsidRPr="00A67F27">
              <w:rPr>
                <w:rFonts w:asciiTheme="majorBidi" w:hAnsiTheme="majorBidi" w:cstheme="majorBidi"/>
                <w:lang w:val="fr-FR"/>
              </w:rPr>
              <w:t xml:space="preserve">en remplissant </w:t>
            </w:r>
            <w:r w:rsidR="00D42529" w:rsidRPr="00A67F27">
              <w:rPr>
                <w:rFonts w:asciiTheme="majorBidi" w:hAnsiTheme="majorBidi" w:cstheme="majorBidi"/>
                <w:lang w:val="fr-FR"/>
              </w:rPr>
              <w:t xml:space="preserve">la Lettre </w:t>
            </w:r>
            <w:r w:rsidRPr="00A67F27">
              <w:rPr>
                <w:rFonts w:asciiTheme="majorBidi" w:hAnsiTheme="majorBidi" w:cstheme="majorBidi"/>
                <w:lang w:val="fr-FR"/>
              </w:rPr>
              <w:t xml:space="preserve">de Soumission </w:t>
            </w:r>
            <w:proofErr w:type="gramStart"/>
            <w:r w:rsidRPr="00A67F27">
              <w:rPr>
                <w:rFonts w:asciiTheme="majorBidi" w:hAnsiTheme="majorBidi" w:cstheme="majorBidi"/>
                <w:lang w:val="fr-FR"/>
              </w:rPr>
              <w:t>inclu</w:t>
            </w:r>
            <w:r w:rsidR="00D42529" w:rsidRPr="00A67F27">
              <w:rPr>
                <w:rFonts w:asciiTheme="majorBidi" w:hAnsiTheme="majorBidi" w:cstheme="majorBidi"/>
                <w:lang w:val="fr-FR"/>
              </w:rPr>
              <w:t>e</w:t>
            </w:r>
            <w:proofErr w:type="gramEnd"/>
            <w:r w:rsidRPr="00A67F27">
              <w:rPr>
                <w:rFonts w:asciiTheme="majorBidi" w:hAnsiTheme="majorBidi" w:cstheme="majorBidi"/>
                <w:lang w:val="fr-FR"/>
              </w:rPr>
              <w:t xml:space="preserve"> dans la Section IV-Formulaires de soumission, sans apporter aucune modification </w:t>
            </w:r>
            <w:r w:rsidR="00D42529" w:rsidRPr="00A67F27">
              <w:rPr>
                <w:rFonts w:asciiTheme="majorBidi" w:hAnsiTheme="majorBidi" w:cstheme="majorBidi"/>
                <w:lang w:val="fr-FR"/>
              </w:rPr>
              <w:t>à sa présentation</w:t>
            </w:r>
            <w:r w:rsidRPr="00A67F27">
              <w:rPr>
                <w:rFonts w:asciiTheme="majorBidi" w:hAnsiTheme="majorBidi" w:cstheme="majorBidi"/>
                <w:lang w:val="fr-FR"/>
              </w:rPr>
              <w:t>, et aucun autre format ne sera accepté</w:t>
            </w:r>
            <w:r w:rsidR="00115435" w:rsidRPr="00A67F27">
              <w:rPr>
                <w:rFonts w:asciiTheme="majorBidi" w:hAnsiTheme="majorBidi" w:cstheme="majorBidi"/>
                <w:lang w:val="fr-FR"/>
              </w:rPr>
              <w:t xml:space="preserve">, </w:t>
            </w:r>
            <w:r w:rsidR="00D42529" w:rsidRPr="00A67F27">
              <w:rPr>
                <w:rFonts w:asciiTheme="majorBidi" w:hAnsiTheme="majorBidi" w:cstheme="majorBidi"/>
                <w:lang w:val="fr-FR"/>
              </w:rPr>
              <w:t>sous réserves des</w:t>
            </w:r>
            <w:r w:rsidR="00115435" w:rsidRPr="00A67F27">
              <w:rPr>
                <w:rFonts w:asciiTheme="majorBidi" w:hAnsiTheme="majorBidi" w:cstheme="majorBidi"/>
                <w:lang w:val="fr-FR"/>
              </w:rPr>
              <w:t xml:space="preserve"> dispositions de l’article 20.</w:t>
            </w:r>
            <w:r w:rsidR="00560814" w:rsidRPr="00A67F27">
              <w:rPr>
                <w:rFonts w:asciiTheme="majorBidi" w:hAnsiTheme="majorBidi" w:cstheme="majorBidi"/>
                <w:lang w:val="fr-FR"/>
              </w:rPr>
              <w:t>2</w:t>
            </w:r>
            <w:r w:rsidR="00115435" w:rsidRPr="00A67F27">
              <w:rPr>
                <w:rFonts w:asciiTheme="majorBidi" w:hAnsiTheme="majorBidi" w:cstheme="majorBidi"/>
                <w:lang w:val="fr-FR"/>
              </w:rPr>
              <w:t xml:space="preserve"> des IS</w:t>
            </w:r>
            <w:r w:rsidRPr="00A67F27">
              <w:rPr>
                <w:rFonts w:asciiTheme="majorBidi" w:hAnsiTheme="majorBidi" w:cstheme="majorBidi"/>
                <w:lang w:val="fr-FR"/>
              </w:rPr>
              <w:t>. Toutes les rubriques devront être remplies et inclure</w:t>
            </w:r>
            <w:r w:rsidR="009B2302" w:rsidRPr="00A67F27">
              <w:rPr>
                <w:rFonts w:asciiTheme="majorBidi" w:hAnsiTheme="majorBidi" w:cstheme="majorBidi"/>
                <w:lang w:val="fr-FR"/>
              </w:rPr>
              <w:t xml:space="preserve"> </w:t>
            </w:r>
            <w:r w:rsidRPr="00A67F27">
              <w:rPr>
                <w:rFonts w:asciiTheme="majorBidi" w:hAnsiTheme="majorBidi" w:cstheme="majorBidi"/>
                <w:lang w:val="fr-FR"/>
              </w:rPr>
              <w:t>les renseignements demandés.</w:t>
            </w:r>
          </w:p>
        </w:tc>
      </w:tr>
      <w:tr w:rsidR="000A450A" w:rsidRPr="00A67F27" w14:paraId="4C980B8E" w14:textId="77777777" w:rsidTr="007318E7">
        <w:trPr>
          <w:trHeight w:val="20"/>
        </w:trPr>
        <w:tc>
          <w:tcPr>
            <w:tcW w:w="2250" w:type="dxa"/>
            <w:tcBorders>
              <w:top w:val="nil"/>
              <w:left w:val="nil"/>
              <w:bottom w:val="nil"/>
              <w:right w:val="nil"/>
            </w:tcBorders>
          </w:tcPr>
          <w:p w14:paraId="2968F7BC" w14:textId="3A487236" w:rsidR="000A450A" w:rsidRPr="00A67F27" w:rsidRDefault="00B125FF" w:rsidP="007318E7">
            <w:pPr>
              <w:pStyle w:val="S1-Header2"/>
              <w:numPr>
                <w:ilvl w:val="0"/>
                <w:numId w:val="0"/>
              </w:numPr>
              <w:tabs>
                <w:tab w:val="num" w:pos="432"/>
              </w:tabs>
              <w:spacing w:after="0"/>
              <w:ind w:left="432" w:hanging="432"/>
              <w:rPr>
                <w:rFonts w:asciiTheme="majorBidi" w:hAnsiTheme="majorBidi" w:cstheme="majorBidi"/>
                <w:lang w:val="fr-FR"/>
              </w:rPr>
            </w:pPr>
            <w:bookmarkStart w:id="145" w:name="_Toc438532584"/>
            <w:bookmarkStart w:id="146" w:name="_Toc438532585"/>
            <w:bookmarkStart w:id="147" w:name="_Toc438532586"/>
            <w:bookmarkStart w:id="148" w:name="_Toc438438834"/>
            <w:bookmarkStart w:id="149" w:name="_Toc438532587"/>
            <w:bookmarkStart w:id="150" w:name="_Toc438733978"/>
            <w:bookmarkStart w:id="151" w:name="_Toc438907017"/>
            <w:bookmarkStart w:id="152" w:name="_Toc438907216"/>
            <w:bookmarkStart w:id="153" w:name="_Toc156373296"/>
            <w:bookmarkStart w:id="154" w:name="_Toc483210584"/>
            <w:bookmarkStart w:id="155" w:name="_Toc487641783"/>
            <w:bookmarkEnd w:id="145"/>
            <w:bookmarkEnd w:id="146"/>
            <w:bookmarkEnd w:id="147"/>
            <w:r w:rsidRPr="00A67F27">
              <w:rPr>
                <w:lang w:val="fr-FR"/>
              </w:rPr>
              <w:lastRenderedPageBreak/>
              <w:t>13.</w:t>
            </w:r>
            <w:r w:rsidR="000A450A" w:rsidRPr="00A67F27">
              <w:rPr>
                <w:lang w:val="fr-FR"/>
              </w:rPr>
              <w:tab/>
            </w:r>
            <w:r w:rsidRPr="00A67F27">
              <w:rPr>
                <w:lang w:val="fr-FR"/>
              </w:rPr>
              <w:t>Variantes</w:t>
            </w:r>
            <w:bookmarkEnd w:id="148"/>
            <w:bookmarkEnd w:id="149"/>
            <w:bookmarkEnd w:id="150"/>
            <w:bookmarkEnd w:id="151"/>
            <w:bookmarkEnd w:id="152"/>
            <w:bookmarkEnd w:id="153"/>
            <w:bookmarkEnd w:id="154"/>
            <w:bookmarkEnd w:id="155"/>
          </w:p>
        </w:tc>
        <w:tc>
          <w:tcPr>
            <w:tcW w:w="7380" w:type="dxa"/>
            <w:tcBorders>
              <w:top w:val="nil"/>
              <w:left w:val="nil"/>
              <w:bottom w:val="nil"/>
              <w:right w:val="nil"/>
            </w:tcBorders>
          </w:tcPr>
          <w:p w14:paraId="3AF4A184" w14:textId="7896C250" w:rsidR="000A450A" w:rsidRPr="00A67F27" w:rsidRDefault="000A450A" w:rsidP="00D510E8">
            <w:pPr>
              <w:numPr>
                <w:ilvl w:val="1"/>
                <w:numId w:val="37"/>
              </w:numPr>
              <w:tabs>
                <w:tab w:val="left" w:pos="576"/>
                <w:tab w:val="left" w:pos="1152"/>
              </w:tabs>
              <w:spacing w:after="0"/>
              <w:rPr>
                <w:rFonts w:asciiTheme="majorBidi" w:hAnsiTheme="majorBidi" w:cstheme="majorBidi"/>
              </w:rPr>
            </w:pPr>
            <w:r w:rsidRPr="00A67F27">
              <w:rPr>
                <w:rFonts w:asciiTheme="majorBidi" w:hAnsiTheme="majorBidi" w:cstheme="majorBidi"/>
              </w:rPr>
              <w:t xml:space="preserve">Sauf </w:t>
            </w:r>
            <w:r w:rsidR="00E761FF" w:rsidRPr="00A67F27">
              <w:rPr>
                <w:rFonts w:asciiTheme="majorBidi" w:hAnsiTheme="majorBidi" w:cstheme="majorBidi"/>
              </w:rPr>
              <w:t xml:space="preserve">disposition </w:t>
            </w:r>
            <w:r w:rsidRPr="00A67F27">
              <w:rPr>
                <w:rFonts w:asciiTheme="majorBidi" w:hAnsiTheme="majorBidi" w:cstheme="majorBidi"/>
              </w:rPr>
              <w:t xml:space="preserve">contraire </w:t>
            </w:r>
            <w:r w:rsidR="00E761FF" w:rsidRPr="00A67F27">
              <w:rPr>
                <w:rFonts w:asciiTheme="majorBidi" w:hAnsiTheme="majorBidi" w:cstheme="majorBidi"/>
                <w:b/>
                <w:bCs/>
              </w:rPr>
              <w:t>figurant aux</w:t>
            </w:r>
            <w:r w:rsidRPr="00A67F27">
              <w:rPr>
                <w:rFonts w:asciiTheme="majorBidi" w:hAnsiTheme="majorBidi" w:cstheme="majorBidi"/>
              </w:rPr>
              <w:t xml:space="preserve"> </w:t>
            </w:r>
            <w:r w:rsidRPr="00A67F27">
              <w:rPr>
                <w:rFonts w:asciiTheme="majorBidi" w:hAnsiTheme="majorBidi" w:cstheme="majorBidi"/>
                <w:b/>
              </w:rPr>
              <w:t>DPAO</w:t>
            </w:r>
            <w:r w:rsidRPr="00A67F27">
              <w:rPr>
                <w:rFonts w:asciiTheme="majorBidi" w:hAnsiTheme="majorBidi" w:cstheme="majorBidi"/>
              </w:rPr>
              <w:t xml:space="preserve">, les </w:t>
            </w:r>
            <w:r w:rsidR="00CB6EB6" w:rsidRPr="00A67F27">
              <w:rPr>
                <w:rFonts w:asciiTheme="majorBidi" w:hAnsiTheme="majorBidi" w:cstheme="majorBidi"/>
              </w:rPr>
              <w:t xml:space="preserve">offres </w:t>
            </w:r>
            <w:r w:rsidRPr="00A67F27">
              <w:rPr>
                <w:rFonts w:asciiTheme="majorBidi" w:hAnsiTheme="majorBidi" w:cstheme="majorBidi"/>
              </w:rPr>
              <w:t>variantes</w:t>
            </w:r>
            <w:r w:rsidR="00947FBE" w:rsidRPr="00A67F27">
              <w:rPr>
                <w:rFonts w:asciiTheme="majorBidi" w:hAnsiTheme="majorBidi" w:cstheme="majorBidi"/>
              </w:rPr>
              <w:t xml:space="preserve"> ne seront pas prises en compte.</w:t>
            </w:r>
          </w:p>
          <w:p w14:paraId="55E523F6" w14:textId="0A399F11" w:rsidR="000A450A" w:rsidRPr="00A67F27" w:rsidRDefault="000A450A" w:rsidP="00D510E8">
            <w:pPr>
              <w:numPr>
                <w:ilvl w:val="1"/>
                <w:numId w:val="37"/>
              </w:numPr>
              <w:tabs>
                <w:tab w:val="left" w:pos="576"/>
                <w:tab w:val="left" w:pos="1152"/>
              </w:tabs>
              <w:spacing w:after="0"/>
              <w:rPr>
                <w:rFonts w:asciiTheme="majorBidi" w:hAnsiTheme="majorBidi" w:cstheme="majorBidi"/>
              </w:rPr>
            </w:pPr>
            <w:r w:rsidRPr="00A67F27">
              <w:rPr>
                <w:rFonts w:asciiTheme="majorBidi" w:hAnsiTheme="majorBidi" w:cstheme="majorBidi"/>
              </w:rPr>
              <w:t xml:space="preserve">Lorsque les travaux peuvent être exécutés dans des délais d’exécution variables, les </w:t>
            </w:r>
            <w:r w:rsidRPr="00A67F27">
              <w:rPr>
                <w:rFonts w:asciiTheme="majorBidi" w:hAnsiTheme="majorBidi" w:cstheme="majorBidi"/>
                <w:b/>
              </w:rPr>
              <w:t>DPAO</w:t>
            </w:r>
            <w:r w:rsidRPr="00A67F27">
              <w:rPr>
                <w:rFonts w:asciiTheme="majorBidi" w:hAnsiTheme="majorBidi" w:cstheme="majorBidi"/>
              </w:rPr>
              <w:t xml:space="preserve"> préciseront ces délais, ainsi que</w:t>
            </w:r>
            <w:r w:rsidR="009B2302" w:rsidRPr="00A67F27">
              <w:rPr>
                <w:rFonts w:asciiTheme="majorBidi" w:hAnsiTheme="majorBidi" w:cstheme="majorBidi"/>
              </w:rPr>
              <w:t xml:space="preserve"> </w:t>
            </w:r>
            <w:r w:rsidRPr="00A67F27">
              <w:rPr>
                <w:rFonts w:asciiTheme="majorBidi" w:hAnsiTheme="majorBidi" w:cstheme="majorBidi"/>
              </w:rPr>
              <w:t>la méthode retenue pour l’évaluation du délai proposé par le Soumissionnaire.</w:t>
            </w:r>
            <w:r w:rsidR="009B2302" w:rsidRPr="00A67F27">
              <w:rPr>
                <w:rFonts w:asciiTheme="majorBidi" w:hAnsiTheme="majorBidi" w:cstheme="majorBidi"/>
              </w:rPr>
              <w:t xml:space="preserve"> </w:t>
            </w:r>
          </w:p>
          <w:p w14:paraId="52A17A7E" w14:textId="58B6662B" w:rsidR="000A450A" w:rsidRPr="00A67F27" w:rsidRDefault="000A450A" w:rsidP="00D510E8">
            <w:pPr>
              <w:numPr>
                <w:ilvl w:val="1"/>
                <w:numId w:val="37"/>
              </w:numPr>
              <w:tabs>
                <w:tab w:val="left" w:pos="576"/>
                <w:tab w:val="left" w:pos="1152"/>
              </w:tabs>
              <w:spacing w:after="0"/>
              <w:rPr>
                <w:rFonts w:asciiTheme="majorBidi" w:hAnsiTheme="majorBidi" w:cstheme="majorBidi"/>
              </w:rPr>
            </w:pPr>
            <w:r w:rsidRPr="00A67F27">
              <w:rPr>
                <w:rFonts w:asciiTheme="majorBidi" w:hAnsiTheme="majorBidi" w:cstheme="majorBidi"/>
              </w:rPr>
              <w:t xml:space="preserve">Excepté dans le cas mentionné à l’article 13.4 ci-dessous, les </w:t>
            </w:r>
            <w:r w:rsidR="00CB6EB6" w:rsidRPr="00A67F27">
              <w:rPr>
                <w:rFonts w:asciiTheme="majorBidi" w:hAnsiTheme="majorBidi" w:cstheme="majorBidi"/>
              </w:rPr>
              <w:t>S</w:t>
            </w:r>
            <w:r w:rsidRPr="00A67F27">
              <w:rPr>
                <w:rFonts w:asciiTheme="majorBidi" w:hAnsiTheme="majorBidi" w:cstheme="majorBidi"/>
              </w:rPr>
              <w:t>oumissionnaires souhaitant offrir des variantes techniques</w:t>
            </w:r>
            <w:r w:rsidR="009B2302" w:rsidRPr="00A67F27">
              <w:rPr>
                <w:rFonts w:asciiTheme="majorBidi" w:hAnsiTheme="majorBidi" w:cstheme="majorBidi"/>
              </w:rPr>
              <w:t xml:space="preserve"> </w:t>
            </w:r>
            <w:r w:rsidRPr="00A67F27">
              <w:rPr>
                <w:rFonts w:asciiTheme="majorBidi" w:hAnsiTheme="majorBidi" w:cstheme="majorBidi"/>
              </w:rPr>
              <w:t>d</w:t>
            </w:r>
            <w:r w:rsidR="00115435" w:rsidRPr="00A67F27">
              <w:rPr>
                <w:rFonts w:asciiTheme="majorBidi" w:hAnsiTheme="majorBidi" w:cstheme="majorBidi"/>
              </w:rPr>
              <w:t>evront</w:t>
            </w:r>
            <w:r w:rsidRPr="00A67F27">
              <w:rPr>
                <w:rFonts w:asciiTheme="majorBidi" w:hAnsiTheme="majorBidi" w:cstheme="majorBidi"/>
              </w:rPr>
              <w:t xml:space="preserve"> d’abord chiffrer la solution de base du Maître de l’Ouvrage telle que décrite dans le Dossier d’</w:t>
            </w:r>
            <w:r w:rsidR="00C3597B" w:rsidRPr="00A67F27">
              <w:rPr>
                <w:rFonts w:asciiTheme="majorBidi" w:hAnsiTheme="majorBidi" w:cstheme="majorBidi"/>
              </w:rPr>
              <w:t>A</w:t>
            </w:r>
            <w:r w:rsidRPr="00A67F27">
              <w:rPr>
                <w:rFonts w:asciiTheme="majorBidi" w:hAnsiTheme="majorBidi" w:cstheme="majorBidi"/>
              </w:rPr>
              <w:t>ppel d’</w:t>
            </w:r>
            <w:r w:rsidR="00C3597B" w:rsidRPr="00A67F27">
              <w:rPr>
                <w:rFonts w:asciiTheme="majorBidi" w:hAnsiTheme="majorBidi" w:cstheme="majorBidi"/>
              </w:rPr>
              <w:t>O</w:t>
            </w:r>
            <w:r w:rsidRPr="00A67F27">
              <w:rPr>
                <w:rFonts w:asciiTheme="majorBidi" w:hAnsiTheme="majorBidi" w:cstheme="majorBidi"/>
              </w:rPr>
              <w:t xml:space="preserve">ffres, et fournir en outre tous les renseignements </w:t>
            </w:r>
            <w:r w:rsidR="00115435" w:rsidRPr="00A67F27">
              <w:rPr>
                <w:rFonts w:asciiTheme="majorBidi" w:hAnsiTheme="majorBidi" w:cstheme="majorBidi"/>
              </w:rPr>
              <w:t xml:space="preserve">nécessaires </w:t>
            </w:r>
            <w:r w:rsidRPr="00A67F27">
              <w:rPr>
                <w:rFonts w:asciiTheme="majorBidi" w:hAnsiTheme="majorBidi" w:cstheme="majorBidi"/>
              </w:rPr>
              <w:t xml:space="preserve">à l’évaluation complète </w:t>
            </w:r>
            <w:r w:rsidR="001E22AE" w:rsidRPr="00A67F27">
              <w:rPr>
                <w:rFonts w:asciiTheme="majorBidi" w:hAnsiTheme="majorBidi" w:cstheme="majorBidi"/>
              </w:rPr>
              <w:t>pa</w:t>
            </w:r>
            <w:r w:rsidR="00E45634" w:rsidRPr="00A67F27">
              <w:rPr>
                <w:rFonts w:asciiTheme="majorBidi" w:hAnsiTheme="majorBidi" w:cstheme="majorBidi"/>
              </w:rPr>
              <w:t xml:space="preserve">r le Maître de l’Ouvrage </w:t>
            </w:r>
            <w:r w:rsidRPr="00A67F27">
              <w:rPr>
                <w:rFonts w:asciiTheme="majorBidi" w:hAnsiTheme="majorBidi" w:cstheme="majorBidi"/>
              </w:rPr>
              <w:t>de la variante proposée, y compris les plans, notes de calcul, spécifications techniques, sous</w:t>
            </w:r>
            <w:r w:rsidR="00E761FF" w:rsidRPr="00A67F27">
              <w:rPr>
                <w:rFonts w:asciiTheme="majorBidi" w:hAnsiTheme="majorBidi" w:cstheme="majorBidi"/>
              </w:rPr>
              <w:t>-</w:t>
            </w:r>
            <w:r w:rsidRPr="00A67F27">
              <w:rPr>
                <w:rFonts w:asciiTheme="majorBidi" w:hAnsiTheme="majorBidi" w:cstheme="majorBidi"/>
              </w:rPr>
              <w:t xml:space="preserve">détails de prix et méthodes de construction proposées, ainsi que tout autre détail </w:t>
            </w:r>
            <w:r w:rsidR="001E22AE" w:rsidRPr="00A67F27">
              <w:rPr>
                <w:rFonts w:asciiTheme="majorBidi" w:hAnsiTheme="majorBidi" w:cstheme="majorBidi"/>
              </w:rPr>
              <w:t>nécessaire.</w:t>
            </w:r>
            <w:r w:rsidR="009B2302" w:rsidRPr="00A67F27">
              <w:rPr>
                <w:rFonts w:asciiTheme="majorBidi" w:hAnsiTheme="majorBidi" w:cstheme="majorBidi"/>
              </w:rPr>
              <w:t xml:space="preserve"> </w:t>
            </w:r>
            <w:r w:rsidRPr="00A67F27">
              <w:rPr>
                <w:rFonts w:asciiTheme="majorBidi" w:hAnsiTheme="majorBidi" w:cstheme="majorBidi"/>
              </w:rPr>
              <w:t>Seules les variantes techniques du Soumissionnaire</w:t>
            </w:r>
            <w:r w:rsidR="00915E36" w:rsidRPr="00A67F27">
              <w:rPr>
                <w:rFonts w:asciiTheme="majorBidi" w:hAnsiTheme="majorBidi" w:cstheme="majorBidi"/>
              </w:rPr>
              <w:t>,</w:t>
            </w:r>
            <w:r w:rsidRPr="00A67F27">
              <w:rPr>
                <w:rFonts w:asciiTheme="majorBidi" w:hAnsiTheme="majorBidi" w:cstheme="majorBidi"/>
              </w:rPr>
              <w:t xml:space="preserve"> ayant offert l’offre conforme à la solution de base évaluée la </w:t>
            </w:r>
            <w:r w:rsidR="00560814" w:rsidRPr="00A67F27">
              <w:rPr>
                <w:rFonts w:asciiTheme="majorBidi" w:hAnsiTheme="majorBidi" w:cstheme="majorBidi"/>
              </w:rPr>
              <w:t xml:space="preserve">moins </w:t>
            </w:r>
            <w:proofErr w:type="spellStart"/>
            <w:r w:rsidR="00560814" w:rsidRPr="00A67F27">
              <w:rPr>
                <w:rFonts w:asciiTheme="majorBidi" w:hAnsiTheme="majorBidi" w:cstheme="majorBidi"/>
              </w:rPr>
              <w:t>disante</w:t>
            </w:r>
            <w:proofErr w:type="spellEnd"/>
            <w:r w:rsidR="00915E36" w:rsidRPr="00A67F27">
              <w:rPr>
                <w:rFonts w:asciiTheme="majorBidi" w:hAnsiTheme="majorBidi" w:cstheme="majorBidi"/>
              </w:rPr>
              <w:t>,</w:t>
            </w:r>
            <w:r w:rsidRPr="00A67F27">
              <w:rPr>
                <w:rFonts w:asciiTheme="majorBidi" w:hAnsiTheme="majorBidi" w:cstheme="majorBidi"/>
              </w:rPr>
              <w:t xml:space="preserve"> pourront être </w:t>
            </w:r>
            <w:r w:rsidR="002756FD" w:rsidRPr="00A67F27">
              <w:rPr>
                <w:rFonts w:asciiTheme="majorBidi" w:hAnsiTheme="majorBidi" w:cstheme="majorBidi"/>
              </w:rPr>
              <w:t>prises en considération par le Maître de l’Ouvrage</w:t>
            </w:r>
            <w:r w:rsidRPr="00A67F27">
              <w:rPr>
                <w:rFonts w:asciiTheme="majorBidi" w:hAnsiTheme="majorBidi" w:cstheme="majorBidi"/>
              </w:rPr>
              <w:t>.</w:t>
            </w:r>
          </w:p>
          <w:p w14:paraId="17E523B8" w14:textId="77777777" w:rsidR="000A450A" w:rsidRPr="00A67F27" w:rsidRDefault="000A450A" w:rsidP="00D510E8">
            <w:pPr>
              <w:numPr>
                <w:ilvl w:val="1"/>
                <w:numId w:val="37"/>
              </w:numPr>
              <w:tabs>
                <w:tab w:val="left" w:pos="576"/>
                <w:tab w:val="left" w:pos="1152"/>
              </w:tabs>
              <w:spacing w:after="0"/>
              <w:rPr>
                <w:rFonts w:asciiTheme="majorBidi" w:hAnsiTheme="majorBidi" w:cstheme="majorBidi"/>
              </w:rPr>
            </w:pPr>
            <w:r w:rsidRPr="00A67F27">
              <w:rPr>
                <w:rFonts w:asciiTheme="majorBidi" w:hAnsiTheme="majorBidi" w:cstheme="majorBidi"/>
              </w:rPr>
              <w:t xml:space="preserve">Lorsque les </w:t>
            </w:r>
            <w:r w:rsidR="001E22AE" w:rsidRPr="00A67F27">
              <w:rPr>
                <w:rFonts w:asciiTheme="majorBidi" w:hAnsiTheme="majorBidi" w:cstheme="majorBidi"/>
              </w:rPr>
              <w:t>S</w:t>
            </w:r>
            <w:r w:rsidRPr="00A67F27">
              <w:rPr>
                <w:rFonts w:asciiTheme="majorBidi" w:hAnsiTheme="majorBidi" w:cstheme="majorBidi"/>
              </w:rPr>
              <w:t xml:space="preserve">oumissionnaires sont autorisés par les </w:t>
            </w:r>
            <w:r w:rsidRPr="00A67F27">
              <w:rPr>
                <w:rFonts w:asciiTheme="majorBidi" w:hAnsiTheme="majorBidi" w:cstheme="majorBidi"/>
                <w:b/>
              </w:rPr>
              <w:t>DPAO</w:t>
            </w:r>
            <w:r w:rsidRPr="00A67F27">
              <w:rPr>
                <w:rFonts w:asciiTheme="majorBidi" w:hAnsiTheme="majorBidi" w:cstheme="majorBidi"/>
              </w:rPr>
              <w:t xml:space="preserve"> à soumettre des variantes techniques pour certains éléments d’ouvrages, ces éléments seront </w:t>
            </w:r>
            <w:r w:rsidR="00D41D68" w:rsidRPr="00A67F27">
              <w:rPr>
                <w:rFonts w:asciiTheme="majorBidi" w:hAnsiTheme="majorBidi" w:cstheme="majorBidi"/>
                <w:b/>
                <w:bCs/>
              </w:rPr>
              <w:t>identifiés</w:t>
            </w:r>
            <w:r w:rsidRPr="00A67F27">
              <w:rPr>
                <w:rFonts w:asciiTheme="majorBidi" w:hAnsiTheme="majorBidi" w:cstheme="majorBidi"/>
                <w:b/>
                <w:bCs/>
              </w:rPr>
              <w:t xml:space="preserve"> dans les</w:t>
            </w:r>
            <w:r w:rsidRPr="00A67F27">
              <w:rPr>
                <w:rFonts w:asciiTheme="majorBidi" w:hAnsiTheme="majorBidi" w:cstheme="majorBidi"/>
              </w:rPr>
              <w:t xml:space="preserve"> </w:t>
            </w:r>
            <w:r w:rsidRPr="00A67F27">
              <w:rPr>
                <w:rFonts w:asciiTheme="majorBidi" w:hAnsiTheme="majorBidi" w:cstheme="majorBidi"/>
                <w:b/>
              </w:rPr>
              <w:t>DPAO</w:t>
            </w:r>
            <w:r w:rsidRPr="00A67F27">
              <w:rPr>
                <w:rFonts w:asciiTheme="majorBidi" w:hAnsiTheme="majorBidi" w:cstheme="majorBidi"/>
              </w:rPr>
              <w:t xml:space="preserve"> ainsi que leur méthode d’évaluation, et décrits dans la Section VII-Spécifications </w:t>
            </w:r>
            <w:r w:rsidR="0049298B" w:rsidRPr="00A67F27">
              <w:rPr>
                <w:rFonts w:asciiTheme="majorBidi" w:hAnsiTheme="majorBidi" w:cstheme="majorBidi"/>
              </w:rPr>
              <w:t>des Travaux</w:t>
            </w:r>
            <w:r w:rsidRPr="00A67F27">
              <w:rPr>
                <w:rFonts w:asciiTheme="majorBidi" w:hAnsiTheme="majorBidi" w:cstheme="majorBidi"/>
              </w:rPr>
              <w:t xml:space="preserve">. </w:t>
            </w:r>
          </w:p>
        </w:tc>
      </w:tr>
      <w:tr w:rsidR="000A450A" w:rsidRPr="00A67F27" w14:paraId="69103FD4" w14:textId="77777777" w:rsidTr="007318E7">
        <w:trPr>
          <w:trHeight w:val="20"/>
        </w:trPr>
        <w:tc>
          <w:tcPr>
            <w:tcW w:w="2250" w:type="dxa"/>
            <w:tcBorders>
              <w:top w:val="nil"/>
              <w:left w:val="nil"/>
              <w:right w:val="nil"/>
            </w:tcBorders>
          </w:tcPr>
          <w:p w14:paraId="00002BE5" w14:textId="2F591733" w:rsidR="000A450A" w:rsidRPr="00A67F27" w:rsidRDefault="000A450A" w:rsidP="007318E7">
            <w:pPr>
              <w:pStyle w:val="S1-Header2"/>
              <w:numPr>
                <w:ilvl w:val="0"/>
                <w:numId w:val="0"/>
              </w:numPr>
              <w:tabs>
                <w:tab w:val="num" w:pos="432"/>
              </w:tabs>
              <w:spacing w:after="0"/>
              <w:ind w:left="432" w:hanging="432"/>
              <w:rPr>
                <w:rFonts w:asciiTheme="majorBidi" w:hAnsiTheme="majorBidi" w:cstheme="majorBidi"/>
                <w:lang w:val="fr-FR"/>
              </w:rPr>
            </w:pPr>
            <w:bookmarkStart w:id="156" w:name="_Toc438438835"/>
            <w:bookmarkStart w:id="157" w:name="_Toc438532588"/>
            <w:bookmarkStart w:id="158" w:name="_Toc438733979"/>
            <w:bookmarkStart w:id="159" w:name="_Toc438907018"/>
            <w:bookmarkStart w:id="160" w:name="_Toc438907217"/>
            <w:bookmarkStart w:id="161" w:name="_Toc156373297"/>
            <w:bookmarkStart w:id="162" w:name="_Toc483210585"/>
            <w:bookmarkStart w:id="163" w:name="_Toc487641784"/>
            <w:r w:rsidRPr="00A67F27">
              <w:rPr>
                <w:lang w:val="fr-FR"/>
              </w:rPr>
              <w:t>14.</w:t>
            </w:r>
            <w:r w:rsidRPr="00A67F27">
              <w:rPr>
                <w:lang w:val="fr-FR"/>
              </w:rPr>
              <w:tab/>
              <w:t>Prix de l’offre et rabais</w:t>
            </w:r>
            <w:bookmarkEnd w:id="156"/>
            <w:bookmarkEnd w:id="157"/>
            <w:bookmarkEnd w:id="158"/>
            <w:bookmarkEnd w:id="159"/>
            <w:bookmarkEnd w:id="160"/>
            <w:bookmarkEnd w:id="161"/>
            <w:bookmarkEnd w:id="162"/>
            <w:bookmarkEnd w:id="163"/>
          </w:p>
        </w:tc>
        <w:tc>
          <w:tcPr>
            <w:tcW w:w="7380" w:type="dxa"/>
            <w:tcBorders>
              <w:top w:val="nil"/>
              <w:left w:val="nil"/>
              <w:right w:val="nil"/>
            </w:tcBorders>
          </w:tcPr>
          <w:p w14:paraId="21A0937C" w14:textId="61AA61F0" w:rsidR="000A450A" w:rsidRPr="00A67F27" w:rsidRDefault="000A450A" w:rsidP="00D510E8">
            <w:pPr>
              <w:pStyle w:val="Paragraphedeliste"/>
              <w:numPr>
                <w:ilvl w:val="1"/>
                <w:numId w:val="38"/>
              </w:numPr>
              <w:tabs>
                <w:tab w:val="left" w:pos="576"/>
                <w:tab w:val="left" w:pos="1152"/>
              </w:tabs>
              <w:spacing w:after="0"/>
              <w:contextualSpacing w:val="0"/>
              <w:rPr>
                <w:rFonts w:asciiTheme="majorBidi" w:hAnsiTheme="majorBidi" w:cstheme="majorBidi"/>
              </w:rPr>
            </w:pPr>
            <w:r w:rsidRPr="00A67F27">
              <w:rPr>
                <w:rFonts w:asciiTheme="majorBidi" w:hAnsiTheme="majorBidi" w:cstheme="majorBidi"/>
              </w:rPr>
              <w:t xml:space="preserve">Les prix et rabais indiqués par le Soumissionnaire dans sa </w:t>
            </w:r>
            <w:r w:rsidR="00D42529" w:rsidRPr="00A67F27">
              <w:rPr>
                <w:rFonts w:asciiTheme="majorBidi" w:hAnsiTheme="majorBidi" w:cstheme="majorBidi"/>
              </w:rPr>
              <w:t xml:space="preserve">Lettre de </w:t>
            </w:r>
            <w:r w:rsidRPr="00A67F27">
              <w:rPr>
                <w:rFonts w:asciiTheme="majorBidi" w:hAnsiTheme="majorBidi" w:cstheme="majorBidi"/>
              </w:rPr>
              <w:t>Soumission</w:t>
            </w:r>
            <w:r w:rsidR="006C135D" w:rsidRPr="00A67F27">
              <w:rPr>
                <w:rFonts w:asciiTheme="majorBidi" w:hAnsiTheme="majorBidi" w:cstheme="majorBidi"/>
              </w:rPr>
              <w:t xml:space="preserve"> et le Programme d’Activités ou</w:t>
            </w:r>
            <w:r w:rsidR="001066AF" w:rsidRPr="00A67F27">
              <w:rPr>
                <w:rFonts w:asciiTheme="majorBidi" w:hAnsiTheme="majorBidi" w:cstheme="majorBidi"/>
              </w:rPr>
              <w:t xml:space="preserve"> </w:t>
            </w:r>
            <w:r w:rsidRPr="00A67F27">
              <w:rPr>
                <w:rFonts w:asciiTheme="majorBidi" w:hAnsiTheme="majorBidi" w:cstheme="majorBidi"/>
              </w:rPr>
              <w:t xml:space="preserve">le Bordereau des Prix </w:t>
            </w:r>
            <w:r w:rsidR="001E22AE" w:rsidRPr="00A67F27">
              <w:rPr>
                <w:rFonts w:asciiTheme="majorBidi" w:hAnsiTheme="majorBidi" w:cstheme="majorBidi"/>
              </w:rPr>
              <w:t>u</w:t>
            </w:r>
            <w:r w:rsidRPr="00A67F27">
              <w:rPr>
                <w:rFonts w:asciiTheme="majorBidi" w:hAnsiTheme="majorBidi" w:cstheme="majorBidi"/>
              </w:rPr>
              <w:t xml:space="preserve">nitaires et le Détail </w:t>
            </w:r>
            <w:r w:rsidR="001E22AE" w:rsidRPr="00A67F27">
              <w:rPr>
                <w:rFonts w:asciiTheme="majorBidi" w:hAnsiTheme="majorBidi" w:cstheme="majorBidi"/>
              </w:rPr>
              <w:t>q</w:t>
            </w:r>
            <w:r w:rsidRPr="00A67F27">
              <w:rPr>
                <w:rFonts w:asciiTheme="majorBidi" w:hAnsiTheme="majorBidi" w:cstheme="majorBidi"/>
              </w:rPr>
              <w:t xml:space="preserve">uantitatif et </w:t>
            </w:r>
            <w:r w:rsidR="001E22AE" w:rsidRPr="00A67F27">
              <w:rPr>
                <w:rFonts w:asciiTheme="majorBidi" w:hAnsiTheme="majorBidi" w:cstheme="majorBidi"/>
              </w:rPr>
              <w:t>e</w:t>
            </w:r>
            <w:r w:rsidRPr="00A67F27">
              <w:rPr>
                <w:rFonts w:asciiTheme="majorBidi" w:hAnsiTheme="majorBidi" w:cstheme="majorBidi"/>
              </w:rPr>
              <w:t xml:space="preserve">stimatif seront conformes aux stipulations ci-après. </w:t>
            </w:r>
          </w:p>
          <w:p w14:paraId="2846C4BB" w14:textId="1559FAF6" w:rsidR="00686A37" w:rsidRPr="00A67F27" w:rsidRDefault="00686A37" w:rsidP="00D510E8">
            <w:pPr>
              <w:pStyle w:val="Paragraphedeliste"/>
              <w:numPr>
                <w:ilvl w:val="1"/>
                <w:numId w:val="38"/>
              </w:numPr>
              <w:tabs>
                <w:tab w:val="left" w:pos="576"/>
                <w:tab w:val="left" w:pos="1152"/>
              </w:tabs>
              <w:spacing w:after="0"/>
              <w:contextualSpacing w:val="0"/>
              <w:rPr>
                <w:rFonts w:asciiTheme="majorBidi" w:hAnsiTheme="majorBidi" w:cstheme="majorBidi"/>
              </w:rPr>
            </w:pPr>
            <w:r w:rsidRPr="00A67F27">
              <w:rPr>
                <w:rFonts w:asciiTheme="majorBidi" w:hAnsiTheme="majorBidi" w:cstheme="majorBidi"/>
              </w:rPr>
              <w:t xml:space="preserve">Le Soumissionnaire </w:t>
            </w:r>
            <w:r w:rsidR="001066AF" w:rsidRPr="00A67F27">
              <w:rPr>
                <w:rFonts w:asciiTheme="majorBidi" w:hAnsiTheme="majorBidi" w:cstheme="majorBidi"/>
              </w:rPr>
              <w:t xml:space="preserve">remettra une Offre pour l’ensemble des Travaux décrits à l’article 1.1 des IS, en indiquant des prix pour tous les postes de Travaux, comme identifié dans la Section IV, Formulaires de Soumission. Dans le cas d’un Marché à prix unitaires, le Soumissionnaire </w:t>
            </w:r>
            <w:r w:rsidRPr="00A67F27">
              <w:rPr>
                <w:rFonts w:asciiTheme="majorBidi" w:hAnsiTheme="majorBidi" w:cstheme="majorBidi"/>
              </w:rPr>
              <w:t xml:space="preserve">fournira tous les taux et prix figurant au Bordereau des Prix unitaires et au Détail quantitatif et estimatif. Les </w:t>
            </w:r>
            <w:r w:rsidR="00B26B6C" w:rsidRPr="00A67F27">
              <w:rPr>
                <w:rFonts w:asciiTheme="majorBidi" w:hAnsiTheme="majorBidi" w:cstheme="majorBidi"/>
              </w:rPr>
              <w:t>postes pour lesquels aucun</w:t>
            </w:r>
            <w:r w:rsidR="004F4959" w:rsidRPr="00A67F27">
              <w:rPr>
                <w:rFonts w:asciiTheme="majorBidi" w:hAnsiTheme="majorBidi" w:cstheme="majorBidi"/>
              </w:rPr>
              <w:t xml:space="preserve"> </w:t>
            </w:r>
            <w:r w:rsidR="001E22AE" w:rsidRPr="00A67F27">
              <w:rPr>
                <w:rFonts w:asciiTheme="majorBidi" w:hAnsiTheme="majorBidi" w:cstheme="majorBidi"/>
              </w:rPr>
              <w:t xml:space="preserve">taux ou prix </w:t>
            </w:r>
            <w:r w:rsidR="00B26B6C" w:rsidRPr="00A67F27">
              <w:rPr>
                <w:rFonts w:asciiTheme="majorBidi" w:hAnsiTheme="majorBidi" w:cstheme="majorBidi"/>
              </w:rPr>
              <w:t>n’</w:t>
            </w:r>
            <w:r w:rsidR="00C3597B" w:rsidRPr="00A67F27">
              <w:rPr>
                <w:rFonts w:asciiTheme="majorBidi" w:hAnsiTheme="majorBidi" w:cstheme="majorBidi"/>
              </w:rPr>
              <w:t>aur</w:t>
            </w:r>
            <w:r w:rsidR="00B26B6C" w:rsidRPr="00A67F27">
              <w:rPr>
                <w:rFonts w:asciiTheme="majorBidi" w:hAnsiTheme="majorBidi" w:cstheme="majorBidi"/>
              </w:rPr>
              <w:t>a été fourni</w:t>
            </w:r>
            <w:r w:rsidRPr="00A67F27">
              <w:rPr>
                <w:rFonts w:asciiTheme="majorBidi" w:hAnsiTheme="majorBidi" w:cstheme="majorBidi"/>
              </w:rPr>
              <w:t xml:space="preserve"> par le Soumissionnaire ne feront l’objet d’aucun règlement par le Maître de l’Ouvrage au cours de l’exécution du Marché, et seront réputés être inclus dans les taux figurant au Bordereau des Prix unitaires et au Détail quantitatif et estimatif. </w:t>
            </w:r>
          </w:p>
          <w:p w14:paraId="3DF6028A" w14:textId="3D0B2465" w:rsidR="000A450A" w:rsidRPr="00A67F27" w:rsidRDefault="000A450A" w:rsidP="00D510E8">
            <w:pPr>
              <w:pStyle w:val="Paragraphedeliste"/>
              <w:numPr>
                <w:ilvl w:val="1"/>
                <w:numId w:val="38"/>
              </w:numPr>
              <w:tabs>
                <w:tab w:val="left" w:pos="576"/>
                <w:tab w:val="left" w:pos="1152"/>
              </w:tabs>
              <w:spacing w:after="0"/>
              <w:contextualSpacing w:val="0"/>
              <w:rPr>
                <w:rFonts w:asciiTheme="majorBidi" w:hAnsiTheme="majorBidi" w:cstheme="majorBidi"/>
                <w:szCs w:val="24"/>
              </w:rPr>
            </w:pPr>
            <w:r w:rsidRPr="00A67F27">
              <w:rPr>
                <w:rFonts w:asciiTheme="majorBidi" w:hAnsiTheme="majorBidi" w:cstheme="majorBidi"/>
              </w:rPr>
              <w:t xml:space="preserve">Le </w:t>
            </w:r>
            <w:r w:rsidR="001E22AE" w:rsidRPr="00A67F27">
              <w:rPr>
                <w:rFonts w:asciiTheme="majorBidi" w:hAnsiTheme="majorBidi" w:cstheme="majorBidi"/>
              </w:rPr>
              <w:t>montant devant figurer</w:t>
            </w:r>
            <w:r w:rsidR="00C3597B" w:rsidRPr="00A67F27">
              <w:rPr>
                <w:rFonts w:asciiTheme="majorBidi" w:hAnsiTheme="majorBidi" w:cstheme="majorBidi"/>
              </w:rPr>
              <w:t xml:space="preserve"> à</w:t>
            </w:r>
            <w:r w:rsidRPr="00A67F27">
              <w:rPr>
                <w:rFonts w:asciiTheme="majorBidi" w:hAnsiTheme="majorBidi" w:cstheme="majorBidi"/>
              </w:rPr>
              <w:t xml:space="preserve"> la Soumission, conformément aux dispositions de l’article 12.1 des IS, sera le </w:t>
            </w:r>
            <w:r w:rsidR="00686A37" w:rsidRPr="00A67F27">
              <w:rPr>
                <w:rFonts w:asciiTheme="majorBidi" w:hAnsiTheme="majorBidi" w:cstheme="majorBidi"/>
              </w:rPr>
              <w:t>montant</w:t>
            </w:r>
            <w:r w:rsidR="009B2302" w:rsidRPr="00A67F27">
              <w:rPr>
                <w:rFonts w:asciiTheme="majorBidi" w:hAnsiTheme="majorBidi" w:cstheme="majorBidi"/>
              </w:rPr>
              <w:t xml:space="preserve"> </w:t>
            </w:r>
            <w:r w:rsidRPr="00A67F27">
              <w:rPr>
                <w:rFonts w:asciiTheme="majorBidi" w:hAnsiTheme="majorBidi" w:cstheme="majorBidi"/>
              </w:rPr>
              <w:t xml:space="preserve">total de l’Offre, à </w:t>
            </w:r>
            <w:r w:rsidRPr="00A67F27">
              <w:rPr>
                <w:rFonts w:asciiTheme="majorBidi" w:hAnsiTheme="majorBidi" w:cstheme="majorBidi"/>
                <w:szCs w:val="24"/>
              </w:rPr>
              <w:t>l’exclusion de tout rabais éventuel.</w:t>
            </w:r>
          </w:p>
          <w:p w14:paraId="21CC4259" w14:textId="2A6E118F" w:rsidR="00E45634" w:rsidRPr="00A67F27" w:rsidRDefault="00E45634" w:rsidP="00D510E8">
            <w:pPr>
              <w:pStyle w:val="Paragraphedeliste"/>
              <w:numPr>
                <w:ilvl w:val="1"/>
                <w:numId w:val="38"/>
              </w:numPr>
              <w:tabs>
                <w:tab w:val="left" w:pos="576"/>
                <w:tab w:val="left" w:pos="1152"/>
              </w:tabs>
              <w:spacing w:after="0"/>
              <w:contextualSpacing w:val="0"/>
              <w:rPr>
                <w:rFonts w:asciiTheme="majorBidi" w:hAnsiTheme="majorBidi" w:cstheme="majorBidi"/>
                <w:szCs w:val="24"/>
              </w:rPr>
            </w:pPr>
            <w:r w:rsidRPr="00A67F27">
              <w:rPr>
                <w:rFonts w:asciiTheme="majorBidi" w:hAnsiTheme="majorBidi" w:cstheme="majorBidi"/>
                <w:szCs w:val="24"/>
              </w:rPr>
              <w:lastRenderedPageBreak/>
              <w:t>Le Soumissionnaire indiquera les rabais e</w:t>
            </w:r>
            <w:r w:rsidR="00C3597B" w:rsidRPr="00A67F27">
              <w:rPr>
                <w:rFonts w:asciiTheme="majorBidi" w:hAnsiTheme="majorBidi" w:cstheme="majorBidi"/>
                <w:szCs w:val="24"/>
              </w:rPr>
              <w:t xml:space="preserve">t </w:t>
            </w:r>
            <w:r w:rsidR="00D42529" w:rsidRPr="00A67F27">
              <w:rPr>
                <w:rFonts w:asciiTheme="majorBidi" w:hAnsiTheme="majorBidi" w:cstheme="majorBidi"/>
                <w:szCs w:val="24"/>
              </w:rPr>
              <w:t xml:space="preserve">la </w:t>
            </w:r>
            <w:r w:rsidR="00C3597B" w:rsidRPr="00A67F27">
              <w:rPr>
                <w:rFonts w:asciiTheme="majorBidi" w:hAnsiTheme="majorBidi" w:cstheme="majorBidi"/>
                <w:szCs w:val="24"/>
              </w:rPr>
              <w:t xml:space="preserve">méthode d’application </w:t>
            </w:r>
            <w:r w:rsidR="00D42529" w:rsidRPr="00A67F27">
              <w:rPr>
                <w:rFonts w:asciiTheme="majorBidi" w:hAnsiTheme="majorBidi" w:cstheme="majorBidi"/>
                <w:szCs w:val="24"/>
              </w:rPr>
              <w:t xml:space="preserve">desdits rabais </w:t>
            </w:r>
            <w:r w:rsidR="00C3597B" w:rsidRPr="00A67F27">
              <w:rPr>
                <w:rFonts w:asciiTheme="majorBidi" w:hAnsiTheme="majorBidi" w:cstheme="majorBidi"/>
                <w:szCs w:val="24"/>
              </w:rPr>
              <w:t>dans</w:t>
            </w:r>
            <w:r w:rsidRPr="00A67F27">
              <w:rPr>
                <w:rFonts w:asciiTheme="majorBidi" w:hAnsiTheme="majorBidi" w:cstheme="majorBidi"/>
                <w:szCs w:val="24"/>
              </w:rPr>
              <w:t xml:space="preserve"> </w:t>
            </w:r>
            <w:r w:rsidR="00D42529" w:rsidRPr="00A67F27">
              <w:rPr>
                <w:rFonts w:asciiTheme="majorBidi" w:hAnsiTheme="majorBidi" w:cstheme="majorBidi"/>
                <w:szCs w:val="24"/>
              </w:rPr>
              <w:t>la Lettre</w:t>
            </w:r>
            <w:r w:rsidRPr="00A67F27">
              <w:rPr>
                <w:rFonts w:asciiTheme="majorBidi" w:hAnsiTheme="majorBidi" w:cstheme="majorBidi"/>
                <w:szCs w:val="24"/>
              </w:rPr>
              <w:t xml:space="preserve"> d</w:t>
            </w:r>
            <w:r w:rsidR="001E22AE" w:rsidRPr="00A67F27">
              <w:rPr>
                <w:rFonts w:asciiTheme="majorBidi" w:hAnsiTheme="majorBidi" w:cstheme="majorBidi"/>
                <w:szCs w:val="24"/>
              </w:rPr>
              <w:t>e Soumission</w:t>
            </w:r>
            <w:r w:rsidRPr="00A67F27">
              <w:rPr>
                <w:rFonts w:asciiTheme="majorBidi" w:hAnsiTheme="majorBidi" w:cstheme="majorBidi"/>
                <w:szCs w:val="24"/>
              </w:rPr>
              <w:t xml:space="preserve"> conformément </w:t>
            </w:r>
            <w:r w:rsidR="00D2471A" w:rsidRPr="00A67F27">
              <w:rPr>
                <w:rFonts w:asciiTheme="majorBidi" w:hAnsiTheme="majorBidi" w:cstheme="majorBidi"/>
                <w:szCs w:val="24"/>
              </w:rPr>
              <w:t>à</w:t>
            </w:r>
            <w:r w:rsidRPr="00A67F27">
              <w:rPr>
                <w:rFonts w:asciiTheme="majorBidi" w:hAnsiTheme="majorBidi" w:cstheme="majorBidi"/>
                <w:szCs w:val="24"/>
              </w:rPr>
              <w:t xml:space="preserve"> l’article 12.1 des IS.</w:t>
            </w:r>
          </w:p>
          <w:p w14:paraId="341A1E7C" w14:textId="2C52BFB2" w:rsidR="000A450A" w:rsidRPr="00A67F27" w:rsidRDefault="00383A8B" w:rsidP="00D510E8">
            <w:pPr>
              <w:pStyle w:val="Paragraphedeliste"/>
              <w:numPr>
                <w:ilvl w:val="1"/>
                <w:numId w:val="38"/>
              </w:numPr>
              <w:tabs>
                <w:tab w:val="left" w:pos="576"/>
                <w:tab w:val="left" w:pos="1152"/>
              </w:tabs>
              <w:spacing w:after="0"/>
              <w:contextualSpacing w:val="0"/>
              <w:rPr>
                <w:rFonts w:asciiTheme="majorBidi" w:hAnsiTheme="majorBidi" w:cstheme="majorBidi"/>
                <w:sz w:val="16"/>
              </w:rPr>
            </w:pPr>
            <w:r w:rsidRPr="00A67F27">
              <w:rPr>
                <w:rFonts w:asciiTheme="majorBidi" w:hAnsiTheme="majorBidi" w:cstheme="majorBidi"/>
                <w:b/>
                <w:bCs/>
                <w:szCs w:val="24"/>
              </w:rPr>
              <w:t>A moins qu’il n’en soit stipulé autrement dans les</w:t>
            </w:r>
            <w:r w:rsidRPr="00A67F27">
              <w:rPr>
                <w:rFonts w:asciiTheme="majorBidi" w:hAnsiTheme="majorBidi" w:cstheme="majorBidi"/>
                <w:szCs w:val="24"/>
              </w:rPr>
              <w:t xml:space="preserve"> </w:t>
            </w:r>
            <w:r w:rsidRPr="00A67F27">
              <w:rPr>
                <w:rFonts w:asciiTheme="majorBidi" w:hAnsiTheme="majorBidi" w:cstheme="majorBidi"/>
                <w:b/>
                <w:szCs w:val="24"/>
              </w:rPr>
              <w:t>DPAO</w:t>
            </w:r>
            <w:r w:rsidRPr="00A67F27">
              <w:rPr>
                <w:rFonts w:asciiTheme="majorBidi" w:hAnsiTheme="majorBidi" w:cstheme="majorBidi"/>
                <w:szCs w:val="24"/>
              </w:rPr>
              <w:t xml:space="preserve"> et le CCAP, les prix indiqués par le Soumissionnaire seront </w:t>
            </w:r>
            <w:r w:rsidR="00A2268D" w:rsidRPr="00A67F27">
              <w:rPr>
                <w:rFonts w:asciiTheme="majorBidi" w:hAnsiTheme="majorBidi" w:cstheme="majorBidi"/>
                <w:szCs w:val="24"/>
              </w:rPr>
              <w:t xml:space="preserve">fermes </w:t>
            </w:r>
            <w:r w:rsidRPr="00A67F27">
              <w:rPr>
                <w:rFonts w:asciiTheme="majorBidi" w:hAnsiTheme="majorBidi" w:cstheme="majorBidi"/>
                <w:szCs w:val="24"/>
              </w:rPr>
              <w:t>durant l’exécution du Marché.</w:t>
            </w:r>
            <w:r w:rsidR="009B2302" w:rsidRPr="00A67F27">
              <w:rPr>
                <w:rFonts w:asciiTheme="majorBidi" w:hAnsiTheme="majorBidi" w:cstheme="majorBidi"/>
                <w:szCs w:val="24"/>
              </w:rPr>
              <w:t xml:space="preserve"> </w:t>
            </w:r>
            <w:r w:rsidR="00A2268D" w:rsidRPr="00A67F27">
              <w:rPr>
                <w:rFonts w:asciiTheme="majorBidi" w:hAnsiTheme="majorBidi" w:cstheme="majorBidi"/>
                <w:szCs w:val="24"/>
              </w:rPr>
              <w:t xml:space="preserve">Si les prix indiqués par le Soumissionnaire seront révisables durant l’exécution du Marché conformément aux dispositions du CCAP, le </w:t>
            </w:r>
            <w:r w:rsidRPr="00A67F27">
              <w:rPr>
                <w:rFonts w:asciiTheme="majorBidi" w:hAnsiTheme="majorBidi" w:cstheme="majorBidi"/>
                <w:szCs w:val="24"/>
              </w:rPr>
              <w:t xml:space="preserve">Soumissionnaire devra fournir </w:t>
            </w:r>
            <w:r w:rsidR="001E22AE" w:rsidRPr="00A67F27">
              <w:rPr>
                <w:rFonts w:asciiTheme="majorBidi" w:hAnsiTheme="majorBidi" w:cstheme="majorBidi"/>
                <w:szCs w:val="24"/>
              </w:rPr>
              <w:t xml:space="preserve">en annexe à </w:t>
            </w:r>
            <w:r w:rsidR="00D2471A" w:rsidRPr="00A67F27">
              <w:rPr>
                <w:rFonts w:asciiTheme="majorBidi" w:hAnsiTheme="majorBidi" w:cstheme="majorBidi"/>
                <w:szCs w:val="24"/>
              </w:rPr>
              <w:t xml:space="preserve">la Lettre de </w:t>
            </w:r>
            <w:r w:rsidR="001E22AE" w:rsidRPr="00A67F27">
              <w:rPr>
                <w:rFonts w:asciiTheme="majorBidi" w:hAnsiTheme="majorBidi" w:cstheme="majorBidi"/>
                <w:szCs w:val="24"/>
              </w:rPr>
              <w:t>Soumission</w:t>
            </w:r>
            <w:r w:rsidR="00D2471A" w:rsidRPr="00A67F27">
              <w:rPr>
                <w:rFonts w:asciiTheme="majorBidi" w:hAnsiTheme="majorBidi" w:cstheme="majorBidi"/>
                <w:szCs w:val="24"/>
              </w:rPr>
              <w:t>,</w:t>
            </w:r>
            <w:r w:rsidR="001E22AE" w:rsidRPr="00A67F27">
              <w:rPr>
                <w:rFonts w:asciiTheme="majorBidi" w:hAnsiTheme="majorBidi" w:cstheme="majorBidi"/>
                <w:szCs w:val="24"/>
              </w:rPr>
              <w:t xml:space="preserve"> </w:t>
            </w:r>
            <w:r w:rsidRPr="00A67F27">
              <w:rPr>
                <w:rFonts w:asciiTheme="majorBidi" w:hAnsiTheme="majorBidi" w:cstheme="majorBidi"/>
                <w:szCs w:val="24"/>
              </w:rPr>
              <w:t>les indices et paramètres retenus pour les formules de r</w:t>
            </w:r>
            <w:r w:rsidR="001E22AE" w:rsidRPr="00A67F27">
              <w:rPr>
                <w:rFonts w:asciiTheme="majorBidi" w:hAnsiTheme="majorBidi" w:cstheme="majorBidi"/>
                <w:szCs w:val="24"/>
              </w:rPr>
              <w:t>évision des prix</w:t>
            </w:r>
            <w:r w:rsidR="00C3597B" w:rsidRPr="00A67F27">
              <w:rPr>
                <w:rFonts w:asciiTheme="majorBidi" w:hAnsiTheme="majorBidi" w:cstheme="majorBidi"/>
                <w:szCs w:val="24"/>
              </w:rPr>
              <w:t>.</w:t>
            </w:r>
            <w:r w:rsidR="009B2302" w:rsidRPr="00A67F27">
              <w:rPr>
                <w:rFonts w:asciiTheme="majorBidi" w:hAnsiTheme="majorBidi" w:cstheme="majorBidi"/>
                <w:szCs w:val="24"/>
              </w:rPr>
              <w:t xml:space="preserve"> </w:t>
            </w:r>
            <w:r w:rsidR="00C3597B" w:rsidRPr="00A67F27">
              <w:rPr>
                <w:rFonts w:asciiTheme="majorBidi" w:hAnsiTheme="majorBidi" w:cstheme="majorBidi"/>
                <w:szCs w:val="24"/>
              </w:rPr>
              <w:t>Le Maître de l’Ouvrage pourra</w:t>
            </w:r>
            <w:r w:rsidRPr="00A67F27">
              <w:rPr>
                <w:rFonts w:asciiTheme="majorBidi" w:hAnsiTheme="majorBidi" w:cstheme="majorBidi"/>
                <w:szCs w:val="24"/>
              </w:rPr>
              <w:t xml:space="preserve"> exiger du Soumissionnaire de justifier les </w:t>
            </w:r>
            <w:r w:rsidR="00A2268D" w:rsidRPr="00A67F27">
              <w:rPr>
                <w:rFonts w:asciiTheme="majorBidi" w:hAnsiTheme="majorBidi" w:cstheme="majorBidi"/>
                <w:szCs w:val="24"/>
              </w:rPr>
              <w:t xml:space="preserve">indices et les </w:t>
            </w:r>
            <w:r w:rsidRPr="00A67F27">
              <w:rPr>
                <w:rFonts w:asciiTheme="majorBidi" w:hAnsiTheme="majorBidi" w:cstheme="majorBidi"/>
                <w:szCs w:val="24"/>
              </w:rPr>
              <w:t>paramètres qu’il propose</w:t>
            </w:r>
            <w:r w:rsidRPr="00A67F27">
              <w:rPr>
                <w:rFonts w:asciiTheme="majorBidi" w:hAnsiTheme="majorBidi" w:cstheme="majorBidi"/>
                <w:color w:val="000000"/>
                <w:szCs w:val="24"/>
              </w:rPr>
              <w:t>.</w:t>
            </w:r>
          </w:p>
        </w:tc>
      </w:tr>
      <w:tr w:rsidR="000A450A" w:rsidRPr="00A67F27" w14:paraId="2225330F" w14:textId="77777777" w:rsidTr="007318E7">
        <w:trPr>
          <w:trHeight w:val="20"/>
        </w:trPr>
        <w:tc>
          <w:tcPr>
            <w:tcW w:w="2250" w:type="dxa"/>
            <w:tcBorders>
              <w:top w:val="nil"/>
              <w:left w:val="nil"/>
              <w:bottom w:val="nil"/>
              <w:right w:val="nil"/>
            </w:tcBorders>
          </w:tcPr>
          <w:p w14:paraId="2F6D9E7B" w14:textId="77777777" w:rsidR="000A450A" w:rsidRPr="00A67F27" w:rsidRDefault="000A450A" w:rsidP="007318E7">
            <w:pPr>
              <w:pStyle w:val="Header2-SubClauses"/>
              <w:tabs>
                <w:tab w:val="clear" w:pos="619"/>
              </w:tabs>
              <w:spacing w:after="0"/>
              <w:rPr>
                <w:rFonts w:asciiTheme="majorBidi" w:hAnsiTheme="majorBidi" w:cstheme="majorBidi"/>
                <w:lang w:val="fr-FR"/>
              </w:rPr>
            </w:pPr>
            <w:bookmarkStart w:id="164" w:name="_Toc438532590"/>
            <w:bookmarkEnd w:id="164"/>
          </w:p>
        </w:tc>
        <w:tc>
          <w:tcPr>
            <w:tcW w:w="7380" w:type="dxa"/>
            <w:tcBorders>
              <w:top w:val="nil"/>
              <w:left w:val="nil"/>
              <w:bottom w:val="nil"/>
              <w:right w:val="nil"/>
            </w:tcBorders>
          </w:tcPr>
          <w:p w14:paraId="1B658ED5" w14:textId="618359A5" w:rsidR="00BC693B" w:rsidRPr="00A67F27" w:rsidRDefault="000A450A" w:rsidP="00D510E8">
            <w:pPr>
              <w:pStyle w:val="Paragraphedeliste"/>
              <w:numPr>
                <w:ilvl w:val="1"/>
                <w:numId w:val="38"/>
              </w:numPr>
              <w:tabs>
                <w:tab w:val="left" w:pos="576"/>
                <w:tab w:val="left" w:pos="1152"/>
              </w:tabs>
              <w:spacing w:after="0"/>
              <w:contextualSpacing w:val="0"/>
              <w:rPr>
                <w:rFonts w:asciiTheme="majorBidi" w:hAnsiTheme="majorBidi" w:cstheme="majorBidi"/>
              </w:rPr>
            </w:pPr>
            <w:r w:rsidRPr="00A67F27">
              <w:rPr>
                <w:rFonts w:asciiTheme="majorBidi" w:hAnsiTheme="majorBidi" w:cstheme="majorBidi"/>
              </w:rPr>
              <w:t>Si l’article 1.1 des IS indique que l’appel d’offres est lancé pour plusieurs lots pouvant faire l’objet de marchés séparés, les Soumissionnaires désirant offrir un rabais de prix en cas d’attribution de plusieurs lots spécifieront les rabais applicables à chaque groupe de lots ou à chaque lot. Les rabais proposés seront présentés conformément à l’article 14.4 des IS, à la condition toutefois que les offres pour l’ensemble des lots</w:t>
            </w:r>
            <w:r w:rsidR="00915E36" w:rsidRPr="00A67F27">
              <w:rPr>
                <w:rFonts w:asciiTheme="majorBidi" w:hAnsiTheme="majorBidi" w:cstheme="majorBidi"/>
              </w:rPr>
              <w:t>,</w:t>
            </w:r>
            <w:r w:rsidRPr="00A67F27">
              <w:rPr>
                <w:rFonts w:asciiTheme="majorBidi" w:hAnsiTheme="majorBidi" w:cstheme="majorBidi"/>
              </w:rPr>
              <w:t xml:space="preserve"> soient soumises et ouvertes en même temps.</w:t>
            </w:r>
          </w:p>
        </w:tc>
      </w:tr>
      <w:tr w:rsidR="000A450A" w:rsidRPr="00A67F27" w14:paraId="178BD704" w14:textId="77777777" w:rsidTr="007318E7">
        <w:trPr>
          <w:trHeight w:val="20"/>
        </w:trPr>
        <w:tc>
          <w:tcPr>
            <w:tcW w:w="2250" w:type="dxa"/>
            <w:tcBorders>
              <w:top w:val="nil"/>
              <w:left w:val="nil"/>
              <w:bottom w:val="nil"/>
              <w:right w:val="nil"/>
            </w:tcBorders>
          </w:tcPr>
          <w:p w14:paraId="08248A57" w14:textId="77777777" w:rsidR="000A450A" w:rsidRPr="00A67F27" w:rsidRDefault="000A450A" w:rsidP="007318E7">
            <w:pPr>
              <w:numPr>
                <w:ilvl w:val="12"/>
                <w:numId w:val="0"/>
              </w:numPr>
              <w:spacing w:after="0"/>
              <w:rPr>
                <w:rFonts w:asciiTheme="majorBidi" w:hAnsiTheme="majorBidi" w:cstheme="majorBidi"/>
              </w:rPr>
            </w:pPr>
            <w:bookmarkStart w:id="165" w:name="_Toc438532592"/>
            <w:bookmarkStart w:id="166" w:name="_Toc438532594"/>
            <w:bookmarkStart w:id="167" w:name="_Toc438532595"/>
            <w:bookmarkStart w:id="168" w:name="_Toc438532596"/>
            <w:bookmarkEnd w:id="165"/>
            <w:bookmarkEnd w:id="166"/>
            <w:bookmarkEnd w:id="167"/>
            <w:bookmarkEnd w:id="168"/>
          </w:p>
        </w:tc>
        <w:tc>
          <w:tcPr>
            <w:tcW w:w="7380" w:type="dxa"/>
            <w:tcBorders>
              <w:top w:val="nil"/>
              <w:left w:val="nil"/>
              <w:bottom w:val="nil"/>
              <w:right w:val="nil"/>
            </w:tcBorders>
          </w:tcPr>
          <w:p w14:paraId="7CDBCE72" w14:textId="69DD6B75" w:rsidR="00BC693B" w:rsidRPr="00A67F27" w:rsidRDefault="000A450A" w:rsidP="00D510E8">
            <w:pPr>
              <w:pStyle w:val="Paragraphedeliste"/>
              <w:numPr>
                <w:ilvl w:val="1"/>
                <w:numId w:val="38"/>
              </w:numPr>
              <w:tabs>
                <w:tab w:val="left" w:pos="576"/>
                <w:tab w:val="left" w:pos="1152"/>
              </w:tabs>
              <w:spacing w:after="0"/>
              <w:contextualSpacing w:val="0"/>
              <w:rPr>
                <w:rFonts w:asciiTheme="majorBidi" w:hAnsiTheme="majorBidi" w:cstheme="majorBidi"/>
              </w:rPr>
            </w:pPr>
            <w:r w:rsidRPr="00A67F27">
              <w:rPr>
                <w:rFonts w:asciiTheme="majorBidi" w:hAnsiTheme="majorBidi" w:cstheme="majorBidi"/>
              </w:rPr>
              <w:t>Tous les droits, impôts et taxes payables par l’Entrepreneur au titre du Marché, ou à tout autre titre, vingt-huit</w:t>
            </w:r>
            <w:r w:rsidR="009B2302" w:rsidRPr="00A67F27">
              <w:rPr>
                <w:rFonts w:asciiTheme="majorBidi" w:hAnsiTheme="majorBidi" w:cstheme="majorBidi"/>
              </w:rPr>
              <w:t xml:space="preserve"> </w:t>
            </w:r>
            <w:r w:rsidRPr="00A67F27">
              <w:rPr>
                <w:rFonts w:asciiTheme="majorBidi" w:hAnsiTheme="majorBidi" w:cstheme="majorBidi"/>
              </w:rPr>
              <w:t>(28) jours avant la date limite de dépôt des offres seront réputés inclus dans les prix</w:t>
            </w:r>
            <w:r w:rsidR="00AD3F5D" w:rsidRPr="00A67F27">
              <w:rPr>
                <w:rFonts w:asciiTheme="majorBidi" w:hAnsiTheme="majorBidi" w:cstheme="majorBidi"/>
              </w:rPr>
              <w:t xml:space="preserve"> </w:t>
            </w:r>
            <w:r w:rsidRPr="00A67F27">
              <w:rPr>
                <w:rFonts w:asciiTheme="majorBidi" w:hAnsiTheme="majorBidi" w:cstheme="majorBidi"/>
              </w:rPr>
              <w:t>et dans le montant total de l’offre présentée par le Soumissionnaire.</w:t>
            </w:r>
          </w:p>
        </w:tc>
      </w:tr>
      <w:tr w:rsidR="000A450A" w:rsidRPr="00A67F27" w14:paraId="1954E238" w14:textId="77777777" w:rsidTr="007318E7">
        <w:trPr>
          <w:trHeight w:val="20"/>
        </w:trPr>
        <w:tc>
          <w:tcPr>
            <w:tcW w:w="2250" w:type="dxa"/>
            <w:tcBorders>
              <w:top w:val="nil"/>
              <w:left w:val="nil"/>
              <w:bottom w:val="nil"/>
              <w:right w:val="nil"/>
            </w:tcBorders>
          </w:tcPr>
          <w:p w14:paraId="6AC461A2" w14:textId="3869844E" w:rsidR="000A450A" w:rsidRPr="00A67F27" w:rsidRDefault="00B125FF" w:rsidP="007318E7">
            <w:pPr>
              <w:pStyle w:val="S1-Header2"/>
              <w:numPr>
                <w:ilvl w:val="0"/>
                <w:numId w:val="0"/>
              </w:numPr>
              <w:tabs>
                <w:tab w:val="num" w:pos="432"/>
              </w:tabs>
              <w:spacing w:after="0"/>
              <w:ind w:left="432" w:hanging="432"/>
              <w:rPr>
                <w:rFonts w:asciiTheme="majorBidi" w:hAnsiTheme="majorBidi" w:cstheme="majorBidi"/>
                <w:lang w:val="fr-FR"/>
              </w:rPr>
            </w:pPr>
            <w:bookmarkStart w:id="169" w:name="_Toc438438836"/>
            <w:bookmarkStart w:id="170" w:name="_Toc438532597"/>
            <w:bookmarkStart w:id="171" w:name="_Toc438733980"/>
            <w:bookmarkStart w:id="172" w:name="_Toc438907019"/>
            <w:bookmarkStart w:id="173" w:name="_Toc438907218"/>
            <w:bookmarkStart w:id="174" w:name="_Toc156373298"/>
            <w:bookmarkStart w:id="175" w:name="_Toc483210586"/>
            <w:bookmarkStart w:id="176" w:name="_Toc487641785"/>
            <w:r w:rsidRPr="00A67F27">
              <w:rPr>
                <w:lang w:val="fr-FR"/>
              </w:rPr>
              <w:t>15.</w:t>
            </w:r>
            <w:r w:rsidR="000A450A" w:rsidRPr="00A67F27">
              <w:rPr>
                <w:lang w:val="fr-FR"/>
              </w:rPr>
              <w:tab/>
              <w:t>Monnaies de l’offre</w:t>
            </w:r>
            <w:bookmarkEnd w:id="169"/>
            <w:bookmarkEnd w:id="170"/>
            <w:bookmarkEnd w:id="171"/>
            <w:bookmarkEnd w:id="172"/>
            <w:bookmarkEnd w:id="173"/>
            <w:bookmarkEnd w:id="174"/>
            <w:bookmarkEnd w:id="175"/>
            <w:bookmarkEnd w:id="176"/>
          </w:p>
        </w:tc>
        <w:tc>
          <w:tcPr>
            <w:tcW w:w="7380" w:type="dxa"/>
            <w:tcBorders>
              <w:top w:val="nil"/>
              <w:left w:val="nil"/>
              <w:bottom w:val="nil"/>
              <w:right w:val="nil"/>
            </w:tcBorders>
          </w:tcPr>
          <w:p w14:paraId="0AE27200" w14:textId="77777777" w:rsidR="000A450A" w:rsidRPr="00A67F27" w:rsidRDefault="000A450A" w:rsidP="007318E7">
            <w:pPr>
              <w:numPr>
                <w:ilvl w:val="0"/>
                <w:numId w:val="5"/>
              </w:numPr>
              <w:tabs>
                <w:tab w:val="left" w:pos="576"/>
                <w:tab w:val="left" w:pos="1152"/>
              </w:tabs>
              <w:spacing w:after="0"/>
              <w:rPr>
                <w:rFonts w:asciiTheme="majorBidi" w:hAnsiTheme="majorBidi" w:cstheme="majorBidi"/>
              </w:rPr>
            </w:pPr>
            <w:r w:rsidRPr="00A67F27">
              <w:rPr>
                <w:rFonts w:asciiTheme="majorBidi" w:hAnsiTheme="majorBidi" w:cstheme="majorBidi"/>
              </w:rPr>
              <w:t>Les monnaies de l’</w:t>
            </w:r>
            <w:r w:rsidR="00B14E19" w:rsidRPr="00A67F27">
              <w:rPr>
                <w:rFonts w:asciiTheme="majorBidi" w:hAnsiTheme="majorBidi" w:cstheme="majorBidi"/>
              </w:rPr>
              <w:t>O</w:t>
            </w:r>
            <w:r w:rsidRPr="00A67F27">
              <w:rPr>
                <w:rFonts w:asciiTheme="majorBidi" w:hAnsiTheme="majorBidi" w:cstheme="majorBidi"/>
              </w:rPr>
              <w:t xml:space="preserve">ffre et les monnaies de règlement seront </w:t>
            </w:r>
            <w:r w:rsidR="002756FD" w:rsidRPr="00A67F27">
              <w:rPr>
                <w:rFonts w:asciiTheme="majorBidi" w:hAnsiTheme="majorBidi" w:cstheme="majorBidi"/>
              </w:rPr>
              <w:t xml:space="preserve">identiques et seront </w:t>
            </w:r>
            <w:r w:rsidRPr="00A67F27">
              <w:rPr>
                <w:rFonts w:asciiTheme="majorBidi" w:hAnsiTheme="majorBidi" w:cstheme="majorBidi"/>
              </w:rPr>
              <w:t xml:space="preserve">conformes aux </w:t>
            </w:r>
            <w:r w:rsidRPr="00A67F27">
              <w:rPr>
                <w:rFonts w:asciiTheme="majorBidi" w:hAnsiTheme="majorBidi" w:cstheme="majorBidi"/>
                <w:b/>
                <w:bCs/>
              </w:rPr>
              <w:t xml:space="preserve">dispositions des </w:t>
            </w:r>
            <w:r w:rsidRPr="00A67F27">
              <w:rPr>
                <w:rFonts w:asciiTheme="majorBidi" w:hAnsiTheme="majorBidi" w:cstheme="majorBidi"/>
                <w:b/>
              </w:rPr>
              <w:t>DPAO</w:t>
            </w:r>
            <w:r w:rsidRPr="00A67F27">
              <w:rPr>
                <w:rFonts w:asciiTheme="majorBidi" w:hAnsiTheme="majorBidi" w:cstheme="majorBidi"/>
              </w:rPr>
              <w:t>.</w:t>
            </w:r>
          </w:p>
          <w:p w14:paraId="2C3C1DED" w14:textId="2E942D8B" w:rsidR="000A450A" w:rsidRPr="00132A9B" w:rsidRDefault="00B125FF" w:rsidP="007318E7">
            <w:pPr>
              <w:numPr>
                <w:ilvl w:val="0"/>
                <w:numId w:val="5"/>
              </w:numPr>
              <w:tabs>
                <w:tab w:val="left" w:pos="576"/>
                <w:tab w:val="left" w:pos="1152"/>
              </w:tabs>
              <w:spacing w:after="0"/>
              <w:rPr>
                <w:rFonts w:asciiTheme="majorBidi" w:hAnsiTheme="majorBidi" w:cstheme="majorBidi"/>
              </w:rPr>
            </w:pPr>
            <w:r w:rsidRPr="00A67F27">
              <w:rPr>
                <w:rFonts w:asciiTheme="majorBidi" w:hAnsiTheme="majorBidi" w:cstheme="majorBidi"/>
              </w:rPr>
              <w:t>Le Maître d</w:t>
            </w:r>
            <w:r w:rsidR="000A450A" w:rsidRPr="00A67F27">
              <w:rPr>
                <w:rFonts w:asciiTheme="majorBidi" w:hAnsiTheme="majorBidi" w:cstheme="majorBidi"/>
              </w:rPr>
              <w:t>’</w:t>
            </w:r>
            <w:r w:rsidRPr="00A67F27">
              <w:rPr>
                <w:rFonts w:asciiTheme="majorBidi" w:hAnsiTheme="majorBidi" w:cstheme="majorBidi"/>
              </w:rPr>
              <w:t xml:space="preserve">Ouvrage peut demander aux </w:t>
            </w:r>
            <w:r w:rsidR="00B14E19" w:rsidRPr="00A67F27">
              <w:rPr>
                <w:rFonts w:asciiTheme="majorBidi" w:hAnsiTheme="majorBidi" w:cstheme="majorBidi"/>
              </w:rPr>
              <w:t>S</w:t>
            </w:r>
            <w:r w:rsidRPr="00A67F27">
              <w:rPr>
                <w:rFonts w:asciiTheme="majorBidi" w:hAnsiTheme="majorBidi" w:cstheme="majorBidi"/>
              </w:rPr>
              <w:t>oumissionnaires d</w:t>
            </w:r>
            <w:r w:rsidR="00E776D1" w:rsidRPr="00A67F27">
              <w:rPr>
                <w:rFonts w:asciiTheme="majorBidi" w:hAnsiTheme="majorBidi" w:cstheme="majorBidi"/>
              </w:rPr>
              <w:t>e justifier</w:t>
            </w:r>
            <w:r w:rsidRPr="00A67F27">
              <w:rPr>
                <w:rFonts w:asciiTheme="majorBidi" w:hAnsiTheme="majorBidi" w:cstheme="majorBidi"/>
              </w:rPr>
              <w:t xml:space="preserve"> leurs besoins en monnaies nationale et étrangères et d</w:t>
            </w:r>
            <w:r w:rsidR="00E776D1" w:rsidRPr="00A67F27">
              <w:rPr>
                <w:rFonts w:asciiTheme="majorBidi" w:hAnsiTheme="majorBidi" w:cstheme="majorBidi"/>
              </w:rPr>
              <w:t>’établir</w:t>
            </w:r>
            <w:r w:rsidRPr="00A67F27">
              <w:rPr>
                <w:rFonts w:asciiTheme="majorBidi" w:hAnsiTheme="majorBidi" w:cstheme="majorBidi"/>
              </w:rPr>
              <w:t xml:space="preserve"> que les montants inclus dans les prix unitaires et totaux, et indiqués en annexe à la </w:t>
            </w:r>
            <w:r w:rsidR="0094199B" w:rsidRPr="00A67F27">
              <w:rPr>
                <w:rFonts w:asciiTheme="majorBidi" w:hAnsiTheme="majorBidi" w:cstheme="majorBidi"/>
              </w:rPr>
              <w:t>S</w:t>
            </w:r>
            <w:r w:rsidRPr="00A67F27">
              <w:rPr>
                <w:rFonts w:asciiTheme="majorBidi" w:hAnsiTheme="majorBidi" w:cstheme="majorBidi"/>
              </w:rPr>
              <w:t>oumission</w:t>
            </w:r>
            <w:r w:rsidR="00587F4A" w:rsidRPr="00A67F27">
              <w:rPr>
                <w:rStyle w:val="Appelnotedebasdep"/>
                <w:rFonts w:asciiTheme="majorBidi" w:hAnsiTheme="majorBidi" w:cstheme="majorBidi"/>
              </w:rPr>
              <w:footnoteReference w:id="2"/>
            </w:r>
            <w:r w:rsidRPr="00A67F27">
              <w:rPr>
                <w:rFonts w:asciiTheme="majorBidi" w:hAnsiTheme="majorBidi" w:cstheme="majorBidi"/>
              </w:rPr>
              <w:t>, sont raisonnables et conformes aux dispositions du Dossier d</w:t>
            </w:r>
            <w:r w:rsidR="000A450A" w:rsidRPr="001627D7">
              <w:rPr>
                <w:rFonts w:asciiTheme="majorBidi" w:hAnsiTheme="majorBidi" w:cstheme="majorBidi"/>
              </w:rPr>
              <w:t>’</w:t>
            </w:r>
            <w:r w:rsidRPr="001627D7">
              <w:rPr>
                <w:rFonts w:asciiTheme="majorBidi" w:hAnsiTheme="majorBidi" w:cstheme="majorBidi"/>
              </w:rPr>
              <w:t>Appel d</w:t>
            </w:r>
            <w:r w:rsidR="000A450A" w:rsidRPr="00043C85">
              <w:rPr>
                <w:rFonts w:asciiTheme="majorBidi" w:hAnsiTheme="majorBidi" w:cstheme="majorBidi"/>
              </w:rPr>
              <w:t>’</w:t>
            </w:r>
            <w:r w:rsidRPr="00442531">
              <w:rPr>
                <w:rFonts w:asciiTheme="majorBidi" w:hAnsiTheme="majorBidi" w:cstheme="majorBidi"/>
              </w:rPr>
              <w:t>Offres</w:t>
            </w:r>
            <w:r w:rsidR="009B2302" w:rsidRPr="00442531">
              <w:rPr>
                <w:rFonts w:asciiTheme="majorBidi" w:hAnsiTheme="majorBidi" w:cstheme="majorBidi"/>
              </w:rPr>
              <w:t> ;</w:t>
            </w:r>
            <w:r w:rsidRPr="00132A9B">
              <w:rPr>
                <w:rFonts w:asciiTheme="majorBidi" w:hAnsiTheme="majorBidi" w:cstheme="majorBidi"/>
              </w:rPr>
              <w:t xml:space="preserve"> à cette fin, un état détaillé de ses besoins en monnaies étrangères sera fourni par le Soumissionnaire.</w:t>
            </w:r>
          </w:p>
        </w:tc>
      </w:tr>
      <w:tr w:rsidR="000A450A" w:rsidRPr="00A67F27" w14:paraId="71498183" w14:textId="77777777" w:rsidTr="007318E7">
        <w:trPr>
          <w:trHeight w:val="20"/>
        </w:trPr>
        <w:tc>
          <w:tcPr>
            <w:tcW w:w="2250" w:type="dxa"/>
            <w:tcBorders>
              <w:top w:val="nil"/>
              <w:left w:val="nil"/>
              <w:bottom w:val="nil"/>
              <w:right w:val="nil"/>
            </w:tcBorders>
          </w:tcPr>
          <w:p w14:paraId="68773F01" w14:textId="4748651C" w:rsidR="000A450A" w:rsidRPr="00A67F27" w:rsidRDefault="000A450A" w:rsidP="007318E7">
            <w:pPr>
              <w:pStyle w:val="S1-Header2"/>
              <w:numPr>
                <w:ilvl w:val="0"/>
                <w:numId w:val="0"/>
              </w:numPr>
              <w:tabs>
                <w:tab w:val="num" w:pos="432"/>
              </w:tabs>
              <w:spacing w:after="0"/>
              <w:ind w:left="432" w:hanging="432"/>
              <w:rPr>
                <w:lang w:val="fr-FR"/>
              </w:rPr>
            </w:pPr>
            <w:bookmarkStart w:id="177" w:name="_Toc156373299"/>
            <w:bookmarkStart w:id="178" w:name="_Toc483210587"/>
            <w:bookmarkStart w:id="179" w:name="_Toc487641786"/>
            <w:bookmarkStart w:id="180" w:name="_Toc438438837"/>
            <w:bookmarkStart w:id="181" w:name="_Toc438532598"/>
            <w:bookmarkStart w:id="182" w:name="_Toc438733981"/>
            <w:bookmarkStart w:id="183" w:name="_Toc438907020"/>
            <w:bookmarkStart w:id="184" w:name="_Toc438907219"/>
            <w:r w:rsidRPr="00A67F27">
              <w:rPr>
                <w:lang w:val="fr-FR"/>
              </w:rPr>
              <w:t>16.</w:t>
            </w:r>
            <w:r w:rsidRPr="00A67F27">
              <w:rPr>
                <w:lang w:val="fr-FR"/>
              </w:rPr>
              <w:tab/>
              <w:t>Documents constituant la proposition technique</w:t>
            </w:r>
            <w:bookmarkEnd w:id="177"/>
            <w:bookmarkEnd w:id="178"/>
            <w:bookmarkEnd w:id="179"/>
            <w:r w:rsidRPr="00A67F27">
              <w:rPr>
                <w:lang w:val="fr-FR"/>
              </w:rPr>
              <w:t xml:space="preserve"> </w:t>
            </w:r>
            <w:bookmarkEnd w:id="180"/>
            <w:bookmarkEnd w:id="181"/>
            <w:bookmarkEnd w:id="182"/>
            <w:bookmarkEnd w:id="183"/>
            <w:bookmarkEnd w:id="184"/>
          </w:p>
        </w:tc>
        <w:tc>
          <w:tcPr>
            <w:tcW w:w="7380" w:type="dxa"/>
            <w:tcBorders>
              <w:top w:val="nil"/>
              <w:left w:val="nil"/>
              <w:bottom w:val="nil"/>
              <w:right w:val="nil"/>
            </w:tcBorders>
          </w:tcPr>
          <w:p w14:paraId="41B90033" w14:textId="4FBA0632" w:rsidR="000A450A" w:rsidRPr="00A67F27" w:rsidRDefault="000A450A" w:rsidP="00D510E8">
            <w:pPr>
              <w:pStyle w:val="Paragraphedeliste"/>
              <w:numPr>
                <w:ilvl w:val="1"/>
                <w:numId w:val="39"/>
              </w:numPr>
              <w:tabs>
                <w:tab w:val="left" w:pos="576"/>
                <w:tab w:val="left" w:pos="1152"/>
              </w:tabs>
              <w:spacing w:after="0"/>
              <w:rPr>
                <w:rFonts w:asciiTheme="majorBidi" w:hAnsiTheme="majorBidi" w:cstheme="majorBidi"/>
                <w:spacing w:val="-2"/>
              </w:rPr>
            </w:pPr>
            <w:r w:rsidRPr="00A67F27">
              <w:rPr>
                <w:rFonts w:asciiTheme="majorBidi" w:hAnsiTheme="majorBidi" w:cstheme="majorBidi"/>
                <w:spacing w:val="-2"/>
              </w:rPr>
              <w:t xml:space="preserve">Le Soumissionnaire devra fournir une proposition technique incluant un programme des travaux et les méthodes d’exécution prévues, la liste du matériel, du personnel, le calendrier d’exécution et tout autre renseignement demandé à la Section IV-Formulaires de </w:t>
            </w:r>
            <w:r w:rsidR="00B14E19" w:rsidRPr="00A67F27">
              <w:rPr>
                <w:rFonts w:asciiTheme="majorBidi" w:hAnsiTheme="majorBidi" w:cstheme="majorBidi"/>
                <w:spacing w:val="-2"/>
              </w:rPr>
              <w:t>S</w:t>
            </w:r>
            <w:r w:rsidRPr="00A67F27">
              <w:rPr>
                <w:rFonts w:asciiTheme="majorBidi" w:hAnsiTheme="majorBidi" w:cstheme="majorBidi"/>
                <w:spacing w:val="-2"/>
              </w:rPr>
              <w:t xml:space="preserve">oumission. La proposition technique devra inclure tous les </w:t>
            </w:r>
            <w:r w:rsidR="00C3597B" w:rsidRPr="00A67F27">
              <w:rPr>
                <w:rFonts w:asciiTheme="majorBidi" w:hAnsiTheme="majorBidi" w:cstheme="majorBidi"/>
                <w:spacing w:val="-2"/>
              </w:rPr>
              <w:t>éléments permettant d’</w:t>
            </w:r>
            <w:r w:rsidRPr="00A67F27">
              <w:rPr>
                <w:rFonts w:asciiTheme="majorBidi" w:hAnsiTheme="majorBidi" w:cstheme="majorBidi"/>
                <w:spacing w:val="-2"/>
              </w:rPr>
              <w:t xml:space="preserve">établir que l’offre du Soumissionnaire est conforme aux exigences des </w:t>
            </w:r>
            <w:r w:rsidR="00B14E19" w:rsidRPr="00A67F27">
              <w:rPr>
                <w:rFonts w:asciiTheme="majorBidi" w:hAnsiTheme="majorBidi" w:cstheme="majorBidi"/>
                <w:spacing w:val="-2"/>
              </w:rPr>
              <w:t>S</w:t>
            </w:r>
            <w:r w:rsidRPr="00A67F27">
              <w:rPr>
                <w:rFonts w:asciiTheme="majorBidi" w:hAnsiTheme="majorBidi" w:cstheme="majorBidi"/>
                <w:spacing w:val="-2"/>
              </w:rPr>
              <w:t xml:space="preserve">pécifications et du </w:t>
            </w:r>
            <w:r w:rsidR="00B14E19" w:rsidRPr="00A67F27">
              <w:rPr>
                <w:rFonts w:asciiTheme="majorBidi" w:hAnsiTheme="majorBidi" w:cstheme="majorBidi"/>
                <w:spacing w:val="-2"/>
              </w:rPr>
              <w:t>C</w:t>
            </w:r>
            <w:r w:rsidRPr="00A67F27">
              <w:rPr>
                <w:rFonts w:asciiTheme="majorBidi" w:hAnsiTheme="majorBidi" w:cstheme="majorBidi"/>
                <w:spacing w:val="-2"/>
              </w:rPr>
              <w:t xml:space="preserve">alendrier des </w:t>
            </w:r>
            <w:r w:rsidR="00B14E19" w:rsidRPr="00A67F27">
              <w:rPr>
                <w:rFonts w:asciiTheme="majorBidi" w:hAnsiTheme="majorBidi" w:cstheme="majorBidi"/>
                <w:spacing w:val="-2"/>
              </w:rPr>
              <w:t>T</w:t>
            </w:r>
            <w:r w:rsidRPr="00A67F27">
              <w:rPr>
                <w:rFonts w:asciiTheme="majorBidi" w:hAnsiTheme="majorBidi" w:cstheme="majorBidi"/>
                <w:spacing w:val="-2"/>
              </w:rPr>
              <w:t>ravaux.</w:t>
            </w:r>
          </w:p>
        </w:tc>
      </w:tr>
      <w:tr w:rsidR="000A450A" w:rsidRPr="00A67F27" w14:paraId="32EA45EA" w14:textId="77777777" w:rsidTr="007318E7">
        <w:trPr>
          <w:trHeight w:val="20"/>
        </w:trPr>
        <w:tc>
          <w:tcPr>
            <w:tcW w:w="2250" w:type="dxa"/>
            <w:tcBorders>
              <w:top w:val="nil"/>
              <w:left w:val="nil"/>
              <w:bottom w:val="nil"/>
              <w:right w:val="nil"/>
            </w:tcBorders>
          </w:tcPr>
          <w:p w14:paraId="2BFA6864" w14:textId="678C2CE0" w:rsidR="000A450A" w:rsidRPr="00A67F27" w:rsidRDefault="000A450A" w:rsidP="0047107D">
            <w:pPr>
              <w:pStyle w:val="S1-Header2"/>
              <w:numPr>
                <w:ilvl w:val="0"/>
                <w:numId w:val="0"/>
              </w:numPr>
              <w:tabs>
                <w:tab w:val="num" w:pos="432"/>
              </w:tabs>
              <w:spacing w:after="0"/>
              <w:ind w:left="432" w:hanging="432"/>
              <w:rPr>
                <w:rFonts w:asciiTheme="majorBidi" w:hAnsiTheme="majorBidi" w:cstheme="majorBidi"/>
                <w:lang w:val="fr-FR"/>
              </w:rPr>
            </w:pPr>
            <w:bookmarkStart w:id="185" w:name="_Toc438532601"/>
            <w:bookmarkStart w:id="186" w:name="_Toc438532602"/>
            <w:bookmarkStart w:id="187" w:name="_Toc438438840"/>
            <w:bookmarkStart w:id="188" w:name="_Toc438532603"/>
            <w:bookmarkStart w:id="189" w:name="_Toc438733984"/>
            <w:bookmarkStart w:id="190" w:name="_Toc438907023"/>
            <w:bookmarkStart w:id="191" w:name="_Toc438907222"/>
            <w:bookmarkStart w:id="192" w:name="_Toc156373300"/>
            <w:bookmarkStart w:id="193" w:name="_Toc483210588"/>
            <w:bookmarkStart w:id="194" w:name="_Toc487641787"/>
            <w:bookmarkEnd w:id="185"/>
            <w:bookmarkEnd w:id="186"/>
            <w:r w:rsidRPr="00A67F27">
              <w:rPr>
                <w:lang w:val="fr-FR"/>
              </w:rPr>
              <w:t>17.</w:t>
            </w:r>
            <w:r w:rsidRPr="00A67F27">
              <w:rPr>
                <w:lang w:val="fr-FR"/>
              </w:rPr>
              <w:tab/>
              <w:t xml:space="preserve">Documents attestant </w:t>
            </w:r>
            <w:r w:rsidR="002756FD" w:rsidRPr="00A67F27">
              <w:rPr>
                <w:lang w:val="fr-FR"/>
              </w:rPr>
              <w:t xml:space="preserve">de </w:t>
            </w:r>
            <w:r w:rsidR="002756FD" w:rsidRPr="00A67F27">
              <w:rPr>
                <w:lang w:val="fr-FR"/>
              </w:rPr>
              <w:lastRenderedPageBreak/>
              <w:t xml:space="preserve">l’éligibilité et </w:t>
            </w:r>
            <w:r w:rsidRPr="00A67F27">
              <w:rPr>
                <w:lang w:val="fr-FR"/>
              </w:rPr>
              <w:t xml:space="preserve">des qualifications du </w:t>
            </w:r>
            <w:proofErr w:type="spellStart"/>
            <w:r w:rsidRPr="00A67F27">
              <w:rPr>
                <w:lang w:val="fr-FR"/>
              </w:rPr>
              <w:t>soumission</w:t>
            </w:r>
            <w:r w:rsidR="00C50CB5" w:rsidRPr="00A67F27">
              <w:rPr>
                <w:lang w:val="fr-FR"/>
              </w:rPr>
              <w:t>-</w:t>
            </w:r>
            <w:r w:rsidRPr="00A67F27">
              <w:rPr>
                <w:lang w:val="fr-FR"/>
              </w:rPr>
              <w:t>naire</w:t>
            </w:r>
            <w:bookmarkEnd w:id="187"/>
            <w:bookmarkEnd w:id="188"/>
            <w:bookmarkEnd w:id="189"/>
            <w:bookmarkEnd w:id="190"/>
            <w:bookmarkEnd w:id="191"/>
            <w:bookmarkEnd w:id="192"/>
            <w:bookmarkEnd w:id="193"/>
            <w:bookmarkEnd w:id="194"/>
            <w:proofErr w:type="spellEnd"/>
          </w:p>
        </w:tc>
        <w:tc>
          <w:tcPr>
            <w:tcW w:w="7380" w:type="dxa"/>
            <w:tcBorders>
              <w:top w:val="nil"/>
              <w:left w:val="nil"/>
              <w:bottom w:val="nil"/>
              <w:right w:val="nil"/>
            </w:tcBorders>
          </w:tcPr>
          <w:p w14:paraId="40838A16" w14:textId="5752EB6A" w:rsidR="00D2471A" w:rsidRPr="00A67F27" w:rsidRDefault="00E43E90" w:rsidP="007318E7">
            <w:pPr>
              <w:numPr>
                <w:ilvl w:val="1"/>
                <w:numId w:val="14"/>
              </w:numPr>
              <w:tabs>
                <w:tab w:val="clear" w:pos="420"/>
                <w:tab w:val="left" w:pos="576"/>
                <w:tab w:val="left" w:pos="1152"/>
              </w:tabs>
              <w:spacing w:after="0"/>
              <w:ind w:left="576" w:hanging="576"/>
              <w:rPr>
                <w:rFonts w:asciiTheme="majorBidi" w:hAnsiTheme="majorBidi" w:cstheme="majorBidi"/>
              </w:rPr>
            </w:pPr>
            <w:r w:rsidRPr="00A67F27">
              <w:rPr>
                <w:rFonts w:asciiTheme="majorBidi" w:hAnsiTheme="majorBidi" w:cstheme="majorBidi"/>
              </w:rPr>
              <w:lastRenderedPageBreak/>
              <w:t>L</w:t>
            </w:r>
            <w:r w:rsidR="00F6021D" w:rsidRPr="00A67F27">
              <w:rPr>
                <w:rFonts w:asciiTheme="majorBidi" w:hAnsiTheme="majorBidi" w:cstheme="majorBidi"/>
              </w:rPr>
              <w:t>e Soumissionnaire fournira les informations requises</w:t>
            </w:r>
            <w:r w:rsidR="00A2268D" w:rsidRPr="00A67F27">
              <w:rPr>
                <w:rFonts w:asciiTheme="majorBidi" w:hAnsiTheme="majorBidi" w:cstheme="majorBidi"/>
              </w:rPr>
              <w:t xml:space="preserve"> afin d’établir qu’il possède les qualifications requises pour exécuter le Marché </w:t>
            </w:r>
            <w:r w:rsidR="00010C5D" w:rsidRPr="00A67F27">
              <w:rPr>
                <w:rFonts w:asciiTheme="majorBidi" w:hAnsiTheme="majorBidi" w:cstheme="majorBidi"/>
              </w:rPr>
              <w:lastRenderedPageBreak/>
              <w:t xml:space="preserve">conformément à la Section III – Critères d’évaluation et de qualification, </w:t>
            </w:r>
            <w:r w:rsidR="00F6021D" w:rsidRPr="00A67F27">
              <w:rPr>
                <w:rFonts w:asciiTheme="majorBidi" w:hAnsiTheme="majorBidi" w:cstheme="majorBidi"/>
              </w:rPr>
              <w:t>en utilisant les formulaire</w:t>
            </w:r>
            <w:r w:rsidR="001E53DC" w:rsidRPr="00A67F27">
              <w:rPr>
                <w:rFonts w:asciiTheme="majorBidi" w:hAnsiTheme="majorBidi" w:cstheme="majorBidi"/>
              </w:rPr>
              <w:t>s</w:t>
            </w:r>
            <w:r w:rsidR="00F6021D" w:rsidRPr="00A67F27">
              <w:rPr>
                <w:rFonts w:asciiTheme="majorBidi" w:hAnsiTheme="majorBidi" w:cstheme="majorBidi"/>
              </w:rPr>
              <w:t xml:space="preserve"> figurant à la Section IV- Formulaires de </w:t>
            </w:r>
            <w:r w:rsidR="009128BE" w:rsidRPr="00A67F27">
              <w:rPr>
                <w:rFonts w:asciiTheme="majorBidi" w:hAnsiTheme="majorBidi" w:cstheme="majorBidi"/>
              </w:rPr>
              <w:t>S</w:t>
            </w:r>
            <w:r w:rsidR="00F6021D" w:rsidRPr="00A67F27">
              <w:rPr>
                <w:rFonts w:asciiTheme="majorBidi" w:hAnsiTheme="majorBidi" w:cstheme="majorBidi"/>
              </w:rPr>
              <w:t>oumission</w:t>
            </w:r>
            <w:r w:rsidR="000A450A" w:rsidRPr="00A67F27">
              <w:rPr>
                <w:rFonts w:asciiTheme="majorBidi" w:hAnsiTheme="majorBidi" w:cstheme="majorBidi"/>
              </w:rPr>
              <w:t>.</w:t>
            </w:r>
          </w:p>
          <w:p w14:paraId="59DDF419" w14:textId="4E6DF818" w:rsidR="00412BB8" w:rsidRPr="00A67F27" w:rsidRDefault="002756FD" w:rsidP="007318E7">
            <w:pPr>
              <w:numPr>
                <w:ilvl w:val="1"/>
                <w:numId w:val="14"/>
              </w:numPr>
              <w:tabs>
                <w:tab w:val="clear" w:pos="420"/>
                <w:tab w:val="left" w:pos="576"/>
                <w:tab w:val="left" w:pos="1152"/>
              </w:tabs>
              <w:spacing w:after="0"/>
              <w:ind w:left="576" w:hanging="576"/>
              <w:rPr>
                <w:rFonts w:asciiTheme="majorBidi" w:hAnsiTheme="majorBidi" w:cstheme="majorBidi"/>
                <w:b/>
                <w:sz w:val="28"/>
              </w:rPr>
            </w:pPr>
            <w:r w:rsidRPr="00A67F27">
              <w:rPr>
                <w:rFonts w:asciiTheme="majorBidi" w:hAnsiTheme="majorBidi" w:cstheme="majorBidi"/>
              </w:rPr>
              <w:t>Lorsque l’article 33 des IS prévoit l’application de la préférence en faveur des entreprise</w:t>
            </w:r>
            <w:r w:rsidR="00587F4A" w:rsidRPr="00A67F27">
              <w:rPr>
                <w:rFonts w:asciiTheme="majorBidi" w:hAnsiTheme="majorBidi" w:cstheme="majorBidi"/>
              </w:rPr>
              <w:t>s</w:t>
            </w:r>
            <w:r w:rsidRPr="00A67F27">
              <w:rPr>
                <w:rFonts w:asciiTheme="majorBidi" w:hAnsiTheme="majorBidi" w:cstheme="majorBidi"/>
              </w:rPr>
              <w:t xml:space="preserve"> du pays de l’Emprunteur, les Soumissionnaires prétendant au bénéfice de cette préférence, que ce soit individuellement ou en groupement, devront fournir tous les renseignements requis pour satisfaire aux critères d’éligibilité à la préférence nationale, tels qu’indiqués à l’article 33 des IS.</w:t>
            </w:r>
            <w:r w:rsidR="009B2302" w:rsidRPr="00A67F27">
              <w:rPr>
                <w:rFonts w:asciiTheme="majorBidi" w:hAnsiTheme="majorBidi" w:cstheme="majorBidi"/>
              </w:rPr>
              <w:t xml:space="preserve"> </w:t>
            </w:r>
          </w:p>
        </w:tc>
      </w:tr>
      <w:tr w:rsidR="000A450A" w:rsidRPr="00A67F27" w14:paraId="26A2648B" w14:textId="77777777" w:rsidTr="007318E7">
        <w:trPr>
          <w:trHeight w:val="20"/>
        </w:trPr>
        <w:tc>
          <w:tcPr>
            <w:tcW w:w="2250" w:type="dxa"/>
            <w:tcBorders>
              <w:top w:val="nil"/>
              <w:left w:val="nil"/>
              <w:bottom w:val="nil"/>
              <w:right w:val="nil"/>
            </w:tcBorders>
          </w:tcPr>
          <w:p w14:paraId="6088EBE3" w14:textId="1DF093EC" w:rsidR="000A450A" w:rsidRPr="00A67F27" w:rsidRDefault="000A450A" w:rsidP="007318E7">
            <w:pPr>
              <w:pStyle w:val="S1-Header2"/>
              <w:numPr>
                <w:ilvl w:val="0"/>
                <w:numId w:val="0"/>
              </w:numPr>
              <w:tabs>
                <w:tab w:val="num" w:pos="432"/>
              </w:tabs>
              <w:spacing w:after="0"/>
              <w:ind w:left="432" w:hanging="432"/>
              <w:rPr>
                <w:rFonts w:asciiTheme="majorBidi" w:hAnsiTheme="majorBidi" w:cstheme="majorBidi"/>
                <w:lang w:val="fr-FR"/>
              </w:rPr>
            </w:pPr>
            <w:bookmarkStart w:id="195" w:name="_Toc438438841"/>
            <w:bookmarkStart w:id="196" w:name="_Toc438532604"/>
            <w:bookmarkStart w:id="197" w:name="_Toc438733985"/>
            <w:bookmarkStart w:id="198" w:name="_Toc438907024"/>
            <w:bookmarkStart w:id="199" w:name="_Toc438907223"/>
            <w:bookmarkStart w:id="200" w:name="_Toc156373301"/>
            <w:bookmarkStart w:id="201" w:name="_Toc483210589"/>
            <w:bookmarkStart w:id="202" w:name="_Toc487641788"/>
            <w:r w:rsidRPr="00A67F27">
              <w:rPr>
                <w:lang w:val="fr-FR"/>
              </w:rPr>
              <w:lastRenderedPageBreak/>
              <w:t>18.</w:t>
            </w:r>
            <w:r w:rsidRPr="00A67F27">
              <w:rPr>
                <w:lang w:val="fr-FR"/>
              </w:rPr>
              <w:tab/>
              <w:t>Période de validité des offres</w:t>
            </w:r>
            <w:bookmarkEnd w:id="195"/>
            <w:bookmarkEnd w:id="196"/>
            <w:bookmarkEnd w:id="197"/>
            <w:bookmarkEnd w:id="198"/>
            <w:bookmarkEnd w:id="199"/>
            <w:bookmarkEnd w:id="200"/>
            <w:bookmarkEnd w:id="201"/>
            <w:bookmarkEnd w:id="202"/>
          </w:p>
        </w:tc>
        <w:tc>
          <w:tcPr>
            <w:tcW w:w="7380" w:type="dxa"/>
            <w:tcBorders>
              <w:top w:val="nil"/>
              <w:left w:val="nil"/>
              <w:bottom w:val="nil"/>
              <w:right w:val="nil"/>
            </w:tcBorders>
          </w:tcPr>
          <w:p w14:paraId="7FCE410C" w14:textId="5D288425" w:rsidR="000A450A" w:rsidRPr="00A67F27" w:rsidRDefault="000A450A" w:rsidP="00D510E8">
            <w:pPr>
              <w:pStyle w:val="Paragraphedeliste"/>
              <w:numPr>
                <w:ilvl w:val="1"/>
                <w:numId w:val="40"/>
              </w:numPr>
              <w:spacing w:after="0"/>
              <w:rPr>
                <w:rFonts w:asciiTheme="majorBidi" w:hAnsiTheme="majorBidi" w:cstheme="majorBidi"/>
              </w:rPr>
            </w:pPr>
            <w:r w:rsidRPr="00A67F27">
              <w:rPr>
                <w:rFonts w:asciiTheme="majorBidi" w:hAnsiTheme="majorBidi" w:cstheme="majorBidi"/>
              </w:rPr>
              <w:t xml:space="preserve">Les offres demeureront </w:t>
            </w:r>
            <w:r w:rsidR="00D2471A" w:rsidRPr="00A67F27">
              <w:rPr>
                <w:rFonts w:asciiTheme="majorBidi" w:hAnsiTheme="majorBidi" w:cstheme="majorBidi"/>
              </w:rPr>
              <w:t xml:space="preserve">valables </w:t>
            </w:r>
            <w:r w:rsidRPr="00A67F27">
              <w:rPr>
                <w:rFonts w:asciiTheme="majorBidi" w:hAnsiTheme="majorBidi" w:cstheme="majorBidi"/>
              </w:rPr>
              <w:t xml:space="preserve">pendant la période </w:t>
            </w:r>
            <w:r w:rsidRPr="00A67F27">
              <w:rPr>
                <w:rFonts w:asciiTheme="majorBidi" w:hAnsiTheme="majorBidi" w:cstheme="majorBidi"/>
                <w:b/>
                <w:bCs/>
              </w:rPr>
              <w:t xml:space="preserve">spécifiée dans les </w:t>
            </w:r>
            <w:r w:rsidRPr="00A67F27">
              <w:rPr>
                <w:rFonts w:asciiTheme="majorBidi" w:hAnsiTheme="majorBidi" w:cstheme="majorBidi"/>
                <w:b/>
              </w:rPr>
              <w:t>DPAO</w:t>
            </w:r>
            <w:r w:rsidRPr="00A67F27">
              <w:rPr>
                <w:rFonts w:asciiTheme="majorBidi" w:hAnsiTheme="majorBidi" w:cstheme="majorBidi"/>
              </w:rPr>
              <w:t xml:space="preserve"> </w:t>
            </w:r>
            <w:r w:rsidR="00F226BC" w:rsidRPr="00A67F27">
              <w:rPr>
                <w:rFonts w:asciiTheme="majorBidi" w:hAnsiTheme="majorBidi" w:cstheme="majorBidi"/>
              </w:rPr>
              <w:t>à compter</w:t>
            </w:r>
            <w:r w:rsidRPr="00A67F27">
              <w:rPr>
                <w:rFonts w:asciiTheme="majorBidi" w:hAnsiTheme="majorBidi" w:cstheme="majorBidi"/>
              </w:rPr>
              <w:t xml:space="preserve"> de la </w:t>
            </w:r>
            <w:r w:rsidR="00F226BC" w:rsidRPr="00A67F27">
              <w:rPr>
                <w:rFonts w:asciiTheme="majorBidi" w:hAnsiTheme="majorBidi" w:cstheme="majorBidi"/>
              </w:rPr>
              <w:t xml:space="preserve">date </w:t>
            </w:r>
            <w:r w:rsidRPr="00A67F27">
              <w:rPr>
                <w:rFonts w:asciiTheme="majorBidi" w:hAnsiTheme="majorBidi" w:cstheme="majorBidi"/>
              </w:rPr>
              <w:t xml:space="preserve">limite de dépôt des </w:t>
            </w:r>
            <w:r w:rsidR="00A32921" w:rsidRPr="00A67F27">
              <w:rPr>
                <w:rFonts w:asciiTheme="majorBidi" w:hAnsiTheme="majorBidi" w:cstheme="majorBidi"/>
              </w:rPr>
              <w:t>O</w:t>
            </w:r>
            <w:r w:rsidRPr="00A67F27">
              <w:rPr>
                <w:rFonts w:asciiTheme="majorBidi" w:hAnsiTheme="majorBidi" w:cstheme="majorBidi"/>
              </w:rPr>
              <w:t>ffres fixée par le Maître de l’Ouvrage</w:t>
            </w:r>
            <w:r w:rsidR="00A32921" w:rsidRPr="00A67F27">
              <w:rPr>
                <w:rFonts w:asciiTheme="majorBidi" w:hAnsiTheme="majorBidi" w:cstheme="majorBidi"/>
              </w:rPr>
              <w:t xml:space="preserve"> conformément à l’article 22.1 des IS</w:t>
            </w:r>
            <w:r w:rsidRPr="00A67F27">
              <w:rPr>
                <w:rFonts w:asciiTheme="majorBidi" w:hAnsiTheme="majorBidi" w:cstheme="majorBidi"/>
              </w:rPr>
              <w:t xml:space="preserve">. Une offre </w:t>
            </w:r>
            <w:r w:rsidR="00F226BC" w:rsidRPr="00A67F27">
              <w:rPr>
                <w:rFonts w:asciiTheme="majorBidi" w:hAnsiTheme="majorBidi" w:cstheme="majorBidi"/>
              </w:rPr>
              <w:t xml:space="preserve">valable </w:t>
            </w:r>
            <w:r w:rsidRPr="00A67F27">
              <w:rPr>
                <w:rFonts w:asciiTheme="majorBidi" w:hAnsiTheme="majorBidi" w:cstheme="majorBidi"/>
              </w:rPr>
              <w:t>pour une période plus courte sera considérée comme non conforme et sera rejetée par le Maître de l’Ouvrage.</w:t>
            </w:r>
          </w:p>
        </w:tc>
      </w:tr>
      <w:tr w:rsidR="000A450A" w:rsidRPr="00A67F27" w14:paraId="5E88CDD3" w14:textId="77777777" w:rsidTr="007318E7">
        <w:trPr>
          <w:trHeight w:val="20"/>
        </w:trPr>
        <w:tc>
          <w:tcPr>
            <w:tcW w:w="2250" w:type="dxa"/>
            <w:tcBorders>
              <w:top w:val="nil"/>
              <w:left w:val="nil"/>
              <w:bottom w:val="nil"/>
              <w:right w:val="nil"/>
            </w:tcBorders>
          </w:tcPr>
          <w:p w14:paraId="3EF7F3A6" w14:textId="77777777" w:rsidR="000A450A" w:rsidRPr="00A67F27" w:rsidRDefault="000A450A" w:rsidP="007318E7">
            <w:pPr>
              <w:spacing w:after="0"/>
              <w:rPr>
                <w:rFonts w:asciiTheme="majorBidi" w:hAnsiTheme="majorBidi" w:cstheme="majorBidi"/>
              </w:rPr>
            </w:pPr>
          </w:p>
        </w:tc>
        <w:tc>
          <w:tcPr>
            <w:tcW w:w="7380" w:type="dxa"/>
            <w:tcBorders>
              <w:top w:val="nil"/>
              <w:left w:val="nil"/>
              <w:bottom w:val="nil"/>
              <w:right w:val="nil"/>
            </w:tcBorders>
          </w:tcPr>
          <w:p w14:paraId="494B0843" w14:textId="38012032" w:rsidR="000A450A" w:rsidRPr="00A67F27" w:rsidRDefault="000A450A" w:rsidP="00D510E8">
            <w:pPr>
              <w:pStyle w:val="Paragraphedeliste"/>
              <w:numPr>
                <w:ilvl w:val="1"/>
                <w:numId w:val="40"/>
              </w:numPr>
              <w:spacing w:after="0"/>
              <w:rPr>
                <w:rFonts w:asciiTheme="majorBidi" w:hAnsiTheme="majorBidi" w:cstheme="majorBidi"/>
                <w:spacing w:val="-4"/>
              </w:rPr>
            </w:pPr>
            <w:r w:rsidRPr="00A67F27">
              <w:rPr>
                <w:rFonts w:asciiTheme="majorBidi" w:hAnsiTheme="majorBidi" w:cstheme="majorBidi"/>
                <w:spacing w:val="-4"/>
              </w:rPr>
              <w:t xml:space="preserve">Exceptionnellement, avant l’expiration de la </w:t>
            </w:r>
            <w:r w:rsidR="00F226BC" w:rsidRPr="00A67F27">
              <w:rPr>
                <w:rFonts w:asciiTheme="majorBidi" w:hAnsiTheme="majorBidi" w:cstheme="majorBidi"/>
                <w:spacing w:val="-4"/>
              </w:rPr>
              <w:t xml:space="preserve">période </w:t>
            </w:r>
            <w:r w:rsidRPr="00A67F27">
              <w:rPr>
                <w:rFonts w:asciiTheme="majorBidi" w:hAnsiTheme="majorBidi" w:cstheme="majorBidi"/>
                <w:spacing w:val="-4"/>
              </w:rPr>
              <w:t xml:space="preserve">de validité des offres, le Maître de l’Ouvrage peut demander aux Soumissionnaires de proroger la durée de validité de leur </w:t>
            </w:r>
            <w:r w:rsidR="00A32921" w:rsidRPr="00A67F27">
              <w:rPr>
                <w:rFonts w:asciiTheme="majorBidi" w:hAnsiTheme="majorBidi" w:cstheme="majorBidi"/>
                <w:spacing w:val="-4"/>
              </w:rPr>
              <w:t>O</w:t>
            </w:r>
            <w:r w:rsidRPr="00A67F27">
              <w:rPr>
                <w:rFonts w:asciiTheme="majorBidi" w:hAnsiTheme="majorBidi" w:cstheme="majorBidi"/>
                <w:spacing w:val="-4"/>
              </w:rPr>
              <w:t xml:space="preserve">ffre. La demande et les réponses seront formulées par écrit. Lorsqu’ une </w:t>
            </w:r>
            <w:r w:rsidR="00915E36" w:rsidRPr="00A67F27">
              <w:rPr>
                <w:rFonts w:asciiTheme="majorBidi" w:hAnsiTheme="majorBidi" w:cstheme="majorBidi"/>
                <w:spacing w:val="-4"/>
              </w:rPr>
              <w:t xml:space="preserve">Garantie </w:t>
            </w:r>
            <w:r w:rsidR="00131009" w:rsidRPr="00A67F27">
              <w:rPr>
                <w:rFonts w:asciiTheme="majorBidi" w:hAnsiTheme="majorBidi" w:cstheme="majorBidi"/>
                <w:spacing w:val="-4"/>
              </w:rPr>
              <w:t>d’Offre</w:t>
            </w:r>
            <w:r w:rsidR="00A32921" w:rsidRPr="00A67F27">
              <w:rPr>
                <w:rFonts w:asciiTheme="majorBidi" w:hAnsiTheme="majorBidi" w:cstheme="majorBidi"/>
                <w:spacing w:val="-4"/>
              </w:rPr>
              <w:t xml:space="preserve"> </w:t>
            </w:r>
            <w:r w:rsidR="00F226BC" w:rsidRPr="00A67F27">
              <w:rPr>
                <w:rFonts w:asciiTheme="majorBidi" w:hAnsiTheme="majorBidi" w:cstheme="majorBidi"/>
                <w:spacing w:val="-4"/>
              </w:rPr>
              <w:t xml:space="preserve">ou une Déclaration de garantie d’offre </w:t>
            </w:r>
            <w:r w:rsidRPr="00A67F27">
              <w:rPr>
                <w:rFonts w:asciiTheme="majorBidi" w:hAnsiTheme="majorBidi" w:cstheme="majorBidi"/>
                <w:spacing w:val="-4"/>
              </w:rPr>
              <w:t xml:space="preserve">est exigée en application de l’article 19 des IS, sa validité sera prolongée pour une durée </w:t>
            </w:r>
            <w:r w:rsidR="00F226BC" w:rsidRPr="00A67F27">
              <w:rPr>
                <w:rFonts w:asciiTheme="majorBidi" w:hAnsiTheme="majorBidi" w:cstheme="majorBidi"/>
                <w:spacing w:val="-4"/>
              </w:rPr>
              <w:t>correspondante</w:t>
            </w:r>
            <w:r w:rsidRPr="00A67F27">
              <w:rPr>
                <w:rFonts w:asciiTheme="majorBidi" w:hAnsiTheme="majorBidi" w:cstheme="majorBidi"/>
                <w:spacing w:val="-4"/>
              </w:rPr>
              <w:t xml:space="preserve">. Un Soumissionnaire peut refuser de proroger la validité de son offre sans perdre sa </w:t>
            </w:r>
            <w:r w:rsidR="00F226BC" w:rsidRPr="00A67F27">
              <w:rPr>
                <w:rFonts w:asciiTheme="majorBidi" w:hAnsiTheme="majorBidi" w:cstheme="majorBidi"/>
                <w:spacing w:val="-4"/>
              </w:rPr>
              <w:t>garantie</w:t>
            </w:r>
            <w:r w:rsidRPr="00A67F27">
              <w:rPr>
                <w:rFonts w:asciiTheme="majorBidi" w:hAnsiTheme="majorBidi" w:cstheme="majorBidi"/>
                <w:spacing w:val="-4"/>
              </w:rPr>
              <w:t xml:space="preserve">. Un soumissionnaire qui consent à cette prorogation ne se verra pas demander de modifier son </w:t>
            </w:r>
            <w:r w:rsidR="00A32921" w:rsidRPr="00A67F27">
              <w:rPr>
                <w:rFonts w:asciiTheme="majorBidi" w:hAnsiTheme="majorBidi" w:cstheme="majorBidi"/>
                <w:spacing w:val="-4"/>
              </w:rPr>
              <w:t>O</w:t>
            </w:r>
            <w:r w:rsidRPr="00A67F27">
              <w:rPr>
                <w:rFonts w:asciiTheme="majorBidi" w:hAnsiTheme="majorBidi" w:cstheme="majorBidi"/>
                <w:spacing w:val="-4"/>
              </w:rPr>
              <w:t xml:space="preserve">ffre, ni ne sera autorisé à le faire, sous réserve des dispositions de l’article 18.3 des IS. </w:t>
            </w:r>
          </w:p>
        </w:tc>
      </w:tr>
      <w:tr w:rsidR="000A450A" w:rsidRPr="00A67F27" w14:paraId="5CC2DC22" w14:textId="77777777" w:rsidTr="007318E7">
        <w:trPr>
          <w:trHeight w:val="20"/>
        </w:trPr>
        <w:tc>
          <w:tcPr>
            <w:tcW w:w="2250" w:type="dxa"/>
            <w:tcBorders>
              <w:top w:val="nil"/>
              <w:left w:val="nil"/>
              <w:bottom w:val="nil"/>
              <w:right w:val="nil"/>
            </w:tcBorders>
          </w:tcPr>
          <w:p w14:paraId="414D0F8A" w14:textId="77777777" w:rsidR="000A450A" w:rsidRPr="00A67F27" w:rsidRDefault="000A450A" w:rsidP="007318E7">
            <w:pPr>
              <w:spacing w:after="0"/>
              <w:rPr>
                <w:rFonts w:asciiTheme="majorBidi" w:hAnsiTheme="majorBidi" w:cstheme="majorBidi"/>
              </w:rPr>
            </w:pPr>
          </w:p>
        </w:tc>
        <w:tc>
          <w:tcPr>
            <w:tcW w:w="7380" w:type="dxa"/>
            <w:tcBorders>
              <w:top w:val="nil"/>
              <w:left w:val="nil"/>
              <w:bottom w:val="nil"/>
              <w:right w:val="nil"/>
            </w:tcBorders>
          </w:tcPr>
          <w:p w14:paraId="4459EC96" w14:textId="1A19C49D" w:rsidR="000A450A" w:rsidRPr="00A67F27" w:rsidRDefault="000A450A" w:rsidP="00D510E8">
            <w:pPr>
              <w:pStyle w:val="Paragraphedeliste"/>
              <w:numPr>
                <w:ilvl w:val="1"/>
                <w:numId w:val="40"/>
              </w:numPr>
              <w:spacing w:after="0"/>
              <w:rPr>
                <w:rFonts w:asciiTheme="majorBidi" w:hAnsiTheme="majorBidi" w:cstheme="majorBidi"/>
              </w:rPr>
            </w:pPr>
            <w:r w:rsidRPr="00A67F27">
              <w:rPr>
                <w:rFonts w:asciiTheme="majorBidi" w:hAnsiTheme="majorBidi" w:cstheme="majorBidi"/>
              </w:rPr>
              <w:t>Si l’attribution est retardée de plus de cinquante-six (56) jours au-delà du délai initial de validité de l’</w:t>
            </w:r>
            <w:r w:rsidR="00A32921" w:rsidRPr="00A67F27">
              <w:rPr>
                <w:rFonts w:asciiTheme="majorBidi" w:hAnsiTheme="majorBidi" w:cstheme="majorBidi"/>
              </w:rPr>
              <w:t>O</w:t>
            </w:r>
            <w:r w:rsidRPr="00A67F27">
              <w:rPr>
                <w:rFonts w:asciiTheme="majorBidi" w:hAnsiTheme="majorBidi" w:cstheme="majorBidi"/>
              </w:rPr>
              <w:t>ffre, le prix du Marché sera actualisé comme suit</w:t>
            </w:r>
            <w:r w:rsidR="009B2302" w:rsidRPr="00A67F27">
              <w:rPr>
                <w:rFonts w:asciiTheme="majorBidi" w:hAnsiTheme="majorBidi" w:cstheme="majorBidi"/>
              </w:rPr>
              <w:t> :</w:t>
            </w:r>
            <w:r w:rsidRPr="00A67F27">
              <w:rPr>
                <w:rFonts w:asciiTheme="majorBidi" w:hAnsiTheme="majorBidi" w:cstheme="majorBidi"/>
              </w:rPr>
              <w:t xml:space="preserve"> </w:t>
            </w:r>
          </w:p>
          <w:p w14:paraId="48D60CF6" w14:textId="6ED4758E" w:rsidR="00F856B6" w:rsidRPr="00A67F27" w:rsidRDefault="00C50CB5" w:rsidP="007318E7">
            <w:pPr>
              <w:tabs>
                <w:tab w:val="left" w:pos="576"/>
                <w:tab w:val="left" w:pos="1152"/>
              </w:tabs>
              <w:spacing w:after="0"/>
              <w:ind w:left="1152"/>
              <w:rPr>
                <w:rFonts w:asciiTheme="majorBidi" w:hAnsiTheme="majorBidi" w:cstheme="majorBidi"/>
                <w:b/>
                <w:sz w:val="28"/>
              </w:rPr>
            </w:pPr>
            <w:r w:rsidRPr="00A67F27">
              <w:rPr>
                <w:rFonts w:asciiTheme="majorBidi" w:hAnsiTheme="majorBidi" w:cstheme="majorBidi"/>
              </w:rPr>
              <w:t>(</w:t>
            </w:r>
            <w:r w:rsidR="000A450A" w:rsidRPr="00A67F27">
              <w:rPr>
                <w:rFonts w:asciiTheme="majorBidi" w:hAnsiTheme="majorBidi" w:cstheme="majorBidi"/>
              </w:rPr>
              <w:t>a)</w:t>
            </w:r>
            <w:r w:rsidR="00D41A66" w:rsidRPr="00A67F27">
              <w:rPr>
                <w:rFonts w:asciiTheme="majorBidi" w:hAnsiTheme="majorBidi" w:cstheme="majorBidi"/>
              </w:rPr>
              <w:tab/>
            </w:r>
            <w:r w:rsidR="000A450A" w:rsidRPr="00A67F27">
              <w:rPr>
                <w:rFonts w:asciiTheme="majorBidi" w:hAnsiTheme="majorBidi" w:cstheme="majorBidi"/>
              </w:rPr>
              <w:t xml:space="preserve">dans le cas d’un marché à prix ferme, le </w:t>
            </w:r>
            <w:r w:rsidR="001E53DC" w:rsidRPr="00A67F27">
              <w:rPr>
                <w:rFonts w:asciiTheme="majorBidi" w:hAnsiTheme="majorBidi" w:cstheme="majorBidi"/>
              </w:rPr>
              <w:t xml:space="preserve">Montant </w:t>
            </w:r>
            <w:r w:rsidR="000A450A" w:rsidRPr="00A67F27">
              <w:rPr>
                <w:rFonts w:asciiTheme="majorBidi" w:hAnsiTheme="majorBidi" w:cstheme="majorBidi"/>
              </w:rPr>
              <w:t>d</w:t>
            </w:r>
            <w:r w:rsidR="00366670" w:rsidRPr="00A67F27">
              <w:rPr>
                <w:rFonts w:asciiTheme="majorBidi" w:hAnsiTheme="majorBidi" w:cstheme="majorBidi"/>
              </w:rPr>
              <w:t>u</w:t>
            </w:r>
            <w:r w:rsidR="000A450A" w:rsidRPr="00A67F27">
              <w:rPr>
                <w:rFonts w:asciiTheme="majorBidi" w:hAnsiTheme="majorBidi" w:cstheme="majorBidi"/>
              </w:rPr>
              <w:t xml:space="preserve"> </w:t>
            </w:r>
            <w:r w:rsidR="001E53DC" w:rsidRPr="00A67F27">
              <w:rPr>
                <w:rFonts w:asciiTheme="majorBidi" w:hAnsiTheme="majorBidi" w:cstheme="majorBidi"/>
              </w:rPr>
              <w:t>Marché sera égal au M</w:t>
            </w:r>
            <w:r w:rsidR="00366670" w:rsidRPr="00A67F27">
              <w:rPr>
                <w:rFonts w:asciiTheme="majorBidi" w:hAnsiTheme="majorBidi" w:cstheme="majorBidi"/>
              </w:rPr>
              <w:t>ontant de</w:t>
            </w:r>
            <w:r w:rsidR="009B2302" w:rsidRPr="00A67F27">
              <w:rPr>
                <w:rFonts w:asciiTheme="majorBidi" w:hAnsiTheme="majorBidi" w:cstheme="majorBidi"/>
              </w:rPr>
              <w:t xml:space="preserve"> </w:t>
            </w:r>
            <w:r w:rsidR="000A450A" w:rsidRPr="00A67F27">
              <w:rPr>
                <w:rFonts w:asciiTheme="majorBidi" w:hAnsiTheme="majorBidi" w:cstheme="majorBidi"/>
              </w:rPr>
              <w:t>l</w:t>
            </w:r>
            <w:r w:rsidR="001E53DC" w:rsidRPr="00A67F27">
              <w:rPr>
                <w:rFonts w:asciiTheme="majorBidi" w:hAnsiTheme="majorBidi" w:cstheme="majorBidi"/>
              </w:rPr>
              <w:t>’O</w:t>
            </w:r>
            <w:r w:rsidR="000A450A" w:rsidRPr="00A67F27">
              <w:rPr>
                <w:rFonts w:asciiTheme="majorBidi" w:hAnsiTheme="majorBidi" w:cstheme="majorBidi"/>
              </w:rPr>
              <w:t>ffre</w:t>
            </w:r>
            <w:r w:rsidR="00366670" w:rsidRPr="00A67F27">
              <w:rPr>
                <w:rFonts w:asciiTheme="majorBidi" w:hAnsiTheme="majorBidi" w:cstheme="majorBidi"/>
              </w:rPr>
              <w:t xml:space="preserve"> </w:t>
            </w:r>
            <w:r w:rsidR="007E5A4E" w:rsidRPr="00A67F27">
              <w:rPr>
                <w:rFonts w:asciiTheme="majorBidi" w:hAnsiTheme="majorBidi" w:cstheme="majorBidi"/>
              </w:rPr>
              <w:t>actualisé</w:t>
            </w:r>
            <w:r w:rsidR="000A450A" w:rsidRPr="00A67F27">
              <w:rPr>
                <w:rFonts w:asciiTheme="majorBidi" w:hAnsiTheme="majorBidi" w:cstheme="majorBidi"/>
              </w:rPr>
              <w:t xml:space="preserve"> par</w:t>
            </w:r>
            <w:r w:rsidR="00366670" w:rsidRPr="00A67F27">
              <w:rPr>
                <w:rFonts w:asciiTheme="majorBidi" w:hAnsiTheme="majorBidi" w:cstheme="majorBidi"/>
              </w:rPr>
              <w:t xml:space="preserve"> le </w:t>
            </w:r>
            <w:r w:rsidR="000A450A" w:rsidRPr="00A67F27">
              <w:rPr>
                <w:rFonts w:asciiTheme="majorBidi" w:hAnsiTheme="majorBidi" w:cstheme="majorBidi"/>
              </w:rPr>
              <w:t>facteur</w:t>
            </w:r>
            <w:r w:rsidR="00DB7808" w:rsidRPr="00A67F27">
              <w:rPr>
                <w:rFonts w:asciiTheme="majorBidi" w:hAnsiTheme="majorBidi" w:cstheme="majorBidi"/>
              </w:rPr>
              <w:t xml:space="preserve"> </w:t>
            </w:r>
            <w:r w:rsidR="00DB7808" w:rsidRPr="00A67F27">
              <w:rPr>
                <w:rFonts w:asciiTheme="majorBidi" w:hAnsiTheme="majorBidi" w:cstheme="majorBidi"/>
                <w:b/>
                <w:bCs/>
              </w:rPr>
              <w:t>figurant aux</w:t>
            </w:r>
            <w:r w:rsidR="000A450A" w:rsidRPr="00A67F27">
              <w:rPr>
                <w:rFonts w:asciiTheme="majorBidi" w:hAnsiTheme="majorBidi" w:cstheme="majorBidi"/>
              </w:rPr>
              <w:t xml:space="preserve"> </w:t>
            </w:r>
            <w:r w:rsidR="000A450A" w:rsidRPr="00A67F27">
              <w:rPr>
                <w:rFonts w:asciiTheme="majorBidi" w:hAnsiTheme="majorBidi" w:cstheme="majorBidi"/>
                <w:b/>
              </w:rPr>
              <w:t>DPAO</w:t>
            </w:r>
            <w:r w:rsidR="009B2302" w:rsidRPr="00A67F27">
              <w:rPr>
                <w:rFonts w:asciiTheme="majorBidi" w:hAnsiTheme="majorBidi" w:cstheme="majorBidi"/>
              </w:rPr>
              <w:t> ;</w:t>
            </w:r>
            <w:r w:rsidR="000A450A" w:rsidRPr="00A67F27">
              <w:rPr>
                <w:rFonts w:asciiTheme="majorBidi" w:hAnsiTheme="majorBidi" w:cstheme="majorBidi"/>
              </w:rPr>
              <w:t xml:space="preserve"> </w:t>
            </w:r>
            <w:r w:rsidR="00947FBE" w:rsidRPr="00A67F27">
              <w:rPr>
                <w:rFonts w:asciiTheme="majorBidi" w:hAnsiTheme="majorBidi" w:cstheme="majorBidi"/>
              </w:rPr>
              <w:t>ou</w:t>
            </w:r>
          </w:p>
          <w:p w14:paraId="56BC045F" w14:textId="572EE7DD" w:rsidR="00E35DE1" w:rsidRPr="00A67F27" w:rsidRDefault="00C50CB5" w:rsidP="007318E7">
            <w:pPr>
              <w:tabs>
                <w:tab w:val="left" w:pos="576"/>
                <w:tab w:val="left" w:pos="1152"/>
              </w:tabs>
              <w:spacing w:after="0"/>
              <w:ind w:left="1152"/>
              <w:rPr>
                <w:rFonts w:asciiTheme="majorBidi" w:hAnsiTheme="majorBidi" w:cstheme="majorBidi"/>
                <w:sz w:val="20"/>
              </w:rPr>
            </w:pPr>
            <w:r w:rsidRPr="00A67F27">
              <w:rPr>
                <w:rFonts w:asciiTheme="majorBidi" w:hAnsiTheme="majorBidi" w:cstheme="majorBidi"/>
              </w:rPr>
              <w:t>(</w:t>
            </w:r>
            <w:r w:rsidR="000A450A" w:rsidRPr="00A67F27">
              <w:rPr>
                <w:rFonts w:asciiTheme="majorBidi" w:hAnsiTheme="majorBidi" w:cstheme="majorBidi"/>
              </w:rPr>
              <w:t>b)</w:t>
            </w:r>
            <w:r w:rsidR="00D41A66" w:rsidRPr="00A67F27">
              <w:rPr>
                <w:rFonts w:asciiTheme="majorBidi" w:hAnsiTheme="majorBidi" w:cstheme="majorBidi"/>
              </w:rPr>
              <w:tab/>
            </w:r>
            <w:r w:rsidR="000A450A" w:rsidRPr="00A67F27">
              <w:rPr>
                <w:rFonts w:asciiTheme="majorBidi" w:hAnsiTheme="majorBidi" w:cstheme="majorBidi"/>
              </w:rPr>
              <w:t xml:space="preserve">dans le cas d’un marché à prix </w:t>
            </w:r>
            <w:r w:rsidR="0068153C" w:rsidRPr="00A67F27">
              <w:rPr>
                <w:rFonts w:asciiTheme="majorBidi" w:hAnsiTheme="majorBidi" w:cstheme="majorBidi"/>
              </w:rPr>
              <w:t>révisable</w:t>
            </w:r>
            <w:r w:rsidR="000A450A" w:rsidRPr="00A67F27">
              <w:rPr>
                <w:rFonts w:asciiTheme="majorBidi" w:hAnsiTheme="majorBidi" w:cstheme="majorBidi"/>
              </w:rPr>
              <w:t xml:space="preserve">, le </w:t>
            </w:r>
            <w:r w:rsidR="001E53DC" w:rsidRPr="00A67F27">
              <w:rPr>
                <w:rFonts w:asciiTheme="majorBidi" w:hAnsiTheme="majorBidi" w:cstheme="majorBidi"/>
              </w:rPr>
              <w:t>Montant du M</w:t>
            </w:r>
            <w:r w:rsidR="000A450A" w:rsidRPr="00A67F27">
              <w:rPr>
                <w:rFonts w:asciiTheme="majorBidi" w:hAnsiTheme="majorBidi" w:cstheme="majorBidi"/>
              </w:rPr>
              <w:t xml:space="preserve">arché </w:t>
            </w:r>
            <w:r w:rsidR="00F226BC" w:rsidRPr="00A67F27">
              <w:rPr>
                <w:rFonts w:asciiTheme="majorBidi" w:hAnsiTheme="majorBidi" w:cstheme="majorBidi"/>
              </w:rPr>
              <w:t>sera le Montant de l’Offre</w:t>
            </w:r>
            <w:r w:rsidR="009B2302" w:rsidRPr="00A67F27">
              <w:rPr>
                <w:rFonts w:asciiTheme="majorBidi" w:hAnsiTheme="majorBidi" w:cstheme="majorBidi"/>
              </w:rPr>
              <w:t> ;</w:t>
            </w:r>
            <w:r w:rsidR="00FB0142" w:rsidRPr="00A67F27" w:rsidDel="00FB0142">
              <w:rPr>
                <w:rFonts w:asciiTheme="majorBidi" w:hAnsiTheme="majorBidi" w:cstheme="majorBidi"/>
                <w:i/>
                <w:sz w:val="20"/>
              </w:rPr>
              <w:t xml:space="preserve"> </w:t>
            </w:r>
            <w:r w:rsidR="00947FBE" w:rsidRPr="00A67F27">
              <w:rPr>
                <w:rFonts w:asciiTheme="majorBidi" w:hAnsiTheme="majorBidi" w:cstheme="majorBidi"/>
                <w:sz w:val="20"/>
              </w:rPr>
              <w:t>et</w:t>
            </w:r>
          </w:p>
          <w:p w14:paraId="06008389" w14:textId="382FA7D9" w:rsidR="00F856B6" w:rsidRPr="00A67F27" w:rsidRDefault="00C50CB5" w:rsidP="007318E7">
            <w:pPr>
              <w:tabs>
                <w:tab w:val="left" w:pos="576"/>
                <w:tab w:val="left" w:pos="1152"/>
              </w:tabs>
              <w:spacing w:after="0"/>
              <w:ind w:left="1152"/>
              <w:rPr>
                <w:rFonts w:asciiTheme="majorBidi" w:hAnsiTheme="majorBidi" w:cstheme="majorBidi"/>
                <w:b/>
                <w:sz w:val="28"/>
              </w:rPr>
            </w:pPr>
            <w:r w:rsidRPr="00A67F27">
              <w:rPr>
                <w:rFonts w:asciiTheme="majorBidi" w:hAnsiTheme="majorBidi" w:cstheme="majorBidi"/>
              </w:rPr>
              <w:t>(</w:t>
            </w:r>
            <w:r w:rsidR="000A450A" w:rsidRPr="00A67F27">
              <w:rPr>
                <w:rFonts w:asciiTheme="majorBidi" w:hAnsiTheme="majorBidi" w:cstheme="majorBidi"/>
              </w:rPr>
              <w:t>c)</w:t>
            </w:r>
            <w:r w:rsidR="00D41A66" w:rsidRPr="00A67F27">
              <w:rPr>
                <w:rFonts w:asciiTheme="majorBidi" w:hAnsiTheme="majorBidi" w:cstheme="majorBidi"/>
              </w:rPr>
              <w:tab/>
            </w:r>
            <w:r w:rsidR="000A450A" w:rsidRPr="00A67F27">
              <w:rPr>
                <w:rFonts w:asciiTheme="majorBidi" w:hAnsiTheme="majorBidi" w:cstheme="majorBidi"/>
              </w:rPr>
              <w:t xml:space="preserve">dans </w:t>
            </w:r>
            <w:r w:rsidR="00CB4A7B" w:rsidRPr="00A67F27">
              <w:rPr>
                <w:rFonts w:asciiTheme="majorBidi" w:hAnsiTheme="majorBidi" w:cstheme="majorBidi"/>
              </w:rPr>
              <w:t>tous les</w:t>
            </w:r>
            <w:r w:rsidR="0068153C" w:rsidRPr="00A67F27">
              <w:rPr>
                <w:rFonts w:asciiTheme="majorBidi" w:hAnsiTheme="majorBidi" w:cstheme="majorBidi"/>
              </w:rPr>
              <w:t xml:space="preserve"> </w:t>
            </w:r>
            <w:r w:rsidR="000A450A" w:rsidRPr="00A67F27">
              <w:rPr>
                <w:rFonts w:asciiTheme="majorBidi" w:hAnsiTheme="majorBidi" w:cstheme="majorBidi"/>
              </w:rPr>
              <w:t xml:space="preserve">cas, les offres seront évaluées sur </w:t>
            </w:r>
            <w:r w:rsidR="007E5A4E" w:rsidRPr="00A67F27">
              <w:rPr>
                <w:rFonts w:asciiTheme="majorBidi" w:hAnsiTheme="majorBidi" w:cstheme="majorBidi"/>
              </w:rPr>
              <w:t xml:space="preserve">la </w:t>
            </w:r>
            <w:r w:rsidR="000A450A" w:rsidRPr="00A67F27">
              <w:rPr>
                <w:rFonts w:asciiTheme="majorBidi" w:hAnsiTheme="majorBidi" w:cstheme="majorBidi"/>
              </w:rPr>
              <w:t xml:space="preserve">base du </w:t>
            </w:r>
            <w:r w:rsidR="001E53DC" w:rsidRPr="00A67F27">
              <w:rPr>
                <w:rFonts w:asciiTheme="majorBidi" w:hAnsiTheme="majorBidi" w:cstheme="majorBidi"/>
              </w:rPr>
              <w:t xml:space="preserve">Montant </w:t>
            </w:r>
            <w:r w:rsidR="000A450A" w:rsidRPr="00A67F27">
              <w:rPr>
                <w:rFonts w:asciiTheme="majorBidi" w:hAnsiTheme="majorBidi" w:cstheme="majorBidi"/>
              </w:rPr>
              <w:t xml:space="preserve">de </w:t>
            </w:r>
            <w:r w:rsidR="00F226BC" w:rsidRPr="00A67F27">
              <w:rPr>
                <w:rFonts w:asciiTheme="majorBidi" w:hAnsiTheme="majorBidi" w:cstheme="majorBidi"/>
              </w:rPr>
              <w:t>l’</w:t>
            </w:r>
            <w:r w:rsidR="001E53DC" w:rsidRPr="00A67F27">
              <w:rPr>
                <w:rFonts w:asciiTheme="majorBidi" w:hAnsiTheme="majorBidi" w:cstheme="majorBidi"/>
              </w:rPr>
              <w:t>O</w:t>
            </w:r>
            <w:r w:rsidR="000A450A" w:rsidRPr="00A67F27">
              <w:rPr>
                <w:rFonts w:asciiTheme="majorBidi" w:hAnsiTheme="majorBidi" w:cstheme="majorBidi"/>
              </w:rPr>
              <w:t xml:space="preserve">ffre sans prendre en considération l’actualisation susmentionnée. </w:t>
            </w:r>
          </w:p>
        </w:tc>
      </w:tr>
      <w:tr w:rsidR="000A450A" w:rsidRPr="00A67F27" w14:paraId="784859D6" w14:textId="77777777" w:rsidTr="007318E7">
        <w:trPr>
          <w:trHeight w:val="20"/>
        </w:trPr>
        <w:tc>
          <w:tcPr>
            <w:tcW w:w="2250" w:type="dxa"/>
            <w:tcBorders>
              <w:top w:val="nil"/>
              <w:left w:val="nil"/>
              <w:bottom w:val="nil"/>
              <w:right w:val="nil"/>
            </w:tcBorders>
          </w:tcPr>
          <w:p w14:paraId="3A83FB7D" w14:textId="23ABEF4D" w:rsidR="000A450A" w:rsidRPr="00A67F27" w:rsidRDefault="0005607C" w:rsidP="007318E7">
            <w:pPr>
              <w:pStyle w:val="S1-Header2"/>
              <w:numPr>
                <w:ilvl w:val="0"/>
                <w:numId w:val="0"/>
              </w:numPr>
              <w:tabs>
                <w:tab w:val="num" w:pos="432"/>
              </w:tabs>
              <w:spacing w:after="0"/>
              <w:ind w:left="432" w:hanging="432"/>
              <w:rPr>
                <w:rFonts w:asciiTheme="majorBidi" w:hAnsiTheme="majorBidi" w:cstheme="majorBidi"/>
                <w:lang w:val="fr-FR"/>
              </w:rPr>
            </w:pPr>
            <w:bookmarkStart w:id="203" w:name="_Toc156373302"/>
            <w:bookmarkStart w:id="204" w:name="_Toc483210590"/>
            <w:bookmarkStart w:id="205" w:name="_Toc487641789"/>
            <w:r w:rsidRPr="00A67F27">
              <w:rPr>
                <w:lang w:val="fr-FR"/>
              </w:rPr>
              <w:t>19.</w:t>
            </w:r>
            <w:r w:rsidR="000A450A" w:rsidRPr="00A67F27">
              <w:rPr>
                <w:lang w:val="fr-FR"/>
              </w:rPr>
              <w:tab/>
            </w:r>
            <w:bookmarkEnd w:id="203"/>
            <w:r w:rsidR="00915E36" w:rsidRPr="00A67F27">
              <w:rPr>
                <w:lang w:val="fr-FR"/>
              </w:rPr>
              <w:t xml:space="preserve">Garantie </w:t>
            </w:r>
            <w:r w:rsidR="00131009" w:rsidRPr="00A67F27">
              <w:rPr>
                <w:lang w:val="fr-FR"/>
              </w:rPr>
              <w:t>d’offre</w:t>
            </w:r>
            <w:bookmarkEnd w:id="204"/>
            <w:bookmarkEnd w:id="205"/>
          </w:p>
        </w:tc>
        <w:tc>
          <w:tcPr>
            <w:tcW w:w="7380" w:type="dxa"/>
            <w:tcBorders>
              <w:top w:val="nil"/>
              <w:left w:val="nil"/>
              <w:bottom w:val="nil"/>
              <w:right w:val="nil"/>
            </w:tcBorders>
          </w:tcPr>
          <w:p w14:paraId="7453BCE7" w14:textId="35946BC4" w:rsidR="000A450A" w:rsidRPr="00A67F27" w:rsidRDefault="00F226BC" w:rsidP="00D510E8">
            <w:pPr>
              <w:pStyle w:val="Paragraphedeliste"/>
              <w:numPr>
                <w:ilvl w:val="1"/>
                <w:numId w:val="41"/>
              </w:numPr>
              <w:spacing w:after="0"/>
              <w:contextualSpacing w:val="0"/>
              <w:rPr>
                <w:rFonts w:asciiTheme="majorBidi" w:hAnsiTheme="majorBidi" w:cstheme="majorBidi"/>
              </w:rPr>
            </w:pPr>
            <w:r w:rsidRPr="00A67F27">
              <w:rPr>
                <w:rFonts w:asciiTheme="majorBidi" w:hAnsiTheme="majorBidi" w:cstheme="majorBidi"/>
              </w:rPr>
              <w:t xml:space="preserve">Si cela est requis dans les </w:t>
            </w:r>
            <w:r w:rsidRPr="00A67F27">
              <w:rPr>
                <w:rFonts w:asciiTheme="majorBidi" w:hAnsiTheme="majorBidi" w:cstheme="majorBidi"/>
                <w:b/>
                <w:bCs/>
              </w:rPr>
              <w:t>DPAO</w:t>
            </w:r>
            <w:r w:rsidR="000A450A" w:rsidRPr="00A67F27">
              <w:rPr>
                <w:rFonts w:asciiTheme="majorBidi" w:hAnsiTheme="majorBidi" w:cstheme="majorBidi"/>
              </w:rPr>
              <w:t>,</w:t>
            </w:r>
            <w:r w:rsidR="00DB7808" w:rsidRPr="00A67F27">
              <w:rPr>
                <w:rFonts w:asciiTheme="majorBidi" w:hAnsiTheme="majorBidi" w:cstheme="majorBidi"/>
              </w:rPr>
              <w:t xml:space="preserve"> </w:t>
            </w:r>
            <w:r w:rsidR="000A450A" w:rsidRPr="00A67F27">
              <w:rPr>
                <w:rFonts w:asciiTheme="majorBidi" w:hAnsiTheme="majorBidi" w:cstheme="majorBidi"/>
              </w:rPr>
              <w:t xml:space="preserve">le Soumissionnaire fournira l’original d’une </w:t>
            </w:r>
            <w:r w:rsidR="00915E36" w:rsidRPr="00A67F27">
              <w:rPr>
                <w:rFonts w:asciiTheme="majorBidi" w:hAnsiTheme="majorBidi" w:cstheme="majorBidi"/>
              </w:rPr>
              <w:t xml:space="preserve">garantie </w:t>
            </w:r>
            <w:r w:rsidR="00131009" w:rsidRPr="00A67F27">
              <w:rPr>
                <w:rFonts w:asciiTheme="majorBidi" w:hAnsiTheme="majorBidi" w:cstheme="majorBidi"/>
              </w:rPr>
              <w:t>d’offre</w:t>
            </w:r>
            <w:r w:rsidRPr="00A67F27">
              <w:rPr>
                <w:rFonts w:asciiTheme="majorBidi" w:hAnsiTheme="majorBidi" w:cstheme="majorBidi"/>
              </w:rPr>
              <w:t xml:space="preserve"> ou d’une déclaration de </w:t>
            </w:r>
            <w:r w:rsidR="00915E36" w:rsidRPr="00A67F27">
              <w:rPr>
                <w:rFonts w:asciiTheme="majorBidi" w:hAnsiTheme="majorBidi" w:cstheme="majorBidi"/>
              </w:rPr>
              <w:t xml:space="preserve">garantie </w:t>
            </w:r>
            <w:r w:rsidR="00131009" w:rsidRPr="00A67F27">
              <w:rPr>
                <w:rFonts w:asciiTheme="majorBidi" w:hAnsiTheme="majorBidi" w:cstheme="majorBidi"/>
              </w:rPr>
              <w:t>d’offre</w:t>
            </w:r>
            <w:r w:rsidR="000A450A" w:rsidRPr="00A67F27">
              <w:rPr>
                <w:rFonts w:asciiTheme="majorBidi" w:hAnsiTheme="majorBidi" w:cstheme="majorBidi"/>
              </w:rPr>
              <w:t xml:space="preserve">, qui fera partie intégrante de son </w:t>
            </w:r>
            <w:r w:rsidR="00FB0142" w:rsidRPr="00A67F27">
              <w:rPr>
                <w:rFonts w:asciiTheme="majorBidi" w:hAnsiTheme="majorBidi" w:cstheme="majorBidi"/>
              </w:rPr>
              <w:t>O</w:t>
            </w:r>
            <w:r w:rsidR="000A450A" w:rsidRPr="00A67F27">
              <w:rPr>
                <w:rFonts w:asciiTheme="majorBidi" w:hAnsiTheme="majorBidi" w:cstheme="majorBidi"/>
              </w:rPr>
              <w:t xml:space="preserve">ffre. </w:t>
            </w:r>
            <w:r w:rsidR="00DB7808" w:rsidRPr="00A67F27">
              <w:rPr>
                <w:rFonts w:asciiTheme="majorBidi" w:hAnsiTheme="majorBidi" w:cstheme="majorBidi"/>
              </w:rPr>
              <w:t>Lorsqu’u</w:t>
            </w:r>
            <w:r w:rsidR="00FB0142" w:rsidRPr="00A67F27">
              <w:rPr>
                <w:rFonts w:asciiTheme="majorBidi" w:hAnsiTheme="majorBidi" w:cstheme="majorBidi"/>
              </w:rPr>
              <w:t xml:space="preserve">ne </w:t>
            </w:r>
            <w:r w:rsidR="00915E36" w:rsidRPr="00A67F27">
              <w:rPr>
                <w:rFonts w:asciiTheme="majorBidi" w:hAnsiTheme="majorBidi" w:cstheme="majorBidi"/>
              </w:rPr>
              <w:t xml:space="preserve">garantie </w:t>
            </w:r>
            <w:r w:rsidR="00131009" w:rsidRPr="00A67F27">
              <w:rPr>
                <w:rFonts w:asciiTheme="majorBidi" w:hAnsiTheme="majorBidi" w:cstheme="majorBidi"/>
              </w:rPr>
              <w:t>d’offre</w:t>
            </w:r>
            <w:r w:rsidR="000A450A" w:rsidRPr="00A67F27">
              <w:rPr>
                <w:rFonts w:asciiTheme="majorBidi" w:hAnsiTheme="majorBidi" w:cstheme="majorBidi"/>
              </w:rPr>
              <w:t xml:space="preserve"> est exigée, le montant et la monnaie dans laquelle elle </w:t>
            </w:r>
            <w:r w:rsidR="001E53DC" w:rsidRPr="00A67F27">
              <w:rPr>
                <w:rFonts w:asciiTheme="majorBidi" w:hAnsiTheme="majorBidi" w:cstheme="majorBidi"/>
              </w:rPr>
              <w:t xml:space="preserve">doit être </w:t>
            </w:r>
            <w:r w:rsidR="000A450A" w:rsidRPr="00A67F27">
              <w:rPr>
                <w:rFonts w:asciiTheme="majorBidi" w:hAnsiTheme="majorBidi" w:cstheme="majorBidi"/>
              </w:rPr>
              <w:t xml:space="preserve">libellée seront indiqués dans les </w:t>
            </w:r>
            <w:r w:rsidR="000A450A" w:rsidRPr="00A67F27">
              <w:rPr>
                <w:rFonts w:asciiTheme="majorBidi" w:hAnsiTheme="majorBidi" w:cstheme="majorBidi"/>
                <w:b/>
              </w:rPr>
              <w:t>DPAO</w:t>
            </w:r>
            <w:r w:rsidR="000A450A" w:rsidRPr="00A67F27">
              <w:rPr>
                <w:rFonts w:asciiTheme="majorBidi" w:hAnsiTheme="majorBidi" w:cstheme="majorBidi"/>
              </w:rPr>
              <w:t>.</w:t>
            </w:r>
          </w:p>
          <w:p w14:paraId="4B82E998" w14:textId="07ACFB09" w:rsidR="000A450A" w:rsidRPr="00A67F27" w:rsidRDefault="00FB0142" w:rsidP="00D510E8">
            <w:pPr>
              <w:pStyle w:val="Paragraphedeliste"/>
              <w:numPr>
                <w:ilvl w:val="1"/>
                <w:numId w:val="41"/>
              </w:numPr>
              <w:spacing w:after="0"/>
              <w:contextualSpacing w:val="0"/>
              <w:rPr>
                <w:rFonts w:asciiTheme="majorBidi" w:hAnsiTheme="majorBidi" w:cstheme="majorBidi"/>
              </w:rPr>
            </w:pPr>
            <w:r w:rsidRPr="00A67F27">
              <w:rPr>
                <w:rFonts w:asciiTheme="majorBidi" w:hAnsiTheme="majorBidi" w:cstheme="majorBidi"/>
              </w:rPr>
              <w:t>La D</w:t>
            </w:r>
            <w:r w:rsidR="000A450A" w:rsidRPr="00A67F27">
              <w:rPr>
                <w:rFonts w:asciiTheme="majorBidi" w:hAnsiTheme="majorBidi" w:cstheme="majorBidi"/>
              </w:rPr>
              <w:t xml:space="preserve">éclaration de </w:t>
            </w:r>
            <w:r w:rsidR="00EF6B71" w:rsidRPr="00A67F27">
              <w:rPr>
                <w:rFonts w:asciiTheme="majorBidi" w:hAnsiTheme="majorBidi" w:cstheme="majorBidi"/>
              </w:rPr>
              <w:t>gar</w:t>
            </w:r>
            <w:r w:rsidR="00915E36" w:rsidRPr="00A67F27">
              <w:rPr>
                <w:rFonts w:asciiTheme="majorBidi" w:hAnsiTheme="majorBidi" w:cstheme="majorBidi"/>
              </w:rPr>
              <w:t xml:space="preserve">antie </w:t>
            </w:r>
            <w:r w:rsidR="00131009" w:rsidRPr="00A67F27">
              <w:rPr>
                <w:rFonts w:asciiTheme="majorBidi" w:hAnsiTheme="majorBidi" w:cstheme="majorBidi"/>
              </w:rPr>
              <w:t>d’offre</w:t>
            </w:r>
            <w:r w:rsidR="000A450A" w:rsidRPr="00A67F27">
              <w:rPr>
                <w:rFonts w:asciiTheme="majorBidi" w:hAnsiTheme="majorBidi" w:cstheme="majorBidi"/>
              </w:rPr>
              <w:t xml:space="preserve"> se présentera selon le modèle présenté à la Section IV – Formulaires de soumission.</w:t>
            </w:r>
          </w:p>
        </w:tc>
      </w:tr>
      <w:tr w:rsidR="000A450A" w:rsidRPr="00A67F27" w14:paraId="601E0689" w14:textId="77777777" w:rsidTr="007318E7">
        <w:trPr>
          <w:trHeight w:val="20"/>
        </w:trPr>
        <w:tc>
          <w:tcPr>
            <w:tcW w:w="2250" w:type="dxa"/>
            <w:tcBorders>
              <w:top w:val="nil"/>
              <w:left w:val="nil"/>
              <w:bottom w:val="nil"/>
              <w:right w:val="nil"/>
            </w:tcBorders>
          </w:tcPr>
          <w:p w14:paraId="0AAB5CFC" w14:textId="77777777" w:rsidR="000A450A" w:rsidRPr="00A67F27" w:rsidRDefault="000A450A" w:rsidP="007318E7">
            <w:pPr>
              <w:spacing w:after="0"/>
              <w:rPr>
                <w:rFonts w:asciiTheme="majorBidi" w:hAnsiTheme="majorBidi" w:cstheme="majorBidi"/>
              </w:rPr>
            </w:pPr>
            <w:bookmarkStart w:id="206" w:name="_Toc438532606"/>
            <w:bookmarkEnd w:id="206"/>
          </w:p>
        </w:tc>
        <w:tc>
          <w:tcPr>
            <w:tcW w:w="7380" w:type="dxa"/>
            <w:tcBorders>
              <w:top w:val="nil"/>
              <w:left w:val="nil"/>
              <w:bottom w:val="nil"/>
              <w:right w:val="nil"/>
            </w:tcBorders>
          </w:tcPr>
          <w:p w14:paraId="6B1AD4EF" w14:textId="25197FF4" w:rsidR="000A450A" w:rsidRPr="00A67F27" w:rsidRDefault="000A450A" w:rsidP="00D510E8">
            <w:pPr>
              <w:pStyle w:val="Paragraphedeliste"/>
              <w:numPr>
                <w:ilvl w:val="1"/>
                <w:numId w:val="41"/>
              </w:numPr>
              <w:spacing w:after="0"/>
              <w:contextualSpacing w:val="0"/>
              <w:rPr>
                <w:rFonts w:asciiTheme="majorBidi" w:hAnsiTheme="majorBidi" w:cstheme="majorBidi"/>
              </w:rPr>
            </w:pPr>
            <w:r w:rsidRPr="00A67F27">
              <w:rPr>
                <w:rFonts w:asciiTheme="majorBidi" w:hAnsiTheme="majorBidi" w:cstheme="majorBidi"/>
              </w:rPr>
              <w:t>L</w:t>
            </w:r>
            <w:r w:rsidR="00045076" w:rsidRPr="00A67F27">
              <w:rPr>
                <w:rFonts w:asciiTheme="majorBidi" w:hAnsiTheme="majorBidi" w:cstheme="majorBidi"/>
              </w:rPr>
              <w:t>orsqu’elle est requise par le présent article, l</w:t>
            </w:r>
            <w:r w:rsidRPr="00A67F27">
              <w:rPr>
                <w:rFonts w:asciiTheme="majorBidi" w:hAnsiTheme="majorBidi" w:cstheme="majorBidi"/>
              </w:rPr>
              <w:t xml:space="preserve">a </w:t>
            </w:r>
            <w:r w:rsidR="00915E36" w:rsidRPr="00A67F27">
              <w:rPr>
                <w:rFonts w:asciiTheme="majorBidi" w:hAnsiTheme="majorBidi" w:cstheme="majorBidi"/>
              </w:rPr>
              <w:t xml:space="preserve">Garantie </w:t>
            </w:r>
            <w:r w:rsidR="00EF6B71" w:rsidRPr="00A67F27">
              <w:rPr>
                <w:rFonts w:asciiTheme="majorBidi" w:hAnsiTheme="majorBidi" w:cstheme="majorBidi"/>
              </w:rPr>
              <w:t>d’offre</w:t>
            </w:r>
            <w:r w:rsidR="00FB0142" w:rsidRPr="00A67F27">
              <w:rPr>
                <w:rFonts w:asciiTheme="majorBidi" w:hAnsiTheme="majorBidi" w:cstheme="majorBidi"/>
              </w:rPr>
              <w:t xml:space="preserve"> </w:t>
            </w:r>
            <w:r w:rsidR="00F226BC" w:rsidRPr="00A67F27">
              <w:rPr>
                <w:rFonts w:asciiTheme="majorBidi" w:hAnsiTheme="majorBidi" w:cstheme="majorBidi"/>
              </w:rPr>
              <w:t xml:space="preserve">sera une garantie à première demande et </w:t>
            </w:r>
            <w:r w:rsidRPr="00A67F27">
              <w:rPr>
                <w:rFonts w:asciiTheme="majorBidi" w:hAnsiTheme="majorBidi" w:cstheme="majorBidi"/>
              </w:rPr>
              <w:t>se présentera sous l’une des formes ci-après, au choix du Soumissionnaire</w:t>
            </w:r>
            <w:r w:rsidR="009B2302" w:rsidRPr="00A67F27">
              <w:rPr>
                <w:rFonts w:asciiTheme="majorBidi" w:hAnsiTheme="majorBidi" w:cstheme="majorBidi"/>
              </w:rPr>
              <w:t xml:space="preserve"> :</w:t>
            </w:r>
          </w:p>
          <w:p w14:paraId="7F67C729" w14:textId="0399DBC3" w:rsidR="000A450A" w:rsidRPr="00A67F27" w:rsidRDefault="000A450A" w:rsidP="007318E7">
            <w:pPr>
              <w:numPr>
                <w:ilvl w:val="0"/>
                <w:numId w:val="6"/>
              </w:numPr>
              <w:tabs>
                <w:tab w:val="left" w:pos="576"/>
                <w:tab w:val="left" w:pos="1152"/>
              </w:tabs>
              <w:spacing w:after="0"/>
              <w:ind w:left="1152" w:hanging="576"/>
              <w:rPr>
                <w:rFonts w:asciiTheme="majorBidi" w:hAnsiTheme="majorBidi" w:cstheme="majorBidi"/>
              </w:rPr>
            </w:pPr>
            <w:r w:rsidRPr="00A67F27">
              <w:rPr>
                <w:rFonts w:asciiTheme="majorBidi" w:hAnsiTheme="majorBidi" w:cstheme="majorBidi"/>
              </w:rPr>
              <w:t>une garantie</w:t>
            </w:r>
            <w:r w:rsidR="009B2302" w:rsidRPr="00A67F27">
              <w:rPr>
                <w:rFonts w:asciiTheme="majorBidi" w:hAnsiTheme="majorBidi" w:cstheme="majorBidi"/>
              </w:rPr>
              <w:t xml:space="preserve"> </w:t>
            </w:r>
            <w:r w:rsidR="00EF6B71" w:rsidRPr="00A67F27">
              <w:rPr>
                <w:rFonts w:asciiTheme="majorBidi" w:hAnsiTheme="majorBidi" w:cstheme="majorBidi"/>
              </w:rPr>
              <w:t>d’offre</w:t>
            </w:r>
            <w:r w:rsidR="00F226BC" w:rsidRPr="00A67F27">
              <w:rPr>
                <w:rFonts w:asciiTheme="majorBidi" w:hAnsiTheme="majorBidi" w:cstheme="majorBidi"/>
              </w:rPr>
              <w:t xml:space="preserve"> émise par une banque ou une institution financière (telle</w:t>
            </w:r>
            <w:r w:rsidR="00185346" w:rsidRPr="00A67F27">
              <w:rPr>
                <w:rFonts w:asciiTheme="majorBidi" w:hAnsiTheme="majorBidi" w:cstheme="majorBidi"/>
              </w:rPr>
              <w:t xml:space="preserve"> une compagnie d’</w:t>
            </w:r>
            <w:r w:rsidR="007936B7" w:rsidRPr="00A67F27">
              <w:rPr>
                <w:rFonts w:asciiTheme="majorBidi" w:hAnsiTheme="majorBidi" w:cstheme="majorBidi"/>
              </w:rPr>
              <w:t xml:space="preserve">assurances </w:t>
            </w:r>
            <w:r w:rsidR="00045076" w:rsidRPr="00A67F27">
              <w:rPr>
                <w:rFonts w:asciiTheme="majorBidi" w:hAnsiTheme="majorBidi" w:cstheme="majorBidi"/>
              </w:rPr>
              <w:t>ou</w:t>
            </w:r>
            <w:r w:rsidR="007439EF" w:rsidRPr="00A67F27">
              <w:rPr>
                <w:rFonts w:asciiTheme="majorBidi" w:hAnsiTheme="majorBidi" w:cstheme="majorBidi"/>
              </w:rPr>
              <w:t xml:space="preserve"> un organisme</w:t>
            </w:r>
            <w:r w:rsidR="00045076" w:rsidRPr="00A67F27">
              <w:rPr>
                <w:rFonts w:asciiTheme="majorBidi" w:hAnsiTheme="majorBidi" w:cstheme="majorBidi"/>
              </w:rPr>
              <w:t xml:space="preserve"> </w:t>
            </w:r>
            <w:r w:rsidR="00045076" w:rsidRPr="00A67F27">
              <w:rPr>
                <w:rFonts w:asciiTheme="majorBidi" w:hAnsiTheme="majorBidi" w:cstheme="majorBidi"/>
              </w:rPr>
              <w:lastRenderedPageBreak/>
              <w:t>de caution</w:t>
            </w:r>
            <w:r w:rsidR="00F226BC" w:rsidRPr="00A67F27">
              <w:rPr>
                <w:rFonts w:asciiTheme="majorBidi" w:hAnsiTheme="majorBidi" w:cstheme="majorBidi"/>
              </w:rPr>
              <w:t>)</w:t>
            </w:r>
            <w:r w:rsidR="009B2302" w:rsidRPr="00A67F27">
              <w:rPr>
                <w:rFonts w:asciiTheme="majorBidi" w:hAnsiTheme="majorBidi" w:cstheme="majorBidi"/>
              </w:rPr>
              <w:t> ;</w:t>
            </w:r>
            <w:r w:rsidRPr="00A67F27">
              <w:rPr>
                <w:rFonts w:asciiTheme="majorBidi" w:hAnsiTheme="majorBidi" w:cstheme="majorBidi"/>
              </w:rPr>
              <w:t xml:space="preserve"> </w:t>
            </w:r>
          </w:p>
          <w:p w14:paraId="4B50774A" w14:textId="7068B754" w:rsidR="000A450A" w:rsidRPr="00A67F27" w:rsidRDefault="000A450A" w:rsidP="007318E7">
            <w:pPr>
              <w:numPr>
                <w:ilvl w:val="0"/>
                <w:numId w:val="6"/>
              </w:numPr>
              <w:tabs>
                <w:tab w:val="left" w:pos="576"/>
                <w:tab w:val="left" w:pos="1152"/>
              </w:tabs>
              <w:spacing w:after="0"/>
              <w:ind w:left="1152" w:hanging="576"/>
              <w:rPr>
                <w:rFonts w:asciiTheme="majorBidi" w:hAnsiTheme="majorBidi" w:cstheme="majorBidi"/>
              </w:rPr>
            </w:pPr>
            <w:r w:rsidRPr="00A67F27">
              <w:rPr>
                <w:rFonts w:asciiTheme="majorBidi" w:hAnsiTheme="majorBidi" w:cstheme="majorBidi"/>
              </w:rPr>
              <w:t>un crédit documentaire irrévocable</w:t>
            </w:r>
            <w:r w:rsidR="009B2302" w:rsidRPr="00A67F27">
              <w:rPr>
                <w:rFonts w:asciiTheme="majorBidi" w:hAnsiTheme="majorBidi" w:cstheme="majorBidi"/>
              </w:rPr>
              <w:t> ;</w:t>
            </w:r>
            <w:r w:rsidRPr="00A67F27">
              <w:rPr>
                <w:rFonts w:asciiTheme="majorBidi" w:hAnsiTheme="majorBidi" w:cstheme="majorBidi"/>
              </w:rPr>
              <w:t xml:space="preserve"> ou</w:t>
            </w:r>
          </w:p>
          <w:p w14:paraId="68FD3469" w14:textId="56337DD2" w:rsidR="00412BB8" w:rsidRPr="00A67F27" w:rsidRDefault="000A450A" w:rsidP="007318E7">
            <w:pPr>
              <w:numPr>
                <w:ilvl w:val="0"/>
                <w:numId w:val="6"/>
              </w:numPr>
              <w:tabs>
                <w:tab w:val="left" w:pos="1152"/>
              </w:tabs>
              <w:spacing w:after="0"/>
              <w:ind w:left="1152" w:hanging="576"/>
              <w:rPr>
                <w:rFonts w:asciiTheme="majorBidi" w:hAnsiTheme="majorBidi" w:cstheme="majorBidi"/>
              </w:rPr>
            </w:pPr>
            <w:r w:rsidRPr="00A67F27">
              <w:rPr>
                <w:rFonts w:asciiTheme="majorBidi" w:hAnsiTheme="majorBidi" w:cstheme="majorBidi"/>
              </w:rPr>
              <w:t>un chèque de banque ou un chèque certifié</w:t>
            </w:r>
            <w:r w:rsidR="009B2302" w:rsidRPr="00A67F27">
              <w:rPr>
                <w:rFonts w:asciiTheme="majorBidi" w:hAnsiTheme="majorBidi" w:cstheme="majorBidi"/>
              </w:rPr>
              <w:t> ;</w:t>
            </w:r>
            <w:r w:rsidRPr="00A67F27">
              <w:rPr>
                <w:rFonts w:asciiTheme="majorBidi" w:hAnsiTheme="majorBidi" w:cstheme="majorBidi"/>
              </w:rPr>
              <w:t xml:space="preserve"> ou</w:t>
            </w:r>
          </w:p>
          <w:p w14:paraId="54D09AE0" w14:textId="1A18088D" w:rsidR="00412BB8" w:rsidRPr="00A67F27" w:rsidRDefault="007439EF" w:rsidP="007318E7">
            <w:pPr>
              <w:numPr>
                <w:ilvl w:val="0"/>
                <w:numId w:val="6"/>
              </w:numPr>
              <w:tabs>
                <w:tab w:val="left" w:pos="657"/>
              </w:tabs>
              <w:spacing w:after="0"/>
              <w:ind w:left="1152" w:hanging="576"/>
              <w:rPr>
                <w:rFonts w:asciiTheme="majorBidi" w:hAnsiTheme="majorBidi" w:cstheme="majorBidi"/>
              </w:rPr>
            </w:pPr>
            <w:r w:rsidRPr="00A67F27">
              <w:rPr>
                <w:rFonts w:asciiTheme="majorBidi" w:hAnsiTheme="majorBidi" w:cstheme="majorBidi"/>
              </w:rPr>
              <w:t>toute autre</w:t>
            </w:r>
            <w:r w:rsidR="000A450A" w:rsidRPr="00A67F27">
              <w:rPr>
                <w:rFonts w:asciiTheme="majorBidi" w:hAnsiTheme="majorBidi" w:cstheme="majorBidi"/>
              </w:rPr>
              <w:t xml:space="preserve"> garantie</w:t>
            </w:r>
            <w:r w:rsidRPr="00A67F27">
              <w:rPr>
                <w:rFonts w:asciiTheme="majorBidi" w:hAnsiTheme="majorBidi" w:cstheme="majorBidi"/>
              </w:rPr>
              <w:t xml:space="preserve"> </w:t>
            </w:r>
            <w:r w:rsidR="000A450A" w:rsidRPr="00A67F27">
              <w:rPr>
                <w:rFonts w:asciiTheme="majorBidi" w:hAnsiTheme="majorBidi" w:cstheme="majorBidi"/>
              </w:rPr>
              <w:t>mentionnée</w:t>
            </w:r>
            <w:r w:rsidRPr="00A67F27">
              <w:rPr>
                <w:rFonts w:asciiTheme="majorBidi" w:hAnsiTheme="majorBidi" w:cstheme="majorBidi"/>
              </w:rPr>
              <w:t xml:space="preserve">, le cas échéant, </w:t>
            </w:r>
            <w:r w:rsidR="000A450A" w:rsidRPr="00A67F27">
              <w:rPr>
                <w:rFonts w:asciiTheme="majorBidi" w:hAnsiTheme="majorBidi" w:cstheme="majorBidi"/>
              </w:rPr>
              <w:t>dans les</w:t>
            </w:r>
            <w:r w:rsidR="009B2302" w:rsidRPr="00A67F27">
              <w:rPr>
                <w:rFonts w:asciiTheme="majorBidi" w:hAnsiTheme="majorBidi" w:cstheme="majorBidi"/>
              </w:rPr>
              <w:t xml:space="preserve">     </w:t>
            </w:r>
            <w:r w:rsidR="000A450A" w:rsidRPr="00A67F27">
              <w:rPr>
                <w:rFonts w:asciiTheme="majorBidi" w:hAnsiTheme="majorBidi" w:cstheme="majorBidi"/>
                <w:b/>
              </w:rPr>
              <w:t>DPAO</w:t>
            </w:r>
            <w:r w:rsidR="00185346" w:rsidRPr="00A67F27">
              <w:rPr>
                <w:rFonts w:asciiTheme="majorBidi" w:hAnsiTheme="majorBidi" w:cstheme="majorBidi"/>
              </w:rPr>
              <w:t>,</w:t>
            </w:r>
            <w:r w:rsidR="00FA37EC">
              <w:rPr>
                <w:rFonts w:asciiTheme="majorBidi" w:hAnsiTheme="majorBidi" w:cstheme="majorBidi"/>
              </w:rPr>
              <w:t xml:space="preserve"> </w:t>
            </w:r>
          </w:p>
          <w:p w14:paraId="6156F5BC" w14:textId="76D69947" w:rsidR="00412BB8" w:rsidRPr="00A67F27" w:rsidRDefault="0051115E" w:rsidP="007318E7">
            <w:pPr>
              <w:spacing w:after="0"/>
              <w:rPr>
                <w:rFonts w:asciiTheme="majorBidi" w:hAnsiTheme="majorBidi" w:cstheme="majorBidi"/>
              </w:rPr>
            </w:pPr>
            <w:r>
              <w:rPr>
                <w:rFonts w:asciiTheme="majorBidi" w:hAnsiTheme="majorBidi" w:cstheme="majorBidi"/>
              </w:rPr>
              <w:t xml:space="preserve">         </w:t>
            </w:r>
            <w:r w:rsidR="00185346" w:rsidRPr="00A67F27">
              <w:rPr>
                <w:rFonts w:asciiTheme="majorBidi" w:hAnsiTheme="majorBidi" w:cstheme="majorBidi"/>
              </w:rPr>
              <w:t>en provenance d’</w:t>
            </w:r>
            <w:r w:rsidR="000A450A" w:rsidRPr="00A67F27">
              <w:rPr>
                <w:rFonts w:asciiTheme="majorBidi" w:hAnsiTheme="majorBidi" w:cstheme="majorBidi"/>
              </w:rPr>
              <w:t>une source reconnue, établie dans un pays satisfaisant aux critères d’origine</w:t>
            </w:r>
            <w:r w:rsidR="00DB7808" w:rsidRPr="00A67F27">
              <w:rPr>
                <w:rFonts w:asciiTheme="majorBidi" w:hAnsiTheme="majorBidi" w:cstheme="majorBidi"/>
              </w:rPr>
              <w:t xml:space="preserve"> figurant à la Section V</w:t>
            </w:r>
            <w:r w:rsidR="0069082D" w:rsidRPr="00A67F27">
              <w:rPr>
                <w:rFonts w:asciiTheme="majorBidi" w:hAnsiTheme="majorBidi" w:cstheme="majorBidi"/>
              </w:rPr>
              <w:t>. Pays Eligibles.</w:t>
            </w:r>
            <w:r w:rsidR="000A450A" w:rsidRPr="00A67F27">
              <w:rPr>
                <w:rFonts w:asciiTheme="majorBidi" w:hAnsiTheme="majorBidi" w:cstheme="majorBidi"/>
              </w:rPr>
              <w:t xml:space="preserve"> </w:t>
            </w:r>
            <w:r w:rsidR="00F226BC" w:rsidRPr="00A67F27">
              <w:rPr>
                <w:rFonts w:asciiTheme="majorBidi" w:hAnsiTheme="majorBidi" w:cstheme="majorBidi"/>
              </w:rPr>
              <w:t xml:space="preserve">Si une garantie inconditionnelle est émise par une institution financière située en dehors du pays du Maître de l’Ouvrage, l’institution financière émettrice devra avoir une institution financière correspondante dans le pays du Maître de l’Ouvrage afin d’en permettre l’exécution, le cas échéant. Dans le cas d’une garantie bancaire, la </w:t>
            </w:r>
            <w:r w:rsidR="00915E36" w:rsidRPr="00A67F27">
              <w:rPr>
                <w:rFonts w:asciiTheme="majorBidi" w:hAnsiTheme="majorBidi" w:cstheme="majorBidi"/>
              </w:rPr>
              <w:t xml:space="preserve">garantie </w:t>
            </w:r>
            <w:r w:rsidR="00EF6B71" w:rsidRPr="00A67F27">
              <w:rPr>
                <w:rFonts w:asciiTheme="majorBidi" w:hAnsiTheme="majorBidi" w:cstheme="majorBidi"/>
              </w:rPr>
              <w:t>d’offre</w:t>
            </w:r>
            <w:r w:rsidR="00F226BC" w:rsidRPr="00A67F27">
              <w:rPr>
                <w:rFonts w:asciiTheme="majorBidi" w:hAnsiTheme="majorBidi" w:cstheme="majorBidi"/>
              </w:rPr>
              <w:t xml:space="preserve"> sera établie conformément au formulaire figurant à la Section IV- Formulaires de Soumission, ou dans une autre forme similaire pour l’essentiel et approuvée par</w:t>
            </w:r>
            <w:r w:rsidR="009B2302" w:rsidRPr="00A67F27">
              <w:rPr>
                <w:rFonts w:asciiTheme="majorBidi" w:hAnsiTheme="majorBidi" w:cstheme="majorBidi"/>
              </w:rPr>
              <w:t xml:space="preserve"> </w:t>
            </w:r>
            <w:r w:rsidR="00F226BC" w:rsidRPr="00A67F27">
              <w:rPr>
                <w:rFonts w:asciiTheme="majorBidi" w:hAnsiTheme="majorBidi" w:cstheme="majorBidi"/>
              </w:rPr>
              <w:t>le Maître de l’Ouvrage avant le dépôt de l’Offre</w:t>
            </w:r>
            <w:r w:rsidR="000A450A" w:rsidRPr="00A67F27">
              <w:rPr>
                <w:rFonts w:asciiTheme="majorBidi" w:hAnsiTheme="majorBidi" w:cstheme="majorBidi"/>
              </w:rPr>
              <w:t xml:space="preserve">. La </w:t>
            </w:r>
            <w:r w:rsidR="00915E36" w:rsidRPr="00A67F27">
              <w:rPr>
                <w:rFonts w:asciiTheme="majorBidi" w:hAnsiTheme="majorBidi" w:cstheme="majorBidi"/>
              </w:rPr>
              <w:t xml:space="preserve">Garantie </w:t>
            </w:r>
            <w:r w:rsidR="00EF6B71" w:rsidRPr="00A67F27">
              <w:rPr>
                <w:rFonts w:asciiTheme="majorBidi" w:hAnsiTheme="majorBidi" w:cstheme="majorBidi"/>
              </w:rPr>
              <w:t>d’offre</w:t>
            </w:r>
            <w:r w:rsidR="00FB0142" w:rsidRPr="00A67F27">
              <w:rPr>
                <w:rFonts w:asciiTheme="majorBidi" w:hAnsiTheme="majorBidi" w:cstheme="majorBidi"/>
              </w:rPr>
              <w:t xml:space="preserve"> </w:t>
            </w:r>
            <w:r w:rsidR="000A450A" w:rsidRPr="00A67F27">
              <w:rPr>
                <w:rFonts w:asciiTheme="majorBidi" w:hAnsiTheme="majorBidi" w:cstheme="majorBidi"/>
              </w:rPr>
              <w:t xml:space="preserve">devra demeurer valide pour une période excédant </w:t>
            </w:r>
            <w:r w:rsidR="00FA37EC">
              <w:rPr>
                <w:rFonts w:asciiTheme="majorBidi" w:hAnsiTheme="majorBidi" w:cstheme="majorBidi"/>
              </w:rPr>
              <w:t xml:space="preserve">de </w:t>
            </w:r>
            <w:r w:rsidR="000A450A" w:rsidRPr="00A67F27">
              <w:rPr>
                <w:rFonts w:asciiTheme="majorBidi" w:hAnsiTheme="majorBidi" w:cstheme="majorBidi"/>
              </w:rPr>
              <w:t>vingt-huit jours (28) la durée initiale de validité de l’</w:t>
            </w:r>
            <w:r w:rsidR="00FB0142" w:rsidRPr="00A67F27">
              <w:rPr>
                <w:rFonts w:asciiTheme="majorBidi" w:hAnsiTheme="majorBidi" w:cstheme="majorBidi"/>
              </w:rPr>
              <w:t>O</w:t>
            </w:r>
            <w:r w:rsidR="000A450A" w:rsidRPr="00A67F27">
              <w:rPr>
                <w:rFonts w:asciiTheme="majorBidi" w:hAnsiTheme="majorBidi" w:cstheme="majorBidi"/>
              </w:rPr>
              <w:t>ffre et, le cas échéant, être prorogée selon les dispositions de l’article 18.2 des IS</w:t>
            </w:r>
            <w:r w:rsidR="00D41A66" w:rsidRPr="00A67F27">
              <w:rPr>
                <w:rFonts w:asciiTheme="majorBidi" w:hAnsiTheme="majorBidi" w:cstheme="majorBidi"/>
              </w:rPr>
              <w:t>.</w:t>
            </w:r>
          </w:p>
        </w:tc>
      </w:tr>
      <w:tr w:rsidR="000A450A" w:rsidRPr="00A67F27" w14:paraId="36935C31" w14:textId="77777777" w:rsidTr="007318E7">
        <w:trPr>
          <w:trHeight w:val="20"/>
        </w:trPr>
        <w:tc>
          <w:tcPr>
            <w:tcW w:w="2250" w:type="dxa"/>
            <w:tcBorders>
              <w:top w:val="nil"/>
              <w:left w:val="nil"/>
              <w:bottom w:val="nil"/>
              <w:right w:val="nil"/>
            </w:tcBorders>
          </w:tcPr>
          <w:p w14:paraId="7AED9C6B" w14:textId="77777777" w:rsidR="000A450A" w:rsidRPr="00A67F27" w:rsidRDefault="000A450A" w:rsidP="007318E7">
            <w:pPr>
              <w:spacing w:after="0"/>
              <w:rPr>
                <w:rFonts w:asciiTheme="majorBidi" w:hAnsiTheme="majorBidi" w:cstheme="majorBidi"/>
              </w:rPr>
            </w:pPr>
            <w:bookmarkStart w:id="207" w:name="_Toc438532607"/>
            <w:bookmarkEnd w:id="207"/>
          </w:p>
        </w:tc>
        <w:tc>
          <w:tcPr>
            <w:tcW w:w="7380" w:type="dxa"/>
            <w:tcBorders>
              <w:top w:val="nil"/>
              <w:left w:val="nil"/>
              <w:bottom w:val="nil"/>
              <w:right w:val="nil"/>
            </w:tcBorders>
          </w:tcPr>
          <w:p w14:paraId="0896AF3C" w14:textId="393B1198" w:rsidR="00E823E0" w:rsidRPr="00A67F27" w:rsidRDefault="00FA39B8" w:rsidP="00D510E8">
            <w:pPr>
              <w:pStyle w:val="Paragraphedeliste"/>
              <w:numPr>
                <w:ilvl w:val="1"/>
                <w:numId w:val="41"/>
              </w:numPr>
              <w:spacing w:after="0"/>
              <w:contextualSpacing w:val="0"/>
              <w:rPr>
                <w:rFonts w:asciiTheme="majorBidi" w:hAnsiTheme="majorBidi" w:cstheme="majorBidi"/>
              </w:rPr>
            </w:pPr>
            <w:r w:rsidRPr="00A67F27">
              <w:rPr>
                <w:rFonts w:asciiTheme="majorBidi" w:hAnsiTheme="majorBidi" w:cstheme="majorBidi"/>
              </w:rPr>
              <w:t xml:space="preserve">Si une </w:t>
            </w:r>
            <w:r w:rsidR="00915E36" w:rsidRPr="00A67F27">
              <w:rPr>
                <w:rFonts w:asciiTheme="majorBidi" w:hAnsiTheme="majorBidi" w:cstheme="majorBidi"/>
              </w:rPr>
              <w:t xml:space="preserve">garantie </w:t>
            </w:r>
            <w:r w:rsidR="00EF6B71" w:rsidRPr="00A67F27">
              <w:rPr>
                <w:rFonts w:asciiTheme="majorBidi" w:hAnsiTheme="majorBidi" w:cstheme="majorBidi"/>
              </w:rPr>
              <w:t>d’offre</w:t>
            </w:r>
            <w:r w:rsidRPr="00A67F27">
              <w:rPr>
                <w:rFonts w:asciiTheme="majorBidi" w:hAnsiTheme="majorBidi" w:cstheme="majorBidi"/>
              </w:rPr>
              <w:t xml:space="preserve"> est requise en application de l’article 19.1 des IS, toute offre non accompagnée d’une </w:t>
            </w:r>
            <w:r w:rsidR="00915E36" w:rsidRPr="00A67F27">
              <w:rPr>
                <w:rFonts w:asciiTheme="majorBidi" w:hAnsiTheme="majorBidi" w:cstheme="majorBidi"/>
              </w:rPr>
              <w:t xml:space="preserve">garantie </w:t>
            </w:r>
            <w:r w:rsidR="00EF6B71" w:rsidRPr="00A67F27">
              <w:rPr>
                <w:rFonts w:asciiTheme="majorBidi" w:hAnsiTheme="majorBidi" w:cstheme="majorBidi"/>
              </w:rPr>
              <w:t>d’offre</w:t>
            </w:r>
            <w:r w:rsidRPr="00A67F27">
              <w:rPr>
                <w:rFonts w:asciiTheme="majorBidi" w:hAnsiTheme="majorBidi" w:cstheme="majorBidi"/>
              </w:rPr>
              <w:t xml:space="preserve"> conforme pour l’essentiel </w:t>
            </w:r>
            <w:r w:rsidR="000A450A" w:rsidRPr="00A67F27">
              <w:rPr>
                <w:rFonts w:asciiTheme="majorBidi" w:hAnsiTheme="majorBidi" w:cstheme="majorBidi"/>
              </w:rPr>
              <w:t>sera rejetée par le Maître de l’Ouvrage comme étant non conforme.</w:t>
            </w:r>
            <w:r w:rsidR="00E823E0" w:rsidRPr="00A67F27">
              <w:rPr>
                <w:rFonts w:asciiTheme="majorBidi" w:hAnsiTheme="majorBidi" w:cstheme="majorBidi"/>
              </w:rPr>
              <w:t xml:space="preserve"> </w:t>
            </w:r>
          </w:p>
          <w:p w14:paraId="17CD35BD" w14:textId="244E5C16" w:rsidR="000A450A" w:rsidRPr="00A67F27" w:rsidRDefault="00FA39B8" w:rsidP="00D510E8">
            <w:pPr>
              <w:pStyle w:val="Paragraphedeliste"/>
              <w:numPr>
                <w:ilvl w:val="1"/>
                <w:numId w:val="41"/>
              </w:numPr>
              <w:spacing w:after="0"/>
              <w:rPr>
                <w:rFonts w:asciiTheme="majorBidi" w:hAnsiTheme="majorBidi" w:cstheme="majorBidi"/>
              </w:rPr>
            </w:pPr>
            <w:r w:rsidRPr="00A67F27">
              <w:rPr>
                <w:rFonts w:asciiTheme="majorBidi" w:hAnsiTheme="majorBidi" w:cstheme="majorBidi"/>
              </w:rPr>
              <w:t xml:space="preserve">Si une </w:t>
            </w:r>
            <w:r w:rsidR="00915E36" w:rsidRPr="00A67F27">
              <w:rPr>
                <w:rFonts w:asciiTheme="majorBidi" w:hAnsiTheme="majorBidi" w:cstheme="majorBidi"/>
              </w:rPr>
              <w:t xml:space="preserve">garantie </w:t>
            </w:r>
            <w:r w:rsidR="00EF6B71" w:rsidRPr="00A67F27">
              <w:rPr>
                <w:rFonts w:asciiTheme="majorBidi" w:hAnsiTheme="majorBidi" w:cstheme="majorBidi"/>
              </w:rPr>
              <w:t>d’offre</w:t>
            </w:r>
            <w:r w:rsidRPr="00A67F27">
              <w:rPr>
                <w:rFonts w:asciiTheme="majorBidi" w:hAnsiTheme="majorBidi" w:cstheme="majorBidi"/>
              </w:rPr>
              <w:t xml:space="preserve"> est requise en application de l’article 19.1 des IS, l</w:t>
            </w:r>
            <w:r w:rsidR="00E823E0" w:rsidRPr="00A67F27">
              <w:rPr>
                <w:rFonts w:asciiTheme="majorBidi" w:hAnsiTheme="majorBidi" w:cstheme="majorBidi"/>
              </w:rPr>
              <w:t xml:space="preserve">es Garanties </w:t>
            </w:r>
            <w:r w:rsidR="00EF6B71" w:rsidRPr="00A67F27">
              <w:rPr>
                <w:rFonts w:asciiTheme="majorBidi" w:hAnsiTheme="majorBidi" w:cstheme="majorBidi"/>
              </w:rPr>
              <w:t>d’offre</w:t>
            </w:r>
            <w:r w:rsidR="00E823E0" w:rsidRPr="00A67F27">
              <w:rPr>
                <w:rFonts w:asciiTheme="majorBidi" w:hAnsiTheme="majorBidi" w:cstheme="majorBidi"/>
              </w:rPr>
              <w:t xml:space="preserve"> des Soumissionnaires non retenus leur seront restituées dans les meilleurs délais après que le Soumissionnaire retenu aura </w:t>
            </w:r>
            <w:r w:rsidRPr="00A67F27">
              <w:rPr>
                <w:rFonts w:asciiTheme="majorBidi" w:hAnsiTheme="majorBidi" w:cstheme="majorBidi"/>
              </w:rPr>
              <w:t xml:space="preserve">signé le Marché et </w:t>
            </w:r>
            <w:r w:rsidR="00E823E0" w:rsidRPr="00A67F27">
              <w:rPr>
                <w:rFonts w:asciiTheme="majorBidi" w:hAnsiTheme="majorBidi" w:cstheme="majorBidi"/>
              </w:rPr>
              <w:t xml:space="preserve">fourni la </w:t>
            </w:r>
            <w:r w:rsidRPr="00A67F27">
              <w:rPr>
                <w:rFonts w:asciiTheme="majorBidi" w:hAnsiTheme="majorBidi" w:cstheme="majorBidi"/>
              </w:rPr>
              <w:t xml:space="preserve">garantie </w:t>
            </w:r>
            <w:r w:rsidR="00E823E0" w:rsidRPr="00A67F27">
              <w:rPr>
                <w:rFonts w:asciiTheme="majorBidi" w:hAnsiTheme="majorBidi" w:cstheme="majorBidi"/>
              </w:rPr>
              <w:t xml:space="preserve">de bonne exécution </w:t>
            </w:r>
            <w:r w:rsidR="00D2425F" w:rsidRPr="00A67F27">
              <w:rPr>
                <w:rFonts w:asciiTheme="majorBidi" w:hAnsiTheme="majorBidi" w:cstheme="majorBidi"/>
              </w:rPr>
              <w:t xml:space="preserve">et si cela est stipulé dans les </w:t>
            </w:r>
            <w:r w:rsidR="00D2425F" w:rsidRPr="00A67F27">
              <w:rPr>
                <w:rFonts w:asciiTheme="majorBidi" w:hAnsiTheme="majorBidi" w:cstheme="majorBidi"/>
                <w:bCs/>
              </w:rPr>
              <w:t>DPAO</w:t>
            </w:r>
            <w:r w:rsidR="00D2425F" w:rsidRPr="00A67F27">
              <w:rPr>
                <w:rFonts w:asciiTheme="majorBidi" w:hAnsiTheme="majorBidi" w:cstheme="majorBidi"/>
              </w:rPr>
              <w:t xml:space="preserve">, la garantie de performance environnementale, sociale, hygiène et sécurité (ESHS) </w:t>
            </w:r>
            <w:r w:rsidR="00E823E0" w:rsidRPr="00A67F27">
              <w:rPr>
                <w:rFonts w:asciiTheme="majorBidi" w:hAnsiTheme="majorBidi" w:cstheme="majorBidi"/>
              </w:rPr>
              <w:t>prescrite</w:t>
            </w:r>
            <w:r w:rsidR="00D2425F" w:rsidRPr="00A67F27">
              <w:rPr>
                <w:rFonts w:asciiTheme="majorBidi" w:hAnsiTheme="majorBidi" w:cstheme="majorBidi"/>
              </w:rPr>
              <w:t>s</w:t>
            </w:r>
            <w:r w:rsidR="00E823E0" w:rsidRPr="00A67F27">
              <w:rPr>
                <w:rFonts w:asciiTheme="majorBidi" w:hAnsiTheme="majorBidi" w:cstheme="majorBidi"/>
              </w:rPr>
              <w:t xml:space="preserve"> à l’article</w:t>
            </w:r>
            <w:r w:rsidR="00AD134E" w:rsidRPr="00A67F27">
              <w:rPr>
                <w:rFonts w:asciiTheme="majorBidi" w:hAnsiTheme="majorBidi" w:cstheme="majorBidi"/>
              </w:rPr>
              <w:t xml:space="preserve"> </w:t>
            </w:r>
            <w:r w:rsidR="00E43E90" w:rsidRPr="00A67F27">
              <w:rPr>
                <w:rFonts w:asciiTheme="majorBidi" w:hAnsiTheme="majorBidi" w:cstheme="majorBidi"/>
              </w:rPr>
              <w:t xml:space="preserve">42 </w:t>
            </w:r>
            <w:r w:rsidR="00E823E0" w:rsidRPr="00A67F27">
              <w:rPr>
                <w:rFonts w:asciiTheme="majorBidi" w:hAnsiTheme="majorBidi" w:cstheme="majorBidi"/>
              </w:rPr>
              <w:t>des IS.</w:t>
            </w:r>
          </w:p>
        </w:tc>
      </w:tr>
      <w:tr w:rsidR="002476D3" w:rsidRPr="00A67F27" w14:paraId="5B3E0042" w14:textId="77777777" w:rsidTr="007318E7">
        <w:trPr>
          <w:trHeight w:val="20"/>
        </w:trPr>
        <w:tc>
          <w:tcPr>
            <w:tcW w:w="2250" w:type="dxa"/>
            <w:tcBorders>
              <w:top w:val="nil"/>
              <w:left w:val="nil"/>
              <w:bottom w:val="nil"/>
              <w:right w:val="nil"/>
            </w:tcBorders>
          </w:tcPr>
          <w:p w14:paraId="4E44970C" w14:textId="77777777" w:rsidR="002476D3" w:rsidRPr="00A67F27" w:rsidRDefault="002476D3" w:rsidP="007318E7">
            <w:pPr>
              <w:spacing w:after="0"/>
              <w:rPr>
                <w:rFonts w:asciiTheme="majorBidi" w:hAnsiTheme="majorBidi" w:cstheme="majorBidi"/>
              </w:rPr>
            </w:pPr>
            <w:bookmarkStart w:id="208" w:name="_Toc438532608"/>
            <w:bookmarkEnd w:id="208"/>
          </w:p>
        </w:tc>
        <w:tc>
          <w:tcPr>
            <w:tcW w:w="7380" w:type="dxa"/>
            <w:tcBorders>
              <w:top w:val="nil"/>
              <w:left w:val="nil"/>
              <w:bottom w:val="nil"/>
              <w:right w:val="nil"/>
            </w:tcBorders>
          </w:tcPr>
          <w:p w14:paraId="386379A2" w14:textId="491AB85C" w:rsidR="002476D3" w:rsidRPr="00A67F27" w:rsidRDefault="002476D3" w:rsidP="00D510E8">
            <w:pPr>
              <w:pStyle w:val="Paragraphedeliste"/>
              <w:numPr>
                <w:ilvl w:val="1"/>
                <w:numId w:val="41"/>
              </w:numPr>
              <w:spacing w:after="0"/>
              <w:rPr>
                <w:rFonts w:asciiTheme="majorBidi" w:hAnsiTheme="majorBidi" w:cstheme="majorBidi"/>
              </w:rPr>
            </w:pPr>
            <w:r w:rsidRPr="00A67F27">
              <w:rPr>
                <w:rFonts w:asciiTheme="majorBidi" w:hAnsiTheme="majorBidi" w:cstheme="majorBidi"/>
              </w:rPr>
              <w:t xml:space="preserve">La </w:t>
            </w:r>
            <w:r w:rsidR="00915E36" w:rsidRPr="00A67F27">
              <w:rPr>
                <w:rFonts w:asciiTheme="majorBidi" w:hAnsiTheme="majorBidi" w:cstheme="majorBidi"/>
              </w:rPr>
              <w:t xml:space="preserve">Garantie </w:t>
            </w:r>
            <w:r w:rsidR="00EF6B71" w:rsidRPr="00A67F27">
              <w:rPr>
                <w:rFonts w:asciiTheme="majorBidi" w:hAnsiTheme="majorBidi" w:cstheme="majorBidi"/>
              </w:rPr>
              <w:t>d’offre</w:t>
            </w:r>
            <w:r w:rsidRPr="00A67F27">
              <w:rPr>
                <w:rFonts w:asciiTheme="majorBidi" w:hAnsiTheme="majorBidi" w:cstheme="majorBidi"/>
              </w:rPr>
              <w:t xml:space="preserve"> du Soumissionnaire retenu lui sera restituée dans les meilleurs délais après la signature du Marché, contre remise de la </w:t>
            </w:r>
            <w:r w:rsidR="00E823E0" w:rsidRPr="00A67F27">
              <w:rPr>
                <w:rFonts w:asciiTheme="majorBidi" w:hAnsiTheme="majorBidi" w:cstheme="majorBidi"/>
              </w:rPr>
              <w:t>G</w:t>
            </w:r>
            <w:r w:rsidRPr="00A67F27">
              <w:rPr>
                <w:rFonts w:asciiTheme="majorBidi" w:hAnsiTheme="majorBidi" w:cstheme="majorBidi"/>
              </w:rPr>
              <w:t xml:space="preserve">arantie de bonne exécution </w:t>
            </w:r>
            <w:r w:rsidR="00D2425F" w:rsidRPr="00A67F27">
              <w:rPr>
                <w:rFonts w:asciiTheme="majorBidi" w:hAnsiTheme="majorBidi" w:cstheme="majorBidi"/>
              </w:rPr>
              <w:t xml:space="preserve">et si cela est stipulé dans les </w:t>
            </w:r>
            <w:r w:rsidR="00D2425F" w:rsidRPr="00A67F27">
              <w:rPr>
                <w:rFonts w:asciiTheme="majorBidi" w:hAnsiTheme="majorBidi" w:cstheme="majorBidi"/>
                <w:bCs/>
              </w:rPr>
              <w:t>DPAO</w:t>
            </w:r>
            <w:r w:rsidR="00D2425F" w:rsidRPr="00A67F27">
              <w:rPr>
                <w:rFonts w:asciiTheme="majorBidi" w:hAnsiTheme="majorBidi" w:cstheme="majorBidi"/>
              </w:rPr>
              <w:t xml:space="preserve">, la garantie de performance environnementale, sociale, hygiène et sécurité (ESHS) </w:t>
            </w:r>
            <w:r w:rsidRPr="00A67F27">
              <w:rPr>
                <w:rFonts w:asciiTheme="majorBidi" w:hAnsiTheme="majorBidi" w:cstheme="majorBidi"/>
              </w:rPr>
              <w:t>requise</w:t>
            </w:r>
            <w:r w:rsidR="00D2425F" w:rsidRPr="00A67F27">
              <w:rPr>
                <w:rFonts w:asciiTheme="majorBidi" w:hAnsiTheme="majorBidi" w:cstheme="majorBidi"/>
              </w:rPr>
              <w:t>s</w:t>
            </w:r>
            <w:r w:rsidRPr="00A67F27">
              <w:rPr>
                <w:rFonts w:asciiTheme="majorBidi" w:hAnsiTheme="majorBidi" w:cstheme="majorBidi"/>
              </w:rPr>
              <w:t>.</w:t>
            </w:r>
          </w:p>
        </w:tc>
      </w:tr>
      <w:tr w:rsidR="002476D3" w:rsidRPr="00A67F27" w14:paraId="5B573B49" w14:textId="77777777" w:rsidTr="007318E7">
        <w:trPr>
          <w:trHeight w:val="20"/>
        </w:trPr>
        <w:tc>
          <w:tcPr>
            <w:tcW w:w="2250" w:type="dxa"/>
            <w:tcBorders>
              <w:top w:val="nil"/>
              <w:left w:val="nil"/>
              <w:bottom w:val="nil"/>
              <w:right w:val="nil"/>
            </w:tcBorders>
          </w:tcPr>
          <w:p w14:paraId="749CDDF5" w14:textId="77777777" w:rsidR="002476D3" w:rsidRPr="00A67F27" w:rsidRDefault="002476D3" w:rsidP="007318E7">
            <w:pPr>
              <w:spacing w:after="0"/>
              <w:rPr>
                <w:rFonts w:asciiTheme="majorBidi" w:hAnsiTheme="majorBidi" w:cstheme="majorBidi"/>
              </w:rPr>
            </w:pPr>
            <w:bookmarkStart w:id="209" w:name="_Toc438532609"/>
            <w:bookmarkEnd w:id="209"/>
          </w:p>
        </w:tc>
        <w:tc>
          <w:tcPr>
            <w:tcW w:w="7380" w:type="dxa"/>
            <w:tcBorders>
              <w:top w:val="nil"/>
              <w:left w:val="nil"/>
              <w:bottom w:val="nil"/>
              <w:right w:val="nil"/>
            </w:tcBorders>
          </w:tcPr>
          <w:p w14:paraId="40FBF51E" w14:textId="489FBA9C" w:rsidR="002476D3" w:rsidRPr="00A67F27" w:rsidRDefault="002476D3" w:rsidP="00D510E8">
            <w:pPr>
              <w:pStyle w:val="Paragraphedeliste"/>
              <w:numPr>
                <w:ilvl w:val="1"/>
                <w:numId w:val="41"/>
              </w:numPr>
              <w:spacing w:after="0"/>
              <w:rPr>
                <w:rFonts w:asciiTheme="majorBidi" w:hAnsiTheme="majorBidi" w:cstheme="majorBidi"/>
              </w:rPr>
            </w:pPr>
            <w:r w:rsidRPr="00A67F27">
              <w:rPr>
                <w:rFonts w:asciiTheme="majorBidi" w:hAnsiTheme="majorBidi" w:cstheme="majorBidi"/>
              </w:rPr>
              <w:t xml:space="preserve">La </w:t>
            </w:r>
            <w:r w:rsidR="00915E36" w:rsidRPr="00A67F27">
              <w:rPr>
                <w:rFonts w:asciiTheme="majorBidi" w:hAnsiTheme="majorBidi" w:cstheme="majorBidi"/>
              </w:rPr>
              <w:t xml:space="preserve">garantie </w:t>
            </w:r>
            <w:r w:rsidR="00EF6B71" w:rsidRPr="00A67F27">
              <w:rPr>
                <w:rFonts w:asciiTheme="majorBidi" w:hAnsiTheme="majorBidi" w:cstheme="majorBidi"/>
              </w:rPr>
              <w:t>d’offre</w:t>
            </w:r>
            <w:r w:rsidRPr="00A67F27">
              <w:rPr>
                <w:rFonts w:asciiTheme="majorBidi" w:hAnsiTheme="majorBidi" w:cstheme="majorBidi"/>
              </w:rPr>
              <w:t xml:space="preserve"> peut être saisie ou la </w:t>
            </w:r>
            <w:r w:rsidR="00FA39B8" w:rsidRPr="00A67F27">
              <w:rPr>
                <w:rFonts w:asciiTheme="majorBidi" w:hAnsiTheme="majorBidi" w:cstheme="majorBidi"/>
              </w:rPr>
              <w:t xml:space="preserve">déclaration </w:t>
            </w:r>
            <w:r w:rsidRPr="00A67F27">
              <w:rPr>
                <w:rFonts w:asciiTheme="majorBidi" w:hAnsiTheme="majorBidi" w:cstheme="majorBidi"/>
              </w:rPr>
              <w:t xml:space="preserve">de </w:t>
            </w:r>
            <w:r w:rsidR="00915E36" w:rsidRPr="00A67F27">
              <w:rPr>
                <w:rFonts w:asciiTheme="majorBidi" w:hAnsiTheme="majorBidi" w:cstheme="majorBidi"/>
              </w:rPr>
              <w:t xml:space="preserve">garantie </w:t>
            </w:r>
            <w:r w:rsidR="00EF6B71" w:rsidRPr="00A67F27">
              <w:rPr>
                <w:rFonts w:asciiTheme="majorBidi" w:hAnsiTheme="majorBidi" w:cstheme="majorBidi"/>
              </w:rPr>
              <w:t>d’offre</w:t>
            </w:r>
            <w:r w:rsidRPr="00A67F27">
              <w:rPr>
                <w:rFonts w:asciiTheme="majorBidi" w:hAnsiTheme="majorBidi" w:cstheme="majorBidi"/>
              </w:rPr>
              <w:t xml:space="preserve"> mise en œuvre</w:t>
            </w:r>
            <w:r w:rsidR="009B2302" w:rsidRPr="00A67F27">
              <w:rPr>
                <w:rFonts w:asciiTheme="majorBidi" w:hAnsiTheme="majorBidi" w:cstheme="majorBidi"/>
              </w:rPr>
              <w:t> :</w:t>
            </w:r>
            <w:r w:rsidRPr="00A67F27">
              <w:rPr>
                <w:rFonts w:asciiTheme="majorBidi" w:hAnsiTheme="majorBidi" w:cstheme="majorBidi"/>
              </w:rPr>
              <w:t xml:space="preserve"> </w:t>
            </w:r>
          </w:p>
          <w:p w14:paraId="1CF75625" w14:textId="5A8097E3" w:rsidR="002476D3" w:rsidRPr="00A67F27" w:rsidRDefault="002476D3" w:rsidP="007318E7">
            <w:pPr>
              <w:pStyle w:val="Corpsdetexte2"/>
              <w:numPr>
                <w:ilvl w:val="0"/>
                <w:numId w:val="7"/>
              </w:numPr>
              <w:tabs>
                <w:tab w:val="left" w:pos="576"/>
                <w:tab w:val="left" w:pos="1152"/>
              </w:tabs>
              <w:spacing w:after="0"/>
              <w:ind w:left="1152" w:hanging="576"/>
              <w:rPr>
                <w:rFonts w:asciiTheme="majorBidi" w:hAnsiTheme="majorBidi" w:cstheme="majorBidi"/>
                <w:lang w:val="fr-FR"/>
              </w:rPr>
            </w:pPr>
            <w:r w:rsidRPr="00A67F27">
              <w:rPr>
                <w:rFonts w:asciiTheme="majorBidi" w:hAnsiTheme="majorBidi" w:cstheme="majorBidi"/>
                <w:lang w:val="fr-FR"/>
              </w:rPr>
              <w:t xml:space="preserve">si le Soumissionnaire retire son </w:t>
            </w:r>
            <w:r w:rsidR="00E823E0" w:rsidRPr="00A67F27">
              <w:rPr>
                <w:rFonts w:asciiTheme="majorBidi" w:hAnsiTheme="majorBidi" w:cstheme="majorBidi"/>
                <w:lang w:val="fr-FR"/>
              </w:rPr>
              <w:t>O</w:t>
            </w:r>
            <w:r w:rsidRPr="00A67F27">
              <w:rPr>
                <w:rFonts w:asciiTheme="majorBidi" w:hAnsiTheme="majorBidi" w:cstheme="majorBidi"/>
                <w:lang w:val="fr-FR"/>
              </w:rPr>
              <w:t xml:space="preserve">ffre pendant le délai de validité qu’il aura spécifié dans sa Soumission, </w:t>
            </w:r>
            <w:r w:rsidR="00FA39B8" w:rsidRPr="00A67F27">
              <w:rPr>
                <w:rFonts w:asciiTheme="majorBidi" w:hAnsiTheme="majorBidi" w:cstheme="majorBidi"/>
                <w:lang w:val="fr-FR"/>
              </w:rPr>
              <w:t>le cas échéant prorogé par le Soumissionnaire</w:t>
            </w:r>
            <w:r w:rsidR="009B2302" w:rsidRPr="00A67F27">
              <w:rPr>
                <w:rFonts w:asciiTheme="majorBidi" w:hAnsiTheme="majorBidi" w:cstheme="majorBidi"/>
                <w:lang w:val="fr-FR"/>
              </w:rPr>
              <w:t> ;</w:t>
            </w:r>
            <w:r w:rsidRPr="00A67F27">
              <w:rPr>
                <w:rFonts w:asciiTheme="majorBidi" w:hAnsiTheme="majorBidi" w:cstheme="majorBidi"/>
                <w:lang w:val="fr-FR"/>
              </w:rPr>
              <w:t xml:space="preserve"> ou</w:t>
            </w:r>
          </w:p>
          <w:p w14:paraId="57B07F8A" w14:textId="0289789D" w:rsidR="002476D3" w:rsidRPr="00A67F27" w:rsidRDefault="002476D3" w:rsidP="007318E7">
            <w:pPr>
              <w:numPr>
                <w:ilvl w:val="0"/>
                <w:numId w:val="7"/>
              </w:numPr>
              <w:tabs>
                <w:tab w:val="left" w:pos="576"/>
                <w:tab w:val="left" w:pos="1152"/>
              </w:tabs>
              <w:spacing w:after="0"/>
              <w:ind w:left="1152" w:hanging="576"/>
              <w:rPr>
                <w:rFonts w:asciiTheme="majorBidi" w:hAnsiTheme="majorBidi" w:cstheme="majorBidi"/>
              </w:rPr>
            </w:pPr>
            <w:r w:rsidRPr="00A67F27">
              <w:rPr>
                <w:rFonts w:asciiTheme="majorBidi" w:hAnsiTheme="majorBidi" w:cstheme="majorBidi"/>
              </w:rPr>
              <w:t>s’agissant du Soumissionnaire retenu, si ce dernier</w:t>
            </w:r>
            <w:r w:rsidR="009B2302" w:rsidRPr="00A67F27">
              <w:rPr>
                <w:rFonts w:asciiTheme="majorBidi" w:hAnsiTheme="majorBidi" w:cstheme="majorBidi"/>
              </w:rPr>
              <w:t> :</w:t>
            </w:r>
          </w:p>
          <w:p w14:paraId="2919B085" w14:textId="5B0541EB" w:rsidR="0069082D" w:rsidRPr="00A67F27" w:rsidRDefault="002476D3" w:rsidP="007318E7">
            <w:pPr>
              <w:numPr>
                <w:ilvl w:val="0"/>
                <w:numId w:val="8"/>
              </w:numPr>
              <w:tabs>
                <w:tab w:val="left" w:pos="576"/>
                <w:tab w:val="left" w:pos="1152"/>
              </w:tabs>
              <w:spacing w:after="0"/>
              <w:ind w:left="1728" w:hanging="576"/>
              <w:rPr>
                <w:rFonts w:asciiTheme="majorBidi" w:hAnsiTheme="majorBidi" w:cstheme="majorBidi"/>
              </w:rPr>
            </w:pPr>
            <w:r w:rsidRPr="00A67F27">
              <w:rPr>
                <w:rFonts w:asciiTheme="majorBidi" w:hAnsiTheme="majorBidi" w:cstheme="majorBidi"/>
              </w:rPr>
              <w:t xml:space="preserve">manque à son obligation de signer le Marché en application de l’article </w:t>
            </w:r>
            <w:r w:rsidR="00E43E90" w:rsidRPr="00A67F27">
              <w:rPr>
                <w:rFonts w:asciiTheme="majorBidi" w:hAnsiTheme="majorBidi" w:cstheme="majorBidi"/>
              </w:rPr>
              <w:t xml:space="preserve">41 </w:t>
            </w:r>
            <w:r w:rsidRPr="00A67F27">
              <w:rPr>
                <w:rFonts w:asciiTheme="majorBidi" w:hAnsiTheme="majorBidi" w:cstheme="majorBidi"/>
              </w:rPr>
              <w:t>des IS</w:t>
            </w:r>
            <w:r w:rsidR="009B2302" w:rsidRPr="00A67F27">
              <w:rPr>
                <w:rFonts w:asciiTheme="majorBidi" w:hAnsiTheme="majorBidi" w:cstheme="majorBidi"/>
              </w:rPr>
              <w:t> ;</w:t>
            </w:r>
            <w:r w:rsidRPr="00A67F27">
              <w:rPr>
                <w:rFonts w:asciiTheme="majorBidi" w:hAnsiTheme="majorBidi" w:cstheme="majorBidi"/>
              </w:rPr>
              <w:t xml:space="preserve"> ou</w:t>
            </w:r>
            <w:r w:rsidR="0069082D" w:rsidRPr="00A67F27">
              <w:rPr>
                <w:rFonts w:asciiTheme="majorBidi" w:hAnsiTheme="majorBidi" w:cstheme="majorBidi"/>
              </w:rPr>
              <w:t xml:space="preserve"> </w:t>
            </w:r>
          </w:p>
          <w:p w14:paraId="59959A8F" w14:textId="65E35FA3" w:rsidR="00412BB8" w:rsidRPr="00A67F27" w:rsidRDefault="0069082D" w:rsidP="007318E7">
            <w:pPr>
              <w:numPr>
                <w:ilvl w:val="0"/>
                <w:numId w:val="8"/>
              </w:numPr>
              <w:tabs>
                <w:tab w:val="left" w:pos="576"/>
                <w:tab w:val="left" w:pos="1152"/>
              </w:tabs>
              <w:spacing w:after="0"/>
              <w:ind w:left="1728" w:hanging="576"/>
              <w:rPr>
                <w:rFonts w:asciiTheme="majorBidi" w:hAnsiTheme="majorBidi" w:cstheme="majorBidi"/>
              </w:rPr>
            </w:pPr>
            <w:r w:rsidRPr="00A67F27">
              <w:rPr>
                <w:rFonts w:asciiTheme="majorBidi" w:hAnsiTheme="majorBidi" w:cstheme="majorBidi"/>
              </w:rPr>
              <w:t>manque à son obligation de fournir la Garantie de bonne exécution</w:t>
            </w:r>
            <w:r w:rsidR="00D2425F" w:rsidRPr="00A67F27">
              <w:rPr>
                <w:rFonts w:asciiTheme="majorBidi" w:hAnsiTheme="majorBidi" w:cstheme="majorBidi"/>
              </w:rPr>
              <w:t xml:space="preserve"> et si cela est stipulé dans les </w:t>
            </w:r>
            <w:r w:rsidR="00D2425F" w:rsidRPr="00A67F27">
              <w:rPr>
                <w:rFonts w:asciiTheme="majorBidi" w:hAnsiTheme="majorBidi" w:cstheme="majorBidi"/>
                <w:bCs/>
              </w:rPr>
              <w:t>DPAO</w:t>
            </w:r>
            <w:r w:rsidR="00D2425F" w:rsidRPr="00A67F27">
              <w:rPr>
                <w:rFonts w:asciiTheme="majorBidi" w:hAnsiTheme="majorBidi" w:cstheme="majorBidi"/>
              </w:rPr>
              <w:t xml:space="preserve">, la garantie de performance environnementale, sociale, </w:t>
            </w:r>
            <w:r w:rsidR="00D2425F" w:rsidRPr="00A67F27">
              <w:rPr>
                <w:rFonts w:asciiTheme="majorBidi" w:hAnsiTheme="majorBidi" w:cstheme="majorBidi"/>
              </w:rPr>
              <w:lastRenderedPageBreak/>
              <w:t>hygiène et sécurité (ESHS)</w:t>
            </w:r>
            <w:r w:rsidRPr="00A67F27">
              <w:rPr>
                <w:rFonts w:asciiTheme="majorBidi" w:hAnsiTheme="majorBidi" w:cstheme="majorBidi"/>
              </w:rPr>
              <w:t xml:space="preserve"> en application de l’article </w:t>
            </w:r>
            <w:r w:rsidR="00E43E90" w:rsidRPr="00A67F27">
              <w:rPr>
                <w:rFonts w:asciiTheme="majorBidi" w:hAnsiTheme="majorBidi" w:cstheme="majorBidi"/>
              </w:rPr>
              <w:t xml:space="preserve">42 </w:t>
            </w:r>
            <w:r w:rsidRPr="00A67F27">
              <w:rPr>
                <w:rFonts w:asciiTheme="majorBidi" w:hAnsiTheme="majorBidi" w:cstheme="majorBidi"/>
              </w:rPr>
              <w:t>des IS.</w:t>
            </w:r>
          </w:p>
        </w:tc>
      </w:tr>
      <w:tr w:rsidR="002476D3" w:rsidRPr="00A67F27" w14:paraId="5F26C370" w14:textId="77777777" w:rsidTr="007318E7">
        <w:trPr>
          <w:trHeight w:val="20"/>
        </w:trPr>
        <w:tc>
          <w:tcPr>
            <w:tcW w:w="2250" w:type="dxa"/>
            <w:tcBorders>
              <w:top w:val="nil"/>
              <w:left w:val="nil"/>
              <w:bottom w:val="nil"/>
              <w:right w:val="nil"/>
            </w:tcBorders>
          </w:tcPr>
          <w:p w14:paraId="3C8A4978" w14:textId="77777777" w:rsidR="002476D3" w:rsidRPr="00A67F27" w:rsidRDefault="002476D3" w:rsidP="007318E7">
            <w:pPr>
              <w:pStyle w:val="Outline"/>
              <w:spacing w:before="0" w:after="0"/>
              <w:rPr>
                <w:rFonts w:asciiTheme="majorBidi" w:hAnsiTheme="majorBidi" w:cstheme="majorBidi"/>
                <w:kern w:val="0"/>
              </w:rPr>
            </w:pPr>
            <w:bookmarkStart w:id="210" w:name="_Toc438532610"/>
            <w:bookmarkStart w:id="211" w:name="_Toc438532611"/>
            <w:bookmarkEnd w:id="210"/>
            <w:bookmarkEnd w:id="211"/>
          </w:p>
        </w:tc>
        <w:tc>
          <w:tcPr>
            <w:tcW w:w="7380" w:type="dxa"/>
            <w:tcBorders>
              <w:top w:val="nil"/>
              <w:left w:val="nil"/>
              <w:bottom w:val="nil"/>
              <w:right w:val="nil"/>
            </w:tcBorders>
          </w:tcPr>
          <w:p w14:paraId="2031544A" w14:textId="051383F4" w:rsidR="002476D3" w:rsidRPr="00A67F27" w:rsidRDefault="002476D3" w:rsidP="00D510E8">
            <w:pPr>
              <w:pStyle w:val="Paragraphedeliste"/>
              <w:numPr>
                <w:ilvl w:val="1"/>
                <w:numId w:val="41"/>
              </w:numPr>
              <w:spacing w:after="0"/>
              <w:contextualSpacing w:val="0"/>
              <w:rPr>
                <w:rFonts w:asciiTheme="majorBidi" w:hAnsiTheme="majorBidi" w:cstheme="majorBidi"/>
              </w:rPr>
            </w:pPr>
            <w:r w:rsidRPr="00A67F27">
              <w:rPr>
                <w:rFonts w:asciiTheme="majorBidi" w:hAnsiTheme="majorBidi" w:cstheme="majorBidi"/>
              </w:rPr>
              <w:t xml:space="preserve">La </w:t>
            </w:r>
            <w:r w:rsidR="00915E36" w:rsidRPr="00A67F27">
              <w:rPr>
                <w:rFonts w:asciiTheme="majorBidi" w:hAnsiTheme="majorBidi" w:cstheme="majorBidi"/>
              </w:rPr>
              <w:t xml:space="preserve">garantie </w:t>
            </w:r>
            <w:r w:rsidR="00EF6B71" w:rsidRPr="00A67F27">
              <w:rPr>
                <w:rFonts w:asciiTheme="majorBidi" w:hAnsiTheme="majorBidi" w:cstheme="majorBidi"/>
              </w:rPr>
              <w:t>d’offre</w:t>
            </w:r>
            <w:r w:rsidRPr="00A67F27">
              <w:rPr>
                <w:rFonts w:asciiTheme="majorBidi" w:hAnsiTheme="majorBidi" w:cstheme="majorBidi"/>
              </w:rPr>
              <w:t xml:space="preserve">, ou la </w:t>
            </w:r>
            <w:r w:rsidR="00FA39B8" w:rsidRPr="00A67F27">
              <w:rPr>
                <w:rFonts w:asciiTheme="majorBidi" w:hAnsiTheme="majorBidi" w:cstheme="majorBidi"/>
              </w:rPr>
              <w:t xml:space="preserve">déclaration </w:t>
            </w:r>
            <w:r w:rsidRPr="00A67F27">
              <w:rPr>
                <w:rFonts w:asciiTheme="majorBidi" w:hAnsiTheme="majorBidi" w:cstheme="majorBidi"/>
              </w:rPr>
              <w:t xml:space="preserve">de </w:t>
            </w:r>
            <w:r w:rsidR="00915E36" w:rsidRPr="00A67F27">
              <w:rPr>
                <w:rFonts w:asciiTheme="majorBidi" w:hAnsiTheme="majorBidi" w:cstheme="majorBidi"/>
              </w:rPr>
              <w:t xml:space="preserve">garantie </w:t>
            </w:r>
            <w:r w:rsidR="00EF6B71" w:rsidRPr="00A67F27">
              <w:rPr>
                <w:rFonts w:asciiTheme="majorBidi" w:hAnsiTheme="majorBidi" w:cstheme="majorBidi"/>
              </w:rPr>
              <w:t>d’offre</w:t>
            </w:r>
            <w:r w:rsidR="004554B9" w:rsidRPr="00A67F27">
              <w:rPr>
                <w:rFonts w:asciiTheme="majorBidi" w:hAnsiTheme="majorBidi" w:cstheme="majorBidi"/>
              </w:rPr>
              <w:t xml:space="preserve"> </w:t>
            </w:r>
            <w:r w:rsidR="00FA39B8" w:rsidRPr="00A67F27">
              <w:rPr>
                <w:rFonts w:asciiTheme="majorBidi" w:hAnsiTheme="majorBidi" w:cstheme="majorBidi"/>
              </w:rPr>
              <w:t>d’un groupement d’entreprises</w:t>
            </w:r>
            <w:r w:rsidR="00FA39B8" w:rsidRPr="00A67F27" w:rsidDel="00FA39B8">
              <w:rPr>
                <w:rFonts w:asciiTheme="majorBidi" w:hAnsiTheme="majorBidi" w:cstheme="majorBidi"/>
              </w:rPr>
              <w:t xml:space="preserve"> </w:t>
            </w:r>
            <w:r w:rsidRPr="00A67F27">
              <w:rPr>
                <w:rFonts w:asciiTheme="majorBidi" w:hAnsiTheme="majorBidi" w:cstheme="majorBidi"/>
              </w:rPr>
              <w:t>sera libellée au nom du groupement qui a soumis l’</w:t>
            </w:r>
            <w:r w:rsidR="00603D0D" w:rsidRPr="00A67F27">
              <w:rPr>
                <w:rFonts w:asciiTheme="majorBidi" w:hAnsiTheme="majorBidi" w:cstheme="majorBidi"/>
              </w:rPr>
              <w:t>O</w:t>
            </w:r>
            <w:r w:rsidRPr="00A67F27">
              <w:rPr>
                <w:rFonts w:asciiTheme="majorBidi" w:hAnsiTheme="majorBidi" w:cstheme="majorBidi"/>
              </w:rPr>
              <w:t xml:space="preserve">ffre. </w:t>
            </w:r>
            <w:r w:rsidR="00FA39B8" w:rsidRPr="00A67F27">
              <w:rPr>
                <w:rFonts w:asciiTheme="majorBidi" w:hAnsiTheme="majorBidi" w:cstheme="majorBidi"/>
              </w:rPr>
              <w:t xml:space="preserve">Si un </w:t>
            </w:r>
            <w:r w:rsidRPr="00A67F27">
              <w:rPr>
                <w:rFonts w:asciiTheme="majorBidi" w:hAnsiTheme="majorBidi" w:cstheme="majorBidi"/>
              </w:rPr>
              <w:t>groupement n’a pas été formellement constitué lors du dépôt de l’</w:t>
            </w:r>
            <w:r w:rsidR="00603D0D" w:rsidRPr="00A67F27">
              <w:rPr>
                <w:rFonts w:asciiTheme="majorBidi" w:hAnsiTheme="majorBidi" w:cstheme="majorBidi"/>
              </w:rPr>
              <w:t>O</w:t>
            </w:r>
            <w:r w:rsidRPr="00A67F27">
              <w:rPr>
                <w:rFonts w:asciiTheme="majorBidi" w:hAnsiTheme="majorBidi" w:cstheme="majorBidi"/>
              </w:rPr>
              <w:t xml:space="preserve">ffre, la </w:t>
            </w:r>
            <w:r w:rsidR="00915E36" w:rsidRPr="00A67F27">
              <w:rPr>
                <w:rFonts w:asciiTheme="majorBidi" w:hAnsiTheme="majorBidi" w:cstheme="majorBidi"/>
              </w:rPr>
              <w:t xml:space="preserve">garantie </w:t>
            </w:r>
            <w:r w:rsidR="00EF6B71" w:rsidRPr="00A67F27">
              <w:rPr>
                <w:rFonts w:asciiTheme="majorBidi" w:hAnsiTheme="majorBidi" w:cstheme="majorBidi"/>
              </w:rPr>
              <w:t>d’offre</w:t>
            </w:r>
            <w:r w:rsidR="00603D0D" w:rsidRPr="00A67F27">
              <w:rPr>
                <w:rFonts w:asciiTheme="majorBidi" w:hAnsiTheme="majorBidi" w:cstheme="majorBidi"/>
              </w:rPr>
              <w:t xml:space="preserve"> </w:t>
            </w:r>
            <w:r w:rsidRPr="00A67F27">
              <w:rPr>
                <w:rFonts w:asciiTheme="majorBidi" w:hAnsiTheme="majorBidi" w:cstheme="majorBidi"/>
              </w:rPr>
              <w:t xml:space="preserve">ou la </w:t>
            </w:r>
            <w:r w:rsidR="00603D0D" w:rsidRPr="00A67F27">
              <w:rPr>
                <w:rFonts w:asciiTheme="majorBidi" w:hAnsiTheme="majorBidi" w:cstheme="majorBidi"/>
              </w:rPr>
              <w:t>D</w:t>
            </w:r>
            <w:r w:rsidRPr="00A67F27">
              <w:rPr>
                <w:rFonts w:asciiTheme="majorBidi" w:hAnsiTheme="majorBidi" w:cstheme="majorBidi"/>
              </w:rPr>
              <w:t xml:space="preserve">éclaration de </w:t>
            </w:r>
            <w:r w:rsidR="00915E36" w:rsidRPr="00A67F27">
              <w:rPr>
                <w:rFonts w:asciiTheme="majorBidi" w:hAnsiTheme="majorBidi" w:cstheme="majorBidi"/>
              </w:rPr>
              <w:t xml:space="preserve">garantie </w:t>
            </w:r>
            <w:r w:rsidR="00EF6B71" w:rsidRPr="00A67F27">
              <w:rPr>
                <w:rFonts w:asciiTheme="majorBidi" w:hAnsiTheme="majorBidi" w:cstheme="majorBidi"/>
              </w:rPr>
              <w:t>d’offre</w:t>
            </w:r>
            <w:r w:rsidR="00603D0D" w:rsidRPr="00A67F27">
              <w:rPr>
                <w:rFonts w:asciiTheme="majorBidi" w:hAnsiTheme="majorBidi" w:cstheme="majorBidi"/>
              </w:rPr>
              <w:t xml:space="preserve"> </w:t>
            </w:r>
            <w:r w:rsidRPr="00A67F27">
              <w:rPr>
                <w:rFonts w:asciiTheme="majorBidi" w:hAnsiTheme="majorBidi" w:cstheme="majorBidi"/>
              </w:rPr>
              <w:t xml:space="preserve">de ce groupement sera libellée au nom de tous les futurs membres du groupement, conformément au libellé </w:t>
            </w:r>
            <w:r w:rsidR="006C40EE" w:rsidRPr="00A67F27">
              <w:rPr>
                <w:rFonts w:asciiTheme="majorBidi" w:hAnsiTheme="majorBidi" w:cstheme="majorBidi"/>
              </w:rPr>
              <w:t>du projet d’accord de groupement</w:t>
            </w:r>
            <w:r w:rsidRPr="00A67F27">
              <w:rPr>
                <w:rFonts w:asciiTheme="majorBidi" w:hAnsiTheme="majorBidi" w:cstheme="majorBidi"/>
              </w:rPr>
              <w:t xml:space="preserve"> mentionné </w:t>
            </w:r>
            <w:r w:rsidR="006C40EE" w:rsidRPr="00A67F27">
              <w:rPr>
                <w:rFonts w:asciiTheme="majorBidi" w:hAnsiTheme="majorBidi" w:cstheme="majorBidi"/>
              </w:rPr>
              <w:t xml:space="preserve">aux </w:t>
            </w:r>
            <w:r w:rsidRPr="00A67F27">
              <w:rPr>
                <w:rFonts w:asciiTheme="majorBidi" w:hAnsiTheme="majorBidi" w:cstheme="majorBidi"/>
              </w:rPr>
              <w:t>article</w:t>
            </w:r>
            <w:r w:rsidR="006C40EE" w:rsidRPr="00A67F27">
              <w:rPr>
                <w:rFonts w:asciiTheme="majorBidi" w:hAnsiTheme="majorBidi" w:cstheme="majorBidi"/>
              </w:rPr>
              <w:t>s</w:t>
            </w:r>
            <w:r w:rsidRPr="00A67F27">
              <w:rPr>
                <w:rFonts w:asciiTheme="majorBidi" w:hAnsiTheme="majorBidi" w:cstheme="majorBidi"/>
              </w:rPr>
              <w:t xml:space="preserve"> 4.1 </w:t>
            </w:r>
            <w:r w:rsidR="006C40EE" w:rsidRPr="00A67F27">
              <w:rPr>
                <w:rFonts w:asciiTheme="majorBidi" w:hAnsiTheme="majorBidi" w:cstheme="majorBidi"/>
              </w:rPr>
              <w:t xml:space="preserve">et 11.2 </w:t>
            </w:r>
            <w:r w:rsidRPr="00A67F27">
              <w:rPr>
                <w:rFonts w:asciiTheme="majorBidi" w:hAnsiTheme="majorBidi" w:cstheme="majorBidi"/>
              </w:rPr>
              <w:t>des IS.</w:t>
            </w:r>
          </w:p>
          <w:p w14:paraId="1F7B709A" w14:textId="6609BDF7" w:rsidR="002476D3" w:rsidRPr="00A67F27" w:rsidRDefault="002476D3" w:rsidP="00D510E8">
            <w:pPr>
              <w:pStyle w:val="Paragraphedeliste"/>
              <w:numPr>
                <w:ilvl w:val="1"/>
                <w:numId w:val="41"/>
              </w:numPr>
              <w:spacing w:after="0"/>
              <w:rPr>
                <w:rFonts w:asciiTheme="majorBidi" w:hAnsiTheme="majorBidi" w:cstheme="majorBidi"/>
              </w:rPr>
            </w:pPr>
            <w:r w:rsidRPr="00A67F27">
              <w:rPr>
                <w:rFonts w:asciiTheme="majorBidi" w:hAnsiTheme="majorBidi" w:cstheme="majorBidi"/>
              </w:rPr>
              <w:t>Lorsqu’une</w:t>
            </w:r>
            <w:r w:rsidR="00391D02" w:rsidRPr="00A67F27">
              <w:rPr>
                <w:rFonts w:asciiTheme="majorBidi" w:hAnsiTheme="majorBidi" w:cstheme="majorBidi"/>
              </w:rPr>
              <w:t xml:space="preserve"> déclaration de</w:t>
            </w:r>
            <w:r w:rsidRPr="00A67F27">
              <w:rPr>
                <w:rFonts w:asciiTheme="majorBidi" w:hAnsiTheme="majorBidi" w:cstheme="majorBidi"/>
              </w:rPr>
              <w:t xml:space="preserve"> </w:t>
            </w:r>
            <w:r w:rsidR="00915E36" w:rsidRPr="00A67F27">
              <w:rPr>
                <w:rFonts w:asciiTheme="majorBidi" w:hAnsiTheme="majorBidi" w:cstheme="majorBidi"/>
              </w:rPr>
              <w:t xml:space="preserve">garantie </w:t>
            </w:r>
            <w:r w:rsidR="00EF6B71" w:rsidRPr="00A67F27">
              <w:rPr>
                <w:rFonts w:asciiTheme="majorBidi" w:hAnsiTheme="majorBidi" w:cstheme="majorBidi"/>
              </w:rPr>
              <w:t>d’offre</w:t>
            </w:r>
            <w:r w:rsidR="009B2302" w:rsidRPr="00A67F27">
              <w:rPr>
                <w:rFonts w:asciiTheme="majorBidi" w:hAnsiTheme="majorBidi" w:cstheme="majorBidi"/>
              </w:rPr>
              <w:t xml:space="preserve"> </w:t>
            </w:r>
            <w:r w:rsidR="00F24C4F" w:rsidRPr="00A67F27">
              <w:rPr>
                <w:rFonts w:asciiTheme="majorBidi" w:hAnsiTheme="majorBidi" w:cstheme="majorBidi"/>
              </w:rPr>
              <w:t xml:space="preserve">a été </w:t>
            </w:r>
            <w:r w:rsidRPr="00A67F27">
              <w:rPr>
                <w:rFonts w:asciiTheme="majorBidi" w:hAnsiTheme="majorBidi" w:cstheme="majorBidi"/>
              </w:rPr>
              <w:t xml:space="preserve">exigée </w:t>
            </w:r>
            <w:r w:rsidR="00F24C4F" w:rsidRPr="00A67F27">
              <w:rPr>
                <w:rFonts w:asciiTheme="majorBidi" w:hAnsiTheme="majorBidi" w:cstheme="majorBidi"/>
              </w:rPr>
              <w:t xml:space="preserve">à la place d’une </w:t>
            </w:r>
            <w:r w:rsidR="00915E36" w:rsidRPr="00A67F27">
              <w:rPr>
                <w:rFonts w:asciiTheme="majorBidi" w:hAnsiTheme="majorBidi" w:cstheme="majorBidi"/>
              </w:rPr>
              <w:t xml:space="preserve">garantie </w:t>
            </w:r>
            <w:r w:rsidR="00EF6B71" w:rsidRPr="00A67F27">
              <w:rPr>
                <w:rFonts w:asciiTheme="majorBidi" w:hAnsiTheme="majorBidi" w:cstheme="majorBidi"/>
              </w:rPr>
              <w:t>d’offre</w:t>
            </w:r>
            <w:r w:rsidR="00F24C4F" w:rsidRPr="00A67F27">
              <w:rPr>
                <w:rFonts w:asciiTheme="majorBidi" w:hAnsiTheme="majorBidi" w:cstheme="majorBidi"/>
              </w:rPr>
              <w:t xml:space="preserve"> </w:t>
            </w:r>
            <w:r w:rsidRPr="00A67F27">
              <w:rPr>
                <w:rFonts w:asciiTheme="majorBidi" w:hAnsiTheme="majorBidi" w:cstheme="majorBidi"/>
              </w:rPr>
              <w:t>et si</w:t>
            </w:r>
            <w:r w:rsidR="009B2302" w:rsidRPr="00A67F27">
              <w:rPr>
                <w:rFonts w:asciiTheme="majorBidi" w:hAnsiTheme="majorBidi" w:cstheme="majorBidi"/>
              </w:rPr>
              <w:t> :</w:t>
            </w:r>
          </w:p>
          <w:p w14:paraId="5D9B95FE" w14:textId="7CBB09A8" w:rsidR="00412BB8" w:rsidRPr="00A67F27" w:rsidRDefault="001C0EC7" w:rsidP="007318E7">
            <w:pPr>
              <w:tabs>
                <w:tab w:val="left" w:pos="1152"/>
              </w:tabs>
              <w:spacing w:after="0"/>
              <w:ind w:left="1152" w:hanging="524"/>
              <w:rPr>
                <w:rFonts w:asciiTheme="majorBidi" w:hAnsiTheme="majorBidi" w:cstheme="majorBidi"/>
              </w:rPr>
            </w:pPr>
            <w:r w:rsidRPr="00A67F27">
              <w:rPr>
                <w:rFonts w:asciiTheme="majorBidi" w:hAnsiTheme="majorBidi" w:cstheme="majorBidi"/>
              </w:rPr>
              <w:t>(</w:t>
            </w:r>
            <w:r w:rsidR="002476D3" w:rsidRPr="00A67F27">
              <w:rPr>
                <w:rFonts w:asciiTheme="majorBidi" w:hAnsiTheme="majorBidi" w:cstheme="majorBidi"/>
              </w:rPr>
              <w:t>a)</w:t>
            </w:r>
            <w:r w:rsidR="00D41A66" w:rsidRPr="00A67F27">
              <w:rPr>
                <w:rFonts w:asciiTheme="majorBidi" w:hAnsiTheme="majorBidi" w:cstheme="majorBidi"/>
              </w:rPr>
              <w:tab/>
            </w:r>
            <w:r w:rsidR="002476D3" w:rsidRPr="00A67F27">
              <w:rPr>
                <w:rFonts w:asciiTheme="majorBidi" w:hAnsiTheme="majorBidi" w:cstheme="majorBidi"/>
              </w:rPr>
              <w:t>sous réserve des dispositions de l’article 18.2 des IS, le S</w:t>
            </w:r>
            <w:r w:rsidR="00603D0D" w:rsidRPr="00A67F27">
              <w:rPr>
                <w:rFonts w:asciiTheme="majorBidi" w:hAnsiTheme="majorBidi" w:cstheme="majorBidi"/>
              </w:rPr>
              <w:t>oumissionnaire retire son O</w:t>
            </w:r>
            <w:r w:rsidR="002476D3" w:rsidRPr="00A67F27">
              <w:rPr>
                <w:rFonts w:asciiTheme="majorBidi" w:hAnsiTheme="majorBidi" w:cstheme="majorBidi"/>
              </w:rPr>
              <w:t>ffre pendant le délai de validité mentionné dans le Formulaire de soumission</w:t>
            </w:r>
            <w:r w:rsidR="009B2302" w:rsidRPr="00A67F27">
              <w:rPr>
                <w:rFonts w:asciiTheme="majorBidi" w:hAnsiTheme="majorBidi" w:cstheme="majorBidi"/>
              </w:rPr>
              <w:t> ;</w:t>
            </w:r>
            <w:r w:rsidR="002476D3" w:rsidRPr="00A67F27">
              <w:rPr>
                <w:rFonts w:asciiTheme="majorBidi" w:hAnsiTheme="majorBidi" w:cstheme="majorBidi"/>
              </w:rPr>
              <w:t xml:space="preserve"> ou bien</w:t>
            </w:r>
          </w:p>
          <w:p w14:paraId="34D60724" w14:textId="7239228A" w:rsidR="00412BB8" w:rsidRPr="00A67F27" w:rsidRDefault="001C0EC7" w:rsidP="007318E7">
            <w:pPr>
              <w:tabs>
                <w:tab w:val="left" w:pos="1152"/>
              </w:tabs>
              <w:spacing w:after="0"/>
              <w:ind w:left="1152" w:hanging="524"/>
              <w:rPr>
                <w:rFonts w:asciiTheme="majorBidi" w:hAnsiTheme="majorBidi" w:cstheme="majorBidi"/>
                <w:spacing w:val="-2"/>
              </w:rPr>
            </w:pPr>
            <w:r w:rsidRPr="00A67F27">
              <w:rPr>
                <w:rFonts w:asciiTheme="majorBidi" w:hAnsiTheme="majorBidi" w:cstheme="majorBidi"/>
              </w:rPr>
              <w:t>(</w:t>
            </w:r>
            <w:r w:rsidR="002476D3" w:rsidRPr="00A67F27">
              <w:rPr>
                <w:rFonts w:asciiTheme="majorBidi" w:hAnsiTheme="majorBidi" w:cstheme="majorBidi"/>
              </w:rPr>
              <w:t>b)</w:t>
            </w:r>
            <w:r w:rsidR="00D41A66" w:rsidRPr="00A67F27">
              <w:rPr>
                <w:rFonts w:asciiTheme="majorBidi" w:hAnsiTheme="majorBidi" w:cstheme="majorBidi"/>
              </w:rPr>
              <w:tab/>
            </w:r>
            <w:r w:rsidR="002476D3" w:rsidRPr="00A67F27">
              <w:rPr>
                <w:rFonts w:asciiTheme="majorBidi" w:hAnsiTheme="majorBidi" w:cstheme="majorBidi"/>
                <w:spacing w:val="-2"/>
              </w:rPr>
              <w:t>le Soumissionnaire retenu manque</w:t>
            </w:r>
            <w:r w:rsidR="00603D0D" w:rsidRPr="00A67F27">
              <w:rPr>
                <w:rFonts w:asciiTheme="majorBidi" w:hAnsiTheme="majorBidi" w:cstheme="majorBidi"/>
                <w:spacing w:val="-2"/>
              </w:rPr>
              <w:t xml:space="preserve"> à son obligation de signer le M</w:t>
            </w:r>
            <w:r w:rsidR="002476D3" w:rsidRPr="00A67F27">
              <w:rPr>
                <w:rFonts w:asciiTheme="majorBidi" w:hAnsiTheme="majorBidi" w:cstheme="majorBidi"/>
                <w:spacing w:val="-2"/>
              </w:rPr>
              <w:t xml:space="preserve">arché conformément à l’article </w:t>
            </w:r>
            <w:r w:rsidR="00E43E90" w:rsidRPr="00A67F27">
              <w:rPr>
                <w:rFonts w:asciiTheme="majorBidi" w:hAnsiTheme="majorBidi" w:cstheme="majorBidi"/>
                <w:spacing w:val="-2"/>
              </w:rPr>
              <w:t xml:space="preserve">41 </w:t>
            </w:r>
            <w:r w:rsidR="00603D0D" w:rsidRPr="00A67F27">
              <w:rPr>
                <w:rFonts w:asciiTheme="majorBidi" w:hAnsiTheme="majorBidi" w:cstheme="majorBidi"/>
                <w:spacing w:val="-2"/>
              </w:rPr>
              <w:t>des IS, ou de fournir la G</w:t>
            </w:r>
            <w:r w:rsidR="002476D3" w:rsidRPr="00A67F27">
              <w:rPr>
                <w:rFonts w:asciiTheme="majorBidi" w:hAnsiTheme="majorBidi" w:cstheme="majorBidi"/>
                <w:spacing w:val="-2"/>
              </w:rPr>
              <w:t xml:space="preserve">arantie de bonne exécution </w:t>
            </w:r>
            <w:r w:rsidR="00D2425F" w:rsidRPr="00A67F27">
              <w:rPr>
                <w:rFonts w:asciiTheme="majorBidi" w:hAnsiTheme="majorBidi" w:cstheme="majorBidi"/>
                <w:spacing w:val="-2"/>
              </w:rPr>
              <w:t xml:space="preserve">et si cela est stipulé dans les </w:t>
            </w:r>
            <w:r w:rsidR="00D2425F" w:rsidRPr="00A67F27">
              <w:rPr>
                <w:rFonts w:asciiTheme="majorBidi" w:hAnsiTheme="majorBidi" w:cstheme="majorBidi"/>
                <w:bCs/>
                <w:spacing w:val="-2"/>
              </w:rPr>
              <w:t>DPAO</w:t>
            </w:r>
            <w:r w:rsidR="00D2425F" w:rsidRPr="00A67F27">
              <w:rPr>
                <w:rFonts w:asciiTheme="majorBidi" w:hAnsiTheme="majorBidi" w:cstheme="majorBidi"/>
                <w:spacing w:val="-2"/>
              </w:rPr>
              <w:t xml:space="preserve">, la garantie de performance environnementale, sociale, hygiène et sécurité (ESHS) </w:t>
            </w:r>
            <w:r w:rsidR="002476D3" w:rsidRPr="00A67F27">
              <w:rPr>
                <w:rFonts w:asciiTheme="majorBidi" w:hAnsiTheme="majorBidi" w:cstheme="majorBidi"/>
                <w:spacing w:val="-2"/>
              </w:rPr>
              <w:t xml:space="preserve">conformément à l’article </w:t>
            </w:r>
            <w:r w:rsidR="00E43E90" w:rsidRPr="00A67F27">
              <w:rPr>
                <w:rFonts w:asciiTheme="majorBidi" w:hAnsiTheme="majorBidi" w:cstheme="majorBidi"/>
                <w:spacing w:val="-2"/>
              </w:rPr>
              <w:t xml:space="preserve">42 </w:t>
            </w:r>
            <w:r w:rsidR="002476D3" w:rsidRPr="00A67F27">
              <w:rPr>
                <w:rFonts w:asciiTheme="majorBidi" w:hAnsiTheme="majorBidi" w:cstheme="majorBidi"/>
                <w:spacing w:val="-2"/>
              </w:rPr>
              <w:t>des IS,</w:t>
            </w:r>
          </w:p>
          <w:p w14:paraId="11DCD010" w14:textId="2132F15E" w:rsidR="002476D3" w:rsidRPr="00A67F27" w:rsidRDefault="00D41A66" w:rsidP="007318E7">
            <w:pPr>
              <w:spacing w:after="0"/>
              <w:rPr>
                <w:rFonts w:asciiTheme="majorBidi" w:hAnsiTheme="majorBidi" w:cstheme="majorBidi"/>
              </w:rPr>
            </w:pPr>
            <w:r w:rsidRPr="00A67F27">
              <w:rPr>
                <w:rFonts w:asciiTheme="majorBidi" w:hAnsiTheme="majorBidi" w:cstheme="majorBidi"/>
              </w:rPr>
              <w:tab/>
            </w:r>
            <w:r w:rsidR="002476D3" w:rsidRPr="00A67F27">
              <w:rPr>
                <w:rFonts w:asciiTheme="majorBidi" w:hAnsiTheme="majorBidi" w:cstheme="majorBidi"/>
              </w:rPr>
              <w:t>l</w:t>
            </w:r>
            <w:r w:rsidR="00BC5EDC" w:rsidRPr="00A67F27">
              <w:rPr>
                <w:rFonts w:asciiTheme="majorBidi" w:hAnsiTheme="majorBidi" w:cstheme="majorBidi"/>
              </w:rPr>
              <w:t>’Emprunteur</w:t>
            </w:r>
            <w:r w:rsidR="00497E28" w:rsidRPr="00A67F27">
              <w:rPr>
                <w:rFonts w:asciiTheme="majorBidi" w:hAnsiTheme="majorBidi" w:cstheme="majorBidi"/>
              </w:rPr>
              <w:t xml:space="preserve"> </w:t>
            </w:r>
            <w:r w:rsidR="002476D3" w:rsidRPr="00A67F27">
              <w:rPr>
                <w:rFonts w:asciiTheme="majorBidi" w:hAnsiTheme="majorBidi" w:cstheme="majorBidi"/>
              </w:rPr>
              <w:t xml:space="preserve">pourra </w:t>
            </w:r>
            <w:r w:rsidR="00C973AB" w:rsidRPr="00A67F27">
              <w:rPr>
                <w:rFonts w:asciiTheme="majorBidi" w:hAnsiTheme="majorBidi" w:cstheme="majorBidi"/>
              </w:rPr>
              <w:t>disqualifier</w:t>
            </w:r>
            <w:r w:rsidR="002476D3" w:rsidRPr="00A67F27">
              <w:rPr>
                <w:rFonts w:asciiTheme="majorBidi" w:hAnsiTheme="majorBidi" w:cstheme="majorBidi"/>
              </w:rPr>
              <w:t xml:space="preserve"> le Soumissionnaire </w:t>
            </w:r>
            <w:r w:rsidR="00603D0D" w:rsidRPr="00A67F27">
              <w:rPr>
                <w:rFonts w:asciiTheme="majorBidi" w:hAnsiTheme="majorBidi" w:cstheme="majorBidi"/>
              </w:rPr>
              <w:t>de toute attribution de marché par</w:t>
            </w:r>
            <w:r w:rsidR="00AD134E" w:rsidRPr="00A67F27">
              <w:rPr>
                <w:rFonts w:asciiTheme="majorBidi" w:hAnsiTheme="majorBidi" w:cstheme="majorBidi"/>
              </w:rPr>
              <w:t xml:space="preserve"> le Maître de l’Ouvrage</w:t>
            </w:r>
            <w:r w:rsidR="00603D0D" w:rsidRPr="00A67F27">
              <w:rPr>
                <w:rFonts w:asciiTheme="majorBidi" w:hAnsiTheme="majorBidi" w:cstheme="majorBidi"/>
              </w:rPr>
              <w:t xml:space="preserve"> </w:t>
            </w:r>
            <w:r w:rsidR="002476D3" w:rsidRPr="00A67F27">
              <w:rPr>
                <w:rFonts w:asciiTheme="majorBidi" w:hAnsiTheme="majorBidi" w:cstheme="majorBidi"/>
              </w:rPr>
              <w:t xml:space="preserve">pour la période de temps </w:t>
            </w:r>
            <w:r w:rsidR="002476D3" w:rsidRPr="00A67F27">
              <w:rPr>
                <w:rFonts w:asciiTheme="majorBidi" w:hAnsiTheme="majorBidi" w:cstheme="majorBidi"/>
                <w:b/>
                <w:bCs/>
              </w:rPr>
              <w:t>stipulée dans les</w:t>
            </w:r>
            <w:r w:rsidR="002476D3" w:rsidRPr="00A67F27">
              <w:rPr>
                <w:rFonts w:asciiTheme="majorBidi" w:hAnsiTheme="majorBidi" w:cstheme="majorBidi"/>
              </w:rPr>
              <w:t xml:space="preserve"> </w:t>
            </w:r>
            <w:r w:rsidR="002476D3" w:rsidRPr="00A67F27">
              <w:rPr>
                <w:rFonts w:asciiTheme="majorBidi" w:hAnsiTheme="majorBidi" w:cstheme="majorBidi"/>
                <w:b/>
              </w:rPr>
              <w:t>DPAO</w:t>
            </w:r>
            <w:r w:rsidR="002476D3" w:rsidRPr="00A67F27">
              <w:rPr>
                <w:rFonts w:asciiTheme="majorBidi" w:hAnsiTheme="majorBidi" w:cstheme="majorBidi"/>
              </w:rPr>
              <w:t>.</w:t>
            </w:r>
          </w:p>
        </w:tc>
      </w:tr>
      <w:tr w:rsidR="002476D3" w:rsidRPr="00A67F27" w14:paraId="248CA5A2" w14:textId="77777777" w:rsidTr="007318E7">
        <w:trPr>
          <w:trHeight w:val="20"/>
        </w:trPr>
        <w:tc>
          <w:tcPr>
            <w:tcW w:w="2250" w:type="dxa"/>
            <w:tcBorders>
              <w:top w:val="nil"/>
              <w:left w:val="nil"/>
              <w:bottom w:val="nil"/>
              <w:right w:val="nil"/>
            </w:tcBorders>
          </w:tcPr>
          <w:p w14:paraId="6D24806B" w14:textId="04EE192B" w:rsidR="002476D3" w:rsidRPr="00A67F27" w:rsidRDefault="002476D3" w:rsidP="007318E7">
            <w:pPr>
              <w:pStyle w:val="S1-Header2"/>
              <w:numPr>
                <w:ilvl w:val="0"/>
                <w:numId w:val="0"/>
              </w:numPr>
              <w:tabs>
                <w:tab w:val="num" w:pos="432"/>
              </w:tabs>
              <w:spacing w:after="0"/>
              <w:ind w:left="432" w:hanging="432"/>
              <w:rPr>
                <w:rFonts w:asciiTheme="majorBidi" w:hAnsiTheme="majorBidi" w:cstheme="majorBidi"/>
                <w:lang w:val="fr-FR"/>
              </w:rPr>
            </w:pPr>
            <w:bookmarkStart w:id="212" w:name="_Toc438438843"/>
            <w:bookmarkStart w:id="213" w:name="_Toc438532612"/>
            <w:bookmarkStart w:id="214" w:name="_Toc438733987"/>
            <w:bookmarkStart w:id="215" w:name="_Toc438907026"/>
            <w:bookmarkStart w:id="216" w:name="_Toc438907225"/>
            <w:bookmarkStart w:id="217" w:name="_Toc156373304"/>
            <w:bookmarkStart w:id="218" w:name="_Toc483210591"/>
            <w:bookmarkStart w:id="219" w:name="_Toc487641790"/>
            <w:r w:rsidRPr="00A67F27">
              <w:rPr>
                <w:lang w:val="fr-FR"/>
              </w:rPr>
              <w:t>20.</w:t>
            </w:r>
            <w:r w:rsidRPr="00A67F27">
              <w:rPr>
                <w:lang w:val="fr-FR"/>
              </w:rPr>
              <w:tab/>
              <w:t>Forme et signature de</w:t>
            </w:r>
            <w:r w:rsidR="001C0EC7" w:rsidRPr="00A67F27">
              <w:rPr>
                <w:lang w:val="fr-FR"/>
              </w:rPr>
              <w:t> </w:t>
            </w:r>
            <w:r w:rsidRPr="00A67F27">
              <w:rPr>
                <w:lang w:val="fr-FR"/>
              </w:rPr>
              <w:t>l’offre</w:t>
            </w:r>
            <w:bookmarkEnd w:id="212"/>
            <w:bookmarkEnd w:id="213"/>
            <w:bookmarkEnd w:id="214"/>
            <w:bookmarkEnd w:id="215"/>
            <w:bookmarkEnd w:id="216"/>
            <w:bookmarkEnd w:id="217"/>
            <w:bookmarkEnd w:id="218"/>
            <w:bookmarkEnd w:id="219"/>
          </w:p>
        </w:tc>
        <w:tc>
          <w:tcPr>
            <w:tcW w:w="7380" w:type="dxa"/>
            <w:tcBorders>
              <w:top w:val="nil"/>
              <w:left w:val="nil"/>
              <w:bottom w:val="nil"/>
              <w:right w:val="nil"/>
            </w:tcBorders>
          </w:tcPr>
          <w:p w14:paraId="6537B0F5" w14:textId="52F6FD83" w:rsidR="00AA254A" w:rsidRPr="00A67F27" w:rsidRDefault="002476D3" w:rsidP="00D510E8">
            <w:pPr>
              <w:pStyle w:val="Paragraphedeliste"/>
              <w:numPr>
                <w:ilvl w:val="1"/>
                <w:numId w:val="42"/>
              </w:numPr>
              <w:spacing w:after="0"/>
              <w:contextualSpacing w:val="0"/>
              <w:rPr>
                <w:rFonts w:asciiTheme="majorBidi" w:hAnsiTheme="majorBidi" w:cstheme="majorBidi"/>
              </w:rPr>
            </w:pPr>
            <w:r w:rsidRPr="00A67F27">
              <w:rPr>
                <w:rFonts w:asciiTheme="majorBidi" w:hAnsiTheme="majorBidi" w:cstheme="majorBidi"/>
              </w:rPr>
              <w:t>Le Soumissionnaire préparera un original des documents constitutifs de l’</w:t>
            </w:r>
            <w:r w:rsidR="00603D0D" w:rsidRPr="00A67F27">
              <w:rPr>
                <w:rFonts w:asciiTheme="majorBidi" w:hAnsiTheme="majorBidi" w:cstheme="majorBidi"/>
              </w:rPr>
              <w:t>O</w:t>
            </w:r>
            <w:r w:rsidRPr="00A67F27">
              <w:rPr>
                <w:rFonts w:asciiTheme="majorBidi" w:hAnsiTheme="majorBidi" w:cstheme="majorBidi"/>
              </w:rPr>
              <w:t xml:space="preserve">ffre tels que décrits à l’article 11 des IS, en indiquant clairement la mention </w:t>
            </w:r>
            <w:r w:rsidR="009B2302" w:rsidRPr="00A67F27">
              <w:rPr>
                <w:rFonts w:asciiTheme="majorBidi" w:hAnsiTheme="majorBidi" w:cstheme="majorBidi"/>
              </w:rPr>
              <w:t xml:space="preserve">« </w:t>
            </w:r>
            <w:r w:rsidRPr="00A67F27">
              <w:rPr>
                <w:rFonts w:asciiTheme="majorBidi" w:hAnsiTheme="majorBidi" w:cstheme="majorBidi"/>
              </w:rPr>
              <w:t>ORIGINAL</w:t>
            </w:r>
            <w:r w:rsidR="009B2302" w:rsidRPr="00A67F27">
              <w:rPr>
                <w:rFonts w:asciiTheme="majorBidi" w:hAnsiTheme="majorBidi" w:cstheme="majorBidi"/>
              </w:rPr>
              <w:t> »</w:t>
            </w:r>
            <w:r w:rsidRPr="00A67F27">
              <w:rPr>
                <w:rFonts w:asciiTheme="majorBidi" w:hAnsiTheme="majorBidi" w:cstheme="majorBidi"/>
              </w:rPr>
              <w:t xml:space="preserve">. Une offre variante, </w:t>
            </w:r>
            <w:r w:rsidR="008C0DBB" w:rsidRPr="00A67F27">
              <w:rPr>
                <w:rFonts w:asciiTheme="majorBidi" w:hAnsiTheme="majorBidi" w:cstheme="majorBidi"/>
              </w:rPr>
              <w:t>lorsqu’elle</w:t>
            </w:r>
            <w:r w:rsidRPr="00A67F27">
              <w:rPr>
                <w:rFonts w:asciiTheme="majorBidi" w:hAnsiTheme="majorBidi" w:cstheme="majorBidi"/>
              </w:rPr>
              <w:t xml:space="preserve"> est recevable, en application de l’article 13 des IS portera clairement la mention </w:t>
            </w:r>
            <w:r w:rsidR="009B2302" w:rsidRPr="00A67F27">
              <w:rPr>
                <w:rFonts w:asciiTheme="majorBidi" w:hAnsiTheme="majorBidi" w:cstheme="majorBidi"/>
              </w:rPr>
              <w:t xml:space="preserve">« </w:t>
            </w:r>
            <w:r w:rsidRPr="00A67F27">
              <w:rPr>
                <w:rFonts w:asciiTheme="majorBidi" w:hAnsiTheme="majorBidi" w:cstheme="majorBidi"/>
              </w:rPr>
              <w:t>VARIANTE</w:t>
            </w:r>
            <w:r w:rsidR="009B2302" w:rsidRPr="00A67F27">
              <w:rPr>
                <w:rFonts w:asciiTheme="majorBidi" w:hAnsiTheme="majorBidi" w:cstheme="majorBidi"/>
              </w:rPr>
              <w:t> »</w:t>
            </w:r>
            <w:r w:rsidRPr="00A67F27">
              <w:rPr>
                <w:rFonts w:asciiTheme="majorBidi" w:hAnsiTheme="majorBidi" w:cstheme="majorBidi"/>
              </w:rPr>
              <w:t xml:space="preserve">. Par ailleurs, le Soumissionnaire soumettra le nombre d’exemplaires supplémentaires de son </w:t>
            </w:r>
            <w:r w:rsidR="00603D0D" w:rsidRPr="00A67F27">
              <w:rPr>
                <w:rFonts w:asciiTheme="majorBidi" w:hAnsiTheme="majorBidi" w:cstheme="majorBidi"/>
              </w:rPr>
              <w:t>O</w:t>
            </w:r>
            <w:r w:rsidRPr="00A67F27">
              <w:rPr>
                <w:rFonts w:asciiTheme="majorBidi" w:hAnsiTheme="majorBidi" w:cstheme="majorBidi"/>
              </w:rPr>
              <w:t xml:space="preserve">ffre tel qu’il est </w:t>
            </w:r>
            <w:r w:rsidRPr="00A67F27">
              <w:rPr>
                <w:rFonts w:asciiTheme="majorBidi" w:hAnsiTheme="majorBidi" w:cstheme="majorBidi"/>
                <w:b/>
                <w:bCs/>
              </w:rPr>
              <w:t>indiqué dans les</w:t>
            </w:r>
            <w:r w:rsidRPr="00A67F27">
              <w:rPr>
                <w:rFonts w:asciiTheme="majorBidi" w:hAnsiTheme="majorBidi" w:cstheme="majorBidi"/>
              </w:rPr>
              <w:t xml:space="preserve"> </w:t>
            </w:r>
            <w:r w:rsidRPr="00A67F27">
              <w:rPr>
                <w:rFonts w:asciiTheme="majorBidi" w:hAnsiTheme="majorBidi" w:cstheme="majorBidi"/>
                <w:b/>
              </w:rPr>
              <w:t>DPAO</w:t>
            </w:r>
            <w:r w:rsidRPr="00A67F27">
              <w:rPr>
                <w:rFonts w:asciiTheme="majorBidi" w:hAnsiTheme="majorBidi" w:cstheme="majorBidi"/>
              </w:rPr>
              <w:t xml:space="preserve">, en mentionnant clairement sur ces exemplaires </w:t>
            </w:r>
            <w:r w:rsidR="009B2302" w:rsidRPr="00A67F27">
              <w:rPr>
                <w:rFonts w:asciiTheme="majorBidi" w:hAnsiTheme="majorBidi" w:cstheme="majorBidi"/>
              </w:rPr>
              <w:t>« </w:t>
            </w:r>
            <w:r w:rsidRPr="00A67F27">
              <w:rPr>
                <w:rFonts w:asciiTheme="majorBidi" w:hAnsiTheme="majorBidi" w:cstheme="majorBidi"/>
              </w:rPr>
              <w:t>COPIE</w:t>
            </w:r>
            <w:r w:rsidR="009B2302" w:rsidRPr="00A67F27">
              <w:rPr>
                <w:rFonts w:asciiTheme="majorBidi" w:hAnsiTheme="majorBidi" w:cstheme="majorBidi"/>
              </w:rPr>
              <w:t> »</w:t>
            </w:r>
            <w:r w:rsidRPr="00A67F27">
              <w:rPr>
                <w:rFonts w:asciiTheme="majorBidi" w:hAnsiTheme="majorBidi" w:cstheme="majorBidi"/>
              </w:rPr>
              <w:t>. En cas de différences entre les copies et l’original, l’original fera foi.</w:t>
            </w:r>
          </w:p>
        </w:tc>
      </w:tr>
      <w:tr w:rsidR="002476D3" w:rsidRPr="00A67F27" w14:paraId="76FA5360" w14:textId="77777777" w:rsidTr="007318E7">
        <w:trPr>
          <w:trHeight w:val="20"/>
        </w:trPr>
        <w:tc>
          <w:tcPr>
            <w:tcW w:w="2250" w:type="dxa"/>
            <w:tcBorders>
              <w:top w:val="nil"/>
              <w:left w:val="nil"/>
              <w:bottom w:val="nil"/>
              <w:right w:val="nil"/>
            </w:tcBorders>
          </w:tcPr>
          <w:p w14:paraId="42BB10A4" w14:textId="77777777" w:rsidR="002476D3" w:rsidRPr="00A67F27" w:rsidRDefault="002476D3" w:rsidP="007318E7">
            <w:pPr>
              <w:spacing w:after="0"/>
              <w:rPr>
                <w:rFonts w:asciiTheme="majorBidi" w:hAnsiTheme="majorBidi" w:cstheme="majorBidi"/>
              </w:rPr>
            </w:pPr>
          </w:p>
        </w:tc>
        <w:tc>
          <w:tcPr>
            <w:tcW w:w="7380" w:type="dxa"/>
            <w:tcBorders>
              <w:top w:val="nil"/>
              <w:left w:val="nil"/>
              <w:bottom w:val="nil"/>
              <w:right w:val="nil"/>
            </w:tcBorders>
          </w:tcPr>
          <w:p w14:paraId="1D7A46C9" w14:textId="4D06B11C" w:rsidR="002476D3" w:rsidRPr="00A67F27" w:rsidRDefault="002476D3" w:rsidP="00D510E8">
            <w:pPr>
              <w:pStyle w:val="Paragraphedeliste"/>
              <w:numPr>
                <w:ilvl w:val="1"/>
                <w:numId w:val="42"/>
              </w:numPr>
              <w:spacing w:after="0"/>
              <w:contextualSpacing w:val="0"/>
              <w:rPr>
                <w:rFonts w:asciiTheme="majorBidi" w:hAnsiTheme="majorBidi" w:cstheme="majorBidi"/>
              </w:rPr>
            </w:pPr>
            <w:r w:rsidRPr="00A67F27">
              <w:rPr>
                <w:rFonts w:asciiTheme="majorBidi" w:hAnsiTheme="majorBidi" w:cstheme="majorBidi"/>
              </w:rPr>
              <w:t xml:space="preserve">L’original et toutes </w:t>
            </w:r>
            <w:r w:rsidR="001E53DC" w:rsidRPr="00A67F27">
              <w:rPr>
                <w:rFonts w:asciiTheme="majorBidi" w:hAnsiTheme="majorBidi" w:cstheme="majorBidi"/>
              </w:rPr>
              <w:t xml:space="preserve">les </w:t>
            </w:r>
            <w:r w:rsidRPr="00A67F27">
              <w:rPr>
                <w:rFonts w:asciiTheme="majorBidi" w:hAnsiTheme="majorBidi" w:cstheme="majorBidi"/>
              </w:rPr>
              <w:t>copies de l’</w:t>
            </w:r>
            <w:r w:rsidR="00B96501" w:rsidRPr="00A67F27">
              <w:rPr>
                <w:rFonts w:asciiTheme="majorBidi" w:hAnsiTheme="majorBidi" w:cstheme="majorBidi"/>
              </w:rPr>
              <w:t>O</w:t>
            </w:r>
            <w:r w:rsidRPr="00A67F27">
              <w:rPr>
                <w:rFonts w:asciiTheme="majorBidi" w:hAnsiTheme="majorBidi" w:cstheme="majorBidi"/>
              </w:rPr>
              <w:t xml:space="preserve">ffre seront dactylographiés ou écrits à l’encre indélébile et seront signés par une personne dûment habilitée à signer au nom du Soumissionnaire. Cette habilitation sera </w:t>
            </w:r>
            <w:r w:rsidR="001E53DC" w:rsidRPr="00A67F27">
              <w:rPr>
                <w:rFonts w:asciiTheme="majorBidi" w:hAnsiTheme="majorBidi" w:cstheme="majorBidi"/>
              </w:rPr>
              <w:t>établie dans</w:t>
            </w:r>
            <w:r w:rsidRPr="00A67F27">
              <w:rPr>
                <w:rFonts w:asciiTheme="majorBidi" w:hAnsiTheme="majorBidi" w:cstheme="majorBidi"/>
              </w:rPr>
              <w:t xml:space="preserve"> la forme </w:t>
            </w:r>
            <w:r w:rsidRPr="00A67F27">
              <w:rPr>
                <w:rFonts w:asciiTheme="majorBidi" w:hAnsiTheme="majorBidi" w:cstheme="majorBidi"/>
                <w:b/>
                <w:bCs/>
              </w:rPr>
              <w:t>spécifiée dans les</w:t>
            </w:r>
            <w:r w:rsidRPr="00A67F27">
              <w:rPr>
                <w:rFonts w:asciiTheme="majorBidi" w:hAnsiTheme="majorBidi" w:cstheme="majorBidi"/>
              </w:rPr>
              <w:t xml:space="preserve"> </w:t>
            </w:r>
            <w:r w:rsidRPr="00A67F27">
              <w:rPr>
                <w:rFonts w:asciiTheme="majorBidi" w:hAnsiTheme="majorBidi" w:cstheme="majorBidi"/>
                <w:b/>
              </w:rPr>
              <w:t>DPAO</w:t>
            </w:r>
            <w:r w:rsidRPr="00A67F27">
              <w:rPr>
                <w:rFonts w:asciiTheme="majorBidi" w:hAnsiTheme="majorBidi" w:cstheme="majorBidi"/>
              </w:rPr>
              <w:t>, et jointe à la Soumission. Le nom et le titre de chaque signataire devront être dactylographiés ou imprimés sous la signature. Toutes les pages de l’</w:t>
            </w:r>
            <w:r w:rsidR="00B96501" w:rsidRPr="00A67F27">
              <w:rPr>
                <w:rFonts w:asciiTheme="majorBidi" w:hAnsiTheme="majorBidi" w:cstheme="majorBidi"/>
              </w:rPr>
              <w:t>O</w:t>
            </w:r>
            <w:r w:rsidRPr="00A67F27">
              <w:rPr>
                <w:rFonts w:asciiTheme="majorBidi" w:hAnsiTheme="majorBidi" w:cstheme="majorBidi"/>
              </w:rPr>
              <w:t>ffre, à l’exception des publications non modifiées, seront paraphées par la personne signataire de l’</w:t>
            </w:r>
            <w:r w:rsidR="00B96501" w:rsidRPr="00A67F27">
              <w:rPr>
                <w:rFonts w:asciiTheme="majorBidi" w:hAnsiTheme="majorBidi" w:cstheme="majorBidi"/>
              </w:rPr>
              <w:t>O</w:t>
            </w:r>
            <w:r w:rsidRPr="00A67F27">
              <w:rPr>
                <w:rFonts w:asciiTheme="majorBidi" w:hAnsiTheme="majorBidi" w:cstheme="majorBidi"/>
              </w:rPr>
              <w:t>ffre.</w:t>
            </w:r>
          </w:p>
        </w:tc>
      </w:tr>
      <w:tr w:rsidR="002476D3" w:rsidRPr="00A67F27" w14:paraId="074568FF" w14:textId="77777777" w:rsidTr="007318E7">
        <w:trPr>
          <w:trHeight w:val="20"/>
        </w:trPr>
        <w:tc>
          <w:tcPr>
            <w:tcW w:w="2250" w:type="dxa"/>
            <w:tcBorders>
              <w:top w:val="nil"/>
              <w:left w:val="nil"/>
              <w:bottom w:val="nil"/>
              <w:right w:val="nil"/>
            </w:tcBorders>
          </w:tcPr>
          <w:p w14:paraId="7C5D7937" w14:textId="77777777" w:rsidR="002476D3" w:rsidRPr="00A67F27" w:rsidRDefault="002476D3" w:rsidP="007318E7">
            <w:pPr>
              <w:spacing w:after="0"/>
              <w:rPr>
                <w:rFonts w:asciiTheme="majorBidi" w:hAnsiTheme="majorBidi" w:cstheme="majorBidi"/>
              </w:rPr>
            </w:pPr>
          </w:p>
        </w:tc>
        <w:tc>
          <w:tcPr>
            <w:tcW w:w="7380" w:type="dxa"/>
            <w:tcBorders>
              <w:top w:val="nil"/>
              <w:left w:val="nil"/>
              <w:bottom w:val="nil"/>
              <w:right w:val="nil"/>
            </w:tcBorders>
          </w:tcPr>
          <w:p w14:paraId="29003030" w14:textId="49A7FFA1" w:rsidR="002476D3" w:rsidRPr="00A67F27" w:rsidRDefault="002476D3" w:rsidP="00D510E8">
            <w:pPr>
              <w:pStyle w:val="Paragraphedeliste"/>
              <w:numPr>
                <w:ilvl w:val="1"/>
                <w:numId w:val="42"/>
              </w:numPr>
              <w:spacing w:after="0"/>
              <w:contextualSpacing w:val="0"/>
              <w:rPr>
                <w:rFonts w:asciiTheme="majorBidi" w:hAnsiTheme="majorBidi" w:cstheme="majorBidi"/>
              </w:rPr>
            </w:pPr>
            <w:r w:rsidRPr="00A67F27">
              <w:rPr>
                <w:rFonts w:asciiTheme="majorBidi" w:hAnsiTheme="majorBidi" w:cstheme="majorBidi"/>
              </w:rPr>
              <w:t>Les offres soumises par des entreprises groupées devront</w:t>
            </w:r>
            <w:r w:rsidR="00D41A66" w:rsidRPr="00A67F27">
              <w:rPr>
                <w:rFonts w:asciiTheme="majorBidi" w:hAnsiTheme="majorBidi" w:cstheme="majorBidi"/>
              </w:rPr>
              <w:t xml:space="preserve"> </w:t>
            </w:r>
            <w:r w:rsidRPr="00A67F27">
              <w:rPr>
                <w:rFonts w:asciiTheme="majorBidi" w:hAnsiTheme="majorBidi" w:cstheme="majorBidi"/>
              </w:rPr>
              <w:t xml:space="preserve">être signées </w:t>
            </w:r>
            <w:r w:rsidR="00F2548A" w:rsidRPr="00A67F27">
              <w:rPr>
                <w:rFonts w:asciiTheme="majorBidi" w:hAnsiTheme="majorBidi" w:cstheme="majorBidi"/>
              </w:rPr>
              <w:t xml:space="preserve">au nom du groupement par un représentant habilité du groupement </w:t>
            </w:r>
            <w:r w:rsidRPr="00A67F27">
              <w:rPr>
                <w:rFonts w:asciiTheme="majorBidi" w:hAnsiTheme="majorBidi" w:cstheme="majorBidi"/>
              </w:rPr>
              <w:t xml:space="preserve">de manière à engager tous les membres du groupement </w:t>
            </w:r>
            <w:r w:rsidR="00F2548A" w:rsidRPr="00A67F27">
              <w:rPr>
                <w:rFonts w:asciiTheme="majorBidi" w:hAnsiTheme="majorBidi" w:cstheme="majorBidi"/>
              </w:rPr>
              <w:t>et inclure</w:t>
            </w:r>
            <w:r w:rsidRPr="00A67F27">
              <w:rPr>
                <w:rFonts w:asciiTheme="majorBidi" w:hAnsiTheme="majorBidi" w:cstheme="majorBidi"/>
              </w:rPr>
              <w:t xml:space="preserve"> le pouvoir du mandataire du groupement </w:t>
            </w:r>
            <w:r w:rsidR="00B96501" w:rsidRPr="00A67F27">
              <w:rPr>
                <w:rFonts w:asciiTheme="majorBidi" w:hAnsiTheme="majorBidi" w:cstheme="majorBidi"/>
              </w:rPr>
              <w:t xml:space="preserve">signé par les personnes </w:t>
            </w:r>
            <w:r w:rsidR="001E6587" w:rsidRPr="00A67F27">
              <w:rPr>
                <w:rFonts w:asciiTheme="majorBidi" w:hAnsiTheme="majorBidi" w:cstheme="majorBidi"/>
              </w:rPr>
              <w:t>habilitées</w:t>
            </w:r>
            <w:r w:rsidR="00B96501" w:rsidRPr="00A67F27">
              <w:rPr>
                <w:rFonts w:asciiTheme="majorBidi" w:hAnsiTheme="majorBidi" w:cstheme="majorBidi"/>
              </w:rPr>
              <w:t xml:space="preserve"> à signer au nom du groupement</w:t>
            </w:r>
            <w:r w:rsidR="001E53DC" w:rsidRPr="00A67F27">
              <w:rPr>
                <w:rFonts w:asciiTheme="majorBidi" w:hAnsiTheme="majorBidi" w:cstheme="majorBidi"/>
              </w:rPr>
              <w:t>.</w:t>
            </w:r>
          </w:p>
        </w:tc>
      </w:tr>
      <w:tr w:rsidR="002476D3" w:rsidRPr="00A67F27" w14:paraId="0DA0AA84" w14:textId="77777777" w:rsidTr="007318E7">
        <w:trPr>
          <w:trHeight w:val="20"/>
        </w:trPr>
        <w:tc>
          <w:tcPr>
            <w:tcW w:w="2250" w:type="dxa"/>
            <w:tcBorders>
              <w:top w:val="nil"/>
              <w:left w:val="nil"/>
              <w:bottom w:val="nil"/>
              <w:right w:val="nil"/>
            </w:tcBorders>
          </w:tcPr>
          <w:p w14:paraId="0CD9C406" w14:textId="77777777" w:rsidR="002476D3" w:rsidRPr="00A67F27" w:rsidRDefault="002476D3" w:rsidP="007318E7">
            <w:pPr>
              <w:spacing w:after="0"/>
              <w:rPr>
                <w:rFonts w:asciiTheme="majorBidi" w:hAnsiTheme="majorBidi" w:cstheme="majorBidi"/>
              </w:rPr>
            </w:pPr>
          </w:p>
        </w:tc>
        <w:tc>
          <w:tcPr>
            <w:tcW w:w="7380" w:type="dxa"/>
            <w:tcBorders>
              <w:top w:val="nil"/>
              <w:left w:val="nil"/>
              <w:bottom w:val="nil"/>
              <w:right w:val="nil"/>
            </w:tcBorders>
          </w:tcPr>
          <w:p w14:paraId="1941D54D" w14:textId="7AC09884" w:rsidR="002476D3" w:rsidRPr="00A67F27" w:rsidRDefault="002476D3" w:rsidP="00D510E8">
            <w:pPr>
              <w:pStyle w:val="Paragraphedeliste"/>
              <w:numPr>
                <w:ilvl w:val="1"/>
                <w:numId w:val="42"/>
              </w:numPr>
              <w:spacing w:after="0"/>
              <w:contextualSpacing w:val="0"/>
              <w:rPr>
                <w:rFonts w:asciiTheme="majorBidi" w:hAnsiTheme="majorBidi" w:cstheme="majorBidi"/>
              </w:rPr>
            </w:pPr>
            <w:r w:rsidRPr="00A67F27">
              <w:rPr>
                <w:rFonts w:asciiTheme="majorBidi" w:hAnsiTheme="majorBidi" w:cstheme="majorBidi"/>
              </w:rPr>
              <w:t>Tout ajout entre les lignes, rature ou surcharge, pour être valable, devra être signé ou paraphé par la personne signataire</w:t>
            </w:r>
            <w:r w:rsidR="001E53DC" w:rsidRPr="00A67F27">
              <w:rPr>
                <w:rFonts w:asciiTheme="majorBidi" w:hAnsiTheme="majorBidi" w:cstheme="majorBidi"/>
              </w:rPr>
              <w:t>.</w:t>
            </w:r>
            <w:r w:rsidRPr="00A67F27" w:rsidDel="00455C2A">
              <w:rPr>
                <w:rFonts w:asciiTheme="majorBidi" w:hAnsiTheme="majorBidi" w:cstheme="majorBidi"/>
              </w:rPr>
              <w:t xml:space="preserve"> </w:t>
            </w:r>
          </w:p>
        </w:tc>
      </w:tr>
      <w:tr w:rsidR="001C0EC7" w:rsidRPr="00A67F27" w14:paraId="5B3D6211" w14:textId="77777777" w:rsidTr="007318E7">
        <w:trPr>
          <w:trHeight w:val="20"/>
        </w:trPr>
        <w:tc>
          <w:tcPr>
            <w:tcW w:w="9630" w:type="dxa"/>
            <w:gridSpan w:val="2"/>
            <w:tcBorders>
              <w:top w:val="nil"/>
              <w:left w:val="nil"/>
              <w:bottom w:val="nil"/>
              <w:right w:val="nil"/>
            </w:tcBorders>
          </w:tcPr>
          <w:p w14:paraId="25E19C7E" w14:textId="29805EFF" w:rsidR="001C0EC7" w:rsidRPr="00A67F27" w:rsidRDefault="001C0EC7" w:rsidP="007318E7">
            <w:pPr>
              <w:pStyle w:val="StyleStyleS1-Header1TimesNewRoman14pt1"/>
              <w:keepNext/>
              <w:spacing w:before="0" w:after="0"/>
              <w:rPr>
                <w:rFonts w:asciiTheme="majorBidi" w:hAnsiTheme="majorBidi" w:cstheme="majorBidi"/>
                <w:lang w:val="fr-FR"/>
              </w:rPr>
            </w:pPr>
            <w:bookmarkStart w:id="220" w:name="_Toc438438844"/>
            <w:bookmarkStart w:id="221" w:name="_Toc438532613"/>
            <w:bookmarkStart w:id="222" w:name="_Toc438733988"/>
            <w:bookmarkStart w:id="223" w:name="_Toc438962070"/>
            <w:bookmarkStart w:id="224" w:name="_Toc461939619"/>
            <w:bookmarkStart w:id="225" w:name="_Toc483210592"/>
            <w:bookmarkStart w:id="226" w:name="_Toc487641791"/>
            <w:r w:rsidRPr="00A67F27">
              <w:rPr>
                <w:lang w:val="fr-FR"/>
              </w:rPr>
              <w:lastRenderedPageBreak/>
              <w:t xml:space="preserve">D. </w:t>
            </w:r>
            <w:r w:rsidRPr="00A67F27">
              <w:rPr>
                <w:lang w:val="fr-FR"/>
              </w:rPr>
              <w:tab/>
              <w:t>Remise des Offres et Ouverture des plis</w:t>
            </w:r>
            <w:bookmarkEnd w:id="220"/>
            <w:bookmarkEnd w:id="221"/>
            <w:bookmarkEnd w:id="222"/>
            <w:bookmarkEnd w:id="223"/>
            <w:bookmarkEnd w:id="224"/>
            <w:bookmarkEnd w:id="225"/>
            <w:bookmarkEnd w:id="226"/>
          </w:p>
        </w:tc>
      </w:tr>
      <w:tr w:rsidR="001C0EC7" w:rsidRPr="00A67F27" w14:paraId="1CCFF920" w14:textId="77777777" w:rsidTr="007318E7">
        <w:trPr>
          <w:trHeight w:val="20"/>
        </w:trPr>
        <w:tc>
          <w:tcPr>
            <w:tcW w:w="2250" w:type="dxa"/>
            <w:tcBorders>
              <w:top w:val="nil"/>
              <w:left w:val="nil"/>
              <w:bottom w:val="nil"/>
              <w:right w:val="nil"/>
            </w:tcBorders>
          </w:tcPr>
          <w:p w14:paraId="5CE80D47" w14:textId="78C6CB4B" w:rsidR="001C0EC7" w:rsidRPr="00A67F27" w:rsidRDefault="001C0EC7" w:rsidP="007318E7">
            <w:pPr>
              <w:pStyle w:val="S1-Header2"/>
              <w:keepNext/>
              <w:numPr>
                <w:ilvl w:val="0"/>
                <w:numId w:val="0"/>
              </w:numPr>
              <w:tabs>
                <w:tab w:val="num" w:pos="432"/>
              </w:tabs>
              <w:spacing w:after="0"/>
              <w:ind w:left="432" w:hanging="432"/>
              <w:rPr>
                <w:rFonts w:asciiTheme="majorBidi" w:hAnsiTheme="majorBidi" w:cstheme="majorBidi"/>
                <w:lang w:val="fr-FR"/>
              </w:rPr>
            </w:pPr>
            <w:bookmarkStart w:id="227" w:name="_Toc156373305"/>
            <w:bookmarkStart w:id="228" w:name="_Toc483210593"/>
            <w:bookmarkStart w:id="229" w:name="_Toc487641792"/>
            <w:bookmarkStart w:id="230" w:name="_Toc438438845"/>
            <w:bookmarkStart w:id="231" w:name="_Toc438532614"/>
            <w:bookmarkStart w:id="232" w:name="_Toc438733989"/>
            <w:bookmarkStart w:id="233" w:name="_Toc438907027"/>
            <w:bookmarkStart w:id="234" w:name="_Toc438907226"/>
            <w:r w:rsidRPr="00A67F27">
              <w:rPr>
                <w:lang w:val="fr-FR"/>
              </w:rPr>
              <w:t>21.</w:t>
            </w:r>
            <w:r w:rsidRPr="00A67F27">
              <w:rPr>
                <w:lang w:val="fr-FR"/>
              </w:rPr>
              <w:tab/>
              <w:t>Cachetage et marquage des offres</w:t>
            </w:r>
            <w:bookmarkEnd w:id="227"/>
            <w:bookmarkEnd w:id="228"/>
            <w:bookmarkEnd w:id="229"/>
            <w:r w:rsidRPr="00A67F27">
              <w:rPr>
                <w:rFonts w:asciiTheme="majorBidi" w:hAnsiTheme="majorBidi" w:cstheme="majorBidi"/>
                <w:lang w:val="fr-FR"/>
              </w:rPr>
              <w:t xml:space="preserve"> </w:t>
            </w:r>
            <w:bookmarkEnd w:id="230"/>
            <w:bookmarkEnd w:id="231"/>
            <w:bookmarkEnd w:id="232"/>
            <w:bookmarkEnd w:id="233"/>
            <w:bookmarkEnd w:id="234"/>
          </w:p>
        </w:tc>
        <w:tc>
          <w:tcPr>
            <w:tcW w:w="7380" w:type="dxa"/>
            <w:tcBorders>
              <w:top w:val="nil"/>
              <w:left w:val="nil"/>
              <w:bottom w:val="nil"/>
              <w:right w:val="nil"/>
            </w:tcBorders>
          </w:tcPr>
          <w:p w14:paraId="09EB23FB" w14:textId="0E0E7088" w:rsidR="001C0EC7" w:rsidRPr="00A67F27" w:rsidRDefault="001C0EC7" w:rsidP="007318E7">
            <w:pPr>
              <w:keepNext/>
              <w:tabs>
                <w:tab w:val="left" w:pos="702"/>
              </w:tabs>
              <w:spacing w:after="0"/>
              <w:ind w:left="518"/>
              <w:rPr>
                <w:highlight w:val="yellow"/>
              </w:rPr>
            </w:pPr>
            <w:r w:rsidRPr="00A67F27">
              <w:t>21.1</w:t>
            </w:r>
            <w:r w:rsidRPr="00A67F27">
              <w:tab/>
            </w:r>
            <w:r w:rsidR="00AD3F5D" w:rsidRPr="00A67F27">
              <w:rPr>
                <w:szCs w:val="24"/>
              </w:rPr>
              <w:t>Le Soumissionnaire mettra l’original et toutes les copies des documents constitutifs de l’Offre</w:t>
            </w:r>
            <w:r w:rsidR="002D4A05" w:rsidRPr="00A67F27">
              <w:rPr>
                <w:szCs w:val="24"/>
              </w:rPr>
              <w:t xml:space="preserve">, si autorisé à l’article 13 des IS, dans des enveloppes séparées, </w:t>
            </w:r>
            <w:r w:rsidR="00AD3F5D" w:rsidRPr="00A67F27">
              <w:rPr>
                <w:szCs w:val="24"/>
              </w:rPr>
              <w:t>en indiquant clairement la mention « ORIGINAL »</w:t>
            </w:r>
            <w:r w:rsidR="002D4A05" w:rsidRPr="00A67F27">
              <w:rPr>
                <w:szCs w:val="24"/>
              </w:rPr>
              <w:t>, « Variante » et « Copie »</w:t>
            </w:r>
            <w:r w:rsidR="00AD3F5D" w:rsidRPr="00A67F27">
              <w:rPr>
                <w:szCs w:val="24"/>
              </w:rPr>
              <w:t xml:space="preserve">. </w:t>
            </w:r>
            <w:r w:rsidR="002D4A05" w:rsidRPr="00A67F27">
              <w:rPr>
                <w:szCs w:val="24"/>
              </w:rPr>
              <w:t xml:space="preserve">Ces enveloppes contenant l’original et les copies seront placées dans une seule enveloppe. </w:t>
            </w:r>
            <w:r w:rsidR="00AD3F5D" w:rsidRPr="00A67F27">
              <w:rPr>
                <w:szCs w:val="24"/>
              </w:rPr>
              <w:t xml:space="preserve">Une offre variante, </w:t>
            </w:r>
            <w:r w:rsidR="008C0DBB" w:rsidRPr="00A67F27">
              <w:rPr>
                <w:szCs w:val="24"/>
              </w:rPr>
              <w:t>lorsqu’elle</w:t>
            </w:r>
            <w:r w:rsidR="00AD3F5D" w:rsidRPr="00A67F27">
              <w:rPr>
                <w:szCs w:val="24"/>
              </w:rPr>
              <w:t xml:space="preserve"> est recevable, en application de l’article 13 des IS portera clairement la mention « VARIANTE »</w:t>
            </w:r>
            <w:r w:rsidR="008347D5" w:rsidRPr="008347D5">
              <w:rPr>
                <w:szCs w:val="24"/>
              </w:rPr>
              <w:t xml:space="preserve"> </w:t>
            </w:r>
            <w:r w:rsidR="0044378D">
              <w:rPr>
                <w:szCs w:val="24"/>
              </w:rPr>
              <w:t xml:space="preserve">qui </w:t>
            </w:r>
            <w:r w:rsidR="008347D5" w:rsidRPr="008347D5">
              <w:rPr>
                <w:szCs w:val="24"/>
              </w:rPr>
              <w:t>sera placée dans la même enveloppe que l’original et les copies</w:t>
            </w:r>
          </w:p>
        </w:tc>
      </w:tr>
      <w:tr w:rsidR="002476D3" w:rsidRPr="00A67F27" w14:paraId="6947D6DB" w14:textId="77777777" w:rsidTr="007318E7">
        <w:trPr>
          <w:trHeight w:val="20"/>
        </w:trPr>
        <w:tc>
          <w:tcPr>
            <w:tcW w:w="2250" w:type="dxa"/>
            <w:tcBorders>
              <w:top w:val="nil"/>
              <w:left w:val="nil"/>
              <w:bottom w:val="nil"/>
              <w:right w:val="nil"/>
            </w:tcBorders>
          </w:tcPr>
          <w:p w14:paraId="71950927" w14:textId="77777777" w:rsidR="002476D3" w:rsidRPr="00A67F27" w:rsidRDefault="002476D3" w:rsidP="007318E7">
            <w:pPr>
              <w:spacing w:after="0"/>
              <w:rPr>
                <w:rFonts w:asciiTheme="majorBidi" w:hAnsiTheme="majorBidi" w:cstheme="majorBidi"/>
              </w:rPr>
            </w:pPr>
            <w:bookmarkStart w:id="235" w:name="_Toc438532615"/>
            <w:bookmarkEnd w:id="235"/>
          </w:p>
        </w:tc>
        <w:tc>
          <w:tcPr>
            <w:tcW w:w="7380" w:type="dxa"/>
            <w:tcBorders>
              <w:top w:val="nil"/>
              <w:left w:val="nil"/>
              <w:bottom w:val="nil"/>
              <w:right w:val="nil"/>
            </w:tcBorders>
          </w:tcPr>
          <w:p w14:paraId="7D8D16C6" w14:textId="776F6CAC" w:rsidR="002476D3" w:rsidRPr="00A67F27" w:rsidRDefault="002476D3" w:rsidP="00D510E8">
            <w:pPr>
              <w:pStyle w:val="Paragraphedeliste"/>
              <w:numPr>
                <w:ilvl w:val="1"/>
                <w:numId w:val="43"/>
              </w:numPr>
              <w:spacing w:after="0"/>
              <w:rPr>
                <w:rFonts w:asciiTheme="majorBidi" w:hAnsiTheme="majorBidi" w:cstheme="majorBidi"/>
              </w:rPr>
            </w:pPr>
            <w:r w:rsidRPr="00A67F27">
              <w:rPr>
                <w:rFonts w:asciiTheme="majorBidi" w:hAnsiTheme="majorBidi" w:cstheme="majorBidi"/>
              </w:rPr>
              <w:t>Les enveloppes intérieure et extérieure devront</w:t>
            </w:r>
            <w:r w:rsidR="009B2302" w:rsidRPr="00A67F27">
              <w:rPr>
                <w:rFonts w:asciiTheme="majorBidi" w:hAnsiTheme="majorBidi" w:cstheme="majorBidi"/>
              </w:rPr>
              <w:t> :</w:t>
            </w:r>
          </w:p>
          <w:p w14:paraId="28AFA2A4" w14:textId="1CF8199B" w:rsidR="002476D3" w:rsidRPr="00A67F27" w:rsidRDefault="00107599" w:rsidP="007318E7">
            <w:pPr>
              <w:numPr>
                <w:ilvl w:val="0"/>
                <w:numId w:val="24"/>
              </w:numPr>
              <w:tabs>
                <w:tab w:val="left" w:pos="1152"/>
              </w:tabs>
              <w:spacing w:after="0"/>
              <w:ind w:left="1152" w:hanging="540"/>
              <w:rPr>
                <w:rFonts w:asciiTheme="majorBidi" w:hAnsiTheme="majorBidi" w:cstheme="majorBidi"/>
              </w:rPr>
            </w:pPr>
            <w:r w:rsidRPr="00A67F27">
              <w:rPr>
                <w:rFonts w:asciiTheme="majorBidi" w:hAnsiTheme="majorBidi" w:cstheme="majorBidi"/>
              </w:rPr>
              <w:t>Comporter</w:t>
            </w:r>
            <w:r w:rsidR="002476D3" w:rsidRPr="00A67F27">
              <w:rPr>
                <w:rFonts w:asciiTheme="majorBidi" w:hAnsiTheme="majorBidi" w:cstheme="majorBidi"/>
              </w:rPr>
              <w:t xml:space="preserve"> le nom et l’adresse du Soumissionnaire</w:t>
            </w:r>
            <w:r w:rsidR="009B2302" w:rsidRPr="00A67F27">
              <w:rPr>
                <w:rFonts w:asciiTheme="majorBidi" w:hAnsiTheme="majorBidi" w:cstheme="majorBidi"/>
              </w:rPr>
              <w:t> ;</w:t>
            </w:r>
          </w:p>
          <w:p w14:paraId="74FF3907" w14:textId="446921C6" w:rsidR="002476D3" w:rsidRPr="00A67F27" w:rsidRDefault="00107599" w:rsidP="007318E7">
            <w:pPr>
              <w:numPr>
                <w:ilvl w:val="0"/>
                <w:numId w:val="24"/>
              </w:numPr>
              <w:tabs>
                <w:tab w:val="left" w:pos="1152"/>
              </w:tabs>
              <w:spacing w:after="0"/>
              <w:ind w:left="1152" w:hanging="540"/>
              <w:rPr>
                <w:rFonts w:asciiTheme="majorBidi" w:hAnsiTheme="majorBidi" w:cstheme="majorBidi"/>
              </w:rPr>
            </w:pPr>
            <w:r w:rsidRPr="00A67F27">
              <w:rPr>
                <w:rFonts w:asciiTheme="majorBidi" w:hAnsiTheme="majorBidi" w:cstheme="majorBidi"/>
              </w:rPr>
              <w:t>Être</w:t>
            </w:r>
            <w:r w:rsidR="002476D3" w:rsidRPr="00A67F27">
              <w:rPr>
                <w:rFonts w:asciiTheme="majorBidi" w:hAnsiTheme="majorBidi" w:cstheme="majorBidi"/>
              </w:rPr>
              <w:t xml:space="preserve"> adressées au Maître de l’Ouvrage conformément à l’article 22.1 des IS</w:t>
            </w:r>
            <w:r w:rsidR="009B2302" w:rsidRPr="00A67F27">
              <w:rPr>
                <w:rFonts w:asciiTheme="majorBidi" w:hAnsiTheme="majorBidi" w:cstheme="majorBidi"/>
              </w:rPr>
              <w:t> ;</w:t>
            </w:r>
          </w:p>
          <w:p w14:paraId="7E3BBE5F" w14:textId="44C826C1" w:rsidR="002476D3" w:rsidRPr="00A67F27" w:rsidRDefault="00107599" w:rsidP="007318E7">
            <w:pPr>
              <w:pStyle w:val="2AutoList1"/>
              <w:numPr>
                <w:ilvl w:val="0"/>
                <w:numId w:val="24"/>
              </w:numPr>
              <w:tabs>
                <w:tab w:val="clear" w:pos="504"/>
                <w:tab w:val="left" w:pos="1152"/>
              </w:tabs>
              <w:spacing w:after="0"/>
              <w:ind w:left="1152" w:hanging="540"/>
              <w:rPr>
                <w:rFonts w:asciiTheme="majorBidi" w:hAnsiTheme="majorBidi" w:cstheme="majorBidi"/>
                <w:lang w:val="fr-FR"/>
              </w:rPr>
            </w:pPr>
            <w:r w:rsidRPr="00A67F27">
              <w:rPr>
                <w:rFonts w:asciiTheme="majorBidi" w:hAnsiTheme="majorBidi" w:cstheme="majorBidi"/>
                <w:lang w:val="fr-FR"/>
              </w:rPr>
              <w:t>Comporter</w:t>
            </w:r>
            <w:r w:rsidR="002476D3" w:rsidRPr="00A67F27">
              <w:rPr>
                <w:rFonts w:asciiTheme="majorBidi" w:hAnsiTheme="majorBidi" w:cstheme="majorBidi"/>
                <w:lang w:val="fr-FR"/>
              </w:rPr>
              <w:t xml:space="preserve"> l’identification de l’</w:t>
            </w:r>
            <w:r w:rsidR="001E6587" w:rsidRPr="00A67F27">
              <w:rPr>
                <w:rFonts w:asciiTheme="majorBidi" w:hAnsiTheme="majorBidi" w:cstheme="majorBidi"/>
                <w:lang w:val="fr-FR"/>
              </w:rPr>
              <w:t>A</w:t>
            </w:r>
            <w:r w:rsidR="002476D3" w:rsidRPr="00A67F27">
              <w:rPr>
                <w:rFonts w:asciiTheme="majorBidi" w:hAnsiTheme="majorBidi" w:cstheme="majorBidi"/>
                <w:lang w:val="fr-FR"/>
              </w:rPr>
              <w:t>ppel d’offres conformément à l’article 1.1 des IS</w:t>
            </w:r>
            <w:r w:rsidR="009B2302" w:rsidRPr="00A67F27">
              <w:rPr>
                <w:rFonts w:asciiTheme="majorBidi" w:hAnsiTheme="majorBidi" w:cstheme="majorBidi"/>
                <w:lang w:val="fr-FR"/>
              </w:rPr>
              <w:t> ;</w:t>
            </w:r>
          </w:p>
          <w:p w14:paraId="55033407" w14:textId="2C4238BD" w:rsidR="002476D3" w:rsidRPr="00A67F27" w:rsidRDefault="00107599" w:rsidP="007318E7">
            <w:pPr>
              <w:pStyle w:val="2AutoList1"/>
              <w:numPr>
                <w:ilvl w:val="0"/>
                <w:numId w:val="24"/>
              </w:numPr>
              <w:tabs>
                <w:tab w:val="clear" w:pos="504"/>
                <w:tab w:val="left" w:pos="1152"/>
              </w:tabs>
              <w:spacing w:after="0"/>
              <w:ind w:left="1152" w:hanging="540"/>
              <w:rPr>
                <w:rFonts w:asciiTheme="majorBidi" w:hAnsiTheme="majorBidi" w:cstheme="majorBidi"/>
                <w:lang w:val="fr-FR"/>
              </w:rPr>
            </w:pPr>
            <w:r w:rsidRPr="00A67F27">
              <w:rPr>
                <w:rFonts w:asciiTheme="majorBidi" w:hAnsiTheme="majorBidi" w:cstheme="majorBidi"/>
                <w:lang w:val="fr-FR"/>
              </w:rPr>
              <w:t>Comporter</w:t>
            </w:r>
            <w:r w:rsidR="002476D3" w:rsidRPr="00A67F27">
              <w:rPr>
                <w:rFonts w:asciiTheme="majorBidi" w:hAnsiTheme="majorBidi" w:cstheme="majorBidi"/>
                <w:lang w:val="fr-FR"/>
              </w:rPr>
              <w:t xml:space="preserve"> la mention de ne pas les ouvrir avant la date et l’heure fixées pour l’ouverture des plis.</w:t>
            </w:r>
          </w:p>
          <w:p w14:paraId="76EFD192" w14:textId="68683ED3" w:rsidR="002476D3" w:rsidRPr="00A67F27" w:rsidRDefault="002476D3" w:rsidP="00D510E8">
            <w:pPr>
              <w:pStyle w:val="Paragraphedeliste"/>
              <w:numPr>
                <w:ilvl w:val="1"/>
                <w:numId w:val="43"/>
              </w:numPr>
              <w:spacing w:after="0"/>
              <w:rPr>
                <w:rFonts w:asciiTheme="majorBidi" w:hAnsiTheme="majorBidi" w:cstheme="majorBidi"/>
              </w:rPr>
            </w:pPr>
            <w:r w:rsidRPr="00A67F27">
              <w:rPr>
                <w:rFonts w:asciiTheme="majorBidi" w:hAnsiTheme="majorBidi" w:cstheme="majorBidi"/>
              </w:rPr>
              <w:t xml:space="preserve">Si les enveloppes ne sont pas cachetées et marquées comme il est </w:t>
            </w:r>
            <w:r w:rsidR="008C28A6" w:rsidRPr="00A67F27">
              <w:rPr>
                <w:rFonts w:asciiTheme="majorBidi" w:hAnsiTheme="majorBidi" w:cstheme="majorBidi"/>
              </w:rPr>
              <w:t xml:space="preserve">demandé </w:t>
            </w:r>
            <w:r w:rsidRPr="00A67F27">
              <w:rPr>
                <w:rFonts w:asciiTheme="majorBidi" w:hAnsiTheme="majorBidi" w:cstheme="majorBidi"/>
              </w:rPr>
              <w:t xml:space="preserve">ci-dessus, le Maître de l’Ouvrage ne sera pas tenu </w:t>
            </w:r>
            <w:r w:rsidR="00090BF9" w:rsidRPr="00A67F27">
              <w:rPr>
                <w:rFonts w:asciiTheme="majorBidi" w:hAnsiTheme="majorBidi" w:cstheme="majorBidi"/>
              </w:rPr>
              <w:t xml:space="preserve">pour </w:t>
            </w:r>
            <w:r w:rsidRPr="00A67F27">
              <w:rPr>
                <w:rFonts w:asciiTheme="majorBidi" w:hAnsiTheme="majorBidi" w:cstheme="majorBidi"/>
              </w:rPr>
              <w:t>responsable si l’offre est égarée ou ouverte prématurément.</w:t>
            </w:r>
          </w:p>
        </w:tc>
      </w:tr>
      <w:tr w:rsidR="002476D3" w:rsidRPr="00A67F27" w14:paraId="2F880128" w14:textId="77777777" w:rsidTr="007318E7">
        <w:trPr>
          <w:trHeight w:val="20"/>
        </w:trPr>
        <w:tc>
          <w:tcPr>
            <w:tcW w:w="2250" w:type="dxa"/>
            <w:tcBorders>
              <w:top w:val="nil"/>
              <w:left w:val="nil"/>
              <w:bottom w:val="nil"/>
              <w:right w:val="nil"/>
            </w:tcBorders>
          </w:tcPr>
          <w:p w14:paraId="040A837A" w14:textId="30D3A3BB" w:rsidR="002476D3" w:rsidRPr="00A67F27" w:rsidRDefault="002476D3" w:rsidP="007318E7">
            <w:pPr>
              <w:pStyle w:val="S1-Header2"/>
              <w:numPr>
                <w:ilvl w:val="0"/>
                <w:numId w:val="0"/>
              </w:numPr>
              <w:tabs>
                <w:tab w:val="num" w:pos="432"/>
              </w:tabs>
              <w:spacing w:after="0"/>
              <w:ind w:left="432" w:hanging="432"/>
              <w:rPr>
                <w:rFonts w:asciiTheme="majorBidi" w:hAnsiTheme="majorBidi" w:cstheme="majorBidi"/>
                <w:lang w:val="fr-FR"/>
              </w:rPr>
            </w:pPr>
            <w:bookmarkStart w:id="236" w:name="_Toc438532616"/>
            <w:bookmarkStart w:id="237" w:name="_Toc438532617"/>
            <w:bookmarkStart w:id="238" w:name="_Toc156373306"/>
            <w:bookmarkStart w:id="239" w:name="_Toc483210594"/>
            <w:bookmarkStart w:id="240" w:name="_Toc487641793"/>
            <w:bookmarkStart w:id="241" w:name="_Toc424009124"/>
            <w:bookmarkStart w:id="242" w:name="_Toc438438846"/>
            <w:bookmarkStart w:id="243" w:name="_Toc438532618"/>
            <w:bookmarkStart w:id="244" w:name="_Toc438733990"/>
            <w:bookmarkStart w:id="245" w:name="_Toc438907028"/>
            <w:bookmarkStart w:id="246" w:name="_Toc438907227"/>
            <w:bookmarkEnd w:id="236"/>
            <w:bookmarkEnd w:id="237"/>
            <w:r w:rsidRPr="00A67F27">
              <w:rPr>
                <w:lang w:val="fr-FR"/>
              </w:rPr>
              <w:t>22.</w:t>
            </w:r>
            <w:r w:rsidRPr="00A67F27">
              <w:rPr>
                <w:lang w:val="fr-FR"/>
              </w:rPr>
              <w:tab/>
              <w:t>Date et heure limite de remise des offres</w:t>
            </w:r>
            <w:bookmarkEnd w:id="238"/>
            <w:bookmarkEnd w:id="239"/>
            <w:bookmarkEnd w:id="240"/>
            <w:r w:rsidRPr="00A67F27">
              <w:rPr>
                <w:rFonts w:asciiTheme="majorBidi" w:hAnsiTheme="majorBidi" w:cstheme="majorBidi"/>
                <w:lang w:val="fr-FR"/>
              </w:rPr>
              <w:t xml:space="preserve"> </w:t>
            </w:r>
            <w:bookmarkEnd w:id="241"/>
            <w:bookmarkEnd w:id="242"/>
            <w:bookmarkEnd w:id="243"/>
            <w:bookmarkEnd w:id="244"/>
            <w:bookmarkEnd w:id="245"/>
            <w:bookmarkEnd w:id="246"/>
          </w:p>
        </w:tc>
        <w:tc>
          <w:tcPr>
            <w:tcW w:w="7380" w:type="dxa"/>
            <w:tcBorders>
              <w:top w:val="nil"/>
              <w:left w:val="nil"/>
              <w:bottom w:val="nil"/>
              <w:right w:val="nil"/>
            </w:tcBorders>
          </w:tcPr>
          <w:p w14:paraId="226292B9" w14:textId="77777777" w:rsidR="002476D3" w:rsidRPr="00A67F27" w:rsidRDefault="002476D3" w:rsidP="007318E7">
            <w:pPr>
              <w:numPr>
                <w:ilvl w:val="0"/>
                <w:numId w:val="9"/>
              </w:numPr>
              <w:spacing w:after="0"/>
              <w:ind w:left="662" w:hanging="662"/>
              <w:rPr>
                <w:rFonts w:asciiTheme="majorBidi" w:hAnsiTheme="majorBidi" w:cstheme="majorBidi"/>
              </w:rPr>
            </w:pPr>
            <w:r w:rsidRPr="00A67F27">
              <w:rPr>
                <w:rFonts w:asciiTheme="majorBidi" w:hAnsiTheme="majorBidi" w:cstheme="majorBidi"/>
              </w:rPr>
              <w:t xml:space="preserve">Les offres doivent être reçues par le Maître de l’Ouvrage à l’adresse </w:t>
            </w:r>
            <w:r w:rsidRPr="00A67F27">
              <w:rPr>
                <w:rFonts w:asciiTheme="majorBidi" w:hAnsiTheme="majorBidi" w:cstheme="majorBidi"/>
                <w:b/>
                <w:bCs/>
              </w:rPr>
              <w:t>indiquée dans les</w:t>
            </w:r>
            <w:r w:rsidRPr="00A67F27">
              <w:rPr>
                <w:rFonts w:asciiTheme="majorBidi" w:hAnsiTheme="majorBidi" w:cstheme="majorBidi"/>
              </w:rPr>
              <w:t xml:space="preserve"> </w:t>
            </w:r>
            <w:r w:rsidRPr="00A67F27">
              <w:rPr>
                <w:rFonts w:asciiTheme="majorBidi" w:hAnsiTheme="majorBidi" w:cstheme="majorBidi"/>
                <w:b/>
              </w:rPr>
              <w:t>DPAO</w:t>
            </w:r>
            <w:r w:rsidRPr="00A67F27">
              <w:rPr>
                <w:rFonts w:asciiTheme="majorBidi" w:hAnsiTheme="majorBidi" w:cstheme="majorBidi"/>
              </w:rPr>
              <w:t xml:space="preserve"> et au plus tard à la date et à l’heure qui y sont spécifiées. Lorsque les </w:t>
            </w:r>
            <w:r w:rsidRPr="00A67F27">
              <w:rPr>
                <w:rFonts w:asciiTheme="majorBidi" w:hAnsiTheme="majorBidi" w:cstheme="majorBidi"/>
                <w:b/>
              </w:rPr>
              <w:t>DPAO</w:t>
            </w:r>
            <w:r w:rsidRPr="00A67F27">
              <w:rPr>
                <w:rFonts w:asciiTheme="majorBidi" w:hAnsiTheme="majorBidi" w:cstheme="majorBidi"/>
              </w:rPr>
              <w:t xml:space="preserve"> le prévoient, les Soumissionnaires devront avoir la possibilité de soumettre leur offre par voie électronique. Dans un tel cas, les Soumissionnaires devront suivre la procédure </w:t>
            </w:r>
            <w:r w:rsidRPr="00A67F27">
              <w:rPr>
                <w:rFonts w:asciiTheme="majorBidi" w:hAnsiTheme="majorBidi" w:cstheme="majorBidi"/>
                <w:b/>
                <w:bCs/>
              </w:rPr>
              <w:t>prévue aux</w:t>
            </w:r>
            <w:r w:rsidRPr="00A67F27">
              <w:rPr>
                <w:rFonts w:asciiTheme="majorBidi" w:hAnsiTheme="majorBidi" w:cstheme="majorBidi"/>
              </w:rPr>
              <w:t xml:space="preserve"> </w:t>
            </w:r>
            <w:r w:rsidRPr="00A67F27">
              <w:rPr>
                <w:rFonts w:asciiTheme="majorBidi" w:hAnsiTheme="majorBidi" w:cstheme="majorBidi"/>
                <w:b/>
              </w:rPr>
              <w:t>DPAO</w:t>
            </w:r>
            <w:r w:rsidRPr="00A67F27">
              <w:rPr>
                <w:rFonts w:asciiTheme="majorBidi" w:hAnsiTheme="majorBidi" w:cstheme="majorBidi"/>
              </w:rPr>
              <w:t>.</w:t>
            </w:r>
          </w:p>
          <w:p w14:paraId="3AA38DE9" w14:textId="7F22CE04" w:rsidR="002476D3" w:rsidRPr="00A67F27" w:rsidRDefault="002476D3" w:rsidP="007318E7">
            <w:pPr>
              <w:numPr>
                <w:ilvl w:val="0"/>
                <w:numId w:val="9"/>
              </w:numPr>
              <w:spacing w:after="0"/>
              <w:ind w:left="662" w:hanging="662"/>
              <w:rPr>
                <w:rFonts w:asciiTheme="majorBidi" w:hAnsiTheme="majorBidi" w:cstheme="majorBidi"/>
              </w:rPr>
            </w:pPr>
            <w:r w:rsidRPr="00A67F27">
              <w:rPr>
                <w:rFonts w:asciiTheme="majorBidi" w:hAnsiTheme="majorBidi" w:cstheme="majorBidi"/>
              </w:rPr>
              <w:t xml:space="preserve">Le Maître de l’Ouvrage peut, </w:t>
            </w:r>
            <w:r w:rsidR="00AA254A" w:rsidRPr="00A67F27">
              <w:rPr>
                <w:rFonts w:asciiTheme="majorBidi" w:hAnsiTheme="majorBidi" w:cstheme="majorBidi"/>
              </w:rPr>
              <w:t>à sa discrétion</w:t>
            </w:r>
            <w:r w:rsidRPr="00A67F27">
              <w:rPr>
                <w:rFonts w:asciiTheme="majorBidi" w:hAnsiTheme="majorBidi" w:cstheme="majorBidi"/>
              </w:rPr>
              <w:t xml:space="preserve">, reporter la date limite de remise des offres en modifiant le Dossier d’Appel d’Offres en application de l’article 8 des IS, auquel cas, tous les droits et obligations du Maître de l’Ouvrage et des Soumissionnaires régis par la date limite précédente seront régis par la nouvelle date limite. </w:t>
            </w:r>
          </w:p>
        </w:tc>
      </w:tr>
      <w:tr w:rsidR="002476D3" w:rsidRPr="00A67F27" w14:paraId="60AD68F5" w14:textId="77777777" w:rsidTr="007318E7">
        <w:trPr>
          <w:cantSplit/>
          <w:trHeight w:val="20"/>
        </w:trPr>
        <w:tc>
          <w:tcPr>
            <w:tcW w:w="2250" w:type="dxa"/>
            <w:tcBorders>
              <w:top w:val="nil"/>
              <w:left w:val="nil"/>
              <w:bottom w:val="nil"/>
              <w:right w:val="nil"/>
            </w:tcBorders>
          </w:tcPr>
          <w:p w14:paraId="0FA12963" w14:textId="15855E92" w:rsidR="002476D3" w:rsidRPr="00A67F27" w:rsidRDefault="00294BAD" w:rsidP="007318E7">
            <w:pPr>
              <w:pStyle w:val="S1-Header2"/>
              <w:numPr>
                <w:ilvl w:val="0"/>
                <w:numId w:val="0"/>
              </w:numPr>
              <w:tabs>
                <w:tab w:val="num" w:pos="432"/>
              </w:tabs>
              <w:spacing w:after="0"/>
              <w:ind w:left="432" w:hanging="432"/>
              <w:rPr>
                <w:rFonts w:asciiTheme="majorBidi" w:hAnsiTheme="majorBidi" w:cstheme="majorBidi"/>
                <w:lang w:val="fr-FR"/>
              </w:rPr>
            </w:pPr>
            <w:bookmarkStart w:id="247" w:name="_Toc438438847"/>
            <w:bookmarkStart w:id="248" w:name="_Toc438532619"/>
            <w:bookmarkStart w:id="249" w:name="_Toc438733991"/>
            <w:bookmarkStart w:id="250" w:name="_Toc438907029"/>
            <w:bookmarkStart w:id="251" w:name="_Toc438907228"/>
            <w:bookmarkStart w:id="252" w:name="_Toc156373307"/>
            <w:bookmarkStart w:id="253" w:name="_Toc483210595"/>
            <w:bookmarkStart w:id="254" w:name="_Toc487641794"/>
            <w:r w:rsidRPr="00A67F27">
              <w:rPr>
                <w:lang w:val="fr-FR"/>
              </w:rPr>
              <w:t>23.</w:t>
            </w:r>
            <w:r w:rsidR="002476D3" w:rsidRPr="00A67F27">
              <w:rPr>
                <w:lang w:val="fr-FR"/>
              </w:rPr>
              <w:tab/>
              <w:t>Offres hors délai</w:t>
            </w:r>
            <w:bookmarkEnd w:id="247"/>
            <w:bookmarkEnd w:id="248"/>
            <w:bookmarkEnd w:id="249"/>
            <w:bookmarkEnd w:id="250"/>
            <w:bookmarkEnd w:id="251"/>
            <w:bookmarkEnd w:id="252"/>
            <w:bookmarkEnd w:id="253"/>
            <w:bookmarkEnd w:id="254"/>
          </w:p>
        </w:tc>
        <w:tc>
          <w:tcPr>
            <w:tcW w:w="7380" w:type="dxa"/>
            <w:tcBorders>
              <w:top w:val="nil"/>
              <w:left w:val="nil"/>
              <w:bottom w:val="nil"/>
              <w:right w:val="nil"/>
            </w:tcBorders>
          </w:tcPr>
          <w:p w14:paraId="34BD63E0" w14:textId="0D75944D" w:rsidR="002476D3" w:rsidRPr="00A67F27" w:rsidRDefault="002476D3" w:rsidP="00D510E8">
            <w:pPr>
              <w:pStyle w:val="Paragraphedeliste"/>
              <w:numPr>
                <w:ilvl w:val="1"/>
                <w:numId w:val="44"/>
              </w:numPr>
              <w:tabs>
                <w:tab w:val="left" w:pos="1152"/>
              </w:tabs>
              <w:spacing w:after="0"/>
              <w:rPr>
                <w:rFonts w:asciiTheme="majorBidi" w:hAnsiTheme="majorBidi" w:cstheme="majorBidi"/>
              </w:rPr>
            </w:pPr>
            <w:r w:rsidRPr="00A67F27">
              <w:rPr>
                <w:rFonts w:asciiTheme="majorBidi" w:hAnsiTheme="majorBidi" w:cstheme="majorBidi"/>
              </w:rPr>
              <w:t>Le Maître de l’Ouvrage n’acceptera aucune offre arrivée après l’expiration du délai de remise des offres conformément à l’article 22 des IS. Toute offre reçue par le Maître de l’Ouvrage après la date et l’heure limite de dépôt des offres sera déclarée hors délai, écartée et renvoyée au Soumissionnaire sans avoir été ouverte.</w:t>
            </w:r>
          </w:p>
        </w:tc>
      </w:tr>
      <w:tr w:rsidR="002476D3" w:rsidRPr="00A67F27" w14:paraId="4C9C3564" w14:textId="77777777" w:rsidTr="007318E7">
        <w:trPr>
          <w:cantSplit/>
          <w:trHeight w:val="20"/>
        </w:trPr>
        <w:tc>
          <w:tcPr>
            <w:tcW w:w="2250" w:type="dxa"/>
            <w:tcBorders>
              <w:top w:val="nil"/>
              <w:left w:val="nil"/>
              <w:bottom w:val="nil"/>
              <w:right w:val="nil"/>
            </w:tcBorders>
          </w:tcPr>
          <w:p w14:paraId="77A05E03" w14:textId="1C1F0EC3" w:rsidR="002476D3" w:rsidRPr="00A67F27" w:rsidRDefault="002476D3" w:rsidP="007318E7">
            <w:pPr>
              <w:pStyle w:val="S1-Header2"/>
              <w:numPr>
                <w:ilvl w:val="0"/>
                <w:numId w:val="0"/>
              </w:numPr>
              <w:tabs>
                <w:tab w:val="num" w:pos="432"/>
              </w:tabs>
              <w:spacing w:after="0"/>
              <w:ind w:left="432" w:hanging="432"/>
              <w:rPr>
                <w:rFonts w:asciiTheme="majorBidi" w:hAnsiTheme="majorBidi" w:cstheme="majorBidi"/>
                <w:lang w:val="fr-FR"/>
              </w:rPr>
            </w:pPr>
            <w:bookmarkStart w:id="255" w:name="_Toc424009126"/>
            <w:bookmarkStart w:id="256" w:name="_Toc438438848"/>
            <w:bookmarkStart w:id="257" w:name="_Toc438532620"/>
            <w:bookmarkStart w:id="258" w:name="_Toc438733992"/>
            <w:bookmarkStart w:id="259" w:name="_Toc438907030"/>
            <w:bookmarkStart w:id="260" w:name="_Toc438907229"/>
            <w:bookmarkStart w:id="261" w:name="_Toc156373308"/>
            <w:bookmarkStart w:id="262" w:name="_Toc483210596"/>
            <w:bookmarkStart w:id="263" w:name="_Toc487641795"/>
            <w:r w:rsidRPr="00A67F27">
              <w:rPr>
                <w:lang w:val="fr-FR"/>
              </w:rPr>
              <w:lastRenderedPageBreak/>
              <w:t>24.</w:t>
            </w:r>
            <w:r w:rsidRPr="00A67F27">
              <w:rPr>
                <w:lang w:val="fr-FR"/>
              </w:rPr>
              <w:tab/>
              <w:t>Retrait, substitution et modification des offres</w:t>
            </w:r>
            <w:bookmarkEnd w:id="255"/>
            <w:bookmarkEnd w:id="256"/>
            <w:bookmarkEnd w:id="257"/>
            <w:bookmarkEnd w:id="258"/>
            <w:bookmarkEnd w:id="259"/>
            <w:bookmarkEnd w:id="260"/>
            <w:bookmarkEnd w:id="261"/>
            <w:bookmarkEnd w:id="262"/>
            <w:bookmarkEnd w:id="263"/>
            <w:r w:rsidRPr="00A67F27">
              <w:rPr>
                <w:rFonts w:asciiTheme="majorBidi" w:hAnsiTheme="majorBidi" w:cstheme="majorBidi"/>
                <w:lang w:val="fr-FR"/>
              </w:rPr>
              <w:t xml:space="preserve"> </w:t>
            </w:r>
          </w:p>
        </w:tc>
        <w:tc>
          <w:tcPr>
            <w:tcW w:w="7380" w:type="dxa"/>
            <w:tcBorders>
              <w:top w:val="nil"/>
              <w:left w:val="nil"/>
              <w:bottom w:val="nil"/>
              <w:right w:val="nil"/>
            </w:tcBorders>
          </w:tcPr>
          <w:p w14:paraId="5E437F37" w14:textId="06DDC7D5" w:rsidR="002476D3" w:rsidRPr="00A67F27" w:rsidRDefault="002476D3" w:rsidP="007318E7">
            <w:pPr>
              <w:pStyle w:val="Header3-Paragraph"/>
              <w:numPr>
                <w:ilvl w:val="1"/>
                <w:numId w:val="15"/>
              </w:numPr>
              <w:tabs>
                <w:tab w:val="clear" w:pos="420"/>
                <w:tab w:val="clear" w:pos="504"/>
                <w:tab w:val="left" w:pos="1152"/>
              </w:tabs>
              <w:suppressAutoHyphens/>
              <w:spacing w:after="0"/>
              <w:ind w:left="662" w:hanging="662"/>
              <w:rPr>
                <w:rFonts w:asciiTheme="majorBidi" w:hAnsiTheme="majorBidi" w:cstheme="majorBidi"/>
                <w:lang w:val="fr-FR"/>
              </w:rPr>
            </w:pPr>
            <w:r w:rsidRPr="00A67F27">
              <w:rPr>
                <w:rFonts w:asciiTheme="majorBidi" w:hAnsiTheme="majorBidi" w:cstheme="majorBidi"/>
                <w:lang w:val="fr-FR"/>
              </w:rPr>
              <w:t xml:space="preserve">Un </w:t>
            </w:r>
            <w:r w:rsidR="001E53DC" w:rsidRPr="00A67F27">
              <w:rPr>
                <w:rFonts w:asciiTheme="majorBidi" w:hAnsiTheme="majorBidi" w:cstheme="majorBidi"/>
                <w:lang w:val="fr-FR"/>
              </w:rPr>
              <w:t>S</w:t>
            </w:r>
            <w:r w:rsidRPr="00A67F27">
              <w:rPr>
                <w:rFonts w:asciiTheme="majorBidi" w:hAnsiTheme="majorBidi" w:cstheme="majorBidi"/>
                <w:lang w:val="fr-FR"/>
              </w:rPr>
              <w:t>oumissionnaire peut retirer, remplacer, ou modifier son offre après l’avoir remise, par voie de notification écrite, dûment signée par un représentant habilité, assortie d’une copie de l’habilitation en application de l’article 20.</w:t>
            </w:r>
            <w:r w:rsidR="00E43E90" w:rsidRPr="00A67F27">
              <w:rPr>
                <w:rFonts w:asciiTheme="majorBidi" w:hAnsiTheme="majorBidi" w:cstheme="majorBidi"/>
                <w:lang w:val="fr-FR"/>
              </w:rPr>
              <w:t>2</w:t>
            </w:r>
            <w:r w:rsidRPr="00A67F27">
              <w:rPr>
                <w:rFonts w:asciiTheme="majorBidi" w:hAnsiTheme="majorBidi" w:cstheme="majorBidi"/>
                <w:lang w:val="fr-FR"/>
              </w:rPr>
              <w:t xml:space="preserve"> des IS. La modification ou l’offre de remplacement correspondante doit être jointe à la notification écrite. Toutes les notifications devront être</w:t>
            </w:r>
            <w:r w:rsidR="009B2302" w:rsidRPr="00A67F27">
              <w:rPr>
                <w:rFonts w:asciiTheme="majorBidi" w:hAnsiTheme="majorBidi" w:cstheme="majorBidi"/>
                <w:lang w:val="fr-FR"/>
              </w:rPr>
              <w:t> :</w:t>
            </w:r>
          </w:p>
          <w:p w14:paraId="5E7450FF" w14:textId="1DF229EB" w:rsidR="002476D3" w:rsidRPr="00A67F27" w:rsidRDefault="00884AB4" w:rsidP="007318E7">
            <w:pPr>
              <w:numPr>
                <w:ilvl w:val="0"/>
                <w:numId w:val="10"/>
              </w:numPr>
              <w:tabs>
                <w:tab w:val="left" w:pos="576"/>
                <w:tab w:val="left" w:pos="1152"/>
              </w:tabs>
              <w:spacing w:after="0"/>
              <w:ind w:left="1152" w:hanging="576"/>
              <w:rPr>
                <w:rFonts w:asciiTheme="majorBidi" w:hAnsiTheme="majorBidi" w:cstheme="majorBidi"/>
              </w:rPr>
            </w:pPr>
            <w:r w:rsidRPr="00A67F27">
              <w:rPr>
                <w:rFonts w:asciiTheme="majorBidi" w:hAnsiTheme="majorBidi" w:cstheme="majorBidi"/>
              </w:rPr>
              <w:t>Préparées</w:t>
            </w:r>
            <w:r w:rsidR="002476D3" w:rsidRPr="00A67F27">
              <w:rPr>
                <w:rFonts w:asciiTheme="majorBidi" w:hAnsiTheme="majorBidi" w:cstheme="majorBidi"/>
              </w:rPr>
              <w:t xml:space="preserve"> et délivrées en application des articles 20 et 21 des IS (sauf pour ce qui est des notifications de retrait qui ne nécessitent pas de copies). Par ailleurs, les enveloppes doivent porter clairement, selon le cas, la mention </w:t>
            </w:r>
            <w:r w:rsidR="009B2302" w:rsidRPr="00A67F27">
              <w:rPr>
                <w:rFonts w:asciiTheme="majorBidi" w:hAnsiTheme="majorBidi" w:cstheme="majorBidi"/>
              </w:rPr>
              <w:t>« </w:t>
            </w:r>
            <w:r w:rsidR="002476D3" w:rsidRPr="00A67F27">
              <w:rPr>
                <w:rFonts w:asciiTheme="majorBidi" w:hAnsiTheme="majorBidi" w:cstheme="majorBidi"/>
                <w:smallCaps/>
              </w:rPr>
              <w:t>Retrait</w:t>
            </w:r>
            <w:r w:rsidR="009B2302" w:rsidRPr="00A67F27">
              <w:rPr>
                <w:rFonts w:asciiTheme="majorBidi" w:hAnsiTheme="majorBidi" w:cstheme="majorBidi"/>
              </w:rPr>
              <w:t> »</w:t>
            </w:r>
            <w:r w:rsidR="002476D3" w:rsidRPr="00A67F27">
              <w:rPr>
                <w:rFonts w:asciiTheme="majorBidi" w:hAnsiTheme="majorBidi" w:cstheme="majorBidi"/>
              </w:rPr>
              <w:t xml:space="preserve">, </w:t>
            </w:r>
            <w:r w:rsidR="009B2302" w:rsidRPr="00A67F27">
              <w:rPr>
                <w:rFonts w:asciiTheme="majorBidi" w:hAnsiTheme="majorBidi" w:cstheme="majorBidi"/>
              </w:rPr>
              <w:t>« </w:t>
            </w:r>
            <w:r w:rsidR="002476D3" w:rsidRPr="00A67F27">
              <w:rPr>
                <w:rFonts w:asciiTheme="majorBidi" w:hAnsiTheme="majorBidi" w:cstheme="majorBidi"/>
                <w:smallCaps/>
              </w:rPr>
              <w:t>Offre de Remplacement</w:t>
            </w:r>
            <w:r w:rsidR="009B2302" w:rsidRPr="00A67F27">
              <w:rPr>
                <w:rFonts w:asciiTheme="majorBidi" w:hAnsiTheme="majorBidi" w:cstheme="majorBidi"/>
              </w:rPr>
              <w:t> »</w:t>
            </w:r>
            <w:r w:rsidR="002476D3" w:rsidRPr="00A67F27">
              <w:rPr>
                <w:rFonts w:asciiTheme="majorBidi" w:hAnsiTheme="majorBidi" w:cstheme="majorBidi"/>
              </w:rPr>
              <w:t xml:space="preserve"> ou </w:t>
            </w:r>
            <w:r w:rsidR="009B2302" w:rsidRPr="00A67F27">
              <w:rPr>
                <w:rFonts w:asciiTheme="majorBidi" w:hAnsiTheme="majorBidi" w:cstheme="majorBidi"/>
              </w:rPr>
              <w:t>« </w:t>
            </w:r>
            <w:r w:rsidR="002476D3" w:rsidRPr="00A67F27">
              <w:rPr>
                <w:rFonts w:asciiTheme="majorBidi" w:hAnsiTheme="majorBidi" w:cstheme="majorBidi"/>
                <w:smallCaps/>
              </w:rPr>
              <w:t>Modification</w:t>
            </w:r>
            <w:r w:rsidR="009B2302" w:rsidRPr="00A67F27">
              <w:rPr>
                <w:rFonts w:asciiTheme="majorBidi" w:hAnsiTheme="majorBidi" w:cstheme="majorBidi"/>
              </w:rPr>
              <w:t> » ;</w:t>
            </w:r>
            <w:r w:rsidR="002476D3" w:rsidRPr="00A67F27">
              <w:rPr>
                <w:rFonts w:asciiTheme="majorBidi" w:hAnsiTheme="majorBidi" w:cstheme="majorBidi"/>
              </w:rPr>
              <w:t xml:space="preserve"> et </w:t>
            </w:r>
          </w:p>
          <w:p w14:paraId="2F5435AF" w14:textId="77777777" w:rsidR="002476D3" w:rsidRPr="00A67F27" w:rsidRDefault="002476D3" w:rsidP="007318E7">
            <w:pPr>
              <w:numPr>
                <w:ilvl w:val="0"/>
                <w:numId w:val="10"/>
              </w:numPr>
              <w:tabs>
                <w:tab w:val="left" w:pos="576"/>
                <w:tab w:val="left" w:pos="1152"/>
              </w:tabs>
              <w:spacing w:after="0"/>
              <w:ind w:left="1152" w:hanging="576"/>
              <w:rPr>
                <w:rFonts w:asciiTheme="majorBidi" w:hAnsiTheme="majorBidi" w:cstheme="majorBidi"/>
                <w:spacing w:val="-4"/>
              </w:rPr>
            </w:pPr>
            <w:r w:rsidRPr="00A67F27">
              <w:rPr>
                <w:rFonts w:asciiTheme="majorBidi" w:hAnsiTheme="majorBidi" w:cstheme="majorBidi"/>
                <w:spacing w:val="-4"/>
              </w:rPr>
              <w:t>reçues par le Maître de l’Ouvrage avant la date et l’heure limites de remise des offres conformément à l’article 22 des IS.</w:t>
            </w:r>
          </w:p>
        </w:tc>
      </w:tr>
      <w:tr w:rsidR="002476D3" w:rsidRPr="00A67F27" w14:paraId="2D21FDBA" w14:textId="77777777" w:rsidTr="007318E7">
        <w:trPr>
          <w:trHeight w:val="20"/>
        </w:trPr>
        <w:tc>
          <w:tcPr>
            <w:tcW w:w="2250" w:type="dxa"/>
            <w:tcBorders>
              <w:top w:val="nil"/>
              <w:left w:val="nil"/>
              <w:bottom w:val="nil"/>
              <w:right w:val="nil"/>
            </w:tcBorders>
          </w:tcPr>
          <w:p w14:paraId="1FB92DB9" w14:textId="77777777" w:rsidR="002476D3" w:rsidRPr="00A67F27" w:rsidRDefault="002476D3" w:rsidP="007318E7">
            <w:pPr>
              <w:spacing w:after="0"/>
              <w:rPr>
                <w:rFonts w:asciiTheme="majorBidi" w:hAnsiTheme="majorBidi" w:cstheme="majorBidi"/>
              </w:rPr>
            </w:pPr>
            <w:bookmarkStart w:id="264" w:name="_Toc438532621"/>
            <w:bookmarkEnd w:id="264"/>
          </w:p>
        </w:tc>
        <w:tc>
          <w:tcPr>
            <w:tcW w:w="7380" w:type="dxa"/>
            <w:tcBorders>
              <w:top w:val="nil"/>
              <w:left w:val="nil"/>
              <w:bottom w:val="nil"/>
              <w:right w:val="nil"/>
            </w:tcBorders>
          </w:tcPr>
          <w:p w14:paraId="1E1BD75E" w14:textId="77777777" w:rsidR="002476D3" w:rsidRPr="00A67F27" w:rsidRDefault="002476D3" w:rsidP="007318E7">
            <w:pPr>
              <w:pStyle w:val="Header3-Paragraph"/>
              <w:numPr>
                <w:ilvl w:val="1"/>
                <w:numId w:val="15"/>
              </w:numPr>
              <w:tabs>
                <w:tab w:val="clear" w:pos="420"/>
                <w:tab w:val="clear" w:pos="504"/>
                <w:tab w:val="left" w:pos="1152"/>
              </w:tabs>
              <w:suppressAutoHyphens/>
              <w:spacing w:after="0"/>
              <w:ind w:left="662" w:hanging="662"/>
              <w:rPr>
                <w:rFonts w:asciiTheme="majorBidi" w:hAnsiTheme="majorBidi" w:cstheme="majorBidi"/>
                <w:lang w:val="fr-FR"/>
              </w:rPr>
            </w:pPr>
            <w:r w:rsidRPr="00A67F27">
              <w:rPr>
                <w:rFonts w:asciiTheme="majorBidi" w:hAnsiTheme="majorBidi" w:cstheme="majorBidi"/>
                <w:lang w:val="fr-FR"/>
              </w:rPr>
              <w:t xml:space="preserve">Les offres dont les </w:t>
            </w:r>
            <w:r w:rsidR="001E6587" w:rsidRPr="00A67F27">
              <w:rPr>
                <w:rFonts w:asciiTheme="majorBidi" w:hAnsiTheme="majorBidi" w:cstheme="majorBidi"/>
                <w:lang w:val="fr-FR"/>
              </w:rPr>
              <w:t>S</w:t>
            </w:r>
            <w:r w:rsidRPr="00A67F27">
              <w:rPr>
                <w:rFonts w:asciiTheme="majorBidi" w:hAnsiTheme="majorBidi" w:cstheme="majorBidi"/>
                <w:lang w:val="fr-FR"/>
              </w:rPr>
              <w:t>oumissionnaires demandent le retrait en application de l’article 24.1 ci-dessus leur seront renvoyées sans avoir être ouvertes.</w:t>
            </w:r>
          </w:p>
        </w:tc>
      </w:tr>
      <w:tr w:rsidR="002476D3" w:rsidRPr="00A67F27" w14:paraId="7330A6A6" w14:textId="77777777" w:rsidTr="007318E7">
        <w:trPr>
          <w:trHeight w:val="20"/>
        </w:trPr>
        <w:tc>
          <w:tcPr>
            <w:tcW w:w="2250" w:type="dxa"/>
            <w:tcBorders>
              <w:top w:val="nil"/>
              <w:left w:val="nil"/>
              <w:bottom w:val="nil"/>
              <w:right w:val="nil"/>
            </w:tcBorders>
          </w:tcPr>
          <w:p w14:paraId="0C0F947A" w14:textId="77777777" w:rsidR="002476D3" w:rsidRPr="00A67F27" w:rsidRDefault="002476D3" w:rsidP="007318E7">
            <w:pPr>
              <w:spacing w:after="0"/>
              <w:rPr>
                <w:rFonts w:asciiTheme="majorBidi" w:hAnsiTheme="majorBidi" w:cstheme="majorBidi"/>
              </w:rPr>
            </w:pPr>
            <w:bookmarkStart w:id="265" w:name="_Toc438532622"/>
            <w:bookmarkEnd w:id="265"/>
          </w:p>
        </w:tc>
        <w:tc>
          <w:tcPr>
            <w:tcW w:w="7380" w:type="dxa"/>
            <w:tcBorders>
              <w:top w:val="nil"/>
              <w:left w:val="nil"/>
              <w:bottom w:val="nil"/>
              <w:right w:val="nil"/>
            </w:tcBorders>
          </w:tcPr>
          <w:p w14:paraId="4CBFBFDF" w14:textId="41240B98" w:rsidR="002476D3" w:rsidRPr="00A67F27" w:rsidRDefault="00BC5EDC" w:rsidP="007318E7">
            <w:pPr>
              <w:pStyle w:val="Header3-Paragraph"/>
              <w:numPr>
                <w:ilvl w:val="1"/>
                <w:numId w:val="15"/>
              </w:numPr>
              <w:tabs>
                <w:tab w:val="clear" w:pos="420"/>
                <w:tab w:val="clear" w:pos="504"/>
                <w:tab w:val="left" w:pos="1152"/>
              </w:tabs>
              <w:suppressAutoHyphens/>
              <w:spacing w:after="0"/>
              <w:ind w:left="662" w:hanging="662"/>
              <w:rPr>
                <w:rFonts w:asciiTheme="majorBidi" w:hAnsiTheme="majorBidi" w:cstheme="majorBidi"/>
                <w:lang w:val="fr-FR"/>
              </w:rPr>
            </w:pPr>
            <w:r w:rsidRPr="00A67F27">
              <w:rPr>
                <w:rFonts w:asciiTheme="majorBidi" w:hAnsiTheme="majorBidi" w:cstheme="majorBidi"/>
                <w:lang w:val="fr-FR"/>
              </w:rPr>
              <w:t xml:space="preserve">Une </w:t>
            </w:r>
            <w:r w:rsidR="002476D3" w:rsidRPr="00A67F27">
              <w:rPr>
                <w:rFonts w:asciiTheme="majorBidi" w:hAnsiTheme="majorBidi" w:cstheme="majorBidi"/>
                <w:lang w:val="fr-FR"/>
              </w:rPr>
              <w:t xml:space="preserve">offre ne peut </w:t>
            </w:r>
            <w:r w:rsidRPr="00A67F27">
              <w:rPr>
                <w:rFonts w:asciiTheme="majorBidi" w:hAnsiTheme="majorBidi" w:cstheme="majorBidi"/>
                <w:lang w:val="fr-FR"/>
              </w:rPr>
              <w:t xml:space="preserve">pas </w:t>
            </w:r>
            <w:r w:rsidR="002476D3" w:rsidRPr="00A67F27">
              <w:rPr>
                <w:rFonts w:asciiTheme="majorBidi" w:hAnsiTheme="majorBidi" w:cstheme="majorBidi"/>
                <w:lang w:val="fr-FR"/>
              </w:rPr>
              <w:t xml:space="preserve">être retirée, remplacée ou modifiée entre la date et l’heure limite de dépôt des offres et la date d’expiration de la validité spécifiée par le Soumissionnaire dans sa </w:t>
            </w:r>
            <w:r w:rsidR="004F3FBF" w:rsidRPr="00A67F27">
              <w:rPr>
                <w:rFonts w:asciiTheme="majorBidi" w:hAnsiTheme="majorBidi" w:cstheme="majorBidi"/>
                <w:lang w:val="fr-FR"/>
              </w:rPr>
              <w:t>S</w:t>
            </w:r>
            <w:r w:rsidR="002476D3" w:rsidRPr="00A67F27">
              <w:rPr>
                <w:rFonts w:asciiTheme="majorBidi" w:hAnsiTheme="majorBidi" w:cstheme="majorBidi"/>
                <w:lang w:val="fr-FR"/>
              </w:rPr>
              <w:t>oumission, ou</w:t>
            </w:r>
            <w:r w:rsidR="009B2302" w:rsidRPr="00A67F27">
              <w:rPr>
                <w:rFonts w:asciiTheme="majorBidi" w:hAnsiTheme="majorBidi" w:cstheme="majorBidi"/>
                <w:lang w:val="fr-FR"/>
              </w:rPr>
              <w:t xml:space="preserve"> </w:t>
            </w:r>
            <w:r w:rsidR="002476D3" w:rsidRPr="00A67F27">
              <w:rPr>
                <w:rFonts w:asciiTheme="majorBidi" w:hAnsiTheme="majorBidi" w:cstheme="majorBidi"/>
                <w:lang w:val="fr-FR"/>
              </w:rPr>
              <w:t>la date d’expiration de la période de prorogation de la validité.</w:t>
            </w:r>
          </w:p>
        </w:tc>
      </w:tr>
      <w:tr w:rsidR="002476D3" w:rsidRPr="00A67F27" w14:paraId="75318F5A" w14:textId="77777777" w:rsidTr="007318E7">
        <w:trPr>
          <w:trHeight w:val="20"/>
        </w:trPr>
        <w:tc>
          <w:tcPr>
            <w:tcW w:w="2250" w:type="dxa"/>
            <w:tcBorders>
              <w:top w:val="nil"/>
              <w:left w:val="nil"/>
              <w:bottom w:val="nil"/>
              <w:right w:val="nil"/>
            </w:tcBorders>
          </w:tcPr>
          <w:p w14:paraId="2C7629F0" w14:textId="4EE0BFB9" w:rsidR="002476D3" w:rsidRPr="00A67F27" w:rsidRDefault="004F67E3" w:rsidP="007318E7">
            <w:pPr>
              <w:pStyle w:val="S1-Header2"/>
              <w:numPr>
                <w:ilvl w:val="0"/>
                <w:numId w:val="0"/>
              </w:numPr>
              <w:tabs>
                <w:tab w:val="num" w:pos="432"/>
              </w:tabs>
              <w:spacing w:after="0"/>
              <w:ind w:left="432" w:hanging="432"/>
              <w:rPr>
                <w:rFonts w:asciiTheme="majorBidi" w:hAnsiTheme="majorBidi" w:cstheme="majorBidi"/>
                <w:lang w:val="fr-FR"/>
              </w:rPr>
            </w:pPr>
            <w:bookmarkStart w:id="266" w:name="_Toc156373309"/>
            <w:bookmarkStart w:id="267" w:name="_Toc483210597"/>
            <w:bookmarkStart w:id="268" w:name="_Toc487641796"/>
            <w:r w:rsidRPr="00A67F27">
              <w:rPr>
                <w:lang w:val="fr-FR"/>
              </w:rPr>
              <w:t>25.</w:t>
            </w:r>
            <w:r w:rsidR="002476D3" w:rsidRPr="00A67F27">
              <w:rPr>
                <w:lang w:val="fr-FR"/>
              </w:rPr>
              <w:tab/>
              <w:t>Ouverture des plis</w:t>
            </w:r>
            <w:bookmarkEnd w:id="266"/>
            <w:bookmarkEnd w:id="267"/>
            <w:bookmarkEnd w:id="268"/>
            <w:r w:rsidRPr="00A67F27">
              <w:rPr>
                <w:rFonts w:asciiTheme="majorBidi" w:hAnsiTheme="majorBidi" w:cstheme="majorBidi"/>
                <w:lang w:val="fr-FR"/>
              </w:rPr>
              <w:t xml:space="preserve"> </w:t>
            </w:r>
          </w:p>
        </w:tc>
        <w:tc>
          <w:tcPr>
            <w:tcW w:w="7380" w:type="dxa"/>
            <w:tcBorders>
              <w:top w:val="nil"/>
              <w:left w:val="nil"/>
              <w:bottom w:val="nil"/>
              <w:right w:val="nil"/>
            </w:tcBorders>
          </w:tcPr>
          <w:p w14:paraId="4C33AAF0" w14:textId="3974588D" w:rsidR="002476D3" w:rsidRPr="00A67F27" w:rsidRDefault="002476D3" w:rsidP="00D510E8">
            <w:pPr>
              <w:pStyle w:val="Paragraphedeliste"/>
              <w:numPr>
                <w:ilvl w:val="1"/>
                <w:numId w:val="45"/>
              </w:numPr>
              <w:tabs>
                <w:tab w:val="left" w:pos="1152"/>
              </w:tabs>
              <w:spacing w:after="0"/>
              <w:contextualSpacing w:val="0"/>
              <w:rPr>
                <w:rFonts w:asciiTheme="majorBidi" w:hAnsiTheme="majorBidi" w:cstheme="majorBidi"/>
              </w:rPr>
            </w:pPr>
            <w:r w:rsidRPr="00A67F27">
              <w:rPr>
                <w:rFonts w:asciiTheme="majorBidi" w:hAnsiTheme="majorBidi" w:cstheme="majorBidi"/>
              </w:rPr>
              <w:t xml:space="preserve">Sous réserve des dispositions figurant aux articles 23 et 24 des IS, à la date, heure et à l’adresse </w:t>
            </w:r>
            <w:r w:rsidRPr="00A67F27">
              <w:rPr>
                <w:rFonts w:asciiTheme="majorBidi" w:hAnsiTheme="majorBidi" w:cstheme="majorBidi"/>
                <w:b/>
                <w:bCs/>
              </w:rPr>
              <w:t>indiquées dans les</w:t>
            </w:r>
            <w:r w:rsidRPr="00A67F27">
              <w:rPr>
                <w:rFonts w:asciiTheme="majorBidi" w:hAnsiTheme="majorBidi" w:cstheme="majorBidi"/>
              </w:rPr>
              <w:t xml:space="preserve"> </w:t>
            </w:r>
            <w:r w:rsidRPr="00A67F27">
              <w:rPr>
                <w:rFonts w:asciiTheme="majorBidi" w:hAnsiTheme="majorBidi" w:cstheme="majorBidi"/>
                <w:b/>
              </w:rPr>
              <w:t>DPAO</w:t>
            </w:r>
            <w:r w:rsidRPr="00A67F27" w:rsidDel="00C03B1C">
              <w:rPr>
                <w:rFonts w:asciiTheme="majorBidi" w:hAnsiTheme="majorBidi" w:cstheme="majorBidi"/>
              </w:rPr>
              <w:t xml:space="preserve"> </w:t>
            </w:r>
            <w:r w:rsidRPr="00A67F27">
              <w:rPr>
                <w:rFonts w:asciiTheme="majorBidi" w:hAnsiTheme="majorBidi" w:cstheme="majorBidi"/>
              </w:rPr>
              <w:t xml:space="preserve">le Maître de l’Ouvrage procédera à l’ouverture en public de toutes les offres reçues </w:t>
            </w:r>
            <w:r w:rsidRPr="00A67F27">
              <w:rPr>
                <w:rFonts w:asciiTheme="majorBidi" w:hAnsiTheme="majorBidi" w:cstheme="majorBidi"/>
                <w:spacing w:val="-4"/>
              </w:rPr>
              <w:t xml:space="preserve">avant la date et l’heure limites </w:t>
            </w:r>
            <w:r w:rsidRPr="00A67F27">
              <w:rPr>
                <w:rFonts w:asciiTheme="majorBidi" w:hAnsiTheme="majorBidi" w:cstheme="majorBidi"/>
              </w:rPr>
              <w:t>(quel</w:t>
            </w:r>
            <w:r w:rsidR="00AA254A" w:rsidRPr="00A67F27">
              <w:rPr>
                <w:rFonts w:asciiTheme="majorBidi" w:hAnsiTheme="majorBidi" w:cstheme="majorBidi"/>
              </w:rPr>
              <w:t xml:space="preserve"> </w:t>
            </w:r>
            <w:r w:rsidRPr="00A67F27">
              <w:rPr>
                <w:rFonts w:asciiTheme="majorBidi" w:hAnsiTheme="majorBidi" w:cstheme="majorBidi"/>
              </w:rPr>
              <w:t xml:space="preserve">que soit le nombre d’offres reçues) en présence des représentants des Soumissionnaires et de toute autre personne qui souhaite être présente. Les procédures spécifiques à l’ouverture d’offres électroniques si de telles offres sont prévues à l’article 22.1 des IS seront </w:t>
            </w:r>
            <w:r w:rsidRPr="00A67F27">
              <w:rPr>
                <w:rFonts w:asciiTheme="majorBidi" w:hAnsiTheme="majorBidi" w:cstheme="majorBidi"/>
                <w:b/>
                <w:bCs/>
              </w:rPr>
              <w:t>détaillé</w:t>
            </w:r>
            <w:r w:rsidR="001E53DC" w:rsidRPr="00A67F27">
              <w:rPr>
                <w:rFonts w:asciiTheme="majorBidi" w:hAnsiTheme="majorBidi" w:cstheme="majorBidi"/>
                <w:b/>
                <w:bCs/>
              </w:rPr>
              <w:t>e</w:t>
            </w:r>
            <w:r w:rsidRPr="00A67F27">
              <w:rPr>
                <w:rFonts w:asciiTheme="majorBidi" w:hAnsiTheme="majorBidi" w:cstheme="majorBidi"/>
                <w:b/>
                <w:bCs/>
              </w:rPr>
              <w:t>s dans les</w:t>
            </w:r>
            <w:r w:rsidRPr="00A67F27">
              <w:rPr>
                <w:rFonts w:asciiTheme="majorBidi" w:hAnsiTheme="majorBidi" w:cstheme="majorBidi"/>
              </w:rPr>
              <w:t xml:space="preserve"> </w:t>
            </w:r>
            <w:r w:rsidRPr="00A67F27">
              <w:rPr>
                <w:rFonts w:asciiTheme="majorBidi" w:hAnsiTheme="majorBidi" w:cstheme="majorBidi"/>
                <w:b/>
              </w:rPr>
              <w:t>DPAO</w:t>
            </w:r>
            <w:r w:rsidRPr="00A67F27">
              <w:rPr>
                <w:rFonts w:asciiTheme="majorBidi" w:hAnsiTheme="majorBidi" w:cstheme="majorBidi"/>
              </w:rPr>
              <w:t>.</w:t>
            </w:r>
            <w:r w:rsidR="009B2302" w:rsidRPr="00A67F27">
              <w:rPr>
                <w:rFonts w:asciiTheme="majorBidi" w:hAnsiTheme="majorBidi" w:cstheme="majorBidi"/>
              </w:rPr>
              <w:t xml:space="preserve"> </w:t>
            </w:r>
          </w:p>
        </w:tc>
      </w:tr>
      <w:tr w:rsidR="002476D3" w:rsidRPr="00A67F27" w14:paraId="21B5B846" w14:textId="77777777" w:rsidTr="007318E7">
        <w:trPr>
          <w:trHeight w:val="20"/>
        </w:trPr>
        <w:tc>
          <w:tcPr>
            <w:tcW w:w="2250" w:type="dxa"/>
            <w:tcBorders>
              <w:top w:val="nil"/>
              <w:left w:val="nil"/>
              <w:bottom w:val="nil"/>
              <w:right w:val="nil"/>
            </w:tcBorders>
          </w:tcPr>
          <w:p w14:paraId="09556B8E" w14:textId="77777777" w:rsidR="002476D3" w:rsidRPr="00A67F27" w:rsidRDefault="002476D3" w:rsidP="007318E7">
            <w:pPr>
              <w:spacing w:after="0"/>
              <w:rPr>
                <w:rFonts w:asciiTheme="majorBidi" w:hAnsiTheme="majorBidi" w:cstheme="majorBidi"/>
              </w:rPr>
            </w:pPr>
            <w:bookmarkStart w:id="269" w:name="_Toc438532624"/>
            <w:bookmarkStart w:id="270" w:name="_Toc438532625"/>
            <w:bookmarkEnd w:id="269"/>
            <w:bookmarkEnd w:id="270"/>
          </w:p>
        </w:tc>
        <w:tc>
          <w:tcPr>
            <w:tcW w:w="7380" w:type="dxa"/>
            <w:tcBorders>
              <w:top w:val="nil"/>
              <w:left w:val="nil"/>
              <w:bottom w:val="nil"/>
              <w:right w:val="nil"/>
            </w:tcBorders>
          </w:tcPr>
          <w:p w14:paraId="75D25938" w14:textId="2D18980C" w:rsidR="002476D3" w:rsidRPr="00A67F27" w:rsidRDefault="002476D3" w:rsidP="00D510E8">
            <w:pPr>
              <w:pStyle w:val="Paragraphedeliste"/>
              <w:numPr>
                <w:ilvl w:val="1"/>
                <w:numId w:val="45"/>
              </w:numPr>
              <w:tabs>
                <w:tab w:val="left" w:pos="576"/>
                <w:tab w:val="left" w:pos="1152"/>
              </w:tabs>
              <w:spacing w:after="0"/>
              <w:contextualSpacing w:val="0"/>
              <w:rPr>
                <w:rFonts w:asciiTheme="majorBidi" w:hAnsiTheme="majorBidi" w:cstheme="majorBidi"/>
              </w:rPr>
            </w:pPr>
            <w:r w:rsidRPr="00A67F27">
              <w:rPr>
                <w:rFonts w:asciiTheme="majorBidi" w:hAnsiTheme="majorBidi" w:cstheme="majorBidi"/>
              </w:rPr>
              <w:t xml:space="preserve">Dans un premier temps, les enveloppes marquées </w:t>
            </w:r>
            <w:r w:rsidR="009B2302" w:rsidRPr="00A67F27">
              <w:rPr>
                <w:rFonts w:asciiTheme="majorBidi" w:hAnsiTheme="majorBidi" w:cstheme="majorBidi"/>
              </w:rPr>
              <w:t>« </w:t>
            </w:r>
            <w:r w:rsidRPr="00A67F27">
              <w:rPr>
                <w:rFonts w:asciiTheme="majorBidi" w:hAnsiTheme="majorBidi" w:cstheme="majorBidi"/>
                <w:smallCaps/>
                <w:spacing w:val="-4"/>
              </w:rPr>
              <w:t>Retrait</w:t>
            </w:r>
            <w:r w:rsidR="009B2302" w:rsidRPr="00A67F27">
              <w:rPr>
                <w:rFonts w:asciiTheme="majorBidi" w:hAnsiTheme="majorBidi" w:cstheme="majorBidi"/>
              </w:rPr>
              <w:t> »</w:t>
            </w:r>
            <w:r w:rsidRPr="00A67F27">
              <w:rPr>
                <w:rFonts w:asciiTheme="majorBidi" w:hAnsiTheme="majorBidi" w:cstheme="majorBidi"/>
              </w:rPr>
              <w:t xml:space="preserve"> seront ouvertes et leur contenu annoncé à haute voix, et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w:t>
            </w:r>
            <w:r w:rsidR="0029595F" w:rsidRPr="00A67F27">
              <w:rPr>
                <w:rFonts w:asciiTheme="majorBidi" w:hAnsiTheme="majorBidi" w:cstheme="majorBidi"/>
              </w:rPr>
              <w:t>.</w:t>
            </w:r>
            <w:r w:rsidRPr="00A67F27">
              <w:rPr>
                <w:rFonts w:asciiTheme="majorBidi" w:hAnsiTheme="majorBidi" w:cstheme="majorBidi"/>
              </w:rPr>
              <w:t xml:space="preserve"> Ensuite, les enveloppes marquées </w:t>
            </w:r>
            <w:r w:rsidR="009B2302" w:rsidRPr="00A67F27">
              <w:rPr>
                <w:rFonts w:asciiTheme="majorBidi" w:hAnsiTheme="majorBidi" w:cstheme="majorBidi"/>
              </w:rPr>
              <w:t>« </w:t>
            </w:r>
            <w:r w:rsidRPr="00A67F27">
              <w:rPr>
                <w:rFonts w:asciiTheme="majorBidi" w:hAnsiTheme="majorBidi" w:cstheme="majorBidi"/>
                <w:smallCaps/>
                <w:spacing w:val="-4"/>
              </w:rPr>
              <w:t>Offre de Remplacement</w:t>
            </w:r>
            <w:r w:rsidR="009B2302" w:rsidRPr="00A67F27">
              <w:rPr>
                <w:rFonts w:asciiTheme="majorBidi" w:hAnsiTheme="majorBidi" w:cstheme="majorBidi"/>
              </w:rPr>
              <w:t> »</w:t>
            </w:r>
            <w:r w:rsidRPr="00A67F27">
              <w:rPr>
                <w:rFonts w:asciiTheme="majorBidi" w:hAnsiTheme="majorBidi" w:cstheme="majorBidi"/>
              </w:rPr>
              <w:t xml:space="preserve"> seront ouvertes et annoncées à haute voix et la nouvelle offre correspondante substituée à la précédente, qui elle-même sera renvoyée au Soumissionnaire concerné sans avoir été ouverte. Le remplacement d’une offre ne sera autorisé que si la notification correspondante contient une habilitation valide du signataire à demander le remplacement et qu’elle</w:t>
            </w:r>
            <w:r w:rsidR="009B2302" w:rsidRPr="00A67F27">
              <w:rPr>
                <w:rFonts w:asciiTheme="majorBidi" w:hAnsiTheme="majorBidi" w:cstheme="majorBidi"/>
              </w:rPr>
              <w:t xml:space="preserve"> </w:t>
            </w:r>
            <w:r w:rsidRPr="00A67F27">
              <w:rPr>
                <w:rFonts w:asciiTheme="majorBidi" w:hAnsiTheme="majorBidi" w:cstheme="majorBidi"/>
              </w:rPr>
              <w:t xml:space="preserve">est lue à haute voix. </w:t>
            </w:r>
            <w:r w:rsidR="00A600C1" w:rsidRPr="00A67F27">
              <w:rPr>
                <w:rFonts w:asciiTheme="majorBidi" w:hAnsiTheme="majorBidi" w:cstheme="majorBidi"/>
              </w:rPr>
              <w:t xml:space="preserve">Puis, les </w:t>
            </w:r>
            <w:r w:rsidRPr="00A67F27">
              <w:rPr>
                <w:rFonts w:asciiTheme="majorBidi" w:hAnsiTheme="majorBidi" w:cstheme="majorBidi"/>
              </w:rPr>
              <w:t xml:space="preserve">enveloppes marquées </w:t>
            </w:r>
            <w:r w:rsidR="009B2302" w:rsidRPr="00A67F27">
              <w:rPr>
                <w:rFonts w:asciiTheme="majorBidi" w:hAnsiTheme="majorBidi" w:cstheme="majorBidi"/>
              </w:rPr>
              <w:t>« </w:t>
            </w:r>
            <w:r w:rsidRPr="00A67F27">
              <w:rPr>
                <w:rFonts w:asciiTheme="majorBidi" w:hAnsiTheme="majorBidi" w:cstheme="majorBidi"/>
                <w:smallCaps/>
                <w:spacing w:val="-4"/>
              </w:rPr>
              <w:t>modification</w:t>
            </w:r>
            <w:r w:rsidR="009B2302" w:rsidRPr="00A67F27">
              <w:rPr>
                <w:rFonts w:asciiTheme="majorBidi" w:hAnsiTheme="majorBidi" w:cstheme="majorBidi"/>
              </w:rPr>
              <w:t> »</w:t>
            </w:r>
            <w:r w:rsidRPr="00A67F27">
              <w:rPr>
                <w:rFonts w:asciiTheme="majorBidi" w:hAnsiTheme="majorBidi" w:cstheme="majorBidi"/>
              </w:rPr>
              <w:t xml:space="preserve"> seront ouvertes et leur contenu lu à haute voix avec l’offre correspondante. La modification d’une offre ne sera autorisée que si la notification correspondante contient une habilitation valide du signataire à demander la modification et qu’elle est lue à haute voix. </w:t>
            </w:r>
          </w:p>
        </w:tc>
      </w:tr>
      <w:tr w:rsidR="002476D3" w:rsidRPr="00A67F27" w14:paraId="6E7AC8F1" w14:textId="77777777" w:rsidTr="007318E7">
        <w:trPr>
          <w:trHeight w:val="20"/>
        </w:trPr>
        <w:tc>
          <w:tcPr>
            <w:tcW w:w="2250" w:type="dxa"/>
            <w:tcBorders>
              <w:top w:val="nil"/>
              <w:left w:val="nil"/>
              <w:bottom w:val="nil"/>
              <w:right w:val="nil"/>
            </w:tcBorders>
          </w:tcPr>
          <w:p w14:paraId="536B23E1" w14:textId="77777777" w:rsidR="002476D3" w:rsidRPr="00A67F27" w:rsidRDefault="002476D3" w:rsidP="007318E7">
            <w:pPr>
              <w:spacing w:after="0"/>
              <w:rPr>
                <w:rFonts w:asciiTheme="majorBidi" w:hAnsiTheme="majorBidi" w:cstheme="majorBidi"/>
              </w:rPr>
            </w:pPr>
            <w:bookmarkStart w:id="271" w:name="_Toc438532626"/>
            <w:bookmarkEnd w:id="271"/>
          </w:p>
        </w:tc>
        <w:tc>
          <w:tcPr>
            <w:tcW w:w="7380" w:type="dxa"/>
            <w:tcBorders>
              <w:top w:val="nil"/>
              <w:left w:val="nil"/>
              <w:bottom w:val="nil"/>
              <w:right w:val="nil"/>
            </w:tcBorders>
          </w:tcPr>
          <w:p w14:paraId="70C27120" w14:textId="3D291206" w:rsidR="002476D3" w:rsidRPr="00A67F27" w:rsidRDefault="002476D3" w:rsidP="00D510E8">
            <w:pPr>
              <w:pStyle w:val="Paragraphedeliste"/>
              <w:numPr>
                <w:ilvl w:val="1"/>
                <w:numId w:val="45"/>
              </w:numPr>
              <w:tabs>
                <w:tab w:val="left" w:pos="612"/>
                <w:tab w:val="left" w:pos="1152"/>
              </w:tabs>
              <w:spacing w:after="0"/>
              <w:contextualSpacing w:val="0"/>
              <w:rPr>
                <w:rFonts w:asciiTheme="majorBidi" w:hAnsiTheme="majorBidi" w:cstheme="majorBidi"/>
              </w:rPr>
            </w:pPr>
            <w:r w:rsidRPr="00A67F27">
              <w:rPr>
                <w:rFonts w:asciiTheme="majorBidi" w:hAnsiTheme="majorBidi" w:cstheme="majorBidi"/>
              </w:rPr>
              <w:t xml:space="preserve">Toutes les enveloppes </w:t>
            </w:r>
            <w:r w:rsidR="00A600C1" w:rsidRPr="00A67F27">
              <w:rPr>
                <w:rFonts w:asciiTheme="majorBidi" w:hAnsiTheme="majorBidi" w:cstheme="majorBidi"/>
              </w:rPr>
              <w:t xml:space="preserve">restantes </w:t>
            </w:r>
            <w:r w:rsidRPr="00A67F27">
              <w:rPr>
                <w:rFonts w:asciiTheme="majorBidi" w:hAnsiTheme="majorBidi" w:cstheme="majorBidi"/>
              </w:rPr>
              <w:t xml:space="preserve">seront ouvertes l’une après l’autre et le nom du </w:t>
            </w:r>
            <w:r w:rsidR="00223802" w:rsidRPr="00A67F27">
              <w:rPr>
                <w:rFonts w:asciiTheme="majorBidi" w:hAnsiTheme="majorBidi" w:cstheme="majorBidi"/>
              </w:rPr>
              <w:t>S</w:t>
            </w:r>
            <w:r w:rsidRPr="00A67F27">
              <w:rPr>
                <w:rFonts w:asciiTheme="majorBidi" w:hAnsiTheme="majorBidi" w:cstheme="majorBidi"/>
              </w:rPr>
              <w:t>oumissionnaire annoncé à haute voix, ainsi que la mention éventuelle d’une modification, le montant</w:t>
            </w:r>
            <w:r w:rsidR="009B2302" w:rsidRPr="00A67F27">
              <w:rPr>
                <w:rFonts w:asciiTheme="majorBidi" w:hAnsiTheme="majorBidi" w:cstheme="majorBidi"/>
              </w:rPr>
              <w:t xml:space="preserve"> </w:t>
            </w:r>
            <w:r w:rsidRPr="00A67F27">
              <w:rPr>
                <w:rFonts w:asciiTheme="majorBidi" w:hAnsiTheme="majorBidi" w:cstheme="majorBidi"/>
              </w:rPr>
              <w:t>de l’</w:t>
            </w:r>
            <w:r w:rsidR="00223802" w:rsidRPr="00A67F27">
              <w:rPr>
                <w:rFonts w:asciiTheme="majorBidi" w:hAnsiTheme="majorBidi" w:cstheme="majorBidi"/>
              </w:rPr>
              <w:t>O</w:t>
            </w:r>
            <w:r w:rsidRPr="00A67F27">
              <w:rPr>
                <w:rFonts w:asciiTheme="majorBidi" w:hAnsiTheme="majorBidi" w:cstheme="majorBidi"/>
              </w:rPr>
              <w:t xml:space="preserve">ffre </w:t>
            </w:r>
            <w:r w:rsidR="00175853" w:rsidRPr="00A67F27">
              <w:rPr>
                <w:rFonts w:asciiTheme="majorBidi" w:hAnsiTheme="majorBidi" w:cstheme="majorBidi"/>
              </w:rPr>
              <w:t>par</w:t>
            </w:r>
            <w:r w:rsidRPr="00A67F27">
              <w:rPr>
                <w:rFonts w:asciiTheme="majorBidi" w:hAnsiTheme="majorBidi" w:cstheme="majorBidi"/>
              </w:rPr>
              <w:t xml:space="preserve"> lot le cas échéant, y compris les rabais et </w:t>
            </w:r>
            <w:r w:rsidR="008C0DBB" w:rsidRPr="00A67F27">
              <w:rPr>
                <w:rFonts w:asciiTheme="majorBidi" w:hAnsiTheme="majorBidi" w:cstheme="majorBidi"/>
              </w:rPr>
              <w:t>leurs modalités</w:t>
            </w:r>
            <w:r w:rsidRPr="00A67F27">
              <w:rPr>
                <w:rFonts w:asciiTheme="majorBidi" w:hAnsiTheme="majorBidi" w:cstheme="majorBidi"/>
              </w:rPr>
              <w:t xml:space="preserve"> d’imputation,</w:t>
            </w:r>
            <w:r w:rsidR="009B2302" w:rsidRPr="00A67F27">
              <w:rPr>
                <w:rFonts w:asciiTheme="majorBidi" w:hAnsiTheme="majorBidi" w:cstheme="majorBidi"/>
              </w:rPr>
              <w:t xml:space="preserve"> </w:t>
            </w:r>
            <w:r w:rsidRPr="00A67F27">
              <w:rPr>
                <w:rFonts w:asciiTheme="majorBidi" w:hAnsiTheme="majorBidi" w:cstheme="majorBidi"/>
              </w:rPr>
              <w:t xml:space="preserve">les variantes le cas échéant, l’existence d’une </w:t>
            </w:r>
            <w:r w:rsidR="00EF6B71" w:rsidRPr="00A67F27">
              <w:rPr>
                <w:rFonts w:asciiTheme="majorBidi" w:hAnsiTheme="majorBidi" w:cstheme="majorBidi"/>
              </w:rPr>
              <w:t>Garantie d’offre</w:t>
            </w:r>
            <w:r w:rsidR="00223802" w:rsidRPr="00A67F27">
              <w:rPr>
                <w:rFonts w:asciiTheme="majorBidi" w:hAnsiTheme="majorBidi" w:cstheme="majorBidi"/>
              </w:rPr>
              <w:t xml:space="preserve"> </w:t>
            </w:r>
            <w:r w:rsidRPr="00A67F27">
              <w:rPr>
                <w:rFonts w:asciiTheme="majorBidi" w:hAnsiTheme="majorBidi" w:cstheme="majorBidi"/>
              </w:rPr>
              <w:t>si elle est exigée</w:t>
            </w:r>
            <w:r w:rsidR="00BC5EDC" w:rsidRPr="00A67F27">
              <w:rPr>
                <w:rFonts w:asciiTheme="majorBidi" w:hAnsiTheme="majorBidi" w:cstheme="majorBidi"/>
              </w:rPr>
              <w:t xml:space="preserve"> ou d’une déclaration de garantie d’offre</w:t>
            </w:r>
            <w:r w:rsidRPr="00A67F27">
              <w:rPr>
                <w:rFonts w:asciiTheme="majorBidi" w:hAnsiTheme="majorBidi" w:cstheme="majorBidi"/>
              </w:rPr>
              <w:t>, et tout autre détail que le Maître de l’Ouvrage juge utile de mentionner. Seuls les rabais et variantes de l’offre annoncés à haute voix lors de l’ouverture des plis seront soumis à évaluation.</w:t>
            </w:r>
            <w:r w:rsidR="00D85FEF" w:rsidRPr="00A67F27">
              <w:rPr>
                <w:rFonts w:asciiTheme="majorBidi" w:hAnsiTheme="majorBidi" w:cstheme="majorBidi"/>
              </w:rPr>
              <w:t xml:space="preserve"> La Lettre de </w:t>
            </w:r>
            <w:r w:rsidRPr="00A67F27">
              <w:rPr>
                <w:rFonts w:asciiTheme="majorBidi" w:hAnsiTheme="majorBidi" w:cstheme="majorBidi"/>
              </w:rPr>
              <w:t xml:space="preserve">Soumission et </w:t>
            </w:r>
            <w:r w:rsidR="00175853" w:rsidRPr="00A67F27">
              <w:rPr>
                <w:rFonts w:asciiTheme="majorBidi" w:hAnsiTheme="majorBidi" w:cstheme="majorBidi"/>
              </w:rPr>
              <w:t>le</w:t>
            </w:r>
            <w:r w:rsidRPr="00A67F27">
              <w:rPr>
                <w:rFonts w:asciiTheme="majorBidi" w:hAnsiTheme="majorBidi" w:cstheme="majorBidi"/>
              </w:rPr>
              <w:t xml:space="preserve"> Bordereau de</w:t>
            </w:r>
            <w:r w:rsidR="001E53DC" w:rsidRPr="00A67F27">
              <w:rPr>
                <w:rFonts w:asciiTheme="majorBidi" w:hAnsiTheme="majorBidi" w:cstheme="majorBidi"/>
              </w:rPr>
              <w:t>s</w:t>
            </w:r>
            <w:r w:rsidRPr="00A67F27">
              <w:rPr>
                <w:rFonts w:asciiTheme="majorBidi" w:hAnsiTheme="majorBidi" w:cstheme="majorBidi"/>
              </w:rPr>
              <w:t xml:space="preserve"> prix</w:t>
            </w:r>
            <w:r w:rsidR="001E53DC" w:rsidRPr="00A67F27">
              <w:rPr>
                <w:rFonts w:asciiTheme="majorBidi" w:hAnsiTheme="majorBidi" w:cstheme="majorBidi"/>
              </w:rPr>
              <w:t xml:space="preserve"> unitaires</w:t>
            </w:r>
            <w:r w:rsidRPr="00A67F27">
              <w:rPr>
                <w:rFonts w:asciiTheme="majorBidi" w:hAnsiTheme="majorBidi" w:cstheme="majorBidi"/>
              </w:rPr>
              <w:t xml:space="preserve"> et du Détail quantitatif seront paraphées par les représentants du Maître de l’Ouvrage présents à la cérémonie d’ouverture</w:t>
            </w:r>
            <w:r w:rsidR="00BE04A2" w:rsidRPr="00A67F27">
              <w:rPr>
                <w:rFonts w:asciiTheme="majorBidi" w:hAnsiTheme="majorBidi" w:cstheme="majorBidi"/>
              </w:rPr>
              <w:t xml:space="preserve"> des plis de la manière précisée</w:t>
            </w:r>
            <w:r w:rsidRPr="00A67F27">
              <w:rPr>
                <w:rFonts w:asciiTheme="majorBidi" w:hAnsiTheme="majorBidi" w:cstheme="majorBidi"/>
              </w:rPr>
              <w:t xml:space="preserve"> dans les </w:t>
            </w:r>
            <w:r w:rsidRPr="00A67F27">
              <w:rPr>
                <w:rFonts w:asciiTheme="majorBidi" w:hAnsiTheme="majorBidi" w:cstheme="majorBidi"/>
                <w:b/>
              </w:rPr>
              <w:t>DPAO</w:t>
            </w:r>
            <w:r w:rsidRPr="00A67F27">
              <w:rPr>
                <w:rFonts w:asciiTheme="majorBidi" w:hAnsiTheme="majorBidi" w:cstheme="majorBidi"/>
              </w:rPr>
              <w:t>.</w:t>
            </w:r>
            <w:r w:rsidR="00223802" w:rsidRPr="00A67F27">
              <w:rPr>
                <w:rFonts w:asciiTheme="majorBidi" w:hAnsiTheme="majorBidi" w:cstheme="majorBidi"/>
              </w:rPr>
              <w:t xml:space="preserve"> </w:t>
            </w:r>
            <w:r w:rsidRPr="00A67F27">
              <w:rPr>
                <w:rFonts w:asciiTheme="majorBidi" w:hAnsiTheme="majorBidi" w:cstheme="majorBidi"/>
              </w:rPr>
              <w:t>Le Maître de l’Ouvrage ne doit ni se prononcer sur les mérites des offres ni rejeter aucune des offres (à l’exception des offres reçues hors délais et en conformit</w:t>
            </w:r>
            <w:r w:rsidR="00947FBE" w:rsidRPr="00A67F27">
              <w:rPr>
                <w:rFonts w:asciiTheme="majorBidi" w:hAnsiTheme="majorBidi" w:cstheme="majorBidi"/>
              </w:rPr>
              <w:t>é avec l’article 23.1 des IS).</w:t>
            </w:r>
          </w:p>
        </w:tc>
      </w:tr>
      <w:tr w:rsidR="002476D3" w:rsidRPr="00A67F27" w14:paraId="7F906498" w14:textId="77777777" w:rsidTr="007318E7">
        <w:trPr>
          <w:trHeight w:val="20"/>
        </w:trPr>
        <w:tc>
          <w:tcPr>
            <w:tcW w:w="2250" w:type="dxa"/>
            <w:tcBorders>
              <w:top w:val="nil"/>
              <w:left w:val="nil"/>
              <w:bottom w:val="nil"/>
              <w:right w:val="nil"/>
            </w:tcBorders>
          </w:tcPr>
          <w:p w14:paraId="777BAA2D" w14:textId="77777777" w:rsidR="002476D3" w:rsidRPr="00A67F27" w:rsidRDefault="002476D3" w:rsidP="007318E7">
            <w:pPr>
              <w:spacing w:after="0"/>
              <w:rPr>
                <w:rFonts w:asciiTheme="majorBidi" w:hAnsiTheme="majorBidi" w:cstheme="majorBidi"/>
              </w:rPr>
            </w:pPr>
            <w:bookmarkStart w:id="272" w:name="_Toc438532627"/>
            <w:bookmarkEnd w:id="272"/>
          </w:p>
        </w:tc>
        <w:tc>
          <w:tcPr>
            <w:tcW w:w="7380" w:type="dxa"/>
            <w:tcBorders>
              <w:top w:val="nil"/>
              <w:left w:val="nil"/>
              <w:bottom w:val="nil"/>
              <w:right w:val="nil"/>
            </w:tcBorders>
          </w:tcPr>
          <w:p w14:paraId="520E0987" w14:textId="390349FB" w:rsidR="002476D3" w:rsidRPr="00A67F27" w:rsidRDefault="002476D3" w:rsidP="00D510E8">
            <w:pPr>
              <w:pStyle w:val="Paragraphedeliste"/>
              <w:numPr>
                <w:ilvl w:val="1"/>
                <w:numId w:val="45"/>
              </w:numPr>
              <w:spacing w:after="0"/>
              <w:ind w:left="518" w:hanging="518"/>
              <w:rPr>
                <w:rFonts w:asciiTheme="majorBidi" w:hAnsiTheme="majorBidi" w:cstheme="majorBidi"/>
              </w:rPr>
            </w:pPr>
            <w:r w:rsidRPr="00A67F27">
              <w:rPr>
                <w:rFonts w:asciiTheme="majorBidi" w:hAnsiTheme="majorBidi" w:cstheme="majorBidi"/>
              </w:rPr>
              <w:t>Le Maître de l’Ouvrage établira le procès-verbal de la séance d’ouverture des plis, qui comportera au minimum</w:t>
            </w:r>
            <w:r w:rsidR="009B2302" w:rsidRPr="00A67F27">
              <w:rPr>
                <w:rFonts w:asciiTheme="majorBidi" w:hAnsiTheme="majorBidi" w:cstheme="majorBidi"/>
              </w:rPr>
              <w:t> :</w:t>
            </w:r>
            <w:r w:rsidRPr="00A67F27">
              <w:rPr>
                <w:rFonts w:asciiTheme="majorBidi" w:hAnsiTheme="majorBidi" w:cstheme="majorBidi"/>
              </w:rPr>
              <w:t xml:space="preserve"> le nom du </w:t>
            </w:r>
            <w:r w:rsidR="001D468B" w:rsidRPr="00A67F27">
              <w:rPr>
                <w:rFonts w:asciiTheme="majorBidi" w:hAnsiTheme="majorBidi" w:cstheme="majorBidi"/>
              </w:rPr>
              <w:t>S</w:t>
            </w:r>
            <w:r w:rsidRPr="00A67F27">
              <w:rPr>
                <w:rFonts w:asciiTheme="majorBidi" w:hAnsiTheme="majorBidi" w:cstheme="majorBidi"/>
              </w:rPr>
              <w:t xml:space="preserve">oumissionnaire et, s’il y a retrait, remplacement de l’offre ou modification, le </w:t>
            </w:r>
            <w:r w:rsidR="001D468B" w:rsidRPr="00A67F27">
              <w:rPr>
                <w:rFonts w:asciiTheme="majorBidi" w:hAnsiTheme="majorBidi" w:cstheme="majorBidi"/>
              </w:rPr>
              <w:t>M</w:t>
            </w:r>
            <w:r w:rsidRPr="00A67F27">
              <w:rPr>
                <w:rFonts w:asciiTheme="majorBidi" w:hAnsiTheme="majorBidi" w:cstheme="majorBidi"/>
              </w:rPr>
              <w:t>ontant de l’</w:t>
            </w:r>
            <w:r w:rsidR="001D468B" w:rsidRPr="00A67F27">
              <w:rPr>
                <w:rFonts w:asciiTheme="majorBidi" w:hAnsiTheme="majorBidi" w:cstheme="majorBidi"/>
              </w:rPr>
              <w:t>O</w:t>
            </w:r>
            <w:r w:rsidRPr="00A67F27">
              <w:rPr>
                <w:rFonts w:asciiTheme="majorBidi" w:hAnsiTheme="majorBidi" w:cstheme="majorBidi"/>
              </w:rPr>
              <w:t>ffre, et de chaque lot le cas échéant, y compris les rabais</w:t>
            </w:r>
            <w:r w:rsidR="00A600C1" w:rsidRPr="00A67F27">
              <w:rPr>
                <w:rFonts w:asciiTheme="majorBidi" w:hAnsiTheme="majorBidi" w:cstheme="majorBidi"/>
              </w:rPr>
              <w:t>,</w:t>
            </w:r>
            <w:r w:rsidRPr="00A67F27">
              <w:rPr>
                <w:rFonts w:asciiTheme="majorBidi" w:hAnsiTheme="majorBidi" w:cstheme="majorBidi"/>
              </w:rPr>
              <w:t xml:space="preserve"> </w:t>
            </w:r>
            <w:r w:rsidR="00A600C1" w:rsidRPr="00A67F27">
              <w:rPr>
                <w:rFonts w:asciiTheme="majorBidi" w:hAnsiTheme="majorBidi" w:cstheme="majorBidi"/>
              </w:rPr>
              <w:t>toute</w:t>
            </w:r>
            <w:r w:rsidRPr="00A67F27">
              <w:rPr>
                <w:rFonts w:asciiTheme="majorBidi" w:hAnsiTheme="majorBidi" w:cstheme="majorBidi"/>
              </w:rPr>
              <w:t xml:space="preserve"> variante proposé</w:t>
            </w:r>
            <w:r w:rsidR="00A600C1" w:rsidRPr="00A67F27">
              <w:rPr>
                <w:rFonts w:asciiTheme="majorBidi" w:hAnsiTheme="majorBidi" w:cstheme="majorBidi"/>
              </w:rPr>
              <w:t>e</w:t>
            </w:r>
            <w:r w:rsidRPr="00A67F27">
              <w:rPr>
                <w:rFonts w:asciiTheme="majorBidi" w:hAnsiTheme="majorBidi" w:cstheme="majorBidi"/>
              </w:rPr>
              <w:t>, et l’existence ou</w:t>
            </w:r>
            <w:r w:rsidR="009B2302" w:rsidRPr="00A67F27">
              <w:rPr>
                <w:rFonts w:asciiTheme="majorBidi" w:hAnsiTheme="majorBidi" w:cstheme="majorBidi"/>
              </w:rPr>
              <w:t xml:space="preserve"> </w:t>
            </w:r>
            <w:r w:rsidRPr="00A67F27">
              <w:rPr>
                <w:rFonts w:asciiTheme="majorBidi" w:hAnsiTheme="majorBidi" w:cstheme="majorBidi"/>
              </w:rPr>
              <w:t>l’absence d</w:t>
            </w:r>
            <w:r w:rsidR="00A600C1" w:rsidRPr="00A67F27">
              <w:rPr>
                <w:rFonts w:asciiTheme="majorBidi" w:hAnsiTheme="majorBidi" w:cstheme="majorBidi"/>
              </w:rPr>
              <w:t>’un</w:t>
            </w:r>
            <w:r w:rsidRPr="00A67F27">
              <w:rPr>
                <w:rFonts w:asciiTheme="majorBidi" w:hAnsiTheme="majorBidi" w:cstheme="majorBidi"/>
              </w:rPr>
              <w:t xml:space="preserve">e </w:t>
            </w:r>
            <w:r w:rsidR="00EF6B71" w:rsidRPr="00A67F27">
              <w:rPr>
                <w:rFonts w:asciiTheme="majorBidi" w:hAnsiTheme="majorBidi" w:cstheme="majorBidi"/>
              </w:rPr>
              <w:t>garantie d’offre</w:t>
            </w:r>
            <w:r w:rsidR="001D468B" w:rsidRPr="00A67F27">
              <w:rPr>
                <w:rFonts w:asciiTheme="majorBidi" w:hAnsiTheme="majorBidi" w:cstheme="majorBidi"/>
              </w:rPr>
              <w:t xml:space="preserve"> </w:t>
            </w:r>
            <w:r w:rsidRPr="00A67F27">
              <w:rPr>
                <w:rFonts w:asciiTheme="majorBidi" w:hAnsiTheme="majorBidi" w:cstheme="majorBidi"/>
              </w:rPr>
              <w:t>lorsqu’une telle garantie est exigée. Il sera demandé aux représentants des Soumissionnaires présents de signer</w:t>
            </w:r>
            <w:r w:rsidR="002F0521" w:rsidRPr="00A67F27">
              <w:rPr>
                <w:rFonts w:asciiTheme="majorBidi" w:hAnsiTheme="majorBidi" w:cstheme="majorBidi"/>
              </w:rPr>
              <w:t xml:space="preserve"> le procès-</w:t>
            </w:r>
            <w:r w:rsidRPr="00A67F27">
              <w:rPr>
                <w:rFonts w:asciiTheme="majorBidi" w:hAnsiTheme="majorBidi" w:cstheme="majorBidi"/>
              </w:rPr>
              <w:t xml:space="preserve">verbal d’ouverture des plis. L’absence de la signature d’un Soumissionnaire ne porte pas atteinte à la validité et au contenu du </w:t>
            </w:r>
            <w:r w:rsidR="001D468B" w:rsidRPr="00A67F27">
              <w:rPr>
                <w:rFonts w:asciiTheme="majorBidi" w:hAnsiTheme="majorBidi" w:cstheme="majorBidi"/>
              </w:rPr>
              <w:t>P</w:t>
            </w:r>
            <w:r w:rsidRPr="00A67F27">
              <w:rPr>
                <w:rFonts w:asciiTheme="majorBidi" w:hAnsiTheme="majorBidi" w:cstheme="majorBidi"/>
              </w:rPr>
              <w:t xml:space="preserve">rocès-verbal. Un exemplaire du </w:t>
            </w:r>
            <w:r w:rsidR="001D468B" w:rsidRPr="00A67F27">
              <w:rPr>
                <w:rFonts w:asciiTheme="majorBidi" w:hAnsiTheme="majorBidi" w:cstheme="majorBidi"/>
              </w:rPr>
              <w:t>P</w:t>
            </w:r>
            <w:r w:rsidRPr="00A67F27">
              <w:rPr>
                <w:rFonts w:asciiTheme="majorBidi" w:hAnsiTheme="majorBidi" w:cstheme="majorBidi"/>
              </w:rPr>
              <w:t>rocès-verbal sera distribué à tous les Soumissionnaires.</w:t>
            </w:r>
          </w:p>
        </w:tc>
      </w:tr>
      <w:tr w:rsidR="00686816" w:rsidRPr="00A67F27" w14:paraId="1F2139E2" w14:textId="77777777" w:rsidTr="007318E7">
        <w:trPr>
          <w:trHeight w:val="20"/>
        </w:trPr>
        <w:tc>
          <w:tcPr>
            <w:tcW w:w="9630" w:type="dxa"/>
            <w:gridSpan w:val="2"/>
            <w:tcBorders>
              <w:top w:val="nil"/>
              <w:left w:val="nil"/>
              <w:bottom w:val="nil"/>
              <w:right w:val="nil"/>
            </w:tcBorders>
          </w:tcPr>
          <w:p w14:paraId="237A1FC3" w14:textId="098ED940" w:rsidR="00686816" w:rsidRPr="00A67F27" w:rsidRDefault="00686816" w:rsidP="007318E7">
            <w:pPr>
              <w:pStyle w:val="StyleStyleS1-Header1TimesNewRoman14pt1"/>
              <w:keepNext/>
              <w:spacing w:before="0" w:after="0"/>
              <w:rPr>
                <w:rFonts w:asciiTheme="majorBidi" w:hAnsiTheme="majorBidi" w:cstheme="majorBidi"/>
                <w:lang w:val="fr-FR"/>
              </w:rPr>
            </w:pPr>
            <w:bookmarkStart w:id="273" w:name="_Toc438438850"/>
            <w:bookmarkStart w:id="274" w:name="_Toc438532629"/>
            <w:bookmarkStart w:id="275" w:name="_Toc438733994"/>
            <w:bookmarkStart w:id="276" w:name="_Toc438962076"/>
            <w:bookmarkStart w:id="277" w:name="_Toc461939620"/>
            <w:bookmarkStart w:id="278" w:name="_Toc483210598"/>
            <w:bookmarkStart w:id="279" w:name="_Toc487641797"/>
            <w:r w:rsidRPr="00A67F27">
              <w:rPr>
                <w:lang w:val="fr-FR"/>
              </w:rPr>
              <w:t xml:space="preserve">E. </w:t>
            </w:r>
            <w:r w:rsidRPr="00A67F27">
              <w:rPr>
                <w:lang w:val="fr-FR"/>
              </w:rPr>
              <w:tab/>
              <w:t>Évaluation et comparaison des offres</w:t>
            </w:r>
            <w:bookmarkEnd w:id="273"/>
            <w:bookmarkEnd w:id="274"/>
            <w:bookmarkEnd w:id="275"/>
            <w:bookmarkEnd w:id="276"/>
            <w:bookmarkEnd w:id="277"/>
            <w:bookmarkEnd w:id="278"/>
            <w:bookmarkEnd w:id="279"/>
          </w:p>
        </w:tc>
      </w:tr>
      <w:tr w:rsidR="002476D3" w:rsidRPr="00A67F27" w14:paraId="7B959CC5" w14:textId="77777777" w:rsidTr="007318E7">
        <w:trPr>
          <w:trHeight w:val="20"/>
        </w:trPr>
        <w:tc>
          <w:tcPr>
            <w:tcW w:w="2250" w:type="dxa"/>
            <w:tcBorders>
              <w:top w:val="nil"/>
              <w:left w:val="nil"/>
              <w:bottom w:val="nil"/>
              <w:right w:val="nil"/>
            </w:tcBorders>
          </w:tcPr>
          <w:p w14:paraId="58B655DD" w14:textId="51CF45B7" w:rsidR="002476D3" w:rsidRPr="00A67F27" w:rsidRDefault="004F67E3" w:rsidP="007318E7">
            <w:pPr>
              <w:pStyle w:val="S1-Header2"/>
              <w:numPr>
                <w:ilvl w:val="0"/>
                <w:numId w:val="0"/>
              </w:numPr>
              <w:tabs>
                <w:tab w:val="num" w:pos="432"/>
              </w:tabs>
              <w:spacing w:after="0"/>
              <w:ind w:left="432" w:hanging="432"/>
              <w:rPr>
                <w:rFonts w:asciiTheme="majorBidi" w:hAnsiTheme="majorBidi" w:cstheme="majorBidi"/>
                <w:lang w:val="fr-FR"/>
              </w:rPr>
            </w:pPr>
            <w:bookmarkStart w:id="280" w:name="_Toc438532628"/>
            <w:bookmarkStart w:id="281" w:name="_Toc438438851"/>
            <w:bookmarkStart w:id="282" w:name="_Toc438532630"/>
            <w:bookmarkStart w:id="283" w:name="_Toc438733995"/>
            <w:bookmarkStart w:id="284" w:name="_Toc438907032"/>
            <w:bookmarkStart w:id="285" w:name="_Toc438907231"/>
            <w:bookmarkStart w:id="286" w:name="_Toc156373310"/>
            <w:bookmarkStart w:id="287" w:name="_Toc483210599"/>
            <w:bookmarkStart w:id="288" w:name="_Toc487641798"/>
            <w:bookmarkEnd w:id="280"/>
            <w:r w:rsidRPr="00A67F27">
              <w:rPr>
                <w:lang w:val="fr-FR"/>
              </w:rPr>
              <w:t>26.</w:t>
            </w:r>
            <w:r w:rsidR="002476D3" w:rsidRPr="00A67F27">
              <w:rPr>
                <w:lang w:val="fr-FR"/>
              </w:rPr>
              <w:tab/>
              <w:t>Confidentialité</w:t>
            </w:r>
            <w:bookmarkEnd w:id="281"/>
            <w:bookmarkEnd w:id="282"/>
            <w:bookmarkEnd w:id="283"/>
            <w:bookmarkEnd w:id="284"/>
            <w:bookmarkEnd w:id="285"/>
            <w:bookmarkEnd w:id="286"/>
            <w:bookmarkEnd w:id="287"/>
            <w:bookmarkEnd w:id="288"/>
          </w:p>
        </w:tc>
        <w:tc>
          <w:tcPr>
            <w:tcW w:w="7380" w:type="dxa"/>
            <w:tcBorders>
              <w:top w:val="nil"/>
              <w:left w:val="nil"/>
              <w:bottom w:val="nil"/>
              <w:right w:val="nil"/>
            </w:tcBorders>
          </w:tcPr>
          <w:p w14:paraId="6608D30E" w14:textId="278407DB" w:rsidR="002476D3" w:rsidRPr="00A67F27" w:rsidRDefault="00A600C1" w:rsidP="00D510E8">
            <w:pPr>
              <w:pStyle w:val="Paragraphedeliste"/>
              <w:numPr>
                <w:ilvl w:val="1"/>
                <w:numId w:val="46"/>
              </w:numPr>
              <w:tabs>
                <w:tab w:val="left" w:pos="576"/>
                <w:tab w:val="left" w:pos="1152"/>
              </w:tabs>
              <w:spacing w:after="0"/>
              <w:rPr>
                <w:rFonts w:asciiTheme="majorBidi" w:hAnsiTheme="majorBidi" w:cstheme="majorBidi"/>
              </w:rPr>
            </w:pPr>
            <w:r w:rsidRPr="00A67F27">
              <w:rPr>
                <w:rFonts w:asciiTheme="majorBidi" w:hAnsiTheme="majorBidi" w:cstheme="majorBidi"/>
              </w:rPr>
              <w:t>Aucune information relative à l’évaluation des offres et à la recommandation d’attribution du Marché ne sera donnée aux soumissionnaires ni à toute autre personne non concernée par ladite procédure tant que la Notification d’attribution du Marché n’aura pas été transmise à tous les</w:t>
            </w:r>
            <w:r w:rsidR="002476D3" w:rsidRPr="00A67F27">
              <w:rPr>
                <w:rFonts w:asciiTheme="majorBidi" w:hAnsiTheme="majorBidi" w:cstheme="majorBidi"/>
              </w:rPr>
              <w:t xml:space="preserve"> Soumissionnaires conformément à l’article </w:t>
            </w:r>
            <w:r w:rsidR="00951DC3" w:rsidRPr="00A67F27">
              <w:rPr>
                <w:rFonts w:asciiTheme="majorBidi" w:hAnsiTheme="majorBidi" w:cstheme="majorBidi"/>
              </w:rPr>
              <w:t xml:space="preserve">40 </w:t>
            </w:r>
            <w:r w:rsidR="002476D3" w:rsidRPr="00A67F27">
              <w:rPr>
                <w:rFonts w:asciiTheme="majorBidi" w:hAnsiTheme="majorBidi" w:cstheme="majorBidi"/>
              </w:rPr>
              <w:t xml:space="preserve">des IS. </w:t>
            </w:r>
          </w:p>
        </w:tc>
      </w:tr>
      <w:tr w:rsidR="002476D3" w:rsidRPr="00A67F27" w14:paraId="18054CF0" w14:textId="77777777" w:rsidTr="007318E7">
        <w:trPr>
          <w:trHeight w:val="20"/>
        </w:trPr>
        <w:tc>
          <w:tcPr>
            <w:tcW w:w="2250" w:type="dxa"/>
            <w:tcBorders>
              <w:top w:val="nil"/>
              <w:left w:val="nil"/>
              <w:bottom w:val="nil"/>
              <w:right w:val="nil"/>
            </w:tcBorders>
          </w:tcPr>
          <w:p w14:paraId="35AC25DB" w14:textId="77777777" w:rsidR="002476D3" w:rsidRPr="00A67F27" w:rsidRDefault="002476D3" w:rsidP="007318E7">
            <w:pPr>
              <w:spacing w:after="0"/>
              <w:rPr>
                <w:rFonts w:asciiTheme="majorBidi" w:hAnsiTheme="majorBidi" w:cstheme="majorBidi"/>
              </w:rPr>
            </w:pPr>
          </w:p>
        </w:tc>
        <w:tc>
          <w:tcPr>
            <w:tcW w:w="7380" w:type="dxa"/>
            <w:tcBorders>
              <w:top w:val="nil"/>
              <w:left w:val="nil"/>
              <w:bottom w:val="nil"/>
              <w:right w:val="nil"/>
            </w:tcBorders>
          </w:tcPr>
          <w:p w14:paraId="283518CE" w14:textId="358E3E6C" w:rsidR="002476D3" w:rsidRPr="00A67F27" w:rsidRDefault="002476D3" w:rsidP="00D510E8">
            <w:pPr>
              <w:pStyle w:val="Paragraphedeliste"/>
              <w:numPr>
                <w:ilvl w:val="1"/>
                <w:numId w:val="46"/>
              </w:numPr>
              <w:tabs>
                <w:tab w:val="left" w:pos="576"/>
                <w:tab w:val="left" w:pos="1152"/>
              </w:tabs>
              <w:spacing w:after="0"/>
              <w:rPr>
                <w:rFonts w:asciiTheme="majorBidi" w:hAnsiTheme="majorBidi" w:cstheme="majorBidi"/>
              </w:rPr>
            </w:pPr>
            <w:r w:rsidRPr="00A67F27">
              <w:rPr>
                <w:rFonts w:asciiTheme="majorBidi" w:hAnsiTheme="majorBidi" w:cstheme="majorBidi"/>
              </w:rPr>
              <w:t xml:space="preserve">Toute tentative faite par un Soumissionnaire pour influencer le Maître de l’Ouvrage </w:t>
            </w:r>
            <w:r w:rsidR="00A600C1" w:rsidRPr="00A67F27">
              <w:rPr>
                <w:rFonts w:asciiTheme="majorBidi" w:hAnsiTheme="majorBidi" w:cstheme="majorBidi"/>
                <w:spacing w:val="-4"/>
              </w:rPr>
              <w:t>lors de l’évaluation des offres ou lors de la décision d’attribution</w:t>
            </w:r>
            <w:r w:rsidR="00A600C1" w:rsidRPr="00A67F27" w:rsidDel="00A600C1">
              <w:rPr>
                <w:rFonts w:asciiTheme="majorBidi" w:hAnsiTheme="majorBidi" w:cstheme="majorBidi"/>
              </w:rPr>
              <w:t xml:space="preserve"> </w:t>
            </w:r>
            <w:r w:rsidRPr="00A67F27">
              <w:rPr>
                <w:rFonts w:asciiTheme="majorBidi" w:hAnsiTheme="majorBidi" w:cstheme="majorBidi"/>
              </w:rPr>
              <w:t xml:space="preserve">peut entraîner le rejet de son </w:t>
            </w:r>
            <w:r w:rsidR="001D468B" w:rsidRPr="00A67F27">
              <w:rPr>
                <w:rFonts w:asciiTheme="majorBidi" w:hAnsiTheme="majorBidi" w:cstheme="majorBidi"/>
              </w:rPr>
              <w:t>O</w:t>
            </w:r>
            <w:r w:rsidRPr="00A67F27">
              <w:rPr>
                <w:rFonts w:asciiTheme="majorBidi" w:hAnsiTheme="majorBidi" w:cstheme="majorBidi"/>
              </w:rPr>
              <w:t>ffre.</w:t>
            </w:r>
          </w:p>
        </w:tc>
      </w:tr>
      <w:tr w:rsidR="002476D3" w:rsidRPr="00A67F27" w14:paraId="63B52642" w14:textId="77777777" w:rsidTr="007318E7">
        <w:trPr>
          <w:trHeight w:val="20"/>
        </w:trPr>
        <w:tc>
          <w:tcPr>
            <w:tcW w:w="2250" w:type="dxa"/>
            <w:tcBorders>
              <w:top w:val="nil"/>
              <w:left w:val="nil"/>
              <w:bottom w:val="nil"/>
              <w:right w:val="nil"/>
            </w:tcBorders>
          </w:tcPr>
          <w:p w14:paraId="1E654C36" w14:textId="77777777" w:rsidR="002476D3" w:rsidRPr="00A67F27" w:rsidRDefault="002476D3" w:rsidP="007318E7">
            <w:pPr>
              <w:spacing w:after="0"/>
              <w:rPr>
                <w:rFonts w:asciiTheme="majorBidi" w:hAnsiTheme="majorBidi" w:cstheme="majorBidi"/>
              </w:rPr>
            </w:pPr>
          </w:p>
        </w:tc>
        <w:tc>
          <w:tcPr>
            <w:tcW w:w="7380" w:type="dxa"/>
            <w:tcBorders>
              <w:top w:val="nil"/>
              <w:left w:val="nil"/>
              <w:bottom w:val="nil"/>
              <w:right w:val="nil"/>
            </w:tcBorders>
          </w:tcPr>
          <w:p w14:paraId="2F296FDC" w14:textId="2CFD84E2" w:rsidR="002476D3" w:rsidRPr="00A67F27" w:rsidRDefault="002476D3" w:rsidP="00D510E8">
            <w:pPr>
              <w:pStyle w:val="Paragraphedeliste"/>
              <w:numPr>
                <w:ilvl w:val="1"/>
                <w:numId w:val="46"/>
              </w:numPr>
              <w:tabs>
                <w:tab w:val="left" w:pos="576"/>
                <w:tab w:val="left" w:pos="1152"/>
              </w:tabs>
              <w:spacing w:after="0"/>
              <w:rPr>
                <w:rFonts w:asciiTheme="majorBidi" w:hAnsiTheme="majorBidi" w:cstheme="majorBidi"/>
              </w:rPr>
            </w:pPr>
            <w:r w:rsidRPr="00A67F27">
              <w:rPr>
                <w:rFonts w:asciiTheme="majorBidi" w:hAnsiTheme="majorBidi" w:cstheme="majorBidi"/>
              </w:rPr>
              <w:t xml:space="preserve">Nonobstant les dispositions de l’article 26.2 des IS, entre le moment où les plis seront ouverts et celui où le Marché est attribué, un Soumissionnaire qui souhaite entrer en contact avec le Maître de l’Ouvrage pour des motifs ayant trait à son </w:t>
            </w:r>
            <w:r w:rsidR="001D468B" w:rsidRPr="00A67F27">
              <w:rPr>
                <w:rFonts w:asciiTheme="majorBidi" w:hAnsiTheme="majorBidi" w:cstheme="majorBidi"/>
              </w:rPr>
              <w:t>O</w:t>
            </w:r>
            <w:r w:rsidRPr="00A67F27">
              <w:rPr>
                <w:rFonts w:asciiTheme="majorBidi" w:hAnsiTheme="majorBidi" w:cstheme="majorBidi"/>
              </w:rPr>
              <w:t>ffre devra le faire uniquement par écrit.</w:t>
            </w:r>
          </w:p>
        </w:tc>
      </w:tr>
      <w:tr w:rsidR="002476D3" w:rsidRPr="00A67F27" w14:paraId="2F729A47" w14:textId="77777777" w:rsidTr="007318E7">
        <w:trPr>
          <w:trHeight w:val="20"/>
        </w:trPr>
        <w:tc>
          <w:tcPr>
            <w:tcW w:w="2250" w:type="dxa"/>
            <w:tcBorders>
              <w:top w:val="nil"/>
              <w:left w:val="nil"/>
              <w:bottom w:val="nil"/>
              <w:right w:val="nil"/>
            </w:tcBorders>
          </w:tcPr>
          <w:p w14:paraId="37899BED" w14:textId="396527F7" w:rsidR="002476D3" w:rsidRPr="00A67F27" w:rsidRDefault="004F67E3" w:rsidP="007318E7">
            <w:pPr>
              <w:pStyle w:val="S1-Header2"/>
              <w:numPr>
                <w:ilvl w:val="0"/>
                <w:numId w:val="0"/>
              </w:numPr>
              <w:tabs>
                <w:tab w:val="num" w:pos="432"/>
              </w:tabs>
              <w:spacing w:after="0"/>
              <w:ind w:left="432" w:hanging="432"/>
              <w:rPr>
                <w:rFonts w:asciiTheme="majorBidi" w:hAnsiTheme="majorBidi" w:cstheme="majorBidi"/>
                <w:lang w:val="fr-FR"/>
              </w:rPr>
            </w:pPr>
            <w:bookmarkStart w:id="289" w:name="_Toc424009129"/>
            <w:bookmarkStart w:id="290" w:name="_Toc438438852"/>
            <w:bookmarkStart w:id="291" w:name="_Toc438532631"/>
            <w:bookmarkStart w:id="292" w:name="_Toc438733996"/>
            <w:bookmarkStart w:id="293" w:name="_Toc438907033"/>
            <w:bookmarkStart w:id="294" w:name="_Toc438907232"/>
            <w:bookmarkStart w:id="295" w:name="_Toc156373311"/>
            <w:bookmarkStart w:id="296" w:name="_Toc483210600"/>
            <w:bookmarkStart w:id="297" w:name="_Toc487641799"/>
            <w:r w:rsidRPr="00A67F27">
              <w:rPr>
                <w:lang w:val="fr-FR"/>
              </w:rPr>
              <w:t>27.</w:t>
            </w:r>
            <w:r w:rsidR="002476D3" w:rsidRPr="00A67F27">
              <w:rPr>
                <w:lang w:val="fr-FR"/>
              </w:rPr>
              <w:tab/>
            </w:r>
            <w:proofErr w:type="spellStart"/>
            <w:r w:rsidR="002476D3" w:rsidRPr="00A67F27">
              <w:rPr>
                <w:lang w:val="fr-FR"/>
              </w:rPr>
              <w:t>Éclaircisse</w:t>
            </w:r>
            <w:r w:rsidR="00686816" w:rsidRPr="00A67F27">
              <w:rPr>
                <w:lang w:val="fr-FR"/>
              </w:rPr>
              <w:t>-</w:t>
            </w:r>
            <w:r w:rsidR="002476D3" w:rsidRPr="00A67F27">
              <w:rPr>
                <w:lang w:val="fr-FR"/>
              </w:rPr>
              <w:t>ments</w:t>
            </w:r>
            <w:proofErr w:type="spellEnd"/>
            <w:r w:rsidR="002476D3" w:rsidRPr="00A67F27">
              <w:rPr>
                <w:lang w:val="fr-FR"/>
              </w:rPr>
              <w:t xml:space="preserve"> concernant les</w:t>
            </w:r>
            <w:r w:rsidR="00686816" w:rsidRPr="00A67F27">
              <w:rPr>
                <w:lang w:val="fr-FR"/>
              </w:rPr>
              <w:t> </w:t>
            </w:r>
            <w:r w:rsidR="002476D3" w:rsidRPr="00A67F27">
              <w:rPr>
                <w:lang w:val="fr-FR"/>
              </w:rPr>
              <w:t>Offres</w:t>
            </w:r>
            <w:bookmarkEnd w:id="289"/>
            <w:bookmarkEnd w:id="290"/>
            <w:bookmarkEnd w:id="291"/>
            <w:bookmarkEnd w:id="292"/>
            <w:bookmarkEnd w:id="293"/>
            <w:bookmarkEnd w:id="294"/>
            <w:bookmarkEnd w:id="295"/>
            <w:bookmarkEnd w:id="296"/>
            <w:bookmarkEnd w:id="297"/>
          </w:p>
        </w:tc>
        <w:tc>
          <w:tcPr>
            <w:tcW w:w="7380" w:type="dxa"/>
            <w:tcBorders>
              <w:top w:val="nil"/>
              <w:left w:val="nil"/>
              <w:bottom w:val="nil"/>
              <w:right w:val="nil"/>
            </w:tcBorders>
          </w:tcPr>
          <w:p w14:paraId="352FA6CB" w14:textId="4150AD70" w:rsidR="002476D3" w:rsidRPr="00A67F27" w:rsidRDefault="002476D3" w:rsidP="00D510E8">
            <w:pPr>
              <w:pStyle w:val="Paragraphedeliste"/>
              <w:numPr>
                <w:ilvl w:val="1"/>
                <w:numId w:val="47"/>
              </w:numPr>
              <w:tabs>
                <w:tab w:val="left" w:pos="576"/>
                <w:tab w:val="left" w:pos="1152"/>
              </w:tabs>
              <w:spacing w:after="0"/>
              <w:contextualSpacing w:val="0"/>
              <w:rPr>
                <w:rFonts w:asciiTheme="majorBidi" w:hAnsiTheme="majorBidi" w:cstheme="majorBidi"/>
              </w:rPr>
            </w:pPr>
            <w:r w:rsidRPr="00A67F27">
              <w:rPr>
                <w:rFonts w:asciiTheme="majorBidi" w:hAnsiTheme="majorBidi" w:cstheme="majorBidi"/>
              </w:rPr>
              <w:t xml:space="preserve">Pour faciliter l’examen, l’évaluation, la comparaison des offres et la vérification des qualifications des Soumissionnaires, le Maître de l’Ouvrage a toute latitude pour demander à un Soumissionnaire des éclaircissements sur son offre. Aucun éclaircissement apporté par un Soumissionnaire autrement qu’en réponse à une demande du </w:t>
            </w:r>
            <w:r w:rsidRPr="00A67F27">
              <w:rPr>
                <w:rFonts w:asciiTheme="majorBidi" w:hAnsiTheme="majorBidi" w:cstheme="majorBidi"/>
              </w:rPr>
              <w:lastRenderedPageBreak/>
              <w:t>Maître de l’Ouvrage ne sera pris en compte. La demande d’éclaircissement du Maître de l’Ouvrage</w:t>
            </w:r>
            <w:r w:rsidR="00892DB8" w:rsidRPr="00A67F27">
              <w:rPr>
                <w:rFonts w:asciiTheme="majorBidi" w:hAnsiTheme="majorBidi" w:cstheme="majorBidi"/>
              </w:rPr>
              <w:t xml:space="preserve"> ainsi que</w:t>
            </w:r>
            <w:r w:rsidRPr="00A67F27">
              <w:rPr>
                <w:rFonts w:asciiTheme="majorBidi" w:hAnsiTheme="majorBidi" w:cstheme="majorBidi"/>
              </w:rPr>
              <w:t xml:space="preserve"> la réponse qui y sera apportée seront formulées par écrit. Aucune modification de prix, ni aucun changement substantiel de l’</w:t>
            </w:r>
            <w:r w:rsidR="001D468B" w:rsidRPr="00A67F27">
              <w:rPr>
                <w:rFonts w:asciiTheme="majorBidi" w:hAnsiTheme="majorBidi" w:cstheme="majorBidi"/>
              </w:rPr>
              <w:t>O</w:t>
            </w:r>
            <w:r w:rsidRPr="00A67F27">
              <w:rPr>
                <w:rFonts w:asciiTheme="majorBidi" w:hAnsiTheme="majorBidi" w:cstheme="majorBidi"/>
              </w:rPr>
              <w:t>ffre</w:t>
            </w:r>
            <w:r w:rsidR="00930BE9" w:rsidRPr="00A67F27">
              <w:rPr>
                <w:rFonts w:asciiTheme="majorBidi" w:hAnsiTheme="majorBidi" w:cstheme="majorBidi"/>
              </w:rPr>
              <w:t xml:space="preserve"> (</w:t>
            </w:r>
            <w:r w:rsidRPr="00A67F27">
              <w:rPr>
                <w:rFonts w:asciiTheme="majorBidi" w:hAnsiTheme="majorBidi" w:cstheme="majorBidi"/>
              </w:rPr>
              <w:t>y compris un</w:t>
            </w:r>
            <w:r w:rsidR="004F67E3" w:rsidRPr="00A67F27">
              <w:rPr>
                <w:rFonts w:asciiTheme="majorBidi" w:hAnsiTheme="majorBidi" w:cstheme="majorBidi"/>
              </w:rPr>
              <w:t xml:space="preserve"> changement dans le M</w:t>
            </w:r>
            <w:r w:rsidRPr="00A67F27">
              <w:rPr>
                <w:rFonts w:asciiTheme="majorBidi" w:hAnsiTheme="majorBidi" w:cstheme="majorBidi"/>
              </w:rPr>
              <w:t xml:space="preserve">ontant de son </w:t>
            </w:r>
            <w:r w:rsidR="001D468B" w:rsidRPr="00A67F27">
              <w:rPr>
                <w:rFonts w:asciiTheme="majorBidi" w:hAnsiTheme="majorBidi" w:cstheme="majorBidi"/>
              </w:rPr>
              <w:t>O</w:t>
            </w:r>
            <w:r w:rsidRPr="00A67F27">
              <w:rPr>
                <w:rFonts w:asciiTheme="majorBidi" w:hAnsiTheme="majorBidi" w:cstheme="majorBidi"/>
              </w:rPr>
              <w:t xml:space="preserve">ffre </w:t>
            </w:r>
            <w:r w:rsidR="00930BE9" w:rsidRPr="00A67F27">
              <w:rPr>
                <w:rFonts w:asciiTheme="majorBidi" w:hAnsiTheme="majorBidi" w:cstheme="majorBidi"/>
              </w:rPr>
              <w:t xml:space="preserve">fait </w:t>
            </w:r>
            <w:r w:rsidRPr="00A67F27">
              <w:rPr>
                <w:rFonts w:asciiTheme="majorBidi" w:hAnsiTheme="majorBidi" w:cstheme="majorBidi"/>
              </w:rPr>
              <w:t>à l’initiative du Soumissionnaire</w:t>
            </w:r>
            <w:r w:rsidR="00930BE9" w:rsidRPr="00A67F27">
              <w:rPr>
                <w:rFonts w:asciiTheme="majorBidi" w:hAnsiTheme="majorBidi" w:cstheme="majorBidi"/>
              </w:rPr>
              <w:t>)</w:t>
            </w:r>
            <w:r w:rsidRPr="00A67F27">
              <w:rPr>
                <w:rFonts w:asciiTheme="majorBidi" w:hAnsiTheme="majorBidi" w:cstheme="majorBidi"/>
              </w:rPr>
              <w:t xml:space="preserve"> ne seront demandés, offerts ou autorisés, si ce n’est pour confirmer la correction des erreurs arithmétiques découvertes par le Maître de l’Ouvrage lors de l’évaluation des offres en application de l’article 31 des IS.</w:t>
            </w:r>
          </w:p>
          <w:p w14:paraId="001E8F78" w14:textId="12682B45" w:rsidR="002476D3" w:rsidRPr="00A67F27" w:rsidRDefault="002476D3" w:rsidP="00D510E8">
            <w:pPr>
              <w:pStyle w:val="Paragraphedeliste"/>
              <w:numPr>
                <w:ilvl w:val="1"/>
                <w:numId w:val="47"/>
              </w:numPr>
              <w:tabs>
                <w:tab w:val="left" w:pos="576"/>
                <w:tab w:val="left" w:pos="1152"/>
              </w:tabs>
              <w:spacing w:after="0"/>
              <w:contextualSpacing w:val="0"/>
              <w:rPr>
                <w:rFonts w:asciiTheme="majorBidi" w:hAnsiTheme="majorBidi" w:cstheme="majorBidi"/>
              </w:rPr>
            </w:pPr>
            <w:r w:rsidRPr="00A67F27">
              <w:rPr>
                <w:rFonts w:asciiTheme="majorBidi" w:hAnsiTheme="majorBidi" w:cstheme="majorBidi"/>
              </w:rPr>
              <w:t>L’offre d’un soumissionnaire qui ne fournit pa</w:t>
            </w:r>
            <w:r w:rsidR="001D468B" w:rsidRPr="00A67F27">
              <w:rPr>
                <w:rFonts w:asciiTheme="majorBidi" w:hAnsiTheme="majorBidi" w:cstheme="majorBidi"/>
              </w:rPr>
              <w:t>s les éclaircissements sur son O</w:t>
            </w:r>
            <w:r w:rsidRPr="00A67F27">
              <w:rPr>
                <w:rFonts w:asciiTheme="majorBidi" w:hAnsiTheme="majorBidi" w:cstheme="majorBidi"/>
              </w:rPr>
              <w:t>ffre avant la date et l’heure spécifiée par le Maître de l’Ouvrage dans sa demande d’éclaircissement sera susceptible d’être rejetée.</w:t>
            </w:r>
          </w:p>
        </w:tc>
      </w:tr>
      <w:tr w:rsidR="002476D3" w:rsidRPr="00A67F27" w14:paraId="7540F2EF" w14:textId="77777777" w:rsidTr="007318E7">
        <w:trPr>
          <w:trHeight w:val="20"/>
        </w:trPr>
        <w:tc>
          <w:tcPr>
            <w:tcW w:w="2250" w:type="dxa"/>
            <w:tcBorders>
              <w:top w:val="nil"/>
              <w:left w:val="nil"/>
              <w:right w:val="nil"/>
            </w:tcBorders>
          </w:tcPr>
          <w:p w14:paraId="5A956BA9" w14:textId="2DDA5D2F" w:rsidR="002476D3" w:rsidRPr="00A67F27" w:rsidRDefault="004F67E3" w:rsidP="007318E7">
            <w:pPr>
              <w:pStyle w:val="S1-Header2"/>
              <w:numPr>
                <w:ilvl w:val="0"/>
                <w:numId w:val="0"/>
              </w:numPr>
              <w:tabs>
                <w:tab w:val="num" w:pos="432"/>
              </w:tabs>
              <w:spacing w:after="0"/>
              <w:ind w:left="432" w:hanging="432"/>
              <w:rPr>
                <w:rFonts w:asciiTheme="majorBidi" w:hAnsiTheme="majorBidi" w:cstheme="majorBidi"/>
                <w:lang w:val="fr-FR"/>
              </w:rPr>
            </w:pPr>
            <w:bookmarkStart w:id="298" w:name="_Toc156373312"/>
            <w:bookmarkStart w:id="299" w:name="_Toc483210601"/>
            <w:bookmarkStart w:id="300" w:name="_Toc487641800"/>
            <w:r w:rsidRPr="00A67F27">
              <w:rPr>
                <w:lang w:val="fr-FR"/>
              </w:rPr>
              <w:lastRenderedPageBreak/>
              <w:t>28.</w:t>
            </w:r>
            <w:r w:rsidR="002476D3" w:rsidRPr="00A67F27">
              <w:rPr>
                <w:lang w:val="fr-FR"/>
              </w:rPr>
              <w:tab/>
              <w:t>Divergences, réserves ou omissions</w:t>
            </w:r>
            <w:bookmarkEnd w:id="298"/>
            <w:bookmarkEnd w:id="299"/>
            <w:bookmarkEnd w:id="300"/>
            <w:r w:rsidRPr="00A67F27">
              <w:rPr>
                <w:rFonts w:asciiTheme="majorBidi" w:hAnsiTheme="majorBidi" w:cstheme="majorBidi"/>
                <w:lang w:val="fr-FR"/>
              </w:rPr>
              <w:t xml:space="preserve"> </w:t>
            </w:r>
          </w:p>
        </w:tc>
        <w:tc>
          <w:tcPr>
            <w:tcW w:w="7380" w:type="dxa"/>
            <w:tcBorders>
              <w:top w:val="nil"/>
              <w:left w:val="nil"/>
              <w:right w:val="nil"/>
            </w:tcBorders>
          </w:tcPr>
          <w:p w14:paraId="315020C4" w14:textId="0385E75A" w:rsidR="002476D3" w:rsidRPr="00A67F27" w:rsidRDefault="002476D3" w:rsidP="00D510E8">
            <w:pPr>
              <w:pStyle w:val="Paragraphedeliste"/>
              <w:numPr>
                <w:ilvl w:val="1"/>
                <w:numId w:val="48"/>
              </w:numPr>
              <w:tabs>
                <w:tab w:val="left" w:pos="576"/>
                <w:tab w:val="left" w:pos="1152"/>
              </w:tabs>
              <w:spacing w:after="0"/>
              <w:rPr>
                <w:rFonts w:asciiTheme="majorBidi" w:hAnsiTheme="majorBidi" w:cstheme="majorBidi"/>
              </w:rPr>
            </w:pPr>
            <w:r w:rsidRPr="00A67F27">
              <w:rPr>
                <w:rFonts w:asciiTheme="majorBidi" w:hAnsiTheme="majorBidi" w:cstheme="majorBidi"/>
              </w:rPr>
              <w:t xml:space="preserve">Aux fins de l’évaluation des </w:t>
            </w:r>
            <w:r w:rsidR="001D468B" w:rsidRPr="00A67F27">
              <w:rPr>
                <w:rFonts w:asciiTheme="majorBidi" w:hAnsiTheme="majorBidi" w:cstheme="majorBidi"/>
              </w:rPr>
              <w:t>O</w:t>
            </w:r>
            <w:r w:rsidRPr="00A67F27">
              <w:rPr>
                <w:rFonts w:asciiTheme="majorBidi" w:hAnsiTheme="majorBidi" w:cstheme="majorBidi"/>
              </w:rPr>
              <w:t>ffres, les définitions suivantes s’</w:t>
            </w:r>
            <w:r w:rsidR="00930BE9" w:rsidRPr="00A67F27">
              <w:rPr>
                <w:rFonts w:asciiTheme="majorBidi" w:hAnsiTheme="majorBidi" w:cstheme="majorBidi"/>
              </w:rPr>
              <w:t>a</w:t>
            </w:r>
            <w:r w:rsidRPr="00A67F27">
              <w:rPr>
                <w:rFonts w:asciiTheme="majorBidi" w:hAnsiTheme="majorBidi" w:cstheme="majorBidi"/>
              </w:rPr>
              <w:t>ppliqueront</w:t>
            </w:r>
            <w:r w:rsidR="009B2302" w:rsidRPr="00A67F27">
              <w:rPr>
                <w:rFonts w:asciiTheme="majorBidi" w:hAnsiTheme="majorBidi" w:cstheme="majorBidi"/>
              </w:rPr>
              <w:t> :</w:t>
            </w:r>
          </w:p>
          <w:p w14:paraId="6A05C808" w14:textId="4EC41C37" w:rsidR="00F856B6" w:rsidRPr="00A67F27" w:rsidRDefault="002476D3" w:rsidP="007318E7">
            <w:pPr>
              <w:numPr>
                <w:ilvl w:val="0"/>
                <w:numId w:val="17"/>
              </w:numPr>
              <w:spacing w:after="0"/>
              <w:ind w:left="1152" w:hanging="542"/>
              <w:rPr>
                <w:rFonts w:asciiTheme="majorBidi" w:hAnsiTheme="majorBidi" w:cstheme="majorBidi"/>
              </w:rPr>
            </w:pPr>
            <w:r w:rsidRPr="00A67F27">
              <w:rPr>
                <w:rFonts w:asciiTheme="majorBidi" w:hAnsiTheme="majorBidi" w:cstheme="majorBidi"/>
              </w:rPr>
              <w:t xml:space="preserve">Une </w:t>
            </w:r>
            <w:r w:rsidR="009B2302" w:rsidRPr="00A67F27">
              <w:rPr>
                <w:rFonts w:asciiTheme="majorBidi" w:hAnsiTheme="majorBidi" w:cstheme="majorBidi"/>
              </w:rPr>
              <w:t>« </w:t>
            </w:r>
            <w:r w:rsidRPr="00A67F27">
              <w:rPr>
                <w:rFonts w:asciiTheme="majorBidi" w:hAnsiTheme="majorBidi" w:cstheme="majorBidi"/>
              </w:rPr>
              <w:t>divergence</w:t>
            </w:r>
            <w:r w:rsidR="009B2302" w:rsidRPr="00A67F27">
              <w:rPr>
                <w:rFonts w:asciiTheme="majorBidi" w:hAnsiTheme="majorBidi" w:cstheme="majorBidi"/>
              </w:rPr>
              <w:t> »</w:t>
            </w:r>
            <w:r w:rsidRPr="00A67F27">
              <w:rPr>
                <w:rFonts w:asciiTheme="majorBidi" w:hAnsiTheme="majorBidi" w:cstheme="majorBidi"/>
              </w:rPr>
              <w:t xml:space="preserve"> est un écart par rapport aux stipulations du Dossier d’Appel d’Offres</w:t>
            </w:r>
            <w:r w:rsidR="009B2302" w:rsidRPr="00A67F27">
              <w:rPr>
                <w:rFonts w:asciiTheme="majorBidi" w:hAnsiTheme="majorBidi" w:cstheme="majorBidi"/>
              </w:rPr>
              <w:t> ;</w:t>
            </w:r>
          </w:p>
          <w:p w14:paraId="7AD7CA06" w14:textId="2705B10F" w:rsidR="00F856B6" w:rsidRPr="00A67F27" w:rsidRDefault="00686816" w:rsidP="007318E7">
            <w:pPr>
              <w:spacing w:after="0"/>
              <w:ind w:left="1152" w:hanging="542"/>
              <w:rPr>
                <w:rFonts w:asciiTheme="majorBidi" w:hAnsiTheme="majorBidi" w:cstheme="majorBidi"/>
              </w:rPr>
            </w:pPr>
            <w:r w:rsidRPr="00A67F27">
              <w:rPr>
                <w:rFonts w:asciiTheme="majorBidi" w:hAnsiTheme="majorBidi" w:cstheme="majorBidi"/>
              </w:rPr>
              <w:t>(</w:t>
            </w:r>
            <w:r w:rsidR="002476D3" w:rsidRPr="00A67F27">
              <w:rPr>
                <w:rFonts w:asciiTheme="majorBidi" w:hAnsiTheme="majorBidi" w:cstheme="majorBidi"/>
              </w:rPr>
              <w:t>b)</w:t>
            </w:r>
            <w:r w:rsidR="00AB72E2" w:rsidRPr="00A67F27">
              <w:rPr>
                <w:rFonts w:asciiTheme="majorBidi" w:hAnsiTheme="majorBidi" w:cstheme="majorBidi"/>
              </w:rPr>
              <w:tab/>
            </w:r>
            <w:r w:rsidR="002476D3" w:rsidRPr="00A67F27">
              <w:rPr>
                <w:rFonts w:asciiTheme="majorBidi" w:hAnsiTheme="majorBidi" w:cstheme="majorBidi"/>
              </w:rPr>
              <w:t xml:space="preserve">Une </w:t>
            </w:r>
            <w:r w:rsidR="009B2302" w:rsidRPr="00A67F27">
              <w:rPr>
                <w:rFonts w:asciiTheme="majorBidi" w:hAnsiTheme="majorBidi" w:cstheme="majorBidi"/>
              </w:rPr>
              <w:t>« </w:t>
            </w:r>
            <w:r w:rsidR="002476D3" w:rsidRPr="00A67F27">
              <w:rPr>
                <w:rFonts w:asciiTheme="majorBidi" w:hAnsiTheme="majorBidi" w:cstheme="majorBidi"/>
              </w:rPr>
              <w:t>réserve</w:t>
            </w:r>
            <w:r w:rsidR="009B2302" w:rsidRPr="00A67F27">
              <w:rPr>
                <w:rFonts w:asciiTheme="majorBidi" w:hAnsiTheme="majorBidi" w:cstheme="majorBidi"/>
              </w:rPr>
              <w:t> »</w:t>
            </w:r>
            <w:r w:rsidR="002476D3" w:rsidRPr="00A67F27">
              <w:rPr>
                <w:rFonts w:asciiTheme="majorBidi" w:hAnsiTheme="majorBidi" w:cstheme="majorBidi"/>
              </w:rPr>
              <w:t xml:space="preserve"> est la formulation d’une conditionnalité restrictive, ou la non acceptation d</w:t>
            </w:r>
            <w:r w:rsidR="00D85FEF" w:rsidRPr="00A67F27">
              <w:rPr>
                <w:rFonts w:asciiTheme="majorBidi" w:hAnsiTheme="majorBidi" w:cstheme="majorBidi"/>
              </w:rPr>
              <w:t>’</w:t>
            </w:r>
            <w:r w:rsidR="002476D3" w:rsidRPr="00A67F27">
              <w:rPr>
                <w:rFonts w:asciiTheme="majorBidi" w:hAnsiTheme="majorBidi" w:cstheme="majorBidi"/>
              </w:rPr>
              <w:t>une disposition requise par le Dossier d’Appel d’Offres</w:t>
            </w:r>
            <w:r w:rsidR="009B2302" w:rsidRPr="00A67F27">
              <w:rPr>
                <w:rFonts w:asciiTheme="majorBidi" w:hAnsiTheme="majorBidi" w:cstheme="majorBidi"/>
              </w:rPr>
              <w:t> ;</w:t>
            </w:r>
            <w:r w:rsidR="002476D3" w:rsidRPr="00A67F27">
              <w:rPr>
                <w:rFonts w:asciiTheme="majorBidi" w:hAnsiTheme="majorBidi" w:cstheme="majorBidi"/>
              </w:rPr>
              <w:t xml:space="preserve"> et </w:t>
            </w:r>
          </w:p>
          <w:p w14:paraId="436E3055" w14:textId="7758AD55" w:rsidR="00F856B6" w:rsidRPr="00A67F27" w:rsidRDefault="002476D3" w:rsidP="007318E7">
            <w:pPr>
              <w:pStyle w:val="Paragraphedeliste"/>
              <w:numPr>
                <w:ilvl w:val="0"/>
                <w:numId w:val="10"/>
              </w:numPr>
              <w:spacing w:after="0"/>
              <w:ind w:left="1152" w:hanging="542"/>
              <w:contextualSpacing w:val="0"/>
              <w:rPr>
                <w:rFonts w:asciiTheme="majorBidi" w:hAnsiTheme="majorBidi" w:cstheme="majorBidi"/>
              </w:rPr>
            </w:pPr>
            <w:r w:rsidRPr="00A67F27">
              <w:rPr>
                <w:rFonts w:asciiTheme="majorBidi" w:hAnsiTheme="majorBidi" w:cstheme="majorBidi"/>
              </w:rPr>
              <w:t xml:space="preserve">Une </w:t>
            </w:r>
            <w:r w:rsidR="009B2302" w:rsidRPr="00A67F27">
              <w:rPr>
                <w:rFonts w:asciiTheme="majorBidi" w:hAnsiTheme="majorBidi" w:cstheme="majorBidi"/>
              </w:rPr>
              <w:t>« </w:t>
            </w:r>
            <w:r w:rsidRPr="00A67F27">
              <w:rPr>
                <w:rFonts w:asciiTheme="majorBidi" w:hAnsiTheme="majorBidi" w:cstheme="majorBidi"/>
              </w:rPr>
              <w:t>omission</w:t>
            </w:r>
            <w:r w:rsidR="009B2302" w:rsidRPr="00A67F27">
              <w:rPr>
                <w:rFonts w:asciiTheme="majorBidi" w:hAnsiTheme="majorBidi" w:cstheme="majorBidi"/>
              </w:rPr>
              <w:t> »</w:t>
            </w:r>
            <w:r w:rsidRPr="00A67F27">
              <w:rPr>
                <w:rFonts w:asciiTheme="majorBidi" w:hAnsiTheme="majorBidi" w:cstheme="majorBidi"/>
              </w:rPr>
              <w:t xml:space="preserve"> est l’absence totale ou partielle des renseignements et documents exigés par le Dossier d’</w:t>
            </w:r>
            <w:r w:rsidR="00892DB8" w:rsidRPr="00A67F27">
              <w:rPr>
                <w:rFonts w:asciiTheme="majorBidi" w:hAnsiTheme="majorBidi" w:cstheme="majorBidi"/>
              </w:rPr>
              <w:t>A</w:t>
            </w:r>
            <w:r w:rsidRPr="00A67F27">
              <w:rPr>
                <w:rFonts w:asciiTheme="majorBidi" w:hAnsiTheme="majorBidi" w:cstheme="majorBidi"/>
              </w:rPr>
              <w:t>ppel d’</w:t>
            </w:r>
            <w:r w:rsidR="00892DB8" w:rsidRPr="00A67F27">
              <w:rPr>
                <w:rFonts w:asciiTheme="majorBidi" w:hAnsiTheme="majorBidi" w:cstheme="majorBidi"/>
              </w:rPr>
              <w:t>O</w:t>
            </w:r>
            <w:r w:rsidRPr="00A67F27">
              <w:rPr>
                <w:rFonts w:asciiTheme="majorBidi" w:hAnsiTheme="majorBidi" w:cstheme="majorBidi"/>
              </w:rPr>
              <w:t xml:space="preserve">ffres. </w:t>
            </w:r>
          </w:p>
        </w:tc>
      </w:tr>
      <w:tr w:rsidR="002476D3" w:rsidRPr="00A67F27" w14:paraId="723858DB" w14:textId="77777777" w:rsidTr="007318E7">
        <w:trPr>
          <w:trHeight w:val="20"/>
        </w:trPr>
        <w:tc>
          <w:tcPr>
            <w:tcW w:w="2250" w:type="dxa"/>
            <w:tcBorders>
              <w:top w:val="nil"/>
              <w:left w:val="nil"/>
              <w:bottom w:val="nil"/>
              <w:right w:val="nil"/>
            </w:tcBorders>
          </w:tcPr>
          <w:p w14:paraId="4A83785B" w14:textId="5920A67E" w:rsidR="002476D3" w:rsidRPr="00A67F27" w:rsidRDefault="000B69A1" w:rsidP="007318E7">
            <w:pPr>
              <w:pStyle w:val="S1-Header2"/>
              <w:numPr>
                <w:ilvl w:val="0"/>
                <w:numId w:val="0"/>
              </w:numPr>
              <w:tabs>
                <w:tab w:val="num" w:pos="432"/>
              </w:tabs>
              <w:spacing w:after="0"/>
              <w:ind w:left="432" w:hanging="432"/>
              <w:rPr>
                <w:rFonts w:asciiTheme="majorBidi" w:hAnsiTheme="majorBidi" w:cstheme="majorBidi"/>
                <w:lang w:val="fr-FR"/>
              </w:rPr>
            </w:pPr>
            <w:bookmarkStart w:id="301" w:name="_Toc438532633"/>
            <w:bookmarkStart w:id="302" w:name="_Toc483210602"/>
            <w:bookmarkStart w:id="303" w:name="_Toc487641801"/>
            <w:bookmarkEnd w:id="301"/>
            <w:r w:rsidRPr="00A67F27">
              <w:rPr>
                <w:lang w:val="fr-FR"/>
              </w:rPr>
              <w:t>29.</w:t>
            </w:r>
            <w:r w:rsidRPr="00A67F27">
              <w:rPr>
                <w:lang w:val="fr-FR"/>
              </w:rPr>
              <w:tab/>
              <w:t>Conformité des offres</w:t>
            </w:r>
            <w:bookmarkEnd w:id="302"/>
            <w:bookmarkEnd w:id="303"/>
          </w:p>
        </w:tc>
        <w:tc>
          <w:tcPr>
            <w:tcW w:w="7380" w:type="dxa"/>
            <w:tcBorders>
              <w:top w:val="nil"/>
              <w:left w:val="nil"/>
              <w:bottom w:val="nil"/>
              <w:right w:val="nil"/>
            </w:tcBorders>
          </w:tcPr>
          <w:p w14:paraId="30AD2768" w14:textId="53C801AA" w:rsidR="00412BB8" w:rsidRPr="00A67F27" w:rsidRDefault="000B69A1" w:rsidP="00D510E8">
            <w:pPr>
              <w:pStyle w:val="Paragraphedeliste"/>
              <w:numPr>
                <w:ilvl w:val="1"/>
                <w:numId w:val="49"/>
              </w:numPr>
              <w:tabs>
                <w:tab w:val="left" w:pos="1152"/>
              </w:tabs>
              <w:spacing w:after="0"/>
              <w:contextualSpacing w:val="0"/>
              <w:rPr>
                <w:rFonts w:asciiTheme="majorBidi" w:hAnsiTheme="majorBidi" w:cstheme="majorBidi"/>
              </w:rPr>
            </w:pPr>
            <w:r w:rsidRPr="00A67F27">
              <w:rPr>
                <w:rFonts w:asciiTheme="majorBidi" w:hAnsiTheme="majorBidi" w:cstheme="majorBidi"/>
              </w:rPr>
              <w:t>Le Maître d’Ouvrage établira la conformité de l’Offre sur la base</w:t>
            </w:r>
            <w:r w:rsidR="009B2302" w:rsidRPr="00A67F27">
              <w:rPr>
                <w:rFonts w:asciiTheme="majorBidi" w:hAnsiTheme="majorBidi" w:cstheme="majorBidi"/>
              </w:rPr>
              <w:t xml:space="preserve">             </w:t>
            </w:r>
            <w:r w:rsidRPr="00A67F27">
              <w:rPr>
                <w:rFonts w:asciiTheme="majorBidi" w:hAnsiTheme="majorBidi" w:cstheme="majorBidi"/>
              </w:rPr>
              <w:t>de son seul contenu, tel que défini à l’article 11 des IS.</w:t>
            </w:r>
          </w:p>
          <w:p w14:paraId="7DCD8D48" w14:textId="5952A1CE" w:rsidR="00F856B6" w:rsidRPr="00A67F27" w:rsidRDefault="002476D3" w:rsidP="00D510E8">
            <w:pPr>
              <w:pStyle w:val="Paragraphedeliste"/>
              <w:numPr>
                <w:ilvl w:val="1"/>
                <w:numId w:val="49"/>
              </w:numPr>
              <w:tabs>
                <w:tab w:val="left" w:pos="1152"/>
              </w:tabs>
              <w:spacing w:after="0"/>
              <w:contextualSpacing w:val="0"/>
              <w:rPr>
                <w:rFonts w:asciiTheme="majorBidi" w:hAnsiTheme="majorBidi" w:cstheme="majorBidi"/>
              </w:rPr>
            </w:pPr>
            <w:r w:rsidRPr="00A67F27">
              <w:rPr>
                <w:rFonts w:asciiTheme="majorBidi" w:hAnsiTheme="majorBidi" w:cstheme="majorBidi"/>
              </w:rPr>
              <w:t>Une offre conforme pour l’essen</w:t>
            </w:r>
            <w:r w:rsidR="00930BE9" w:rsidRPr="00A67F27">
              <w:rPr>
                <w:rFonts w:asciiTheme="majorBidi" w:hAnsiTheme="majorBidi" w:cstheme="majorBidi"/>
              </w:rPr>
              <w:t>tiel e</w:t>
            </w:r>
            <w:r w:rsidRPr="00A67F27">
              <w:rPr>
                <w:rFonts w:asciiTheme="majorBidi" w:hAnsiTheme="majorBidi" w:cstheme="majorBidi"/>
              </w:rPr>
              <w:t>st une offre conforme aux dispositions</w:t>
            </w:r>
            <w:r w:rsidR="009B2302" w:rsidRPr="00A67F27">
              <w:rPr>
                <w:rFonts w:asciiTheme="majorBidi" w:hAnsiTheme="majorBidi" w:cstheme="majorBidi"/>
              </w:rPr>
              <w:t xml:space="preserve"> </w:t>
            </w:r>
            <w:r w:rsidRPr="00A67F27">
              <w:rPr>
                <w:rFonts w:asciiTheme="majorBidi" w:hAnsiTheme="majorBidi" w:cstheme="majorBidi"/>
              </w:rPr>
              <w:t>du Dossier d’Appel d’Offres, sans divergence, réserve ou omission importante. Les divergences, réserves ou omissions importantes sont celles qui</w:t>
            </w:r>
            <w:r w:rsidR="009B2302" w:rsidRPr="00A67F27">
              <w:rPr>
                <w:rFonts w:asciiTheme="majorBidi" w:hAnsiTheme="majorBidi" w:cstheme="majorBidi"/>
              </w:rPr>
              <w:t> :</w:t>
            </w:r>
            <w:r w:rsidRPr="00A67F27">
              <w:rPr>
                <w:rFonts w:asciiTheme="majorBidi" w:hAnsiTheme="majorBidi" w:cstheme="majorBidi"/>
              </w:rPr>
              <w:t xml:space="preserve"> </w:t>
            </w:r>
          </w:p>
          <w:p w14:paraId="51B1EE74" w14:textId="5792DAC8" w:rsidR="002476D3" w:rsidRPr="00A67F27" w:rsidRDefault="00107599" w:rsidP="007318E7">
            <w:pPr>
              <w:numPr>
                <w:ilvl w:val="0"/>
                <w:numId w:val="18"/>
              </w:numPr>
              <w:tabs>
                <w:tab w:val="left" w:pos="576"/>
                <w:tab w:val="left" w:pos="1152"/>
              </w:tabs>
              <w:spacing w:after="0"/>
              <w:ind w:left="1152" w:hanging="540"/>
              <w:rPr>
                <w:rFonts w:asciiTheme="majorBidi" w:hAnsiTheme="majorBidi" w:cstheme="majorBidi"/>
              </w:rPr>
            </w:pPr>
            <w:r w:rsidRPr="00A67F27">
              <w:rPr>
                <w:rFonts w:asciiTheme="majorBidi" w:hAnsiTheme="majorBidi" w:cstheme="majorBidi"/>
                <w:spacing w:val="-4"/>
              </w:rPr>
              <w:t>Si</w:t>
            </w:r>
            <w:r w:rsidR="002476D3" w:rsidRPr="00A67F27">
              <w:rPr>
                <w:rFonts w:asciiTheme="majorBidi" w:hAnsiTheme="majorBidi" w:cstheme="majorBidi"/>
                <w:spacing w:val="-4"/>
              </w:rPr>
              <w:t xml:space="preserve"> elles étaient acceptées, </w:t>
            </w:r>
          </w:p>
          <w:p w14:paraId="3215B62D" w14:textId="123D67E1" w:rsidR="002476D3" w:rsidRPr="00A67F27" w:rsidRDefault="00107599" w:rsidP="007318E7">
            <w:pPr>
              <w:numPr>
                <w:ilvl w:val="0"/>
                <w:numId w:val="11"/>
              </w:numPr>
              <w:tabs>
                <w:tab w:val="left" w:pos="576"/>
                <w:tab w:val="left" w:pos="1692"/>
              </w:tabs>
              <w:spacing w:after="0"/>
              <w:ind w:left="1728" w:hanging="576"/>
              <w:rPr>
                <w:rFonts w:asciiTheme="majorBidi" w:hAnsiTheme="majorBidi" w:cstheme="majorBidi"/>
              </w:rPr>
            </w:pPr>
            <w:r w:rsidRPr="00A67F27">
              <w:rPr>
                <w:rFonts w:asciiTheme="majorBidi" w:hAnsiTheme="majorBidi" w:cstheme="majorBidi"/>
                <w:spacing w:val="-4"/>
              </w:rPr>
              <w:t>Limiteraient</w:t>
            </w:r>
            <w:r w:rsidR="002476D3" w:rsidRPr="00A67F27">
              <w:rPr>
                <w:rFonts w:asciiTheme="majorBidi" w:hAnsiTheme="majorBidi" w:cstheme="majorBidi"/>
                <w:spacing w:val="-4"/>
              </w:rPr>
              <w:t xml:space="preserve"> de manière importante la portée, la qualité ou les performances </w:t>
            </w:r>
            <w:r w:rsidR="002476D3" w:rsidRPr="00A67F27">
              <w:rPr>
                <w:rFonts w:asciiTheme="majorBidi" w:hAnsiTheme="majorBidi" w:cstheme="majorBidi"/>
              </w:rPr>
              <w:t>des travaux spécifiés dans le Marché</w:t>
            </w:r>
            <w:r w:rsidR="009B2302" w:rsidRPr="00A67F27">
              <w:rPr>
                <w:rFonts w:asciiTheme="majorBidi" w:hAnsiTheme="majorBidi" w:cstheme="majorBidi"/>
              </w:rPr>
              <w:t> </w:t>
            </w:r>
            <w:r w:rsidR="009B2302" w:rsidRPr="00A67F27">
              <w:rPr>
                <w:rFonts w:asciiTheme="majorBidi" w:hAnsiTheme="majorBidi" w:cstheme="majorBidi"/>
                <w:spacing w:val="-4"/>
              </w:rPr>
              <w:t>;</w:t>
            </w:r>
            <w:r w:rsidR="002476D3" w:rsidRPr="00A67F27">
              <w:rPr>
                <w:rFonts w:asciiTheme="majorBidi" w:hAnsiTheme="majorBidi" w:cstheme="majorBidi"/>
                <w:spacing w:val="-4"/>
              </w:rPr>
              <w:t xml:space="preserve"> </w:t>
            </w:r>
            <w:r w:rsidR="00884AB4" w:rsidRPr="00A67F27">
              <w:rPr>
                <w:rFonts w:asciiTheme="majorBidi" w:hAnsiTheme="majorBidi" w:cstheme="majorBidi"/>
                <w:spacing w:val="-4"/>
              </w:rPr>
              <w:t>où</w:t>
            </w:r>
            <w:r w:rsidR="002476D3" w:rsidRPr="00A67F27">
              <w:rPr>
                <w:rFonts w:asciiTheme="majorBidi" w:hAnsiTheme="majorBidi" w:cstheme="majorBidi"/>
                <w:spacing w:val="-4"/>
              </w:rPr>
              <w:t xml:space="preserve"> </w:t>
            </w:r>
          </w:p>
          <w:p w14:paraId="05FAB49E" w14:textId="3378BE65" w:rsidR="002476D3" w:rsidRPr="00A67F27" w:rsidRDefault="00107599" w:rsidP="007318E7">
            <w:pPr>
              <w:numPr>
                <w:ilvl w:val="0"/>
                <w:numId w:val="11"/>
              </w:numPr>
              <w:tabs>
                <w:tab w:val="left" w:pos="576"/>
                <w:tab w:val="left" w:pos="1692"/>
              </w:tabs>
              <w:spacing w:after="0"/>
              <w:ind w:left="1728" w:hanging="576"/>
              <w:rPr>
                <w:rFonts w:asciiTheme="majorBidi" w:hAnsiTheme="majorBidi" w:cstheme="majorBidi"/>
              </w:rPr>
            </w:pPr>
            <w:r w:rsidRPr="00A67F27">
              <w:rPr>
                <w:rFonts w:asciiTheme="majorBidi" w:hAnsiTheme="majorBidi" w:cstheme="majorBidi"/>
                <w:spacing w:val="-4"/>
              </w:rPr>
              <w:t>Limiteraient</w:t>
            </w:r>
            <w:r w:rsidR="002476D3" w:rsidRPr="00A67F27">
              <w:rPr>
                <w:rFonts w:asciiTheme="majorBidi" w:hAnsiTheme="majorBidi" w:cstheme="majorBidi"/>
                <w:spacing w:val="-4"/>
              </w:rPr>
              <w:t>, d’une manière importante et non conforme au Dossier d’Appel d’Offres, les droits du Maître de l’Ouvrage ou les obligations du Soumissionnaire au titre du Marché</w:t>
            </w:r>
            <w:r w:rsidR="009B2302" w:rsidRPr="00A67F27">
              <w:rPr>
                <w:rFonts w:asciiTheme="majorBidi" w:hAnsiTheme="majorBidi" w:cstheme="majorBidi"/>
                <w:spacing w:val="-4"/>
              </w:rPr>
              <w:t> ;</w:t>
            </w:r>
            <w:r w:rsidR="002476D3" w:rsidRPr="00A67F27">
              <w:rPr>
                <w:rFonts w:asciiTheme="majorBidi" w:hAnsiTheme="majorBidi" w:cstheme="majorBidi"/>
                <w:spacing w:val="-4"/>
              </w:rPr>
              <w:t xml:space="preserve"> </w:t>
            </w:r>
            <w:r w:rsidR="00884AB4" w:rsidRPr="00A67F27">
              <w:rPr>
                <w:rFonts w:asciiTheme="majorBidi" w:hAnsiTheme="majorBidi" w:cstheme="majorBidi"/>
                <w:spacing w:val="-4"/>
              </w:rPr>
              <w:t>où</w:t>
            </w:r>
            <w:r w:rsidR="002476D3" w:rsidRPr="00A67F27">
              <w:rPr>
                <w:rFonts w:asciiTheme="majorBidi" w:hAnsiTheme="majorBidi" w:cstheme="majorBidi"/>
                <w:spacing w:val="-4"/>
              </w:rPr>
              <w:t xml:space="preserve"> </w:t>
            </w:r>
          </w:p>
          <w:p w14:paraId="7DEFC3D2" w14:textId="77777777" w:rsidR="002476D3" w:rsidRPr="00A67F27" w:rsidRDefault="002476D3" w:rsidP="007318E7">
            <w:pPr>
              <w:numPr>
                <w:ilvl w:val="0"/>
                <w:numId w:val="18"/>
              </w:numPr>
              <w:tabs>
                <w:tab w:val="left" w:pos="576"/>
              </w:tabs>
              <w:spacing w:after="0"/>
              <w:ind w:left="1170" w:hanging="546"/>
              <w:rPr>
                <w:rFonts w:asciiTheme="majorBidi" w:hAnsiTheme="majorBidi" w:cstheme="majorBidi"/>
              </w:rPr>
            </w:pPr>
            <w:r w:rsidRPr="00A67F27">
              <w:rPr>
                <w:rFonts w:asciiTheme="majorBidi" w:hAnsiTheme="majorBidi" w:cstheme="majorBidi"/>
                <w:spacing w:val="-4"/>
              </w:rPr>
              <w:t>si elles étaient rectifiées, seraient préjudiciable aux autres Soumissionnaires ayant présenté des offres conformes pour l’essentiel.</w:t>
            </w:r>
          </w:p>
        </w:tc>
      </w:tr>
      <w:tr w:rsidR="002476D3" w:rsidRPr="00A67F27" w14:paraId="1881425B" w14:textId="77777777" w:rsidTr="007318E7">
        <w:trPr>
          <w:trHeight w:val="20"/>
        </w:trPr>
        <w:tc>
          <w:tcPr>
            <w:tcW w:w="2250" w:type="dxa"/>
            <w:tcBorders>
              <w:top w:val="nil"/>
              <w:left w:val="nil"/>
              <w:bottom w:val="nil"/>
              <w:right w:val="nil"/>
            </w:tcBorders>
          </w:tcPr>
          <w:p w14:paraId="76B5B647" w14:textId="77777777" w:rsidR="002476D3" w:rsidRPr="00A67F27" w:rsidRDefault="002476D3" w:rsidP="007318E7">
            <w:pPr>
              <w:spacing w:after="0"/>
              <w:rPr>
                <w:rFonts w:asciiTheme="majorBidi" w:hAnsiTheme="majorBidi" w:cstheme="majorBidi"/>
              </w:rPr>
            </w:pPr>
          </w:p>
        </w:tc>
        <w:tc>
          <w:tcPr>
            <w:tcW w:w="7380" w:type="dxa"/>
            <w:tcBorders>
              <w:top w:val="nil"/>
              <w:left w:val="nil"/>
              <w:bottom w:val="nil"/>
              <w:right w:val="nil"/>
            </w:tcBorders>
          </w:tcPr>
          <w:p w14:paraId="341EB136" w14:textId="3807CBAD" w:rsidR="00F856B6" w:rsidRPr="00A67F27" w:rsidRDefault="002476D3" w:rsidP="00D510E8">
            <w:pPr>
              <w:pStyle w:val="Paragraphedeliste"/>
              <w:numPr>
                <w:ilvl w:val="1"/>
                <w:numId w:val="49"/>
              </w:numPr>
              <w:tabs>
                <w:tab w:val="left" w:pos="1152"/>
              </w:tabs>
              <w:spacing w:after="0"/>
              <w:contextualSpacing w:val="0"/>
              <w:rPr>
                <w:rFonts w:asciiTheme="majorBidi" w:hAnsiTheme="majorBidi" w:cstheme="majorBidi"/>
                <w:spacing w:val="-4"/>
              </w:rPr>
            </w:pPr>
            <w:r w:rsidRPr="00A67F27">
              <w:rPr>
                <w:rFonts w:asciiTheme="majorBidi" w:hAnsiTheme="majorBidi" w:cstheme="majorBidi"/>
                <w:spacing w:val="-4"/>
              </w:rPr>
              <w:t>Le Maître de l’Ouvrage examinera les aspects techniques de l’offre en application de l’article 16 des IS, notamment pour s’assurer que toutes les exigences de la Section VII (Spécifications techniques et plans) ont été satisfaites sans divergence, réserve ou omission</w:t>
            </w:r>
            <w:r w:rsidR="009B2302" w:rsidRPr="00A67F27">
              <w:rPr>
                <w:rFonts w:asciiTheme="majorBidi" w:hAnsiTheme="majorBidi" w:cstheme="majorBidi"/>
                <w:spacing w:val="-4"/>
              </w:rPr>
              <w:t xml:space="preserve"> </w:t>
            </w:r>
            <w:r w:rsidRPr="00A67F27">
              <w:rPr>
                <w:rFonts w:asciiTheme="majorBidi" w:hAnsiTheme="majorBidi" w:cstheme="majorBidi"/>
                <w:spacing w:val="-4"/>
              </w:rPr>
              <w:t>importante.</w:t>
            </w:r>
          </w:p>
        </w:tc>
      </w:tr>
      <w:tr w:rsidR="002476D3" w:rsidRPr="00A67F27" w14:paraId="6B6E266D" w14:textId="77777777" w:rsidTr="007318E7">
        <w:trPr>
          <w:trHeight w:val="20"/>
        </w:trPr>
        <w:tc>
          <w:tcPr>
            <w:tcW w:w="2250" w:type="dxa"/>
            <w:tcBorders>
              <w:top w:val="nil"/>
              <w:left w:val="nil"/>
              <w:bottom w:val="nil"/>
              <w:right w:val="nil"/>
            </w:tcBorders>
          </w:tcPr>
          <w:p w14:paraId="31DB5974" w14:textId="77777777" w:rsidR="002476D3" w:rsidRPr="00A67F27" w:rsidRDefault="002476D3" w:rsidP="007318E7">
            <w:pPr>
              <w:numPr>
                <w:ilvl w:val="12"/>
                <w:numId w:val="0"/>
              </w:numPr>
              <w:spacing w:after="0"/>
              <w:rPr>
                <w:rFonts w:asciiTheme="majorBidi" w:hAnsiTheme="majorBidi" w:cstheme="majorBidi"/>
              </w:rPr>
            </w:pPr>
            <w:bookmarkStart w:id="304" w:name="_Toc438532634"/>
            <w:bookmarkStart w:id="305" w:name="_Toc438532635"/>
            <w:bookmarkEnd w:id="304"/>
            <w:bookmarkEnd w:id="305"/>
          </w:p>
        </w:tc>
        <w:tc>
          <w:tcPr>
            <w:tcW w:w="7380" w:type="dxa"/>
            <w:tcBorders>
              <w:top w:val="nil"/>
              <w:left w:val="nil"/>
              <w:bottom w:val="nil"/>
              <w:right w:val="nil"/>
            </w:tcBorders>
          </w:tcPr>
          <w:p w14:paraId="47037A0D" w14:textId="5F850098" w:rsidR="00F856B6" w:rsidRPr="00A67F27" w:rsidRDefault="002476D3" w:rsidP="00D510E8">
            <w:pPr>
              <w:pStyle w:val="Paragraphedeliste"/>
              <w:numPr>
                <w:ilvl w:val="1"/>
                <w:numId w:val="49"/>
              </w:numPr>
              <w:tabs>
                <w:tab w:val="left" w:pos="576"/>
                <w:tab w:val="left" w:pos="1152"/>
              </w:tabs>
              <w:spacing w:after="0"/>
              <w:contextualSpacing w:val="0"/>
              <w:rPr>
                <w:rFonts w:asciiTheme="majorBidi" w:hAnsiTheme="majorBidi" w:cstheme="majorBidi"/>
                <w:spacing w:val="-4"/>
              </w:rPr>
            </w:pPr>
            <w:r w:rsidRPr="00A67F27">
              <w:rPr>
                <w:rFonts w:asciiTheme="majorBidi" w:hAnsiTheme="majorBidi" w:cstheme="majorBidi"/>
                <w:spacing w:val="-4"/>
              </w:rPr>
              <w:t>Le Maître de l’Ouvrage écartera toute offre qui n’est pas conforme pour l’essentiel aux dispositions du Dossier d’Appel d’Offres et le Soumissionnaire ne pourra</w:t>
            </w:r>
            <w:r w:rsidR="00A600C1" w:rsidRPr="00A67F27">
              <w:rPr>
                <w:rFonts w:asciiTheme="majorBidi" w:hAnsiTheme="majorBidi" w:cstheme="majorBidi"/>
                <w:spacing w:val="-4"/>
              </w:rPr>
              <w:t xml:space="preserve"> pas</w:t>
            </w:r>
            <w:r w:rsidRPr="00A67F27">
              <w:rPr>
                <w:rFonts w:asciiTheme="majorBidi" w:hAnsiTheme="majorBidi" w:cstheme="majorBidi"/>
                <w:spacing w:val="-4"/>
              </w:rPr>
              <w:t xml:space="preserve"> par la suite la rendre conforme en </w:t>
            </w:r>
            <w:r w:rsidRPr="00A67F27">
              <w:rPr>
                <w:rFonts w:asciiTheme="majorBidi" w:hAnsiTheme="majorBidi" w:cstheme="majorBidi"/>
                <w:spacing w:val="-4"/>
              </w:rPr>
              <w:lastRenderedPageBreak/>
              <w:t xml:space="preserve">apportant des corrections </w:t>
            </w:r>
            <w:r w:rsidR="00892DB8" w:rsidRPr="00A67F27">
              <w:rPr>
                <w:rFonts w:asciiTheme="majorBidi" w:hAnsiTheme="majorBidi" w:cstheme="majorBidi"/>
                <w:spacing w:val="-4"/>
              </w:rPr>
              <w:t>aux d</w:t>
            </w:r>
            <w:r w:rsidRPr="00A67F27">
              <w:rPr>
                <w:rFonts w:asciiTheme="majorBidi" w:hAnsiTheme="majorBidi" w:cstheme="majorBidi"/>
                <w:spacing w:val="-4"/>
              </w:rPr>
              <w:t>ivergence</w:t>
            </w:r>
            <w:r w:rsidR="00892DB8" w:rsidRPr="00A67F27">
              <w:rPr>
                <w:rFonts w:asciiTheme="majorBidi" w:hAnsiTheme="majorBidi" w:cstheme="majorBidi"/>
                <w:spacing w:val="-4"/>
              </w:rPr>
              <w:t>s</w:t>
            </w:r>
            <w:r w:rsidRPr="00A67F27">
              <w:rPr>
                <w:rFonts w:asciiTheme="majorBidi" w:hAnsiTheme="majorBidi" w:cstheme="majorBidi"/>
                <w:spacing w:val="-4"/>
              </w:rPr>
              <w:t>, réserve</w:t>
            </w:r>
            <w:r w:rsidR="00892DB8" w:rsidRPr="00A67F27">
              <w:rPr>
                <w:rFonts w:asciiTheme="majorBidi" w:hAnsiTheme="majorBidi" w:cstheme="majorBidi"/>
                <w:spacing w:val="-4"/>
              </w:rPr>
              <w:t>s</w:t>
            </w:r>
            <w:r w:rsidRPr="00A67F27">
              <w:rPr>
                <w:rFonts w:asciiTheme="majorBidi" w:hAnsiTheme="majorBidi" w:cstheme="majorBidi"/>
                <w:spacing w:val="-4"/>
              </w:rPr>
              <w:t xml:space="preserve"> ou omission</w:t>
            </w:r>
            <w:r w:rsidR="00892DB8" w:rsidRPr="00A67F27">
              <w:rPr>
                <w:rFonts w:asciiTheme="majorBidi" w:hAnsiTheme="majorBidi" w:cstheme="majorBidi"/>
                <w:spacing w:val="-4"/>
              </w:rPr>
              <w:t>s</w:t>
            </w:r>
            <w:r w:rsidRPr="00A67F27">
              <w:rPr>
                <w:rFonts w:asciiTheme="majorBidi" w:hAnsiTheme="majorBidi" w:cstheme="majorBidi"/>
                <w:spacing w:val="-4"/>
              </w:rPr>
              <w:t xml:space="preserve"> importante</w:t>
            </w:r>
            <w:r w:rsidR="00892DB8" w:rsidRPr="00A67F27">
              <w:rPr>
                <w:rFonts w:asciiTheme="majorBidi" w:hAnsiTheme="majorBidi" w:cstheme="majorBidi"/>
                <w:spacing w:val="-4"/>
              </w:rPr>
              <w:t xml:space="preserve">s </w:t>
            </w:r>
            <w:r w:rsidRPr="00A67F27">
              <w:rPr>
                <w:rFonts w:asciiTheme="majorBidi" w:hAnsiTheme="majorBidi" w:cstheme="majorBidi"/>
                <w:spacing w:val="-4"/>
              </w:rPr>
              <w:t>constatée</w:t>
            </w:r>
            <w:r w:rsidR="00892DB8" w:rsidRPr="00A67F27">
              <w:rPr>
                <w:rFonts w:asciiTheme="majorBidi" w:hAnsiTheme="majorBidi" w:cstheme="majorBidi"/>
                <w:spacing w:val="-4"/>
              </w:rPr>
              <w:t>s</w:t>
            </w:r>
            <w:r w:rsidRPr="00A67F27">
              <w:rPr>
                <w:rFonts w:asciiTheme="majorBidi" w:hAnsiTheme="majorBidi" w:cstheme="majorBidi"/>
                <w:spacing w:val="-4"/>
              </w:rPr>
              <w:t xml:space="preserve">. </w:t>
            </w:r>
          </w:p>
        </w:tc>
      </w:tr>
      <w:tr w:rsidR="002476D3" w:rsidRPr="00A67F27" w14:paraId="423419A6" w14:textId="77777777" w:rsidTr="007318E7">
        <w:trPr>
          <w:trHeight w:val="20"/>
        </w:trPr>
        <w:tc>
          <w:tcPr>
            <w:tcW w:w="2250" w:type="dxa"/>
            <w:tcBorders>
              <w:top w:val="nil"/>
              <w:left w:val="nil"/>
              <w:right w:val="nil"/>
            </w:tcBorders>
          </w:tcPr>
          <w:p w14:paraId="7BC51E67" w14:textId="52E488E3" w:rsidR="002476D3" w:rsidRPr="00A67F27" w:rsidRDefault="002476D3" w:rsidP="007318E7">
            <w:pPr>
              <w:pStyle w:val="S1-Header2"/>
              <w:numPr>
                <w:ilvl w:val="0"/>
                <w:numId w:val="0"/>
              </w:numPr>
              <w:tabs>
                <w:tab w:val="num" w:pos="432"/>
              </w:tabs>
              <w:spacing w:after="0"/>
              <w:ind w:left="432" w:hanging="432"/>
              <w:rPr>
                <w:lang w:val="fr-FR"/>
              </w:rPr>
            </w:pPr>
            <w:bookmarkStart w:id="306" w:name="_Toc438438854"/>
            <w:bookmarkStart w:id="307" w:name="_Toc438532636"/>
            <w:bookmarkStart w:id="308" w:name="_Toc438733998"/>
            <w:bookmarkStart w:id="309" w:name="_Toc438907035"/>
            <w:bookmarkStart w:id="310" w:name="_Toc438907234"/>
            <w:bookmarkStart w:id="311" w:name="_Toc156373314"/>
            <w:bookmarkStart w:id="312" w:name="_Toc483210603"/>
            <w:bookmarkStart w:id="313" w:name="_Toc487641802"/>
            <w:r w:rsidRPr="00A67F27">
              <w:rPr>
                <w:lang w:val="fr-FR"/>
              </w:rPr>
              <w:lastRenderedPageBreak/>
              <w:t>30.</w:t>
            </w:r>
            <w:r w:rsidRPr="00A67F27">
              <w:rPr>
                <w:lang w:val="fr-FR"/>
              </w:rPr>
              <w:tab/>
            </w:r>
            <w:bookmarkEnd w:id="306"/>
            <w:bookmarkEnd w:id="307"/>
            <w:bookmarkEnd w:id="308"/>
            <w:bookmarkEnd w:id="309"/>
            <w:bookmarkEnd w:id="310"/>
            <w:bookmarkEnd w:id="311"/>
            <w:r w:rsidR="00D85FEF" w:rsidRPr="00A67F27">
              <w:rPr>
                <w:lang w:val="fr-FR"/>
              </w:rPr>
              <w:t>Non-Conformité et</w:t>
            </w:r>
            <w:r w:rsidR="00902B06" w:rsidRPr="00A67F27">
              <w:rPr>
                <w:lang w:val="fr-FR"/>
              </w:rPr>
              <w:t> </w:t>
            </w:r>
            <w:r w:rsidR="00D85FEF" w:rsidRPr="00A67F27">
              <w:rPr>
                <w:lang w:val="fr-FR"/>
              </w:rPr>
              <w:t>erreurs</w:t>
            </w:r>
            <w:bookmarkEnd w:id="312"/>
            <w:bookmarkEnd w:id="313"/>
          </w:p>
        </w:tc>
        <w:tc>
          <w:tcPr>
            <w:tcW w:w="7380" w:type="dxa"/>
            <w:tcBorders>
              <w:top w:val="nil"/>
              <w:left w:val="nil"/>
              <w:right w:val="nil"/>
            </w:tcBorders>
          </w:tcPr>
          <w:p w14:paraId="542C4A88" w14:textId="6E1CFCEB" w:rsidR="002476D3" w:rsidRPr="00A67F27" w:rsidRDefault="002476D3" w:rsidP="00D510E8">
            <w:pPr>
              <w:pStyle w:val="Paragraphedeliste"/>
              <w:numPr>
                <w:ilvl w:val="1"/>
                <w:numId w:val="50"/>
              </w:numPr>
              <w:tabs>
                <w:tab w:val="left" w:pos="576"/>
                <w:tab w:val="left" w:pos="1152"/>
              </w:tabs>
              <w:spacing w:after="0"/>
              <w:contextualSpacing w:val="0"/>
              <w:rPr>
                <w:rFonts w:asciiTheme="majorBidi" w:hAnsiTheme="majorBidi" w:cstheme="majorBidi"/>
              </w:rPr>
            </w:pPr>
            <w:r w:rsidRPr="00A67F27">
              <w:rPr>
                <w:rFonts w:asciiTheme="majorBidi" w:hAnsiTheme="majorBidi" w:cstheme="majorBidi"/>
              </w:rPr>
              <w:t>Lorsqu’une offre est conforme pour l’essentiel, le Maître de l’Ouvrage peut tolérer</w:t>
            </w:r>
            <w:r w:rsidR="009B2302" w:rsidRPr="00A67F27">
              <w:rPr>
                <w:rFonts w:asciiTheme="majorBidi" w:hAnsiTheme="majorBidi" w:cstheme="majorBidi"/>
              </w:rPr>
              <w:t xml:space="preserve"> </w:t>
            </w:r>
            <w:r w:rsidRPr="00A67F27">
              <w:rPr>
                <w:rFonts w:asciiTheme="majorBidi" w:hAnsiTheme="majorBidi" w:cstheme="majorBidi"/>
              </w:rPr>
              <w:t xml:space="preserve">toute non-conformité </w:t>
            </w:r>
            <w:r w:rsidR="001469B3" w:rsidRPr="00A67F27">
              <w:rPr>
                <w:rFonts w:asciiTheme="majorBidi" w:hAnsiTheme="majorBidi" w:cstheme="majorBidi"/>
              </w:rPr>
              <w:t>ou omission qui ne constitue pas une divergence importante par rapport aux conditions de l’appel d’offres</w:t>
            </w:r>
            <w:r w:rsidRPr="00A67F27">
              <w:rPr>
                <w:rFonts w:asciiTheme="majorBidi" w:hAnsiTheme="majorBidi" w:cstheme="majorBidi"/>
              </w:rPr>
              <w:t>.</w:t>
            </w:r>
          </w:p>
        </w:tc>
      </w:tr>
      <w:tr w:rsidR="002476D3" w:rsidRPr="00A67F27" w14:paraId="15DC266C" w14:textId="77777777" w:rsidTr="007318E7">
        <w:trPr>
          <w:trHeight w:val="20"/>
        </w:trPr>
        <w:tc>
          <w:tcPr>
            <w:tcW w:w="2250" w:type="dxa"/>
            <w:tcBorders>
              <w:top w:val="nil"/>
              <w:left w:val="nil"/>
              <w:right w:val="nil"/>
            </w:tcBorders>
          </w:tcPr>
          <w:p w14:paraId="63C8D1C4" w14:textId="6553516F" w:rsidR="002476D3" w:rsidRPr="00A67F27" w:rsidRDefault="002476D3" w:rsidP="007318E7">
            <w:pPr>
              <w:pStyle w:val="S1-Header2"/>
              <w:numPr>
                <w:ilvl w:val="0"/>
                <w:numId w:val="0"/>
              </w:numPr>
              <w:tabs>
                <w:tab w:val="num" w:pos="432"/>
              </w:tabs>
              <w:spacing w:after="0"/>
              <w:ind w:left="432" w:hanging="432"/>
              <w:rPr>
                <w:lang w:val="fr-FR"/>
              </w:rPr>
            </w:pPr>
            <w:bookmarkStart w:id="314" w:name="_Toc438532637"/>
            <w:bookmarkEnd w:id="314"/>
          </w:p>
        </w:tc>
        <w:tc>
          <w:tcPr>
            <w:tcW w:w="7380" w:type="dxa"/>
            <w:tcBorders>
              <w:top w:val="nil"/>
              <w:left w:val="nil"/>
              <w:right w:val="nil"/>
            </w:tcBorders>
          </w:tcPr>
          <w:p w14:paraId="2A242B97" w14:textId="5A57E2B7" w:rsidR="00412BB8" w:rsidRPr="00A67F27" w:rsidRDefault="002476D3" w:rsidP="00D510E8">
            <w:pPr>
              <w:pStyle w:val="Paragraphedeliste"/>
              <w:numPr>
                <w:ilvl w:val="1"/>
                <w:numId w:val="50"/>
              </w:numPr>
              <w:tabs>
                <w:tab w:val="left" w:pos="576"/>
                <w:tab w:val="left" w:pos="1152"/>
              </w:tabs>
              <w:spacing w:after="0"/>
              <w:contextualSpacing w:val="0"/>
              <w:rPr>
                <w:rFonts w:asciiTheme="majorBidi" w:hAnsiTheme="majorBidi" w:cstheme="majorBidi"/>
              </w:rPr>
            </w:pPr>
            <w:r w:rsidRPr="00A67F27">
              <w:rPr>
                <w:rFonts w:asciiTheme="majorBidi" w:hAnsiTheme="majorBidi" w:cstheme="majorBidi"/>
              </w:rPr>
              <w:t>Lorsqu’une offre est conforme pour l’essentiel</w:t>
            </w:r>
            <w:r w:rsidR="00892DB8" w:rsidRPr="00A67F27">
              <w:rPr>
                <w:rFonts w:asciiTheme="majorBidi" w:hAnsiTheme="majorBidi" w:cstheme="majorBidi"/>
              </w:rPr>
              <w:t xml:space="preserve"> aux dispositions du Dossier d’Appel d’O</w:t>
            </w:r>
            <w:r w:rsidRPr="00A67F27">
              <w:rPr>
                <w:rFonts w:asciiTheme="majorBidi" w:hAnsiTheme="majorBidi" w:cstheme="majorBidi"/>
              </w:rPr>
              <w:t>ffres, le Maître de l’Ouvrage peut demander au Soumissionnaire de présenter, dans un délai raisonnable, les informations</w:t>
            </w:r>
            <w:r w:rsidR="00C470AB" w:rsidRPr="00A67F27">
              <w:rPr>
                <w:rFonts w:asciiTheme="majorBidi" w:hAnsiTheme="majorBidi" w:cstheme="majorBidi"/>
              </w:rPr>
              <w:t>,</w:t>
            </w:r>
            <w:r w:rsidRPr="00A67F27">
              <w:rPr>
                <w:rFonts w:asciiTheme="majorBidi" w:hAnsiTheme="majorBidi" w:cstheme="majorBidi"/>
              </w:rPr>
              <w:t xml:space="preserve"> ou la documentation</w:t>
            </w:r>
            <w:r w:rsidR="00C470AB" w:rsidRPr="00A67F27">
              <w:rPr>
                <w:rFonts w:asciiTheme="majorBidi" w:hAnsiTheme="majorBidi" w:cstheme="majorBidi"/>
              </w:rPr>
              <w:t>,</w:t>
            </w:r>
            <w:r w:rsidRPr="00A67F27">
              <w:rPr>
                <w:rFonts w:asciiTheme="majorBidi" w:hAnsiTheme="majorBidi" w:cstheme="majorBidi"/>
              </w:rPr>
              <w:t xml:space="preserve"> nécessaires pour remédier à la non-conformité </w:t>
            </w:r>
            <w:r w:rsidR="00D41D68" w:rsidRPr="00A67F27">
              <w:rPr>
                <w:rFonts w:asciiTheme="majorBidi" w:hAnsiTheme="majorBidi" w:cstheme="majorBidi"/>
              </w:rPr>
              <w:t>mineure</w:t>
            </w:r>
            <w:r w:rsidR="00D85FEF" w:rsidRPr="00A67F27">
              <w:rPr>
                <w:rFonts w:asciiTheme="majorBidi" w:hAnsiTheme="majorBidi" w:cstheme="majorBidi"/>
              </w:rPr>
              <w:t xml:space="preserve"> constatée</w:t>
            </w:r>
            <w:r w:rsidRPr="00A67F27">
              <w:rPr>
                <w:rFonts w:asciiTheme="majorBidi" w:hAnsiTheme="majorBidi" w:cstheme="majorBidi"/>
              </w:rPr>
              <w:t xml:space="preserve"> dans l’</w:t>
            </w:r>
            <w:r w:rsidR="00E849A0" w:rsidRPr="00A67F27">
              <w:rPr>
                <w:rFonts w:asciiTheme="majorBidi" w:hAnsiTheme="majorBidi" w:cstheme="majorBidi"/>
              </w:rPr>
              <w:t>O</w:t>
            </w:r>
            <w:r w:rsidRPr="00A67F27">
              <w:rPr>
                <w:rFonts w:asciiTheme="majorBidi" w:hAnsiTheme="majorBidi" w:cstheme="majorBidi"/>
              </w:rPr>
              <w:t xml:space="preserve">ffre </w:t>
            </w:r>
            <w:r w:rsidR="00E849A0" w:rsidRPr="00A67F27">
              <w:rPr>
                <w:rFonts w:asciiTheme="majorBidi" w:hAnsiTheme="majorBidi" w:cstheme="majorBidi"/>
              </w:rPr>
              <w:t xml:space="preserve">en comparaison avec </w:t>
            </w:r>
            <w:r w:rsidRPr="00A67F27">
              <w:rPr>
                <w:rFonts w:asciiTheme="majorBidi" w:hAnsiTheme="majorBidi" w:cstheme="majorBidi"/>
              </w:rPr>
              <w:t xml:space="preserve">la documentation </w:t>
            </w:r>
            <w:r w:rsidR="00E849A0" w:rsidRPr="00A67F27">
              <w:rPr>
                <w:rFonts w:asciiTheme="majorBidi" w:hAnsiTheme="majorBidi" w:cstheme="majorBidi"/>
              </w:rPr>
              <w:t>requise par le Dossier d’Appel d’Offres.</w:t>
            </w:r>
            <w:r w:rsidR="009B2302" w:rsidRPr="00A67F27">
              <w:rPr>
                <w:rFonts w:asciiTheme="majorBidi" w:hAnsiTheme="majorBidi" w:cstheme="majorBidi"/>
              </w:rPr>
              <w:t xml:space="preserve"> </w:t>
            </w:r>
            <w:r w:rsidRPr="00A67F27">
              <w:rPr>
                <w:rFonts w:asciiTheme="majorBidi" w:hAnsiTheme="majorBidi" w:cstheme="majorBidi"/>
              </w:rPr>
              <w:t>Une telle demande ne peut, en aucun cas, porter sur un élément reflété dans le Montant</w:t>
            </w:r>
            <w:r w:rsidR="009B2302" w:rsidRPr="00A67F27">
              <w:rPr>
                <w:rFonts w:asciiTheme="majorBidi" w:hAnsiTheme="majorBidi" w:cstheme="majorBidi"/>
              </w:rPr>
              <w:t xml:space="preserve"> </w:t>
            </w:r>
            <w:r w:rsidRPr="00A67F27">
              <w:rPr>
                <w:rFonts w:asciiTheme="majorBidi" w:hAnsiTheme="majorBidi" w:cstheme="majorBidi"/>
              </w:rPr>
              <w:t>de l’</w:t>
            </w:r>
            <w:r w:rsidR="00892DB8" w:rsidRPr="00A67F27">
              <w:rPr>
                <w:rFonts w:asciiTheme="majorBidi" w:hAnsiTheme="majorBidi" w:cstheme="majorBidi"/>
              </w:rPr>
              <w:t>O</w:t>
            </w:r>
            <w:r w:rsidRPr="00A67F27">
              <w:rPr>
                <w:rFonts w:asciiTheme="majorBidi" w:hAnsiTheme="majorBidi" w:cstheme="majorBidi"/>
              </w:rPr>
              <w:t xml:space="preserve">ffre. Le Soumissionnaire qui ne donnerait pas suite à cette demande peut voir son offre </w:t>
            </w:r>
            <w:r w:rsidR="001469B3" w:rsidRPr="00A67F27">
              <w:rPr>
                <w:rFonts w:asciiTheme="majorBidi" w:hAnsiTheme="majorBidi" w:cstheme="majorBidi"/>
              </w:rPr>
              <w:t>écartée</w:t>
            </w:r>
            <w:r w:rsidRPr="00A67F27">
              <w:rPr>
                <w:rFonts w:asciiTheme="majorBidi" w:hAnsiTheme="majorBidi" w:cstheme="majorBidi"/>
              </w:rPr>
              <w:t xml:space="preserve">. </w:t>
            </w:r>
          </w:p>
          <w:p w14:paraId="48A8FC19" w14:textId="460B9EFC" w:rsidR="00F856B6" w:rsidRPr="00A67F27" w:rsidRDefault="002476D3" w:rsidP="00D510E8">
            <w:pPr>
              <w:pStyle w:val="Paragraphedeliste"/>
              <w:numPr>
                <w:ilvl w:val="1"/>
                <w:numId w:val="50"/>
              </w:numPr>
              <w:tabs>
                <w:tab w:val="left" w:pos="576"/>
                <w:tab w:val="left" w:pos="1152"/>
              </w:tabs>
              <w:spacing w:after="0"/>
              <w:contextualSpacing w:val="0"/>
              <w:rPr>
                <w:rFonts w:asciiTheme="majorBidi" w:hAnsiTheme="majorBidi" w:cstheme="majorBidi"/>
                <w:spacing w:val="-2"/>
              </w:rPr>
            </w:pPr>
            <w:r w:rsidRPr="00A67F27">
              <w:rPr>
                <w:rFonts w:asciiTheme="majorBidi" w:hAnsiTheme="majorBidi" w:cstheme="majorBidi"/>
                <w:spacing w:val="-2"/>
              </w:rPr>
              <w:t>Lorsqu’une offre est conforme pour l’essentiel aux dispositions du Dossier d’Appel d’Offres, le Maître de l’Ouvrage rectifiera les non-conformités ou omissions mineures qui affectent le Montant de l’</w:t>
            </w:r>
            <w:r w:rsidR="00892DB8" w:rsidRPr="00A67F27">
              <w:rPr>
                <w:rFonts w:asciiTheme="majorBidi" w:hAnsiTheme="majorBidi" w:cstheme="majorBidi"/>
                <w:spacing w:val="-2"/>
              </w:rPr>
              <w:t>O</w:t>
            </w:r>
            <w:r w:rsidRPr="00A67F27">
              <w:rPr>
                <w:rFonts w:asciiTheme="majorBidi" w:hAnsiTheme="majorBidi" w:cstheme="majorBidi"/>
                <w:spacing w:val="-2"/>
              </w:rPr>
              <w:t>ffre. A cet effet, le Montant</w:t>
            </w:r>
            <w:r w:rsidR="009B2302" w:rsidRPr="00A67F27">
              <w:rPr>
                <w:rFonts w:asciiTheme="majorBidi" w:hAnsiTheme="majorBidi" w:cstheme="majorBidi"/>
                <w:spacing w:val="-2"/>
              </w:rPr>
              <w:t xml:space="preserve"> </w:t>
            </w:r>
            <w:r w:rsidRPr="00A67F27">
              <w:rPr>
                <w:rFonts w:asciiTheme="majorBidi" w:hAnsiTheme="majorBidi" w:cstheme="majorBidi"/>
                <w:spacing w:val="-2"/>
              </w:rPr>
              <w:t>de l’Offre sera ajusté, uniquement aux fins de l’évaluation, pour tenir compte de l’élément</w:t>
            </w:r>
            <w:r w:rsidR="009B2302" w:rsidRPr="00A67F27">
              <w:rPr>
                <w:rFonts w:asciiTheme="majorBidi" w:hAnsiTheme="majorBidi" w:cstheme="majorBidi"/>
                <w:spacing w:val="-2"/>
              </w:rPr>
              <w:t xml:space="preserve"> </w:t>
            </w:r>
            <w:r w:rsidRPr="00A67F27">
              <w:rPr>
                <w:rFonts w:asciiTheme="majorBidi" w:hAnsiTheme="majorBidi" w:cstheme="majorBidi"/>
                <w:spacing w:val="-2"/>
              </w:rPr>
              <w:t>manquant ou non conforme</w:t>
            </w:r>
            <w:r w:rsidR="00951DC3" w:rsidRPr="00A67F27">
              <w:rPr>
                <w:rFonts w:asciiTheme="majorBidi" w:hAnsiTheme="majorBidi" w:cstheme="majorBidi"/>
                <w:spacing w:val="-2"/>
              </w:rPr>
              <w:t>. Cet ajustement s’effectuera conformément aux dispositions de la Section III-Critères d’évaluation et de qualification.</w:t>
            </w:r>
          </w:p>
        </w:tc>
      </w:tr>
      <w:tr w:rsidR="002476D3" w:rsidRPr="00A67F27" w14:paraId="088D71D9" w14:textId="77777777" w:rsidTr="007318E7">
        <w:trPr>
          <w:trHeight w:val="20"/>
        </w:trPr>
        <w:tc>
          <w:tcPr>
            <w:tcW w:w="2250" w:type="dxa"/>
            <w:tcBorders>
              <w:left w:val="nil"/>
              <w:bottom w:val="nil"/>
              <w:right w:val="nil"/>
            </w:tcBorders>
          </w:tcPr>
          <w:p w14:paraId="39BAC0D2" w14:textId="2D9B68CB" w:rsidR="002476D3" w:rsidRPr="00A67F27" w:rsidRDefault="004F67E3" w:rsidP="007318E7">
            <w:pPr>
              <w:pStyle w:val="S1-Header2"/>
              <w:numPr>
                <w:ilvl w:val="0"/>
                <w:numId w:val="0"/>
              </w:numPr>
              <w:tabs>
                <w:tab w:val="num" w:pos="432"/>
              </w:tabs>
              <w:spacing w:after="0"/>
              <w:ind w:left="432" w:hanging="432"/>
              <w:rPr>
                <w:rFonts w:asciiTheme="majorBidi" w:hAnsiTheme="majorBidi" w:cstheme="majorBidi"/>
                <w:lang w:val="fr-FR"/>
              </w:rPr>
            </w:pPr>
            <w:bookmarkStart w:id="315" w:name="_Toc438532638"/>
            <w:bookmarkStart w:id="316" w:name="_Toc438532639"/>
            <w:bookmarkStart w:id="317" w:name="_Toc156373315"/>
            <w:bookmarkStart w:id="318" w:name="_Toc483210604"/>
            <w:bookmarkStart w:id="319" w:name="_Toc487641803"/>
            <w:bookmarkEnd w:id="315"/>
            <w:bookmarkEnd w:id="316"/>
            <w:r w:rsidRPr="00A67F27">
              <w:rPr>
                <w:lang w:val="fr-FR"/>
              </w:rPr>
              <w:t>31.</w:t>
            </w:r>
            <w:r w:rsidR="002476D3" w:rsidRPr="00A67F27">
              <w:rPr>
                <w:lang w:val="fr-FR"/>
              </w:rPr>
              <w:tab/>
              <w:t>Correction des</w:t>
            </w:r>
            <w:r w:rsidR="00A6531F" w:rsidRPr="00A67F27">
              <w:rPr>
                <w:lang w:val="fr-FR"/>
              </w:rPr>
              <w:t> </w:t>
            </w:r>
            <w:r w:rsidR="002476D3" w:rsidRPr="00A67F27">
              <w:rPr>
                <w:lang w:val="fr-FR"/>
              </w:rPr>
              <w:t>erreurs arithmétiques</w:t>
            </w:r>
            <w:bookmarkEnd w:id="317"/>
            <w:bookmarkEnd w:id="318"/>
            <w:bookmarkEnd w:id="319"/>
          </w:p>
        </w:tc>
        <w:tc>
          <w:tcPr>
            <w:tcW w:w="7380" w:type="dxa"/>
            <w:tcBorders>
              <w:left w:val="nil"/>
              <w:bottom w:val="nil"/>
              <w:right w:val="nil"/>
            </w:tcBorders>
          </w:tcPr>
          <w:p w14:paraId="4C840BFC" w14:textId="06EB7427" w:rsidR="002476D3" w:rsidRPr="00A67F27" w:rsidRDefault="002476D3" w:rsidP="00D510E8">
            <w:pPr>
              <w:pStyle w:val="Paragraphedeliste"/>
              <w:numPr>
                <w:ilvl w:val="1"/>
                <w:numId w:val="51"/>
              </w:numPr>
              <w:tabs>
                <w:tab w:val="left" w:pos="576"/>
                <w:tab w:val="left" w:pos="1152"/>
              </w:tabs>
              <w:spacing w:after="0"/>
              <w:rPr>
                <w:rFonts w:asciiTheme="majorBidi" w:hAnsiTheme="majorBidi" w:cstheme="majorBidi"/>
              </w:rPr>
            </w:pPr>
            <w:r w:rsidRPr="00A67F27">
              <w:rPr>
                <w:rFonts w:asciiTheme="majorBidi" w:hAnsiTheme="majorBidi" w:cstheme="majorBidi"/>
              </w:rPr>
              <w:t>Lorsqu’une offre est conforme pour l’essentiel, le Maître de l’Ouvrage en rectifiera les erreurs arithmétiques sur la base suivante</w:t>
            </w:r>
            <w:r w:rsidR="009B2302" w:rsidRPr="00A67F27">
              <w:rPr>
                <w:rFonts w:asciiTheme="majorBidi" w:hAnsiTheme="majorBidi" w:cstheme="majorBidi"/>
              </w:rPr>
              <w:t> :</w:t>
            </w:r>
          </w:p>
          <w:p w14:paraId="00CC9845" w14:textId="6FEDAACC" w:rsidR="00F856B6" w:rsidRPr="00A67F27" w:rsidRDefault="00A6531F" w:rsidP="007318E7">
            <w:pPr>
              <w:spacing w:after="0"/>
              <w:ind w:left="1152" w:hanging="540"/>
              <w:rPr>
                <w:rFonts w:asciiTheme="majorBidi" w:hAnsiTheme="majorBidi" w:cstheme="majorBidi"/>
              </w:rPr>
            </w:pPr>
            <w:r w:rsidRPr="00A67F27">
              <w:rPr>
                <w:rFonts w:asciiTheme="majorBidi" w:hAnsiTheme="majorBidi" w:cstheme="majorBidi"/>
              </w:rPr>
              <w:t>(</w:t>
            </w:r>
            <w:r w:rsidR="00D85FEF" w:rsidRPr="00A67F27">
              <w:rPr>
                <w:rFonts w:asciiTheme="majorBidi" w:hAnsiTheme="majorBidi" w:cstheme="majorBidi"/>
              </w:rPr>
              <w:t>a)</w:t>
            </w:r>
            <w:r w:rsidR="00566B51" w:rsidRPr="00A67F27">
              <w:rPr>
                <w:rFonts w:asciiTheme="majorBidi" w:hAnsiTheme="majorBidi" w:cstheme="majorBidi"/>
              </w:rPr>
              <w:tab/>
            </w:r>
            <w:r w:rsidR="00651D2C" w:rsidRPr="00A67F27">
              <w:rPr>
                <w:rFonts w:asciiTheme="majorBidi" w:hAnsiTheme="majorBidi" w:cstheme="majorBidi"/>
              </w:rPr>
              <w:t>Dans le cas d’un Marché à prix unitaires seulement, s</w:t>
            </w:r>
            <w:r w:rsidR="002476D3" w:rsidRPr="00A67F27">
              <w:rPr>
                <w:rFonts w:asciiTheme="majorBidi" w:hAnsiTheme="majorBidi" w:cstheme="majorBidi"/>
              </w:rPr>
              <w:t>’il existe une contradiction entre le prix unitaire et le prix total obtenu en multipliant le prix unitaire par la quantité correspondante, le prix unitaire fera foi et le prix total sera rectifié, à moins que, de l’avis du Maître de l’Ouvrage, la virgule des décimales du prix unitaire soit manifestement mal placée, auquel cas le prix total indiqué prévaudra et le prix unitaire sera rectifié</w:t>
            </w:r>
            <w:r w:rsidR="009B2302" w:rsidRPr="00A67F27">
              <w:rPr>
                <w:rFonts w:asciiTheme="majorBidi" w:hAnsiTheme="majorBidi" w:cstheme="majorBidi"/>
              </w:rPr>
              <w:t> ;</w:t>
            </w:r>
            <w:r w:rsidR="002476D3" w:rsidRPr="00A67F27">
              <w:rPr>
                <w:rFonts w:asciiTheme="majorBidi" w:hAnsiTheme="majorBidi" w:cstheme="majorBidi"/>
              </w:rPr>
              <w:t xml:space="preserve"> </w:t>
            </w:r>
          </w:p>
          <w:p w14:paraId="43FA3AC0" w14:textId="04B5584D" w:rsidR="00F856B6" w:rsidRPr="00A67F27" w:rsidRDefault="00A6531F" w:rsidP="007318E7">
            <w:pPr>
              <w:spacing w:after="0"/>
              <w:ind w:left="1152" w:hanging="540"/>
              <w:rPr>
                <w:rFonts w:asciiTheme="majorBidi" w:hAnsiTheme="majorBidi" w:cstheme="majorBidi"/>
              </w:rPr>
            </w:pPr>
            <w:r w:rsidRPr="00A67F27">
              <w:rPr>
                <w:rFonts w:asciiTheme="majorBidi" w:hAnsiTheme="majorBidi" w:cstheme="majorBidi"/>
              </w:rPr>
              <w:t>(</w:t>
            </w:r>
            <w:r w:rsidR="002476D3" w:rsidRPr="00A67F27">
              <w:rPr>
                <w:rFonts w:asciiTheme="majorBidi" w:hAnsiTheme="majorBidi" w:cstheme="majorBidi"/>
              </w:rPr>
              <w:t>b)</w:t>
            </w:r>
            <w:r w:rsidR="00566B51" w:rsidRPr="00A67F27">
              <w:rPr>
                <w:rFonts w:asciiTheme="majorBidi" w:hAnsiTheme="majorBidi" w:cstheme="majorBidi"/>
              </w:rPr>
              <w:tab/>
            </w:r>
            <w:r w:rsidR="002476D3" w:rsidRPr="00A67F27">
              <w:rPr>
                <w:rFonts w:asciiTheme="majorBidi" w:hAnsiTheme="majorBidi" w:cstheme="majorBidi"/>
              </w:rPr>
              <w:t>Si le total obtenu par addition ou soustraction des sous totaux n’est pas exact, les sous totaux feront foi et le total sera rectifié</w:t>
            </w:r>
            <w:r w:rsidR="009B2302" w:rsidRPr="00A67F27">
              <w:rPr>
                <w:rFonts w:asciiTheme="majorBidi" w:hAnsiTheme="majorBidi" w:cstheme="majorBidi"/>
              </w:rPr>
              <w:t> ;</w:t>
            </w:r>
            <w:r w:rsidR="002476D3" w:rsidRPr="00A67F27">
              <w:rPr>
                <w:rFonts w:asciiTheme="majorBidi" w:hAnsiTheme="majorBidi" w:cstheme="majorBidi"/>
              </w:rPr>
              <w:t xml:space="preserve"> et </w:t>
            </w:r>
          </w:p>
          <w:p w14:paraId="71ACAD9E" w14:textId="2CFED1A0" w:rsidR="00F856B6" w:rsidRPr="00A67F27" w:rsidRDefault="00A6531F" w:rsidP="007318E7">
            <w:pPr>
              <w:spacing w:after="0"/>
              <w:ind w:left="1152" w:hanging="540"/>
              <w:rPr>
                <w:rFonts w:asciiTheme="majorBidi" w:hAnsiTheme="majorBidi" w:cstheme="majorBidi"/>
              </w:rPr>
            </w:pPr>
            <w:r w:rsidRPr="00A67F27">
              <w:rPr>
                <w:rFonts w:asciiTheme="majorBidi" w:hAnsiTheme="majorBidi" w:cstheme="majorBidi"/>
              </w:rPr>
              <w:t>(</w:t>
            </w:r>
            <w:r w:rsidR="002476D3" w:rsidRPr="00A67F27">
              <w:rPr>
                <w:rFonts w:asciiTheme="majorBidi" w:hAnsiTheme="majorBidi" w:cstheme="majorBidi"/>
              </w:rPr>
              <w:t>c)</w:t>
            </w:r>
            <w:r w:rsidR="00566B51" w:rsidRPr="00A67F27">
              <w:rPr>
                <w:rFonts w:asciiTheme="majorBidi" w:hAnsiTheme="majorBidi" w:cstheme="majorBidi"/>
              </w:rPr>
              <w:tab/>
            </w:r>
            <w:r w:rsidR="002476D3" w:rsidRPr="00A67F27">
              <w:rPr>
                <w:rFonts w:asciiTheme="majorBidi" w:hAnsiTheme="majorBidi" w:cstheme="majorBidi"/>
              </w:rPr>
              <w:t>S’il existe une contradiction entre le montant indiqué en lettres et le montant indiqué en chiffres, le montant en lettres fera foi, à moins que ce montant ne soit entaché d’une erreur arithmétique, auquel cas le montant en chiffres prévaudra sous réserve des alinéas a) et b) ci-dessus.</w:t>
            </w:r>
          </w:p>
        </w:tc>
      </w:tr>
      <w:tr w:rsidR="002476D3" w:rsidRPr="00A67F27" w14:paraId="0601383A" w14:textId="77777777" w:rsidTr="007318E7">
        <w:trPr>
          <w:trHeight w:val="20"/>
        </w:trPr>
        <w:tc>
          <w:tcPr>
            <w:tcW w:w="2250" w:type="dxa"/>
            <w:tcBorders>
              <w:top w:val="nil"/>
              <w:left w:val="nil"/>
              <w:bottom w:val="nil"/>
              <w:right w:val="nil"/>
            </w:tcBorders>
          </w:tcPr>
          <w:p w14:paraId="35555797" w14:textId="77777777" w:rsidR="002476D3" w:rsidRPr="00A67F27" w:rsidRDefault="002476D3" w:rsidP="007318E7">
            <w:pPr>
              <w:spacing w:after="0"/>
              <w:rPr>
                <w:rFonts w:asciiTheme="majorBidi" w:hAnsiTheme="majorBidi" w:cstheme="majorBidi"/>
              </w:rPr>
            </w:pPr>
            <w:bookmarkStart w:id="320" w:name="_Toc438532640"/>
            <w:bookmarkStart w:id="321" w:name="_Toc438532641"/>
            <w:bookmarkEnd w:id="320"/>
            <w:bookmarkEnd w:id="321"/>
          </w:p>
        </w:tc>
        <w:tc>
          <w:tcPr>
            <w:tcW w:w="7380" w:type="dxa"/>
            <w:tcBorders>
              <w:top w:val="nil"/>
              <w:left w:val="nil"/>
              <w:bottom w:val="nil"/>
              <w:right w:val="nil"/>
            </w:tcBorders>
          </w:tcPr>
          <w:p w14:paraId="260E19D1" w14:textId="2FA5449D" w:rsidR="002476D3" w:rsidRPr="00A67F27" w:rsidRDefault="005E0148" w:rsidP="00D510E8">
            <w:pPr>
              <w:pStyle w:val="Paragraphedeliste"/>
              <w:numPr>
                <w:ilvl w:val="1"/>
                <w:numId w:val="51"/>
              </w:numPr>
              <w:tabs>
                <w:tab w:val="left" w:pos="576"/>
                <w:tab w:val="left" w:pos="1152"/>
              </w:tabs>
              <w:spacing w:after="0"/>
              <w:rPr>
                <w:rFonts w:asciiTheme="majorBidi" w:hAnsiTheme="majorBidi" w:cstheme="majorBidi"/>
              </w:rPr>
            </w:pPr>
            <w:r w:rsidRPr="00A67F27">
              <w:rPr>
                <w:rFonts w:asciiTheme="majorBidi" w:hAnsiTheme="majorBidi" w:cstheme="majorBidi"/>
              </w:rPr>
              <w:t>Il sera demandé au Soumissionnaire d’accepter la correction des erreurs arithmétiques. Si le Soumissionnaire n’accepte pas les corrections apportées en conformité avec l’article 31.1, son offre sera écartée</w:t>
            </w:r>
            <w:r w:rsidR="002476D3" w:rsidRPr="00A67F27">
              <w:rPr>
                <w:rFonts w:asciiTheme="majorBidi" w:hAnsiTheme="majorBidi" w:cstheme="majorBidi"/>
              </w:rPr>
              <w:t xml:space="preserve">. </w:t>
            </w:r>
          </w:p>
        </w:tc>
      </w:tr>
      <w:tr w:rsidR="002476D3" w:rsidRPr="00A67F27" w14:paraId="085CE864" w14:textId="77777777" w:rsidTr="007318E7">
        <w:trPr>
          <w:cantSplit/>
          <w:trHeight w:val="20"/>
        </w:trPr>
        <w:tc>
          <w:tcPr>
            <w:tcW w:w="2250" w:type="dxa"/>
            <w:tcBorders>
              <w:top w:val="nil"/>
              <w:left w:val="nil"/>
              <w:bottom w:val="nil"/>
              <w:right w:val="nil"/>
            </w:tcBorders>
          </w:tcPr>
          <w:p w14:paraId="77D6BF9D" w14:textId="25DFC01F" w:rsidR="002476D3" w:rsidRPr="00A67F27" w:rsidRDefault="002476D3" w:rsidP="007318E7">
            <w:pPr>
              <w:pStyle w:val="S1-Header2"/>
              <w:numPr>
                <w:ilvl w:val="0"/>
                <w:numId w:val="0"/>
              </w:numPr>
              <w:tabs>
                <w:tab w:val="num" w:pos="432"/>
              </w:tabs>
              <w:spacing w:after="0"/>
              <w:ind w:left="432" w:hanging="432"/>
              <w:rPr>
                <w:lang w:val="fr-FR"/>
              </w:rPr>
            </w:pPr>
            <w:bookmarkStart w:id="322" w:name="_Toc438532643"/>
            <w:bookmarkStart w:id="323" w:name="_Toc438532644"/>
            <w:bookmarkStart w:id="324" w:name="_Toc438438857"/>
            <w:bookmarkStart w:id="325" w:name="_Toc438532646"/>
            <w:bookmarkStart w:id="326" w:name="_Toc438734001"/>
            <w:bookmarkStart w:id="327" w:name="_Toc438907038"/>
            <w:bookmarkStart w:id="328" w:name="_Toc438907237"/>
            <w:bookmarkStart w:id="329" w:name="_Toc156373316"/>
            <w:bookmarkStart w:id="330" w:name="_Toc483210605"/>
            <w:bookmarkStart w:id="331" w:name="_Toc487641804"/>
            <w:bookmarkEnd w:id="322"/>
            <w:bookmarkEnd w:id="323"/>
            <w:r w:rsidRPr="00A67F27">
              <w:rPr>
                <w:lang w:val="fr-FR"/>
              </w:rPr>
              <w:lastRenderedPageBreak/>
              <w:t>32.</w:t>
            </w:r>
            <w:r w:rsidRPr="00A67F27">
              <w:rPr>
                <w:lang w:val="fr-FR"/>
              </w:rPr>
              <w:tab/>
              <w:t>Conversion en une seule monnaie</w:t>
            </w:r>
            <w:bookmarkEnd w:id="324"/>
            <w:bookmarkEnd w:id="325"/>
            <w:bookmarkEnd w:id="326"/>
            <w:bookmarkEnd w:id="327"/>
            <w:bookmarkEnd w:id="328"/>
            <w:bookmarkEnd w:id="329"/>
            <w:bookmarkEnd w:id="330"/>
            <w:bookmarkEnd w:id="331"/>
          </w:p>
        </w:tc>
        <w:tc>
          <w:tcPr>
            <w:tcW w:w="7380" w:type="dxa"/>
            <w:tcBorders>
              <w:top w:val="nil"/>
              <w:left w:val="nil"/>
              <w:bottom w:val="nil"/>
              <w:right w:val="nil"/>
            </w:tcBorders>
          </w:tcPr>
          <w:p w14:paraId="0481F33C" w14:textId="6F6E4CDC" w:rsidR="002476D3" w:rsidRPr="00A67F27" w:rsidRDefault="002476D3" w:rsidP="00D510E8">
            <w:pPr>
              <w:pStyle w:val="Paragraphedeliste"/>
              <w:numPr>
                <w:ilvl w:val="1"/>
                <w:numId w:val="52"/>
              </w:numPr>
              <w:tabs>
                <w:tab w:val="left" w:pos="1152"/>
              </w:tabs>
              <w:spacing w:after="0"/>
              <w:rPr>
                <w:rFonts w:asciiTheme="majorBidi" w:hAnsiTheme="majorBidi" w:cstheme="majorBidi"/>
              </w:rPr>
            </w:pPr>
            <w:r w:rsidRPr="00A67F27">
              <w:rPr>
                <w:rFonts w:asciiTheme="majorBidi" w:hAnsiTheme="majorBidi" w:cstheme="majorBidi"/>
              </w:rPr>
              <w:t xml:space="preserve">Aux fins d’évaluation et de comparaison des offres, le Maître de l’Ouvrage convertira tous les prix des offres exprimés en diverses monnaies </w:t>
            </w:r>
            <w:r w:rsidR="00930BE9" w:rsidRPr="00A67F27">
              <w:rPr>
                <w:rFonts w:asciiTheme="majorBidi" w:hAnsiTheme="majorBidi" w:cstheme="majorBidi"/>
              </w:rPr>
              <w:t xml:space="preserve">dans la </w:t>
            </w:r>
            <w:r w:rsidRPr="00A67F27">
              <w:rPr>
                <w:rFonts w:asciiTheme="majorBidi" w:hAnsiTheme="majorBidi" w:cstheme="majorBidi"/>
              </w:rPr>
              <w:t>monnaie</w:t>
            </w:r>
            <w:r w:rsidR="00930BE9" w:rsidRPr="00A67F27">
              <w:rPr>
                <w:rFonts w:asciiTheme="majorBidi" w:hAnsiTheme="majorBidi" w:cstheme="majorBidi"/>
              </w:rPr>
              <w:t xml:space="preserve"> spécifiée dans les </w:t>
            </w:r>
            <w:r w:rsidR="00930BE9" w:rsidRPr="00A67F27">
              <w:rPr>
                <w:rFonts w:asciiTheme="majorBidi" w:hAnsiTheme="majorBidi" w:cstheme="majorBidi"/>
                <w:b/>
              </w:rPr>
              <w:t>DPAO</w:t>
            </w:r>
            <w:r w:rsidR="00930BE9" w:rsidRPr="00A67F27">
              <w:rPr>
                <w:rFonts w:asciiTheme="majorBidi" w:hAnsiTheme="majorBidi" w:cstheme="majorBidi"/>
              </w:rPr>
              <w:t xml:space="preserve">. </w:t>
            </w:r>
          </w:p>
        </w:tc>
      </w:tr>
      <w:tr w:rsidR="002476D3" w:rsidRPr="00A67F27" w14:paraId="50745A0E" w14:textId="77777777" w:rsidTr="007318E7">
        <w:trPr>
          <w:trHeight w:val="20"/>
        </w:trPr>
        <w:tc>
          <w:tcPr>
            <w:tcW w:w="2250" w:type="dxa"/>
            <w:tcBorders>
              <w:top w:val="nil"/>
              <w:left w:val="nil"/>
              <w:bottom w:val="nil"/>
              <w:right w:val="nil"/>
            </w:tcBorders>
          </w:tcPr>
          <w:p w14:paraId="6F4C0284" w14:textId="26D24BBE" w:rsidR="002476D3" w:rsidRPr="00A67F27" w:rsidRDefault="002476D3" w:rsidP="007318E7">
            <w:pPr>
              <w:pStyle w:val="S1-Header2"/>
              <w:numPr>
                <w:ilvl w:val="0"/>
                <w:numId w:val="0"/>
              </w:numPr>
              <w:tabs>
                <w:tab w:val="num" w:pos="432"/>
              </w:tabs>
              <w:spacing w:after="0"/>
              <w:ind w:left="432" w:hanging="432"/>
              <w:rPr>
                <w:lang w:val="fr-FR"/>
              </w:rPr>
            </w:pPr>
            <w:bookmarkStart w:id="332" w:name="_Toc438438858"/>
            <w:bookmarkStart w:id="333" w:name="_Toc438532647"/>
            <w:bookmarkStart w:id="334" w:name="_Toc438734002"/>
            <w:bookmarkStart w:id="335" w:name="_Toc438907039"/>
            <w:bookmarkStart w:id="336" w:name="_Toc438907238"/>
            <w:bookmarkStart w:id="337" w:name="_Toc156373317"/>
            <w:bookmarkStart w:id="338" w:name="_Toc487641805"/>
            <w:r w:rsidRPr="00A67F27">
              <w:rPr>
                <w:lang w:val="fr-FR"/>
              </w:rPr>
              <w:t>33</w:t>
            </w:r>
            <w:r w:rsidR="004F67E3" w:rsidRPr="00A67F27">
              <w:rPr>
                <w:lang w:val="fr-FR"/>
              </w:rPr>
              <w:t>.</w:t>
            </w:r>
            <w:r w:rsidRPr="00A67F27">
              <w:rPr>
                <w:lang w:val="fr-FR"/>
              </w:rPr>
              <w:tab/>
              <w:t xml:space="preserve">Marge de </w:t>
            </w:r>
            <w:bookmarkEnd w:id="332"/>
            <w:bookmarkEnd w:id="333"/>
            <w:bookmarkEnd w:id="334"/>
            <w:bookmarkEnd w:id="335"/>
            <w:bookmarkEnd w:id="336"/>
            <w:r w:rsidRPr="00A67F27">
              <w:rPr>
                <w:lang w:val="fr-FR"/>
              </w:rPr>
              <w:t>préférence</w:t>
            </w:r>
            <w:bookmarkEnd w:id="337"/>
            <w:bookmarkEnd w:id="338"/>
          </w:p>
        </w:tc>
        <w:tc>
          <w:tcPr>
            <w:tcW w:w="7380" w:type="dxa"/>
            <w:tcBorders>
              <w:top w:val="nil"/>
              <w:left w:val="nil"/>
              <w:bottom w:val="nil"/>
              <w:right w:val="nil"/>
            </w:tcBorders>
          </w:tcPr>
          <w:p w14:paraId="52097903" w14:textId="31639F50" w:rsidR="002476D3" w:rsidRPr="00A67F27" w:rsidRDefault="002476D3" w:rsidP="00D510E8">
            <w:pPr>
              <w:pStyle w:val="Paragraphedeliste"/>
              <w:numPr>
                <w:ilvl w:val="1"/>
                <w:numId w:val="53"/>
              </w:numPr>
              <w:tabs>
                <w:tab w:val="left" w:pos="1152"/>
              </w:tabs>
              <w:spacing w:after="0"/>
              <w:rPr>
                <w:rFonts w:asciiTheme="majorBidi" w:hAnsiTheme="majorBidi" w:cstheme="majorBidi"/>
                <w:sz w:val="16"/>
                <w:szCs w:val="16"/>
              </w:rPr>
            </w:pPr>
            <w:r w:rsidRPr="00A67F27">
              <w:rPr>
                <w:rFonts w:asciiTheme="majorBidi" w:hAnsiTheme="majorBidi" w:cstheme="majorBidi"/>
                <w:b/>
                <w:bCs/>
              </w:rPr>
              <w:t>Sauf stipulation contraire d</w:t>
            </w:r>
            <w:r w:rsidR="005E0148" w:rsidRPr="00A67F27">
              <w:rPr>
                <w:rFonts w:asciiTheme="majorBidi" w:hAnsiTheme="majorBidi" w:cstheme="majorBidi"/>
                <w:b/>
                <w:bCs/>
              </w:rPr>
              <w:t>ans l</w:t>
            </w:r>
            <w:r w:rsidRPr="00A67F27">
              <w:rPr>
                <w:rFonts w:asciiTheme="majorBidi" w:hAnsiTheme="majorBidi" w:cstheme="majorBidi"/>
                <w:b/>
                <w:bCs/>
              </w:rPr>
              <w:t>es</w:t>
            </w:r>
            <w:r w:rsidRPr="00A67F27">
              <w:rPr>
                <w:rFonts w:asciiTheme="majorBidi" w:hAnsiTheme="majorBidi" w:cstheme="majorBidi"/>
              </w:rPr>
              <w:t xml:space="preserve"> </w:t>
            </w:r>
            <w:r w:rsidRPr="00A67F27">
              <w:rPr>
                <w:rFonts w:asciiTheme="majorBidi" w:hAnsiTheme="majorBidi" w:cstheme="majorBidi"/>
                <w:b/>
              </w:rPr>
              <w:t>DPAO</w:t>
            </w:r>
            <w:r w:rsidRPr="00A67F27">
              <w:rPr>
                <w:rFonts w:asciiTheme="majorBidi" w:hAnsiTheme="majorBidi" w:cstheme="majorBidi"/>
              </w:rPr>
              <w:t xml:space="preserve">, aucune marge de préférence ne sera </w:t>
            </w:r>
            <w:r w:rsidR="00871238" w:rsidRPr="00A67F27">
              <w:rPr>
                <w:rFonts w:asciiTheme="majorBidi" w:hAnsiTheme="majorBidi" w:cstheme="majorBidi"/>
              </w:rPr>
              <w:t>accordée.</w:t>
            </w:r>
            <w:r w:rsidR="00A6531F" w:rsidRPr="00A67F27">
              <w:rPr>
                <w:vertAlign w:val="superscript"/>
              </w:rPr>
              <w:footnoteReference w:id="3"/>
            </w:r>
            <w:r w:rsidRPr="00A67F27">
              <w:rPr>
                <w:rFonts w:asciiTheme="majorBidi" w:hAnsiTheme="majorBidi" w:cstheme="majorBidi"/>
              </w:rPr>
              <w:t xml:space="preserve"> </w:t>
            </w:r>
          </w:p>
        </w:tc>
      </w:tr>
      <w:tr w:rsidR="005C2269" w:rsidRPr="00A67F27" w14:paraId="5E3906F8" w14:textId="77777777" w:rsidTr="007318E7">
        <w:trPr>
          <w:cantSplit/>
          <w:trHeight w:val="20"/>
        </w:trPr>
        <w:tc>
          <w:tcPr>
            <w:tcW w:w="2250" w:type="dxa"/>
            <w:tcBorders>
              <w:top w:val="nil"/>
              <w:left w:val="nil"/>
              <w:bottom w:val="nil"/>
              <w:right w:val="nil"/>
            </w:tcBorders>
          </w:tcPr>
          <w:p w14:paraId="1AAFAF7E" w14:textId="2B671DAC" w:rsidR="005C2269" w:rsidRPr="00A67F27" w:rsidRDefault="00D85FEF" w:rsidP="007318E7">
            <w:pPr>
              <w:pStyle w:val="S1-Header2"/>
              <w:numPr>
                <w:ilvl w:val="0"/>
                <w:numId w:val="0"/>
              </w:numPr>
              <w:tabs>
                <w:tab w:val="num" w:pos="432"/>
              </w:tabs>
              <w:spacing w:after="0"/>
              <w:ind w:left="432" w:hanging="432"/>
              <w:rPr>
                <w:lang w:val="fr-FR"/>
              </w:rPr>
            </w:pPr>
            <w:bookmarkStart w:id="339" w:name="_Toc483210606"/>
            <w:bookmarkStart w:id="340" w:name="_Toc487641806"/>
            <w:r w:rsidRPr="00A67F27">
              <w:rPr>
                <w:lang w:val="fr-FR"/>
              </w:rPr>
              <w:t>34.</w:t>
            </w:r>
            <w:r w:rsidRPr="00A67F27">
              <w:rPr>
                <w:lang w:val="fr-FR"/>
              </w:rPr>
              <w:tab/>
            </w:r>
            <w:r w:rsidR="005C2269" w:rsidRPr="00A67F27">
              <w:rPr>
                <w:lang w:val="fr-FR"/>
              </w:rPr>
              <w:t>Sous-traitants</w:t>
            </w:r>
            <w:bookmarkEnd w:id="339"/>
            <w:bookmarkEnd w:id="340"/>
          </w:p>
          <w:p w14:paraId="60EC3788" w14:textId="77777777" w:rsidR="005C2269" w:rsidRPr="00A67F27" w:rsidRDefault="005C2269" w:rsidP="007318E7">
            <w:pPr>
              <w:pStyle w:val="Header1-Clauses"/>
              <w:spacing w:after="0"/>
              <w:rPr>
                <w:rFonts w:asciiTheme="majorBidi" w:hAnsiTheme="majorBidi" w:cstheme="majorBidi"/>
                <w:lang w:val="fr-FR"/>
              </w:rPr>
            </w:pPr>
          </w:p>
        </w:tc>
        <w:tc>
          <w:tcPr>
            <w:tcW w:w="7380" w:type="dxa"/>
            <w:tcBorders>
              <w:top w:val="nil"/>
              <w:left w:val="nil"/>
              <w:bottom w:val="nil"/>
              <w:right w:val="nil"/>
            </w:tcBorders>
          </w:tcPr>
          <w:p w14:paraId="611B568A" w14:textId="437E41AE" w:rsidR="005C2269" w:rsidRPr="00A67F27" w:rsidRDefault="008C28A6" w:rsidP="00D510E8">
            <w:pPr>
              <w:pStyle w:val="Paragraphedeliste"/>
              <w:numPr>
                <w:ilvl w:val="1"/>
                <w:numId w:val="54"/>
              </w:numPr>
              <w:tabs>
                <w:tab w:val="left" w:pos="1152"/>
              </w:tabs>
              <w:spacing w:after="0"/>
              <w:contextualSpacing w:val="0"/>
              <w:rPr>
                <w:rFonts w:asciiTheme="majorBidi" w:hAnsiTheme="majorBidi" w:cstheme="majorBidi"/>
                <w:spacing w:val="-2"/>
              </w:rPr>
            </w:pPr>
            <w:r w:rsidRPr="00A67F27">
              <w:rPr>
                <w:rFonts w:asciiTheme="majorBidi" w:hAnsiTheme="majorBidi" w:cstheme="majorBidi"/>
                <w:spacing w:val="-2"/>
              </w:rPr>
              <w:t xml:space="preserve">Le Maître de l’Ouvrage n’entend pas faire exécuter certaines parties spécifiques des travaux par des sous-traitants sélectionnés à l’avance par le Maître de l’Ouvrage, sauf disposition contraire dans les </w:t>
            </w:r>
            <w:r w:rsidRPr="00A67F27">
              <w:rPr>
                <w:rFonts w:asciiTheme="majorBidi" w:hAnsiTheme="majorBidi" w:cstheme="majorBidi"/>
                <w:bCs/>
                <w:spacing w:val="-2"/>
              </w:rPr>
              <w:t>DPAO</w:t>
            </w:r>
            <w:r w:rsidR="005C2269" w:rsidRPr="00A67F27">
              <w:rPr>
                <w:rFonts w:asciiTheme="majorBidi" w:hAnsiTheme="majorBidi" w:cstheme="majorBidi"/>
                <w:spacing w:val="-2"/>
              </w:rPr>
              <w:t>.</w:t>
            </w:r>
          </w:p>
          <w:p w14:paraId="5002DE60" w14:textId="04A3F2E3" w:rsidR="00951DC3" w:rsidRPr="00A67F27" w:rsidRDefault="00951DC3" w:rsidP="00D510E8">
            <w:pPr>
              <w:pStyle w:val="Paragraphedeliste"/>
              <w:numPr>
                <w:ilvl w:val="1"/>
                <w:numId w:val="54"/>
              </w:numPr>
              <w:tabs>
                <w:tab w:val="left" w:pos="1152"/>
              </w:tabs>
              <w:spacing w:after="0"/>
              <w:contextualSpacing w:val="0"/>
              <w:rPr>
                <w:rFonts w:asciiTheme="majorBidi" w:hAnsiTheme="majorBidi" w:cstheme="majorBidi"/>
              </w:rPr>
            </w:pPr>
            <w:r w:rsidRPr="00A67F27">
              <w:rPr>
                <w:rFonts w:asciiTheme="majorBidi" w:hAnsiTheme="majorBidi" w:cstheme="majorBidi"/>
              </w:rPr>
              <w:t>Le Maître de l’Ouvrage pourra autoriser que certains travaux spécialisés soient sous-traités, ainsi qu’indiqué à la Section III 2.4.2 Expérience. En un tel cas, l’expérience des sous-traitants spécialisés sera prise en compte aux fins d’évaluation de la qualification du Soumissionnaire conformément aux dispositions de la Section III relative à la qualification des sous-traitants</w:t>
            </w:r>
          </w:p>
          <w:p w14:paraId="01601602" w14:textId="6433BB9D" w:rsidR="005C2269" w:rsidRPr="00A67F27" w:rsidRDefault="003F2FE2" w:rsidP="00D510E8">
            <w:pPr>
              <w:pStyle w:val="Paragraphedeliste"/>
              <w:numPr>
                <w:ilvl w:val="1"/>
                <w:numId w:val="54"/>
              </w:numPr>
              <w:tabs>
                <w:tab w:val="left" w:pos="1152"/>
              </w:tabs>
              <w:spacing w:after="0"/>
              <w:contextualSpacing w:val="0"/>
              <w:rPr>
                <w:rFonts w:asciiTheme="majorBidi" w:hAnsiTheme="majorBidi" w:cstheme="majorBidi"/>
              </w:rPr>
            </w:pPr>
            <w:r w:rsidRPr="00A67F27">
              <w:rPr>
                <w:rFonts w:asciiTheme="majorBidi" w:hAnsiTheme="majorBidi" w:cstheme="majorBidi"/>
              </w:rPr>
              <w:t xml:space="preserve">Les Soumissionnaires peuvent proposer une sous-traitance à concurrence du pourcentage de la valeur du Marché ou du volume des Travaux tel que </w:t>
            </w:r>
            <w:r w:rsidRPr="00A67F27">
              <w:rPr>
                <w:rFonts w:asciiTheme="majorBidi" w:hAnsiTheme="majorBidi" w:cstheme="majorBidi"/>
                <w:b/>
                <w:bCs/>
              </w:rPr>
              <w:t>prévu aux</w:t>
            </w:r>
            <w:r w:rsidRPr="00A67F27">
              <w:rPr>
                <w:rFonts w:asciiTheme="majorBidi" w:hAnsiTheme="majorBidi" w:cstheme="majorBidi"/>
              </w:rPr>
              <w:t xml:space="preserve"> </w:t>
            </w:r>
            <w:r w:rsidRPr="00A67F27">
              <w:rPr>
                <w:rFonts w:asciiTheme="majorBidi" w:hAnsiTheme="majorBidi" w:cstheme="majorBidi"/>
                <w:b/>
              </w:rPr>
              <w:t>DPAO</w:t>
            </w:r>
            <w:r w:rsidRPr="00A67F27">
              <w:rPr>
                <w:rFonts w:asciiTheme="majorBidi" w:hAnsiTheme="majorBidi" w:cstheme="majorBidi"/>
              </w:rPr>
              <w:t xml:space="preserve">. </w:t>
            </w:r>
          </w:p>
        </w:tc>
      </w:tr>
      <w:tr w:rsidR="002476D3" w:rsidRPr="00A67F27" w14:paraId="2C57468E" w14:textId="77777777" w:rsidTr="007318E7">
        <w:trPr>
          <w:trHeight w:val="20"/>
        </w:trPr>
        <w:tc>
          <w:tcPr>
            <w:tcW w:w="2250" w:type="dxa"/>
            <w:tcBorders>
              <w:top w:val="nil"/>
              <w:left w:val="nil"/>
              <w:bottom w:val="nil"/>
              <w:right w:val="nil"/>
            </w:tcBorders>
          </w:tcPr>
          <w:p w14:paraId="4CCD336F" w14:textId="68AC8339" w:rsidR="002476D3" w:rsidRPr="00A67F27" w:rsidRDefault="004F67E3" w:rsidP="007318E7">
            <w:pPr>
              <w:pStyle w:val="S1-Header2"/>
              <w:numPr>
                <w:ilvl w:val="0"/>
                <w:numId w:val="0"/>
              </w:numPr>
              <w:tabs>
                <w:tab w:val="num" w:pos="432"/>
              </w:tabs>
              <w:spacing w:after="0"/>
              <w:ind w:left="432" w:hanging="432"/>
              <w:rPr>
                <w:rFonts w:asciiTheme="majorBidi" w:hAnsiTheme="majorBidi" w:cstheme="majorBidi"/>
                <w:lang w:val="fr-FR"/>
              </w:rPr>
            </w:pPr>
            <w:bookmarkStart w:id="341" w:name="_Toc438438859"/>
            <w:bookmarkStart w:id="342" w:name="_Toc438532648"/>
            <w:bookmarkStart w:id="343" w:name="_Toc438734003"/>
            <w:bookmarkStart w:id="344" w:name="_Toc438907040"/>
            <w:bookmarkStart w:id="345" w:name="_Toc438907239"/>
            <w:bookmarkStart w:id="346" w:name="_Toc156373318"/>
            <w:bookmarkStart w:id="347" w:name="_Toc483210607"/>
            <w:bookmarkStart w:id="348" w:name="_Toc487641807"/>
            <w:r w:rsidRPr="00A67F27">
              <w:rPr>
                <w:lang w:val="fr-FR"/>
              </w:rPr>
              <w:t>3</w:t>
            </w:r>
            <w:r w:rsidR="002476D3" w:rsidRPr="00A67F27">
              <w:rPr>
                <w:lang w:val="fr-FR"/>
              </w:rPr>
              <w:t>5</w:t>
            </w:r>
            <w:r w:rsidRPr="00A67F27">
              <w:rPr>
                <w:lang w:val="fr-FR"/>
              </w:rPr>
              <w:t>.</w:t>
            </w:r>
            <w:r w:rsidR="002476D3" w:rsidRPr="00A67F27">
              <w:rPr>
                <w:lang w:val="fr-FR"/>
              </w:rPr>
              <w:tab/>
              <w:t>Évaluation des</w:t>
            </w:r>
            <w:r w:rsidR="00591548" w:rsidRPr="00A67F27">
              <w:rPr>
                <w:lang w:val="fr-FR"/>
              </w:rPr>
              <w:t> </w:t>
            </w:r>
            <w:r w:rsidR="002476D3" w:rsidRPr="00A67F27">
              <w:rPr>
                <w:lang w:val="fr-FR"/>
              </w:rPr>
              <w:t>Offres</w:t>
            </w:r>
            <w:bookmarkStart w:id="349" w:name="_Hlt438533055"/>
            <w:bookmarkEnd w:id="341"/>
            <w:bookmarkEnd w:id="342"/>
            <w:bookmarkEnd w:id="343"/>
            <w:bookmarkEnd w:id="344"/>
            <w:bookmarkEnd w:id="345"/>
            <w:bookmarkEnd w:id="346"/>
            <w:bookmarkEnd w:id="347"/>
            <w:bookmarkEnd w:id="348"/>
            <w:bookmarkEnd w:id="349"/>
          </w:p>
        </w:tc>
        <w:tc>
          <w:tcPr>
            <w:tcW w:w="7380" w:type="dxa"/>
            <w:tcBorders>
              <w:top w:val="nil"/>
              <w:left w:val="nil"/>
              <w:bottom w:val="nil"/>
              <w:right w:val="nil"/>
            </w:tcBorders>
          </w:tcPr>
          <w:p w14:paraId="773AF85F" w14:textId="75DD11C8" w:rsidR="00F856B6" w:rsidRPr="00A67F27" w:rsidRDefault="002476D3" w:rsidP="00D510E8">
            <w:pPr>
              <w:pStyle w:val="Paragraphedeliste"/>
              <w:numPr>
                <w:ilvl w:val="1"/>
                <w:numId w:val="55"/>
              </w:numPr>
              <w:spacing w:after="0"/>
              <w:rPr>
                <w:rFonts w:asciiTheme="majorBidi" w:hAnsiTheme="majorBidi" w:cstheme="majorBidi"/>
              </w:rPr>
            </w:pPr>
            <w:r w:rsidRPr="00A67F27">
              <w:rPr>
                <w:rFonts w:asciiTheme="majorBidi" w:hAnsiTheme="majorBidi" w:cstheme="majorBidi"/>
              </w:rPr>
              <w:t>Pour évaluer les offres, le Maître d</w:t>
            </w:r>
            <w:r w:rsidR="00F26C5E" w:rsidRPr="00A67F27">
              <w:rPr>
                <w:rFonts w:asciiTheme="majorBidi" w:hAnsiTheme="majorBidi" w:cstheme="majorBidi"/>
              </w:rPr>
              <w:t>e l</w:t>
            </w:r>
            <w:r w:rsidRPr="00A67F27">
              <w:rPr>
                <w:rFonts w:asciiTheme="majorBidi" w:hAnsiTheme="majorBidi" w:cstheme="majorBidi"/>
              </w:rPr>
              <w:t xml:space="preserve">’Ouvrage </w:t>
            </w:r>
            <w:r w:rsidR="005E0148" w:rsidRPr="00A67F27">
              <w:rPr>
                <w:rFonts w:asciiTheme="majorBidi" w:hAnsiTheme="majorBidi" w:cstheme="majorBidi"/>
              </w:rPr>
              <w:t>n’</w:t>
            </w:r>
            <w:r w:rsidRPr="00A67F27">
              <w:rPr>
                <w:rFonts w:asciiTheme="majorBidi" w:hAnsiTheme="majorBidi" w:cstheme="majorBidi"/>
              </w:rPr>
              <w:t xml:space="preserve">utilisera </w:t>
            </w:r>
            <w:r w:rsidR="005E0148" w:rsidRPr="00A67F27">
              <w:rPr>
                <w:rFonts w:asciiTheme="majorBidi" w:hAnsiTheme="majorBidi" w:cstheme="majorBidi"/>
              </w:rPr>
              <w:t xml:space="preserve">que </w:t>
            </w:r>
            <w:r w:rsidRPr="00A67F27">
              <w:rPr>
                <w:rFonts w:asciiTheme="majorBidi" w:hAnsiTheme="majorBidi" w:cstheme="majorBidi"/>
              </w:rPr>
              <w:t xml:space="preserve">les critères et méthodes définis </w:t>
            </w:r>
            <w:r w:rsidR="005E0148" w:rsidRPr="00A67F27">
              <w:rPr>
                <w:rFonts w:asciiTheme="majorBidi" w:hAnsiTheme="majorBidi" w:cstheme="majorBidi"/>
              </w:rPr>
              <w:t>dans la présente clause et dans la Section III, Critères d’évaluation et de qualification.</w:t>
            </w:r>
            <w:r w:rsidR="009B2302" w:rsidRPr="00A67F27">
              <w:rPr>
                <w:rFonts w:asciiTheme="majorBidi" w:hAnsiTheme="majorBidi" w:cstheme="majorBidi"/>
              </w:rPr>
              <w:t xml:space="preserve"> </w:t>
            </w:r>
            <w:r w:rsidR="005E0148" w:rsidRPr="00A67F27">
              <w:rPr>
                <w:rFonts w:asciiTheme="majorBidi" w:hAnsiTheme="majorBidi" w:cstheme="majorBidi"/>
              </w:rPr>
              <w:t>L</w:t>
            </w:r>
            <w:r w:rsidR="005D055C" w:rsidRPr="00A67F27">
              <w:rPr>
                <w:rFonts w:asciiTheme="majorBidi" w:hAnsiTheme="majorBidi" w:cstheme="majorBidi"/>
              </w:rPr>
              <w:t>e recours à</w:t>
            </w:r>
            <w:r w:rsidR="005E0148" w:rsidRPr="00A67F27">
              <w:rPr>
                <w:rFonts w:asciiTheme="majorBidi" w:hAnsiTheme="majorBidi" w:cstheme="majorBidi"/>
              </w:rPr>
              <w:t xml:space="preserve"> tous autre critères et/ou méthodes ne sera pas permis. Par le moyen de ces critères et méthodes, le Maître de l’Ouvrage déterminera l’Offre la </w:t>
            </w:r>
            <w:r w:rsidR="00560814" w:rsidRPr="00A67F27">
              <w:rPr>
                <w:rFonts w:asciiTheme="majorBidi" w:hAnsiTheme="majorBidi" w:cstheme="majorBidi"/>
              </w:rPr>
              <w:t>moins</w:t>
            </w:r>
            <w:r w:rsidR="002D4A05" w:rsidRPr="00A67F27">
              <w:rPr>
                <w:rFonts w:asciiTheme="majorBidi" w:hAnsiTheme="majorBidi" w:cstheme="majorBidi"/>
              </w:rPr>
              <w:t>-</w:t>
            </w:r>
            <w:proofErr w:type="spellStart"/>
            <w:r w:rsidR="00560814" w:rsidRPr="00A67F27">
              <w:rPr>
                <w:rFonts w:asciiTheme="majorBidi" w:hAnsiTheme="majorBidi" w:cstheme="majorBidi"/>
              </w:rPr>
              <w:t>disante</w:t>
            </w:r>
            <w:proofErr w:type="spellEnd"/>
            <w:r w:rsidR="005D055C" w:rsidRPr="00A67F27">
              <w:rPr>
                <w:rFonts w:asciiTheme="majorBidi" w:hAnsiTheme="majorBidi" w:cstheme="majorBidi"/>
              </w:rPr>
              <w:t xml:space="preserve"> en conformité avec l’article 40 des IS</w:t>
            </w:r>
            <w:r w:rsidR="005E0148" w:rsidRPr="00A67F27">
              <w:rPr>
                <w:rFonts w:asciiTheme="majorBidi" w:hAnsiTheme="majorBidi" w:cstheme="majorBidi"/>
              </w:rPr>
              <w:t>.</w:t>
            </w:r>
            <w:r w:rsidR="009B2302" w:rsidRPr="00A67F27">
              <w:rPr>
                <w:rFonts w:asciiTheme="majorBidi" w:hAnsiTheme="majorBidi" w:cstheme="majorBidi"/>
              </w:rPr>
              <w:t xml:space="preserve"> </w:t>
            </w:r>
            <w:r w:rsidRPr="00A67F27">
              <w:rPr>
                <w:rFonts w:asciiTheme="majorBidi" w:hAnsiTheme="majorBidi" w:cstheme="majorBidi"/>
              </w:rPr>
              <w:t xml:space="preserve"> </w:t>
            </w:r>
          </w:p>
        </w:tc>
      </w:tr>
      <w:tr w:rsidR="002476D3" w:rsidRPr="00A67F27" w14:paraId="1D27BE14" w14:textId="77777777" w:rsidTr="007318E7">
        <w:trPr>
          <w:trHeight w:val="20"/>
        </w:trPr>
        <w:tc>
          <w:tcPr>
            <w:tcW w:w="2250" w:type="dxa"/>
            <w:tcBorders>
              <w:top w:val="nil"/>
              <w:left w:val="nil"/>
              <w:bottom w:val="nil"/>
              <w:right w:val="nil"/>
            </w:tcBorders>
          </w:tcPr>
          <w:p w14:paraId="2B3A7ABF" w14:textId="77777777" w:rsidR="002476D3" w:rsidRPr="00A67F27" w:rsidRDefault="002476D3" w:rsidP="007318E7">
            <w:pPr>
              <w:spacing w:after="0"/>
              <w:rPr>
                <w:rFonts w:asciiTheme="majorBidi" w:hAnsiTheme="majorBidi" w:cstheme="majorBidi"/>
              </w:rPr>
            </w:pPr>
            <w:bookmarkStart w:id="350" w:name="_Toc438532649"/>
            <w:bookmarkEnd w:id="350"/>
          </w:p>
        </w:tc>
        <w:tc>
          <w:tcPr>
            <w:tcW w:w="7380" w:type="dxa"/>
            <w:tcBorders>
              <w:top w:val="nil"/>
              <w:left w:val="nil"/>
              <w:bottom w:val="nil"/>
              <w:right w:val="nil"/>
            </w:tcBorders>
          </w:tcPr>
          <w:p w14:paraId="7D83BDF6" w14:textId="1BF081EF" w:rsidR="00F856B6" w:rsidRPr="00A67F27" w:rsidRDefault="002476D3" w:rsidP="00D510E8">
            <w:pPr>
              <w:pStyle w:val="Paragraphedeliste"/>
              <w:numPr>
                <w:ilvl w:val="1"/>
                <w:numId w:val="55"/>
              </w:numPr>
              <w:tabs>
                <w:tab w:val="left" w:pos="1152"/>
              </w:tabs>
              <w:spacing w:after="0"/>
              <w:jc w:val="left"/>
              <w:rPr>
                <w:rFonts w:asciiTheme="majorBidi" w:hAnsiTheme="majorBidi" w:cstheme="majorBidi"/>
              </w:rPr>
            </w:pPr>
            <w:r w:rsidRPr="00A67F27">
              <w:rPr>
                <w:rFonts w:asciiTheme="majorBidi" w:hAnsiTheme="majorBidi" w:cstheme="majorBidi"/>
              </w:rPr>
              <w:t>Pour évaluer les offres, le Maître d</w:t>
            </w:r>
            <w:r w:rsidR="00F26C5E" w:rsidRPr="00A67F27">
              <w:rPr>
                <w:rFonts w:asciiTheme="majorBidi" w:hAnsiTheme="majorBidi" w:cstheme="majorBidi"/>
              </w:rPr>
              <w:t>e l</w:t>
            </w:r>
            <w:r w:rsidRPr="00A67F27">
              <w:rPr>
                <w:rFonts w:asciiTheme="majorBidi" w:hAnsiTheme="majorBidi" w:cstheme="majorBidi"/>
              </w:rPr>
              <w:t>’Ouvrage prendra en compte les éléments ci-après</w:t>
            </w:r>
            <w:r w:rsidR="009B2302" w:rsidRPr="00A67F27">
              <w:rPr>
                <w:rFonts w:asciiTheme="majorBidi" w:hAnsiTheme="majorBidi" w:cstheme="majorBidi"/>
              </w:rPr>
              <w:t> :</w:t>
            </w:r>
          </w:p>
          <w:p w14:paraId="421B78A2" w14:textId="0D0ADB4A" w:rsidR="00F856B6" w:rsidRPr="001627D7" w:rsidRDefault="00591548" w:rsidP="007318E7">
            <w:pPr>
              <w:spacing w:after="0"/>
              <w:ind w:left="1152" w:hanging="495"/>
              <w:rPr>
                <w:rFonts w:asciiTheme="majorBidi" w:hAnsiTheme="majorBidi" w:cstheme="majorBidi"/>
              </w:rPr>
            </w:pPr>
            <w:r w:rsidRPr="00A67F27">
              <w:rPr>
                <w:rFonts w:asciiTheme="majorBidi" w:hAnsiTheme="majorBidi" w:cstheme="majorBidi"/>
              </w:rPr>
              <w:t>(</w:t>
            </w:r>
            <w:r w:rsidR="002476D3" w:rsidRPr="00A67F27">
              <w:rPr>
                <w:rFonts w:asciiTheme="majorBidi" w:hAnsiTheme="majorBidi" w:cstheme="majorBidi"/>
              </w:rPr>
              <w:t>a)</w:t>
            </w:r>
            <w:r w:rsidR="00566B51" w:rsidRPr="00A67F27">
              <w:rPr>
                <w:rFonts w:asciiTheme="majorBidi" w:hAnsiTheme="majorBidi" w:cstheme="majorBidi"/>
              </w:rPr>
              <w:tab/>
            </w:r>
            <w:r w:rsidR="002476D3" w:rsidRPr="00A67F27">
              <w:rPr>
                <w:rFonts w:asciiTheme="majorBidi" w:hAnsiTheme="majorBidi" w:cstheme="majorBidi"/>
              </w:rPr>
              <w:t xml:space="preserve">le </w:t>
            </w:r>
            <w:r w:rsidR="00BD60C3" w:rsidRPr="00A67F27">
              <w:rPr>
                <w:rFonts w:asciiTheme="majorBidi" w:hAnsiTheme="majorBidi" w:cstheme="majorBidi"/>
              </w:rPr>
              <w:t xml:space="preserve">Montant </w:t>
            </w:r>
            <w:r w:rsidR="002476D3" w:rsidRPr="00A67F27">
              <w:rPr>
                <w:rFonts w:asciiTheme="majorBidi" w:hAnsiTheme="majorBidi" w:cstheme="majorBidi"/>
              </w:rPr>
              <w:t>de l’</w:t>
            </w:r>
            <w:r w:rsidR="00BD60C3" w:rsidRPr="00A67F27">
              <w:rPr>
                <w:rFonts w:asciiTheme="majorBidi" w:hAnsiTheme="majorBidi" w:cstheme="majorBidi"/>
              </w:rPr>
              <w:t>O</w:t>
            </w:r>
            <w:r w:rsidR="002476D3" w:rsidRPr="00A67F27">
              <w:rPr>
                <w:rFonts w:asciiTheme="majorBidi" w:hAnsiTheme="majorBidi" w:cstheme="majorBidi"/>
              </w:rPr>
              <w:t>ffre, en excluant les Sommes à valoir et, le cas échéant, les provisions pour imprévus figurant dans le récapitulatif du Détail quantitatif et estimatif</w:t>
            </w:r>
            <w:r w:rsidR="00587F4A" w:rsidRPr="00A67F27">
              <w:rPr>
                <w:rStyle w:val="Appelnotedebasdep"/>
                <w:rFonts w:asciiTheme="majorBidi" w:hAnsiTheme="majorBidi" w:cstheme="majorBidi"/>
              </w:rPr>
              <w:footnoteReference w:id="4"/>
            </w:r>
            <w:r w:rsidR="002476D3" w:rsidRPr="00A67F27">
              <w:rPr>
                <w:rFonts w:asciiTheme="majorBidi" w:hAnsiTheme="majorBidi" w:cstheme="majorBidi"/>
              </w:rPr>
              <w:t xml:space="preserve">, mais en ajoutant le montant des </w:t>
            </w:r>
            <w:r w:rsidR="00F26C5E" w:rsidRPr="00A67F27">
              <w:rPr>
                <w:rFonts w:asciiTheme="majorBidi" w:hAnsiTheme="majorBidi" w:cstheme="majorBidi"/>
              </w:rPr>
              <w:t>T</w:t>
            </w:r>
            <w:r w:rsidR="002476D3" w:rsidRPr="001627D7">
              <w:rPr>
                <w:rFonts w:asciiTheme="majorBidi" w:hAnsiTheme="majorBidi" w:cstheme="majorBidi"/>
              </w:rPr>
              <w:t>ravaux en régie</w:t>
            </w:r>
            <w:r w:rsidRPr="00A67F27">
              <w:rPr>
                <w:rStyle w:val="Appelnotedebasdep"/>
              </w:rPr>
              <w:footnoteReference w:id="5"/>
            </w:r>
            <w:r w:rsidR="002476D3" w:rsidRPr="00A67F27">
              <w:rPr>
                <w:rFonts w:asciiTheme="majorBidi" w:hAnsiTheme="majorBidi" w:cstheme="majorBidi"/>
              </w:rPr>
              <w:t>, lorsqu’ils sont chiffrés de façon compétitive</w:t>
            </w:r>
            <w:r w:rsidR="009B2302" w:rsidRPr="00A67F27">
              <w:rPr>
                <w:rFonts w:asciiTheme="majorBidi" w:hAnsiTheme="majorBidi" w:cstheme="majorBidi"/>
              </w:rPr>
              <w:t> ;</w:t>
            </w:r>
          </w:p>
          <w:p w14:paraId="32EFB8D7" w14:textId="3A0F9B1E" w:rsidR="002476D3" w:rsidRPr="00A67F27" w:rsidRDefault="00591548" w:rsidP="007318E7">
            <w:pPr>
              <w:tabs>
                <w:tab w:val="left" w:pos="576"/>
                <w:tab w:val="left" w:pos="1152"/>
              </w:tabs>
              <w:spacing w:after="0"/>
              <w:ind w:left="1152" w:hanging="495"/>
              <w:rPr>
                <w:rFonts w:asciiTheme="majorBidi" w:hAnsiTheme="majorBidi" w:cstheme="majorBidi"/>
              </w:rPr>
            </w:pPr>
            <w:r w:rsidRPr="001627D7">
              <w:rPr>
                <w:rFonts w:asciiTheme="majorBidi" w:hAnsiTheme="majorBidi" w:cstheme="majorBidi"/>
              </w:rPr>
              <w:lastRenderedPageBreak/>
              <w:t>(</w:t>
            </w:r>
            <w:r w:rsidR="002476D3" w:rsidRPr="00043C85">
              <w:rPr>
                <w:rFonts w:asciiTheme="majorBidi" w:hAnsiTheme="majorBidi" w:cstheme="majorBidi"/>
              </w:rPr>
              <w:t>b)</w:t>
            </w:r>
            <w:r w:rsidR="00566B51" w:rsidRPr="00A67F27">
              <w:rPr>
                <w:rFonts w:asciiTheme="majorBidi" w:hAnsiTheme="majorBidi" w:cstheme="majorBidi"/>
              </w:rPr>
              <w:tab/>
            </w:r>
            <w:r w:rsidR="002476D3" w:rsidRPr="00A67F27">
              <w:rPr>
                <w:rFonts w:asciiTheme="majorBidi" w:hAnsiTheme="majorBidi" w:cstheme="majorBidi"/>
              </w:rPr>
              <w:t>les ajustements apportés au prix pour rectifier les erreurs arithmétiques en application de l’article 31.1</w:t>
            </w:r>
            <w:r w:rsidR="00C753BD" w:rsidRPr="00A67F27">
              <w:rPr>
                <w:rFonts w:asciiTheme="majorBidi" w:hAnsiTheme="majorBidi" w:cstheme="majorBidi"/>
              </w:rPr>
              <w:t xml:space="preserve"> des IS</w:t>
            </w:r>
            <w:r w:rsidR="009B2302" w:rsidRPr="00A67F27">
              <w:rPr>
                <w:rFonts w:asciiTheme="majorBidi" w:hAnsiTheme="majorBidi" w:cstheme="majorBidi"/>
              </w:rPr>
              <w:t> ;</w:t>
            </w:r>
          </w:p>
          <w:p w14:paraId="3192EFB7" w14:textId="1ABE5DEF" w:rsidR="002476D3" w:rsidRPr="00A67F27" w:rsidRDefault="00591548" w:rsidP="007318E7">
            <w:pPr>
              <w:tabs>
                <w:tab w:val="left" w:pos="576"/>
                <w:tab w:val="left" w:pos="1152"/>
              </w:tabs>
              <w:spacing w:after="0"/>
              <w:ind w:left="1152" w:hanging="495"/>
              <w:rPr>
                <w:rFonts w:asciiTheme="majorBidi" w:hAnsiTheme="majorBidi" w:cstheme="majorBidi"/>
              </w:rPr>
            </w:pPr>
            <w:r w:rsidRPr="00A67F27">
              <w:rPr>
                <w:rFonts w:asciiTheme="majorBidi" w:hAnsiTheme="majorBidi" w:cstheme="majorBidi"/>
              </w:rPr>
              <w:t>(</w:t>
            </w:r>
            <w:r w:rsidR="002476D3" w:rsidRPr="00A67F27">
              <w:rPr>
                <w:rFonts w:asciiTheme="majorBidi" w:hAnsiTheme="majorBidi" w:cstheme="majorBidi"/>
              </w:rPr>
              <w:t>c)</w:t>
            </w:r>
            <w:r w:rsidR="00566B51" w:rsidRPr="00A67F27">
              <w:rPr>
                <w:rFonts w:asciiTheme="majorBidi" w:hAnsiTheme="majorBidi" w:cstheme="majorBidi"/>
              </w:rPr>
              <w:tab/>
            </w:r>
            <w:r w:rsidR="002476D3" w:rsidRPr="00A67F27">
              <w:rPr>
                <w:rFonts w:asciiTheme="majorBidi" w:hAnsiTheme="majorBidi" w:cstheme="majorBidi"/>
              </w:rPr>
              <w:t>les ajustements imputables aux rabais offerts en application de l’article 14</w:t>
            </w:r>
            <w:r w:rsidR="005D055C" w:rsidRPr="00A67F27">
              <w:rPr>
                <w:rFonts w:asciiTheme="majorBidi" w:hAnsiTheme="majorBidi" w:cstheme="majorBidi"/>
              </w:rPr>
              <w:t>.4</w:t>
            </w:r>
            <w:r w:rsidR="00C753BD" w:rsidRPr="00A67F27">
              <w:rPr>
                <w:rFonts w:asciiTheme="majorBidi" w:hAnsiTheme="majorBidi" w:cstheme="majorBidi"/>
              </w:rPr>
              <w:t xml:space="preserve"> </w:t>
            </w:r>
            <w:r w:rsidR="002476D3" w:rsidRPr="00A67F27">
              <w:rPr>
                <w:rFonts w:asciiTheme="majorBidi" w:hAnsiTheme="majorBidi" w:cstheme="majorBidi"/>
              </w:rPr>
              <w:t>des IS</w:t>
            </w:r>
            <w:r w:rsidR="009B2302" w:rsidRPr="00A67F27">
              <w:rPr>
                <w:rFonts w:asciiTheme="majorBidi" w:hAnsiTheme="majorBidi" w:cstheme="majorBidi"/>
              </w:rPr>
              <w:t> ;</w:t>
            </w:r>
          </w:p>
          <w:p w14:paraId="6D0310A0" w14:textId="3FD17B06" w:rsidR="002476D3" w:rsidRPr="00A67F27" w:rsidRDefault="00591548" w:rsidP="007318E7">
            <w:pPr>
              <w:tabs>
                <w:tab w:val="left" w:pos="576"/>
                <w:tab w:val="left" w:pos="1152"/>
              </w:tabs>
              <w:spacing w:after="0"/>
              <w:ind w:left="1152" w:hanging="495"/>
              <w:rPr>
                <w:rFonts w:asciiTheme="majorBidi" w:hAnsiTheme="majorBidi" w:cstheme="majorBidi"/>
              </w:rPr>
            </w:pPr>
            <w:r w:rsidRPr="00A67F27">
              <w:rPr>
                <w:rFonts w:asciiTheme="majorBidi" w:hAnsiTheme="majorBidi" w:cstheme="majorBidi"/>
              </w:rPr>
              <w:t>(</w:t>
            </w:r>
            <w:r w:rsidR="002476D3" w:rsidRPr="00A67F27">
              <w:rPr>
                <w:rFonts w:asciiTheme="majorBidi" w:hAnsiTheme="majorBidi" w:cstheme="majorBidi"/>
              </w:rPr>
              <w:t>d)</w:t>
            </w:r>
            <w:r w:rsidR="00566B51" w:rsidRPr="00A67F27">
              <w:rPr>
                <w:rFonts w:asciiTheme="majorBidi" w:hAnsiTheme="majorBidi" w:cstheme="majorBidi"/>
              </w:rPr>
              <w:tab/>
            </w:r>
            <w:r w:rsidR="002476D3" w:rsidRPr="00A67F27">
              <w:rPr>
                <w:rFonts w:asciiTheme="majorBidi" w:hAnsiTheme="majorBidi" w:cstheme="majorBidi"/>
              </w:rPr>
              <w:t>la conversion en une seule monnaie des montants résultant des opérations a), b) et c) ci-dessus, conformément aux dispositions de l’article 32 des IS</w:t>
            </w:r>
            <w:r w:rsidR="009B2302" w:rsidRPr="00A67F27">
              <w:rPr>
                <w:rFonts w:asciiTheme="majorBidi" w:hAnsiTheme="majorBidi" w:cstheme="majorBidi"/>
              </w:rPr>
              <w:t> ;</w:t>
            </w:r>
          </w:p>
          <w:p w14:paraId="29A1BF77" w14:textId="7300A5A9" w:rsidR="00F856B6" w:rsidRPr="00A67F27" w:rsidRDefault="00591548" w:rsidP="007318E7">
            <w:pPr>
              <w:tabs>
                <w:tab w:val="left" w:pos="576"/>
                <w:tab w:val="left" w:pos="1224"/>
              </w:tabs>
              <w:spacing w:after="0"/>
              <w:ind w:left="1152" w:hanging="495"/>
              <w:rPr>
                <w:rFonts w:asciiTheme="majorBidi" w:hAnsiTheme="majorBidi" w:cstheme="majorBidi"/>
              </w:rPr>
            </w:pPr>
            <w:r w:rsidRPr="00A67F27">
              <w:rPr>
                <w:rFonts w:asciiTheme="majorBidi" w:hAnsiTheme="majorBidi" w:cstheme="majorBidi"/>
              </w:rPr>
              <w:t>(</w:t>
            </w:r>
            <w:r w:rsidR="002476D3" w:rsidRPr="00A67F27">
              <w:rPr>
                <w:rFonts w:asciiTheme="majorBidi" w:hAnsiTheme="majorBidi" w:cstheme="majorBidi"/>
              </w:rPr>
              <w:t>e)</w:t>
            </w:r>
            <w:r w:rsidR="00566B51" w:rsidRPr="00A67F27">
              <w:rPr>
                <w:rFonts w:asciiTheme="majorBidi" w:hAnsiTheme="majorBidi" w:cstheme="majorBidi"/>
              </w:rPr>
              <w:tab/>
            </w:r>
            <w:r w:rsidR="002476D3" w:rsidRPr="00A67F27">
              <w:rPr>
                <w:rFonts w:asciiTheme="majorBidi" w:hAnsiTheme="majorBidi" w:cstheme="majorBidi"/>
              </w:rPr>
              <w:t>les ajustements résultant de toute autre modification, divergence ou réserve quantifiable calculés confo</w:t>
            </w:r>
            <w:r w:rsidR="0070744E" w:rsidRPr="00A67F27">
              <w:rPr>
                <w:rFonts w:asciiTheme="majorBidi" w:hAnsiTheme="majorBidi" w:cstheme="majorBidi"/>
              </w:rPr>
              <w:t>rmément à l’article 30.3 des IS</w:t>
            </w:r>
            <w:r w:rsidR="009B2302" w:rsidRPr="00A67F27">
              <w:rPr>
                <w:rFonts w:asciiTheme="majorBidi" w:hAnsiTheme="majorBidi" w:cstheme="majorBidi"/>
              </w:rPr>
              <w:t> ;</w:t>
            </w:r>
            <w:r w:rsidR="0070744E" w:rsidRPr="00A67F27">
              <w:rPr>
                <w:rFonts w:asciiTheme="majorBidi" w:hAnsiTheme="majorBidi" w:cstheme="majorBidi"/>
              </w:rPr>
              <w:t xml:space="preserve"> et</w:t>
            </w:r>
          </w:p>
          <w:p w14:paraId="3D3AFD17" w14:textId="57E4D861" w:rsidR="002476D3" w:rsidRPr="00A67F27" w:rsidRDefault="00591548" w:rsidP="007318E7">
            <w:pPr>
              <w:tabs>
                <w:tab w:val="left" w:pos="576"/>
                <w:tab w:val="left" w:pos="1152"/>
              </w:tabs>
              <w:spacing w:after="0"/>
              <w:ind w:left="1152" w:hanging="495"/>
              <w:rPr>
                <w:rFonts w:asciiTheme="majorBidi" w:hAnsiTheme="majorBidi" w:cstheme="majorBidi"/>
              </w:rPr>
            </w:pPr>
            <w:r w:rsidRPr="00A67F27">
              <w:rPr>
                <w:rFonts w:asciiTheme="majorBidi" w:hAnsiTheme="majorBidi" w:cstheme="majorBidi"/>
              </w:rPr>
              <w:t>(</w:t>
            </w:r>
            <w:r w:rsidR="002476D3" w:rsidRPr="00A67F27">
              <w:rPr>
                <w:rFonts w:asciiTheme="majorBidi" w:hAnsiTheme="majorBidi" w:cstheme="majorBidi"/>
              </w:rPr>
              <w:t>f)</w:t>
            </w:r>
            <w:r w:rsidR="00566B51" w:rsidRPr="00A67F27">
              <w:rPr>
                <w:rFonts w:asciiTheme="majorBidi" w:hAnsiTheme="majorBidi" w:cstheme="majorBidi"/>
              </w:rPr>
              <w:tab/>
            </w:r>
            <w:r w:rsidR="002476D3" w:rsidRPr="00A67F27">
              <w:rPr>
                <w:rFonts w:asciiTheme="majorBidi" w:hAnsiTheme="majorBidi" w:cstheme="majorBidi"/>
              </w:rPr>
              <w:t>les ajustements résultant de l’utilisation de</w:t>
            </w:r>
            <w:r w:rsidR="00C753BD" w:rsidRPr="00A67F27">
              <w:rPr>
                <w:rFonts w:asciiTheme="majorBidi" w:hAnsiTheme="majorBidi" w:cstheme="majorBidi"/>
              </w:rPr>
              <w:t>s</w:t>
            </w:r>
            <w:r w:rsidR="002476D3" w:rsidRPr="00A67F27">
              <w:rPr>
                <w:rFonts w:asciiTheme="majorBidi" w:hAnsiTheme="majorBidi" w:cstheme="majorBidi"/>
              </w:rPr>
              <w:t xml:space="preserve"> facteurs d’évaluation </w:t>
            </w:r>
            <w:r w:rsidR="00C753BD" w:rsidRPr="00A67F27">
              <w:rPr>
                <w:rFonts w:asciiTheme="majorBidi" w:hAnsiTheme="majorBidi" w:cstheme="majorBidi"/>
              </w:rPr>
              <w:t xml:space="preserve">additionnels </w:t>
            </w:r>
            <w:r w:rsidR="005D055C" w:rsidRPr="00A67F27">
              <w:rPr>
                <w:rFonts w:asciiTheme="majorBidi" w:hAnsiTheme="majorBidi" w:cstheme="majorBidi"/>
              </w:rPr>
              <w:t xml:space="preserve">stipulés aux </w:t>
            </w:r>
            <w:r w:rsidR="005D055C" w:rsidRPr="00A67F27">
              <w:rPr>
                <w:rFonts w:asciiTheme="majorBidi" w:hAnsiTheme="majorBidi" w:cstheme="majorBidi"/>
                <w:b/>
              </w:rPr>
              <w:t>DPAO</w:t>
            </w:r>
            <w:r w:rsidR="005D055C" w:rsidRPr="00A67F27">
              <w:rPr>
                <w:rFonts w:asciiTheme="majorBidi" w:hAnsiTheme="majorBidi" w:cstheme="majorBidi"/>
              </w:rPr>
              <w:t xml:space="preserve"> et </w:t>
            </w:r>
            <w:r w:rsidR="00C753BD" w:rsidRPr="00A67F27">
              <w:rPr>
                <w:rFonts w:asciiTheme="majorBidi" w:hAnsiTheme="majorBidi" w:cstheme="majorBidi"/>
              </w:rPr>
              <w:t>à</w:t>
            </w:r>
            <w:r w:rsidR="002476D3" w:rsidRPr="00A67F27">
              <w:rPr>
                <w:rFonts w:asciiTheme="majorBidi" w:hAnsiTheme="majorBidi" w:cstheme="majorBidi"/>
              </w:rPr>
              <w:t xml:space="preserve"> la Section III, Critères d’évaluation et de qualification.</w:t>
            </w:r>
          </w:p>
          <w:p w14:paraId="1B0C326D" w14:textId="212BF1E2" w:rsidR="00F856B6" w:rsidRPr="00A67F27" w:rsidRDefault="002476D3" w:rsidP="00D510E8">
            <w:pPr>
              <w:pStyle w:val="Paragraphedeliste"/>
              <w:numPr>
                <w:ilvl w:val="1"/>
                <w:numId w:val="55"/>
              </w:numPr>
              <w:tabs>
                <w:tab w:val="left" w:pos="1152"/>
              </w:tabs>
              <w:spacing w:after="0"/>
              <w:contextualSpacing w:val="0"/>
              <w:rPr>
                <w:rFonts w:asciiTheme="majorBidi" w:hAnsiTheme="majorBidi" w:cstheme="majorBidi"/>
              </w:rPr>
            </w:pPr>
            <w:r w:rsidRPr="00A67F27">
              <w:rPr>
                <w:rFonts w:asciiTheme="majorBidi" w:hAnsiTheme="majorBidi" w:cstheme="majorBidi"/>
              </w:rPr>
              <w:t>L’effet éventuel des formules de révision des prix figurant dans les CCAG et CCAP</w:t>
            </w:r>
            <w:r w:rsidR="00BD60C3" w:rsidRPr="00A67F27">
              <w:rPr>
                <w:rFonts w:asciiTheme="majorBidi" w:hAnsiTheme="majorBidi" w:cstheme="majorBidi"/>
              </w:rPr>
              <w:t xml:space="preserve"> qui seront</w:t>
            </w:r>
            <w:r w:rsidRPr="00A67F27">
              <w:rPr>
                <w:rFonts w:asciiTheme="majorBidi" w:hAnsiTheme="majorBidi" w:cstheme="majorBidi"/>
              </w:rPr>
              <w:t xml:space="preserve"> appliquées durant la période d’exécution du Marché, ne sera pas pris en considération lors de l’évaluation des offres.</w:t>
            </w:r>
          </w:p>
          <w:p w14:paraId="4FD0ED2D" w14:textId="577180E9" w:rsidR="00F856B6" w:rsidRPr="00A67F27" w:rsidRDefault="002476D3" w:rsidP="00D510E8">
            <w:pPr>
              <w:pStyle w:val="Paragraphedeliste"/>
              <w:numPr>
                <w:ilvl w:val="1"/>
                <w:numId w:val="55"/>
              </w:numPr>
              <w:tabs>
                <w:tab w:val="left" w:pos="1152"/>
              </w:tabs>
              <w:spacing w:after="0"/>
              <w:rPr>
                <w:rFonts w:asciiTheme="majorBidi" w:hAnsiTheme="majorBidi" w:cstheme="majorBidi"/>
              </w:rPr>
            </w:pPr>
            <w:r w:rsidRPr="00A67F27">
              <w:rPr>
                <w:rFonts w:asciiTheme="majorBidi" w:hAnsiTheme="majorBidi" w:cstheme="majorBidi"/>
              </w:rPr>
              <w:t xml:space="preserve">Lorsque le Dossier d’Appel d’Offres prévoit que les </w:t>
            </w:r>
            <w:r w:rsidR="00F26C5E" w:rsidRPr="00A67F27">
              <w:rPr>
                <w:rFonts w:asciiTheme="majorBidi" w:hAnsiTheme="majorBidi" w:cstheme="majorBidi"/>
              </w:rPr>
              <w:t>S</w:t>
            </w:r>
            <w:r w:rsidRPr="00A67F27">
              <w:rPr>
                <w:rFonts w:asciiTheme="majorBidi" w:hAnsiTheme="majorBidi" w:cstheme="majorBidi"/>
              </w:rPr>
              <w:t xml:space="preserve">oumissionnaires pourront indiquer le </w:t>
            </w:r>
            <w:r w:rsidR="00BD60C3" w:rsidRPr="00A67F27">
              <w:rPr>
                <w:rFonts w:asciiTheme="majorBidi" w:hAnsiTheme="majorBidi" w:cstheme="majorBidi"/>
              </w:rPr>
              <w:t xml:space="preserve">montant </w:t>
            </w:r>
            <w:r w:rsidRPr="00A67F27">
              <w:rPr>
                <w:rFonts w:asciiTheme="majorBidi" w:hAnsiTheme="majorBidi" w:cstheme="majorBidi"/>
              </w:rPr>
              <w:t>de chaque lot séparément, la méthode d’évaluation permettant de déterminer la combinaison</w:t>
            </w:r>
            <w:r w:rsidR="009B2302" w:rsidRPr="00A67F27">
              <w:rPr>
                <w:rFonts w:asciiTheme="majorBidi" w:hAnsiTheme="majorBidi" w:cstheme="majorBidi"/>
              </w:rPr>
              <w:t xml:space="preserve"> </w:t>
            </w:r>
            <w:r w:rsidRPr="00A67F27">
              <w:rPr>
                <w:rFonts w:asciiTheme="majorBidi" w:hAnsiTheme="majorBidi" w:cstheme="majorBidi"/>
              </w:rPr>
              <w:t xml:space="preserve">des offres </w:t>
            </w:r>
            <w:r w:rsidR="005D055C" w:rsidRPr="00A67F27">
              <w:rPr>
                <w:rFonts w:asciiTheme="majorBidi" w:hAnsiTheme="majorBidi" w:cstheme="majorBidi"/>
              </w:rPr>
              <w:t xml:space="preserve">de moindre coût </w:t>
            </w:r>
            <w:r w:rsidRPr="00A67F27">
              <w:rPr>
                <w:rFonts w:asciiTheme="majorBidi" w:hAnsiTheme="majorBidi" w:cstheme="majorBidi"/>
              </w:rPr>
              <w:t>pour l’ensemble des lots compte tenu de tous les rabais offerts dans le Formulaire de Soumission, sera précisée dans la Section III, Critères d’évaluation et de qualification.</w:t>
            </w:r>
          </w:p>
        </w:tc>
      </w:tr>
      <w:tr w:rsidR="005D055C" w:rsidRPr="00A67F27" w14:paraId="15A6DAD7" w14:textId="77777777" w:rsidTr="007318E7">
        <w:trPr>
          <w:trHeight w:val="20"/>
        </w:trPr>
        <w:tc>
          <w:tcPr>
            <w:tcW w:w="2250" w:type="dxa"/>
            <w:tcBorders>
              <w:top w:val="nil"/>
              <w:left w:val="nil"/>
              <w:bottom w:val="nil"/>
              <w:right w:val="nil"/>
            </w:tcBorders>
          </w:tcPr>
          <w:p w14:paraId="4B129241" w14:textId="55700901" w:rsidR="005D055C" w:rsidRPr="00A67F27" w:rsidRDefault="005D055C" w:rsidP="007318E7">
            <w:pPr>
              <w:pStyle w:val="S1-Header2"/>
              <w:numPr>
                <w:ilvl w:val="0"/>
                <w:numId w:val="0"/>
              </w:numPr>
              <w:tabs>
                <w:tab w:val="num" w:pos="432"/>
              </w:tabs>
              <w:spacing w:after="0"/>
              <w:ind w:left="432" w:hanging="432"/>
              <w:rPr>
                <w:lang w:val="fr-FR"/>
              </w:rPr>
            </w:pPr>
            <w:bookmarkStart w:id="351" w:name="_Toc438532650"/>
            <w:bookmarkStart w:id="352" w:name="_Toc438532651"/>
            <w:bookmarkEnd w:id="351"/>
            <w:bookmarkEnd w:id="352"/>
          </w:p>
        </w:tc>
        <w:tc>
          <w:tcPr>
            <w:tcW w:w="7380" w:type="dxa"/>
            <w:tcBorders>
              <w:top w:val="nil"/>
              <w:left w:val="nil"/>
              <w:bottom w:val="nil"/>
              <w:right w:val="nil"/>
            </w:tcBorders>
          </w:tcPr>
          <w:p w14:paraId="4B0EE653" w14:textId="582E9092" w:rsidR="005D055C" w:rsidRPr="00A67F27" w:rsidRDefault="005932EC" w:rsidP="002A45C1">
            <w:pPr>
              <w:pStyle w:val="Header2-SubClauses"/>
              <w:numPr>
                <w:ilvl w:val="1"/>
                <w:numId w:val="64"/>
              </w:numPr>
              <w:tabs>
                <w:tab w:val="clear" w:pos="619"/>
              </w:tabs>
              <w:spacing w:after="0"/>
              <w:ind w:left="610" w:hanging="610"/>
              <w:rPr>
                <w:rFonts w:asciiTheme="majorBidi" w:hAnsiTheme="majorBidi" w:cstheme="majorBidi"/>
                <w:lang w:val="fr-FR"/>
              </w:rPr>
            </w:pPr>
            <w:r w:rsidRPr="00A67F27">
              <w:rPr>
                <w:rFonts w:asciiTheme="majorBidi" w:hAnsiTheme="majorBidi" w:cstheme="majorBidi"/>
                <w:lang w:val="fr-FR"/>
              </w:rPr>
              <w:t xml:space="preserve">Dans le cas d’un Marché à prix unitaires, si </w:t>
            </w:r>
            <w:r w:rsidR="005D055C" w:rsidRPr="00A67F27">
              <w:rPr>
                <w:rFonts w:asciiTheme="majorBidi" w:hAnsiTheme="majorBidi" w:cstheme="majorBidi"/>
                <w:lang w:val="fr-FR"/>
              </w:rPr>
              <w:t xml:space="preserve">l’offre évaluée </w:t>
            </w:r>
            <w:r w:rsidR="00AD3EBB" w:rsidRPr="00A67F27">
              <w:rPr>
                <w:rFonts w:asciiTheme="majorBidi" w:hAnsiTheme="majorBidi" w:cstheme="majorBidi"/>
                <w:lang w:val="fr-FR"/>
              </w:rPr>
              <w:t>de moindre coût</w:t>
            </w:r>
            <w:r w:rsidR="005D055C" w:rsidRPr="00A67F27">
              <w:rPr>
                <w:rFonts w:asciiTheme="majorBidi" w:hAnsiTheme="majorBidi" w:cstheme="majorBidi"/>
                <w:lang w:val="fr-FR"/>
              </w:rPr>
              <w:t xml:space="preserve"> est fortement déséquilibrée par rapport à l’estimation faite par le Maître de l’Ouvrage de l’échéancier de paiement</w:t>
            </w:r>
            <w:r w:rsidR="009B2302" w:rsidRPr="00A67F27">
              <w:rPr>
                <w:rFonts w:asciiTheme="majorBidi" w:hAnsiTheme="majorBidi" w:cstheme="majorBidi"/>
                <w:lang w:val="fr-FR"/>
              </w:rPr>
              <w:t xml:space="preserve"> </w:t>
            </w:r>
            <w:r w:rsidR="005D055C" w:rsidRPr="00A67F27">
              <w:rPr>
                <w:rFonts w:asciiTheme="majorBidi" w:hAnsiTheme="majorBidi" w:cstheme="majorBidi"/>
                <w:lang w:val="fr-FR"/>
              </w:rPr>
              <w:t xml:space="preserve">des travaux à exécuter, le Maître de l’Ouvrage peut demander au Soumissionnaire de fournir </w:t>
            </w:r>
            <w:r w:rsidR="00E10CAE" w:rsidRPr="00A67F27">
              <w:rPr>
                <w:rFonts w:asciiTheme="majorBidi" w:hAnsiTheme="majorBidi" w:cstheme="majorBidi"/>
                <w:lang w:val="fr-FR"/>
              </w:rPr>
              <w:t xml:space="preserve">des éclaircissements par écrit. Les demandes d’éclaircissements pourront porter sur </w:t>
            </w:r>
            <w:r w:rsidR="005D055C" w:rsidRPr="00A67F27">
              <w:rPr>
                <w:rFonts w:asciiTheme="majorBidi" w:hAnsiTheme="majorBidi" w:cstheme="majorBidi"/>
                <w:lang w:val="fr-FR"/>
              </w:rPr>
              <w:t>le sous détail de prix pour tout élément du Détail quantitatif et estimatif, aux fins d’établir que ces prix sont compatibles avec les méthodes de construction et l’échéancier proposé.</w:t>
            </w:r>
            <w:r w:rsidR="009B2302" w:rsidRPr="00A67F27">
              <w:rPr>
                <w:rFonts w:asciiTheme="majorBidi" w:hAnsiTheme="majorBidi" w:cstheme="majorBidi"/>
                <w:lang w:val="fr-FR"/>
              </w:rPr>
              <w:t xml:space="preserve"> </w:t>
            </w:r>
            <w:r w:rsidR="00E546B3" w:rsidRPr="00A67F27">
              <w:rPr>
                <w:rFonts w:asciiTheme="majorBidi" w:hAnsiTheme="majorBidi" w:cstheme="majorBidi"/>
                <w:lang w:val="fr-FR"/>
              </w:rPr>
              <w:t>Après avoir examiné le sous détail de prix, le Maître de l’Ouvrage peut demander que le montant de la Garantie de bonne exécution soit porté, aux frais de l’Attributaire du Marché, à un niveau suffisant pour protéger le Maître de l’Ouvrage contre toute perte financière au cas où l’Attributaire viendrait à manquer à ses obligations au titre du Marché.</w:t>
            </w:r>
          </w:p>
        </w:tc>
      </w:tr>
      <w:tr w:rsidR="006601AB" w:rsidRPr="00A67F27" w14:paraId="61E67F46" w14:textId="77777777" w:rsidTr="007318E7">
        <w:trPr>
          <w:trHeight w:val="20"/>
        </w:trPr>
        <w:tc>
          <w:tcPr>
            <w:tcW w:w="2250" w:type="dxa"/>
            <w:tcBorders>
              <w:top w:val="nil"/>
              <w:left w:val="nil"/>
              <w:bottom w:val="nil"/>
              <w:right w:val="nil"/>
            </w:tcBorders>
          </w:tcPr>
          <w:p w14:paraId="5485E8BC" w14:textId="3AD02419" w:rsidR="006601AB" w:rsidRPr="00A67F27" w:rsidRDefault="006601AB" w:rsidP="007318E7">
            <w:pPr>
              <w:pStyle w:val="S1-Header2"/>
              <w:numPr>
                <w:ilvl w:val="0"/>
                <w:numId w:val="0"/>
              </w:numPr>
              <w:tabs>
                <w:tab w:val="num" w:pos="432"/>
              </w:tabs>
              <w:spacing w:after="0"/>
              <w:ind w:left="432" w:hanging="432"/>
              <w:rPr>
                <w:lang w:val="fr-FR"/>
              </w:rPr>
            </w:pPr>
            <w:bookmarkStart w:id="353" w:name="_Toc327350729"/>
            <w:bookmarkStart w:id="354" w:name="_Toc483210609"/>
            <w:bookmarkStart w:id="355" w:name="_Toc487641808"/>
            <w:r w:rsidRPr="00A67F27">
              <w:rPr>
                <w:lang w:val="fr-FR"/>
              </w:rPr>
              <w:t>36.</w:t>
            </w:r>
            <w:r w:rsidRPr="00A67F27">
              <w:rPr>
                <w:lang w:val="fr-FR"/>
              </w:rPr>
              <w:tab/>
              <w:t>Comparaison des Offres</w:t>
            </w:r>
            <w:bookmarkEnd w:id="353"/>
            <w:bookmarkEnd w:id="354"/>
            <w:bookmarkEnd w:id="355"/>
          </w:p>
        </w:tc>
        <w:tc>
          <w:tcPr>
            <w:tcW w:w="7380" w:type="dxa"/>
            <w:tcBorders>
              <w:top w:val="nil"/>
              <w:left w:val="nil"/>
              <w:bottom w:val="nil"/>
              <w:right w:val="nil"/>
            </w:tcBorders>
          </w:tcPr>
          <w:p w14:paraId="303E5242" w14:textId="1F0B669E" w:rsidR="006601AB" w:rsidRPr="00A67F27" w:rsidRDefault="006601AB" w:rsidP="007318E7">
            <w:pPr>
              <w:pStyle w:val="Header2-SubClauses"/>
              <w:tabs>
                <w:tab w:val="clear" w:pos="619"/>
                <w:tab w:val="left" w:pos="1152"/>
              </w:tabs>
              <w:spacing w:after="0"/>
              <w:rPr>
                <w:rFonts w:asciiTheme="majorBidi" w:hAnsiTheme="majorBidi" w:cstheme="majorBidi"/>
                <w:lang w:val="fr-FR"/>
              </w:rPr>
            </w:pPr>
            <w:r w:rsidRPr="00A67F27">
              <w:rPr>
                <w:rFonts w:asciiTheme="majorBidi" w:hAnsiTheme="majorBidi" w:cstheme="majorBidi"/>
                <w:lang w:val="fr-FR"/>
              </w:rPr>
              <w:t>36.1</w:t>
            </w:r>
            <w:r w:rsidRPr="00A67F27">
              <w:rPr>
                <w:rFonts w:asciiTheme="majorBidi" w:hAnsiTheme="majorBidi" w:cstheme="majorBidi"/>
                <w:lang w:val="fr-FR"/>
              </w:rPr>
              <w:tab/>
              <w:t>Le Maître de l’Ouvrage comparera le Montant évalué des Offres conformes pour l’essentiel aux dispositions du Dossier d’Appel d’Offres afin de déterminer l’Offre évaluée la moins-</w:t>
            </w:r>
            <w:proofErr w:type="spellStart"/>
            <w:r w:rsidRPr="00A67F27">
              <w:rPr>
                <w:rFonts w:asciiTheme="majorBidi" w:hAnsiTheme="majorBidi" w:cstheme="majorBidi"/>
                <w:lang w:val="fr-FR"/>
              </w:rPr>
              <w:t>disante</w:t>
            </w:r>
            <w:proofErr w:type="spellEnd"/>
            <w:r w:rsidRPr="00A67F27">
              <w:rPr>
                <w:rFonts w:asciiTheme="majorBidi" w:hAnsiTheme="majorBidi" w:cstheme="majorBidi"/>
                <w:lang w:val="fr-FR"/>
              </w:rPr>
              <w:t xml:space="preserve"> en </w:t>
            </w:r>
            <w:r w:rsidRPr="00A67F27">
              <w:rPr>
                <w:rFonts w:asciiTheme="majorBidi" w:hAnsiTheme="majorBidi" w:cstheme="majorBidi"/>
                <w:lang w:val="fr-FR"/>
              </w:rPr>
              <w:lastRenderedPageBreak/>
              <w:t>application de l’article 35.2 des IS</w:t>
            </w:r>
            <w:r w:rsidRPr="00A67F27">
              <w:rPr>
                <w:rFonts w:asciiTheme="majorBidi" w:hAnsiTheme="majorBidi" w:cstheme="majorBidi"/>
                <w:i/>
                <w:lang w:val="fr-FR"/>
              </w:rPr>
              <w:t>.</w:t>
            </w:r>
          </w:p>
        </w:tc>
      </w:tr>
      <w:tr w:rsidR="002476D3" w:rsidRPr="00A67F27" w14:paraId="06DBCB45" w14:textId="77777777" w:rsidTr="007318E7">
        <w:trPr>
          <w:trHeight w:val="20"/>
        </w:trPr>
        <w:tc>
          <w:tcPr>
            <w:tcW w:w="2250" w:type="dxa"/>
            <w:tcBorders>
              <w:top w:val="nil"/>
              <w:left w:val="nil"/>
              <w:bottom w:val="nil"/>
              <w:right w:val="nil"/>
            </w:tcBorders>
          </w:tcPr>
          <w:p w14:paraId="3D263808" w14:textId="1EC7D2A4" w:rsidR="002476D3" w:rsidRPr="00A67F27" w:rsidRDefault="00294BAD" w:rsidP="007318E7">
            <w:pPr>
              <w:pStyle w:val="S1-Header2"/>
              <w:numPr>
                <w:ilvl w:val="0"/>
                <w:numId w:val="0"/>
              </w:numPr>
              <w:tabs>
                <w:tab w:val="num" w:pos="432"/>
              </w:tabs>
              <w:spacing w:after="0"/>
              <w:ind w:left="432" w:hanging="432"/>
              <w:rPr>
                <w:rFonts w:asciiTheme="majorBidi" w:hAnsiTheme="majorBidi" w:cstheme="majorBidi"/>
                <w:lang w:val="fr-FR"/>
              </w:rPr>
            </w:pPr>
            <w:bookmarkStart w:id="356" w:name="_Toc438438861"/>
            <w:bookmarkStart w:id="357" w:name="_Toc438532655"/>
            <w:bookmarkStart w:id="358" w:name="_Toc438734005"/>
            <w:bookmarkStart w:id="359" w:name="_Toc438907042"/>
            <w:bookmarkStart w:id="360" w:name="_Toc438907241"/>
            <w:bookmarkStart w:id="361" w:name="_Toc156373320"/>
            <w:bookmarkStart w:id="362" w:name="_Toc483210610"/>
            <w:bookmarkStart w:id="363" w:name="_Toc487641809"/>
            <w:r w:rsidRPr="00A67F27">
              <w:rPr>
                <w:lang w:val="fr-FR"/>
              </w:rPr>
              <w:lastRenderedPageBreak/>
              <w:t>3</w:t>
            </w:r>
            <w:r w:rsidR="006601AB" w:rsidRPr="00A67F27">
              <w:rPr>
                <w:lang w:val="fr-FR"/>
              </w:rPr>
              <w:t>7</w:t>
            </w:r>
            <w:r w:rsidRPr="00A67F27">
              <w:rPr>
                <w:lang w:val="fr-FR"/>
              </w:rPr>
              <w:t>.</w:t>
            </w:r>
            <w:r w:rsidR="002476D3" w:rsidRPr="00A67F27">
              <w:rPr>
                <w:lang w:val="fr-FR"/>
              </w:rPr>
              <w:tab/>
              <w:t xml:space="preserve">Qualification du </w:t>
            </w:r>
            <w:proofErr w:type="spellStart"/>
            <w:r w:rsidR="002476D3" w:rsidRPr="00A67F27">
              <w:rPr>
                <w:lang w:val="fr-FR"/>
              </w:rPr>
              <w:t>Soumission</w:t>
            </w:r>
            <w:r w:rsidR="00BF3804" w:rsidRPr="00A67F27">
              <w:rPr>
                <w:lang w:val="fr-FR"/>
              </w:rPr>
              <w:t>-</w:t>
            </w:r>
            <w:r w:rsidR="002476D3" w:rsidRPr="00A67F27">
              <w:rPr>
                <w:lang w:val="fr-FR"/>
              </w:rPr>
              <w:t>naire</w:t>
            </w:r>
            <w:bookmarkEnd w:id="356"/>
            <w:bookmarkEnd w:id="357"/>
            <w:bookmarkEnd w:id="358"/>
            <w:bookmarkEnd w:id="359"/>
            <w:bookmarkEnd w:id="360"/>
            <w:bookmarkEnd w:id="361"/>
            <w:bookmarkEnd w:id="362"/>
            <w:bookmarkEnd w:id="363"/>
            <w:proofErr w:type="spellEnd"/>
          </w:p>
        </w:tc>
        <w:tc>
          <w:tcPr>
            <w:tcW w:w="7380" w:type="dxa"/>
            <w:tcBorders>
              <w:top w:val="nil"/>
              <w:left w:val="nil"/>
              <w:bottom w:val="nil"/>
              <w:right w:val="nil"/>
            </w:tcBorders>
          </w:tcPr>
          <w:p w14:paraId="7E406125" w14:textId="230C9130" w:rsidR="00294BAD" w:rsidRPr="00A67F27" w:rsidRDefault="002476D3" w:rsidP="002A45C1">
            <w:pPr>
              <w:pStyle w:val="Header2-SubClauses"/>
              <w:numPr>
                <w:ilvl w:val="1"/>
                <w:numId w:val="65"/>
              </w:numPr>
              <w:tabs>
                <w:tab w:val="clear" w:pos="619"/>
                <w:tab w:val="left" w:pos="1152"/>
              </w:tabs>
              <w:spacing w:after="0"/>
              <w:ind w:left="659" w:hanging="659"/>
              <w:rPr>
                <w:rFonts w:asciiTheme="majorBidi" w:hAnsiTheme="majorBidi" w:cstheme="majorBidi"/>
                <w:lang w:val="fr-FR"/>
              </w:rPr>
            </w:pPr>
            <w:r w:rsidRPr="00A67F27">
              <w:rPr>
                <w:rFonts w:asciiTheme="majorBidi" w:hAnsiTheme="majorBidi" w:cstheme="majorBidi"/>
                <w:lang w:val="fr-FR"/>
              </w:rPr>
              <w:t>Le Maître d’Ouvrage s’assurera que le Soumissionnaire ayant soumis l’</w:t>
            </w:r>
            <w:r w:rsidR="005D55BE" w:rsidRPr="00A67F27">
              <w:rPr>
                <w:rFonts w:asciiTheme="majorBidi" w:hAnsiTheme="majorBidi" w:cstheme="majorBidi"/>
                <w:lang w:val="fr-FR"/>
              </w:rPr>
              <w:t>O</w:t>
            </w:r>
            <w:r w:rsidRPr="00A67F27">
              <w:rPr>
                <w:rFonts w:asciiTheme="majorBidi" w:hAnsiTheme="majorBidi" w:cstheme="majorBidi"/>
                <w:lang w:val="fr-FR"/>
              </w:rPr>
              <w:t xml:space="preserve">ffre évaluée </w:t>
            </w:r>
            <w:r w:rsidR="00E10CAE" w:rsidRPr="00A67F27">
              <w:rPr>
                <w:rFonts w:asciiTheme="majorBidi" w:hAnsiTheme="majorBidi" w:cstheme="majorBidi"/>
                <w:lang w:val="fr-FR"/>
              </w:rPr>
              <w:t>de moindre coût</w:t>
            </w:r>
            <w:r w:rsidRPr="00A67F27">
              <w:rPr>
                <w:rFonts w:asciiTheme="majorBidi" w:hAnsiTheme="majorBidi" w:cstheme="majorBidi"/>
                <w:lang w:val="fr-FR"/>
              </w:rPr>
              <w:t xml:space="preserve"> et conforme pour l’essentiel aux dispositions du Dossier d’Appel d’Offres, a démontré dans son </w:t>
            </w:r>
            <w:r w:rsidR="005D55BE" w:rsidRPr="00A67F27">
              <w:rPr>
                <w:rFonts w:asciiTheme="majorBidi" w:hAnsiTheme="majorBidi" w:cstheme="majorBidi"/>
                <w:lang w:val="fr-FR"/>
              </w:rPr>
              <w:t>O</w:t>
            </w:r>
            <w:r w:rsidRPr="00A67F27">
              <w:rPr>
                <w:rFonts w:asciiTheme="majorBidi" w:hAnsiTheme="majorBidi" w:cstheme="majorBidi"/>
                <w:lang w:val="fr-FR"/>
              </w:rPr>
              <w:t>ffre qu’il possède les qualifications requises pour exécuter le Marché de façon satisfaisante et</w:t>
            </w:r>
            <w:r w:rsidR="00BD60C3" w:rsidRPr="00A67F27">
              <w:rPr>
                <w:rFonts w:asciiTheme="majorBidi" w:hAnsiTheme="majorBidi" w:cstheme="majorBidi"/>
                <w:lang w:val="fr-FR"/>
              </w:rPr>
              <w:t xml:space="preserve"> ce,</w:t>
            </w:r>
            <w:r w:rsidRPr="00A67F27">
              <w:rPr>
                <w:rFonts w:asciiTheme="majorBidi" w:hAnsiTheme="majorBidi" w:cstheme="majorBidi"/>
                <w:lang w:val="fr-FR"/>
              </w:rPr>
              <w:t xml:space="preserve"> conformément à cette même section.</w:t>
            </w:r>
          </w:p>
        </w:tc>
      </w:tr>
      <w:tr w:rsidR="002476D3" w:rsidRPr="00A67F27" w14:paraId="1933D9B4" w14:textId="77777777" w:rsidTr="007318E7">
        <w:trPr>
          <w:trHeight w:val="20"/>
        </w:trPr>
        <w:tc>
          <w:tcPr>
            <w:tcW w:w="2250" w:type="dxa"/>
            <w:tcBorders>
              <w:top w:val="nil"/>
              <w:left w:val="nil"/>
              <w:bottom w:val="nil"/>
              <w:right w:val="nil"/>
            </w:tcBorders>
          </w:tcPr>
          <w:p w14:paraId="3911CF3D" w14:textId="77777777" w:rsidR="00F856B6" w:rsidRPr="00A67F27" w:rsidRDefault="002476D3" w:rsidP="007318E7">
            <w:pPr>
              <w:pStyle w:val="Outline"/>
              <w:numPr>
                <w:ilvl w:val="12"/>
                <w:numId w:val="0"/>
              </w:numPr>
              <w:spacing w:before="0" w:after="0"/>
              <w:ind w:left="792" w:hanging="792"/>
              <w:rPr>
                <w:rFonts w:asciiTheme="majorBidi" w:hAnsiTheme="majorBidi" w:cstheme="majorBidi"/>
                <w:b/>
                <w:kern w:val="0"/>
              </w:rPr>
            </w:pPr>
            <w:r w:rsidRPr="00A67F27">
              <w:rPr>
                <w:rFonts w:asciiTheme="majorBidi" w:hAnsiTheme="majorBidi" w:cstheme="majorBidi"/>
                <w:b/>
                <w:kern w:val="0"/>
              </w:rPr>
              <w:t xml:space="preserve"> </w:t>
            </w:r>
          </w:p>
        </w:tc>
        <w:tc>
          <w:tcPr>
            <w:tcW w:w="7380" w:type="dxa"/>
            <w:tcBorders>
              <w:top w:val="nil"/>
              <w:left w:val="nil"/>
              <w:bottom w:val="nil"/>
              <w:right w:val="nil"/>
            </w:tcBorders>
          </w:tcPr>
          <w:p w14:paraId="7B482156" w14:textId="6D6B7CBB" w:rsidR="00F856B6" w:rsidRPr="00A67F27" w:rsidRDefault="002476D3" w:rsidP="002A45C1">
            <w:pPr>
              <w:pStyle w:val="Header2-SubClauses"/>
              <w:numPr>
                <w:ilvl w:val="1"/>
                <w:numId w:val="65"/>
              </w:numPr>
              <w:tabs>
                <w:tab w:val="clear" w:pos="619"/>
                <w:tab w:val="left" w:pos="1152"/>
              </w:tabs>
              <w:spacing w:after="0"/>
              <w:ind w:left="518" w:hanging="518"/>
              <w:rPr>
                <w:rFonts w:asciiTheme="majorBidi" w:hAnsiTheme="majorBidi" w:cstheme="majorBidi"/>
                <w:lang w:val="fr-FR"/>
              </w:rPr>
            </w:pPr>
            <w:r w:rsidRPr="00A67F27">
              <w:rPr>
                <w:rFonts w:asciiTheme="majorBidi" w:hAnsiTheme="majorBidi" w:cstheme="majorBidi"/>
                <w:lang w:val="fr-FR"/>
              </w:rPr>
              <w:t>Cette détermination sera fondée sur l’examen des pièces attestant les qualifications du Soumissionnaire qu’il aura soumises en application de l’article 17 des IS.</w:t>
            </w:r>
            <w:r w:rsidR="005E0148" w:rsidRPr="00A67F27">
              <w:rPr>
                <w:rFonts w:asciiTheme="majorBidi" w:hAnsiTheme="majorBidi" w:cstheme="majorBidi"/>
                <w:lang w:val="fr-FR"/>
              </w:rPr>
              <w:t xml:space="preserve"> </w:t>
            </w:r>
          </w:p>
        </w:tc>
      </w:tr>
      <w:tr w:rsidR="002476D3" w:rsidRPr="00A67F27" w14:paraId="76F1E577" w14:textId="77777777" w:rsidTr="007318E7">
        <w:trPr>
          <w:trHeight w:val="20"/>
        </w:trPr>
        <w:tc>
          <w:tcPr>
            <w:tcW w:w="2250" w:type="dxa"/>
            <w:tcBorders>
              <w:top w:val="nil"/>
              <w:left w:val="nil"/>
              <w:bottom w:val="nil"/>
              <w:right w:val="nil"/>
            </w:tcBorders>
          </w:tcPr>
          <w:p w14:paraId="753392CC" w14:textId="77777777" w:rsidR="002476D3" w:rsidRPr="00A67F27" w:rsidRDefault="002476D3" w:rsidP="007318E7">
            <w:pPr>
              <w:numPr>
                <w:ilvl w:val="12"/>
                <w:numId w:val="0"/>
              </w:numPr>
              <w:spacing w:after="0"/>
              <w:rPr>
                <w:rFonts w:asciiTheme="majorBidi" w:hAnsiTheme="majorBidi" w:cstheme="majorBidi"/>
              </w:rPr>
            </w:pPr>
          </w:p>
        </w:tc>
        <w:tc>
          <w:tcPr>
            <w:tcW w:w="7380" w:type="dxa"/>
            <w:tcBorders>
              <w:top w:val="nil"/>
              <w:left w:val="nil"/>
              <w:bottom w:val="nil"/>
              <w:right w:val="nil"/>
            </w:tcBorders>
          </w:tcPr>
          <w:p w14:paraId="56939617" w14:textId="016F27F8" w:rsidR="002476D3" w:rsidRPr="00A67F27" w:rsidRDefault="002476D3" w:rsidP="002A45C1">
            <w:pPr>
              <w:pStyle w:val="Header2-SubClauses"/>
              <w:numPr>
                <w:ilvl w:val="1"/>
                <w:numId w:val="65"/>
              </w:numPr>
              <w:tabs>
                <w:tab w:val="clear" w:pos="619"/>
                <w:tab w:val="left" w:pos="1152"/>
              </w:tabs>
              <w:spacing w:after="0"/>
              <w:ind w:left="518" w:hanging="518"/>
              <w:rPr>
                <w:rFonts w:asciiTheme="majorBidi" w:hAnsiTheme="majorBidi" w:cstheme="majorBidi"/>
                <w:lang w:val="fr-FR"/>
              </w:rPr>
            </w:pPr>
            <w:r w:rsidRPr="00A67F27">
              <w:rPr>
                <w:rFonts w:asciiTheme="majorBidi" w:hAnsiTheme="majorBidi" w:cstheme="majorBidi"/>
                <w:lang w:val="fr-FR"/>
              </w:rPr>
              <w:t xml:space="preserve">L’attribution du Marché au Soumissionnaire est subordonnée à la vérification que le </w:t>
            </w:r>
            <w:r w:rsidR="005D55BE" w:rsidRPr="00A67F27">
              <w:rPr>
                <w:rFonts w:asciiTheme="majorBidi" w:hAnsiTheme="majorBidi" w:cstheme="majorBidi"/>
                <w:lang w:val="fr-FR"/>
              </w:rPr>
              <w:t>S</w:t>
            </w:r>
            <w:r w:rsidRPr="00A67F27">
              <w:rPr>
                <w:rFonts w:asciiTheme="majorBidi" w:hAnsiTheme="majorBidi" w:cstheme="majorBidi"/>
                <w:lang w:val="fr-FR"/>
              </w:rPr>
              <w:t>oumissionnaire satisfait ou continue de satisfaire</w:t>
            </w:r>
            <w:r w:rsidR="009B2302" w:rsidRPr="00A67F27">
              <w:rPr>
                <w:rFonts w:asciiTheme="majorBidi" w:hAnsiTheme="majorBidi" w:cstheme="majorBidi"/>
                <w:lang w:val="fr-FR"/>
              </w:rPr>
              <w:t xml:space="preserve"> </w:t>
            </w:r>
            <w:r w:rsidRPr="00A67F27">
              <w:rPr>
                <w:rFonts w:asciiTheme="majorBidi" w:hAnsiTheme="majorBidi" w:cstheme="majorBidi"/>
                <w:lang w:val="fr-FR"/>
              </w:rPr>
              <w:t xml:space="preserve">aux </w:t>
            </w:r>
            <w:r w:rsidR="005D55BE" w:rsidRPr="00A67F27">
              <w:rPr>
                <w:rFonts w:asciiTheme="majorBidi" w:hAnsiTheme="majorBidi" w:cstheme="majorBidi"/>
                <w:lang w:val="fr-FR"/>
              </w:rPr>
              <w:t>C</w:t>
            </w:r>
            <w:r w:rsidRPr="00A67F27">
              <w:rPr>
                <w:rFonts w:asciiTheme="majorBidi" w:hAnsiTheme="majorBidi" w:cstheme="majorBidi"/>
                <w:lang w:val="fr-FR"/>
              </w:rPr>
              <w:t>ritères de qualification. Dans le cas contraire, l’</w:t>
            </w:r>
            <w:r w:rsidR="005D55BE" w:rsidRPr="00A67F27">
              <w:rPr>
                <w:rFonts w:asciiTheme="majorBidi" w:hAnsiTheme="majorBidi" w:cstheme="majorBidi"/>
                <w:lang w:val="fr-FR"/>
              </w:rPr>
              <w:t>O</w:t>
            </w:r>
            <w:r w:rsidRPr="00A67F27">
              <w:rPr>
                <w:rFonts w:asciiTheme="majorBidi" w:hAnsiTheme="majorBidi" w:cstheme="majorBidi"/>
                <w:lang w:val="fr-FR"/>
              </w:rPr>
              <w:t xml:space="preserve">ffre sera </w:t>
            </w:r>
            <w:r w:rsidR="00E10CAE" w:rsidRPr="00A67F27">
              <w:rPr>
                <w:rFonts w:asciiTheme="majorBidi" w:hAnsiTheme="majorBidi" w:cstheme="majorBidi"/>
                <w:lang w:val="fr-FR"/>
              </w:rPr>
              <w:t xml:space="preserve">écartée </w:t>
            </w:r>
            <w:r w:rsidRPr="00A67F27">
              <w:rPr>
                <w:rFonts w:asciiTheme="majorBidi" w:hAnsiTheme="majorBidi" w:cstheme="majorBidi"/>
                <w:lang w:val="fr-FR"/>
              </w:rPr>
              <w:t>et le Maître d</w:t>
            </w:r>
            <w:r w:rsidR="005D55BE" w:rsidRPr="00A67F27">
              <w:rPr>
                <w:rFonts w:asciiTheme="majorBidi" w:hAnsiTheme="majorBidi" w:cstheme="majorBidi"/>
                <w:lang w:val="fr-FR"/>
              </w:rPr>
              <w:t>e l</w:t>
            </w:r>
            <w:r w:rsidRPr="00A67F27">
              <w:rPr>
                <w:rFonts w:asciiTheme="majorBidi" w:hAnsiTheme="majorBidi" w:cstheme="majorBidi"/>
                <w:lang w:val="fr-FR"/>
              </w:rPr>
              <w:t xml:space="preserve">’Ouvrage procédera à l’examen de la seconde offre évaluée </w:t>
            </w:r>
            <w:r w:rsidR="00E10CAE" w:rsidRPr="00A67F27">
              <w:rPr>
                <w:rFonts w:asciiTheme="majorBidi" w:hAnsiTheme="majorBidi" w:cstheme="majorBidi"/>
                <w:lang w:val="fr-FR"/>
              </w:rPr>
              <w:t>de moindre coût</w:t>
            </w:r>
            <w:r w:rsidRPr="00A67F27">
              <w:rPr>
                <w:rFonts w:asciiTheme="majorBidi" w:hAnsiTheme="majorBidi" w:cstheme="majorBidi"/>
                <w:lang w:val="fr-FR"/>
              </w:rPr>
              <w:t xml:space="preserve"> afin d’établir de la même manière si le Soumissionnaire est qualifié pour exécuter le Marché.</w:t>
            </w:r>
          </w:p>
        </w:tc>
      </w:tr>
      <w:tr w:rsidR="002476D3" w:rsidRPr="00A67F27" w14:paraId="32575C97" w14:textId="77777777" w:rsidTr="007318E7">
        <w:trPr>
          <w:cantSplit/>
          <w:trHeight w:val="20"/>
        </w:trPr>
        <w:tc>
          <w:tcPr>
            <w:tcW w:w="2250" w:type="dxa"/>
            <w:tcBorders>
              <w:top w:val="nil"/>
              <w:left w:val="nil"/>
              <w:bottom w:val="nil"/>
              <w:right w:val="nil"/>
            </w:tcBorders>
          </w:tcPr>
          <w:p w14:paraId="30754E17" w14:textId="1766D16F" w:rsidR="002476D3" w:rsidRPr="00A67F27" w:rsidRDefault="006601AB" w:rsidP="007318E7">
            <w:pPr>
              <w:pStyle w:val="S1-Header2"/>
              <w:numPr>
                <w:ilvl w:val="0"/>
                <w:numId w:val="0"/>
              </w:numPr>
              <w:tabs>
                <w:tab w:val="num" w:pos="432"/>
              </w:tabs>
              <w:spacing w:after="0"/>
              <w:ind w:left="432" w:hanging="432"/>
              <w:rPr>
                <w:lang w:val="fr-FR"/>
              </w:rPr>
            </w:pPr>
            <w:bookmarkStart w:id="364" w:name="_Toc156373321"/>
            <w:bookmarkStart w:id="365" w:name="_Toc483210611"/>
            <w:bookmarkStart w:id="366" w:name="_Toc487641810"/>
            <w:bookmarkStart w:id="367" w:name="_Toc438438862"/>
            <w:bookmarkStart w:id="368" w:name="_Toc438532656"/>
            <w:bookmarkStart w:id="369" w:name="_Toc438734006"/>
            <w:bookmarkStart w:id="370" w:name="_Toc438907043"/>
            <w:bookmarkStart w:id="371" w:name="_Toc438907242"/>
            <w:r w:rsidRPr="00A67F27">
              <w:rPr>
                <w:lang w:val="fr-FR"/>
              </w:rPr>
              <w:t>38</w:t>
            </w:r>
            <w:r w:rsidR="002476D3" w:rsidRPr="00A67F27">
              <w:rPr>
                <w:lang w:val="fr-FR"/>
              </w:rPr>
              <w:t>.</w:t>
            </w:r>
            <w:r w:rsidR="002476D3" w:rsidRPr="00A67F27">
              <w:rPr>
                <w:lang w:val="fr-FR"/>
              </w:rPr>
              <w:tab/>
              <w:t xml:space="preserve">Droit du Maître de l’Ouvrage d’accepter et </w:t>
            </w:r>
            <w:r w:rsidR="006C5222" w:rsidRPr="00A67F27">
              <w:rPr>
                <w:lang w:val="fr-FR"/>
              </w:rPr>
              <w:t>d’écar</w:t>
            </w:r>
            <w:r w:rsidR="002476D3" w:rsidRPr="00A67F27">
              <w:rPr>
                <w:lang w:val="fr-FR"/>
              </w:rPr>
              <w:t>ter les offres</w:t>
            </w:r>
            <w:bookmarkEnd w:id="364"/>
            <w:bookmarkEnd w:id="365"/>
            <w:bookmarkEnd w:id="366"/>
            <w:r w:rsidR="002476D3" w:rsidRPr="00A67F27">
              <w:rPr>
                <w:lang w:val="fr-FR"/>
              </w:rPr>
              <w:t xml:space="preserve"> </w:t>
            </w:r>
            <w:bookmarkEnd w:id="367"/>
            <w:bookmarkEnd w:id="368"/>
            <w:bookmarkEnd w:id="369"/>
            <w:bookmarkEnd w:id="370"/>
            <w:bookmarkEnd w:id="371"/>
          </w:p>
        </w:tc>
        <w:tc>
          <w:tcPr>
            <w:tcW w:w="7380" w:type="dxa"/>
            <w:tcBorders>
              <w:top w:val="nil"/>
              <w:left w:val="nil"/>
              <w:bottom w:val="nil"/>
              <w:right w:val="nil"/>
            </w:tcBorders>
          </w:tcPr>
          <w:p w14:paraId="1F419755" w14:textId="23E28E3C" w:rsidR="002476D3" w:rsidRPr="00A67F27" w:rsidRDefault="002476D3" w:rsidP="002A45C1">
            <w:pPr>
              <w:pStyle w:val="Paragraphedeliste"/>
              <w:numPr>
                <w:ilvl w:val="1"/>
                <w:numId w:val="66"/>
              </w:numPr>
              <w:tabs>
                <w:tab w:val="left" w:pos="1152"/>
              </w:tabs>
              <w:spacing w:after="0"/>
              <w:ind w:left="554" w:hanging="554"/>
              <w:rPr>
                <w:rFonts w:asciiTheme="majorBidi" w:hAnsiTheme="majorBidi" w:cstheme="majorBidi"/>
              </w:rPr>
            </w:pPr>
            <w:r w:rsidRPr="00A67F27">
              <w:rPr>
                <w:rFonts w:asciiTheme="majorBidi" w:hAnsiTheme="majorBidi" w:cstheme="majorBidi"/>
              </w:rPr>
              <w:t>Le Maître de l’Ouvrage se réserve le droit d’accepter ou d’écarter toute offre, et d’annuler la procédure d’</w:t>
            </w:r>
            <w:r w:rsidR="00E54FB0" w:rsidRPr="00A67F27">
              <w:rPr>
                <w:rFonts w:asciiTheme="majorBidi" w:hAnsiTheme="majorBidi" w:cstheme="majorBidi"/>
              </w:rPr>
              <w:t>A</w:t>
            </w:r>
            <w:r w:rsidRPr="00A67F27">
              <w:rPr>
                <w:rFonts w:asciiTheme="majorBidi" w:hAnsiTheme="majorBidi" w:cstheme="majorBidi"/>
              </w:rPr>
              <w:t>ppel d’</w:t>
            </w:r>
            <w:r w:rsidR="00E54FB0" w:rsidRPr="00A67F27">
              <w:rPr>
                <w:rFonts w:asciiTheme="majorBidi" w:hAnsiTheme="majorBidi" w:cstheme="majorBidi"/>
              </w:rPr>
              <w:t>O</w:t>
            </w:r>
            <w:r w:rsidRPr="00A67F27">
              <w:rPr>
                <w:rFonts w:asciiTheme="majorBidi" w:hAnsiTheme="majorBidi" w:cstheme="majorBidi"/>
              </w:rPr>
              <w:t xml:space="preserve">ffres et de rejeter toutes les offres à tout moment avant l’attribution du Marché, sans encourir de ce fait une responsabilité quelconque vis-à-vis des </w:t>
            </w:r>
            <w:r w:rsidR="00AF43D6" w:rsidRPr="00A67F27">
              <w:rPr>
                <w:rFonts w:asciiTheme="majorBidi" w:hAnsiTheme="majorBidi" w:cstheme="majorBidi"/>
              </w:rPr>
              <w:t>S</w:t>
            </w:r>
            <w:r w:rsidRPr="00A67F27">
              <w:rPr>
                <w:rFonts w:asciiTheme="majorBidi" w:hAnsiTheme="majorBidi" w:cstheme="majorBidi"/>
              </w:rPr>
              <w:t xml:space="preserve">oumissionnaires. En cas d’annulation, les </w:t>
            </w:r>
            <w:r w:rsidR="00E54FB0" w:rsidRPr="00A67F27">
              <w:rPr>
                <w:rFonts w:asciiTheme="majorBidi" w:hAnsiTheme="majorBidi" w:cstheme="majorBidi"/>
              </w:rPr>
              <w:t>O</w:t>
            </w:r>
            <w:r w:rsidRPr="00A67F27">
              <w:rPr>
                <w:rFonts w:asciiTheme="majorBidi" w:hAnsiTheme="majorBidi" w:cstheme="majorBidi"/>
              </w:rPr>
              <w:t xml:space="preserve">ffres et les </w:t>
            </w:r>
            <w:r w:rsidR="00E42953" w:rsidRPr="00A67F27">
              <w:rPr>
                <w:rFonts w:asciiTheme="majorBidi" w:hAnsiTheme="majorBidi" w:cstheme="majorBidi"/>
              </w:rPr>
              <w:t xml:space="preserve">garanties </w:t>
            </w:r>
            <w:r w:rsidR="009128BE" w:rsidRPr="00A67F27">
              <w:rPr>
                <w:rFonts w:asciiTheme="majorBidi" w:hAnsiTheme="majorBidi" w:cstheme="majorBidi"/>
              </w:rPr>
              <w:t>de s</w:t>
            </w:r>
            <w:r w:rsidR="00E54FB0" w:rsidRPr="00A67F27">
              <w:rPr>
                <w:rFonts w:asciiTheme="majorBidi" w:hAnsiTheme="majorBidi" w:cstheme="majorBidi"/>
              </w:rPr>
              <w:t>oumission</w:t>
            </w:r>
            <w:r w:rsidRPr="00A67F27">
              <w:rPr>
                <w:rFonts w:asciiTheme="majorBidi" w:hAnsiTheme="majorBidi" w:cstheme="majorBidi"/>
              </w:rPr>
              <w:t xml:space="preserve"> seront renvoyées sans délai aux </w:t>
            </w:r>
            <w:r w:rsidR="00E54FB0" w:rsidRPr="00A67F27">
              <w:rPr>
                <w:rFonts w:asciiTheme="majorBidi" w:hAnsiTheme="majorBidi" w:cstheme="majorBidi"/>
              </w:rPr>
              <w:t>S</w:t>
            </w:r>
            <w:r w:rsidRPr="00A67F27">
              <w:rPr>
                <w:rFonts w:asciiTheme="majorBidi" w:hAnsiTheme="majorBidi" w:cstheme="majorBidi"/>
              </w:rPr>
              <w:t>oumissionnaires.</w:t>
            </w:r>
          </w:p>
        </w:tc>
      </w:tr>
      <w:tr w:rsidR="00BF3804" w:rsidRPr="00A67F27" w14:paraId="593D9202" w14:textId="77777777" w:rsidTr="007318E7">
        <w:trPr>
          <w:trHeight w:val="20"/>
        </w:trPr>
        <w:tc>
          <w:tcPr>
            <w:tcW w:w="9630" w:type="dxa"/>
            <w:gridSpan w:val="2"/>
            <w:tcBorders>
              <w:top w:val="nil"/>
              <w:left w:val="nil"/>
              <w:bottom w:val="nil"/>
              <w:right w:val="nil"/>
            </w:tcBorders>
          </w:tcPr>
          <w:p w14:paraId="34EF3E80" w14:textId="28D5012D" w:rsidR="00BF3804" w:rsidRPr="00A67F27" w:rsidRDefault="00BF3804" w:rsidP="007318E7">
            <w:pPr>
              <w:pStyle w:val="StyleStyleS1-Header1TimesNewRoman14pt1"/>
              <w:keepNext/>
              <w:spacing w:before="0" w:after="0"/>
              <w:rPr>
                <w:lang w:val="fr-FR"/>
              </w:rPr>
            </w:pPr>
            <w:bookmarkStart w:id="372" w:name="_Toc438438863"/>
            <w:bookmarkStart w:id="373" w:name="_Toc438532657"/>
            <w:bookmarkStart w:id="374" w:name="_Toc438734007"/>
            <w:bookmarkStart w:id="375" w:name="_Toc438962089"/>
            <w:bookmarkStart w:id="376" w:name="_Toc461939621"/>
            <w:bookmarkStart w:id="377" w:name="_Toc483210612"/>
            <w:bookmarkStart w:id="378" w:name="_Toc487641811"/>
            <w:r w:rsidRPr="00A67F27">
              <w:rPr>
                <w:lang w:val="fr-FR"/>
              </w:rPr>
              <w:t xml:space="preserve">F. </w:t>
            </w:r>
            <w:r w:rsidRPr="00A67F27">
              <w:rPr>
                <w:lang w:val="fr-FR"/>
              </w:rPr>
              <w:tab/>
              <w:t>Attribution du Marché</w:t>
            </w:r>
            <w:bookmarkEnd w:id="372"/>
            <w:bookmarkEnd w:id="373"/>
            <w:bookmarkEnd w:id="374"/>
            <w:bookmarkEnd w:id="375"/>
            <w:bookmarkEnd w:id="376"/>
            <w:bookmarkEnd w:id="377"/>
            <w:bookmarkEnd w:id="378"/>
          </w:p>
        </w:tc>
      </w:tr>
      <w:tr w:rsidR="002476D3" w:rsidRPr="00A67F27" w14:paraId="3CA86650" w14:textId="77777777" w:rsidTr="007318E7">
        <w:trPr>
          <w:trHeight w:val="20"/>
        </w:trPr>
        <w:tc>
          <w:tcPr>
            <w:tcW w:w="2250" w:type="dxa"/>
            <w:tcBorders>
              <w:top w:val="nil"/>
              <w:left w:val="nil"/>
              <w:bottom w:val="nil"/>
              <w:right w:val="nil"/>
            </w:tcBorders>
          </w:tcPr>
          <w:p w14:paraId="2A174AF1" w14:textId="72B2896D" w:rsidR="002476D3" w:rsidRPr="00A67F27" w:rsidRDefault="006601AB" w:rsidP="007318E7">
            <w:pPr>
              <w:pStyle w:val="S1-Header2"/>
              <w:numPr>
                <w:ilvl w:val="0"/>
                <w:numId w:val="0"/>
              </w:numPr>
              <w:tabs>
                <w:tab w:val="num" w:pos="432"/>
              </w:tabs>
              <w:spacing w:after="0"/>
              <w:ind w:left="432" w:hanging="432"/>
              <w:rPr>
                <w:lang w:val="fr-FR"/>
              </w:rPr>
            </w:pPr>
            <w:bookmarkStart w:id="379" w:name="_Toc438438864"/>
            <w:bookmarkStart w:id="380" w:name="_Toc438532658"/>
            <w:bookmarkStart w:id="381" w:name="_Toc438734008"/>
            <w:bookmarkStart w:id="382" w:name="_Toc438907044"/>
            <w:bookmarkStart w:id="383" w:name="_Toc438907243"/>
            <w:bookmarkStart w:id="384" w:name="_Toc156373322"/>
            <w:bookmarkStart w:id="385" w:name="_Toc483210613"/>
            <w:bookmarkStart w:id="386" w:name="_Toc487641812"/>
            <w:r w:rsidRPr="00A67F27">
              <w:rPr>
                <w:lang w:val="fr-FR"/>
              </w:rPr>
              <w:t>39</w:t>
            </w:r>
            <w:r w:rsidR="00D85FEF" w:rsidRPr="00A67F27">
              <w:rPr>
                <w:lang w:val="fr-FR"/>
              </w:rPr>
              <w:t>.</w:t>
            </w:r>
            <w:r w:rsidR="002476D3" w:rsidRPr="00A67F27">
              <w:rPr>
                <w:lang w:val="fr-FR"/>
              </w:rPr>
              <w:tab/>
              <w:t>Critères d’attribution</w:t>
            </w:r>
            <w:bookmarkEnd w:id="379"/>
            <w:bookmarkEnd w:id="380"/>
            <w:bookmarkEnd w:id="381"/>
            <w:bookmarkEnd w:id="382"/>
            <w:bookmarkEnd w:id="383"/>
            <w:bookmarkEnd w:id="384"/>
            <w:bookmarkEnd w:id="385"/>
            <w:bookmarkEnd w:id="386"/>
          </w:p>
        </w:tc>
        <w:tc>
          <w:tcPr>
            <w:tcW w:w="7380" w:type="dxa"/>
            <w:tcBorders>
              <w:top w:val="nil"/>
              <w:left w:val="nil"/>
              <w:bottom w:val="nil"/>
              <w:right w:val="nil"/>
            </w:tcBorders>
          </w:tcPr>
          <w:p w14:paraId="61956DF6" w14:textId="6057EAA7" w:rsidR="00F856B6" w:rsidRPr="00A67F27" w:rsidRDefault="002476D3" w:rsidP="002A45C1">
            <w:pPr>
              <w:pStyle w:val="Paragraphedeliste"/>
              <w:numPr>
                <w:ilvl w:val="1"/>
                <w:numId w:val="67"/>
              </w:numPr>
              <w:spacing w:after="0"/>
              <w:ind w:left="568" w:hanging="568"/>
              <w:rPr>
                <w:rFonts w:asciiTheme="majorBidi" w:hAnsiTheme="majorBidi" w:cstheme="majorBidi"/>
                <w:i/>
                <w:sz w:val="22"/>
              </w:rPr>
            </w:pPr>
            <w:r w:rsidRPr="00A67F27">
              <w:rPr>
                <w:rFonts w:asciiTheme="majorBidi" w:hAnsiTheme="majorBidi" w:cstheme="majorBidi"/>
              </w:rPr>
              <w:t xml:space="preserve">Sous réserve des dispositions de l’article </w:t>
            </w:r>
            <w:r w:rsidR="007A0D08" w:rsidRPr="00A67F27">
              <w:rPr>
                <w:rFonts w:asciiTheme="majorBidi" w:hAnsiTheme="majorBidi" w:cstheme="majorBidi"/>
              </w:rPr>
              <w:t>41</w:t>
            </w:r>
            <w:r w:rsidRPr="00A67F27">
              <w:rPr>
                <w:rFonts w:asciiTheme="majorBidi" w:hAnsiTheme="majorBidi" w:cstheme="majorBidi"/>
              </w:rPr>
              <w:t>.1 des IS, le Maître de l’Ouvrage attribuera le Marché au Soumissionnaire dont l’</w:t>
            </w:r>
            <w:r w:rsidR="00E54FB0" w:rsidRPr="00A67F27">
              <w:rPr>
                <w:rFonts w:asciiTheme="majorBidi" w:hAnsiTheme="majorBidi" w:cstheme="majorBidi"/>
              </w:rPr>
              <w:t>O</w:t>
            </w:r>
            <w:r w:rsidRPr="00A67F27">
              <w:rPr>
                <w:rFonts w:asciiTheme="majorBidi" w:hAnsiTheme="majorBidi" w:cstheme="majorBidi"/>
              </w:rPr>
              <w:t xml:space="preserve">ffre aura été évaluée la </w:t>
            </w:r>
            <w:r w:rsidR="00560814" w:rsidRPr="00A67F27">
              <w:rPr>
                <w:rFonts w:asciiTheme="majorBidi" w:hAnsiTheme="majorBidi" w:cstheme="majorBidi"/>
              </w:rPr>
              <w:t xml:space="preserve">moins </w:t>
            </w:r>
            <w:proofErr w:type="spellStart"/>
            <w:r w:rsidR="00560814" w:rsidRPr="00A67F27">
              <w:rPr>
                <w:rFonts w:asciiTheme="majorBidi" w:hAnsiTheme="majorBidi" w:cstheme="majorBidi"/>
              </w:rPr>
              <w:t>disante</w:t>
            </w:r>
            <w:proofErr w:type="spellEnd"/>
            <w:r w:rsidR="0070744E" w:rsidRPr="00A67F27">
              <w:rPr>
                <w:rFonts w:asciiTheme="majorBidi" w:hAnsiTheme="majorBidi" w:cstheme="majorBidi"/>
              </w:rPr>
              <w:t xml:space="preserve"> </w:t>
            </w:r>
            <w:r w:rsidR="006601AB" w:rsidRPr="00A67F27">
              <w:rPr>
                <w:rFonts w:asciiTheme="majorBidi" w:hAnsiTheme="majorBidi" w:cstheme="majorBidi"/>
              </w:rPr>
              <w:t>et jugée conforme pour l’essentiel aux dispositions du Dossier d’Appel d’Offres, à condition que le Soumissionnaire soit en outre jugé qualifié pour exécuter le Marché de façon satisfaisante.</w:t>
            </w:r>
          </w:p>
        </w:tc>
      </w:tr>
      <w:tr w:rsidR="002476D3" w:rsidRPr="00A67F27" w14:paraId="2DAE1F57" w14:textId="77777777" w:rsidTr="007318E7">
        <w:trPr>
          <w:trHeight w:val="20"/>
        </w:trPr>
        <w:tc>
          <w:tcPr>
            <w:tcW w:w="2250" w:type="dxa"/>
            <w:tcBorders>
              <w:top w:val="nil"/>
              <w:left w:val="nil"/>
              <w:bottom w:val="nil"/>
              <w:right w:val="nil"/>
            </w:tcBorders>
          </w:tcPr>
          <w:p w14:paraId="2369CCC7" w14:textId="2BC50045" w:rsidR="002476D3" w:rsidRPr="00A67F27" w:rsidRDefault="004F138D" w:rsidP="007318E7">
            <w:pPr>
              <w:pStyle w:val="S1-Header2"/>
              <w:numPr>
                <w:ilvl w:val="0"/>
                <w:numId w:val="0"/>
              </w:numPr>
              <w:tabs>
                <w:tab w:val="num" w:pos="432"/>
              </w:tabs>
              <w:spacing w:after="0"/>
              <w:ind w:left="432" w:hanging="432"/>
              <w:rPr>
                <w:lang w:val="fr-FR"/>
              </w:rPr>
            </w:pPr>
            <w:bookmarkStart w:id="387" w:name="_Toc438438866"/>
            <w:bookmarkStart w:id="388" w:name="_Toc438532660"/>
            <w:bookmarkStart w:id="389" w:name="_Toc438734010"/>
            <w:bookmarkStart w:id="390" w:name="_Toc438907046"/>
            <w:bookmarkStart w:id="391" w:name="_Toc438907245"/>
            <w:bookmarkStart w:id="392" w:name="_Toc156373323"/>
            <w:bookmarkStart w:id="393" w:name="_Toc483210614"/>
            <w:bookmarkStart w:id="394" w:name="_Toc487641813"/>
            <w:r w:rsidRPr="00A67F27">
              <w:rPr>
                <w:lang w:val="fr-FR"/>
              </w:rPr>
              <w:t>4</w:t>
            </w:r>
            <w:r w:rsidR="006601AB" w:rsidRPr="00A67F27">
              <w:rPr>
                <w:lang w:val="fr-FR"/>
              </w:rPr>
              <w:t>0</w:t>
            </w:r>
            <w:r w:rsidR="002476D3" w:rsidRPr="00A67F27">
              <w:rPr>
                <w:lang w:val="fr-FR"/>
              </w:rPr>
              <w:t>.</w:t>
            </w:r>
            <w:r w:rsidR="002476D3" w:rsidRPr="00A67F27">
              <w:rPr>
                <w:lang w:val="fr-FR"/>
              </w:rPr>
              <w:tab/>
              <w:t>Notification de l’attribution du Marché</w:t>
            </w:r>
            <w:bookmarkEnd w:id="387"/>
            <w:bookmarkEnd w:id="388"/>
            <w:bookmarkEnd w:id="389"/>
            <w:bookmarkEnd w:id="390"/>
            <w:bookmarkEnd w:id="391"/>
            <w:bookmarkEnd w:id="392"/>
            <w:bookmarkEnd w:id="393"/>
            <w:bookmarkEnd w:id="394"/>
          </w:p>
        </w:tc>
        <w:tc>
          <w:tcPr>
            <w:tcW w:w="7380" w:type="dxa"/>
            <w:tcBorders>
              <w:top w:val="nil"/>
              <w:left w:val="nil"/>
              <w:bottom w:val="nil"/>
              <w:right w:val="nil"/>
            </w:tcBorders>
          </w:tcPr>
          <w:p w14:paraId="54E10301" w14:textId="24A66F6C" w:rsidR="009758EF" w:rsidRPr="00A67F27" w:rsidRDefault="009758EF" w:rsidP="007318E7">
            <w:pPr>
              <w:pStyle w:val="Paragraphedeliste"/>
              <w:tabs>
                <w:tab w:val="left" w:pos="576"/>
                <w:tab w:val="left" w:pos="1152"/>
              </w:tabs>
              <w:spacing w:after="0"/>
              <w:ind w:left="610" w:hanging="588"/>
              <w:rPr>
                <w:rFonts w:asciiTheme="majorBidi" w:hAnsiTheme="majorBidi" w:cstheme="majorBidi"/>
              </w:rPr>
            </w:pPr>
            <w:r w:rsidRPr="00A67F27">
              <w:rPr>
                <w:rFonts w:asciiTheme="majorBidi" w:hAnsiTheme="majorBidi" w:cstheme="majorBidi"/>
              </w:rPr>
              <w:t>40.1</w:t>
            </w:r>
            <w:r w:rsidRPr="00A67F27">
              <w:rPr>
                <w:rFonts w:asciiTheme="majorBidi" w:hAnsiTheme="majorBidi" w:cstheme="majorBidi"/>
              </w:rPr>
              <w:tab/>
            </w:r>
            <w:r w:rsidR="002476D3" w:rsidRPr="00A67F27">
              <w:rPr>
                <w:rFonts w:asciiTheme="majorBidi" w:hAnsiTheme="majorBidi" w:cstheme="majorBidi"/>
              </w:rPr>
              <w:t xml:space="preserve">Avant l’expiration du </w:t>
            </w:r>
            <w:r w:rsidR="00367914" w:rsidRPr="00A67F27">
              <w:rPr>
                <w:rFonts w:asciiTheme="majorBidi" w:hAnsiTheme="majorBidi" w:cstheme="majorBidi"/>
              </w:rPr>
              <w:t>D</w:t>
            </w:r>
            <w:r w:rsidR="002476D3" w:rsidRPr="00A67F27">
              <w:rPr>
                <w:rFonts w:asciiTheme="majorBidi" w:hAnsiTheme="majorBidi" w:cstheme="majorBidi"/>
              </w:rPr>
              <w:t>élai de validité des offres</w:t>
            </w:r>
            <w:r w:rsidR="00E42953" w:rsidRPr="00A67F27">
              <w:rPr>
                <w:rFonts w:asciiTheme="majorBidi" w:hAnsiTheme="majorBidi" w:cstheme="majorBidi"/>
              </w:rPr>
              <w:t>, le Maître de l’Ouvrage adressera au Soumissionnaire retenu, la lettre de notification de l’attribution</w:t>
            </w:r>
            <w:r w:rsidR="002476D3" w:rsidRPr="00A67F27">
              <w:rPr>
                <w:rFonts w:asciiTheme="majorBidi" w:hAnsiTheme="majorBidi" w:cstheme="majorBidi"/>
              </w:rPr>
              <w:t xml:space="preserve">. </w:t>
            </w:r>
            <w:r w:rsidRPr="00A67F27">
              <w:rPr>
                <w:rFonts w:asciiTheme="majorBidi" w:hAnsiTheme="majorBidi" w:cstheme="majorBidi"/>
              </w:rPr>
              <w:t xml:space="preserve">Le Maître de l’Ouvrage notifiera simultanément aux autres Soumissionnaires du résultat de l’Appel d’offres et publiera dans </w:t>
            </w:r>
            <w:r w:rsidRPr="00A67F27">
              <w:rPr>
                <w:rFonts w:asciiTheme="majorBidi" w:hAnsiTheme="majorBidi" w:cstheme="majorBidi"/>
                <w:i/>
              </w:rPr>
              <w:t xml:space="preserve">UNDB en ligne </w:t>
            </w:r>
            <w:r w:rsidRPr="00A67F27">
              <w:rPr>
                <w:rFonts w:asciiTheme="majorBidi" w:hAnsiTheme="majorBidi" w:cstheme="majorBidi"/>
              </w:rPr>
              <w:t>ce résultat, en identifiant l’Appel d’offres et le numéro des lots, et en fournissant les informations suivantes</w:t>
            </w:r>
            <w:r w:rsidR="009B2302" w:rsidRPr="00A67F27">
              <w:rPr>
                <w:rFonts w:asciiTheme="majorBidi" w:hAnsiTheme="majorBidi" w:cstheme="majorBidi"/>
              </w:rPr>
              <w:t xml:space="preserve"> : </w:t>
            </w:r>
          </w:p>
          <w:p w14:paraId="6E649710" w14:textId="77777777" w:rsidR="00153088" w:rsidRPr="00A67F27" w:rsidRDefault="00153088" w:rsidP="007318E7">
            <w:pPr>
              <w:pStyle w:val="Paragraphedeliste"/>
              <w:tabs>
                <w:tab w:val="left" w:pos="576"/>
                <w:tab w:val="left" w:pos="1152"/>
              </w:tabs>
              <w:spacing w:after="0"/>
              <w:ind w:left="610" w:hanging="588"/>
              <w:rPr>
                <w:rFonts w:asciiTheme="majorBidi" w:hAnsiTheme="majorBidi" w:cstheme="majorBidi"/>
              </w:rPr>
            </w:pPr>
          </w:p>
          <w:p w14:paraId="317F01A6" w14:textId="61752AF3" w:rsidR="00153088" w:rsidRPr="00A67F27" w:rsidRDefault="00107599" w:rsidP="002A45C1">
            <w:pPr>
              <w:pStyle w:val="Paragraphedeliste"/>
              <w:numPr>
                <w:ilvl w:val="0"/>
                <w:numId w:val="76"/>
              </w:numPr>
              <w:tabs>
                <w:tab w:val="left" w:pos="1224"/>
              </w:tabs>
              <w:suppressAutoHyphens/>
              <w:spacing w:after="0"/>
              <w:ind w:hanging="675"/>
              <w:rPr>
                <w:szCs w:val="24"/>
              </w:rPr>
            </w:pPr>
            <w:r w:rsidRPr="00A67F27">
              <w:rPr>
                <w:szCs w:val="24"/>
              </w:rPr>
              <w:t>Le</w:t>
            </w:r>
            <w:r w:rsidR="00153088" w:rsidRPr="00A67F27">
              <w:rPr>
                <w:szCs w:val="24"/>
              </w:rPr>
              <w:t xml:space="preserve"> nom de tous les Soumiss</w:t>
            </w:r>
            <w:r w:rsidR="00240B6A" w:rsidRPr="00A67F27">
              <w:rPr>
                <w:szCs w:val="24"/>
              </w:rPr>
              <w:t>ionnaires ayant remis une offre ;</w:t>
            </w:r>
          </w:p>
          <w:p w14:paraId="1ACE7200" w14:textId="14A21604" w:rsidR="00240B6A" w:rsidRPr="00A67F27" w:rsidRDefault="00107599" w:rsidP="002A45C1">
            <w:pPr>
              <w:pStyle w:val="Paragraphedeliste"/>
              <w:numPr>
                <w:ilvl w:val="0"/>
                <w:numId w:val="76"/>
              </w:numPr>
              <w:tabs>
                <w:tab w:val="left" w:pos="1224"/>
              </w:tabs>
              <w:suppressAutoHyphens/>
              <w:spacing w:after="0"/>
              <w:ind w:hanging="675"/>
              <w:rPr>
                <w:szCs w:val="24"/>
              </w:rPr>
            </w:pPr>
            <w:r w:rsidRPr="00A67F27">
              <w:rPr>
                <w:szCs w:val="24"/>
              </w:rPr>
              <w:t>Les</w:t>
            </w:r>
            <w:r w:rsidR="00240B6A" w:rsidRPr="00A67F27">
              <w:rPr>
                <w:szCs w:val="24"/>
              </w:rPr>
              <w:t xml:space="preserve"> montants des offres lus à l’ouverture des offres ; </w:t>
            </w:r>
            <w:r w:rsidR="00153088" w:rsidRPr="00A67F27">
              <w:rPr>
                <w:szCs w:val="24"/>
              </w:rPr>
              <w:t xml:space="preserve"> </w:t>
            </w:r>
          </w:p>
          <w:p w14:paraId="57728D44" w14:textId="3A7D46BC" w:rsidR="00240B6A" w:rsidRPr="00A67F27" w:rsidRDefault="00107599" w:rsidP="002A45C1">
            <w:pPr>
              <w:pStyle w:val="Paragraphedeliste"/>
              <w:numPr>
                <w:ilvl w:val="0"/>
                <w:numId w:val="76"/>
              </w:numPr>
              <w:tabs>
                <w:tab w:val="left" w:pos="1224"/>
              </w:tabs>
              <w:suppressAutoHyphens/>
              <w:spacing w:after="0"/>
              <w:ind w:hanging="675"/>
              <w:rPr>
                <w:szCs w:val="24"/>
              </w:rPr>
            </w:pPr>
            <w:r w:rsidRPr="00A67F27">
              <w:rPr>
                <w:szCs w:val="24"/>
              </w:rPr>
              <w:t>Le</w:t>
            </w:r>
            <w:r w:rsidR="00240B6A" w:rsidRPr="00A67F27">
              <w:rPr>
                <w:szCs w:val="24"/>
              </w:rPr>
              <w:t xml:space="preserve"> nom et les prix évalués de chaque offre qui ont été évaluées ;</w:t>
            </w:r>
          </w:p>
          <w:p w14:paraId="433E6481" w14:textId="1953FBF9" w:rsidR="00240B6A" w:rsidRPr="00A67F27" w:rsidRDefault="00107599" w:rsidP="002A45C1">
            <w:pPr>
              <w:pStyle w:val="Paragraphedeliste"/>
              <w:numPr>
                <w:ilvl w:val="0"/>
                <w:numId w:val="76"/>
              </w:numPr>
              <w:tabs>
                <w:tab w:val="left" w:pos="1224"/>
              </w:tabs>
              <w:suppressAutoHyphens/>
              <w:spacing w:after="0"/>
              <w:ind w:hanging="675"/>
              <w:rPr>
                <w:szCs w:val="24"/>
              </w:rPr>
            </w:pPr>
            <w:r w:rsidRPr="00A67F27">
              <w:rPr>
                <w:szCs w:val="24"/>
              </w:rPr>
              <w:t>Le</w:t>
            </w:r>
            <w:r w:rsidR="00240B6A" w:rsidRPr="00A67F27">
              <w:rPr>
                <w:szCs w:val="24"/>
              </w:rPr>
              <w:t xml:space="preserve"> nom des soumissionnaires dont les offres n’ont pas été retenues et les raisons pour leur rejet ; et </w:t>
            </w:r>
          </w:p>
          <w:p w14:paraId="1E00BD53" w14:textId="243793AA" w:rsidR="00240B6A" w:rsidRPr="00A67F27" w:rsidRDefault="00107599" w:rsidP="002A45C1">
            <w:pPr>
              <w:pStyle w:val="Paragraphedeliste"/>
              <w:numPr>
                <w:ilvl w:val="0"/>
                <w:numId w:val="76"/>
              </w:numPr>
              <w:tabs>
                <w:tab w:val="left" w:pos="1224"/>
              </w:tabs>
              <w:suppressAutoHyphens/>
              <w:spacing w:after="0"/>
              <w:ind w:hanging="675"/>
              <w:rPr>
                <w:spacing w:val="-4"/>
                <w:szCs w:val="24"/>
                <w:lang w:eastAsia="en-US"/>
              </w:rPr>
            </w:pPr>
            <w:r w:rsidRPr="00A67F27">
              <w:rPr>
                <w:szCs w:val="24"/>
              </w:rPr>
              <w:t>Le</w:t>
            </w:r>
            <w:r w:rsidR="00153088" w:rsidRPr="00A67F27">
              <w:rPr>
                <w:szCs w:val="24"/>
              </w:rPr>
              <w:t xml:space="preserve"> nom du Soumissionnaire dont l’offre est </w:t>
            </w:r>
            <w:r w:rsidRPr="00A67F27">
              <w:rPr>
                <w:szCs w:val="24"/>
              </w:rPr>
              <w:t>retenue,</w:t>
            </w:r>
            <w:r w:rsidR="00240B6A" w:rsidRPr="00A67F27">
              <w:rPr>
                <w:szCs w:val="24"/>
              </w:rPr>
              <w:t xml:space="preserve"> et le montant de l’offre, ainsi que le délai d’exécution du marché.</w:t>
            </w:r>
          </w:p>
          <w:p w14:paraId="7410A18D" w14:textId="77777777" w:rsidR="00240B6A" w:rsidRPr="00A67F27" w:rsidRDefault="00240B6A" w:rsidP="007318E7">
            <w:pPr>
              <w:pStyle w:val="Paragraphedeliste"/>
              <w:tabs>
                <w:tab w:val="left" w:pos="1152"/>
              </w:tabs>
              <w:spacing w:after="0"/>
              <w:ind w:left="576" w:hanging="526"/>
              <w:contextualSpacing w:val="0"/>
              <w:rPr>
                <w:rFonts w:asciiTheme="majorBidi" w:hAnsiTheme="majorBidi" w:cstheme="majorBidi"/>
              </w:rPr>
            </w:pPr>
          </w:p>
          <w:p w14:paraId="02DD38E1" w14:textId="77777777" w:rsidR="00AD0F2F" w:rsidRPr="00A67F27" w:rsidRDefault="009758EF" w:rsidP="007318E7">
            <w:pPr>
              <w:pStyle w:val="Paragraphedeliste"/>
              <w:tabs>
                <w:tab w:val="left" w:pos="1152"/>
              </w:tabs>
              <w:spacing w:after="0"/>
              <w:ind w:left="576" w:hanging="526"/>
              <w:contextualSpacing w:val="0"/>
              <w:rPr>
                <w:rFonts w:asciiTheme="majorBidi" w:hAnsiTheme="majorBidi" w:cstheme="majorBidi"/>
              </w:rPr>
            </w:pPr>
            <w:r w:rsidRPr="00A67F27">
              <w:rPr>
                <w:rFonts w:asciiTheme="majorBidi" w:hAnsiTheme="majorBidi" w:cstheme="majorBidi"/>
              </w:rPr>
              <w:t>40.2</w:t>
            </w:r>
            <w:r w:rsidR="00AD0F2F" w:rsidRPr="00A67F27">
              <w:rPr>
                <w:rFonts w:asciiTheme="majorBidi" w:hAnsiTheme="majorBidi" w:cstheme="majorBidi"/>
              </w:rPr>
              <w:tab/>
            </w:r>
            <w:r w:rsidR="002476D3" w:rsidRPr="00A67F27">
              <w:rPr>
                <w:rFonts w:asciiTheme="majorBidi" w:hAnsiTheme="majorBidi" w:cstheme="majorBidi"/>
              </w:rPr>
              <w:t>Jusqu’à la</w:t>
            </w:r>
            <w:r w:rsidR="00367914" w:rsidRPr="00A67F27">
              <w:rPr>
                <w:rFonts w:asciiTheme="majorBidi" w:hAnsiTheme="majorBidi" w:cstheme="majorBidi"/>
              </w:rPr>
              <w:t xml:space="preserve"> rédaction et l’approbation </w:t>
            </w:r>
            <w:r w:rsidR="005C4A65" w:rsidRPr="00A67F27">
              <w:rPr>
                <w:rFonts w:asciiTheme="majorBidi" w:hAnsiTheme="majorBidi" w:cstheme="majorBidi"/>
              </w:rPr>
              <w:t>d</w:t>
            </w:r>
            <w:r w:rsidR="00367914" w:rsidRPr="00A67F27">
              <w:rPr>
                <w:rFonts w:asciiTheme="majorBidi" w:hAnsiTheme="majorBidi" w:cstheme="majorBidi"/>
              </w:rPr>
              <w:t>u M</w:t>
            </w:r>
            <w:r w:rsidR="002476D3" w:rsidRPr="00A67F27">
              <w:rPr>
                <w:rFonts w:asciiTheme="majorBidi" w:hAnsiTheme="majorBidi" w:cstheme="majorBidi"/>
              </w:rPr>
              <w:t xml:space="preserve">arché, la </w:t>
            </w:r>
            <w:r w:rsidR="00367914" w:rsidRPr="00A67F27">
              <w:rPr>
                <w:rFonts w:asciiTheme="majorBidi" w:hAnsiTheme="majorBidi" w:cstheme="majorBidi"/>
              </w:rPr>
              <w:t>N</w:t>
            </w:r>
            <w:r w:rsidR="002476D3" w:rsidRPr="00A67F27">
              <w:rPr>
                <w:rFonts w:asciiTheme="majorBidi" w:hAnsiTheme="majorBidi" w:cstheme="majorBidi"/>
              </w:rPr>
              <w:t xml:space="preserve">otification d’attribution constituera l’engagement réciproque </w:t>
            </w:r>
            <w:r w:rsidR="00367914" w:rsidRPr="00A67F27">
              <w:rPr>
                <w:rFonts w:asciiTheme="majorBidi" w:hAnsiTheme="majorBidi" w:cstheme="majorBidi"/>
              </w:rPr>
              <w:t>du Maître de l’Ouvrage et de l’A</w:t>
            </w:r>
            <w:r w:rsidR="002476D3" w:rsidRPr="00A67F27">
              <w:rPr>
                <w:rFonts w:asciiTheme="majorBidi" w:hAnsiTheme="majorBidi" w:cstheme="majorBidi"/>
              </w:rPr>
              <w:t>ttributaire.</w:t>
            </w:r>
          </w:p>
          <w:p w14:paraId="22EE5E8D" w14:textId="1432513D" w:rsidR="00AE327B" w:rsidRPr="00A67F27" w:rsidRDefault="00AE327B" w:rsidP="007318E7">
            <w:pPr>
              <w:pStyle w:val="Paragraphedeliste"/>
              <w:tabs>
                <w:tab w:val="left" w:pos="1152"/>
              </w:tabs>
              <w:spacing w:after="0"/>
              <w:ind w:left="576" w:hanging="526"/>
              <w:contextualSpacing w:val="0"/>
              <w:rPr>
                <w:rFonts w:asciiTheme="majorBidi" w:hAnsiTheme="majorBidi" w:cstheme="majorBidi"/>
              </w:rPr>
            </w:pPr>
            <w:r w:rsidRPr="00A67F27">
              <w:rPr>
                <w:rFonts w:asciiTheme="majorBidi" w:hAnsiTheme="majorBidi" w:cstheme="majorBidi"/>
              </w:rPr>
              <w:t>40.3</w:t>
            </w:r>
            <w:r w:rsidRPr="00A67F27">
              <w:rPr>
                <w:rFonts w:asciiTheme="majorBidi" w:hAnsiTheme="majorBidi" w:cstheme="majorBidi"/>
              </w:rPr>
              <w:tab/>
            </w:r>
            <w:r w:rsidR="00240B6A" w:rsidRPr="00A67F27">
              <w:rPr>
                <w:rFonts w:asciiTheme="majorBidi" w:hAnsiTheme="majorBidi" w:cstheme="majorBidi"/>
              </w:rPr>
              <w:t>Le Maître d’Ouvrage répondra rapidement par écrit à tout soumissionnaire non retenu qui, après la notification de l’attribution, selon des dispositions de l’article 40.1 des IS, demande par écrit les raisons pour lesquelles son offre n’a pas été retenue.</w:t>
            </w:r>
          </w:p>
        </w:tc>
      </w:tr>
      <w:tr w:rsidR="002476D3" w:rsidRPr="00A67F27" w14:paraId="2D98545C" w14:textId="77777777" w:rsidTr="007318E7">
        <w:trPr>
          <w:trHeight w:val="20"/>
        </w:trPr>
        <w:tc>
          <w:tcPr>
            <w:tcW w:w="2250" w:type="dxa"/>
            <w:tcBorders>
              <w:top w:val="nil"/>
              <w:left w:val="nil"/>
              <w:bottom w:val="nil"/>
              <w:right w:val="nil"/>
            </w:tcBorders>
          </w:tcPr>
          <w:p w14:paraId="0ECE62D3" w14:textId="0EA8F29D" w:rsidR="002476D3" w:rsidRPr="00A67F27" w:rsidRDefault="004F67E3" w:rsidP="007318E7">
            <w:pPr>
              <w:pStyle w:val="S1-Header2"/>
              <w:numPr>
                <w:ilvl w:val="0"/>
                <w:numId w:val="0"/>
              </w:numPr>
              <w:tabs>
                <w:tab w:val="num" w:pos="432"/>
              </w:tabs>
              <w:spacing w:after="0"/>
              <w:ind w:left="432" w:hanging="432"/>
              <w:rPr>
                <w:lang w:val="fr-FR"/>
              </w:rPr>
            </w:pPr>
            <w:bookmarkStart w:id="395" w:name="_Toc438438867"/>
            <w:bookmarkStart w:id="396" w:name="_Toc438532661"/>
            <w:bookmarkStart w:id="397" w:name="_Toc438734011"/>
            <w:bookmarkStart w:id="398" w:name="_Toc438907047"/>
            <w:bookmarkStart w:id="399" w:name="_Toc438907246"/>
            <w:bookmarkStart w:id="400" w:name="_Toc156373324"/>
            <w:bookmarkStart w:id="401" w:name="_Toc483210615"/>
            <w:bookmarkStart w:id="402" w:name="_Toc487641814"/>
            <w:r w:rsidRPr="00A67F27">
              <w:rPr>
                <w:lang w:val="fr-FR"/>
              </w:rPr>
              <w:lastRenderedPageBreak/>
              <w:t>4</w:t>
            </w:r>
            <w:r w:rsidR="009758EF" w:rsidRPr="00A67F27">
              <w:rPr>
                <w:lang w:val="fr-FR"/>
              </w:rPr>
              <w:t>1</w:t>
            </w:r>
            <w:r w:rsidRPr="00A67F27">
              <w:rPr>
                <w:lang w:val="fr-FR"/>
              </w:rPr>
              <w:t>.</w:t>
            </w:r>
            <w:r w:rsidR="002476D3" w:rsidRPr="00A67F27">
              <w:rPr>
                <w:lang w:val="fr-FR"/>
              </w:rPr>
              <w:tab/>
              <w:t>Signature du Marché</w:t>
            </w:r>
            <w:bookmarkEnd w:id="395"/>
            <w:bookmarkEnd w:id="396"/>
            <w:bookmarkEnd w:id="397"/>
            <w:bookmarkEnd w:id="398"/>
            <w:bookmarkEnd w:id="399"/>
            <w:bookmarkEnd w:id="400"/>
            <w:bookmarkEnd w:id="401"/>
            <w:bookmarkEnd w:id="402"/>
          </w:p>
        </w:tc>
        <w:tc>
          <w:tcPr>
            <w:tcW w:w="7380" w:type="dxa"/>
            <w:tcBorders>
              <w:top w:val="nil"/>
              <w:left w:val="nil"/>
              <w:bottom w:val="nil"/>
              <w:right w:val="nil"/>
            </w:tcBorders>
          </w:tcPr>
          <w:p w14:paraId="1EB20468" w14:textId="6B91285F" w:rsidR="00F856B6" w:rsidRPr="00A67F27" w:rsidRDefault="009758EF" w:rsidP="002A45C1">
            <w:pPr>
              <w:pStyle w:val="Paragraphedeliste"/>
              <w:numPr>
                <w:ilvl w:val="1"/>
                <w:numId w:val="68"/>
              </w:numPr>
              <w:tabs>
                <w:tab w:val="left" w:pos="576"/>
                <w:tab w:val="left" w:pos="1152"/>
              </w:tabs>
              <w:spacing w:after="0"/>
              <w:ind w:left="584" w:hanging="584"/>
              <w:contextualSpacing w:val="0"/>
              <w:rPr>
                <w:rFonts w:asciiTheme="majorBidi" w:hAnsiTheme="majorBidi" w:cstheme="majorBidi"/>
              </w:rPr>
            </w:pPr>
            <w:r w:rsidRPr="00A67F27">
              <w:rPr>
                <w:rFonts w:asciiTheme="majorBidi" w:hAnsiTheme="majorBidi" w:cstheme="majorBidi"/>
              </w:rPr>
              <w:tab/>
            </w:r>
            <w:r w:rsidR="002476D3" w:rsidRPr="00A67F27">
              <w:rPr>
                <w:rFonts w:asciiTheme="majorBidi" w:hAnsiTheme="majorBidi" w:cstheme="majorBidi"/>
              </w:rPr>
              <w:t xml:space="preserve">Dans les meilleurs délais suivant la </w:t>
            </w:r>
            <w:r w:rsidR="00A63BB3" w:rsidRPr="00A67F27">
              <w:rPr>
                <w:rFonts w:asciiTheme="majorBidi" w:hAnsiTheme="majorBidi" w:cstheme="majorBidi"/>
              </w:rPr>
              <w:t xml:space="preserve">notification </w:t>
            </w:r>
            <w:r w:rsidR="002476D3" w:rsidRPr="00A67F27">
              <w:rPr>
                <w:rFonts w:asciiTheme="majorBidi" w:hAnsiTheme="majorBidi" w:cstheme="majorBidi"/>
              </w:rPr>
              <w:t>d</w:t>
            </w:r>
            <w:r w:rsidR="00A63BB3" w:rsidRPr="00A67F27">
              <w:rPr>
                <w:rFonts w:asciiTheme="majorBidi" w:hAnsiTheme="majorBidi" w:cstheme="majorBidi"/>
              </w:rPr>
              <w:t>e l</w:t>
            </w:r>
            <w:r w:rsidR="002476D3" w:rsidRPr="00A67F27">
              <w:rPr>
                <w:rFonts w:asciiTheme="majorBidi" w:hAnsiTheme="majorBidi" w:cstheme="majorBidi"/>
              </w:rPr>
              <w:t>’attribution, le Maître de l’Ouvrage enverra au Soumissionnaire retenu l’Acte d’Engagement.</w:t>
            </w:r>
          </w:p>
          <w:p w14:paraId="2E5FD5C3" w14:textId="41BB2D4C" w:rsidR="00F856B6" w:rsidRPr="00A67F27" w:rsidRDefault="009758EF" w:rsidP="002A45C1">
            <w:pPr>
              <w:pStyle w:val="Paragraphedeliste"/>
              <w:numPr>
                <w:ilvl w:val="1"/>
                <w:numId w:val="68"/>
              </w:numPr>
              <w:tabs>
                <w:tab w:val="left" w:pos="576"/>
                <w:tab w:val="left" w:pos="1152"/>
              </w:tabs>
              <w:spacing w:after="0"/>
              <w:ind w:left="584" w:hanging="584"/>
              <w:contextualSpacing w:val="0"/>
              <w:rPr>
                <w:rFonts w:asciiTheme="majorBidi" w:hAnsiTheme="majorBidi" w:cstheme="majorBidi"/>
              </w:rPr>
            </w:pPr>
            <w:r w:rsidRPr="00A67F27">
              <w:rPr>
                <w:rFonts w:asciiTheme="majorBidi" w:hAnsiTheme="majorBidi" w:cstheme="majorBidi"/>
              </w:rPr>
              <w:tab/>
            </w:r>
            <w:r w:rsidR="002476D3" w:rsidRPr="00A67F27">
              <w:rPr>
                <w:rFonts w:asciiTheme="majorBidi" w:hAnsiTheme="majorBidi" w:cstheme="majorBidi"/>
              </w:rPr>
              <w:t>Dans les vingt-huit (28) jours suivant la réception de l’Acte d’Engagement, le Soumissionnaire retenu le renverra au Maître de l’Ouvrage</w:t>
            </w:r>
            <w:r w:rsidR="00A07445" w:rsidRPr="00A67F27">
              <w:rPr>
                <w:rFonts w:asciiTheme="majorBidi" w:hAnsiTheme="majorBidi" w:cstheme="majorBidi"/>
              </w:rPr>
              <w:t xml:space="preserve"> après l’avoir daté et signé</w:t>
            </w:r>
            <w:r w:rsidR="002476D3" w:rsidRPr="00A67F27">
              <w:rPr>
                <w:rFonts w:asciiTheme="majorBidi" w:hAnsiTheme="majorBidi" w:cstheme="majorBidi"/>
              </w:rPr>
              <w:t>.</w:t>
            </w:r>
          </w:p>
        </w:tc>
      </w:tr>
      <w:tr w:rsidR="002476D3" w:rsidRPr="00A67F27" w14:paraId="7256793D" w14:textId="77777777" w:rsidTr="007318E7">
        <w:trPr>
          <w:trHeight w:val="20"/>
        </w:trPr>
        <w:tc>
          <w:tcPr>
            <w:tcW w:w="2250" w:type="dxa"/>
            <w:tcBorders>
              <w:top w:val="nil"/>
              <w:left w:val="nil"/>
              <w:bottom w:val="nil"/>
              <w:right w:val="nil"/>
            </w:tcBorders>
          </w:tcPr>
          <w:p w14:paraId="47E921F1" w14:textId="0E551756" w:rsidR="002476D3" w:rsidRPr="00A67F27" w:rsidRDefault="004F67E3" w:rsidP="007318E7">
            <w:pPr>
              <w:pStyle w:val="S1-Header2"/>
              <w:numPr>
                <w:ilvl w:val="0"/>
                <w:numId w:val="0"/>
              </w:numPr>
              <w:tabs>
                <w:tab w:val="num" w:pos="432"/>
              </w:tabs>
              <w:spacing w:after="0"/>
              <w:ind w:left="432" w:hanging="432"/>
              <w:rPr>
                <w:lang w:val="fr-FR"/>
              </w:rPr>
            </w:pPr>
            <w:bookmarkStart w:id="403" w:name="_Toc438438868"/>
            <w:bookmarkStart w:id="404" w:name="_Toc438532662"/>
            <w:bookmarkStart w:id="405" w:name="_Toc438734012"/>
            <w:bookmarkStart w:id="406" w:name="_Toc438907048"/>
            <w:bookmarkStart w:id="407" w:name="_Toc438907247"/>
            <w:bookmarkStart w:id="408" w:name="_Toc156373325"/>
            <w:bookmarkStart w:id="409" w:name="_Toc483210616"/>
            <w:bookmarkStart w:id="410" w:name="_Toc487641815"/>
            <w:r w:rsidRPr="00A67F27">
              <w:rPr>
                <w:lang w:val="fr-FR"/>
              </w:rPr>
              <w:t>4</w:t>
            </w:r>
            <w:r w:rsidR="009758EF" w:rsidRPr="00A67F27">
              <w:rPr>
                <w:lang w:val="fr-FR"/>
              </w:rPr>
              <w:t>2</w:t>
            </w:r>
            <w:r w:rsidRPr="00A67F27">
              <w:rPr>
                <w:lang w:val="fr-FR"/>
              </w:rPr>
              <w:t>.</w:t>
            </w:r>
            <w:r w:rsidR="00D85FEF" w:rsidRPr="00A67F27">
              <w:rPr>
                <w:lang w:val="fr-FR"/>
              </w:rPr>
              <w:tab/>
            </w:r>
            <w:r w:rsidR="002476D3" w:rsidRPr="00A67F27">
              <w:rPr>
                <w:lang w:val="fr-FR"/>
              </w:rPr>
              <w:t>Garantie de bonne exécution</w:t>
            </w:r>
            <w:bookmarkEnd w:id="403"/>
            <w:bookmarkEnd w:id="404"/>
            <w:bookmarkEnd w:id="405"/>
            <w:bookmarkEnd w:id="406"/>
            <w:bookmarkEnd w:id="407"/>
            <w:bookmarkEnd w:id="408"/>
            <w:bookmarkEnd w:id="409"/>
            <w:bookmarkEnd w:id="410"/>
          </w:p>
        </w:tc>
        <w:tc>
          <w:tcPr>
            <w:tcW w:w="7380" w:type="dxa"/>
            <w:tcBorders>
              <w:top w:val="nil"/>
              <w:left w:val="nil"/>
              <w:bottom w:val="nil"/>
              <w:right w:val="nil"/>
            </w:tcBorders>
          </w:tcPr>
          <w:p w14:paraId="55C7F031" w14:textId="439A2552" w:rsidR="002476D3" w:rsidRPr="00A67F27" w:rsidRDefault="002476D3" w:rsidP="002A45C1">
            <w:pPr>
              <w:pStyle w:val="Paragraphedeliste"/>
              <w:numPr>
                <w:ilvl w:val="1"/>
                <w:numId w:val="69"/>
              </w:numPr>
              <w:tabs>
                <w:tab w:val="left" w:pos="610"/>
                <w:tab w:val="left" w:pos="1152"/>
              </w:tabs>
              <w:spacing w:after="0"/>
              <w:ind w:left="610" w:hanging="610"/>
              <w:rPr>
                <w:rFonts w:asciiTheme="majorBidi" w:hAnsiTheme="majorBidi" w:cstheme="majorBidi"/>
              </w:rPr>
            </w:pPr>
            <w:r w:rsidRPr="00A67F27">
              <w:rPr>
                <w:rFonts w:asciiTheme="majorBidi" w:hAnsiTheme="majorBidi" w:cstheme="majorBidi"/>
              </w:rPr>
              <w:t>Dans les vingt-huit (28) jours suivant la réception de</w:t>
            </w:r>
            <w:r w:rsidR="00D85FEF" w:rsidRPr="00A67F27">
              <w:rPr>
                <w:rFonts w:asciiTheme="majorBidi" w:hAnsiTheme="majorBidi" w:cstheme="majorBidi"/>
              </w:rPr>
              <w:t xml:space="preserve"> la lettre de notification de l’attribution</w:t>
            </w:r>
            <w:r w:rsidRPr="00A67F27">
              <w:rPr>
                <w:rFonts w:asciiTheme="majorBidi" w:hAnsiTheme="majorBidi" w:cstheme="majorBidi"/>
              </w:rPr>
              <w:t xml:space="preserve"> du Marché effectuée par le Maître de l’Ouvrage, le Soumissionnaire retenu devra fournir la </w:t>
            </w:r>
            <w:r w:rsidR="00367914" w:rsidRPr="00A67F27">
              <w:rPr>
                <w:rFonts w:asciiTheme="majorBidi" w:hAnsiTheme="majorBidi" w:cstheme="majorBidi"/>
              </w:rPr>
              <w:t>G</w:t>
            </w:r>
            <w:r w:rsidRPr="00A67F27">
              <w:rPr>
                <w:rFonts w:asciiTheme="majorBidi" w:hAnsiTheme="majorBidi" w:cstheme="majorBidi"/>
              </w:rPr>
              <w:t xml:space="preserve">arantie de bonne exécution (sous réserve des dispositions de l’article </w:t>
            </w:r>
            <w:r w:rsidR="008C7722" w:rsidRPr="00A67F27">
              <w:rPr>
                <w:rFonts w:asciiTheme="majorBidi" w:hAnsiTheme="majorBidi" w:cstheme="majorBidi"/>
              </w:rPr>
              <w:t>3</w:t>
            </w:r>
            <w:r w:rsidR="00E10964" w:rsidRPr="00A67F27">
              <w:rPr>
                <w:rFonts w:asciiTheme="majorBidi" w:hAnsiTheme="majorBidi" w:cstheme="majorBidi"/>
              </w:rPr>
              <w:t>5</w:t>
            </w:r>
            <w:r w:rsidR="008C7722" w:rsidRPr="00A67F27">
              <w:rPr>
                <w:rFonts w:asciiTheme="majorBidi" w:hAnsiTheme="majorBidi" w:cstheme="majorBidi"/>
              </w:rPr>
              <w:t>.</w:t>
            </w:r>
            <w:r w:rsidR="00E10964" w:rsidRPr="00A67F27">
              <w:rPr>
                <w:rFonts w:asciiTheme="majorBidi" w:hAnsiTheme="majorBidi" w:cstheme="majorBidi"/>
              </w:rPr>
              <w:t>5</w:t>
            </w:r>
            <w:r w:rsidRPr="00A67F27">
              <w:rPr>
                <w:rFonts w:asciiTheme="majorBidi" w:hAnsiTheme="majorBidi" w:cstheme="majorBidi"/>
              </w:rPr>
              <w:t xml:space="preserve"> des IS) </w:t>
            </w:r>
            <w:r w:rsidR="00D2425F" w:rsidRPr="00A67F27">
              <w:rPr>
                <w:rFonts w:asciiTheme="majorBidi" w:hAnsiTheme="majorBidi" w:cstheme="majorBidi"/>
              </w:rPr>
              <w:t xml:space="preserve">et si cela est stipulé dans les </w:t>
            </w:r>
            <w:r w:rsidR="00D2425F" w:rsidRPr="00A67F27">
              <w:rPr>
                <w:rFonts w:asciiTheme="majorBidi" w:hAnsiTheme="majorBidi" w:cstheme="majorBidi"/>
                <w:bCs/>
              </w:rPr>
              <w:t>DPAO</w:t>
            </w:r>
            <w:r w:rsidR="00D2425F" w:rsidRPr="00A67F27">
              <w:rPr>
                <w:rFonts w:asciiTheme="majorBidi" w:hAnsiTheme="majorBidi" w:cstheme="majorBidi"/>
              </w:rPr>
              <w:t xml:space="preserve">, la garantie de performance environnementale, sociale, hygiène et sécurité (ESHS) </w:t>
            </w:r>
            <w:r w:rsidRPr="00A67F27">
              <w:rPr>
                <w:rFonts w:asciiTheme="majorBidi" w:hAnsiTheme="majorBidi" w:cstheme="majorBidi"/>
              </w:rPr>
              <w:t xml:space="preserve">conformément au CCAG en utilisant le modèle de garantie de bonne exécution </w:t>
            </w:r>
            <w:r w:rsidR="00D2425F" w:rsidRPr="00A67F27">
              <w:rPr>
                <w:rFonts w:asciiTheme="majorBidi" w:hAnsiTheme="majorBidi" w:cstheme="majorBidi"/>
              </w:rPr>
              <w:t xml:space="preserve">et le modèle de garantie de performance ESHS </w:t>
            </w:r>
            <w:r w:rsidRPr="00A67F27">
              <w:rPr>
                <w:rFonts w:asciiTheme="majorBidi" w:hAnsiTheme="majorBidi" w:cstheme="majorBidi"/>
              </w:rPr>
              <w:t>figurant à la Section X-Formulaires du Marché ou tout autre modèle jugé acceptable par le Maître de l’Ouvrage</w:t>
            </w:r>
            <w:r w:rsidR="009B2302" w:rsidRPr="00A67F27">
              <w:rPr>
                <w:rFonts w:asciiTheme="majorBidi" w:hAnsiTheme="majorBidi" w:cstheme="majorBidi"/>
              </w:rPr>
              <w:t> ;</w:t>
            </w:r>
            <w:r w:rsidRPr="00A67F27">
              <w:rPr>
                <w:rFonts w:asciiTheme="majorBidi" w:hAnsiTheme="majorBidi" w:cstheme="majorBidi"/>
              </w:rPr>
              <w:t xml:space="preserve"> si la </w:t>
            </w:r>
            <w:r w:rsidR="0015591B" w:rsidRPr="00A67F27">
              <w:rPr>
                <w:rFonts w:asciiTheme="majorBidi" w:hAnsiTheme="majorBidi" w:cstheme="majorBidi"/>
              </w:rPr>
              <w:t>G</w:t>
            </w:r>
            <w:r w:rsidRPr="00A67F27">
              <w:rPr>
                <w:rFonts w:asciiTheme="majorBidi" w:hAnsiTheme="majorBidi" w:cstheme="majorBidi"/>
              </w:rPr>
              <w:t>arantie de bonne exécution fournie par le Soumissionnaire retenu est sous la forme d’une caution, cette dernière devra être émise par un organisme de caution ou une compagnie d’ assurance acceptable au Maître de l’Ouvrage.</w:t>
            </w:r>
            <w:r w:rsidR="009B2302" w:rsidRPr="00A67F27">
              <w:rPr>
                <w:rFonts w:asciiTheme="majorBidi" w:hAnsiTheme="majorBidi" w:cstheme="majorBidi"/>
              </w:rPr>
              <w:t xml:space="preserve"> </w:t>
            </w:r>
            <w:r w:rsidRPr="00A67F27">
              <w:rPr>
                <w:rFonts w:asciiTheme="majorBidi" w:hAnsiTheme="majorBidi" w:cstheme="majorBidi"/>
              </w:rPr>
              <w:t>Un organisme de caution</w:t>
            </w:r>
            <w:r w:rsidR="00F31FD5" w:rsidRPr="00A67F27">
              <w:rPr>
                <w:rFonts w:asciiTheme="majorBidi" w:hAnsiTheme="majorBidi" w:cstheme="majorBidi"/>
              </w:rPr>
              <w:t>,</w:t>
            </w:r>
            <w:r w:rsidRPr="00A67F27">
              <w:rPr>
                <w:rFonts w:asciiTheme="majorBidi" w:hAnsiTheme="majorBidi" w:cstheme="majorBidi"/>
              </w:rPr>
              <w:t xml:space="preserve"> ou une compagnie d’assurance</w:t>
            </w:r>
            <w:r w:rsidR="00F31FD5" w:rsidRPr="00A67F27">
              <w:rPr>
                <w:rFonts w:asciiTheme="majorBidi" w:hAnsiTheme="majorBidi" w:cstheme="majorBidi"/>
              </w:rPr>
              <w:t>,</w:t>
            </w:r>
            <w:r w:rsidRPr="00A67F27">
              <w:rPr>
                <w:rFonts w:asciiTheme="majorBidi" w:hAnsiTheme="majorBidi" w:cstheme="majorBidi"/>
              </w:rPr>
              <w:t xml:space="preserve"> situé en dehors du </w:t>
            </w:r>
            <w:r w:rsidR="0015591B" w:rsidRPr="00A67F27">
              <w:rPr>
                <w:rFonts w:asciiTheme="majorBidi" w:hAnsiTheme="majorBidi" w:cstheme="majorBidi"/>
              </w:rPr>
              <w:t>P</w:t>
            </w:r>
            <w:r w:rsidRPr="00A67F27">
              <w:rPr>
                <w:rFonts w:asciiTheme="majorBidi" w:hAnsiTheme="majorBidi" w:cstheme="majorBidi"/>
              </w:rPr>
              <w:t xml:space="preserve">ays du Maître de l’Ouvrage devra avoir un correspondant dans le </w:t>
            </w:r>
            <w:r w:rsidR="0015591B" w:rsidRPr="00A67F27">
              <w:rPr>
                <w:rFonts w:asciiTheme="majorBidi" w:hAnsiTheme="majorBidi" w:cstheme="majorBidi"/>
              </w:rPr>
              <w:t>P</w:t>
            </w:r>
            <w:r w:rsidRPr="00A67F27">
              <w:rPr>
                <w:rFonts w:asciiTheme="majorBidi" w:hAnsiTheme="majorBidi" w:cstheme="majorBidi"/>
              </w:rPr>
              <w:t xml:space="preserve">ays du Maître de </w:t>
            </w:r>
            <w:r w:rsidR="00D85FEF" w:rsidRPr="00A67F27">
              <w:rPr>
                <w:rFonts w:asciiTheme="majorBidi" w:hAnsiTheme="majorBidi" w:cstheme="majorBidi"/>
              </w:rPr>
              <w:t>l’Ouvrage</w:t>
            </w:r>
            <w:r w:rsidRPr="00A67F27">
              <w:rPr>
                <w:rFonts w:asciiTheme="majorBidi" w:hAnsiTheme="majorBidi" w:cstheme="majorBidi"/>
              </w:rPr>
              <w:t>.</w:t>
            </w:r>
          </w:p>
        </w:tc>
      </w:tr>
      <w:tr w:rsidR="002476D3" w:rsidRPr="00A67F27" w14:paraId="473AD39F" w14:textId="77777777" w:rsidTr="007318E7">
        <w:trPr>
          <w:trHeight w:val="20"/>
        </w:trPr>
        <w:tc>
          <w:tcPr>
            <w:tcW w:w="2250" w:type="dxa"/>
            <w:tcBorders>
              <w:top w:val="nil"/>
              <w:left w:val="nil"/>
              <w:bottom w:val="nil"/>
              <w:right w:val="nil"/>
            </w:tcBorders>
          </w:tcPr>
          <w:p w14:paraId="7A761982" w14:textId="77777777" w:rsidR="002476D3" w:rsidRPr="00A67F27" w:rsidRDefault="002476D3" w:rsidP="007318E7">
            <w:pPr>
              <w:spacing w:after="0"/>
              <w:rPr>
                <w:rFonts w:asciiTheme="majorBidi" w:hAnsiTheme="majorBidi" w:cstheme="majorBidi"/>
              </w:rPr>
            </w:pPr>
          </w:p>
        </w:tc>
        <w:tc>
          <w:tcPr>
            <w:tcW w:w="7380" w:type="dxa"/>
            <w:tcBorders>
              <w:top w:val="nil"/>
              <w:left w:val="nil"/>
              <w:bottom w:val="nil"/>
              <w:right w:val="nil"/>
            </w:tcBorders>
          </w:tcPr>
          <w:p w14:paraId="1FBD9647" w14:textId="69DBA99B" w:rsidR="002476D3" w:rsidRPr="00A67F27" w:rsidRDefault="00E10964" w:rsidP="002A45C1">
            <w:pPr>
              <w:pStyle w:val="Paragraphedeliste"/>
              <w:numPr>
                <w:ilvl w:val="1"/>
                <w:numId w:val="69"/>
              </w:numPr>
              <w:tabs>
                <w:tab w:val="left" w:pos="610"/>
                <w:tab w:val="left" w:pos="1152"/>
              </w:tabs>
              <w:spacing w:after="0"/>
              <w:ind w:left="610" w:hanging="610"/>
              <w:rPr>
                <w:rFonts w:asciiTheme="majorBidi" w:hAnsiTheme="majorBidi" w:cstheme="majorBidi"/>
              </w:rPr>
            </w:pPr>
            <w:r w:rsidRPr="00A67F27">
              <w:rPr>
                <w:rFonts w:asciiTheme="majorBidi" w:hAnsiTheme="majorBidi" w:cstheme="majorBidi"/>
              </w:rPr>
              <w:t xml:space="preserve">Le défaut de soumission par le Soumissionnaire retenu, de la garantie de bonne exécution et si cela est stipulé dans les </w:t>
            </w:r>
            <w:r w:rsidRPr="00A67F27">
              <w:rPr>
                <w:rFonts w:asciiTheme="majorBidi" w:hAnsiTheme="majorBidi" w:cstheme="majorBidi"/>
                <w:bCs/>
              </w:rPr>
              <w:t>DPAO</w:t>
            </w:r>
            <w:r w:rsidRPr="00A67F27">
              <w:rPr>
                <w:rFonts w:asciiTheme="majorBidi" w:hAnsiTheme="majorBidi" w:cstheme="majorBidi"/>
              </w:rPr>
              <w:t>, la garantie de performance environnementale, sociale, hygiène et sécurité (ESHS) susmentionnées, ou le fait qu’il ne signe pas l’Acte d’Engagement, constituera un motif suffisant d’annulation de l’attribution du Marché et de saisie de la garantie d’offre, auquel cas le Maître de l’Ouvrage pourra attribuer le Marché au Soumissionnaire dont l’offre est jugée conforme pour l’essentiel au dossier d’appel d’offres et classée la deuxième moins-</w:t>
            </w:r>
            <w:r w:rsidR="00994494" w:rsidRPr="00A67F27">
              <w:rPr>
                <w:rFonts w:asciiTheme="majorBidi" w:hAnsiTheme="majorBidi" w:cstheme="majorBidi"/>
              </w:rPr>
              <w:t>disant</w:t>
            </w:r>
            <w:r w:rsidRPr="00A67F27">
              <w:rPr>
                <w:rFonts w:asciiTheme="majorBidi" w:hAnsiTheme="majorBidi" w:cstheme="majorBidi"/>
              </w:rPr>
              <w:t>, et qui possède les qualifications requises pour exécuter le Marché.</w:t>
            </w:r>
            <w:r w:rsidR="00A63BB3" w:rsidRPr="00A67F27">
              <w:rPr>
                <w:rFonts w:asciiTheme="majorBidi" w:hAnsiTheme="majorBidi" w:cstheme="majorBidi"/>
              </w:rPr>
              <w:t>.</w:t>
            </w:r>
          </w:p>
        </w:tc>
      </w:tr>
      <w:tr w:rsidR="002476D3" w:rsidRPr="00A67F27" w14:paraId="6C41697C" w14:textId="77777777" w:rsidTr="007318E7">
        <w:trPr>
          <w:trHeight w:val="20"/>
        </w:trPr>
        <w:tc>
          <w:tcPr>
            <w:tcW w:w="2250" w:type="dxa"/>
            <w:tcBorders>
              <w:top w:val="nil"/>
              <w:left w:val="nil"/>
              <w:bottom w:val="nil"/>
              <w:right w:val="nil"/>
            </w:tcBorders>
          </w:tcPr>
          <w:p w14:paraId="36D54C96" w14:textId="44C711D7" w:rsidR="002476D3" w:rsidRPr="00A67F27" w:rsidRDefault="00D86EDA" w:rsidP="007318E7">
            <w:pPr>
              <w:pStyle w:val="S1-Header2"/>
              <w:numPr>
                <w:ilvl w:val="0"/>
                <w:numId w:val="0"/>
              </w:numPr>
              <w:tabs>
                <w:tab w:val="num" w:pos="432"/>
              </w:tabs>
              <w:spacing w:after="0"/>
              <w:ind w:left="432" w:hanging="432"/>
              <w:rPr>
                <w:rFonts w:asciiTheme="majorBidi" w:hAnsiTheme="majorBidi" w:cstheme="majorBidi"/>
                <w:lang w:val="fr-FR"/>
              </w:rPr>
            </w:pPr>
            <w:bookmarkStart w:id="411" w:name="_Toc348175797"/>
            <w:bookmarkStart w:id="412" w:name="_Toc156373326"/>
            <w:bookmarkStart w:id="413" w:name="_Toc483210617"/>
            <w:bookmarkStart w:id="414" w:name="_Toc487641816"/>
            <w:r w:rsidRPr="00A67F27">
              <w:rPr>
                <w:lang w:val="fr-FR"/>
              </w:rPr>
              <w:t>4</w:t>
            </w:r>
            <w:r w:rsidR="00981B03" w:rsidRPr="00A67F27">
              <w:rPr>
                <w:lang w:val="fr-FR"/>
              </w:rPr>
              <w:t>3</w:t>
            </w:r>
            <w:r w:rsidRPr="00A67F27">
              <w:rPr>
                <w:lang w:val="fr-FR"/>
              </w:rPr>
              <w:t>.</w:t>
            </w:r>
            <w:r w:rsidRPr="00A67F27">
              <w:rPr>
                <w:lang w:val="fr-FR"/>
              </w:rPr>
              <w:tab/>
              <w:t>Conciliateur</w:t>
            </w:r>
            <w:bookmarkEnd w:id="411"/>
            <w:bookmarkEnd w:id="412"/>
            <w:bookmarkEnd w:id="413"/>
            <w:bookmarkEnd w:id="414"/>
          </w:p>
        </w:tc>
        <w:tc>
          <w:tcPr>
            <w:tcW w:w="7380" w:type="dxa"/>
            <w:tcBorders>
              <w:top w:val="nil"/>
              <w:left w:val="nil"/>
              <w:bottom w:val="nil"/>
              <w:right w:val="nil"/>
            </w:tcBorders>
          </w:tcPr>
          <w:p w14:paraId="2FE7D775" w14:textId="5B27D6DF" w:rsidR="00AE327B" w:rsidRPr="00A67F27" w:rsidRDefault="00AE327B" w:rsidP="007318E7">
            <w:pPr>
              <w:tabs>
                <w:tab w:val="left" w:pos="576"/>
                <w:tab w:val="left" w:pos="1152"/>
              </w:tabs>
              <w:spacing w:after="0"/>
              <w:ind w:left="638" w:hanging="638"/>
              <w:rPr>
                <w:rFonts w:asciiTheme="majorBidi" w:hAnsiTheme="majorBidi" w:cstheme="majorBidi"/>
              </w:rPr>
            </w:pPr>
            <w:r w:rsidRPr="00A67F27">
              <w:rPr>
                <w:rFonts w:asciiTheme="majorBidi" w:hAnsiTheme="majorBidi" w:cstheme="majorBidi"/>
              </w:rPr>
              <w:t>43.1</w:t>
            </w:r>
            <w:r w:rsidRPr="00A67F27">
              <w:rPr>
                <w:rFonts w:asciiTheme="majorBidi" w:hAnsiTheme="majorBidi" w:cstheme="majorBidi"/>
              </w:rPr>
              <w:tab/>
            </w:r>
            <w:r w:rsidR="00D86EDA" w:rsidRPr="00A67F27">
              <w:rPr>
                <w:rFonts w:asciiTheme="majorBidi" w:hAnsiTheme="majorBidi" w:cstheme="majorBidi"/>
              </w:rPr>
              <w:t xml:space="preserve">Le Maître de l’Ouvrage </w:t>
            </w:r>
            <w:r w:rsidR="00D86EDA" w:rsidRPr="00A67F27">
              <w:rPr>
                <w:rFonts w:asciiTheme="majorBidi" w:hAnsiTheme="majorBidi" w:cstheme="majorBidi"/>
                <w:b/>
                <w:bCs/>
              </w:rPr>
              <w:t xml:space="preserve">propose </w:t>
            </w:r>
            <w:r w:rsidR="00A63BB3" w:rsidRPr="00A67F27">
              <w:rPr>
                <w:rFonts w:asciiTheme="majorBidi" w:hAnsiTheme="majorBidi" w:cstheme="majorBidi"/>
                <w:b/>
                <w:bCs/>
              </w:rPr>
              <w:t>dans les</w:t>
            </w:r>
            <w:r w:rsidR="00A63BB3" w:rsidRPr="00A67F27">
              <w:rPr>
                <w:rFonts w:asciiTheme="majorBidi" w:hAnsiTheme="majorBidi" w:cstheme="majorBidi"/>
              </w:rPr>
              <w:t xml:space="preserve"> </w:t>
            </w:r>
            <w:r w:rsidR="00D86EDA" w:rsidRPr="00A67F27">
              <w:rPr>
                <w:rFonts w:asciiTheme="majorBidi" w:hAnsiTheme="majorBidi" w:cstheme="majorBidi"/>
                <w:b/>
              </w:rPr>
              <w:t>DPAO</w:t>
            </w:r>
            <w:r w:rsidR="00D86EDA" w:rsidRPr="00A67F27">
              <w:rPr>
                <w:rFonts w:asciiTheme="majorBidi" w:hAnsiTheme="majorBidi" w:cstheme="majorBidi"/>
              </w:rPr>
              <w:t xml:space="preserve"> </w:t>
            </w:r>
            <w:r w:rsidR="00232D3C" w:rsidRPr="00A67F27">
              <w:rPr>
                <w:rFonts w:asciiTheme="majorBidi" w:hAnsiTheme="majorBidi" w:cstheme="majorBidi"/>
              </w:rPr>
              <w:t>la nomination</w:t>
            </w:r>
            <w:r w:rsidR="00D86EDA" w:rsidRPr="00A67F27">
              <w:rPr>
                <w:rFonts w:asciiTheme="majorBidi" w:hAnsiTheme="majorBidi" w:cstheme="majorBidi"/>
              </w:rPr>
              <w:t xml:space="preserve"> du Conciliateur</w:t>
            </w:r>
            <w:r w:rsidR="00232D3C" w:rsidRPr="00A67F27">
              <w:rPr>
                <w:rFonts w:asciiTheme="majorBidi" w:hAnsiTheme="majorBidi" w:cstheme="majorBidi"/>
              </w:rPr>
              <w:t xml:space="preserve"> dont le nom est indiqué, au taux de rémunération journalière </w:t>
            </w:r>
            <w:r w:rsidR="00232D3C" w:rsidRPr="00A67F27">
              <w:rPr>
                <w:rFonts w:asciiTheme="majorBidi" w:hAnsiTheme="majorBidi" w:cstheme="majorBidi"/>
                <w:b/>
                <w:bCs/>
              </w:rPr>
              <w:t>indiqué dans les</w:t>
            </w:r>
            <w:r w:rsidR="00232D3C" w:rsidRPr="00A67F27">
              <w:rPr>
                <w:rFonts w:asciiTheme="majorBidi" w:hAnsiTheme="majorBidi" w:cstheme="majorBidi"/>
              </w:rPr>
              <w:t xml:space="preserve"> </w:t>
            </w:r>
            <w:r w:rsidR="00232D3C" w:rsidRPr="00A67F27">
              <w:rPr>
                <w:rFonts w:asciiTheme="majorBidi" w:hAnsiTheme="majorBidi" w:cstheme="majorBidi"/>
                <w:b/>
              </w:rPr>
              <w:t>DPAO</w:t>
            </w:r>
            <w:r w:rsidR="00232D3C" w:rsidRPr="00A67F27">
              <w:rPr>
                <w:rFonts w:asciiTheme="majorBidi" w:hAnsiTheme="majorBidi" w:cstheme="majorBidi"/>
              </w:rPr>
              <w:t>, plus remboursement des dépenses</w:t>
            </w:r>
            <w:r w:rsidR="00D86EDA" w:rsidRPr="00A67F27">
              <w:rPr>
                <w:rFonts w:asciiTheme="majorBidi" w:hAnsiTheme="majorBidi" w:cstheme="majorBidi"/>
              </w:rPr>
              <w:t>.</w:t>
            </w:r>
            <w:r w:rsidR="009B2302" w:rsidRPr="00A67F27">
              <w:rPr>
                <w:rFonts w:asciiTheme="majorBidi" w:hAnsiTheme="majorBidi" w:cstheme="majorBidi"/>
              </w:rPr>
              <w:t xml:space="preserve"> </w:t>
            </w:r>
            <w:r w:rsidR="00D86EDA" w:rsidRPr="00A67F27">
              <w:rPr>
                <w:rFonts w:asciiTheme="majorBidi" w:hAnsiTheme="majorBidi" w:cstheme="majorBidi"/>
              </w:rPr>
              <w:t>Si le Soumissionnaire n’accepte pas la proposition du Maître de l’Ouvrage, il devra le mentionner dans sa Soumission.</w:t>
            </w:r>
            <w:r w:rsidR="009B2302" w:rsidRPr="00A67F27">
              <w:rPr>
                <w:rFonts w:asciiTheme="majorBidi" w:hAnsiTheme="majorBidi" w:cstheme="majorBidi"/>
              </w:rPr>
              <w:t xml:space="preserve"> </w:t>
            </w:r>
            <w:r w:rsidR="00D86EDA" w:rsidRPr="00A67F27">
              <w:rPr>
                <w:rFonts w:asciiTheme="majorBidi" w:hAnsiTheme="majorBidi" w:cstheme="majorBidi"/>
              </w:rPr>
              <w:t xml:space="preserve">Si </w:t>
            </w:r>
            <w:r w:rsidR="00232D3C" w:rsidRPr="00A67F27">
              <w:rPr>
                <w:rFonts w:asciiTheme="majorBidi" w:hAnsiTheme="majorBidi" w:cstheme="majorBidi"/>
              </w:rPr>
              <w:t xml:space="preserve">dans la Lettre de notification d’attribution, </w:t>
            </w:r>
            <w:r w:rsidR="00D86EDA" w:rsidRPr="00A67F27">
              <w:rPr>
                <w:rFonts w:asciiTheme="majorBidi" w:hAnsiTheme="majorBidi" w:cstheme="majorBidi"/>
              </w:rPr>
              <w:t xml:space="preserve">le Maître de l’Ouvrage </w:t>
            </w:r>
            <w:r w:rsidR="00232D3C" w:rsidRPr="00A67F27">
              <w:rPr>
                <w:rFonts w:asciiTheme="majorBidi" w:hAnsiTheme="majorBidi" w:cstheme="majorBidi"/>
              </w:rPr>
              <w:t>n’est pas d’</w:t>
            </w:r>
            <w:r w:rsidR="00D86EDA" w:rsidRPr="00A67F27">
              <w:rPr>
                <w:rFonts w:asciiTheme="majorBidi" w:hAnsiTheme="majorBidi" w:cstheme="majorBidi"/>
              </w:rPr>
              <w:t xml:space="preserve">accord sur la nomination du Conciliateur, </w:t>
            </w:r>
            <w:r w:rsidR="00232D3C" w:rsidRPr="00A67F27">
              <w:rPr>
                <w:rFonts w:asciiTheme="majorBidi" w:hAnsiTheme="majorBidi" w:cstheme="majorBidi"/>
              </w:rPr>
              <w:t xml:space="preserve">le Maître de </w:t>
            </w:r>
            <w:r w:rsidR="00232D3C" w:rsidRPr="00A67F27">
              <w:rPr>
                <w:rFonts w:asciiTheme="majorBidi" w:hAnsiTheme="majorBidi" w:cstheme="majorBidi"/>
              </w:rPr>
              <w:lastRenderedPageBreak/>
              <w:t xml:space="preserve">l’Ouvrage demandera à </w:t>
            </w:r>
            <w:r w:rsidR="00D86EDA" w:rsidRPr="00A67F27">
              <w:rPr>
                <w:rFonts w:asciiTheme="majorBidi" w:hAnsiTheme="majorBidi" w:cstheme="majorBidi"/>
              </w:rPr>
              <w:t xml:space="preserve">l’Autorité de nomination du Conciliateur désignée dans le CCAP </w:t>
            </w:r>
            <w:r w:rsidR="00232D3C" w:rsidRPr="00A67F27">
              <w:rPr>
                <w:rFonts w:asciiTheme="majorBidi" w:hAnsiTheme="majorBidi" w:cstheme="majorBidi"/>
              </w:rPr>
              <w:t>en conformité avec la Clause 23.1 du CCAG de</w:t>
            </w:r>
            <w:r w:rsidR="00D86EDA" w:rsidRPr="00A67F27">
              <w:rPr>
                <w:rFonts w:asciiTheme="majorBidi" w:hAnsiTheme="majorBidi" w:cstheme="majorBidi"/>
              </w:rPr>
              <w:t xml:space="preserve"> désigner le Conciliateur.</w:t>
            </w:r>
          </w:p>
        </w:tc>
      </w:tr>
    </w:tbl>
    <w:p w14:paraId="60DEE8E0" w14:textId="77777777" w:rsidR="00AE327B" w:rsidRPr="00A67F27" w:rsidRDefault="00AE327B" w:rsidP="005D6945">
      <w:pPr>
        <w:pStyle w:val="S1-Header2"/>
        <w:numPr>
          <w:ilvl w:val="0"/>
          <w:numId w:val="0"/>
        </w:numPr>
        <w:tabs>
          <w:tab w:val="num" w:pos="432"/>
        </w:tabs>
        <w:ind w:left="432" w:hanging="432"/>
        <w:rPr>
          <w:lang w:val="fr-FR"/>
        </w:rPr>
      </w:pPr>
    </w:p>
    <w:p w14:paraId="6298C6D8" w14:textId="77777777" w:rsidR="00AE327B" w:rsidRPr="00A67F27" w:rsidRDefault="00AE327B" w:rsidP="00AE327B">
      <w:pPr>
        <w:tabs>
          <w:tab w:val="left" w:pos="576"/>
          <w:tab w:val="left" w:pos="1152"/>
        </w:tabs>
        <w:ind w:left="638" w:hanging="638"/>
        <w:rPr>
          <w:rFonts w:asciiTheme="majorBidi" w:hAnsiTheme="majorBidi" w:cstheme="majorBidi"/>
        </w:rPr>
      </w:pPr>
    </w:p>
    <w:p w14:paraId="060C8968" w14:textId="77777777" w:rsidR="001A2357" w:rsidRPr="00784058" w:rsidRDefault="001A2357" w:rsidP="001A2357">
      <w:pPr>
        <w:pStyle w:val="Paragraphedeliste"/>
        <w:rPr>
          <w:rFonts w:asciiTheme="majorBidi" w:hAnsiTheme="majorBidi" w:cstheme="majorBidi"/>
          <w:color w:val="00B050"/>
          <w:sz w:val="16"/>
          <w:szCs w:val="16"/>
        </w:rPr>
      </w:pPr>
    </w:p>
    <w:p w14:paraId="2478ACEA" w14:textId="4A7A9745" w:rsidR="000A450A" w:rsidRPr="00407934" w:rsidRDefault="000A450A" w:rsidP="002A45C1">
      <w:pPr>
        <w:pStyle w:val="Paragraphedeliste"/>
        <w:numPr>
          <w:ilvl w:val="0"/>
          <w:numId w:val="110"/>
        </w:numPr>
        <w:spacing w:before="240" w:after="120"/>
        <w:rPr>
          <w:rFonts w:asciiTheme="majorBidi" w:hAnsiTheme="majorBidi" w:cstheme="majorBidi"/>
          <w:color w:val="00B050"/>
          <w:sz w:val="28"/>
          <w:szCs w:val="28"/>
        </w:rPr>
        <w:sectPr w:rsidR="000A450A" w:rsidRPr="00407934" w:rsidSect="000F78BD">
          <w:endnotePr>
            <w:numFmt w:val="decimal"/>
          </w:endnotePr>
          <w:pgSz w:w="12240" w:h="15840" w:code="1"/>
          <w:pgMar w:top="1418" w:right="1418" w:bottom="1418" w:left="1418" w:header="720" w:footer="720" w:gutter="0"/>
          <w:cols w:space="720"/>
          <w:titlePg/>
        </w:sectPr>
      </w:pPr>
    </w:p>
    <w:tbl>
      <w:tblPr>
        <w:tblW w:w="9360"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9360"/>
      </w:tblGrid>
      <w:tr w:rsidR="000A450A" w:rsidRPr="00A67F27" w14:paraId="4A29DFE9" w14:textId="77777777" w:rsidTr="007318E7">
        <w:trPr>
          <w:cantSplit/>
          <w:trHeight w:val="850"/>
        </w:trPr>
        <w:tc>
          <w:tcPr>
            <w:tcW w:w="9360" w:type="dxa"/>
            <w:tcBorders>
              <w:top w:val="nil"/>
              <w:left w:val="nil"/>
              <w:bottom w:val="nil"/>
              <w:right w:val="nil"/>
            </w:tcBorders>
          </w:tcPr>
          <w:p w14:paraId="50EDB447" w14:textId="3781CB34" w:rsidR="00A139F6" w:rsidRPr="00A67F27" w:rsidRDefault="000A450A" w:rsidP="005C1C3C">
            <w:pPr>
              <w:pStyle w:val="Sous-titre"/>
              <w:spacing w:after="240"/>
              <w:ind w:left="0" w:firstLine="0"/>
              <w:rPr>
                <w:sz w:val="36"/>
                <w:lang w:val="fr-FR" w:eastAsia="en-US"/>
              </w:rPr>
            </w:pPr>
            <w:r w:rsidRPr="00A67F27">
              <w:rPr>
                <w:rFonts w:asciiTheme="majorBidi" w:hAnsiTheme="majorBidi" w:cstheme="majorBidi"/>
                <w:lang w:val="fr-FR"/>
              </w:rPr>
              <w:lastRenderedPageBreak/>
              <w:br w:type="page"/>
            </w:r>
            <w:bookmarkStart w:id="415" w:name="_Toc438366665"/>
            <w:bookmarkStart w:id="416" w:name="_Toc156027992"/>
            <w:bookmarkStart w:id="417" w:name="_Toc156372848"/>
            <w:bookmarkStart w:id="418" w:name="_Toc326657861"/>
            <w:bookmarkStart w:id="419" w:name="_Toc483210554"/>
            <w:bookmarkStart w:id="420" w:name="_Toc487641842"/>
            <w:r w:rsidRPr="00A67F27">
              <w:rPr>
                <w:sz w:val="36"/>
                <w:lang w:val="fr-FR" w:eastAsia="en-US"/>
              </w:rPr>
              <w:t>Section II.</w:t>
            </w:r>
            <w:r w:rsidR="009B2302" w:rsidRPr="00A67F27">
              <w:rPr>
                <w:sz w:val="36"/>
                <w:lang w:val="fr-FR" w:eastAsia="en-US"/>
              </w:rPr>
              <w:t xml:space="preserve"> </w:t>
            </w:r>
            <w:r w:rsidRPr="00A67F27">
              <w:rPr>
                <w:sz w:val="36"/>
                <w:lang w:val="fr-FR" w:eastAsia="en-US"/>
              </w:rPr>
              <w:t>Données particulières de l’appel d’offres</w:t>
            </w:r>
            <w:bookmarkEnd w:id="415"/>
            <w:bookmarkEnd w:id="416"/>
            <w:bookmarkEnd w:id="417"/>
            <w:bookmarkEnd w:id="418"/>
            <w:bookmarkEnd w:id="419"/>
            <w:bookmarkEnd w:id="420"/>
          </w:p>
        </w:tc>
      </w:tr>
    </w:tbl>
    <w:p w14:paraId="7F965455" w14:textId="77777777" w:rsidR="004F1398" w:rsidRPr="00A67F27" w:rsidRDefault="004F1398" w:rsidP="004F1398">
      <w:pPr>
        <w:pStyle w:val="Lgende"/>
        <w:tabs>
          <w:tab w:val="right" w:pos="7434"/>
        </w:tabs>
        <w:spacing w:before="60" w:after="60"/>
        <w:ind w:left="0" w:firstLine="0"/>
        <w:jc w:val="center"/>
        <w:rPr>
          <w:b/>
          <w:szCs w:val="24"/>
          <w:lang w:eastAsia="en-US"/>
        </w:rPr>
      </w:pPr>
      <w:r w:rsidRPr="00A67F27">
        <w:rPr>
          <w:b/>
          <w:szCs w:val="24"/>
          <w:lang w:eastAsia="en-US"/>
        </w:rPr>
        <w:t>A. Introduction</w:t>
      </w: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1485"/>
        <w:gridCol w:w="8135"/>
      </w:tblGrid>
      <w:tr w:rsidR="00EA77A4" w:rsidRPr="00EA77A4" w14:paraId="44C0CD22" w14:textId="77777777" w:rsidTr="007318E7">
        <w:trPr>
          <w:cantSplit/>
          <w:trHeight w:val="2076"/>
        </w:trPr>
        <w:tc>
          <w:tcPr>
            <w:tcW w:w="772" w:type="pct"/>
          </w:tcPr>
          <w:p w14:paraId="45EFFF1A" w14:textId="001B4027" w:rsidR="005932EC" w:rsidRPr="00EA77A4" w:rsidRDefault="005932EC" w:rsidP="00C42452">
            <w:pPr>
              <w:spacing w:after="0"/>
              <w:rPr>
                <w:rFonts w:asciiTheme="majorBidi" w:hAnsiTheme="majorBidi" w:cstheme="majorBidi"/>
                <w:b/>
              </w:rPr>
            </w:pPr>
            <w:r w:rsidRPr="00EA77A4">
              <w:rPr>
                <w:rFonts w:asciiTheme="majorBidi" w:hAnsiTheme="majorBidi" w:cstheme="majorBidi"/>
                <w:b/>
              </w:rPr>
              <w:t>IS 1.1</w:t>
            </w:r>
          </w:p>
        </w:tc>
        <w:tc>
          <w:tcPr>
            <w:tcW w:w="4228" w:type="pct"/>
          </w:tcPr>
          <w:p w14:paraId="319B0BC7" w14:textId="5F03EB3E" w:rsidR="005932EC" w:rsidRPr="00EA77A4" w:rsidRDefault="005932EC" w:rsidP="00C42452">
            <w:pPr>
              <w:tabs>
                <w:tab w:val="right" w:pos="7272"/>
              </w:tabs>
              <w:spacing w:after="0"/>
              <w:rPr>
                <w:rFonts w:asciiTheme="majorBidi" w:hAnsiTheme="majorBidi" w:cstheme="majorBidi"/>
                <w:b/>
                <w:bCs/>
                <w:u w:val="single"/>
              </w:rPr>
            </w:pPr>
            <w:r w:rsidRPr="002A1EEB">
              <w:rPr>
                <w:rFonts w:asciiTheme="majorBidi" w:hAnsiTheme="majorBidi" w:cstheme="majorBidi"/>
              </w:rPr>
              <w:t>Numéro de l’Avis Appel d’Offres</w:t>
            </w:r>
            <w:r w:rsidR="009B2302" w:rsidRPr="002A1EEB">
              <w:rPr>
                <w:rFonts w:asciiTheme="majorBidi" w:hAnsiTheme="majorBidi" w:cstheme="majorBidi"/>
              </w:rPr>
              <w:t> :</w:t>
            </w:r>
            <w:r w:rsidRPr="002A1EEB">
              <w:rPr>
                <w:rFonts w:asciiTheme="majorBidi" w:hAnsiTheme="majorBidi" w:cstheme="majorBidi"/>
              </w:rPr>
              <w:t xml:space="preserve"> </w:t>
            </w:r>
            <w:r w:rsidR="00107599" w:rsidRPr="002A1EEB">
              <w:rPr>
                <w:b/>
                <w:sz w:val="28"/>
                <w:szCs w:val="24"/>
              </w:rPr>
              <w:t>…</w:t>
            </w:r>
            <w:r w:rsidR="0079744B" w:rsidRPr="002A1EEB">
              <w:rPr>
                <w:b/>
                <w:sz w:val="28"/>
                <w:szCs w:val="24"/>
              </w:rPr>
              <w:t>…..</w:t>
            </w:r>
            <w:r w:rsidR="00107599" w:rsidRPr="002A1EEB">
              <w:rPr>
                <w:b/>
                <w:sz w:val="28"/>
                <w:szCs w:val="24"/>
              </w:rPr>
              <w:t>.</w:t>
            </w:r>
            <w:r w:rsidR="00C2287E" w:rsidRPr="002A1EEB">
              <w:rPr>
                <w:b/>
                <w:sz w:val="28"/>
                <w:szCs w:val="24"/>
              </w:rPr>
              <w:t>/</w:t>
            </w:r>
            <w:r w:rsidR="000A305A" w:rsidRPr="002A1EEB">
              <w:rPr>
                <w:b/>
                <w:sz w:val="28"/>
                <w:szCs w:val="24"/>
              </w:rPr>
              <w:t>AO</w:t>
            </w:r>
            <w:r w:rsidR="008B0F56" w:rsidRPr="002A1EEB">
              <w:rPr>
                <w:b/>
                <w:sz w:val="28"/>
                <w:szCs w:val="24"/>
              </w:rPr>
              <w:t>N</w:t>
            </w:r>
            <w:r w:rsidR="000A305A" w:rsidRPr="002A1EEB">
              <w:rPr>
                <w:b/>
                <w:sz w:val="28"/>
                <w:szCs w:val="24"/>
              </w:rPr>
              <w:t>/</w:t>
            </w:r>
            <w:r w:rsidR="00BE6D61" w:rsidRPr="002A1EEB">
              <w:rPr>
                <w:b/>
                <w:sz w:val="28"/>
                <w:szCs w:val="24"/>
              </w:rPr>
              <w:t>2021</w:t>
            </w:r>
            <w:r w:rsidR="00C2287E" w:rsidRPr="002A1EEB">
              <w:rPr>
                <w:b/>
                <w:sz w:val="28"/>
                <w:szCs w:val="24"/>
              </w:rPr>
              <w:t>/</w:t>
            </w:r>
            <w:r w:rsidR="00C42452" w:rsidRPr="002A1EEB">
              <w:rPr>
                <w:b/>
                <w:sz w:val="28"/>
                <w:szCs w:val="24"/>
              </w:rPr>
              <w:t>PARIIS ML/M</w:t>
            </w:r>
            <w:r w:rsidR="00BE6D61" w:rsidRPr="002A1EEB">
              <w:rPr>
                <w:b/>
                <w:sz w:val="28"/>
                <w:szCs w:val="24"/>
              </w:rPr>
              <w:t>DR</w:t>
            </w:r>
          </w:p>
          <w:p w14:paraId="241FB181" w14:textId="7281E295" w:rsidR="005932EC" w:rsidRPr="00EA77A4" w:rsidRDefault="005932EC" w:rsidP="00C42452">
            <w:pPr>
              <w:tabs>
                <w:tab w:val="right" w:pos="7272"/>
              </w:tabs>
              <w:spacing w:after="0"/>
              <w:rPr>
                <w:rFonts w:asciiTheme="majorBidi" w:hAnsiTheme="majorBidi" w:cstheme="majorBidi"/>
              </w:rPr>
            </w:pPr>
            <w:r w:rsidRPr="00EA77A4">
              <w:rPr>
                <w:rFonts w:asciiTheme="majorBidi" w:hAnsiTheme="majorBidi" w:cstheme="majorBidi"/>
              </w:rPr>
              <w:t>Nom du Maître de l’Ouvrage</w:t>
            </w:r>
            <w:r w:rsidR="009B2302" w:rsidRPr="00EA77A4">
              <w:rPr>
                <w:rFonts w:asciiTheme="majorBidi" w:hAnsiTheme="majorBidi" w:cstheme="majorBidi"/>
              </w:rPr>
              <w:t> :</w:t>
            </w:r>
            <w:r w:rsidRPr="00EA77A4">
              <w:rPr>
                <w:rFonts w:asciiTheme="majorBidi" w:hAnsiTheme="majorBidi" w:cstheme="majorBidi"/>
              </w:rPr>
              <w:t xml:space="preserve"> </w:t>
            </w:r>
            <w:r w:rsidR="000A3C00" w:rsidRPr="00EA77A4">
              <w:rPr>
                <w:rFonts w:asciiTheme="majorBidi" w:hAnsiTheme="majorBidi" w:cstheme="majorBidi"/>
                <w:b/>
                <w:bCs/>
                <w:iCs/>
              </w:rPr>
              <w:t xml:space="preserve">Ministère </w:t>
            </w:r>
            <w:r w:rsidR="00872BD6" w:rsidRPr="00EA77A4">
              <w:rPr>
                <w:rFonts w:asciiTheme="majorBidi" w:hAnsiTheme="majorBidi" w:cstheme="majorBidi"/>
                <w:b/>
                <w:bCs/>
                <w:iCs/>
              </w:rPr>
              <w:t>du Développement Rural</w:t>
            </w:r>
          </w:p>
          <w:p w14:paraId="01744BBE" w14:textId="5B9C3A08" w:rsidR="00423E74" w:rsidRPr="00EA77A4" w:rsidRDefault="005932EC" w:rsidP="00C42452">
            <w:pPr>
              <w:spacing w:after="0"/>
              <w:ind w:left="-4" w:firstLine="4"/>
              <w:rPr>
                <w:b/>
                <w:spacing w:val="-2"/>
                <w:szCs w:val="24"/>
              </w:rPr>
            </w:pPr>
            <w:r w:rsidRPr="00EA77A4">
              <w:rPr>
                <w:rFonts w:asciiTheme="majorBidi" w:hAnsiTheme="majorBidi" w:cstheme="majorBidi"/>
              </w:rPr>
              <w:t>Nom</w:t>
            </w:r>
            <w:r w:rsidR="009B2302" w:rsidRPr="00EA77A4">
              <w:rPr>
                <w:rFonts w:asciiTheme="majorBidi" w:hAnsiTheme="majorBidi" w:cstheme="majorBidi"/>
              </w:rPr>
              <w:t xml:space="preserve"> </w:t>
            </w:r>
            <w:r w:rsidRPr="00EA77A4">
              <w:rPr>
                <w:rFonts w:asciiTheme="majorBidi" w:hAnsiTheme="majorBidi" w:cstheme="majorBidi"/>
              </w:rPr>
              <w:t>de l’AO</w:t>
            </w:r>
            <w:r w:rsidR="004F6302" w:rsidRPr="00EA77A4">
              <w:rPr>
                <w:rFonts w:asciiTheme="majorBidi" w:hAnsiTheme="majorBidi" w:cstheme="majorBidi"/>
              </w:rPr>
              <w:t>N</w:t>
            </w:r>
            <w:r w:rsidR="009B2302" w:rsidRPr="00EA77A4">
              <w:rPr>
                <w:rFonts w:asciiTheme="majorBidi" w:hAnsiTheme="majorBidi" w:cstheme="majorBidi"/>
              </w:rPr>
              <w:t> :</w:t>
            </w:r>
            <w:r w:rsidRPr="00EA77A4">
              <w:rPr>
                <w:rFonts w:asciiTheme="majorBidi" w:hAnsiTheme="majorBidi" w:cstheme="majorBidi"/>
              </w:rPr>
              <w:t xml:space="preserve"> </w:t>
            </w:r>
            <w:r w:rsidR="001B0201" w:rsidRPr="00EA77A4">
              <w:rPr>
                <w:b/>
                <w:spacing w:val="-2"/>
                <w:szCs w:val="24"/>
              </w:rPr>
              <w:t xml:space="preserve">Travaux d’aménagement hydro-agricole de 212 ha de </w:t>
            </w:r>
            <w:proofErr w:type="spellStart"/>
            <w:r w:rsidR="001B0201" w:rsidRPr="00EA77A4">
              <w:rPr>
                <w:b/>
                <w:spacing w:val="-2"/>
                <w:szCs w:val="24"/>
              </w:rPr>
              <w:t>bas fonds</w:t>
            </w:r>
            <w:proofErr w:type="spellEnd"/>
            <w:r w:rsidR="001B0201" w:rsidRPr="00EA77A4">
              <w:rPr>
                <w:b/>
                <w:spacing w:val="-2"/>
                <w:szCs w:val="24"/>
              </w:rPr>
              <w:t xml:space="preserve"> </w:t>
            </w:r>
            <w:r w:rsidR="00624D86" w:rsidRPr="00EA77A4">
              <w:rPr>
                <w:b/>
                <w:spacing w:val="-2"/>
                <w:szCs w:val="24"/>
              </w:rPr>
              <w:t>à</w:t>
            </w:r>
            <w:r w:rsidR="001B0201" w:rsidRPr="00EA77A4">
              <w:rPr>
                <w:b/>
                <w:spacing w:val="-2"/>
                <w:szCs w:val="24"/>
              </w:rPr>
              <w:t xml:space="preserve"> </w:t>
            </w:r>
            <w:proofErr w:type="spellStart"/>
            <w:r w:rsidR="001B0201" w:rsidRPr="00EA77A4">
              <w:rPr>
                <w:b/>
                <w:spacing w:val="-2"/>
                <w:szCs w:val="24"/>
              </w:rPr>
              <w:t>Kissakoro</w:t>
            </w:r>
            <w:proofErr w:type="spellEnd"/>
            <w:r w:rsidR="001B0201" w:rsidRPr="00EA77A4">
              <w:rPr>
                <w:b/>
                <w:spacing w:val="-2"/>
                <w:szCs w:val="24"/>
              </w:rPr>
              <w:t xml:space="preserve"> et la construction d’un magasin de stockage et de conservation d’échalote - commune de </w:t>
            </w:r>
            <w:proofErr w:type="spellStart"/>
            <w:r w:rsidR="001B0201" w:rsidRPr="00EA77A4">
              <w:rPr>
                <w:b/>
                <w:spacing w:val="-2"/>
                <w:szCs w:val="24"/>
              </w:rPr>
              <w:t>Benkadi</w:t>
            </w:r>
            <w:proofErr w:type="spellEnd"/>
            <w:r w:rsidR="001B0201" w:rsidRPr="00EA77A4">
              <w:rPr>
                <w:b/>
                <w:spacing w:val="-2"/>
                <w:szCs w:val="24"/>
              </w:rPr>
              <w:t xml:space="preserve"> dans la Région de Koulikoro, Mali</w:t>
            </w:r>
            <w:r w:rsidR="00423E74" w:rsidRPr="00EA77A4">
              <w:rPr>
                <w:b/>
                <w:spacing w:val="-2"/>
                <w:szCs w:val="24"/>
              </w:rPr>
              <w:t xml:space="preserve">. </w:t>
            </w:r>
          </w:p>
          <w:p w14:paraId="09C92D47" w14:textId="10D88F73" w:rsidR="005932EC" w:rsidRPr="00EA77A4" w:rsidRDefault="005932EC" w:rsidP="00C42452">
            <w:pPr>
              <w:tabs>
                <w:tab w:val="right" w:pos="7272"/>
              </w:tabs>
              <w:spacing w:after="0"/>
              <w:rPr>
                <w:rFonts w:asciiTheme="majorBidi" w:hAnsiTheme="majorBidi" w:cstheme="majorBidi"/>
                <w:b/>
                <w:bCs/>
                <w:u w:val="single"/>
              </w:rPr>
            </w:pPr>
            <w:r w:rsidRPr="00EA77A4">
              <w:rPr>
                <w:rFonts w:asciiTheme="majorBidi" w:hAnsiTheme="majorBidi" w:cstheme="majorBidi"/>
              </w:rPr>
              <w:t>Numéro d’identification de l’AO</w:t>
            </w:r>
            <w:r w:rsidR="004F6302" w:rsidRPr="00EA77A4">
              <w:rPr>
                <w:rFonts w:asciiTheme="majorBidi" w:hAnsiTheme="majorBidi" w:cstheme="majorBidi"/>
              </w:rPr>
              <w:t>N</w:t>
            </w:r>
            <w:r w:rsidR="009B2302" w:rsidRPr="00EA77A4">
              <w:rPr>
                <w:rFonts w:asciiTheme="majorBidi" w:hAnsiTheme="majorBidi" w:cstheme="majorBidi"/>
              </w:rPr>
              <w:t> :</w:t>
            </w:r>
            <w:r w:rsidRPr="00EA77A4">
              <w:rPr>
                <w:rFonts w:asciiTheme="majorBidi" w:hAnsiTheme="majorBidi" w:cstheme="majorBidi"/>
              </w:rPr>
              <w:t xml:space="preserve"> </w:t>
            </w:r>
            <w:r w:rsidR="00107599" w:rsidRPr="00EA77A4">
              <w:rPr>
                <w:b/>
                <w:sz w:val="28"/>
                <w:szCs w:val="24"/>
              </w:rPr>
              <w:t>……</w:t>
            </w:r>
            <w:r w:rsidR="00C2287E" w:rsidRPr="00EA77A4">
              <w:rPr>
                <w:b/>
                <w:sz w:val="28"/>
                <w:szCs w:val="24"/>
              </w:rPr>
              <w:t>/</w:t>
            </w:r>
            <w:r w:rsidR="000A305A" w:rsidRPr="002A1EEB">
              <w:rPr>
                <w:b/>
                <w:sz w:val="28"/>
                <w:szCs w:val="24"/>
              </w:rPr>
              <w:t>AO</w:t>
            </w:r>
            <w:r w:rsidR="008B0F56" w:rsidRPr="002A1EEB">
              <w:rPr>
                <w:b/>
                <w:sz w:val="28"/>
                <w:szCs w:val="24"/>
              </w:rPr>
              <w:t>N</w:t>
            </w:r>
            <w:r w:rsidR="000A305A" w:rsidRPr="002A1EEB">
              <w:rPr>
                <w:b/>
                <w:sz w:val="28"/>
                <w:szCs w:val="24"/>
              </w:rPr>
              <w:t>/</w:t>
            </w:r>
            <w:r w:rsidR="00BE6D61" w:rsidRPr="002A1EEB">
              <w:rPr>
                <w:b/>
                <w:sz w:val="28"/>
                <w:szCs w:val="24"/>
              </w:rPr>
              <w:t>2021</w:t>
            </w:r>
            <w:r w:rsidR="00C2287E" w:rsidRPr="002A1EEB">
              <w:rPr>
                <w:b/>
                <w:sz w:val="28"/>
                <w:szCs w:val="24"/>
              </w:rPr>
              <w:t>/PARIIS</w:t>
            </w:r>
            <w:r w:rsidR="00BE6D61" w:rsidRPr="002A1EEB">
              <w:rPr>
                <w:b/>
                <w:sz w:val="28"/>
                <w:szCs w:val="24"/>
              </w:rPr>
              <w:t xml:space="preserve"> ML/MDR</w:t>
            </w:r>
          </w:p>
          <w:p w14:paraId="5CC19E8E" w14:textId="7D9C0E07" w:rsidR="004D72BA" w:rsidRPr="00EA77A4" w:rsidRDefault="005932EC" w:rsidP="005C1C3C">
            <w:pPr>
              <w:tabs>
                <w:tab w:val="right" w:pos="7272"/>
              </w:tabs>
              <w:spacing w:after="0"/>
              <w:ind w:left="0" w:firstLine="0"/>
              <w:rPr>
                <w:rFonts w:ascii="Arial Narrow" w:hAnsi="Arial Narrow" w:cs="Arial"/>
                <w:b/>
                <w:sz w:val="28"/>
                <w:szCs w:val="24"/>
              </w:rPr>
            </w:pPr>
            <w:r w:rsidRPr="00EA77A4">
              <w:rPr>
                <w:rFonts w:asciiTheme="majorBidi" w:hAnsiTheme="majorBidi" w:cstheme="majorBidi"/>
              </w:rPr>
              <w:t>Nombre et numéro d’identification des lots faisant l’objet du présent AO</w:t>
            </w:r>
            <w:r w:rsidR="009B2302" w:rsidRPr="00EA77A4">
              <w:rPr>
                <w:rFonts w:asciiTheme="majorBidi" w:hAnsiTheme="majorBidi" w:cstheme="majorBidi"/>
              </w:rPr>
              <w:t> :</w:t>
            </w:r>
            <w:r w:rsidR="004F1398" w:rsidRPr="00EA77A4">
              <w:rPr>
                <w:rFonts w:asciiTheme="majorBidi" w:hAnsiTheme="majorBidi" w:cstheme="majorBidi"/>
              </w:rPr>
              <w:t xml:space="preserve"> </w:t>
            </w:r>
            <w:r w:rsidR="00423E74" w:rsidRPr="00EA77A4">
              <w:rPr>
                <w:b/>
                <w:spacing w:val="-2"/>
                <w:szCs w:val="24"/>
              </w:rPr>
              <w:t>Le</w:t>
            </w:r>
            <w:r w:rsidR="00AF4797" w:rsidRPr="00EA77A4">
              <w:rPr>
                <w:b/>
                <w:spacing w:val="-2"/>
                <w:szCs w:val="24"/>
              </w:rPr>
              <w:t xml:space="preserve">s travaux sont repartis en </w:t>
            </w:r>
            <w:r w:rsidR="005C1C3C" w:rsidRPr="00EA77A4">
              <w:rPr>
                <w:b/>
                <w:spacing w:val="-2"/>
                <w:szCs w:val="24"/>
              </w:rPr>
              <w:t>un lot unique</w:t>
            </w:r>
            <w:r w:rsidR="00BB5B65" w:rsidRPr="00EA77A4">
              <w:rPr>
                <w:b/>
                <w:spacing w:val="-2"/>
                <w:szCs w:val="24"/>
              </w:rPr>
              <w:t xml:space="preserve"> : </w:t>
            </w:r>
          </w:p>
          <w:p w14:paraId="231A5879" w14:textId="136B2D0F" w:rsidR="00BB5B65" w:rsidRPr="00EA77A4" w:rsidRDefault="00BB5B65" w:rsidP="00BB5B65">
            <w:pPr>
              <w:pStyle w:val="Titre"/>
              <w:spacing w:after="0"/>
              <w:ind w:left="0" w:firstLine="0"/>
              <w:jc w:val="both"/>
              <w:rPr>
                <w:sz w:val="24"/>
                <w:szCs w:val="22"/>
                <w:lang w:val="fr-FR"/>
              </w:rPr>
            </w:pPr>
            <w:r w:rsidRPr="00EA77A4">
              <w:rPr>
                <w:sz w:val="24"/>
                <w:szCs w:val="22"/>
                <w:lang w:val="fr-FR"/>
              </w:rPr>
              <w:t xml:space="preserve">Travaux d'aménagement hydro-agricole de 212 ha de </w:t>
            </w:r>
            <w:proofErr w:type="spellStart"/>
            <w:r w:rsidRPr="00EA77A4">
              <w:rPr>
                <w:sz w:val="24"/>
                <w:szCs w:val="22"/>
                <w:lang w:val="fr-FR"/>
              </w:rPr>
              <w:t>bas fonds</w:t>
            </w:r>
            <w:proofErr w:type="spellEnd"/>
            <w:r w:rsidRPr="00EA77A4">
              <w:rPr>
                <w:sz w:val="24"/>
                <w:szCs w:val="22"/>
                <w:lang w:val="fr-FR"/>
              </w:rPr>
              <w:t xml:space="preserve"> à </w:t>
            </w:r>
            <w:proofErr w:type="spellStart"/>
            <w:r w:rsidRPr="00EA77A4">
              <w:rPr>
                <w:sz w:val="24"/>
                <w:szCs w:val="22"/>
                <w:lang w:val="fr-FR"/>
              </w:rPr>
              <w:t>Kissakoro</w:t>
            </w:r>
            <w:proofErr w:type="spellEnd"/>
            <w:r w:rsidRPr="00EA77A4">
              <w:rPr>
                <w:sz w:val="24"/>
                <w:szCs w:val="22"/>
                <w:lang w:val="fr-FR"/>
              </w:rPr>
              <w:t xml:space="preserve"> et la construction d'un magasin de stockage et de conservation d’échalote - commune de </w:t>
            </w:r>
            <w:proofErr w:type="spellStart"/>
            <w:r w:rsidRPr="00EA77A4">
              <w:rPr>
                <w:sz w:val="24"/>
                <w:szCs w:val="22"/>
                <w:lang w:val="fr-FR"/>
              </w:rPr>
              <w:t>Benkadi</w:t>
            </w:r>
            <w:proofErr w:type="spellEnd"/>
            <w:r w:rsidRPr="00EA77A4">
              <w:rPr>
                <w:sz w:val="24"/>
                <w:szCs w:val="22"/>
                <w:lang w:val="fr-FR"/>
              </w:rPr>
              <w:t xml:space="preserve"> dans la Région de Koulikoro, Mali.</w:t>
            </w:r>
          </w:p>
        </w:tc>
      </w:tr>
      <w:tr w:rsidR="00EA77A4" w:rsidRPr="00EA77A4" w14:paraId="5EA47D44" w14:textId="77777777" w:rsidTr="007318E7">
        <w:trPr>
          <w:cantSplit/>
          <w:trHeight w:val="1020"/>
        </w:trPr>
        <w:tc>
          <w:tcPr>
            <w:tcW w:w="772" w:type="pct"/>
            <w:tcBorders>
              <w:top w:val="single" w:sz="12" w:space="0" w:color="000000"/>
            </w:tcBorders>
          </w:tcPr>
          <w:p w14:paraId="48D28657" w14:textId="6985C4EF" w:rsidR="005932EC" w:rsidRPr="00EA77A4" w:rsidRDefault="005932EC" w:rsidP="00C42452">
            <w:pPr>
              <w:spacing w:after="0"/>
              <w:rPr>
                <w:rFonts w:asciiTheme="majorBidi" w:hAnsiTheme="majorBidi" w:cstheme="majorBidi"/>
                <w:b/>
              </w:rPr>
            </w:pPr>
            <w:r w:rsidRPr="00EA77A4">
              <w:rPr>
                <w:rFonts w:asciiTheme="majorBidi" w:hAnsiTheme="majorBidi" w:cstheme="majorBidi"/>
                <w:b/>
              </w:rPr>
              <w:t>IS 2.1</w:t>
            </w:r>
          </w:p>
        </w:tc>
        <w:tc>
          <w:tcPr>
            <w:tcW w:w="4228" w:type="pct"/>
            <w:tcBorders>
              <w:top w:val="single" w:sz="12" w:space="0" w:color="000000"/>
            </w:tcBorders>
          </w:tcPr>
          <w:p w14:paraId="4EFEF65C" w14:textId="2663B6F2" w:rsidR="001F7BD9" w:rsidRPr="00EA77A4" w:rsidRDefault="005932EC" w:rsidP="00C42452">
            <w:pPr>
              <w:tabs>
                <w:tab w:val="right" w:pos="7254"/>
              </w:tabs>
              <w:spacing w:after="0"/>
              <w:ind w:left="0" w:firstLine="0"/>
              <w:rPr>
                <w:rFonts w:asciiTheme="majorBidi" w:hAnsiTheme="majorBidi" w:cstheme="majorBidi"/>
              </w:rPr>
            </w:pPr>
            <w:r w:rsidRPr="00EA77A4">
              <w:rPr>
                <w:rFonts w:asciiTheme="majorBidi" w:hAnsiTheme="majorBidi" w:cstheme="majorBidi"/>
              </w:rPr>
              <w:t>Nom de l’Emprunteur</w:t>
            </w:r>
            <w:r w:rsidR="009B2302" w:rsidRPr="00EA77A4">
              <w:rPr>
                <w:rFonts w:asciiTheme="majorBidi" w:hAnsiTheme="majorBidi" w:cstheme="majorBidi"/>
              </w:rPr>
              <w:t> :</w:t>
            </w:r>
            <w:r w:rsidRPr="00EA77A4">
              <w:rPr>
                <w:rFonts w:asciiTheme="majorBidi" w:hAnsiTheme="majorBidi" w:cstheme="majorBidi"/>
              </w:rPr>
              <w:t xml:space="preserve"> </w:t>
            </w:r>
            <w:r w:rsidR="000A305A" w:rsidRPr="00EA77A4">
              <w:rPr>
                <w:rFonts w:asciiTheme="majorBidi" w:hAnsiTheme="majorBidi" w:cstheme="majorBidi"/>
                <w:b/>
              </w:rPr>
              <w:t>Le Gouvernement de la</w:t>
            </w:r>
            <w:r w:rsidR="000A305A" w:rsidRPr="00EA77A4">
              <w:rPr>
                <w:rFonts w:asciiTheme="majorBidi" w:hAnsiTheme="majorBidi" w:cstheme="majorBidi"/>
              </w:rPr>
              <w:t xml:space="preserve"> </w:t>
            </w:r>
            <w:r w:rsidR="001F7BD9" w:rsidRPr="00EA77A4">
              <w:rPr>
                <w:rFonts w:asciiTheme="majorBidi" w:hAnsiTheme="majorBidi" w:cstheme="majorBidi"/>
                <w:b/>
                <w:bCs/>
                <w:iCs/>
              </w:rPr>
              <w:t xml:space="preserve">République du </w:t>
            </w:r>
            <w:r w:rsidR="00107599" w:rsidRPr="00EA77A4">
              <w:rPr>
                <w:rFonts w:asciiTheme="majorBidi" w:hAnsiTheme="majorBidi" w:cstheme="majorBidi"/>
                <w:b/>
                <w:bCs/>
                <w:iCs/>
              </w:rPr>
              <w:t>Mali</w:t>
            </w:r>
          </w:p>
          <w:p w14:paraId="362688C5" w14:textId="11B3FDE1" w:rsidR="005932EC" w:rsidRPr="00EA77A4" w:rsidRDefault="005932EC" w:rsidP="00C42452">
            <w:pPr>
              <w:tabs>
                <w:tab w:val="right" w:pos="7254"/>
              </w:tabs>
              <w:spacing w:after="0"/>
              <w:ind w:left="0" w:firstLine="0"/>
              <w:rPr>
                <w:rFonts w:asciiTheme="majorBidi" w:hAnsiTheme="majorBidi" w:cstheme="majorBidi"/>
                <w:b/>
                <w:bCs/>
              </w:rPr>
            </w:pPr>
            <w:r w:rsidRPr="00EA77A4">
              <w:rPr>
                <w:rFonts w:asciiTheme="majorBidi" w:hAnsiTheme="majorBidi" w:cstheme="majorBidi"/>
              </w:rPr>
              <w:t>Montant du financement au titre du crédit</w:t>
            </w:r>
            <w:r w:rsidR="00F637A0" w:rsidRPr="00EA77A4">
              <w:rPr>
                <w:rFonts w:asciiTheme="majorBidi" w:hAnsiTheme="majorBidi" w:cstheme="majorBidi"/>
              </w:rPr>
              <w:t> :</w:t>
            </w:r>
            <w:r w:rsidR="009B2302" w:rsidRPr="00EA77A4">
              <w:rPr>
                <w:rFonts w:asciiTheme="majorBidi" w:hAnsiTheme="majorBidi" w:cstheme="majorBidi"/>
              </w:rPr>
              <w:t> </w:t>
            </w:r>
            <w:r w:rsidR="00C2287E" w:rsidRPr="00EA77A4">
              <w:rPr>
                <w:rFonts w:asciiTheme="majorBidi" w:hAnsiTheme="majorBidi" w:cstheme="majorBidi"/>
                <w:b/>
              </w:rPr>
              <w:t>25.000.000 millions de dollars</w:t>
            </w:r>
            <w:r w:rsidR="00997A89" w:rsidRPr="00EA77A4">
              <w:rPr>
                <w:rFonts w:asciiTheme="majorBidi" w:hAnsiTheme="majorBidi" w:cstheme="majorBidi"/>
                <w:b/>
              </w:rPr>
              <w:t xml:space="preserve"> </w:t>
            </w:r>
            <w:r w:rsidR="00024430" w:rsidRPr="00EA77A4">
              <w:rPr>
                <w:rFonts w:asciiTheme="majorBidi" w:hAnsiTheme="majorBidi" w:cstheme="majorBidi"/>
                <w:b/>
              </w:rPr>
              <w:t>E.U.</w:t>
            </w:r>
          </w:p>
          <w:p w14:paraId="4F788C20" w14:textId="3B614F10" w:rsidR="005932EC" w:rsidRPr="00EA77A4" w:rsidRDefault="005932EC" w:rsidP="00C42452">
            <w:pPr>
              <w:spacing w:after="0"/>
              <w:ind w:left="0" w:firstLine="0"/>
              <w:rPr>
                <w:rFonts w:ascii="Calibri" w:eastAsia="Calibri" w:hAnsi="Calibri"/>
                <w:b/>
                <w:sz w:val="22"/>
                <w:szCs w:val="22"/>
                <w:lang w:eastAsia="en-US"/>
              </w:rPr>
            </w:pPr>
            <w:r w:rsidRPr="00EA77A4">
              <w:rPr>
                <w:rFonts w:asciiTheme="majorBidi" w:hAnsiTheme="majorBidi" w:cstheme="majorBidi"/>
              </w:rPr>
              <w:t>Nom du Projet</w:t>
            </w:r>
            <w:r w:rsidR="009B2302" w:rsidRPr="00EA77A4">
              <w:rPr>
                <w:rFonts w:asciiTheme="majorBidi" w:hAnsiTheme="majorBidi" w:cstheme="majorBidi"/>
              </w:rPr>
              <w:t> :</w:t>
            </w:r>
            <w:r w:rsidRPr="00EA77A4">
              <w:rPr>
                <w:rFonts w:asciiTheme="majorBidi" w:hAnsiTheme="majorBidi" w:cstheme="majorBidi"/>
              </w:rPr>
              <w:t xml:space="preserve"> </w:t>
            </w:r>
            <w:r w:rsidR="001F7BD9" w:rsidRPr="00EA77A4">
              <w:rPr>
                <w:rFonts w:asciiTheme="majorBidi" w:hAnsiTheme="majorBidi" w:cstheme="majorBidi"/>
                <w:b/>
              </w:rPr>
              <w:t xml:space="preserve">Projet d’Appui Régional à l’Initiative pour </w:t>
            </w:r>
            <w:r w:rsidR="00107599" w:rsidRPr="00EA77A4">
              <w:rPr>
                <w:rFonts w:asciiTheme="majorBidi" w:hAnsiTheme="majorBidi" w:cstheme="majorBidi"/>
                <w:b/>
              </w:rPr>
              <w:t>l’Irrigation au Sahel (PARIIS-MALI</w:t>
            </w:r>
            <w:r w:rsidR="00C2287E" w:rsidRPr="00EA77A4">
              <w:rPr>
                <w:rFonts w:asciiTheme="majorBidi" w:hAnsiTheme="majorBidi" w:cstheme="majorBidi"/>
                <w:b/>
              </w:rPr>
              <w:t>)</w:t>
            </w:r>
          </w:p>
        </w:tc>
      </w:tr>
      <w:tr w:rsidR="00EA77A4" w:rsidRPr="00EA77A4" w14:paraId="316CE14D" w14:textId="77777777" w:rsidTr="007318E7">
        <w:trPr>
          <w:cantSplit/>
        </w:trPr>
        <w:tc>
          <w:tcPr>
            <w:tcW w:w="772" w:type="pct"/>
            <w:tcBorders>
              <w:top w:val="single" w:sz="12" w:space="0" w:color="auto"/>
              <w:left w:val="single" w:sz="12" w:space="0" w:color="auto"/>
              <w:bottom w:val="single" w:sz="12" w:space="0" w:color="auto"/>
              <w:right w:val="single" w:sz="6" w:space="0" w:color="auto"/>
            </w:tcBorders>
          </w:tcPr>
          <w:p w14:paraId="57C95396" w14:textId="77777777" w:rsidR="00B1235A" w:rsidRPr="00EA77A4" w:rsidRDefault="000A450A" w:rsidP="004F1398">
            <w:pPr>
              <w:spacing w:before="160" w:after="160"/>
              <w:rPr>
                <w:rFonts w:asciiTheme="majorBidi" w:hAnsiTheme="majorBidi" w:cstheme="majorBidi"/>
                <w:b/>
              </w:rPr>
            </w:pPr>
            <w:r w:rsidRPr="00EA77A4">
              <w:rPr>
                <w:rFonts w:asciiTheme="majorBidi" w:hAnsiTheme="majorBidi" w:cstheme="majorBidi"/>
                <w:b/>
              </w:rPr>
              <w:t xml:space="preserve">IS </w:t>
            </w:r>
            <w:r w:rsidR="00432349" w:rsidRPr="00EA77A4">
              <w:rPr>
                <w:rFonts w:asciiTheme="majorBidi" w:hAnsiTheme="majorBidi" w:cstheme="majorBidi"/>
                <w:b/>
              </w:rPr>
              <w:t>4.</w:t>
            </w:r>
            <w:r w:rsidR="006C40EE" w:rsidRPr="00EA77A4">
              <w:rPr>
                <w:rFonts w:asciiTheme="majorBidi" w:hAnsiTheme="majorBidi" w:cstheme="majorBidi"/>
                <w:b/>
              </w:rPr>
              <w:t>1</w:t>
            </w:r>
          </w:p>
        </w:tc>
        <w:tc>
          <w:tcPr>
            <w:tcW w:w="4228" w:type="pct"/>
            <w:tcBorders>
              <w:top w:val="single" w:sz="12" w:space="0" w:color="auto"/>
              <w:left w:val="nil"/>
              <w:bottom w:val="single" w:sz="12" w:space="0" w:color="auto"/>
            </w:tcBorders>
          </w:tcPr>
          <w:p w14:paraId="61987928" w14:textId="6B1E7AED" w:rsidR="00D944C0" w:rsidRPr="00EA77A4" w:rsidRDefault="00147ABB" w:rsidP="00204C6B">
            <w:pPr>
              <w:pStyle w:val="i"/>
              <w:tabs>
                <w:tab w:val="right" w:pos="7848"/>
              </w:tabs>
              <w:spacing w:before="160" w:after="160"/>
              <w:ind w:left="0" w:firstLine="0"/>
              <w:rPr>
                <w:rFonts w:asciiTheme="majorBidi" w:hAnsiTheme="majorBidi" w:cstheme="majorBidi"/>
                <w:lang w:val="fr-FR"/>
              </w:rPr>
            </w:pPr>
            <w:r w:rsidRPr="00EA77A4">
              <w:rPr>
                <w:rFonts w:asciiTheme="majorBidi" w:hAnsiTheme="majorBidi" w:cstheme="majorBidi"/>
                <w:lang w:val="fr-FR"/>
              </w:rPr>
              <w:t>Le nombre des membres d’un groupement ne dépassera pas</w:t>
            </w:r>
            <w:r w:rsidR="009B2302" w:rsidRPr="00EA77A4">
              <w:rPr>
                <w:rFonts w:asciiTheme="majorBidi" w:hAnsiTheme="majorBidi" w:cstheme="majorBidi"/>
                <w:lang w:val="fr-FR"/>
              </w:rPr>
              <w:t> :</w:t>
            </w:r>
            <w:r w:rsidR="0021404E" w:rsidRPr="00EA77A4">
              <w:rPr>
                <w:rFonts w:asciiTheme="majorBidi" w:hAnsiTheme="majorBidi" w:cstheme="majorBidi"/>
                <w:lang w:val="fr-FR"/>
              </w:rPr>
              <w:t xml:space="preserve"> </w:t>
            </w:r>
            <w:r w:rsidR="003A3004" w:rsidRPr="00F93405">
              <w:rPr>
                <w:rFonts w:ascii="Times New Roman" w:hAnsi="Times New Roman"/>
                <w:b/>
                <w:bCs/>
                <w:i/>
                <w:lang w:val="fr-FR"/>
              </w:rPr>
              <w:t>Deux (2)</w:t>
            </w:r>
          </w:p>
        </w:tc>
      </w:tr>
      <w:tr w:rsidR="00EA77A4" w:rsidRPr="00EA77A4" w14:paraId="6748FA68" w14:textId="77777777" w:rsidTr="007318E7">
        <w:trPr>
          <w:cantSplit/>
        </w:trPr>
        <w:tc>
          <w:tcPr>
            <w:tcW w:w="772" w:type="pct"/>
            <w:tcBorders>
              <w:top w:val="single" w:sz="12" w:space="0" w:color="auto"/>
              <w:left w:val="single" w:sz="12" w:space="0" w:color="auto"/>
              <w:bottom w:val="single" w:sz="4" w:space="0" w:color="auto"/>
              <w:right w:val="single" w:sz="6" w:space="0" w:color="auto"/>
            </w:tcBorders>
          </w:tcPr>
          <w:p w14:paraId="21EBF662" w14:textId="12D2AD51" w:rsidR="0015591B" w:rsidRPr="00EA77A4" w:rsidRDefault="0015591B" w:rsidP="004F1398">
            <w:pPr>
              <w:spacing w:before="160" w:after="160"/>
              <w:rPr>
                <w:rFonts w:asciiTheme="majorBidi" w:hAnsiTheme="majorBidi" w:cstheme="majorBidi"/>
                <w:b/>
              </w:rPr>
            </w:pPr>
            <w:r w:rsidRPr="00EA77A4">
              <w:rPr>
                <w:rFonts w:asciiTheme="majorBidi" w:hAnsiTheme="majorBidi" w:cstheme="majorBidi"/>
                <w:b/>
              </w:rPr>
              <w:t>IS 4.</w:t>
            </w:r>
            <w:r w:rsidR="00AE6ADC" w:rsidRPr="00EA77A4">
              <w:rPr>
                <w:rFonts w:asciiTheme="majorBidi" w:hAnsiTheme="majorBidi" w:cstheme="majorBidi"/>
                <w:b/>
              </w:rPr>
              <w:t>5</w:t>
            </w:r>
          </w:p>
        </w:tc>
        <w:tc>
          <w:tcPr>
            <w:tcW w:w="4228" w:type="pct"/>
            <w:tcBorders>
              <w:top w:val="single" w:sz="12" w:space="0" w:color="auto"/>
              <w:left w:val="nil"/>
              <w:bottom w:val="single" w:sz="12" w:space="0" w:color="auto"/>
            </w:tcBorders>
          </w:tcPr>
          <w:p w14:paraId="7C6F3BFB" w14:textId="77777777" w:rsidR="004F1398" w:rsidRPr="00EA77A4" w:rsidRDefault="00A139F6" w:rsidP="004F1398">
            <w:pPr>
              <w:pStyle w:val="i"/>
              <w:tabs>
                <w:tab w:val="right" w:pos="7848"/>
              </w:tabs>
              <w:spacing w:before="160" w:after="0"/>
              <w:ind w:left="0" w:firstLine="0"/>
              <w:rPr>
                <w:rFonts w:asciiTheme="majorBidi" w:hAnsiTheme="majorBidi" w:cstheme="majorBidi"/>
                <w:lang w:val="fr-FR"/>
              </w:rPr>
            </w:pPr>
            <w:r w:rsidRPr="00EA77A4">
              <w:rPr>
                <w:rFonts w:asciiTheme="majorBidi" w:hAnsiTheme="majorBidi" w:cstheme="majorBidi"/>
                <w:lang w:val="fr-FR"/>
              </w:rPr>
              <w:t>Une liste des entreprises qui ne sont pas admises à participer aux projets de la Banque figure à l’adresse électronique suivante</w:t>
            </w:r>
            <w:r w:rsidR="009B2302" w:rsidRPr="00EA77A4">
              <w:rPr>
                <w:rFonts w:asciiTheme="majorBidi" w:hAnsiTheme="majorBidi" w:cstheme="majorBidi"/>
                <w:lang w:val="fr-FR"/>
              </w:rPr>
              <w:t xml:space="preserve"> :</w:t>
            </w:r>
          </w:p>
          <w:p w14:paraId="7457CC63" w14:textId="0D0D85E0" w:rsidR="0015591B" w:rsidRPr="00EA77A4" w:rsidRDefault="00B37E92" w:rsidP="004F1398">
            <w:pPr>
              <w:pStyle w:val="i"/>
              <w:tabs>
                <w:tab w:val="right" w:pos="7848"/>
              </w:tabs>
              <w:spacing w:after="160"/>
              <w:ind w:left="0" w:firstLine="0"/>
              <w:rPr>
                <w:rFonts w:asciiTheme="majorBidi" w:hAnsiTheme="majorBidi" w:cstheme="majorBidi"/>
                <w:lang w:val="fr-FR"/>
              </w:rPr>
            </w:pPr>
            <w:hyperlink r:id="rId17" w:history="1">
              <w:r w:rsidR="00A139F6" w:rsidRPr="00EA77A4">
                <w:rPr>
                  <w:rStyle w:val="Lienhypertexte"/>
                  <w:rFonts w:asciiTheme="majorBidi" w:hAnsiTheme="majorBidi" w:cstheme="majorBidi"/>
                  <w:color w:val="auto"/>
                  <w:lang w:val="fr-FR"/>
                </w:rPr>
                <w:t>http</w:t>
              </w:r>
              <w:r w:rsidR="009B2302" w:rsidRPr="00EA77A4">
                <w:rPr>
                  <w:rStyle w:val="Lienhypertexte"/>
                  <w:rFonts w:asciiTheme="majorBidi" w:hAnsiTheme="majorBidi" w:cstheme="majorBidi"/>
                  <w:color w:val="auto"/>
                  <w:lang w:val="fr-FR"/>
                </w:rPr>
                <w:t>:</w:t>
              </w:r>
              <w:r w:rsidR="00A139F6" w:rsidRPr="00EA77A4">
                <w:rPr>
                  <w:rStyle w:val="Lienhypertexte"/>
                  <w:rFonts w:asciiTheme="majorBidi" w:hAnsiTheme="majorBidi" w:cstheme="majorBidi"/>
                  <w:color w:val="auto"/>
                  <w:lang w:val="fr-FR"/>
                </w:rPr>
                <w:t>//www.worldbank.org/debarr</w:t>
              </w:r>
            </w:hyperlink>
          </w:p>
        </w:tc>
      </w:tr>
    </w:tbl>
    <w:p w14:paraId="541C8245" w14:textId="77777777" w:rsidR="004F1398" w:rsidRPr="00A67F27" w:rsidRDefault="004F1398" w:rsidP="004F1398">
      <w:pPr>
        <w:pStyle w:val="Lgende"/>
        <w:tabs>
          <w:tab w:val="right" w:pos="7434"/>
        </w:tabs>
        <w:spacing w:before="60" w:after="60"/>
        <w:ind w:left="0" w:firstLine="0"/>
        <w:jc w:val="center"/>
        <w:rPr>
          <w:b/>
          <w:szCs w:val="24"/>
          <w:lang w:eastAsia="en-US"/>
        </w:rPr>
      </w:pPr>
    </w:p>
    <w:p w14:paraId="60DFA781" w14:textId="314235F3" w:rsidR="004F1398" w:rsidRPr="00A67F27" w:rsidRDefault="004F1398" w:rsidP="004F1398">
      <w:pPr>
        <w:pStyle w:val="Lgende"/>
        <w:tabs>
          <w:tab w:val="right" w:pos="7434"/>
        </w:tabs>
        <w:spacing w:before="60" w:after="60"/>
        <w:ind w:left="0" w:firstLine="0"/>
        <w:jc w:val="center"/>
        <w:rPr>
          <w:b/>
          <w:szCs w:val="24"/>
          <w:lang w:eastAsia="en-US"/>
        </w:rPr>
      </w:pPr>
      <w:r w:rsidRPr="00A67F27">
        <w:rPr>
          <w:b/>
          <w:szCs w:val="24"/>
          <w:lang w:eastAsia="en-US"/>
        </w:rPr>
        <w:t>B. Dossier d’Appel d’Offres</w:t>
      </w:r>
    </w:p>
    <w:tbl>
      <w:tblPr>
        <w:tblW w:w="9360"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620"/>
        <w:gridCol w:w="7740"/>
      </w:tblGrid>
      <w:tr w:rsidR="0089635E" w:rsidRPr="00A67F27" w14:paraId="2919EFD7" w14:textId="77777777" w:rsidTr="0089635E">
        <w:tc>
          <w:tcPr>
            <w:tcW w:w="1620" w:type="dxa"/>
          </w:tcPr>
          <w:p w14:paraId="09F85DA2" w14:textId="77777777" w:rsidR="0089635E" w:rsidRPr="00A67F27" w:rsidRDefault="0089635E" w:rsidP="004F1398">
            <w:pPr>
              <w:tabs>
                <w:tab w:val="right" w:pos="7254"/>
              </w:tabs>
              <w:spacing w:before="160" w:after="160"/>
              <w:rPr>
                <w:rFonts w:asciiTheme="majorBidi" w:hAnsiTheme="majorBidi" w:cstheme="majorBidi"/>
                <w:b/>
              </w:rPr>
            </w:pPr>
            <w:r w:rsidRPr="00A67F27">
              <w:rPr>
                <w:rFonts w:asciiTheme="majorBidi" w:hAnsiTheme="majorBidi" w:cstheme="majorBidi"/>
                <w:b/>
              </w:rPr>
              <w:t>IS 7.1</w:t>
            </w:r>
          </w:p>
        </w:tc>
        <w:tc>
          <w:tcPr>
            <w:tcW w:w="7740" w:type="dxa"/>
          </w:tcPr>
          <w:p w14:paraId="182CC427" w14:textId="34E4990A" w:rsidR="0089635E" w:rsidRPr="00DB7DEE" w:rsidRDefault="0089635E" w:rsidP="004F1398">
            <w:pPr>
              <w:tabs>
                <w:tab w:val="right" w:pos="7254"/>
              </w:tabs>
              <w:spacing w:before="160" w:after="160"/>
              <w:ind w:left="0" w:firstLine="0"/>
              <w:rPr>
                <w:rFonts w:asciiTheme="majorBidi" w:hAnsiTheme="majorBidi" w:cstheme="majorBidi"/>
              </w:rPr>
            </w:pPr>
            <w:r w:rsidRPr="00DB7DEE">
              <w:rPr>
                <w:rFonts w:asciiTheme="majorBidi" w:hAnsiTheme="majorBidi" w:cstheme="majorBidi"/>
              </w:rPr>
              <w:t>Aux seules fins d</w:t>
            </w:r>
            <w:r w:rsidRPr="00DB7DEE">
              <w:rPr>
                <w:rFonts w:asciiTheme="majorBidi" w:hAnsiTheme="majorBidi" w:cstheme="majorBidi"/>
                <w:b/>
              </w:rPr>
              <w:t>’</w:t>
            </w:r>
            <w:r w:rsidRPr="00DB7DEE">
              <w:rPr>
                <w:rFonts w:asciiTheme="majorBidi" w:hAnsiTheme="majorBidi" w:cstheme="majorBidi"/>
                <w:b/>
                <w:u w:val="single"/>
              </w:rPr>
              <w:t>obtention d’éclaircissements</w:t>
            </w:r>
            <w:r w:rsidRPr="00DB7DEE">
              <w:rPr>
                <w:rFonts w:asciiTheme="majorBidi" w:hAnsiTheme="majorBidi" w:cstheme="majorBidi"/>
              </w:rPr>
              <w:t>,</w:t>
            </w:r>
            <w:r w:rsidRPr="00DB7DEE">
              <w:rPr>
                <w:rFonts w:asciiTheme="majorBidi" w:hAnsiTheme="majorBidi" w:cstheme="majorBidi"/>
                <w:b/>
              </w:rPr>
              <w:t xml:space="preserve"> </w:t>
            </w:r>
            <w:r w:rsidRPr="00DB7DEE">
              <w:rPr>
                <w:rFonts w:asciiTheme="majorBidi" w:hAnsiTheme="majorBidi" w:cstheme="majorBidi"/>
              </w:rPr>
              <w:t>l’adresse du Maître de l’Ouvrage est la suivante :</w:t>
            </w:r>
          </w:p>
          <w:p w14:paraId="328EF9FE" w14:textId="476D919E" w:rsidR="00423E74" w:rsidRPr="00DB7DEE" w:rsidRDefault="0089635E" w:rsidP="005C1C3C">
            <w:pPr>
              <w:tabs>
                <w:tab w:val="right" w:pos="7254"/>
              </w:tabs>
              <w:spacing w:before="160" w:after="0"/>
              <w:ind w:left="0" w:firstLine="0"/>
              <w:rPr>
                <w:rFonts w:asciiTheme="majorBidi" w:hAnsiTheme="majorBidi" w:cstheme="majorBidi"/>
                <w:b/>
                <w:bCs/>
                <w:i/>
                <w:iCs/>
              </w:rPr>
            </w:pPr>
            <w:r w:rsidRPr="00DB7DEE">
              <w:rPr>
                <w:rFonts w:asciiTheme="majorBidi" w:hAnsiTheme="majorBidi" w:cstheme="majorBidi"/>
              </w:rPr>
              <w:t xml:space="preserve">Attention de : </w:t>
            </w:r>
            <w:r w:rsidR="00423E74" w:rsidRPr="00DB7DEE">
              <w:rPr>
                <w:rFonts w:asciiTheme="majorBidi" w:hAnsiTheme="majorBidi" w:cstheme="majorBidi"/>
                <w:b/>
                <w:bCs/>
                <w:i/>
                <w:iCs/>
              </w:rPr>
              <w:t>Monsieur le Coordinateur du Projet d’Appui Régional à l’Initiative pour l’Irrigation au Sahel (PARIIS-Mali)</w:t>
            </w:r>
          </w:p>
          <w:p w14:paraId="321950E1" w14:textId="77777777" w:rsidR="00423E74" w:rsidRPr="00DB7DEE" w:rsidRDefault="00423E74" w:rsidP="005C1C3C">
            <w:pPr>
              <w:tabs>
                <w:tab w:val="right" w:pos="7254"/>
              </w:tabs>
              <w:spacing w:before="160" w:after="0"/>
              <w:ind w:left="-12" w:firstLine="12"/>
              <w:rPr>
                <w:rFonts w:asciiTheme="majorBidi" w:hAnsiTheme="majorBidi" w:cstheme="majorBidi"/>
                <w:b/>
                <w:bCs/>
                <w:i/>
                <w:iCs/>
              </w:rPr>
            </w:pPr>
            <w:proofErr w:type="spellStart"/>
            <w:r w:rsidRPr="00DB7DEE">
              <w:rPr>
                <w:rFonts w:asciiTheme="majorBidi" w:hAnsiTheme="majorBidi" w:cstheme="majorBidi"/>
                <w:b/>
                <w:bCs/>
                <w:i/>
                <w:iCs/>
              </w:rPr>
              <w:t>Hamdallaye</w:t>
            </w:r>
            <w:proofErr w:type="spellEnd"/>
            <w:r w:rsidRPr="00DB7DEE">
              <w:rPr>
                <w:rFonts w:asciiTheme="majorBidi" w:hAnsiTheme="majorBidi" w:cstheme="majorBidi"/>
                <w:b/>
                <w:bCs/>
                <w:i/>
                <w:iCs/>
              </w:rPr>
              <w:t xml:space="preserve"> ACI 2000 Bamako Mali, Rue 333 Porte 16 – </w:t>
            </w:r>
            <w:proofErr w:type="spellStart"/>
            <w:r w:rsidRPr="00DB7DEE">
              <w:rPr>
                <w:rFonts w:asciiTheme="majorBidi" w:hAnsiTheme="majorBidi" w:cstheme="majorBidi"/>
                <w:b/>
                <w:bCs/>
                <w:i/>
                <w:iCs/>
              </w:rPr>
              <w:t>Imm</w:t>
            </w:r>
            <w:proofErr w:type="spellEnd"/>
            <w:r w:rsidRPr="00DB7DEE">
              <w:rPr>
                <w:rFonts w:asciiTheme="majorBidi" w:hAnsiTheme="majorBidi" w:cstheme="majorBidi"/>
                <w:b/>
                <w:bCs/>
                <w:i/>
                <w:iCs/>
              </w:rPr>
              <w:t xml:space="preserve">. De Mme TANDIA </w:t>
            </w:r>
            <w:proofErr w:type="spellStart"/>
            <w:r w:rsidRPr="00DB7DEE">
              <w:rPr>
                <w:rFonts w:asciiTheme="majorBidi" w:hAnsiTheme="majorBidi" w:cstheme="majorBidi"/>
                <w:b/>
                <w:bCs/>
                <w:i/>
                <w:iCs/>
              </w:rPr>
              <w:t>Hawa</w:t>
            </w:r>
            <w:proofErr w:type="spellEnd"/>
            <w:r w:rsidRPr="00DB7DEE">
              <w:rPr>
                <w:rFonts w:asciiTheme="majorBidi" w:hAnsiTheme="majorBidi" w:cstheme="majorBidi"/>
                <w:b/>
                <w:bCs/>
                <w:i/>
                <w:iCs/>
              </w:rPr>
              <w:t xml:space="preserve"> HAIDARA</w:t>
            </w:r>
          </w:p>
          <w:p w14:paraId="79E17A9F" w14:textId="0510B5EF" w:rsidR="0089635E" w:rsidRPr="00DB7DEE" w:rsidRDefault="00423E74" w:rsidP="00423E74">
            <w:pPr>
              <w:tabs>
                <w:tab w:val="right" w:pos="7254"/>
              </w:tabs>
              <w:spacing w:before="160" w:after="0"/>
              <w:rPr>
                <w:rFonts w:asciiTheme="majorBidi" w:hAnsiTheme="majorBidi" w:cstheme="majorBidi"/>
                <w:b/>
                <w:bCs/>
                <w:i/>
                <w:iCs/>
              </w:rPr>
            </w:pPr>
            <w:r w:rsidRPr="00DB7DEE">
              <w:rPr>
                <w:rFonts w:asciiTheme="majorBidi" w:hAnsiTheme="majorBidi" w:cstheme="majorBidi"/>
                <w:b/>
                <w:bCs/>
                <w:i/>
                <w:iCs/>
              </w:rPr>
              <w:t xml:space="preserve">Tél (223) 20 23 33 46/20 23 34 20 </w:t>
            </w:r>
          </w:p>
          <w:p w14:paraId="04B2FC31" w14:textId="77777777" w:rsidR="00423E74" w:rsidRPr="00DB7DEE" w:rsidRDefault="00423E74" w:rsidP="00423E74">
            <w:pPr>
              <w:tabs>
                <w:tab w:val="right" w:pos="7254"/>
              </w:tabs>
              <w:spacing w:after="0"/>
              <w:ind w:left="0" w:firstLine="0"/>
            </w:pPr>
          </w:p>
          <w:p w14:paraId="0AD85AA4" w14:textId="2D432A1A" w:rsidR="0089635E" w:rsidRPr="00DB7DEE" w:rsidRDefault="00240B6A" w:rsidP="00423E74">
            <w:pPr>
              <w:tabs>
                <w:tab w:val="right" w:pos="7254"/>
              </w:tabs>
              <w:spacing w:after="0"/>
              <w:ind w:left="0" w:firstLine="0"/>
              <w:rPr>
                <w:rFonts w:asciiTheme="majorBidi" w:hAnsiTheme="majorBidi" w:cstheme="majorBidi"/>
                <w:i/>
                <w:iCs/>
              </w:rPr>
            </w:pPr>
            <w:r w:rsidRPr="00DB7DEE">
              <w:t>Les demandes de c</w:t>
            </w:r>
            <w:r w:rsidR="0089635E" w:rsidRPr="00DB7DEE">
              <w:t xml:space="preserve">larification </w:t>
            </w:r>
            <w:r w:rsidRPr="00DB7DEE">
              <w:t>doivent être reçues par le Maître d’Ouvrage pas plus de</w:t>
            </w:r>
            <w:r w:rsidR="00214E42" w:rsidRPr="00DB7DEE">
              <w:t xml:space="preserve"> </w:t>
            </w:r>
            <w:r w:rsidRPr="00DB7DEE">
              <w:t xml:space="preserve">: </w:t>
            </w:r>
            <w:r w:rsidR="00C2287E" w:rsidRPr="00DB7DEE">
              <w:rPr>
                <w:b/>
                <w:i/>
              </w:rPr>
              <w:t>15 jours</w:t>
            </w:r>
            <w:r w:rsidR="00C2287E" w:rsidRPr="00DB7DEE">
              <w:t xml:space="preserve"> </w:t>
            </w:r>
            <w:r w:rsidR="003C5BC8" w:rsidRPr="00DB7DEE">
              <w:t xml:space="preserve">avant la date limite de remise des offres. </w:t>
            </w:r>
          </w:p>
        </w:tc>
      </w:tr>
      <w:tr w:rsidR="000A450A" w:rsidRPr="00A67F27" w14:paraId="161AD726" w14:textId="77777777" w:rsidTr="00BE4B6F">
        <w:tc>
          <w:tcPr>
            <w:tcW w:w="1620" w:type="dxa"/>
          </w:tcPr>
          <w:p w14:paraId="6B35CABD" w14:textId="77777777" w:rsidR="000A450A" w:rsidRPr="00A67F27" w:rsidRDefault="000A450A" w:rsidP="005C1C3C">
            <w:pPr>
              <w:tabs>
                <w:tab w:val="right" w:pos="7254"/>
              </w:tabs>
              <w:spacing w:after="0"/>
              <w:rPr>
                <w:rFonts w:asciiTheme="majorBidi" w:hAnsiTheme="majorBidi" w:cstheme="majorBidi"/>
                <w:b/>
              </w:rPr>
            </w:pPr>
            <w:r w:rsidRPr="00A67F27">
              <w:rPr>
                <w:rFonts w:asciiTheme="majorBidi" w:hAnsiTheme="majorBidi" w:cstheme="majorBidi"/>
                <w:b/>
              </w:rPr>
              <w:t>IS 7.4</w:t>
            </w:r>
          </w:p>
        </w:tc>
        <w:tc>
          <w:tcPr>
            <w:tcW w:w="7740" w:type="dxa"/>
          </w:tcPr>
          <w:p w14:paraId="612B2F48" w14:textId="77777777" w:rsidR="00551076" w:rsidRPr="00DB7DEE" w:rsidRDefault="00551076" w:rsidP="005C1C3C">
            <w:pPr>
              <w:tabs>
                <w:tab w:val="right" w:pos="7254"/>
              </w:tabs>
              <w:spacing w:after="0"/>
            </w:pPr>
            <w:r w:rsidRPr="00DB7DEE">
              <w:t>Une réunion préparatoire se tiendra à l’adresse, date et heure ci-après :</w:t>
            </w:r>
          </w:p>
          <w:p w14:paraId="50C1D258" w14:textId="33585DE0" w:rsidR="00551076" w:rsidRPr="00DB7DEE" w:rsidRDefault="00551076" w:rsidP="005C1C3C">
            <w:pPr>
              <w:tabs>
                <w:tab w:val="right" w:pos="7254"/>
              </w:tabs>
              <w:spacing w:after="0"/>
            </w:pPr>
            <w:r w:rsidRPr="00DB7DEE">
              <w:t xml:space="preserve">Lieu : </w:t>
            </w:r>
            <w:r w:rsidRPr="00DB7DEE">
              <w:rPr>
                <w:b/>
                <w:i/>
              </w:rPr>
              <w:t>Salle de réunion</w:t>
            </w:r>
            <w:r w:rsidRPr="00DB7DEE">
              <w:t xml:space="preserve"> du PARIIS Mali</w:t>
            </w:r>
          </w:p>
          <w:p w14:paraId="36AF571B" w14:textId="3B8796AF" w:rsidR="00551076" w:rsidRPr="00EA77A4" w:rsidRDefault="00551076" w:rsidP="005C1C3C">
            <w:pPr>
              <w:tabs>
                <w:tab w:val="right" w:pos="7254"/>
              </w:tabs>
              <w:spacing w:after="0"/>
            </w:pPr>
            <w:r w:rsidRPr="00EA77A4">
              <w:t>Date</w:t>
            </w:r>
            <w:r w:rsidR="00C7774C" w:rsidRPr="00EA77A4">
              <w:t xml:space="preserve"> </w:t>
            </w:r>
            <w:proofErr w:type="gramStart"/>
            <w:r w:rsidR="00C7774C" w:rsidRPr="00EA77A4">
              <w:t>:  …</w:t>
            </w:r>
            <w:proofErr w:type="gramEnd"/>
            <w:r w:rsidR="00257F69" w:rsidRPr="00EA77A4">
              <w:t>….</w:t>
            </w:r>
            <w:r w:rsidR="00C7774C" w:rsidRPr="00EA77A4">
              <w:t>.</w:t>
            </w:r>
            <w:r w:rsidRPr="00EA77A4">
              <w:rPr>
                <w:b/>
                <w:i/>
              </w:rPr>
              <w:t>/</w:t>
            </w:r>
            <w:r w:rsidR="00257F69" w:rsidRPr="00EA77A4">
              <w:rPr>
                <w:b/>
                <w:i/>
              </w:rPr>
              <w:t>…</w:t>
            </w:r>
            <w:r w:rsidRPr="00EA77A4">
              <w:rPr>
                <w:b/>
                <w:i/>
              </w:rPr>
              <w:t>…/20</w:t>
            </w:r>
            <w:r w:rsidR="002663F3" w:rsidRPr="00EA77A4">
              <w:rPr>
                <w:b/>
                <w:i/>
              </w:rPr>
              <w:t>2</w:t>
            </w:r>
            <w:r w:rsidR="00816912" w:rsidRPr="00EA77A4">
              <w:rPr>
                <w:b/>
                <w:i/>
              </w:rPr>
              <w:t>1</w:t>
            </w:r>
          </w:p>
          <w:p w14:paraId="7FAD782D" w14:textId="77777777" w:rsidR="00551076" w:rsidRPr="00EA77A4" w:rsidRDefault="00551076" w:rsidP="005C1C3C">
            <w:pPr>
              <w:tabs>
                <w:tab w:val="right" w:pos="7254"/>
              </w:tabs>
              <w:spacing w:after="0"/>
            </w:pPr>
            <w:r w:rsidRPr="00EA77A4">
              <w:t xml:space="preserve">Heure : </w:t>
            </w:r>
            <w:r w:rsidRPr="00EA77A4">
              <w:rPr>
                <w:b/>
                <w:i/>
              </w:rPr>
              <w:t>10 heures</w:t>
            </w:r>
          </w:p>
          <w:p w14:paraId="3BEE17CC" w14:textId="182E4DBC" w:rsidR="00130BD9" w:rsidRPr="00EA77A4" w:rsidRDefault="00130BD9" w:rsidP="00130BD9">
            <w:pPr>
              <w:tabs>
                <w:tab w:val="right" w:pos="7254"/>
              </w:tabs>
              <w:spacing w:before="160" w:after="160"/>
              <w:rPr>
                <w:rFonts w:asciiTheme="majorBidi" w:hAnsiTheme="majorBidi" w:cstheme="majorBidi"/>
              </w:rPr>
            </w:pPr>
            <w:r w:rsidRPr="00EA77A4">
              <w:rPr>
                <w:rFonts w:asciiTheme="majorBidi" w:hAnsiTheme="majorBidi" w:cstheme="majorBidi"/>
              </w:rPr>
              <w:lastRenderedPageBreak/>
              <w:t>Une réunion préparatoire n’aura pas lieu : Oui</w:t>
            </w:r>
          </w:p>
          <w:p w14:paraId="72FAAF0F" w14:textId="3813C5C0" w:rsidR="00130BD9" w:rsidRPr="00DB7DEE" w:rsidRDefault="00130BD9" w:rsidP="00130BD9">
            <w:pPr>
              <w:tabs>
                <w:tab w:val="right" w:pos="7254"/>
              </w:tabs>
              <w:spacing w:after="0"/>
              <w:rPr>
                <w:rFonts w:asciiTheme="majorBidi" w:hAnsiTheme="majorBidi" w:cstheme="majorBidi"/>
              </w:rPr>
            </w:pPr>
            <w:r w:rsidRPr="00EA77A4">
              <w:rPr>
                <w:rFonts w:asciiTheme="majorBidi" w:hAnsiTheme="majorBidi" w:cstheme="majorBidi"/>
              </w:rPr>
              <w:t>Une visite du site</w:t>
            </w:r>
            <w:r w:rsidRPr="00EA77A4">
              <w:rPr>
                <w:rFonts w:asciiTheme="majorBidi" w:hAnsiTheme="majorBidi" w:cstheme="majorBidi"/>
                <w:bCs/>
                <w:iCs/>
              </w:rPr>
              <w:t xml:space="preserve"> sera </w:t>
            </w:r>
            <w:r w:rsidRPr="00EA77A4">
              <w:rPr>
                <w:rFonts w:asciiTheme="majorBidi" w:hAnsiTheme="majorBidi" w:cstheme="majorBidi"/>
              </w:rPr>
              <w:t>organisée par le Maître de l’Ouvrage : Oui</w:t>
            </w:r>
          </w:p>
        </w:tc>
      </w:tr>
    </w:tbl>
    <w:p w14:paraId="587B47CF" w14:textId="474A0E8A" w:rsidR="0089635E" w:rsidRPr="00A67F27" w:rsidRDefault="0089635E" w:rsidP="0089635E">
      <w:pPr>
        <w:pStyle w:val="Lgende"/>
        <w:tabs>
          <w:tab w:val="right" w:pos="7434"/>
        </w:tabs>
        <w:spacing w:before="60" w:after="60"/>
        <w:ind w:left="0" w:firstLine="0"/>
        <w:jc w:val="center"/>
        <w:rPr>
          <w:b/>
          <w:szCs w:val="24"/>
          <w:lang w:eastAsia="en-US"/>
        </w:rPr>
      </w:pPr>
    </w:p>
    <w:p w14:paraId="16134CD7" w14:textId="0B0EF936" w:rsidR="0089635E" w:rsidRPr="00A67F27" w:rsidRDefault="0089635E" w:rsidP="0089635E">
      <w:pPr>
        <w:pStyle w:val="Lgende"/>
        <w:tabs>
          <w:tab w:val="right" w:pos="7434"/>
        </w:tabs>
        <w:spacing w:before="60" w:after="60"/>
        <w:ind w:left="0" w:firstLine="0"/>
        <w:jc w:val="center"/>
        <w:rPr>
          <w:b/>
          <w:szCs w:val="24"/>
          <w:lang w:eastAsia="en-US"/>
        </w:rPr>
      </w:pPr>
      <w:r w:rsidRPr="00A67F27">
        <w:rPr>
          <w:b/>
          <w:szCs w:val="24"/>
          <w:lang w:eastAsia="en-US"/>
        </w:rPr>
        <w:t>C. Préparation des offres</w:t>
      </w:r>
    </w:p>
    <w:tbl>
      <w:tblPr>
        <w:tblW w:w="9360"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620"/>
        <w:gridCol w:w="7740"/>
      </w:tblGrid>
      <w:tr w:rsidR="000A450A" w:rsidRPr="00A67F27" w14:paraId="27386F54" w14:textId="77777777" w:rsidTr="007318E7">
        <w:trPr>
          <w:trHeight w:val="20"/>
        </w:trPr>
        <w:tc>
          <w:tcPr>
            <w:tcW w:w="1620" w:type="dxa"/>
          </w:tcPr>
          <w:p w14:paraId="611406EB" w14:textId="77777777" w:rsidR="000A450A" w:rsidRPr="00A67F27" w:rsidRDefault="000A450A" w:rsidP="004F1398">
            <w:pPr>
              <w:tabs>
                <w:tab w:val="right" w:pos="7434"/>
              </w:tabs>
              <w:spacing w:before="160" w:after="160"/>
              <w:rPr>
                <w:rFonts w:asciiTheme="majorBidi" w:hAnsiTheme="majorBidi" w:cstheme="majorBidi"/>
                <w:b/>
              </w:rPr>
            </w:pPr>
            <w:r w:rsidRPr="00A67F27">
              <w:rPr>
                <w:rFonts w:asciiTheme="majorBidi" w:hAnsiTheme="majorBidi" w:cstheme="majorBidi"/>
                <w:b/>
              </w:rPr>
              <w:t>IS 10.1</w:t>
            </w:r>
          </w:p>
        </w:tc>
        <w:tc>
          <w:tcPr>
            <w:tcW w:w="7740" w:type="dxa"/>
          </w:tcPr>
          <w:p w14:paraId="585A4461" w14:textId="4268F27E" w:rsidR="000A450A" w:rsidRPr="00A67F27" w:rsidRDefault="000A450A" w:rsidP="004F1398">
            <w:pPr>
              <w:tabs>
                <w:tab w:val="right" w:pos="7254"/>
              </w:tabs>
              <w:spacing w:before="160" w:after="160"/>
              <w:ind w:left="0" w:firstLine="0"/>
              <w:rPr>
                <w:rFonts w:asciiTheme="majorBidi" w:hAnsiTheme="majorBidi" w:cstheme="majorBidi"/>
                <w:b/>
                <w:bCs/>
                <w:u w:val="single"/>
              </w:rPr>
            </w:pPr>
            <w:r w:rsidRPr="00A67F27">
              <w:rPr>
                <w:rFonts w:asciiTheme="majorBidi" w:hAnsiTheme="majorBidi" w:cstheme="majorBidi"/>
              </w:rPr>
              <w:t>La langue de l’offre est </w:t>
            </w:r>
            <w:r w:rsidR="00783031" w:rsidRPr="00A67F27">
              <w:rPr>
                <w:rFonts w:asciiTheme="majorBidi" w:hAnsiTheme="majorBidi" w:cstheme="majorBidi"/>
              </w:rPr>
              <w:t>en </w:t>
            </w:r>
            <w:r w:rsidR="00783031" w:rsidRPr="00A67F27">
              <w:rPr>
                <w:rFonts w:asciiTheme="majorBidi" w:hAnsiTheme="majorBidi" w:cstheme="majorBidi"/>
                <w:b/>
              </w:rPr>
              <w:t>Français</w:t>
            </w:r>
            <w:r w:rsidR="00B9363F">
              <w:rPr>
                <w:rFonts w:asciiTheme="majorBidi" w:hAnsiTheme="majorBidi" w:cstheme="majorBidi"/>
                <w:b/>
              </w:rPr>
              <w:t>.</w:t>
            </w:r>
          </w:p>
          <w:p w14:paraId="15D86E63" w14:textId="4F2BAED4" w:rsidR="0089635E" w:rsidRPr="00A67F27" w:rsidRDefault="004265FF" w:rsidP="004F1398">
            <w:pPr>
              <w:tabs>
                <w:tab w:val="right" w:pos="7254"/>
              </w:tabs>
              <w:spacing w:before="160" w:after="160"/>
              <w:ind w:left="0" w:firstLine="0"/>
              <w:rPr>
                <w:rFonts w:asciiTheme="majorBidi" w:hAnsiTheme="majorBidi" w:cstheme="majorBidi"/>
                <w:szCs w:val="24"/>
              </w:rPr>
            </w:pPr>
            <w:r w:rsidRPr="00A67F27">
              <w:rPr>
                <w:rFonts w:asciiTheme="majorBidi" w:hAnsiTheme="majorBidi" w:cstheme="majorBidi"/>
                <w:szCs w:val="24"/>
              </w:rPr>
              <w:t>Toute corresponda</w:t>
            </w:r>
            <w:r w:rsidR="004F67E3" w:rsidRPr="00A67F27">
              <w:rPr>
                <w:rFonts w:asciiTheme="majorBidi" w:hAnsiTheme="majorBidi" w:cstheme="majorBidi"/>
                <w:szCs w:val="24"/>
              </w:rPr>
              <w:t>nce sera échangée en</w:t>
            </w:r>
            <w:r w:rsidR="00DE5025" w:rsidRPr="00A67F27">
              <w:rPr>
                <w:rFonts w:asciiTheme="majorBidi" w:hAnsiTheme="majorBidi" w:cstheme="majorBidi"/>
                <w:szCs w:val="24"/>
              </w:rPr>
              <w:t xml:space="preserve"> </w:t>
            </w:r>
            <w:r w:rsidR="00783031" w:rsidRPr="00A67F27">
              <w:rPr>
                <w:rFonts w:asciiTheme="majorBidi" w:hAnsiTheme="majorBidi" w:cstheme="majorBidi"/>
                <w:b/>
              </w:rPr>
              <w:t>Français</w:t>
            </w:r>
            <w:r w:rsidR="00B9363F">
              <w:rPr>
                <w:rFonts w:asciiTheme="majorBidi" w:hAnsiTheme="majorBidi" w:cstheme="majorBidi"/>
                <w:b/>
              </w:rPr>
              <w:t>.</w:t>
            </w:r>
          </w:p>
          <w:p w14:paraId="6F158266" w14:textId="59DED9CC" w:rsidR="004372DF" w:rsidRPr="00A67F27" w:rsidRDefault="004F67E3" w:rsidP="00783031">
            <w:pPr>
              <w:tabs>
                <w:tab w:val="right" w:pos="7254"/>
              </w:tabs>
              <w:spacing w:before="160" w:after="160"/>
              <w:ind w:left="0" w:firstLine="0"/>
              <w:rPr>
                <w:rFonts w:asciiTheme="majorBidi" w:hAnsiTheme="majorBidi" w:cstheme="majorBidi"/>
                <w:szCs w:val="24"/>
              </w:rPr>
            </w:pPr>
            <w:r w:rsidRPr="00A67F27">
              <w:rPr>
                <w:rFonts w:asciiTheme="majorBidi" w:hAnsiTheme="majorBidi" w:cstheme="majorBidi"/>
                <w:szCs w:val="24"/>
              </w:rPr>
              <w:t xml:space="preserve">La langue de traduction des documents complémentaires et imprimés fournis par le Soumissionnaire sera </w:t>
            </w:r>
            <w:r w:rsidR="00783031" w:rsidRPr="00A67F27">
              <w:rPr>
                <w:rFonts w:asciiTheme="majorBidi" w:hAnsiTheme="majorBidi" w:cstheme="majorBidi"/>
              </w:rPr>
              <w:t>en </w:t>
            </w:r>
            <w:r w:rsidR="00783031" w:rsidRPr="00A67F27">
              <w:rPr>
                <w:rFonts w:asciiTheme="majorBidi" w:hAnsiTheme="majorBidi" w:cstheme="majorBidi"/>
                <w:b/>
              </w:rPr>
              <w:t>Français</w:t>
            </w:r>
            <w:r w:rsidR="00B9363F">
              <w:rPr>
                <w:rFonts w:asciiTheme="majorBidi" w:hAnsiTheme="majorBidi" w:cstheme="majorBidi"/>
                <w:b/>
              </w:rPr>
              <w:t>.</w:t>
            </w:r>
          </w:p>
        </w:tc>
      </w:tr>
      <w:tr w:rsidR="00E638A0" w:rsidRPr="00A67F27" w14:paraId="3B23A2B9" w14:textId="77777777" w:rsidTr="007318E7">
        <w:trPr>
          <w:trHeight w:val="20"/>
        </w:trPr>
        <w:tc>
          <w:tcPr>
            <w:tcW w:w="1620" w:type="dxa"/>
          </w:tcPr>
          <w:p w14:paraId="38F271DA" w14:textId="735DD05D" w:rsidR="00E638A0" w:rsidRPr="00A67F27" w:rsidRDefault="00E638A0" w:rsidP="004F1398">
            <w:pPr>
              <w:tabs>
                <w:tab w:val="right" w:pos="7434"/>
              </w:tabs>
              <w:spacing w:before="160" w:after="160"/>
              <w:rPr>
                <w:rFonts w:asciiTheme="majorBidi" w:hAnsiTheme="majorBidi" w:cstheme="majorBidi"/>
                <w:b/>
              </w:rPr>
            </w:pPr>
            <w:r w:rsidRPr="00A67F27">
              <w:rPr>
                <w:rFonts w:asciiTheme="majorBidi" w:hAnsiTheme="majorBidi" w:cstheme="majorBidi"/>
                <w:b/>
              </w:rPr>
              <w:t>IS 11.1 (b)</w:t>
            </w:r>
          </w:p>
        </w:tc>
        <w:tc>
          <w:tcPr>
            <w:tcW w:w="7740" w:type="dxa"/>
          </w:tcPr>
          <w:p w14:paraId="48067782" w14:textId="54A737EC" w:rsidR="00E638A0" w:rsidRPr="00A67F27" w:rsidRDefault="00771A88" w:rsidP="004F1398">
            <w:pPr>
              <w:tabs>
                <w:tab w:val="right" w:pos="7254"/>
              </w:tabs>
              <w:spacing w:before="160" w:after="160"/>
              <w:ind w:left="0" w:firstLine="0"/>
              <w:rPr>
                <w:rFonts w:asciiTheme="majorBidi" w:hAnsiTheme="majorBidi" w:cstheme="majorBidi"/>
              </w:rPr>
            </w:pPr>
            <w:r w:rsidRPr="00A67F27">
              <w:rPr>
                <w:rFonts w:asciiTheme="majorBidi" w:hAnsiTheme="majorBidi" w:cstheme="majorBidi"/>
              </w:rPr>
              <w:t>Le Soumissionnaire devra joindre</w:t>
            </w:r>
            <w:r w:rsidR="007D724C" w:rsidRPr="00A67F27">
              <w:rPr>
                <w:rFonts w:asciiTheme="majorBidi" w:hAnsiTheme="majorBidi" w:cstheme="majorBidi"/>
                <w:b/>
                <w:bCs/>
                <w:i/>
                <w:iCs/>
              </w:rPr>
              <w:t> </w:t>
            </w:r>
            <w:r w:rsidR="007D724C" w:rsidRPr="00A67F27">
              <w:rPr>
                <w:rFonts w:asciiTheme="majorBidi" w:hAnsiTheme="majorBidi" w:cstheme="majorBidi"/>
                <w:bCs/>
                <w:iCs/>
              </w:rPr>
              <w:t xml:space="preserve">: </w:t>
            </w:r>
            <w:r w:rsidRPr="00A67F27">
              <w:rPr>
                <w:rFonts w:asciiTheme="majorBidi" w:hAnsiTheme="majorBidi" w:cstheme="majorBidi"/>
                <w:bCs/>
                <w:iCs/>
              </w:rPr>
              <w:t xml:space="preserve">le </w:t>
            </w:r>
            <w:r w:rsidRPr="00A67F27">
              <w:rPr>
                <w:rFonts w:asciiTheme="majorBidi" w:hAnsiTheme="majorBidi" w:cstheme="majorBidi"/>
                <w:b/>
                <w:bCs/>
                <w:iCs/>
              </w:rPr>
              <w:t>Bordereau des Prix unitaires et le Détail quantitatif et estimatif</w:t>
            </w:r>
            <w:r w:rsidR="009B2302" w:rsidRPr="00A67F27">
              <w:rPr>
                <w:rFonts w:asciiTheme="majorBidi" w:hAnsiTheme="majorBidi" w:cstheme="majorBidi"/>
                <w:b/>
                <w:bCs/>
                <w:iCs/>
              </w:rPr>
              <w:t> »</w:t>
            </w:r>
            <w:r w:rsidRPr="00A67F27">
              <w:rPr>
                <w:rFonts w:asciiTheme="majorBidi" w:hAnsiTheme="majorBidi" w:cstheme="majorBidi"/>
                <w:b/>
                <w:bCs/>
                <w:iCs/>
              </w:rPr>
              <w:t xml:space="preserve"> dûment remplis</w:t>
            </w:r>
            <w:r w:rsidRPr="00A67F27">
              <w:rPr>
                <w:rFonts w:asciiTheme="majorBidi" w:hAnsiTheme="majorBidi" w:cstheme="majorBidi"/>
                <w:bCs/>
                <w:iCs/>
              </w:rPr>
              <w:t>.</w:t>
            </w:r>
          </w:p>
        </w:tc>
      </w:tr>
      <w:tr w:rsidR="00CF3B26" w:rsidRPr="00A67F27" w14:paraId="6319E472" w14:textId="77777777" w:rsidTr="007318E7">
        <w:trPr>
          <w:trHeight w:val="20"/>
        </w:trPr>
        <w:tc>
          <w:tcPr>
            <w:tcW w:w="1620" w:type="dxa"/>
          </w:tcPr>
          <w:p w14:paraId="05A9566D" w14:textId="52470560" w:rsidR="00CF3B26" w:rsidRPr="00B059F4" w:rsidRDefault="00CF3B26" w:rsidP="00BE0E78">
            <w:pPr>
              <w:tabs>
                <w:tab w:val="right" w:pos="7434"/>
              </w:tabs>
              <w:spacing w:after="0"/>
              <w:rPr>
                <w:rFonts w:asciiTheme="majorBidi" w:hAnsiTheme="majorBidi" w:cstheme="majorBidi"/>
                <w:b/>
              </w:rPr>
            </w:pPr>
            <w:r w:rsidRPr="00B059F4">
              <w:rPr>
                <w:rFonts w:asciiTheme="majorBidi" w:hAnsiTheme="majorBidi" w:cstheme="majorBidi"/>
                <w:b/>
              </w:rPr>
              <w:t>IS 11.1 (</w:t>
            </w:r>
            <w:r w:rsidR="00BE0E78">
              <w:rPr>
                <w:rFonts w:asciiTheme="majorBidi" w:hAnsiTheme="majorBidi" w:cstheme="majorBidi"/>
                <w:b/>
              </w:rPr>
              <w:t>i</w:t>
            </w:r>
            <w:r w:rsidRPr="00B059F4">
              <w:rPr>
                <w:rFonts w:asciiTheme="majorBidi" w:hAnsiTheme="majorBidi" w:cstheme="majorBidi"/>
                <w:b/>
              </w:rPr>
              <w:t>)</w:t>
            </w:r>
          </w:p>
        </w:tc>
        <w:tc>
          <w:tcPr>
            <w:tcW w:w="7740" w:type="dxa"/>
            <w:shd w:val="clear" w:color="auto" w:fill="auto"/>
          </w:tcPr>
          <w:p w14:paraId="29C921DA" w14:textId="77777777" w:rsidR="00CF3B26" w:rsidRPr="00EA77A4" w:rsidRDefault="00CF3B26" w:rsidP="008475FD">
            <w:pPr>
              <w:tabs>
                <w:tab w:val="right" w:pos="7254"/>
              </w:tabs>
              <w:spacing w:after="0"/>
              <w:ind w:left="0" w:firstLine="0"/>
              <w:rPr>
                <w:rFonts w:asciiTheme="majorBidi" w:hAnsiTheme="majorBidi" w:cstheme="majorBidi"/>
              </w:rPr>
            </w:pPr>
            <w:r w:rsidRPr="00EA77A4">
              <w:rPr>
                <w:rFonts w:asciiTheme="majorBidi" w:hAnsiTheme="majorBidi" w:cstheme="majorBidi"/>
              </w:rPr>
              <w:t xml:space="preserve">Le Soumissionnaire devra joindre à son offre les autres documents suivants : </w:t>
            </w:r>
          </w:p>
          <w:p w14:paraId="2424669D" w14:textId="77777777" w:rsidR="00CF3B26" w:rsidRPr="00EA77A4" w:rsidRDefault="00CF3B26" w:rsidP="008475FD">
            <w:pPr>
              <w:tabs>
                <w:tab w:val="right" w:pos="7254"/>
              </w:tabs>
              <w:spacing w:after="0"/>
              <w:ind w:left="0" w:firstLine="0"/>
              <w:rPr>
                <w:rFonts w:asciiTheme="majorBidi" w:hAnsiTheme="majorBidi" w:cstheme="majorBidi"/>
                <w:b/>
                <w:u w:val="single"/>
              </w:rPr>
            </w:pPr>
            <w:r w:rsidRPr="00EA77A4">
              <w:rPr>
                <w:rFonts w:asciiTheme="majorBidi" w:hAnsiTheme="majorBidi" w:cstheme="majorBidi"/>
                <w:b/>
                <w:u w:val="single"/>
              </w:rPr>
              <w:t>Pour les candidats maliens :</w:t>
            </w:r>
          </w:p>
          <w:p w14:paraId="23815447" w14:textId="3E188920" w:rsidR="00CF3B26" w:rsidRPr="00EA77A4" w:rsidRDefault="00CF3B26" w:rsidP="008475FD">
            <w:pPr>
              <w:tabs>
                <w:tab w:val="right" w:pos="7254"/>
              </w:tabs>
              <w:spacing w:after="0"/>
              <w:ind w:left="0" w:firstLine="0"/>
              <w:rPr>
                <w:rFonts w:asciiTheme="majorBidi" w:hAnsiTheme="majorBidi" w:cstheme="majorBidi"/>
                <w:b/>
              </w:rPr>
            </w:pPr>
            <w:r w:rsidRPr="00EA77A4">
              <w:rPr>
                <w:rFonts w:asciiTheme="majorBidi" w:hAnsiTheme="majorBidi" w:cstheme="majorBidi"/>
                <w:b/>
              </w:rPr>
              <w:t>- Les documents d’existence légale (inscription au Registre du Commerce, Statuts pour les sociétés</w:t>
            </w:r>
            <w:r w:rsidR="00423E74" w:rsidRPr="00EA77A4">
              <w:rPr>
                <w:rFonts w:asciiTheme="majorBidi" w:hAnsiTheme="majorBidi" w:cstheme="majorBidi"/>
                <w:b/>
              </w:rPr>
              <w:t>, etc.</w:t>
            </w:r>
            <w:r w:rsidRPr="00EA77A4">
              <w:rPr>
                <w:rFonts w:asciiTheme="majorBidi" w:hAnsiTheme="majorBidi" w:cstheme="majorBidi"/>
                <w:b/>
              </w:rPr>
              <w:t>)</w:t>
            </w:r>
          </w:p>
          <w:p w14:paraId="338AE6F5" w14:textId="147A85D8" w:rsidR="00CF3B26" w:rsidRPr="00EA77A4" w:rsidRDefault="0064126B" w:rsidP="008475FD">
            <w:pPr>
              <w:tabs>
                <w:tab w:val="right" w:pos="7254"/>
              </w:tabs>
              <w:spacing w:after="0"/>
              <w:ind w:left="0" w:firstLine="0"/>
              <w:rPr>
                <w:rFonts w:asciiTheme="majorBidi" w:hAnsiTheme="majorBidi" w:cstheme="majorBidi"/>
                <w:b/>
              </w:rPr>
            </w:pPr>
            <w:r w:rsidRPr="00EA77A4">
              <w:rPr>
                <w:rFonts w:asciiTheme="majorBidi" w:hAnsiTheme="majorBidi" w:cstheme="majorBidi"/>
                <w:b/>
              </w:rPr>
              <w:t>- L</w:t>
            </w:r>
            <w:r w:rsidR="00F579DB" w:rsidRPr="00EA77A4">
              <w:rPr>
                <w:rFonts w:asciiTheme="majorBidi" w:hAnsiTheme="majorBidi" w:cstheme="majorBidi"/>
                <w:b/>
              </w:rPr>
              <w:t>a carte professionnelle</w:t>
            </w:r>
            <w:r w:rsidR="00204C6B" w:rsidRPr="00EA77A4">
              <w:rPr>
                <w:rFonts w:asciiTheme="majorBidi" w:hAnsiTheme="majorBidi" w:cstheme="majorBidi"/>
                <w:b/>
              </w:rPr>
              <w:t xml:space="preserve"> en cours de validité</w:t>
            </w:r>
          </w:p>
          <w:p w14:paraId="72CB2390" w14:textId="69879F0A" w:rsidR="00CF3B26" w:rsidRPr="00EA77A4" w:rsidRDefault="0064126B" w:rsidP="008475FD">
            <w:pPr>
              <w:tabs>
                <w:tab w:val="right" w:pos="7254"/>
              </w:tabs>
              <w:spacing w:after="0"/>
              <w:ind w:left="0" w:firstLine="0"/>
              <w:rPr>
                <w:rFonts w:asciiTheme="majorBidi" w:hAnsiTheme="majorBidi" w:cstheme="majorBidi"/>
                <w:b/>
              </w:rPr>
            </w:pPr>
            <w:r w:rsidRPr="00EA77A4">
              <w:rPr>
                <w:rFonts w:asciiTheme="majorBidi" w:hAnsiTheme="majorBidi" w:cstheme="majorBidi"/>
                <w:b/>
              </w:rPr>
              <w:t xml:space="preserve">- </w:t>
            </w:r>
            <w:r w:rsidR="00122F22" w:rsidRPr="00EA77A4">
              <w:rPr>
                <w:rFonts w:asciiTheme="majorBidi" w:hAnsiTheme="majorBidi" w:cstheme="majorBidi"/>
                <w:b/>
              </w:rPr>
              <w:t>Le certificat de non faillite datant de moins de trois (3) mois</w:t>
            </w:r>
            <w:r w:rsidR="00122F22" w:rsidRPr="00EA77A4" w:rsidDel="00122F22">
              <w:rPr>
                <w:rFonts w:asciiTheme="majorBidi" w:hAnsiTheme="majorBidi" w:cstheme="majorBidi"/>
                <w:b/>
              </w:rPr>
              <w:t xml:space="preserve"> </w:t>
            </w:r>
            <w:r w:rsidR="00CF3B26" w:rsidRPr="00EA77A4">
              <w:rPr>
                <w:rFonts w:asciiTheme="majorBidi" w:hAnsiTheme="majorBidi" w:cstheme="majorBidi"/>
                <w:b/>
              </w:rPr>
              <w:t>;</w:t>
            </w:r>
          </w:p>
          <w:p w14:paraId="76202DFD" w14:textId="32A8833C" w:rsidR="00CF3B26" w:rsidRPr="00EA77A4" w:rsidRDefault="0064126B" w:rsidP="008475FD">
            <w:pPr>
              <w:tabs>
                <w:tab w:val="right" w:pos="7254"/>
              </w:tabs>
              <w:spacing w:after="0"/>
              <w:ind w:left="0" w:firstLine="0"/>
              <w:rPr>
                <w:rFonts w:asciiTheme="majorBidi" w:hAnsiTheme="majorBidi" w:cstheme="majorBidi"/>
                <w:b/>
              </w:rPr>
            </w:pPr>
            <w:r w:rsidRPr="00EA77A4">
              <w:rPr>
                <w:rFonts w:asciiTheme="majorBidi" w:hAnsiTheme="majorBidi" w:cstheme="majorBidi"/>
                <w:b/>
              </w:rPr>
              <w:t xml:space="preserve">- </w:t>
            </w:r>
            <w:r w:rsidR="00CF3B26" w:rsidRPr="00EA77A4">
              <w:rPr>
                <w:rFonts w:asciiTheme="majorBidi" w:hAnsiTheme="majorBidi" w:cstheme="majorBidi"/>
                <w:b/>
              </w:rPr>
              <w:t>L’acte Notarié constituant le Groupement d’Entreprises et désignant le Chef de file du groupement (pour le groupement) ;</w:t>
            </w:r>
          </w:p>
          <w:p w14:paraId="4B914BA7" w14:textId="77777777" w:rsidR="00CF3B26" w:rsidRPr="00EA77A4" w:rsidRDefault="00CF3B26" w:rsidP="008475FD">
            <w:pPr>
              <w:tabs>
                <w:tab w:val="right" w:pos="7254"/>
              </w:tabs>
              <w:spacing w:after="0"/>
              <w:ind w:left="0" w:firstLine="0"/>
              <w:rPr>
                <w:rFonts w:asciiTheme="majorBidi" w:hAnsiTheme="majorBidi" w:cstheme="majorBidi"/>
                <w:b/>
              </w:rPr>
            </w:pPr>
            <w:r w:rsidRPr="00EA77A4">
              <w:rPr>
                <w:b/>
                <w:szCs w:val="24"/>
              </w:rPr>
              <w:t>En cas de groupement, chaque membre doit satisfaire aux mêmes critères d’éligibilité ci-dessus définis en fournissant les pièces exigées.</w:t>
            </w:r>
          </w:p>
          <w:p w14:paraId="2010328B" w14:textId="3BA1C373" w:rsidR="00CF3B26" w:rsidRPr="00EA77A4" w:rsidRDefault="00F9139B" w:rsidP="008475FD">
            <w:pPr>
              <w:tabs>
                <w:tab w:val="right" w:pos="7254"/>
              </w:tabs>
              <w:spacing w:after="0"/>
              <w:ind w:left="0" w:firstLine="0"/>
              <w:rPr>
                <w:rFonts w:asciiTheme="majorBidi" w:hAnsiTheme="majorBidi" w:cstheme="majorBidi"/>
                <w:b/>
              </w:rPr>
            </w:pPr>
            <w:r>
              <w:rPr>
                <w:rFonts w:asciiTheme="majorBidi" w:hAnsiTheme="majorBidi" w:cstheme="majorBidi"/>
                <w:b/>
              </w:rPr>
              <w:t xml:space="preserve">- </w:t>
            </w:r>
            <w:r w:rsidR="00CF3B26" w:rsidRPr="00EA77A4">
              <w:rPr>
                <w:rFonts w:asciiTheme="majorBidi" w:hAnsiTheme="majorBidi" w:cstheme="majorBidi"/>
                <w:b/>
              </w:rPr>
              <w:t xml:space="preserve">L’acte d’engagement à appliquer les prescriptions et clauses environnementales contenues dans le marché </w:t>
            </w:r>
            <w:r w:rsidR="00AA2ECD" w:rsidRPr="00EA77A4">
              <w:rPr>
                <w:rFonts w:asciiTheme="majorBidi" w:hAnsiTheme="majorBidi" w:cstheme="majorBidi"/>
                <w:b/>
              </w:rPr>
              <w:t>daté et signé par le soumissionnaire ;</w:t>
            </w:r>
          </w:p>
          <w:p w14:paraId="5E3C5156" w14:textId="1AFEA0A8" w:rsidR="00AA2ECD" w:rsidRPr="00EA77A4" w:rsidRDefault="0064126B" w:rsidP="008475FD">
            <w:pPr>
              <w:tabs>
                <w:tab w:val="right" w:pos="7254"/>
              </w:tabs>
              <w:spacing w:after="0"/>
              <w:ind w:left="0" w:firstLine="0"/>
              <w:rPr>
                <w:rFonts w:asciiTheme="majorBidi" w:hAnsiTheme="majorBidi" w:cstheme="majorBidi"/>
                <w:b/>
              </w:rPr>
            </w:pPr>
            <w:r w:rsidRPr="00EA77A4">
              <w:rPr>
                <w:rFonts w:asciiTheme="majorBidi" w:hAnsiTheme="majorBidi" w:cstheme="majorBidi"/>
                <w:b/>
              </w:rPr>
              <w:t xml:space="preserve">- </w:t>
            </w:r>
            <w:r w:rsidR="00AA2ECD" w:rsidRPr="00EA77A4">
              <w:rPr>
                <w:rFonts w:asciiTheme="majorBidi" w:hAnsiTheme="majorBidi" w:cstheme="majorBidi"/>
                <w:b/>
              </w:rPr>
              <w:t>L’acte d’engagement à respecter le code d’éthique, daté et signé par le soumissionnaire ;</w:t>
            </w:r>
          </w:p>
          <w:p w14:paraId="5F9B542C" w14:textId="2287ADB4" w:rsidR="00CF3B26" w:rsidRPr="00EA77A4" w:rsidRDefault="00CF3B26" w:rsidP="008475FD">
            <w:pPr>
              <w:tabs>
                <w:tab w:val="right" w:pos="7254"/>
              </w:tabs>
              <w:spacing w:after="0"/>
              <w:ind w:left="0" w:firstLine="0"/>
              <w:rPr>
                <w:rFonts w:asciiTheme="majorBidi" w:hAnsiTheme="majorBidi" w:cstheme="majorBidi"/>
                <w:b/>
              </w:rPr>
            </w:pPr>
            <w:r w:rsidRPr="00EA77A4">
              <w:rPr>
                <w:rFonts w:asciiTheme="majorBidi" w:hAnsiTheme="majorBidi" w:cstheme="majorBidi"/>
                <w:b/>
              </w:rPr>
              <w:t>-Un</w:t>
            </w:r>
            <w:r w:rsidR="00122F22" w:rsidRPr="00EA77A4">
              <w:rPr>
                <w:rFonts w:asciiTheme="majorBidi" w:hAnsiTheme="majorBidi" w:cstheme="majorBidi"/>
                <w:b/>
              </w:rPr>
              <w:t xml:space="preserve"> quitus fiscal </w:t>
            </w:r>
            <w:r w:rsidRPr="00EA77A4">
              <w:rPr>
                <w:rFonts w:asciiTheme="majorBidi" w:hAnsiTheme="majorBidi" w:cstheme="majorBidi"/>
                <w:b/>
              </w:rPr>
              <w:t>datant de moins de trois (3) mois pour les candidats nationaux. Les candidats</w:t>
            </w:r>
            <w:r w:rsidR="009B4D01" w:rsidRPr="00EA77A4">
              <w:rPr>
                <w:rFonts w:asciiTheme="majorBidi" w:hAnsiTheme="majorBidi" w:cstheme="majorBidi"/>
                <w:b/>
              </w:rPr>
              <w:t xml:space="preserve"> étrangers</w:t>
            </w:r>
            <w:r w:rsidRPr="00EA77A4">
              <w:rPr>
                <w:rFonts w:asciiTheme="majorBidi" w:hAnsiTheme="majorBidi" w:cstheme="majorBidi"/>
                <w:b/>
              </w:rPr>
              <w:t xml:space="preserve"> doivent joindre, selon le cas, une attestation de non double </w:t>
            </w:r>
            <w:r w:rsidR="002663F3" w:rsidRPr="00EA77A4">
              <w:rPr>
                <w:rFonts w:asciiTheme="majorBidi" w:hAnsiTheme="majorBidi" w:cstheme="majorBidi"/>
                <w:b/>
              </w:rPr>
              <w:t>imposition, une</w:t>
            </w:r>
            <w:r w:rsidRPr="00EA77A4">
              <w:rPr>
                <w:rFonts w:asciiTheme="majorBidi" w:hAnsiTheme="majorBidi" w:cstheme="majorBidi"/>
                <w:b/>
              </w:rPr>
              <w:t xml:space="preserve"> attestation d’engagement à payer par retenue à la source </w:t>
            </w:r>
            <w:r w:rsidR="00557539" w:rsidRPr="00EA77A4">
              <w:rPr>
                <w:rFonts w:asciiTheme="majorBidi" w:hAnsiTheme="majorBidi" w:cstheme="majorBidi"/>
                <w:b/>
              </w:rPr>
              <w:t xml:space="preserve">de </w:t>
            </w:r>
            <w:r w:rsidRPr="00EA77A4">
              <w:rPr>
                <w:rFonts w:asciiTheme="majorBidi" w:hAnsiTheme="majorBidi" w:cstheme="majorBidi"/>
                <w:b/>
              </w:rPr>
              <w:t xml:space="preserve">l’impôt sur les bénéfices des </w:t>
            </w:r>
            <w:r w:rsidR="00557539" w:rsidRPr="00EA77A4">
              <w:rPr>
                <w:rFonts w:asciiTheme="majorBidi" w:hAnsiTheme="majorBidi" w:cstheme="majorBidi"/>
                <w:b/>
              </w:rPr>
              <w:t xml:space="preserve">entreprises ne </w:t>
            </w:r>
            <w:r w:rsidRPr="00EA77A4">
              <w:rPr>
                <w:rFonts w:asciiTheme="majorBidi" w:hAnsiTheme="majorBidi" w:cstheme="majorBidi"/>
                <w:b/>
              </w:rPr>
              <w:t xml:space="preserve">résidents </w:t>
            </w:r>
            <w:r w:rsidR="00557539" w:rsidRPr="00EA77A4">
              <w:rPr>
                <w:rFonts w:asciiTheme="majorBidi" w:hAnsiTheme="majorBidi" w:cstheme="majorBidi"/>
                <w:b/>
              </w:rPr>
              <w:t xml:space="preserve">pas au Mali </w:t>
            </w:r>
            <w:r w:rsidRPr="00EA77A4">
              <w:rPr>
                <w:rFonts w:asciiTheme="majorBidi" w:hAnsiTheme="majorBidi" w:cstheme="majorBidi"/>
                <w:b/>
              </w:rPr>
              <w:t>délivrées par les services fiscaux nationaux</w:t>
            </w:r>
            <w:r w:rsidR="00440E95" w:rsidRPr="00EA77A4">
              <w:rPr>
                <w:rFonts w:asciiTheme="majorBidi" w:hAnsiTheme="majorBidi" w:cstheme="majorBidi"/>
                <w:b/>
              </w:rPr>
              <w:t>.</w:t>
            </w:r>
          </w:p>
          <w:p w14:paraId="7C20632B" w14:textId="51E89316" w:rsidR="00CF3B26" w:rsidRPr="00EA77A4" w:rsidRDefault="00CF3B26" w:rsidP="008475FD">
            <w:pPr>
              <w:tabs>
                <w:tab w:val="right" w:pos="7254"/>
              </w:tabs>
              <w:spacing w:after="0"/>
              <w:ind w:left="0" w:firstLine="0"/>
              <w:rPr>
                <w:rFonts w:asciiTheme="majorBidi" w:hAnsiTheme="majorBidi" w:cstheme="majorBidi"/>
                <w:b/>
              </w:rPr>
            </w:pPr>
            <w:r w:rsidRPr="00EA77A4">
              <w:rPr>
                <w:rFonts w:asciiTheme="majorBidi" w:hAnsiTheme="majorBidi" w:cstheme="majorBidi"/>
                <w:b/>
                <w:u w:val="single"/>
              </w:rPr>
              <w:t>NB </w:t>
            </w:r>
            <w:r w:rsidRPr="00EA77A4">
              <w:rPr>
                <w:rFonts w:asciiTheme="majorBidi" w:hAnsiTheme="majorBidi" w:cstheme="majorBidi"/>
                <w:b/>
              </w:rPr>
              <w:t>: Les documents peuvent être en original ou en photocopie légalisée et certifiée conforme.</w:t>
            </w:r>
          </w:p>
          <w:p w14:paraId="0189738B" w14:textId="77777777" w:rsidR="00CF3B26" w:rsidRPr="00EA77A4" w:rsidRDefault="00CF3B26" w:rsidP="008475FD">
            <w:pPr>
              <w:tabs>
                <w:tab w:val="right" w:pos="7254"/>
              </w:tabs>
              <w:spacing w:after="0"/>
              <w:ind w:left="0" w:firstLine="0"/>
              <w:rPr>
                <w:rFonts w:asciiTheme="majorBidi" w:hAnsiTheme="majorBidi" w:cstheme="majorBidi"/>
                <w:b/>
                <w:u w:val="single"/>
              </w:rPr>
            </w:pPr>
            <w:r w:rsidRPr="00EA77A4">
              <w:rPr>
                <w:rFonts w:asciiTheme="majorBidi" w:hAnsiTheme="majorBidi" w:cstheme="majorBidi"/>
                <w:b/>
                <w:u w:val="single"/>
              </w:rPr>
              <w:t>Pour les Entreprises communautaires et étrangères, en outre</w:t>
            </w:r>
          </w:p>
          <w:p w14:paraId="112245FC" w14:textId="77FDBDFD" w:rsidR="00CF3B26" w:rsidRPr="00EA77A4" w:rsidRDefault="00CF3B26" w:rsidP="008475FD">
            <w:pPr>
              <w:tabs>
                <w:tab w:val="right" w:pos="7254"/>
              </w:tabs>
              <w:spacing w:after="0"/>
              <w:ind w:left="0" w:firstLine="0"/>
              <w:rPr>
                <w:rFonts w:asciiTheme="majorBidi" w:hAnsiTheme="majorBidi" w:cstheme="majorBidi"/>
                <w:b/>
              </w:rPr>
            </w:pPr>
            <w:r w:rsidRPr="00EA77A4">
              <w:rPr>
                <w:rFonts w:asciiTheme="majorBidi" w:hAnsiTheme="majorBidi" w:cstheme="majorBidi"/>
                <w:b/>
              </w:rPr>
              <w:t xml:space="preserve">- L’autorisation d’exercice (Agrément) </w:t>
            </w:r>
            <w:r w:rsidR="00F579DB" w:rsidRPr="00EA77A4">
              <w:rPr>
                <w:rFonts w:asciiTheme="majorBidi" w:hAnsiTheme="majorBidi" w:cstheme="majorBidi"/>
                <w:b/>
              </w:rPr>
              <w:t xml:space="preserve">ou la carte </w:t>
            </w:r>
            <w:r w:rsidR="002663F3" w:rsidRPr="00EA77A4">
              <w:rPr>
                <w:rFonts w:asciiTheme="majorBidi" w:hAnsiTheme="majorBidi" w:cstheme="majorBidi"/>
                <w:b/>
              </w:rPr>
              <w:t>professionnelle ;</w:t>
            </w:r>
          </w:p>
          <w:p w14:paraId="6AE387A6" w14:textId="32CE1F21" w:rsidR="00CF3B26" w:rsidRPr="00EA77A4" w:rsidRDefault="00F579DB" w:rsidP="008475FD">
            <w:pPr>
              <w:tabs>
                <w:tab w:val="right" w:pos="7254"/>
              </w:tabs>
              <w:spacing w:after="0"/>
              <w:ind w:left="0" w:firstLine="0"/>
              <w:rPr>
                <w:rFonts w:asciiTheme="majorBidi" w:hAnsiTheme="majorBidi" w:cstheme="majorBidi"/>
                <w:b/>
              </w:rPr>
            </w:pPr>
            <w:r w:rsidRPr="00EA77A4">
              <w:rPr>
                <w:rFonts w:asciiTheme="majorBidi" w:hAnsiTheme="majorBidi" w:cstheme="majorBidi"/>
                <w:b/>
              </w:rPr>
              <w:t>- L</w:t>
            </w:r>
            <w:r w:rsidR="00122F22" w:rsidRPr="00EA77A4">
              <w:rPr>
                <w:rFonts w:asciiTheme="majorBidi" w:hAnsiTheme="majorBidi" w:cstheme="majorBidi"/>
                <w:b/>
              </w:rPr>
              <w:t xml:space="preserve">e certificat de </w:t>
            </w:r>
            <w:r w:rsidR="00CF3B26" w:rsidRPr="00EA77A4">
              <w:rPr>
                <w:rFonts w:asciiTheme="majorBidi" w:hAnsiTheme="majorBidi" w:cstheme="majorBidi"/>
                <w:b/>
              </w:rPr>
              <w:t>non faillite datant de moins de trois (3) mois</w:t>
            </w:r>
          </w:p>
          <w:p w14:paraId="348E536B" w14:textId="77777777" w:rsidR="009B4D01" w:rsidRPr="00EA77A4" w:rsidRDefault="009B4D01" w:rsidP="008475FD">
            <w:pPr>
              <w:tabs>
                <w:tab w:val="right" w:pos="7254"/>
              </w:tabs>
              <w:spacing w:after="0"/>
              <w:ind w:left="0" w:firstLine="0"/>
              <w:rPr>
                <w:rFonts w:asciiTheme="majorBidi" w:hAnsiTheme="majorBidi" w:cstheme="majorBidi"/>
                <w:b/>
              </w:rPr>
            </w:pPr>
          </w:p>
          <w:p w14:paraId="32B9F265" w14:textId="77777777" w:rsidR="00CF3B26" w:rsidRPr="00EA77A4" w:rsidRDefault="00CF3B26" w:rsidP="008475FD">
            <w:pPr>
              <w:tabs>
                <w:tab w:val="right" w:pos="7254"/>
              </w:tabs>
              <w:spacing w:after="0"/>
              <w:ind w:left="0" w:firstLine="0"/>
              <w:rPr>
                <w:rFonts w:asciiTheme="majorBidi" w:hAnsiTheme="majorBidi" w:cstheme="majorBidi"/>
                <w:b/>
                <w:u w:val="single"/>
              </w:rPr>
            </w:pPr>
            <w:r w:rsidRPr="00EA77A4">
              <w:rPr>
                <w:rFonts w:asciiTheme="majorBidi" w:hAnsiTheme="majorBidi" w:cstheme="majorBidi"/>
                <w:b/>
                <w:u w:val="single"/>
              </w:rPr>
              <w:t>Pour tous les soumissionnaires (nationaux et étrangers) :</w:t>
            </w:r>
          </w:p>
          <w:p w14:paraId="2294D0BA" w14:textId="77777777" w:rsidR="00CF3B26" w:rsidRPr="00EA77A4" w:rsidRDefault="00CF3B26" w:rsidP="008475FD">
            <w:pPr>
              <w:tabs>
                <w:tab w:val="right" w:pos="7254"/>
              </w:tabs>
              <w:spacing w:after="0"/>
              <w:rPr>
                <w:rFonts w:asciiTheme="majorBidi" w:hAnsiTheme="majorBidi" w:cstheme="majorBidi"/>
                <w:b/>
                <w:u w:val="single"/>
              </w:rPr>
            </w:pPr>
            <w:r w:rsidRPr="00EA77A4">
              <w:rPr>
                <w:rFonts w:asciiTheme="majorBidi" w:hAnsiTheme="majorBidi" w:cstheme="majorBidi"/>
                <w:b/>
                <w:u w:val="single"/>
              </w:rPr>
              <w:t>Code de conduite (ESHS)</w:t>
            </w:r>
          </w:p>
          <w:p w14:paraId="421846B6" w14:textId="77777777" w:rsidR="00CF3B26" w:rsidRPr="00EA77A4" w:rsidRDefault="00CF3B26" w:rsidP="008475FD">
            <w:pPr>
              <w:spacing w:after="0"/>
              <w:ind w:left="0" w:firstLine="0"/>
              <w:rPr>
                <w:rFonts w:asciiTheme="majorBidi" w:hAnsiTheme="majorBidi" w:cstheme="majorBidi"/>
                <w:iCs/>
              </w:rPr>
            </w:pPr>
            <w:r w:rsidRPr="00EA77A4">
              <w:rPr>
                <w:rFonts w:asciiTheme="majorBidi" w:hAnsiTheme="majorBidi" w:cstheme="majorBidi"/>
                <w:iCs/>
              </w:rPr>
              <w:t xml:space="preserve">Le Soumissionnaire devra soumettre le Code de Conduite applicable à son personnel et ses sous-traitants, afin d’assurer la conformité aux bonnes pratiques environnementales, sociales, hygiène et sécurité (ESHS) spécifiées </w:t>
            </w:r>
            <w:r w:rsidRPr="00EA77A4">
              <w:rPr>
                <w:rFonts w:asciiTheme="majorBidi" w:hAnsiTheme="majorBidi" w:cstheme="majorBidi"/>
                <w:iCs/>
              </w:rPr>
              <w:lastRenderedPageBreak/>
              <w:t xml:space="preserve">dans le Marché. </w:t>
            </w:r>
          </w:p>
          <w:p w14:paraId="385D9779" w14:textId="77777777" w:rsidR="00CF3B26" w:rsidRPr="00EA77A4" w:rsidRDefault="00CF3B26" w:rsidP="008475FD">
            <w:pPr>
              <w:spacing w:after="0"/>
              <w:ind w:left="0" w:firstLine="0"/>
              <w:rPr>
                <w:rFonts w:asciiTheme="majorBidi" w:hAnsiTheme="majorBidi" w:cstheme="majorBidi"/>
              </w:rPr>
            </w:pPr>
            <w:r w:rsidRPr="00F9139B">
              <w:rPr>
                <w:iCs/>
                <w:szCs w:val="24"/>
              </w:rPr>
              <w:t>Les risques à prendre en compte dans le Code conformément à la Section VII – Spécifications des Travaux et Services, entre autres les risques liés</w:t>
            </w:r>
            <w:r w:rsidRPr="00EA77A4">
              <w:rPr>
                <w:iCs/>
                <w:szCs w:val="24"/>
              </w:rPr>
              <w:t xml:space="preserve"> au déplacement de main d’œuvre, maladies transmissibles, harcèlement sexuel, violence à caractère sexiste, </w:t>
            </w:r>
            <w:r w:rsidRPr="00EA77A4">
              <w:rPr>
                <w:iCs/>
              </w:rPr>
              <w:t xml:space="preserve">exploitation et abus sexuels, </w:t>
            </w:r>
            <w:r w:rsidRPr="00EA77A4">
              <w:rPr>
                <w:iCs/>
                <w:szCs w:val="24"/>
              </w:rPr>
              <w:t>conduite illicite et criminalité, et à la préservation de l’environnement, etc.</w:t>
            </w:r>
          </w:p>
          <w:p w14:paraId="7988D140" w14:textId="77777777" w:rsidR="00CF3B26" w:rsidRPr="00EA77A4" w:rsidRDefault="00CF3B26" w:rsidP="008475FD">
            <w:pPr>
              <w:spacing w:after="0"/>
              <w:ind w:left="0" w:firstLine="0"/>
              <w:rPr>
                <w:rFonts w:asciiTheme="majorBidi" w:hAnsiTheme="majorBidi" w:cstheme="majorBidi"/>
                <w:iCs/>
              </w:rPr>
            </w:pPr>
            <w:r w:rsidRPr="00EA77A4">
              <w:rPr>
                <w:rFonts w:asciiTheme="majorBidi" w:hAnsiTheme="majorBidi" w:cstheme="majorBidi"/>
                <w:iCs/>
              </w:rPr>
              <w:t>En outre, le Soumissionnaire devra indiquer en détail la manière dont le Code sera mis en œuvre. Cela doit comprendre la manière dont il sera présenté dans les termes d’embauche et le contrat de travail, la formation qui sera fournie, le suivi et la manière dont l’Entrepreneur envisage de remédier aux infractions éventuelles.</w:t>
            </w:r>
          </w:p>
          <w:p w14:paraId="10D06B5B" w14:textId="77777777" w:rsidR="00CF3B26" w:rsidRPr="00EA77A4" w:rsidRDefault="00CF3B26" w:rsidP="008475FD">
            <w:pPr>
              <w:tabs>
                <w:tab w:val="right" w:pos="7254"/>
              </w:tabs>
              <w:spacing w:after="0"/>
            </w:pPr>
            <w:r w:rsidRPr="00EA77A4">
              <w:t>L’Entrepreneur devra appliquer le Code de Conduite.</w:t>
            </w:r>
          </w:p>
          <w:p w14:paraId="26B33323" w14:textId="77777777" w:rsidR="00CF3B26" w:rsidRPr="00EA77A4" w:rsidRDefault="00CF3B26" w:rsidP="008475FD">
            <w:pPr>
              <w:spacing w:after="0"/>
              <w:ind w:left="0" w:firstLine="0"/>
              <w:rPr>
                <w:rFonts w:asciiTheme="majorBidi" w:hAnsiTheme="majorBidi" w:cstheme="majorBidi"/>
                <w:b/>
                <w:iCs/>
              </w:rPr>
            </w:pPr>
            <w:r w:rsidRPr="00EA77A4">
              <w:rPr>
                <w:rFonts w:asciiTheme="majorBidi" w:hAnsiTheme="majorBidi" w:cstheme="majorBidi"/>
                <w:b/>
                <w:iCs/>
              </w:rPr>
              <w:t>Stratégies de management et plans de mise en œuvre de gestion des risques ESHS.</w:t>
            </w:r>
          </w:p>
          <w:p w14:paraId="43BD9E94" w14:textId="77777777" w:rsidR="00CF3B26" w:rsidRPr="00EA77A4" w:rsidRDefault="00CF3B26" w:rsidP="008475FD">
            <w:pPr>
              <w:spacing w:after="0"/>
              <w:ind w:left="0" w:firstLine="0"/>
              <w:rPr>
                <w:rFonts w:asciiTheme="majorBidi" w:hAnsiTheme="majorBidi" w:cstheme="majorBidi"/>
                <w:iCs/>
              </w:rPr>
            </w:pPr>
            <w:r w:rsidRPr="00EA77A4">
              <w:rPr>
                <w:rFonts w:asciiTheme="majorBidi" w:hAnsiTheme="majorBidi" w:cstheme="majorBidi"/>
                <w:iCs/>
              </w:rPr>
              <w:t>Le Soumissionnaire devra soumettre les stratégies de management et plans de mise en œuvre de gestion des risques majeurs dans les domaines environnemental, social, hygiène et sécurité (ESHS) ci-après :</w:t>
            </w:r>
          </w:p>
          <w:p w14:paraId="5C797DF0" w14:textId="77777777" w:rsidR="00CF3B26" w:rsidRPr="00EA77A4" w:rsidRDefault="00CF3B26" w:rsidP="002A45C1">
            <w:pPr>
              <w:pStyle w:val="Notedebasdepage"/>
              <w:numPr>
                <w:ilvl w:val="0"/>
                <w:numId w:val="102"/>
              </w:numPr>
              <w:spacing w:after="0"/>
              <w:rPr>
                <w:sz w:val="24"/>
                <w:szCs w:val="24"/>
              </w:rPr>
            </w:pPr>
            <w:r w:rsidRPr="00EA77A4">
              <w:rPr>
                <w:sz w:val="24"/>
                <w:szCs w:val="24"/>
              </w:rPr>
              <w:t>Clauses environnementales et sociales</w:t>
            </w:r>
          </w:p>
          <w:p w14:paraId="3BE148CA" w14:textId="77777777" w:rsidR="00CF3B26" w:rsidRPr="00EA77A4" w:rsidRDefault="00CF3B26" w:rsidP="002A45C1">
            <w:pPr>
              <w:pStyle w:val="Notedebasdepage"/>
              <w:numPr>
                <w:ilvl w:val="0"/>
                <w:numId w:val="102"/>
              </w:numPr>
              <w:spacing w:after="0"/>
              <w:rPr>
                <w:szCs w:val="24"/>
              </w:rPr>
            </w:pPr>
            <w:r w:rsidRPr="00EA77A4">
              <w:rPr>
                <w:sz w:val="24"/>
                <w:szCs w:val="24"/>
              </w:rPr>
              <w:t>Récapitulatifs des mesures d’atténuation en phase de pré-construction et construction</w:t>
            </w:r>
          </w:p>
          <w:p w14:paraId="4CB236BD" w14:textId="77777777" w:rsidR="00CF3B26" w:rsidRPr="00EA77A4" w:rsidRDefault="00CF3B26" w:rsidP="002A45C1">
            <w:pPr>
              <w:pStyle w:val="Notedebasdepage"/>
              <w:numPr>
                <w:ilvl w:val="0"/>
                <w:numId w:val="102"/>
              </w:numPr>
              <w:spacing w:after="0"/>
              <w:rPr>
                <w:szCs w:val="24"/>
              </w:rPr>
            </w:pPr>
            <w:r w:rsidRPr="00EA77A4">
              <w:rPr>
                <w:sz w:val="24"/>
                <w:szCs w:val="24"/>
              </w:rPr>
              <w:t>Plan de gestion environnementale et sociale (PGES)</w:t>
            </w:r>
          </w:p>
          <w:p w14:paraId="6BEAC3D4" w14:textId="77777777" w:rsidR="00CF3B26" w:rsidRPr="00EA77A4" w:rsidRDefault="00CF3B26" w:rsidP="002A45C1">
            <w:pPr>
              <w:pStyle w:val="Notedebasdepage"/>
              <w:numPr>
                <w:ilvl w:val="0"/>
                <w:numId w:val="102"/>
              </w:numPr>
              <w:spacing w:after="0"/>
            </w:pPr>
            <w:r w:rsidRPr="00EA77A4">
              <w:rPr>
                <w:sz w:val="24"/>
                <w:szCs w:val="24"/>
              </w:rPr>
              <w:t>Stratégies de management et plans de mise en œuvre ESHS</w:t>
            </w:r>
          </w:p>
          <w:p w14:paraId="4C653E75" w14:textId="625A7D77" w:rsidR="00CF3B26" w:rsidRPr="00EA77A4" w:rsidRDefault="00CF3B26" w:rsidP="00BE0E78">
            <w:pPr>
              <w:pStyle w:val="Paragraphedeliste"/>
              <w:spacing w:after="0"/>
              <w:ind w:left="0" w:firstLine="0"/>
            </w:pPr>
            <w:r w:rsidRPr="00EA77A4">
              <w:rPr>
                <w:rFonts w:asciiTheme="majorBidi" w:hAnsiTheme="majorBidi" w:cstheme="majorBidi"/>
              </w:rPr>
              <w:t xml:space="preserve">L’Entrepreneur devra soumettre pour approbation et ensuite mettre en œuvre le Plan de Gestion environnemental et social de l’Entrepreneur (PGES-E) en conformité avec </w:t>
            </w:r>
            <w:r w:rsidRPr="00C73044">
              <w:rPr>
                <w:rFonts w:asciiTheme="majorBidi" w:hAnsiTheme="majorBidi" w:cstheme="majorBidi"/>
              </w:rPr>
              <w:t xml:space="preserve">la </w:t>
            </w:r>
            <w:r w:rsidRPr="00D7539E">
              <w:rPr>
                <w:rFonts w:asciiTheme="majorBidi" w:hAnsiTheme="majorBidi" w:cstheme="majorBidi"/>
              </w:rPr>
              <w:t>Clause 16.</w:t>
            </w:r>
            <w:r w:rsidR="00BE0E78" w:rsidRPr="00D7539E">
              <w:rPr>
                <w:rFonts w:asciiTheme="majorBidi" w:hAnsiTheme="majorBidi" w:cstheme="majorBidi"/>
              </w:rPr>
              <w:t>1</w:t>
            </w:r>
            <w:r w:rsidRPr="00D7539E">
              <w:rPr>
                <w:rFonts w:asciiTheme="majorBidi" w:hAnsiTheme="majorBidi" w:cstheme="majorBidi"/>
              </w:rPr>
              <w:t xml:space="preserve"> du CCAP,</w:t>
            </w:r>
            <w:r w:rsidRPr="00C73044">
              <w:rPr>
                <w:rFonts w:asciiTheme="majorBidi" w:hAnsiTheme="majorBidi" w:cstheme="majorBidi"/>
              </w:rPr>
              <w:t xml:space="preserve"> comprenant le</w:t>
            </w:r>
            <w:r w:rsidRPr="00C73044">
              <w:rPr>
                <w:rFonts w:asciiTheme="majorBidi" w:hAnsiTheme="majorBidi" w:cstheme="majorBidi"/>
                <w:iCs/>
              </w:rPr>
              <w:t>s stratégies de management et plans de mise en œuvre décrits ci-dessus.</w:t>
            </w:r>
          </w:p>
        </w:tc>
      </w:tr>
      <w:tr w:rsidR="0089635E" w:rsidRPr="00A67F27" w14:paraId="352BB2B5" w14:textId="77777777" w:rsidTr="007318E7">
        <w:trPr>
          <w:trHeight w:val="20"/>
        </w:trPr>
        <w:tc>
          <w:tcPr>
            <w:tcW w:w="1620" w:type="dxa"/>
          </w:tcPr>
          <w:p w14:paraId="7250233B" w14:textId="77777777" w:rsidR="000A450A" w:rsidRPr="00A67F27" w:rsidRDefault="000A450A" w:rsidP="004F1398">
            <w:pPr>
              <w:tabs>
                <w:tab w:val="right" w:pos="7434"/>
              </w:tabs>
              <w:spacing w:before="160" w:after="160"/>
              <w:rPr>
                <w:rFonts w:asciiTheme="majorBidi" w:hAnsiTheme="majorBidi" w:cstheme="majorBidi"/>
                <w:b/>
              </w:rPr>
            </w:pPr>
            <w:r w:rsidRPr="00A67F27">
              <w:rPr>
                <w:rFonts w:asciiTheme="majorBidi" w:hAnsiTheme="majorBidi" w:cstheme="majorBidi"/>
                <w:b/>
              </w:rPr>
              <w:lastRenderedPageBreak/>
              <w:t>IS 13.1</w:t>
            </w:r>
          </w:p>
        </w:tc>
        <w:tc>
          <w:tcPr>
            <w:tcW w:w="7740" w:type="dxa"/>
          </w:tcPr>
          <w:p w14:paraId="07647D68" w14:textId="2AC75B34" w:rsidR="000A450A" w:rsidRPr="00EA77A4" w:rsidRDefault="000A450A" w:rsidP="0089635E">
            <w:pPr>
              <w:tabs>
                <w:tab w:val="right" w:pos="7254"/>
              </w:tabs>
              <w:spacing w:before="160" w:after="160"/>
              <w:rPr>
                <w:rFonts w:asciiTheme="majorBidi" w:hAnsiTheme="majorBidi" w:cstheme="majorBidi"/>
              </w:rPr>
            </w:pPr>
            <w:r w:rsidRPr="00EA77A4">
              <w:rPr>
                <w:rFonts w:asciiTheme="majorBidi" w:hAnsiTheme="majorBidi" w:cstheme="majorBidi"/>
              </w:rPr>
              <w:t xml:space="preserve">Les variantes </w:t>
            </w:r>
            <w:r w:rsidRPr="00EA77A4">
              <w:rPr>
                <w:rFonts w:asciiTheme="majorBidi" w:hAnsiTheme="majorBidi" w:cstheme="majorBidi"/>
                <w:b/>
                <w:bCs/>
                <w:i/>
                <w:iCs/>
              </w:rPr>
              <w:t>ne sont pas</w:t>
            </w:r>
            <w:r w:rsidR="00CE2E15" w:rsidRPr="00EA77A4">
              <w:rPr>
                <w:rFonts w:asciiTheme="majorBidi" w:hAnsiTheme="majorBidi" w:cstheme="majorBidi"/>
                <w:b/>
                <w:bCs/>
                <w:i/>
                <w:iCs/>
              </w:rPr>
              <w:t xml:space="preserve"> </w:t>
            </w:r>
            <w:r w:rsidRPr="00EA77A4">
              <w:rPr>
                <w:rFonts w:asciiTheme="majorBidi" w:hAnsiTheme="majorBidi" w:cstheme="majorBidi"/>
              </w:rPr>
              <w:t>autorisées.</w:t>
            </w:r>
          </w:p>
        </w:tc>
      </w:tr>
      <w:tr w:rsidR="000A450A" w:rsidRPr="00A67F27" w14:paraId="5EBE70CB" w14:textId="77777777" w:rsidTr="007318E7">
        <w:trPr>
          <w:trHeight w:val="20"/>
        </w:trPr>
        <w:tc>
          <w:tcPr>
            <w:tcW w:w="1620" w:type="dxa"/>
          </w:tcPr>
          <w:p w14:paraId="68739EDF" w14:textId="77777777" w:rsidR="000A450A" w:rsidRPr="00A67F27" w:rsidRDefault="000A450A" w:rsidP="00C97021">
            <w:pPr>
              <w:tabs>
                <w:tab w:val="right" w:pos="7434"/>
              </w:tabs>
              <w:spacing w:before="160" w:after="0"/>
              <w:rPr>
                <w:rFonts w:asciiTheme="majorBidi" w:hAnsiTheme="majorBidi" w:cstheme="majorBidi"/>
                <w:b/>
              </w:rPr>
            </w:pPr>
            <w:r w:rsidRPr="00A67F27">
              <w:rPr>
                <w:rFonts w:asciiTheme="majorBidi" w:hAnsiTheme="majorBidi" w:cstheme="majorBidi"/>
                <w:b/>
              </w:rPr>
              <w:t>IS 13.2</w:t>
            </w:r>
          </w:p>
        </w:tc>
        <w:tc>
          <w:tcPr>
            <w:tcW w:w="7740" w:type="dxa"/>
          </w:tcPr>
          <w:p w14:paraId="1B7B281C" w14:textId="3228F46B" w:rsidR="000A450A" w:rsidRPr="00EA77A4" w:rsidRDefault="000A450A" w:rsidP="00C97021">
            <w:pPr>
              <w:spacing w:before="160" w:after="0"/>
              <w:ind w:left="0" w:firstLine="0"/>
              <w:rPr>
                <w:rFonts w:asciiTheme="majorBidi" w:hAnsiTheme="majorBidi" w:cstheme="majorBidi"/>
                <w:iCs/>
              </w:rPr>
            </w:pPr>
            <w:r w:rsidRPr="00EA77A4">
              <w:rPr>
                <w:rFonts w:asciiTheme="majorBidi" w:hAnsiTheme="majorBidi" w:cstheme="majorBidi"/>
              </w:rPr>
              <w:t xml:space="preserve">Des délais d’exécution des travaux différents de celui mentionné </w:t>
            </w:r>
            <w:r w:rsidR="00122F22" w:rsidRPr="00EA77A4">
              <w:rPr>
                <w:rFonts w:asciiTheme="majorBidi" w:hAnsiTheme="majorBidi" w:cstheme="majorBidi"/>
              </w:rPr>
              <w:t xml:space="preserve">ne </w:t>
            </w:r>
            <w:r w:rsidR="001E290B" w:rsidRPr="00EA77A4">
              <w:rPr>
                <w:rFonts w:asciiTheme="majorBidi" w:hAnsiTheme="majorBidi" w:cstheme="majorBidi"/>
                <w:b/>
                <w:bCs/>
                <w:iCs/>
              </w:rPr>
              <w:t xml:space="preserve">sont </w:t>
            </w:r>
            <w:r w:rsidR="0013457B" w:rsidRPr="00EA77A4">
              <w:rPr>
                <w:rFonts w:asciiTheme="majorBidi" w:hAnsiTheme="majorBidi" w:cstheme="majorBidi"/>
                <w:b/>
                <w:bCs/>
                <w:iCs/>
              </w:rPr>
              <w:t xml:space="preserve">pas </w:t>
            </w:r>
            <w:r w:rsidR="001E290B" w:rsidRPr="00EA77A4">
              <w:rPr>
                <w:rFonts w:asciiTheme="majorBidi" w:hAnsiTheme="majorBidi" w:cstheme="majorBidi"/>
              </w:rPr>
              <w:t>autorisés</w:t>
            </w:r>
            <w:r w:rsidR="004265FF" w:rsidRPr="00EA77A4">
              <w:rPr>
                <w:rFonts w:asciiTheme="majorBidi" w:hAnsiTheme="majorBidi" w:cstheme="majorBidi"/>
              </w:rPr>
              <w:t>.</w:t>
            </w:r>
          </w:p>
        </w:tc>
      </w:tr>
      <w:tr w:rsidR="000A450A" w:rsidRPr="00A67F27" w14:paraId="460CF2DE" w14:textId="77777777" w:rsidTr="007318E7">
        <w:trPr>
          <w:trHeight w:val="20"/>
        </w:trPr>
        <w:tc>
          <w:tcPr>
            <w:tcW w:w="1620" w:type="dxa"/>
          </w:tcPr>
          <w:p w14:paraId="4AFA058B" w14:textId="77777777" w:rsidR="000A450A" w:rsidRPr="00A67F27" w:rsidRDefault="000A450A" w:rsidP="004F1398">
            <w:pPr>
              <w:tabs>
                <w:tab w:val="right" w:pos="7434"/>
              </w:tabs>
              <w:spacing w:before="160" w:after="160"/>
              <w:rPr>
                <w:rFonts w:asciiTheme="majorBidi" w:hAnsiTheme="majorBidi" w:cstheme="majorBidi"/>
                <w:b/>
              </w:rPr>
            </w:pPr>
            <w:r w:rsidRPr="00A67F27">
              <w:rPr>
                <w:rFonts w:asciiTheme="majorBidi" w:hAnsiTheme="majorBidi" w:cstheme="majorBidi"/>
                <w:b/>
              </w:rPr>
              <w:t>IS 13.4</w:t>
            </w:r>
          </w:p>
        </w:tc>
        <w:tc>
          <w:tcPr>
            <w:tcW w:w="7740" w:type="dxa"/>
          </w:tcPr>
          <w:p w14:paraId="27E6385C" w14:textId="3326FE0B" w:rsidR="000A450A" w:rsidRPr="00EA77A4" w:rsidRDefault="00D944C0" w:rsidP="004F1398">
            <w:pPr>
              <w:spacing w:before="160" w:after="160"/>
              <w:ind w:left="0" w:firstLine="0"/>
              <w:rPr>
                <w:rFonts w:asciiTheme="majorBidi" w:hAnsiTheme="majorBidi" w:cstheme="majorBidi"/>
                <w:iCs/>
              </w:rPr>
            </w:pPr>
            <w:r w:rsidRPr="00EA77A4">
              <w:rPr>
                <w:rFonts w:asciiTheme="majorBidi" w:hAnsiTheme="majorBidi" w:cstheme="majorBidi"/>
              </w:rPr>
              <w:t>L</w:t>
            </w:r>
            <w:r w:rsidR="000A450A" w:rsidRPr="00EA77A4">
              <w:rPr>
                <w:rFonts w:asciiTheme="majorBidi" w:hAnsiTheme="majorBidi" w:cstheme="majorBidi"/>
              </w:rPr>
              <w:t xml:space="preserve">es variantes techniques spécifiées </w:t>
            </w:r>
            <w:r w:rsidR="00553078" w:rsidRPr="00EA77A4">
              <w:rPr>
                <w:rFonts w:asciiTheme="majorBidi" w:hAnsiTheme="majorBidi" w:cstheme="majorBidi"/>
                <w:iCs/>
              </w:rPr>
              <w:t>ne</w:t>
            </w:r>
            <w:r w:rsidR="00DE5025" w:rsidRPr="00EA77A4">
              <w:rPr>
                <w:rFonts w:asciiTheme="majorBidi" w:hAnsiTheme="majorBidi" w:cstheme="majorBidi"/>
                <w:iCs/>
              </w:rPr>
              <w:t xml:space="preserve"> sont pas</w:t>
            </w:r>
            <w:r w:rsidR="001E290B" w:rsidRPr="00EA77A4">
              <w:rPr>
                <w:rFonts w:asciiTheme="majorBidi" w:hAnsiTheme="majorBidi" w:cstheme="majorBidi"/>
                <w:i/>
                <w:iCs/>
              </w:rPr>
              <w:t xml:space="preserve"> </w:t>
            </w:r>
            <w:r w:rsidR="00C2287E" w:rsidRPr="00EA77A4">
              <w:rPr>
                <w:rFonts w:asciiTheme="majorBidi" w:hAnsiTheme="majorBidi" w:cstheme="majorBidi"/>
              </w:rPr>
              <w:t>autorisées</w:t>
            </w:r>
            <w:r w:rsidR="00D131C7" w:rsidRPr="00EA77A4">
              <w:rPr>
                <w:rFonts w:asciiTheme="majorBidi" w:hAnsiTheme="majorBidi" w:cstheme="majorBidi"/>
              </w:rPr>
              <w:t>.</w:t>
            </w:r>
            <w:r w:rsidR="0057370F" w:rsidRPr="00EA77A4">
              <w:rPr>
                <w:rFonts w:asciiTheme="majorBidi" w:hAnsiTheme="majorBidi" w:cstheme="majorBidi"/>
              </w:rPr>
              <w:t xml:space="preserve"> </w:t>
            </w:r>
            <w:r w:rsidR="000A450A" w:rsidRPr="00EA77A4">
              <w:rPr>
                <w:rFonts w:asciiTheme="majorBidi" w:hAnsiTheme="majorBidi" w:cstheme="majorBidi"/>
              </w:rPr>
              <w:t xml:space="preserve"> </w:t>
            </w:r>
          </w:p>
        </w:tc>
      </w:tr>
      <w:tr w:rsidR="0089635E" w:rsidRPr="00A67F27" w14:paraId="23906547" w14:textId="77777777" w:rsidTr="007318E7">
        <w:trPr>
          <w:trHeight w:val="20"/>
        </w:trPr>
        <w:tc>
          <w:tcPr>
            <w:tcW w:w="1620" w:type="dxa"/>
          </w:tcPr>
          <w:p w14:paraId="79CE197E" w14:textId="77777777" w:rsidR="000A450A" w:rsidRPr="00A67F27" w:rsidRDefault="000A450A" w:rsidP="00C97021">
            <w:pPr>
              <w:tabs>
                <w:tab w:val="right" w:pos="7434"/>
              </w:tabs>
              <w:spacing w:before="160" w:after="0"/>
              <w:rPr>
                <w:rFonts w:asciiTheme="majorBidi" w:hAnsiTheme="majorBidi" w:cstheme="majorBidi"/>
                <w:b/>
              </w:rPr>
            </w:pPr>
            <w:r w:rsidRPr="00A67F27">
              <w:rPr>
                <w:rFonts w:asciiTheme="majorBidi" w:hAnsiTheme="majorBidi" w:cstheme="majorBidi"/>
                <w:b/>
              </w:rPr>
              <w:t>IS 14.5</w:t>
            </w:r>
          </w:p>
        </w:tc>
        <w:tc>
          <w:tcPr>
            <w:tcW w:w="7740" w:type="dxa"/>
          </w:tcPr>
          <w:p w14:paraId="72B4F7B9" w14:textId="6932E674" w:rsidR="000A450A" w:rsidRPr="00EA77A4" w:rsidRDefault="000A450A" w:rsidP="00C97021">
            <w:pPr>
              <w:tabs>
                <w:tab w:val="right" w:pos="7254"/>
              </w:tabs>
              <w:spacing w:before="160" w:after="0"/>
              <w:ind w:left="0" w:firstLine="0"/>
              <w:rPr>
                <w:rFonts w:asciiTheme="majorBidi" w:hAnsiTheme="majorBidi" w:cstheme="majorBidi"/>
                <w:i/>
                <w:sz w:val="20"/>
              </w:rPr>
            </w:pPr>
            <w:r w:rsidRPr="00EA77A4">
              <w:rPr>
                <w:rFonts w:asciiTheme="majorBidi" w:hAnsiTheme="majorBidi" w:cstheme="majorBidi"/>
              </w:rPr>
              <w:t xml:space="preserve">Les prix proposés par le Soumissionnaire seront </w:t>
            </w:r>
            <w:r w:rsidR="00854192" w:rsidRPr="00EA77A4">
              <w:rPr>
                <w:rFonts w:asciiTheme="majorBidi" w:hAnsiTheme="majorBidi" w:cstheme="majorBidi"/>
                <w:b/>
                <w:bCs/>
                <w:iCs/>
              </w:rPr>
              <w:t>fermes</w:t>
            </w:r>
            <w:r w:rsidR="00D131C7" w:rsidRPr="00EA77A4">
              <w:rPr>
                <w:rFonts w:asciiTheme="majorBidi" w:hAnsiTheme="majorBidi" w:cstheme="majorBidi"/>
                <w:b/>
                <w:bCs/>
                <w:iCs/>
              </w:rPr>
              <w:t>.</w:t>
            </w:r>
          </w:p>
        </w:tc>
      </w:tr>
      <w:tr w:rsidR="00523DCD" w:rsidRPr="00A67F27" w14:paraId="556D5E8C" w14:textId="77777777" w:rsidTr="007318E7">
        <w:trPr>
          <w:trHeight w:val="20"/>
        </w:trPr>
        <w:tc>
          <w:tcPr>
            <w:tcW w:w="1620" w:type="dxa"/>
          </w:tcPr>
          <w:p w14:paraId="4BFBCA46" w14:textId="57120BC4" w:rsidR="00523DCD" w:rsidRPr="00A67F27" w:rsidRDefault="00523DCD" w:rsidP="00C97021">
            <w:pPr>
              <w:tabs>
                <w:tab w:val="right" w:pos="7434"/>
              </w:tabs>
              <w:spacing w:before="160" w:after="0"/>
              <w:jc w:val="left"/>
              <w:rPr>
                <w:rFonts w:asciiTheme="majorBidi" w:hAnsiTheme="majorBidi" w:cstheme="majorBidi"/>
                <w:b/>
              </w:rPr>
            </w:pPr>
            <w:r w:rsidRPr="00A67F27">
              <w:rPr>
                <w:rFonts w:asciiTheme="majorBidi" w:hAnsiTheme="majorBidi" w:cstheme="majorBidi"/>
                <w:b/>
              </w:rPr>
              <w:t>IS 15.1</w:t>
            </w:r>
          </w:p>
        </w:tc>
        <w:tc>
          <w:tcPr>
            <w:tcW w:w="7740" w:type="dxa"/>
          </w:tcPr>
          <w:p w14:paraId="1060B11F" w14:textId="77777777" w:rsidR="00523DCD" w:rsidRPr="00EA77A4" w:rsidRDefault="00523DCD" w:rsidP="00C97021">
            <w:pPr>
              <w:spacing w:before="160" w:after="0"/>
              <w:ind w:left="0" w:right="-72" w:firstLine="0"/>
              <w:jc w:val="left"/>
              <w:rPr>
                <w:b/>
                <w:i/>
              </w:rPr>
            </w:pPr>
            <w:r w:rsidRPr="00EA77A4">
              <w:t xml:space="preserve">Les monnaies de l’offre et les monnaies de règlement seront les suivantes : </w:t>
            </w:r>
          </w:p>
          <w:p w14:paraId="40AA0422" w14:textId="7E617C56" w:rsidR="00523DCD" w:rsidRPr="00EA77A4" w:rsidRDefault="003A300F" w:rsidP="00C97021">
            <w:pPr>
              <w:spacing w:before="160" w:after="0"/>
              <w:ind w:left="0" w:right="-72" w:firstLine="0"/>
              <w:rPr>
                <w:rFonts w:asciiTheme="majorBidi" w:hAnsiTheme="majorBidi" w:cstheme="majorBidi"/>
              </w:rPr>
            </w:pPr>
            <w:r w:rsidRPr="00EA77A4">
              <w:rPr>
                <w:rFonts w:asciiTheme="majorBidi" w:hAnsiTheme="majorBidi" w:cstheme="majorBidi"/>
              </w:rPr>
              <w:t>Les prix seront entièrement libellés en francs CFA (FCFA) XOF</w:t>
            </w:r>
          </w:p>
        </w:tc>
      </w:tr>
      <w:tr w:rsidR="000A450A" w:rsidRPr="00A67F27" w14:paraId="2F218DE0" w14:textId="77777777" w:rsidTr="007318E7">
        <w:trPr>
          <w:trHeight w:val="20"/>
        </w:trPr>
        <w:tc>
          <w:tcPr>
            <w:tcW w:w="1620" w:type="dxa"/>
          </w:tcPr>
          <w:p w14:paraId="5FD104AA" w14:textId="4025EFA9" w:rsidR="000A450A" w:rsidRPr="00A67F27" w:rsidRDefault="000A450A" w:rsidP="00C97021">
            <w:pPr>
              <w:tabs>
                <w:tab w:val="right" w:pos="7434"/>
              </w:tabs>
              <w:spacing w:before="160" w:after="0"/>
              <w:rPr>
                <w:rFonts w:asciiTheme="majorBidi" w:hAnsiTheme="majorBidi" w:cstheme="majorBidi"/>
                <w:b/>
              </w:rPr>
            </w:pPr>
            <w:r w:rsidRPr="00A67F27">
              <w:rPr>
                <w:rFonts w:asciiTheme="majorBidi" w:hAnsiTheme="majorBidi" w:cstheme="majorBidi"/>
                <w:b/>
              </w:rPr>
              <w:t>IS 18.1</w:t>
            </w:r>
          </w:p>
        </w:tc>
        <w:tc>
          <w:tcPr>
            <w:tcW w:w="7740" w:type="dxa"/>
          </w:tcPr>
          <w:p w14:paraId="70ACC57F" w14:textId="4D70F70A" w:rsidR="000A450A" w:rsidRPr="00EA77A4" w:rsidRDefault="000A450A" w:rsidP="00C97021">
            <w:pPr>
              <w:pStyle w:val="i"/>
              <w:tabs>
                <w:tab w:val="right" w:pos="7254"/>
              </w:tabs>
              <w:spacing w:before="160" w:after="0"/>
              <w:ind w:left="0" w:firstLine="0"/>
              <w:rPr>
                <w:rFonts w:asciiTheme="majorBidi" w:hAnsiTheme="majorBidi" w:cstheme="majorBidi"/>
                <w:lang w:val="fr-FR"/>
              </w:rPr>
            </w:pPr>
            <w:r w:rsidRPr="00EA77A4">
              <w:rPr>
                <w:rFonts w:asciiTheme="majorBidi" w:hAnsiTheme="majorBidi" w:cstheme="majorBidi"/>
                <w:lang w:val="fr-FR"/>
              </w:rPr>
              <w:t xml:space="preserve">La </w:t>
            </w:r>
            <w:r w:rsidR="006532E5" w:rsidRPr="00EA77A4">
              <w:rPr>
                <w:rFonts w:asciiTheme="majorBidi" w:hAnsiTheme="majorBidi" w:cstheme="majorBidi"/>
                <w:lang w:val="fr-FR"/>
              </w:rPr>
              <w:t>P</w:t>
            </w:r>
            <w:r w:rsidRPr="00EA77A4">
              <w:rPr>
                <w:rFonts w:asciiTheme="majorBidi" w:hAnsiTheme="majorBidi" w:cstheme="majorBidi"/>
                <w:lang w:val="fr-FR"/>
              </w:rPr>
              <w:t xml:space="preserve">ériode de validité de l’offre sera </w:t>
            </w:r>
            <w:r w:rsidR="00741946" w:rsidRPr="00EA77A4">
              <w:rPr>
                <w:rFonts w:asciiTheme="majorBidi" w:hAnsiTheme="majorBidi" w:cstheme="majorBidi"/>
                <w:lang w:val="fr-FR"/>
              </w:rPr>
              <w:t>de 120</w:t>
            </w:r>
            <w:r w:rsidRPr="00EA77A4">
              <w:rPr>
                <w:rFonts w:asciiTheme="majorBidi" w:hAnsiTheme="majorBidi" w:cstheme="majorBidi"/>
                <w:lang w:val="fr-FR"/>
              </w:rPr>
              <w:t xml:space="preserve"> jours.</w:t>
            </w:r>
          </w:p>
        </w:tc>
      </w:tr>
      <w:tr w:rsidR="000A450A" w:rsidRPr="00A67F27" w14:paraId="2E4C68AD" w14:textId="77777777" w:rsidTr="007318E7">
        <w:trPr>
          <w:trHeight w:val="20"/>
        </w:trPr>
        <w:tc>
          <w:tcPr>
            <w:tcW w:w="1620" w:type="dxa"/>
          </w:tcPr>
          <w:p w14:paraId="354CA437" w14:textId="77777777" w:rsidR="000A450A" w:rsidRPr="00A67F27" w:rsidRDefault="000A450A" w:rsidP="00C97021">
            <w:pPr>
              <w:tabs>
                <w:tab w:val="right" w:pos="7434"/>
              </w:tabs>
              <w:spacing w:before="160" w:after="0"/>
              <w:rPr>
                <w:rFonts w:asciiTheme="majorBidi" w:hAnsiTheme="majorBidi" w:cstheme="majorBidi"/>
                <w:b/>
              </w:rPr>
            </w:pPr>
            <w:r w:rsidRPr="00A67F27">
              <w:rPr>
                <w:rFonts w:asciiTheme="majorBidi" w:hAnsiTheme="majorBidi" w:cstheme="majorBidi"/>
                <w:b/>
              </w:rPr>
              <w:t>IS 18.3 (a)</w:t>
            </w:r>
          </w:p>
        </w:tc>
        <w:tc>
          <w:tcPr>
            <w:tcW w:w="7740" w:type="dxa"/>
          </w:tcPr>
          <w:p w14:paraId="5C47170E" w14:textId="5B3F0B40" w:rsidR="000A450A" w:rsidRPr="00EA77A4" w:rsidRDefault="000A450A" w:rsidP="00C97021">
            <w:pPr>
              <w:tabs>
                <w:tab w:val="right" w:pos="7254"/>
              </w:tabs>
              <w:spacing w:before="160" w:after="0"/>
              <w:ind w:left="0" w:firstLine="0"/>
              <w:rPr>
                <w:rFonts w:asciiTheme="majorBidi" w:hAnsiTheme="majorBidi" w:cstheme="majorBidi"/>
                <w:b/>
                <w:bCs/>
              </w:rPr>
            </w:pPr>
            <w:r w:rsidRPr="00EA77A4">
              <w:rPr>
                <w:rFonts w:asciiTheme="majorBidi" w:hAnsiTheme="majorBidi" w:cstheme="majorBidi"/>
              </w:rPr>
              <w:t xml:space="preserve">Dans le cas d’un marché à prix ferme, </w:t>
            </w:r>
            <w:r w:rsidR="00161C7C" w:rsidRPr="00EA77A4">
              <w:rPr>
                <w:rFonts w:asciiTheme="majorBidi" w:hAnsiTheme="majorBidi" w:cstheme="majorBidi"/>
              </w:rPr>
              <w:t>l</w:t>
            </w:r>
            <w:r w:rsidRPr="00EA77A4">
              <w:rPr>
                <w:rFonts w:asciiTheme="majorBidi" w:hAnsiTheme="majorBidi" w:cstheme="majorBidi"/>
              </w:rPr>
              <w:t xml:space="preserve">e </w:t>
            </w:r>
            <w:r w:rsidR="00D944C0" w:rsidRPr="00EA77A4">
              <w:rPr>
                <w:rFonts w:asciiTheme="majorBidi" w:hAnsiTheme="majorBidi" w:cstheme="majorBidi"/>
              </w:rPr>
              <w:t xml:space="preserve">Montant </w:t>
            </w:r>
            <w:r w:rsidRPr="00EA77A4">
              <w:rPr>
                <w:rFonts w:asciiTheme="majorBidi" w:hAnsiTheme="majorBidi" w:cstheme="majorBidi"/>
              </w:rPr>
              <w:t xml:space="preserve">du marché sera le </w:t>
            </w:r>
            <w:r w:rsidR="00D944C0" w:rsidRPr="00EA77A4">
              <w:rPr>
                <w:rFonts w:asciiTheme="majorBidi" w:hAnsiTheme="majorBidi" w:cstheme="majorBidi"/>
              </w:rPr>
              <w:t>Montant</w:t>
            </w:r>
            <w:r w:rsidRPr="00EA77A4">
              <w:rPr>
                <w:rFonts w:asciiTheme="majorBidi" w:hAnsiTheme="majorBidi" w:cstheme="majorBidi"/>
              </w:rPr>
              <w:t xml:space="preserve"> de l’</w:t>
            </w:r>
            <w:r w:rsidR="00D944C0" w:rsidRPr="00EA77A4">
              <w:rPr>
                <w:rFonts w:asciiTheme="majorBidi" w:hAnsiTheme="majorBidi" w:cstheme="majorBidi"/>
              </w:rPr>
              <w:t>O</w:t>
            </w:r>
            <w:r w:rsidRPr="00EA77A4">
              <w:rPr>
                <w:rFonts w:asciiTheme="majorBidi" w:hAnsiTheme="majorBidi" w:cstheme="majorBidi"/>
              </w:rPr>
              <w:t xml:space="preserve">ffre </w:t>
            </w:r>
            <w:r w:rsidR="001A206C" w:rsidRPr="00EA77A4">
              <w:rPr>
                <w:rFonts w:asciiTheme="majorBidi" w:hAnsiTheme="majorBidi" w:cstheme="majorBidi"/>
              </w:rPr>
              <w:t>actualisé</w:t>
            </w:r>
            <w:r w:rsidR="00161C7C" w:rsidRPr="00EA77A4">
              <w:rPr>
                <w:rFonts w:asciiTheme="majorBidi" w:hAnsiTheme="majorBidi" w:cstheme="majorBidi"/>
              </w:rPr>
              <w:t>e</w:t>
            </w:r>
            <w:r w:rsidRPr="00EA77A4">
              <w:rPr>
                <w:rFonts w:asciiTheme="majorBidi" w:hAnsiTheme="majorBidi" w:cstheme="majorBidi"/>
              </w:rPr>
              <w:t xml:space="preserve"> de la manière suivante</w:t>
            </w:r>
            <w:r w:rsidR="009B2302" w:rsidRPr="00EA77A4">
              <w:rPr>
                <w:rFonts w:asciiTheme="majorBidi" w:hAnsiTheme="majorBidi" w:cstheme="majorBidi"/>
              </w:rPr>
              <w:t> :</w:t>
            </w:r>
            <w:r w:rsidR="00B27555" w:rsidRPr="00EA77A4">
              <w:rPr>
                <w:rFonts w:asciiTheme="majorBidi" w:hAnsiTheme="majorBidi" w:cstheme="majorBidi"/>
              </w:rPr>
              <w:t xml:space="preserve"> </w:t>
            </w:r>
            <w:r w:rsidR="00523DCD" w:rsidRPr="00EA77A4">
              <w:rPr>
                <w:rFonts w:asciiTheme="majorBidi" w:hAnsiTheme="majorBidi" w:cstheme="majorBidi"/>
              </w:rPr>
              <w:t>Non applicable</w:t>
            </w:r>
          </w:p>
        </w:tc>
      </w:tr>
      <w:tr w:rsidR="00EB592E" w:rsidRPr="00A67F27" w14:paraId="4A9ADA65" w14:textId="77777777" w:rsidTr="007318E7">
        <w:trPr>
          <w:trHeight w:val="20"/>
        </w:trPr>
        <w:tc>
          <w:tcPr>
            <w:tcW w:w="1620" w:type="dxa"/>
          </w:tcPr>
          <w:p w14:paraId="124A5FED" w14:textId="25386C3C" w:rsidR="00EB592E" w:rsidRPr="00EA77A4" w:rsidRDefault="00EB592E" w:rsidP="00EB592E">
            <w:pPr>
              <w:tabs>
                <w:tab w:val="right" w:pos="7434"/>
              </w:tabs>
              <w:spacing w:before="160" w:after="160"/>
              <w:rPr>
                <w:rFonts w:asciiTheme="majorBidi" w:hAnsiTheme="majorBidi" w:cstheme="majorBidi"/>
                <w:b/>
              </w:rPr>
            </w:pPr>
            <w:r w:rsidRPr="00EA77A4">
              <w:rPr>
                <w:rFonts w:asciiTheme="majorBidi" w:hAnsiTheme="majorBidi" w:cstheme="majorBidi"/>
                <w:b/>
              </w:rPr>
              <w:t>IS 19.1</w:t>
            </w:r>
          </w:p>
        </w:tc>
        <w:tc>
          <w:tcPr>
            <w:tcW w:w="7740" w:type="dxa"/>
          </w:tcPr>
          <w:p w14:paraId="43D07EB0" w14:textId="77777777" w:rsidR="00EB592E" w:rsidRPr="00EA77A4" w:rsidRDefault="00EB592E" w:rsidP="00EB592E">
            <w:pPr>
              <w:suppressAutoHyphens/>
              <w:spacing w:after="0"/>
              <w:ind w:left="0" w:firstLine="0"/>
            </w:pPr>
            <w:r w:rsidRPr="00EA77A4">
              <w:t xml:space="preserve">Une Garantie de soumission </w:t>
            </w:r>
            <w:r w:rsidRPr="00EA77A4">
              <w:rPr>
                <w:i/>
              </w:rPr>
              <w:t xml:space="preserve">est </w:t>
            </w:r>
            <w:r w:rsidRPr="00EA77A4">
              <w:t>requise</w:t>
            </w:r>
          </w:p>
          <w:p w14:paraId="4321E961" w14:textId="4414CDE4" w:rsidR="00EB592E" w:rsidRDefault="00EB592E" w:rsidP="00204C6B">
            <w:pPr>
              <w:suppressAutoHyphens/>
              <w:spacing w:after="0"/>
              <w:ind w:left="0" w:firstLine="0"/>
              <w:rPr>
                <w:iCs/>
                <w:szCs w:val="24"/>
              </w:rPr>
            </w:pPr>
            <w:r w:rsidRPr="007B471D">
              <w:rPr>
                <w:iCs/>
                <w:szCs w:val="24"/>
              </w:rPr>
              <w:t xml:space="preserve">Son montant est </w:t>
            </w:r>
            <w:r w:rsidR="001B50ED" w:rsidRPr="007B471D">
              <w:rPr>
                <w:iCs/>
                <w:szCs w:val="24"/>
              </w:rPr>
              <w:t>de</w:t>
            </w:r>
            <w:r w:rsidR="007B471D" w:rsidRPr="007B471D">
              <w:rPr>
                <w:iCs/>
                <w:szCs w:val="24"/>
              </w:rPr>
              <w:t xml:space="preserve"> : </w:t>
            </w:r>
            <w:r w:rsidR="00C267B9" w:rsidRPr="007B471D">
              <w:rPr>
                <w:iCs/>
                <w:szCs w:val="24"/>
              </w:rPr>
              <w:t xml:space="preserve">Quatorze millions deux cent cinquante </w:t>
            </w:r>
            <w:proofErr w:type="spellStart"/>
            <w:r w:rsidR="00C267B9" w:rsidRPr="007B471D">
              <w:rPr>
                <w:iCs/>
                <w:szCs w:val="24"/>
              </w:rPr>
              <w:t>millle</w:t>
            </w:r>
            <w:proofErr w:type="spellEnd"/>
            <w:r w:rsidR="00C267B9" w:rsidRPr="007B471D">
              <w:rPr>
                <w:iCs/>
                <w:szCs w:val="24"/>
              </w:rPr>
              <w:t xml:space="preserve"> (14 250 000</w:t>
            </w:r>
            <w:r w:rsidR="001B50ED" w:rsidRPr="007B471D">
              <w:rPr>
                <w:b/>
                <w:iCs/>
                <w:szCs w:val="24"/>
              </w:rPr>
              <w:t xml:space="preserve">) </w:t>
            </w:r>
            <w:r w:rsidR="001B50ED" w:rsidRPr="00517FB1">
              <w:rPr>
                <w:iCs/>
                <w:szCs w:val="24"/>
              </w:rPr>
              <w:t>F</w:t>
            </w:r>
            <w:r w:rsidR="001B50ED" w:rsidRPr="00517FB1">
              <w:rPr>
                <w:szCs w:val="24"/>
              </w:rPr>
              <w:t xml:space="preserve"> </w:t>
            </w:r>
            <w:r w:rsidR="0013457B" w:rsidRPr="00517FB1">
              <w:rPr>
                <w:szCs w:val="24"/>
              </w:rPr>
              <w:t>C</w:t>
            </w:r>
            <w:r w:rsidR="004A60F5" w:rsidRPr="00517FB1">
              <w:rPr>
                <w:szCs w:val="24"/>
              </w:rPr>
              <w:t>F</w:t>
            </w:r>
            <w:r w:rsidR="0013457B" w:rsidRPr="00517FB1">
              <w:rPr>
                <w:szCs w:val="24"/>
              </w:rPr>
              <w:t>A</w:t>
            </w:r>
            <w:r w:rsidR="00352EF9" w:rsidRPr="007B471D">
              <w:rPr>
                <w:i/>
                <w:iCs/>
                <w:szCs w:val="24"/>
              </w:rPr>
              <w:t xml:space="preserve"> ou le montant équivalent dans une monnaie librement convertible.</w:t>
            </w:r>
          </w:p>
          <w:p w14:paraId="2CA82B88" w14:textId="15DC67FF" w:rsidR="007B471D" w:rsidRPr="007B471D" w:rsidRDefault="007B471D" w:rsidP="007B471D">
            <w:pPr>
              <w:suppressAutoHyphens/>
              <w:overflowPunct w:val="0"/>
              <w:autoSpaceDE w:val="0"/>
              <w:autoSpaceDN w:val="0"/>
              <w:adjustRightInd w:val="0"/>
              <w:spacing w:after="0"/>
              <w:textAlignment w:val="baseline"/>
              <w:rPr>
                <w:rFonts w:ascii="Arial Narrow" w:hAnsi="Arial Narrow" w:cs="Arial"/>
                <w:szCs w:val="24"/>
              </w:rPr>
            </w:pPr>
          </w:p>
        </w:tc>
      </w:tr>
      <w:tr w:rsidR="000A450A" w:rsidRPr="00A67F27" w14:paraId="223A573D" w14:textId="77777777" w:rsidTr="00C97021">
        <w:trPr>
          <w:trHeight w:val="364"/>
        </w:trPr>
        <w:tc>
          <w:tcPr>
            <w:tcW w:w="1620" w:type="dxa"/>
          </w:tcPr>
          <w:p w14:paraId="31B9344D" w14:textId="77777777" w:rsidR="000A450A" w:rsidRPr="00A67F27" w:rsidRDefault="000A450A" w:rsidP="00C97021">
            <w:pPr>
              <w:tabs>
                <w:tab w:val="right" w:pos="7434"/>
              </w:tabs>
              <w:spacing w:after="160"/>
              <w:rPr>
                <w:rFonts w:asciiTheme="majorBidi" w:hAnsiTheme="majorBidi" w:cstheme="majorBidi"/>
                <w:b/>
              </w:rPr>
            </w:pPr>
            <w:r w:rsidRPr="00A67F27">
              <w:rPr>
                <w:rFonts w:asciiTheme="majorBidi" w:hAnsiTheme="majorBidi" w:cstheme="majorBidi"/>
                <w:b/>
              </w:rPr>
              <w:lastRenderedPageBreak/>
              <w:t>IS 19.3(d)</w:t>
            </w:r>
          </w:p>
        </w:tc>
        <w:tc>
          <w:tcPr>
            <w:tcW w:w="7740" w:type="dxa"/>
          </w:tcPr>
          <w:p w14:paraId="29183F1F" w14:textId="2DC5991D" w:rsidR="00F856B6" w:rsidRPr="0048656E" w:rsidRDefault="000A450A" w:rsidP="00C97021">
            <w:pPr>
              <w:tabs>
                <w:tab w:val="right" w:pos="7254"/>
              </w:tabs>
              <w:spacing w:after="60"/>
              <w:rPr>
                <w:rFonts w:asciiTheme="majorBidi" w:hAnsiTheme="majorBidi" w:cstheme="majorBidi"/>
                <w:b/>
                <w:iCs/>
                <w:u w:val="single"/>
              </w:rPr>
            </w:pPr>
            <w:r w:rsidRPr="00A67F27">
              <w:rPr>
                <w:rFonts w:asciiTheme="majorBidi" w:hAnsiTheme="majorBidi" w:cstheme="majorBidi"/>
              </w:rPr>
              <w:t>Autres types de garanties acceptables</w:t>
            </w:r>
            <w:r w:rsidR="009B2302" w:rsidRPr="00A67F27">
              <w:rPr>
                <w:rFonts w:asciiTheme="majorBidi" w:hAnsiTheme="majorBidi" w:cstheme="majorBidi"/>
              </w:rPr>
              <w:t> </w:t>
            </w:r>
            <w:r w:rsidR="00EB592E" w:rsidRPr="00A67F27">
              <w:rPr>
                <w:rFonts w:asciiTheme="majorBidi" w:hAnsiTheme="majorBidi" w:cstheme="majorBidi"/>
              </w:rPr>
              <w:t>:</w:t>
            </w:r>
            <w:r w:rsidR="00EB592E" w:rsidRPr="00A67F27">
              <w:rPr>
                <w:rFonts w:asciiTheme="majorBidi" w:hAnsiTheme="majorBidi" w:cstheme="majorBidi"/>
                <w:b/>
                <w:i/>
              </w:rPr>
              <w:t xml:space="preserve"> </w:t>
            </w:r>
            <w:r w:rsidR="00EB592E" w:rsidRPr="00960482">
              <w:rPr>
                <w:rFonts w:asciiTheme="majorBidi" w:hAnsiTheme="majorBidi" w:cstheme="majorBidi"/>
                <w:color w:val="595959" w:themeColor="text1" w:themeTint="A6"/>
              </w:rPr>
              <w:t>N</w:t>
            </w:r>
            <w:r w:rsidR="00122F22" w:rsidRPr="00960482">
              <w:rPr>
                <w:rFonts w:asciiTheme="majorBidi" w:hAnsiTheme="majorBidi" w:cstheme="majorBidi"/>
                <w:color w:val="595959" w:themeColor="text1" w:themeTint="A6"/>
              </w:rPr>
              <w:t>/A</w:t>
            </w:r>
          </w:p>
        </w:tc>
      </w:tr>
      <w:tr w:rsidR="00523DCD" w:rsidRPr="00A67F27" w14:paraId="0E9CDF6C" w14:textId="77777777" w:rsidTr="007318E7">
        <w:trPr>
          <w:trHeight w:val="20"/>
        </w:trPr>
        <w:tc>
          <w:tcPr>
            <w:tcW w:w="1620" w:type="dxa"/>
          </w:tcPr>
          <w:p w14:paraId="333183DF" w14:textId="3D922453" w:rsidR="00523DCD" w:rsidRPr="00A67F27" w:rsidRDefault="00523DCD" w:rsidP="00C97021">
            <w:pPr>
              <w:tabs>
                <w:tab w:val="right" w:pos="7434"/>
              </w:tabs>
              <w:spacing w:after="160"/>
              <w:rPr>
                <w:rFonts w:asciiTheme="majorBidi" w:hAnsiTheme="majorBidi" w:cstheme="majorBidi"/>
                <w:b/>
              </w:rPr>
            </w:pPr>
            <w:r w:rsidRPr="00A67F27">
              <w:rPr>
                <w:rFonts w:asciiTheme="majorBidi" w:hAnsiTheme="majorBidi" w:cstheme="majorBidi"/>
                <w:b/>
              </w:rPr>
              <w:t>IS 19.9</w:t>
            </w:r>
          </w:p>
        </w:tc>
        <w:tc>
          <w:tcPr>
            <w:tcW w:w="7740" w:type="dxa"/>
          </w:tcPr>
          <w:p w14:paraId="532A08B5" w14:textId="422A9F0F" w:rsidR="00523DCD" w:rsidRPr="00DB7DEE" w:rsidRDefault="00560003" w:rsidP="00C97021">
            <w:pPr>
              <w:tabs>
                <w:tab w:val="right" w:pos="7254"/>
              </w:tabs>
              <w:spacing w:after="160"/>
              <w:ind w:left="0" w:firstLine="0"/>
              <w:rPr>
                <w:rFonts w:asciiTheme="majorBidi" w:hAnsiTheme="majorBidi" w:cstheme="majorBidi"/>
                <w:iCs/>
              </w:rPr>
            </w:pPr>
            <w:r w:rsidRPr="00DB7DEE">
              <w:rPr>
                <w:rFonts w:asciiTheme="majorBidi" w:hAnsiTheme="majorBidi" w:cstheme="majorBidi"/>
              </w:rPr>
              <w:t xml:space="preserve"> Si le Soumissionnaire commet un des actes décrits aux paragraphes (a) ou (b) du présent article, le Maître de l’Ouvrage l’exclura de toute attribution de marché(s) pour une période d</w:t>
            </w:r>
            <w:r w:rsidR="00A02E15" w:rsidRPr="00DB7DEE">
              <w:rPr>
                <w:rFonts w:asciiTheme="majorBidi" w:hAnsiTheme="majorBidi" w:cstheme="majorBidi"/>
              </w:rPr>
              <w:t xml:space="preserve">e </w:t>
            </w:r>
            <w:r w:rsidR="00A02E15" w:rsidRPr="00DB7DEE">
              <w:rPr>
                <w:rFonts w:asciiTheme="majorBidi" w:hAnsiTheme="majorBidi" w:cstheme="majorBidi"/>
                <w:b/>
              </w:rPr>
              <w:t>trois (03</w:t>
            </w:r>
            <w:r w:rsidR="001C2C5E" w:rsidRPr="00DB7DEE">
              <w:rPr>
                <w:rFonts w:asciiTheme="majorBidi" w:hAnsiTheme="majorBidi" w:cstheme="majorBidi"/>
                <w:b/>
              </w:rPr>
              <w:t>)</w:t>
            </w:r>
            <w:r w:rsidRPr="00DB7DEE">
              <w:rPr>
                <w:rFonts w:asciiTheme="majorBidi" w:hAnsiTheme="majorBidi" w:cstheme="majorBidi"/>
                <w:b/>
              </w:rPr>
              <w:t xml:space="preserve"> an</w:t>
            </w:r>
            <w:r w:rsidR="00A02E15" w:rsidRPr="00DB7DEE">
              <w:rPr>
                <w:rFonts w:asciiTheme="majorBidi" w:hAnsiTheme="majorBidi" w:cstheme="majorBidi"/>
                <w:b/>
              </w:rPr>
              <w:t>s</w:t>
            </w:r>
            <w:r w:rsidRPr="00DB7DEE">
              <w:rPr>
                <w:rFonts w:asciiTheme="majorBidi" w:hAnsiTheme="majorBidi" w:cstheme="majorBidi"/>
              </w:rPr>
              <w:t>.</w:t>
            </w:r>
          </w:p>
        </w:tc>
      </w:tr>
      <w:tr w:rsidR="00523DCD" w:rsidRPr="00A67F27" w14:paraId="601F4DB0" w14:textId="77777777" w:rsidTr="007318E7">
        <w:trPr>
          <w:trHeight w:val="20"/>
        </w:trPr>
        <w:tc>
          <w:tcPr>
            <w:tcW w:w="1620" w:type="dxa"/>
          </w:tcPr>
          <w:p w14:paraId="3333F9A4" w14:textId="77777777" w:rsidR="00523DCD" w:rsidRPr="00A67F27" w:rsidRDefault="00523DCD" w:rsidP="00C97021">
            <w:pPr>
              <w:tabs>
                <w:tab w:val="right" w:pos="7434"/>
              </w:tabs>
              <w:spacing w:after="0"/>
              <w:rPr>
                <w:rFonts w:asciiTheme="majorBidi" w:hAnsiTheme="majorBidi" w:cstheme="majorBidi"/>
                <w:b/>
              </w:rPr>
            </w:pPr>
            <w:r w:rsidRPr="00A67F27">
              <w:rPr>
                <w:rFonts w:asciiTheme="majorBidi" w:hAnsiTheme="majorBidi" w:cstheme="majorBidi"/>
                <w:b/>
              </w:rPr>
              <w:t>IS 20.1</w:t>
            </w:r>
          </w:p>
        </w:tc>
        <w:tc>
          <w:tcPr>
            <w:tcW w:w="7740" w:type="dxa"/>
          </w:tcPr>
          <w:p w14:paraId="6BFCE663" w14:textId="31C33066" w:rsidR="00523DCD" w:rsidRPr="00A67F27" w:rsidRDefault="00523DCD" w:rsidP="00C97021">
            <w:pPr>
              <w:tabs>
                <w:tab w:val="right" w:pos="7254"/>
              </w:tabs>
              <w:spacing w:after="0"/>
              <w:ind w:left="0" w:firstLine="0"/>
              <w:rPr>
                <w:rFonts w:asciiTheme="majorBidi" w:hAnsiTheme="majorBidi" w:cstheme="majorBidi"/>
              </w:rPr>
            </w:pPr>
            <w:r w:rsidRPr="00A67F27">
              <w:rPr>
                <w:rFonts w:asciiTheme="majorBidi" w:hAnsiTheme="majorBidi" w:cstheme="majorBidi"/>
              </w:rPr>
              <w:t>Outre l’original de l’Offre, le nombre de copies</w:t>
            </w:r>
            <w:r w:rsidR="006C1BBD">
              <w:rPr>
                <w:rFonts w:asciiTheme="majorBidi" w:hAnsiTheme="majorBidi" w:cstheme="majorBidi"/>
              </w:rPr>
              <w:t xml:space="preserve"> </w:t>
            </w:r>
            <w:r w:rsidRPr="00A67F27">
              <w:rPr>
                <w:rFonts w:asciiTheme="majorBidi" w:hAnsiTheme="majorBidi" w:cstheme="majorBidi"/>
              </w:rPr>
              <w:t>demandé</w:t>
            </w:r>
            <w:r w:rsidR="00EB592E">
              <w:rPr>
                <w:rFonts w:asciiTheme="majorBidi" w:hAnsiTheme="majorBidi" w:cstheme="majorBidi"/>
              </w:rPr>
              <w:t>es</w:t>
            </w:r>
            <w:r w:rsidRPr="00A67F27">
              <w:rPr>
                <w:rFonts w:asciiTheme="majorBidi" w:hAnsiTheme="majorBidi" w:cstheme="majorBidi"/>
              </w:rPr>
              <w:t xml:space="preserve"> est de : </w:t>
            </w:r>
            <w:r w:rsidR="004A60F5">
              <w:rPr>
                <w:rFonts w:asciiTheme="majorBidi" w:hAnsiTheme="majorBidi" w:cstheme="majorBidi"/>
              </w:rPr>
              <w:t xml:space="preserve">trois </w:t>
            </w:r>
            <w:r w:rsidR="004A60F5" w:rsidRPr="00A67F27">
              <w:rPr>
                <w:rFonts w:asciiTheme="majorBidi" w:hAnsiTheme="majorBidi" w:cstheme="majorBidi"/>
              </w:rPr>
              <w:t>(</w:t>
            </w:r>
            <w:r w:rsidR="006C1BBD">
              <w:rPr>
                <w:rFonts w:asciiTheme="majorBidi" w:hAnsiTheme="majorBidi" w:cstheme="majorBidi"/>
              </w:rPr>
              <w:t>3</w:t>
            </w:r>
            <w:r w:rsidRPr="00A67F27">
              <w:rPr>
                <w:rFonts w:asciiTheme="majorBidi" w:hAnsiTheme="majorBidi" w:cstheme="majorBidi"/>
              </w:rPr>
              <w:t>) copies</w:t>
            </w:r>
          </w:p>
        </w:tc>
      </w:tr>
      <w:tr w:rsidR="00523DCD" w:rsidRPr="00A67F27" w14:paraId="61553580" w14:textId="77777777" w:rsidTr="007318E7">
        <w:trPr>
          <w:trHeight w:val="20"/>
        </w:trPr>
        <w:tc>
          <w:tcPr>
            <w:tcW w:w="1620" w:type="dxa"/>
          </w:tcPr>
          <w:p w14:paraId="2BF43E2B" w14:textId="094CB75A" w:rsidR="00523DCD" w:rsidRPr="00A67F27" w:rsidRDefault="00523DCD" w:rsidP="00C97021">
            <w:pPr>
              <w:tabs>
                <w:tab w:val="right" w:pos="7434"/>
              </w:tabs>
              <w:spacing w:after="0"/>
              <w:rPr>
                <w:rFonts w:asciiTheme="majorBidi" w:hAnsiTheme="majorBidi" w:cstheme="majorBidi"/>
                <w:b/>
              </w:rPr>
            </w:pPr>
            <w:r w:rsidRPr="00A67F27">
              <w:rPr>
                <w:rFonts w:asciiTheme="majorBidi" w:hAnsiTheme="majorBidi" w:cstheme="majorBidi"/>
                <w:b/>
              </w:rPr>
              <w:t>IS 20.2</w:t>
            </w:r>
          </w:p>
        </w:tc>
        <w:tc>
          <w:tcPr>
            <w:tcW w:w="7740" w:type="dxa"/>
          </w:tcPr>
          <w:p w14:paraId="5401BA4E" w14:textId="76785CB6" w:rsidR="00523DCD" w:rsidRPr="00A67F27" w:rsidRDefault="00523DCD" w:rsidP="00C97021">
            <w:pPr>
              <w:tabs>
                <w:tab w:val="right" w:pos="7254"/>
              </w:tabs>
              <w:spacing w:after="0"/>
              <w:ind w:left="0" w:firstLine="0"/>
              <w:rPr>
                <w:u w:val="single"/>
              </w:rPr>
            </w:pPr>
            <w:r w:rsidRPr="00A67F27">
              <w:rPr>
                <w:rFonts w:asciiTheme="majorBidi" w:hAnsiTheme="majorBidi" w:cstheme="majorBidi"/>
              </w:rPr>
              <w:t>La confirmation écrite de l’habilitation du signataire à engager le Soumissionnaire consistera en </w:t>
            </w:r>
            <w:r w:rsidR="001E5231" w:rsidRPr="00533EDE">
              <w:rPr>
                <w:szCs w:val="24"/>
              </w:rPr>
              <w:t>une attestation de</w:t>
            </w:r>
            <w:r w:rsidR="001E5231" w:rsidRPr="00F61E69">
              <w:rPr>
                <w:szCs w:val="24"/>
              </w:rPr>
              <w:t xml:space="preserve"> procuration</w:t>
            </w:r>
            <w:r w:rsidR="001E5231">
              <w:rPr>
                <w:szCs w:val="24"/>
              </w:rPr>
              <w:t xml:space="preserve"> </w:t>
            </w:r>
            <w:r w:rsidR="001E5231" w:rsidRPr="00533EDE">
              <w:rPr>
                <w:szCs w:val="24"/>
              </w:rPr>
              <w:t xml:space="preserve">(ou pouvoir) du signataire de l’offre ; </w:t>
            </w:r>
            <w:r w:rsidR="001E5231">
              <w:rPr>
                <w:szCs w:val="24"/>
              </w:rPr>
              <w:t>l</w:t>
            </w:r>
            <w:r w:rsidR="001E5231" w:rsidRPr="00533EDE">
              <w:rPr>
                <w:szCs w:val="24"/>
              </w:rPr>
              <w:t>e nom et le titre de chaque signataire devront être dactylographiés ou imprimés sous la signature</w:t>
            </w:r>
            <w:r w:rsidRPr="00A67F27">
              <w:t>.</w:t>
            </w:r>
          </w:p>
        </w:tc>
      </w:tr>
    </w:tbl>
    <w:p w14:paraId="38C80069" w14:textId="77777777" w:rsidR="00FC7D23" w:rsidRPr="00A67F27" w:rsidRDefault="00FC7D23" w:rsidP="00FC7D23">
      <w:pPr>
        <w:pStyle w:val="Lgende"/>
        <w:tabs>
          <w:tab w:val="right" w:pos="7434"/>
        </w:tabs>
        <w:spacing w:before="60" w:after="60"/>
        <w:ind w:left="0" w:firstLine="0"/>
        <w:jc w:val="center"/>
        <w:rPr>
          <w:b/>
          <w:szCs w:val="24"/>
          <w:lang w:eastAsia="en-US"/>
        </w:rPr>
      </w:pPr>
    </w:p>
    <w:p w14:paraId="1AEE1D52" w14:textId="66B13EED" w:rsidR="00FC7D23" w:rsidRPr="00A67F27" w:rsidRDefault="00FC7D23" w:rsidP="00FC7D23">
      <w:pPr>
        <w:pStyle w:val="Lgende"/>
        <w:tabs>
          <w:tab w:val="right" w:pos="7434"/>
        </w:tabs>
        <w:spacing w:before="60" w:after="60"/>
        <w:ind w:left="0" w:firstLine="0"/>
        <w:jc w:val="center"/>
        <w:rPr>
          <w:b/>
          <w:szCs w:val="24"/>
          <w:lang w:eastAsia="en-US"/>
        </w:rPr>
      </w:pPr>
      <w:r w:rsidRPr="00A67F27">
        <w:rPr>
          <w:b/>
          <w:szCs w:val="24"/>
          <w:lang w:eastAsia="en-US"/>
        </w:rPr>
        <w:t>D. Remise des offres et ouverture des plis</w:t>
      </w:r>
    </w:p>
    <w:tbl>
      <w:tblPr>
        <w:tblW w:w="9360"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620"/>
        <w:gridCol w:w="7740"/>
      </w:tblGrid>
      <w:tr w:rsidR="00391DFE" w:rsidRPr="00A67F27" w14:paraId="6709A1E2" w14:textId="77777777" w:rsidTr="00BE4B6F">
        <w:tc>
          <w:tcPr>
            <w:tcW w:w="1620" w:type="dxa"/>
          </w:tcPr>
          <w:p w14:paraId="2E18BEC2" w14:textId="2A6A04A4" w:rsidR="00391DFE" w:rsidRPr="00A67F27" w:rsidRDefault="00391DFE" w:rsidP="00087086">
            <w:pPr>
              <w:tabs>
                <w:tab w:val="right" w:pos="7434"/>
              </w:tabs>
              <w:spacing w:after="0"/>
              <w:rPr>
                <w:rFonts w:asciiTheme="majorBidi" w:hAnsiTheme="majorBidi" w:cstheme="majorBidi"/>
                <w:b/>
              </w:rPr>
            </w:pPr>
            <w:r w:rsidRPr="00A67F27">
              <w:rPr>
                <w:rFonts w:asciiTheme="majorBidi" w:hAnsiTheme="majorBidi" w:cstheme="majorBidi"/>
                <w:b/>
              </w:rPr>
              <w:t>IS 22.1</w:t>
            </w:r>
          </w:p>
        </w:tc>
        <w:tc>
          <w:tcPr>
            <w:tcW w:w="7740" w:type="dxa"/>
          </w:tcPr>
          <w:p w14:paraId="563AC8BD" w14:textId="77777777" w:rsidR="00391DFE" w:rsidRPr="00DB7DEE" w:rsidRDefault="00391DFE" w:rsidP="00087086">
            <w:pPr>
              <w:tabs>
                <w:tab w:val="right" w:pos="7254"/>
              </w:tabs>
              <w:spacing w:after="0"/>
              <w:ind w:left="0" w:firstLine="0"/>
              <w:rPr>
                <w:rFonts w:asciiTheme="majorBidi" w:hAnsiTheme="majorBidi" w:cstheme="majorBidi"/>
              </w:rPr>
            </w:pPr>
            <w:r w:rsidRPr="00DB7DEE">
              <w:rPr>
                <w:rFonts w:asciiTheme="majorBidi" w:hAnsiTheme="majorBidi" w:cstheme="majorBidi"/>
              </w:rPr>
              <w:t xml:space="preserve">Le </w:t>
            </w:r>
            <w:r w:rsidR="00457C56" w:rsidRPr="00DB7DEE">
              <w:rPr>
                <w:rFonts w:asciiTheme="majorBidi" w:hAnsiTheme="majorBidi" w:cstheme="majorBidi"/>
              </w:rPr>
              <w:t xml:space="preserve">soumissionnaire </w:t>
            </w:r>
            <w:r w:rsidR="00457C56" w:rsidRPr="00DB7DEE">
              <w:rPr>
                <w:rFonts w:asciiTheme="majorBidi" w:hAnsiTheme="majorBidi" w:cstheme="majorBidi"/>
                <w:b/>
                <w:bCs/>
                <w:iCs/>
              </w:rPr>
              <w:t>aura</w:t>
            </w:r>
            <w:r w:rsidRPr="00DB7DEE">
              <w:rPr>
                <w:rFonts w:asciiTheme="majorBidi" w:hAnsiTheme="majorBidi" w:cstheme="majorBidi"/>
              </w:rPr>
              <w:t xml:space="preserve"> l’option de soumettre son offre par voie électronique.</w:t>
            </w:r>
            <w:r w:rsidR="00FC7D23" w:rsidRPr="00DB7DEE">
              <w:rPr>
                <w:rFonts w:asciiTheme="majorBidi" w:hAnsiTheme="majorBidi" w:cstheme="majorBidi"/>
              </w:rPr>
              <w:t xml:space="preserve"> </w:t>
            </w:r>
          </w:p>
          <w:p w14:paraId="16F242C0" w14:textId="350D1583" w:rsidR="009D58B9" w:rsidRPr="00DB7DEE" w:rsidRDefault="009D58B9" w:rsidP="00087086">
            <w:pPr>
              <w:tabs>
                <w:tab w:val="right" w:pos="7254"/>
              </w:tabs>
              <w:spacing w:after="0"/>
              <w:ind w:left="0" w:firstLine="0"/>
              <w:rPr>
                <w:rFonts w:asciiTheme="majorBidi" w:hAnsiTheme="majorBidi" w:cstheme="majorBidi"/>
              </w:rPr>
            </w:pPr>
            <w:r w:rsidRPr="00DB7DEE">
              <w:rPr>
                <w:rFonts w:asciiTheme="majorBidi" w:hAnsiTheme="majorBidi" w:cstheme="majorBidi"/>
              </w:rPr>
              <w:t xml:space="preserve">1) </w:t>
            </w:r>
            <w:r w:rsidR="00A97C1C" w:rsidRPr="00DB7DEE">
              <w:rPr>
                <w:rFonts w:asciiTheme="majorBidi" w:hAnsiTheme="majorBidi" w:cstheme="majorBidi"/>
              </w:rPr>
              <w:t>Les DAO</w:t>
            </w:r>
            <w:r w:rsidR="00BA43AD" w:rsidRPr="00DB7DEE">
              <w:rPr>
                <w:rFonts w:asciiTheme="majorBidi" w:hAnsiTheme="majorBidi" w:cstheme="majorBidi"/>
              </w:rPr>
              <w:t xml:space="preserve"> seront</w:t>
            </w:r>
            <w:r w:rsidR="004F6302" w:rsidRPr="00DB7DEE">
              <w:rPr>
                <w:rFonts w:asciiTheme="majorBidi" w:hAnsiTheme="majorBidi" w:cstheme="majorBidi"/>
              </w:rPr>
              <w:t xml:space="preserve"> </w:t>
            </w:r>
            <w:r w:rsidRPr="00DB7DEE">
              <w:rPr>
                <w:rFonts w:asciiTheme="majorBidi" w:hAnsiTheme="majorBidi" w:cstheme="majorBidi"/>
              </w:rPr>
              <w:t>téléchargeable</w:t>
            </w:r>
            <w:r w:rsidR="00BA43AD" w:rsidRPr="00DB7DEE">
              <w:rPr>
                <w:rFonts w:asciiTheme="majorBidi" w:hAnsiTheme="majorBidi" w:cstheme="majorBidi"/>
              </w:rPr>
              <w:t>s</w:t>
            </w:r>
            <w:r w:rsidRPr="00DB7DEE">
              <w:rPr>
                <w:rFonts w:asciiTheme="majorBidi" w:hAnsiTheme="majorBidi" w:cstheme="majorBidi"/>
              </w:rPr>
              <w:t xml:space="preserve"> </w:t>
            </w:r>
            <w:r w:rsidR="00BA43AD" w:rsidRPr="00DB7DEE">
              <w:rPr>
                <w:rFonts w:asciiTheme="majorBidi" w:hAnsiTheme="majorBidi" w:cstheme="majorBidi"/>
              </w:rPr>
              <w:t xml:space="preserve">ainsi que </w:t>
            </w:r>
            <w:r w:rsidRPr="00DB7DEE">
              <w:rPr>
                <w:rFonts w:asciiTheme="majorBidi" w:hAnsiTheme="majorBidi" w:cstheme="majorBidi"/>
              </w:rPr>
              <w:t>les</w:t>
            </w:r>
            <w:r w:rsidR="00301532" w:rsidRPr="00DB7DEE">
              <w:rPr>
                <w:rFonts w:asciiTheme="majorBidi" w:hAnsiTheme="majorBidi" w:cstheme="majorBidi"/>
              </w:rPr>
              <w:t xml:space="preserve"> documents d'appel d'offres </w:t>
            </w:r>
            <w:r w:rsidR="009B4D01" w:rsidRPr="00DB7DEE">
              <w:rPr>
                <w:rFonts w:asciiTheme="majorBidi" w:hAnsiTheme="majorBidi" w:cstheme="majorBidi"/>
              </w:rPr>
              <w:t xml:space="preserve">protégé par mot de passe </w:t>
            </w:r>
            <w:r w:rsidR="00301532" w:rsidRPr="00DB7DEE">
              <w:rPr>
                <w:rFonts w:asciiTheme="majorBidi" w:hAnsiTheme="majorBidi" w:cstheme="majorBidi"/>
              </w:rPr>
              <w:t>sur</w:t>
            </w:r>
            <w:r w:rsidR="00BA43AD" w:rsidRPr="00DB7DEE">
              <w:rPr>
                <w:rFonts w:asciiTheme="majorBidi" w:hAnsiTheme="majorBidi" w:cstheme="majorBidi"/>
              </w:rPr>
              <w:t xml:space="preserve"> le </w:t>
            </w:r>
            <w:r w:rsidR="006F0DC9" w:rsidRPr="00DB7DEE">
              <w:rPr>
                <w:rFonts w:asciiTheme="majorBidi" w:hAnsiTheme="majorBidi" w:cstheme="majorBidi"/>
              </w:rPr>
              <w:t xml:space="preserve">site web du </w:t>
            </w:r>
            <w:r w:rsidR="00EB592E" w:rsidRPr="00DB7DEE">
              <w:rPr>
                <w:rFonts w:asciiTheme="majorBidi" w:hAnsiTheme="majorBidi" w:cstheme="majorBidi"/>
              </w:rPr>
              <w:t>PARIIS Mali :</w:t>
            </w:r>
            <w:r w:rsidR="006F0DC9" w:rsidRPr="00DB7DEE">
              <w:rPr>
                <w:rFonts w:asciiTheme="majorBidi" w:hAnsiTheme="majorBidi" w:cstheme="majorBidi"/>
              </w:rPr>
              <w:t xml:space="preserve"> </w:t>
            </w:r>
            <w:hyperlink r:id="rId18" w:history="1">
              <w:r w:rsidR="00EB592E" w:rsidRPr="00DB7DEE">
                <w:rPr>
                  <w:rStyle w:val="Lienhypertexte"/>
                  <w:rFonts w:asciiTheme="majorBidi" w:hAnsiTheme="majorBidi" w:cstheme="majorBidi"/>
                  <w:color w:val="auto"/>
                </w:rPr>
                <w:t>www.pariis-mali</w:t>
              </w:r>
            </w:hyperlink>
            <w:r w:rsidR="00EB592E" w:rsidRPr="00DB7DEE">
              <w:rPr>
                <w:rStyle w:val="Lienhypertexte"/>
                <w:rFonts w:asciiTheme="majorBidi" w:hAnsiTheme="majorBidi" w:cstheme="majorBidi"/>
                <w:color w:val="auto"/>
              </w:rPr>
              <w:t>.org</w:t>
            </w:r>
            <w:r w:rsidR="00301532" w:rsidRPr="00DB7DEE">
              <w:rPr>
                <w:rFonts w:asciiTheme="majorBidi" w:hAnsiTheme="majorBidi" w:cstheme="majorBidi"/>
              </w:rPr>
              <w:t xml:space="preserve">, </w:t>
            </w:r>
            <w:r w:rsidRPr="00DB7DEE">
              <w:rPr>
                <w:rFonts w:asciiTheme="majorBidi" w:hAnsiTheme="majorBidi" w:cstheme="majorBidi"/>
              </w:rPr>
              <w:t xml:space="preserve">ou </w:t>
            </w:r>
            <w:r w:rsidR="00BA43AD" w:rsidRPr="00DB7DEE">
              <w:rPr>
                <w:rFonts w:asciiTheme="majorBidi" w:hAnsiTheme="majorBidi" w:cstheme="majorBidi"/>
              </w:rPr>
              <w:t xml:space="preserve">seront </w:t>
            </w:r>
            <w:r w:rsidR="00AA1394" w:rsidRPr="00DB7DEE">
              <w:rPr>
                <w:rFonts w:asciiTheme="majorBidi" w:hAnsiTheme="majorBidi" w:cstheme="majorBidi"/>
              </w:rPr>
              <w:t>mis par</w:t>
            </w:r>
            <w:r w:rsidRPr="00DB7DEE">
              <w:rPr>
                <w:rFonts w:asciiTheme="majorBidi" w:hAnsiTheme="majorBidi" w:cstheme="majorBidi"/>
              </w:rPr>
              <w:t xml:space="preserve"> e-mail à la disposition des soumissionnaires intéressés</w:t>
            </w:r>
            <w:r w:rsidR="009B4D01" w:rsidRPr="00DB7DEE">
              <w:rPr>
                <w:rFonts w:asciiTheme="majorBidi" w:hAnsiTheme="majorBidi" w:cstheme="majorBidi"/>
              </w:rPr>
              <w:t xml:space="preserve"> dès que ceux-ci auront prouvé le payement du DAO à l’UG PARIIS Mali</w:t>
            </w:r>
            <w:r w:rsidRPr="00DB7DEE">
              <w:rPr>
                <w:rFonts w:asciiTheme="majorBidi" w:hAnsiTheme="majorBidi" w:cstheme="majorBidi"/>
              </w:rPr>
              <w:t>.</w:t>
            </w:r>
          </w:p>
          <w:p w14:paraId="1667FED0" w14:textId="7C0CA298" w:rsidR="009D58B9" w:rsidRPr="00DB7DEE" w:rsidRDefault="009D58B9" w:rsidP="00087086">
            <w:pPr>
              <w:tabs>
                <w:tab w:val="right" w:pos="7254"/>
              </w:tabs>
              <w:spacing w:after="0"/>
              <w:ind w:left="0" w:firstLine="0"/>
              <w:rPr>
                <w:rFonts w:asciiTheme="majorBidi" w:hAnsiTheme="majorBidi" w:cstheme="majorBidi"/>
              </w:rPr>
            </w:pPr>
            <w:r w:rsidRPr="00DB7DEE">
              <w:rPr>
                <w:rFonts w:asciiTheme="majorBidi" w:hAnsiTheme="majorBidi" w:cstheme="majorBidi"/>
              </w:rPr>
              <w:t>2) Le</w:t>
            </w:r>
            <w:r w:rsidR="00EE5B81" w:rsidRPr="00DB7DEE">
              <w:rPr>
                <w:rFonts w:asciiTheme="majorBidi" w:hAnsiTheme="majorBidi" w:cstheme="majorBidi"/>
              </w:rPr>
              <w:t>s</w:t>
            </w:r>
            <w:r w:rsidRPr="00DB7DEE">
              <w:rPr>
                <w:rFonts w:asciiTheme="majorBidi" w:hAnsiTheme="majorBidi" w:cstheme="majorBidi"/>
              </w:rPr>
              <w:t xml:space="preserve"> documents tels que le formulaire de soumission, la déclaration de garantie de soumission et la procuration </w:t>
            </w:r>
            <w:r w:rsidR="00EE5B81" w:rsidRPr="00DB7DEE">
              <w:rPr>
                <w:rFonts w:asciiTheme="majorBidi" w:hAnsiTheme="majorBidi" w:cstheme="majorBidi"/>
              </w:rPr>
              <w:t xml:space="preserve">seront </w:t>
            </w:r>
            <w:proofErr w:type="spellStart"/>
            <w:r w:rsidR="00EE5B81" w:rsidRPr="00DB7DEE">
              <w:rPr>
                <w:rFonts w:asciiTheme="majorBidi" w:hAnsiTheme="majorBidi" w:cstheme="majorBidi"/>
              </w:rPr>
              <w:t>considéres</w:t>
            </w:r>
            <w:proofErr w:type="spellEnd"/>
            <w:r w:rsidR="00EE5B81" w:rsidRPr="00DB7DEE">
              <w:rPr>
                <w:rFonts w:asciiTheme="majorBidi" w:hAnsiTheme="majorBidi" w:cstheme="majorBidi"/>
              </w:rPr>
              <w:t xml:space="preserve"> comme </w:t>
            </w:r>
            <w:r w:rsidR="00A97C1C" w:rsidRPr="00DB7DEE">
              <w:rPr>
                <w:rFonts w:asciiTheme="majorBidi" w:hAnsiTheme="majorBidi" w:cstheme="majorBidi"/>
              </w:rPr>
              <w:t>des d’originaux</w:t>
            </w:r>
            <w:r w:rsidRPr="00DB7DEE">
              <w:rPr>
                <w:rFonts w:asciiTheme="majorBidi" w:hAnsiTheme="majorBidi" w:cstheme="majorBidi"/>
              </w:rPr>
              <w:t xml:space="preserve"> durant la situation d’urgence du COVID-19.</w:t>
            </w:r>
          </w:p>
          <w:p w14:paraId="4CAFB310" w14:textId="70140D60" w:rsidR="009D58B9" w:rsidRPr="00DB7DEE" w:rsidRDefault="009D58B9" w:rsidP="00087086">
            <w:pPr>
              <w:tabs>
                <w:tab w:val="right" w:pos="7254"/>
              </w:tabs>
              <w:spacing w:after="0"/>
              <w:ind w:left="0" w:firstLine="0"/>
              <w:rPr>
                <w:rFonts w:asciiTheme="majorBidi" w:hAnsiTheme="majorBidi" w:cstheme="majorBidi"/>
              </w:rPr>
            </w:pPr>
            <w:r w:rsidRPr="00DB7DEE">
              <w:rPr>
                <w:rFonts w:asciiTheme="majorBidi" w:hAnsiTheme="majorBidi" w:cstheme="majorBidi"/>
              </w:rPr>
              <w:t xml:space="preserve">3) Pour la soumission des offres, les soumissionnaires enverront un e-mail à une adresse </w:t>
            </w:r>
            <w:r w:rsidR="00A97C1C" w:rsidRPr="00DB7DEE">
              <w:rPr>
                <w:rFonts w:asciiTheme="majorBidi" w:hAnsiTheme="majorBidi" w:cstheme="majorBidi"/>
              </w:rPr>
              <w:t>e-mail de</w:t>
            </w:r>
            <w:r w:rsidR="00EE5B81" w:rsidRPr="00DB7DEE">
              <w:rPr>
                <w:rFonts w:asciiTheme="majorBidi" w:hAnsiTheme="majorBidi" w:cstheme="majorBidi"/>
              </w:rPr>
              <w:t xml:space="preserve"> </w:t>
            </w:r>
            <w:r w:rsidR="00AA1394" w:rsidRPr="00DB7DEE">
              <w:rPr>
                <w:rFonts w:asciiTheme="majorBidi" w:hAnsiTheme="majorBidi" w:cstheme="majorBidi"/>
              </w:rPr>
              <w:t>l’UGP :</w:t>
            </w:r>
            <w:r w:rsidR="00EE5B81" w:rsidRPr="00DB7DEE">
              <w:rPr>
                <w:rFonts w:asciiTheme="majorBidi" w:hAnsiTheme="majorBidi" w:cstheme="majorBidi"/>
              </w:rPr>
              <w:t xml:space="preserve"> </w:t>
            </w:r>
            <w:hyperlink r:id="rId19" w:history="1">
              <w:r w:rsidR="00EB592E" w:rsidRPr="00DB7DEE">
                <w:t>bdembele@pariis.org</w:t>
              </w:r>
            </w:hyperlink>
            <w:r w:rsidR="00EB592E" w:rsidRPr="00DB7DEE">
              <w:rPr>
                <w:rFonts w:asciiTheme="majorBidi" w:hAnsiTheme="majorBidi" w:cstheme="majorBidi"/>
              </w:rPr>
              <w:t xml:space="preserve"> </w:t>
            </w:r>
            <w:r w:rsidRPr="00DB7DEE">
              <w:rPr>
                <w:rFonts w:asciiTheme="majorBidi" w:hAnsiTheme="majorBidi" w:cstheme="majorBidi"/>
              </w:rPr>
              <w:t>avec (i) l'offre cryptée ou (ii) un document en pièce jointe protégé par mot de passe.</w:t>
            </w:r>
          </w:p>
          <w:p w14:paraId="154FA9F4" w14:textId="77777777" w:rsidR="009D58B9" w:rsidRPr="00DB7DEE" w:rsidRDefault="009D58B9" w:rsidP="00087086">
            <w:pPr>
              <w:tabs>
                <w:tab w:val="right" w:pos="7254"/>
              </w:tabs>
              <w:spacing w:after="0"/>
              <w:ind w:left="0" w:firstLine="0"/>
              <w:rPr>
                <w:rFonts w:asciiTheme="majorBidi" w:hAnsiTheme="majorBidi" w:cstheme="majorBidi"/>
              </w:rPr>
            </w:pPr>
            <w:r w:rsidRPr="00DB7DEE">
              <w:rPr>
                <w:rFonts w:asciiTheme="majorBidi" w:hAnsiTheme="majorBidi" w:cstheme="majorBidi"/>
              </w:rPr>
              <w:t>4) Les soumissionnaires et les clients/ acheteurs doivent vérifier dans les dossiers de Boîte de réception et de SPAM la réception des documents d'appel d'offres électroniques ou des offres électroniques et de toute autre communication relative aux soumissions.</w:t>
            </w:r>
          </w:p>
          <w:p w14:paraId="065ADE2A" w14:textId="0C3AC230" w:rsidR="009D58B9" w:rsidRPr="00DB7DEE" w:rsidRDefault="009D58B9" w:rsidP="00087086">
            <w:pPr>
              <w:tabs>
                <w:tab w:val="right" w:pos="7254"/>
              </w:tabs>
              <w:spacing w:after="0"/>
              <w:ind w:left="0" w:firstLine="0"/>
              <w:rPr>
                <w:rFonts w:asciiTheme="majorBidi" w:hAnsiTheme="majorBidi" w:cstheme="majorBidi"/>
              </w:rPr>
            </w:pPr>
            <w:r w:rsidRPr="00DB7DEE">
              <w:rPr>
                <w:rFonts w:asciiTheme="majorBidi" w:hAnsiTheme="majorBidi" w:cstheme="majorBidi"/>
              </w:rPr>
              <w:t>5) Les clients/ acheteurs confirmeront la réception de chaque offre.</w:t>
            </w:r>
          </w:p>
        </w:tc>
      </w:tr>
      <w:tr w:rsidR="00EC61E3" w:rsidRPr="00A67F27" w14:paraId="3A9458CF" w14:textId="77777777" w:rsidTr="00BE4B6F">
        <w:tc>
          <w:tcPr>
            <w:tcW w:w="1620" w:type="dxa"/>
          </w:tcPr>
          <w:p w14:paraId="6AB2D503" w14:textId="77777777" w:rsidR="000A450A" w:rsidRPr="00467939" w:rsidRDefault="000A450A" w:rsidP="00087086">
            <w:pPr>
              <w:tabs>
                <w:tab w:val="right" w:pos="7434"/>
              </w:tabs>
              <w:spacing w:after="0"/>
              <w:rPr>
                <w:rFonts w:asciiTheme="majorBidi" w:hAnsiTheme="majorBidi" w:cstheme="majorBidi"/>
                <w:b/>
              </w:rPr>
            </w:pPr>
            <w:r w:rsidRPr="00467939">
              <w:rPr>
                <w:rFonts w:asciiTheme="majorBidi" w:hAnsiTheme="majorBidi" w:cstheme="majorBidi"/>
                <w:b/>
              </w:rPr>
              <w:t xml:space="preserve">IS 22.1 </w:t>
            </w:r>
          </w:p>
        </w:tc>
        <w:tc>
          <w:tcPr>
            <w:tcW w:w="7740" w:type="dxa"/>
          </w:tcPr>
          <w:p w14:paraId="69A2C528" w14:textId="65ECAA88" w:rsidR="000A450A" w:rsidRPr="00467939" w:rsidRDefault="000A450A" w:rsidP="00087086">
            <w:pPr>
              <w:tabs>
                <w:tab w:val="right" w:pos="7254"/>
              </w:tabs>
              <w:spacing w:after="0"/>
              <w:ind w:left="0" w:firstLine="0"/>
              <w:rPr>
                <w:rFonts w:asciiTheme="majorBidi" w:hAnsiTheme="majorBidi" w:cstheme="majorBidi"/>
              </w:rPr>
            </w:pPr>
            <w:r w:rsidRPr="00467939">
              <w:rPr>
                <w:rFonts w:asciiTheme="majorBidi" w:hAnsiTheme="majorBidi" w:cstheme="majorBidi"/>
              </w:rPr>
              <w:t xml:space="preserve">Aux </w:t>
            </w:r>
            <w:r w:rsidR="0040247B" w:rsidRPr="00467939">
              <w:rPr>
                <w:rFonts w:asciiTheme="majorBidi" w:hAnsiTheme="majorBidi" w:cstheme="majorBidi"/>
              </w:rPr>
              <w:t xml:space="preserve">seules </w:t>
            </w:r>
            <w:r w:rsidRPr="00467939">
              <w:rPr>
                <w:rFonts w:asciiTheme="majorBidi" w:hAnsiTheme="majorBidi" w:cstheme="majorBidi"/>
              </w:rPr>
              <w:t xml:space="preserve">fins de </w:t>
            </w:r>
            <w:r w:rsidRPr="00467939">
              <w:rPr>
                <w:rFonts w:asciiTheme="majorBidi" w:hAnsiTheme="majorBidi" w:cstheme="majorBidi"/>
                <w:b/>
                <w:u w:val="single"/>
              </w:rPr>
              <w:t>remise des offres</w:t>
            </w:r>
            <w:r w:rsidR="009B2302" w:rsidRPr="00467939">
              <w:rPr>
                <w:rFonts w:asciiTheme="majorBidi" w:hAnsiTheme="majorBidi" w:cstheme="majorBidi"/>
                <w:b/>
              </w:rPr>
              <w:t xml:space="preserve"> </w:t>
            </w:r>
            <w:r w:rsidRPr="00467939">
              <w:rPr>
                <w:rFonts w:asciiTheme="majorBidi" w:hAnsiTheme="majorBidi" w:cstheme="majorBidi"/>
              </w:rPr>
              <w:t>l’adresse du Maître de l’Ouvrage est la suivante</w:t>
            </w:r>
            <w:r w:rsidR="009B2302" w:rsidRPr="00467939">
              <w:rPr>
                <w:rFonts w:asciiTheme="majorBidi" w:hAnsiTheme="majorBidi" w:cstheme="majorBidi"/>
              </w:rPr>
              <w:t> :</w:t>
            </w:r>
            <w:r w:rsidR="00EC61E3" w:rsidRPr="00467939">
              <w:rPr>
                <w:rFonts w:asciiTheme="majorBidi" w:hAnsiTheme="majorBidi" w:cstheme="majorBidi"/>
              </w:rPr>
              <w:t xml:space="preserve"> </w:t>
            </w:r>
          </w:p>
          <w:p w14:paraId="24726D0B" w14:textId="6EDD8A0B" w:rsidR="00814D81" w:rsidRPr="00467939" w:rsidRDefault="00814D81" w:rsidP="00087086">
            <w:pPr>
              <w:tabs>
                <w:tab w:val="right" w:pos="7254"/>
              </w:tabs>
              <w:spacing w:after="0"/>
              <w:ind w:left="0" w:firstLine="0"/>
              <w:rPr>
                <w:rFonts w:asciiTheme="majorBidi" w:hAnsiTheme="majorBidi" w:cstheme="majorBidi"/>
                <w:i/>
              </w:rPr>
            </w:pPr>
            <w:r w:rsidRPr="00467939">
              <w:rPr>
                <w:rFonts w:asciiTheme="majorBidi" w:hAnsiTheme="majorBidi" w:cstheme="majorBidi"/>
              </w:rPr>
              <w:t>Attention</w:t>
            </w:r>
            <w:r w:rsidR="009B2302" w:rsidRPr="00467939">
              <w:rPr>
                <w:rFonts w:asciiTheme="majorBidi" w:hAnsiTheme="majorBidi" w:cstheme="majorBidi"/>
              </w:rPr>
              <w:t xml:space="preserve"> :</w:t>
            </w:r>
            <w:r w:rsidRPr="00467939">
              <w:rPr>
                <w:rFonts w:asciiTheme="majorBidi" w:hAnsiTheme="majorBidi" w:cstheme="majorBidi"/>
              </w:rPr>
              <w:t xml:space="preserve"> </w:t>
            </w:r>
            <w:r w:rsidR="00513689" w:rsidRPr="00467939">
              <w:rPr>
                <w:rFonts w:asciiTheme="majorBidi" w:hAnsiTheme="majorBidi" w:cstheme="majorBidi"/>
                <w:i/>
              </w:rPr>
              <w:t xml:space="preserve">M. </w:t>
            </w:r>
            <w:proofErr w:type="spellStart"/>
            <w:r w:rsidR="00513689" w:rsidRPr="00467939">
              <w:rPr>
                <w:rFonts w:asciiTheme="majorBidi" w:hAnsiTheme="majorBidi" w:cstheme="majorBidi"/>
                <w:i/>
              </w:rPr>
              <w:t>Altanata</w:t>
            </w:r>
            <w:proofErr w:type="spellEnd"/>
            <w:r w:rsidR="00513689" w:rsidRPr="00467939">
              <w:rPr>
                <w:rFonts w:asciiTheme="majorBidi" w:hAnsiTheme="majorBidi" w:cstheme="majorBidi"/>
                <w:i/>
              </w:rPr>
              <w:t xml:space="preserve"> </w:t>
            </w:r>
            <w:proofErr w:type="spellStart"/>
            <w:r w:rsidR="00513689" w:rsidRPr="00467939">
              <w:rPr>
                <w:rFonts w:asciiTheme="majorBidi" w:hAnsiTheme="majorBidi" w:cstheme="majorBidi"/>
                <w:i/>
              </w:rPr>
              <w:t>Ebalagh</w:t>
            </w:r>
            <w:proofErr w:type="spellEnd"/>
            <w:r w:rsidR="00513689" w:rsidRPr="00467939">
              <w:rPr>
                <w:rFonts w:asciiTheme="majorBidi" w:hAnsiTheme="majorBidi" w:cstheme="majorBidi"/>
                <w:i/>
              </w:rPr>
              <w:t xml:space="preserve"> YATTARA</w:t>
            </w:r>
            <w:r w:rsidR="008573D9" w:rsidRPr="00467939">
              <w:rPr>
                <w:rFonts w:asciiTheme="majorBidi" w:hAnsiTheme="majorBidi" w:cstheme="majorBidi"/>
                <w:i/>
              </w:rPr>
              <w:t xml:space="preserve">, </w:t>
            </w:r>
            <w:r w:rsidR="00BF4782" w:rsidRPr="00467939">
              <w:rPr>
                <w:rFonts w:asciiTheme="majorBidi" w:hAnsiTheme="majorBidi" w:cstheme="majorBidi"/>
                <w:i/>
              </w:rPr>
              <w:t xml:space="preserve">Coordonnateur National du </w:t>
            </w:r>
            <w:r w:rsidR="004B19FD" w:rsidRPr="00467939">
              <w:rPr>
                <w:rFonts w:asciiTheme="majorBidi" w:hAnsiTheme="majorBidi" w:cstheme="majorBidi"/>
                <w:i/>
              </w:rPr>
              <w:t xml:space="preserve">Projet d’Appui Régional à l’Initiative pour l’Irrigation au Sahel (PARIIS) </w:t>
            </w:r>
            <w:r w:rsidR="007A0C9C" w:rsidRPr="00467939">
              <w:rPr>
                <w:rFonts w:asciiTheme="majorBidi" w:hAnsiTheme="majorBidi" w:cstheme="majorBidi"/>
                <w:i/>
              </w:rPr>
              <w:t>MALI</w:t>
            </w:r>
            <w:r w:rsidR="00FE661D" w:rsidRPr="00467939">
              <w:rPr>
                <w:rFonts w:asciiTheme="majorBidi" w:hAnsiTheme="majorBidi" w:cstheme="majorBidi"/>
                <w:i/>
              </w:rPr>
              <w:t>.</w:t>
            </w:r>
          </w:p>
          <w:p w14:paraId="51C20391" w14:textId="4E766200" w:rsidR="00FE661D" w:rsidRPr="00467939" w:rsidRDefault="00FE661D" w:rsidP="00087086">
            <w:pPr>
              <w:tabs>
                <w:tab w:val="right" w:pos="7254"/>
              </w:tabs>
              <w:spacing w:after="0"/>
              <w:ind w:left="0" w:firstLine="0"/>
              <w:jc w:val="left"/>
              <w:rPr>
                <w:rFonts w:asciiTheme="majorBidi" w:hAnsiTheme="majorBidi" w:cstheme="majorBidi"/>
                <w:b/>
                <w:bCs/>
                <w:iCs/>
              </w:rPr>
            </w:pPr>
            <w:proofErr w:type="spellStart"/>
            <w:r w:rsidRPr="00467939">
              <w:rPr>
                <w:rFonts w:asciiTheme="majorBidi" w:hAnsiTheme="majorBidi" w:cstheme="majorBidi"/>
                <w:b/>
                <w:bCs/>
                <w:iCs/>
              </w:rPr>
              <w:t>Hamdallaye</w:t>
            </w:r>
            <w:proofErr w:type="spellEnd"/>
            <w:r w:rsidRPr="00467939">
              <w:rPr>
                <w:rFonts w:asciiTheme="majorBidi" w:hAnsiTheme="majorBidi" w:cstheme="majorBidi"/>
                <w:b/>
                <w:bCs/>
                <w:iCs/>
              </w:rPr>
              <w:t xml:space="preserve"> ACI 2000 Bamako Mali, Rue 333 Porte 16 – </w:t>
            </w:r>
            <w:proofErr w:type="spellStart"/>
            <w:r w:rsidRPr="00467939">
              <w:rPr>
                <w:rFonts w:asciiTheme="majorBidi" w:hAnsiTheme="majorBidi" w:cstheme="majorBidi"/>
                <w:b/>
                <w:bCs/>
                <w:iCs/>
              </w:rPr>
              <w:t>Imm</w:t>
            </w:r>
            <w:proofErr w:type="spellEnd"/>
            <w:r w:rsidRPr="00467939">
              <w:rPr>
                <w:rFonts w:asciiTheme="majorBidi" w:hAnsiTheme="majorBidi" w:cstheme="majorBidi"/>
                <w:b/>
                <w:bCs/>
                <w:iCs/>
              </w:rPr>
              <w:t xml:space="preserve">. De Mme TANDIA </w:t>
            </w:r>
            <w:proofErr w:type="spellStart"/>
            <w:r w:rsidRPr="00467939">
              <w:rPr>
                <w:rFonts w:asciiTheme="majorBidi" w:hAnsiTheme="majorBidi" w:cstheme="majorBidi"/>
                <w:b/>
                <w:bCs/>
                <w:iCs/>
              </w:rPr>
              <w:t>Hawa</w:t>
            </w:r>
            <w:proofErr w:type="spellEnd"/>
            <w:r w:rsidRPr="00467939">
              <w:rPr>
                <w:rFonts w:asciiTheme="majorBidi" w:hAnsiTheme="majorBidi" w:cstheme="majorBidi"/>
                <w:b/>
                <w:bCs/>
                <w:iCs/>
              </w:rPr>
              <w:t xml:space="preserve"> HAIDARA, Tél (223) 20 23 33 46/20 23 34 20 </w:t>
            </w:r>
          </w:p>
          <w:p w14:paraId="39D0F43E" w14:textId="59CF4014" w:rsidR="00814D81" w:rsidRPr="00467939" w:rsidRDefault="00814D81" w:rsidP="00087086">
            <w:pPr>
              <w:tabs>
                <w:tab w:val="right" w:pos="7254"/>
              </w:tabs>
              <w:spacing w:after="0"/>
              <w:rPr>
                <w:rFonts w:asciiTheme="majorBidi" w:hAnsiTheme="majorBidi" w:cstheme="majorBidi"/>
                <w:i/>
                <w:iCs/>
              </w:rPr>
            </w:pPr>
            <w:r w:rsidRPr="00467939">
              <w:rPr>
                <w:rFonts w:asciiTheme="majorBidi" w:hAnsiTheme="majorBidi" w:cstheme="majorBidi"/>
              </w:rPr>
              <w:t>Pays</w:t>
            </w:r>
            <w:r w:rsidR="009B2302" w:rsidRPr="00467939">
              <w:rPr>
                <w:rFonts w:asciiTheme="majorBidi" w:hAnsiTheme="majorBidi" w:cstheme="majorBidi"/>
              </w:rPr>
              <w:t> :</w:t>
            </w:r>
            <w:r w:rsidRPr="00467939">
              <w:rPr>
                <w:rFonts w:asciiTheme="majorBidi" w:hAnsiTheme="majorBidi" w:cstheme="majorBidi"/>
              </w:rPr>
              <w:t xml:space="preserve"> </w:t>
            </w:r>
            <w:r w:rsidR="002C1533" w:rsidRPr="00467939">
              <w:rPr>
                <w:rFonts w:asciiTheme="majorBidi" w:hAnsiTheme="majorBidi" w:cstheme="majorBidi"/>
              </w:rPr>
              <w:t>MALI</w:t>
            </w:r>
          </w:p>
          <w:p w14:paraId="6DA38CA2" w14:textId="571793FC" w:rsidR="000A450A" w:rsidRPr="00467939" w:rsidRDefault="000A450A" w:rsidP="00087086">
            <w:pPr>
              <w:tabs>
                <w:tab w:val="right" w:pos="7254"/>
              </w:tabs>
              <w:spacing w:after="0"/>
              <w:rPr>
                <w:rFonts w:asciiTheme="majorBidi" w:hAnsiTheme="majorBidi" w:cstheme="majorBidi"/>
                <w:b/>
              </w:rPr>
            </w:pPr>
            <w:r w:rsidRPr="00467939">
              <w:rPr>
                <w:rFonts w:asciiTheme="majorBidi" w:hAnsiTheme="majorBidi" w:cstheme="majorBidi"/>
                <w:b/>
              </w:rPr>
              <w:t>La date et heure limites de remise des offres sont les suivantes</w:t>
            </w:r>
            <w:r w:rsidR="009B2302" w:rsidRPr="00467939">
              <w:rPr>
                <w:rFonts w:asciiTheme="majorBidi" w:hAnsiTheme="majorBidi" w:cstheme="majorBidi"/>
                <w:b/>
              </w:rPr>
              <w:t> :</w:t>
            </w:r>
          </w:p>
          <w:p w14:paraId="365704A2" w14:textId="7D33EB08" w:rsidR="00814D81" w:rsidRPr="00467939" w:rsidRDefault="00814D81" w:rsidP="00087086">
            <w:pPr>
              <w:tabs>
                <w:tab w:val="right" w:pos="7254"/>
              </w:tabs>
              <w:spacing w:after="0"/>
              <w:rPr>
                <w:rFonts w:asciiTheme="majorBidi" w:hAnsiTheme="majorBidi" w:cstheme="majorBidi"/>
                <w:b/>
              </w:rPr>
            </w:pPr>
            <w:r w:rsidRPr="00467939">
              <w:rPr>
                <w:rFonts w:asciiTheme="majorBidi" w:hAnsiTheme="majorBidi" w:cstheme="majorBidi"/>
                <w:b/>
              </w:rPr>
              <w:t>Date</w:t>
            </w:r>
            <w:r w:rsidR="009B2302" w:rsidRPr="00467939">
              <w:rPr>
                <w:rFonts w:asciiTheme="majorBidi" w:hAnsiTheme="majorBidi" w:cstheme="majorBidi"/>
                <w:b/>
              </w:rPr>
              <w:t> :</w:t>
            </w:r>
            <w:r w:rsidRPr="00467939">
              <w:rPr>
                <w:rFonts w:asciiTheme="majorBidi" w:hAnsiTheme="majorBidi" w:cstheme="majorBidi"/>
                <w:b/>
              </w:rPr>
              <w:t xml:space="preserve"> </w:t>
            </w:r>
            <w:r w:rsidR="002C1533" w:rsidRPr="00467939">
              <w:rPr>
                <w:rFonts w:asciiTheme="majorBidi" w:hAnsiTheme="majorBidi" w:cstheme="majorBidi"/>
                <w:b/>
              </w:rPr>
              <w:t>…</w:t>
            </w:r>
            <w:r w:rsidR="004A60F5" w:rsidRPr="00467939">
              <w:rPr>
                <w:rFonts w:asciiTheme="majorBidi" w:hAnsiTheme="majorBidi" w:cstheme="majorBidi"/>
                <w:b/>
              </w:rPr>
              <w:t>…………..</w:t>
            </w:r>
            <w:r w:rsidR="002C1533" w:rsidRPr="00467939">
              <w:rPr>
                <w:rFonts w:asciiTheme="majorBidi" w:hAnsiTheme="majorBidi" w:cstheme="majorBidi"/>
                <w:b/>
              </w:rPr>
              <w:t>..</w:t>
            </w:r>
            <w:r w:rsidR="00301532" w:rsidRPr="00467939">
              <w:rPr>
                <w:rFonts w:asciiTheme="majorBidi" w:hAnsiTheme="majorBidi" w:cstheme="majorBidi"/>
                <w:b/>
              </w:rPr>
              <w:t xml:space="preserve"> </w:t>
            </w:r>
            <w:r w:rsidR="00B167B3" w:rsidRPr="00467939">
              <w:rPr>
                <w:rFonts w:asciiTheme="majorBidi" w:hAnsiTheme="majorBidi" w:cstheme="majorBidi"/>
                <w:b/>
              </w:rPr>
              <w:t>202</w:t>
            </w:r>
            <w:r w:rsidR="00BE40AD" w:rsidRPr="00467939">
              <w:rPr>
                <w:rFonts w:asciiTheme="majorBidi" w:hAnsiTheme="majorBidi" w:cstheme="majorBidi"/>
                <w:b/>
              </w:rPr>
              <w:t>1</w:t>
            </w:r>
          </w:p>
          <w:p w14:paraId="43599657" w14:textId="6E374C9D" w:rsidR="00814D81" w:rsidRPr="00467939" w:rsidRDefault="00814D81" w:rsidP="00087086">
            <w:pPr>
              <w:tabs>
                <w:tab w:val="right" w:pos="7254"/>
              </w:tabs>
              <w:spacing w:after="0"/>
              <w:rPr>
                <w:rFonts w:asciiTheme="majorBidi" w:hAnsiTheme="majorBidi" w:cstheme="majorBidi"/>
                <w:b/>
              </w:rPr>
            </w:pPr>
            <w:r w:rsidRPr="00467939">
              <w:rPr>
                <w:rFonts w:asciiTheme="majorBidi" w:hAnsiTheme="majorBidi" w:cstheme="majorBidi"/>
                <w:b/>
              </w:rPr>
              <w:t>Heure</w:t>
            </w:r>
            <w:r w:rsidR="009B2302" w:rsidRPr="00467939">
              <w:rPr>
                <w:rFonts w:asciiTheme="majorBidi" w:hAnsiTheme="majorBidi" w:cstheme="majorBidi"/>
                <w:b/>
              </w:rPr>
              <w:t> </w:t>
            </w:r>
            <w:r w:rsidR="00352EF9" w:rsidRPr="00467939">
              <w:rPr>
                <w:rFonts w:asciiTheme="majorBidi" w:hAnsiTheme="majorBidi" w:cstheme="majorBidi"/>
                <w:b/>
              </w:rPr>
              <w:t>: 10</w:t>
            </w:r>
            <w:r w:rsidR="00B167B3" w:rsidRPr="00467939">
              <w:rPr>
                <w:rFonts w:asciiTheme="majorBidi" w:hAnsiTheme="majorBidi" w:cstheme="majorBidi"/>
                <w:b/>
              </w:rPr>
              <w:t xml:space="preserve"> Heures</w:t>
            </w:r>
            <w:r w:rsidRPr="00467939">
              <w:rPr>
                <w:rFonts w:asciiTheme="majorBidi" w:hAnsiTheme="majorBidi" w:cstheme="majorBidi"/>
                <w:b/>
              </w:rPr>
              <w:t xml:space="preserve"> </w:t>
            </w:r>
            <w:r w:rsidR="00352EF9" w:rsidRPr="00467939">
              <w:rPr>
                <w:rFonts w:asciiTheme="majorBidi" w:hAnsiTheme="majorBidi" w:cstheme="majorBidi"/>
                <w:b/>
              </w:rPr>
              <w:t>(GMT)</w:t>
            </w:r>
          </w:p>
          <w:p w14:paraId="3FBC6C52" w14:textId="010E97A2" w:rsidR="00F856B6" w:rsidRPr="00467939" w:rsidRDefault="00654A36" w:rsidP="00087086">
            <w:pPr>
              <w:tabs>
                <w:tab w:val="right" w:pos="7254"/>
              </w:tabs>
              <w:suppressAutoHyphens/>
              <w:spacing w:after="0"/>
              <w:ind w:left="0" w:firstLine="0"/>
              <w:rPr>
                <w:szCs w:val="24"/>
              </w:rPr>
            </w:pPr>
            <w:r w:rsidRPr="00467939">
              <w:rPr>
                <w:szCs w:val="24"/>
              </w:rPr>
              <w:t xml:space="preserve">En outre pour la soumission des offres, les soumissionnaires enverront un e-mail à une adresse e-mail spécifiée dans le dossier d'appel d'offres avec (i) </w:t>
            </w:r>
            <w:r w:rsidRPr="00467939">
              <w:rPr>
                <w:szCs w:val="24"/>
              </w:rPr>
              <w:lastRenderedPageBreak/>
              <w:t>l'offre cryptée ou (ii) un document en pièce jointe protégé par mot de passe.</w:t>
            </w:r>
          </w:p>
        </w:tc>
      </w:tr>
      <w:tr w:rsidR="000A450A" w:rsidRPr="00A67F27" w14:paraId="4ECCF3AD" w14:textId="77777777" w:rsidTr="00BE4B6F">
        <w:tc>
          <w:tcPr>
            <w:tcW w:w="1620" w:type="dxa"/>
          </w:tcPr>
          <w:p w14:paraId="681FE0ED" w14:textId="77777777" w:rsidR="000A450A" w:rsidRPr="00A67F27" w:rsidRDefault="000A450A" w:rsidP="00087086">
            <w:pPr>
              <w:tabs>
                <w:tab w:val="right" w:pos="7434"/>
              </w:tabs>
              <w:spacing w:after="0"/>
              <w:rPr>
                <w:rFonts w:asciiTheme="majorBidi" w:hAnsiTheme="majorBidi" w:cstheme="majorBidi"/>
                <w:b/>
              </w:rPr>
            </w:pPr>
            <w:r w:rsidRPr="00A67F27">
              <w:rPr>
                <w:rFonts w:asciiTheme="majorBidi" w:hAnsiTheme="majorBidi" w:cstheme="majorBidi"/>
                <w:b/>
              </w:rPr>
              <w:lastRenderedPageBreak/>
              <w:t>IS 25.1</w:t>
            </w:r>
          </w:p>
        </w:tc>
        <w:tc>
          <w:tcPr>
            <w:tcW w:w="7740" w:type="dxa"/>
          </w:tcPr>
          <w:p w14:paraId="2A04DB3C" w14:textId="22FF2BEA" w:rsidR="00814D81" w:rsidRPr="00DB7DEE" w:rsidRDefault="00814D81" w:rsidP="00087086">
            <w:pPr>
              <w:tabs>
                <w:tab w:val="right" w:pos="7254"/>
              </w:tabs>
              <w:spacing w:after="0"/>
              <w:rPr>
                <w:rFonts w:asciiTheme="majorBidi" w:hAnsiTheme="majorBidi" w:cstheme="majorBidi"/>
              </w:rPr>
            </w:pPr>
            <w:r w:rsidRPr="00DB7DEE">
              <w:rPr>
                <w:rFonts w:asciiTheme="majorBidi" w:hAnsiTheme="majorBidi" w:cstheme="majorBidi"/>
              </w:rPr>
              <w:t>L’ouverture des plis aura lieu à l’adresse suivante</w:t>
            </w:r>
            <w:r w:rsidR="009B2302" w:rsidRPr="00DB7DEE">
              <w:rPr>
                <w:rFonts w:asciiTheme="majorBidi" w:hAnsiTheme="majorBidi" w:cstheme="majorBidi"/>
              </w:rPr>
              <w:t> :</w:t>
            </w:r>
          </w:p>
          <w:p w14:paraId="3306F092" w14:textId="0796BE41" w:rsidR="00022C80" w:rsidRPr="00467939" w:rsidRDefault="00814D81" w:rsidP="00087086">
            <w:pPr>
              <w:tabs>
                <w:tab w:val="right" w:pos="7254"/>
              </w:tabs>
              <w:spacing w:after="0"/>
              <w:ind w:left="-4" w:firstLine="4"/>
              <w:rPr>
                <w:rFonts w:asciiTheme="majorBidi" w:hAnsiTheme="majorBidi" w:cstheme="majorBidi"/>
              </w:rPr>
            </w:pPr>
            <w:r w:rsidRPr="00DB7DEE">
              <w:rPr>
                <w:rFonts w:asciiTheme="majorBidi" w:hAnsiTheme="majorBidi" w:cstheme="majorBidi"/>
              </w:rPr>
              <w:t>Adresse</w:t>
            </w:r>
            <w:r w:rsidR="009B2302" w:rsidRPr="00DB7DEE">
              <w:rPr>
                <w:rFonts w:asciiTheme="majorBidi" w:hAnsiTheme="majorBidi" w:cstheme="majorBidi"/>
              </w:rPr>
              <w:t> :</w:t>
            </w:r>
            <w:r w:rsidRPr="00DB7DEE">
              <w:rPr>
                <w:rFonts w:asciiTheme="majorBidi" w:hAnsiTheme="majorBidi" w:cstheme="majorBidi"/>
              </w:rPr>
              <w:t xml:space="preserve"> </w:t>
            </w:r>
            <w:r w:rsidR="00E25B08" w:rsidRPr="00DB7DEE">
              <w:rPr>
                <w:rFonts w:asciiTheme="majorBidi" w:hAnsiTheme="majorBidi" w:cstheme="majorBidi"/>
              </w:rPr>
              <w:t>Salle de réunion du</w:t>
            </w:r>
            <w:r w:rsidR="007C1BB3" w:rsidRPr="00DB7DEE">
              <w:rPr>
                <w:rFonts w:asciiTheme="majorBidi" w:hAnsiTheme="majorBidi" w:cstheme="majorBidi"/>
              </w:rPr>
              <w:t xml:space="preserve"> </w:t>
            </w:r>
            <w:r w:rsidR="00407934" w:rsidRPr="00DB7DEE">
              <w:rPr>
                <w:rFonts w:asciiTheme="majorBidi" w:hAnsiTheme="majorBidi" w:cstheme="majorBidi"/>
              </w:rPr>
              <w:t>PARIIS à</w:t>
            </w:r>
            <w:r w:rsidR="002C1533" w:rsidRPr="00DB7DEE">
              <w:rPr>
                <w:rFonts w:asciiTheme="majorBidi" w:hAnsiTheme="majorBidi" w:cstheme="majorBidi"/>
              </w:rPr>
              <w:t xml:space="preserve"> </w:t>
            </w:r>
            <w:proofErr w:type="spellStart"/>
            <w:r w:rsidR="00022C80" w:rsidRPr="00DB7DEE">
              <w:rPr>
                <w:rFonts w:asciiTheme="majorBidi" w:hAnsiTheme="majorBidi" w:cstheme="majorBidi"/>
              </w:rPr>
              <w:t>Hamdallaye</w:t>
            </w:r>
            <w:proofErr w:type="spellEnd"/>
            <w:r w:rsidR="00022C80" w:rsidRPr="00DB7DEE">
              <w:rPr>
                <w:rFonts w:asciiTheme="majorBidi" w:hAnsiTheme="majorBidi" w:cstheme="majorBidi"/>
              </w:rPr>
              <w:t xml:space="preserve"> ACI 2000 Bamako Mali, Rue 333 Por</w:t>
            </w:r>
            <w:r w:rsidR="00022C80" w:rsidRPr="00467939">
              <w:rPr>
                <w:rFonts w:asciiTheme="majorBidi" w:hAnsiTheme="majorBidi" w:cstheme="majorBidi"/>
              </w:rPr>
              <w:t xml:space="preserve">te 16 – </w:t>
            </w:r>
            <w:proofErr w:type="spellStart"/>
            <w:r w:rsidR="00022C80" w:rsidRPr="00467939">
              <w:rPr>
                <w:rFonts w:asciiTheme="majorBidi" w:hAnsiTheme="majorBidi" w:cstheme="majorBidi"/>
              </w:rPr>
              <w:t>Imm</w:t>
            </w:r>
            <w:proofErr w:type="spellEnd"/>
            <w:r w:rsidR="00022C80" w:rsidRPr="00467939">
              <w:rPr>
                <w:rFonts w:asciiTheme="majorBidi" w:hAnsiTheme="majorBidi" w:cstheme="majorBidi"/>
              </w:rPr>
              <w:t xml:space="preserve">. De Mme TANDIA </w:t>
            </w:r>
            <w:proofErr w:type="spellStart"/>
            <w:r w:rsidR="00022C80" w:rsidRPr="00467939">
              <w:rPr>
                <w:rFonts w:asciiTheme="majorBidi" w:hAnsiTheme="majorBidi" w:cstheme="majorBidi"/>
              </w:rPr>
              <w:t>Hawa</w:t>
            </w:r>
            <w:proofErr w:type="spellEnd"/>
          </w:p>
          <w:p w14:paraId="4D218142" w14:textId="01A6A982" w:rsidR="00B167B3" w:rsidRPr="00467939" w:rsidRDefault="00B167B3" w:rsidP="00087086">
            <w:pPr>
              <w:tabs>
                <w:tab w:val="right" w:pos="7254"/>
              </w:tabs>
              <w:spacing w:after="0"/>
              <w:rPr>
                <w:rFonts w:asciiTheme="majorBidi" w:hAnsiTheme="majorBidi" w:cstheme="majorBidi"/>
                <w:b/>
              </w:rPr>
            </w:pPr>
            <w:r w:rsidRPr="00467939">
              <w:rPr>
                <w:rFonts w:asciiTheme="majorBidi" w:hAnsiTheme="majorBidi" w:cstheme="majorBidi"/>
                <w:b/>
              </w:rPr>
              <w:t>Date </w:t>
            </w:r>
            <w:r w:rsidR="002C1533" w:rsidRPr="00467939">
              <w:rPr>
                <w:rFonts w:asciiTheme="majorBidi" w:hAnsiTheme="majorBidi" w:cstheme="majorBidi"/>
                <w:b/>
              </w:rPr>
              <w:t>……</w:t>
            </w:r>
            <w:r w:rsidR="004A60F5" w:rsidRPr="00467939">
              <w:rPr>
                <w:rFonts w:asciiTheme="majorBidi" w:hAnsiTheme="majorBidi" w:cstheme="majorBidi"/>
                <w:b/>
              </w:rPr>
              <w:t>…………</w:t>
            </w:r>
            <w:r w:rsidR="00301532" w:rsidRPr="00467939">
              <w:rPr>
                <w:rFonts w:asciiTheme="majorBidi" w:hAnsiTheme="majorBidi" w:cstheme="majorBidi"/>
                <w:b/>
              </w:rPr>
              <w:t xml:space="preserve"> </w:t>
            </w:r>
            <w:r w:rsidRPr="00467939">
              <w:rPr>
                <w:rFonts w:asciiTheme="majorBidi" w:hAnsiTheme="majorBidi" w:cstheme="majorBidi"/>
                <w:b/>
              </w:rPr>
              <w:t>202</w:t>
            </w:r>
            <w:r w:rsidR="00BE40AD" w:rsidRPr="00467939">
              <w:rPr>
                <w:rFonts w:asciiTheme="majorBidi" w:hAnsiTheme="majorBidi" w:cstheme="majorBidi"/>
                <w:b/>
              </w:rPr>
              <w:t>1</w:t>
            </w:r>
            <w:r w:rsidRPr="00467939">
              <w:rPr>
                <w:rFonts w:asciiTheme="majorBidi" w:hAnsiTheme="majorBidi" w:cstheme="majorBidi"/>
                <w:b/>
              </w:rPr>
              <w:t xml:space="preserve"> </w:t>
            </w:r>
          </w:p>
          <w:p w14:paraId="183DF329" w14:textId="552896C7" w:rsidR="00352EF9" w:rsidRPr="00DB7DEE" w:rsidRDefault="00B167B3" w:rsidP="00087086">
            <w:pPr>
              <w:tabs>
                <w:tab w:val="right" w:pos="7254"/>
              </w:tabs>
              <w:spacing w:after="0"/>
              <w:rPr>
                <w:rFonts w:asciiTheme="majorBidi" w:hAnsiTheme="majorBidi" w:cstheme="majorBidi"/>
                <w:b/>
              </w:rPr>
            </w:pPr>
            <w:r w:rsidRPr="00DB7DEE">
              <w:rPr>
                <w:rFonts w:asciiTheme="majorBidi" w:hAnsiTheme="majorBidi" w:cstheme="majorBidi"/>
                <w:b/>
              </w:rPr>
              <w:t>Heure </w:t>
            </w:r>
            <w:r w:rsidR="00087086" w:rsidRPr="00DB7DEE">
              <w:rPr>
                <w:rFonts w:asciiTheme="majorBidi" w:hAnsiTheme="majorBidi" w:cstheme="majorBidi"/>
                <w:b/>
              </w:rPr>
              <w:t>: 10</w:t>
            </w:r>
            <w:r w:rsidRPr="00DB7DEE">
              <w:rPr>
                <w:rFonts w:asciiTheme="majorBidi" w:hAnsiTheme="majorBidi" w:cstheme="majorBidi"/>
                <w:b/>
              </w:rPr>
              <w:t xml:space="preserve"> Heures 30 minutes </w:t>
            </w:r>
            <w:r w:rsidR="00352EF9" w:rsidRPr="00DB7DEE">
              <w:rPr>
                <w:rFonts w:asciiTheme="majorBidi" w:hAnsiTheme="majorBidi" w:cstheme="majorBidi"/>
                <w:b/>
              </w:rPr>
              <w:t>(GMT)</w:t>
            </w:r>
          </w:p>
          <w:p w14:paraId="5CDE38C9" w14:textId="6DDC96E5" w:rsidR="000D0BDE" w:rsidRPr="00DB7DEE" w:rsidRDefault="000D0BDE" w:rsidP="00087086">
            <w:pPr>
              <w:tabs>
                <w:tab w:val="right" w:pos="7254"/>
              </w:tabs>
              <w:spacing w:after="0"/>
              <w:ind w:left="-4" w:firstLine="4"/>
              <w:rPr>
                <w:rFonts w:asciiTheme="majorBidi" w:hAnsiTheme="majorBidi" w:cstheme="majorBidi"/>
              </w:rPr>
            </w:pPr>
            <w:r w:rsidRPr="00DB7DEE">
              <w:rPr>
                <w:rFonts w:asciiTheme="majorBidi" w:hAnsiTheme="majorBidi" w:cstheme="majorBidi"/>
              </w:rPr>
              <w:t xml:space="preserve">Dans le cas d'offres cryptées/encodées, le soumissionnaire indiquera le(s) agent(s) (désigné(s) par le Maître d’Ouvrage en </w:t>
            </w:r>
            <w:r w:rsidR="00BE1746" w:rsidRPr="00DB7DEE">
              <w:rPr>
                <w:rFonts w:asciiTheme="majorBidi" w:hAnsiTheme="majorBidi" w:cstheme="majorBidi"/>
              </w:rPr>
              <w:t xml:space="preserve">l’occurrence </w:t>
            </w:r>
            <w:r w:rsidR="00022C80" w:rsidRPr="00DB7DEE">
              <w:rPr>
                <w:rFonts w:asciiTheme="majorBidi" w:hAnsiTheme="majorBidi" w:cstheme="majorBidi"/>
              </w:rPr>
              <w:t xml:space="preserve">M. </w:t>
            </w:r>
            <w:r w:rsidR="00CE3425" w:rsidRPr="00DB7DEE">
              <w:rPr>
                <w:rFonts w:asciiTheme="majorBidi" w:hAnsiTheme="majorBidi" w:cstheme="majorBidi"/>
              </w:rPr>
              <w:t xml:space="preserve">Monsieur Bourama DEMBELE Directeur Technique du PARIIS Mali </w:t>
            </w:r>
            <w:r w:rsidRPr="00DB7DEE">
              <w:rPr>
                <w:rFonts w:asciiTheme="majorBidi" w:hAnsiTheme="majorBidi" w:cstheme="majorBidi"/>
              </w:rPr>
              <w:t xml:space="preserve">qui peut ouvrir l'offre et le « mot de </w:t>
            </w:r>
            <w:r w:rsidR="00681EDC" w:rsidRPr="00DB7DEE">
              <w:rPr>
                <w:rFonts w:asciiTheme="majorBidi" w:hAnsiTheme="majorBidi" w:cstheme="majorBidi"/>
              </w:rPr>
              <w:t>passe »</w:t>
            </w:r>
            <w:r w:rsidRPr="00DB7DEE">
              <w:rPr>
                <w:rFonts w:asciiTheme="majorBidi" w:hAnsiTheme="majorBidi" w:cstheme="majorBidi"/>
              </w:rPr>
              <w:t xml:space="preserve"> pour ouvrir l'offre</w:t>
            </w:r>
          </w:p>
          <w:p w14:paraId="553AE0BF" w14:textId="47FB6F91" w:rsidR="0071517B" w:rsidRPr="00DB7DEE" w:rsidRDefault="0071517B" w:rsidP="00087086">
            <w:pPr>
              <w:tabs>
                <w:tab w:val="right" w:pos="7254"/>
              </w:tabs>
              <w:spacing w:after="0"/>
              <w:ind w:left="-8" w:hanging="17"/>
              <w:rPr>
                <w:rFonts w:asciiTheme="majorBidi" w:hAnsiTheme="majorBidi" w:cstheme="majorBidi"/>
                <w:u w:val="single"/>
              </w:rPr>
            </w:pPr>
            <w:r w:rsidRPr="00DB7DEE">
              <w:rPr>
                <w:rFonts w:asciiTheme="majorBidi" w:hAnsiTheme="majorBidi" w:cstheme="majorBidi"/>
              </w:rPr>
              <w:t xml:space="preserve">Dans le cas d'offres protégées par un mot de passe dans l'heure suivant la date et l’heure limite de soumission des offres, les soumissionnaires doivent envoyer le mot de passe de leurs offres protégées à l'adresse e-mail </w:t>
            </w:r>
            <w:r w:rsidR="003722EE" w:rsidRPr="00DB7DEE">
              <w:rPr>
                <w:rFonts w:asciiTheme="majorBidi" w:hAnsiTheme="majorBidi" w:cstheme="majorBidi"/>
              </w:rPr>
              <w:t xml:space="preserve">indiquée </w:t>
            </w:r>
            <w:r w:rsidR="00BE1746" w:rsidRPr="00DB7DEE">
              <w:rPr>
                <w:rFonts w:asciiTheme="majorBidi" w:hAnsiTheme="majorBidi" w:cstheme="majorBidi"/>
              </w:rPr>
              <w:t>ci-dessus</w:t>
            </w:r>
          </w:p>
        </w:tc>
      </w:tr>
      <w:tr w:rsidR="005D568F" w:rsidRPr="00A67F27" w14:paraId="38EB614F" w14:textId="77777777" w:rsidTr="005D568F">
        <w:trPr>
          <w:cantSplit/>
        </w:trPr>
        <w:tc>
          <w:tcPr>
            <w:tcW w:w="1620" w:type="dxa"/>
          </w:tcPr>
          <w:p w14:paraId="27AD0A18" w14:textId="65C2F47B" w:rsidR="000A450A" w:rsidRPr="00A67F27" w:rsidRDefault="000A450A" w:rsidP="005D568F">
            <w:pPr>
              <w:tabs>
                <w:tab w:val="right" w:pos="7434"/>
              </w:tabs>
              <w:spacing w:before="160" w:after="160"/>
              <w:rPr>
                <w:rFonts w:asciiTheme="majorBidi" w:hAnsiTheme="majorBidi" w:cstheme="majorBidi"/>
                <w:b/>
              </w:rPr>
            </w:pPr>
            <w:r w:rsidRPr="00A67F27">
              <w:rPr>
                <w:rFonts w:asciiTheme="majorBidi" w:hAnsiTheme="majorBidi" w:cstheme="majorBidi"/>
                <w:b/>
              </w:rPr>
              <w:t>IS 25.</w:t>
            </w:r>
            <w:r w:rsidR="005D568F" w:rsidRPr="00A67F27">
              <w:rPr>
                <w:rFonts w:asciiTheme="majorBidi" w:hAnsiTheme="majorBidi" w:cstheme="majorBidi"/>
                <w:b/>
              </w:rPr>
              <w:t>3</w:t>
            </w:r>
          </w:p>
        </w:tc>
        <w:tc>
          <w:tcPr>
            <w:tcW w:w="7740" w:type="dxa"/>
          </w:tcPr>
          <w:p w14:paraId="3468F0D1" w14:textId="5141C47D" w:rsidR="000A450A" w:rsidRPr="00A67F27" w:rsidRDefault="000C28C6" w:rsidP="00087086">
            <w:pPr>
              <w:tabs>
                <w:tab w:val="right" w:pos="7254"/>
              </w:tabs>
              <w:spacing w:after="0"/>
              <w:ind w:left="0" w:firstLine="0"/>
              <w:rPr>
                <w:rFonts w:asciiTheme="majorBidi" w:hAnsiTheme="majorBidi" w:cstheme="majorBidi"/>
              </w:rPr>
            </w:pPr>
            <w:r w:rsidRPr="00A67F27">
              <w:rPr>
                <w:rFonts w:asciiTheme="majorBidi" w:hAnsiTheme="majorBidi" w:cstheme="majorBidi"/>
              </w:rPr>
              <w:t xml:space="preserve">La </w:t>
            </w:r>
            <w:r w:rsidR="00C73E31" w:rsidRPr="00A67F27">
              <w:rPr>
                <w:rFonts w:asciiTheme="majorBidi" w:hAnsiTheme="majorBidi" w:cstheme="majorBidi"/>
              </w:rPr>
              <w:t xml:space="preserve">Lettre de </w:t>
            </w:r>
            <w:r w:rsidRPr="00A67F27">
              <w:rPr>
                <w:rFonts w:asciiTheme="majorBidi" w:hAnsiTheme="majorBidi" w:cstheme="majorBidi"/>
              </w:rPr>
              <w:t>Soumission, le Border</w:t>
            </w:r>
            <w:r w:rsidR="004B35F8" w:rsidRPr="00A67F27">
              <w:rPr>
                <w:rFonts w:asciiTheme="majorBidi" w:hAnsiTheme="majorBidi" w:cstheme="majorBidi"/>
              </w:rPr>
              <w:t>e</w:t>
            </w:r>
            <w:r w:rsidRPr="00A67F27">
              <w:rPr>
                <w:rFonts w:asciiTheme="majorBidi" w:hAnsiTheme="majorBidi" w:cstheme="majorBidi"/>
              </w:rPr>
              <w:t>au des Prix unitaires et le D</w:t>
            </w:r>
            <w:r w:rsidR="004B35F8" w:rsidRPr="00A67F27">
              <w:rPr>
                <w:rFonts w:asciiTheme="majorBidi" w:hAnsiTheme="majorBidi" w:cstheme="majorBidi"/>
              </w:rPr>
              <w:t>étail</w:t>
            </w:r>
            <w:r w:rsidRPr="00A67F27">
              <w:rPr>
                <w:rFonts w:asciiTheme="majorBidi" w:hAnsiTheme="majorBidi" w:cstheme="majorBidi"/>
              </w:rPr>
              <w:t xml:space="preserve"> quantita</w:t>
            </w:r>
            <w:r w:rsidR="004B35F8" w:rsidRPr="00A67F27">
              <w:rPr>
                <w:rFonts w:asciiTheme="majorBidi" w:hAnsiTheme="majorBidi" w:cstheme="majorBidi"/>
              </w:rPr>
              <w:t>tif et estimatif</w:t>
            </w:r>
            <w:r w:rsidRPr="00A67F27">
              <w:rPr>
                <w:rFonts w:asciiTheme="majorBidi" w:hAnsiTheme="majorBidi" w:cstheme="majorBidi"/>
              </w:rPr>
              <w:t xml:space="preserve"> seront paraphés par </w:t>
            </w:r>
            <w:r w:rsidR="008573D9" w:rsidRPr="00A67F27">
              <w:rPr>
                <w:b/>
                <w:szCs w:val="24"/>
              </w:rPr>
              <w:t>le Président de la commission d’ouverture des plis et d’attribution de marché</w:t>
            </w:r>
            <w:r w:rsidR="00CE3425">
              <w:rPr>
                <w:b/>
                <w:szCs w:val="24"/>
              </w:rPr>
              <w:t>, le Directeur Technique du PARIIS Mali et un autre membre de la Commission d’ouverture des plis</w:t>
            </w:r>
            <w:r w:rsidR="008573D9" w:rsidRPr="00A67F27">
              <w:rPr>
                <w:b/>
                <w:szCs w:val="24"/>
              </w:rPr>
              <w:t>.</w:t>
            </w:r>
          </w:p>
        </w:tc>
      </w:tr>
    </w:tbl>
    <w:p w14:paraId="7571B792" w14:textId="0B4627AB" w:rsidR="005D568F" w:rsidRPr="00A67F27" w:rsidRDefault="005D568F" w:rsidP="005D568F">
      <w:pPr>
        <w:pStyle w:val="Lgende"/>
        <w:keepNext/>
        <w:tabs>
          <w:tab w:val="right" w:pos="7434"/>
        </w:tabs>
        <w:spacing w:before="60" w:after="60"/>
        <w:ind w:left="0" w:firstLine="0"/>
        <w:jc w:val="center"/>
        <w:rPr>
          <w:b/>
          <w:szCs w:val="24"/>
          <w:lang w:eastAsia="en-US"/>
        </w:rPr>
      </w:pPr>
      <w:r w:rsidRPr="00A67F27">
        <w:rPr>
          <w:b/>
          <w:szCs w:val="24"/>
          <w:lang w:eastAsia="en-US"/>
        </w:rPr>
        <w:t>E. Évaluation et comparaison des offres</w:t>
      </w:r>
    </w:p>
    <w:tbl>
      <w:tblPr>
        <w:tblW w:w="9360"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620"/>
        <w:gridCol w:w="7740"/>
      </w:tblGrid>
      <w:tr w:rsidR="00CE3425" w:rsidRPr="00A67F27" w14:paraId="006D8463" w14:textId="77777777" w:rsidTr="00BE4B6F">
        <w:trPr>
          <w:trHeight w:val="1191"/>
        </w:trPr>
        <w:tc>
          <w:tcPr>
            <w:tcW w:w="1620" w:type="dxa"/>
          </w:tcPr>
          <w:p w14:paraId="25B68D04" w14:textId="027F863C" w:rsidR="00CE3425" w:rsidRPr="00A67F27" w:rsidRDefault="00CE3425" w:rsidP="00087086">
            <w:pPr>
              <w:tabs>
                <w:tab w:val="right" w:pos="7434"/>
              </w:tabs>
              <w:spacing w:after="0"/>
              <w:rPr>
                <w:rFonts w:asciiTheme="majorBidi" w:hAnsiTheme="majorBidi" w:cstheme="majorBidi"/>
                <w:b/>
              </w:rPr>
            </w:pPr>
            <w:r w:rsidRPr="00A67F27">
              <w:rPr>
                <w:rFonts w:asciiTheme="majorBidi" w:hAnsiTheme="majorBidi" w:cstheme="majorBidi"/>
                <w:b/>
              </w:rPr>
              <w:t>IS 32.1</w:t>
            </w:r>
          </w:p>
        </w:tc>
        <w:tc>
          <w:tcPr>
            <w:tcW w:w="7740" w:type="dxa"/>
          </w:tcPr>
          <w:p w14:paraId="3D844814" w14:textId="77777777" w:rsidR="00CE3425" w:rsidRPr="002663F3" w:rsidRDefault="00CE3425" w:rsidP="00087086">
            <w:pPr>
              <w:tabs>
                <w:tab w:val="right" w:pos="7254"/>
              </w:tabs>
              <w:spacing w:after="0"/>
              <w:ind w:left="0" w:hanging="17"/>
              <w:rPr>
                <w:szCs w:val="24"/>
              </w:rPr>
            </w:pPr>
            <w:r w:rsidRPr="002663F3">
              <w:rPr>
                <w:szCs w:val="24"/>
              </w:rPr>
              <w:t xml:space="preserve">La monnaie utilisée pour convertir en une seule monnaie tous les prix des offres exprimées en diverses monnaies, aux fins d’évaluation et de comparaison de ces offres, est : </w:t>
            </w:r>
            <w:r w:rsidRPr="002663F3">
              <w:rPr>
                <w:b/>
                <w:szCs w:val="24"/>
              </w:rPr>
              <w:t>le Franc CFA</w:t>
            </w:r>
          </w:p>
          <w:p w14:paraId="16CE071A" w14:textId="77777777" w:rsidR="00CE3425" w:rsidRPr="002663F3" w:rsidRDefault="00CE3425" w:rsidP="00087086">
            <w:pPr>
              <w:tabs>
                <w:tab w:val="right" w:pos="7254"/>
              </w:tabs>
              <w:spacing w:after="0"/>
              <w:ind w:left="0" w:hanging="17"/>
              <w:rPr>
                <w:b/>
                <w:szCs w:val="24"/>
              </w:rPr>
            </w:pPr>
            <w:r w:rsidRPr="002663F3">
              <w:rPr>
                <w:szCs w:val="24"/>
              </w:rPr>
              <w:t xml:space="preserve">La source du taux de change à employer est : </w:t>
            </w:r>
            <w:r w:rsidRPr="002663F3">
              <w:rPr>
                <w:b/>
                <w:szCs w:val="24"/>
              </w:rPr>
              <w:t>la Banque Centrale des États de l’Afrique de l’Ouest (BCEAO)</w:t>
            </w:r>
          </w:p>
          <w:p w14:paraId="78F33022" w14:textId="77777777" w:rsidR="00CE3425" w:rsidRPr="002663F3" w:rsidRDefault="00CE3425" w:rsidP="00087086">
            <w:pPr>
              <w:tabs>
                <w:tab w:val="right" w:pos="7254"/>
              </w:tabs>
              <w:spacing w:after="0"/>
              <w:ind w:left="0" w:hanging="17"/>
              <w:rPr>
                <w:b/>
                <w:szCs w:val="24"/>
              </w:rPr>
            </w:pPr>
            <w:r w:rsidRPr="002663F3">
              <w:rPr>
                <w:szCs w:val="24"/>
              </w:rPr>
              <w:t xml:space="preserve">La date de référence est celle correspondant à </w:t>
            </w:r>
            <w:r w:rsidRPr="002663F3">
              <w:rPr>
                <w:b/>
                <w:szCs w:val="24"/>
              </w:rPr>
              <w:t xml:space="preserve">Vingt et huit (28) jours avant la date </w:t>
            </w:r>
            <w:r w:rsidRPr="002663F3">
              <w:rPr>
                <w:szCs w:val="24"/>
              </w:rPr>
              <w:t>limite</w:t>
            </w:r>
            <w:r w:rsidRPr="002663F3">
              <w:rPr>
                <w:b/>
                <w:szCs w:val="24"/>
              </w:rPr>
              <w:t xml:space="preserve"> de remise des offres.</w:t>
            </w:r>
          </w:p>
          <w:p w14:paraId="248A7154" w14:textId="77777777" w:rsidR="00CE3425" w:rsidRPr="002663F3" w:rsidRDefault="00CE3425" w:rsidP="00087086">
            <w:pPr>
              <w:tabs>
                <w:tab w:val="right" w:pos="7254"/>
              </w:tabs>
              <w:spacing w:after="0"/>
              <w:ind w:left="0" w:hanging="17"/>
              <w:rPr>
                <w:szCs w:val="24"/>
                <w:u w:val="single"/>
              </w:rPr>
            </w:pPr>
            <w:r w:rsidRPr="002663F3">
              <w:rPr>
                <w:szCs w:val="24"/>
                <w:u w:val="single"/>
              </w:rPr>
              <w:t>Les monnaies de l’Offre seront converties en une seule monnaie conformément à la procédure correspondant à l’Option A telle que précisée ci-après :</w:t>
            </w:r>
          </w:p>
          <w:p w14:paraId="6E2A696C" w14:textId="77777777" w:rsidR="00CE3425" w:rsidRPr="002663F3" w:rsidRDefault="00CE3425" w:rsidP="00087086">
            <w:pPr>
              <w:tabs>
                <w:tab w:val="right" w:pos="7254"/>
              </w:tabs>
              <w:spacing w:after="0"/>
              <w:ind w:left="0" w:hanging="17"/>
              <w:rPr>
                <w:szCs w:val="24"/>
              </w:rPr>
            </w:pPr>
            <w:r w:rsidRPr="002663F3">
              <w:rPr>
                <w:b/>
                <w:szCs w:val="24"/>
              </w:rPr>
              <w:t xml:space="preserve">Option A (le Soumissionnaire est requis de libeller ses prix entièrement en monnaie </w:t>
            </w:r>
            <w:r w:rsidRPr="002663F3">
              <w:rPr>
                <w:szCs w:val="24"/>
              </w:rPr>
              <w:t>nationale</w:t>
            </w:r>
            <w:r w:rsidRPr="002663F3">
              <w:rPr>
                <w:b/>
                <w:szCs w:val="24"/>
              </w:rPr>
              <w:t>) :</w:t>
            </w:r>
          </w:p>
          <w:p w14:paraId="6C1B4021" w14:textId="77777777" w:rsidR="00CE3425" w:rsidRPr="002663F3" w:rsidRDefault="00CE3425" w:rsidP="00087086">
            <w:pPr>
              <w:tabs>
                <w:tab w:val="right" w:pos="7254"/>
              </w:tabs>
              <w:spacing w:after="0"/>
              <w:ind w:left="0" w:hanging="17"/>
              <w:rPr>
                <w:szCs w:val="24"/>
              </w:rPr>
            </w:pPr>
            <w:r w:rsidRPr="002663F3">
              <w:rPr>
                <w:szCs w:val="24"/>
              </w:rPr>
              <w:t>Aux fins de comparaison des offres, dans une première étape, le Montant de l’Offre, tel que corrigé conformément à l’article 31, sera d’abord décomposé et converti suivant les pourcentages respectifs payables en diverses monnaies selon les taux de changes spécifiés par le Soumissionnaire et en conformité avec les dispositions de l’article 15.1.</w:t>
            </w:r>
          </w:p>
          <w:p w14:paraId="153A80D7" w14:textId="0E775A87" w:rsidR="00CE3425" w:rsidRPr="002663F3" w:rsidRDefault="00CE3425" w:rsidP="00087086">
            <w:pPr>
              <w:tabs>
                <w:tab w:val="right" w:pos="7254"/>
              </w:tabs>
              <w:spacing w:after="0"/>
              <w:ind w:left="0" w:firstLine="0"/>
              <w:rPr>
                <w:u w:val="single"/>
              </w:rPr>
            </w:pPr>
            <w:r w:rsidRPr="002663F3">
              <w:rPr>
                <w:szCs w:val="24"/>
              </w:rPr>
              <w:t xml:space="preserve">Dans une seconde étape, le Maître de l’Ouvrage reconvertira les montants ainsi obtenus dans la monnaie d’évaluation mentionnée au présent article au taux de change vendeur établi à la date et par l’autorité mentionnées en cet article. </w:t>
            </w:r>
          </w:p>
        </w:tc>
      </w:tr>
      <w:tr w:rsidR="000A450A" w:rsidRPr="00A67F27" w14:paraId="7E684178" w14:textId="77777777" w:rsidTr="00087086">
        <w:trPr>
          <w:trHeight w:val="510"/>
        </w:trPr>
        <w:tc>
          <w:tcPr>
            <w:tcW w:w="1620" w:type="dxa"/>
          </w:tcPr>
          <w:p w14:paraId="3FD77C20" w14:textId="41554635" w:rsidR="00F44F5D" w:rsidRPr="00A67F27" w:rsidRDefault="000A450A" w:rsidP="00C97021">
            <w:pPr>
              <w:tabs>
                <w:tab w:val="right" w:pos="7434"/>
              </w:tabs>
              <w:spacing w:before="160" w:after="0"/>
              <w:rPr>
                <w:rFonts w:asciiTheme="majorBidi" w:hAnsiTheme="majorBidi" w:cstheme="majorBidi"/>
                <w:b/>
              </w:rPr>
            </w:pPr>
            <w:r w:rsidRPr="00A67F27">
              <w:rPr>
                <w:rFonts w:asciiTheme="majorBidi" w:hAnsiTheme="majorBidi" w:cstheme="majorBidi"/>
                <w:b/>
              </w:rPr>
              <w:t>IS 33.1</w:t>
            </w:r>
          </w:p>
        </w:tc>
        <w:tc>
          <w:tcPr>
            <w:tcW w:w="7740" w:type="dxa"/>
          </w:tcPr>
          <w:p w14:paraId="2DF07FEC" w14:textId="0A61FAA3" w:rsidR="005001E0" w:rsidRPr="00A67F27" w:rsidRDefault="000A450A" w:rsidP="00C97021">
            <w:pPr>
              <w:pStyle w:val="i"/>
              <w:tabs>
                <w:tab w:val="right" w:pos="7254"/>
              </w:tabs>
              <w:spacing w:before="160" w:after="0"/>
              <w:ind w:left="0" w:firstLine="0"/>
              <w:rPr>
                <w:rStyle w:val="Marquedecommentaire"/>
                <w:rFonts w:asciiTheme="majorBidi" w:hAnsiTheme="majorBidi" w:cstheme="majorBidi"/>
                <w:sz w:val="24"/>
                <w:szCs w:val="20"/>
                <w:lang w:val="fr-FR"/>
              </w:rPr>
            </w:pPr>
            <w:r w:rsidRPr="00A37BF0">
              <w:rPr>
                <w:rFonts w:asciiTheme="majorBidi" w:hAnsiTheme="majorBidi" w:cstheme="majorBidi"/>
                <w:lang w:val="fr-FR"/>
              </w:rPr>
              <w:t xml:space="preserve">Une marge de préférence </w:t>
            </w:r>
            <w:r w:rsidR="00F44F5D" w:rsidRPr="00A67F27">
              <w:rPr>
                <w:rFonts w:asciiTheme="majorBidi" w:hAnsiTheme="majorBidi" w:cstheme="majorBidi"/>
                <w:b/>
                <w:bCs/>
                <w:i/>
                <w:iCs/>
                <w:lang w:val="fr-FR"/>
              </w:rPr>
              <w:t>ne sera pas</w:t>
            </w:r>
            <w:r w:rsidR="00300D10" w:rsidRPr="00A67F27">
              <w:rPr>
                <w:rFonts w:asciiTheme="majorBidi" w:hAnsiTheme="majorBidi" w:cstheme="majorBidi"/>
                <w:b/>
                <w:bCs/>
                <w:i/>
                <w:iCs/>
                <w:lang w:val="fr-FR"/>
              </w:rPr>
              <w:t xml:space="preserve"> </w:t>
            </w:r>
            <w:r w:rsidRPr="00A67F27">
              <w:rPr>
                <w:rFonts w:asciiTheme="majorBidi" w:hAnsiTheme="majorBidi" w:cstheme="majorBidi"/>
                <w:lang w:val="fr-FR"/>
              </w:rPr>
              <w:t>accordée</w:t>
            </w:r>
            <w:r w:rsidR="009B2302" w:rsidRPr="00A67F27">
              <w:rPr>
                <w:rFonts w:asciiTheme="majorBidi" w:hAnsiTheme="majorBidi" w:cstheme="majorBidi"/>
                <w:lang w:val="fr-FR"/>
              </w:rPr>
              <w:t xml:space="preserve"> </w:t>
            </w:r>
            <w:r w:rsidRPr="00A67F27">
              <w:rPr>
                <w:rFonts w:asciiTheme="majorBidi" w:hAnsiTheme="majorBidi" w:cstheme="majorBidi"/>
                <w:lang w:val="fr-FR"/>
              </w:rPr>
              <w:t>aux entreprises nationales.</w:t>
            </w:r>
            <w:r w:rsidR="008220B9" w:rsidRPr="00A67F27">
              <w:rPr>
                <w:rFonts w:asciiTheme="majorBidi" w:hAnsiTheme="majorBidi" w:cstheme="majorBidi"/>
                <w:lang w:val="fr-FR"/>
              </w:rPr>
              <w:t xml:space="preserve"> </w:t>
            </w:r>
          </w:p>
        </w:tc>
      </w:tr>
      <w:tr w:rsidR="00CE3425" w:rsidRPr="00A67F27" w14:paraId="55D8493F" w14:textId="77777777" w:rsidTr="00087086">
        <w:trPr>
          <w:trHeight w:val="1191"/>
        </w:trPr>
        <w:tc>
          <w:tcPr>
            <w:tcW w:w="1620" w:type="dxa"/>
          </w:tcPr>
          <w:p w14:paraId="75A40673" w14:textId="5E2969F2" w:rsidR="00CE3425" w:rsidRPr="00A67F27" w:rsidRDefault="00CE3425" w:rsidP="00087086">
            <w:pPr>
              <w:tabs>
                <w:tab w:val="right" w:pos="7434"/>
              </w:tabs>
              <w:spacing w:after="0"/>
              <w:rPr>
                <w:rFonts w:asciiTheme="majorBidi" w:hAnsiTheme="majorBidi" w:cstheme="majorBidi"/>
                <w:b/>
              </w:rPr>
            </w:pPr>
            <w:r w:rsidRPr="00A67F27">
              <w:rPr>
                <w:rFonts w:asciiTheme="majorBidi" w:hAnsiTheme="majorBidi" w:cstheme="majorBidi"/>
                <w:b/>
              </w:rPr>
              <w:lastRenderedPageBreak/>
              <w:t>IS 34.3</w:t>
            </w:r>
          </w:p>
        </w:tc>
        <w:tc>
          <w:tcPr>
            <w:tcW w:w="7740" w:type="dxa"/>
          </w:tcPr>
          <w:p w14:paraId="1681E9CC" w14:textId="77777777" w:rsidR="00CE3425" w:rsidRPr="00834DB5" w:rsidRDefault="00CE3425" w:rsidP="00087086">
            <w:pPr>
              <w:pStyle w:val="i"/>
              <w:tabs>
                <w:tab w:val="right" w:pos="7254"/>
              </w:tabs>
              <w:spacing w:after="0"/>
              <w:ind w:left="0" w:firstLine="0"/>
              <w:rPr>
                <w:rFonts w:ascii="Times New Roman" w:hAnsi="Times New Roman"/>
                <w:szCs w:val="24"/>
                <w:lang w:val="fr-FR"/>
              </w:rPr>
            </w:pPr>
            <w:r w:rsidRPr="00834DB5">
              <w:rPr>
                <w:rFonts w:ascii="Times New Roman" w:hAnsi="Times New Roman"/>
                <w:szCs w:val="24"/>
                <w:lang w:val="fr-FR"/>
              </w:rPr>
              <w:t>Le pourcentage maximum des Travaux pouvant être sous-traités par l’Entrepreneur est de 10% du montant total du Marché</w:t>
            </w:r>
          </w:p>
          <w:p w14:paraId="7ACAEC4D" w14:textId="4535BC03" w:rsidR="00CE3425" w:rsidRPr="00834DB5" w:rsidDel="00F44F5D" w:rsidRDefault="00CE3425" w:rsidP="00087086">
            <w:pPr>
              <w:pStyle w:val="i"/>
              <w:tabs>
                <w:tab w:val="right" w:pos="7254"/>
              </w:tabs>
              <w:spacing w:after="0"/>
              <w:ind w:left="0" w:firstLine="0"/>
              <w:rPr>
                <w:rFonts w:ascii="Times New Roman" w:hAnsi="Times New Roman"/>
                <w:highlight w:val="yellow"/>
                <w:lang w:val="fr-FR"/>
              </w:rPr>
            </w:pPr>
            <w:r w:rsidRPr="00834DB5">
              <w:rPr>
                <w:rFonts w:ascii="Times New Roman" w:hAnsi="Times New Roman"/>
                <w:szCs w:val="24"/>
                <w:lang w:val="fr-FR"/>
              </w:rPr>
              <w:t>Sous réserve des dispositions de l’article 34.3 des IS, le Soumissionnaire doit remplir les critères de qualification sans avoir recours aux qualifications de ses sous-traitants.</w:t>
            </w:r>
          </w:p>
        </w:tc>
      </w:tr>
    </w:tbl>
    <w:p w14:paraId="072E2E10" w14:textId="35853C22" w:rsidR="00E920E5" w:rsidRPr="00A67F27" w:rsidRDefault="00E920E5" w:rsidP="00E920E5">
      <w:pPr>
        <w:pStyle w:val="Lgende"/>
        <w:keepNext/>
        <w:tabs>
          <w:tab w:val="right" w:pos="7434"/>
        </w:tabs>
        <w:spacing w:before="60" w:after="60"/>
        <w:ind w:left="0" w:firstLine="0"/>
        <w:jc w:val="center"/>
        <w:rPr>
          <w:b/>
          <w:szCs w:val="24"/>
          <w:lang w:eastAsia="en-US"/>
        </w:rPr>
      </w:pPr>
      <w:r w:rsidRPr="00A67F27">
        <w:rPr>
          <w:b/>
          <w:szCs w:val="24"/>
          <w:lang w:eastAsia="en-US"/>
        </w:rPr>
        <w:t>F. Attribution du Marché</w:t>
      </w:r>
    </w:p>
    <w:tbl>
      <w:tblPr>
        <w:tblW w:w="9360"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620"/>
        <w:gridCol w:w="7740"/>
      </w:tblGrid>
      <w:tr w:rsidR="000A450A" w:rsidRPr="00A67F27" w14:paraId="7CF19B0E" w14:textId="77777777" w:rsidTr="00232D3C">
        <w:tc>
          <w:tcPr>
            <w:tcW w:w="1620" w:type="dxa"/>
          </w:tcPr>
          <w:p w14:paraId="7848036C" w14:textId="24044371" w:rsidR="000A450A" w:rsidRPr="00A67F27" w:rsidRDefault="00D86EDA" w:rsidP="004F1398">
            <w:pPr>
              <w:pStyle w:val="Head22"/>
              <w:spacing w:before="160" w:after="160"/>
              <w:rPr>
                <w:rFonts w:asciiTheme="majorBidi" w:hAnsiTheme="majorBidi" w:cstheme="majorBidi"/>
              </w:rPr>
            </w:pPr>
            <w:r w:rsidRPr="00A67F27">
              <w:rPr>
                <w:rFonts w:asciiTheme="majorBidi" w:hAnsiTheme="majorBidi" w:cstheme="majorBidi"/>
              </w:rPr>
              <w:t>IS 4</w:t>
            </w:r>
            <w:r w:rsidR="00981B03" w:rsidRPr="00A67F27">
              <w:rPr>
                <w:rFonts w:asciiTheme="majorBidi" w:hAnsiTheme="majorBidi" w:cstheme="majorBidi"/>
              </w:rPr>
              <w:t>3</w:t>
            </w:r>
            <w:r w:rsidRPr="00A67F27">
              <w:rPr>
                <w:rFonts w:asciiTheme="majorBidi" w:hAnsiTheme="majorBidi" w:cstheme="majorBidi"/>
              </w:rPr>
              <w:t xml:space="preserve">.1 </w:t>
            </w:r>
          </w:p>
        </w:tc>
        <w:tc>
          <w:tcPr>
            <w:tcW w:w="7740" w:type="dxa"/>
          </w:tcPr>
          <w:p w14:paraId="2F01C19A" w14:textId="2355C43F" w:rsidR="00F50784" w:rsidRPr="00467939" w:rsidRDefault="00B527D8" w:rsidP="00087086">
            <w:pPr>
              <w:pStyle w:val="i"/>
              <w:tabs>
                <w:tab w:val="right" w:pos="7254"/>
              </w:tabs>
              <w:spacing w:after="0"/>
              <w:ind w:left="0" w:firstLine="0"/>
              <w:rPr>
                <w:rFonts w:ascii="Times New Roman" w:hAnsi="Times New Roman"/>
                <w:szCs w:val="24"/>
                <w:lang w:val="fr-FR"/>
              </w:rPr>
            </w:pPr>
            <w:r w:rsidRPr="00994464">
              <w:rPr>
                <w:bCs/>
                <w:lang w:val="fr-FR"/>
              </w:rPr>
              <w:t>Le Conciliateur</w:t>
            </w:r>
            <w:r w:rsidR="003C5BC8" w:rsidRPr="00994464">
              <w:rPr>
                <w:bCs/>
                <w:lang w:val="fr-FR"/>
              </w:rPr>
              <w:t xml:space="preserve"> propos</w:t>
            </w:r>
            <w:r w:rsidR="0082735D" w:rsidRPr="00994464">
              <w:rPr>
                <w:bCs/>
                <w:lang w:val="fr-FR"/>
              </w:rPr>
              <w:t>é</w:t>
            </w:r>
            <w:r w:rsidR="003C5BC8" w:rsidRPr="00994464">
              <w:rPr>
                <w:bCs/>
                <w:lang w:val="fr-FR"/>
              </w:rPr>
              <w:t xml:space="preserve"> par le Maître d’Ouvrage est </w:t>
            </w:r>
            <w:r w:rsidR="007C2335" w:rsidRPr="00994464">
              <w:rPr>
                <w:b/>
                <w:bCs/>
                <w:i/>
                <w:lang w:val="fr-FR"/>
              </w:rPr>
              <w:t xml:space="preserve">: </w:t>
            </w:r>
            <w:r w:rsidR="008432AC" w:rsidRPr="00467939">
              <w:rPr>
                <w:b/>
                <w:bCs/>
                <w:i/>
                <w:lang w:val="fr-FR"/>
              </w:rPr>
              <w:t>M</w:t>
            </w:r>
            <w:r w:rsidR="008432AC" w:rsidRPr="00467939">
              <w:rPr>
                <w:b/>
                <w:bCs/>
                <w:lang w:val="fr-FR"/>
              </w:rPr>
              <w:t>.</w:t>
            </w:r>
            <w:r w:rsidR="003C6077" w:rsidRPr="00467939">
              <w:rPr>
                <w:b/>
                <w:bCs/>
                <w:lang w:val="fr-FR"/>
              </w:rPr>
              <w:t xml:space="preserve"> </w:t>
            </w:r>
            <w:r w:rsidR="00741946" w:rsidRPr="00467939">
              <w:rPr>
                <w:b/>
                <w:bCs/>
                <w:i/>
                <w:lang w:val="fr-FR"/>
              </w:rPr>
              <w:t xml:space="preserve">Mohamed </w:t>
            </w:r>
            <w:r w:rsidR="00513689" w:rsidRPr="00467939">
              <w:rPr>
                <w:b/>
                <w:bCs/>
                <w:i/>
                <w:lang w:val="fr-FR"/>
              </w:rPr>
              <w:t>FALL Ingénieur</w:t>
            </w:r>
            <w:r w:rsidR="001C535B" w:rsidRPr="00467939">
              <w:rPr>
                <w:b/>
                <w:bCs/>
                <w:i/>
                <w:lang w:val="fr-FR"/>
              </w:rPr>
              <w:t xml:space="preserve"> du Génie Rural Sénior Consultant Indépendant</w:t>
            </w:r>
            <w:r w:rsidR="001C535B" w:rsidRPr="00467939">
              <w:rPr>
                <w:bCs/>
                <w:lang w:val="fr-FR"/>
              </w:rPr>
              <w:t>.</w:t>
            </w:r>
            <w:r w:rsidR="00F50784" w:rsidRPr="00467939">
              <w:rPr>
                <w:rFonts w:ascii="Arial Narrow" w:hAnsi="Arial Narrow" w:cs="Arial"/>
                <w:szCs w:val="24"/>
                <w:lang w:val="fr-FR"/>
              </w:rPr>
              <w:t xml:space="preserve"> </w:t>
            </w:r>
            <w:r w:rsidR="00F50784" w:rsidRPr="00467939">
              <w:rPr>
                <w:rFonts w:ascii="Times New Roman" w:hAnsi="Times New Roman"/>
                <w:szCs w:val="24"/>
                <w:lang w:val="fr-FR"/>
              </w:rPr>
              <w:t>(CV joint en annexe)</w:t>
            </w:r>
          </w:p>
          <w:p w14:paraId="716D047D" w14:textId="2FAFEBE9" w:rsidR="00F50784" w:rsidRPr="00DB7DEE" w:rsidRDefault="00F50784" w:rsidP="00087086">
            <w:pPr>
              <w:pStyle w:val="i"/>
              <w:tabs>
                <w:tab w:val="right" w:pos="7254"/>
              </w:tabs>
              <w:spacing w:after="0"/>
              <w:ind w:left="0" w:firstLine="0"/>
              <w:rPr>
                <w:rFonts w:ascii="Times New Roman" w:hAnsi="Times New Roman"/>
                <w:szCs w:val="24"/>
                <w:lang w:val="fr-FR"/>
              </w:rPr>
            </w:pPr>
            <w:r w:rsidRPr="00DB7DEE">
              <w:rPr>
                <w:rFonts w:ascii="Times New Roman" w:hAnsi="Times New Roman"/>
                <w:szCs w:val="24"/>
                <w:lang w:val="fr-FR"/>
              </w:rPr>
              <w:t>Identité de l’autorité désignée pour la nomination du Conciliateur : Le Centre de Conciliation et d’Arbitrage du Mali.</w:t>
            </w:r>
          </w:p>
          <w:p w14:paraId="657CB9D2" w14:textId="190273EF" w:rsidR="00F50784" w:rsidRPr="000B4A2B" w:rsidRDefault="00F50784" w:rsidP="00087086">
            <w:pPr>
              <w:spacing w:after="0"/>
              <w:ind w:left="0" w:right="-72" w:firstLine="0"/>
              <w:rPr>
                <w:rFonts w:asciiTheme="majorBidi" w:hAnsiTheme="majorBidi" w:cstheme="majorBidi"/>
                <w:highlight w:val="yellow"/>
              </w:rPr>
            </w:pPr>
            <w:r w:rsidRPr="00DB7DEE">
              <w:rPr>
                <w:bCs/>
              </w:rPr>
              <w:t xml:space="preserve">Le tarif journalier du Conciliateur est </w:t>
            </w:r>
            <w:r w:rsidR="00513689" w:rsidRPr="00DB7DEE">
              <w:rPr>
                <w:bCs/>
              </w:rPr>
              <w:t>de :</w:t>
            </w:r>
            <w:r w:rsidRPr="00DB7DEE">
              <w:rPr>
                <w:bCs/>
              </w:rPr>
              <w:t xml:space="preserve"> Cent Cinquante Mille (</w:t>
            </w:r>
            <w:r w:rsidRPr="00DB7DEE">
              <w:rPr>
                <w:b/>
                <w:bCs/>
              </w:rPr>
              <w:t>150.000) F.CFA</w:t>
            </w:r>
          </w:p>
        </w:tc>
      </w:tr>
    </w:tbl>
    <w:p w14:paraId="7E13B381" w14:textId="77777777" w:rsidR="0066311F" w:rsidRPr="00A67F27" w:rsidRDefault="0066311F" w:rsidP="004F1398">
      <w:pPr>
        <w:pStyle w:val="Head22"/>
        <w:spacing w:before="160" w:after="160"/>
        <w:rPr>
          <w:rFonts w:asciiTheme="majorBidi" w:hAnsiTheme="majorBidi" w:cstheme="majorBidi"/>
        </w:rPr>
      </w:pPr>
    </w:p>
    <w:p w14:paraId="015F0064" w14:textId="77777777" w:rsidR="002C7E8E" w:rsidRPr="00A67F27" w:rsidRDefault="002C7E8E">
      <w:pPr>
        <w:jc w:val="left"/>
        <w:rPr>
          <w:rFonts w:asciiTheme="majorBidi" w:hAnsiTheme="majorBidi" w:cstheme="majorBidi"/>
        </w:rPr>
        <w:sectPr w:rsidR="002C7E8E" w:rsidRPr="00A67F27" w:rsidSect="008D2EE3">
          <w:headerReference w:type="even" r:id="rId20"/>
          <w:headerReference w:type="default" r:id="rId21"/>
          <w:footnotePr>
            <w:numRestart w:val="eachPage"/>
          </w:footnotePr>
          <w:endnotePr>
            <w:numFmt w:val="decimal"/>
          </w:endnotePr>
          <w:pgSz w:w="12240" w:h="15840" w:code="1"/>
          <w:pgMar w:top="1418" w:right="1418" w:bottom="1418" w:left="1418" w:header="720" w:footer="720" w:gutter="0"/>
          <w:cols w:space="720"/>
          <w:titlePg/>
        </w:sectPr>
      </w:pPr>
      <w:bookmarkStart w:id="421" w:name="_Toc438266925"/>
      <w:bookmarkStart w:id="422" w:name="_Toc438267899"/>
      <w:bookmarkStart w:id="423" w:name="_Toc438366666"/>
      <w:bookmarkStart w:id="424" w:name="_Toc156027993"/>
      <w:bookmarkStart w:id="425" w:name="_Toc156372849"/>
    </w:p>
    <w:p w14:paraId="349EAD2F" w14:textId="2DCFA030" w:rsidR="000A450A" w:rsidRPr="00A67F27" w:rsidRDefault="000A450A" w:rsidP="001F751B">
      <w:pPr>
        <w:pStyle w:val="Sous-titre"/>
        <w:spacing w:before="120" w:after="120"/>
        <w:ind w:left="0" w:firstLine="0"/>
        <w:rPr>
          <w:rFonts w:cs="Arial"/>
          <w:sz w:val="36"/>
          <w:lang w:val="fr-FR" w:eastAsia="en-US"/>
        </w:rPr>
      </w:pPr>
      <w:bookmarkStart w:id="426" w:name="_Toc483210555"/>
      <w:bookmarkStart w:id="427" w:name="_Toc326657863"/>
      <w:bookmarkStart w:id="428" w:name="_Toc487641843"/>
      <w:r w:rsidRPr="00A67F27">
        <w:rPr>
          <w:rFonts w:cs="Arial"/>
          <w:sz w:val="36"/>
          <w:lang w:val="fr-FR" w:eastAsia="en-US"/>
        </w:rPr>
        <w:lastRenderedPageBreak/>
        <w:t>Section III. Critères d’évaluation et de</w:t>
      </w:r>
      <w:r w:rsidR="00AE07CA" w:rsidRPr="00A67F27">
        <w:rPr>
          <w:rFonts w:cs="Arial"/>
          <w:sz w:val="36"/>
          <w:lang w:val="fr-FR" w:eastAsia="en-US"/>
        </w:rPr>
        <w:t xml:space="preserve"> </w:t>
      </w:r>
      <w:r w:rsidRPr="00A67F27">
        <w:rPr>
          <w:rFonts w:cs="Arial"/>
          <w:sz w:val="36"/>
          <w:lang w:val="fr-FR" w:eastAsia="en-US"/>
        </w:rPr>
        <w:t>qualification</w:t>
      </w:r>
      <w:bookmarkEnd w:id="421"/>
      <w:bookmarkEnd w:id="422"/>
      <w:bookmarkEnd w:id="423"/>
      <w:bookmarkEnd w:id="424"/>
      <w:bookmarkEnd w:id="425"/>
      <w:bookmarkEnd w:id="426"/>
      <w:bookmarkEnd w:id="427"/>
      <w:bookmarkEnd w:id="428"/>
    </w:p>
    <w:p w14:paraId="0687BB40" w14:textId="29D3A557" w:rsidR="009709EF" w:rsidRPr="00A67F27" w:rsidRDefault="00B925BF" w:rsidP="001F751B">
      <w:pPr>
        <w:ind w:left="0" w:firstLine="0"/>
        <w:rPr>
          <w:rFonts w:asciiTheme="majorBidi" w:hAnsiTheme="majorBidi" w:cstheme="majorBidi"/>
          <w:szCs w:val="24"/>
        </w:rPr>
      </w:pPr>
      <w:r w:rsidRPr="00A67F27">
        <w:rPr>
          <w:rFonts w:asciiTheme="majorBidi" w:hAnsiTheme="majorBidi" w:cstheme="majorBidi"/>
          <w:szCs w:val="24"/>
        </w:rPr>
        <w:t xml:space="preserve">Cette Section inclut les </w:t>
      </w:r>
      <w:r w:rsidRPr="00A67F27">
        <w:rPr>
          <w:rFonts w:asciiTheme="majorBidi" w:hAnsiTheme="majorBidi" w:cstheme="majorBidi"/>
        </w:rPr>
        <w:t xml:space="preserve">facteurs, méthodes et </w:t>
      </w:r>
      <w:r w:rsidRPr="00A67F27">
        <w:rPr>
          <w:rFonts w:asciiTheme="majorBidi" w:hAnsiTheme="majorBidi" w:cstheme="majorBidi"/>
          <w:szCs w:val="24"/>
        </w:rPr>
        <w:t xml:space="preserve">critères que </w:t>
      </w:r>
      <w:r w:rsidRPr="00A67F27">
        <w:rPr>
          <w:rFonts w:asciiTheme="majorBidi" w:hAnsiTheme="majorBidi" w:cstheme="majorBidi"/>
        </w:rPr>
        <w:t>le Maître de l’Ouvrage</w:t>
      </w:r>
      <w:r w:rsidRPr="00A67F27">
        <w:rPr>
          <w:rFonts w:asciiTheme="majorBidi" w:hAnsiTheme="majorBidi" w:cstheme="majorBidi"/>
          <w:szCs w:val="24"/>
        </w:rPr>
        <w:t xml:space="preserve"> doit utiliser pour évaluer une offre et déterminer si un Soumissionnaire satisfait aux qualifications requises. </w:t>
      </w:r>
      <w:r w:rsidRPr="00A67F27">
        <w:rPr>
          <w:rFonts w:asciiTheme="majorBidi" w:hAnsiTheme="majorBidi" w:cstheme="majorBidi"/>
        </w:rPr>
        <w:t xml:space="preserve">Le Maître de l’Ouvrage </w:t>
      </w:r>
      <w:r w:rsidRPr="00A67F27">
        <w:rPr>
          <w:rFonts w:asciiTheme="majorBidi" w:hAnsiTheme="majorBidi" w:cstheme="majorBidi"/>
          <w:szCs w:val="24"/>
        </w:rPr>
        <w:t xml:space="preserve">n’utilisera pas d’autres critères que ceux indiqués dans le présent Dossier d’appel d’offres. </w:t>
      </w:r>
      <w:r w:rsidR="009709EF" w:rsidRPr="00A67F27">
        <w:rPr>
          <w:rFonts w:asciiTheme="majorBidi" w:hAnsiTheme="majorBidi" w:cstheme="majorBidi"/>
        </w:rPr>
        <w:t>Le Soumissionnaire fournira tous les renseignements demandés dans les formulaires joints à la Section IV, Formulaires de soumission.</w:t>
      </w:r>
    </w:p>
    <w:p w14:paraId="5976FB86" w14:textId="29E6A0AC" w:rsidR="00D16E86" w:rsidRPr="00A67F27" w:rsidRDefault="00D16E86" w:rsidP="00A01932">
      <w:pPr>
        <w:ind w:left="0" w:firstLine="0"/>
        <w:rPr>
          <w:rFonts w:asciiTheme="majorBidi" w:hAnsiTheme="majorBidi" w:cstheme="majorBidi"/>
        </w:rPr>
      </w:pPr>
      <w:r w:rsidRPr="00A67F27">
        <w:rPr>
          <w:rFonts w:asciiTheme="majorBidi" w:hAnsiTheme="majorBidi" w:cstheme="majorBidi"/>
        </w:rPr>
        <w:t>Tout montant indiqué par le Soumissionnaire sera en équivalent US$ ou € en utilisant le taux de change déterminé de la manière suivante</w:t>
      </w:r>
      <w:r w:rsidR="009B2302" w:rsidRPr="00A67F27">
        <w:rPr>
          <w:rFonts w:asciiTheme="majorBidi" w:hAnsiTheme="majorBidi" w:cstheme="majorBidi"/>
        </w:rPr>
        <w:t> :</w:t>
      </w:r>
    </w:p>
    <w:p w14:paraId="36F3FFA9" w14:textId="3D266C8F" w:rsidR="005001E0" w:rsidRPr="00A67F27" w:rsidRDefault="00D16E86" w:rsidP="002A45C1">
      <w:pPr>
        <w:pStyle w:val="Paragraphedeliste"/>
        <w:numPr>
          <w:ilvl w:val="1"/>
          <w:numId w:val="71"/>
        </w:numPr>
        <w:tabs>
          <w:tab w:val="clear" w:pos="1440"/>
        </w:tabs>
        <w:ind w:left="851" w:hanging="357"/>
        <w:contextualSpacing w:val="0"/>
        <w:rPr>
          <w:rFonts w:asciiTheme="majorBidi" w:hAnsiTheme="majorBidi" w:cstheme="majorBidi"/>
        </w:rPr>
      </w:pPr>
      <w:r w:rsidRPr="00A67F27">
        <w:rPr>
          <w:rFonts w:asciiTheme="majorBidi" w:hAnsiTheme="majorBidi" w:cstheme="majorBidi"/>
        </w:rPr>
        <w:t>Pour le chiffre d’affaires et autres données financières annuels requis, le taux de change applicable sera celui du dernier jour de l’année calendaire en question</w:t>
      </w:r>
      <w:r w:rsidR="009B2302" w:rsidRPr="00A67F27">
        <w:rPr>
          <w:rFonts w:asciiTheme="majorBidi" w:hAnsiTheme="majorBidi" w:cstheme="majorBidi"/>
        </w:rPr>
        <w:t> ;</w:t>
      </w:r>
    </w:p>
    <w:p w14:paraId="49A3CC43" w14:textId="77777777" w:rsidR="005001E0" w:rsidRPr="00A67F27" w:rsidRDefault="00D16E86" w:rsidP="002A45C1">
      <w:pPr>
        <w:pStyle w:val="Paragraphedeliste"/>
        <w:numPr>
          <w:ilvl w:val="1"/>
          <w:numId w:val="71"/>
        </w:numPr>
        <w:tabs>
          <w:tab w:val="clear" w:pos="1440"/>
        </w:tabs>
        <w:ind w:left="851" w:hanging="357"/>
        <w:contextualSpacing w:val="0"/>
        <w:rPr>
          <w:rFonts w:asciiTheme="majorBidi" w:hAnsiTheme="majorBidi" w:cstheme="majorBidi"/>
        </w:rPr>
      </w:pPr>
      <w:r w:rsidRPr="00A67F27">
        <w:rPr>
          <w:rFonts w:asciiTheme="majorBidi" w:hAnsiTheme="majorBidi" w:cstheme="majorBidi"/>
        </w:rPr>
        <w:t>Pour le montant d’un marché, le taux de change sera celui de la date de signature du marché en question.</w:t>
      </w:r>
    </w:p>
    <w:p w14:paraId="4C5F6BC7" w14:textId="77777777" w:rsidR="00D16E86" w:rsidRPr="00A67F27" w:rsidRDefault="00D16E86" w:rsidP="00A01932">
      <w:pPr>
        <w:ind w:left="0" w:firstLine="0"/>
        <w:rPr>
          <w:rFonts w:asciiTheme="majorBidi" w:hAnsiTheme="majorBidi" w:cstheme="majorBidi"/>
        </w:rPr>
      </w:pPr>
      <w:r w:rsidRPr="00A67F27">
        <w:rPr>
          <w:rFonts w:asciiTheme="majorBidi" w:hAnsiTheme="majorBidi" w:cstheme="majorBidi"/>
        </w:rPr>
        <w:t xml:space="preserve">Les taux de change seront ceux provenant de la source identifiée à l’article 32.1 des IS. Le Maître de l’Ouvrage aura la latitude de corriger toute erreur commise dans la détermination du taux de change </w:t>
      </w:r>
      <w:r w:rsidR="00D02222" w:rsidRPr="00A67F27">
        <w:rPr>
          <w:rFonts w:asciiTheme="majorBidi" w:hAnsiTheme="majorBidi" w:cstheme="majorBidi"/>
        </w:rPr>
        <w:t xml:space="preserve">utilisé </w:t>
      </w:r>
      <w:r w:rsidRPr="00A67F27">
        <w:rPr>
          <w:rFonts w:asciiTheme="majorBidi" w:hAnsiTheme="majorBidi" w:cstheme="majorBidi"/>
        </w:rPr>
        <w:t>dans l’Offre.</w:t>
      </w:r>
    </w:p>
    <w:p w14:paraId="03B69208" w14:textId="77777777" w:rsidR="000A450A" w:rsidRPr="00A67F27" w:rsidRDefault="000A450A" w:rsidP="00427307">
      <w:pPr>
        <w:ind w:left="720"/>
        <w:rPr>
          <w:rFonts w:asciiTheme="majorBidi" w:hAnsiTheme="majorBidi" w:cstheme="majorBidi"/>
        </w:rPr>
      </w:pPr>
    </w:p>
    <w:p w14:paraId="0E0CDD21" w14:textId="77777777" w:rsidR="0028687F" w:rsidRPr="00A67F27" w:rsidRDefault="0028687F">
      <w:pPr>
        <w:jc w:val="left"/>
        <w:rPr>
          <w:rFonts w:asciiTheme="majorBidi" w:hAnsiTheme="majorBidi" w:cstheme="majorBidi"/>
          <w:b/>
        </w:rPr>
      </w:pPr>
      <w:r w:rsidRPr="00A67F27">
        <w:rPr>
          <w:rFonts w:asciiTheme="majorBidi" w:hAnsiTheme="majorBidi" w:cstheme="majorBidi"/>
          <w:b/>
        </w:rPr>
        <w:br w:type="page"/>
      </w:r>
    </w:p>
    <w:p w14:paraId="01FDA940" w14:textId="77777777" w:rsidR="00402284" w:rsidRPr="00A67F27" w:rsidRDefault="00402284" w:rsidP="00402284">
      <w:pPr>
        <w:keepNext/>
        <w:spacing w:before="120" w:after="120"/>
        <w:ind w:left="360" w:hanging="720"/>
        <w:jc w:val="center"/>
        <w:outlineLvl w:val="1"/>
        <w:rPr>
          <w:b/>
          <w:bCs/>
          <w:szCs w:val="24"/>
          <w:lang w:eastAsia="en-US"/>
        </w:rPr>
      </w:pPr>
    </w:p>
    <w:p w14:paraId="385513AB" w14:textId="77777777" w:rsidR="008867D9" w:rsidRPr="00A67F27" w:rsidRDefault="008867D9" w:rsidP="008867D9">
      <w:pPr>
        <w:jc w:val="center"/>
        <w:rPr>
          <w:b/>
          <w:sz w:val="36"/>
        </w:rPr>
      </w:pPr>
      <w:bookmarkStart w:id="429" w:name="_Toc432229721"/>
      <w:bookmarkStart w:id="430" w:name="_Toc432663719"/>
      <w:bookmarkStart w:id="431" w:name="_Toc433224150"/>
      <w:bookmarkStart w:id="432" w:name="_Toc435519254"/>
      <w:bookmarkStart w:id="433" w:name="_Toc435624889"/>
      <w:r w:rsidRPr="00A67F27">
        <w:rPr>
          <w:b/>
          <w:sz w:val="36"/>
        </w:rPr>
        <w:t>Table des Critères</w:t>
      </w:r>
      <w:bookmarkEnd w:id="429"/>
      <w:bookmarkEnd w:id="430"/>
      <w:bookmarkEnd w:id="431"/>
      <w:bookmarkEnd w:id="432"/>
      <w:bookmarkEnd w:id="433"/>
    </w:p>
    <w:p w14:paraId="661A5075" w14:textId="39CFDF46" w:rsidR="00587F78" w:rsidRPr="00A67F27" w:rsidRDefault="00402284">
      <w:pPr>
        <w:pStyle w:val="TM1"/>
        <w:rPr>
          <w:rFonts w:asciiTheme="minorHAnsi" w:eastAsiaTheme="minorEastAsia" w:hAnsiTheme="minorHAnsi" w:cstheme="minorBidi"/>
          <w:b w:val="0"/>
          <w:noProof/>
          <w:sz w:val="22"/>
          <w:szCs w:val="22"/>
          <w:lang w:eastAsia="zh-CN"/>
        </w:rPr>
      </w:pPr>
      <w:r w:rsidRPr="00A67F27">
        <w:rPr>
          <w:b w:val="0"/>
          <w:lang w:eastAsia="en-US"/>
        </w:rPr>
        <w:fldChar w:fldCharType="begin"/>
      </w:r>
      <w:r w:rsidRPr="00A67F27">
        <w:rPr>
          <w:b w:val="0"/>
          <w:lang w:eastAsia="en-US"/>
        </w:rPr>
        <w:instrText xml:space="preserve"> TOC \h \z \t "S3-Header 1,1,S3-Heading 2,2" </w:instrText>
      </w:r>
      <w:r w:rsidRPr="00A67F27">
        <w:rPr>
          <w:b w:val="0"/>
          <w:lang w:eastAsia="en-US"/>
        </w:rPr>
        <w:fldChar w:fldCharType="separate"/>
      </w:r>
      <w:hyperlink w:anchor="_Toc487641736" w:history="1">
        <w:r w:rsidR="00587F78" w:rsidRPr="00A67F27">
          <w:rPr>
            <w:rStyle w:val="Lienhypertexte"/>
            <w:noProof/>
          </w:rPr>
          <w:t xml:space="preserve">1. </w:t>
        </w:r>
        <w:r w:rsidR="00587F78" w:rsidRPr="00A67F27">
          <w:rPr>
            <w:rFonts w:asciiTheme="minorHAnsi" w:eastAsiaTheme="minorEastAsia" w:hAnsiTheme="minorHAnsi" w:cstheme="minorBidi"/>
            <w:b w:val="0"/>
            <w:noProof/>
            <w:sz w:val="22"/>
            <w:szCs w:val="22"/>
            <w:lang w:eastAsia="zh-CN"/>
          </w:rPr>
          <w:tab/>
        </w:r>
        <w:r w:rsidR="00587F78" w:rsidRPr="00A67F27">
          <w:rPr>
            <w:rStyle w:val="Lienhypertexte"/>
            <w:noProof/>
          </w:rPr>
          <w:t>Marge de pr</w:t>
        </w:r>
        <w:r w:rsidR="00587F78" w:rsidRPr="00A67F27">
          <w:rPr>
            <w:rStyle w:val="Lienhypertexte"/>
            <w:rFonts w:hint="eastAsia"/>
            <w:noProof/>
          </w:rPr>
          <w:t>é</w:t>
        </w:r>
        <w:r w:rsidR="00587F78" w:rsidRPr="00A67F27">
          <w:rPr>
            <w:rStyle w:val="Lienhypertexte"/>
            <w:noProof/>
          </w:rPr>
          <w:t>f</w:t>
        </w:r>
        <w:r w:rsidR="00587F78" w:rsidRPr="00A67F27">
          <w:rPr>
            <w:rStyle w:val="Lienhypertexte"/>
            <w:rFonts w:hint="eastAsia"/>
            <w:noProof/>
          </w:rPr>
          <w:t>é</w:t>
        </w:r>
        <w:r w:rsidR="00587F78" w:rsidRPr="00A67F27">
          <w:rPr>
            <w:rStyle w:val="Lienhypertexte"/>
            <w:noProof/>
          </w:rPr>
          <w:t>rence</w:t>
        </w:r>
        <w:r w:rsidR="00587F78" w:rsidRPr="00A67F27">
          <w:rPr>
            <w:noProof/>
            <w:webHidden/>
          </w:rPr>
          <w:tab/>
        </w:r>
        <w:r w:rsidR="00587F78" w:rsidRPr="003B4E37">
          <w:rPr>
            <w:noProof/>
            <w:webHidden/>
          </w:rPr>
          <w:fldChar w:fldCharType="begin"/>
        </w:r>
        <w:r w:rsidR="00587F78" w:rsidRPr="00A67F27">
          <w:rPr>
            <w:noProof/>
            <w:webHidden/>
          </w:rPr>
          <w:instrText xml:space="preserve"> PAGEREF _Toc487641736 \h </w:instrText>
        </w:r>
        <w:r w:rsidR="00587F78" w:rsidRPr="003B4E37">
          <w:rPr>
            <w:noProof/>
            <w:webHidden/>
          </w:rPr>
        </w:r>
        <w:r w:rsidR="00587F78" w:rsidRPr="003B4E37">
          <w:rPr>
            <w:noProof/>
            <w:webHidden/>
          </w:rPr>
          <w:fldChar w:fldCharType="separate"/>
        </w:r>
        <w:r w:rsidR="006C5B9E">
          <w:rPr>
            <w:noProof/>
            <w:webHidden/>
          </w:rPr>
          <w:t>38</w:t>
        </w:r>
        <w:r w:rsidR="00587F78" w:rsidRPr="003B4E37">
          <w:rPr>
            <w:noProof/>
            <w:webHidden/>
          </w:rPr>
          <w:fldChar w:fldCharType="end"/>
        </w:r>
      </w:hyperlink>
    </w:p>
    <w:p w14:paraId="1A8D932A" w14:textId="271E11B0" w:rsidR="00587F78" w:rsidRPr="00A67F27" w:rsidRDefault="00B37E92">
      <w:pPr>
        <w:pStyle w:val="TM1"/>
        <w:rPr>
          <w:rFonts w:asciiTheme="minorHAnsi" w:eastAsiaTheme="minorEastAsia" w:hAnsiTheme="minorHAnsi" w:cstheme="minorBidi"/>
          <w:b w:val="0"/>
          <w:noProof/>
          <w:sz w:val="22"/>
          <w:szCs w:val="22"/>
          <w:lang w:eastAsia="zh-CN"/>
        </w:rPr>
      </w:pPr>
      <w:hyperlink w:anchor="_Toc487641737" w:history="1">
        <w:r w:rsidR="00587F78" w:rsidRPr="001627D7">
          <w:rPr>
            <w:rStyle w:val="Lienhypertexte"/>
            <w:noProof/>
          </w:rPr>
          <w:t>2.</w:t>
        </w:r>
        <w:r w:rsidR="00587F78" w:rsidRPr="001627D7">
          <w:rPr>
            <w:rFonts w:asciiTheme="minorHAnsi" w:eastAsiaTheme="minorEastAsia" w:hAnsiTheme="minorHAnsi" w:cstheme="minorBidi"/>
            <w:b w:val="0"/>
            <w:noProof/>
            <w:sz w:val="22"/>
            <w:szCs w:val="22"/>
            <w:lang w:eastAsia="zh-CN"/>
          </w:rPr>
          <w:tab/>
        </w:r>
        <w:r w:rsidR="00587F78" w:rsidRPr="00043C85">
          <w:rPr>
            <w:rStyle w:val="Lienhypertexte"/>
            <w:noProof/>
          </w:rPr>
          <w:t>Évaluation (IS 35)</w:t>
        </w:r>
        <w:r w:rsidR="00587F78" w:rsidRPr="00442531">
          <w:rPr>
            <w:noProof/>
            <w:webHidden/>
          </w:rPr>
          <w:tab/>
        </w:r>
        <w:r w:rsidR="00587F78" w:rsidRPr="001627D7">
          <w:rPr>
            <w:noProof/>
            <w:webHidden/>
          </w:rPr>
          <w:fldChar w:fldCharType="begin"/>
        </w:r>
        <w:r w:rsidR="00587F78" w:rsidRPr="00A67F27">
          <w:rPr>
            <w:noProof/>
            <w:webHidden/>
          </w:rPr>
          <w:instrText xml:space="preserve"> PAGEREF _Toc487641737 \h </w:instrText>
        </w:r>
        <w:r w:rsidR="00587F78" w:rsidRPr="001627D7">
          <w:rPr>
            <w:noProof/>
            <w:webHidden/>
          </w:rPr>
        </w:r>
        <w:r w:rsidR="00587F78" w:rsidRPr="001627D7">
          <w:rPr>
            <w:noProof/>
            <w:webHidden/>
          </w:rPr>
          <w:fldChar w:fldCharType="separate"/>
        </w:r>
        <w:r w:rsidR="006C5B9E">
          <w:rPr>
            <w:noProof/>
            <w:webHidden/>
          </w:rPr>
          <w:t>38</w:t>
        </w:r>
        <w:r w:rsidR="00587F78" w:rsidRPr="001627D7">
          <w:rPr>
            <w:noProof/>
            <w:webHidden/>
          </w:rPr>
          <w:fldChar w:fldCharType="end"/>
        </w:r>
      </w:hyperlink>
    </w:p>
    <w:p w14:paraId="445372FF" w14:textId="5FFAD524" w:rsidR="00587F78" w:rsidRPr="00A67F27" w:rsidRDefault="00B37E92">
      <w:pPr>
        <w:pStyle w:val="TM2"/>
        <w:tabs>
          <w:tab w:val="left" w:pos="1440"/>
        </w:tabs>
        <w:rPr>
          <w:rFonts w:asciiTheme="minorHAnsi" w:eastAsiaTheme="minorEastAsia" w:hAnsiTheme="minorHAnsi" w:cstheme="minorBidi"/>
          <w:noProof/>
          <w:sz w:val="22"/>
          <w:szCs w:val="22"/>
          <w:lang w:eastAsia="zh-CN"/>
        </w:rPr>
      </w:pPr>
      <w:hyperlink w:anchor="_Toc487641738" w:history="1">
        <w:r w:rsidR="00587F78" w:rsidRPr="001627D7">
          <w:rPr>
            <w:rStyle w:val="Lienhypertexte"/>
            <w:rFonts w:asciiTheme="majorBidi" w:hAnsiTheme="majorBidi" w:cstheme="majorBidi"/>
            <w:noProof/>
          </w:rPr>
          <w:t>2.2</w:t>
        </w:r>
        <w:r w:rsidR="00587F78" w:rsidRPr="001627D7">
          <w:rPr>
            <w:rFonts w:asciiTheme="minorHAnsi" w:eastAsiaTheme="minorEastAsia" w:hAnsiTheme="minorHAnsi" w:cstheme="minorBidi"/>
            <w:noProof/>
            <w:sz w:val="22"/>
            <w:szCs w:val="22"/>
            <w:lang w:eastAsia="zh-CN"/>
          </w:rPr>
          <w:tab/>
        </w:r>
        <w:r w:rsidR="008867D9" w:rsidRPr="00043C85">
          <w:rPr>
            <w:rFonts w:asciiTheme="minorHAnsi" w:eastAsiaTheme="minorEastAsia" w:hAnsiTheme="minorHAnsi" w:cstheme="minorBidi"/>
            <w:noProof/>
            <w:sz w:val="22"/>
            <w:szCs w:val="22"/>
            <w:lang w:eastAsia="zh-CN"/>
          </w:rPr>
          <w:t xml:space="preserve">Lots </w:t>
        </w:r>
        <w:r w:rsidR="008867D9" w:rsidRPr="00442531">
          <w:rPr>
            <w:rStyle w:val="Lienhypertexte"/>
            <w:noProof/>
          </w:rPr>
          <w:t>Multiples</w:t>
        </w:r>
        <w:r w:rsidR="00587F78" w:rsidRPr="00442531">
          <w:rPr>
            <w:noProof/>
            <w:webHidden/>
          </w:rPr>
          <w:tab/>
        </w:r>
        <w:r w:rsidR="00587F78" w:rsidRPr="001627D7">
          <w:rPr>
            <w:noProof/>
            <w:webHidden/>
          </w:rPr>
          <w:fldChar w:fldCharType="begin"/>
        </w:r>
        <w:r w:rsidR="00587F78" w:rsidRPr="00A67F27">
          <w:rPr>
            <w:noProof/>
            <w:webHidden/>
          </w:rPr>
          <w:instrText xml:space="preserve"> PAGEREF _Toc487641738 \h </w:instrText>
        </w:r>
        <w:r w:rsidR="00587F78" w:rsidRPr="001627D7">
          <w:rPr>
            <w:noProof/>
            <w:webHidden/>
          </w:rPr>
        </w:r>
        <w:r w:rsidR="00587F78" w:rsidRPr="001627D7">
          <w:rPr>
            <w:noProof/>
            <w:webHidden/>
          </w:rPr>
          <w:fldChar w:fldCharType="separate"/>
        </w:r>
        <w:r w:rsidR="006C5B9E">
          <w:rPr>
            <w:noProof/>
            <w:webHidden/>
          </w:rPr>
          <w:t>38</w:t>
        </w:r>
        <w:r w:rsidR="00587F78" w:rsidRPr="001627D7">
          <w:rPr>
            <w:noProof/>
            <w:webHidden/>
          </w:rPr>
          <w:fldChar w:fldCharType="end"/>
        </w:r>
      </w:hyperlink>
    </w:p>
    <w:p w14:paraId="506F7814" w14:textId="1D677E56" w:rsidR="00587F78" w:rsidRPr="00A67F27" w:rsidRDefault="00B37E92">
      <w:pPr>
        <w:pStyle w:val="TM1"/>
        <w:rPr>
          <w:rFonts w:asciiTheme="minorHAnsi" w:eastAsiaTheme="minorEastAsia" w:hAnsiTheme="minorHAnsi" w:cstheme="minorBidi"/>
          <w:b w:val="0"/>
          <w:noProof/>
          <w:sz w:val="22"/>
          <w:szCs w:val="22"/>
          <w:lang w:eastAsia="zh-CN"/>
        </w:rPr>
      </w:pPr>
      <w:hyperlink w:anchor="_Toc487641739" w:history="1">
        <w:r w:rsidR="00587F78" w:rsidRPr="001627D7">
          <w:rPr>
            <w:rStyle w:val="Lienhypertexte"/>
            <w:noProof/>
          </w:rPr>
          <w:t>3.</w:t>
        </w:r>
        <w:r w:rsidR="00587F78" w:rsidRPr="001627D7">
          <w:rPr>
            <w:rFonts w:asciiTheme="minorHAnsi" w:eastAsiaTheme="minorEastAsia" w:hAnsiTheme="minorHAnsi" w:cstheme="minorBidi"/>
            <w:b w:val="0"/>
            <w:noProof/>
            <w:sz w:val="22"/>
            <w:szCs w:val="22"/>
            <w:lang w:eastAsia="zh-CN"/>
          </w:rPr>
          <w:tab/>
        </w:r>
        <w:r w:rsidR="00587F78" w:rsidRPr="00043C85">
          <w:rPr>
            <w:rStyle w:val="Lienhypertexte"/>
            <w:noProof/>
          </w:rPr>
          <w:t>Qualifi</w:t>
        </w:r>
        <w:r w:rsidR="00587F78" w:rsidRPr="00442531">
          <w:rPr>
            <w:rStyle w:val="Lienhypertexte"/>
            <w:noProof/>
          </w:rPr>
          <w:t>cation</w:t>
        </w:r>
        <w:r w:rsidR="00587F78" w:rsidRPr="00442531">
          <w:rPr>
            <w:noProof/>
            <w:webHidden/>
          </w:rPr>
          <w:tab/>
        </w:r>
        <w:r w:rsidR="00587F78" w:rsidRPr="001627D7">
          <w:rPr>
            <w:noProof/>
            <w:webHidden/>
          </w:rPr>
          <w:fldChar w:fldCharType="begin"/>
        </w:r>
        <w:r w:rsidR="00587F78" w:rsidRPr="00A67F27">
          <w:rPr>
            <w:noProof/>
            <w:webHidden/>
          </w:rPr>
          <w:instrText xml:space="preserve"> PAGEREF _Toc487641739 \h </w:instrText>
        </w:r>
        <w:r w:rsidR="00587F78" w:rsidRPr="001627D7">
          <w:rPr>
            <w:noProof/>
            <w:webHidden/>
          </w:rPr>
        </w:r>
        <w:r w:rsidR="00587F78" w:rsidRPr="001627D7">
          <w:rPr>
            <w:noProof/>
            <w:webHidden/>
          </w:rPr>
          <w:fldChar w:fldCharType="separate"/>
        </w:r>
        <w:r w:rsidR="006C5B9E">
          <w:rPr>
            <w:noProof/>
            <w:webHidden/>
          </w:rPr>
          <w:t>40</w:t>
        </w:r>
        <w:r w:rsidR="00587F78" w:rsidRPr="001627D7">
          <w:rPr>
            <w:noProof/>
            <w:webHidden/>
          </w:rPr>
          <w:fldChar w:fldCharType="end"/>
        </w:r>
      </w:hyperlink>
    </w:p>
    <w:p w14:paraId="5F5E7021" w14:textId="437528AF" w:rsidR="00587F78" w:rsidRPr="00A67F27" w:rsidRDefault="00B37E92">
      <w:pPr>
        <w:pStyle w:val="TM2"/>
        <w:rPr>
          <w:rFonts w:asciiTheme="minorHAnsi" w:eastAsiaTheme="minorEastAsia" w:hAnsiTheme="minorHAnsi" w:cstheme="minorBidi"/>
          <w:noProof/>
          <w:sz w:val="22"/>
          <w:szCs w:val="22"/>
          <w:lang w:eastAsia="zh-CN"/>
        </w:rPr>
      </w:pPr>
      <w:hyperlink w:anchor="_Toc487641740" w:history="1">
        <w:r w:rsidR="00587F78" w:rsidRPr="001627D7">
          <w:rPr>
            <w:rStyle w:val="Lienhypertexte"/>
            <w:noProof/>
          </w:rPr>
          <w:t>1. Critères d’admissibilité</w:t>
        </w:r>
        <w:r w:rsidR="00587F78" w:rsidRPr="001627D7">
          <w:rPr>
            <w:noProof/>
            <w:webHidden/>
          </w:rPr>
          <w:tab/>
        </w:r>
        <w:r w:rsidR="00587F78" w:rsidRPr="001627D7">
          <w:rPr>
            <w:noProof/>
            <w:webHidden/>
          </w:rPr>
          <w:fldChar w:fldCharType="begin"/>
        </w:r>
        <w:r w:rsidR="00587F78" w:rsidRPr="00A67F27">
          <w:rPr>
            <w:noProof/>
            <w:webHidden/>
          </w:rPr>
          <w:instrText xml:space="preserve"> PAGEREF _Toc487641740 \h </w:instrText>
        </w:r>
        <w:r w:rsidR="00587F78" w:rsidRPr="001627D7">
          <w:rPr>
            <w:noProof/>
            <w:webHidden/>
          </w:rPr>
        </w:r>
        <w:r w:rsidR="00587F78" w:rsidRPr="001627D7">
          <w:rPr>
            <w:noProof/>
            <w:webHidden/>
          </w:rPr>
          <w:fldChar w:fldCharType="separate"/>
        </w:r>
        <w:r w:rsidR="006C5B9E">
          <w:rPr>
            <w:noProof/>
            <w:webHidden/>
          </w:rPr>
          <w:t>40</w:t>
        </w:r>
        <w:r w:rsidR="00587F78" w:rsidRPr="001627D7">
          <w:rPr>
            <w:noProof/>
            <w:webHidden/>
          </w:rPr>
          <w:fldChar w:fldCharType="end"/>
        </w:r>
      </w:hyperlink>
    </w:p>
    <w:p w14:paraId="45008C29" w14:textId="121549A6" w:rsidR="00587F78" w:rsidRPr="00A67F27" w:rsidRDefault="00B37E92">
      <w:pPr>
        <w:pStyle w:val="TM2"/>
        <w:rPr>
          <w:rFonts w:asciiTheme="minorHAnsi" w:eastAsiaTheme="minorEastAsia" w:hAnsiTheme="minorHAnsi" w:cstheme="minorBidi"/>
          <w:noProof/>
          <w:sz w:val="22"/>
          <w:szCs w:val="22"/>
          <w:lang w:eastAsia="zh-CN"/>
        </w:rPr>
      </w:pPr>
      <w:hyperlink w:anchor="_Toc487641741" w:history="1">
        <w:r w:rsidR="00587F78" w:rsidRPr="001627D7">
          <w:rPr>
            <w:rStyle w:val="Lienhypertexte"/>
            <w:noProof/>
          </w:rPr>
          <w:t>2. Antécédents de défaut d’exécution de marché</w:t>
        </w:r>
        <w:r w:rsidR="00587F78" w:rsidRPr="001627D7">
          <w:rPr>
            <w:noProof/>
            <w:webHidden/>
          </w:rPr>
          <w:tab/>
        </w:r>
        <w:r w:rsidR="00587F78" w:rsidRPr="001627D7">
          <w:rPr>
            <w:noProof/>
            <w:webHidden/>
          </w:rPr>
          <w:fldChar w:fldCharType="begin"/>
        </w:r>
        <w:r w:rsidR="00587F78" w:rsidRPr="00A67F27">
          <w:rPr>
            <w:noProof/>
            <w:webHidden/>
          </w:rPr>
          <w:instrText xml:space="preserve"> PAGEREF _Toc487641741 \h </w:instrText>
        </w:r>
        <w:r w:rsidR="00587F78" w:rsidRPr="001627D7">
          <w:rPr>
            <w:noProof/>
            <w:webHidden/>
          </w:rPr>
        </w:r>
        <w:r w:rsidR="00587F78" w:rsidRPr="001627D7">
          <w:rPr>
            <w:noProof/>
            <w:webHidden/>
          </w:rPr>
          <w:fldChar w:fldCharType="separate"/>
        </w:r>
        <w:r w:rsidR="006C5B9E">
          <w:rPr>
            <w:noProof/>
            <w:webHidden/>
          </w:rPr>
          <w:t>40</w:t>
        </w:r>
        <w:r w:rsidR="00587F78" w:rsidRPr="001627D7">
          <w:rPr>
            <w:noProof/>
            <w:webHidden/>
          </w:rPr>
          <w:fldChar w:fldCharType="end"/>
        </w:r>
      </w:hyperlink>
    </w:p>
    <w:p w14:paraId="410DE97F" w14:textId="6E4F7608" w:rsidR="00587F78" w:rsidRPr="00A67F27" w:rsidRDefault="00B37E92">
      <w:pPr>
        <w:pStyle w:val="TM2"/>
        <w:rPr>
          <w:rFonts w:asciiTheme="minorHAnsi" w:eastAsiaTheme="minorEastAsia" w:hAnsiTheme="minorHAnsi" w:cstheme="minorBidi"/>
          <w:noProof/>
          <w:sz w:val="22"/>
          <w:szCs w:val="22"/>
          <w:lang w:eastAsia="zh-CN"/>
        </w:rPr>
      </w:pPr>
      <w:hyperlink w:anchor="_Toc487641742" w:history="1">
        <w:r w:rsidR="00587F78" w:rsidRPr="001627D7">
          <w:rPr>
            <w:rStyle w:val="Lienhypertexte"/>
            <w:noProof/>
          </w:rPr>
          <w:t>3. Situation et Performance Financières</w:t>
        </w:r>
        <w:r w:rsidR="00587F78" w:rsidRPr="001627D7">
          <w:rPr>
            <w:noProof/>
            <w:webHidden/>
          </w:rPr>
          <w:tab/>
        </w:r>
        <w:r w:rsidR="00587F78" w:rsidRPr="001627D7">
          <w:rPr>
            <w:noProof/>
            <w:webHidden/>
          </w:rPr>
          <w:fldChar w:fldCharType="begin"/>
        </w:r>
        <w:r w:rsidR="00587F78" w:rsidRPr="00A67F27">
          <w:rPr>
            <w:noProof/>
            <w:webHidden/>
          </w:rPr>
          <w:instrText xml:space="preserve"> PAGEREF _Toc487641742 \h </w:instrText>
        </w:r>
        <w:r w:rsidR="00587F78" w:rsidRPr="001627D7">
          <w:rPr>
            <w:noProof/>
            <w:webHidden/>
          </w:rPr>
        </w:r>
        <w:r w:rsidR="00587F78" w:rsidRPr="001627D7">
          <w:rPr>
            <w:noProof/>
            <w:webHidden/>
          </w:rPr>
          <w:fldChar w:fldCharType="separate"/>
        </w:r>
        <w:r w:rsidR="006C5B9E">
          <w:rPr>
            <w:noProof/>
            <w:webHidden/>
          </w:rPr>
          <w:t>41</w:t>
        </w:r>
        <w:r w:rsidR="00587F78" w:rsidRPr="001627D7">
          <w:rPr>
            <w:noProof/>
            <w:webHidden/>
          </w:rPr>
          <w:fldChar w:fldCharType="end"/>
        </w:r>
      </w:hyperlink>
    </w:p>
    <w:p w14:paraId="4DC3767E" w14:textId="5905AB18" w:rsidR="00587F78" w:rsidRPr="00A67F27" w:rsidRDefault="00B37E92">
      <w:pPr>
        <w:pStyle w:val="TM2"/>
        <w:rPr>
          <w:rFonts w:asciiTheme="minorHAnsi" w:eastAsiaTheme="minorEastAsia" w:hAnsiTheme="minorHAnsi" w:cstheme="minorBidi"/>
          <w:noProof/>
          <w:sz w:val="22"/>
          <w:szCs w:val="22"/>
          <w:lang w:eastAsia="zh-CN"/>
        </w:rPr>
      </w:pPr>
      <w:hyperlink w:anchor="_Toc487641743" w:history="1">
        <w:r w:rsidR="00587F78" w:rsidRPr="001627D7">
          <w:rPr>
            <w:rStyle w:val="Lienhypertexte"/>
            <w:noProof/>
          </w:rPr>
          <w:t>4. Expérience</w:t>
        </w:r>
        <w:r w:rsidR="00587F78" w:rsidRPr="001627D7">
          <w:rPr>
            <w:noProof/>
            <w:webHidden/>
          </w:rPr>
          <w:tab/>
        </w:r>
        <w:r w:rsidR="00587F78" w:rsidRPr="001627D7">
          <w:rPr>
            <w:noProof/>
            <w:webHidden/>
          </w:rPr>
          <w:fldChar w:fldCharType="begin"/>
        </w:r>
        <w:r w:rsidR="00587F78" w:rsidRPr="00A67F27">
          <w:rPr>
            <w:noProof/>
            <w:webHidden/>
          </w:rPr>
          <w:instrText xml:space="preserve"> PAGEREF _Toc487641743 \h </w:instrText>
        </w:r>
        <w:r w:rsidR="00587F78" w:rsidRPr="001627D7">
          <w:rPr>
            <w:noProof/>
            <w:webHidden/>
          </w:rPr>
        </w:r>
        <w:r w:rsidR="00587F78" w:rsidRPr="001627D7">
          <w:rPr>
            <w:noProof/>
            <w:webHidden/>
          </w:rPr>
          <w:fldChar w:fldCharType="separate"/>
        </w:r>
        <w:r w:rsidR="006C5B9E">
          <w:rPr>
            <w:noProof/>
            <w:webHidden/>
          </w:rPr>
          <w:t>43</w:t>
        </w:r>
        <w:r w:rsidR="00587F78" w:rsidRPr="001627D7">
          <w:rPr>
            <w:noProof/>
            <w:webHidden/>
          </w:rPr>
          <w:fldChar w:fldCharType="end"/>
        </w:r>
      </w:hyperlink>
    </w:p>
    <w:p w14:paraId="5EA592F1" w14:textId="0F4EB7DC" w:rsidR="00587F78" w:rsidRPr="00A67F27" w:rsidRDefault="00B37E92">
      <w:pPr>
        <w:pStyle w:val="TM1"/>
        <w:rPr>
          <w:rFonts w:asciiTheme="minorHAnsi" w:eastAsiaTheme="minorEastAsia" w:hAnsiTheme="minorHAnsi" w:cstheme="minorBidi"/>
          <w:b w:val="0"/>
          <w:noProof/>
          <w:sz w:val="22"/>
          <w:szCs w:val="22"/>
          <w:lang w:eastAsia="zh-CN"/>
        </w:rPr>
      </w:pPr>
      <w:hyperlink w:anchor="_Toc487641744" w:history="1">
        <w:r w:rsidR="00587F78" w:rsidRPr="001627D7">
          <w:rPr>
            <w:rStyle w:val="Lienhypertexte"/>
            <w:noProof/>
          </w:rPr>
          <w:t>4</w:t>
        </w:r>
        <w:r w:rsidR="00587F78" w:rsidRPr="001627D7">
          <w:rPr>
            <w:rFonts w:asciiTheme="minorHAnsi" w:eastAsiaTheme="minorEastAsia" w:hAnsiTheme="minorHAnsi" w:cstheme="minorBidi"/>
            <w:b w:val="0"/>
            <w:noProof/>
            <w:sz w:val="22"/>
            <w:szCs w:val="22"/>
            <w:lang w:eastAsia="zh-CN"/>
          </w:rPr>
          <w:tab/>
        </w:r>
        <w:r w:rsidR="00587F78" w:rsidRPr="00043C85">
          <w:rPr>
            <w:rStyle w:val="Lienhypertexte"/>
            <w:noProof/>
          </w:rPr>
          <w:t>Personnel-Clé</w:t>
        </w:r>
        <w:r w:rsidR="00587F78" w:rsidRPr="00442531">
          <w:rPr>
            <w:noProof/>
            <w:webHidden/>
          </w:rPr>
          <w:tab/>
        </w:r>
        <w:r w:rsidR="00587F78" w:rsidRPr="001627D7">
          <w:rPr>
            <w:noProof/>
            <w:webHidden/>
          </w:rPr>
          <w:fldChar w:fldCharType="begin"/>
        </w:r>
        <w:r w:rsidR="00587F78" w:rsidRPr="00A67F27">
          <w:rPr>
            <w:noProof/>
            <w:webHidden/>
          </w:rPr>
          <w:instrText xml:space="preserve"> PAGEREF _Toc487641744 \h </w:instrText>
        </w:r>
        <w:r w:rsidR="00587F78" w:rsidRPr="001627D7">
          <w:rPr>
            <w:noProof/>
            <w:webHidden/>
          </w:rPr>
        </w:r>
        <w:r w:rsidR="00587F78" w:rsidRPr="001627D7">
          <w:rPr>
            <w:noProof/>
            <w:webHidden/>
          </w:rPr>
          <w:fldChar w:fldCharType="separate"/>
        </w:r>
        <w:r w:rsidR="006C5B9E">
          <w:rPr>
            <w:noProof/>
            <w:webHidden/>
          </w:rPr>
          <w:t>45</w:t>
        </w:r>
        <w:r w:rsidR="00587F78" w:rsidRPr="001627D7">
          <w:rPr>
            <w:noProof/>
            <w:webHidden/>
          </w:rPr>
          <w:fldChar w:fldCharType="end"/>
        </w:r>
      </w:hyperlink>
    </w:p>
    <w:p w14:paraId="11031938" w14:textId="6DE99E1F" w:rsidR="00587F78" w:rsidRPr="00A67F27" w:rsidRDefault="00B37E92">
      <w:pPr>
        <w:pStyle w:val="TM1"/>
        <w:rPr>
          <w:rFonts w:asciiTheme="minorHAnsi" w:eastAsiaTheme="minorEastAsia" w:hAnsiTheme="minorHAnsi" w:cstheme="minorBidi"/>
          <w:b w:val="0"/>
          <w:noProof/>
          <w:sz w:val="22"/>
          <w:szCs w:val="22"/>
          <w:lang w:eastAsia="zh-CN"/>
        </w:rPr>
      </w:pPr>
      <w:hyperlink w:anchor="_Toc487641745" w:history="1">
        <w:r w:rsidR="00587F78" w:rsidRPr="001627D7">
          <w:rPr>
            <w:rStyle w:val="Lienhypertexte"/>
            <w:noProof/>
          </w:rPr>
          <w:t>5</w:t>
        </w:r>
        <w:r w:rsidR="00587F78" w:rsidRPr="001627D7">
          <w:rPr>
            <w:rFonts w:asciiTheme="minorHAnsi" w:eastAsiaTheme="minorEastAsia" w:hAnsiTheme="minorHAnsi" w:cstheme="minorBidi"/>
            <w:b w:val="0"/>
            <w:noProof/>
            <w:sz w:val="22"/>
            <w:szCs w:val="22"/>
            <w:lang w:eastAsia="zh-CN"/>
          </w:rPr>
          <w:tab/>
        </w:r>
        <w:r w:rsidR="00587F78" w:rsidRPr="00043C85">
          <w:rPr>
            <w:rStyle w:val="Lienhypertexte"/>
            <w:noProof/>
          </w:rPr>
          <w:t>Matériel</w:t>
        </w:r>
        <w:r w:rsidR="00587F78" w:rsidRPr="00442531">
          <w:rPr>
            <w:noProof/>
            <w:webHidden/>
          </w:rPr>
          <w:tab/>
        </w:r>
        <w:r w:rsidR="00587F78" w:rsidRPr="001627D7">
          <w:rPr>
            <w:noProof/>
            <w:webHidden/>
          </w:rPr>
          <w:fldChar w:fldCharType="begin"/>
        </w:r>
        <w:r w:rsidR="00587F78" w:rsidRPr="00A67F27">
          <w:rPr>
            <w:noProof/>
            <w:webHidden/>
          </w:rPr>
          <w:instrText xml:space="preserve"> PAGEREF _Toc487641745 \h </w:instrText>
        </w:r>
        <w:r w:rsidR="00587F78" w:rsidRPr="001627D7">
          <w:rPr>
            <w:noProof/>
            <w:webHidden/>
          </w:rPr>
        </w:r>
        <w:r w:rsidR="00587F78" w:rsidRPr="001627D7">
          <w:rPr>
            <w:noProof/>
            <w:webHidden/>
          </w:rPr>
          <w:fldChar w:fldCharType="separate"/>
        </w:r>
        <w:r w:rsidR="006C5B9E">
          <w:rPr>
            <w:noProof/>
            <w:webHidden/>
          </w:rPr>
          <w:t>46</w:t>
        </w:r>
        <w:r w:rsidR="00587F78" w:rsidRPr="001627D7">
          <w:rPr>
            <w:noProof/>
            <w:webHidden/>
          </w:rPr>
          <w:fldChar w:fldCharType="end"/>
        </w:r>
      </w:hyperlink>
    </w:p>
    <w:p w14:paraId="7778F723" w14:textId="6D9AC8E8" w:rsidR="00402284" w:rsidRPr="00A67F27" w:rsidRDefault="00402284" w:rsidP="00402284">
      <w:pPr>
        <w:spacing w:after="0"/>
        <w:ind w:left="0" w:firstLine="0"/>
        <w:jc w:val="left"/>
        <w:rPr>
          <w:szCs w:val="24"/>
          <w:lang w:eastAsia="en-US"/>
        </w:rPr>
      </w:pPr>
      <w:r w:rsidRPr="00A67F27">
        <w:rPr>
          <w:szCs w:val="24"/>
          <w:lang w:eastAsia="en-US"/>
        </w:rPr>
        <w:fldChar w:fldCharType="end"/>
      </w:r>
    </w:p>
    <w:p w14:paraId="3CC43D65" w14:textId="77F5377D" w:rsidR="00402284" w:rsidRPr="00A67F27" w:rsidRDefault="00402284">
      <w:pPr>
        <w:rPr>
          <w:rFonts w:asciiTheme="majorBidi" w:hAnsiTheme="majorBidi" w:cstheme="majorBidi"/>
          <w:b/>
        </w:rPr>
      </w:pPr>
      <w:r w:rsidRPr="00A67F27">
        <w:rPr>
          <w:rFonts w:asciiTheme="majorBidi" w:hAnsiTheme="majorBidi" w:cstheme="majorBidi"/>
          <w:b/>
        </w:rPr>
        <w:br w:type="page"/>
      </w:r>
    </w:p>
    <w:p w14:paraId="79E355EA" w14:textId="41CFEC5F" w:rsidR="00D16E86" w:rsidRPr="00A67F27" w:rsidRDefault="000A450A" w:rsidP="00402284">
      <w:pPr>
        <w:pStyle w:val="S3-Header1"/>
        <w:ind w:left="709" w:hanging="709"/>
        <w:rPr>
          <w:szCs w:val="28"/>
          <w:lang w:val="fr-FR"/>
        </w:rPr>
      </w:pPr>
      <w:bookmarkStart w:id="434" w:name="_Toc487641736"/>
      <w:r w:rsidRPr="001627D7">
        <w:rPr>
          <w:szCs w:val="28"/>
          <w:lang w:val="fr-FR"/>
        </w:rPr>
        <w:lastRenderedPageBreak/>
        <w:t>1.</w:t>
      </w:r>
      <w:r w:rsidR="00D16E86" w:rsidRPr="001627D7">
        <w:rPr>
          <w:szCs w:val="28"/>
          <w:lang w:val="fr-FR"/>
        </w:rPr>
        <w:t xml:space="preserve"> </w:t>
      </w:r>
      <w:r w:rsidR="00402284" w:rsidRPr="00043C85">
        <w:rPr>
          <w:szCs w:val="28"/>
          <w:lang w:val="fr-FR"/>
        </w:rPr>
        <w:tab/>
      </w:r>
      <w:r w:rsidR="00C97825" w:rsidRPr="00442531">
        <w:rPr>
          <w:szCs w:val="28"/>
          <w:lang w:val="fr-FR"/>
        </w:rPr>
        <w:t>Marge de p</w:t>
      </w:r>
      <w:r w:rsidR="00D16E86" w:rsidRPr="00442531">
        <w:rPr>
          <w:szCs w:val="28"/>
          <w:lang w:val="fr-FR"/>
        </w:rPr>
        <w:t>référence</w:t>
      </w:r>
      <w:bookmarkEnd w:id="434"/>
      <w:r w:rsidR="00456120">
        <w:rPr>
          <w:szCs w:val="28"/>
          <w:lang w:val="fr-FR"/>
        </w:rPr>
        <w:t> :</w:t>
      </w:r>
      <w:r w:rsidR="00D16E86" w:rsidRPr="00442531">
        <w:rPr>
          <w:szCs w:val="28"/>
          <w:lang w:val="fr-FR"/>
        </w:rPr>
        <w:t xml:space="preserve"> </w:t>
      </w:r>
      <w:r w:rsidR="00896EE2" w:rsidRPr="00BC7BC9">
        <w:rPr>
          <w:lang w:val="fr-FR"/>
        </w:rPr>
        <w:t>Non applicable</w:t>
      </w:r>
    </w:p>
    <w:p w14:paraId="4D9C4E8A" w14:textId="77777777" w:rsidR="000A450A" w:rsidRPr="00442531" w:rsidRDefault="0056347F" w:rsidP="00531145">
      <w:pPr>
        <w:pStyle w:val="S3-Header1"/>
        <w:ind w:left="709" w:hanging="709"/>
        <w:rPr>
          <w:szCs w:val="28"/>
          <w:lang w:val="fr-FR"/>
        </w:rPr>
      </w:pPr>
      <w:bookmarkStart w:id="435" w:name="_Toc487641737"/>
      <w:r w:rsidRPr="001627D7">
        <w:rPr>
          <w:szCs w:val="28"/>
          <w:lang w:val="fr-FR"/>
        </w:rPr>
        <w:t>2.</w:t>
      </w:r>
      <w:r w:rsidRPr="001627D7">
        <w:rPr>
          <w:szCs w:val="28"/>
          <w:lang w:val="fr-FR"/>
        </w:rPr>
        <w:tab/>
      </w:r>
      <w:r w:rsidR="000A450A" w:rsidRPr="001627D7">
        <w:rPr>
          <w:szCs w:val="28"/>
          <w:lang w:val="fr-FR"/>
        </w:rPr>
        <w:t xml:space="preserve">Évaluation </w:t>
      </w:r>
      <w:r w:rsidR="009709EF" w:rsidRPr="00043C85">
        <w:rPr>
          <w:szCs w:val="28"/>
          <w:lang w:val="fr-FR"/>
        </w:rPr>
        <w:t>(IS 35)</w:t>
      </w:r>
      <w:bookmarkEnd w:id="435"/>
    </w:p>
    <w:p w14:paraId="007DDD01" w14:textId="213C16A9" w:rsidR="000A450A" w:rsidRPr="00013AB1" w:rsidRDefault="000A450A" w:rsidP="00531145">
      <w:pPr>
        <w:spacing w:before="120"/>
        <w:ind w:left="709" w:firstLine="0"/>
        <w:rPr>
          <w:rFonts w:asciiTheme="majorBidi" w:hAnsiTheme="majorBidi" w:cstheme="majorBidi"/>
        </w:rPr>
      </w:pPr>
      <w:r w:rsidRPr="00442531">
        <w:rPr>
          <w:rFonts w:asciiTheme="majorBidi" w:hAnsiTheme="majorBidi" w:cstheme="majorBidi"/>
        </w:rPr>
        <w:t>En sus des critères dont la liste figure à l’article 3</w:t>
      </w:r>
      <w:r w:rsidR="009709EF" w:rsidRPr="00132A9B">
        <w:rPr>
          <w:rFonts w:asciiTheme="majorBidi" w:hAnsiTheme="majorBidi" w:cstheme="majorBidi"/>
        </w:rPr>
        <w:t>5</w:t>
      </w:r>
      <w:r w:rsidRPr="00835449">
        <w:rPr>
          <w:rFonts w:asciiTheme="majorBidi" w:hAnsiTheme="majorBidi" w:cstheme="majorBidi"/>
        </w:rPr>
        <w:t xml:space="preserve">.2 </w:t>
      </w:r>
      <w:r w:rsidR="006B2CB2" w:rsidRPr="00835449">
        <w:rPr>
          <w:rFonts w:asciiTheme="majorBidi" w:hAnsiTheme="majorBidi" w:cstheme="majorBidi"/>
        </w:rPr>
        <w:t>a) -</w:t>
      </w:r>
      <w:r w:rsidRPr="00835449">
        <w:rPr>
          <w:rFonts w:asciiTheme="majorBidi" w:hAnsiTheme="majorBidi" w:cstheme="majorBidi"/>
        </w:rPr>
        <w:t>e) des IS, le</w:t>
      </w:r>
      <w:r w:rsidRPr="00D6752B">
        <w:rPr>
          <w:rFonts w:asciiTheme="majorBidi" w:hAnsiTheme="majorBidi" w:cstheme="majorBidi"/>
        </w:rPr>
        <w:t>s critères ci-après seront utilisés</w:t>
      </w:r>
      <w:r w:rsidR="009B2302" w:rsidRPr="00D6752B">
        <w:rPr>
          <w:rFonts w:asciiTheme="majorBidi" w:hAnsiTheme="majorBidi" w:cstheme="majorBidi"/>
        </w:rPr>
        <w:t> :</w:t>
      </w:r>
    </w:p>
    <w:p w14:paraId="77940CCF" w14:textId="614671C8" w:rsidR="000A450A" w:rsidRPr="00013AB1" w:rsidRDefault="0056347F" w:rsidP="00402284">
      <w:pPr>
        <w:spacing w:before="120"/>
        <w:ind w:left="0" w:firstLine="0"/>
        <w:rPr>
          <w:rFonts w:asciiTheme="majorBidi" w:hAnsiTheme="majorBidi" w:cstheme="majorBidi"/>
        </w:rPr>
      </w:pPr>
      <w:r w:rsidRPr="00013AB1">
        <w:rPr>
          <w:rFonts w:asciiTheme="majorBidi" w:hAnsiTheme="majorBidi" w:cstheme="majorBidi"/>
          <w:b/>
        </w:rPr>
        <w:t>2</w:t>
      </w:r>
      <w:r w:rsidR="000A450A" w:rsidRPr="00013AB1">
        <w:rPr>
          <w:rFonts w:asciiTheme="majorBidi" w:hAnsiTheme="majorBidi" w:cstheme="majorBidi"/>
          <w:b/>
        </w:rPr>
        <w:t>.1</w:t>
      </w:r>
      <w:r w:rsidR="000A450A" w:rsidRPr="00013AB1">
        <w:rPr>
          <w:rFonts w:asciiTheme="majorBidi" w:hAnsiTheme="majorBidi" w:cstheme="majorBidi"/>
          <w:b/>
        </w:rPr>
        <w:tab/>
        <w:t>Acceptabilité de la Proposition Technique</w:t>
      </w:r>
      <w:r w:rsidR="009B2302" w:rsidRPr="00013AB1">
        <w:rPr>
          <w:rFonts w:asciiTheme="majorBidi" w:hAnsiTheme="majorBidi" w:cstheme="majorBidi"/>
        </w:rPr>
        <w:t> :</w:t>
      </w:r>
    </w:p>
    <w:p w14:paraId="05BC49CE" w14:textId="77777777" w:rsidR="000A450A" w:rsidRPr="00BE476D" w:rsidRDefault="00D02222" w:rsidP="00402284">
      <w:pPr>
        <w:spacing w:before="120"/>
        <w:ind w:left="720" w:firstLine="0"/>
        <w:rPr>
          <w:rFonts w:asciiTheme="majorBidi" w:hAnsiTheme="majorBidi" w:cstheme="majorBidi"/>
        </w:rPr>
      </w:pPr>
      <w:r w:rsidRPr="009E285E">
        <w:rPr>
          <w:rFonts w:asciiTheme="majorBidi" w:hAnsiTheme="majorBidi" w:cstheme="majorBidi"/>
        </w:rPr>
        <w:t>L’évaluation de l’Offre technique présentée par le Soumissionnaire comprendra (a) l’évaluation de la capacité technique du Soumissionnaire à mobiliser les équipements et le personnel clés pour l’exécution du Marché, (b) la méthode d’exécution, (c) le calendrier de travail, et (d) les sources d’approvisionnement dans les détails suffisants, et en conformité avec les exigences définies à la Section VII. Spécifications des Tr</w:t>
      </w:r>
      <w:r w:rsidRPr="00BE476D">
        <w:rPr>
          <w:rFonts w:asciiTheme="majorBidi" w:hAnsiTheme="majorBidi" w:cstheme="majorBidi"/>
        </w:rPr>
        <w:t>avaux.</w:t>
      </w:r>
    </w:p>
    <w:p w14:paraId="75EC248E" w14:textId="77777777" w:rsidR="008867D9" w:rsidRPr="00B72915" w:rsidRDefault="0056347F" w:rsidP="008867D9">
      <w:pPr>
        <w:suppressAutoHyphens/>
        <w:spacing w:after="240"/>
        <w:ind w:left="0" w:firstLine="0"/>
        <w:rPr>
          <w:b/>
          <w:sz w:val="28"/>
          <w:szCs w:val="24"/>
        </w:rPr>
      </w:pPr>
      <w:bookmarkStart w:id="436" w:name="_Toc487641738"/>
      <w:r w:rsidRPr="007606F3">
        <w:rPr>
          <w:rFonts w:asciiTheme="majorBidi" w:hAnsiTheme="majorBidi" w:cstheme="majorBidi"/>
          <w:b/>
        </w:rPr>
        <w:t>2</w:t>
      </w:r>
      <w:r w:rsidR="000A450A" w:rsidRPr="007606F3">
        <w:rPr>
          <w:rFonts w:asciiTheme="majorBidi" w:hAnsiTheme="majorBidi" w:cstheme="majorBidi"/>
          <w:b/>
        </w:rPr>
        <w:t>.2</w:t>
      </w:r>
      <w:r w:rsidR="000A450A" w:rsidRPr="007606F3">
        <w:rPr>
          <w:rFonts w:asciiTheme="majorBidi" w:hAnsiTheme="majorBidi" w:cstheme="majorBidi"/>
          <w:b/>
        </w:rPr>
        <w:tab/>
      </w:r>
      <w:bookmarkEnd w:id="436"/>
      <w:r w:rsidR="008867D9" w:rsidRPr="00B72915">
        <w:rPr>
          <w:b/>
          <w:sz w:val="28"/>
          <w:szCs w:val="24"/>
        </w:rPr>
        <w:t xml:space="preserve">Marchés pour lots multiples (IS 35.4) : </w:t>
      </w:r>
    </w:p>
    <w:p w14:paraId="0B47EFAB" w14:textId="4C582946" w:rsidR="008867D9" w:rsidRPr="00920320" w:rsidRDefault="008867D9" w:rsidP="002A45C1">
      <w:pPr>
        <w:pStyle w:val="Paragraphedeliste"/>
        <w:numPr>
          <w:ilvl w:val="0"/>
          <w:numId w:val="77"/>
        </w:numPr>
        <w:spacing w:after="240"/>
        <w:ind w:hanging="540"/>
        <w:jc w:val="left"/>
        <w:rPr>
          <w:b/>
          <w:szCs w:val="24"/>
          <w:lang w:eastAsia="en-US"/>
        </w:rPr>
      </w:pPr>
      <w:r w:rsidRPr="00920320">
        <w:rPr>
          <w:b/>
          <w:szCs w:val="24"/>
          <w:lang w:eastAsia="en-US"/>
        </w:rPr>
        <w:t>Critères d’attribution pour lots multiples [IS 35.4</w:t>
      </w:r>
      <w:r w:rsidR="006B2CB2" w:rsidRPr="00920320">
        <w:rPr>
          <w:b/>
          <w:szCs w:val="24"/>
          <w:lang w:eastAsia="en-US"/>
        </w:rPr>
        <w:t>] :</w:t>
      </w:r>
    </w:p>
    <w:p w14:paraId="61C21ECD" w14:textId="77777777" w:rsidR="008867D9" w:rsidRPr="00677D2F" w:rsidRDefault="008867D9" w:rsidP="007606F3">
      <w:pPr>
        <w:spacing w:after="0"/>
        <w:ind w:left="810" w:firstLine="0"/>
        <w:jc w:val="left"/>
        <w:rPr>
          <w:b/>
          <w:szCs w:val="24"/>
          <w:lang w:eastAsia="en-US"/>
        </w:rPr>
      </w:pPr>
      <w:r w:rsidRPr="00677D2F">
        <w:rPr>
          <w:b/>
          <w:szCs w:val="24"/>
          <w:lang w:eastAsia="en-US"/>
        </w:rPr>
        <w:t>Lots</w:t>
      </w:r>
    </w:p>
    <w:p w14:paraId="6F249AB4" w14:textId="134487EB" w:rsidR="008867D9" w:rsidRDefault="008867D9" w:rsidP="00D327B3">
      <w:pPr>
        <w:spacing w:after="0"/>
        <w:ind w:left="810" w:firstLine="0"/>
        <w:rPr>
          <w:szCs w:val="24"/>
          <w:lang w:eastAsia="en-US"/>
        </w:rPr>
      </w:pPr>
      <w:r w:rsidRPr="006B4D71">
        <w:rPr>
          <w:szCs w:val="24"/>
          <w:lang w:eastAsia="en-US"/>
        </w:rPr>
        <w:t>Les Soumissionnaires ont l’option de remettre une offre pour un ou plusieurs lots. Les offres seront évaluées lot par lot, en tenant compte des r</w:t>
      </w:r>
      <w:r w:rsidRPr="00DB19E8">
        <w:rPr>
          <w:szCs w:val="24"/>
          <w:lang w:eastAsia="en-US"/>
        </w:rPr>
        <w:t xml:space="preserve">abais offerts, le cas échéant, après avoir considéré toutes les combinaisons possibles de lots. Le marché sera attribué au Soumissionnaire ou Soumissionnaires qui aura/ont offert le prix évalué le </w:t>
      </w:r>
      <w:r w:rsidR="002D4095" w:rsidRPr="00370CE5">
        <w:rPr>
          <w:szCs w:val="24"/>
          <w:lang w:eastAsia="en-US"/>
        </w:rPr>
        <w:t>moins</w:t>
      </w:r>
      <w:r w:rsidRPr="00146814">
        <w:rPr>
          <w:szCs w:val="24"/>
          <w:lang w:eastAsia="en-US"/>
        </w:rPr>
        <w:t>-disant</w:t>
      </w:r>
      <w:r w:rsidR="00D327B3">
        <w:rPr>
          <w:szCs w:val="24"/>
          <w:lang w:eastAsia="en-US"/>
        </w:rPr>
        <w:t>,</w:t>
      </w:r>
      <w:r w:rsidRPr="00146814">
        <w:rPr>
          <w:szCs w:val="24"/>
          <w:lang w:eastAsia="en-US"/>
        </w:rPr>
        <w:t xml:space="preserve"> sous </w:t>
      </w:r>
      <w:r w:rsidR="002631BC" w:rsidRPr="008332ED">
        <w:rPr>
          <w:szCs w:val="24"/>
          <w:lang w:eastAsia="en-US"/>
        </w:rPr>
        <w:t>réserve</w:t>
      </w:r>
      <w:r w:rsidRPr="00E527DE">
        <w:rPr>
          <w:szCs w:val="24"/>
          <w:lang w:eastAsia="en-US"/>
        </w:rPr>
        <w:t xml:space="preserve"> que le/s Soumissionnaire/s retenu/s remplisse/nt les critères de qualification pour un lot. </w:t>
      </w:r>
    </w:p>
    <w:p w14:paraId="6A012B43" w14:textId="105F1168" w:rsidR="007606F3" w:rsidRPr="00E76926" w:rsidRDefault="007606F3" w:rsidP="007606F3">
      <w:pPr>
        <w:ind w:left="709" w:firstLine="1"/>
        <w:rPr>
          <w:rFonts w:ascii="Arial Narrow" w:hAnsi="Arial Narrow" w:cs="Arial"/>
          <w:b/>
          <w:color w:val="FF0000"/>
          <w:szCs w:val="24"/>
        </w:rPr>
      </w:pPr>
    </w:p>
    <w:p w14:paraId="5047C1AF" w14:textId="4F9EA788" w:rsidR="008867D9" w:rsidRPr="0041597A" w:rsidRDefault="00D327B3" w:rsidP="008867D9">
      <w:pPr>
        <w:tabs>
          <w:tab w:val="left" w:pos="1065"/>
        </w:tabs>
        <w:suppressAutoHyphens/>
        <w:spacing w:after="120"/>
        <w:ind w:left="720"/>
        <w:rPr>
          <w:szCs w:val="24"/>
        </w:rPr>
      </w:pPr>
      <w:r w:rsidRPr="004F4443">
        <w:rPr>
          <w:b/>
          <w:szCs w:val="24"/>
        </w:rPr>
        <w:t xml:space="preserve"> </w:t>
      </w:r>
      <w:r w:rsidR="008867D9" w:rsidRPr="004F4443">
        <w:rPr>
          <w:b/>
          <w:szCs w:val="24"/>
        </w:rPr>
        <w:t xml:space="preserve">(b) </w:t>
      </w:r>
      <w:r w:rsidR="008867D9" w:rsidRPr="004F4443">
        <w:rPr>
          <w:b/>
          <w:szCs w:val="24"/>
        </w:rPr>
        <w:tab/>
        <w:t>Critères de qualification pour lots multiples :</w:t>
      </w:r>
    </w:p>
    <w:p w14:paraId="6BDE2B9E" w14:textId="77777777" w:rsidR="008867D9" w:rsidRPr="005962E1" w:rsidRDefault="008867D9" w:rsidP="007606F3">
      <w:pPr>
        <w:suppressAutoHyphens/>
        <w:spacing w:after="0"/>
        <w:ind w:left="720" w:firstLine="0"/>
        <w:rPr>
          <w:b/>
          <w:szCs w:val="24"/>
        </w:rPr>
      </w:pPr>
      <w:r w:rsidRPr="00824B54">
        <w:rPr>
          <w:szCs w:val="24"/>
        </w:rPr>
        <w:t xml:space="preserve">La présente Section décrit les critères de qualification pour chaque lot </w:t>
      </w:r>
      <w:r w:rsidRPr="0006139F">
        <w:rPr>
          <w:szCs w:val="24"/>
        </w:rPr>
        <w:t>et pour les lots multiples. Les critères de qualification à considérer au titre de 3.1, 3.2, 4.2(a) et 4.2(b) ci-après pour plus d’un lot (ou groupe de lots) sont les minima agrégés requis pour l’ensemble des lots (groupes de lots) pour lesquels le Soumissionnaire a remis offre. Cependant, en ce qui concerne l’expérience spécifique requise au point 4.2 (a) ci-après, le Maître de l’Ouvrage sélectionnera l’une ou plusieurs des options identifiées ci-après :</w:t>
      </w:r>
    </w:p>
    <w:p w14:paraId="4670C5A5" w14:textId="56F40920" w:rsidR="000A450A" w:rsidRPr="00A67F27" w:rsidRDefault="000A450A" w:rsidP="007606F3">
      <w:pPr>
        <w:spacing w:after="0"/>
        <w:ind w:left="1276"/>
        <w:rPr>
          <w:rFonts w:asciiTheme="majorBidi" w:hAnsiTheme="majorBidi" w:cstheme="majorBidi"/>
        </w:rPr>
      </w:pPr>
      <w:r w:rsidRPr="00076CE0">
        <w:rPr>
          <w:rFonts w:asciiTheme="majorBidi" w:hAnsiTheme="majorBidi" w:cstheme="majorBidi"/>
        </w:rPr>
        <w:t>Considérant que</w:t>
      </w:r>
      <w:r w:rsidR="009B2302" w:rsidRPr="00A67F27">
        <w:rPr>
          <w:rFonts w:asciiTheme="majorBidi" w:hAnsiTheme="majorBidi" w:cstheme="majorBidi"/>
        </w:rPr>
        <w:t> :</w:t>
      </w:r>
    </w:p>
    <w:p w14:paraId="6F5B1498" w14:textId="77777777" w:rsidR="000A450A" w:rsidRPr="00A67F27" w:rsidRDefault="000A450A" w:rsidP="007606F3">
      <w:pPr>
        <w:spacing w:after="0"/>
        <w:ind w:left="1276"/>
        <w:rPr>
          <w:rFonts w:asciiTheme="majorBidi" w:hAnsiTheme="majorBidi" w:cstheme="majorBidi"/>
        </w:rPr>
      </w:pPr>
      <w:r w:rsidRPr="00A67F27">
        <w:rPr>
          <w:rFonts w:asciiTheme="majorBidi" w:hAnsiTheme="majorBidi" w:cstheme="majorBidi"/>
        </w:rPr>
        <w:t>N est le nombre minimum requis de marchés</w:t>
      </w:r>
    </w:p>
    <w:p w14:paraId="1431FA44" w14:textId="77777777" w:rsidR="000A450A" w:rsidRPr="009A0EA1" w:rsidRDefault="000A450A" w:rsidP="007606F3">
      <w:pPr>
        <w:spacing w:after="0"/>
        <w:ind w:left="1276"/>
      </w:pPr>
      <w:r w:rsidRPr="009A0EA1">
        <w:t>V est la valeur minim</w:t>
      </w:r>
      <w:r w:rsidR="00D02222" w:rsidRPr="009A0EA1">
        <w:t>ale</w:t>
      </w:r>
      <w:r w:rsidRPr="009A0EA1">
        <w:t xml:space="preserve"> requise d’un marché, </w:t>
      </w:r>
    </w:p>
    <w:p w14:paraId="1E2FB8AA" w14:textId="62C94486" w:rsidR="00A02E15" w:rsidRPr="009A0EA1" w:rsidRDefault="00A02E15" w:rsidP="007606F3">
      <w:pPr>
        <w:spacing w:after="0"/>
        <w:ind w:left="709" w:firstLine="1"/>
        <w:rPr>
          <w:b/>
          <w:color w:val="FF0000"/>
          <w:szCs w:val="24"/>
        </w:rPr>
      </w:pPr>
      <w:r w:rsidRPr="009A0EA1">
        <w:rPr>
          <w:b/>
          <w:color w:val="FF0000"/>
          <w:szCs w:val="24"/>
        </w:rPr>
        <w:t xml:space="preserve"> </w:t>
      </w:r>
    </w:p>
    <w:p w14:paraId="33FDDB8B" w14:textId="77777777" w:rsidR="002A4D15" w:rsidRPr="009A0EA1" w:rsidRDefault="002A4D15" w:rsidP="002A4D15">
      <w:pPr>
        <w:spacing w:after="0"/>
        <w:ind w:left="720"/>
        <w:rPr>
          <w:b/>
          <w:szCs w:val="24"/>
        </w:rPr>
      </w:pPr>
      <w:r w:rsidRPr="009A0EA1">
        <w:rPr>
          <w:b/>
          <w:szCs w:val="24"/>
        </w:rPr>
        <w:t>a) Qualification pour un marché :</w:t>
      </w:r>
    </w:p>
    <w:p w14:paraId="17DC4169" w14:textId="77777777" w:rsidR="002A4D15" w:rsidRPr="009A0EA1" w:rsidRDefault="002A4D15" w:rsidP="002A4D15">
      <w:pPr>
        <w:spacing w:after="0"/>
        <w:ind w:left="720"/>
        <w:rPr>
          <w:b/>
          <w:szCs w:val="24"/>
        </w:rPr>
      </w:pPr>
      <w:r w:rsidRPr="009A0EA1">
        <w:rPr>
          <w:b/>
          <w:szCs w:val="24"/>
        </w:rPr>
        <w:t>Option 1 :</w:t>
      </w:r>
    </w:p>
    <w:p w14:paraId="77C60859" w14:textId="77777777" w:rsidR="002A4D15" w:rsidRPr="009A0EA1" w:rsidRDefault="002A4D15" w:rsidP="00C97021">
      <w:pPr>
        <w:spacing w:after="0"/>
        <w:ind w:left="1418" w:hanging="151"/>
        <w:rPr>
          <w:szCs w:val="24"/>
        </w:rPr>
      </w:pPr>
      <w:r w:rsidRPr="009A0EA1">
        <w:rPr>
          <w:szCs w:val="24"/>
        </w:rPr>
        <w:t xml:space="preserve">i) </w:t>
      </w:r>
      <w:r w:rsidRPr="009A0EA1">
        <w:rPr>
          <w:szCs w:val="24"/>
        </w:rPr>
        <w:tab/>
        <w:t>avoir réalisé au moins N marchés de montant V chacun :</w:t>
      </w:r>
    </w:p>
    <w:p w14:paraId="033B28CF" w14:textId="0F8ADDEC" w:rsidR="002A4D15" w:rsidRPr="009A0EA1" w:rsidRDefault="002A4D15" w:rsidP="00C97021">
      <w:pPr>
        <w:spacing w:after="0"/>
        <w:rPr>
          <w:szCs w:val="24"/>
        </w:rPr>
      </w:pPr>
    </w:p>
    <w:p w14:paraId="2ECEF7F3" w14:textId="77777777" w:rsidR="00C97021" w:rsidRPr="009A0EA1" w:rsidRDefault="00C97021" w:rsidP="002A4D15">
      <w:pPr>
        <w:spacing w:after="0"/>
        <w:ind w:left="1814" w:hanging="547"/>
        <w:rPr>
          <w:szCs w:val="24"/>
        </w:rPr>
      </w:pPr>
    </w:p>
    <w:p w14:paraId="7F271DB1" w14:textId="77777777" w:rsidR="007606F3" w:rsidRPr="009A0EA1" w:rsidRDefault="007606F3" w:rsidP="007606F3">
      <w:pPr>
        <w:spacing w:after="0"/>
        <w:ind w:left="720"/>
        <w:rPr>
          <w:b/>
          <w:szCs w:val="24"/>
        </w:rPr>
      </w:pPr>
      <w:r w:rsidRPr="009A0EA1">
        <w:rPr>
          <w:b/>
          <w:szCs w:val="24"/>
        </w:rPr>
        <w:t>b) Qualification pour lots multiples :</w:t>
      </w:r>
    </w:p>
    <w:p w14:paraId="1AAB1D98" w14:textId="3D1C1D8B" w:rsidR="007606F3" w:rsidRPr="009A0EA1" w:rsidRDefault="002A1EDE" w:rsidP="007606F3">
      <w:pPr>
        <w:spacing w:after="0"/>
        <w:ind w:left="720"/>
        <w:rPr>
          <w:szCs w:val="24"/>
        </w:rPr>
      </w:pPr>
      <w:r w:rsidRPr="009A0EA1">
        <w:rPr>
          <w:szCs w:val="24"/>
        </w:rPr>
        <w:t>Sans objet</w:t>
      </w:r>
    </w:p>
    <w:p w14:paraId="247FF13F" w14:textId="19304E30" w:rsidR="00AB36B5" w:rsidRPr="007D0A39" w:rsidRDefault="00C561B9" w:rsidP="00AB36B5">
      <w:pPr>
        <w:keepNext/>
        <w:spacing w:before="120"/>
        <w:ind w:left="720" w:hanging="720"/>
        <w:rPr>
          <w:rFonts w:asciiTheme="majorBidi" w:hAnsiTheme="majorBidi" w:cstheme="majorBidi"/>
          <w:b/>
        </w:rPr>
      </w:pPr>
      <w:r w:rsidRPr="007D0A39">
        <w:rPr>
          <w:rFonts w:asciiTheme="majorBidi" w:hAnsiTheme="majorBidi" w:cstheme="majorBidi"/>
          <w:b/>
        </w:rPr>
        <w:lastRenderedPageBreak/>
        <w:t>2</w:t>
      </w:r>
      <w:r w:rsidR="000A450A" w:rsidRPr="007D0A39">
        <w:rPr>
          <w:rFonts w:asciiTheme="majorBidi" w:hAnsiTheme="majorBidi" w:cstheme="majorBidi"/>
          <w:b/>
        </w:rPr>
        <w:t>.3</w:t>
      </w:r>
      <w:r w:rsidR="000A450A" w:rsidRPr="007D0A39">
        <w:rPr>
          <w:rFonts w:asciiTheme="majorBidi" w:hAnsiTheme="majorBidi" w:cstheme="majorBidi"/>
          <w:b/>
        </w:rPr>
        <w:tab/>
        <w:t xml:space="preserve">Variantes </w:t>
      </w:r>
      <w:r w:rsidR="00CA4CED" w:rsidRPr="007D0A39">
        <w:rPr>
          <w:rFonts w:asciiTheme="majorBidi" w:hAnsiTheme="majorBidi" w:cstheme="majorBidi"/>
          <w:b/>
        </w:rPr>
        <w:t>au</w:t>
      </w:r>
      <w:r w:rsidR="000A450A" w:rsidRPr="007D0A39">
        <w:rPr>
          <w:rFonts w:asciiTheme="majorBidi" w:hAnsiTheme="majorBidi" w:cstheme="majorBidi"/>
          <w:b/>
        </w:rPr>
        <w:t xml:space="preserve"> délai d’exécution</w:t>
      </w:r>
      <w:r w:rsidR="009B2302" w:rsidRPr="007D0A39">
        <w:rPr>
          <w:rFonts w:asciiTheme="majorBidi" w:hAnsiTheme="majorBidi" w:cstheme="majorBidi"/>
          <w:b/>
        </w:rPr>
        <w:t> :</w:t>
      </w:r>
      <w:r w:rsidR="000A450A" w:rsidRPr="007D0A39">
        <w:rPr>
          <w:rFonts w:asciiTheme="majorBidi" w:hAnsiTheme="majorBidi" w:cstheme="majorBidi"/>
          <w:b/>
        </w:rPr>
        <w:t xml:space="preserve"> </w:t>
      </w:r>
      <w:r w:rsidR="002D4095" w:rsidRPr="007D0A39">
        <w:rPr>
          <w:b/>
          <w:szCs w:val="24"/>
        </w:rPr>
        <w:t>Non Applicable</w:t>
      </w:r>
    </w:p>
    <w:p w14:paraId="1C523E59" w14:textId="075AA4F8" w:rsidR="00E00164" w:rsidRPr="00A8114B" w:rsidRDefault="009709EF" w:rsidP="00402284">
      <w:pPr>
        <w:keepNext/>
        <w:keepLines/>
        <w:spacing w:before="120"/>
        <w:ind w:left="720" w:hanging="720"/>
        <w:rPr>
          <w:rFonts w:asciiTheme="majorBidi" w:hAnsiTheme="majorBidi" w:cstheme="majorBidi"/>
          <w:b/>
        </w:rPr>
      </w:pPr>
      <w:r w:rsidRPr="00BE476D">
        <w:rPr>
          <w:rFonts w:asciiTheme="majorBidi" w:hAnsiTheme="majorBidi" w:cstheme="majorBidi"/>
          <w:b/>
        </w:rPr>
        <w:t>2.4</w:t>
      </w:r>
      <w:r w:rsidRPr="00BE476D">
        <w:rPr>
          <w:rFonts w:asciiTheme="majorBidi" w:hAnsiTheme="majorBidi" w:cstheme="majorBidi"/>
          <w:b/>
        </w:rPr>
        <w:tab/>
      </w:r>
      <w:r w:rsidR="000A450A" w:rsidRPr="00BE476D">
        <w:rPr>
          <w:rFonts w:asciiTheme="majorBidi" w:hAnsiTheme="majorBidi" w:cstheme="majorBidi"/>
          <w:b/>
        </w:rPr>
        <w:t>Variantes techniques </w:t>
      </w:r>
      <w:r w:rsidRPr="00BE476D">
        <w:rPr>
          <w:rFonts w:asciiTheme="majorBidi" w:hAnsiTheme="majorBidi" w:cstheme="majorBidi"/>
          <w:b/>
        </w:rPr>
        <w:t>(pour des élé</w:t>
      </w:r>
      <w:r w:rsidRPr="00A8114B">
        <w:rPr>
          <w:rFonts w:asciiTheme="majorBidi" w:hAnsiTheme="majorBidi" w:cstheme="majorBidi"/>
          <w:b/>
        </w:rPr>
        <w:t>ments prédéfinis des travaux)</w:t>
      </w:r>
      <w:r w:rsidR="009B2302" w:rsidRPr="00A8114B">
        <w:rPr>
          <w:rFonts w:asciiTheme="majorBidi" w:hAnsiTheme="majorBidi" w:cstheme="majorBidi"/>
          <w:b/>
        </w:rPr>
        <w:t> :</w:t>
      </w:r>
      <w:r w:rsidR="000A450A" w:rsidRPr="00A8114B">
        <w:rPr>
          <w:rFonts w:asciiTheme="majorBidi" w:hAnsiTheme="majorBidi" w:cstheme="majorBidi"/>
          <w:b/>
        </w:rPr>
        <w:t xml:space="preserve"> </w:t>
      </w:r>
      <w:r w:rsidR="002D4095" w:rsidRPr="00A8114B">
        <w:rPr>
          <w:b/>
          <w:szCs w:val="24"/>
        </w:rPr>
        <w:t>Non Applicable</w:t>
      </w:r>
    </w:p>
    <w:p w14:paraId="1F53210E" w14:textId="5430A656" w:rsidR="00C561B9" w:rsidRPr="00DC740E" w:rsidRDefault="009709EF" w:rsidP="00E00164">
      <w:pPr>
        <w:spacing w:before="120"/>
        <w:ind w:left="720" w:hanging="720"/>
        <w:rPr>
          <w:rFonts w:asciiTheme="majorBidi" w:hAnsiTheme="majorBidi" w:cstheme="majorBidi"/>
          <w:iCs/>
          <w:szCs w:val="24"/>
          <w:highlight w:val="yellow"/>
        </w:rPr>
      </w:pPr>
      <w:r w:rsidRPr="00B72915">
        <w:rPr>
          <w:rFonts w:asciiTheme="majorBidi" w:hAnsiTheme="majorBidi" w:cstheme="majorBidi"/>
          <w:b/>
        </w:rPr>
        <w:t>2.</w:t>
      </w:r>
      <w:r w:rsidR="00FF0C52" w:rsidRPr="00B72915">
        <w:rPr>
          <w:rFonts w:asciiTheme="majorBidi" w:hAnsiTheme="majorBidi" w:cstheme="majorBidi"/>
          <w:b/>
        </w:rPr>
        <w:t>5</w:t>
      </w:r>
      <w:r w:rsidRPr="00920320">
        <w:rPr>
          <w:rFonts w:asciiTheme="majorBidi" w:hAnsiTheme="majorBidi" w:cstheme="majorBidi"/>
          <w:b/>
        </w:rPr>
        <w:tab/>
      </w:r>
      <w:r w:rsidR="00C561B9" w:rsidRPr="00677D2F">
        <w:rPr>
          <w:rFonts w:asciiTheme="majorBidi" w:hAnsiTheme="majorBidi" w:cstheme="majorBidi"/>
          <w:b/>
          <w:iCs/>
          <w:szCs w:val="24"/>
        </w:rPr>
        <w:t>Sous-traitants spécialisés</w:t>
      </w:r>
    </w:p>
    <w:p w14:paraId="3B4F29C0" w14:textId="6277B704" w:rsidR="00C561B9" w:rsidRPr="00442531" w:rsidRDefault="00C561B9" w:rsidP="00436A25">
      <w:pPr>
        <w:spacing w:after="0"/>
        <w:ind w:left="709" w:firstLine="0"/>
        <w:rPr>
          <w:rFonts w:asciiTheme="majorBidi" w:hAnsiTheme="majorBidi" w:cstheme="majorBidi"/>
          <w:iCs/>
          <w:szCs w:val="24"/>
        </w:rPr>
      </w:pPr>
      <w:r w:rsidRPr="00A67F27">
        <w:rPr>
          <w:rFonts w:asciiTheme="majorBidi" w:hAnsiTheme="majorBidi" w:cstheme="majorBidi"/>
          <w:iCs/>
          <w:szCs w:val="24"/>
        </w:rPr>
        <w:t>Seule l’expérience spécifique de sous-traitants spécialisés autorisés par le Maître de l’Ouvrage sera pris</w:t>
      </w:r>
      <w:r w:rsidR="009709EF" w:rsidRPr="00A67F27">
        <w:rPr>
          <w:rFonts w:asciiTheme="majorBidi" w:hAnsiTheme="majorBidi" w:cstheme="majorBidi"/>
          <w:iCs/>
          <w:szCs w:val="24"/>
        </w:rPr>
        <w:t>e</w:t>
      </w:r>
      <w:r w:rsidRPr="001627D7">
        <w:rPr>
          <w:rFonts w:asciiTheme="majorBidi" w:hAnsiTheme="majorBidi" w:cstheme="majorBidi"/>
          <w:iCs/>
          <w:szCs w:val="24"/>
        </w:rPr>
        <w:t xml:space="preserve"> en compte. L’expérience générale et les ressources financières des sous-traitants spécialisés ne seront pas </w:t>
      </w:r>
      <w:r w:rsidR="009709EF" w:rsidRPr="00043C85">
        <w:rPr>
          <w:rFonts w:asciiTheme="majorBidi" w:hAnsiTheme="majorBidi" w:cstheme="majorBidi"/>
          <w:iCs/>
          <w:szCs w:val="24"/>
        </w:rPr>
        <w:t xml:space="preserve">ajoutées </w:t>
      </w:r>
      <w:r w:rsidRPr="00442531">
        <w:rPr>
          <w:rFonts w:asciiTheme="majorBidi" w:hAnsiTheme="majorBidi" w:cstheme="majorBidi"/>
          <w:iCs/>
          <w:szCs w:val="24"/>
        </w:rPr>
        <w:t>à celles du Soumissionnaire pour justifier sa qualification.</w:t>
      </w:r>
    </w:p>
    <w:p w14:paraId="3CB92F86" w14:textId="293FE769" w:rsidR="00C561B9" w:rsidRPr="00013AB1" w:rsidRDefault="00C561B9" w:rsidP="00436A25">
      <w:pPr>
        <w:spacing w:after="0"/>
        <w:ind w:left="709" w:firstLine="0"/>
        <w:rPr>
          <w:rFonts w:asciiTheme="majorBidi" w:hAnsiTheme="majorBidi" w:cstheme="majorBidi"/>
          <w:i/>
        </w:rPr>
      </w:pPr>
      <w:r w:rsidRPr="00442531">
        <w:rPr>
          <w:rFonts w:asciiTheme="majorBidi" w:hAnsiTheme="majorBidi" w:cstheme="majorBidi"/>
          <w:iCs/>
          <w:szCs w:val="24"/>
        </w:rPr>
        <w:t xml:space="preserve">Les sous-traitants spécialisés doivent être qualifiés pour les travaux pour lesquels ils sont proposés </w:t>
      </w:r>
      <w:r w:rsidRPr="00132A9B">
        <w:rPr>
          <w:rFonts w:asciiTheme="majorBidi" w:hAnsiTheme="majorBidi" w:cstheme="majorBidi"/>
        </w:rPr>
        <w:t>et répondre aux critères suivants</w:t>
      </w:r>
      <w:r w:rsidR="009B2302" w:rsidRPr="00835449">
        <w:rPr>
          <w:rFonts w:asciiTheme="majorBidi" w:hAnsiTheme="majorBidi" w:cstheme="majorBidi"/>
        </w:rPr>
        <w:t> :</w:t>
      </w:r>
      <w:r w:rsidRPr="00D6752B">
        <w:rPr>
          <w:rFonts w:asciiTheme="majorBidi" w:hAnsiTheme="majorBidi" w:cstheme="majorBidi"/>
        </w:rPr>
        <w:t xml:space="preserve"> </w:t>
      </w:r>
    </w:p>
    <w:p w14:paraId="53464B11" w14:textId="54A6DCEF" w:rsidR="00D97DD4" w:rsidRPr="007D0A39" w:rsidRDefault="00D97DD4" w:rsidP="002A45C1">
      <w:pPr>
        <w:pStyle w:val="Paragraphedeliste"/>
        <w:numPr>
          <w:ilvl w:val="0"/>
          <w:numId w:val="102"/>
        </w:numPr>
        <w:tabs>
          <w:tab w:val="right" w:pos="7254"/>
        </w:tabs>
        <w:spacing w:after="0"/>
        <w:rPr>
          <w:rFonts w:asciiTheme="majorBidi" w:hAnsiTheme="majorBidi" w:cstheme="majorBidi"/>
          <w:szCs w:val="24"/>
        </w:rPr>
      </w:pPr>
      <w:r w:rsidRPr="007D0A39">
        <w:rPr>
          <w:rFonts w:asciiTheme="majorBidi" w:hAnsiTheme="majorBidi" w:cstheme="majorBidi"/>
          <w:szCs w:val="24"/>
        </w:rPr>
        <w:t xml:space="preserve">Les documents d’existence légale (inscription au Registre du Commerce </w:t>
      </w:r>
      <w:r w:rsidR="003B5542">
        <w:rPr>
          <w:rFonts w:asciiTheme="majorBidi" w:hAnsiTheme="majorBidi" w:cstheme="majorBidi"/>
          <w:szCs w:val="24"/>
        </w:rPr>
        <w:t xml:space="preserve">et </w:t>
      </w:r>
      <w:r w:rsidRPr="007D0A39">
        <w:rPr>
          <w:rFonts w:asciiTheme="majorBidi" w:hAnsiTheme="majorBidi" w:cstheme="majorBidi"/>
          <w:szCs w:val="24"/>
        </w:rPr>
        <w:t>Statuts pour les sociétés)</w:t>
      </w:r>
    </w:p>
    <w:p w14:paraId="4ABAA0E5" w14:textId="0193A6E9" w:rsidR="00D97DD4" w:rsidRPr="007D0A39" w:rsidRDefault="003A300F" w:rsidP="002A45C1">
      <w:pPr>
        <w:pStyle w:val="Paragraphedeliste"/>
        <w:numPr>
          <w:ilvl w:val="0"/>
          <w:numId w:val="102"/>
        </w:numPr>
        <w:tabs>
          <w:tab w:val="right" w:pos="7254"/>
        </w:tabs>
        <w:spacing w:after="0"/>
        <w:rPr>
          <w:rFonts w:asciiTheme="majorBidi" w:hAnsiTheme="majorBidi" w:cstheme="majorBidi"/>
          <w:szCs w:val="24"/>
        </w:rPr>
      </w:pPr>
      <w:r w:rsidRPr="007D0A39">
        <w:rPr>
          <w:rFonts w:asciiTheme="majorBidi" w:hAnsiTheme="majorBidi" w:cstheme="majorBidi"/>
          <w:szCs w:val="24"/>
        </w:rPr>
        <w:t>L’Agrément</w:t>
      </w:r>
      <w:r w:rsidR="00D97DD4" w:rsidRPr="007D0A39">
        <w:rPr>
          <w:rFonts w:asciiTheme="majorBidi" w:hAnsiTheme="majorBidi" w:cstheme="majorBidi"/>
          <w:szCs w:val="24"/>
        </w:rPr>
        <w:t xml:space="preserve"> </w:t>
      </w:r>
      <w:r w:rsidR="003A7A79">
        <w:rPr>
          <w:rFonts w:asciiTheme="majorBidi" w:hAnsiTheme="majorBidi" w:cstheme="majorBidi"/>
          <w:szCs w:val="24"/>
        </w:rPr>
        <w:t>ou la carte professionnelle</w:t>
      </w:r>
    </w:p>
    <w:p w14:paraId="74BB433C" w14:textId="78E528F9" w:rsidR="00D97DD4" w:rsidRPr="007D0A39" w:rsidRDefault="00D97DD4" w:rsidP="002A45C1">
      <w:pPr>
        <w:pStyle w:val="Paragraphedeliste"/>
        <w:numPr>
          <w:ilvl w:val="0"/>
          <w:numId w:val="102"/>
        </w:numPr>
        <w:tabs>
          <w:tab w:val="right" w:pos="7254"/>
        </w:tabs>
        <w:spacing w:after="0"/>
        <w:rPr>
          <w:rFonts w:asciiTheme="majorBidi" w:hAnsiTheme="majorBidi" w:cstheme="majorBidi"/>
          <w:szCs w:val="24"/>
        </w:rPr>
      </w:pPr>
      <w:r w:rsidRPr="007D0A39">
        <w:rPr>
          <w:rFonts w:asciiTheme="majorBidi" w:hAnsiTheme="majorBidi" w:cstheme="majorBidi"/>
          <w:szCs w:val="24"/>
        </w:rPr>
        <w:t xml:space="preserve">Un </w:t>
      </w:r>
      <w:r w:rsidR="003B5542">
        <w:rPr>
          <w:rFonts w:asciiTheme="majorBidi" w:hAnsiTheme="majorBidi" w:cstheme="majorBidi"/>
          <w:szCs w:val="24"/>
        </w:rPr>
        <w:t>certificat</w:t>
      </w:r>
      <w:r w:rsidR="003B5542" w:rsidRPr="007D0A39">
        <w:rPr>
          <w:rFonts w:asciiTheme="majorBidi" w:hAnsiTheme="majorBidi" w:cstheme="majorBidi"/>
          <w:szCs w:val="24"/>
        </w:rPr>
        <w:t xml:space="preserve"> </w:t>
      </w:r>
      <w:r w:rsidRPr="007D0A39">
        <w:rPr>
          <w:rFonts w:asciiTheme="majorBidi" w:hAnsiTheme="majorBidi" w:cstheme="majorBidi"/>
          <w:szCs w:val="24"/>
        </w:rPr>
        <w:t>de non faillite, datant de moins de trois (3) mois ;</w:t>
      </w:r>
    </w:p>
    <w:p w14:paraId="4A34CED3" w14:textId="129AE249" w:rsidR="009A7A7A" w:rsidRPr="009A7A7A" w:rsidRDefault="007606F3" w:rsidP="002A45C1">
      <w:pPr>
        <w:pStyle w:val="Paragraphedeliste"/>
        <w:numPr>
          <w:ilvl w:val="0"/>
          <w:numId w:val="102"/>
        </w:numPr>
        <w:tabs>
          <w:tab w:val="right" w:pos="7254"/>
        </w:tabs>
        <w:spacing w:after="0"/>
        <w:rPr>
          <w:rFonts w:asciiTheme="majorBidi" w:hAnsiTheme="majorBidi" w:cstheme="majorBidi"/>
          <w:szCs w:val="24"/>
        </w:rPr>
      </w:pPr>
      <w:r>
        <w:rPr>
          <w:rFonts w:asciiTheme="majorBidi" w:hAnsiTheme="majorBidi" w:cstheme="majorBidi"/>
          <w:szCs w:val="24"/>
        </w:rPr>
        <w:t>Un quitus fiscal </w:t>
      </w:r>
      <w:r w:rsidR="009A7A7A">
        <w:rPr>
          <w:rFonts w:asciiTheme="majorBidi" w:hAnsiTheme="majorBidi" w:cstheme="majorBidi"/>
          <w:szCs w:val="24"/>
        </w:rPr>
        <w:t>datant de moins de trois (03) mois ;</w:t>
      </w:r>
    </w:p>
    <w:p w14:paraId="236BEB39" w14:textId="79719BD5" w:rsidR="00D97DD4" w:rsidRPr="002A1EDE" w:rsidRDefault="00D97DD4" w:rsidP="002A45C1">
      <w:pPr>
        <w:pStyle w:val="Paragraphedeliste"/>
        <w:numPr>
          <w:ilvl w:val="0"/>
          <w:numId w:val="102"/>
        </w:numPr>
        <w:tabs>
          <w:tab w:val="right" w:pos="7254"/>
        </w:tabs>
        <w:spacing w:after="0"/>
        <w:rPr>
          <w:rFonts w:asciiTheme="majorBidi" w:hAnsiTheme="majorBidi" w:cstheme="majorBidi"/>
          <w:szCs w:val="24"/>
        </w:rPr>
      </w:pPr>
      <w:r w:rsidRPr="007D0A39">
        <w:rPr>
          <w:rFonts w:asciiTheme="majorBidi" w:hAnsiTheme="majorBidi" w:cstheme="majorBidi"/>
          <w:spacing w:val="-2"/>
          <w:szCs w:val="24"/>
        </w:rPr>
        <w:t>Ne pas être sous le coup d’une sanction relative à la mise en œuvre d’une Déclaration de garantie d’offre en application de l’article 4.6 des IS.</w:t>
      </w:r>
    </w:p>
    <w:p w14:paraId="16743C75" w14:textId="77777777" w:rsidR="002A1EDE" w:rsidRPr="007D0A39" w:rsidRDefault="002A1EDE" w:rsidP="002A1EDE">
      <w:pPr>
        <w:spacing w:after="0"/>
      </w:pPr>
    </w:p>
    <w:p w14:paraId="19D91625" w14:textId="429B6440" w:rsidR="00436A25" w:rsidRPr="00436A25" w:rsidRDefault="00436A25" w:rsidP="00436A25">
      <w:pPr>
        <w:ind w:left="0" w:firstLine="0"/>
        <w:rPr>
          <w:b/>
          <w:szCs w:val="24"/>
        </w:rPr>
      </w:pPr>
      <w:r w:rsidRPr="00436A25">
        <w:rPr>
          <w:b/>
          <w:szCs w:val="24"/>
        </w:rPr>
        <w:t>2.6</w:t>
      </w:r>
      <w:r w:rsidRPr="00436A25">
        <w:rPr>
          <w:b/>
          <w:szCs w:val="24"/>
        </w:rPr>
        <w:tab/>
        <w:t xml:space="preserve">Correction des erreurs arithmétiques </w:t>
      </w:r>
    </w:p>
    <w:p w14:paraId="2391D411" w14:textId="2DB5C7A9" w:rsidR="00436A25" w:rsidRPr="00436A25" w:rsidRDefault="00436A25" w:rsidP="002A45C1">
      <w:pPr>
        <w:pStyle w:val="Paragraphedeliste"/>
        <w:numPr>
          <w:ilvl w:val="0"/>
          <w:numId w:val="102"/>
        </w:numPr>
        <w:tabs>
          <w:tab w:val="right" w:pos="7254"/>
        </w:tabs>
        <w:spacing w:before="160" w:after="160"/>
        <w:rPr>
          <w:rFonts w:asciiTheme="majorBidi" w:hAnsiTheme="majorBidi" w:cstheme="majorBidi"/>
          <w:szCs w:val="24"/>
        </w:rPr>
      </w:pPr>
      <w:r w:rsidRPr="00436A25">
        <w:rPr>
          <w:rFonts w:asciiTheme="majorBidi" w:hAnsiTheme="majorBidi" w:cstheme="majorBidi"/>
          <w:szCs w:val="24"/>
        </w:rPr>
        <w:t xml:space="preserve"> (a)</w:t>
      </w:r>
      <w:r w:rsidRPr="00436A25">
        <w:rPr>
          <w:rFonts w:asciiTheme="majorBidi" w:hAnsiTheme="majorBidi" w:cstheme="majorBidi"/>
          <w:szCs w:val="24"/>
        </w:rPr>
        <w:tab/>
        <w:t>S’il y a contradiction entre le prix unitaire et le prix total obtenu en multipliant le prix unitaire par la quantité correspondante, le prix unitaire fera foi et le prix total sera rectifié, à moins que, de l’avis du Maître de l’Ouvrage, la virgule des décimales du prix unitaire soit manifestement mal placée, auquel cas le prix total indiqué prévaudra et le prix unitaire sera rectifié.</w:t>
      </w:r>
    </w:p>
    <w:p w14:paraId="7979E7E4" w14:textId="417FE6B6" w:rsidR="00436A25" w:rsidRPr="00436A25" w:rsidRDefault="00436A25" w:rsidP="002A45C1">
      <w:pPr>
        <w:pStyle w:val="Paragraphedeliste"/>
        <w:numPr>
          <w:ilvl w:val="0"/>
          <w:numId w:val="102"/>
        </w:numPr>
        <w:tabs>
          <w:tab w:val="right" w:pos="7254"/>
        </w:tabs>
        <w:spacing w:before="160" w:after="160"/>
        <w:rPr>
          <w:rFonts w:asciiTheme="majorBidi" w:hAnsiTheme="majorBidi" w:cstheme="majorBidi"/>
          <w:szCs w:val="24"/>
        </w:rPr>
      </w:pPr>
      <w:r w:rsidRPr="00436A25">
        <w:rPr>
          <w:rFonts w:asciiTheme="majorBidi" w:hAnsiTheme="majorBidi" w:cstheme="majorBidi"/>
          <w:szCs w:val="24"/>
        </w:rPr>
        <w:t xml:space="preserve"> (b)</w:t>
      </w:r>
      <w:r w:rsidRPr="00436A25">
        <w:rPr>
          <w:rFonts w:asciiTheme="majorBidi" w:hAnsiTheme="majorBidi" w:cstheme="majorBidi"/>
          <w:szCs w:val="24"/>
        </w:rPr>
        <w:tab/>
        <w:t>S’il y a contradiction entre le prix indiqué en lettres et en chiffres, le montant en lettres fera foi, à moins que ce montant ne soit entaché d’une erreur arithmétique, auquel cas le montant en chiffres prévaudra sous réserve des alinéas a) et b) ci-dessus.</w:t>
      </w:r>
    </w:p>
    <w:p w14:paraId="361E93DB" w14:textId="78680CC8" w:rsidR="00436A25" w:rsidRDefault="00436A25" w:rsidP="002A45C1">
      <w:pPr>
        <w:pStyle w:val="Paragraphedeliste"/>
        <w:numPr>
          <w:ilvl w:val="0"/>
          <w:numId w:val="102"/>
        </w:numPr>
        <w:tabs>
          <w:tab w:val="right" w:pos="7254"/>
        </w:tabs>
        <w:spacing w:before="160" w:after="160"/>
        <w:rPr>
          <w:rFonts w:asciiTheme="majorBidi" w:hAnsiTheme="majorBidi" w:cstheme="majorBidi"/>
          <w:szCs w:val="24"/>
        </w:rPr>
      </w:pPr>
      <w:r w:rsidRPr="00436A25">
        <w:rPr>
          <w:rFonts w:asciiTheme="majorBidi" w:hAnsiTheme="majorBidi" w:cstheme="majorBidi"/>
          <w:szCs w:val="24"/>
        </w:rPr>
        <w:t xml:space="preserve"> (c) </w:t>
      </w:r>
      <w:r w:rsidRPr="00436A25">
        <w:rPr>
          <w:rFonts w:asciiTheme="majorBidi" w:hAnsiTheme="majorBidi" w:cstheme="majorBidi"/>
          <w:szCs w:val="24"/>
        </w:rPr>
        <w:tab/>
        <w:t>Si le total obtenu par addition ou soustraction des sous totaux du Détail estimatif et quantitatif n’est pas exact, les sous totaux feron</w:t>
      </w:r>
      <w:r w:rsidR="002A1EDE">
        <w:rPr>
          <w:rFonts w:asciiTheme="majorBidi" w:hAnsiTheme="majorBidi" w:cstheme="majorBidi"/>
          <w:szCs w:val="24"/>
        </w:rPr>
        <w:t>t foi et le total sera rectifié.</w:t>
      </w:r>
    </w:p>
    <w:p w14:paraId="4ABF5502" w14:textId="77777777" w:rsidR="002A1EDE" w:rsidRPr="00436A25" w:rsidRDefault="002A1EDE" w:rsidP="002A1EDE">
      <w:pPr>
        <w:spacing w:after="0"/>
      </w:pPr>
    </w:p>
    <w:p w14:paraId="7F9AC4DA" w14:textId="291487F1" w:rsidR="00436A25" w:rsidRPr="00436A25" w:rsidRDefault="00436A25" w:rsidP="00436A25">
      <w:pPr>
        <w:pStyle w:val="Paragraphedeliste"/>
        <w:tabs>
          <w:tab w:val="right" w:pos="7254"/>
        </w:tabs>
        <w:spacing w:before="160" w:after="160"/>
        <w:ind w:left="0" w:firstLine="0"/>
        <w:jc w:val="left"/>
        <w:rPr>
          <w:rFonts w:asciiTheme="majorBidi" w:hAnsiTheme="majorBidi" w:cstheme="majorBidi"/>
          <w:b/>
          <w:szCs w:val="24"/>
        </w:rPr>
      </w:pPr>
      <w:r w:rsidRPr="00436A25">
        <w:rPr>
          <w:rFonts w:asciiTheme="majorBidi" w:hAnsiTheme="majorBidi" w:cstheme="majorBidi"/>
          <w:b/>
          <w:szCs w:val="24"/>
        </w:rPr>
        <w:t>2.7</w:t>
      </w:r>
      <w:r>
        <w:rPr>
          <w:rFonts w:asciiTheme="majorBidi" w:hAnsiTheme="majorBidi" w:cstheme="majorBidi"/>
          <w:b/>
          <w:szCs w:val="24"/>
        </w:rPr>
        <w:t xml:space="preserve"> </w:t>
      </w:r>
      <w:r w:rsidRPr="00436A25">
        <w:rPr>
          <w:rFonts w:asciiTheme="majorBidi" w:hAnsiTheme="majorBidi" w:cstheme="majorBidi"/>
          <w:b/>
          <w:szCs w:val="24"/>
        </w:rPr>
        <w:t xml:space="preserve">Conversion en une monnaie unique </w:t>
      </w:r>
    </w:p>
    <w:p w14:paraId="6F7EE311" w14:textId="77777777" w:rsidR="00436A25" w:rsidRPr="00436A25" w:rsidRDefault="00436A25" w:rsidP="002A45C1">
      <w:pPr>
        <w:pStyle w:val="Paragraphedeliste"/>
        <w:numPr>
          <w:ilvl w:val="0"/>
          <w:numId w:val="102"/>
        </w:numPr>
        <w:tabs>
          <w:tab w:val="right" w:pos="7254"/>
        </w:tabs>
        <w:spacing w:before="160" w:after="160"/>
        <w:rPr>
          <w:rFonts w:asciiTheme="majorBidi" w:hAnsiTheme="majorBidi" w:cstheme="majorBidi"/>
          <w:szCs w:val="24"/>
        </w:rPr>
      </w:pPr>
      <w:r w:rsidRPr="00436A25">
        <w:rPr>
          <w:rFonts w:asciiTheme="majorBidi" w:hAnsiTheme="majorBidi" w:cstheme="majorBidi"/>
          <w:szCs w:val="24"/>
        </w:rPr>
        <w:t>La monnaie utilisée pour convertir en une seule monnaie tous les prix des offres exprimées en diverses monnaies, aux fins d’évaluation et de comparaison de ces offres, est le franc CFA (F CFA).</w:t>
      </w:r>
    </w:p>
    <w:p w14:paraId="71D9F763" w14:textId="77777777" w:rsidR="00436A25" w:rsidRPr="00436A25" w:rsidRDefault="00436A25" w:rsidP="002A45C1">
      <w:pPr>
        <w:pStyle w:val="Paragraphedeliste"/>
        <w:numPr>
          <w:ilvl w:val="0"/>
          <w:numId w:val="102"/>
        </w:numPr>
        <w:tabs>
          <w:tab w:val="right" w:pos="7254"/>
        </w:tabs>
        <w:spacing w:before="160" w:after="160"/>
        <w:rPr>
          <w:rFonts w:asciiTheme="majorBidi" w:hAnsiTheme="majorBidi" w:cstheme="majorBidi"/>
          <w:szCs w:val="24"/>
        </w:rPr>
      </w:pPr>
      <w:r w:rsidRPr="00436A25">
        <w:rPr>
          <w:rFonts w:asciiTheme="majorBidi" w:hAnsiTheme="majorBidi" w:cstheme="majorBidi"/>
          <w:szCs w:val="24"/>
        </w:rPr>
        <w:t>La source du taux de change à employer habituellement utilisée est la Banque Centrale des Etats de l’Afrique de l’Ouest (BCEAO).</w:t>
      </w:r>
    </w:p>
    <w:p w14:paraId="51F486AD" w14:textId="77777777" w:rsidR="00436A25" w:rsidRPr="002A1EDE" w:rsidRDefault="00436A25" w:rsidP="002A45C1">
      <w:pPr>
        <w:pStyle w:val="Paragraphedeliste"/>
        <w:numPr>
          <w:ilvl w:val="0"/>
          <w:numId w:val="102"/>
        </w:numPr>
        <w:tabs>
          <w:tab w:val="right" w:pos="7254"/>
        </w:tabs>
        <w:spacing w:before="160" w:after="160"/>
        <w:rPr>
          <w:b/>
          <w:szCs w:val="24"/>
        </w:rPr>
      </w:pPr>
      <w:r w:rsidRPr="002A1EDE">
        <w:rPr>
          <w:rFonts w:asciiTheme="majorBidi" w:hAnsiTheme="majorBidi" w:cstheme="majorBidi"/>
          <w:szCs w:val="24"/>
        </w:rPr>
        <w:t>La date de référence</w:t>
      </w:r>
      <w:r w:rsidRPr="002A1EDE">
        <w:rPr>
          <w:szCs w:val="24"/>
        </w:rPr>
        <w:t xml:space="preserve"> utilisée est </w:t>
      </w:r>
      <w:r w:rsidRPr="002A1EDE">
        <w:rPr>
          <w:b/>
          <w:szCs w:val="24"/>
        </w:rPr>
        <w:t>28 jours avant la date limite de dépôt des offres.</w:t>
      </w:r>
    </w:p>
    <w:p w14:paraId="31B96EDE" w14:textId="77777777" w:rsidR="00436A25" w:rsidRPr="00436A25" w:rsidRDefault="00436A25" w:rsidP="00436A25">
      <w:pPr>
        <w:pStyle w:val="Paragraphedeliste"/>
        <w:tabs>
          <w:tab w:val="right" w:pos="7254"/>
        </w:tabs>
        <w:spacing w:before="160" w:after="160"/>
        <w:ind w:left="360" w:firstLine="0"/>
        <w:rPr>
          <w:b/>
          <w:sz w:val="20"/>
        </w:rPr>
      </w:pPr>
    </w:p>
    <w:p w14:paraId="3FDF0D5F" w14:textId="73E66E6B" w:rsidR="007F1690" w:rsidRDefault="007F1690" w:rsidP="003B5542">
      <w:pPr>
        <w:sectPr w:rsidR="007F1690" w:rsidSect="007F1690">
          <w:headerReference w:type="even" r:id="rId22"/>
          <w:headerReference w:type="default" r:id="rId23"/>
          <w:footerReference w:type="even" r:id="rId24"/>
          <w:endnotePr>
            <w:numFmt w:val="decimal"/>
          </w:endnotePr>
          <w:pgSz w:w="12240" w:h="15840" w:code="1"/>
          <w:pgMar w:top="1418" w:right="1418" w:bottom="1418" w:left="1418" w:header="720" w:footer="720" w:gutter="0"/>
          <w:cols w:space="720"/>
          <w:docGrid w:linePitch="326"/>
        </w:sectPr>
      </w:pPr>
      <w:bookmarkStart w:id="437" w:name="_Toc103401422"/>
      <w:bookmarkStart w:id="438" w:name="_Toc487641739"/>
    </w:p>
    <w:p w14:paraId="0C991ED8" w14:textId="24327C80" w:rsidR="00C062F6" w:rsidRPr="00A67F27" w:rsidRDefault="00C062F6" w:rsidP="00C062F6">
      <w:pPr>
        <w:pStyle w:val="S3-Header1"/>
        <w:rPr>
          <w:lang w:val="fr-FR"/>
        </w:rPr>
      </w:pPr>
      <w:r w:rsidRPr="00A67F27">
        <w:rPr>
          <w:lang w:val="fr-FR"/>
        </w:rPr>
        <w:lastRenderedPageBreak/>
        <w:t>3.</w:t>
      </w:r>
      <w:r w:rsidRPr="00A67F27">
        <w:rPr>
          <w:lang w:val="fr-FR"/>
        </w:rPr>
        <w:tab/>
      </w:r>
      <w:bookmarkEnd w:id="437"/>
      <w:r w:rsidRPr="00A67F27">
        <w:rPr>
          <w:lang w:val="fr-FR"/>
        </w:rPr>
        <w:t>Qualification</w:t>
      </w:r>
      <w:bookmarkEnd w:id="438"/>
    </w:p>
    <w:tbl>
      <w:tblPr>
        <w:tblW w:w="13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8"/>
        <w:gridCol w:w="1710"/>
        <w:gridCol w:w="2666"/>
        <w:gridCol w:w="1350"/>
        <w:gridCol w:w="1530"/>
        <w:gridCol w:w="1440"/>
        <w:gridCol w:w="1393"/>
        <w:gridCol w:w="1673"/>
      </w:tblGrid>
      <w:tr w:rsidR="00C062F6" w:rsidRPr="00C14798" w14:paraId="0EC2E654" w14:textId="77777777" w:rsidTr="000B19C9">
        <w:trPr>
          <w:tblHeader/>
        </w:trPr>
        <w:tc>
          <w:tcPr>
            <w:tcW w:w="1458" w:type="dxa"/>
            <w:tcBorders>
              <w:bottom w:val="single" w:sz="4" w:space="0" w:color="auto"/>
            </w:tcBorders>
            <w:shd w:val="clear" w:color="auto" w:fill="auto"/>
          </w:tcPr>
          <w:p w14:paraId="67FC06C1" w14:textId="77777777" w:rsidR="00C062F6" w:rsidRPr="00C14798" w:rsidRDefault="00C062F6" w:rsidP="00FC7AA0">
            <w:pPr>
              <w:pStyle w:val="Style110"/>
              <w:tabs>
                <w:tab w:val="left" w:leader="dot" w:pos="8424"/>
              </w:tabs>
              <w:spacing w:line="240" w:lineRule="auto"/>
              <w:rPr>
                <w:sz w:val="16"/>
                <w:szCs w:val="16"/>
                <w:lang w:val="fr-FR"/>
              </w:rPr>
            </w:pPr>
          </w:p>
        </w:tc>
        <w:tc>
          <w:tcPr>
            <w:tcW w:w="1710" w:type="dxa"/>
            <w:tcBorders>
              <w:bottom w:val="single" w:sz="4" w:space="0" w:color="auto"/>
            </w:tcBorders>
            <w:shd w:val="clear" w:color="auto" w:fill="auto"/>
          </w:tcPr>
          <w:p w14:paraId="4A9C131F" w14:textId="77777777" w:rsidR="00C062F6" w:rsidRPr="00C14798" w:rsidRDefault="00C062F6" w:rsidP="00284E69">
            <w:pPr>
              <w:pStyle w:val="Style110"/>
              <w:tabs>
                <w:tab w:val="left" w:leader="dot" w:pos="8424"/>
              </w:tabs>
              <w:spacing w:line="240" w:lineRule="auto"/>
              <w:rPr>
                <w:sz w:val="16"/>
                <w:szCs w:val="16"/>
                <w:lang w:val="fr-FR"/>
              </w:rPr>
            </w:pPr>
          </w:p>
        </w:tc>
        <w:tc>
          <w:tcPr>
            <w:tcW w:w="2666" w:type="dxa"/>
            <w:tcBorders>
              <w:bottom w:val="single" w:sz="4" w:space="0" w:color="auto"/>
            </w:tcBorders>
            <w:shd w:val="clear" w:color="auto" w:fill="auto"/>
          </w:tcPr>
          <w:p w14:paraId="60967383" w14:textId="77777777" w:rsidR="00C062F6" w:rsidRPr="00C14798" w:rsidRDefault="00C062F6" w:rsidP="00284E69">
            <w:pPr>
              <w:pStyle w:val="Style110"/>
              <w:tabs>
                <w:tab w:val="left" w:leader="dot" w:pos="8424"/>
              </w:tabs>
              <w:spacing w:line="240" w:lineRule="auto"/>
              <w:rPr>
                <w:sz w:val="16"/>
                <w:szCs w:val="16"/>
                <w:lang w:val="fr-FR"/>
              </w:rPr>
            </w:pPr>
          </w:p>
        </w:tc>
        <w:tc>
          <w:tcPr>
            <w:tcW w:w="1350" w:type="dxa"/>
            <w:tcBorders>
              <w:bottom w:val="single" w:sz="4" w:space="0" w:color="auto"/>
            </w:tcBorders>
            <w:shd w:val="clear" w:color="auto" w:fill="auto"/>
          </w:tcPr>
          <w:p w14:paraId="06DA4DF9" w14:textId="77777777" w:rsidR="00C062F6" w:rsidRPr="00C14798" w:rsidRDefault="00C062F6">
            <w:pPr>
              <w:pStyle w:val="Style110"/>
              <w:tabs>
                <w:tab w:val="left" w:leader="dot" w:pos="8424"/>
              </w:tabs>
              <w:spacing w:line="240" w:lineRule="auto"/>
              <w:rPr>
                <w:sz w:val="16"/>
                <w:szCs w:val="16"/>
                <w:lang w:val="fr-FR"/>
              </w:rPr>
            </w:pPr>
          </w:p>
        </w:tc>
        <w:tc>
          <w:tcPr>
            <w:tcW w:w="1530" w:type="dxa"/>
            <w:tcBorders>
              <w:bottom w:val="single" w:sz="4" w:space="0" w:color="auto"/>
            </w:tcBorders>
            <w:shd w:val="clear" w:color="auto" w:fill="auto"/>
          </w:tcPr>
          <w:p w14:paraId="7FEDF3B7" w14:textId="77777777" w:rsidR="00C062F6" w:rsidRPr="00C14798" w:rsidRDefault="00C062F6">
            <w:pPr>
              <w:pStyle w:val="Style110"/>
              <w:tabs>
                <w:tab w:val="left" w:leader="dot" w:pos="8424"/>
              </w:tabs>
              <w:spacing w:line="240" w:lineRule="auto"/>
              <w:rPr>
                <w:sz w:val="16"/>
                <w:szCs w:val="16"/>
                <w:lang w:val="fr-FR"/>
              </w:rPr>
            </w:pPr>
          </w:p>
        </w:tc>
        <w:tc>
          <w:tcPr>
            <w:tcW w:w="1440" w:type="dxa"/>
            <w:tcBorders>
              <w:bottom w:val="single" w:sz="4" w:space="0" w:color="auto"/>
            </w:tcBorders>
            <w:shd w:val="clear" w:color="auto" w:fill="auto"/>
          </w:tcPr>
          <w:p w14:paraId="66AB9E67" w14:textId="77777777" w:rsidR="00C062F6" w:rsidRPr="00C14798" w:rsidRDefault="00C062F6">
            <w:pPr>
              <w:pStyle w:val="Style110"/>
              <w:tabs>
                <w:tab w:val="left" w:leader="dot" w:pos="8424"/>
              </w:tabs>
              <w:spacing w:line="240" w:lineRule="auto"/>
              <w:rPr>
                <w:sz w:val="16"/>
                <w:szCs w:val="16"/>
                <w:lang w:val="fr-FR"/>
              </w:rPr>
            </w:pPr>
          </w:p>
        </w:tc>
        <w:tc>
          <w:tcPr>
            <w:tcW w:w="1393" w:type="dxa"/>
            <w:tcBorders>
              <w:bottom w:val="single" w:sz="4" w:space="0" w:color="auto"/>
            </w:tcBorders>
            <w:shd w:val="clear" w:color="auto" w:fill="auto"/>
          </w:tcPr>
          <w:p w14:paraId="60E8B70C" w14:textId="77777777" w:rsidR="00C062F6" w:rsidRPr="00C14798" w:rsidRDefault="00C062F6">
            <w:pPr>
              <w:pStyle w:val="Style110"/>
              <w:tabs>
                <w:tab w:val="left" w:leader="dot" w:pos="8424"/>
              </w:tabs>
              <w:spacing w:line="240" w:lineRule="auto"/>
              <w:rPr>
                <w:sz w:val="16"/>
                <w:szCs w:val="16"/>
                <w:lang w:val="fr-FR"/>
              </w:rPr>
            </w:pPr>
          </w:p>
        </w:tc>
        <w:tc>
          <w:tcPr>
            <w:tcW w:w="1673" w:type="dxa"/>
            <w:tcBorders>
              <w:bottom w:val="single" w:sz="4" w:space="0" w:color="auto"/>
            </w:tcBorders>
            <w:shd w:val="clear" w:color="auto" w:fill="auto"/>
          </w:tcPr>
          <w:p w14:paraId="5AC33B32" w14:textId="77777777" w:rsidR="00C062F6" w:rsidRPr="00C14798" w:rsidRDefault="00C062F6">
            <w:pPr>
              <w:pStyle w:val="Style110"/>
              <w:tabs>
                <w:tab w:val="left" w:leader="dot" w:pos="8424"/>
              </w:tabs>
              <w:spacing w:line="240" w:lineRule="auto"/>
              <w:rPr>
                <w:sz w:val="16"/>
                <w:szCs w:val="16"/>
                <w:lang w:val="fr-FR"/>
              </w:rPr>
            </w:pPr>
          </w:p>
        </w:tc>
      </w:tr>
      <w:tr w:rsidR="008867D9" w:rsidRPr="00C14798" w14:paraId="56A9D5C1" w14:textId="77777777" w:rsidTr="000B19C9">
        <w:trPr>
          <w:trHeight w:val="332"/>
          <w:tblHeader/>
        </w:trPr>
        <w:tc>
          <w:tcPr>
            <w:tcW w:w="5834" w:type="dxa"/>
            <w:gridSpan w:val="3"/>
            <w:shd w:val="clear" w:color="auto" w:fill="auto"/>
          </w:tcPr>
          <w:p w14:paraId="660ACCFA" w14:textId="7EDA8AAF" w:rsidR="008867D9" w:rsidRPr="00C14798" w:rsidRDefault="008867D9" w:rsidP="00FC7AA0">
            <w:pPr>
              <w:pStyle w:val="Style110"/>
              <w:tabs>
                <w:tab w:val="left" w:leader="dot" w:pos="8424"/>
              </w:tabs>
              <w:spacing w:line="240" w:lineRule="auto"/>
              <w:jc w:val="center"/>
              <w:rPr>
                <w:b/>
                <w:sz w:val="16"/>
                <w:szCs w:val="16"/>
                <w:highlight w:val="yellow"/>
                <w:lang w:val="fr-FR"/>
              </w:rPr>
            </w:pPr>
            <w:r w:rsidRPr="00C14798">
              <w:rPr>
                <w:b/>
                <w:sz w:val="16"/>
                <w:szCs w:val="16"/>
                <w:lang w:val="fr-FR"/>
              </w:rPr>
              <w:t xml:space="preserve">Critères d’éligibilité et </w:t>
            </w:r>
            <w:r w:rsidR="00994494" w:rsidRPr="00C14798">
              <w:rPr>
                <w:b/>
                <w:sz w:val="16"/>
                <w:szCs w:val="16"/>
                <w:lang w:val="fr-FR"/>
              </w:rPr>
              <w:t>de Qualification</w:t>
            </w:r>
            <w:r w:rsidRPr="00C14798">
              <w:rPr>
                <w:b/>
                <w:sz w:val="16"/>
                <w:szCs w:val="16"/>
                <w:lang w:val="fr-FR"/>
              </w:rPr>
              <w:t xml:space="preserve"> </w:t>
            </w:r>
          </w:p>
        </w:tc>
        <w:tc>
          <w:tcPr>
            <w:tcW w:w="5713" w:type="dxa"/>
            <w:gridSpan w:val="4"/>
            <w:shd w:val="clear" w:color="auto" w:fill="auto"/>
          </w:tcPr>
          <w:p w14:paraId="47666FF5" w14:textId="530023FE" w:rsidR="008867D9" w:rsidRPr="00C14798" w:rsidRDefault="008867D9" w:rsidP="00284E69">
            <w:pPr>
              <w:pStyle w:val="Style110"/>
              <w:tabs>
                <w:tab w:val="left" w:leader="dot" w:pos="8424"/>
              </w:tabs>
              <w:spacing w:line="240" w:lineRule="auto"/>
              <w:jc w:val="center"/>
              <w:rPr>
                <w:b/>
                <w:sz w:val="16"/>
                <w:szCs w:val="16"/>
                <w:lang w:val="fr-FR"/>
              </w:rPr>
            </w:pPr>
            <w:r w:rsidRPr="00C14798">
              <w:rPr>
                <w:b/>
                <w:sz w:val="16"/>
                <w:szCs w:val="16"/>
                <w:lang w:val="fr-FR"/>
              </w:rPr>
              <w:t>Spécification de conformité</w:t>
            </w:r>
          </w:p>
        </w:tc>
        <w:tc>
          <w:tcPr>
            <w:tcW w:w="1673" w:type="dxa"/>
            <w:shd w:val="clear" w:color="auto" w:fill="auto"/>
          </w:tcPr>
          <w:p w14:paraId="3FE1DB60" w14:textId="79ABE630" w:rsidR="008867D9" w:rsidRPr="00C14798" w:rsidRDefault="008867D9" w:rsidP="00284E69">
            <w:pPr>
              <w:pStyle w:val="Style110"/>
              <w:tabs>
                <w:tab w:val="left" w:leader="dot" w:pos="8424"/>
              </w:tabs>
              <w:spacing w:line="240" w:lineRule="auto"/>
              <w:jc w:val="center"/>
              <w:rPr>
                <w:b/>
                <w:sz w:val="16"/>
                <w:szCs w:val="16"/>
                <w:lang w:val="fr-FR"/>
              </w:rPr>
            </w:pPr>
            <w:r w:rsidRPr="00C14798">
              <w:rPr>
                <w:b/>
                <w:sz w:val="16"/>
                <w:szCs w:val="16"/>
                <w:lang w:val="fr-FR"/>
              </w:rPr>
              <w:t>Documentation</w:t>
            </w:r>
          </w:p>
        </w:tc>
      </w:tr>
      <w:tr w:rsidR="008867D9" w:rsidRPr="00C14798" w14:paraId="506FE01D" w14:textId="77777777" w:rsidTr="000B19C9">
        <w:trPr>
          <w:tblHeader/>
        </w:trPr>
        <w:tc>
          <w:tcPr>
            <w:tcW w:w="1458" w:type="dxa"/>
            <w:vMerge w:val="restart"/>
            <w:shd w:val="clear" w:color="auto" w:fill="auto"/>
          </w:tcPr>
          <w:p w14:paraId="4C7A2BD2" w14:textId="095D64B5" w:rsidR="008867D9" w:rsidRPr="00C14798" w:rsidRDefault="008867D9" w:rsidP="00960482">
            <w:pPr>
              <w:pStyle w:val="Style110"/>
              <w:tabs>
                <w:tab w:val="left" w:leader="dot" w:pos="8424"/>
              </w:tabs>
              <w:spacing w:line="240" w:lineRule="auto"/>
              <w:jc w:val="center"/>
              <w:rPr>
                <w:b/>
                <w:sz w:val="16"/>
                <w:szCs w:val="16"/>
                <w:lang w:val="fr-FR"/>
              </w:rPr>
            </w:pPr>
            <w:r w:rsidRPr="00C14798">
              <w:rPr>
                <w:b/>
                <w:sz w:val="16"/>
                <w:szCs w:val="16"/>
                <w:lang w:val="fr-FR"/>
              </w:rPr>
              <w:t xml:space="preserve">Critères d’éligibilité et </w:t>
            </w:r>
            <w:r w:rsidR="006B2CB2" w:rsidRPr="00C14798">
              <w:rPr>
                <w:b/>
                <w:sz w:val="16"/>
                <w:szCs w:val="16"/>
                <w:lang w:val="fr-FR"/>
              </w:rPr>
              <w:t>de Qualification</w:t>
            </w:r>
            <w:r w:rsidRPr="00C14798">
              <w:rPr>
                <w:b/>
                <w:sz w:val="16"/>
                <w:szCs w:val="16"/>
                <w:lang w:val="fr-FR"/>
              </w:rPr>
              <w:t xml:space="preserve"> </w:t>
            </w:r>
          </w:p>
        </w:tc>
        <w:tc>
          <w:tcPr>
            <w:tcW w:w="1710" w:type="dxa"/>
            <w:vMerge w:val="restart"/>
            <w:shd w:val="clear" w:color="auto" w:fill="auto"/>
          </w:tcPr>
          <w:p w14:paraId="05F007E9" w14:textId="13A6B070" w:rsidR="008867D9" w:rsidRPr="00C14798" w:rsidRDefault="008867D9" w:rsidP="00960482">
            <w:pPr>
              <w:pStyle w:val="Style110"/>
              <w:tabs>
                <w:tab w:val="left" w:leader="dot" w:pos="8424"/>
              </w:tabs>
              <w:spacing w:line="240" w:lineRule="auto"/>
              <w:jc w:val="center"/>
              <w:rPr>
                <w:b/>
                <w:sz w:val="16"/>
                <w:szCs w:val="16"/>
                <w:lang w:val="fr-FR"/>
              </w:rPr>
            </w:pPr>
            <w:r w:rsidRPr="00C14798">
              <w:rPr>
                <w:b/>
                <w:sz w:val="16"/>
                <w:szCs w:val="16"/>
                <w:lang w:val="fr-FR"/>
              </w:rPr>
              <w:t>Objet</w:t>
            </w:r>
          </w:p>
        </w:tc>
        <w:tc>
          <w:tcPr>
            <w:tcW w:w="2666" w:type="dxa"/>
            <w:vMerge w:val="restart"/>
            <w:shd w:val="clear" w:color="auto" w:fill="auto"/>
          </w:tcPr>
          <w:p w14:paraId="646C2958" w14:textId="627B6960" w:rsidR="008867D9" w:rsidRPr="00C14798" w:rsidRDefault="008867D9" w:rsidP="00960482">
            <w:pPr>
              <w:pStyle w:val="Style110"/>
              <w:tabs>
                <w:tab w:val="left" w:leader="dot" w:pos="8424"/>
              </w:tabs>
              <w:spacing w:line="240" w:lineRule="auto"/>
              <w:jc w:val="center"/>
              <w:rPr>
                <w:b/>
                <w:sz w:val="16"/>
                <w:szCs w:val="16"/>
                <w:lang w:val="fr-FR"/>
              </w:rPr>
            </w:pPr>
            <w:r w:rsidRPr="00C14798">
              <w:rPr>
                <w:b/>
                <w:sz w:val="16"/>
                <w:szCs w:val="16"/>
                <w:lang w:val="fr-FR"/>
              </w:rPr>
              <w:t>Critère</w:t>
            </w:r>
          </w:p>
        </w:tc>
        <w:tc>
          <w:tcPr>
            <w:tcW w:w="1350" w:type="dxa"/>
            <w:vMerge w:val="restart"/>
            <w:shd w:val="clear" w:color="auto" w:fill="auto"/>
          </w:tcPr>
          <w:p w14:paraId="247AFB8C" w14:textId="13D4391D" w:rsidR="008867D9" w:rsidRPr="00C14798" w:rsidRDefault="008867D9" w:rsidP="00960482">
            <w:pPr>
              <w:pStyle w:val="Style110"/>
              <w:tabs>
                <w:tab w:val="left" w:leader="dot" w:pos="8424"/>
              </w:tabs>
              <w:spacing w:line="240" w:lineRule="auto"/>
              <w:jc w:val="center"/>
              <w:rPr>
                <w:b/>
                <w:sz w:val="16"/>
                <w:szCs w:val="16"/>
                <w:lang w:val="fr-FR"/>
              </w:rPr>
            </w:pPr>
            <w:r w:rsidRPr="00C14798">
              <w:rPr>
                <w:b/>
                <w:sz w:val="16"/>
                <w:szCs w:val="16"/>
                <w:lang w:val="fr-FR"/>
              </w:rPr>
              <w:t>Entité unique</w:t>
            </w:r>
          </w:p>
        </w:tc>
        <w:tc>
          <w:tcPr>
            <w:tcW w:w="4363" w:type="dxa"/>
            <w:gridSpan w:val="3"/>
            <w:shd w:val="clear" w:color="auto" w:fill="auto"/>
          </w:tcPr>
          <w:p w14:paraId="1D10F6E3" w14:textId="22564341" w:rsidR="008867D9" w:rsidRPr="00C14798" w:rsidRDefault="008867D9" w:rsidP="00FC7AA0">
            <w:pPr>
              <w:pStyle w:val="Style110"/>
              <w:tabs>
                <w:tab w:val="left" w:leader="dot" w:pos="8424"/>
              </w:tabs>
              <w:spacing w:line="240" w:lineRule="auto"/>
              <w:jc w:val="center"/>
              <w:rPr>
                <w:b/>
                <w:sz w:val="16"/>
                <w:szCs w:val="16"/>
                <w:highlight w:val="yellow"/>
                <w:lang w:val="fr-FR"/>
              </w:rPr>
            </w:pPr>
            <w:r w:rsidRPr="00C14798">
              <w:rPr>
                <w:b/>
                <w:sz w:val="16"/>
                <w:szCs w:val="16"/>
                <w:lang w:val="fr-FR"/>
              </w:rPr>
              <w:t>Groupement d’entreprises</w:t>
            </w:r>
          </w:p>
        </w:tc>
        <w:tc>
          <w:tcPr>
            <w:tcW w:w="1673" w:type="dxa"/>
            <w:vMerge w:val="restart"/>
            <w:shd w:val="clear" w:color="auto" w:fill="auto"/>
            <w:vAlign w:val="center"/>
          </w:tcPr>
          <w:p w14:paraId="2EDC31D1" w14:textId="4474EBF1" w:rsidR="008867D9" w:rsidRPr="00C14798" w:rsidRDefault="008867D9" w:rsidP="00284E69">
            <w:pPr>
              <w:pStyle w:val="Style110"/>
              <w:tabs>
                <w:tab w:val="left" w:leader="dot" w:pos="8424"/>
              </w:tabs>
              <w:spacing w:line="240" w:lineRule="auto"/>
              <w:jc w:val="center"/>
              <w:rPr>
                <w:b/>
                <w:sz w:val="16"/>
                <w:szCs w:val="16"/>
                <w:highlight w:val="yellow"/>
                <w:lang w:val="fr-FR"/>
              </w:rPr>
            </w:pPr>
            <w:r w:rsidRPr="00C14798">
              <w:rPr>
                <w:b/>
                <w:sz w:val="16"/>
                <w:szCs w:val="16"/>
                <w:lang w:val="fr-FR"/>
              </w:rPr>
              <w:t>Documentation Requise</w:t>
            </w:r>
          </w:p>
        </w:tc>
      </w:tr>
      <w:tr w:rsidR="00C062F6" w:rsidRPr="00C14798" w14:paraId="427163F8" w14:textId="77777777" w:rsidTr="000B19C9">
        <w:trPr>
          <w:tblHeader/>
        </w:trPr>
        <w:tc>
          <w:tcPr>
            <w:tcW w:w="1458" w:type="dxa"/>
            <w:vMerge/>
            <w:shd w:val="clear" w:color="auto" w:fill="auto"/>
          </w:tcPr>
          <w:p w14:paraId="6EF5936C" w14:textId="77777777" w:rsidR="00C062F6" w:rsidRPr="00C14798" w:rsidRDefault="00C062F6">
            <w:pPr>
              <w:pStyle w:val="Style110"/>
              <w:tabs>
                <w:tab w:val="left" w:leader="dot" w:pos="8424"/>
              </w:tabs>
              <w:spacing w:line="240" w:lineRule="auto"/>
              <w:jc w:val="center"/>
              <w:rPr>
                <w:b/>
                <w:sz w:val="16"/>
                <w:szCs w:val="16"/>
                <w:lang w:val="fr-FR"/>
              </w:rPr>
            </w:pPr>
          </w:p>
        </w:tc>
        <w:tc>
          <w:tcPr>
            <w:tcW w:w="1710" w:type="dxa"/>
            <w:vMerge/>
            <w:shd w:val="clear" w:color="auto" w:fill="auto"/>
          </w:tcPr>
          <w:p w14:paraId="5E257CBC" w14:textId="77777777" w:rsidR="00C062F6" w:rsidRPr="00C14798" w:rsidRDefault="00C062F6">
            <w:pPr>
              <w:pStyle w:val="Style110"/>
              <w:tabs>
                <w:tab w:val="left" w:leader="dot" w:pos="8424"/>
              </w:tabs>
              <w:spacing w:line="240" w:lineRule="auto"/>
              <w:jc w:val="center"/>
              <w:rPr>
                <w:b/>
                <w:sz w:val="16"/>
                <w:szCs w:val="16"/>
                <w:lang w:val="fr-FR"/>
              </w:rPr>
            </w:pPr>
          </w:p>
        </w:tc>
        <w:tc>
          <w:tcPr>
            <w:tcW w:w="2666" w:type="dxa"/>
            <w:vMerge/>
            <w:shd w:val="clear" w:color="auto" w:fill="auto"/>
          </w:tcPr>
          <w:p w14:paraId="5F2F24B7" w14:textId="77777777" w:rsidR="00C062F6" w:rsidRPr="00C14798" w:rsidRDefault="00C062F6">
            <w:pPr>
              <w:pStyle w:val="Style110"/>
              <w:tabs>
                <w:tab w:val="left" w:leader="dot" w:pos="8424"/>
              </w:tabs>
              <w:spacing w:line="240" w:lineRule="auto"/>
              <w:jc w:val="center"/>
              <w:rPr>
                <w:b/>
                <w:sz w:val="16"/>
                <w:szCs w:val="16"/>
                <w:lang w:val="fr-FR"/>
              </w:rPr>
            </w:pPr>
          </w:p>
        </w:tc>
        <w:tc>
          <w:tcPr>
            <w:tcW w:w="1350" w:type="dxa"/>
            <w:vMerge/>
            <w:shd w:val="clear" w:color="auto" w:fill="auto"/>
          </w:tcPr>
          <w:p w14:paraId="2EA07A51" w14:textId="77777777" w:rsidR="00C062F6" w:rsidRPr="00C14798" w:rsidRDefault="00C062F6">
            <w:pPr>
              <w:pStyle w:val="Style110"/>
              <w:tabs>
                <w:tab w:val="left" w:leader="dot" w:pos="8424"/>
              </w:tabs>
              <w:spacing w:line="240" w:lineRule="auto"/>
              <w:jc w:val="center"/>
              <w:rPr>
                <w:b/>
                <w:sz w:val="16"/>
                <w:szCs w:val="16"/>
                <w:lang w:val="fr-FR"/>
              </w:rPr>
            </w:pPr>
          </w:p>
        </w:tc>
        <w:tc>
          <w:tcPr>
            <w:tcW w:w="1530" w:type="dxa"/>
            <w:shd w:val="clear" w:color="auto" w:fill="auto"/>
          </w:tcPr>
          <w:p w14:paraId="5D81363D" w14:textId="18C5AE78" w:rsidR="00C062F6" w:rsidRPr="00C14798" w:rsidRDefault="00C062F6">
            <w:pPr>
              <w:pStyle w:val="Style110"/>
              <w:tabs>
                <w:tab w:val="left" w:leader="dot" w:pos="8424"/>
              </w:tabs>
              <w:spacing w:line="240" w:lineRule="auto"/>
              <w:jc w:val="center"/>
              <w:rPr>
                <w:b/>
                <w:sz w:val="16"/>
                <w:szCs w:val="16"/>
                <w:lang w:val="fr-FR"/>
              </w:rPr>
            </w:pPr>
            <w:r w:rsidRPr="00C14798">
              <w:rPr>
                <w:b/>
                <w:sz w:val="16"/>
                <w:szCs w:val="16"/>
                <w:lang w:val="fr-FR"/>
              </w:rPr>
              <w:t>Toutes Parties Combinées</w:t>
            </w:r>
          </w:p>
        </w:tc>
        <w:tc>
          <w:tcPr>
            <w:tcW w:w="1440" w:type="dxa"/>
            <w:shd w:val="clear" w:color="auto" w:fill="auto"/>
          </w:tcPr>
          <w:p w14:paraId="410AA092" w14:textId="3D47A8BE" w:rsidR="00C062F6" w:rsidRPr="00C14798" w:rsidRDefault="00C062F6">
            <w:pPr>
              <w:pStyle w:val="Style110"/>
              <w:tabs>
                <w:tab w:val="left" w:leader="dot" w:pos="8424"/>
              </w:tabs>
              <w:spacing w:line="240" w:lineRule="auto"/>
              <w:jc w:val="center"/>
              <w:rPr>
                <w:b/>
                <w:sz w:val="16"/>
                <w:szCs w:val="16"/>
                <w:lang w:val="fr-FR"/>
              </w:rPr>
            </w:pPr>
            <w:r w:rsidRPr="00C14798">
              <w:rPr>
                <w:b/>
                <w:sz w:val="16"/>
                <w:szCs w:val="16"/>
                <w:lang w:val="fr-FR"/>
              </w:rPr>
              <w:t>Chaque membre</w:t>
            </w:r>
          </w:p>
        </w:tc>
        <w:tc>
          <w:tcPr>
            <w:tcW w:w="1393" w:type="dxa"/>
            <w:shd w:val="clear" w:color="auto" w:fill="auto"/>
          </w:tcPr>
          <w:p w14:paraId="4FBED5C8" w14:textId="2DA67EDC" w:rsidR="00C062F6" w:rsidRPr="00C14798" w:rsidRDefault="00C062F6">
            <w:pPr>
              <w:pStyle w:val="Style110"/>
              <w:tabs>
                <w:tab w:val="left" w:leader="dot" w:pos="8424"/>
              </w:tabs>
              <w:spacing w:line="240" w:lineRule="auto"/>
              <w:jc w:val="center"/>
              <w:rPr>
                <w:b/>
                <w:sz w:val="16"/>
                <w:szCs w:val="16"/>
                <w:lang w:val="fr-FR"/>
              </w:rPr>
            </w:pPr>
            <w:r w:rsidRPr="00C14798">
              <w:rPr>
                <w:b/>
                <w:sz w:val="16"/>
                <w:szCs w:val="16"/>
                <w:lang w:val="fr-FR"/>
              </w:rPr>
              <w:t>Un membre</w:t>
            </w:r>
          </w:p>
        </w:tc>
        <w:tc>
          <w:tcPr>
            <w:tcW w:w="1673" w:type="dxa"/>
            <w:vMerge/>
            <w:shd w:val="clear" w:color="auto" w:fill="auto"/>
          </w:tcPr>
          <w:p w14:paraId="671C4434" w14:textId="77777777" w:rsidR="00C062F6" w:rsidRPr="00C14798" w:rsidRDefault="00C062F6">
            <w:pPr>
              <w:pStyle w:val="Style110"/>
              <w:tabs>
                <w:tab w:val="left" w:leader="dot" w:pos="8424"/>
              </w:tabs>
              <w:spacing w:line="240" w:lineRule="auto"/>
              <w:jc w:val="center"/>
              <w:rPr>
                <w:b/>
                <w:sz w:val="16"/>
                <w:szCs w:val="16"/>
                <w:lang w:val="fr-FR"/>
              </w:rPr>
            </w:pPr>
          </w:p>
        </w:tc>
      </w:tr>
      <w:tr w:rsidR="00C062F6" w:rsidRPr="00C14798" w14:paraId="271C524D" w14:textId="77777777" w:rsidTr="000B19C9">
        <w:trPr>
          <w:trHeight w:val="391"/>
        </w:trPr>
        <w:tc>
          <w:tcPr>
            <w:tcW w:w="13220" w:type="dxa"/>
            <w:gridSpan w:val="8"/>
            <w:shd w:val="clear" w:color="auto" w:fill="auto"/>
            <w:vAlign w:val="center"/>
          </w:tcPr>
          <w:p w14:paraId="1314FC36" w14:textId="60F0D139" w:rsidR="00C062F6" w:rsidRPr="00C14798" w:rsidRDefault="00C062F6" w:rsidP="00FC7AA0">
            <w:pPr>
              <w:pStyle w:val="S3-Heading2"/>
              <w:spacing w:after="0"/>
              <w:jc w:val="left"/>
              <w:rPr>
                <w:sz w:val="16"/>
                <w:szCs w:val="16"/>
                <w:lang w:val="fr-FR"/>
              </w:rPr>
            </w:pPr>
            <w:bookmarkStart w:id="439" w:name="_Toc107899636"/>
            <w:bookmarkStart w:id="440" w:name="_Toc487641740"/>
            <w:r w:rsidRPr="00C14798">
              <w:rPr>
                <w:sz w:val="16"/>
                <w:szCs w:val="16"/>
                <w:lang w:val="fr-FR"/>
              </w:rPr>
              <w:t>1. Critères d’admissibilité</w:t>
            </w:r>
            <w:bookmarkEnd w:id="439"/>
            <w:bookmarkEnd w:id="440"/>
          </w:p>
        </w:tc>
      </w:tr>
      <w:tr w:rsidR="00C062F6" w:rsidRPr="00C14798" w14:paraId="1B1419F7" w14:textId="77777777" w:rsidTr="000B19C9">
        <w:tblPrEx>
          <w:tblLook w:val="0000" w:firstRow="0" w:lastRow="0" w:firstColumn="0" w:lastColumn="0" w:noHBand="0" w:noVBand="0"/>
        </w:tblPrEx>
        <w:trPr>
          <w:cantSplit/>
        </w:trPr>
        <w:tc>
          <w:tcPr>
            <w:tcW w:w="1458" w:type="dxa"/>
            <w:shd w:val="clear" w:color="auto" w:fill="auto"/>
          </w:tcPr>
          <w:p w14:paraId="4C373529" w14:textId="1DB917E7" w:rsidR="00C062F6" w:rsidRPr="00C14798" w:rsidRDefault="00C062F6" w:rsidP="00FC7AA0">
            <w:pPr>
              <w:pStyle w:val="Titre2"/>
              <w:tabs>
                <w:tab w:val="left" w:pos="576"/>
              </w:tabs>
              <w:spacing w:after="0"/>
              <w:jc w:val="left"/>
              <w:rPr>
                <w:rFonts w:asciiTheme="majorBidi" w:hAnsiTheme="majorBidi" w:cstheme="majorBidi"/>
                <w:b w:val="0"/>
                <w:sz w:val="16"/>
                <w:szCs w:val="16"/>
              </w:rPr>
            </w:pPr>
            <w:r w:rsidRPr="00C14798">
              <w:rPr>
                <w:rFonts w:asciiTheme="majorBidi" w:hAnsiTheme="majorBidi" w:cstheme="majorBidi"/>
                <w:b w:val="0"/>
                <w:sz w:val="16"/>
                <w:szCs w:val="16"/>
              </w:rPr>
              <w:t>1.1</w:t>
            </w:r>
          </w:p>
        </w:tc>
        <w:tc>
          <w:tcPr>
            <w:tcW w:w="1710" w:type="dxa"/>
            <w:shd w:val="clear" w:color="auto" w:fill="auto"/>
          </w:tcPr>
          <w:p w14:paraId="686A043F" w14:textId="3A023F5C" w:rsidR="00C062F6" w:rsidRPr="00C14798" w:rsidRDefault="00C062F6" w:rsidP="00284E69">
            <w:pPr>
              <w:pStyle w:val="Titre2"/>
              <w:tabs>
                <w:tab w:val="left" w:pos="576"/>
              </w:tabs>
              <w:spacing w:after="0"/>
              <w:ind w:left="0" w:firstLine="0"/>
              <w:jc w:val="left"/>
              <w:rPr>
                <w:rFonts w:asciiTheme="majorBidi" w:hAnsiTheme="majorBidi" w:cstheme="majorBidi"/>
                <w:b w:val="0"/>
                <w:sz w:val="16"/>
                <w:szCs w:val="16"/>
              </w:rPr>
            </w:pPr>
            <w:r w:rsidRPr="00C14798">
              <w:rPr>
                <w:rFonts w:asciiTheme="majorBidi" w:hAnsiTheme="majorBidi" w:cstheme="majorBidi"/>
                <w:sz w:val="16"/>
                <w:szCs w:val="16"/>
              </w:rPr>
              <w:t>Nationalité</w:t>
            </w:r>
          </w:p>
        </w:tc>
        <w:tc>
          <w:tcPr>
            <w:tcW w:w="2666" w:type="dxa"/>
            <w:shd w:val="clear" w:color="auto" w:fill="auto"/>
          </w:tcPr>
          <w:p w14:paraId="4631E64A" w14:textId="2CD4FF8E" w:rsidR="00C062F6" w:rsidRPr="00C14798" w:rsidRDefault="00C062F6" w:rsidP="00284E69">
            <w:pPr>
              <w:pStyle w:val="Retraitcorpsdetexte"/>
              <w:spacing w:after="0"/>
              <w:ind w:left="0" w:firstLine="0"/>
              <w:jc w:val="left"/>
              <w:rPr>
                <w:rFonts w:asciiTheme="majorBidi" w:hAnsiTheme="majorBidi" w:cstheme="majorBidi"/>
                <w:sz w:val="16"/>
                <w:szCs w:val="16"/>
                <w:lang w:val="fr-FR"/>
              </w:rPr>
            </w:pPr>
            <w:r w:rsidRPr="00C14798">
              <w:rPr>
                <w:rFonts w:asciiTheme="majorBidi" w:hAnsiTheme="majorBidi" w:cstheme="majorBidi"/>
                <w:sz w:val="16"/>
                <w:szCs w:val="16"/>
                <w:lang w:val="fr-FR"/>
              </w:rPr>
              <w:t>Conforme à l’article 4.4 des IS.</w:t>
            </w:r>
          </w:p>
        </w:tc>
        <w:tc>
          <w:tcPr>
            <w:tcW w:w="1350" w:type="dxa"/>
            <w:shd w:val="clear" w:color="auto" w:fill="auto"/>
          </w:tcPr>
          <w:p w14:paraId="035C72F6" w14:textId="77777777" w:rsidR="00C062F6" w:rsidRPr="00C14798" w:rsidRDefault="00C062F6">
            <w:pPr>
              <w:spacing w:after="0"/>
              <w:ind w:left="0" w:firstLine="0"/>
              <w:jc w:val="left"/>
              <w:rPr>
                <w:rFonts w:asciiTheme="majorBidi" w:hAnsiTheme="majorBidi" w:cstheme="majorBidi"/>
                <w:sz w:val="16"/>
                <w:szCs w:val="16"/>
              </w:rPr>
            </w:pPr>
            <w:r w:rsidRPr="00C14798">
              <w:rPr>
                <w:rFonts w:asciiTheme="majorBidi" w:hAnsiTheme="majorBidi" w:cstheme="majorBidi"/>
                <w:sz w:val="16"/>
                <w:szCs w:val="16"/>
              </w:rPr>
              <w:t>Doit satisfaire au critère</w:t>
            </w:r>
          </w:p>
        </w:tc>
        <w:tc>
          <w:tcPr>
            <w:tcW w:w="1530" w:type="dxa"/>
            <w:shd w:val="clear" w:color="auto" w:fill="auto"/>
          </w:tcPr>
          <w:p w14:paraId="0CB30530" w14:textId="4923E9D5" w:rsidR="00C062F6" w:rsidRPr="00C14798" w:rsidRDefault="006B2CB2">
            <w:pPr>
              <w:spacing w:after="0"/>
              <w:ind w:left="0" w:firstLine="0"/>
              <w:jc w:val="left"/>
              <w:rPr>
                <w:rFonts w:asciiTheme="majorBidi" w:hAnsiTheme="majorBidi" w:cstheme="majorBidi"/>
                <w:sz w:val="16"/>
                <w:szCs w:val="16"/>
              </w:rPr>
            </w:pPr>
            <w:r w:rsidRPr="00C14798">
              <w:rPr>
                <w:rFonts w:asciiTheme="majorBidi" w:hAnsiTheme="majorBidi" w:cstheme="majorBidi"/>
                <w:sz w:val="16"/>
                <w:szCs w:val="16"/>
              </w:rPr>
              <w:t>Doit</w:t>
            </w:r>
            <w:r w:rsidR="00C062F6" w:rsidRPr="00C14798">
              <w:rPr>
                <w:rFonts w:asciiTheme="majorBidi" w:hAnsiTheme="majorBidi" w:cstheme="majorBidi"/>
                <w:sz w:val="16"/>
                <w:szCs w:val="16"/>
              </w:rPr>
              <w:t xml:space="preserve"> satisfaire au critère</w:t>
            </w:r>
          </w:p>
        </w:tc>
        <w:tc>
          <w:tcPr>
            <w:tcW w:w="1440" w:type="dxa"/>
            <w:shd w:val="clear" w:color="auto" w:fill="auto"/>
          </w:tcPr>
          <w:p w14:paraId="4ADAB04B" w14:textId="77777777" w:rsidR="00C062F6" w:rsidRPr="00C14798" w:rsidRDefault="00C062F6">
            <w:pPr>
              <w:spacing w:after="0"/>
              <w:ind w:left="0" w:firstLine="0"/>
              <w:jc w:val="left"/>
              <w:rPr>
                <w:rFonts w:asciiTheme="majorBidi" w:hAnsiTheme="majorBidi" w:cstheme="majorBidi"/>
                <w:sz w:val="16"/>
                <w:szCs w:val="16"/>
              </w:rPr>
            </w:pPr>
            <w:r w:rsidRPr="00C14798">
              <w:rPr>
                <w:rFonts w:asciiTheme="majorBidi" w:hAnsiTheme="majorBidi" w:cstheme="majorBidi"/>
                <w:sz w:val="16"/>
                <w:szCs w:val="16"/>
              </w:rPr>
              <w:t>Doit satisfaire au critère</w:t>
            </w:r>
          </w:p>
        </w:tc>
        <w:tc>
          <w:tcPr>
            <w:tcW w:w="1393" w:type="dxa"/>
            <w:shd w:val="clear" w:color="auto" w:fill="auto"/>
          </w:tcPr>
          <w:p w14:paraId="42AA0D61" w14:textId="77777777" w:rsidR="00C062F6" w:rsidRPr="00C14798" w:rsidRDefault="00C062F6">
            <w:pPr>
              <w:spacing w:after="0"/>
              <w:ind w:left="0" w:firstLine="0"/>
              <w:jc w:val="left"/>
              <w:rPr>
                <w:rFonts w:asciiTheme="majorBidi" w:hAnsiTheme="majorBidi" w:cstheme="majorBidi"/>
                <w:sz w:val="16"/>
                <w:szCs w:val="16"/>
              </w:rPr>
            </w:pPr>
            <w:r w:rsidRPr="00C14798">
              <w:rPr>
                <w:rFonts w:asciiTheme="majorBidi" w:hAnsiTheme="majorBidi" w:cstheme="majorBidi"/>
                <w:sz w:val="16"/>
                <w:szCs w:val="16"/>
              </w:rPr>
              <w:t>Sans objet</w:t>
            </w:r>
          </w:p>
        </w:tc>
        <w:tc>
          <w:tcPr>
            <w:tcW w:w="1673" w:type="dxa"/>
            <w:shd w:val="clear" w:color="auto" w:fill="auto"/>
          </w:tcPr>
          <w:p w14:paraId="10D01DCE" w14:textId="26D69EA2" w:rsidR="00C062F6" w:rsidRPr="00C14798" w:rsidRDefault="00C062F6" w:rsidP="00436A25">
            <w:pPr>
              <w:spacing w:after="0"/>
              <w:ind w:left="0" w:firstLine="0"/>
              <w:jc w:val="left"/>
              <w:rPr>
                <w:rFonts w:asciiTheme="majorBidi" w:hAnsiTheme="majorBidi" w:cstheme="majorBidi"/>
                <w:sz w:val="16"/>
                <w:szCs w:val="16"/>
              </w:rPr>
            </w:pPr>
            <w:r w:rsidRPr="00C14798">
              <w:rPr>
                <w:rFonts w:asciiTheme="majorBidi" w:hAnsiTheme="majorBidi" w:cstheme="majorBidi"/>
                <w:sz w:val="16"/>
                <w:szCs w:val="16"/>
              </w:rPr>
              <w:t>Formulaires ELI –1 et 2, avec pièces jointes</w:t>
            </w:r>
          </w:p>
        </w:tc>
      </w:tr>
      <w:tr w:rsidR="00C062F6" w:rsidRPr="00C14798" w14:paraId="1BAFF62D" w14:textId="77777777" w:rsidTr="000B19C9">
        <w:tblPrEx>
          <w:tblLook w:val="0000" w:firstRow="0" w:lastRow="0" w:firstColumn="0" w:lastColumn="0" w:noHBand="0" w:noVBand="0"/>
        </w:tblPrEx>
        <w:trPr>
          <w:cantSplit/>
        </w:trPr>
        <w:tc>
          <w:tcPr>
            <w:tcW w:w="1458" w:type="dxa"/>
            <w:shd w:val="clear" w:color="auto" w:fill="auto"/>
          </w:tcPr>
          <w:p w14:paraId="6825B67E" w14:textId="1B9E3AF5" w:rsidR="00C062F6" w:rsidRPr="00C14798" w:rsidRDefault="00C062F6" w:rsidP="00FC7AA0">
            <w:pPr>
              <w:pStyle w:val="Titre2"/>
              <w:tabs>
                <w:tab w:val="left" w:pos="576"/>
              </w:tabs>
              <w:spacing w:after="0"/>
              <w:jc w:val="left"/>
              <w:rPr>
                <w:rFonts w:asciiTheme="majorBidi" w:hAnsiTheme="majorBidi" w:cstheme="majorBidi"/>
                <w:b w:val="0"/>
                <w:sz w:val="16"/>
                <w:szCs w:val="16"/>
              </w:rPr>
            </w:pPr>
            <w:r w:rsidRPr="00C14798">
              <w:rPr>
                <w:rFonts w:asciiTheme="majorBidi" w:hAnsiTheme="majorBidi" w:cstheme="majorBidi"/>
                <w:b w:val="0"/>
                <w:sz w:val="16"/>
                <w:szCs w:val="16"/>
              </w:rPr>
              <w:t>1.2</w:t>
            </w:r>
          </w:p>
        </w:tc>
        <w:tc>
          <w:tcPr>
            <w:tcW w:w="1710" w:type="dxa"/>
            <w:shd w:val="clear" w:color="auto" w:fill="auto"/>
          </w:tcPr>
          <w:p w14:paraId="6D34E00F" w14:textId="2E262190" w:rsidR="00C062F6" w:rsidRPr="00C14798" w:rsidRDefault="00C062F6" w:rsidP="00284E69">
            <w:pPr>
              <w:pStyle w:val="Titre2"/>
              <w:tabs>
                <w:tab w:val="left" w:pos="576"/>
              </w:tabs>
              <w:spacing w:after="0"/>
              <w:ind w:left="0" w:firstLine="0"/>
              <w:jc w:val="left"/>
              <w:rPr>
                <w:rFonts w:asciiTheme="majorBidi" w:hAnsiTheme="majorBidi" w:cstheme="majorBidi"/>
                <w:sz w:val="16"/>
                <w:szCs w:val="16"/>
              </w:rPr>
            </w:pPr>
            <w:r w:rsidRPr="00C14798">
              <w:rPr>
                <w:rFonts w:asciiTheme="majorBidi" w:hAnsiTheme="majorBidi" w:cstheme="majorBidi"/>
                <w:sz w:val="16"/>
                <w:szCs w:val="16"/>
              </w:rPr>
              <w:t>Conflit d’intérêts</w:t>
            </w:r>
          </w:p>
        </w:tc>
        <w:tc>
          <w:tcPr>
            <w:tcW w:w="2666" w:type="dxa"/>
            <w:shd w:val="clear" w:color="auto" w:fill="auto"/>
          </w:tcPr>
          <w:p w14:paraId="20849CA8" w14:textId="77777777" w:rsidR="00C062F6" w:rsidRPr="00C14798" w:rsidRDefault="00C062F6" w:rsidP="00284E69">
            <w:pPr>
              <w:pStyle w:val="Retraitcorpsdetexte"/>
              <w:spacing w:after="0"/>
              <w:ind w:left="0" w:firstLine="0"/>
              <w:jc w:val="left"/>
              <w:rPr>
                <w:rFonts w:asciiTheme="majorBidi" w:hAnsiTheme="majorBidi" w:cstheme="majorBidi"/>
                <w:spacing w:val="-4"/>
                <w:sz w:val="16"/>
                <w:szCs w:val="16"/>
                <w:lang w:val="fr-FR"/>
              </w:rPr>
            </w:pPr>
            <w:r w:rsidRPr="00C14798">
              <w:rPr>
                <w:rFonts w:asciiTheme="majorBidi" w:hAnsiTheme="majorBidi" w:cstheme="majorBidi"/>
                <w:spacing w:val="-4"/>
                <w:sz w:val="16"/>
                <w:szCs w:val="16"/>
                <w:lang w:val="fr-FR"/>
              </w:rPr>
              <w:t xml:space="preserve">Pas de conflit d’intérêts selon l’article 4.2 des IS. </w:t>
            </w:r>
          </w:p>
        </w:tc>
        <w:tc>
          <w:tcPr>
            <w:tcW w:w="1350" w:type="dxa"/>
            <w:shd w:val="clear" w:color="auto" w:fill="auto"/>
          </w:tcPr>
          <w:p w14:paraId="1A7AA097" w14:textId="77777777" w:rsidR="00C062F6" w:rsidRPr="00C14798" w:rsidRDefault="00C062F6">
            <w:pPr>
              <w:spacing w:after="0"/>
              <w:ind w:left="0" w:firstLine="0"/>
              <w:jc w:val="left"/>
              <w:rPr>
                <w:rFonts w:asciiTheme="majorBidi" w:hAnsiTheme="majorBidi" w:cstheme="majorBidi"/>
                <w:sz w:val="16"/>
                <w:szCs w:val="16"/>
              </w:rPr>
            </w:pPr>
            <w:r w:rsidRPr="00C14798">
              <w:rPr>
                <w:rFonts w:asciiTheme="majorBidi" w:hAnsiTheme="majorBidi" w:cstheme="majorBidi"/>
                <w:sz w:val="16"/>
                <w:szCs w:val="16"/>
              </w:rPr>
              <w:t>Doit satisfaire au critère</w:t>
            </w:r>
          </w:p>
        </w:tc>
        <w:tc>
          <w:tcPr>
            <w:tcW w:w="1530" w:type="dxa"/>
            <w:shd w:val="clear" w:color="auto" w:fill="auto"/>
          </w:tcPr>
          <w:p w14:paraId="6D6F863D" w14:textId="670175B0" w:rsidR="00C062F6" w:rsidRPr="00C14798" w:rsidRDefault="006B2CB2">
            <w:pPr>
              <w:spacing w:after="0"/>
              <w:ind w:left="0" w:firstLine="0"/>
              <w:jc w:val="left"/>
              <w:rPr>
                <w:rFonts w:asciiTheme="majorBidi" w:hAnsiTheme="majorBidi" w:cstheme="majorBidi"/>
                <w:sz w:val="16"/>
                <w:szCs w:val="16"/>
              </w:rPr>
            </w:pPr>
            <w:r w:rsidRPr="00C14798">
              <w:rPr>
                <w:rFonts w:asciiTheme="majorBidi" w:hAnsiTheme="majorBidi" w:cstheme="majorBidi"/>
                <w:sz w:val="16"/>
                <w:szCs w:val="16"/>
              </w:rPr>
              <w:t>Doit</w:t>
            </w:r>
            <w:r w:rsidR="00C062F6" w:rsidRPr="00C14798">
              <w:rPr>
                <w:rFonts w:asciiTheme="majorBidi" w:hAnsiTheme="majorBidi" w:cstheme="majorBidi"/>
                <w:sz w:val="16"/>
                <w:szCs w:val="16"/>
              </w:rPr>
              <w:t xml:space="preserve"> satisfaire au critère</w:t>
            </w:r>
          </w:p>
        </w:tc>
        <w:tc>
          <w:tcPr>
            <w:tcW w:w="1440" w:type="dxa"/>
            <w:shd w:val="clear" w:color="auto" w:fill="auto"/>
          </w:tcPr>
          <w:p w14:paraId="6A7DB3A4" w14:textId="77777777" w:rsidR="00C062F6" w:rsidRPr="00C14798" w:rsidRDefault="00C062F6">
            <w:pPr>
              <w:spacing w:after="0"/>
              <w:ind w:left="0" w:firstLine="0"/>
              <w:jc w:val="left"/>
              <w:rPr>
                <w:rFonts w:asciiTheme="majorBidi" w:hAnsiTheme="majorBidi" w:cstheme="majorBidi"/>
                <w:sz w:val="16"/>
                <w:szCs w:val="16"/>
              </w:rPr>
            </w:pPr>
            <w:r w:rsidRPr="00C14798">
              <w:rPr>
                <w:rFonts w:asciiTheme="majorBidi" w:hAnsiTheme="majorBidi" w:cstheme="majorBidi"/>
                <w:sz w:val="16"/>
                <w:szCs w:val="16"/>
              </w:rPr>
              <w:t>Doit satisfaire au critère</w:t>
            </w:r>
          </w:p>
        </w:tc>
        <w:tc>
          <w:tcPr>
            <w:tcW w:w="1393" w:type="dxa"/>
            <w:shd w:val="clear" w:color="auto" w:fill="auto"/>
          </w:tcPr>
          <w:p w14:paraId="7361808D" w14:textId="77777777" w:rsidR="00C062F6" w:rsidRPr="00C14798" w:rsidRDefault="00C062F6">
            <w:pPr>
              <w:spacing w:after="0"/>
              <w:ind w:left="0" w:firstLine="0"/>
              <w:jc w:val="left"/>
              <w:rPr>
                <w:rFonts w:asciiTheme="majorBidi" w:hAnsiTheme="majorBidi" w:cstheme="majorBidi"/>
                <w:sz w:val="16"/>
                <w:szCs w:val="16"/>
              </w:rPr>
            </w:pPr>
            <w:r w:rsidRPr="00C14798">
              <w:rPr>
                <w:rFonts w:asciiTheme="majorBidi" w:hAnsiTheme="majorBidi" w:cstheme="majorBidi"/>
                <w:sz w:val="16"/>
                <w:szCs w:val="16"/>
              </w:rPr>
              <w:t>Sans objet</w:t>
            </w:r>
          </w:p>
        </w:tc>
        <w:tc>
          <w:tcPr>
            <w:tcW w:w="1673" w:type="dxa"/>
            <w:shd w:val="clear" w:color="auto" w:fill="auto"/>
          </w:tcPr>
          <w:p w14:paraId="7E8DA997" w14:textId="77777777" w:rsidR="00C062F6" w:rsidRPr="00C14798" w:rsidRDefault="00C062F6">
            <w:pPr>
              <w:spacing w:after="0"/>
              <w:ind w:left="0" w:firstLine="0"/>
              <w:jc w:val="left"/>
              <w:rPr>
                <w:rFonts w:asciiTheme="majorBidi" w:hAnsiTheme="majorBidi" w:cstheme="majorBidi"/>
                <w:sz w:val="16"/>
                <w:szCs w:val="16"/>
              </w:rPr>
            </w:pPr>
            <w:r w:rsidRPr="00C14798">
              <w:rPr>
                <w:rFonts w:asciiTheme="majorBidi" w:hAnsiTheme="majorBidi" w:cstheme="majorBidi"/>
                <w:sz w:val="16"/>
                <w:szCs w:val="16"/>
              </w:rPr>
              <w:t>Formulaire de Soumission</w:t>
            </w:r>
          </w:p>
        </w:tc>
      </w:tr>
      <w:tr w:rsidR="00C062F6" w:rsidRPr="00C14798" w14:paraId="67339BA4" w14:textId="77777777" w:rsidTr="000B19C9">
        <w:tblPrEx>
          <w:tblLook w:val="0000" w:firstRow="0" w:lastRow="0" w:firstColumn="0" w:lastColumn="0" w:noHBand="0" w:noVBand="0"/>
        </w:tblPrEx>
        <w:trPr>
          <w:cantSplit/>
        </w:trPr>
        <w:tc>
          <w:tcPr>
            <w:tcW w:w="1458" w:type="dxa"/>
            <w:shd w:val="clear" w:color="auto" w:fill="auto"/>
          </w:tcPr>
          <w:p w14:paraId="14109A92" w14:textId="3E4F9A88" w:rsidR="00C062F6" w:rsidRPr="00C14798" w:rsidRDefault="00C062F6" w:rsidP="00FC7AA0">
            <w:pPr>
              <w:pStyle w:val="Titre2"/>
              <w:tabs>
                <w:tab w:val="left" w:pos="576"/>
              </w:tabs>
              <w:spacing w:after="0"/>
              <w:jc w:val="left"/>
              <w:rPr>
                <w:rFonts w:asciiTheme="majorBidi" w:hAnsiTheme="majorBidi" w:cstheme="majorBidi"/>
                <w:b w:val="0"/>
                <w:sz w:val="16"/>
                <w:szCs w:val="16"/>
              </w:rPr>
            </w:pPr>
            <w:r w:rsidRPr="00C14798">
              <w:rPr>
                <w:rFonts w:asciiTheme="majorBidi" w:hAnsiTheme="majorBidi" w:cstheme="majorBidi"/>
                <w:b w:val="0"/>
                <w:sz w:val="16"/>
                <w:szCs w:val="16"/>
              </w:rPr>
              <w:t>1.3</w:t>
            </w:r>
          </w:p>
        </w:tc>
        <w:tc>
          <w:tcPr>
            <w:tcW w:w="1710" w:type="dxa"/>
            <w:shd w:val="clear" w:color="auto" w:fill="auto"/>
          </w:tcPr>
          <w:p w14:paraId="4883DA9D" w14:textId="1D55001C" w:rsidR="00C062F6" w:rsidRPr="00C14798" w:rsidRDefault="00C062F6" w:rsidP="00284E69">
            <w:pPr>
              <w:pStyle w:val="Titre2"/>
              <w:tabs>
                <w:tab w:val="left" w:pos="576"/>
              </w:tabs>
              <w:spacing w:after="0"/>
              <w:ind w:left="0" w:firstLine="0"/>
              <w:jc w:val="left"/>
              <w:rPr>
                <w:rFonts w:asciiTheme="majorBidi" w:hAnsiTheme="majorBidi" w:cstheme="majorBidi"/>
                <w:sz w:val="16"/>
                <w:szCs w:val="16"/>
              </w:rPr>
            </w:pPr>
            <w:r w:rsidRPr="00C14798">
              <w:rPr>
                <w:rFonts w:asciiTheme="majorBidi" w:hAnsiTheme="majorBidi" w:cstheme="majorBidi"/>
                <w:sz w:val="16"/>
                <w:szCs w:val="16"/>
              </w:rPr>
              <w:t>Exclusion par la Banque</w:t>
            </w:r>
          </w:p>
        </w:tc>
        <w:tc>
          <w:tcPr>
            <w:tcW w:w="2666" w:type="dxa"/>
            <w:shd w:val="clear" w:color="auto" w:fill="auto"/>
          </w:tcPr>
          <w:p w14:paraId="056690B5" w14:textId="3E2E15C6" w:rsidR="00C062F6" w:rsidRPr="00C14798" w:rsidRDefault="00C062F6" w:rsidP="00284E69">
            <w:pPr>
              <w:pStyle w:val="Retraitcorpsdetexte"/>
              <w:spacing w:after="0"/>
              <w:ind w:left="0" w:firstLine="0"/>
              <w:jc w:val="left"/>
              <w:rPr>
                <w:rFonts w:asciiTheme="majorBidi" w:hAnsiTheme="majorBidi" w:cstheme="majorBidi"/>
                <w:sz w:val="16"/>
                <w:szCs w:val="16"/>
                <w:lang w:val="fr-FR"/>
              </w:rPr>
            </w:pPr>
            <w:r w:rsidRPr="00C14798">
              <w:rPr>
                <w:rFonts w:asciiTheme="majorBidi" w:hAnsiTheme="majorBidi" w:cstheme="majorBidi"/>
                <w:sz w:val="16"/>
                <w:szCs w:val="16"/>
                <w:lang w:val="fr-FR"/>
              </w:rPr>
              <w:t xml:space="preserve">Ne pas avoir été exclu par la Banque, tel que décrit à l’article 4.4 des IS. </w:t>
            </w:r>
          </w:p>
        </w:tc>
        <w:tc>
          <w:tcPr>
            <w:tcW w:w="1350" w:type="dxa"/>
            <w:shd w:val="clear" w:color="auto" w:fill="auto"/>
          </w:tcPr>
          <w:p w14:paraId="4ACA10CC" w14:textId="77777777" w:rsidR="00C062F6" w:rsidRPr="00C14798" w:rsidRDefault="00C062F6">
            <w:pPr>
              <w:spacing w:after="0"/>
              <w:ind w:left="0" w:firstLine="0"/>
              <w:jc w:val="left"/>
              <w:rPr>
                <w:rFonts w:asciiTheme="majorBidi" w:hAnsiTheme="majorBidi" w:cstheme="majorBidi"/>
                <w:sz w:val="16"/>
                <w:szCs w:val="16"/>
              </w:rPr>
            </w:pPr>
            <w:r w:rsidRPr="00C14798">
              <w:rPr>
                <w:rFonts w:asciiTheme="majorBidi" w:hAnsiTheme="majorBidi" w:cstheme="majorBidi"/>
                <w:sz w:val="16"/>
                <w:szCs w:val="16"/>
              </w:rPr>
              <w:t>Doit satisfaire au critère</w:t>
            </w:r>
          </w:p>
        </w:tc>
        <w:tc>
          <w:tcPr>
            <w:tcW w:w="1530" w:type="dxa"/>
            <w:shd w:val="clear" w:color="auto" w:fill="auto"/>
          </w:tcPr>
          <w:p w14:paraId="44F33FEB" w14:textId="09B6C95A" w:rsidR="00C062F6" w:rsidRPr="00C14798" w:rsidRDefault="006B2CB2">
            <w:pPr>
              <w:spacing w:after="0"/>
              <w:ind w:left="0" w:firstLine="0"/>
              <w:jc w:val="left"/>
              <w:rPr>
                <w:rFonts w:asciiTheme="majorBidi" w:hAnsiTheme="majorBidi" w:cstheme="majorBidi"/>
                <w:sz w:val="16"/>
                <w:szCs w:val="16"/>
              </w:rPr>
            </w:pPr>
            <w:r w:rsidRPr="00C14798">
              <w:rPr>
                <w:rFonts w:asciiTheme="majorBidi" w:hAnsiTheme="majorBidi" w:cstheme="majorBidi"/>
                <w:sz w:val="16"/>
                <w:szCs w:val="16"/>
              </w:rPr>
              <w:t>Doit</w:t>
            </w:r>
            <w:r w:rsidR="00C062F6" w:rsidRPr="00C14798">
              <w:rPr>
                <w:rFonts w:asciiTheme="majorBidi" w:hAnsiTheme="majorBidi" w:cstheme="majorBidi"/>
                <w:sz w:val="16"/>
                <w:szCs w:val="16"/>
              </w:rPr>
              <w:t xml:space="preserve"> satisfaire au critère</w:t>
            </w:r>
          </w:p>
        </w:tc>
        <w:tc>
          <w:tcPr>
            <w:tcW w:w="1440" w:type="dxa"/>
            <w:shd w:val="clear" w:color="auto" w:fill="auto"/>
          </w:tcPr>
          <w:p w14:paraId="42E80418" w14:textId="77777777" w:rsidR="00C062F6" w:rsidRPr="00C14798" w:rsidRDefault="00C062F6">
            <w:pPr>
              <w:spacing w:after="0"/>
              <w:ind w:left="0" w:firstLine="0"/>
              <w:jc w:val="left"/>
              <w:rPr>
                <w:rFonts w:asciiTheme="majorBidi" w:hAnsiTheme="majorBidi" w:cstheme="majorBidi"/>
                <w:sz w:val="16"/>
                <w:szCs w:val="16"/>
              </w:rPr>
            </w:pPr>
            <w:r w:rsidRPr="00C14798">
              <w:rPr>
                <w:rFonts w:asciiTheme="majorBidi" w:hAnsiTheme="majorBidi" w:cstheme="majorBidi"/>
                <w:sz w:val="16"/>
                <w:szCs w:val="16"/>
              </w:rPr>
              <w:t>Doit satisfaire au critère</w:t>
            </w:r>
          </w:p>
        </w:tc>
        <w:tc>
          <w:tcPr>
            <w:tcW w:w="1393" w:type="dxa"/>
            <w:shd w:val="clear" w:color="auto" w:fill="auto"/>
          </w:tcPr>
          <w:p w14:paraId="59F1F1DF" w14:textId="77777777" w:rsidR="00C062F6" w:rsidRPr="00C14798" w:rsidRDefault="00C062F6">
            <w:pPr>
              <w:spacing w:after="0"/>
              <w:ind w:left="0" w:firstLine="0"/>
              <w:jc w:val="left"/>
              <w:rPr>
                <w:rFonts w:asciiTheme="majorBidi" w:hAnsiTheme="majorBidi" w:cstheme="majorBidi"/>
                <w:sz w:val="16"/>
                <w:szCs w:val="16"/>
              </w:rPr>
            </w:pPr>
            <w:r w:rsidRPr="00C14798">
              <w:rPr>
                <w:rFonts w:asciiTheme="majorBidi" w:hAnsiTheme="majorBidi" w:cstheme="majorBidi"/>
                <w:sz w:val="16"/>
                <w:szCs w:val="16"/>
              </w:rPr>
              <w:t>Sans objet</w:t>
            </w:r>
          </w:p>
        </w:tc>
        <w:tc>
          <w:tcPr>
            <w:tcW w:w="1673" w:type="dxa"/>
            <w:shd w:val="clear" w:color="auto" w:fill="auto"/>
          </w:tcPr>
          <w:p w14:paraId="31D8DA18" w14:textId="77777777" w:rsidR="00C062F6" w:rsidRPr="00C14798" w:rsidRDefault="00C062F6">
            <w:pPr>
              <w:spacing w:after="0"/>
              <w:ind w:left="0" w:firstLine="0"/>
              <w:jc w:val="left"/>
              <w:rPr>
                <w:rFonts w:asciiTheme="majorBidi" w:hAnsiTheme="majorBidi" w:cstheme="majorBidi"/>
                <w:sz w:val="16"/>
                <w:szCs w:val="16"/>
              </w:rPr>
            </w:pPr>
            <w:r w:rsidRPr="00C14798">
              <w:rPr>
                <w:rFonts w:asciiTheme="majorBidi" w:hAnsiTheme="majorBidi" w:cstheme="majorBidi"/>
                <w:sz w:val="16"/>
                <w:szCs w:val="16"/>
              </w:rPr>
              <w:t>Formulaire de Soumission</w:t>
            </w:r>
          </w:p>
        </w:tc>
      </w:tr>
      <w:tr w:rsidR="00C062F6" w:rsidRPr="00C14798" w14:paraId="50B5837F" w14:textId="77777777" w:rsidTr="000B19C9">
        <w:tblPrEx>
          <w:tblLook w:val="0000" w:firstRow="0" w:lastRow="0" w:firstColumn="0" w:lastColumn="0" w:noHBand="0" w:noVBand="0"/>
        </w:tblPrEx>
        <w:tc>
          <w:tcPr>
            <w:tcW w:w="1458" w:type="dxa"/>
            <w:shd w:val="clear" w:color="auto" w:fill="auto"/>
          </w:tcPr>
          <w:p w14:paraId="01E781AE" w14:textId="657D45DC" w:rsidR="00C062F6" w:rsidRPr="00C14798" w:rsidRDefault="00C062F6" w:rsidP="00FC7AA0">
            <w:pPr>
              <w:pStyle w:val="Titre2"/>
              <w:tabs>
                <w:tab w:val="left" w:pos="576"/>
              </w:tabs>
              <w:spacing w:after="0"/>
              <w:jc w:val="left"/>
              <w:rPr>
                <w:rFonts w:asciiTheme="majorBidi" w:hAnsiTheme="majorBidi" w:cstheme="majorBidi"/>
                <w:b w:val="0"/>
                <w:sz w:val="16"/>
                <w:szCs w:val="16"/>
              </w:rPr>
            </w:pPr>
            <w:r w:rsidRPr="00C14798">
              <w:rPr>
                <w:rFonts w:asciiTheme="majorBidi" w:hAnsiTheme="majorBidi" w:cstheme="majorBidi"/>
                <w:b w:val="0"/>
                <w:sz w:val="16"/>
                <w:szCs w:val="16"/>
              </w:rPr>
              <w:t>1.4</w:t>
            </w:r>
          </w:p>
        </w:tc>
        <w:tc>
          <w:tcPr>
            <w:tcW w:w="1710" w:type="dxa"/>
            <w:shd w:val="clear" w:color="auto" w:fill="auto"/>
          </w:tcPr>
          <w:p w14:paraId="41E6C303" w14:textId="10EB094B" w:rsidR="00C062F6" w:rsidRPr="00C14798" w:rsidRDefault="00C062F6" w:rsidP="00284E69">
            <w:pPr>
              <w:pStyle w:val="Titre2"/>
              <w:tabs>
                <w:tab w:val="left" w:pos="576"/>
              </w:tabs>
              <w:spacing w:after="0"/>
              <w:ind w:left="0" w:firstLine="0"/>
              <w:jc w:val="left"/>
              <w:rPr>
                <w:rFonts w:asciiTheme="majorBidi" w:hAnsiTheme="majorBidi" w:cstheme="majorBidi"/>
                <w:sz w:val="16"/>
                <w:szCs w:val="16"/>
              </w:rPr>
            </w:pPr>
            <w:r w:rsidRPr="00C14798">
              <w:rPr>
                <w:rFonts w:asciiTheme="majorBidi" w:hAnsiTheme="majorBidi" w:cstheme="majorBidi"/>
                <w:sz w:val="16"/>
                <w:szCs w:val="16"/>
              </w:rPr>
              <w:t>Entreprise publique du pays de l’Emprunteur</w:t>
            </w:r>
          </w:p>
        </w:tc>
        <w:tc>
          <w:tcPr>
            <w:tcW w:w="2666" w:type="dxa"/>
            <w:shd w:val="clear" w:color="auto" w:fill="auto"/>
          </w:tcPr>
          <w:p w14:paraId="4CD41B29" w14:textId="4BBC88BB" w:rsidR="00C062F6" w:rsidRPr="00C14798" w:rsidRDefault="00C062F6" w:rsidP="00284E69">
            <w:pPr>
              <w:pStyle w:val="Retraitcorpsdetexte"/>
              <w:spacing w:after="0"/>
              <w:ind w:left="0" w:firstLine="0"/>
              <w:jc w:val="left"/>
              <w:rPr>
                <w:rFonts w:asciiTheme="majorBidi" w:hAnsiTheme="majorBidi" w:cstheme="majorBidi"/>
                <w:spacing w:val="-4"/>
                <w:sz w:val="16"/>
                <w:szCs w:val="16"/>
                <w:lang w:val="fr-FR"/>
              </w:rPr>
            </w:pPr>
            <w:r w:rsidRPr="00C14798">
              <w:rPr>
                <w:rFonts w:asciiTheme="majorBidi" w:hAnsiTheme="majorBidi" w:cstheme="majorBidi"/>
                <w:spacing w:val="-4"/>
                <w:sz w:val="16"/>
                <w:szCs w:val="16"/>
                <w:lang w:val="fr-FR"/>
              </w:rPr>
              <w:t>Conforme à l’article 4.5 des IS.</w:t>
            </w:r>
          </w:p>
        </w:tc>
        <w:tc>
          <w:tcPr>
            <w:tcW w:w="1350" w:type="dxa"/>
            <w:shd w:val="clear" w:color="auto" w:fill="auto"/>
          </w:tcPr>
          <w:p w14:paraId="0022E245" w14:textId="77777777" w:rsidR="00C062F6" w:rsidRPr="00C14798" w:rsidRDefault="00C062F6">
            <w:pPr>
              <w:spacing w:after="0"/>
              <w:ind w:left="0" w:firstLine="0"/>
              <w:jc w:val="left"/>
              <w:rPr>
                <w:rFonts w:asciiTheme="majorBidi" w:hAnsiTheme="majorBidi" w:cstheme="majorBidi"/>
                <w:sz w:val="16"/>
                <w:szCs w:val="16"/>
              </w:rPr>
            </w:pPr>
            <w:r w:rsidRPr="00C14798">
              <w:rPr>
                <w:rFonts w:asciiTheme="majorBidi" w:hAnsiTheme="majorBidi" w:cstheme="majorBidi"/>
                <w:sz w:val="16"/>
                <w:szCs w:val="16"/>
              </w:rPr>
              <w:t>Doit satisfaire au critère</w:t>
            </w:r>
          </w:p>
        </w:tc>
        <w:tc>
          <w:tcPr>
            <w:tcW w:w="1530" w:type="dxa"/>
            <w:shd w:val="clear" w:color="auto" w:fill="auto"/>
          </w:tcPr>
          <w:p w14:paraId="554F1388" w14:textId="77777777" w:rsidR="00C062F6" w:rsidRPr="00C14798" w:rsidRDefault="00C062F6">
            <w:pPr>
              <w:spacing w:after="0"/>
              <w:ind w:left="0" w:firstLine="0"/>
              <w:jc w:val="left"/>
              <w:rPr>
                <w:rFonts w:asciiTheme="majorBidi" w:hAnsiTheme="majorBidi" w:cstheme="majorBidi"/>
                <w:sz w:val="16"/>
                <w:szCs w:val="16"/>
              </w:rPr>
            </w:pPr>
            <w:r w:rsidRPr="00C14798">
              <w:rPr>
                <w:rFonts w:asciiTheme="majorBidi" w:hAnsiTheme="majorBidi" w:cstheme="majorBidi"/>
                <w:sz w:val="16"/>
                <w:szCs w:val="16"/>
              </w:rPr>
              <w:t>Doit satisfaire au critère</w:t>
            </w:r>
          </w:p>
        </w:tc>
        <w:tc>
          <w:tcPr>
            <w:tcW w:w="1440" w:type="dxa"/>
            <w:shd w:val="clear" w:color="auto" w:fill="auto"/>
          </w:tcPr>
          <w:p w14:paraId="55AD3786" w14:textId="77777777" w:rsidR="00C062F6" w:rsidRPr="00C14798" w:rsidRDefault="00C062F6">
            <w:pPr>
              <w:spacing w:after="0"/>
              <w:ind w:left="0" w:firstLine="0"/>
              <w:jc w:val="left"/>
              <w:rPr>
                <w:rFonts w:asciiTheme="majorBidi" w:hAnsiTheme="majorBidi" w:cstheme="majorBidi"/>
                <w:sz w:val="16"/>
                <w:szCs w:val="16"/>
              </w:rPr>
            </w:pPr>
            <w:r w:rsidRPr="00C14798">
              <w:rPr>
                <w:rFonts w:asciiTheme="majorBidi" w:hAnsiTheme="majorBidi" w:cstheme="majorBidi"/>
                <w:sz w:val="16"/>
                <w:szCs w:val="16"/>
              </w:rPr>
              <w:t>Doit satisfaire au critère</w:t>
            </w:r>
          </w:p>
        </w:tc>
        <w:tc>
          <w:tcPr>
            <w:tcW w:w="1393" w:type="dxa"/>
            <w:shd w:val="clear" w:color="auto" w:fill="auto"/>
          </w:tcPr>
          <w:p w14:paraId="71380637" w14:textId="77777777" w:rsidR="00C062F6" w:rsidRPr="00C14798" w:rsidRDefault="00C062F6">
            <w:pPr>
              <w:spacing w:after="0"/>
              <w:ind w:left="0" w:firstLine="0"/>
              <w:jc w:val="left"/>
              <w:rPr>
                <w:rFonts w:asciiTheme="majorBidi" w:hAnsiTheme="majorBidi" w:cstheme="majorBidi"/>
                <w:sz w:val="16"/>
                <w:szCs w:val="16"/>
              </w:rPr>
            </w:pPr>
            <w:r w:rsidRPr="00C14798">
              <w:rPr>
                <w:rFonts w:asciiTheme="majorBidi" w:hAnsiTheme="majorBidi" w:cstheme="majorBidi"/>
                <w:sz w:val="16"/>
                <w:szCs w:val="16"/>
              </w:rPr>
              <w:t>Sans objet</w:t>
            </w:r>
          </w:p>
        </w:tc>
        <w:tc>
          <w:tcPr>
            <w:tcW w:w="1673" w:type="dxa"/>
            <w:shd w:val="clear" w:color="auto" w:fill="auto"/>
          </w:tcPr>
          <w:p w14:paraId="0D535376" w14:textId="12906833" w:rsidR="00C062F6" w:rsidRPr="00C14798" w:rsidRDefault="00C062F6" w:rsidP="00436A25">
            <w:pPr>
              <w:spacing w:after="0"/>
              <w:ind w:left="0" w:firstLine="0"/>
              <w:jc w:val="left"/>
              <w:rPr>
                <w:rFonts w:asciiTheme="majorBidi" w:hAnsiTheme="majorBidi" w:cstheme="majorBidi"/>
                <w:sz w:val="16"/>
                <w:szCs w:val="16"/>
              </w:rPr>
            </w:pPr>
            <w:r w:rsidRPr="00C14798">
              <w:rPr>
                <w:rFonts w:asciiTheme="majorBidi" w:hAnsiTheme="majorBidi" w:cstheme="majorBidi"/>
                <w:sz w:val="16"/>
                <w:szCs w:val="16"/>
              </w:rPr>
              <w:t>Formulaires ELI -1, 2, avec pièces jointes</w:t>
            </w:r>
          </w:p>
        </w:tc>
      </w:tr>
      <w:tr w:rsidR="00F50784" w:rsidRPr="00C14798" w14:paraId="57626089" w14:textId="77777777" w:rsidTr="000B19C9">
        <w:tblPrEx>
          <w:tblLook w:val="0000" w:firstRow="0" w:lastRow="0" w:firstColumn="0" w:lastColumn="0" w:noHBand="0" w:noVBand="0"/>
        </w:tblPrEx>
        <w:tc>
          <w:tcPr>
            <w:tcW w:w="1458" w:type="dxa"/>
            <w:shd w:val="clear" w:color="auto" w:fill="auto"/>
          </w:tcPr>
          <w:p w14:paraId="61E76582" w14:textId="3CF9AE50" w:rsidR="00F50784" w:rsidRPr="00C14798" w:rsidRDefault="00F50784" w:rsidP="00F50784">
            <w:pPr>
              <w:pStyle w:val="Titre2"/>
              <w:tabs>
                <w:tab w:val="left" w:pos="576"/>
              </w:tabs>
              <w:spacing w:after="0"/>
              <w:jc w:val="left"/>
              <w:rPr>
                <w:rFonts w:asciiTheme="majorBidi" w:hAnsiTheme="majorBidi" w:cstheme="majorBidi"/>
                <w:b w:val="0"/>
                <w:sz w:val="16"/>
                <w:szCs w:val="16"/>
              </w:rPr>
            </w:pPr>
            <w:r w:rsidRPr="00C14798">
              <w:rPr>
                <w:rFonts w:asciiTheme="majorBidi" w:hAnsiTheme="majorBidi" w:cstheme="majorBidi"/>
                <w:b w:val="0"/>
                <w:sz w:val="16"/>
                <w:szCs w:val="16"/>
              </w:rPr>
              <w:t>1.5</w:t>
            </w:r>
          </w:p>
        </w:tc>
        <w:tc>
          <w:tcPr>
            <w:tcW w:w="1710" w:type="dxa"/>
            <w:shd w:val="clear" w:color="auto" w:fill="auto"/>
          </w:tcPr>
          <w:p w14:paraId="5E8290BA" w14:textId="482CDD98" w:rsidR="00F50784" w:rsidRPr="00C14798" w:rsidRDefault="00F50784" w:rsidP="00F50784">
            <w:pPr>
              <w:pStyle w:val="Titre2"/>
              <w:tabs>
                <w:tab w:val="left" w:pos="576"/>
              </w:tabs>
              <w:spacing w:after="0"/>
              <w:ind w:left="0" w:firstLine="0"/>
              <w:jc w:val="left"/>
              <w:rPr>
                <w:rFonts w:asciiTheme="majorBidi" w:hAnsiTheme="majorBidi" w:cstheme="majorBidi"/>
                <w:sz w:val="16"/>
                <w:szCs w:val="16"/>
              </w:rPr>
            </w:pPr>
            <w:r w:rsidRPr="00C14798">
              <w:rPr>
                <w:rFonts w:asciiTheme="majorBidi" w:hAnsiTheme="majorBidi" w:cstheme="majorBidi"/>
                <w:sz w:val="16"/>
                <w:szCs w:val="16"/>
              </w:rPr>
              <w:t>Exclusion au titre d’une résolution des Nations Unis ou de la réglementation du pays emprunteur</w:t>
            </w:r>
          </w:p>
        </w:tc>
        <w:tc>
          <w:tcPr>
            <w:tcW w:w="2666" w:type="dxa"/>
            <w:shd w:val="clear" w:color="auto" w:fill="auto"/>
          </w:tcPr>
          <w:p w14:paraId="51F7177F" w14:textId="5F228119" w:rsidR="00F50784" w:rsidRPr="00C14798" w:rsidRDefault="00F50784" w:rsidP="00087086">
            <w:pPr>
              <w:spacing w:after="0"/>
              <w:ind w:left="0" w:firstLine="0"/>
              <w:jc w:val="left"/>
              <w:rPr>
                <w:rFonts w:asciiTheme="majorBidi" w:hAnsiTheme="majorBidi" w:cstheme="majorBidi"/>
                <w:sz w:val="16"/>
                <w:szCs w:val="16"/>
              </w:rPr>
            </w:pPr>
            <w:r w:rsidRPr="00C14798">
              <w:rPr>
                <w:rFonts w:asciiTheme="majorBidi" w:hAnsiTheme="majorBidi" w:cstheme="majorBidi"/>
                <w:sz w:val="16"/>
                <w:szCs w:val="16"/>
              </w:rPr>
              <w:t>Ne pas avoir été exclu au titre de la réglementation du pays emprunteur en matière de relations commerciales avec le pays du Soumissionnaire ou d’une résolution du Conseil de Sécurité des Nations Unis conformément à la Section V, Pays Eligibles.</w:t>
            </w:r>
          </w:p>
        </w:tc>
        <w:tc>
          <w:tcPr>
            <w:tcW w:w="1350" w:type="dxa"/>
            <w:shd w:val="clear" w:color="auto" w:fill="auto"/>
          </w:tcPr>
          <w:p w14:paraId="0F4D3A82" w14:textId="77777777" w:rsidR="00F50784" w:rsidRPr="00C14798" w:rsidRDefault="00F50784" w:rsidP="00F50784">
            <w:pPr>
              <w:spacing w:after="0"/>
              <w:ind w:left="0" w:firstLine="0"/>
              <w:jc w:val="left"/>
              <w:rPr>
                <w:rFonts w:asciiTheme="majorBidi" w:hAnsiTheme="majorBidi" w:cstheme="majorBidi"/>
                <w:sz w:val="16"/>
                <w:szCs w:val="16"/>
              </w:rPr>
            </w:pPr>
            <w:r w:rsidRPr="00C14798">
              <w:rPr>
                <w:rFonts w:asciiTheme="majorBidi" w:hAnsiTheme="majorBidi" w:cstheme="majorBidi"/>
                <w:sz w:val="16"/>
                <w:szCs w:val="16"/>
              </w:rPr>
              <w:t>Doit satisfaire au critère</w:t>
            </w:r>
          </w:p>
        </w:tc>
        <w:tc>
          <w:tcPr>
            <w:tcW w:w="1530" w:type="dxa"/>
            <w:shd w:val="clear" w:color="auto" w:fill="auto"/>
          </w:tcPr>
          <w:p w14:paraId="20CA38C3" w14:textId="5F271B99" w:rsidR="00F50784" w:rsidRPr="00C14798" w:rsidRDefault="006B2CB2" w:rsidP="00F50784">
            <w:pPr>
              <w:spacing w:after="0"/>
              <w:ind w:left="0" w:firstLine="0"/>
              <w:jc w:val="left"/>
              <w:rPr>
                <w:rFonts w:asciiTheme="majorBidi" w:hAnsiTheme="majorBidi" w:cstheme="majorBidi"/>
                <w:sz w:val="16"/>
                <w:szCs w:val="16"/>
              </w:rPr>
            </w:pPr>
            <w:r w:rsidRPr="00C14798">
              <w:rPr>
                <w:rFonts w:asciiTheme="majorBidi" w:hAnsiTheme="majorBidi" w:cstheme="majorBidi"/>
                <w:sz w:val="16"/>
                <w:szCs w:val="16"/>
              </w:rPr>
              <w:t>Doit</w:t>
            </w:r>
            <w:r w:rsidR="00F50784" w:rsidRPr="00C14798">
              <w:rPr>
                <w:rFonts w:asciiTheme="majorBidi" w:hAnsiTheme="majorBidi" w:cstheme="majorBidi"/>
                <w:sz w:val="16"/>
                <w:szCs w:val="16"/>
              </w:rPr>
              <w:t xml:space="preserve"> satisfaire au critère</w:t>
            </w:r>
          </w:p>
        </w:tc>
        <w:tc>
          <w:tcPr>
            <w:tcW w:w="1440" w:type="dxa"/>
            <w:shd w:val="clear" w:color="auto" w:fill="auto"/>
          </w:tcPr>
          <w:p w14:paraId="08F058C6" w14:textId="77777777" w:rsidR="00F50784" w:rsidRPr="00C14798" w:rsidRDefault="00F50784" w:rsidP="00F50784">
            <w:pPr>
              <w:spacing w:after="0"/>
              <w:ind w:left="0" w:firstLine="0"/>
              <w:jc w:val="left"/>
              <w:rPr>
                <w:rFonts w:asciiTheme="majorBidi" w:hAnsiTheme="majorBidi" w:cstheme="majorBidi"/>
                <w:sz w:val="16"/>
                <w:szCs w:val="16"/>
              </w:rPr>
            </w:pPr>
            <w:r w:rsidRPr="00C14798">
              <w:rPr>
                <w:rFonts w:asciiTheme="majorBidi" w:hAnsiTheme="majorBidi" w:cstheme="majorBidi"/>
                <w:sz w:val="16"/>
                <w:szCs w:val="16"/>
              </w:rPr>
              <w:t>Doit satisfaire au critère</w:t>
            </w:r>
          </w:p>
        </w:tc>
        <w:tc>
          <w:tcPr>
            <w:tcW w:w="1393" w:type="dxa"/>
            <w:shd w:val="clear" w:color="auto" w:fill="auto"/>
          </w:tcPr>
          <w:p w14:paraId="078A65CC" w14:textId="77777777" w:rsidR="00F50784" w:rsidRPr="00C14798" w:rsidRDefault="00F50784" w:rsidP="00F50784">
            <w:pPr>
              <w:spacing w:after="0"/>
              <w:ind w:left="0" w:firstLine="0"/>
              <w:jc w:val="left"/>
              <w:rPr>
                <w:rFonts w:asciiTheme="majorBidi" w:hAnsiTheme="majorBidi" w:cstheme="majorBidi"/>
                <w:sz w:val="16"/>
                <w:szCs w:val="16"/>
              </w:rPr>
            </w:pPr>
            <w:r w:rsidRPr="00C14798">
              <w:rPr>
                <w:rFonts w:asciiTheme="majorBidi" w:hAnsiTheme="majorBidi" w:cstheme="majorBidi"/>
                <w:sz w:val="16"/>
                <w:szCs w:val="16"/>
              </w:rPr>
              <w:t>Sans objet</w:t>
            </w:r>
          </w:p>
        </w:tc>
        <w:tc>
          <w:tcPr>
            <w:tcW w:w="1673" w:type="dxa"/>
            <w:shd w:val="clear" w:color="auto" w:fill="auto"/>
          </w:tcPr>
          <w:p w14:paraId="636FE99F" w14:textId="77777777" w:rsidR="00F50784" w:rsidRPr="00C14798" w:rsidRDefault="00F50784" w:rsidP="00F50784">
            <w:pPr>
              <w:spacing w:after="0"/>
              <w:ind w:left="0" w:firstLine="0"/>
              <w:jc w:val="left"/>
              <w:rPr>
                <w:rFonts w:asciiTheme="majorBidi" w:hAnsiTheme="majorBidi" w:cstheme="majorBidi"/>
                <w:sz w:val="16"/>
                <w:szCs w:val="16"/>
              </w:rPr>
            </w:pPr>
            <w:r w:rsidRPr="00C14798">
              <w:rPr>
                <w:rFonts w:asciiTheme="majorBidi" w:hAnsiTheme="majorBidi" w:cstheme="majorBidi"/>
                <w:sz w:val="16"/>
                <w:szCs w:val="16"/>
              </w:rPr>
              <w:t>Formulaire de Soumission</w:t>
            </w:r>
          </w:p>
        </w:tc>
      </w:tr>
      <w:tr w:rsidR="001E0C5C" w:rsidRPr="00C14798" w14:paraId="13168237" w14:textId="77777777" w:rsidTr="000B19C9">
        <w:trPr>
          <w:trHeight w:val="391"/>
        </w:trPr>
        <w:tc>
          <w:tcPr>
            <w:tcW w:w="13220" w:type="dxa"/>
            <w:gridSpan w:val="8"/>
            <w:shd w:val="clear" w:color="auto" w:fill="auto"/>
            <w:vAlign w:val="center"/>
          </w:tcPr>
          <w:p w14:paraId="070CDA11" w14:textId="68334214" w:rsidR="001E0C5C" w:rsidRPr="00C14798" w:rsidRDefault="001E0C5C" w:rsidP="00FC7AA0">
            <w:pPr>
              <w:pStyle w:val="S3-Heading2"/>
              <w:spacing w:after="0"/>
              <w:jc w:val="left"/>
              <w:rPr>
                <w:sz w:val="16"/>
                <w:szCs w:val="16"/>
                <w:lang w:val="fr-FR"/>
              </w:rPr>
            </w:pPr>
            <w:bookmarkStart w:id="441" w:name="_Toc487641741"/>
            <w:r w:rsidRPr="00C14798">
              <w:rPr>
                <w:sz w:val="16"/>
                <w:szCs w:val="16"/>
                <w:lang w:val="fr-FR"/>
              </w:rPr>
              <w:t>2. Antécédents de défaut d’exécution de marché</w:t>
            </w:r>
            <w:bookmarkEnd w:id="441"/>
          </w:p>
        </w:tc>
      </w:tr>
      <w:tr w:rsidR="008F2A36" w:rsidRPr="00C14798" w14:paraId="66D35C05" w14:textId="77777777" w:rsidTr="000B19C9">
        <w:tblPrEx>
          <w:tblLook w:val="0000" w:firstRow="0" w:lastRow="0" w:firstColumn="0" w:lastColumn="0" w:noHBand="0" w:noVBand="0"/>
        </w:tblPrEx>
        <w:trPr>
          <w:trHeight w:val="1245"/>
        </w:trPr>
        <w:tc>
          <w:tcPr>
            <w:tcW w:w="1458" w:type="dxa"/>
            <w:shd w:val="clear" w:color="auto" w:fill="auto"/>
          </w:tcPr>
          <w:p w14:paraId="56F57132" w14:textId="4650DE32" w:rsidR="00C932FA" w:rsidRPr="00C14798" w:rsidRDefault="001E0C5C" w:rsidP="00FC7AA0">
            <w:pPr>
              <w:pStyle w:val="Titre2"/>
              <w:tabs>
                <w:tab w:val="left" w:pos="0"/>
              </w:tabs>
              <w:spacing w:before="60" w:after="60"/>
              <w:ind w:left="0" w:firstLine="0"/>
              <w:jc w:val="left"/>
              <w:rPr>
                <w:rFonts w:asciiTheme="majorBidi" w:hAnsiTheme="majorBidi" w:cstheme="majorBidi"/>
                <w:b w:val="0"/>
                <w:bCs/>
                <w:sz w:val="16"/>
                <w:szCs w:val="16"/>
              </w:rPr>
            </w:pPr>
            <w:r w:rsidRPr="00C14798">
              <w:rPr>
                <w:rFonts w:asciiTheme="majorBidi" w:hAnsiTheme="majorBidi" w:cstheme="majorBidi"/>
                <w:b w:val="0"/>
                <w:bCs/>
                <w:sz w:val="16"/>
                <w:szCs w:val="16"/>
              </w:rPr>
              <w:t>2.1</w:t>
            </w:r>
          </w:p>
        </w:tc>
        <w:tc>
          <w:tcPr>
            <w:tcW w:w="1710" w:type="dxa"/>
            <w:shd w:val="clear" w:color="auto" w:fill="auto"/>
          </w:tcPr>
          <w:p w14:paraId="63DD9179" w14:textId="5B01BBA0" w:rsidR="00C932FA" w:rsidRPr="00C14798" w:rsidRDefault="00C932FA" w:rsidP="00284E69">
            <w:pPr>
              <w:pStyle w:val="Titre2"/>
              <w:tabs>
                <w:tab w:val="left" w:pos="0"/>
              </w:tabs>
              <w:spacing w:before="60" w:after="60"/>
              <w:ind w:left="0" w:firstLine="0"/>
              <w:jc w:val="left"/>
              <w:rPr>
                <w:rFonts w:asciiTheme="majorBidi" w:hAnsiTheme="majorBidi" w:cstheme="majorBidi"/>
                <w:b w:val="0"/>
                <w:sz w:val="16"/>
                <w:szCs w:val="16"/>
              </w:rPr>
            </w:pPr>
            <w:r w:rsidRPr="00C14798">
              <w:rPr>
                <w:rFonts w:asciiTheme="majorBidi" w:hAnsiTheme="majorBidi" w:cstheme="majorBidi"/>
                <w:sz w:val="16"/>
                <w:szCs w:val="16"/>
              </w:rPr>
              <w:t>Antécédents de non-exécution de marché</w:t>
            </w:r>
          </w:p>
        </w:tc>
        <w:tc>
          <w:tcPr>
            <w:tcW w:w="2666" w:type="dxa"/>
            <w:shd w:val="clear" w:color="auto" w:fill="auto"/>
          </w:tcPr>
          <w:p w14:paraId="4622AECA" w14:textId="48A9000B" w:rsidR="00C932FA" w:rsidRPr="00517FB1" w:rsidRDefault="00C932FA" w:rsidP="00284E69">
            <w:pPr>
              <w:pStyle w:val="Retraitcorpsdetexte"/>
              <w:spacing w:before="60" w:after="60"/>
              <w:ind w:left="0" w:firstLine="0"/>
              <w:jc w:val="left"/>
              <w:rPr>
                <w:rFonts w:asciiTheme="majorBidi" w:hAnsiTheme="majorBidi" w:cstheme="majorBidi"/>
                <w:i/>
                <w:sz w:val="16"/>
                <w:szCs w:val="16"/>
                <w:lang w:val="fr-FR"/>
              </w:rPr>
            </w:pPr>
            <w:r w:rsidRPr="00517FB1">
              <w:rPr>
                <w:rFonts w:asciiTheme="majorBidi" w:hAnsiTheme="majorBidi" w:cstheme="majorBidi"/>
                <w:sz w:val="16"/>
                <w:szCs w:val="16"/>
                <w:lang w:val="fr-FR"/>
              </w:rPr>
              <w:t xml:space="preserve">Pas de défaut d’exécution incombant au Soumissionnaire d’un marché au cours des </w:t>
            </w:r>
            <w:r w:rsidR="00BD3E04" w:rsidRPr="00517FB1">
              <w:rPr>
                <w:rFonts w:asciiTheme="majorBidi" w:hAnsiTheme="majorBidi" w:cstheme="majorBidi"/>
                <w:sz w:val="16"/>
                <w:szCs w:val="16"/>
                <w:lang w:val="fr-FR"/>
              </w:rPr>
              <w:t>Cinq (5)</w:t>
            </w:r>
            <w:r w:rsidRPr="00517FB1">
              <w:rPr>
                <w:rFonts w:asciiTheme="majorBidi" w:hAnsiTheme="majorBidi" w:cstheme="majorBidi"/>
                <w:sz w:val="16"/>
                <w:szCs w:val="16"/>
                <w:lang w:val="fr-FR"/>
              </w:rPr>
              <w:t xml:space="preserve"> dernières années depuis le 1</w:t>
            </w:r>
            <w:r w:rsidRPr="00517FB1">
              <w:rPr>
                <w:rFonts w:asciiTheme="majorBidi" w:hAnsiTheme="majorBidi" w:cstheme="majorBidi"/>
                <w:sz w:val="16"/>
                <w:szCs w:val="16"/>
                <w:vertAlign w:val="superscript"/>
                <w:lang w:val="fr-FR"/>
              </w:rPr>
              <w:t>er</w:t>
            </w:r>
            <w:r w:rsidRPr="00517FB1">
              <w:rPr>
                <w:rFonts w:asciiTheme="majorBidi" w:hAnsiTheme="majorBidi" w:cstheme="majorBidi"/>
                <w:sz w:val="16"/>
                <w:szCs w:val="16"/>
                <w:lang w:val="fr-FR"/>
              </w:rPr>
              <w:t xml:space="preserve"> janvier de l’année </w:t>
            </w:r>
            <w:r w:rsidR="002D4095" w:rsidRPr="00517FB1">
              <w:rPr>
                <w:rFonts w:asciiTheme="majorBidi" w:hAnsiTheme="majorBidi" w:cstheme="majorBidi"/>
                <w:sz w:val="16"/>
                <w:szCs w:val="16"/>
                <w:lang w:val="fr-FR"/>
              </w:rPr>
              <w:t>201</w:t>
            </w:r>
            <w:r w:rsidR="0078352C" w:rsidRPr="00517FB1">
              <w:rPr>
                <w:rFonts w:asciiTheme="majorBidi" w:hAnsiTheme="majorBidi" w:cstheme="majorBidi"/>
                <w:sz w:val="16"/>
                <w:szCs w:val="16"/>
                <w:lang w:val="fr-FR"/>
              </w:rPr>
              <w:t>6</w:t>
            </w:r>
            <w:r w:rsidRPr="00517FB1">
              <w:rPr>
                <w:rStyle w:val="Appelnotedebasdep"/>
                <w:rFonts w:asciiTheme="majorBidi" w:hAnsiTheme="majorBidi" w:cstheme="majorBidi"/>
                <w:sz w:val="16"/>
                <w:szCs w:val="16"/>
                <w:lang w:val="fr-FR"/>
              </w:rPr>
              <w:footnoteReference w:id="6"/>
            </w:r>
            <w:r w:rsidRPr="00517FB1">
              <w:rPr>
                <w:rFonts w:asciiTheme="majorBidi" w:hAnsiTheme="majorBidi" w:cstheme="majorBidi"/>
                <w:sz w:val="16"/>
                <w:szCs w:val="16"/>
                <w:lang w:val="fr-FR"/>
              </w:rPr>
              <w:t xml:space="preserve">. </w:t>
            </w:r>
          </w:p>
        </w:tc>
        <w:tc>
          <w:tcPr>
            <w:tcW w:w="1350" w:type="dxa"/>
            <w:shd w:val="clear" w:color="auto" w:fill="auto"/>
          </w:tcPr>
          <w:p w14:paraId="3B986170" w14:textId="74187AD3" w:rsidR="00C932FA" w:rsidRPr="00C14798" w:rsidRDefault="00C932FA">
            <w:pPr>
              <w:spacing w:before="60" w:after="60"/>
              <w:ind w:left="0" w:firstLine="0"/>
              <w:jc w:val="left"/>
              <w:rPr>
                <w:rFonts w:asciiTheme="majorBidi" w:hAnsiTheme="majorBidi" w:cstheme="majorBidi"/>
                <w:sz w:val="16"/>
                <w:szCs w:val="16"/>
              </w:rPr>
            </w:pPr>
            <w:r w:rsidRPr="00C14798">
              <w:rPr>
                <w:rFonts w:asciiTheme="majorBidi" w:hAnsiTheme="majorBidi" w:cstheme="majorBidi"/>
                <w:sz w:val="16"/>
                <w:szCs w:val="16"/>
              </w:rPr>
              <w:t xml:space="preserve">Doit satisfaire au </w:t>
            </w:r>
            <w:r w:rsidR="00D04738" w:rsidRPr="00C14798">
              <w:rPr>
                <w:rFonts w:asciiTheme="majorBidi" w:hAnsiTheme="majorBidi" w:cstheme="majorBidi"/>
                <w:sz w:val="16"/>
                <w:szCs w:val="16"/>
              </w:rPr>
              <w:t>critère</w:t>
            </w:r>
            <w:r w:rsidR="00D04738" w:rsidRPr="00C14798">
              <w:rPr>
                <w:rFonts w:asciiTheme="majorBidi" w:hAnsiTheme="majorBidi" w:cstheme="majorBidi"/>
                <w:sz w:val="16"/>
                <w:szCs w:val="16"/>
                <w:vertAlign w:val="superscript"/>
              </w:rPr>
              <w:t>8</w:t>
            </w:r>
            <w:r w:rsidRPr="00C14798">
              <w:rPr>
                <w:rFonts w:asciiTheme="majorBidi" w:hAnsiTheme="majorBidi" w:cstheme="majorBidi"/>
                <w:sz w:val="16"/>
                <w:szCs w:val="16"/>
              </w:rPr>
              <w:t xml:space="preserve">. </w:t>
            </w:r>
          </w:p>
        </w:tc>
        <w:tc>
          <w:tcPr>
            <w:tcW w:w="1530" w:type="dxa"/>
            <w:shd w:val="clear" w:color="auto" w:fill="auto"/>
          </w:tcPr>
          <w:p w14:paraId="5FDEC84C" w14:textId="77777777" w:rsidR="00C932FA" w:rsidRPr="00C14798" w:rsidRDefault="00C932FA">
            <w:pPr>
              <w:spacing w:before="60" w:after="60"/>
              <w:ind w:left="0" w:firstLine="0"/>
              <w:jc w:val="left"/>
              <w:rPr>
                <w:rFonts w:asciiTheme="majorBidi" w:hAnsiTheme="majorBidi" w:cstheme="majorBidi"/>
                <w:sz w:val="16"/>
                <w:szCs w:val="16"/>
              </w:rPr>
            </w:pPr>
            <w:r w:rsidRPr="00C14798">
              <w:rPr>
                <w:rFonts w:asciiTheme="majorBidi" w:hAnsiTheme="majorBidi" w:cstheme="majorBidi"/>
                <w:sz w:val="16"/>
                <w:szCs w:val="16"/>
              </w:rPr>
              <w:t>Doit satisfaire au critère.</w:t>
            </w:r>
          </w:p>
        </w:tc>
        <w:tc>
          <w:tcPr>
            <w:tcW w:w="1440" w:type="dxa"/>
            <w:shd w:val="clear" w:color="auto" w:fill="auto"/>
          </w:tcPr>
          <w:p w14:paraId="00B6F7CF" w14:textId="77777777" w:rsidR="00C932FA" w:rsidRPr="00C14798" w:rsidRDefault="00C932FA">
            <w:pPr>
              <w:spacing w:before="60" w:after="60"/>
              <w:ind w:left="0" w:firstLine="0"/>
              <w:jc w:val="left"/>
              <w:rPr>
                <w:rFonts w:asciiTheme="majorBidi" w:hAnsiTheme="majorBidi" w:cstheme="majorBidi"/>
                <w:sz w:val="16"/>
                <w:szCs w:val="16"/>
              </w:rPr>
            </w:pPr>
            <w:r w:rsidRPr="00C14798">
              <w:rPr>
                <w:rFonts w:asciiTheme="majorBidi" w:hAnsiTheme="majorBidi" w:cstheme="majorBidi"/>
                <w:sz w:val="16"/>
                <w:szCs w:val="16"/>
              </w:rPr>
              <w:t>Doit satisfaire au critère</w:t>
            </w:r>
            <w:r w:rsidRPr="00C14798">
              <w:rPr>
                <w:rStyle w:val="Appelnotedebasdep"/>
                <w:rFonts w:asciiTheme="majorBidi" w:hAnsiTheme="majorBidi" w:cstheme="majorBidi"/>
                <w:sz w:val="16"/>
                <w:szCs w:val="16"/>
              </w:rPr>
              <w:footnoteReference w:id="7"/>
            </w:r>
            <w:r w:rsidRPr="00C14798">
              <w:rPr>
                <w:rFonts w:asciiTheme="majorBidi" w:hAnsiTheme="majorBidi" w:cstheme="majorBidi"/>
                <w:sz w:val="16"/>
                <w:szCs w:val="16"/>
              </w:rPr>
              <w:t>.</w:t>
            </w:r>
          </w:p>
        </w:tc>
        <w:tc>
          <w:tcPr>
            <w:tcW w:w="1393" w:type="dxa"/>
            <w:shd w:val="clear" w:color="auto" w:fill="auto"/>
          </w:tcPr>
          <w:p w14:paraId="064D7EC5" w14:textId="77777777" w:rsidR="00C932FA" w:rsidRPr="00C14798" w:rsidRDefault="00C932FA">
            <w:pPr>
              <w:spacing w:before="60" w:after="60"/>
              <w:ind w:left="0" w:firstLine="0"/>
              <w:jc w:val="left"/>
              <w:rPr>
                <w:rFonts w:asciiTheme="majorBidi" w:hAnsiTheme="majorBidi" w:cstheme="majorBidi"/>
                <w:sz w:val="16"/>
                <w:szCs w:val="16"/>
              </w:rPr>
            </w:pPr>
            <w:r w:rsidRPr="00C14798">
              <w:rPr>
                <w:rFonts w:asciiTheme="majorBidi" w:hAnsiTheme="majorBidi" w:cstheme="majorBidi"/>
                <w:sz w:val="16"/>
                <w:szCs w:val="16"/>
              </w:rPr>
              <w:t>Sans objet</w:t>
            </w:r>
          </w:p>
        </w:tc>
        <w:tc>
          <w:tcPr>
            <w:tcW w:w="1673" w:type="dxa"/>
            <w:shd w:val="clear" w:color="auto" w:fill="auto"/>
          </w:tcPr>
          <w:p w14:paraId="6604F261" w14:textId="48FA1A9C" w:rsidR="00C932FA" w:rsidRPr="00C14798" w:rsidRDefault="00C932FA" w:rsidP="00436A25">
            <w:pPr>
              <w:spacing w:before="60" w:after="60"/>
              <w:ind w:left="0" w:firstLine="0"/>
              <w:jc w:val="left"/>
              <w:rPr>
                <w:rFonts w:asciiTheme="majorBidi" w:hAnsiTheme="majorBidi" w:cstheme="majorBidi"/>
                <w:sz w:val="16"/>
                <w:szCs w:val="16"/>
              </w:rPr>
            </w:pPr>
            <w:r w:rsidRPr="00C14798">
              <w:rPr>
                <w:rFonts w:asciiTheme="majorBidi" w:hAnsiTheme="majorBidi" w:cstheme="majorBidi"/>
                <w:sz w:val="16"/>
                <w:szCs w:val="16"/>
              </w:rPr>
              <w:t>Formulaire ANT - 2</w:t>
            </w:r>
          </w:p>
        </w:tc>
      </w:tr>
      <w:tr w:rsidR="008F2A36" w:rsidRPr="00C14798" w14:paraId="778B9A8C" w14:textId="77777777" w:rsidTr="000B19C9">
        <w:tblPrEx>
          <w:tblLook w:val="0000" w:firstRow="0" w:lastRow="0" w:firstColumn="0" w:lastColumn="0" w:noHBand="0" w:noVBand="0"/>
        </w:tblPrEx>
        <w:tc>
          <w:tcPr>
            <w:tcW w:w="1458" w:type="dxa"/>
            <w:shd w:val="clear" w:color="auto" w:fill="auto"/>
          </w:tcPr>
          <w:p w14:paraId="43CB64B2" w14:textId="3E1BEA9A" w:rsidR="00C932FA" w:rsidRPr="00C14798" w:rsidRDefault="001E0C5C" w:rsidP="00FC7AA0">
            <w:pPr>
              <w:pStyle w:val="Titre2"/>
              <w:tabs>
                <w:tab w:val="left" w:pos="576"/>
              </w:tabs>
              <w:spacing w:before="60" w:after="60"/>
              <w:ind w:left="0" w:firstLine="0"/>
              <w:jc w:val="left"/>
              <w:rPr>
                <w:rFonts w:asciiTheme="majorBidi" w:hAnsiTheme="majorBidi" w:cstheme="majorBidi"/>
                <w:b w:val="0"/>
                <w:bCs/>
                <w:sz w:val="16"/>
                <w:szCs w:val="16"/>
              </w:rPr>
            </w:pPr>
            <w:r w:rsidRPr="00C14798">
              <w:rPr>
                <w:rFonts w:asciiTheme="majorBidi" w:hAnsiTheme="majorBidi" w:cstheme="majorBidi"/>
                <w:b w:val="0"/>
                <w:bCs/>
                <w:sz w:val="16"/>
                <w:szCs w:val="16"/>
              </w:rPr>
              <w:lastRenderedPageBreak/>
              <w:t>2.2</w:t>
            </w:r>
          </w:p>
        </w:tc>
        <w:tc>
          <w:tcPr>
            <w:tcW w:w="1710" w:type="dxa"/>
            <w:shd w:val="clear" w:color="auto" w:fill="auto"/>
          </w:tcPr>
          <w:p w14:paraId="557E122B" w14:textId="460ABAB9" w:rsidR="00C932FA" w:rsidRPr="00C14798" w:rsidRDefault="00C932FA" w:rsidP="00284E69">
            <w:pPr>
              <w:pStyle w:val="Titre2"/>
              <w:tabs>
                <w:tab w:val="left" w:pos="576"/>
              </w:tabs>
              <w:spacing w:before="60" w:after="60"/>
              <w:ind w:left="0" w:firstLine="0"/>
              <w:jc w:val="left"/>
              <w:rPr>
                <w:rFonts w:asciiTheme="majorBidi" w:hAnsiTheme="majorBidi" w:cstheme="majorBidi"/>
                <w:sz w:val="16"/>
                <w:szCs w:val="16"/>
              </w:rPr>
            </w:pPr>
            <w:r w:rsidRPr="00C14798">
              <w:rPr>
                <w:rFonts w:asciiTheme="majorBidi" w:hAnsiTheme="majorBidi" w:cstheme="majorBidi"/>
                <w:sz w:val="16"/>
                <w:szCs w:val="16"/>
              </w:rPr>
              <w:t xml:space="preserve">Exclusion dans le cadre de la mise en œuvre d’une Déclaration de garantie d’offre </w:t>
            </w:r>
          </w:p>
        </w:tc>
        <w:tc>
          <w:tcPr>
            <w:tcW w:w="2666" w:type="dxa"/>
            <w:shd w:val="clear" w:color="auto" w:fill="auto"/>
          </w:tcPr>
          <w:p w14:paraId="608BDA1B" w14:textId="78A376E8" w:rsidR="00C932FA" w:rsidRPr="00C14798" w:rsidRDefault="00C932FA" w:rsidP="00284E69">
            <w:pPr>
              <w:pStyle w:val="Retraitcorpsdetexte"/>
              <w:spacing w:before="60" w:after="60"/>
              <w:ind w:left="0" w:firstLine="0"/>
              <w:jc w:val="left"/>
              <w:rPr>
                <w:rFonts w:asciiTheme="majorBidi" w:hAnsiTheme="majorBidi" w:cstheme="majorBidi"/>
                <w:spacing w:val="-2"/>
                <w:sz w:val="16"/>
                <w:szCs w:val="16"/>
                <w:lang w:val="fr-FR"/>
              </w:rPr>
            </w:pPr>
            <w:r w:rsidRPr="00C14798">
              <w:rPr>
                <w:rFonts w:asciiTheme="majorBidi" w:hAnsiTheme="majorBidi" w:cstheme="majorBidi"/>
                <w:spacing w:val="-2"/>
                <w:sz w:val="16"/>
                <w:szCs w:val="16"/>
                <w:lang w:val="fr-FR"/>
              </w:rPr>
              <w:t>Ne pas être sous le coup d’une sanction relative à la mise en œuvre d’une Déclaration de garantie d’offre en application de l’article 4.6 des IS.</w:t>
            </w:r>
          </w:p>
        </w:tc>
        <w:tc>
          <w:tcPr>
            <w:tcW w:w="1350" w:type="dxa"/>
            <w:shd w:val="clear" w:color="auto" w:fill="auto"/>
          </w:tcPr>
          <w:p w14:paraId="703B1985" w14:textId="77777777" w:rsidR="00C932FA" w:rsidRPr="00C14798" w:rsidRDefault="00C932FA">
            <w:pPr>
              <w:spacing w:before="60" w:after="60"/>
              <w:ind w:left="0" w:firstLine="0"/>
              <w:jc w:val="left"/>
              <w:rPr>
                <w:rFonts w:asciiTheme="majorBidi" w:hAnsiTheme="majorBidi" w:cstheme="majorBidi"/>
                <w:sz w:val="16"/>
                <w:szCs w:val="16"/>
              </w:rPr>
            </w:pPr>
            <w:r w:rsidRPr="00C14798">
              <w:rPr>
                <w:rFonts w:asciiTheme="majorBidi" w:hAnsiTheme="majorBidi" w:cstheme="majorBidi"/>
                <w:sz w:val="16"/>
                <w:szCs w:val="16"/>
              </w:rPr>
              <w:t>Doit satisfaire au critère.</w:t>
            </w:r>
          </w:p>
        </w:tc>
        <w:tc>
          <w:tcPr>
            <w:tcW w:w="1530" w:type="dxa"/>
            <w:shd w:val="clear" w:color="auto" w:fill="auto"/>
          </w:tcPr>
          <w:p w14:paraId="264EE9BF" w14:textId="77777777" w:rsidR="00C932FA" w:rsidRPr="00C14798" w:rsidRDefault="00C932FA">
            <w:pPr>
              <w:spacing w:before="60" w:after="60"/>
              <w:ind w:left="0" w:firstLine="0"/>
              <w:jc w:val="left"/>
              <w:rPr>
                <w:rFonts w:asciiTheme="majorBidi" w:hAnsiTheme="majorBidi" w:cstheme="majorBidi"/>
                <w:sz w:val="16"/>
                <w:szCs w:val="16"/>
              </w:rPr>
            </w:pPr>
            <w:r w:rsidRPr="00C14798">
              <w:rPr>
                <w:rFonts w:asciiTheme="majorBidi" w:hAnsiTheme="majorBidi" w:cstheme="majorBidi"/>
                <w:sz w:val="16"/>
                <w:szCs w:val="16"/>
              </w:rPr>
              <w:t>Doit satisfaire au critère.</w:t>
            </w:r>
          </w:p>
        </w:tc>
        <w:tc>
          <w:tcPr>
            <w:tcW w:w="1440" w:type="dxa"/>
            <w:shd w:val="clear" w:color="auto" w:fill="auto"/>
          </w:tcPr>
          <w:p w14:paraId="3C6A038D" w14:textId="77777777" w:rsidR="00C932FA" w:rsidRPr="00C14798" w:rsidRDefault="00C932FA">
            <w:pPr>
              <w:spacing w:before="60" w:after="60"/>
              <w:ind w:left="0" w:firstLine="0"/>
              <w:jc w:val="left"/>
              <w:rPr>
                <w:rFonts w:asciiTheme="majorBidi" w:hAnsiTheme="majorBidi" w:cstheme="majorBidi"/>
                <w:sz w:val="16"/>
                <w:szCs w:val="16"/>
              </w:rPr>
            </w:pPr>
            <w:r w:rsidRPr="00C14798">
              <w:rPr>
                <w:rFonts w:asciiTheme="majorBidi" w:hAnsiTheme="majorBidi" w:cstheme="majorBidi"/>
                <w:sz w:val="16"/>
                <w:szCs w:val="16"/>
              </w:rPr>
              <w:t>Doit satisfaire au critère.</w:t>
            </w:r>
          </w:p>
        </w:tc>
        <w:tc>
          <w:tcPr>
            <w:tcW w:w="1393" w:type="dxa"/>
            <w:shd w:val="clear" w:color="auto" w:fill="auto"/>
          </w:tcPr>
          <w:p w14:paraId="4A1716C8" w14:textId="77777777" w:rsidR="00C932FA" w:rsidRPr="00C14798" w:rsidRDefault="00C932FA">
            <w:pPr>
              <w:spacing w:before="60" w:after="60"/>
              <w:ind w:left="0" w:firstLine="0"/>
              <w:jc w:val="left"/>
              <w:rPr>
                <w:rFonts w:asciiTheme="majorBidi" w:hAnsiTheme="majorBidi" w:cstheme="majorBidi"/>
                <w:sz w:val="16"/>
                <w:szCs w:val="16"/>
              </w:rPr>
            </w:pPr>
            <w:r w:rsidRPr="00C14798">
              <w:rPr>
                <w:rFonts w:asciiTheme="majorBidi" w:hAnsiTheme="majorBidi" w:cstheme="majorBidi"/>
                <w:sz w:val="16"/>
                <w:szCs w:val="16"/>
              </w:rPr>
              <w:t>Sans objet</w:t>
            </w:r>
          </w:p>
        </w:tc>
        <w:tc>
          <w:tcPr>
            <w:tcW w:w="1673" w:type="dxa"/>
            <w:shd w:val="clear" w:color="auto" w:fill="auto"/>
          </w:tcPr>
          <w:p w14:paraId="72D1D956" w14:textId="77777777" w:rsidR="00C932FA" w:rsidRPr="00C14798" w:rsidRDefault="00C932FA">
            <w:pPr>
              <w:spacing w:before="60" w:after="60"/>
              <w:ind w:left="0" w:firstLine="0"/>
              <w:jc w:val="left"/>
              <w:rPr>
                <w:rFonts w:asciiTheme="majorBidi" w:hAnsiTheme="majorBidi" w:cstheme="majorBidi"/>
                <w:sz w:val="16"/>
                <w:szCs w:val="16"/>
              </w:rPr>
            </w:pPr>
            <w:r w:rsidRPr="00C14798">
              <w:rPr>
                <w:rFonts w:asciiTheme="majorBidi" w:hAnsiTheme="majorBidi" w:cstheme="majorBidi"/>
                <w:sz w:val="16"/>
                <w:szCs w:val="16"/>
              </w:rPr>
              <w:t>Soumission (Formulaire)</w:t>
            </w:r>
          </w:p>
        </w:tc>
      </w:tr>
      <w:tr w:rsidR="008F2A36" w:rsidRPr="00C14798" w14:paraId="722FC70C" w14:textId="77777777" w:rsidTr="000B19C9">
        <w:tblPrEx>
          <w:tblLook w:val="0000" w:firstRow="0" w:lastRow="0" w:firstColumn="0" w:lastColumn="0" w:noHBand="0" w:noVBand="0"/>
        </w:tblPrEx>
        <w:tc>
          <w:tcPr>
            <w:tcW w:w="1458" w:type="dxa"/>
            <w:shd w:val="clear" w:color="auto" w:fill="auto"/>
          </w:tcPr>
          <w:p w14:paraId="54C30599" w14:textId="5F9F4B1A" w:rsidR="00C932FA" w:rsidRPr="00C14798" w:rsidRDefault="001E0C5C" w:rsidP="00FC7AA0">
            <w:pPr>
              <w:pStyle w:val="Titre2"/>
              <w:keepNext/>
              <w:tabs>
                <w:tab w:val="left" w:pos="576"/>
              </w:tabs>
              <w:spacing w:before="60" w:after="60"/>
              <w:ind w:left="0" w:firstLine="0"/>
              <w:jc w:val="left"/>
              <w:rPr>
                <w:rFonts w:asciiTheme="majorBidi" w:hAnsiTheme="majorBidi" w:cstheme="majorBidi"/>
                <w:b w:val="0"/>
                <w:bCs/>
                <w:sz w:val="16"/>
                <w:szCs w:val="16"/>
              </w:rPr>
            </w:pPr>
            <w:r w:rsidRPr="00C14798">
              <w:rPr>
                <w:rFonts w:asciiTheme="majorBidi" w:hAnsiTheme="majorBidi" w:cstheme="majorBidi"/>
                <w:b w:val="0"/>
                <w:bCs/>
                <w:sz w:val="16"/>
                <w:szCs w:val="16"/>
              </w:rPr>
              <w:t>2.3</w:t>
            </w:r>
          </w:p>
        </w:tc>
        <w:tc>
          <w:tcPr>
            <w:tcW w:w="1710" w:type="dxa"/>
            <w:shd w:val="clear" w:color="auto" w:fill="auto"/>
          </w:tcPr>
          <w:p w14:paraId="41B4D2B0" w14:textId="592C992C" w:rsidR="00C932FA" w:rsidRPr="00C14798" w:rsidRDefault="00C932FA" w:rsidP="00284E69">
            <w:pPr>
              <w:pStyle w:val="Titre2"/>
              <w:keepNext/>
              <w:tabs>
                <w:tab w:val="left" w:pos="576"/>
              </w:tabs>
              <w:spacing w:before="60" w:after="60"/>
              <w:ind w:left="0" w:firstLine="0"/>
              <w:jc w:val="left"/>
              <w:rPr>
                <w:rFonts w:asciiTheme="majorBidi" w:hAnsiTheme="majorBidi" w:cstheme="majorBidi"/>
                <w:sz w:val="16"/>
                <w:szCs w:val="16"/>
              </w:rPr>
            </w:pPr>
            <w:r w:rsidRPr="00C14798">
              <w:rPr>
                <w:rFonts w:asciiTheme="majorBidi" w:hAnsiTheme="majorBidi" w:cstheme="majorBidi"/>
                <w:sz w:val="16"/>
                <w:szCs w:val="16"/>
              </w:rPr>
              <w:t>Litiges en instance</w:t>
            </w:r>
          </w:p>
        </w:tc>
        <w:tc>
          <w:tcPr>
            <w:tcW w:w="2666" w:type="dxa"/>
            <w:shd w:val="clear" w:color="auto" w:fill="auto"/>
          </w:tcPr>
          <w:p w14:paraId="51037E15" w14:textId="42852D5D" w:rsidR="00C932FA" w:rsidRPr="00C14798" w:rsidRDefault="00C932FA" w:rsidP="00C14798">
            <w:pPr>
              <w:pStyle w:val="Retraitcorpsdetexte"/>
              <w:keepNext/>
              <w:spacing w:before="60" w:after="60"/>
              <w:ind w:left="0" w:firstLine="0"/>
              <w:jc w:val="left"/>
              <w:rPr>
                <w:rFonts w:asciiTheme="majorBidi" w:hAnsiTheme="majorBidi" w:cstheme="majorBidi"/>
                <w:sz w:val="16"/>
                <w:szCs w:val="16"/>
                <w:lang w:val="fr-FR"/>
              </w:rPr>
            </w:pPr>
            <w:r w:rsidRPr="00C14798">
              <w:rPr>
                <w:rFonts w:asciiTheme="majorBidi" w:hAnsiTheme="majorBidi" w:cstheme="majorBidi"/>
                <w:sz w:val="16"/>
                <w:szCs w:val="16"/>
                <w:lang w:val="fr-FR"/>
              </w:rPr>
              <w:t>La solvabilité actuelle et la rentabilité à long terme du Soumissionnaire telles qu’évaluées au critère 3.1 ci-après restent acceptables même dans le cas où l’ensemble des litiges en instance seraient tranchés à l’encontre du Soumissionnaire.</w:t>
            </w:r>
          </w:p>
        </w:tc>
        <w:tc>
          <w:tcPr>
            <w:tcW w:w="1350" w:type="dxa"/>
            <w:shd w:val="clear" w:color="auto" w:fill="auto"/>
          </w:tcPr>
          <w:p w14:paraId="0E08C4CC" w14:textId="77777777" w:rsidR="00C932FA" w:rsidRPr="00C14798" w:rsidRDefault="00C932FA">
            <w:pPr>
              <w:keepNext/>
              <w:spacing w:before="60" w:after="60"/>
              <w:ind w:left="0" w:firstLine="0"/>
              <w:jc w:val="left"/>
              <w:rPr>
                <w:rFonts w:asciiTheme="majorBidi" w:hAnsiTheme="majorBidi" w:cstheme="majorBidi"/>
                <w:sz w:val="16"/>
                <w:szCs w:val="16"/>
              </w:rPr>
            </w:pPr>
            <w:r w:rsidRPr="00C14798">
              <w:rPr>
                <w:rFonts w:asciiTheme="majorBidi" w:hAnsiTheme="majorBidi" w:cstheme="majorBidi"/>
                <w:sz w:val="16"/>
                <w:szCs w:val="16"/>
              </w:rPr>
              <w:t xml:space="preserve">Doit satisfaire au critère. </w:t>
            </w:r>
          </w:p>
        </w:tc>
        <w:tc>
          <w:tcPr>
            <w:tcW w:w="1530" w:type="dxa"/>
            <w:shd w:val="clear" w:color="auto" w:fill="auto"/>
          </w:tcPr>
          <w:p w14:paraId="01727F6F" w14:textId="77777777" w:rsidR="00C932FA" w:rsidRPr="00C14798" w:rsidRDefault="00C932FA">
            <w:pPr>
              <w:keepNext/>
              <w:spacing w:before="60" w:after="60"/>
              <w:ind w:left="0" w:firstLine="0"/>
              <w:jc w:val="left"/>
              <w:rPr>
                <w:rFonts w:asciiTheme="majorBidi" w:hAnsiTheme="majorBidi" w:cstheme="majorBidi"/>
                <w:sz w:val="16"/>
                <w:szCs w:val="16"/>
              </w:rPr>
            </w:pPr>
            <w:r w:rsidRPr="00C14798">
              <w:rPr>
                <w:rFonts w:asciiTheme="majorBidi" w:hAnsiTheme="majorBidi" w:cstheme="majorBidi"/>
                <w:sz w:val="16"/>
                <w:szCs w:val="16"/>
              </w:rPr>
              <w:t>Sans objet</w:t>
            </w:r>
          </w:p>
        </w:tc>
        <w:tc>
          <w:tcPr>
            <w:tcW w:w="1440" w:type="dxa"/>
            <w:shd w:val="clear" w:color="auto" w:fill="auto"/>
          </w:tcPr>
          <w:p w14:paraId="208F7714" w14:textId="77777777" w:rsidR="00C932FA" w:rsidRPr="00C14798" w:rsidRDefault="00C932FA">
            <w:pPr>
              <w:keepNext/>
              <w:spacing w:before="60" w:after="60"/>
              <w:ind w:left="0" w:firstLine="0"/>
              <w:jc w:val="left"/>
              <w:rPr>
                <w:rFonts w:asciiTheme="majorBidi" w:hAnsiTheme="majorBidi" w:cstheme="majorBidi"/>
                <w:sz w:val="16"/>
                <w:szCs w:val="16"/>
              </w:rPr>
            </w:pPr>
            <w:r w:rsidRPr="00C14798">
              <w:rPr>
                <w:rFonts w:asciiTheme="majorBidi" w:hAnsiTheme="majorBidi" w:cstheme="majorBidi"/>
                <w:sz w:val="16"/>
                <w:szCs w:val="16"/>
              </w:rPr>
              <w:t>Doit satisfaire au critère.</w:t>
            </w:r>
          </w:p>
        </w:tc>
        <w:tc>
          <w:tcPr>
            <w:tcW w:w="1393" w:type="dxa"/>
            <w:shd w:val="clear" w:color="auto" w:fill="auto"/>
          </w:tcPr>
          <w:p w14:paraId="3AD8051F" w14:textId="77777777" w:rsidR="00C932FA" w:rsidRPr="00C14798" w:rsidRDefault="00C932FA">
            <w:pPr>
              <w:keepNext/>
              <w:spacing w:before="60" w:after="60"/>
              <w:ind w:left="0" w:firstLine="0"/>
              <w:jc w:val="left"/>
              <w:rPr>
                <w:rFonts w:asciiTheme="majorBidi" w:hAnsiTheme="majorBidi" w:cstheme="majorBidi"/>
                <w:sz w:val="16"/>
                <w:szCs w:val="16"/>
              </w:rPr>
            </w:pPr>
            <w:r w:rsidRPr="00C14798">
              <w:rPr>
                <w:rFonts w:asciiTheme="majorBidi" w:hAnsiTheme="majorBidi" w:cstheme="majorBidi"/>
                <w:sz w:val="16"/>
                <w:szCs w:val="16"/>
              </w:rPr>
              <w:t>Sans objet</w:t>
            </w:r>
          </w:p>
        </w:tc>
        <w:tc>
          <w:tcPr>
            <w:tcW w:w="1673" w:type="dxa"/>
            <w:shd w:val="clear" w:color="auto" w:fill="auto"/>
          </w:tcPr>
          <w:p w14:paraId="0C4946DA" w14:textId="3DDBA159" w:rsidR="00C932FA" w:rsidRPr="00C14798" w:rsidRDefault="00C932FA" w:rsidP="00436A25">
            <w:pPr>
              <w:keepNext/>
              <w:spacing w:before="60" w:after="60"/>
              <w:ind w:left="0" w:firstLine="0"/>
              <w:jc w:val="left"/>
              <w:rPr>
                <w:rFonts w:asciiTheme="majorBidi" w:hAnsiTheme="majorBidi" w:cstheme="majorBidi"/>
                <w:sz w:val="16"/>
                <w:szCs w:val="16"/>
              </w:rPr>
            </w:pPr>
            <w:r w:rsidRPr="00C14798">
              <w:rPr>
                <w:rFonts w:asciiTheme="majorBidi" w:hAnsiTheme="majorBidi" w:cstheme="majorBidi"/>
                <w:sz w:val="16"/>
                <w:szCs w:val="16"/>
              </w:rPr>
              <w:t>Formulaire ANT - 2</w:t>
            </w:r>
          </w:p>
        </w:tc>
      </w:tr>
      <w:tr w:rsidR="008F2A36" w:rsidRPr="00C14798" w14:paraId="667509E9" w14:textId="77777777" w:rsidTr="000B19C9">
        <w:tblPrEx>
          <w:tblLook w:val="0000" w:firstRow="0" w:lastRow="0" w:firstColumn="0" w:lastColumn="0" w:noHBand="0" w:noVBand="0"/>
        </w:tblPrEx>
        <w:tc>
          <w:tcPr>
            <w:tcW w:w="1458" w:type="dxa"/>
            <w:shd w:val="clear" w:color="auto" w:fill="auto"/>
          </w:tcPr>
          <w:p w14:paraId="088A8384" w14:textId="52A874F8" w:rsidR="00C932FA" w:rsidRPr="00C14798" w:rsidRDefault="001E0C5C" w:rsidP="00FC7AA0">
            <w:pPr>
              <w:pStyle w:val="Titre2"/>
              <w:tabs>
                <w:tab w:val="left" w:pos="576"/>
              </w:tabs>
              <w:spacing w:before="60" w:after="60"/>
              <w:ind w:left="0" w:firstLine="0"/>
              <w:jc w:val="left"/>
              <w:rPr>
                <w:rFonts w:asciiTheme="majorBidi" w:hAnsiTheme="majorBidi" w:cstheme="majorBidi"/>
                <w:b w:val="0"/>
                <w:bCs/>
                <w:sz w:val="16"/>
                <w:szCs w:val="16"/>
              </w:rPr>
            </w:pPr>
            <w:r w:rsidRPr="00C14798">
              <w:rPr>
                <w:rFonts w:asciiTheme="majorBidi" w:hAnsiTheme="majorBidi" w:cstheme="majorBidi"/>
                <w:b w:val="0"/>
                <w:bCs/>
                <w:sz w:val="16"/>
                <w:szCs w:val="16"/>
              </w:rPr>
              <w:t>2.4</w:t>
            </w:r>
          </w:p>
        </w:tc>
        <w:tc>
          <w:tcPr>
            <w:tcW w:w="1710" w:type="dxa"/>
            <w:shd w:val="clear" w:color="auto" w:fill="auto"/>
          </w:tcPr>
          <w:p w14:paraId="2DF41DDB" w14:textId="3CD2F5E6" w:rsidR="00C932FA" w:rsidRPr="00517FB1" w:rsidRDefault="00C932FA" w:rsidP="00284E69">
            <w:pPr>
              <w:pStyle w:val="Titre2"/>
              <w:tabs>
                <w:tab w:val="left" w:pos="576"/>
              </w:tabs>
              <w:spacing w:before="60" w:after="60"/>
              <w:ind w:left="0" w:firstLine="0"/>
              <w:jc w:val="left"/>
              <w:rPr>
                <w:rFonts w:asciiTheme="majorBidi" w:hAnsiTheme="majorBidi" w:cstheme="majorBidi"/>
                <w:sz w:val="16"/>
                <w:szCs w:val="16"/>
              </w:rPr>
            </w:pPr>
            <w:r w:rsidRPr="00517FB1">
              <w:rPr>
                <w:rFonts w:asciiTheme="majorBidi" w:hAnsiTheme="majorBidi" w:cstheme="majorBidi"/>
                <w:sz w:val="16"/>
                <w:szCs w:val="16"/>
              </w:rPr>
              <w:t>Antécédents de litiges</w:t>
            </w:r>
          </w:p>
        </w:tc>
        <w:tc>
          <w:tcPr>
            <w:tcW w:w="2666" w:type="dxa"/>
            <w:shd w:val="clear" w:color="auto" w:fill="auto"/>
          </w:tcPr>
          <w:p w14:paraId="092A3633" w14:textId="2F1A58C2" w:rsidR="00C932FA" w:rsidRPr="00517FB1" w:rsidRDefault="00C932FA" w:rsidP="00C14798">
            <w:pPr>
              <w:pStyle w:val="Retraitcorpsdetexte"/>
              <w:spacing w:before="60" w:after="60"/>
              <w:ind w:left="0" w:firstLine="0"/>
              <w:jc w:val="left"/>
              <w:rPr>
                <w:rFonts w:asciiTheme="majorBidi" w:hAnsiTheme="majorBidi" w:cstheme="majorBidi"/>
                <w:sz w:val="16"/>
                <w:szCs w:val="16"/>
                <w:lang w:val="fr-FR"/>
              </w:rPr>
            </w:pPr>
            <w:r w:rsidRPr="00517FB1">
              <w:rPr>
                <w:rFonts w:asciiTheme="majorBidi" w:hAnsiTheme="majorBidi" w:cstheme="majorBidi"/>
                <w:sz w:val="16"/>
                <w:szCs w:val="16"/>
                <w:lang w:val="fr-FR"/>
              </w:rPr>
              <w:t>Absence d’antécédent de différends systématiquement conclus à l’encontre du Soumissionnaire</w:t>
            </w:r>
            <w:r w:rsidRPr="00517FB1">
              <w:rPr>
                <w:rStyle w:val="Appelnotedebasdep"/>
                <w:rFonts w:asciiTheme="majorBidi" w:hAnsiTheme="majorBidi" w:cstheme="majorBidi"/>
                <w:sz w:val="16"/>
                <w:szCs w:val="16"/>
                <w:lang w:val="fr-FR"/>
              </w:rPr>
              <w:footnoteReference w:id="8"/>
            </w:r>
            <w:r w:rsidRPr="00517FB1">
              <w:rPr>
                <w:rFonts w:asciiTheme="majorBidi" w:hAnsiTheme="majorBidi" w:cstheme="majorBidi"/>
                <w:sz w:val="16"/>
                <w:szCs w:val="16"/>
                <w:lang w:val="fr-FR"/>
              </w:rPr>
              <w:t xml:space="preserve"> depuis le 1</w:t>
            </w:r>
            <w:r w:rsidRPr="00517FB1">
              <w:rPr>
                <w:rFonts w:asciiTheme="majorBidi" w:hAnsiTheme="majorBidi" w:cstheme="majorBidi"/>
                <w:sz w:val="16"/>
                <w:szCs w:val="16"/>
                <w:vertAlign w:val="superscript"/>
                <w:lang w:val="fr-FR"/>
              </w:rPr>
              <w:t>er</w:t>
            </w:r>
            <w:r w:rsidRPr="00517FB1">
              <w:rPr>
                <w:rFonts w:asciiTheme="majorBidi" w:hAnsiTheme="majorBidi" w:cstheme="majorBidi"/>
                <w:sz w:val="16"/>
                <w:szCs w:val="16"/>
                <w:lang w:val="fr-FR"/>
              </w:rPr>
              <w:t xml:space="preserve"> janvier de l’année </w:t>
            </w:r>
            <w:r w:rsidR="001F7AC3" w:rsidRPr="00517FB1">
              <w:rPr>
                <w:rFonts w:asciiTheme="majorBidi" w:hAnsiTheme="majorBidi" w:cstheme="majorBidi"/>
                <w:sz w:val="16"/>
                <w:szCs w:val="16"/>
                <w:lang w:val="fr-FR"/>
              </w:rPr>
              <w:t>201</w:t>
            </w:r>
            <w:r w:rsidR="00B81FC7" w:rsidRPr="00517FB1">
              <w:rPr>
                <w:rFonts w:asciiTheme="majorBidi" w:hAnsiTheme="majorBidi" w:cstheme="majorBidi"/>
                <w:sz w:val="16"/>
                <w:szCs w:val="16"/>
                <w:lang w:val="fr-FR"/>
              </w:rPr>
              <w:t>6</w:t>
            </w:r>
            <w:r w:rsidRPr="00517FB1">
              <w:rPr>
                <w:rFonts w:asciiTheme="majorBidi" w:hAnsiTheme="majorBidi" w:cstheme="majorBidi"/>
                <w:sz w:val="16"/>
                <w:szCs w:val="16"/>
                <w:lang w:val="fr-FR"/>
              </w:rPr>
              <w:t>.</w:t>
            </w:r>
          </w:p>
        </w:tc>
        <w:tc>
          <w:tcPr>
            <w:tcW w:w="1350" w:type="dxa"/>
            <w:shd w:val="clear" w:color="auto" w:fill="auto"/>
          </w:tcPr>
          <w:p w14:paraId="336DFBA0" w14:textId="77777777" w:rsidR="00C932FA" w:rsidRPr="00C14798" w:rsidRDefault="00C932FA">
            <w:pPr>
              <w:spacing w:before="60" w:after="60"/>
              <w:ind w:left="0" w:firstLine="0"/>
              <w:jc w:val="left"/>
              <w:rPr>
                <w:rFonts w:asciiTheme="majorBidi" w:hAnsiTheme="majorBidi" w:cstheme="majorBidi"/>
                <w:sz w:val="16"/>
                <w:szCs w:val="16"/>
              </w:rPr>
            </w:pPr>
            <w:r w:rsidRPr="00C14798">
              <w:rPr>
                <w:rFonts w:asciiTheme="majorBidi" w:hAnsiTheme="majorBidi" w:cstheme="majorBidi"/>
                <w:sz w:val="16"/>
                <w:szCs w:val="16"/>
              </w:rPr>
              <w:t>Doit satisfaire au critère.</w:t>
            </w:r>
          </w:p>
        </w:tc>
        <w:tc>
          <w:tcPr>
            <w:tcW w:w="1530" w:type="dxa"/>
            <w:shd w:val="clear" w:color="auto" w:fill="auto"/>
          </w:tcPr>
          <w:p w14:paraId="1D5AEC57" w14:textId="77777777" w:rsidR="00C932FA" w:rsidRPr="00C14798" w:rsidRDefault="00C932FA">
            <w:pPr>
              <w:spacing w:before="60" w:after="60"/>
              <w:ind w:left="0" w:firstLine="0"/>
              <w:jc w:val="left"/>
              <w:rPr>
                <w:rFonts w:asciiTheme="majorBidi" w:hAnsiTheme="majorBidi" w:cstheme="majorBidi"/>
                <w:sz w:val="16"/>
                <w:szCs w:val="16"/>
              </w:rPr>
            </w:pPr>
            <w:r w:rsidRPr="00C14798">
              <w:rPr>
                <w:rFonts w:asciiTheme="majorBidi" w:hAnsiTheme="majorBidi" w:cstheme="majorBidi"/>
                <w:sz w:val="16"/>
                <w:szCs w:val="16"/>
              </w:rPr>
              <w:t>Doit satisfaire au critère.</w:t>
            </w:r>
          </w:p>
        </w:tc>
        <w:tc>
          <w:tcPr>
            <w:tcW w:w="1440" w:type="dxa"/>
            <w:shd w:val="clear" w:color="auto" w:fill="auto"/>
          </w:tcPr>
          <w:p w14:paraId="44297675" w14:textId="77777777" w:rsidR="00C932FA" w:rsidRPr="00C14798" w:rsidRDefault="00C932FA">
            <w:pPr>
              <w:spacing w:before="60" w:after="60"/>
              <w:ind w:left="0" w:firstLine="0"/>
              <w:jc w:val="left"/>
              <w:rPr>
                <w:rFonts w:asciiTheme="majorBidi" w:hAnsiTheme="majorBidi" w:cstheme="majorBidi"/>
                <w:sz w:val="16"/>
                <w:szCs w:val="16"/>
              </w:rPr>
            </w:pPr>
            <w:r w:rsidRPr="00C14798">
              <w:rPr>
                <w:rFonts w:asciiTheme="majorBidi" w:hAnsiTheme="majorBidi" w:cstheme="majorBidi"/>
                <w:sz w:val="16"/>
                <w:szCs w:val="16"/>
              </w:rPr>
              <w:t>Doit satisfaire au critère.</w:t>
            </w:r>
          </w:p>
        </w:tc>
        <w:tc>
          <w:tcPr>
            <w:tcW w:w="1393" w:type="dxa"/>
            <w:shd w:val="clear" w:color="auto" w:fill="auto"/>
          </w:tcPr>
          <w:p w14:paraId="05B250D5" w14:textId="77777777" w:rsidR="00C932FA" w:rsidRPr="00C14798" w:rsidRDefault="00C932FA">
            <w:pPr>
              <w:spacing w:before="60" w:after="60"/>
              <w:ind w:left="0" w:firstLine="0"/>
              <w:jc w:val="left"/>
              <w:rPr>
                <w:rFonts w:asciiTheme="majorBidi" w:hAnsiTheme="majorBidi" w:cstheme="majorBidi"/>
                <w:sz w:val="16"/>
                <w:szCs w:val="16"/>
              </w:rPr>
            </w:pPr>
            <w:r w:rsidRPr="00C14798">
              <w:rPr>
                <w:rFonts w:asciiTheme="majorBidi" w:hAnsiTheme="majorBidi" w:cstheme="majorBidi"/>
                <w:sz w:val="16"/>
                <w:szCs w:val="16"/>
              </w:rPr>
              <w:t>Sans objet</w:t>
            </w:r>
          </w:p>
        </w:tc>
        <w:tc>
          <w:tcPr>
            <w:tcW w:w="1673" w:type="dxa"/>
            <w:shd w:val="clear" w:color="auto" w:fill="auto"/>
          </w:tcPr>
          <w:p w14:paraId="24D3A531" w14:textId="2DC9A288" w:rsidR="00C932FA" w:rsidRPr="00C14798" w:rsidRDefault="00C932FA" w:rsidP="00436A25">
            <w:pPr>
              <w:spacing w:before="60" w:after="60"/>
              <w:ind w:left="0" w:firstLine="0"/>
              <w:jc w:val="left"/>
              <w:rPr>
                <w:rFonts w:asciiTheme="majorBidi" w:hAnsiTheme="majorBidi" w:cstheme="majorBidi"/>
                <w:sz w:val="16"/>
                <w:szCs w:val="16"/>
              </w:rPr>
            </w:pPr>
            <w:r w:rsidRPr="00C14798">
              <w:rPr>
                <w:rFonts w:asciiTheme="majorBidi" w:hAnsiTheme="majorBidi" w:cstheme="majorBidi"/>
                <w:sz w:val="16"/>
                <w:szCs w:val="16"/>
              </w:rPr>
              <w:t>Formulaire ANT - 2</w:t>
            </w:r>
          </w:p>
        </w:tc>
      </w:tr>
      <w:tr w:rsidR="008F2A36" w:rsidRPr="00E00AD1" w14:paraId="422D2038" w14:textId="77777777" w:rsidTr="000B19C9">
        <w:tblPrEx>
          <w:tblLook w:val="0000" w:firstRow="0" w:lastRow="0" w:firstColumn="0" w:lastColumn="0" w:noHBand="0" w:noVBand="0"/>
        </w:tblPrEx>
        <w:tc>
          <w:tcPr>
            <w:tcW w:w="1458" w:type="dxa"/>
            <w:shd w:val="clear" w:color="auto" w:fill="auto"/>
          </w:tcPr>
          <w:p w14:paraId="7B78E514" w14:textId="7DF0AC93" w:rsidR="00C932FA" w:rsidRPr="00C278BD" w:rsidRDefault="001E0C5C" w:rsidP="00FC7AA0">
            <w:pPr>
              <w:pStyle w:val="Titre2"/>
              <w:keepNext/>
              <w:tabs>
                <w:tab w:val="left" w:pos="576"/>
              </w:tabs>
              <w:spacing w:before="60" w:after="60"/>
              <w:ind w:left="0" w:firstLine="0"/>
              <w:jc w:val="left"/>
              <w:rPr>
                <w:rFonts w:asciiTheme="majorBidi" w:hAnsiTheme="majorBidi" w:cstheme="majorBidi"/>
                <w:b w:val="0"/>
                <w:bCs/>
                <w:sz w:val="16"/>
                <w:szCs w:val="16"/>
              </w:rPr>
            </w:pPr>
            <w:r w:rsidRPr="00C278BD">
              <w:rPr>
                <w:rFonts w:asciiTheme="majorBidi" w:hAnsiTheme="majorBidi" w:cstheme="majorBidi"/>
                <w:b w:val="0"/>
                <w:bCs/>
                <w:sz w:val="16"/>
                <w:szCs w:val="16"/>
              </w:rPr>
              <w:t>2.5</w:t>
            </w:r>
          </w:p>
        </w:tc>
        <w:tc>
          <w:tcPr>
            <w:tcW w:w="1710" w:type="dxa"/>
            <w:shd w:val="clear" w:color="auto" w:fill="auto"/>
          </w:tcPr>
          <w:p w14:paraId="40B2CA34" w14:textId="18DBC945" w:rsidR="00C932FA" w:rsidRPr="00C278BD" w:rsidRDefault="00C932FA" w:rsidP="00284E69">
            <w:pPr>
              <w:pStyle w:val="Titre2"/>
              <w:keepNext/>
              <w:tabs>
                <w:tab w:val="left" w:pos="576"/>
              </w:tabs>
              <w:spacing w:before="60" w:after="60"/>
              <w:ind w:left="0" w:firstLine="0"/>
              <w:jc w:val="left"/>
              <w:rPr>
                <w:rFonts w:asciiTheme="majorBidi" w:hAnsiTheme="majorBidi" w:cstheme="majorBidi"/>
                <w:sz w:val="16"/>
                <w:szCs w:val="16"/>
              </w:rPr>
            </w:pPr>
            <w:r w:rsidRPr="00C278BD">
              <w:rPr>
                <w:rFonts w:asciiTheme="majorBidi" w:hAnsiTheme="majorBidi" w:cstheme="majorBidi"/>
                <w:sz w:val="16"/>
                <w:szCs w:val="16"/>
              </w:rPr>
              <w:t>Déclaration : Performance passée dans les domaines environnemental, social hygiène et sécurité</w:t>
            </w:r>
          </w:p>
        </w:tc>
        <w:tc>
          <w:tcPr>
            <w:tcW w:w="2666" w:type="dxa"/>
            <w:shd w:val="clear" w:color="auto" w:fill="auto"/>
          </w:tcPr>
          <w:p w14:paraId="26040A54" w14:textId="086A4830" w:rsidR="00C932FA" w:rsidRPr="00C278BD" w:rsidRDefault="00C932FA" w:rsidP="00284E69">
            <w:pPr>
              <w:pStyle w:val="Retraitcorpsdetexte"/>
              <w:keepNext/>
              <w:spacing w:before="60" w:after="60"/>
              <w:ind w:left="0" w:firstLine="0"/>
              <w:jc w:val="left"/>
              <w:rPr>
                <w:rFonts w:asciiTheme="majorBidi" w:hAnsiTheme="majorBidi" w:cstheme="majorBidi"/>
                <w:sz w:val="16"/>
                <w:szCs w:val="16"/>
                <w:lang w:val="fr-FR"/>
              </w:rPr>
            </w:pPr>
            <w:r w:rsidRPr="00C278BD">
              <w:rPr>
                <w:rFonts w:asciiTheme="majorBidi" w:hAnsiTheme="majorBidi" w:cstheme="majorBidi"/>
                <w:sz w:val="16"/>
                <w:szCs w:val="16"/>
                <w:lang w:val="fr-FR"/>
              </w:rPr>
              <w:t xml:space="preserve">Déclarer tous les marchés de travaux qui ont fait l’objet de suspension ou de résiliation et/ou de saisie de la garantie de performance par le Maître d’Ouvrage pour des motifs de non-respect des exigences en matière environnementale, sociale, </w:t>
            </w:r>
            <w:r w:rsidR="00CD40CC" w:rsidRPr="00C278BD">
              <w:rPr>
                <w:sz w:val="16"/>
                <w:szCs w:val="16"/>
                <w:lang w:val="fr-FR"/>
              </w:rPr>
              <w:t>(incluant l’exploitation et les abus sexuels (EAS) et les violences basées sur le genre (VBG)), hygiène et sécurité au cours des cinq (5) dernières années</w:t>
            </w:r>
            <w:r w:rsidR="00CD40CC" w:rsidRPr="00C278BD">
              <w:rPr>
                <w:rStyle w:val="Appelnotedebasdep"/>
                <w:sz w:val="16"/>
                <w:szCs w:val="16"/>
                <w:lang w:val="fr-FR"/>
              </w:rPr>
              <w:footnoteReference w:id="9"/>
            </w:r>
            <w:r w:rsidR="00CD40CC" w:rsidRPr="00C278BD">
              <w:rPr>
                <w:sz w:val="16"/>
                <w:szCs w:val="16"/>
                <w:lang w:val="fr-FR"/>
              </w:rPr>
              <w:t>.</w:t>
            </w:r>
          </w:p>
        </w:tc>
        <w:tc>
          <w:tcPr>
            <w:tcW w:w="1350" w:type="dxa"/>
            <w:shd w:val="clear" w:color="auto" w:fill="auto"/>
          </w:tcPr>
          <w:p w14:paraId="040CFF67" w14:textId="3A09A479" w:rsidR="00C932FA" w:rsidRPr="00C278BD" w:rsidRDefault="00C932FA">
            <w:pPr>
              <w:keepNext/>
              <w:spacing w:before="60" w:after="60"/>
              <w:ind w:left="0" w:firstLine="0"/>
              <w:jc w:val="left"/>
              <w:rPr>
                <w:rFonts w:asciiTheme="majorBidi" w:hAnsiTheme="majorBidi" w:cstheme="majorBidi"/>
                <w:sz w:val="16"/>
                <w:szCs w:val="16"/>
              </w:rPr>
            </w:pPr>
            <w:r w:rsidRPr="00C278BD">
              <w:rPr>
                <w:rFonts w:asciiTheme="majorBidi" w:hAnsiTheme="majorBidi" w:cstheme="majorBidi"/>
                <w:sz w:val="16"/>
                <w:szCs w:val="16"/>
              </w:rPr>
              <w:t>Doit fournir la déclaration. En cas de recours à des Sous-traitants spécialisés, ceux-ci doivent également fournir la déclaration.</w:t>
            </w:r>
          </w:p>
        </w:tc>
        <w:tc>
          <w:tcPr>
            <w:tcW w:w="1530" w:type="dxa"/>
            <w:shd w:val="clear" w:color="auto" w:fill="auto"/>
          </w:tcPr>
          <w:p w14:paraId="01AEBF74" w14:textId="1EF79545" w:rsidR="00C932FA" w:rsidRPr="00C278BD" w:rsidRDefault="00C932FA">
            <w:pPr>
              <w:keepNext/>
              <w:spacing w:before="60" w:after="60"/>
              <w:ind w:left="0" w:firstLine="0"/>
              <w:jc w:val="left"/>
              <w:rPr>
                <w:rFonts w:asciiTheme="majorBidi" w:hAnsiTheme="majorBidi" w:cstheme="majorBidi"/>
                <w:sz w:val="16"/>
                <w:szCs w:val="16"/>
              </w:rPr>
            </w:pPr>
            <w:r w:rsidRPr="00C278BD">
              <w:rPr>
                <w:rFonts w:asciiTheme="majorBidi" w:hAnsiTheme="majorBidi" w:cstheme="majorBidi"/>
                <w:sz w:val="16"/>
                <w:szCs w:val="16"/>
              </w:rPr>
              <w:t>Sans objet</w:t>
            </w:r>
          </w:p>
        </w:tc>
        <w:tc>
          <w:tcPr>
            <w:tcW w:w="1440" w:type="dxa"/>
            <w:shd w:val="clear" w:color="auto" w:fill="auto"/>
          </w:tcPr>
          <w:p w14:paraId="27F37EFD" w14:textId="2119D706" w:rsidR="00C932FA" w:rsidRPr="00C278BD" w:rsidRDefault="00C078DD">
            <w:pPr>
              <w:keepNext/>
              <w:spacing w:before="60" w:after="60"/>
              <w:ind w:left="0" w:firstLine="0"/>
              <w:jc w:val="left"/>
              <w:rPr>
                <w:rFonts w:asciiTheme="majorBidi" w:hAnsiTheme="majorBidi" w:cstheme="majorBidi"/>
                <w:sz w:val="16"/>
                <w:szCs w:val="16"/>
              </w:rPr>
            </w:pPr>
            <w:r w:rsidRPr="00C278BD">
              <w:rPr>
                <w:rFonts w:asciiTheme="majorBidi" w:hAnsiTheme="majorBidi" w:cstheme="majorBidi"/>
                <w:sz w:val="16"/>
                <w:szCs w:val="16"/>
              </w:rPr>
              <w:t xml:space="preserve">Chaque </w:t>
            </w:r>
            <w:r w:rsidR="00C932FA" w:rsidRPr="00C278BD">
              <w:rPr>
                <w:rFonts w:asciiTheme="majorBidi" w:hAnsiTheme="majorBidi" w:cstheme="majorBidi"/>
                <w:sz w:val="16"/>
                <w:szCs w:val="16"/>
              </w:rPr>
              <w:t>membre doit fournir la déclaration. En cas de recours à des Sous-traitants spécialisés, ceux-ci doivent également fournir la déclaration.</w:t>
            </w:r>
          </w:p>
        </w:tc>
        <w:tc>
          <w:tcPr>
            <w:tcW w:w="1393" w:type="dxa"/>
            <w:shd w:val="clear" w:color="auto" w:fill="auto"/>
          </w:tcPr>
          <w:p w14:paraId="435B6C14" w14:textId="245E0E47" w:rsidR="00C932FA" w:rsidRPr="00C278BD" w:rsidRDefault="00C932FA">
            <w:pPr>
              <w:keepNext/>
              <w:spacing w:before="60" w:after="60"/>
              <w:ind w:left="0" w:firstLine="0"/>
              <w:jc w:val="left"/>
              <w:rPr>
                <w:rFonts w:asciiTheme="majorBidi" w:hAnsiTheme="majorBidi" w:cstheme="majorBidi"/>
                <w:sz w:val="16"/>
                <w:szCs w:val="16"/>
              </w:rPr>
            </w:pPr>
            <w:r w:rsidRPr="00C278BD">
              <w:rPr>
                <w:rFonts w:asciiTheme="majorBidi" w:hAnsiTheme="majorBidi" w:cstheme="majorBidi"/>
                <w:sz w:val="16"/>
                <w:szCs w:val="16"/>
              </w:rPr>
              <w:t>Sans objet</w:t>
            </w:r>
          </w:p>
        </w:tc>
        <w:tc>
          <w:tcPr>
            <w:tcW w:w="1673" w:type="dxa"/>
            <w:shd w:val="clear" w:color="auto" w:fill="auto"/>
          </w:tcPr>
          <w:p w14:paraId="475692A8" w14:textId="2B6D1506" w:rsidR="00C932FA" w:rsidRPr="00C278BD" w:rsidRDefault="00C932FA">
            <w:pPr>
              <w:keepNext/>
              <w:ind w:left="0" w:firstLine="0"/>
              <w:jc w:val="left"/>
              <w:rPr>
                <w:rFonts w:asciiTheme="majorBidi" w:hAnsiTheme="majorBidi" w:cstheme="majorBidi"/>
                <w:sz w:val="16"/>
                <w:szCs w:val="16"/>
              </w:rPr>
            </w:pPr>
            <w:r w:rsidRPr="00C278BD">
              <w:rPr>
                <w:rFonts w:asciiTheme="majorBidi" w:hAnsiTheme="majorBidi" w:cstheme="majorBidi"/>
                <w:sz w:val="16"/>
                <w:szCs w:val="16"/>
              </w:rPr>
              <w:t>Formulaire ANT-3</w:t>
            </w:r>
          </w:p>
          <w:p w14:paraId="254E26A4" w14:textId="5F452134" w:rsidR="00C932FA" w:rsidRPr="00C278BD" w:rsidRDefault="00C932FA">
            <w:pPr>
              <w:keepNext/>
              <w:spacing w:before="60" w:after="60"/>
              <w:ind w:left="0" w:firstLine="0"/>
              <w:jc w:val="left"/>
              <w:rPr>
                <w:rFonts w:asciiTheme="majorBidi" w:hAnsiTheme="majorBidi" w:cstheme="majorBidi"/>
                <w:sz w:val="16"/>
                <w:szCs w:val="16"/>
              </w:rPr>
            </w:pPr>
            <w:r w:rsidRPr="00C278BD">
              <w:rPr>
                <w:rFonts w:asciiTheme="majorBidi" w:hAnsiTheme="majorBidi" w:cstheme="majorBidi"/>
                <w:sz w:val="16"/>
                <w:szCs w:val="16"/>
              </w:rPr>
              <w:t>Déclaration de performance ESHS</w:t>
            </w:r>
          </w:p>
        </w:tc>
      </w:tr>
      <w:tr w:rsidR="00C71AFF" w:rsidRPr="00C14798" w14:paraId="5A668DEE" w14:textId="77777777" w:rsidTr="000B19C9">
        <w:trPr>
          <w:trHeight w:val="391"/>
        </w:trPr>
        <w:tc>
          <w:tcPr>
            <w:tcW w:w="13220" w:type="dxa"/>
            <w:gridSpan w:val="8"/>
            <w:shd w:val="clear" w:color="auto" w:fill="auto"/>
            <w:vAlign w:val="center"/>
          </w:tcPr>
          <w:p w14:paraId="18D5BAA8" w14:textId="5B8E485D" w:rsidR="00C71AFF" w:rsidRPr="00C14798" w:rsidRDefault="00C71AFF" w:rsidP="00FC7AA0">
            <w:pPr>
              <w:pStyle w:val="S3-Heading2"/>
              <w:pageBreakBefore/>
              <w:spacing w:after="0"/>
              <w:ind w:left="1077" w:right="289"/>
              <w:jc w:val="left"/>
              <w:rPr>
                <w:sz w:val="16"/>
                <w:szCs w:val="16"/>
                <w:lang w:val="fr-FR"/>
              </w:rPr>
            </w:pPr>
            <w:bookmarkStart w:id="442" w:name="_Toc487641742"/>
            <w:r w:rsidRPr="00C14798">
              <w:rPr>
                <w:sz w:val="16"/>
                <w:szCs w:val="16"/>
                <w:lang w:val="fr-FR"/>
              </w:rPr>
              <w:lastRenderedPageBreak/>
              <w:t>3. Situation et Performance Financières</w:t>
            </w:r>
            <w:bookmarkEnd w:id="442"/>
          </w:p>
        </w:tc>
      </w:tr>
      <w:tr w:rsidR="00C71AFF" w:rsidRPr="00C14798" w14:paraId="1331D7A9" w14:textId="77777777" w:rsidTr="000B19C9">
        <w:tblPrEx>
          <w:tblBorders>
            <w:insideH w:val="none" w:sz="0" w:space="0" w:color="auto"/>
            <w:insideV w:val="none" w:sz="0" w:space="0" w:color="auto"/>
          </w:tblBorders>
          <w:tblLook w:val="0000" w:firstRow="0" w:lastRow="0" w:firstColumn="0" w:lastColumn="0" w:noHBand="0" w:noVBand="0"/>
        </w:tblPrEx>
        <w:tc>
          <w:tcPr>
            <w:tcW w:w="1458" w:type="dxa"/>
            <w:tcBorders>
              <w:top w:val="single" w:sz="4" w:space="0" w:color="auto"/>
              <w:right w:val="single" w:sz="4" w:space="0" w:color="auto"/>
            </w:tcBorders>
            <w:shd w:val="clear" w:color="auto" w:fill="auto"/>
          </w:tcPr>
          <w:p w14:paraId="0939A043" w14:textId="4A5AC9FB" w:rsidR="00C71AFF" w:rsidRPr="00C14798" w:rsidRDefault="001A3C9A" w:rsidP="00FC7AA0">
            <w:pPr>
              <w:pStyle w:val="Titre2"/>
              <w:tabs>
                <w:tab w:val="left" w:pos="90"/>
              </w:tabs>
              <w:spacing w:before="60" w:after="60"/>
              <w:ind w:left="0" w:firstLine="0"/>
              <w:jc w:val="left"/>
              <w:rPr>
                <w:rFonts w:asciiTheme="majorBidi" w:hAnsiTheme="majorBidi" w:cstheme="majorBidi"/>
                <w:b w:val="0"/>
                <w:bCs/>
                <w:sz w:val="16"/>
                <w:szCs w:val="16"/>
              </w:rPr>
            </w:pPr>
            <w:r w:rsidRPr="00C14798">
              <w:rPr>
                <w:rFonts w:asciiTheme="majorBidi" w:hAnsiTheme="majorBidi" w:cstheme="majorBidi"/>
                <w:b w:val="0"/>
                <w:bCs/>
                <w:sz w:val="16"/>
                <w:szCs w:val="16"/>
              </w:rPr>
              <w:t>3.1</w:t>
            </w:r>
          </w:p>
        </w:tc>
        <w:tc>
          <w:tcPr>
            <w:tcW w:w="1710" w:type="dxa"/>
            <w:tcBorders>
              <w:top w:val="single" w:sz="4" w:space="0" w:color="auto"/>
              <w:right w:val="single" w:sz="4" w:space="0" w:color="auto"/>
            </w:tcBorders>
            <w:shd w:val="clear" w:color="auto" w:fill="auto"/>
          </w:tcPr>
          <w:p w14:paraId="4765B067" w14:textId="4362C159" w:rsidR="00C71AFF" w:rsidRPr="00C14798" w:rsidRDefault="00C71AFF" w:rsidP="00284E69">
            <w:pPr>
              <w:pStyle w:val="Titre2"/>
              <w:tabs>
                <w:tab w:val="left" w:pos="90"/>
              </w:tabs>
              <w:spacing w:before="60" w:after="60"/>
              <w:ind w:left="0" w:firstLine="0"/>
              <w:jc w:val="left"/>
              <w:rPr>
                <w:rFonts w:asciiTheme="majorBidi" w:hAnsiTheme="majorBidi" w:cstheme="majorBidi"/>
                <w:sz w:val="16"/>
                <w:szCs w:val="16"/>
              </w:rPr>
            </w:pPr>
            <w:r w:rsidRPr="00C14798">
              <w:rPr>
                <w:rFonts w:asciiTheme="majorBidi" w:hAnsiTheme="majorBidi" w:cstheme="majorBidi"/>
                <w:sz w:val="16"/>
                <w:szCs w:val="16"/>
              </w:rPr>
              <w:t>Capacité financière</w:t>
            </w:r>
          </w:p>
        </w:tc>
        <w:tc>
          <w:tcPr>
            <w:tcW w:w="2666" w:type="dxa"/>
            <w:tcBorders>
              <w:top w:val="single" w:sz="4" w:space="0" w:color="auto"/>
              <w:left w:val="single" w:sz="4" w:space="0" w:color="auto"/>
              <w:right w:val="single" w:sz="4" w:space="0" w:color="auto"/>
            </w:tcBorders>
            <w:shd w:val="clear" w:color="auto" w:fill="auto"/>
          </w:tcPr>
          <w:p w14:paraId="440D19BD" w14:textId="64B8FDAD" w:rsidR="00CD40CC" w:rsidRPr="00C14798" w:rsidRDefault="00C71AFF" w:rsidP="00284E69">
            <w:pPr>
              <w:pStyle w:val="Retraitcorpsdetexte"/>
              <w:suppressAutoHyphens/>
              <w:spacing w:before="60" w:after="60"/>
              <w:ind w:left="0" w:firstLine="0"/>
              <w:jc w:val="left"/>
              <w:rPr>
                <w:rFonts w:asciiTheme="majorBidi" w:hAnsiTheme="majorBidi" w:cstheme="majorBidi"/>
                <w:sz w:val="16"/>
                <w:szCs w:val="16"/>
                <w:lang w:val="fr-FR"/>
              </w:rPr>
            </w:pPr>
            <w:r w:rsidRPr="00C14798">
              <w:rPr>
                <w:rFonts w:asciiTheme="majorBidi" w:hAnsiTheme="majorBidi" w:cstheme="majorBidi"/>
                <w:sz w:val="16"/>
                <w:szCs w:val="16"/>
                <w:lang w:val="fr-FR"/>
              </w:rPr>
              <w:t>(i) Le Soumissionnaire doit démontrer qu’il dispose d’</w:t>
            </w:r>
            <w:proofErr w:type="spellStart"/>
            <w:r w:rsidRPr="00C14798">
              <w:rPr>
                <w:rFonts w:asciiTheme="majorBidi" w:hAnsiTheme="majorBidi" w:cstheme="majorBidi"/>
                <w:sz w:val="16"/>
                <w:szCs w:val="16"/>
                <w:lang w:val="fr-FR"/>
              </w:rPr>
              <w:t>avoirs</w:t>
            </w:r>
            <w:proofErr w:type="spellEnd"/>
            <w:r w:rsidRPr="00C14798">
              <w:rPr>
                <w:rFonts w:asciiTheme="majorBidi" w:hAnsiTheme="majorBidi" w:cstheme="majorBidi"/>
                <w:sz w:val="16"/>
                <w:szCs w:val="16"/>
                <w:lang w:val="fr-FR"/>
              </w:rPr>
              <w:t xml:space="preserve"> liquides ou a accès à des actifs non grevés ou des lignes de crédit, etc. autres que l’avance de </w:t>
            </w:r>
            <w:r w:rsidR="00994494" w:rsidRPr="00C14798">
              <w:rPr>
                <w:rFonts w:asciiTheme="majorBidi" w:hAnsiTheme="majorBidi" w:cstheme="majorBidi"/>
                <w:sz w:val="16"/>
                <w:szCs w:val="16"/>
                <w:lang w:val="fr-FR"/>
              </w:rPr>
              <w:t>démarrage éventuel</w:t>
            </w:r>
            <w:r w:rsidRPr="00C14798">
              <w:rPr>
                <w:rFonts w:asciiTheme="majorBidi" w:hAnsiTheme="majorBidi" w:cstheme="majorBidi"/>
                <w:sz w:val="16"/>
                <w:szCs w:val="16"/>
                <w:lang w:val="fr-FR"/>
              </w:rPr>
              <w:t>, à des montants suffisants pour subvenir aux besoins de trésorerie nécessaires à l’exécution des travaux objet du présent Appel d’Offres à hauteur de</w:t>
            </w:r>
            <w:r w:rsidR="00730490" w:rsidRPr="00C14798">
              <w:rPr>
                <w:rFonts w:asciiTheme="majorBidi" w:hAnsiTheme="majorBidi" w:cstheme="majorBidi"/>
                <w:sz w:val="16"/>
                <w:szCs w:val="16"/>
                <w:lang w:val="fr-FR"/>
              </w:rPr>
              <w:t> :</w:t>
            </w:r>
          </w:p>
          <w:p w14:paraId="3471667C" w14:textId="59BAA99F" w:rsidR="00F051A1" w:rsidRPr="00517FB1" w:rsidRDefault="001538F3">
            <w:pPr>
              <w:pStyle w:val="Retraitcorpsdetexte"/>
              <w:suppressAutoHyphens/>
              <w:spacing w:before="60" w:after="60"/>
              <w:ind w:left="0" w:firstLine="0"/>
              <w:jc w:val="left"/>
              <w:rPr>
                <w:b/>
                <w:sz w:val="16"/>
                <w:szCs w:val="16"/>
                <w:lang w:val="fr-FR"/>
              </w:rPr>
            </w:pPr>
            <w:proofErr w:type="spellStart"/>
            <w:r w:rsidRPr="00517FB1">
              <w:rPr>
                <w:rFonts w:ascii="Arial Narrow" w:hAnsi="Arial Narrow" w:cs="Arial"/>
                <w:b/>
                <w:sz w:val="16"/>
                <w:szCs w:val="16"/>
              </w:rPr>
              <w:t>Deux</w:t>
            </w:r>
            <w:proofErr w:type="spellEnd"/>
            <w:r w:rsidR="009C1D7D" w:rsidRPr="00517FB1">
              <w:rPr>
                <w:rFonts w:ascii="Arial Narrow" w:hAnsi="Arial Narrow" w:cs="Arial"/>
                <w:b/>
                <w:sz w:val="16"/>
                <w:szCs w:val="16"/>
              </w:rPr>
              <w:t xml:space="preserve"> </w:t>
            </w:r>
            <w:r w:rsidR="000B19C9" w:rsidRPr="00517FB1">
              <w:rPr>
                <w:rFonts w:ascii="Arial Narrow" w:hAnsi="Arial Narrow" w:cs="Arial"/>
                <w:b/>
                <w:sz w:val="16"/>
                <w:szCs w:val="16"/>
              </w:rPr>
              <w:t>cent</w:t>
            </w:r>
            <w:r w:rsidR="00156547" w:rsidRPr="00517FB1">
              <w:rPr>
                <w:rFonts w:ascii="Arial Narrow" w:hAnsi="Arial Narrow" w:cs="Arial"/>
                <w:b/>
                <w:sz w:val="16"/>
                <w:szCs w:val="16"/>
              </w:rPr>
              <w:t xml:space="preserve"> </w:t>
            </w:r>
            <w:proofErr w:type="spellStart"/>
            <w:r w:rsidR="00C640D0" w:rsidRPr="00517FB1">
              <w:rPr>
                <w:rFonts w:ascii="Arial Narrow" w:hAnsi="Arial Narrow" w:cs="Arial"/>
                <w:b/>
                <w:sz w:val="16"/>
                <w:szCs w:val="16"/>
              </w:rPr>
              <w:t>cinquante</w:t>
            </w:r>
            <w:proofErr w:type="spellEnd"/>
            <w:r w:rsidR="00C640D0" w:rsidRPr="00517FB1">
              <w:rPr>
                <w:rFonts w:ascii="Arial Narrow" w:hAnsi="Arial Narrow" w:cs="Arial"/>
                <w:b/>
                <w:sz w:val="16"/>
                <w:szCs w:val="16"/>
              </w:rPr>
              <w:t xml:space="preserve"> </w:t>
            </w:r>
            <w:proofErr w:type="spellStart"/>
            <w:r w:rsidR="00C640D0" w:rsidRPr="00517FB1">
              <w:rPr>
                <w:rFonts w:ascii="Arial Narrow" w:hAnsi="Arial Narrow" w:cs="Arial"/>
                <w:b/>
                <w:sz w:val="16"/>
                <w:szCs w:val="16"/>
              </w:rPr>
              <w:t>millions</w:t>
            </w:r>
            <w:proofErr w:type="spellEnd"/>
            <w:r w:rsidR="009C1D7D" w:rsidRPr="00517FB1">
              <w:rPr>
                <w:rFonts w:ascii="Arial Narrow" w:hAnsi="Arial Narrow" w:cs="Arial"/>
                <w:b/>
                <w:sz w:val="16"/>
                <w:szCs w:val="16"/>
              </w:rPr>
              <w:t xml:space="preserve"> (</w:t>
            </w:r>
            <w:r w:rsidR="00156547" w:rsidRPr="00517FB1">
              <w:rPr>
                <w:rFonts w:ascii="Arial Narrow" w:hAnsi="Arial Narrow" w:cs="Arial"/>
                <w:b/>
                <w:sz w:val="16"/>
                <w:szCs w:val="16"/>
              </w:rPr>
              <w:t xml:space="preserve">250 </w:t>
            </w:r>
            <w:r w:rsidR="009C1D7D" w:rsidRPr="00517FB1">
              <w:rPr>
                <w:rFonts w:ascii="Arial Narrow" w:hAnsi="Arial Narrow" w:cs="Arial"/>
                <w:b/>
                <w:sz w:val="16"/>
                <w:szCs w:val="16"/>
              </w:rPr>
              <w:t xml:space="preserve">000 000) de </w:t>
            </w:r>
            <w:proofErr w:type="spellStart"/>
            <w:r w:rsidR="009C1D7D" w:rsidRPr="00517FB1">
              <w:rPr>
                <w:rFonts w:ascii="Arial Narrow" w:hAnsi="Arial Narrow" w:cs="Arial"/>
                <w:b/>
                <w:sz w:val="16"/>
                <w:szCs w:val="16"/>
              </w:rPr>
              <w:t>francs</w:t>
            </w:r>
            <w:proofErr w:type="spellEnd"/>
            <w:r w:rsidR="009C1D7D" w:rsidRPr="00517FB1">
              <w:rPr>
                <w:rFonts w:ascii="Arial Narrow" w:hAnsi="Arial Narrow" w:cs="Arial"/>
                <w:b/>
                <w:sz w:val="16"/>
                <w:szCs w:val="16"/>
              </w:rPr>
              <w:t xml:space="preserve"> CFA</w:t>
            </w:r>
            <w:r w:rsidR="00C640D0" w:rsidRPr="00517FB1">
              <w:rPr>
                <w:rFonts w:ascii="Arial Narrow" w:hAnsi="Arial Narrow" w:cs="Arial"/>
                <w:b/>
                <w:sz w:val="16"/>
                <w:szCs w:val="16"/>
              </w:rPr>
              <w:t>.</w:t>
            </w:r>
          </w:p>
          <w:p w14:paraId="39FDE36D" w14:textId="67DA2580" w:rsidR="00C71AFF" w:rsidRPr="00C14798" w:rsidRDefault="008F0A0F">
            <w:pPr>
              <w:pStyle w:val="Retraitcorpsdetexte"/>
              <w:spacing w:before="60" w:after="60"/>
              <w:ind w:left="0" w:firstLine="0"/>
              <w:jc w:val="left"/>
              <w:rPr>
                <w:rFonts w:asciiTheme="majorBidi" w:hAnsiTheme="majorBidi" w:cstheme="majorBidi"/>
                <w:sz w:val="16"/>
                <w:szCs w:val="16"/>
                <w:lang w:val="fr-FR"/>
              </w:rPr>
            </w:pPr>
            <w:r w:rsidRPr="00C14798">
              <w:rPr>
                <w:rFonts w:asciiTheme="majorBidi" w:hAnsiTheme="majorBidi" w:cstheme="majorBidi"/>
                <w:sz w:val="16"/>
                <w:szCs w:val="16"/>
                <w:lang w:val="fr-FR"/>
              </w:rPr>
              <w:t>Nets</w:t>
            </w:r>
            <w:r w:rsidR="00C71AFF" w:rsidRPr="00C14798">
              <w:rPr>
                <w:rFonts w:asciiTheme="majorBidi" w:hAnsiTheme="majorBidi" w:cstheme="majorBidi"/>
                <w:sz w:val="16"/>
                <w:szCs w:val="16"/>
                <w:lang w:val="fr-FR"/>
              </w:rPr>
              <w:t xml:space="preserve"> de ses autres engagements ; </w:t>
            </w:r>
          </w:p>
          <w:p w14:paraId="5C0AA383" w14:textId="77777777" w:rsidR="00C71AFF" w:rsidRPr="00C14798" w:rsidRDefault="00C71AFF">
            <w:pPr>
              <w:pStyle w:val="Retraitcorpsdetexte"/>
              <w:spacing w:before="60" w:after="60"/>
              <w:ind w:left="0" w:firstLine="0"/>
              <w:jc w:val="left"/>
              <w:rPr>
                <w:rFonts w:asciiTheme="majorBidi" w:hAnsiTheme="majorBidi" w:cstheme="majorBidi"/>
                <w:sz w:val="16"/>
                <w:szCs w:val="16"/>
                <w:lang w:val="fr-FR"/>
              </w:rPr>
            </w:pPr>
            <w:r w:rsidRPr="00C14798">
              <w:rPr>
                <w:rFonts w:asciiTheme="majorBidi" w:hAnsiTheme="majorBidi" w:cstheme="majorBidi"/>
                <w:sz w:val="16"/>
                <w:szCs w:val="16"/>
                <w:lang w:val="fr-FR"/>
              </w:rPr>
              <w:t xml:space="preserve">(ii) le Soumissionnaire doit démontrer, à la satisfaction du Maître de l’Ouvrage qu’il dispose de moyens financiers lui permettant de satisfaire les besoins en trésorerie des travaux en cours et à venir dans le cadre de marchés déjà engagés ; </w:t>
            </w:r>
          </w:p>
          <w:p w14:paraId="232D4266" w14:textId="5CB3B22C" w:rsidR="00C71AFF" w:rsidRPr="00C14798" w:rsidRDefault="00C71AFF" w:rsidP="00156547">
            <w:pPr>
              <w:pStyle w:val="Retraitcorpsdetexte"/>
              <w:spacing w:before="60" w:after="60"/>
              <w:ind w:left="0" w:firstLine="0"/>
              <w:jc w:val="left"/>
              <w:rPr>
                <w:rFonts w:asciiTheme="majorBidi" w:hAnsiTheme="majorBidi" w:cstheme="majorBidi"/>
                <w:sz w:val="16"/>
                <w:szCs w:val="16"/>
                <w:lang w:val="fr-FR"/>
              </w:rPr>
            </w:pPr>
            <w:r w:rsidRPr="00C14798">
              <w:rPr>
                <w:rFonts w:asciiTheme="majorBidi" w:hAnsiTheme="majorBidi" w:cstheme="majorBidi"/>
                <w:sz w:val="16"/>
                <w:szCs w:val="16"/>
                <w:lang w:val="fr-FR"/>
              </w:rPr>
              <w:t>(iii) Soumission de bilans vérifiés ou, si cela n’est pas requis par la réglementation du pays du Soumissionnaire, autres états financiers acceptables par le Maître d</w:t>
            </w:r>
            <w:r w:rsidRPr="00517FB1">
              <w:rPr>
                <w:rFonts w:asciiTheme="majorBidi" w:hAnsiTheme="majorBidi" w:cstheme="majorBidi"/>
                <w:sz w:val="16"/>
                <w:szCs w:val="16"/>
                <w:lang w:val="fr-FR"/>
              </w:rPr>
              <w:t xml:space="preserve">e l’Ouvrage pour </w:t>
            </w:r>
            <w:r w:rsidR="005F549C" w:rsidRPr="00517FB1">
              <w:rPr>
                <w:rFonts w:asciiTheme="majorBidi" w:hAnsiTheme="majorBidi" w:cstheme="majorBidi"/>
                <w:sz w:val="16"/>
                <w:szCs w:val="16"/>
                <w:lang w:val="fr-FR"/>
              </w:rPr>
              <w:t xml:space="preserve">les </w:t>
            </w:r>
            <w:r w:rsidR="00156547" w:rsidRPr="00517FB1">
              <w:rPr>
                <w:rFonts w:asciiTheme="majorBidi" w:hAnsiTheme="majorBidi" w:cstheme="majorBidi"/>
                <w:sz w:val="16"/>
                <w:szCs w:val="16"/>
                <w:lang w:val="fr-FR"/>
              </w:rPr>
              <w:t>trois</w:t>
            </w:r>
            <w:r w:rsidR="00156547" w:rsidRPr="00517FB1">
              <w:rPr>
                <w:rFonts w:asciiTheme="majorBidi" w:hAnsiTheme="majorBidi" w:cstheme="majorBidi"/>
                <w:b/>
                <w:sz w:val="16"/>
                <w:szCs w:val="16"/>
                <w:lang w:val="fr-FR"/>
              </w:rPr>
              <w:t xml:space="preserve"> </w:t>
            </w:r>
            <w:r w:rsidR="001534F6" w:rsidRPr="00517FB1">
              <w:rPr>
                <w:rFonts w:asciiTheme="majorBidi" w:hAnsiTheme="majorBidi" w:cstheme="majorBidi"/>
                <w:b/>
                <w:sz w:val="16"/>
                <w:szCs w:val="16"/>
                <w:lang w:val="fr-FR"/>
              </w:rPr>
              <w:t>(</w:t>
            </w:r>
            <w:r w:rsidR="00156547" w:rsidRPr="00517FB1">
              <w:rPr>
                <w:rFonts w:asciiTheme="majorBidi" w:hAnsiTheme="majorBidi" w:cstheme="majorBidi"/>
                <w:b/>
                <w:sz w:val="16"/>
                <w:szCs w:val="16"/>
                <w:lang w:val="fr-FR"/>
              </w:rPr>
              <w:t>3</w:t>
            </w:r>
            <w:r w:rsidR="001F7AC3" w:rsidRPr="00517FB1">
              <w:rPr>
                <w:rFonts w:asciiTheme="majorBidi" w:hAnsiTheme="majorBidi" w:cstheme="majorBidi"/>
                <w:b/>
                <w:sz w:val="16"/>
                <w:szCs w:val="16"/>
                <w:lang w:val="fr-FR"/>
              </w:rPr>
              <w:t>)</w:t>
            </w:r>
            <w:r w:rsidRPr="00517FB1">
              <w:rPr>
                <w:rFonts w:asciiTheme="majorBidi" w:hAnsiTheme="majorBidi" w:cstheme="majorBidi"/>
                <w:b/>
                <w:sz w:val="16"/>
                <w:szCs w:val="16"/>
                <w:lang w:val="fr-FR"/>
              </w:rPr>
              <w:t xml:space="preserve"> dernières années </w:t>
            </w:r>
            <w:r w:rsidR="007B3B48" w:rsidRPr="00517FB1">
              <w:rPr>
                <w:rFonts w:asciiTheme="majorBidi" w:hAnsiTheme="majorBidi" w:cstheme="majorBidi"/>
                <w:b/>
                <w:sz w:val="16"/>
                <w:szCs w:val="16"/>
                <w:lang w:val="fr-FR"/>
              </w:rPr>
              <w:t>(</w:t>
            </w:r>
            <w:r w:rsidR="00156547" w:rsidRPr="00517FB1">
              <w:rPr>
                <w:rFonts w:asciiTheme="majorBidi" w:hAnsiTheme="majorBidi" w:cstheme="majorBidi"/>
                <w:b/>
                <w:sz w:val="16"/>
                <w:szCs w:val="16"/>
                <w:lang w:val="fr-FR"/>
              </w:rPr>
              <w:t>2018</w:t>
            </w:r>
            <w:r w:rsidR="007B3B48" w:rsidRPr="00517FB1">
              <w:rPr>
                <w:rFonts w:asciiTheme="majorBidi" w:hAnsiTheme="majorBidi" w:cstheme="majorBidi"/>
                <w:b/>
                <w:sz w:val="16"/>
                <w:szCs w:val="16"/>
                <w:lang w:val="fr-FR"/>
              </w:rPr>
              <w:t>-</w:t>
            </w:r>
            <w:r w:rsidR="00F623FE" w:rsidRPr="00517FB1">
              <w:rPr>
                <w:rFonts w:asciiTheme="majorBidi" w:hAnsiTheme="majorBidi" w:cstheme="majorBidi"/>
                <w:b/>
                <w:sz w:val="16"/>
                <w:szCs w:val="16"/>
                <w:lang w:val="fr-FR"/>
              </w:rPr>
              <w:t>2019 -</w:t>
            </w:r>
            <w:r w:rsidR="007B3B48" w:rsidRPr="00517FB1">
              <w:rPr>
                <w:rFonts w:asciiTheme="majorBidi" w:hAnsiTheme="majorBidi" w:cstheme="majorBidi"/>
                <w:b/>
                <w:sz w:val="16"/>
                <w:szCs w:val="16"/>
                <w:lang w:val="fr-FR"/>
              </w:rPr>
              <w:t>20</w:t>
            </w:r>
            <w:r w:rsidR="005F549C" w:rsidRPr="00517FB1">
              <w:rPr>
                <w:rFonts w:asciiTheme="majorBidi" w:hAnsiTheme="majorBidi" w:cstheme="majorBidi"/>
                <w:b/>
                <w:sz w:val="16"/>
                <w:szCs w:val="16"/>
                <w:lang w:val="fr-FR"/>
              </w:rPr>
              <w:t>20</w:t>
            </w:r>
            <w:r w:rsidR="007B3B48" w:rsidRPr="00517FB1">
              <w:rPr>
                <w:rFonts w:asciiTheme="majorBidi" w:hAnsiTheme="majorBidi" w:cstheme="majorBidi"/>
                <w:b/>
                <w:sz w:val="16"/>
                <w:szCs w:val="16"/>
                <w:lang w:val="fr-FR"/>
              </w:rPr>
              <w:t>)</w:t>
            </w:r>
            <w:r w:rsidR="007B3B48" w:rsidRPr="00517FB1">
              <w:rPr>
                <w:rFonts w:asciiTheme="majorBidi" w:hAnsiTheme="majorBidi" w:cstheme="majorBidi"/>
                <w:sz w:val="16"/>
                <w:szCs w:val="16"/>
                <w:lang w:val="fr-FR"/>
              </w:rPr>
              <w:t xml:space="preserve"> </w:t>
            </w:r>
            <w:r w:rsidRPr="00C14798">
              <w:rPr>
                <w:rFonts w:asciiTheme="majorBidi" w:hAnsiTheme="majorBidi" w:cstheme="majorBidi"/>
                <w:sz w:val="16"/>
                <w:szCs w:val="16"/>
                <w:lang w:val="fr-FR"/>
              </w:rPr>
              <w:t>démontrant la solvabilité actuelle et la rentabilité à long terme du Soumissionnaire.</w:t>
            </w:r>
          </w:p>
        </w:tc>
        <w:tc>
          <w:tcPr>
            <w:tcW w:w="1350" w:type="dxa"/>
            <w:tcBorders>
              <w:top w:val="single" w:sz="4" w:space="0" w:color="auto"/>
              <w:left w:val="single" w:sz="4" w:space="0" w:color="auto"/>
              <w:right w:val="single" w:sz="4" w:space="0" w:color="auto"/>
            </w:tcBorders>
            <w:shd w:val="clear" w:color="auto" w:fill="auto"/>
          </w:tcPr>
          <w:p w14:paraId="1A591AE0" w14:textId="77777777" w:rsidR="00C71AFF" w:rsidRPr="00C14798" w:rsidRDefault="00C71AFF">
            <w:pPr>
              <w:spacing w:before="60" w:after="60"/>
              <w:ind w:left="0" w:firstLine="0"/>
              <w:jc w:val="left"/>
              <w:rPr>
                <w:rFonts w:asciiTheme="majorBidi" w:hAnsiTheme="majorBidi" w:cstheme="majorBidi"/>
                <w:sz w:val="16"/>
                <w:szCs w:val="16"/>
              </w:rPr>
            </w:pPr>
            <w:r w:rsidRPr="00C14798">
              <w:rPr>
                <w:rFonts w:asciiTheme="majorBidi" w:hAnsiTheme="majorBidi" w:cstheme="majorBidi"/>
                <w:sz w:val="16"/>
                <w:szCs w:val="16"/>
              </w:rPr>
              <w:t>Doit satisfaire au critère</w:t>
            </w:r>
          </w:p>
          <w:p w14:paraId="360633BB" w14:textId="77777777" w:rsidR="00C71AFF" w:rsidRPr="00C14798" w:rsidRDefault="00C71AFF">
            <w:pPr>
              <w:spacing w:before="60" w:after="60"/>
              <w:ind w:left="0" w:firstLine="0"/>
              <w:jc w:val="left"/>
              <w:rPr>
                <w:rFonts w:asciiTheme="majorBidi" w:hAnsiTheme="majorBidi" w:cstheme="majorBidi"/>
                <w:sz w:val="16"/>
                <w:szCs w:val="16"/>
              </w:rPr>
            </w:pPr>
          </w:p>
          <w:p w14:paraId="2DD28710" w14:textId="77777777" w:rsidR="00C71AFF" w:rsidRPr="00C14798" w:rsidRDefault="00C71AFF">
            <w:pPr>
              <w:spacing w:before="60" w:after="60"/>
              <w:ind w:left="0" w:firstLine="0"/>
              <w:jc w:val="left"/>
              <w:rPr>
                <w:rFonts w:asciiTheme="majorBidi" w:hAnsiTheme="majorBidi" w:cstheme="majorBidi"/>
                <w:sz w:val="16"/>
                <w:szCs w:val="16"/>
              </w:rPr>
            </w:pPr>
          </w:p>
          <w:p w14:paraId="61BC47C7" w14:textId="77777777" w:rsidR="00C71AFF" w:rsidRPr="00C14798" w:rsidRDefault="00C71AFF">
            <w:pPr>
              <w:spacing w:before="60" w:after="60"/>
              <w:ind w:left="0" w:firstLine="0"/>
              <w:jc w:val="left"/>
              <w:rPr>
                <w:rFonts w:asciiTheme="majorBidi" w:hAnsiTheme="majorBidi" w:cstheme="majorBidi"/>
                <w:sz w:val="16"/>
                <w:szCs w:val="16"/>
              </w:rPr>
            </w:pPr>
          </w:p>
          <w:p w14:paraId="30C013CB" w14:textId="77777777" w:rsidR="00C71AFF" w:rsidRPr="00C14798" w:rsidRDefault="00C71AFF">
            <w:pPr>
              <w:spacing w:before="60" w:after="60"/>
              <w:ind w:left="0" w:firstLine="0"/>
              <w:jc w:val="left"/>
              <w:rPr>
                <w:rFonts w:asciiTheme="majorBidi" w:hAnsiTheme="majorBidi" w:cstheme="majorBidi"/>
                <w:sz w:val="16"/>
                <w:szCs w:val="16"/>
              </w:rPr>
            </w:pPr>
          </w:p>
          <w:p w14:paraId="03928CB4" w14:textId="77777777" w:rsidR="00C71AFF" w:rsidRPr="00C14798" w:rsidRDefault="00C71AFF">
            <w:pPr>
              <w:spacing w:before="60" w:after="60"/>
              <w:ind w:left="0" w:firstLine="0"/>
              <w:jc w:val="left"/>
              <w:rPr>
                <w:rFonts w:asciiTheme="majorBidi" w:hAnsiTheme="majorBidi" w:cstheme="majorBidi"/>
                <w:sz w:val="16"/>
                <w:szCs w:val="16"/>
              </w:rPr>
            </w:pPr>
          </w:p>
          <w:p w14:paraId="16CCCE3B" w14:textId="77777777" w:rsidR="00C71AFF" w:rsidRPr="00C14798" w:rsidRDefault="00C71AFF">
            <w:pPr>
              <w:spacing w:before="60" w:after="60"/>
              <w:ind w:left="0" w:firstLine="0"/>
              <w:jc w:val="left"/>
              <w:rPr>
                <w:rFonts w:asciiTheme="majorBidi" w:hAnsiTheme="majorBidi" w:cstheme="majorBidi"/>
                <w:sz w:val="16"/>
                <w:szCs w:val="16"/>
              </w:rPr>
            </w:pPr>
          </w:p>
          <w:p w14:paraId="56D8D845" w14:textId="77777777" w:rsidR="00C71AFF" w:rsidRPr="00C14798" w:rsidRDefault="00C71AFF">
            <w:pPr>
              <w:spacing w:before="60" w:after="60"/>
              <w:ind w:left="0" w:firstLine="0"/>
              <w:jc w:val="left"/>
              <w:rPr>
                <w:rFonts w:asciiTheme="majorBidi" w:hAnsiTheme="majorBidi" w:cstheme="majorBidi"/>
                <w:sz w:val="16"/>
                <w:szCs w:val="16"/>
              </w:rPr>
            </w:pPr>
          </w:p>
          <w:p w14:paraId="42A82884" w14:textId="77777777" w:rsidR="00C71AFF" w:rsidRPr="00C14798" w:rsidRDefault="00C71AFF">
            <w:pPr>
              <w:spacing w:before="60" w:after="60"/>
              <w:ind w:left="0" w:firstLine="0"/>
              <w:jc w:val="left"/>
              <w:rPr>
                <w:rFonts w:asciiTheme="majorBidi" w:hAnsiTheme="majorBidi" w:cstheme="majorBidi"/>
                <w:sz w:val="16"/>
                <w:szCs w:val="16"/>
              </w:rPr>
            </w:pPr>
          </w:p>
          <w:p w14:paraId="71AD2ECC" w14:textId="77777777" w:rsidR="00C71AFF" w:rsidRPr="00C14798" w:rsidRDefault="00C71AFF">
            <w:pPr>
              <w:spacing w:before="60" w:after="60"/>
              <w:ind w:left="0" w:firstLine="0"/>
              <w:jc w:val="left"/>
              <w:rPr>
                <w:rFonts w:asciiTheme="majorBidi" w:hAnsiTheme="majorBidi" w:cstheme="majorBidi"/>
                <w:sz w:val="16"/>
                <w:szCs w:val="16"/>
              </w:rPr>
            </w:pPr>
          </w:p>
          <w:p w14:paraId="714B812F" w14:textId="77777777" w:rsidR="00C71AFF" w:rsidRPr="00C14798" w:rsidRDefault="00C71AFF">
            <w:pPr>
              <w:spacing w:before="60" w:after="60"/>
              <w:ind w:left="0" w:firstLine="0"/>
              <w:jc w:val="left"/>
              <w:rPr>
                <w:rFonts w:asciiTheme="majorBidi" w:hAnsiTheme="majorBidi" w:cstheme="majorBidi"/>
                <w:sz w:val="16"/>
                <w:szCs w:val="16"/>
              </w:rPr>
            </w:pPr>
          </w:p>
          <w:p w14:paraId="39C25FDF" w14:textId="77777777" w:rsidR="00C71AFF" w:rsidRPr="00C14798" w:rsidRDefault="00C71AFF">
            <w:pPr>
              <w:spacing w:before="60" w:after="60"/>
              <w:ind w:left="0" w:firstLine="0"/>
              <w:jc w:val="left"/>
              <w:rPr>
                <w:rFonts w:asciiTheme="majorBidi" w:hAnsiTheme="majorBidi" w:cstheme="majorBidi"/>
                <w:sz w:val="16"/>
                <w:szCs w:val="16"/>
              </w:rPr>
            </w:pPr>
          </w:p>
          <w:p w14:paraId="4960CBE4" w14:textId="25573915" w:rsidR="00C71AFF" w:rsidRPr="00C14798" w:rsidRDefault="00C71AFF">
            <w:pPr>
              <w:spacing w:before="60" w:after="60"/>
              <w:ind w:left="0" w:firstLine="0"/>
              <w:jc w:val="left"/>
              <w:rPr>
                <w:rFonts w:asciiTheme="majorBidi" w:hAnsiTheme="majorBidi" w:cstheme="majorBidi"/>
                <w:sz w:val="16"/>
                <w:szCs w:val="16"/>
              </w:rPr>
            </w:pPr>
            <w:r w:rsidRPr="00C14798">
              <w:rPr>
                <w:rFonts w:asciiTheme="majorBidi" w:hAnsiTheme="majorBidi" w:cstheme="majorBidi"/>
                <w:sz w:val="16"/>
                <w:szCs w:val="16"/>
              </w:rPr>
              <w:t>Doit satisfaire au critère</w:t>
            </w:r>
          </w:p>
          <w:p w14:paraId="1E359932" w14:textId="77777777" w:rsidR="00C71AFF" w:rsidRPr="00C14798" w:rsidRDefault="00C71AFF">
            <w:pPr>
              <w:spacing w:before="60" w:after="60"/>
              <w:ind w:left="0" w:firstLine="0"/>
              <w:jc w:val="left"/>
              <w:rPr>
                <w:rFonts w:asciiTheme="majorBidi" w:hAnsiTheme="majorBidi" w:cstheme="majorBidi"/>
                <w:sz w:val="16"/>
                <w:szCs w:val="16"/>
              </w:rPr>
            </w:pPr>
          </w:p>
          <w:p w14:paraId="4A120393" w14:textId="77777777" w:rsidR="001A3C9A" w:rsidRPr="00C14798" w:rsidRDefault="001A3C9A">
            <w:pPr>
              <w:spacing w:before="60" w:after="60"/>
              <w:ind w:left="0" w:firstLine="0"/>
              <w:jc w:val="left"/>
              <w:rPr>
                <w:rFonts w:asciiTheme="majorBidi" w:hAnsiTheme="majorBidi" w:cstheme="majorBidi"/>
                <w:sz w:val="16"/>
                <w:szCs w:val="16"/>
              </w:rPr>
            </w:pPr>
          </w:p>
          <w:p w14:paraId="275A9361" w14:textId="77777777" w:rsidR="001A3C9A" w:rsidRPr="00C14798" w:rsidRDefault="001A3C9A">
            <w:pPr>
              <w:spacing w:before="60" w:after="60"/>
              <w:ind w:left="0" w:firstLine="0"/>
              <w:jc w:val="left"/>
              <w:rPr>
                <w:rFonts w:asciiTheme="majorBidi" w:hAnsiTheme="majorBidi" w:cstheme="majorBidi"/>
                <w:sz w:val="16"/>
                <w:szCs w:val="16"/>
              </w:rPr>
            </w:pPr>
          </w:p>
          <w:p w14:paraId="633BCBFC" w14:textId="77777777" w:rsidR="001A3C9A" w:rsidRPr="00C14798" w:rsidRDefault="001A3C9A">
            <w:pPr>
              <w:spacing w:before="60" w:after="60"/>
              <w:ind w:left="0" w:firstLine="0"/>
              <w:jc w:val="left"/>
              <w:rPr>
                <w:rFonts w:asciiTheme="majorBidi" w:hAnsiTheme="majorBidi" w:cstheme="majorBidi"/>
                <w:sz w:val="16"/>
                <w:szCs w:val="16"/>
              </w:rPr>
            </w:pPr>
          </w:p>
          <w:p w14:paraId="5FA871BA" w14:textId="77777777" w:rsidR="001A3C9A" w:rsidRPr="00C14798" w:rsidRDefault="001A3C9A">
            <w:pPr>
              <w:spacing w:before="60" w:after="60"/>
              <w:ind w:left="0" w:firstLine="0"/>
              <w:jc w:val="left"/>
              <w:rPr>
                <w:rFonts w:asciiTheme="majorBidi" w:hAnsiTheme="majorBidi" w:cstheme="majorBidi"/>
                <w:sz w:val="16"/>
                <w:szCs w:val="16"/>
              </w:rPr>
            </w:pPr>
          </w:p>
          <w:p w14:paraId="0A7D75C6" w14:textId="77777777" w:rsidR="001A3C9A" w:rsidRPr="00C14798" w:rsidRDefault="001A3C9A">
            <w:pPr>
              <w:spacing w:before="60" w:after="60"/>
              <w:ind w:left="0" w:firstLine="0"/>
              <w:jc w:val="left"/>
              <w:rPr>
                <w:rFonts w:asciiTheme="majorBidi" w:hAnsiTheme="majorBidi" w:cstheme="majorBidi"/>
                <w:sz w:val="16"/>
                <w:szCs w:val="16"/>
              </w:rPr>
            </w:pPr>
          </w:p>
          <w:p w14:paraId="6768B25A" w14:textId="5ACD4230" w:rsidR="00C71AFF" w:rsidRPr="00C14798" w:rsidRDefault="00C71AFF">
            <w:pPr>
              <w:spacing w:before="60" w:after="60"/>
              <w:ind w:left="0" w:firstLine="0"/>
              <w:jc w:val="left"/>
              <w:rPr>
                <w:rFonts w:asciiTheme="majorBidi" w:hAnsiTheme="majorBidi" w:cstheme="majorBidi"/>
                <w:sz w:val="16"/>
                <w:szCs w:val="16"/>
              </w:rPr>
            </w:pPr>
            <w:r w:rsidRPr="00C14798">
              <w:rPr>
                <w:rFonts w:asciiTheme="majorBidi" w:hAnsiTheme="majorBidi" w:cstheme="majorBidi"/>
                <w:sz w:val="16"/>
                <w:szCs w:val="16"/>
              </w:rPr>
              <w:t>Doit satisfaire au critère</w:t>
            </w:r>
          </w:p>
        </w:tc>
        <w:tc>
          <w:tcPr>
            <w:tcW w:w="1530" w:type="dxa"/>
            <w:tcBorders>
              <w:top w:val="single" w:sz="4" w:space="0" w:color="auto"/>
              <w:left w:val="single" w:sz="4" w:space="0" w:color="auto"/>
              <w:right w:val="single" w:sz="4" w:space="0" w:color="auto"/>
            </w:tcBorders>
            <w:shd w:val="clear" w:color="auto" w:fill="auto"/>
          </w:tcPr>
          <w:p w14:paraId="368F22A1" w14:textId="77777777" w:rsidR="00C71AFF" w:rsidRPr="00C14798" w:rsidRDefault="00C71AFF">
            <w:pPr>
              <w:spacing w:before="60" w:after="60"/>
              <w:ind w:left="0" w:firstLine="0"/>
              <w:jc w:val="left"/>
              <w:rPr>
                <w:rFonts w:asciiTheme="majorBidi" w:hAnsiTheme="majorBidi" w:cstheme="majorBidi"/>
                <w:sz w:val="16"/>
                <w:szCs w:val="16"/>
              </w:rPr>
            </w:pPr>
            <w:r w:rsidRPr="00C14798">
              <w:rPr>
                <w:rFonts w:asciiTheme="majorBidi" w:hAnsiTheme="majorBidi" w:cstheme="majorBidi"/>
                <w:sz w:val="16"/>
                <w:szCs w:val="16"/>
              </w:rPr>
              <w:t>Doit satisfaire au critère</w:t>
            </w:r>
          </w:p>
          <w:p w14:paraId="5E763F05" w14:textId="77777777" w:rsidR="00C71AFF" w:rsidRPr="00C14798" w:rsidRDefault="00C71AFF">
            <w:pPr>
              <w:spacing w:before="60" w:after="60"/>
              <w:ind w:left="0" w:firstLine="0"/>
              <w:jc w:val="left"/>
              <w:rPr>
                <w:rFonts w:asciiTheme="majorBidi" w:hAnsiTheme="majorBidi" w:cstheme="majorBidi"/>
                <w:sz w:val="16"/>
                <w:szCs w:val="16"/>
              </w:rPr>
            </w:pPr>
          </w:p>
          <w:p w14:paraId="4D2CD478" w14:textId="77777777" w:rsidR="00C71AFF" w:rsidRPr="00C14798" w:rsidRDefault="00C71AFF">
            <w:pPr>
              <w:spacing w:before="60" w:after="60"/>
              <w:ind w:left="0" w:firstLine="0"/>
              <w:jc w:val="left"/>
              <w:rPr>
                <w:rFonts w:asciiTheme="majorBidi" w:hAnsiTheme="majorBidi" w:cstheme="majorBidi"/>
                <w:sz w:val="16"/>
                <w:szCs w:val="16"/>
              </w:rPr>
            </w:pPr>
          </w:p>
          <w:p w14:paraId="704E13E3" w14:textId="77777777" w:rsidR="00C71AFF" w:rsidRPr="00C14798" w:rsidRDefault="00C71AFF">
            <w:pPr>
              <w:spacing w:before="60" w:after="60"/>
              <w:ind w:left="0" w:firstLine="0"/>
              <w:jc w:val="left"/>
              <w:rPr>
                <w:rFonts w:asciiTheme="majorBidi" w:hAnsiTheme="majorBidi" w:cstheme="majorBidi"/>
                <w:sz w:val="16"/>
                <w:szCs w:val="16"/>
              </w:rPr>
            </w:pPr>
          </w:p>
          <w:p w14:paraId="2B99EF37" w14:textId="77777777" w:rsidR="00C71AFF" w:rsidRPr="00C14798" w:rsidRDefault="00C71AFF">
            <w:pPr>
              <w:spacing w:before="60" w:after="60"/>
              <w:ind w:left="0" w:firstLine="0"/>
              <w:jc w:val="left"/>
              <w:rPr>
                <w:rFonts w:asciiTheme="majorBidi" w:hAnsiTheme="majorBidi" w:cstheme="majorBidi"/>
                <w:sz w:val="16"/>
                <w:szCs w:val="16"/>
              </w:rPr>
            </w:pPr>
          </w:p>
          <w:p w14:paraId="5D759944" w14:textId="77777777" w:rsidR="00C71AFF" w:rsidRPr="00C14798" w:rsidRDefault="00C71AFF">
            <w:pPr>
              <w:spacing w:before="60" w:after="60"/>
              <w:ind w:left="0" w:firstLine="0"/>
              <w:jc w:val="left"/>
              <w:rPr>
                <w:rFonts w:asciiTheme="majorBidi" w:hAnsiTheme="majorBidi" w:cstheme="majorBidi"/>
                <w:sz w:val="16"/>
                <w:szCs w:val="16"/>
              </w:rPr>
            </w:pPr>
          </w:p>
          <w:p w14:paraId="6092B57C" w14:textId="77777777" w:rsidR="00C71AFF" w:rsidRPr="00C14798" w:rsidRDefault="00C71AFF">
            <w:pPr>
              <w:spacing w:before="60" w:after="60"/>
              <w:ind w:left="0" w:firstLine="0"/>
              <w:jc w:val="left"/>
              <w:rPr>
                <w:rFonts w:asciiTheme="majorBidi" w:hAnsiTheme="majorBidi" w:cstheme="majorBidi"/>
                <w:sz w:val="16"/>
                <w:szCs w:val="16"/>
              </w:rPr>
            </w:pPr>
          </w:p>
          <w:p w14:paraId="4C4FC7C5" w14:textId="77777777" w:rsidR="00C71AFF" w:rsidRPr="00C14798" w:rsidRDefault="00C71AFF">
            <w:pPr>
              <w:spacing w:before="60" w:after="60"/>
              <w:ind w:left="0" w:firstLine="0"/>
              <w:jc w:val="left"/>
              <w:rPr>
                <w:rFonts w:asciiTheme="majorBidi" w:hAnsiTheme="majorBidi" w:cstheme="majorBidi"/>
                <w:sz w:val="16"/>
                <w:szCs w:val="16"/>
              </w:rPr>
            </w:pPr>
          </w:p>
          <w:p w14:paraId="182CAA71" w14:textId="77777777" w:rsidR="00C71AFF" w:rsidRPr="00C14798" w:rsidRDefault="00C71AFF">
            <w:pPr>
              <w:spacing w:before="60" w:after="60"/>
              <w:ind w:left="0" w:firstLine="0"/>
              <w:jc w:val="left"/>
              <w:rPr>
                <w:rFonts w:asciiTheme="majorBidi" w:hAnsiTheme="majorBidi" w:cstheme="majorBidi"/>
                <w:sz w:val="16"/>
                <w:szCs w:val="16"/>
              </w:rPr>
            </w:pPr>
          </w:p>
          <w:p w14:paraId="45527ACD" w14:textId="77777777" w:rsidR="00C71AFF" w:rsidRPr="00C14798" w:rsidRDefault="00C71AFF">
            <w:pPr>
              <w:spacing w:before="60" w:after="60"/>
              <w:ind w:left="0" w:firstLine="0"/>
              <w:jc w:val="left"/>
              <w:rPr>
                <w:rFonts w:asciiTheme="majorBidi" w:hAnsiTheme="majorBidi" w:cstheme="majorBidi"/>
                <w:sz w:val="16"/>
                <w:szCs w:val="16"/>
              </w:rPr>
            </w:pPr>
          </w:p>
          <w:p w14:paraId="36AF5C4B" w14:textId="77777777" w:rsidR="00C71AFF" w:rsidRPr="00C14798" w:rsidRDefault="00C71AFF">
            <w:pPr>
              <w:spacing w:before="60" w:after="60"/>
              <w:ind w:left="0" w:firstLine="0"/>
              <w:jc w:val="left"/>
              <w:rPr>
                <w:rFonts w:asciiTheme="majorBidi" w:hAnsiTheme="majorBidi" w:cstheme="majorBidi"/>
                <w:sz w:val="16"/>
                <w:szCs w:val="16"/>
              </w:rPr>
            </w:pPr>
          </w:p>
          <w:p w14:paraId="738216D0" w14:textId="77777777" w:rsidR="00C71AFF" w:rsidRPr="00C14798" w:rsidRDefault="00C71AFF">
            <w:pPr>
              <w:spacing w:before="60" w:after="60"/>
              <w:ind w:left="0" w:firstLine="0"/>
              <w:jc w:val="left"/>
              <w:rPr>
                <w:rFonts w:asciiTheme="majorBidi" w:hAnsiTheme="majorBidi" w:cstheme="majorBidi"/>
                <w:sz w:val="16"/>
                <w:szCs w:val="16"/>
              </w:rPr>
            </w:pPr>
          </w:p>
          <w:p w14:paraId="2F7FC40F" w14:textId="334F1C7F" w:rsidR="00C71AFF" w:rsidRPr="00C14798" w:rsidRDefault="00C71AFF">
            <w:pPr>
              <w:spacing w:before="60" w:after="60"/>
              <w:ind w:left="0" w:firstLine="0"/>
              <w:jc w:val="left"/>
              <w:rPr>
                <w:rFonts w:asciiTheme="majorBidi" w:hAnsiTheme="majorBidi" w:cstheme="majorBidi"/>
                <w:sz w:val="16"/>
                <w:szCs w:val="16"/>
              </w:rPr>
            </w:pPr>
            <w:r w:rsidRPr="00C14798">
              <w:rPr>
                <w:rFonts w:asciiTheme="majorBidi" w:hAnsiTheme="majorBidi" w:cstheme="majorBidi"/>
                <w:sz w:val="16"/>
                <w:szCs w:val="16"/>
              </w:rPr>
              <w:t>Doit satisfaire au critère</w:t>
            </w:r>
          </w:p>
          <w:p w14:paraId="7D04F998" w14:textId="77777777" w:rsidR="00C71AFF" w:rsidRPr="00C14798" w:rsidRDefault="00C71AFF">
            <w:pPr>
              <w:spacing w:before="60" w:after="60"/>
              <w:ind w:left="0" w:firstLine="0"/>
              <w:jc w:val="left"/>
              <w:rPr>
                <w:rFonts w:asciiTheme="majorBidi" w:hAnsiTheme="majorBidi" w:cstheme="majorBidi"/>
                <w:sz w:val="16"/>
                <w:szCs w:val="16"/>
              </w:rPr>
            </w:pPr>
          </w:p>
          <w:p w14:paraId="0BD9746C" w14:textId="77777777" w:rsidR="001A3C9A" w:rsidRPr="00C14798" w:rsidRDefault="001A3C9A">
            <w:pPr>
              <w:spacing w:before="60" w:after="60"/>
              <w:ind w:left="0" w:firstLine="0"/>
              <w:jc w:val="left"/>
              <w:rPr>
                <w:rFonts w:asciiTheme="majorBidi" w:hAnsiTheme="majorBidi" w:cstheme="majorBidi"/>
                <w:sz w:val="16"/>
                <w:szCs w:val="16"/>
              </w:rPr>
            </w:pPr>
          </w:p>
          <w:p w14:paraId="39C5C8F2" w14:textId="77777777" w:rsidR="001A3C9A" w:rsidRPr="00C14798" w:rsidRDefault="001A3C9A">
            <w:pPr>
              <w:spacing w:before="60" w:after="60"/>
              <w:ind w:left="0" w:firstLine="0"/>
              <w:jc w:val="left"/>
              <w:rPr>
                <w:rFonts w:asciiTheme="majorBidi" w:hAnsiTheme="majorBidi" w:cstheme="majorBidi"/>
                <w:sz w:val="16"/>
                <w:szCs w:val="16"/>
              </w:rPr>
            </w:pPr>
          </w:p>
          <w:p w14:paraId="3A05FA51" w14:textId="77777777" w:rsidR="001A3C9A" w:rsidRPr="00C14798" w:rsidRDefault="001A3C9A">
            <w:pPr>
              <w:spacing w:before="60" w:after="60"/>
              <w:ind w:left="0" w:firstLine="0"/>
              <w:jc w:val="left"/>
              <w:rPr>
                <w:rFonts w:asciiTheme="majorBidi" w:hAnsiTheme="majorBidi" w:cstheme="majorBidi"/>
                <w:sz w:val="16"/>
                <w:szCs w:val="16"/>
              </w:rPr>
            </w:pPr>
          </w:p>
          <w:p w14:paraId="0371525F" w14:textId="77777777" w:rsidR="001A3C9A" w:rsidRPr="00C14798" w:rsidRDefault="001A3C9A">
            <w:pPr>
              <w:spacing w:before="60" w:after="60"/>
              <w:ind w:left="0" w:firstLine="0"/>
              <w:jc w:val="left"/>
              <w:rPr>
                <w:rFonts w:asciiTheme="majorBidi" w:hAnsiTheme="majorBidi" w:cstheme="majorBidi"/>
                <w:sz w:val="16"/>
                <w:szCs w:val="16"/>
              </w:rPr>
            </w:pPr>
          </w:p>
          <w:p w14:paraId="0F575C38" w14:textId="77777777" w:rsidR="001A3C9A" w:rsidRPr="00C14798" w:rsidRDefault="001A3C9A">
            <w:pPr>
              <w:spacing w:before="60" w:after="60"/>
              <w:ind w:left="0" w:firstLine="0"/>
              <w:jc w:val="left"/>
              <w:rPr>
                <w:rFonts w:asciiTheme="majorBidi" w:hAnsiTheme="majorBidi" w:cstheme="majorBidi"/>
                <w:sz w:val="16"/>
                <w:szCs w:val="16"/>
              </w:rPr>
            </w:pPr>
          </w:p>
          <w:p w14:paraId="539142B9" w14:textId="47DDD76C" w:rsidR="00C71AFF" w:rsidRPr="00C14798" w:rsidRDefault="00C71AFF">
            <w:pPr>
              <w:spacing w:before="60" w:after="60"/>
              <w:ind w:left="0" w:firstLine="0"/>
              <w:jc w:val="left"/>
              <w:rPr>
                <w:rFonts w:asciiTheme="majorBidi" w:hAnsiTheme="majorBidi" w:cstheme="majorBidi"/>
                <w:sz w:val="16"/>
                <w:szCs w:val="16"/>
              </w:rPr>
            </w:pPr>
            <w:r w:rsidRPr="00C14798">
              <w:rPr>
                <w:rFonts w:asciiTheme="majorBidi" w:hAnsiTheme="majorBidi" w:cstheme="majorBidi"/>
                <w:sz w:val="16"/>
                <w:szCs w:val="16"/>
              </w:rPr>
              <w:t>Sans objet</w:t>
            </w:r>
          </w:p>
          <w:p w14:paraId="2C303E9A" w14:textId="77777777" w:rsidR="00C71AFF" w:rsidRPr="00C14798" w:rsidRDefault="00C71AFF">
            <w:pPr>
              <w:spacing w:before="60" w:after="60"/>
              <w:ind w:left="0" w:firstLine="0"/>
              <w:jc w:val="left"/>
              <w:rPr>
                <w:rFonts w:asciiTheme="majorBidi" w:hAnsiTheme="majorBidi" w:cstheme="majorBidi"/>
                <w:sz w:val="16"/>
                <w:szCs w:val="16"/>
              </w:rPr>
            </w:pPr>
          </w:p>
        </w:tc>
        <w:tc>
          <w:tcPr>
            <w:tcW w:w="1440" w:type="dxa"/>
            <w:tcBorders>
              <w:top w:val="single" w:sz="4" w:space="0" w:color="auto"/>
              <w:left w:val="single" w:sz="4" w:space="0" w:color="auto"/>
              <w:right w:val="single" w:sz="4" w:space="0" w:color="auto"/>
            </w:tcBorders>
            <w:shd w:val="clear" w:color="auto" w:fill="auto"/>
          </w:tcPr>
          <w:p w14:paraId="51DE51B1" w14:textId="77777777" w:rsidR="00C71AFF" w:rsidRPr="00C14798" w:rsidRDefault="00C71AFF">
            <w:pPr>
              <w:spacing w:before="60" w:after="60"/>
              <w:ind w:left="0" w:firstLine="0"/>
              <w:jc w:val="left"/>
              <w:rPr>
                <w:rFonts w:asciiTheme="majorBidi" w:hAnsiTheme="majorBidi" w:cstheme="majorBidi"/>
                <w:sz w:val="16"/>
                <w:szCs w:val="16"/>
              </w:rPr>
            </w:pPr>
            <w:r w:rsidRPr="00C14798">
              <w:rPr>
                <w:rFonts w:asciiTheme="majorBidi" w:hAnsiTheme="majorBidi" w:cstheme="majorBidi"/>
                <w:sz w:val="16"/>
                <w:szCs w:val="16"/>
              </w:rPr>
              <w:t>Sans objet</w:t>
            </w:r>
          </w:p>
          <w:p w14:paraId="6FC91162" w14:textId="77777777" w:rsidR="00C71AFF" w:rsidRPr="00C14798" w:rsidRDefault="00C71AFF">
            <w:pPr>
              <w:spacing w:before="60" w:after="60"/>
              <w:ind w:left="0" w:firstLine="0"/>
              <w:jc w:val="left"/>
              <w:rPr>
                <w:rFonts w:asciiTheme="majorBidi" w:hAnsiTheme="majorBidi" w:cstheme="majorBidi"/>
                <w:sz w:val="16"/>
                <w:szCs w:val="16"/>
              </w:rPr>
            </w:pPr>
          </w:p>
          <w:p w14:paraId="7A737BD3" w14:textId="77777777" w:rsidR="00C71AFF" w:rsidRPr="00C14798" w:rsidRDefault="00C71AFF">
            <w:pPr>
              <w:spacing w:before="60" w:after="60"/>
              <w:ind w:left="0" w:firstLine="0"/>
              <w:jc w:val="left"/>
              <w:rPr>
                <w:rFonts w:asciiTheme="majorBidi" w:hAnsiTheme="majorBidi" w:cstheme="majorBidi"/>
                <w:sz w:val="16"/>
                <w:szCs w:val="16"/>
              </w:rPr>
            </w:pPr>
          </w:p>
          <w:p w14:paraId="5C05D7DE" w14:textId="77777777" w:rsidR="00C71AFF" w:rsidRPr="00C14798" w:rsidRDefault="00C71AFF">
            <w:pPr>
              <w:spacing w:before="60" w:after="60"/>
              <w:ind w:left="0" w:firstLine="0"/>
              <w:jc w:val="left"/>
              <w:rPr>
                <w:rFonts w:asciiTheme="majorBidi" w:hAnsiTheme="majorBidi" w:cstheme="majorBidi"/>
                <w:sz w:val="16"/>
                <w:szCs w:val="16"/>
              </w:rPr>
            </w:pPr>
          </w:p>
          <w:p w14:paraId="7EC09116" w14:textId="77777777" w:rsidR="00C71AFF" w:rsidRPr="00C14798" w:rsidRDefault="00C71AFF">
            <w:pPr>
              <w:spacing w:before="60" w:after="60"/>
              <w:ind w:left="0" w:firstLine="0"/>
              <w:jc w:val="left"/>
              <w:rPr>
                <w:rFonts w:asciiTheme="majorBidi" w:hAnsiTheme="majorBidi" w:cstheme="majorBidi"/>
                <w:sz w:val="16"/>
                <w:szCs w:val="16"/>
              </w:rPr>
            </w:pPr>
          </w:p>
          <w:p w14:paraId="5F51344E" w14:textId="77777777" w:rsidR="00C71AFF" w:rsidRPr="00C14798" w:rsidRDefault="00C71AFF">
            <w:pPr>
              <w:spacing w:before="60" w:after="60"/>
              <w:ind w:left="0" w:firstLine="0"/>
              <w:jc w:val="left"/>
              <w:rPr>
                <w:rFonts w:asciiTheme="majorBidi" w:hAnsiTheme="majorBidi" w:cstheme="majorBidi"/>
                <w:sz w:val="16"/>
                <w:szCs w:val="16"/>
              </w:rPr>
            </w:pPr>
          </w:p>
          <w:p w14:paraId="0CF470E0" w14:textId="77777777" w:rsidR="00C71AFF" w:rsidRPr="00C14798" w:rsidRDefault="00C71AFF">
            <w:pPr>
              <w:spacing w:before="60" w:after="60"/>
              <w:ind w:left="0" w:firstLine="0"/>
              <w:jc w:val="left"/>
              <w:rPr>
                <w:rFonts w:asciiTheme="majorBidi" w:hAnsiTheme="majorBidi" w:cstheme="majorBidi"/>
                <w:sz w:val="16"/>
                <w:szCs w:val="16"/>
              </w:rPr>
            </w:pPr>
          </w:p>
          <w:p w14:paraId="12CE665B" w14:textId="77777777" w:rsidR="00C71AFF" w:rsidRPr="00C14798" w:rsidRDefault="00C71AFF">
            <w:pPr>
              <w:spacing w:before="60" w:after="60"/>
              <w:ind w:left="0" w:firstLine="0"/>
              <w:jc w:val="left"/>
              <w:rPr>
                <w:rFonts w:asciiTheme="majorBidi" w:hAnsiTheme="majorBidi" w:cstheme="majorBidi"/>
                <w:sz w:val="16"/>
                <w:szCs w:val="16"/>
              </w:rPr>
            </w:pPr>
          </w:p>
          <w:p w14:paraId="5AA8988F" w14:textId="77777777" w:rsidR="00C71AFF" w:rsidRPr="00C14798" w:rsidRDefault="00C71AFF">
            <w:pPr>
              <w:spacing w:before="60" w:after="60"/>
              <w:ind w:left="0" w:firstLine="0"/>
              <w:jc w:val="left"/>
              <w:rPr>
                <w:rFonts w:asciiTheme="majorBidi" w:hAnsiTheme="majorBidi" w:cstheme="majorBidi"/>
                <w:sz w:val="16"/>
                <w:szCs w:val="16"/>
              </w:rPr>
            </w:pPr>
          </w:p>
          <w:p w14:paraId="24377727" w14:textId="77777777" w:rsidR="00C71AFF" w:rsidRPr="00C14798" w:rsidRDefault="00C71AFF">
            <w:pPr>
              <w:spacing w:before="60" w:after="60"/>
              <w:ind w:left="0" w:firstLine="0"/>
              <w:jc w:val="left"/>
              <w:rPr>
                <w:rFonts w:asciiTheme="majorBidi" w:hAnsiTheme="majorBidi" w:cstheme="majorBidi"/>
                <w:sz w:val="16"/>
                <w:szCs w:val="16"/>
              </w:rPr>
            </w:pPr>
          </w:p>
          <w:p w14:paraId="7E99D3B7" w14:textId="77777777" w:rsidR="00C71AFF" w:rsidRPr="00C14798" w:rsidRDefault="00C71AFF">
            <w:pPr>
              <w:spacing w:before="60" w:after="60"/>
              <w:ind w:left="0" w:firstLine="0"/>
              <w:jc w:val="left"/>
              <w:rPr>
                <w:rFonts w:asciiTheme="majorBidi" w:hAnsiTheme="majorBidi" w:cstheme="majorBidi"/>
                <w:sz w:val="16"/>
                <w:szCs w:val="16"/>
              </w:rPr>
            </w:pPr>
          </w:p>
          <w:p w14:paraId="45B69F31" w14:textId="77777777" w:rsidR="00C71AFF" w:rsidRPr="00C14798" w:rsidRDefault="00C71AFF">
            <w:pPr>
              <w:spacing w:before="60" w:after="60"/>
              <w:ind w:left="0" w:firstLine="0"/>
              <w:jc w:val="left"/>
              <w:rPr>
                <w:rFonts w:asciiTheme="majorBidi" w:hAnsiTheme="majorBidi" w:cstheme="majorBidi"/>
                <w:sz w:val="16"/>
                <w:szCs w:val="16"/>
              </w:rPr>
            </w:pPr>
          </w:p>
          <w:p w14:paraId="33BC1D44" w14:textId="77777777" w:rsidR="00C71AFF" w:rsidRPr="00C14798" w:rsidRDefault="00C71AFF">
            <w:pPr>
              <w:spacing w:before="60" w:after="60"/>
              <w:ind w:left="0" w:firstLine="0"/>
              <w:jc w:val="left"/>
              <w:rPr>
                <w:rFonts w:asciiTheme="majorBidi" w:hAnsiTheme="majorBidi" w:cstheme="majorBidi"/>
                <w:sz w:val="16"/>
                <w:szCs w:val="16"/>
              </w:rPr>
            </w:pPr>
          </w:p>
          <w:p w14:paraId="7459DBF1" w14:textId="75119465" w:rsidR="00C71AFF" w:rsidRPr="00C14798" w:rsidRDefault="00C71AFF">
            <w:pPr>
              <w:spacing w:before="60" w:after="60"/>
              <w:ind w:left="0" w:firstLine="0"/>
              <w:jc w:val="left"/>
              <w:rPr>
                <w:rFonts w:asciiTheme="majorBidi" w:hAnsiTheme="majorBidi" w:cstheme="majorBidi"/>
                <w:sz w:val="16"/>
                <w:szCs w:val="16"/>
              </w:rPr>
            </w:pPr>
            <w:r w:rsidRPr="00C14798">
              <w:rPr>
                <w:rFonts w:asciiTheme="majorBidi" w:hAnsiTheme="majorBidi" w:cstheme="majorBidi"/>
                <w:sz w:val="16"/>
                <w:szCs w:val="16"/>
              </w:rPr>
              <w:t>Sans objet</w:t>
            </w:r>
          </w:p>
          <w:p w14:paraId="3E76D5E3" w14:textId="77777777" w:rsidR="00C71AFF" w:rsidRPr="00C14798" w:rsidRDefault="00C71AFF">
            <w:pPr>
              <w:spacing w:before="60" w:after="60"/>
              <w:ind w:left="0" w:firstLine="0"/>
              <w:jc w:val="left"/>
              <w:rPr>
                <w:rFonts w:asciiTheme="majorBidi" w:hAnsiTheme="majorBidi" w:cstheme="majorBidi"/>
                <w:sz w:val="16"/>
                <w:szCs w:val="16"/>
              </w:rPr>
            </w:pPr>
          </w:p>
          <w:p w14:paraId="329D98DC" w14:textId="77777777" w:rsidR="001A3C9A" w:rsidRPr="00C14798" w:rsidRDefault="001A3C9A">
            <w:pPr>
              <w:spacing w:before="60" w:after="60"/>
              <w:ind w:left="0" w:firstLine="0"/>
              <w:jc w:val="left"/>
              <w:rPr>
                <w:rFonts w:asciiTheme="majorBidi" w:hAnsiTheme="majorBidi" w:cstheme="majorBidi"/>
                <w:sz w:val="16"/>
                <w:szCs w:val="16"/>
              </w:rPr>
            </w:pPr>
          </w:p>
          <w:p w14:paraId="7430AECA" w14:textId="77777777" w:rsidR="001A3C9A" w:rsidRPr="00C14798" w:rsidRDefault="001A3C9A">
            <w:pPr>
              <w:spacing w:before="60" w:after="60"/>
              <w:ind w:left="0" w:firstLine="0"/>
              <w:jc w:val="left"/>
              <w:rPr>
                <w:rFonts w:asciiTheme="majorBidi" w:hAnsiTheme="majorBidi" w:cstheme="majorBidi"/>
                <w:sz w:val="16"/>
                <w:szCs w:val="16"/>
              </w:rPr>
            </w:pPr>
          </w:p>
          <w:p w14:paraId="027E8059" w14:textId="77777777" w:rsidR="001A3C9A" w:rsidRPr="00C14798" w:rsidRDefault="001A3C9A">
            <w:pPr>
              <w:spacing w:before="60" w:after="60"/>
              <w:ind w:left="0" w:firstLine="0"/>
              <w:jc w:val="left"/>
              <w:rPr>
                <w:rFonts w:asciiTheme="majorBidi" w:hAnsiTheme="majorBidi" w:cstheme="majorBidi"/>
                <w:sz w:val="16"/>
                <w:szCs w:val="16"/>
              </w:rPr>
            </w:pPr>
          </w:p>
          <w:p w14:paraId="129C5714" w14:textId="77777777" w:rsidR="001A3C9A" w:rsidRPr="00C14798" w:rsidRDefault="001A3C9A">
            <w:pPr>
              <w:spacing w:before="60" w:after="60"/>
              <w:ind w:left="0" w:firstLine="0"/>
              <w:jc w:val="left"/>
              <w:rPr>
                <w:rFonts w:asciiTheme="majorBidi" w:hAnsiTheme="majorBidi" w:cstheme="majorBidi"/>
                <w:sz w:val="16"/>
                <w:szCs w:val="16"/>
              </w:rPr>
            </w:pPr>
          </w:p>
          <w:p w14:paraId="57C6C5AD" w14:textId="77777777" w:rsidR="001A3C9A" w:rsidRPr="00C14798" w:rsidRDefault="001A3C9A">
            <w:pPr>
              <w:spacing w:before="60" w:after="60"/>
              <w:ind w:left="0" w:firstLine="0"/>
              <w:jc w:val="left"/>
              <w:rPr>
                <w:rFonts w:asciiTheme="majorBidi" w:hAnsiTheme="majorBidi" w:cstheme="majorBidi"/>
                <w:sz w:val="16"/>
                <w:szCs w:val="16"/>
              </w:rPr>
            </w:pPr>
          </w:p>
          <w:p w14:paraId="66E01398" w14:textId="77777777" w:rsidR="001A3C9A" w:rsidRPr="00C14798" w:rsidRDefault="001A3C9A">
            <w:pPr>
              <w:spacing w:before="60" w:after="60"/>
              <w:ind w:left="0" w:firstLine="0"/>
              <w:jc w:val="left"/>
              <w:rPr>
                <w:rFonts w:asciiTheme="majorBidi" w:hAnsiTheme="majorBidi" w:cstheme="majorBidi"/>
                <w:sz w:val="16"/>
                <w:szCs w:val="16"/>
              </w:rPr>
            </w:pPr>
          </w:p>
          <w:p w14:paraId="3657AC14" w14:textId="6EED70E4" w:rsidR="00C71AFF" w:rsidRPr="00C14798" w:rsidRDefault="00C71AFF">
            <w:pPr>
              <w:spacing w:before="60" w:after="60"/>
              <w:ind w:left="0" w:firstLine="0"/>
              <w:jc w:val="left"/>
              <w:rPr>
                <w:rFonts w:asciiTheme="majorBidi" w:hAnsiTheme="majorBidi" w:cstheme="majorBidi"/>
                <w:sz w:val="16"/>
                <w:szCs w:val="16"/>
              </w:rPr>
            </w:pPr>
            <w:r w:rsidRPr="00C14798">
              <w:rPr>
                <w:rFonts w:asciiTheme="majorBidi" w:hAnsiTheme="majorBidi" w:cstheme="majorBidi"/>
                <w:sz w:val="16"/>
                <w:szCs w:val="16"/>
              </w:rPr>
              <w:t>Doit satisfaire au critère</w:t>
            </w:r>
          </w:p>
          <w:p w14:paraId="58F0D289" w14:textId="77777777" w:rsidR="00C71AFF" w:rsidRPr="00C14798" w:rsidRDefault="00C71AFF">
            <w:pPr>
              <w:spacing w:before="60" w:after="60"/>
              <w:ind w:left="0" w:firstLine="0"/>
              <w:jc w:val="left"/>
              <w:rPr>
                <w:rFonts w:asciiTheme="majorBidi" w:hAnsiTheme="majorBidi" w:cstheme="majorBidi"/>
                <w:sz w:val="16"/>
                <w:szCs w:val="16"/>
              </w:rPr>
            </w:pPr>
          </w:p>
        </w:tc>
        <w:tc>
          <w:tcPr>
            <w:tcW w:w="1393" w:type="dxa"/>
            <w:tcBorders>
              <w:top w:val="single" w:sz="4" w:space="0" w:color="auto"/>
              <w:left w:val="single" w:sz="4" w:space="0" w:color="auto"/>
              <w:right w:val="single" w:sz="4" w:space="0" w:color="auto"/>
            </w:tcBorders>
            <w:shd w:val="clear" w:color="auto" w:fill="auto"/>
          </w:tcPr>
          <w:p w14:paraId="29C9A671" w14:textId="77777777" w:rsidR="00C71AFF" w:rsidRPr="00C14798" w:rsidRDefault="00C71AFF">
            <w:pPr>
              <w:spacing w:before="60" w:after="60"/>
              <w:ind w:left="0" w:firstLine="0"/>
              <w:jc w:val="left"/>
              <w:rPr>
                <w:rFonts w:asciiTheme="majorBidi" w:hAnsiTheme="majorBidi" w:cstheme="majorBidi"/>
                <w:sz w:val="16"/>
                <w:szCs w:val="16"/>
              </w:rPr>
            </w:pPr>
            <w:r w:rsidRPr="00C14798">
              <w:rPr>
                <w:rFonts w:asciiTheme="majorBidi" w:hAnsiTheme="majorBidi" w:cstheme="majorBidi"/>
                <w:sz w:val="16"/>
                <w:szCs w:val="16"/>
              </w:rPr>
              <w:t>Sans objet</w:t>
            </w:r>
          </w:p>
          <w:p w14:paraId="42602809" w14:textId="77777777" w:rsidR="00C71AFF" w:rsidRPr="00C14798" w:rsidRDefault="00C71AFF">
            <w:pPr>
              <w:spacing w:before="60" w:after="60"/>
              <w:ind w:left="0" w:firstLine="0"/>
              <w:jc w:val="left"/>
              <w:rPr>
                <w:rFonts w:asciiTheme="majorBidi" w:hAnsiTheme="majorBidi" w:cstheme="majorBidi"/>
                <w:sz w:val="16"/>
                <w:szCs w:val="16"/>
              </w:rPr>
            </w:pPr>
          </w:p>
          <w:p w14:paraId="100D8259" w14:textId="77777777" w:rsidR="00C71AFF" w:rsidRPr="00C14798" w:rsidRDefault="00C71AFF">
            <w:pPr>
              <w:spacing w:before="60" w:after="60"/>
              <w:ind w:left="0" w:firstLine="0"/>
              <w:jc w:val="left"/>
              <w:rPr>
                <w:rFonts w:asciiTheme="majorBidi" w:hAnsiTheme="majorBidi" w:cstheme="majorBidi"/>
                <w:sz w:val="16"/>
                <w:szCs w:val="16"/>
              </w:rPr>
            </w:pPr>
          </w:p>
          <w:p w14:paraId="39374A1C" w14:textId="77777777" w:rsidR="00C71AFF" w:rsidRPr="00C14798" w:rsidRDefault="00C71AFF">
            <w:pPr>
              <w:spacing w:before="60" w:after="60"/>
              <w:ind w:left="0" w:firstLine="0"/>
              <w:jc w:val="left"/>
              <w:rPr>
                <w:rFonts w:asciiTheme="majorBidi" w:hAnsiTheme="majorBidi" w:cstheme="majorBidi"/>
                <w:sz w:val="16"/>
                <w:szCs w:val="16"/>
              </w:rPr>
            </w:pPr>
          </w:p>
          <w:p w14:paraId="387B96D2" w14:textId="77777777" w:rsidR="00C71AFF" w:rsidRPr="00C14798" w:rsidRDefault="00C71AFF">
            <w:pPr>
              <w:spacing w:before="60" w:after="60"/>
              <w:ind w:left="0" w:firstLine="0"/>
              <w:jc w:val="left"/>
              <w:rPr>
                <w:rFonts w:asciiTheme="majorBidi" w:hAnsiTheme="majorBidi" w:cstheme="majorBidi"/>
                <w:sz w:val="16"/>
                <w:szCs w:val="16"/>
              </w:rPr>
            </w:pPr>
          </w:p>
          <w:p w14:paraId="4937E38F" w14:textId="77777777" w:rsidR="00C71AFF" w:rsidRPr="00C14798" w:rsidRDefault="00C71AFF">
            <w:pPr>
              <w:spacing w:before="60" w:after="60"/>
              <w:ind w:left="0" w:firstLine="0"/>
              <w:jc w:val="left"/>
              <w:rPr>
                <w:rFonts w:asciiTheme="majorBidi" w:hAnsiTheme="majorBidi" w:cstheme="majorBidi"/>
                <w:sz w:val="16"/>
                <w:szCs w:val="16"/>
              </w:rPr>
            </w:pPr>
          </w:p>
          <w:p w14:paraId="5BC9C8A2" w14:textId="77777777" w:rsidR="00C71AFF" w:rsidRPr="00C14798" w:rsidRDefault="00C71AFF">
            <w:pPr>
              <w:spacing w:before="60" w:after="60"/>
              <w:ind w:left="0" w:firstLine="0"/>
              <w:jc w:val="left"/>
              <w:rPr>
                <w:rFonts w:asciiTheme="majorBidi" w:hAnsiTheme="majorBidi" w:cstheme="majorBidi"/>
                <w:sz w:val="16"/>
                <w:szCs w:val="16"/>
              </w:rPr>
            </w:pPr>
          </w:p>
          <w:p w14:paraId="670CFCAD" w14:textId="77777777" w:rsidR="00C71AFF" w:rsidRPr="00C14798" w:rsidRDefault="00C71AFF">
            <w:pPr>
              <w:spacing w:before="60" w:after="60"/>
              <w:ind w:left="0" w:firstLine="0"/>
              <w:jc w:val="left"/>
              <w:rPr>
                <w:rFonts w:asciiTheme="majorBidi" w:hAnsiTheme="majorBidi" w:cstheme="majorBidi"/>
                <w:sz w:val="16"/>
                <w:szCs w:val="16"/>
              </w:rPr>
            </w:pPr>
          </w:p>
          <w:p w14:paraId="28492AE0" w14:textId="77777777" w:rsidR="00C71AFF" w:rsidRPr="00C14798" w:rsidRDefault="00C71AFF">
            <w:pPr>
              <w:spacing w:before="60" w:after="60"/>
              <w:ind w:left="0" w:firstLine="0"/>
              <w:jc w:val="left"/>
              <w:rPr>
                <w:rFonts w:asciiTheme="majorBidi" w:hAnsiTheme="majorBidi" w:cstheme="majorBidi"/>
                <w:sz w:val="16"/>
                <w:szCs w:val="16"/>
              </w:rPr>
            </w:pPr>
          </w:p>
          <w:p w14:paraId="704B6477" w14:textId="77777777" w:rsidR="00C71AFF" w:rsidRPr="00C14798" w:rsidRDefault="00C71AFF">
            <w:pPr>
              <w:spacing w:before="60" w:after="60"/>
              <w:ind w:left="0" w:firstLine="0"/>
              <w:jc w:val="left"/>
              <w:rPr>
                <w:rFonts w:asciiTheme="majorBidi" w:hAnsiTheme="majorBidi" w:cstheme="majorBidi"/>
                <w:sz w:val="16"/>
                <w:szCs w:val="16"/>
              </w:rPr>
            </w:pPr>
          </w:p>
          <w:p w14:paraId="0A010FFF" w14:textId="77777777" w:rsidR="00C71AFF" w:rsidRPr="00C14798" w:rsidRDefault="00C71AFF">
            <w:pPr>
              <w:spacing w:before="60" w:after="60"/>
              <w:ind w:left="0" w:firstLine="0"/>
              <w:jc w:val="left"/>
              <w:rPr>
                <w:rFonts w:asciiTheme="majorBidi" w:hAnsiTheme="majorBidi" w:cstheme="majorBidi"/>
                <w:sz w:val="16"/>
                <w:szCs w:val="16"/>
              </w:rPr>
            </w:pPr>
          </w:p>
          <w:p w14:paraId="065F85C0" w14:textId="77777777" w:rsidR="00C71AFF" w:rsidRPr="00C14798" w:rsidRDefault="00C71AFF">
            <w:pPr>
              <w:spacing w:before="60" w:after="60"/>
              <w:ind w:left="0" w:firstLine="0"/>
              <w:jc w:val="left"/>
              <w:rPr>
                <w:rFonts w:asciiTheme="majorBidi" w:hAnsiTheme="majorBidi" w:cstheme="majorBidi"/>
                <w:sz w:val="16"/>
                <w:szCs w:val="16"/>
              </w:rPr>
            </w:pPr>
          </w:p>
          <w:p w14:paraId="7955F00D" w14:textId="77777777" w:rsidR="00C71AFF" w:rsidRPr="00C14798" w:rsidRDefault="00C71AFF">
            <w:pPr>
              <w:spacing w:before="60" w:after="60"/>
              <w:ind w:left="0" w:firstLine="0"/>
              <w:jc w:val="left"/>
              <w:rPr>
                <w:rFonts w:asciiTheme="majorBidi" w:hAnsiTheme="majorBidi" w:cstheme="majorBidi"/>
                <w:sz w:val="16"/>
                <w:szCs w:val="16"/>
              </w:rPr>
            </w:pPr>
          </w:p>
          <w:p w14:paraId="02A7CC85" w14:textId="3689B128" w:rsidR="00C71AFF" w:rsidRPr="00C14798" w:rsidRDefault="00C71AFF">
            <w:pPr>
              <w:spacing w:before="60" w:after="60"/>
              <w:ind w:left="0" w:firstLine="0"/>
              <w:jc w:val="left"/>
              <w:rPr>
                <w:rFonts w:asciiTheme="majorBidi" w:hAnsiTheme="majorBidi" w:cstheme="majorBidi"/>
                <w:sz w:val="16"/>
                <w:szCs w:val="16"/>
              </w:rPr>
            </w:pPr>
            <w:r w:rsidRPr="00C14798">
              <w:rPr>
                <w:rFonts w:asciiTheme="majorBidi" w:hAnsiTheme="majorBidi" w:cstheme="majorBidi"/>
                <w:sz w:val="16"/>
                <w:szCs w:val="16"/>
              </w:rPr>
              <w:t xml:space="preserve">Sans objet </w:t>
            </w:r>
          </w:p>
          <w:p w14:paraId="53168328" w14:textId="77777777" w:rsidR="00C71AFF" w:rsidRPr="00C14798" w:rsidRDefault="00C71AFF">
            <w:pPr>
              <w:spacing w:before="60" w:after="60"/>
              <w:ind w:left="0" w:firstLine="0"/>
              <w:jc w:val="left"/>
              <w:rPr>
                <w:rFonts w:asciiTheme="majorBidi" w:hAnsiTheme="majorBidi" w:cstheme="majorBidi"/>
                <w:sz w:val="16"/>
                <w:szCs w:val="16"/>
              </w:rPr>
            </w:pPr>
          </w:p>
          <w:p w14:paraId="2F51184B" w14:textId="77777777" w:rsidR="001A3C9A" w:rsidRPr="00C14798" w:rsidRDefault="001A3C9A">
            <w:pPr>
              <w:spacing w:before="60" w:after="60"/>
              <w:ind w:left="0" w:firstLine="0"/>
              <w:jc w:val="left"/>
              <w:rPr>
                <w:rFonts w:asciiTheme="majorBidi" w:hAnsiTheme="majorBidi" w:cstheme="majorBidi"/>
                <w:sz w:val="16"/>
                <w:szCs w:val="16"/>
              </w:rPr>
            </w:pPr>
          </w:p>
          <w:p w14:paraId="2876A778" w14:textId="77777777" w:rsidR="001A3C9A" w:rsidRPr="00C14798" w:rsidRDefault="001A3C9A">
            <w:pPr>
              <w:spacing w:before="60" w:after="60"/>
              <w:ind w:left="0" w:firstLine="0"/>
              <w:jc w:val="left"/>
              <w:rPr>
                <w:rFonts w:asciiTheme="majorBidi" w:hAnsiTheme="majorBidi" w:cstheme="majorBidi"/>
                <w:sz w:val="16"/>
                <w:szCs w:val="16"/>
              </w:rPr>
            </w:pPr>
          </w:p>
          <w:p w14:paraId="715A3FE3" w14:textId="77777777" w:rsidR="001A3C9A" w:rsidRPr="00C14798" w:rsidRDefault="001A3C9A">
            <w:pPr>
              <w:spacing w:before="60" w:after="60"/>
              <w:ind w:left="0" w:firstLine="0"/>
              <w:jc w:val="left"/>
              <w:rPr>
                <w:rFonts w:asciiTheme="majorBidi" w:hAnsiTheme="majorBidi" w:cstheme="majorBidi"/>
                <w:sz w:val="16"/>
                <w:szCs w:val="16"/>
              </w:rPr>
            </w:pPr>
          </w:p>
          <w:p w14:paraId="3CFF9ABA" w14:textId="77777777" w:rsidR="001A3C9A" w:rsidRPr="00C14798" w:rsidRDefault="001A3C9A">
            <w:pPr>
              <w:spacing w:before="60" w:after="60"/>
              <w:ind w:left="0" w:firstLine="0"/>
              <w:jc w:val="left"/>
              <w:rPr>
                <w:rFonts w:asciiTheme="majorBidi" w:hAnsiTheme="majorBidi" w:cstheme="majorBidi"/>
                <w:sz w:val="16"/>
                <w:szCs w:val="16"/>
              </w:rPr>
            </w:pPr>
          </w:p>
          <w:p w14:paraId="744895D5" w14:textId="77777777" w:rsidR="001A3C9A" w:rsidRPr="00C14798" w:rsidRDefault="001A3C9A">
            <w:pPr>
              <w:spacing w:before="60" w:after="60"/>
              <w:ind w:left="0" w:firstLine="0"/>
              <w:jc w:val="left"/>
              <w:rPr>
                <w:rFonts w:asciiTheme="majorBidi" w:hAnsiTheme="majorBidi" w:cstheme="majorBidi"/>
                <w:sz w:val="16"/>
                <w:szCs w:val="16"/>
              </w:rPr>
            </w:pPr>
          </w:p>
          <w:p w14:paraId="2E9C56B4" w14:textId="77777777" w:rsidR="001A3C9A" w:rsidRPr="00C14798" w:rsidRDefault="001A3C9A">
            <w:pPr>
              <w:spacing w:before="60" w:after="60"/>
              <w:ind w:left="0" w:firstLine="0"/>
              <w:jc w:val="left"/>
              <w:rPr>
                <w:rFonts w:asciiTheme="majorBidi" w:hAnsiTheme="majorBidi" w:cstheme="majorBidi"/>
                <w:sz w:val="16"/>
                <w:szCs w:val="16"/>
              </w:rPr>
            </w:pPr>
          </w:p>
          <w:p w14:paraId="7A5DC090" w14:textId="1BE5B9AC" w:rsidR="00C71AFF" w:rsidRPr="00C14798" w:rsidRDefault="00C71AFF">
            <w:pPr>
              <w:spacing w:before="60" w:after="60"/>
              <w:ind w:left="0" w:firstLine="0"/>
              <w:jc w:val="left"/>
              <w:rPr>
                <w:rFonts w:asciiTheme="majorBidi" w:hAnsiTheme="majorBidi" w:cstheme="majorBidi"/>
                <w:color w:val="FF00FF"/>
                <w:sz w:val="16"/>
                <w:szCs w:val="16"/>
              </w:rPr>
            </w:pPr>
            <w:r w:rsidRPr="00C14798">
              <w:rPr>
                <w:rFonts w:asciiTheme="majorBidi" w:hAnsiTheme="majorBidi" w:cstheme="majorBidi"/>
                <w:sz w:val="16"/>
                <w:szCs w:val="16"/>
              </w:rPr>
              <w:t>Sans objet</w:t>
            </w:r>
          </w:p>
          <w:p w14:paraId="3802FA45" w14:textId="77777777" w:rsidR="00C71AFF" w:rsidRPr="00C14798" w:rsidRDefault="00C71AFF">
            <w:pPr>
              <w:spacing w:before="60" w:after="60"/>
              <w:ind w:left="0" w:firstLine="0"/>
              <w:jc w:val="left"/>
              <w:rPr>
                <w:rFonts w:asciiTheme="majorBidi" w:hAnsiTheme="majorBidi" w:cstheme="majorBidi"/>
                <w:sz w:val="16"/>
                <w:szCs w:val="16"/>
              </w:rPr>
            </w:pPr>
          </w:p>
        </w:tc>
        <w:tc>
          <w:tcPr>
            <w:tcW w:w="1673" w:type="dxa"/>
            <w:tcBorders>
              <w:top w:val="single" w:sz="4" w:space="0" w:color="auto"/>
              <w:left w:val="single" w:sz="4" w:space="0" w:color="auto"/>
            </w:tcBorders>
            <w:shd w:val="clear" w:color="auto" w:fill="auto"/>
          </w:tcPr>
          <w:p w14:paraId="6547EBE7" w14:textId="40895FA9" w:rsidR="00C71AFF" w:rsidRPr="00C14798" w:rsidRDefault="00C71AFF">
            <w:pPr>
              <w:spacing w:before="60" w:after="60"/>
              <w:ind w:left="0" w:firstLine="0"/>
              <w:jc w:val="left"/>
              <w:rPr>
                <w:rFonts w:asciiTheme="majorBidi" w:hAnsiTheme="majorBidi" w:cstheme="majorBidi"/>
                <w:sz w:val="16"/>
                <w:szCs w:val="16"/>
              </w:rPr>
            </w:pPr>
            <w:r w:rsidRPr="00C14798">
              <w:rPr>
                <w:rFonts w:asciiTheme="majorBidi" w:hAnsiTheme="majorBidi" w:cstheme="majorBidi"/>
                <w:sz w:val="16"/>
                <w:szCs w:val="16"/>
              </w:rPr>
              <w:t xml:space="preserve">Formulaire </w:t>
            </w:r>
            <w:r w:rsidRPr="00C14798">
              <w:rPr>
                <w:rFonts w:asciiTheme="majorBidi" w:hAnsiTheme="majorBidi" w:cstheme="majorBidi"/>
                <w:sz w:val="16"/>
                <w:szCs w:val="16"/>
              </w:rPr>
              <w:br/>
              <w:t>FIN – 3.1 avec pièces jointes</w:t>
            </w:r>
          </w:p>
        </w:tc>
      </w:tr>
      <w:tr w:rsidR="00F50EF6" w:rsidRPr="00C14798" w14:paraId="682E5BBF" w14:textId="77777777" w:rsidTr="000B19C9">
        <w:tblPrEx>
          <w:tblBorders>
            <w:insideH w:val="none" w:sz="0" w:space="0" w:color="auto"/>
            <w:insideV w:val="none" w:sz="0" w:space="0" w:color="auto"/>
          </w:tblBorders>
          <w:tblLook w:val="0000" w:firstRow="0" w:lastRow="0" w:firstColumn="0" w:lastColumn="0" w:noHBand="0" w:noVBand="0"/>
        </w:tblPrEx>
        <w:trPr>
          <w:cantSplit/>
        </w:trPr>
        <w:tc>
          <w:tcPr>
            <w:tcW w:w="1458" w:type="dxa"/>
            <w:tcBorders>
              <w:top w:val="single" w:sz="4" w:space="0" w:color="auto"/>
              <w:bottom w:val="single" w:sz="4" w:space="0" w:color="auto"/>
              <w:right w:val="single" w:sz="4" w:space="0" w:color="auto"/>
            </w:tcBorders>
            <w:shd w:val="clear" w:color="auto" w:fill="auto"/>
          </w:tcPr>
          <w:p w14:paraId="5032E557" w14:textId="7CC5E72C" w:rsidR="00F50EF6" w:rsidRPr="00C14798" w:rsidRDefault="00576320" w:rsidP="00FC7AA0">
            <w:pPr>
              <w:pStyle w:val="Titre2"/>
              <w:tabs>
                <w:tab w:val="left" w:pos="576"/>
              </w:tabs>
              <w:spacing w:before="60" w:after="60"/>
              <w:ind w:left="0" w:firstLine="0"/>
              <w:jc w:val="left"/>
              <w:rPr>
                <w:rFonts w:asciiTheme="majorBidi" w:hAnsiTheme="majorBidi" w:cstheme="majorBidi"/>
                <w:b w:val="0"/>
                <w:bCs/>
                <w:sz w:val="16"/>
                <w:szCs w:val="16"/>
              </w:rPr>
            </w:pPr>
            <w:r w:rsidRPr="00C14798">
              <w:rPr>
                <w:rFonts w:asciiTheme="majorBidi" w:hAnsiTheme="majorBidi" w:cstheme="majorBidi"/>
                <w:b w:val="0"/>
                <w:bCs/>
                <w:sz w:val="16"/>
                <w:szCs w:val="16"/>
              </w:rPr>
              <w:t>3.2</w:t>
            </w:r>
          </w:p>
        </w:tc>
        <w:tc>
          <w:tcPr>
            <w:tcW w:w="1710" w:type="dxa"/>
            <w:tcBorders>
              <w:top w:val="single" w:sz="4" w:space="0" w:color="auto"/>
              <w:bottom w:val="single" w:sz="4" w:space="0" w:color="auto"/>
              <w:right w:val="single" w:sz="4" w:space="0" w:color="auto"/>
            </w:tcBorders>
            <w:shd w:val="clear" w:color="auto" w:fill="auto"/>
          </w:tcPr>
          <w:p w14:paraId="5B1DB1A2" w14:textId="330B4E97" w:rsidR="00F50EF6" w:rsidRPr="000C05B5" w:rsidRDefault="00F50EF6" w:rsidP="00284E69">
            <w:pPr>
              <w:pStyle w:val="Titre2"/>
              <w:tabs>
                <w:tab w:val="left" w:pos="576"/>
              </w:tabs>
              <w:spacing w:before="60" w:after="60"/>
              <w:ind w:left="0" w:firstLine="0"/>
              <w:jc w:val="left"/>
              <w:rPr>
                <w:rFonts w:asciiTheme="majorBidi" w:hAnsiTheme="majorBidi" w:cstheme="majorBidi"/>
                <w:sz w:val="16"/>
                <w:szCs w:val="16"/>
              </w:rPr>
            </w:pPr>
            <w:r w:rsidRPr="000C05B5">
              <w:rPr>
                <w:rFonts w:asciiTheme="majorBidi" w:hAnsiTheme="majorBidi" w:cstheme="majorBidi"/>
                <w:sz w:val="16"/>
                <w:szCs w:val="16"/>
              </w:rPr>
              <w:t xml:space="preserve">Chiffre d’affaires annuel moyen </w:t>
            </w:r>
          </w:p>
        </w:tc>
        <w:tc>
          <w:tcPr>
            <w:tcW w:w="2666" w:type="dxa"/>
            <w:tcBorders>
              <w:top w:val="single" w:sz="4" w:space="0" w:color="auto"/>
              <w:left w:val="single" w:sz="4" w:space="0" w:color="auto"/>
              <w:bottom w:val="single" w:sz="4" w:space="0" w:color="auto"/>
              <w:right w:val="single" w:sz="4" w:space="0" w:color="auto"/>
            </w:tcBorders>
            <w:shd w:val="clear" w:color="auto" w:fill="auto"/>
          </w:tcPr>
          <w:p w14:paraId="6EB8A502" w14:textId="787E012E" w:rsidR="009C1D7D" w:rsidRPr="000C05B5" w:rsidRDefault="00F50EF6" w:rsidP="001538F3">
            <w:pPr>
              <w:pStyle w:val="Retraitcorpsdetexte"/>
              <w:spacing w:before="60" w:after="60"/>
              <w:ind w:left="0" w:firstLine="0"/>
              <w:jc w:val="left"/>
              <w:rPr>
                <w:rFonts w:ascii="Arial Narrow" w:hAnsi="Arial Narrow" w:cs="Arial"/>
                <w:b/>
                <w:sz w:val="16"/>
                <w:szCs w:val="16"/>
              </w:rPr>
            </w:pPr>
            <w:r w:rsidRPr="000C05B5">
              <w:rPr>
                <w:rFonts w:asciiTheme="majorBidi" w:hAnsiTheme="majorBidi" w:cstheme="majorBidi"/>
                <w:sz w:val="16"/>
                <w:szCs w:val="16"/>
                <w:lang w:val="fr-FR"/>
              </w:rPr>
              <w:t>Avoir un chiffre d’aff</w:t>
            </w:r>
            <w:r w:rsidR="004D53F5" w:rsidRPr="000C05B5">
              <w:rPr>
                <w:rFonts w:asciiTheme="majorBidi" w:hAnsiTheme="majorBidi" w:cstheme="majorBidi"/>
                <w:sz w:val="16"/>
                <w:szCs w:val="16"/>
                <w:lang w:val="fr-FR"/>
              </w:rPr>
              <w:t>aires annuel moyen d’au moins :</w:t>
            </w:r>
            <w:r w:rsidR="001538F3" w:rsidRPr="000C05B5">
              <w:rPr>
                <w:rFonts w:asciiTheme="majorBidi" w:hAnsiTheme="majorBidi" w:cstheme="majorBidi"/>
                <w:sz w:val="16"/>
                <w:szCs w:val="16"/>
                <w:lang w:val="fr-FR"/>
              </w:rPr>
              <w:t xml:space="preserve"> </w:t>
            </w:r>
            <w:r w:rsidR="00B81FC7" w:rsidRPr="000C05B5">
              <w:rPr>
                <w:rFonts w:asciiTheme="majorBidi" w:hAnsiTheme="majorBidi" w:cstheme="majorBidi"/>
                <w:sz w:val="16"/>
                <w:szCs w:val="16"/>
                <w:lang w:val="fr-FR"/>
              </w:rPr>
              <w:t xml:space="preserve">Un </w:t>
            </w:r>
            <w:proofErr w:type="spellStart"/>
            <w:r w:rsidR="00E0199C" w:rsidRPr="000C05B5">
              <w:rPr>
                <w:rFonts w:asciiTheme="majorBidi" w:hAnsiTheme="majorBidi" w:cstheme="majorBidi"/>
                <w:b/>
                <w:sz w:val="16"/>
                <w:szCs w:val="16"/>
              </w:rPr>
              <w:t>milliard</w:t>
            </w:r>
            <w:proofErr w:type="spellEnd"/>
            <w:r w:rsidR="00B81FC7" w:rsidRPr="000C05B5">
              <w:rPr>
                <w:rFonts w:asciiTheme="majorBidi" w:hAnsiTheme="majorBidi" w:cstheme="majorBidi"/>
                <w:b/>
                <w:sz w:val="16"/>
                <w:szCs w:val="16"/>
              </w:rPr>
              <w:t xml:space="preserve"> </w:t>
            </w:r>
            <w:proofErr w:type="spellStart"/>
            <w:r w:rsidR="004725CE" w:rsidRPr="000C05B5">
              <w:rPr>
                <w:rFonts w:asciiTheme="majorBidi" w:hAnsiTheme="majorBidi" w:cstheme="majorBidi"/>
                <w:b/>
                <w:sz w:val="16"/>
                <w:szCs w:val="16"/>
              </w:rPr>
              <w:t>quatre</w:t>
            </w:r>
            <w:proofErr w:type="spellEnd"/>
            <w:r w:rsidR="004725CE" w:rsidRPr="000C05B5">
              <w:rPr>
                <w:rFonts w:asciiTheme="majorBidi" w:hAnsiTheme="majorBidi" w:cstheme="majorBidi"/>
                <w:b/>
                <w:sz w:val="16"/>
                <w:szCs w:val="16"/>
              </w:rPr>
              <w:t xml:space="preserve"> </w:t>
            </w:r>
            <w:proofErr w:type="spellStart"/>
            <w:r w:rsidR="004725CE" w:rsidRPr="000C05B5">
              <w:rPr>
                <w:rFonts w:asciiTheme="majorBidi" w:hAnsiTheme="majorBidi" w:cstheme="majorBidi"/>
                <w:b/>
                <w:sz w:val="16"/>
                <w:szCs w:val="16"/>
              </w:rPr>
              <w:t>vingt</w:t>
            </w:r>
            <w:proofErr w:type="spellEnd"/>
            <w:r w:rsidR="004725CE" w:rsidRPr="000C05B5">
              <w:rPr>
                <w:rFonts w:asciiTheme="majorBidi" w:hAnsiTheme="majorBidi" w:cstheme="majorBidi"/>
                <w:b/>
                <w:sz w:val="16"/>
                <w:szCs w:val="16"/>
              </w:rPr>
              <w:t xml:space="preserve"> </w:t>
            </w:r>
            <w:proofErr w:type="spellStart"/>
            <w:r w:rsidR="004725CE" w:rsidRPr="000C05B5">
              <w:rPr>
                <w:rFonts w:asciiTheme="majorBidi" w:hAnsiTheme="majorBidi" w:cstheme="majorBidi"/>
                <w:b/>
                <w:sz w:val="16"/>
                <w:szCs w:val="16"/>
              </w:rPr>
              <w:t>cinq</w:t>
            </w:r>
            <w:proofErr w:type="spellEnd"/>
            <w:r w:rsidR="004725CE" w:rsidRPr="000C05B5">
              <w:rPr>
                <w:rFonts w:asciiTheme="majorBidi" w:hAnsiTheme="majorBidi" w:cstheme="majorBidi"/>
                <w:b/>
                <w:sz w:val="16"/>
                <w:szCs w:val="16"/>
              </w:rPr>
              <w:t xml:space="preserve"> </w:t>
            </w:r>
            <w:proofErr w:type="spellStart"/>
            <w:r w:rsidR="004725CE" w:rsidRPr="000C05B5">
              <w:rPr>
                <w:rFonts w:asciiTheme="majorBidi" w:hAnsiTheme="majorBidi" w:cstheme="majorBidi"/>
                <w:b/>
                <w:sz w:val="16"/>
                <w:szCs w:val="16"/>
              </w:rPr>
              <w:t>millions</w:t>
            </w:r>
            <w:proofErr w:type="spellEnd"/>
            <w:r w:rsidR="004725CE" w:rsidRPr="000C05B5">
              <w:rPr>
                <w:rFonts w:asciiTheme="majorBidi" w:hAnsiTheme="majorBidi" w:cstheme="majorBidi"/>
                <w:b/>
                <w:sz w:val="16"/>
                <w:szCs w:val="16"/>
              </w:rPr>
              <w:t xml:space="preserve"> </w:t>
            </w:r>
            <w:r w:rsidR="00B81FC7" w:rsidRPr="000C05B5">
              <w:rPr>
                <w:rFonts w:asciiTheme="majorBidi" w:hAnsiTheme="majorBidi" w:cstheme="majorBidi"/>
                <w:b/>
                <w:sz w:val="16"/>
                <w:szCs w:val="16"/>
              </w:rPr>
              <w:t xml:space="preserve"> </w:t>
            </w:r>
            <w:r w:rsidR="00E0199C" w:rsidRPr="000C05B5">
              <w:rPr>
                <w:rFonts w:asciiTheme="majorBidi" w:hAnsiTheme="majorBidi" w:cstheme="majorBidi"/>
                <w:b/>
                <w:sz w:val="16"/>
                <w:szCs w:val="16"/>
              </w:rPr>
              <w:t>(</w:t>
            </w:r>
            <w:r w:rsidR="004725CE" w:rsidRPr="000C05B5">
              <w:rPr>
                <w:rFonts w:asciiTheme="majorBidi" w:hAnsiTheme="majorBidi" w:cstheme="majorBidi"/>
                <w:b/>
                <w:sz w:val="16"/>
                <w:szCs w:val="16"/>
              </w:rPr>
              <w:t>1 425 000 </w:t>
            </w:r>
            <w:proofErr w:type="gramStart"/>
            <w:r w:rsidR="004725CE" w:rsidRPr="000C05B5">
              <w:rPr>
                <w:rFonts w:asciiTheme="majorBidi" w:hAnsiTheme="majorBidi" w:cstheme="majorBidi"/>
                <w:b/>
                <w:sz w:val="16"/>
                <w:szCs w:val="16"/>
              </w:rPr>
              <w:t xml:space="preserve">000 </w:t>
            </w:r>
            <w:r w:rsidR="005F549C" w:rsidRPr="000C05B5">
              <w:rPr>
                <w:rFonts w:asciiTheme="majorBidi" w:hAnsiTheme="majorBidi" w:cstheme="majorBidi"/>
                <w:b/>
                <w:sz w:val="16"/>
                <w:szCs w:val="16"/>
              </w:rPr>
              <w:t>)</w:t>
            </w:r>
            <w:proofErr w:type="gramEnd"/>
            <w:r w:rsidR="009C1D7D" w:rsidRPr="000C05B5">
              <w:rPr>
                <w:rFonts w:asciiTheme="majorBidi" w:hAnsiTheme="majorBidi" w:cstheme="majorBidi"/>
                <w:b/>
                <w:sz w:val="16"/>
                <w:szCs w:val="16"/>
              </w:rPr>
              <w:t xml:space="preserve"> FCFA</w:t>
            </w:r>
            <w:r w:rsidR="00B81FC7" w:rsidRPr="000C05B5">
              <w:rPr>
                <w:rFonts w:asciiTheme="majorBidi" w:hAnsiTheme="majorBidi" w:cstheme="majorBidi"/>
                <w:b/>
                <w:sz w:val="16"/>
                <w:szCs w:val="16"/>
              </w:rPr>
              <w:t>.</w:t>
            </w:r>
          </w:p>
          <w:p w14:paraId="1D34758F" w14:textId="7230169F" w:rsidR="00F50EF6" w:rsidRPr="00C14798" w:rsidRDefault="005F549C">
            <w:pPr>
              <w:pStyle w:val="Retraitcorpsdetexte"/>
              <w:spacing w:before="60" w:after="60"/>
              <w:ind w:left="0" w:firstLine="0"/>
              <w:jc w:val="left"/>
              <w:rPr>
                <w:rFonts w:asciiTheme="majorBidi" w:hAnsiTheme="majorBidi" w:cstheme="majorBidi"/>
                <w:i/>
                <w:sz w:val="16"/>
                <w:szCs w:val="16"/>
                <w:lang w:val="fr-FR"/>
              </w:rPr>
            </w:pPr>
            <w:r w:rsidRPr="00C14798">
              <w:rPr>
                <w:rFonts w:asciiTheme="majorBidi" w:hAnsiTheme="majorBidi" w:cstheme="majorBidi"/>
                <w:sz w:val="16"/>
                <w:szCs w:val="16"/>
                <w:lang w:val="fr-FR"/>
              </w:rPr>
              <w:t>Calculé</w:t>
            </w:r>
            <w:r w:rsidR="00F50EF6" w:rsidRPr="00C14798">
              <w:rPr>
                <w:rFonts w:asciiTheme="majorBidi" w:hAnsiTheme="majorBidi" w:cstheme="majorBidi"/>
                <w:sz w:val="16"/>
                <w:szCs w:val="16"/>
                <w:lang w:val="fr-FR"/>
              </w:rPr>
              <w:t xml:space="preserve"> de la manière suivante : le total des paiements mandatés reçus pour les marchés en cours et/ou achevés au cours des </w:t>
            </w:r>
            <w:r w:rsidR="00147827">
              <w:rPr>
                <w:rFonts w:asciiTheme="majorBidi" w:hAnsiTheme="majorBidi" w:cstheme="majorBidi"/>
                <w:sz w:val="16"/>
                <w:szCs w:val="16"/>
                <w:lang w:val="fr-FR"/>
              </w:rPr>
              <w:t>Trois</w:t>
            </w:r>
            <w:r w:rsidR="002D4695" w:rsidRPr="00C14798">
              <w:rPr>
                <w:rFonts w:asciiTheme="majorBidi" w:hAnsiTheme="majorBidi" w:cstheme="majorBidi"/>
                <w:sz w:val="16"/>
                <w:szCs w:val="16"/>
                <w:lang w:val="fr-FR"/>
              </w:rPr>
              <w:t xml:space="preserve"> (</w:t>
            </w:r>
            <w:r w:rsidR="00147827">
              <w:rPr>
                <w:rFonts w:asciiTheme="majorBidi" w:hAnsiTheme="majorBidi" w:cstheme="majorBidi"/>
                <w:sz w:val="16"/>
                <w:szCs w:val="16"/>
                <w:lang w:val="fr-FR"/>
              </w:rPr>
              <w:t>3</w:t>
            </w:r>
            <w:r w:rsidR="002D4695" w:rsidRPr="00C14798">
              <w:rPr>
                <w:rFonts w:asciiTheme="majorBidi" w:hAnsiTheme="majorBidi" w:cstheme="majorBidi"/>
                <w:sz w:val="16"/>
                <w:szCs w:val="16"/>
                <w:lang w:val="fr-FR"/>
              </w:rPr>
              <w:t xml:space="preserve">) </w:t>
            </w:r>
            <w:r w:rsidR="00994494" w:rsidRPr="00C14798">
              <w:rPr>
                <w:rFonts w:asciiTheme="majorBidi" w:hAnsiTheme="majorBidi" w:cstheme="majorBidi"/>
                <w:sz w:val="16"/>
                <w:szCs w:val="16"/>
                <w:lang w:val="fr-FR"/>
              </w:rPr>
              <w:t>dernières années divisées</w:t>
            </w:r>
            <w:r w:rsidR="00F50EF6" w:rsidRPr="00C14798">
              <w:rPr>
                <w:rFonts w:asciiTheme="majorBidi" w:hAnsiTheme="majorBidi" w:cstheme="majorBidi"/>
                <w:sz w:val="16"/>
                <w:szCs w:val="16"/>
                <w:lang w:val="fr-FR"/>
              </w:rPr>
              <w:t xml:space="preserve"> par </w:t>
            </w:r>
            <w:r w:rsidR="002D4695" w:rsidRPr="00C14798">
              <w:rPr>
                <w:rFonts w:asciiTheme="majorBidi" w:hAnsiTheme="majorBidi" w:cstheme="majorBidi"/>
                <w:sz w:val="16"/>
                <w:szCs w:val="16"/>
                <w:lang w:val="fr-FR"/>
              </w:rPr>
              <w:t>(</w:t>
            </w:r>
            <w:r w:rsidR="00147827">
              <w:rPr>
                <w:rFonts w:asciiTheme="majorBidi" w:hAnsiTheme="majorBidi" w:cstheme="majorBidi"/>
                <w:sz w:val="16"/>
                <w:szCs w:val="16"/>
                <w:lang w:val="fr-FR"/>
              </w:rPr>
              <w:t>3</w:t>
            </w:r>
            <w:r w:rsidRPr="00C14798">
              <w:rPr>
                <w:rFonts w:asciiTheme="majorBidi" w:hAnsiTheme="majorBidi" w:cstheme="majorBidi"/>
                <w:sz w:val="16"/>
                <w:szCs w:val="16"/>
                <w:lang w:val="fr-FR"/>
              </w:rPr>
              <w:t>)</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008EC366" w14:textId="77777777" w:rsidR="00F50EF6" w:rsidRPr="00C14798" w:rsidRDefault="00F50EF6">
            <w:pPr>
              <w:spacing w:before="60" w:after="60"/>
              <w:ind w:left="0" w:firstLine="0"/>
              <w:jc w:val="left"/>
              <w:rPr>
                <w:rFonts w:asciiTheme="majorBidi" w:hAnsiTheme="majorBidi" w:cstheme="majorBidi"/>
                <w:sz w:val="16"/>
                <w:szCs w:val="16"/>
              </w:rPr>
            </w:pPr>
            <w:r w:rsidRPr="00C14798">
              <w:rPr>
                <w:rFonts w:asciiTheme="majorBidi" w:hAnsiTheme="majorBidi" w:cstheme="majorBidi"/>
                <w:sz w:val="16"/>
                <w:szCs w:val="16"/>
              </w:rPr>
              <w:t>Doit satisfaire au critère</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7FEAC85D" w14:textId="77777777" w:rsidR="00F50EF6" w:rsidRPr="00C14798" w:rsidRDefault="00F50EF6">
            <w:pPr>
              <w:spacing w:before="60" w:after="60"/>
              <w:ind w:left="0" w:firstLine="0"/>
              <w:jc w:val="left"/>
              <w:rPr>
                <w:rFonts w:asciiTheme="majorBidi" w:hAnsiTheme="majorBidi" w:cstheme="majorBidi"/>
                <w:sz w:val="16"/>
                <w:szCs w:val="16"/>
              </w:rPr>
            </w:pPr>
            <w:r w:rsidRPr="00C14798">
              <w:rPr>
                <w:rFonts w:asciiTheme="majorBidi" w:hAnsiTheme="majorBidi" w:cstheme="majorBidi"/>
                <w:sz w:val="16"/>
                <w:szCs w:val="16"/>
              </w:rPr>
              <w:t>Doivent satisfaire au critère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D158D59" w14:textId="1042C554" w:rsidR="00F50EF6" w:rsidRPr="00C14798" w:rsidRDefault="00F50EF6">
            <w:pPr>
              <w:spacing w:before="60" w:after="60"/>
              <w:ind w:left="0" w:firstLine="0"/>
              <w:jc w:val="left"/>
              <w:rPr>
                <w:rFonts w:asciiTheme="majorBidi" w:hAnsiTheme="majorBidi" w:cstheme="majorBidi"/>
                <w:sz w:val="16"/>
                <w:szCs w:val="16"/>
              </w:rPr>
            </w:pPr>
            <w:r w:rsidRPr="00C14798">
              <w:rPr>
                <w:rFonts w:asciiTheme="majorBidi" w:hAnsiTheme="majorBidi" w:cstheme="majorBidi"/>
                <w:sz w:val="16"/>
                <w:szCs w:val="16"/>
              </w:rPr>
              <w:t>Doit satisfaire à __ [</w:t>
            </w:r>
            <w:r w:rsidRPr="00C14798">
              <w:rPr>
                <w:rFonts w:asciiTheme="majorBidi" w:hAnsiTheme="majorBidi" w:cstheme="majorBidi"/>
                <w:i/>
                <w:sz w:val="16"/>
                <w:szCs w:val="16"/>
              </w:rPr>
              <w:t>insérer pourcentage</w:t>
            </w:r>
            <w:r w:rsidRPr="00C14798">
              <w:rPr>
                <w:rFonts w:asciiTheme="majorBidi" w:hAnsiTheme="majorBidi" w:cstheme="majorBidi"/>
                <w:sz w:val="16"/>
                <w:szCs w:val="16"/>
              </w:rPr>
              <w:t>] __ pour cent (___%)] de la spécification</w:t>
            </w:r>
          </w:p>
        </w:tc>
        <w:tc>
          <w:tcPr>
            <w:tcW w:w="1393" w:type="dxa"/>
            <w:tcBorders>
              <w:top w:val="single" w:sz="4" w:space="0" w:color="auto"/>
              <w:left w:val="single" w:sz="4" w:space="0" w:color="auto"/>
              <w:bottom w:val="single" w:sz="4" w:space="0" w:color="auto"/>
              <w:right w:val="single" w:sz="4" w:space="0" w:color="auto"/>
            </w:tcBorders>
            <w:shd w:val="clear" w:color="auto" w:fill="auto"/>
          </w:tcPr>
          <w:p w14:paraId="6EDC748F" w14:textId="4185D7E2" w:rsidR="00F50EF6" w:rsidRPr="00C14798" w:rsidRDefault="00F50EF6">
            <w:pPr>
              <w:spacing w:before="60" w:after="60"/>
              <w:ind w:left="0" w:firstLine="0"/>
              <w:jc w:val="left"/>
              <w:rPr>
                <w:rFonts w:asciiTheme="majorBidi" w:hAnsiTheme="majorBidi" w:cstheme="majorBidi"/>
                <w:sz w:val="16"/>
                <w:szCs w:val="16"/>
              </w:rPr>
            </w:pPr>
            <w:r w:rsidRPr="00C14798">
              <w:rPr>
                <w:rFonts w:asciiTheme="majorBidi" w:hAnsiTheme="majorBidi" w:cstheme="majorBidi"/>
                <w:sz w:val="16"/>
                <w:szCs w:val="16"/>
              </w:rPr>
              <w:t>Doit satisfaire à __ [</w:t>
            </w:r>
            <w:r w:rsidRPr="00C14798">
              <w:rPr>
                <w:rFonts w:asciiTheme="majorBidi" w:hAnsiTheme="majorBidi" w:cstheme="majorBidi"/>
                <w:i/>
                <w:sz w:val="16"/>
                <w:szCs w:val="16"/>
              </w:rPr>
              <w:t>insérer pourcentage</w:t>
            </w:r>
            <w:r w:rsidRPr="00C14798">
              <w:rPr>
                <w:rFonts w:asciiTheme="majorBidi" w:hAnsiTheme="majorBidi" w:cstheme="majorBidi"/>
                <w:sz w:val="16"/>
                <w:szCs w:val="16"/>
              </w:rPr>
              <w:t>] __ pour cent (___%)] de la spécification</w:t>
            </w:r>
          </w:p>
        </w:tc>
        <w:tc>
          <w:tcPr>
            <w:tcW w:w="1673" w:type="dxa"/>
            <w:tcBorders>
              <w:top w:val="single" w:sz="4" w:space="0" w:color="auto"/>
              <w:left w:val="single" w:sz="4" w:space="0" w:color="auto"/>
              <w:bottom w:val="single" w:sz="4" w:space="0" w:color="auto"/>
            </w:tcBorders>
            <w:shd w:val="clear" w:color="auto" w:fill="auto"/>
          </w:tcPr>
          <w:p w14:paraId="1A707B14" w14:textId="3173C746" w:rsidR="00F50EF6" w:rsidRPr="00C14798" w:rsidRDefault="00F50EF6">
            <w:pPr>
              <w:spacing w:before="60" w:after="60"/>
              <w:ind w:left="0" w:firstLine="0"/>
              <w:jc w:val="left"/>
              <w:rPr>
                <w:rFonts w:asciiTheme="majorBidi" w:hAnsiTheme="majorBidi" w:cstheme="majorBidi"/>
                <w:sz w:val="16"/>
                <w:szCs w:val="16"/>
              </w:rPr>
            </w:pPr>
            <w:r w:rsidRPr="00C14798">
              <w:rPr>
                <w:rFonts w:asciiTheme="majorBidi" w:hAnsiTheme="majorBidi" w:cstheme="majorBidi"/>
                <w:sz w:val="16"/>
                <w:szCs w:val="16"/>
              </w:rPr>
              <w:t xml:space="preserve">Formulaire </w:t>
            </w:r>
            <w:r w:rsidR="00576320" w:rsidRPr="00C14798">
              <w:rPr>
                <w:rFonts w:asciiTheme="majorBidi" w:hAnsiTheme="majorBidi" w:cstheme="majorBidi"/>
                <w:sz w:val="16"/>
                <w:szCs w:val="16"/>
              </w:rPr>
              <w:br/>
            </w:r>
            <w:r w:rsidRPr="00C14798">
              <w:rPr>
                <w:rFonts w:asciiTheme="majorBidi" w:hAnsiTheme="majorBidi" w:cstheme="majorBidi"/>
                <w:sz w:val="16"/>
                <w:szCs w:val="16"/>
              </w:rPr>
              <w:t>FIN – 3.2</w:t>
            </w:r>
          </w:p>
        </w:tc>
      </w:tr>
      <w:tr w:rsidR="00EE7FD9" w:rsidRPr="00C14798" w14:paraId="419003E4" w14:textId="77777777" w:rsidTr="000B19C9">
        <w:trPr>
          <w:trHeight w:val="391"/>
        </w:trPr>
        <w:tc>
          <w:tcPr>
            <w:tcW w:w="13220" w:type="dxa"/>
            <w:gridSpan w:val="8"/>
            <w:shd w:val="clear" w:color="auto" w:fill="auto"/>
            <w:vAlign w:val="center"/>
          </w:tcPr>
          <w:p w14:paraId="2E48FFF4" w14:textId="758398B7" w:rsidR="00EE7FD9" w:rsidRPr="00C14798" w:rsidRDefault="00EE7FD9" w:rsidP="00FC7AA0">
            <w:pPr>
              <w:pStyle w:val="S3-Heading2"/>
              <w:pageBreakBefore/>
              <w:spacing w:after="0"/>
              <w:ind w:left="1077" w:right="289"/>
              <w:jc w:val="left"/>
              <w:rPr>
                <w:sz w:val="16"/>
                <w:szCs w:val="16"/>
                <w:lang w:val="fr-FR"/>
              </w:rPr>
            </w:pPr>
            <w:bookmarkStart w:id="443" w:name="_Toc487641743"/>
            <w:r w:rsidRPr="00C14798">
              <w:rPr>
                <w:sz w:val="16"/>
                <w:szCs w:val="16"/>
                <w:lang w:val="fr-FR"/>
              </w:rPr>
              <w:lastRenderedPageBreak/>
              <w:t>4. Expérience</w:t>
            </w:r>
            <w:bookmarkEnd w:id="443"/>
          </w:p>
        </w:tc>
      </w:tr>
      <w:tr w:rsidR="000464F4" w:rsidRPr="00C14798" w14:paraId="692B6795" w14:textId="77777777" w:rsidTr="000B19C9">
        <w:tblPrEx>
          <w:tblBorders>
            <w:insideH w:val="none" w:sz="0" w:space="0" w:color="auto"/>
            <w:insideV w:val="none" w:sz="0" w:space="0" w:color="auto"/>
          </w:tblBorders>
          <w:tblLook w:val="0000" w:firstRow="0" w:lastRow="0" w:firstColumn="0" w:lastColumn="0" w:noHBand="0" w:noVBand="0"/>
        </w:tblPrEx>
        <w:trPr>
          <w:cantSplit/>
        </w:trPr>
        <w:tc>
          <w:tcPr>
            <w:tcW w:w="1458" w:type="dxa"/>
            <w:tcBorders>
              <w:top w:val="single" w:sz="4" w:space="0" w:color="auto"/>
              <w:bottom w:val="single" w:sz="4" w:space="0" w:color="auto"/>
              <w:right w:val="single" w:sz="4" w:space="0" w:color="auto"/>
            </w:tcBorders>
            <w:shd w:val="clear" w:color="auto" w:fill="auto"/>
          </w:tcPr>
          <w:p w14:paraId="17BB2CAF" w14:textId="168B929A" w:rsidR="000464F4" w:rsidRPr="00C14798" w:rsidRDefault="008F2A36" w:rsidP="00FC7AA0">
            <w:pPr>
              <w:pStyle w:val="Titre2"/>
              <w:tabs>
                <w:tab w:val="left" w:pos="90"/>
              </w:tabs>
              <w:spacing w:before="60" w:after="60"/>
              <w:ind w:left="0" w:firstLine="0"/>
              <w:jc w:val="left"/>
              <w:rPr>
                <w:rFonts w:asciiTheme="majorBidi" w:hAnsiTheme="majorBidi" w:cstheme="majorBidi"/>
                <w:b w:val="0"/>
                <w:sz w:val="16"/>
                <w:szCs w:val="16"/>
              </w:rPr>
            </w:pPr>
            <w:r w:rsidRPr="00C14798">
              <w:rPr>
                <w:rFonts w:asciiTheme="majorBidi" w:hAnsiTheme="majorBidi" w:cstheme="majorBidi"/>
                <w:b w:val="0"/>
                <w:sz w:val="16"/>
                <w:szCs w:val="16"/>
              </w:rPr>
              <w:t>4.1 (a)</w:t>
            </w:r>
          </w:p>
        </w:tc>
        <w:tc>
          <w:tcPr>
            <w:tcW w:w="1710" w:type="dxa"/>
            <w:tcBorders>
              <w:top w:val="single" w:sz="4" w:space="0" w:color="auto"/>
              <w:bottom w:val="single" w:sz="4" w:space="0" w:color="auto"/>
              <w:right w:val="single" w:sz="4" w:space="0" w:color="auto"/>
            </w:tcBorders>
            <w:shd w:val="clear" w:color="auto" w:fill="auto"/>
          </w:tcPr>
          <w:p w14:paraId="368D173D" w14:textId="51386D1A" w:rsidR="000464F4" w:rsidRPr="00C14798" w:rsidRDefault="000464F4" w:rsidP="001534F6">
            <w:pPr>
              <w:pStyle w:val="Titre2"/>
              <w:tabs>
                <w:tab w:val="left" w:pos="90"/>
              </w:tabs>
              <w:spacing w:before="60" w:after="60"/>
              <w:ind w:left="0" w:firstLine="0"/>
              <w:jc w:val="left"/>
              <w:rPr>
                <w:rFonts w:asciiTheme="majorBidi" w:hAnsiTheme="majorBidi" w:cstheme="majorBidi"/>
                <w:b w:val="0"/>
                <w:sz w:val="16"/>
                <w:szCs w:val="16"/>
              </w:rPr>
            </w:pPr>
            <w:r w:rsidRPr="00C14798">
              <w:rPr>
                <w:rFonts w:asciiTheme="majorBidi" w:hAnsiTheme="majorBidi" w:cstheme="majorBidi"/>
                <w:sz w:val="16"/>
                <w:szCs w:val="16"/>
              </w:rPr>
              <w:t xml:space="preserve">Expérience générale en </w:t>
            </w:r>
            <w:r w:rsidR="001534F6" w:rsidRPr="00C14798">
              <w:rPr>
                <w:rFonts w:asciiTheme="majorBidi" w:hAnsiTheme="majorBidi" w:cstheme="majorBidi"/>
                <w:sz w:val="16"/>
                <w:szCs w:val="16"/>
              </w:rPr>
              <w:t>aménagement hydro agricole</w:t>
            </w:r>
            <w:r w:rsidR="000E5703">
              <w:rPr>
                <w:rFonts w:asciiTheme="majorBidi" w:hAnsiTheme="majorBidi" w:cstheme="majorBidi"/>
                <w:sz w:val="16"/>
                <w:szCs w:val="16"/>
              </w:rPr>
              <w:t xml:space="preserve">, </w:t>
            </w:r>
            <w:r w:rsidR="00AB550E">
              <w:rPr>
                <w:rFonts w:asciiTheme="majorBidi" w:hAnsiTheme="majorBidi" w:cstheme="majorBidi"/>
                <w:sz w:val="16"/>
                <w:szCs w:val="16"/>
              </w:rPr>
              <w:t>pistes, routes, ponts, barrages, seuils d’</w:t>
            </w:r>
            <w:proofErr w:type="spellStart"/>
            <w:r w:rsidR="00AB550E">
              <w:rPr>
                <w:rFonts w:asciiTheme="majorBidi" w:hAnsiTheme="majorBidi" w:cstheme="majorBidi"/>
                <w:sz w:val="16"/>
                <w:szCs w:val="16"/>
              </w:rPr>
              <w:t>epandage</w:t>
            </w:r>
            <w:proofErr w:type="spellEnd"/>
            <w:r w:rsidR="00AB550E">
              <w:rPr>
                <w:rFonts w:asciiTheme="majorBidi" w:hAnsiTheme="majorBidi" w:cstheme="majorBidi"/>
                <w:sz w:val="16"/>
                <w:szCs w:val="16"/>
              </w:rPr>
              <w:t>.</w:t>
            </w:r>
          </w:p>
        </w:tc>
        <w:tc>
          <w:tcPr>
            <w:tcW w:w="2666" w:type="dxa"/>
            <w:tcBorders>
              <w:top w:val="single" w:sz="4" w:space="0" w:color="auto"/>
              <w:left w:val="single" w:sz="4" w:space="0" w:color="auto"/>
              <w:bottom w:val="single" w:sz="4" w:space="0" w:color="auto"/>
              <w:right w:val="single" w:sz="4" w:space="0" w:color="auto"/>
            </w:tcBorders>
            <w:shd w:val="clear" w:color="auto" w:fill="auto"/>
          </w:tcPr>
          <w:p w14:paraId="5DC13E19" w14:textId="518FA6A8" w:rsidR="000464F4" w:rsidRPr="00C14798" w:rsidRDefault="002B0A7C" w:rsidP="00D7539E">
            <w:pPr>
              <w:pStyle w:val="Retraitcorpsdetexte"/>
              <w:spacing w:before="60" w:after="60"/>
              <w:ind w:left="0" w:firstLine="0"/>
              <w:rPr>
                <w:rFonts w:asciiTheme="majorBidi" w:hAnsiTheme="majorBidi" w:cstheme="majorBidi"/>
                <w:sz w:val="16"/>
                <w:szCs w:val="16"/>
                <w:lang w:val="fr-FR"/>
              </w:rPr>
            </w:pPr>
            <w:r>
              <w:rPr>
                <w:rFonts w:asciiTheme="majorBidi" w:hAnsiTheme="majorBidi" w:cstheme="majorBidi"/>
                <w:sz w:val="16"/>
                <w:szCs w:val="16"/>
                <w:lang w:val="fr-FR"/>
              </w:rPr>
              <w:t>Réalisation</w:t>
            </w:r>
            <w:r w:rsidR="00280941" w:rsidRPr="00C14798">
              <w:rPr>
                <w:rFonts w:asciiTheme="majorBidi" w:hAnsiTheme="majorBidi" w:cstheme="majorBidi"/>
                <w:sz w:val="16"/>
                <w:szCs w:val="16"/>
              </w:rPr>
              <w:t xml:space="preserve"> </w:t>
            </w:r>
            <w:r w:rsidR="000464F4" w:rsidRPr="00C14798">
              <w:rPr>
                <w:rFonts w:asciiTheme="majorBidi" w:hAnsiTheme="majorBidi" w:cstheme="majorBidi"/>
                <w:sz w:val="16"/>
                <w:szCs w:val="16"/>
                <w:lang w:val="fr-FR"/>
              </w:rPr>
              <w:t xml:space="preserve">à </w:t>
            </w:r>
            <w:r w:rsidR="000C05B5">
              <w:rPr>
                <w:rFonts w:asciiTheme="majorBidi" w:hAnsiTheme="majorBidi" w:cstheme="majorBidi"/>
                <w:sz w:val="16"/>
                <w:szCs w:val="16"/>
                <w:lang w:val="fr-FR"/>
              </w:rPr>
              <w:t xml:space="preserve">titre d’entrepreneur principal ou </w:t>
            </w:r>
            <w:r w:rsidR="000464F4" w:rsidRPr="00C14798">
              <w:rPr>
                <w:rFonts w:asciiTheme="majorBidi" w:hAnsiTheme="majorBidi" w:cstheme="majorBidi"/>
                <w:sz w:val="16"/>
                <w:szCs w:val="16"/>
                <w:lang w:val="fr-FR"/>
              </w:rPr>
              <w:t>de membre de groupement</w:t>
            </w:r>
            <w:r w:rsidR="00D7539E">
              <w:rPr>
                <w:rFonts w:asciiTheme="majorBidi" w:hAnsiTheme="majorBidi" w:cstheme="majorBidi"/>
                <w:sz w:val="16"/>
                <w:szCs w:val="16"/>
                <w:lang w:val="fr-FR"/>
              </w:rPr>
              <w:t xml:space="preserve"> </w:t>
            </w:r>
            <w:r w:rsidRPr="000C05B5">
              <w:rPr>
                <w:rFonts w:asciiTheme="majorBidi" w:hAnsiTheme="majorBidi" w:cstheme="majorBidi"/>
                <w:sz w:val="16"/>
                <w:szCs w:val="16"/>
                <w:lang w:val="fr-FR"/>
              </w:rPr>
              <w:t xml:space="preserve">d’au moins trois (3) marchés des travaux d’aménagement hydro-agricole, route, barrage, seuils ou pistes et ouvrages associés </w:t>
            </w:r>
            <w:r w:rsidR="00F0150C" w:rsidRPr="000C05B5">
              <w:rPr>
                <w:rFonts w:asciiTheme="majorBidi" w:hAnsiTheme="majorBidi" w:cstheme="majorBidi"/>
                <w:sz w:val="16"/>
                <w:szCs w:val="16"/>
                <w:lang w:val="fr-FR"/>
              </w:rPr>
              <w:t xml:space="preserve">au cours des </w:t>
            </w:r>
            <w:r w:rsidR="00FC7721" w:rsidRPr="000C05B5">
              <w:rPr>
                <w:rFonts w:asciiTheme="majorBidi" w:hAnsiTheme="majorBidi" w:cstheme="majorBidi"/>
                <w:b/>
                <w:sz w:val="16"/>
                <w:szCs w:val="16"/>
                <w:lang w:val="fr-FR"/>
              </w:rPr>
              <w:t>Cinq</w:t>
            </w:r>
            <w:r w:rsidR="00F0150C" w:rsidRPr="000C05B5">
              <w:rPr>
                <w:rFonts w:asciiTheme="majorBidi" w:hAnsiTheme="majorBidi" w:cstheme="majorBidi"/>
                <w:b/>
                <w:sz w:val="16"/>
                <w:szCs w:val="16"/>
                <w:lang w:val="fr-FR"/>
              </w:rPr>
              <w:t xml:space="preserve"> (</w:t>
            </w:r>
            <w:r w:rsidR="00FC7721" w:rsidRPr="000C05B5">
              <w:rPr>
                <w:rFonts w:asciiTheme="majorBidi" w:hAnsiTheme="majorBidi" w:cstheme="majorBidi"/>
                <w:b/>
                <w:sz w:val="16"/>
                <w:szCs w:val="16"/>
                <w:lang w:val="fr-FR"/>
              </w:rPr>
              <w:t>5</w:t>
            </w:r>
            <w:r w:rsidR="00F0150C" w:rsidRPr="000C05B5">
              <w:rPr>
                <w:rFonts w:asciiTheme="majorBidi" w:hAnsiTheme="majorBidi" w:cstheme="majorBidi"/>
                <w:b/>
                <w:sz w:val="16"/>
                <w:szCs w:val="16"/>
                <w:lang w:val="fr-FR"/>
              </w:rPr>
              <w:t>)</w:t>
            </w:r>
            <w:r w:rsidR="000464F4" w:rsidRPr="000C05B5">
              <w:rPr>
                <w:rFonts w:asciiTheme="majorBidi" w:hAnsiTheme="majorBidi" w:cstheme="majorBidi"/>
                <w:b/>
                <w:sz w:val="16"/>
                <w:szCs w:val="16"/>
                <w:lang w:val="fr-FR"/>
              </w:rPr>
              <w:t xml:space="preserve"> dernières années à partir du 1</w:t>
            </w:r>
            <w:r w:rsidR="000464F4" w:rsidRPr="000C05B5">
              <w:rPr>
                <w:rFonts w:asciiTheme="majorBidi" w:hAnsiTheme="majorBidi" w:cstheme="majorBidi"/>
                <w:b/>
                <w:sz w:val="16"/>
                <w:szCs w:val="16"/>
                <w:vertAlign w:val="superscript"/>
                <w:lang w:val="fr-FR"/>
              </w:rPr>
              <w:t>er</w:t>
            </w:r>
            <w:r w:rsidR="000464F4" w:rsidRPr="000C05B5">
              <w:rPr>
                <w:rFonts w:asciiTheme="majorBidi" w:hAnsiTheme="majorBidi" w:cstheme="majorBidi"/>
                <w:b/>
                <w:sz w:val="16"/>
                <w:szCs w:val="16"/>
                <w:lang w:val="fr-FR"/>
              </w:rPr>
              <w:t xml:space="preserve"> janvier de l’année </w:t>
            </w:r>
            <w:r w:rsidR="00F0150C" w:rsidRPr="000C05B5">
              <w:rPr>
                <w:rFonts w:asciiTheme="majorBidi" w:hAnsiTheme="majorBidi" w:cstheme="majorBidi"/>
                <w:b/>
                <w:sz w:val="16"/>
                <w:szCs w:val="16"/>
                <w:lang w:val="fr-FR"/>
              </w:rPr>
              <w:t>201</w:t>
            </w:r>
            <w:r w:rsidR="00FC7721" w:rsidRPr="000C05B5">
              <w:rPr>
                <w:rFonts w:asciiTheme="majorBidi" w:hAnsiTheme="majorBidi" w:cstheme="majorBidi"/>
                <w:b/>
                <w:sz w:val="16"/>
                <w:szCs w:val="16"/>
                <w:lang w:val="fr-FR"/>
              </w:rPr>
              <w:t>6</w:t>
            </w:r>
            <w:r w:rsidRPr="000C05B5">
              <w:rPr>
                <w:rFonts w:asciiTheme="majorBidi" w:hAnsiTheme="majorBidi" w:cstheme="majorBidi"/>
                <w:b/>
                <w:sz w:val="16"/>
                <w:szCs w:val="16"/>
                <w:lang w:val="fr-FR"/>
              </w:rPr>
              <w:t>.</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7399EF1F" w14:textId="54BE803C" w:rsidR="000464F4" w:rsidRPr="00C14798" w:rsidRDefault="000464F4">
            <w:pPr>
              <w:spacing w:before="60" w:after="60"/>
              <w:ind w:left="0" w:firstLine="0"/>
              <w:jc w:val="left"/>
              <w:rPr>
                <w:rFonts w:asciiTheme="majorBidi" w:hAnsiTheme="majorBidi" w:cstheme="majorBidi"/>
                <w:sz w:val="16"/>
                <w:szCs w:val="16"/>
              </w:rPr>
            </w:pPr>
            <w:r w:rsidRPr="00C14798">
              <w:rPr>
                <w:rFonts w:asciiTheme="majorBidi" w:hAnsiTheme="majorBidi" w:cstheme="majorBidi"/>
                <w:sz w:val="16"/>
                <w:szCs w:val="16"/>
              </w:rPr>
              <w:t>Doit satisfaire au critère</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4A6EF24E" w14:textId="2B4A6114" w:rsidR="000464F4" w:rsidRPr="00C14798" w:rsidRDefault="000464F4">
            <w:pPr>
              <w:spacing w:before="60" w:after="60"/>
              <w:ind w:left="0" w:firstLine="0"/>
              <w:jc w:val="left"/>
              <w:rPr>
                <w:rFonts w:asciiTheme="majorBidi" w:hAnsiTheme="majorBidi" w:cstheme="majorBidi"/>
                <w:sz w:val="16"/>
                <w:szCs w:val="16"/>
              </w:rPr>
            </w:pPr>
            <w:r w:rsidRPr="00C14798">
              <w:rPr>
                <w:rFonts w:asciiTheme="majorBidi" w:hAnsiTheme="majorBidi" w:cstheme="majorBidi"/>
                <w:sz w:val="16"/>
                <w:szCs w:val="16"/>
              </w:rPr>
              <w:t>Sans objet</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D348B8E" w14:textId="5F7B0997" w:rsidR="000464F4" w:rsidRPr="00C14798" w:rsidRDefault="000464F4">
            <w:pPr>
              <w:spacing w:before="60" w:after="60"/>
              <w:ind w:left="0" w:firstLine="0"/>
              <w:jc w:val="left"/>
              <w:rPr>
                <w:rFonts w:asciiTheme="majorBidi" w:hAnsiTheme="majorBidi" w:cstheme="majorBidi"/>
                <w:sz w:val="16"/>
                <w:szCs w:val="16"/>
              </w:rPr>
            </w:pPr>
            <w:r w:rsidRPr="00C14798">
              <w:rPr>
                <w:rFonts w:asciiTheme="majorBidi" w:hAnsiTheme="majorBidi" w:cstheme="majorBidi"/>
                <w:sz w:val="16"/>
                <w:szCs w:val="16"/>
              </w:rPr>
              <w:t>Doit satisfaire au critère</w:t>
            </w:r>
          </w:p>
        </w:tc>
        <w:tc>
          <w:tcPr>
            <w:tcW w:w="1393" w:type="dxa"/>
            <w:tcBorders>
              <w:top w:val="single" w:sz="4" w:space="0" w:color="auto"/>
              <w:left w:val="single" w:sz="4" w:space="0" w:color="auto"/>
              <w:bottom w:val="single" w:sz="4" w:space="0" w:color="auto"/>
              <w:right w:val="single" w:sz="4" w:space="0" w:color="auto"/>
            </w:tcBorders>
            <w:shd w:val="clear" w:color="auto" w:fill="auto"/>
          </w:tcPr>
          <w:p w14:paraId="5862A3A6" w14:textId="0E2BD115" w:rsidR="000464F4" w:rsidRPr="00C14798" w:rsidRDefault="000464F4">
            <w:pPr>
              <w:spacing w:before="60" w:after="60"/>
              <w:ind w:left="0" w:firstLine="0"/>
              <w:jc w:val="left"/>
              <w:rPr>
                <w:rFonts w:asciiTheme="majorBidi" w:hAnsiTheme="majorBidi" w:cstheme="majorBidi"/>
                <w:sz w:val="16"/>
                <w:szCs w:val="16"/>
              </w:rPr>
            </w:pPr>
            <w:r w:rsidRPr="00C14798">
              <w:rPr>
                <w:rFonts w:asciiTheme="majorBidi" w:hAnsiTheme="majorBidi" w:cstheme="majorBidi"/>
                <w:sz w:val="16"/>
                <w:szCs w:val="16"/>
              </w:rPr>
              <w:t>Sans objet</w:t>
            </w:r>
          </w:p>
        </w:tc>
        <w:tc>
          <w:tcPr>
            <w:tcW w:w="1673" w:type="dxa"/>
            <w:tcBorders>
              <w:top w:val="single" w:sz="4" w:space="0" w:color="auto"/>
              <w:left w:val="single" w:sz="4" w:space="0" w:color="auto"/>
              <w:bottom w:val="single" w:sz="4" w:space="0" w:color="auto"/>
            </w:tcBorders>
            <w:shd w:val="clear" w:color="auto" w:fill="auto"/>
          </w:tcPr>
          <w:p w14:paraId="5B2D0526" w14:textId="4200C355" w:rsidR="000464F4" w:rsidRPr="00C14798" w:rsidRDefault="000464F4" w:rsidP="00FF535B">
            <w:pPr>
              <w:spacing w:before="60" w:after="60"/>
              <w:ind w:left="0" w:firstLine="0"/>
              <w:jc w:val="left"/>
              <w:rPr>
                <w:rFonts w:asciiTheme="majorBidi" w:hAnsiTheme="majorBidi" w:cstheme="majorBidi"/>
                <w:sz w:val="16"/>
                <w:szCs w:val="16"/>
              </w:rPr>
            </w:pPr>
            <w:r w:rsidRPr="00C14798">
              <w:rPr>
                <w:rFonts w:asciiTheme="majorBidi" w:hAnsiTheme="majorBidi" w:cstheme="majorBidi"/>
                <w:sz w:val="16"/>
                <w:szCs w:val="16"/>
              </w:rPr>
              <w:t>Formulaire EXP – 4.1</w:t>
            </w:r>
          </w:p>
        </w:tc>
      </w:tr>
      <w:tr w:rsidR="00D45FC8" w:rsidRPr="00C14798" w14:paraId="236ADB58" w14:textId="77777777" w:rsidTr="000B19C9">
        <w:tblPrEx>
          <w:tblBorders>
            <w:insideH w:val="none" w:sz="0" w:space="0" w:color="auto"/>
            <w:insideV w:val="none" w:sz="0" w:space="0" w:color="auto"/>
          </w:tblBorders>
          <w:tblLook w:val="0000" w:firstRow="0" w:lastRow="0" w:firstColumn="0" w:lastColumn="0" w:noHBand="0" w:noVBand="0"/>
        </w:tblPrEx>
        <w:tc>
          <w:tcPr>
            <w:tcW w:w="1458" w:type="dxa"/>
            <w:vMerge w:val="restart"/>
            <w:tcBorders>
              <w:top w:val="single" w:sz="4" w:space="0" w:color="auto"/>
              <w:right w:val="single" w:sz="4" w:space="0" w:color="auto"/>
            </w:tcBorders>
            <w:shd w:val="clear" w:color="auto" w:fill="auto"/>
          </w:tcPr>
          <w:p w14:paraId="64C6E9E9" w14:textId="19F58759" w:rsidR="00D45FC8" w:rsidRPr="00C14798" w:rsidRDefault="00D45FC8" w:rsidP="00FC7AA0">
            <w:pPr>
              <w:pStyle w:val="Titre2"/>
              <w:tabs>
                <w:tab w:val="left" w:pos="90"/>
              </w:tabs>
              <w:spacing w:before="60" w:after="60"/>
              <w:ind w:left="0" w:firstLine="0"/>
              <w:jc w:val="left"/>
              <w:rPr>
                <w:rFonts w:asciiTheme="majorBidi" w:hAnsiTheme="majorBidi" w:cstheme="majorBidi"/>
                <w:b w:val="0"/>
                <w:sz w:val="16"/>
                <w:szCs w:val="16"/>
              </w:rPr>
            </w:pPr>
            <w:r w:rsidRPr="00C14798">
              <w:rPr>
                <w:rFonts w:asciiTheme="majorBidi" w:hAnsiTheme="majorBidi" w:cstheme="majorBidi"/>
                <w:b w:val="0"/>
                <w:sz w:val="16"/>
                <w:szCs w:val="16"/>
              </w:rPr>
              <w:t>4.2 (a)</w:t>
            </w:r>
          </w:p>
        </w:tc>
        <w:tc>
          <w:tcPr>
            <w:tcW w:w="1710" w:type="dxa"/>
            <w:vMerge w:val="restart"/>
            <w:tcBorders>
              <w:top w:val="single" w:sz="4" w:space="0" w:color="auto"/>
              <w:right w:val="single" w:sz="4" w:space="0" w:color="auto"/>
            </w:tcBorders>
            <w:shd w:val="clear" w:color="auto" w:fill="auto"/>
          </w:tcPr>
          <w:p w14:paraId="4131A4BB" w14:textId="5614646E" w:rsidR="00D45FC8" w:rsidRPr="000C05B5" w:rsidRDefault="00D45FC8" w:rsidP="00280941">
            <w:pPr>
              <w:pStyle w:val="Titre2"/>
              <w:tabs>
                <w:tab w:val="left" w:pos="90"/>
              </w:tabs>
              <w:spacing w:before="60" w:after="60"/>
              <w:ind w:left="0" w:firstLine="0"/>
              <w:jc w:val="left"/>
              <w:rPr>
                <w:rFonts w:asciiTheme="majorBidi" w:hAnsiTheme="majorBidi" w:cstheme="majorBidi"/>
                <w:sz w:val="16"/>
                <w:szCs w:val="16"/>
              </w:rPr>
            </w:pPr>
            <w:r w:rsidRPr="000C05B5">
              <w:rPr>
                <w:rFonts w:asciiTheme="majorBidi" w:hAnsiTheme="majorBidi" w:cstheme="majorBidi"/>
                <w:sz w:val="16"/>
                <w:szCs w:val="16"/>
              </w:rPr>
              <w:t xml:space="preserve">Expérience spécifique </w:t>
            </w:r>
            <w:r w:rsidR="006D6DB1" w:rsidRPr="000C05B5">
              <w:rPr>
                <w:rFonts w:asciiTheme="majorBidi" w:hAnsiTheme="majorBidi" w:cstheme="majorBidi"/>
                <w:sz w:val="16"/>
                <w:szCs w:val="16"/>
              </w:rPr>
              <w:t xml:space="preserve">en </w:t>
            </w:r>
            <w:r w:rsidR="00AB550E" w:rsidRPr="000C05B5">
              <w:rPr>
                <w:rFonts w:asciiTheme="majorBidi" w:hAnsiTheme="majorBidi" w:cstheme="majorBidi"/>
                <w:sz w:val="16"/>
                <w:szCs w:val="16"/>
              </w:rPr>
              <w:t>aménagement hydro agricole, pistes, routes, ponts, barrages, seuils d’</w:t>
            </w:r>
            <w:proofErr w:type="spellStart"/>
            <w:r w:rsidR="00AB550E" w:rsidRPr="000C05B5">
              <w:rPr>
                <w:rFonts w:asciiTheme="majorBidi" w:hAnsiTheme="majorBidi" w:cstheme="majorBidi"/>
                <w:sz w:val="16"/>
                <w:szCs w:val="16"/>
              </w:rPr>
              <w:t>epandage</w:t>
            </w:r>
            <w:proofErr w:type="spellEnd"/>
            <w:r w:rsidR="00AB550E" w:rsidRPr="000C05B5">
              <w:rPr>
                <w:rFonts w:asciiTheme="majorBidi" w:hAnsiTheme="majorBidi" w:cstheme="majorBidi"/>
                <w:sz w:val="16"/>
                <w:szCs w:val="16"/>
              </w:rPr>
              <w:t xml:space="preserve"> :</w:t>
            </w:r>
            <w:r w:rsidR="00280941" w:rsidRPr="000C05B5" w:rsidDel="00280941">
              <w:rPr>
                <w:rFonts w:asciiTheme="majorBidi" w:hAnsiTheme="majorBidi" w:cstheme="majorBidi"/>
                <w:sz w:val="16"/>
                <w:szCs w:val="16"/>
              </w:rPr>
              <w:t xml:space="preserve"> </w:t>
            </w:r>
          </w:p>
        </w:tc>
        <w:tc>
          <w:tcPr>
            <w:tcW w:w="2666" w:type="dxa"/>
            <w:tcBorders>
              <w:top w:val="single" w:sz="4" w:space="0" w:color="auto"/>
              <w:left w:val="single" w:sz="4" w:space="0" w:color="auto"/>
              <w:bottom w:val="single" w:sz="4" w:space="0" w:color="auto"/>
              <w:right w:val="single" w:sz="4" w:space="0" w:color="auto"/>
            </w:tcBorders>
            <w:shd w:val="clear" w:color="auto" w:fill="auto"/>
          </w:tcPr>
          <w:p w14:paraId="4D389DDA" w14:textId="3986C15E" w:rsidR="00D20305" w:rsidRPr="000C05B5" w:rsidRDefault="00351E7E" w:rsidP="00E0503E">
            <w:pPr>
              <w:pStyle w:val="Retraitcorpsdetexte"/>
              <w:spacing w:before="60" w:after="60"/>
              <w:ind w:left="144" w:firstLine="0"/>
              <w:jc w:val="left"/>
              <w:rPr>
                <w:rFonts w:asciiTheme="majorBidi" w:hAnsiTheme="majorBidi" w:cstheme="majorBidi"/>
                <w:b/>
                <w:sz w:val="16"/>
                <w:szCs w:val="16"/>
                <w:lang w:val="fr-FR"/>
              </w:rPr>
            </w:pPr>
            <w:r>
              <w:rPr>
                <w:rFonts w:asciiTheme="majorBidi" w:hAnsiTheme="majorBidi" w:cstheme="majorBidi"/>
                <w:sz w:val="16"/>
                <w:szCs w:val="16"/>
                <w:lang w:val="fr-FR"/>
              </w:rPr>
              <w:t>Réalisation à titre d</w:t>
            </w:r>
            <w:r w:rsidRPr="00C14798">
              <w:rPr>
                <w:rFonts w:asciiTheme="majorBidi" w:hAnsiTheme="majorBidi" w:cstheme="majorBidi"/>
                <w:sz w:val="16"/>
                <w:szCs w:val="16"/>
                <w:lang w:val="fr-FR"/>
              </w:rPr>
              <w:t>’</w:t>
            </w:r>
            <w:proofErr w:type="spellStart"/>
            <w:r w:rsidRPr="00C14798">
              <w:rPr>
                <w:rFonts w:asciiTheme="majorBidi" w:hAnsiTheme="majorBidi" w:cstheme="majorBidi"/>
                <w:sz w:val="16"/>
                <w:szCs w:val="16"/>
                <w:lang w:val="fr-FR"/>
              </w:rPr>
              <w:t>entrepreneurprincipal</w:t>
            </w:r>
            <w:proofErr w:type="spellEnd"/>
            <w:r w:rsidR="00D45FC8" w:rsidRPr="00C14798">
              <w:rPr>
                <w:rFonts w:asciiTheme="majorBidi" w:hAnsiTheme="majorBidi" w:cstheme="majorBidi"/>
                <w:sz w:val="16"/>
                <w:szCs w:val="16"/>
                <w:lang w:val="fr-FR"/>
              </w:rPr>
              <w:t>, de membre d’un groupement</w:t>
            </w:r>
            <w:r w:rsidR="00D45FC8" w:rsidRPr="00C14798">
              <w:rPr>
                <w:rStyle w:val="Appelnotedebasdep"/>
                <w:rFonts w:asciiTheme="majorBidi" w:hAnsiTheme="majorBidi" w:cstheme="majorBidi"/>
                <w:sz w:val="16"/>
                <w:szCs w:val="16"/>
                <w:lang w:val="fr-FR"/>
              </w:rPr>
              <w:footnoteReference w:id="10"/>
            </w:r>
            <w:r w:rsidR="00D45FC8" w:rsidRPr="00C14798">
              <w:rPr>
                <w:rFonts w:asciiTheme="majorBidi" w:hAnsiTheme="majorBidi" w:cstheme="majorBidi"/>
                <w:sz w:val="16"/>
                <w:szCs w:val="16"/>
                <w:lang w:val="fr-FR"/>
              </w:rPr>
              <w:t xml:space="preserve">, </w:t>
            </w:r>
            <w:r w:rsidR="00D45FC8" w:rsidRPr="00E0503E">
              <w:rPr>
                <w:rFonts w:asciiTheme="majorBidi" w:hAnsiTheme="majorBidi" w:cstheme="majorBidi"/>
                <w:sz w:val="16"/>
                <w:szCs w:val="16"/>
                <w:lang w:val="fr-FR"/>
              </w:rPr>
              <w:t>d’</w:t>
            </w:r>
            <w:r w:rsidR="00D20305" w:rsidRPr="00E0503E">
              <w:rPr>
                <w:rFonts w:asciiTheme="majorBidi" w:hAnsiTheme="majorBidi" w:cstheme="majorBidi"/>
                <w:sz w:val="16"/>
                <w:szCs w:val="16"/>
                <w:lang w:val="fr-FR"/>
              </w:rPr>
              <w:t xml:space="preserve">au </w:t>
            </w:r>
            <w:r w:rsidR="00774484" w:rsidRPr="00E0503E">
              <w:rPr>
                <w:rFonts w:asciiTheme="majorBidi" w:hAnsiTheme="majorBidi" w:cstheme="majorBidi"/>
                <w:sz w:val="16"/>
                <w:szCs w:val="16"/>
                <w:lang w:val="fr-FR"/>
              </w:rPr>
              <w:t xml:space="preserve">moins </w:t>
            </w:r>
            <w:r w:rsidRPr="00E0503E">
              <w:rPr>
                <w:rFonts w:asciiTheme="majorBidi" w:hAnsiTheme="majorBidi" w:cstheme="majorBidi"/>
                <w:sz w:val="16"/>
                <w:szCs w:val="16"/>
                <w:lang w:val="fr-FR"/>
              </w:rPr>
              <w:t>Un</w:t>
            </w:r>
            <w:r w:rsidR="00D20305" w:rsidRPr="00E0503E">
              <w:rPr>
                <w:rFonts w:asciiTheme="majorBidi" w:hAnsiTheme="majorBidi" w:cstheme="majorBidi"/>
                <w:sz w:val="16"/>
                <w:szCs w:val="16"/>
                <w:lang w:val="fr-FR"/>
              </w:rPr>
              <w:t xml:space="preserve"> (</w:t>
            </w:r>
            <w:r w:rsidRPr="00E0503E">
              <w:rPr>
                <w:rFonts w:asciiTheme="majorBidi" w:hAnsiTheme="majorBidi" w:cstheme="majorBidi"/>
                <w:sz w:val="16"/>
                <w:szCs w:val="16"/>
                <w:lang w:val="fr-FR"/>
              </w:rPr>
              <w:t>1</w:t>
            </w:r>
            <w:r w:rsidR="00D20305" w:rsidRPr="00E0503E">
              <w:rPr>
                <w:rFonts w:asciiTheme="majorBidi" w:hAnsiTheme="majorBidi" w:cstheme="majorBidi"/>
                <w:sz w:val="16"/>
                <w:szCs w:val="16"/>
                <w:lang w:val="fr-FR"/>
              </w:rPr>
              <w:t xml:space="preserve">) marché </w:t>
            </w:r>
            <w:r w:rsidR="00156547">
              <w:rPr>
                <w:rFonts w:asciiTheme="majorBidi" w:hAnsiTheme="majorBidi" w:cstheme="majorBidi"/>
                <w:sz w:val="16"/>
                <w:szCs w:val="16"/>
                <w:lang w:val="fr-FR"/>
              </w:rPr>
              <w:t>de travaux</w:t>
            </w:r>
            <w:r w:rsidR="00D45FC8" w:rsidRPr="00E0503E">
              <w:rPr>
                <w:rFonts w:asciiTheme="majorBidi" w:hAnsiTheme="majorBidi" w:cstheme="majorBidi"/>
                <w:sz w:val="16"/>
                <w:szCs w:val="16"/>
                <w:lang w:val="fr-FR"/>
              </w:rPr>
              <w:t xml:space="preserve"> </w:t>
            </w:r>
            <w:r w:rsidR="00D20305" w:rsidRPr="00E0503E">
              <w:rPr>
                <w:rFonts w:asciiTheme="majorBidi" w:hAnsiTheme="majorBidi" w:cstheme="majorBidi"/>
                <w:sz w:val="16"/>
                <w:szCs w:val="16"/>
                <w:lang w:val="fr-FR"/>
              </w:rPr>
              <w:t>avec une valeur d’au moins </w:t>
            </w:r>
            <w:r w:rsidR="00D20305" w:rsidRPr="000C05B5">
              <w:rPr>
                <w:rFonts w:asciiTheme="majorBidi" w:hAnsiTheme="majorBidi" w:cstheme="majorBidi"/>
                <w:sz w:val="16"/>
                <w:szCs w:val="16"/>
                <w:lang w:val="fr-FR"/>
              </w:rPr>
              <w:t>:</w:t>
            </w:r>
            <w:r w:rsidR="001538F3" w:rsidRPr="000C05B5">
              <w:rPr>
                <w:rFonts w:asciiTheme="majorBidi" w:hAnsiTheme="majorBidi" w:cstheme="majorBidi"/>
                <w:sz w:val="16"/>
                <w:szCs w:val="16"/>
                <w:lang w:val="fr-FR"/>
              </w:rPr>
              <w:t xml:space="preserve"> </w:t>
            </w:r>
            <w:r w:rsidR="00E02367" w:rsidRPr="000C05B5">
              <w:rPr>
                <w:b/>
                <w:sz w:val="16"/>
                <w:szCs w:val="16"/>
                <w:lang w:val="fr-FR"/>
              </w:rPr>
              <w:t>6</w:t>
            </w:r>
            <w:r w:rsidR="00156547" w:rsidRPr="000C05B5">
              <w:rPr>
                <w:b/>
                <w:sz w:val="16"/>
                <w:szCs w:val="16"/>
                <w:lang w:val="fr-FR"/>
              </w:rPr>
              <w:t xml:space="preserve">00 </w:t>
            </w:r>
            <w:r w:rsidR="00850001" w:rsidRPr="000C05B5">
              <w:rPr>
                <w:b/>
                <w:sz w:val="16"/>
                <w:szCs w:val="16"/>
                <w:lang w:val="fr-FR"/>
              </w:rPr>
              <w:t>000</w:t>
            </w:r>
            <w:r w:rsidR="009D650F" w:rsidRPr="000C05B5">
              <w:rPr>
                <w:b/>
                <w:sz w:val="16"/>
                <w:szCs w:val="16"/>
                <w:lang w:val="fr-FR"/>
              </w:rPr>
              <w:t xml:space="preserve"> 000 </w:t>
            </w:r>
            <w:r w:rsidR="00414FEC" w:rsidRPr="000C05B5">
              <w:rPr>
                <w:rFonts w:asciiTheme="majorBidi" w:hAnsiTheme="majorBidi" w:cstheme="majorBidi"/>
                <w:b/>
                <w:sz w:val="16"/>
                <w:szCs w:val="16"/>
                <w:lang w:val="fr-FR"/>
              </w:rPr>
              <w:t>FCFA</w:t>
            </w:r>
            <w:r w:rsidR="00E0503E" w:rsidRPr="000C05B5">
              <w:rPr>
                <w:rFonts w:asciiTheme="majorBidi" w:hAnsiTheme="majorBidi" w:cstheme="majorBidi"/>
                <w:sz w:val="16"/>
                <w:szCs w:val="16"/>
                <w:lang w:val="fr-FR"/>
              </w:rPr>
              <w:t xml:space="preserve"> ou le montant équivalent en monnaie librement convertible, et qui est exécuté de manière satisfaisante et terminé, pour l’essentiel. </w:t>
            </w:r>
          </w:p>
          <w:p w14:paraId="3A020E19" w14:textId="2F77E205" w:rsidR="00D45FC8" w:rsidRPr="00E0503E" w:rsidRDefault="00A065FA" w:rsidP="00E0503E">
            <w:pPr>
              <w:pStyle w:val="Retraitcorpsdetexte"/>
              <w:spacing w:before="60" w:after="60"/>
              <w:ind w:left="144" w:firstLine="0"/>
              <w:jc w:val="left"/>
              <w:rPr>
                <w:rFonts w:asciiTheme="majorBidi" w:hAnsiTheme="majorBidi" w:cstheme="majorBidi"/>
                <w:color w:val="FF0000"/>
                <w:sz w:val="16"/>
                <w:szCs w:val="16"/>
                <w:lang w:val="fr-FR"/>
              </w:rPr>
            </w:pPr>
            <w:r w:rsidRPr="000C05B5">
              <w:rPr>
                <w:rFonts w:asciiTheme="majorBidi" w:hAnsiTheme="majorBidi" w:cstheme="majorBidi"/>
                <w:sz w:val="16"/>
                <w:szCs w:val="16"/>
                <w:lang w:val="fr-FR"/>
              </w:rPr>
              <w:t>Stipulé</w:t>
            </w:r>
            <w:r w:rsidR="00D45FC8" w:rsidRPr="000C05B5">
              <w:rPr>
                <w:rFonts w:asciiTheme="majorBidi" w:hAnsiTheme="majorBidi" w:cstheme="majorBidi"/>
                <w:sz w:val="16"/>
                <w:szCs w:val="16"/>
                <w:lang w:val="fr-FR"/>
              </w:rPr>
              <w:t xml:space="preserve"> ci-après, de manière satisfaisante et achevés pour l’essentiel</w:t>
            </w:r>
            <w:r w:rsidR="00D45FC8" w:rsidRPr="000C05B5">
              <w:rPr>
                <w:rFonts w:asciiTheme="majorBidi" w:hAnsiTheme="majorBidi" w:cstheme="majorBidi"/>
                <w:sz w:val="16"/>
                <w:szCs w:val="16"/>
                <w:vertAlign w:val="superscript"/>
                <w:lang w:val="fr-FR"/>
              </w:rPr>
              <w:footnoteReference w:id="11"/>
            </w:r>
            <w:r w:rsidR="00D45FC8" w:rsidRPr="000C05B5">
              <w:rPr>
                <w:rFonts w:asciiTheme="majorBidi" w:hAnsiTheme="majorBidi" w:cstheme="majorBidi"/>
                <w:sz w:val="16"/>
                <w:szCs w:val="16"/>
                <w:lang w:val="fr-FR"/>
              </w:rPr>
              <w:t xml:space="preserve"> exécutés au cours </w:t>
            </w:r>
            <w:r w:rsidRPr="000C05B5">
              <w:rPr>
                <w:rFonts w:asciiTheme="majorBidi" w:hAnsiTheme="majorBidi" w:cstheme="majorBidi"/>
                <w:sz w:val="16"/>
                <w:szCs w:val="16"/>
                <w:lang w:val="fr-FR"/>
              </w:rPr>
              <w:t xml:space="preserve">des </w:t>
            </w:r>
            <w:r w:rsidR="00E0503E" w:rsidRPr="000C05B5">
              <w:rPr>
                <w:rFonts w:asciiTheme="majorBidi" w:hAnsiTheme="majorBidi" w:cstheme="majorBidi"/>
                <w:sz w:val="16"/>
                <w:szCs w:val="16"/>
                <w:lang w:val="fr-FR"/>
              </w:rPr>
              <w:t>Cinq</w:t>
            </w:r>
            <w:r w:rsidR="00D45FC8" w:rsidRPr="000C05B5">
              <w:rPr>
                <w:rFonts w:asciiTheme="majorBidi" w:hAnsiTheme="majorBidi" w:cstheme="majorBidi"/>
                <w:sz w:val="16"/>
                <w:szCs w:val="16"/>
                <w:lang w:val="fr-FR"/>
              </w:rPr>
              <w:t xml:space="preserve"> (</w:t>
            </w:r>
            <w:r w:rsidR="00280941" w:rsidRPr="000C05B5">
              <w:rPr>
                <w:rFonts w:asciiTheme="majorBidi" w:hAnsiTheme="majorBidi" w:cstheme="majorBidi"/>
                <w:sz w:val="16"/>
                <w:szCs w:val="16"/>
                <w:lang w:val="fr-FR"/>
              </w:rPr>
              <w:t>0</w:t>
            </w:r>
            <w:r w:rsidR="00E0503E" w:rsidRPr="000C05B5">
              <w:rPr>
                <w:rFonts w:asciiTheme="majorBidi" w:hAnsiTheme="majorBidi" w:cstheme="majorBidi"/>
                <w:sz w:val="16"/>
                <w:szCs w:val="16"/>
                <w:lang w:val="fr-FR"/>
              </w:rPr>
              <w:t>5</w:t>
            </w:r>
            <w:r w:rsidR="00D45FC8" w:rsidRPr="000C05B5">
              <w:rPr>
                <w:rFonts w:asciiTheme="majorBidi" w:hAnsiTheme="majorBidi" w:cstheme="majorBidi"/>
                <w:sz w:val="16"/>
                <w:szCs w:val="16"/>
                <w:lang w:val="fr-FR"/>
              </w:rPr>
              <w:t xml:space="preserve">) dernières années à compter du 1er janvier </w:t>
            </w:r>
            <w:r w:rsidR="00F0150C" w:rsidRPr="000C05B5">
              <w:rPr>
                <w:rFonts w:asciiTheme="majorBidi" w:hAnsiTheme="majorBidi" w:cstheme="majorBidi"/>
                <w:sz w:val="16"/>
                <w:szCs w:val="16"/>
                <w:lang w:val="fr-FR"/>
              </w:rPr>
              <w:t>201</w:t>
            </w:r>
            <w:r w:rsidR="00E0503E" w:rsidRPr="000C05B5">
              <w:rPr>
                <w:rFonts w:asciiTheme="majorBidi" w:hAnsiTheme="majorBidi" w:cstheme="majorBidi"/>
                <w:sz w:val="16"/>
                <w:szCs w:val="16"/>
                <w:lang w:val="fr-FR"/>
              </w:rPr>
              <w:t xml:space="preserve">6 </w:t>
            </w:r>
            <w:r w:rsidR="00D45FC8" w:rsidRPr="000C05B5">
              <w:rPr>
                <w:rFonts w:asciiTheme="majorBidi" w:hAnsiTheme="majorBidi" w:cstheme="majorBidi"/>
                <w:sz w:val="16"/>
                <w:szCs w:val="16"/>
                <w:lang w:val="fr-FR"/>
              </w:rPr>
              <w:t>jusqu’à la date limite de remise des offres :</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7BE3BAE8" w14:textId="77777777" w:rsidR="00D45FC8" w:rsidRPr="00C14798" w:rsidRDefault="00D45FC8">
            <w:pPr>
              <w:spacing w:before="60" w:after="60"/>
              <w:ind w:left="0" w:firstLine="0"/>
              <w:jc w:val="left"/>
              <w:rPr>
                <w:rFonts w:asciiTheme="majorBidi" w:hAnsiTheme="majorBidi" w:cstheme="majorBidi"/>
                <w:sz w:val="16"/>
                <w:szCs w:val="16"/>
              </w:rPr>
            </w:pPr>
            <w:r w:rsidRPr="00C14798">
              <w:rPr>
                <w:rFonts w:asciiTheme="majorBidi" w:hAnsiTheme="majorBidi" w:cstheme="majorBidi"/>
                <w:sz w:val="16"/>
                <w:szCs w:val="16"/>
              </w:rPr>
              <w:t xml:space="preserve">Doit satisfaire au critère </w:t>
            </w:r>
          </w:p>
          <w:p w14:paraId="6A8650B6" w14:textId="77777777" w:rsidR="00D45FC8" w:rsidRPr="00C14798" w:rsidRDefault="00D45FC8">
            <w:pPr>
              <w:spacing w:before="60" w:after="60"/>
              <w:ind w:left="0" w:firstLine="0"/>
              <w:jc w:val="left"/>
              <w:rPr>
                <w:rFonts w:asciiTheme="majorBidi" w:hAnsiTheme="majorBidi" w:cstheme="majorBidi"/>
                <w:i/>
                <w:sz w:val="16"/>
                <w:szCs w:val="16"/>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3DD34ED4" w14:textId="77777777" w:rsidR="00D45FC8" w:rsidRPr="00C14798" w:rsidRDefault="00D45FC8">
            <w:pPr>
              <w:spacing w:before="60" w:after="60"/>
              <w:ind w:left="0" w:firstLine="0"/>
              <w:jc w:val="left"/>
              <w:rPr>
                <w:rFonts w:asciiTheme="majorBidi" w:hAnsiTheme="majorBidi" w:cstheme="majorBidi"/>
                <w:sz w:val="16"/>
                <w:szCs w:val="16"/>
              </w:rPr>
            </w:pPr>
            <w:r w:rsidRPr="00C14798">
              <w:rPr>
                <w:rFonts w:asciiTheme="majorBidi" w:hAnsiTheme="majorBidi" w:cstheme="majorBidi"/>
                <w:sz w:val="16"/>
                <w:szCs w:val="16"/>
              </w:rPr>
              <w:t>Doivent satisfaire au critère</w:t>
            </w:r>
            <w:r w:rsidRPr="00C14798">
              <w:rPr>
                <w:rStyle w:val="Appelnotedebasdep"/>
                <w:rFonts w:asciiTheme="majorBidi" w:hAnsiTheme="majorBidi" w:cstheme="majorBidi"/>
                <w:sz w:val="16"/>
                <w:szCs w:val="16"/>
              </w:rPr>
              <w:footnoteReference w:id="12"/>
            </w:r>
            <w:r w:rsidRPr="00C14798">
              <w:rPr>
                <w:rFonts w:asciiTheme="majorBidi" w:hAnsiTheme="majorBidi" w:cstheme="majorBidi"/>
                <w:sz w:val="16"/>
                <w:szCs w:val="16"/>
              </w:rPr>
              <w:t xml:space="preserve"> </w:t>
            </w:r>
          </w:p>
          <w:p w14:paraId="6E83E664" w14:textId="77777777" w:rsidR="00D45FC8" w:rsidRPr="00C14798" w:rsidRDefault="00D45FC8">
            <w:pPr>
              <w:spacing w:before="60" w:after="60"/>
              <w:ind w:left="0" w:firstLine="0"/>
              <w:jc w:val="left"/>
              <w:rPr>
                <w:rFonts w:asciiTheme="majorBidi" w:hAnsiTheme="majorBidi" w:cstheme="majorBidi"/>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52A8030" w14:textId="77777777" w:rsidR="00D45FC8" w:rsidRPr="00C14798" w:rsidRDefault="00D45FC8">
            <w:pPr>
              <w:spacing w:before="60" w:after="60"/>
              <w:ind w:left="0" w:firstLine="0"/>
              <w:jc w:val="left"/>
              <w:rPr>
                <w:rFonts w:asciiTheme="majorBidi" w:hAnsiTheme="majorBidi" w:cstheme="majorBidi"/>
                <w:sz w:val="16"/>
                <w:szCs w:val="16"/>
              </w:rPr>
            </w:pPr>
            <w:r w:rsidRPr="00C14798">
              <w:rPr>
                <w:rFonts w:asciiTheme="majorBidi" w:hAnsiTheme="majorBidi" w:cstheme="majorBidi"/>
                <w:sz w:val="16"/>
                <w:szCs w:val="16"/>
              </w:rPr>
              <w:t xml:space="preserve">Sans objet </w:t>
            </w:r>
          </w:p>
          <w:p w14:paraId="5A84A700" w14:textId="77777777" w:rsidR="00D45FC8" w:rsidRPr="00C14798" w:rsidRDefault="00D45FC8">
            <w:pPr>
              <w:spacing w:before="60" w:after="60"/>
              <w:ind w:left="0" w:firstLine="0"/>
              <w:jc w:val="left"/>
              <w:rPr>
                <w:rFonts w:asciiTheme="majorBidi" w:hAnsiTheme="majorBidi" w:cstheme="majorBidi"/>
                <w:sz w:val="16"/>
                <w:szCs w:val="16"/>
              </w:rPr>
            </w:pPr>
          </w:p>
        </w:tc>
        <w:tc>
          <w:tcPr>
            <w:tcW w:w="1393" w:type="dxa"/>
            <w:tcBorders>
              <w:top w:val="single" w:sz="4" w:space="0" w:color="auto"/>
              <w:left w:val="single" w:sz="4" w:space="0" w:color="auto"/>
              <w:bottom w:val="single" w:sz="4" w:space="0" w:color="auto"/>
              <w:right w:val="single" w:sz="4" w:space="0" w:color="auto"/>
            </w:tcBorders>
            <w:shd w:val="clear" w:color="auto" w:fill="auto"/>
          </w:tcPr>
          <w:p w14:paraId="1ABCD0AE" w14:textId="77777777" w:rsidR="00D45FC8" w:rsidRPr="00C14798" w:rsidRDefault="00D45FC8">
            <w:pPr>
              <w:spacing w:before="60" w:after="60"/>
              <w:ind w:left="0" w:firstLine="0"/>
              <w:jc w:val="left"/>
              <w:rPr>
                <w:rFonts w:asciiTheme="majorBidi" w:hAnsiTheme="majorBidi" w:cstheme="majorBidi"/>
                <w:sz w:val="16"/>
                <w:szCs w:val="16"/>
              </w:rPr>
            </w:pPr>
            <w:r w:rsidRPr="00C14798">
              <w:rPr>
                <w:rFonts w:asciiTheme="majorBidi" w:hAnsiTheme="majorBidi" w:cstheme="majorBidi"/>
                <w:sz w:val="16"/>
                <w:szCs w:val="16"/>
              </w:rPr>
              <w:t>Sans objet</w:t>
            </w:r>
          </w:p>
          <w:p w14:paraId="71775E2A" w14:textId="262CAB85" w:rsidR="00D45FC8" w:rsidRPr="00C14798" w:rsidRDefault="00D45FC8">
            <w:pPr>
              <w:spacing w:before="60" w:after="60"/>
              <w:ind w:left="0" w:firstLine="0"/>
              <w:jc w:val="left"/>
              <w:rPr>
                <w:rFonts w:asciiTheme="majorBidi" w:hAnsiTheme="majorBidi" w:cstheme="majorBidi"/>
                <w:sz w:val="16"/>
                <w:szCs w:val="16"/>
              </w:rPr>
            </w:pPr>
          </w:p>
        </w:tc>
        <w:tc>
          <w:tcPr>
            <w:tcW w:w="1673" w:type="dxa"/>
            <w:tcBorders>
              <w:top w:val="single" w:sz="4" w:space="0" w:color="auto"/>
              <w:left w:val="single" w:sz="4" w:space="0" w:color="auto"/>
              <w:bottom w:val="single" w:sz="4" w:space="0" w:color="auto"/>
            </w:tcBorders>
            <w:shd w:val="clear" w:color="auto" w:fill="auto"/>
          </w:tcPr>
          <w:p w14:paraId="0B645704" w14:textId="2F585AE2" w:rsidR="00D45FC8" w:rsidRPr="00C14798" w:rsidRDefault="00D45FC8">
            <w:pPr>
              <w:spacing w:before="60" w:after="60"/>
              <w:ind w:left="0" w:firstLine="0"/>
              <w:jc w:val="left"/>
              <w:rPr>
                <w:rFonts w:asciiTheme="majorBidi" w:hAnsiTheme="majorBidi" w:cstheme="majorBidi"/>
                <w:sz w:val="16"/>
                <w:szCs w:val="16"/>
              </w:rPr>
            </w:pPr>
            <w:r w:rsidRPr="00C14798">
              <w:rPr>
                <w:rFonts w:asciiTheme="majorBidi" w:hAnsiTheme="majorBidi" w:cstheme="majorBidi"/>
                <w:sz w:val="16"/>
                <w:szCs w:val="16"/>
              </w:rPr>
              <w:t xml:space="preserve">Formulaire </w:t>
            </w:r>
            <w:r w:rsidRPr="00C14798">
              <w:rPr>
                <w:rFonts w:asciiTheme="majorBidi" w:hAnsiTheme="majorBidi" w:cstheme="majorBidi"/>
                <w:sz w:val="16"/>
                <w:szCs w:val="16"/>
              </w:rPr>
              <w:br/>
              <w:t>EXP 4.2 (a)</w:t>
            </w:r>
          </w:p>
        </w:tc>
      </w:tr>
      <w:tr w:rsidR="00D45FC8" w:rsidRPr="00C14798" w14:paraId="639DEBB5" w14:textId="77777777" w:rsidTr="000B19C9">
        <w:tblPrEx>
          <w:tblBorders>
            <w:insideH w:val="none" w:sz="0" w:space="0" w:color="auto"/>
            <w:insideV w:val="none" w:sz="0" w:space="0" w:color="auto"/>
          </w:tblBorders>
          <w:tblLook w:val="0000" w:firstRow="0" w:lastRow="0" w:firstColumn="0" w:lastColumn="0" w:noHBand="0" w:noVBand="0"/>
        </w:tblPrEx>
        <w:tc>
          <w:tcPr>
            <w:tcW w:w="1458" w:type="dxa"/>
            <w:vMerge/>
            <w:tcBorders>
              <w:bottom w:val="single" w:sz="4" w:space="0" w:color="auto"/>
              <w:right w:val="single" w:sz="4" w:space="0" w:color="auto"/>
            </w:tcBorders>
            <w:shd w:val="clear" w:color="auto" w:fill="auto"/>
          </w:tcPr>
          <w:p w14:paraId="6AEC2975" w14:textId="77777777" w:rsidR="00D45FC8" w:rsidRPr="00C14798" w:rsidRDefault="00D45FC8">
            <w:pPr>
              <w:pStyle w:val="Titre2"/>
              <w:tabs>
                <w:tab w:val="left" w:pos="90"/>
              </w:tabs>
              <w:spacing w:before="60" w:after="60"/>
              <w:ind w:left="0" w:firstLine="0"/>
              <w:jc w:val="left"/>
              <w:rPr>
                <w:rFonts w:asciiTheme="majorBidi" w:hAnsiTheme="majorBidi" w:cstheme="majorBidi"/>
                <w:b w:val="0"/>
                <w:sz w:val="16"/>
                <w:szCs w:val="16"/>
              </w:rPr>
            </w:pPr>
          </w:p>
        </w:tc>
        <w:tc>
          <w:tcPr>
            <w:tcW w:w="1710" w:type="dxa"/>
            <w:vMerge/>
            <w:tcBorders>
              <w:bottom w:val="single" w:sz="4" w:space="0" w:color="auto"/>
              <w:right w:val="single" w:sz="4" w:space="0" w:color="auto"/>
            </w:tcBorders>
            <w:shd w:val="clear" w:color="auto" w:fill="auto"/>
          </w:tcPr>
          <w:p w14:paraId="00FF653E" w14:textId="77777777" w:rsidR="00D45FC8" w:rsidRPr="00C14798" w:rsidRDefault="00D45FC8">
            <w:pPr>
              <w:pStyle w:val="Titre2"/>
              <w:tabs>
                <w:tab w:val="left" w:pos="90"/>
              </w:tabs>
              <w:spacing w:before="60" w:after="60"/>
              <w:ind w:left="0" w:firstLine="0"/>
              <w:jc w:val="left"/>
              <w:rPr>
                <w:rFonts w:asciiTheme="majorBidi" w:hAnsiTheme="majorBidi" w:cstheme="majorBidi"/>
                <w:sz w:val="16"/>
                <w:szCs w:val="16"/>
              </w:rPr>
            </w:pPr>
          </w:p>
        </w:tc>
        <w:tc>
          <w:tcPr>
            <w:tcW w:w="2666" w:type="dxa"/>
            <w:tcBorders>
              <w:top w:val="single" w:sz="4" w:space="0" w:color="auto"/>
              <w:left w:val="single" w:sz="4" w:space="0" w:color="auto"/>
              <w:bottom w:val="single" w:sz="4" w:space="0" w:color="auto"/>
              <w:right w:val="single" w:sz="4" w:space="0" w:color="auto"/>
            </w:tcBorders>
            <w:shd w:val="clear" w:color="auto" w:fill="auto"/>
          </w:tcPr>
          <w:p w14:paraId="60DBB930" w14:textId="09348F4E" w:rsidR="00D45FC8" w:rsidRPr="00C14798" w:rsidRDefault="008354AE">
            <w:pPr>
              <w:pStyle w:val="Style110"/>
              <w:tabs>
                <w:tab w:val="left" w:leader="dot" w:pos="8424"/>
              </w:tabs>
              <w:spacing w:line="240" w:lineRule="auto"/>
              <w:rPr>
                <w:rFonts w:asciiTheme="majorBidi" w:hAnsiTheme="majorBidi" w:cstheme="majorBidi"/>
                <w:iCs/>
                <w:sz w:val="16"/>
                <w:szCs w:val="16"/>
                <w:lang w:val="fr-FR"/>
              </w:rPr>
            </w:pPr>
            <w:r w:rsidRPr="00C14798">
              <w:rPr>
                <w:iCs/>
                <w:sz w:val="16"/>
                <w:szCs w:val="16"/>
                <w:lang w:val="fr-FR"/>
              </w:rPr>
              <w:t xml:space="preserve">(ii) Pour les travaux spécialisés suivants, le Maître d’Ouvrage </w:t>
            </w:r>
            <w:r w:rsidRPr="00C14798">
              <w:rPr>
                <w:iCs/>
                <w:sz w:val="16"/>
                <w:szCs w:val="16"/>
                <w:lang w:val="fr-FR"/>
              </w:rPr>
              <w:lastRenderedPageBreak/>
              <w:t>autorise les sous-traitants spécialisés selon l’article 34,3 des IS</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685C5315" w14:textId="25979CFA" w:rsidR="00D45FC8" w:rsidRPr="00C14798" w:rsidRDefault="009F4978">
            <w:pPr>
              <w:spacing w:before="60" w:after="60"/>
              <w:ind w:left="0" w:firstLine="0"/>
              <w:jc w:val="left"/>
              <w:rPr>
                <w:rFonts w:asciiTheme="majorBidi" w:hAnsiTheme="majorBidi" w:cstheme="majorBidi"/>
                <w:sz w:val="16"/>
                <w:szCs w:val="16"/>
              </w:rPr>
            </w:pPr>
            <w:r w:rsidRPr="00C14798">
              <w:rPr>
                <w:rFonts w:asciiTheme="majorBidi" w:hAnsiTheme="majorBidi" w:cstheme="majorBidi"/>
                <w:sz w:val="16"/>
                <w:szCs w:val="16"/>
              </w:rPr>
              <w:lastRenderedPageBreak/>
              <w:t xml:space="preserve">« Doit satisfaire l’exigence </w:t>
            </w:r>
            <w:r w:rsidRPr="00C14798">
              <w:rPr>
                <w:rFonts w:asciiTheme="majorBidi" w:hAnsiTheme="majorBidi" w:cstheme="majorBidi"/>
                <w:sz w:val="16"/>
                <w:szCs w:val="16"/>
              </w:rPr>
              <w:lastRenderedPageBreak/>
              <w:t>(L’exigence peut satisfaite être à travers un sous-traitant spécialisé) »</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38EC4078" w14:textId="325DE7D6" w:rsidR="00D45FC8" w:rsidRPr="00C14798" w:rsidRDefault="009F4978">
            <w:pPr>
              <w:spacing w:before="60" w:after="60"/>
              <w:ind w:left="0" w:firstLine="0"/>
              <w:jc w:val="left"/>
              <w:rPr>
                <w:rFonts w:asciiTheme="majorBidi" w:hAnsiTheme="majorBidi" w:cstheme="majorBidi"/>
                <w:sz w:val="16"/>
                <w:szCs w:val="16"/>
              </w:rPr>
            </w:pPr>
            <w:r w:rsidRPr="00C14798">
              <w:rPr>
                <w:rFonts w:asciiTheme="majorBidi" w:hAnsiTheme="majorBidi" w:cstheme="majorBidi"/>
                <w:sz w:val="16"/>
                <w:szCs w:val="16"/>
              </w:rPr>
              <w:lastRenderedPageBreak/>
              <w:t xml:space="preserve">Doivent satisfaire </w:t>
            </w:r>
            <w:r w:rsidRPr="00C14798">
              <w:rPr>
                <w:rFonts w:asciiTheme="majorBidi" w:hAnsiTheme="majorBidi" w:cstheme="majorBidi"/>
                <w:sz w:val="16"/>
                <w:szCs w:val="16"/>
              </w:rPr>
              <w:lastRenderedPageBreak/>
              <w:t>aux spécifications</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A720E63" w14:textId="59C0E517" w:rsidR="00D45FC8" w:rsidRPr="00C14798" w:rsidRDefault="009F4978">
            <w:pPr>
              <w:spacing w:before="60" w:after="60"/>
              <w:ind w:left="0" w:firstLine="0"/>
              <w:jc w:val="left"/>
              <w:rPr>
                <w:rFonts w:asciiTheme="majorBidi" w:hAnsiTheme="majorBidi" w:cstheme="majorBidi"/>
                <w:sz w:val="16"/>
                <w:szCs w:val="16"/>
              </w:rPr>
            </w:pPr>
            <w:r w:rsidRPr="00C14798">
              <w:rPr>
                <w:rFonts w:asciiTheme="majorBidi" w:hAnsiTheme="majorBidi" w:cstheme="majorBidi"/>
                <w:sz w:val="16"/>
                <w:szCs w:val="16"/>
              </w:rPr>
              <w:lastRenderedPageBreak/>
              <w:t>Sans objet</w:t>
            </w:r>
          </w:p>
        </w:tc>
        <w:tc>
          <w:tcPr>
            <w:tcW w:w="1393" w:type="dxa"/>
            <w:tcBorders>
              <w:top w:val="single" w:sz="4" w:space="0" w:color="auto"/>
              <w:left w:val="single" w:sz="4" w:space="0" w:color="auto"/>
              <w:bottom w:val="single" w:sz="4" w:space="0" w:color="auto"/>
              <w:right w:val="single" w:sz="4" w:space="0" w:color="auto"/>
            </w:tcBorders>
            <w:shd w:val="clear" w:color="auto" w:fill="auto"/>
          </w:tcPr>
          <w:p w14:paraId="649EE127" w14:textId="446DF265" w:rsidR="00D45FC8" w:rsidRPr="00C14798" w:rsidRDefault="009F4978">
            <w:pPr>
              <w:spacing w:before="60" w:after="60"/>
              <w:ind w:left="0" w:firstLine="0"/>
              <w:jc w:val="left"/>
              <w:rPr>
                <w:rFonts w:asciiTheme="majorBidi" w:hAnsiTheme="majorBidi" w:cstheme="majorBidi"/>
                <w:sz w:val="16"/>
                <w:szCs w:val="16"/>
              </w:rPr>
            </w:pPr>
            <w:r w:rsidRPr="00C14798">
              <w:rPr>
                <w:rFonts w:asciiTheme="majorBidi" w:hAnsiTheme="majorBidi" w:cstheme="majorBidi"/>
                <w:sz w:val="16"/>
                <w:szCs w:val="16"/>
              </w:rPr>
              <w:t xml:space="preserve">« Doit satisfaire l’exigence </w:t>
            </w:r>
            <w:r w:rsidRPr="00C14798">
              <w:rPr>
                <w:rFonts w:asciiTheme="majorBidi" w:hAnsiTheme="majorBidi" w:cstheme="majorBidi"/>
                <w:sz w:val="16"/>
                <w:szCs w:val="16"/>
              </w:rPr>
              <w:lastRenderedPageBreak/>
              <w:t xml:space="preserve">(L’exigence peut satisfaite être à travers un sous-traitant spécialisé) » </w:t>
            </w:r>
          </w:p>
        </w:tc>
        <w:tc>
          <w:tcPr>
            <w:tcW w:w="1673" w:type="dxa"/>
            <w:tcBorders>
              <w:top w:val="single" w:sz="4" w:space="0" w:color="auto"/>
              <w:left w:val="single" w:sz="4" w:space="0" w:color="auto"/>
              <w:bottom w:val="single" w:sz="4" w:space="0" w:color="auto"/>
            </w:tcBorders>
            <w:shd w:val="clear" w:color="auto" w:fill="auto"/>
          </w:tcPr>
          <w:p w14:paraId="3E30724E" w14:textId="77777777" w:rsidR="00D45FC8" w:rsidRPr="00C14798" w:rsidRDefault="00D45FC8">
            <w:pPr>
              <w:spacing w:before="60" w:after="60"/>
              <w:ind w:left="0" w:firstLine="0"/>
              <w:jc w:val="left"/>
              <w:rPr>
                <w:rFonts w:asciiTheme="majorBidi" w:hAnsiTheme="majorBidi" w:cstheme="majorBidi"/>
                <w:sz w:val="16"/>
                <w:szCs w:val="16"/>
              </w:rPr>
            </w:pPr>
          </w:p>
        </w:tc>
      </w:tr>
      <w:tr w:rsidR="000464F4" w:rsidRPr="00C14798" w14:paraId="2C90A8B5" w14:textId="77777777" w:rsidTr="000B19C9">
        <w:tblPrEx>
          <w:tblBorders>
            <w:insideH w:val="none" w:sz="0" w:space="0" w:color="auto"/>
            <w:insideV w:val="none" w:sz="0" w:space="0" w:color="auto"/>
          </w:tblBorders>
          <w:tblLook w:val="0000" w:firstRow="0" w:lastRow="0" w:firstColumn="0" w:lastColumn="0" w:noHBand="0" w:noVBand="0"/>
        </w:tblPrEx>
        <w:tc>
          <w:tcPr>
            <w:tcW w:w="1458" w:type="dxa"/>
            <w:tcBorders>
              <w:top w:val="single" w:sz="4" w:space="0" w:color="auto"/>
              <w:bottom w:val="single" w:sz="4" w:space="0" w:color="auto"/>
              <w:right w:val="single" w:sz="4" w:space="0" w:color="auto"/>
            </w:tcBorders>
            <w:shd w:val="clear" w:color="auto" w:fill="auto"/>
          </w:tcPr>
          <w:p w14:paraId="662AC70B" w14:textId="0E7782B3" w:rsidR="000464F4" w:rsidRPr="00C14798" w:rsidRDefault="00B66E58" w:rsidP="00FC7AA0">
            <w:pPr>
              <w:pStyle w:val="Titre2"/>
              <w:tabs>
                <w:tab w:val="left" w:pos="90"/>
              </w:tabs>
              <w:spacing w:before="60" w:after="60"/>
              <w:ind w:left="0" w:firstLine="0"/>
              <w:jc w:val="left"/>
              <w:rPr>
                <w:rFonts w:asciiTheme="majorBidi" w:hAnsiTheme="majorBidi" w:cstheme="majorBidi"/>
                <w:b w:val="0"/>
                <w:bCs/>
                <w:sz w:val="16"/>
                <w:szCs w:val="16"/>
              </w:rPr>
            </w:pPr>
            <w:r w:rsidRPr="00C14798">
              <w:rPr>
                <w:rFonts w:asciiTheme="majorBidi" w:hAnsiTheme="majorBidi" w:cstheme="majorBidi"/>
                <w:b w:val="0"/>
                <w:bCs/>
                <w:sz w:val="16"/>
                <w:szCs w:val="16"/>
              </w:rPr>
              <w:lastRenderedPageBreak/>
              <w:t>4.2 (b)</w:t>
            </w:r>
          </w:p>
        </w:tc>
        <w:tc>
          <w:tcPr>
            <w:tcW w:w="1710" w:type="dxa"/>
            <w:tcBorders>
              <w:top w:val="single" w:sz="4" w:space="0" w:color="auto"/>
              <w:bottom w:val="single" w:sz="4" w:space="0" w:color="auto"/>
              <w:right w:val="single" w:sz="4" w:space="0" w:color="auto"/>
            </w:tcBorders>
            <w:shd w:val="clear" w:color="auto" w:fill="auto"/>
          </w:tcPr>
          <w:p w14:paraId="591B546C" w14:textId="36C92EAB" w:rsidR="000464F4" w:rsidRPr="00C14798" w:rsidRDefault="000464F4" w:rsidP="00284E69">
            <w:pPr>
              <w:pStyle w:val="Titre2"/>
              <w:tabs>
                <w:tab w:val="left" w:pos="90"/>
              </w:tabs>
              <w:spacing w:before="60" w:after="60"/>
              <w:ind w:left="0" w:firstLine="0"/>
              <w:jc w:val="left"/>
              <w:rPr>
                <w:rFonts w:asciiTheme="majorBidi" w:hAnsiTheme="majorBidi" w:cstheme="majorBidi"/>
                <w:sz w:val="16"/>
                <w:szCs w:val="16"/>
              </w:rPr>
            </w:pPr>
          </w:p>
        </w:tc>
        <w:tc>
          <w:tcPr>
            <w:tcW w:w="2666" w:type="dxa"/>
            <w:tcBorders>
              <w:top w:val="single" w:sz="4" w:space="0" w:color="auto"/>
              <w:left w:val="single" w:sz="4" w:space="0" w:color="auto"/>
              <w:bottom w:val="single" w:sz="4" w:space="0" w:color="auto"/>
              <w:right w:val="single" w:sz="4" w:space="0" w:color="auto"/>
            </w:tcBorders>
            <w:shd w:val="clear" w:color="auto" w:fill="auto"/>
          </w:tcPr>
          <w:p w14:paraId="4ED7123B" w14:textId="180E0B1D" w:rsidR="00823C3C" w:rsidRPr="00C14798" w:rsidRDefault="000464F4" w:rsidP="00284E69">
            <w:pPr>
              <w:spacing w:before="60" w:after="60"/>
              <w:ind w:left="0" w:firstLine="0"/>
              <w:rPr>
                <w:rFonts w:asciiTheme="majorBidi" w:hAnsiTheme="majorBidi" w:cstheme="majorBidi"/>
                <w:b/>
                <w:spacing w:val="-2"/>
                <w:sz w:val="16"/>
                <w:szCs w:val="16"/>
              </w:rPr>
            </w:pPr>
            <w:r w:rsidRPr="00C14798">
              <w:rPr>
                <w:rFonts w:asciiTheme="majorBidi" w:hAnsiTheme="majorBidi" w:cstheme="majorBidi"/>
                <w:spacing w:val="-2"/>
                <w:sz w:val="16"/>
                <w:szCs w:val="16"/>
              </w:rPr>
              <w:t xml:space="preserve">Pour les marchés référencés ci-dessus ou pour d’autres marchés exécutés en tant qu’entrepreneur principal, membre de groupement, pendant la période stipulée au </w:t>
            </w:r>
            <w:r w:rsidRPr="00A7320B">
              <w:rPr>
                <w:rFonts w:asciiTheme="majorBidi" w:hAnsiTheme="majorBidi" w:cstheme="majorBidi"/>
                <w:spacing w:val="-2"/>
                <w:sz w:val="16"/>
                <w:szCs w:val="16"/>
              </w:rPr>
              <w:t xml:space="preserve">paragraphe 4.2 a) ci-dessus à </w:t>
            </w:r>
            <w:r w:rsidRPr="00A7320B">
              <w:rPr>
                <w:rFonts w:asciiTheme="majorBidi" w:hAnsiTheme="majorBidi" w:cstheme="majorBidi"/>
                <w:b/>
                <w:spacing w:val="-2"/>
                <w:sz w:val="16"/>
                <w:szCs w:val="16"/>
              </w:rPr>
              <w:t>compter du</w:t>
            </w:r>
            <w:r w:rsidRPr="00A7320B">
              <w:rPr>
                <w:rFonts w:asciiTheme="majorBidi" w:hAnsiTheme="majorBidi" w:cstheme="majorBidi"/>
                <w:spacing w:val="-2"/>
                <w:sz w:val="16"/>
                <w:szCs w:val="16"/>
              </w:rPr>
              <w:t xml:space="preserve"> </w:t>
            </w:r>
            <w:r w:rsidRPr="00A7320B">
              <w:rPr>
                <w:rFonts w:asciiTheme="majorBidi" w:hAnsiTheme="majorBidi" w:cstheme="majorBidi"/>
                <w:b/>
                <w:spacing w:val="-2"/>
                <w:sz w:val="16"/>
                <w:szCs w:val="16"/>
              </w:rPr>
              <w:t>1</w:t>
            </w:r>
            <w:r w:rsidRPr="00A7320B">
              <w:rPr>
                <w:rFonts w:asciiTheme="majorBidi" w:hAnsiTheme="majorBidi" w:cstheme="majorBidi"/>
                <w:b/>
                <w:spacing w:val="-2"/>
                <w:sz w:val="16"/>
                <w:szCs w:val="16"/>
                <w:vertAlign w:val="superscript"/>
              </w:rPr>
              <w:t>er</w:t>
            </w:r>
            <w:r w:rsidRPr="00A7320B">
              <w:rPr>
                <w:rFonts w:asciiTheme="majorBidi" w:hAnsiTheme="majorBidi" w:cstheme="majorBidi"/>
                <w:b/>
                <w:spacing w:val="-2"/>
                <w:sz w:val="16"/>
                <w:szCs w:val="16"/>
              </w:rPr>
              <w:t xml:space="preserve"> janvier </w:t>
            </w:r>
            <w:r w:rsidR="00823C3C" w:rsidRPr="00A7320B">
              <w:rPr>
                <w:rFonts w:asciiTheme="majorBidi" w:hAnsiTheme="majorBidi" w:cstheme="majorBidi"/>
                <w:b/>
                <w:spacing w:val="-2"/>
                <w:sz w:val="16"/>
                <w:szCs w:val="16"/>
              </w:rPr>
              <w:t>201</w:t>
            </w:r>
            <w:r w:rsidR="0062164D" w:rsidRPr="00A7320B">
              <w:rPr>
                <w:rFonts w:asciiTheme="majorBidi" w:hAnsiTheme="majorBidi" w:cstheme="majorBidi"/>
                <w:b/>
                <w:spacing w:val="-2"/>
                <w:sz w:val="16"/>
                <w:szCs w:val="16"/>
              </w:rPr>
              <w:t>6</w:t>
            </w:r>
            <w:r w:rsidRPr="00A7320B">
              <w:rPr>
                <w:rFonts w:asciiTheme="majorBidi" w:hAnsiTheme="majorBidi" w:cstheme="majorBidi"/>
                <w:b/>
                <w:spacing w:val="-2"/>
                <w:sz w:val="16"/>
                <w:szCs w:val="16"/>
              </w:rPr>
              <w:t>, une ex</w:t>
            </w:r>
            <w:r w:rsidRPr="00C14798">
              <w:rPr>
                <w:rFonts w:asciiTheme="majorBidi" w:hAnsiTheme="majorBidi" w:cstheme="majorBidi"/>
                <w:b/>
                <w:spacing w:val="-2"/>
                <w:sz w:val="16"/>
                <w:szCs w:val="16"/>
              </w:rPr>
              <w:t>périence minimale de construction achevée de manière satisfaisante et achevés pour l’essentiel dans les activités-clés suivantes</w:t>
            </w:r>
            <w:r w:rsidRPr="00C14798">
              <w:rPr>
                <w:rStyle w:val="Appelnotedebasdep"/>
                <w:rFonts w:asciiTheme="majorBidi" w:hAnsiTheme="majorBidi" w:cstheme="majorBidi"/>
                <w:b/>
                <w:spacing w:val="-2"/>
                <w:sz w:val="16"/>
                <w:szCs w:val="16"/>
              </w:rPr>
              <w:footnoteReference w:id="13"/>
            </w:r>
            <w:r w:rsidR="00823C3C" w:rsidRPr="00C14798">
              <w:rPr>
                <w:rFonts w:asciiTheme="majorBidi" w:hAnsiTheme="majorBidi" w:cstheme="majorBidi"/>
                <w:b/>
                <w:spacing w:val="-2"/>
                <w:sz w:val="16"/>
                <w:szCs w:val="16"/>
              </w:rPr>
              <w:t> :</w:t>
            </w:r>
          </w:p>
          <w:p w14:paraId="08829B2A" w14:textId="64EE38F4" w:rsidR="000464F4" w:rsidRPr="00C14798" w:rsidRDefault="00823C3C" w:rsidP="00284E69">
            <w:pPr>
              <w:spacing w:before="60" w:after="60"/>
              <w:ind w:left="0" w:firstLine="0"/>
              <w:rPr>
                <w:rFonts w:asciiTheme="majorBidi" w:hAnsiTheme="majorBidi" w:cstheme="majorBidi"/>
                <w:spacing w:val="-2"/>
                <w:sz w:val="16"/>
                <w:szCs w:val="16"/>
              </w:rPr>
            </w:pPr>
            <w:r w:rsidRPr="00A7320B">
              <w:rPr>
                <w:rFonts w:asciiTheme="majorBidi" w:hAnsiTheme="majorBidi" w:cstheme="majorBidi"/>
                <w:b/>
                <w:spacing w:val="-2"/>
                <w:sz w:val="16"/>
                <w:szCs w:val="16"/>
              </w:rPr>
              <w:t>A</w:t>
            </w:r>
            <w:r w:rsidR="00501C6D" w:rsidRPr="00A7320B">
              <w:rPr>
                <w:rFonts w:asciiTheme="majorBidi" w:hAnsiTheme="majorBidi" w:cstheme="majorBidi"/>
                <w:b/>
                <w:spacing w:val="-2"/>
                <w:sz w:val="16"/>
                <w:szCs w:val="16"/>
              </w:rPr>
              <w:t>ménagement hydro agricole</w:t>
            </w:r>
            <w:r w:rsidR="00FF0F73" w:rsidRPr="00A7320B">
              <w:rPr>
                <w:rFonts w:asciiTheme="majorBidi" w:hAnsiTheme="majorBidi" w:cstheme="majorBidi"/>
                <w:b/>
                <w:spacing w:val="-2"/>
                <w:sz w:val="16"/>
                <w:szCs w:val="16"/>
              </w:rPr>
              <w:t>, routes, pistes et ouvrages associés, ponts, barrages, seuils d’</w:t>
            </w:r>
            <w:proofErr w:type="spellStart"/>
            <w:r w:rsidR="00FF0F73" w:rsidRPr="00A7320B">
              <w:rPr>
                <w:rFonts w:asciiTheme="majorBidi" w:hAnsiTheme="majorBidi" w:cstheme="majorBidi"/>
                <w:b/>
                <w:spacing w:val="-2"/>
                <w:sz w:val="16"/>
                <w:szCs w:val="16"/>
              </w:rPr>
              <w:t>epandage</w:t>
            </w:r>
            <w:proofErr w:type="spellEnd"/>
            <w:r w:rsidR="00FF0F73" w:rsidRPr="00A7320B">
              <w:rPr>
                <w:rFonts w:asciiTheme="majorBidi" w:hAnsiTheme="majorBidi" w:cstheme="majorBidi"/>
                <w:b/>
                <w:spacing w:val="-2"/>
                <w:sz w:val="16"/>
                <w:szCs w:val="16"/>
              </w:rPr>
              <w:t>.</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025F1B3E" w14:textId="46F36D12" w:rsidR="000464F4" w:rsidRPr="00C14798" w:rsidRDefault="000464F4">
            <w:pPr>
              <w:spacing w:before="60" w:after="60"/>
              <w:ind w:left="0" w:firstLine="0"/>
              <w:jc w:val="left"/>
              <w:rPr>
                <w:rFonts w:asciiTheme="majorBidi" w:hAnsiTheme="majorBidi" w:cstheme="majorBidi"/>
                <w:sz w:val="16"/>
                <w:szCs w:val="16"/>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6BAA4995" w14:textId="7F2D5349" w:rsidR="000464F4" w:rsidRPr="00C14798" w:rsidRDefault="000464F4">
            <w:pPr>
              <w:spacing w:before="60" w:after="60"/>
              <w:ind w:left="0" w:firstLine="0"/>
              <w:jc w:val="left"/>
              <w:rPr>
                <w:rFonts w:asciiTheme="majorBidi" w:hAnsiTheme="majorBidi" w:cstheme="majorBidi"/>
                <w:sz w:val="16"/>
                <w:szCs w:val="16"/>
              </w:rPr>
            </w:pPr>
            <w:r w:rsidRPr="00C14798">
              <w:rPr>
                <w:rFonts w:asciiTheme="majorBidi" w:hAnsiTheme="majorBidi" w:cstheme="majorBidi"/>
                <w:sz w:val="16"/>
                <w:szCs w:val="16"/>
              </w:rPr>
              <w:t>Doivent satisfaire aux spécifications</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ED5BD01" w14:textId="77777777" w:rsidR="000464F4" w:rsidRPr="00C14798" w:rsidRDefault="000464F4">
            <w:pPr>
              <w:spacing w:before="60" w:after="60"/>
              <w:ind w:left="0" w:firstLine="0"/>
              <w:jc w:val="left"/>
              <w:rPr>
                <w:rFonts w:asciiTheme="majorBidi" w:hAnsiTheme="majorBidi" w:cstheme="majorBidi"/>
                <w:sz w:val="16"/>
                <w:szCs w:val="16"/>
              </w:rPr>
            </w:pPr>
            <w:r w:rsidRPr="00C14798">
              <w:rPr>
                <w:rFonts w:asciiTheme="majorBidi" w:hAnsiTheme="majorBidi" w:cstheme="majorBidi"/>
                <w:sz w:val="16"/>
                <w:szCs w:val="16"/>
              </w:rPr>
              <w:t>Sans objet</w:t>
            </w:r>
          </w:p>
        </w:tc>
        <w:tc>
          <w:tcPr>
            <w:tcW w:w="1393" w:type="dxa"/>
            <w:tcBorders>
              <w:top w:val="single" w:sz="4" w:space="0" w:color="auto"/>
              <w:left w:val="single" w:sz="4" w:space="0" w:color="auto"/>
              <w:bottom w:val="single" w:sz="4" w:space="0" w:color="auto"/>
              <w:right w:val="single" w:sz="4" w:space="0" w:color="auto"/>
            </w:tcBorders>
            <w:shd w:val="clear" w:color="auto" w:fill="auto"/>
          </w:tcPr>
          <w:p w14:paraId="68C0D482" w14:textId="5821E835" w:rsidR="000464F4" w:rsidRPr="00C14798" w:rsidRDefault="000464F4">
            <w:pPr>
              <w:spacing w:before="60" w:after="60"/>
              <w:ind w:left="0" w:firstLine="0"/>
              <w:jc w:val="left"/>
              <w:rPr>
                <w:rFonts w:asciiTheme="majorBidi" w:hAnsiTheme="majorBidi" w:cstheme="majorBidi"/>
                <w:sz w:val="16"/>
                <w:szCs w:val="16"/>
              </w:rPr>
            </w:pPr>
            <w:r w:rsidRPr="00C14798">
              <w:rPr>
                <w:rFonts w:asciiTheme="majorBidi" w:hAnsiTheme="majorBidi" w:cstheme="majorBidi"/>
                <w:sz w:val="16"/>
                <w:szCs w:val="16"/>
              </w:rPr>
              <w:t xml:space="preserve">Doit satisfaire aux spécifications dans les domaines mentionnés </w:t>
            </w:r>
            <w:r w:rsidR="00B66E58" w:rsidRPr="00C14798">
              <w:rPr>
                <w:rFonts w:asciiTheme="majorBidi" w:hAnsiTheme="majorBidi" w:cstheme="majorBidi"/>
                <w:sz w:val="16"/>
                <w:szCs w:val="16"/>
              </w:rPr>
              <w:br/>
            </w:r>
            <w:r w:rsidRPr="00C14798">
              <w:rPr>
                <w:rFonts w:asciiTheme="majorBidi" w:hAnsiTheme="majorBidi" w:cstheme="majorBidi"/>
                <w:sz w:val="16"/>
                <w:szCs w:val="16"/>
              </w:rPr>
              <w:t>ci-après </w:t>
            </w:r>
            <w:r w:rsidRPr="00C14798">
              <w:rPr>
                <w:rStyle w:val="Appelnotedebasdep"/>
                <w:rFonts w:asciiTheme="majorBidi" w:hAnsiTheme="majorBidi" w:cstheme="majorBidi"/>
                <w:sz w:val="16"/>
                <w:szCs w:val="16"/>
              </w:rPr>
              <w:footnoteReference w:id="14"/>
            </w:r>
            <w:r w:rsidRPr="00C14798">
              <w:rPr>
                <w:rFonts w:asciiTheme="majorBidi" w:hAnsiTheme="majorBidi" w:cstheme="majorBidi"/>
                <w:sz w:val="16"/>
                <w:szCs w:val="16"/>
              </w:rPr>
              <w:t> :</w:t>
            </w:r>
          </w:p>
          <w:p w14:paraId="48A576E3" w14:textId="6B0368A3" w:rsidR="000464F4" w:rsidRPr="00C14798" w:rsidRDefault="00B66E58">
            <w:pPr>
              <w:spacing w:before="60" w:after="60"/>
              <w:ind w:left="0" w:firstLine="0"/>
              <w:jc w:val="left"/>
              <w:rPr>
                <w:rFonts w:asciiTheme="majorBidi" w:hAnsiTheme="majorBidi" w:cstheme="majorBidi"/>
                <w:sz w:val="16"/>
                <w:szCs w:val="16"/>
              </w:rPr>
            </w:pPr>
            <w:r w:rsidRPr="00C14798">
              <w:rPr>
                <w:rFonts w:asciiTheme="majorBidi" w:hAnsiTheme="majorBidi" w:cstheme="majorBidi"/>
                <w:i/>
                <w:sz w:val="16"/>
                <w:szCs w:val="16"/>
              </w:rPr>
              <w:t>[</w:t>
            </w:r>
            <w:r w:rsidR="0036021B" w:rsidRPr="00C14798">
              <w:rPr>
                <w:rFonts w:asciiTheme="majorBidi" w:hAnsiTheme="majorBidi" w:cstheme="majorBidi"/>
                <w:i/>
                <w:sz w:val="16"/>
                <w:szCs w:val="16"/>
              </w:rPr>
              <w:t xml:space="preserve">fournir la liste des activités et les exigences minimum </w:t>
            </w:r>
            <w:r w:rsidR="00994494" w:rsidRPr="00C14798">
              <w:rPr>
                <w:rFonts w:asciiTheme="majorBidi" w:hAnsiTheme="majorBidi" w:cstheme="majorBidi"/>
                <w:i/>
                <w:sz w:val="16"/>
                <w:szCs w:val="16"/>
              </w:rPr>
              <w:t>correspondantes</w:t>
            </w:r>
            <w:r w:rsidRPr="00C14798">
              <w:rPr>
                <w:rFonts w:asciiTheme="majorBidi" w:hAnsiTheme="majorBidi" w:cstheme="majorBidi"/>
                <w:i/>
                <w:sz w:val="16"/>
                <w:szCs w:val="16"/>
              </w:rPr>
              <w:t>]</w:t>
            </w:r>
          </w:p>
        </w:tc>
        <w:tc>
          <w:tcPr>
            <w:tcW w:w="1673" w:type="dxa"/>
            <w:tcBorders>
              <w:top w:val="single" w:sz="4" w:space="0" w:color="auto"/>
              <w:left w:val="single" w:sz="4" w:space="0" w:color="auto"/>
              <w:bottom w:val="single" w:sz="4" w:space="0" w:color="auto"/>
            </w:tcBorders>
            <w:shd w:val="clear" w:color="auto" w:fill="auto"/>
          </w:tcPr>
          <w:p w14:paraId="0ECEBF61" w14:textId="38CA2335" w:rsidR="000464F4" w:rsidRPr="00C14798" w:rsidRDefault="000464F4">
            <w:pPr>
              <w:spacing w:before="60" w:after="60"/>
              <w:ind w:left="0" w:firstLine="0"/>
              <w:jc w:val="left"/>
              <w:rPr>
                <w:rFonts w:asciiTheme="majorBidi" w:hAnsiTheme="majorBidi" w:cstheme="majorBidi"/>
                <w:sz w:val="16"/>
                <w:szCs w:val="16"/>
              </w:rPr>
            </w:pPr>
            <w:r w:rsidRPr="00C14798">
              <w:rPr>
                <w:rFonts w:asciiTheme="majorBidi" w:hAnsiTheme="majorBidi" w:cstheme="majorBidi"/>
                <w:sz w:val="16"/>
                <w:szCs w:val="16"/>
              </w:rPr>
              <w:t xml:space="preserve">Formulaire </w:t>
            </w:r>
            <w:r w:rsidR="00B66E58" w:rsidRPr="00C14798">
              <w:rPr>
                <w:rFonts w:asciiTheme="majorBidi" w:hAnsiTheme="majorBidi" w:cstheme="majorBidi"/>
                <w:sz w:val="16"/>
                <w:szCs w:val="16"/>
              </w:rPr>
              <w:br/>
            </w:r>
            <w:r w:rsidRPr="00C14798">
              <w:rPr>
                <w:rFonts w:asciiTheme="majorBidi" w:hAnsiTheme="majorBidi" w:cstheme="majorBidi"/>
                <w:sz w:val="16"/>
                <w:szCs w:val="16"/>
              </w:rPr>
              <w:t>EXP-4.2 (b)</w:t>
            </w:r>
          </w:p>
        </w:tc>
      </w:tr>
    </w:tbl>
    <w:p w14:paraId="06D6B171" w14:textId="77777777" w:rsidR="00CA1D30" w:rsidRPr="00A67F27" w:rsidRDefault="00CA1D30" w:rsidP="00F82AAD">
      <w:pPr>
        <w:ind w:left="0" w:firstLine="0"/>
        <w:jc w:val="left"/>
        <w:rPr>
          <w:rFonts w:asciiTheme="majorBidi" w:hAnsiTheme="majorBidi" w:cstheme="majorBidi"/>
          <w:b/>
        </w:rPr>
        <w:sectPr w:rsidR="00CA1D30" w:rsidRPr="00A67F27" w:rsidSect="00644312">
          <w:endnotePr>
            <w:numFmt w:val="decimal"/>
          </w:endnotePr>
          <w:pgSz w:w="15840" w:h="12240" w:orient="landscape" w:code="1"/>
          <w:pgMar w:top="1418" w:right="1418" w:bottom="1418" w:left="1418" w:header="720" w:footer="720" w:gutter="0"/>
          <w:cols w:space="720"/>
          <w:docGrid w:linePitch="326"/>
        </w:sectPr>
      </w:pPr>
    </w:p>
    <w:p w14:paraId="486E4861" w14:textId="5762DF2B" w:rsidR="000A450A" w:rsidRPr="00A67F27" w:rsidRDefault="00587F78" w:rsidP="00587F78">
      <w:pPr>
        <w:pStyle w:val="S3-Header1"/>
        <w:rPr>
          <w:lang w:val="fr-FR"/>
        </w:rPr>
      </w:pPr>
      <w:bookmarkStart w:id="444" w:name="_Toc487641744"/>
      <w:r w:rsidRPr="00A67F27">
        <w:rPr>
          <w:lang w:val="fr-FR"/>
        </w:rPr>
        <w:lastRenderedPageBreak/>
        <w:t>4</w:t>
      </w:r>
      <w:r w:rsidR="000A450A" w:rsidRPr="00A67F27">
        <w:rPr>
          <w:lang w:val="fr-FR"/>
        </w:rPr>
        <w:tab/>
        <w:t>Personnel</w:t>
      </w:r>
      <w:r w:rsidR="002F5FCA" w:rsidRPr="00A67F27">
        <w:rPr>
          <w:lang w:val="fr-FR"/>
        </w:rPr>
        <w:t>-Clé</w:t>
      </w:r>
      <w:bookmarkEnd w:id="444"/>
    </w:p>
    <w:p w14:paraId="3C509D56" w14:textId="025CBCA3" w:rsidR="002F5FCA" w:rsidRPr="00A67F27" w:rsidRDefault="002F5FCA" w:rsidP="002F5FCA">
      <w:pPr>
        <w:tabs>
          <w:tab w:val="right" w:pos="7254"/>
        </w:tabs>
        <w:spacing w:before="120" w:after="120"/>
        <w:ind w:left="144" w:firstLine="0"/>
        <w:rPr>
          <w:rFonts w:asciiTheme="majorBidi" w:hAnsiTheme="majorBidi" w:cstheme="majorBidi"/>
        </w:rPr>
      </w:pPr>
      <w:r w:rsidRPr="00A67F27">
        <w:rPr>
          <w:rFonts w:asciiTheme="majorBidi" w:hAnsiTheme="majorBidi" w:cstheme="majorBidi"/>
        </w:rPr>
        <w:t>Le Soumissionnaire doit établir qu’il disposera du personnel-clé de qualification convenable (et en nombre suffisant) décrit dans le tableau ci-après, qui est nécessaire pour exécuter le Marché.</w:t>
      </w:r>
    </w:p>
    <w:p w14:paraId="7BB0C76D" w14:textId="48C89756" w:rsidR="002F5FCA" w:rsidRPr="00A67F27" w:rsidRDefault="002F5FCA" w:rsidP="002F5FCA">
      <w:pPr>
        <w:tabs>
          <w:tab w:val="right" w:pos="7254"/>
        </w:tabs>
        <w:spacing w:before="120" w:after="120"/>
        <w:ind w:left="144" w:firstLine="0"/>
        <w:rPr>
          <w:rFonts w:asciiTheme="majorBidi" w:hAnsiTheme="majorBidi" w:cstheme="majorBidi"/>
        </w:rPr>
      </w:pPr>
      <w:r w:rsidRPr="00A67F27">
        <w:rPr>
          <w:rFonts w:asciiTheme="majorBidi" w:hAnsiTheme="majorBidi" w:cstheme="majorBidi"/>
        </w:rPr>
        <w:t>Le Soumissionnaire doit fournir les détails concernant le personnel que le Soumissionnaire prévoit d’affecter aux travaux et services, y compris leur formation académique et leur expérience professionnelle.</w:t>
      </w:r>
      <w:r w:rsidR="009B2302" w:rsidRPr="00A67F27">
        <w:rPr>
          <w:rFonts w:asciiTheme="majorBidi" w:hAnsiTheme="majorBidi" w:cstheme="majorBidi"/>
        </w:rPr>
        <w:t xml:space="preserve"> </w:t>
      </w:r>
      <w:r w:rsidRPr="00A67F27">
        <w:rPr>
          <w:rFonts w:asciiTheme="majorBidi" w:hAnsiTheme="majorBidi" w:cstheme="majorBidi"/>
        </w:rPr>
        <w:t>Le Soumissionnaire remplira les formulaires prévus à la Section IV – Formulaires de soumission.</w:t>
      </w:r>
    </w:p>
    <w:p w14:paraId="47DFA2F9" w14:textId="14D90B0A" w:rsidR="002F5FCA" w:rsidRPr="00A67F27" w:rsidRDefault="002F5FCA" w:rsidP="002F5FCA">
      <w:pPr>
        <w:tabs>
          <w:tab w:val="right" w:pos="7254"/>
        </w:tabs>
        <w:spacing w:before="120" w:after="120"/>
        <w:ind w:left="144" w:firstLine="0"/>
        <w:rPr>
          <w:rFonts w:asciiTheme="majorBidi" w:hAnsiTheme="majorBidi" w:cstheme="majorBidi"/>
        </w:rPr>
      </w:pPr>
      <w:r w:rsidRPr="00A67F27">
        <w:rPr>
          <w:rFonts w:asciiTheme="majorBidi" w:hAnsiTheme="majorBidi" w:cstheme="majorBidi"/>
        </w:rPr>
        <w:t>L’Entrepreneur devra obtenir l’accord du Maître d’Ouvrage avant de remplacer le Personnel clé (cf</w:t>
      </w:r>
      <w:r w:rsidR="00072D43">
        <w:rPr>
          <w:rFonts w:asciiTheme="majorBidi" w:hAnsiTheme="majorBidi" w:cstheme="majorBidi"/>
        </w:rPr>
        <w:t>.</w:t>
      </w:r>
      <w:r w:rsidRPr="00A67F27">
        <w:rPr>
          <w:rFonts w:asciiTheme="majorBidi" w:hAnsiTheme="majorBidi" w:cstheme="majorBidi"/>
        </w:rPr>
        <w:t xml:space="preserve"> Clause </w:t>
      </w:r>
      <w:r w:rsidR="00926B94" w:rsidRPr="00A67F27">
        <w:rPr>
          <w:rFonts w:asciiTheme="majorBidi" w:hAnsiTheme="majorBidi" w:cstheme="majorBidi"/>
        </w:rPr>
        <w:t>9.1</w:t>
      </w:r>
      <w:r w:rsidRPr="00A67F27">
        <w:rPr>
          <w:rFonts w:asciiTheme="majorBidi" w:hAnsiTheme="majorBidi" w:cstheme="majorBidi"/>
        </w:rPr>
        <w:t xml:space="preserve"> du CCAP).</w:t>
      </w:r>
    </w:p>
    <w:p w14:paraId="560E25A9" w14:textId="19C61D92" w:rsidR="002F5FCA" w:rsidRDefault="002F5FCA" w:rsidP="00B66E58">
      <w:pPr>
        <w:tabs>
          <w:tab w:val="right" w:pos="7254"/>
        </w:tabs>
        <w:spacing w:before="120" w:after="120"/>
        <w:ind w:left="720"/>
        <w:rPr>
          <w:rFonts w:asciiTheme="majorBidi" w:hAnsiTheme="majorBidi" w:cstheme="majorBidi"/>
          <w:b/>
        </w:rPr>
      </w:pPr>
      <w:r w:rsidRPr="00A67F27">
        <w:rPr>
          <w:rFonts w:asciiTheme="majorBidi" w:hAnsiTheme="majorBidi" w:cstheme="majorBidi"/>
          <w:b/>
        </w:rPr>
        <w:t>Personnel-Clé</w:t>
      </w:r>
    </w:p>
    <w:p w14:paraId="06509B5E" w14:textId="1B3CCDA0" w:rsidR="00FA3CB3" w:rsidRPr="007D0A39" w:rsidRDefault="00FA0169" w:rsidP="00780501">
      <w:pPr>
        <w:pStyle w:val="S1-Header2"/>
        <w:numPr>
          <w:ilvl w:val="0"/>
          <w:numId w:val="0"/>
        </w:numPr>
        <w:rPr>
          <w:lang w:val="fr-FR"/>
        </w:rPr>
      </w:pPr>
      <w:r>
        <w:rPr>
          <w:lang w:val="fr-FR" w:eastAsia="fr-FR"/>
        </w:rPr>
        <w:t>S</w:t>
      </w:r>
      <w:r w:rsidR="00844487" w:rsidRPr="006D14BE">
        <w:rPr>
          <w:lang w:val="fr-FR" w:eastAsia="fr-FR"/>
        </w:rPr>
        <w:t xml:space="preserve">ite de </w:t>
      </w:r>
      <w:proofErr w:type="spellStart"/>
      <w:r>
        <w:rPr>
          <w:lang w:val="fr-FR" w:eastAsia="fr-FR"/>
        </w:rPr>
        <w:t>Kissakoro</w:t>
      </w:r>
      <w:proofErr w:type="spellEnd"/>
      <w:r w:rsidR="00CA7312" w:rsidRPr="006D14BE">
        <w:rPr>
          <w:lang w:val="fr-FR" w:eastAsia="fr-FR"/>
        </w:rPr>
        <w:t xml:space="preserve"> (</w:t>
      </w:r>
      <w:r>
        <w:rPr>
          <w:lang w:val="fr-FR" w:eastAsia="fr-FR"/>
        </w:rPr>
        <w:t>212</w:t>
      </w:r>
      <w:r w:rsidR="00B1444F" w:rsidRPr="006D14BE">
        <w:rPr>
          <w:lang w:val="fr-FR" w:eastAsia="fr-FR"/>
        </w:rPr>
        <w:t xml:space="preserve"> </w:t>
      </w:r>
      <w:r w:rsidR="00844487" w:rsidRPr="006D14BE">
        <w:rPr>
          <w:lang w:val="fr-FR" w:eastAsia="fr-FR"/>
        </w:rPr>
        <w:t xml:space="preserve">ha) commune de </w:t>
      </w:r>
      <w:proofErr w:type="spellStart"/>
      <w:r>
        <w:rPr>
          <w:lang w:val="fr-FR" w:eastAsia="fr-FR"/>
        </w:rPr>
        <w:t>Benkadi</w:t>
      </w:r>
      <w:proofErr w:type="spellEnd"/>
      <w:r w:rsidR="00780501" w:rsidRPr="006D14BE">
        <w:rPr>
          <w:lang w:val="fr-FR" w:eastAsia="fr-FR"/>
        </w:rPr>
        <w:t>, Région de Koulikoro</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638"/>
        <w:gridCol w:w="1693"/>
        <w:gridCol w:w="2980"/>
        <w:gridCol w:w="1179"/>
        <w:gridCol w:w="1566"/>
        <w:gridCol w:w="1564"/>
      </w:tblGrid>
      <w:tr w:rsidR="00624D86" w:rsidRPr="007D0A39" w14:paraId="427D6A97" w14:textId="20F31497" w:rsidTr="00624D86">
        <w:trPr>
          <w:trHeight w:val="1111"/>
          <w:jc w:val="center"/>
        </w:trPr>
        <w:tc>
          <w:tcPr>
            <w:tcW w:w="331" w:type="pct"/>
          </w:tcPr>
          <w:p w14:paraId="00CC5D68" w14:textId="77777777" w:rsidR="00624D86" w:rsidRPr="007D0A39" w:rsidRDefault="00624D86" w:rsidP="003756FE">
            <w:pPr>
              <w:spacing w:after="0"/>
              <w:jc w:val="center"/>
              <w:rPr>
                <w:b/>
                <w:i/>
                <w:sz w:val="20"/>
              </w:rPr>
            </w:pPr>
            <w:r w:rsidRPr="007D0A39">
              <w:rPr>
                <w:b/>
                <w:i/>
                <w:sz w:val="20"/>
              </w:rPr>
              <w:t>No.</w:t>
            </w:r>
          </w:p>
        </w:tc>
        <w:tc>
          <w:tcPr>
            <w:tcW w:w="880" w:type="pct"/>
          </w:tcPr>
          <w:p w14:paraId="3B280465" w14:textId="77777777" w:rsidR="00624D86" w:rsidRPr="007D0A39" w:rsidRDefault="00624D86" w:rsidP="003756FE">
            <w:pPr>
              <w:spacing w:after="0"/>
              <w:jc w:val="center"/>
              <w:rPr>
                <w:b/>
                <w:i/>
                <w:sz w:val="20"/>
              </w:rPr>
            </w:pPr>
            <w:r w:rsidRPr="007D0A39">
              <w:rPr>
                <w:b/>
                <w:i/>
                <w:sz w:val="20"/>
              </w:rPr>
              <w:t>Position</w:t>
            </w:r>
          </w:p>
        </w:tc>
        <w:tc>
          <w:tcPr>
            <w:tcW w:w="1549" w:type="pct"/>
          </w:tcPr>
          <w:p w14:paraId="093D7794" w14:textId="67748B9F" w:rsidR="00624D86" w:rsidRPr="007D0A39" w:rsidRDefault="00D752EB" w:rsidP="003756FE">
            <w:pPr>
              <w:spacing w:after="0"/>
              <w:jc w:val="center"/>
              <w:rPr>
                <w:b/>
                <w:i/>
                <w:sz w:val="20"/>
              </w:rPr>
            </w:pPr>
            <w:r>
              <w:rPr>
                <w:b/>
                <w:i/>
                <w:sz w:val="20"/>
              </w:rPr>
              <w:t>Qualification</w:t>
            </w:r>
            <w:r w:rsidR="00624D86" w:rsidRPr="007D0A39">
              <w:rPr>
                <w:b/>
                <w:i/>
                <w:sz w:val="20"/>
              </w:rPr>
              <w:t xml:space="preserve"> (années)</w:t>
            </w:r>
          </w:p>
        </w:tc>
        <w:tc>
          <w:tcPr>
            <w:tcW w:w="613" w:type="pct"/>
          </w:tcPr>
          <w:p w14:paraId="16212263" w14:textId="77777777" w:rsidR="00624D86" w:rsidRPr="007D0A39" w:rsidRDefault="00624D86" w:rsidP="003756FE">
            <w:pPr>
              <w:spacing w:after="0"/>
              <w:ind w:left="0" w:firstLine="0"/>
              <w:jc w:val="center"/>
              <w:rPr>
                <w:b/>
                <w:i/>
                <w:sz w:val="20"/>
              </w:rPr>
            </w:pPr>
            <w:r w:rsidRPr="007D0A39">
              <w:rPr>
                <w:b/>
                <w:i/>
                <w:sz w:val="20"/>
              </w:rPr>
              <w:t xml:space="preserve">Expérience dans des travaux similaires </w:t>
            </w:r>
          </w:p>
          <w:p w14:paraId="1030FD98" w14:textId="68D0E1BA" w:rsidR="00624D86" w:rsidRPr="007D0A39" w:rsidRDefault="00624D86" w:rsidP="003756FE">
            <w:pPr>
              <w:spacing w:after="0"/>
              <w:jc w:val="center"/>
              <w:rPr>
                <w:b/>
                <w:i/>
                <w:sz w:val="20"/>
              </w:rPr>
            </w:pPr>
            <w:r w:rsidRPr="007D0A39">
              <w:rPr>
                <w:b/>
                <w:i/>
                <w:sz w:val="20"/>
              </w:rPr>
              <w:t>(</w:t>
            </w:r>
            <w:r w:rsidR="00D752EB" w:rsidRPr="007D0A39">
              <w:rPr>
                <w:b/>
                <w:i/>
                <w:sz w:val="20"/>
              </w:rPr>
              <w:t>Années</w:t>
            </w:r>
            <w:r w:rsidRPr="007D0A39">
              <w:rPr>
                <w:b/>
                <w:i/>
                <w:sz w:val="20"/>
              </w:rPr>
              <w:t>)</w:t>
            </w:r>
          </w:p>
        </w:tc>
        <w:tc>
          <w:tcPr>
            <w:tcW w:w="814" w:type="pct"/>
          </w:tcPr>
          <w:p w14:paraId="661A0643" w14:textId="642F4A5F" w:rsidR="00624D86" w:rsidRPr="007D0A39" w:rsidRDefault="00624D86" w:rsidP="000719B6">
            <w:pPr>
              <w:spacing w:after="0"/>
              <w:ind w:left="-101" w:firstLine="0"/>
              <w:rPr>
                <w:b/>
                <w:i/>
                <w:sz w:val="20"/>
              </w:rPr>
            </w:pPr>
            <w:r w:rsidRPr="007D0A39">
              <w:rPr>
                <w:b/>
                <w:i/>
                <w:sz w:val="20"/>
              </w:rPr>
              <w:t>Expérience</w:t>
            </w:r>
            <w:r>
              <w:rPr>
                <w:b/>
                <w:i/>
                <w:sz w:val="20"/>
              </w:rPr>
              <w:t xml:space="preserve"> en </w:t>
            </w:r>
            <w:r w:rsidRPr="007D0A39">
              <w:rPr>
                <w:b/>
                <w:i/>
                <w:sz w:val="20"/>
              </w:rPr>
              <w:t>Nombre</w:t>
            </w:r>
            <w:r>
              <w:rPr>
                <w:b/>
                <w:i/>
                <w:sz w:val="20"/>
              </w:rPr>
              <w:t xml:space="preserve"> de missions similaires réalisées</w:t>
            </w:r>
          </w:p>
        </w:tc>
        <w:tc>
          <w:tcPr>
            <w:tcW w:w="813" w:type="pct"/>
          </w:tcPr>
          <w:p w14:paraId="2869A6F2" w14:textId="72127619" w:rsidR="00624D86" w:rsidRPr="00A7320B" w:rsidRDefault="00624D86" w:rsidP="00624D86">
            <w:pPr>
              <w:spacing w:after="0"/>
              <w:ind w:left="-101" w:firstLine="0"/>
              <w:jc w:val="center"/>
              <w:rPr>
                <w:b/>
                <w:i/>
                <w:sz w:val="20"/>
              </w:rPr>
            </w:pPr>
            <w:r w:rsidRPr="00A7320B">
              <w:rPr>
                <w:b/>
                <w:i/>
                <w:sz w:val="20"/>
              </w:rPr>
              <w:t>Nombre</w:t>
            </w:r>
          </w:p>
        </w:tc>
      </w:tr>
      <w:tr w:rsidR="00624D86" w:rsidRPr="007D0A39" w14:paraId="7A64042F" w14:textId="78364D54" w:rsidTr="00F84253">
        <w:trPr>
          <w:trHeight w:val="428"/>
          <w:jc w:val="center"/>
        </w:trPr>
        <w:tc>
          <w:tcPr>
            <w:tcW w:w="331" w:type="pct"/>
            <w:vAlign w:val="center"/>
          </w:tcPr>
          <w:p w14:paraId="606EE970" w14:textId="0A7C44B5" w:rsidR="00624D86" w:rsidRPr="007D0A39" w:rsidRDefault="00624D86" w:rsidP="003756FE">
            <w:pPr>
              <w:pStyle w:val="En-tte"/>
              <w:spacing w:after="0"/>
              <w:rPr>
                <w:i/>
              </w:rPr>
            </w:pPr>
            <w:r w:rsidRPr="007D0A39">
              <w:rPr>
                <w:i/>
              </w:rPr>
              <w:t>1.1</w:t>
            </w:r>
          </w:p>
        </w:tc>
        <w:tc>
          <w:tcPr>
            <w:tcW w:w="880" w:type="pct"/>
            <w:vAlign w:val="center"/>
          </w:tcPr>
          <w:p w14:paraId="19FE4B93" w14:textId="4B794B0F" w:rsidR="00624D86" w:rsidRPr="007D0A39" w:rsidRDefault="00624D86" w:rsidP="003756FE">
            <w:pPr>
              <w:spacing w:after="0"/>
              <w:ind w:left="0" w:firstLine="0"/>
              <w:jc w:val="left"/>
              <w:rPr>
                <w:i/>
                <w:sz w:val="20"/>
              </w:rPr>
            </w:pPr>
            <w:r w:rsidRPr="007D0A39">
              <w:rPr>
                <w:i/>
                <w:sz w:val="20"/>
              </w:rPr>
              <w:t>Chef de Projet</w:t>
            </w:r>
          </w:p>
        </w:tc>
        <w:tc>
          <w:tcPr>
            <w:tcW w:w="1549" w:type="pct"/>
            <w:vAlign w:val="center"/>
          </w:tcPr>
          <w:p w14:paraId="4BA610BB" w14:textId="3BDCA899" w:rsidR="00624D86" w:rsidRPr="007D0A39" w:rsidRDefault="00624D86" w:rsidP="00842EC2">
            <w:pPr>
              <w:spacing w:after="0"/>
              <w:ind w:left="29" w:hanging="29"/>
              <w:rPr>
                <w:i/>
                <w:sz w:val="20"/>
              </w:rPr>
            </w:pPr>
            <w:r w:rsidRPr="007D0A39">
              <w:rPr>
                <w:sz w:val="20"/>
              </w:rPr>
              <w:t>Minimum Bac+</w:t>
            </w:r>
            <w:r w:rsidR="00252684">
              <w:rPr>
                <w:sz w:val="20"/>
              </w:rPr>
              <w:t>4</w:t>
            </w:r>
            <w:r w:rsidR="00842EC2" w:rsidRPr="007D0A39">
              <w:rPr>
                <w:sz w:val="20"/>
              </w:rPr>
              <w:t xml:space="preserve"> </w:t>
            </w:r>
            <w:r w:rsidRPr="007D0A39">
              <w:rPr>
                <w:sz w:val="20"/>
              </w:rPr>
              <w:t xml:space="preserve">Ingénieur du Génie Rural, des Constructions Civiles </w:t>
            </w:r>
          </w:p>
        </w:tc>
        <w:tc>
          <w:tcPr>
            <w:tcW w:w="613" w:type="pct"/>
            <w:vAlign w:val="center"/>
          </w:tcPr>
          <w:p w14:paraId="3CDCB6F7" w14:textId="32527044" w:rsidR="00624D86" w:rsidRPr="007D0A39" w:rsidRDefault="00624D86" w:rsidP="003756FE">
            <w:pPr>
              <w:spacing w:after="0"/>
              <w:jc w:val="center"/>
              <w:rPr>
                <w:i/>
                <w:sz w:val="20"/>
              </w:rPr>
            </w:pPr>
            <w:r>
              <w:rPr>
                <w:i/>
                <w:sz w:val="20"/>
              </w:rPr>
              <w:t>10</w:t>
            </w:r>
          </w:p>
        </w:tc>
        <w:tc>
          <w:tcPr>
            <w:tcW w:w="814" w:type="pct"/>
            <w:vAlign w:val="center"/>
          </w:tcPr>
          <w:p w14:paraId="337DDBDC" w14:textId="28A239DE" w:rsidR="00624D86" w:rsidRPr="007D0A39" w:rsidRDefault="00624D86" w:rsidP="003756FE">
            <w:pPr>
              <w:spacing w:after="0"/>
              <w:jc w:val="center"/>
              <w:rPr>
                <w:i/>
                <w:sz w:val="20"/>
              </w:rPr>
            </w:pPr>
            <w:r>
              <w:rPr>
                <w:sz w:val="20"/>
              </w:rPr>
              <w:t>5</w:t>
            </w:r>
          </w:p>
        </w:tc>
        <w:tc>
          <w:tcPr>
            <w:tcW w:w="813" w:type="pct"/>
            <w:vAlign w:val="center"/>
          </w:tcPr>
          <w:p w14:paraId="5641914A" w14:textId="29BE4598" w:rsidR="00624D86" w:rsidRPr="00A7320B" w:rsidRDefault="00624D86" w:rsidP="003756FE">
            <w:pPr>
              <w:spacing w:after="0"/>
              <w:jc w:val="center"/>
              <w:rPr>
                <w:sz w:val="20"/>
              </w:rPr>
            </w:pPr>
            <w:r w:rsidRPr="00A7320B">
              <w:rPr>
                <w:sz w:val="20"/>
              </w:rPr>
              <w:t>1</w:t>
            </w:r>
          </w:p>
        </w:tc>
      </w:tr>
      <w:tr w:rsidR="00624D86" w:rsidRPr="007D0A39" w14:paraId="3123719E" w14:textId="2C6FB4CD" w:rsidTr="00F84253">
        <w:trPr>
          <w:trHeight w:val="414"/>
          <w:jc w:val="center"/>
        </w:trPr>
        <w:tc>
          <w:tcPr>
            <w:tcW w:w="331" w:type="pct"/>
            <w:vAlign w:val="center"/>
          </w:tcPr>
          <w:p w14:paraId="6A0172D6" w14:textId="5B311E3A" w:rsidR="00624D86" w:rsidRPr="007D0A39" w:rsidRDefault="00624D86" w:rsidP="003756FE">
            <w:pPr>
              <w:pStyle w:val="En-tte"/>
              <w:spacing w:after="0"/>
              <w:rPr>
                <w:i/>
              </w:rPr>
            </w:pPr>
            <w:r w:rsidRPr="007D0A39">
              <w:rPr>
                <w:i/>
              </w:rPr>
              <w:t>1.2</w:t>
            </w:r>
          </w:p>
        </w:tc>
        <w:tc>
          <w:tcPr>
            <w:tcW w:w="880" w:type="pct"/>
            <w:vAlign w:val="center"/>
          </w:tcPr>
          <w:p w14:paraId="549F6E02" w14:textId="074161E2" w:rsidR="00624D86" w:rsidRPr="007D0A39" w:rsidRDefault="00624D86" w:rsidP="003756FE">
            <w:pPr>
              <w:spacing w:after="0"/>
              <w:ind w:left="29" w:hanging="29"/>
              <w:jc w:val="left"/>
              <w:rPr>
                <w:i/>
                <w:sz w:val="20"/>
              </w:rPr>
            </w:pPr>
            <w:r w:rsidRPr="007D0A39">
              <w:rPr>
                <w:i/>
                <w:sz w:val="20"/>
              </w:rPr>
              <w:t>Conducteur des travaux</w:t>
            </w:r>
          </w:p>
        </w:tc>
        <w:tc>
          <w:tcPr>
            <w:tcW w:w="1549" w:type="pct"/>
            <w:vAlign w:val="center"/>
          </w:tcPr>
          <w:p w14:paraId="034C1CA5" w14:textId="0B84596E" w:rsidR="00624D86" w:rsidRPr="007D0A39" w:rsidRDefault="00624D86" w:rsidP="00842EC2">
            <w:pPr>
              <w:spacing w:after="0"/>
              <w:ind w:left="29" w:hanging="29"/>
              <w:rPr>
                <w:sz w:val="20"/>
              </w:rPr>
            </w:pPr>
            <w:r w:rsidRPr="007D0A39">
              <w:rPr>
                <w:sz w:val="20"/>
              </w:rPr>
              <w:t>Minimum Bac+4</w:t>
            </w:r>
            <w:r w:rsidR="00842EC2" w:rsidRPr="007D0A39">
              <w:rPr>
                <w:sz w:val="20"/>
              </w:rPr>
              <w:t xml:space="preserve"> </w:t>
            </w:r>
            <w:r w:rsidRPr="007D0A39">
              <w:rPr>
                <w:sz w:val="20"/>
              </w:rPr>
              <w:t xml:space="preserve">Ingénieur du Génie Rural, des Constructions Civiles ou du Génie Civil </w:t>
            </w:r>
          </w:p>
        </w:tc>
        <w:tc>
          <w:tcPr>
            <w:tcW w:w="613" w:type="pct"/>
            <w:vAlign w:val="center"/>
          </w:tcPr>
          <w:p w14:paraId="19F39839" w14:textId="4D2F9AA0" w:rsidR="00624D86" w:rsidRPr="007D0A39" w:rsidRDefault="00624D86" w:rsidP="003756FE">
            <w:pPr>
              <w:spacing w:after="0"/>
              <w:jc w:val="center"/>
              <w:rPr>
                <w:i/>
                <w:sz w:val="20"/>
              </w:rPr>
            </w:pPr>
            <w:r>
              <w:rPr>
                <w:i/>
                <w:sz w:val="20"/>
              </w:rPr>
              <w:t>10</w:t>
            </w:r>
          </w:p>
        </w:tc>
        <w:tc>
          <w:tcPr>
            <w:tcW w:w="814" w:type="pct"/>
            <w:vAlign w:val="center"/>
          </w:tcPr>
          <w:p w14:paraId="00E57D99" w14:textId="1FDD8738" w:rsidR="00624D86" w:rsidRPr="007D0A39" w:rsidRDefault="00624D86" w:rsidP="003756FE">
            <w:pPr>
              <w:spacing w:after="0"/>
              <w:jc w:val="center"/>
              <w:rPr>
                <w:i/>
                <w:sz w:val="20"/>
              </w:rPr>
            </w:pPr>
            <w:r>
              <w:rPr>
                <w:sz w:val="20"/>
              </w:rPr>
              <w:t>5</w:t>
            </w:r>
          </w:p>
        </w:tc>
        <w:tc>
          <w:tcPr>
            <w:tcW w:w="813" w:type="pct"/>
            <w:vAlign w:val="center"/>
          </w:tcPr>
          <w:p w14:paraId="5477EC0C" w14:textId="5827AE7E" w:rsidR="00624D86" w:rsidRPr="00A7320B" w:rsidRDefault="00624D86" w:rsidP="003756FE">
            <w:pPr>
              <w:spacing w:after="0"/>
              <w:jc w:val="center"/>
              <w:rPr>
                <w:sz w:val="20"/>
              </w:rPr>
            </w:pPr>
            <w:r w:rsidRPr="00A7320B">
              <w:rPr>
                <w:sz w:val="20"/>
              </w:rPr>
              <w:t>1</w:t>
            </w:r>
          </w:p>
        </w:tc>
      </w:tr>
      <w:tr w:rsidR="00624D86" w:rsidRPr="007D0A39" w14:paraId="7AE421F2" w14:textId="17A75E74" w:rsidTr="00F84253">
        <w:trPr>
          <w:trHeight w:val="428"/>
          <w:jc w:val="center"/>
        </w:trPr>
        <w:tc>
          <w:tcPr>
            <w:tcW w:w="331" w:type="pct"/>
            <w:vAlign w:val="center"/>
          </w:tcPr>
          <w:p w14:paraId="7ACE018F" w14:textId="21289D28" w:rsidR="00624D86" w:rsidRPr="007D0A39" w:rsidRDefault="00624D86" w:rsidP="003756FE">
            <w:pPr>
              <w:spacing w:after="0"/>
              <w:rPr>
                <w:i/>
                <w:sz w:val="20"/>
              </w:rPr>
            </w:pPr>
            <w:r>
              <w:rPr>
                <w:i/>
                <w:sz w:val="20"/>
              </w:rPr>
              <w:t>1.3</w:t>
            </w:r>
          </w:p>
        </w:tc>
        <w:tc>
          <w:tcPr>
            <w:tcW w:w="880" w:type="pct"/>
            <w:vAlign w:val="center"/>
          </w:tcPr>
          <w:p w14:paraId="4C1ED2DE" w14:textId="6089CA74" w:rsidR="00624D86" w:rsidRPr="007D0A39" w:rsidRDefault="00624D86" w:rsidP="00215610">
            <w:pPr>
              <w:spacing w:after="0"/>
              <w:ind w:left="0" w:firstLine="28"/>
              <w:rPr>
                <w:sz w:val="20"/>
              </w:rPr>
            </w:pPr>
            <w:r>
              <w:rPr>
                <w:sz w:val="20"/>
              </w:rPr>
              <w:t>Spécialiste en sauvegarde environnementale et sociale</w:t>
            </w:r>
          </w:p>
        </w:tc>
        <w:tc>
          <w:tcPr>
            <w:tcW w:w="1549" w:type="pct"/>
            <w:vAlign w:val="center"/>
          </w:tcPr>
          <w:p w14:paraId="558C7BAB" w14:textId="33550ABD" w:rsidR="00624D86" w:rsidRPr="007D0A39" w:rsidRDefault="00783124" w:rsidP="003756FE">
            <w:pPr>
              <w:spacing w:after="0"/>
              <w:ind w:left="29" w:hanging="29"/>
              <w:rPr>
                <w:sz w:val="20"/>
              </w:rPr>
            </w:pPr>
            <w:r>
              <w:rPr>
                <w:sz w:val="20"/>
              </w:rPr>
              <w:t>E</w:t>
            </w:r>
            <w:r w:rsidR="00624D86" w:rsidRPr="00D94010">
              <w:rPr>
                <w:sz w:val="20"/>
              </w:rPr>
              <w:t>nvironnementaliste de niveau minimum bac + 4 ou équivalent</w:t>
            </w:r>
          </w:p>
        </w:tc>
        <w:tc>
          <w:tcPr>
            <w:tcW w:w="613" w:type="pct"/>
            <w:vAlign w:val="center"/>
          </w:tcPr>
          <w:p w14:paraId="097133FA" w14:textId="587C091A" w:rsidR="00624D86" w:rsidRPr="007D0A39" w:rsidRDefault="00624D86" w:rsidP="003756FE">
            <w:pPr>
              <w:spacing w:after="0"/>
              <w:jc w:val="center"/>
              <w:rPr>
                <w:i/>
                <w:sz w:val="20"/>
              </w:rPr>
            </w:pPr>
            <w:r>
              <w:rPr>
                <w:i/>
                <w:sz w:val="20"/>
              </w:rPr>
              <w:t>10</w:t>
            </w:r>
          </w:p>
        </w:tc>
        <w:tc>
          <w:tcPr>
            <w:tcW w:w="814" w:type="pct"/>
            <w:vAlign w:val="center"/>
          </w:tcPr>
          <w:p w14:paraId="56E3C407" w14:textId="29FFE189" w:rsidR="00624D86" w:rsidRPr="007D0A39" w:rsidRDefault="00624D86" w:rsidP="003756FE">
            <w:pPr>
              <w:spacing w:after="0"/>
              <w:jc w:val="center"/>
              <w:rPr>
                <w:sz w:val="20"/>
              </w:rPr>
            </w:pPr>
            <w:r>
              <w:rPr>
                <w:sz w:val="20"/>
              </w:rPr>
              <w:t>5</w:t>
            </w:r>
          </w:p>
        </w:tc>
        <w:tc>
          <w:tcPr>
            <w:tcW w:w="813" w:type="pct"/>
            <w:vAlign w:val="center"/>
          </w:tcPr>
          <w:p w14:paraId="0ADF56AB" w14:textId="22838130" w:rsidR="00624D86" w:rsidRPr="00A7320B" w:rsidRDefault="00624D86" w:rsidP="003756FE">
            <w:pPr>
              <w:spacing w:after="0"/>
              <w:jc w:val="center"/>
              <w:rPr>
                <w:sz w:val="20"/>
              </w:rPr>
            </w:pPr>
            <w:r w:rsidRPr="00A7320B">
              <w:rPr>
                <w:sz w:val="20"/>
              </w:rPr>
              <w:t>1</w:t>
            </w:r>
          </w:p>
        </w:tc>
      </w:tr>
      <w:tr w:rsidR="00624D86" w:rsidRPr="007D0A39" w14:paraId="5B76F73F" w14:textId="350C9F62" w:rsidTr="00F84253">
        <w:trPr>
          <w:trHeight w:val="428"/>
          <w:jc w:val="center"/>
        </w:trPr>
        <w:tc>
          <w:tcPr>
            <w:tcW w:w="331" w:type="pct"/>
            <w:vAlign w:val="center"/>
          </w:tcPr>
          <w:p w14:paraId="37CA79A4" w14:textId="2D65B6E9" w:rsidR="00624D86" w:rsidRPr="007D0A39" w:rsidRDefault="00624D86" w:rsidP="003756FE">
            <w:pPr>
              <w:spacing w:after="0"/>
              <w:rPr>
                <w:i/>
                <w:sz w:val="20"/>
              </w:rPr>
            </w:pPr>
            <w:r w:rsidRPr="007D0A39">
              <w:rPr>
                <w:i/>
                <w:sz w:val="20"/>
              </w:rPr>
              <w:t>1.</w:t>
            </w:r>
            <w:r>
              <w:rPr>
                <w:i/>
                <w:sz w:val="20"/>
              </w:rPr>
              <w:t>4</w:t>
            </w:r>
          </w:p>
        </w:tc>
        <w:tc>
          <w:tcPr>
            <w:tcW w:w="880" w:type="pct"/>
            <w:vAlign w:val="center"/>
          </w:tcPr>
          <w:p w14:paraId="6DA947BD" w14:textId="64B319EE" w:rsidR="00624D86" w:rsidRPr="007D0A39" w:rsidRDefault="00624D86" w:rsidP="00FA0169">
            <w:pPr>
              <w:spacing w:after="0"/>
              <w:ind w:left="0" w:firstLine="0"/>
              <w:jc w:val="left"/>
              <w:rPr>
                <w:i/>
                <w:sz w:val="20"/>
              </w:rPr>
            </w:pPr>
            <w:r w:rsidRPr="007D0A39">
              <w:rPr>
                <w:sz w:val="20"/>
              </w:rPr>
              <w:t>Chef de chantier</w:t>
            </w:r>
            <w:r>
              <w:rPr>
                <w:sz w:val="20"/>
              </w:rPr>
              <w:t xml:space="preserve"> 1 - Terrassement</w:t>
            </w:r>
          </w:p>
        </w:tc>
        <w:tc>
          <w:tcPr>
            <w:tcW w:w="1549" w:type="pct"/>
            <w:vAlign w:val="center"/>
          </w:tcPr>
          <w:p w14:paraId="12322296" w14:textId="71C35837" w:rsidR="00624D86" w:rsidRPr="007D0A39" w:rsidRDefault="00624D86" w:rsidP="00D94010">
            <w:pPr>
              <w:spacing w:after="0"/>
              <w:ind w:left="29" w:hanging="29"/>
              <w:rPr>
                <w:sz w:val="20"/>
              </w:rPr>
            </w:pPr>
            <w:r w:rsidRPr="007D0A39">
              <w:rPr>
                <w:sz w:val="20"/>
              </w:rPr>
              <w:t xml:space="preserve">Technicien supérieur du Génie Rural, des Constructions Civiles ou du Génie Civil, </w:t>
            </w:r>
          </w:p>
        </w:tc>
        <w:tc>
          <w:tcPr>
            <w:tcW w:w="613" w:type="pct"/>
            <w:vAlign w:val="center"/>
          </w:tcPr>
          <w:p w14:paraId="286590F6" w14:textId="14218477" w:rsidR="00624D86" w:rsidRPr="007D0A39" w:rsidRDefault="00624D86" w:rsidP="003756FE">
            <w:pPr>
              <w:spacing w:after="0"/>
              <w:jc w:val="center"/>
              <w:rPr>
                <w:i/>
                <w:sz w:val="20"/>
              </w:rPr>
            </w:pPr>
            <w:r>
              <w:rPr>
                <w:i/>
                <w:sz w:val="20"/>
              </w:rPr>
              <w:t>5</w:t>
            </w:r>
          </w:p>
        </w:tc>
        <w:tc>
          <w:tcPr>
            <w:tcW w:w="814" w:type="pct"/>
            <w:vAlign w:val="center"/>
          </w:tcPr>
          <w:p w14:paraId="27CB9731" w14:textId="64E38B2A" w:rsidR="00624D86" w:rsidRPr="007D0A39" w:rsidRDefault="00624D86" w:rsidP="003756FE">
            <w:pPr>
              <w:spacing w:after="0"/>
              <w:jc w:val="center"/>
              <w:rPr>
                <w:i/>
                <w:sz w:val="20"/>
              </w:rPr>
            </w:pPr>
            <w:r>
              <w:rPr>
                <w:sz w:val="20"/>
              </w:rPr>
              <w:t>3</w:t>
            </w:r>
          </w:p>
        </w:tc>
        <w:tc>
          <w:tcPr>
            <w:tcW w:w="813" w:type="pct"/>
            <w:vAlign w:val="center"/>
          </w:tcPr>
          <w:p w14:paraId="404B5475" w14:textId="1D8299AC" w:rsidR="00624D86" w:rsidRPr="00A7320B" w:rsidRDefault="00624D86" w:rsidP="003756FE">
            <w:pPr>
              <w:spacing w:after="0"/>
              <w:jc w:val="center"/>
              <w:rPr>
                <w:sz w:val="20"/>
              </w:rPr>
            </w:pPr>
            <w:r w:rsidRPr="00A7320B">
              <w:rPr>
                <w:sz w:val="20"/>
              </w:rPr>
              <w:t>1</w:t>
            </w:r>
          </w:p>
        </w:tc>
      </w:tr>
      <w:tr w:rsidR="00624D86" w:rsidRPr="007D0A39" w14:paraId="2A6222A0" w14:textId="24F3EEE3" w:rsidTr="00F84253">
        <w:trPr>
          <w:trHeight w:val="428"/>
          <w:jc w:val="center"/>
        </w:trPr>
        <w:tc>
          <w:tcPr>
            <w:tcW w:w="331" w:type="pct"/>
            <w:vAlign w:val="center"/>
          </w:tcPr>
          <w:p w14:paraId="5D0C0990" w14:textId="18CB80B9" w:rsidR="00624D86" w:rsidRPr="007D0A39" w:rsidRDefault="00624D86" w:rsidP="00FA0169">
            <w:pPr>
              <w:spacing w:after="0"/>
              <w:rPr>
                <w:i/>
                <w:sz w:val="20"/>
              </w:rPr>
            </w:pPr>
            <w:r>
              <w:rPr>
                <w:i/>
                <w:sz w:val="20"/>
              </w:rPr>
              <w:t>1.5</w:t>
            </w:r>
          </w:p>
        </w:tc>
        <w:tc>
          <w:tcPr>
            <w:tcW w:w="880" w:type="pct"/>
            <w:vAlign w:val="center"/>
          </w:tcPr>
          <w:p w14:paraId="31D7BE8B" w14:textId="45F6B1CD" w:rsidR="00624D86" w:rsidRPr="007D0A39" w:rsidRDefault="00624D86" w:rsidP="00FA0169">
            <w:pPr>
              <w:spacing w:after="0"/>
              <w:ind w:left="0" w:firstLine="0"/>
              <w:jc w:val="left"/>
              <w:rPr>
                <w:sz w:val="20"/>
              </w:rPr>
            </w:pPr>
            <w:r w:rsidRPr="007D0A39">
              <w:rPr>
                <w:sz w:val="20"/>
              </w:rPr>
              <w:t>Chef de chantier</w:t>
            </w:r>
            <w:r>
              <w:rPr>
                <w:sz w:val="20"/>
              </w:rPr>
              <w:t xml:space="preserve"> 2 - Génie civil</w:t>
            </w:r>
          </w:p>
        </w:tc>
        <w:tc>
          <w:tcPr>
            <w:tcW w:w="1549" w:type="pct"/>
            <w:vAlign w:val="center"/>
          </w:tcPr>
          <w:p w14:paraId="3CB59D2F" w14:textId="3E535A02" w:rsidR="00624D86" w:rsidRPr="007D0A39" w:rsidRDefault="00624D86" w:rsidP="00FA0169">
            <w:pPr>
              <w:spacing w:after="0"/>
              <w:ind w:left="29" w:hanging="29"/>
              <w:rPr>
                <w:sz w:val="20"/>
              </w:rPr>
            </w:pPr>
            <w:r w:rsidRPr="007D0A39">
              <w:rPr>
                <w:sz w:val="20"/>
              </w:rPr>
              <w:t xml:space="preserve">Technicien supérieur du Génie Rural, des Constructions Civiles ou du Génie Civil, </w:t>
            </w:r>
          </w:p>
        </w:tc>
        <w:tc>
          <w:tcPr>
            <w:tcW w:w="613" w:type="pct"/>
            <w:vAlign w:val="center"/>
          </w:tcPr>
          <w:p w14:paraId="1E5BE0E1" w14:textId="1EB0DB1E" w:rsidR="00624D86" w:rsidRDefault="00624D86" w:rsidP="00FA0169">
            <w:pPr>
              <w:spacing w:after="0"/>
              <w:jc w:val="center"/>
              <w:rPr>
                <w:i/>
                <w:sz w:val="20"/>
              </w:rPr>
            </w:pPr>
            <w:r>
              <w:rPr>
                <w:i/>
                <w:sz w:val="20"/>
              </w:rPr>
              <w:t>5</w:t>
            </w:r>
          </w:p>
        </w:tc>
        <w:tc>
          <w:tcPr>
            <w:tcW w:w="814" w:type="pct"/>
            <w:vAlign w:val="center"/>
          </w:tcPr>
          <w:p w14:paraId="45CED22F" w14:textId="01D2BFF4" w:rsidR="00624D86" w:rsidRDefault="00624D86" w:rsidP="00FA0169">
            <w:pPr>
              <w:spacing w:after="0"/>
              <w:jc w:val="center"/>
              <w:rPr>
                <w:sz w:val="20"/>
              </w:rPr>
            </w:pPr>
            <w:r>
              <w:rPr>
                <w:sz w:val="20"/>
              </w:rPr>
              <w:t>3</w:t>
            </w:r>
          </w:p>
        </w:tc>
        <w:tc>
          <w:tcPr>
            <w:tcW w:w="813" w:type="pct"/>
            <w:vAlign w:val="center"/>
          </w:tcPr>
          <w:p w14:paraId="3D2040E6" w14:textId="45361648" w:rsidR="00624D86" w:rsidRPr="00A7320B" w:rsidRDefault="00624D86" w:rsidP="00FA0169">
            <w:pPr>
              <w:spacing w:after="0"/>
              <w:jc w:val="center"/>
              <w:rPr>
                <w:sz w:val="20"/>
              </w:rPr>
            </w:pPr>
            <w:r w:rsidRPr="00A7320B">
              <w:rPr>
                <w:sz w:val="20"/>
              </w:rPr>
              <w:t>1</w:t>
            </w:r>
          </w:p>
        </w:tc>
      </w:tr>
      <w:tr w:rsidR="00624D86" w:rsidRPr="00ED40DD" w14:paraId="37A58DDF" w14:textId="19668781" w:rsidTr="00F84253">
        <w:trPr>
          <w:trHeight w:val="428"/>
          <w:jc w:val="center"/>
        </w:trPr>
        <w:tc>
          <w:tcPr>
            <w:tcW w:w="331" w:type="pct"/>
            <w:vAlign w:val="center"/>
          </w:tcPr>
          <w:p w14:paraId="4F8A54B9" w14:textId="5B295A5B" w:rsidR="00624D86" w:rsidRPr="00ED40DD" w:rsidRDefault="00624D86" w:rsidP="00624D86">
            <w:pPr>
              <w:spacing w:after="0"/>
              <w:rPr>
                <w:i/>
                <w:sz w:val="20"/>
              </w:rPr>
            </w:pPr>
            <w:r w:rsidRPr="00ED40DD">
              <w:rPr>
                <w:i/>
                <w:sz w:val="20"/>
              </w:rPr>
              <w:t>1.5</w:t>
            </w:r>
          </w:p>
        </w:tc>
        <w:tc>
          <w:tcPr>
            <w:tcW w:w="880" w:type="pct"/>
            <w:vAlign w:val="center"/>
          </w:tcPr>
          <w:p w14:paraId="08E114E0" w14:textId="5C7C4BF8" w:rsidR="00624D86" w:rsidRPr="00ED40DD" w:rsidRDefault="00624D86" w:rsidP="00624D86">
            <w:pPr>
              <w:spacing w:after="0"/>
              <w:ind w:left="0" w:firstLine="0"/>
              <w:jc w:val="left"/>
              <w:rPr>
                <w:sz w:val="20"/>
              </w:rPr>
            </w:pPr>
            <w:r w:rsidRPr="00ED40DD">
              <w:rPr>
                <w:sz w:val="20"/>
              </w:rPr>
              <w:t>Géotechnicien</w:t>
            </w:r>
          </w:p>
        </w:tc>
        <w:tc>
          <w:tcPr>
            <w:tcW w:w="1549" w:type="pct"/>
          </w:tcPr>
          <w:p w14:paraId="3DEA9CC8" w14:textId="277B4D0D" w:rsidR="00624D86" w:rsidRPr="00ED40DD" w:rsidRDefault="00624D86" w:rsidP="00624D86">
            <w:pPr>
              <w:spacing w:after="0"/>
              <w:ind w:left="29" w:hanging="29"/>
              <w:rPr>
                <w:sz w:val="20"/>
              </w:rPr>
            </w:pPr>
            <w:r w:rsidRPr="00ED40DD">
              <w:rPr>
                <w:sz w:val="20"/>
              </w:rPr>
              <w:t xml:space="preserve">Minimum Bac+2 en </w:t>
            </w:r>
            <w:proofErr w:type="spellStart"/>
            <w:r w:rsidRPr="00ED40DD">
              <w:rPr>
                <w:sz w:val="20"/>
              </w:rPr>
              <w:t>Géotechnie</w:t>
            </w:r>
            <w:proofErr w:type="spellEnd"/>
            <w:r w:rsidRPr="00ED40DD">
              <w:rPr>
                <w:sz w:val="20"/>
              </w:rPr>
              <w:t xml:space="preserve"> ou Génie Civil </w:t>
            </w:r>
          </w:p>
        </w:tc>
        <w:tc>
          <w:tcPr>
            <w:tcW w:w="613" w:type="pct"/>
            <w:vAlign w:val="center"/>
          </w:tcPr>
          <w:p w14:paraId="6C8D8277" w14:textId="4047AB0A" w:rsidR="00624D86" w:rsidRPr="00ED40DD" w:rsidRDefault="00624D86" w:rsidP="00624D86">
            <w:pPr>
              <w:spacing w:after="0"/>
              <w:jc w:val="center"/>
              <w:rPr>
                <w:i/>
                <w:sz w:val="20"/>
              </w:rPr>
            </w:pPr>
            <w:r w:rsidRPr="00ED40DD">
              <w:rPr>
                <w:i/>
                <w:sz w:val="20"/>
              </w:rPr>
              <w:t>5</w:t>
            </w:r>
          </w:p>
        </w:tc>
        <w:tc>
          <w:tcPr>
            <w:tcW w:w="814" w:type="pct"/>
            <w:vAlign w:val="center"/>
          </w:tcPr>
          <w:p w14:paraId="0BD2F8F5" w14:textId="187964C5" w:rsidR="00624D86" w:rsidRPr="00ED40DD" w:rsidRDefault="00624D86" w:rsidP="00624D86">
            <w:pPr>
              <w:spacing w:after="0"/>
              <w:jc w:val="center"/>
              <w:rPr>
                <w:sz w:val="20"/>
              </w:rPr>
            </w:pPr>
            <w:r w:rsidRPr="00ED40DD">
              <w:rPr>
                <w:sz w:val="20"/>
              </w:rPr>
              <w:t>3</w:t>
            </w:r>
          </w:p>
        </w:tc>
        <w:tc>
          <w:tcPr>
            <w:tcW w:w="813" w:type="pct"/>
            <w:vAlign w:val="center"/>
          </w:tcPr>
          <w:p w14:paraId="0D693270" w14:textId="041B8DA5" w:rsidR="00624D86" w:rsidRPr="00A7320B" w:rsidRDefault="00624D86" w:rsidP="00624D86">
            <w:pPr>
              <w:spacing w:after="0"/>
              <w:jc w:val="center"/>
              <w:rPr>
                <w:sz w:val="20"/>
              </w:rPr>
            </w:pPr>
            <w:r w:rsidRPr="00A7320B">
              <w:rPr>
                <w:sz w:val="20"/>
              </w:rPr>
              <w:t>1</w:t>
            </w:r>
          </w:p>
        </w:tc>
      </w:tr>
      <w:tr w:rsidR="00624D86" w:rsidRPr="007D0A39" w14:paraId="0654CFC4" w14:textId="17C0AC9C" w:rsidTr="00F84253">
        <w:trPr>
          <w:trHeight w:val="428"/>
          <w:jc w:val="center"/>
        </w:trPr>
        <w:tc>
          <w:tcPr>
            <w:tcW w:w="331" w:type="pct"/>
            <w:vAlign w:val="center"/>
          </w:tcPr>
          <w:p w14:paraId="4B1CE10C" w14:textId="2E148806" w:rsidR="00624D86" w:rsidRPr="007D0A39" w:rsidRDefault="00624D86" w:rsidP="00FA0169">
            <w:pPr>
              <w:spacing w:after="0"/>
              <w:rPr>
                <w:i/>
                <w:sz w:val="20"/>
              </w:rPr>
            </w:pPr>
            <w:r>
              <w:rPr>
                <w:i/>
                <w:sz w:val="20"/>
              </w:rPr>
              <w:t>1</w:t>
            </w:r>
            <w:r w:rsidRPr="007D0A39">
              <w:rPr>
                <w:i/>
                <w:sz w:val="20"/>
              </w:rPr>
              <w:t>.</w:t>
            </w:r>
            <w:r>
              <w:rPr>
                <w:i/>
                <w:sz w:val="20"/>
              </w:rPr>
              <w:t>6</w:t>
            </w:r>
          </w:p>
        </w:tc>
        <w:tc>
          <w:tcPr>
            <w:tcW w:w="880" w:type="pct"/>
            <w:vAlign w:val="center"/>
          </w:tcPr>
          <w:p w14:paraId="2DF267B2" w14:textId="0CCE9072" w:rsidR="00624D86" w:rsidRPr="007D0A39" w:rsidRDefault="00624D86" w:rsidP="00FA0169">
            <w:pPr>
              <w:spacing w:after="0"/>
              <w:rPr>
                <w:i/>
                <w:sz w:val="20"/>
              </w:rPr>
            </w:pPr>
            <w:r w:rsidRPr="007D0A39">
              <w:rPr>
                <w:sz w:val="20"/>
              </w:rPr>
              <w:t>Chef de Brigade</w:t>
            </w:r>
          </w:p>
        </w:tc>
        <w:tc>
          <w:tcPr>
            <w:tcW w:w="1549" w:type="pct"/>
            <w:vAlign w:val="center"/>
          </w:tcPr>
          <w:p w14:paraId="4780E571" w14:textId="1258BFD0" w:rsidR="00624D86" w:rsidRPr="007D0A39" w:rsidRDefault="00624D86" w:rsidP="00FA0169">
            <w:pPr>
              <w:spacing w:after="0"/>
              <w:ind w:left="29" w:hanging="29"/>
              <w:rPr>
                <w:sz w:val="20"/>
              </w:rPr>
            </w:pPr>
            <w:r w:rsidRPr="007D0A39">
              <w:rPr>
                <w:sz w:val="20"/>
              </w:rPr>
              <w:t xml:space="preserve">Technicien supérieur en topographie </w:t>
            </w:r>
          </w:p>
        </w:tc>
        <w:tc>
          <w:tcPr>
            <w:tcW w:w="613" w:type="pct"/>
            <w:vAlign w:val="center"/>
          </w:tcPr>
          <w:p w14:paraId="36EEE85C" w14:textId="085EC478" w:rsidR="00624D86" w:rsidRPr="007D0A39" w:rsidRDefault="00624D86" w:rsidP="00FA0169">
            <w:pPr>
              <w:spacing w:after="0"/>
              <w:jc w:val="center"/>
              <w:rPr>
                <w:i/>
                <w:sz w:val="20"/>
              </w:rPr>
            </w:pPr>
            <w:r>
              <w:rPr>
                <w:i/>
                <w:sz w:val="20"/>
              </w:rPr>
              <w:t>5</w:t>
            </w:r>
          </w:p>
        </w:tc>
        <w:tc>
          <w:tcPr>
            <w:tcW w:w="814" w:type="pct"/>
            <w:vAlign w:val="center"/>
          </w:tcPr>
          <w:p w14:paraId="21D47DC7" w14:textId="49C38A45" w:rsidR="00624D86" w:rsidRPr="007D0A39" w:rsidRDefault="00624D86" w:rsidP="00FA0169">
            <w:pPr>
              <w:spacing w:after="0"/>
              <w:jc w:val="center"/>
              <w:rPr>
                <w:i/>
                <w:sz w:val="20"/>
              </w:rPr>
            </w:pPr>
            <w:r>
              <w:rPr>
                <w:i/>
                <w:sz w:val="20"/>
              </w:rPr>
              <w:t>3</w:t>
            </w:r>
          </w:p>
        </w:tc>
        <w:tc>
          <w:tcPr>
            <w:tcW w:w="813" w:type="pct"/>
            <w:vAlign w:val="center"/>
          </w:tcPr>
          <w:p w14:paraId="55AA9FCE" w14:textId="5DD5897E" w:rsidR="00624D86" w:rsidRPr="00A7320B" w:rsidRDefault="00624D86" w:rsidP="00FA0169">
            <w:pPr>
              <w:spacing w:after="0"/>
              <w:jc w:val="center"/>
              <w:rPr>
                <w:i/>
                <w:sz w:val="20"/>
              </w:rPr>
            </w:pPr>
            <w:r w:rsidRPr="00A7320B">
              <w:rPr>
                <w:i/>
                <w:sz w:val="20"/>
              </w:rPr>
              <w:t>1</w:t>
            </w:r>
          </w:p>
        </w:tc>
      </w:tr>
    </w:tbl>
    <w:p w14:paraId="13EC1067" w14:textId="77777777" w:rsidR="003F017D" w:rsidRDefault="003F017D" w:rsidP="003F017D">
      <w:pPr>
        <w:spacing w:after="0"/>
        <w:ind w:left="0" w:firstLine="0"/>
        <w:rPr>
          <w:b/>
        </w:rPr>
      </w:pPr>
    </w:p>
    <w:p w14:paraId="33C48BCE" w14:textId="49DF27CA" w:rsidR="003F017D" w:rsidRDefault="00D94010" w:rsidP="0066491A">
      <w:pPr>
        <w:spacing w:after="0"/>
        <w:ind w:left="0" w:firstLine="0"/>
        <w:rPr>
          <w:b/>
        </w:rPr>
      </w:pPr>
      <w:r w:rsidRPr="003F017D">
        <w:rPr>
          <w:b/>
        </w:rPr>
        <w:t>Le soumissionnaire doit joindre la copie légalisée du diplôme des experts et un CV récent paraphé et signé par le titulaire et le représentant habilité du soumissionnaire</w:t>
      </w:r>
      <w:r w:rsidR="003F017D" w:rsidRPr="003F017D">
        <w:rPr>
          <w:b/>
        </w:rPr>
        <w:t xml:space="preserve">. </w:t>
      </w:r>
    </w:p>
    <w:p w14:paraId="3288A90D" w14:textId="7F604404" w:rsidR="000A450A" w:rsidRPr="00EE089C" w:rsidRDefault="00587F78" w:rsidP="00844487">
      <w:pPr>
        <w:pStyle w:val="S3-Header1"/>
        <w:pageBreakBefore/>
        <w:ind w:left="0" w:firstLine="0"/>
        <w:rPr>
          <w:lang w:val="fr-FR"/>
        </w:rPr>
      </w:pPr>
      <w:bookmarkStart w:id="445" w:name="_Toc487641745"/>
      <w:r w:rsidRPr="00EE089C">
        <w:rPr>
          <w:lang w:val="fr-FR"/>
        </w:rPr>
        <w:lastRenderedPageBreak/>
        <w:t>5</w:t>
      </w:r>
      <w:r w:rsidR="000A450A" w:rsidRPr="00EE089C">
        <w:rPr>
          <w:lang w:val="fr-FR"/>
        </w:rPr>
        <w:tab/>
        <w:t>Matériel</w:t>
      </w:r>
      <w:bookmarkEnd w:id="445"/>
    </w:p>
    <w:p w14:paraId="3FCA152A" w14:textId="0020CB0A" w:rsidR="000A450A" w:rsidRDefault="000A450A" w:rsidP="00F82AAD">
      <w:pPr>
        <w:ind w:left="0" w:firstLine="0"/>
        <w:rPr>
          <w:rFonts w:asciiTheme="majorBidi" w:hAnsiTheme="majorBidi" w:cstheme="majorBidi"/>
        </w:rPr>
      </w:pPr>
      <w:r w:rsidRPr="00123676">
        <w:rPr>
          <w:rFonts w:asciiTheme="majorBidi" w:hAnsiTheme="majorBidi" w:cstheme="majorBidi"/>
        </w:rPr>
        <w:t>Le Soumissionnaire doit établir qu’il a le matériel clé suivant</w:t>
      </w:r>
      <w:r w:rsidR="009B2302" w:rsidRPr="00EE056E">
        <w:rPr>
          <w:rFonts w:asciiTheme="majorBidi" w:hAnsiTheme="majorBidi" w:cstheme="majorBidi"/>
        </w:rPr>
        <w:t> :</w:t>
      </w:r>
    </w:p>
    <w:p w14:paraId="30F21DE0" w14:textId="50A0F120" w:rsidR="003F017D" w:rsidRPr="00ED3B37" w:rsidRDefault="003F017D" w:rsidP="003F017D">
      <w:pPr>
        <w:pStyle w:val="S1-Header2"/>
        <w:numPr>
          <w:ilvl w:val="0"/>
          <w:numId w:val="0"/>
        </w:numPr>
        <w:rPr>
          <w:lang w:val="fr-FR" w:eastAsia="fr-FR"/>
        </w:rPr>
      </w:pPr>
      <w:r w:rsidRPr="00ED3B37">
        <w:rPr>
          <w:lang w:val="fr-FR" w:eastAsia="fr-FR"/>
        </w:rPr>
        <w:t>Travaux d’</w:t>
      </w:r>
      <w:proofErr w:type="spellStart"/>
      <w:r w:rsidRPr="00ED3B37">
        <w:rPr>
          <w:lang w:val="fr-FR" w:eastAsia="fr-FR"/>
        </w:rPr>
        <w:t>amenagement</w:t>
      </w:r>
      <w:proofErr w:type="spellEnd"/>
      <w:r w:rsidRPr="00ED3B37">
        <w:rPr>
          <w:lang w:val="fr-FR" w:eastAsia="fr-FR"/>
        </w:rPr>
        <w:t xml:space="preserve"> hydro agricole du bas fond de </w:t>
      </w:r>
      <w:proofErr w:type="spellStart"/>
      <w:r w:rsidRPr="00ED3B37">
        <w:rPr>
          <w:lang w:val="fr-FR" w:eastAsia="fr-FR"/>
        </w:rPr>
        <w:t>Kissakoro</w:t>
      </w:r>
      <w:proofErr w:type="spellEnd"/>
      <w:r w:rsidRPr="00ED3B37">
        <w:rPr>
          <w:lang w:val="fr-FR" w:eastAsia="fr-FR"/>
        </w:rPr>
        <w:t xml:space="preserve"> (212 ha) et construction d’un magasin de stockage et de conservation d’échalote - commune de </w:t>
      </w:r>
      <w:proofErr w:type="spellStart"/>
      <w:r w:rsidRPr="00ED3B37">
        <w:rPr>
          <w:lang w:val="fr-FR" w:eastAsia="fr-FR"/>
        </w:rPr>
        <w:t>Benkadi</w:t>
      </w:r>
      <w:proofErr w:type="spellEnd"/>
      <w:r w:rsidRPr="00ED3B37">
        <w:rPr>
          <w:lang w:val="fr-FR" w:eastAsia="fr-FR"/>
        </w:rPr>
        <w:t xml:space="preserve"> - Région de Koulikoro</w:t>
      </w:r>
    </w:p>
    <w:tbl>
      <w:tblPr>
        <w:tblW w:w="976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096"/>
        <w:gridCol w:w="1418"/>
        <w:gridCol w:w="2693"/>
        <w:gridCol w:w="1559"/>
      </w:tblGrid>
      <w:tr w:rsidR="003F017D" w:rsidRPr="003A3A87" w14:paraId="21BEE3CF" w14:textId="77777777" w:rsidTr="006B66E4">
        <w:trPr>
          <w:cantSplit/>
          <w:trHeight w:val="825"/>
          <w:tblHeader/>
          <w:jc w:val="center"/>
        </w:trPr>
        <w:tc>
          <w:tcPr>
            <w:tcW w:w="4096" w:type="dxa"/>
            <w:shd w:val="clear" w:color="auto" w:fill="F3F3F3"/>
            <w:vAlign w:val="center"/>
          </w:tcPr>
          <w:p w14:paraId="5370DEEF" w14:textId="77777777" w:rsidR="003F017D" w:rsidRPr="003A3A87" w:rsidRDefault="003F017D" w:rsidP="006B66E4">
            <w:pPr>
              <w:spacing w:before="20" w:after="20"/>
              <w:jc w:val="center"/>
              <w:rPr>
                <w:rFonts w:cs="Arial"/>
                <w:b/>
                <w:bCs/>
                <w:sz w:val="20"/>
              </w:rPr>
            </w:pPr>
            <w:r w:rsidRPr="003A3A87">
              <w:rPr>
                <w:rFonts w:cs="Arial"/>
                <w:b/>
                <w:bCs/>
                <w:sz w:val="20"/>
              </w:rPr>
              <w:t>Matériel ou engin</w:t>
            </w:r>
          </w:p>
        </w:tc>
        <w:tc>
          <w:tcPr>
            <w:tcW w:w="1418" w:type="dxa"/>
            <w:shd w:val="clear" w:color="auto" w:fill="F3F3F3"/>
            <w:vAlign w:val="center"/>
          </w:tcPr>
          <w:p w14:paraId="2C255862" w14:textId="77777777" w:rsidR="003F017D" w:rsidRPr="003A3A87" w:rsidRDefault="003F017D" w:rsidP="006B66E4">
            <w:pPr>
              <w:spacing w:before="20" w:after="20"/>
              <w:jc w:val="center"/>
              <w:rPr>
                <w:rFonts w:cs="Arial"/>
                <w:b/>
                <w:bCs/>
                <w:sz w:val="20"/>
              </w:rPr>
            </w:pPr>
            <w:r w:rsidRPr="003A3A87">
              <w:rPr>
                <w:rFonts w:cs="Arial"/>
                <w:b/>
                <w:bCs/>
                <w:sz w:val="20"/>
              </w:rPr>
              <w:t>Marque et âge (années</w:t>
            </w:r>
          </w:p>
        </w:tc>
        <w:tc>
          <w:tcPr>
            <w:tcW w:w="2693" w:type="dxa"/>
            <w:shd w:val="clear" w:color="auto" w:fill="F3F3F3"/>
            <w:vAlign w:val="center"/>
          </w:tcPr>
          <w:p w14:paraId="2FBC6E1C" w14:textId="77777777" w:rsidR="003F017D" w:rsidRPr="003A3A87" w:rsidRDefault="003F017D" w:rsidP="006B66E4">
            <w:pPr>
              <w:spacing w:before="20" w:after="20"/>
              <w:jc w:val="center"/>
              <w:rPr>
                <w:rFonts w:cs="Arial"/>
                <w:b/>
                <w:bCs/>
                <w:sz w:val="20"/>
              </w:rPr>
            </w:pPr>
            <w:r w:rsidRPr="003A3A87">
              <w:rPr>
                <w:rFonts w:cs="Arial"/>
                <w:b/>
                <w:bCs/>
                <w:sz w:val="20"/>
              </w:rPr>
              <w:t>État (neuf, bon, médiocre)</w:t>
            </w:r>
          </w:p>
        </w:tc>
        <w:tc>
          <w:tcPr>
            <w:tcW w:w="1559" w:type="dxa"/>
            <w:shd w:val="clear" w:color="auto" w:fill="F3F3F3"/>
            <w:vAlign w:val="center"/>
          </w:tcPr>
          <w:p w14:paraId="6AD8FF16" w14:textId="77777777" w:rsidR="003F017D" w:rsidRPr="003A3A87" w:rsidRDefault="003F017D" w:rsidP="006B66E4">
            <w:pPr>
              <w:spacing w:before="20" w:after="20"/>
              <w:jc w:val="center"/>
              <w:rPr>
                <w:rFonts w:cs="Arial"/>
                <w:b/>
                <w:bCs/>
                <w:sz w:val="20"/>
              </w:rPr>
            </w:pPr>
            <w:r w:rsidRPr="003A3A87">
              <w:rPr>
                <w:rFonts w:cs="Arial"/>
                <w:b/>
                <w:bCs/>
                <w:sz w:val="20"/>
              </w:rPr>
              <w:t>Nombre requis</w:t>
            </w:r>
          </w:p>
        </w:tc>
      </w:tr>
      <w:tr w:rsidR="003F017D" w:rsidRPr="003A3A87" w14:paraId="41D8459F" w14:textId="77777777" w:rsidTr="006B66E4">
        <w:trPr>
          <w:cantSplit/>
          <w:jc w:val="center"/>
        </w:trPr>
        <w:tc>
          <w:tcPr>
            <w:tcW w:w="9766" w:type="dxa"/>
            <w:gridSpan w:val="4"/>
          </w:tcPr>
          <w:p w14:paraId="33363692" w14:textId="77777777" w:rsidR="003F017D" w:rsidRPr="003A3A87" w:rsidRDefault="003F017D" w:rsidP="006B66E4">
            <w:pPr>
              <w:spacing w:before="20" w:after="20"/>
              <w:ind w:left="360"/>
              <w:jc w:val="center"/>
              <w:rPr>
                <w:rFonts w:cs="Arial"/>
                <w:sz w:val="20"/>
              </w:rPr>
            </w:pPr>
            <w:r w:rsidRPr="003A3A87">
              <w:rPr>
                <w:rFonts w:cs="Arial"/>
                <w:b/>
                <w:bCs/>
                <w:sz w:val="20"/>
              </w:rPr>
              <w:t>Matériel de terrassement</w:t>
            </w:r>
          </w:p>
        </w:tc>
      </w:tr>
      <w:tr w:rsidR="003F017D" w:rsidRPr="003A3A87" w14:paraId="0F304E5A" w14:textId="77777777" w:rsidTr="006B66E4">
        <w:trPr>
          <w:cantSplit/>
          <w:jc w:val="center"/>
        </w:trPr>
        <w:tc>
          <w:tcPr>
            <w:tcW w:w="4096" w:type="dxa"/>
            <w:vAlign w:val="center"/>
          </w:tcPr>
          <w:p w14:paraId="20F3C2A6" w14:textId="77777777" w:rsidR="003F017D" w:rsidRPr="003A3A87" w:rsidRDefault="003F017D" w:rsidP="006B66E4">
            <w:pPr>
              <w:spacing w:before="20" w:after="20"/>
              <w:rPr>
                <w:rFonts w:cs="Arial"/>
                <w:sz w:val="20"/>
              </w:rPr>
            </w:pPr>
            <w:r w:rsidRPr="003A3A87">
              <w:rPr>
                <w:rFonts w:cs="Arial"/>
                <w:sz w:val="20"/>
              </w:rPr>
              <w:t>Camion à benne de 7 à 12 m3</w:t>
            </w:r>
          </w:p>
        </w:tc>
        <w:tc>
          <w:tcPr>
            <w:tcW w:w="1418" w:type="dxa"/>
            <w:vAlign w:val="center"/>
          </w:tcPr>
          <w:p w14:paraId="427F24A2" w14:textId="77777777" w:rsidR="003F017D" w:rsidRPr="003A3A87" w:rsidRDefault="003F017D" w:rsidP="006B66E4">
            <w:pPr>
              <w:spacing w:before="20" w:after="20"/>
              <w:jc w:val="center"/>
              <w:rPr>
                <w:rFonts w:cs="Arial"/>
                <w:sz w:val="20"/>
              </w:rPr>
            </w:pPr>
          </w:p>
        </w:tc>
        <w:tc>
          <w:tcPr>
            <w:tcW w:w="2693" w:type="dxa"/>
            <w:vAlign w:val="center"/>
          </w:tcPr>
          <w:p w14:paraId="22AD3BE3" w14:textId="77777777" w:rsidR="003F017D" w:rsidRPr="003A3A87" w:rsidRDefault="003F017D" w:rsidP="006B66E4">
            <w:pPr>
              <w:spacing w:before="20" w:after="20"/>
              <w:jc w:val="center"/>
              <w:rPr>
                <w:rFonts w:cs="Arial"/>
                <w:sz w:val="20"/>
              </w:rPr>
            </w:pPr>
          </w:p>
        </w:tc>
        <w:tc>
          <w:tcPr>
            <w:tcW w:w="1559" w:type="dxa"/>
            <w:vAlign w:val="center"/>
          </w:tcPr>
          <w:p w14:paraId="6ADF2F8E" w14:textId="77777777" w:rsidR="003F017D" w:rsidRPr="003A3A87" w:rsidRDefault="003F017D" w:rsidP="006B66E4">
            <w:pPr>
              <w:spacing w:before="20" w:after="20"/>
              <w:jc w:val="center"/>
              <w:rPr>
                <w:rFonts w:cs="Arial"/>
                <w:sz w:val="20"/>
              </w:rPr>
            </w:pPr>
            <w:r w:rsidRPr="003A3A87">
              <w:rPr>
                <w:rFonts w:cs="Arial"/>
                <w:sz w:val="20"/>
              </w:rPr>
              <w:t>Dix (10)</w:t>
            </w:r>
          </w:p>
        </w:tc>
      </w:tr>
      <w:tr w:rsidR="003F017D" w:rsidRPr="003A3A87" w14:paraId="0369CEEB" w14:textId="77777777" w:rsidTr="006B66E4">
        <w:trPr>
          <w:cantSplit/>
          <w:jc w:val="center"/>
        </w:trPr>
        <w:tc>
          <w:tcPr>
            <w:tcW w:w="4096" w:type="dxa"/>
            <w:vAlign w:val="center"/>
          </w:tcPr>
          <w:p w14:paraId="4B3A9E99" w14:textId="77777777" w:rsidR="003F017D" w:rsidRPr="003A3A87" w:rsidRDefault="003F017D" w:rsidP="006B66E4">
            <w:pPr>
              <w:spacing w:before="20" w:after="20"/>
              <w:rPr>
                <w:rFonts w:cs="Arial"/>
                <w:sz w:val="20"/>
              </w:rPr>
            </w:pPr>
            <w:r w:rsidRPr="003A3A87">
              <w:rPr>
                <w:rFonts w:cs="Arial"/>
                <w:sz w:val="20"/>
              </w:rPr>
              <w:t>Niveleuse</w:t>
            </w:r>
          </w:p>
        </w:tc>
        <w:tc>
          <w:tcPr>
            <w:tcW w:w="1418" w:type="dxa"/>
            <w:vAlign w:val="center"/>
          </w:tcPr>
          <w:p w14:paraId="22E32D80" w14:textId="77777777" w:rsidR="003F017D" w:rsidRPr="003A3A87" w:rsidRDefault="003F017D" w:rsidP="006B66E4">
            <w:pPr>
              <w:spacing w:before="20" w:after="20"/>
              <w:jc w:val="center"/>
              <w:rPr>
                <w:rFonts w:cs="Arial"/>
                <w:sz w:val="20"/>
              </w:rPr>
            </w:pPr>
          </w:p>
        </w:tc>
        <w:tc>
          <w:tcPr>
            <w:tcW w:w="2693" w:type="dxa"/>
            <w:vAlign w:val="center"/>
          </w:tcPr>
          <w:p w14:paraId="005539C8" w14:textId="77777777" w:rsidR="003F017D" w:rsidRPr="003A3A87" w:rsidRDefault="003F017D" w:rsidP="006B66E4">
            <w:pPr>
              <w:spacing w:before="20" w:after="20"/>
              <w:jc w:val="center"/>
              <w:rPr>
                <w:rFonts w:cs="Arial"/>
                <w:sz w:val="20"/>
              </w:rPr>
            </w:pPr>
          </w:p>
        </w:tc>
        <w:tc>
          <w:tcPr>
            <w:tcW w:w="1559" w:type="dxa"/>
            <w:vAlign w:val="center"/>
          </w:tcPr>
          <w:p w14:paraId="60965C8F" w14:textId="77777777" w:rsidR="003F017D" w:rsidRPr="003A3A87" w:rsidRDefault="003F017D" w:rsidP="006B66E4">
            <w:pPr>
              <w:spacing w:before="20" w:after="20"/>
              <w:jc w:val="center"/>
              <w:rPr>
                <w:rFonts w:cs="Arial"/>
                <w:sz w:val="20"/>
              </w:rPr>
            </w:pPr>
            <w:r w:rsidRPr="003A3A87">
              <w:rPr>
                <w:rFonts w:cs="Arial"/>
                <w:sz w:val="20"/>
              </w:rPr>
              <w:t>Un (01)</w:t>
            </w:r>
          </w:p>
        </w:tc>
      </w:tr>
      <w:tr w:rsidR="003F017D" w:rsidRPr="003A3A87" w14:paraId="7CC7E1FD" w14:textId="77777777" w:rsidTr="006B66E4">
        <w:trPr>
          <w:cantSplit/>
          <w:jc w:val="center"/>
        </w:trPr>
        <w:tc>
          <w:tcPr>
            <w:tcW w:w="4096" w:type="dxa"/>
          </w:tcPr>
          <w:p w14:paraId="0D33BDA1" w14:textId="77777777" w:rsidR="003F017D" w:rsidRPr="003A3A87" w:rsidRDefault="003F017D" w:rsidP="002A57B1">
            <w:pPr>
              <w:spacing w:before="20" w:after="20"/>
              <w:ind w:left="55" w:hanging="96"/>
              <w:rPr>
                <w:sz w:val="20"/>
              </w:rPr>
            </w:pPr>
            <w:r w:rsidRPr="003A3A87">
              <w:rPr>
                <w:sz w:val="20"/>
              </w:rPr>
              <w:t>Pelles hydrauliques de 125 à 200 CV minimum (joindre cartes grises ou attestations de vente ou tout document justifiant l’acte de propriété)</w:t>
            </w:r>
          </w:p>
        </w:tc>
        <w:tc>
          <w:tcPr>
            <w:tcW w:w="1418" w:type="dxa"/>
            <w:vAlign w:val="center"/>
          </w:tcPr>
          <w:p w14:paraId="14FE7C11" w14:textId="77777777" w:rsidR="003F017D" w:rsidRPr="003A3A87" w:rsidRDefault="003F017D" w:rsidP="006B66E4">
            <w:pPr>
              <w:spacing w:before="20" w:after="20"/>
              <w:jc w:val="center"/>
              <w:rPr>
                <w:sz w:val="20"/>
              </w:rPr>
            </w:pPr>
          </w:p>
        </w:tc>
        <w:tc>
          <w:tcPr>
            <w:tcW w:w="2693" w:type="dxa"/>
            <w:vAlign w:val="center"/>
          </w:tcPr>
          <w:p w14:paraId="01EA62F5" w14:textId="77777777" w:rsidR="003F017D" w:rsidRPr="003A3A87" w:rsidRDefault="003F017D" w:rsidP="006B66E4">
            <w:pPr>
              <w:spacing w:before="20" w:after="20"/>
              <w:jc w:val="center"/>
              <w:rPr>
                <w:sz w:val="20"/>
              </w:rPr>
            </w:pPr>
          </w:p>
        </w:tc>
        <w:tc>
          <w:tcPr>
            <w:tcW w:w="1559" w:type="dxa"/>
            <w:vAlign w:val="center"/>
          </w:tcPr>
          <w:p w14:paraId="17E30F1F" w14:textId="77777777" w:rsidR="003F017D" w:rsidRPr="003A3A87" w:rsidRDefault="003F017D" w:rsidP="006B66E4">
            <w:pPr>
              <w:spacing w:before="20" w:after="20"/>
              <w:jc w:val="center"/>
              <w:rPr>
                <w:sz w:val="20"/>
              </w:rPr>
            </w:pPr>
            <w:r w:rsidRPr="003A3A87">
              <w:rPr>
                <w:rFonts w:cs="Arial"/>
                <w:sz w:val="20"/>
              </w:rPr>
              <w:t>Un (01)</w:t>
            </w:r>
          </w:p>
        </w:tc>
      </w:tr>
      <w:tr w:rsidR="003F017D" w:rsidRPr="003A3A87" w14:paraId="0B8CA49F" w14:textId="77777777" w:rsidTr="006B66E4">
        <w:trPr>
          <w:cantSplit/>
          <w:jc w:val="center"/>
        </w:trPr>
        <w:tc>
          <w:tcPr>
            <w:tcW w:w="4096" w:type="dxa"/>
            <w:vAlign w:val="center"/>
          </w:tcPr>
          <w:p w14:paraId="1B35B3EE" w14:textId="77777777" w:rsidR="003F017D" w:rsidRPr="003A3A87" w:rsidRDefault="003F017D" w:rsidP="002A57B1">
            <w:pPr>
              <w:spacing w:before="20" w:after="20"/>
              <w:ind w:left="55" w:hanging="96"/>
              <w:rPr>
                <w:rFonts w:cs="Arial"/>
                <w:sz w:val="20"/>
              </w:rPr>
            </w:pPr>
            <w:r w:rsidRPr="003A3A87">
              <w:rPr>
                <w:rFonts w:cs="Arial"/>
                <w:sz w:val="20"/>
              </w:rPr>
              <w:t>Compacteur à rouleaux Tandem vibrants articulé 5.0 t à 10.0 t</w:t>
            </w:r>
          </w:p>
        </w:tc>
        <w:tc>
          <w:tcPr>
            <w:tcW w:w="1418" w:type="dxa"/>
            <w:vAlign w:val="center"/>
          </w:tcPr>
          <w:p w14:paraId="76445F3D" w14:textId="77777777" w:rsidR="003F017D" w:rsidRPr="003A3A87" w:rsidRDefault="003F017D" w:rsidP="006B66E4">
            <w:pPr>
              <w:spacing w:before="20" w:after="20"/>
              <w:jc w:val="center"/>
              <w:rPr>
                <w:rFonts w:cs="Arial"/>
                <w:sz w:val="20"/>
              </w:rPr>
            </w:pPr>
          </w:p>
        </w:tc>
        <w:tc>
          <w:tcPr>
            <w:tcW w:w="2693" w:type="dxa"/>
            <w:vAlign w:val="center"/>
          </w:tcPr>
          <w:p w14:paraId="3806A6B0" w14:textId="77777777" w:rsidR="003F017D" w:rsidRPr="003A3A87" w:rsidRDefault="003F017D" w:rsidP="006B66E4">
            <w:pPr>
              <w:spacing w:before="20" w:after="20"/>
              <w:jc w:val="center"/>
              <w:rPr>
                <w:rFonts w:cs="Arial"/>
                <w:sz w:val="20"/>
              </w:rPr>
            </w:pPr>
          </w:p>
        </w:tc>
        <w:tc>
          <w:tcPr>
            <w:tcW w:w="1559" w:type="dxa"/>
            <w:vAlign w:val="center"/>
          </w:tcPr>
          <w:p w14:paraId="72358DC5" w14:textId="77777777" w:rsidR="003F017D" w:rsidRPr="003A3A87" w:rsidRDefault="003F017D" w:rsidP="006B66E4">
            <w:pPr>
              <w:spacing w:before="20" w:after="20"/>
              <w:jc w:val="center"/>
              <w:rPr>
                <w:rFonts w:cs="Arial"/>
                <w:sz w:val="20"/>
              </w:rPr>
            </w:pPr>
            <w:r w:rsidRPr="003A3A87">
              <w:rPr>
                <w:rFonts w:cs="Arial"/>
                <w:sz w:val="20"/>
              </w:rPr>
              <w:t>Un (01)</w:t>
            </w:r>
          </w:p>
        </w:tc>
      </w:tr>
      <w:tr w:rsidR="003F017D" w:rsidRPr="003A3A87" w14:paraId="737FB5C5" w14:textId="77777777" w:rsidTr="006B66E4">
        <w:trPr>
          <w:cantSplit/>
          <w:jc w:val="center"/>
        </w:trPr>
        <w:tc>
          <w:tcPr>
            <w:tcW w:w="4096" w:type="dxa"/>
            <w:vAlign w:val="center"/>
          </w:tcPr>
          <w:p w14:paraId="2D942A86" w14:textId="77777777" w:rsidR="003F017D" w:rsidRPr="003A3A87" w:rsidRDefault="003F017D" w:rsidP="002A57B1">
            <w:pPr>
              <w:spacing w:before="20" w:after="20"/>
              <w:ind w:left="55" w:hanging="96"/>
              <w:rPr>
                <w:sz w:val="20"/>
              </w:rPr>
            </w:pPr>
            <w:r w:rsidRPr="003A3A87">
              <w:rPr>
                <w:sz w:val="20"/>
              </w:rPr>
              <w:t>Compacteur Pieds de mouton de 10 à 16 tonnes minimum</w:t>
            </w:r>
          </w:p>
        </w:tc>
        <w:tc>
          <w:tcPr>
            <w:tcW w:w="1418" w:type="dxa"/>
            <w:vAlign w:val="center"/>
          </w:tcPr>
          <w:p w14:paraId="28302A74" w14:textId="77777777" w:rsidR="003F017D" w:rsidRPr="003A3A87" w:rsidRDefault="003F017D" w:rsidP="006B66E4">
            <w:pPr>
              <w:spacing w:before="20" w:after="20"/>
              <w:jc w:val="center"/>
              <w:rPr>
                <w:sz w:val="20"/>
              </w:rPr>
            </w:pPr>
          </w:p>
        </w:tc>
        <w:tc>
          <w:tcPr>
            <w:tcW w:w="2693" w:type="dxa"/>
            <w:vAlign w:val="center"/>
          </w:tcPr>
          <w:p w14:paraId="5AD95A76" w14:textId="77777777" w:rsidR="003F017D" w:rsidRPr="003A3A87" w:rsidRDefault="003F017D" w:rsidP="006B66E4">
            <w:pPr>
              <w:spacing w:before="20" w:after="20"/>
              <w:jc w:val="center"/>
              <w:rPr>
                <w:sz w:val="20"/>
              </w:rPr>
            </w:pPr>
          </w:p>
        </w:tc>
        <w:tc>
          <w:tcPr>
            <w:tcW w:w="1559" w:type="dxa"/>
            <w:vAlign w:val="center"/>
          </w:tcPr>
          <w:p w14:paraId="5F705528" w14:textId="77777777" w:rsidR="003F017D" w:rsidRPr="003A3A87" w:rsidRDefault="003F017D" w:rsidP="006B66E4">
            <w:pPr>
              <w:spacing w:before="20" w:after="20"/>
              <w:jc w:val="center"/>
              <w:rPr>
                <w:sz w:val="20"/>
              </w:rPr>
            </w:pPr>
            <w:r w:rsidRPr="003A3A87">
              <w:rPr>
                <w:sz w:val="20"/>
              </w:rPr>
              <w:t>Un (01)</w:t>
            </w:r>
          </w:p>
        </w:tc>
      </w:tr>
      <w:tr w:rsidR="003F017D" w:rsidRPr="003A3A87" w14:paraId="27BA6AED" w14:textId="77777777" w:rsidTr="006B66E4">
        <w:trPr>
          <w:cantSplit/>
          <w:jc w:val="center"/>
        </w:trPr>
        <w:tc>
          <w:tcPr>
            <w:tcW w:w="4096" w:type="dxa"/>
            <w:vAlign w:val="center"/>
          </w:tcPr>
          <w:p w14:paraId="056D4965" w14:textId="78D5B7FF" w:rsidR="003F017D" w:rsidRPr="000F62A5" w:rsidRDefault="003F017D" w:rsidP="002A57B1">
            <w:pPr>
              <w:spacing w:before="20" w:after="20"/>
              <w:ind w:left="55" w:hanging="96"/>
              <w:rPr>
                <w:sz w:val="20"/>
              </w:rPr>
            </w:pPr>
            <w:r w:rsidRPr="000F62A5">
              <w:rPr>
                <w:sz w:val="20"/>
              </w:rPr>
              <w:t xml:space="preserve">Bull </w:t>
            </w:r>
            <w:proofErr w:type="spellStart"/>
            <w:r w:rsidRPr="000F62A5">
              <w:rPr>
                <w:sz w:val="20"/>
              </w:rPr>
              <w:t>Dozer</w:t>
            </w:r>
            <w:proofErr w:type="spellEnd"/>
            <w:r w:rsidRPr="000F62A5">
              <w:rPr>
                <w:sz w:val="20"/>
              </w:rPr>
              <w:t xml:space="preserve"> </w:t>
            </w:r>
            <w:r w:rsidR="00B83BA8" w:rsidRPr="000F62A5">
              <w:rPr>
                <w:sz w:val="20"/>
              </w:rPr>
              <w:t>D</w:t>
            </w:r>
            <w:r w:rsidR="00162E47" w:rsidRPr="000F62A5">
              <w:rPr>
                <w:sz w:val="20"/>
              </w:rPr>
              <w:t>6</w:t>
            </w:r>
            <w:r w:rsidR="00B83BA8" w:rsidRPr="000F62A5">
              <w:rPr>
                <w:sz w:val="20"/>
              </w:rPr>
              <w:t xml:space="preserve"> </w:t>
            </w:r>
            <w:r w:rsidRPr="000F62A5">
              <w:rPr>
                <w:sz w:val="20"/>
              </w:rPr>
              <w:t xml:space="preserve">de 100 à 200 </w:t>
            </w:r>
            <w:r w:rsidR="00BD4C22" w:rsidRPr="000F62A5">
              <w:rPr>
                <w:sz w:val="20"/>
              </w:rPr>
              <w:t>CV minimum</w:t>
            </w:r>
            <w:r w:rsidRPr="000F62A5">
              <w:rPr>
                <w:sz w:val="20"/>
              </w:rPr>
              <w:t xml:space="preserve"> (joindre cartes grises ou attestations de vente ou tout document justifiant l’acte de propriété)</w:t>
            </w:r>
          </w:p>
        </w:tc>
        <w:tc>
          <w:tcPr>
            <w:tcW w:w="1418" w:type="dxa"/>
            <w:vAlign w:val="center"/>
          </w:tcPr>
          <w:p w14:paraId="4CA560DC" w14:textId="77777777" w:rsidR="003F017D" w:rsidRPr="000F62A5" w:rsidRDefault="003F017D" w:rsidP="006B66E4">
            <w:pPr>
              <w:spacing w:before="20" w:after="20"/>
              <w:jc w:val="center"/>
              <w:rPr>
                <w:sz w:val="20"/>
              </w:rPr>
            </w:pPr>
          </w:p>
        </w:tc>
        <w:tc>
          <w:tcPr>
            <w:tcW w:w="2693" w:type="dxa"/>
            <w:vAlign w:val="center"/>
          </w:tcPr>
          <w:p w14:paraId="7F81C876" w14:textId="77777777" w:rsidR="003F017D" w:rsidRPr="003A3A87" w:rsidRDefault="003F017D" w:rsidP="006B66E4">
            <w:pPr>
              <w:spacing w:before="20" w:after="20"/>
              <w:jc w:val="center"/>
              <w:rPr>
                <w:sz w:val="20"/>
              </w:rPr>
            </w:pPr>
          </w:p>
        </w:tc>
        <w:tc>
          <w:tcPr>
            <w:tcW w:w="1559" w:type="dxa"/>
            <w:vAlign w:val="center"/>
          </w:tcPr>
          <w:p w14:paraId="30F45054" w14:textId="77777777" w:rsidR="003F017D" w:rsidRPr="003A3A87" w:rsidRDefault="003F017D" w:rsidP="006B66E4">
            <w:pPr>
              <w:spacing w:before="20" w:after="20"/>
              <w:jc w:val="center"/>
              <w:rPr>
                <w:sz w:val="20"/>
              </w:rPr>
            </w:pPr>
            <w:r w:rsidRPr="003A3A87">
              <w:rPr>
                <w:sz w:val="20"/>
              </w:rPr>
              <w:t>Un (01)</w:t>
            </w:r>
          </w:p>
        </w:tc>
      </w:tr>
      <w:tr w:rsidR="003F017D" w:rsidRPr="003A3A87" w14:paraId="11E2DE03" w14:textId="77777777" w:rsidTr="006B66E4">
        <w:trPr>
          <w:cantSplit/>
          <w:jc w:val="center"/>
        </w:trPr>
        <w:tc>
          <w:tcPr>
            <w:tcW w:w="4096" w:type="dxa"/>
            <w:vAlign w:val="center"/>
          </w:tcPr>
          <w:p w14:paraId="35A4D9B8" w14:textId="37A94B99" w:rsidR="003F017D" w:rsidRPr="000F62A5" w:rsidRDefault="003F017D" w:rsidP="002A57B1">
            <w:pPr>
              <w:spacing w:before="20" w:after="20"/>
              <w:ind w:left="55" w:hanging="96"/>
              <w:rPr>
                <w:sz w:val="20"/>
              </w:rPr>
            </w:pPr>
            <w:r w:rsidRPr="000F62A5">
              <w:rPr>
                <w:sz w:val="20"/>
              </w:rPr>
              <w:t xml:space="preserve">Chargeurs sur pneus de 100 à 200 CV minimum (joindre cartes grises ou attestations de vente ou tout document justifiant </w:t>
            </w:r>
            <w:r w:rsidR="00BD4C22" w:rsidRPr="000F62A5">
              <w:rPr>
                <w:sz w:val="20"/>
              </w:rPr>
              <w:t>l’acte de propriété)</w:t>
            </w:r>
          </w:p>
        </w:tc>
        <w:tc>
          <w:tcPr>
            <w:tcW w:w="1418" w:type="dxa"/>
            <w:vAlign w:val="center"/>
          </w:tcPr>
          <w:p w14:paraId="10413699" w14:textId="77777777" w:rsidR="003F017D" w:rsidRPr="000F62A5" w:rsidRDefault="003F017D" w:rsidP="006B66E4">
            <w:pPr>
              <w:spacing w:before="20" w:after="20"/>
              <w:jc w:val="center"/>
              <w:rPr>
                <w:sz w:val="20"/>
              </w:rPr>
            </w:pPr>
          </w:p>
        </w:tc>
        <w:tc>
          <w:tcPr>
            <w:tcW w:w="2693" w:type="dxa"/>
            <w:vAlign w:val="center"/>
          </w:tcPr>
          <w:p w14:paraId="30D83B63" w14:textId="77777777" w:rsidR="003F017D" w:rsidRPr="003A3A87" w:rsidRDefault="003F017D" w:rsidP="006B66E4">
            <w:pPr>
              <w:spacing w:before="20" w:after="20"/>
              <w:jc w:val="center"/>
              <w:rPr>
                <w:sz w:val="20"/>
              </w:rPr>
            </w:pPr>
          </w:p>
        </w:tc>
        <w:tc>
          <w:tcPr>
            <w:tcW w:w="1559" w:type="dxa"/>
            <w:vAlign w:val="center"/>
          </w:tcPr>
          <w:p w14:paraId="726B1A75" w14:textId="77777777" w:rsidR="003F017D" w:rsidRPr="003A3A87" w:rsidRDefault="003F017D" w:rsidP="006B66E4">
            <w:pPr>
              <w:spacing w:before="20" w:after="20"/>
              <w:jc w:val="center"/>
              <w:rPr>
                <w:sz w:val="20"/>
              </w:rPr>
            </w:pPr>
            <w:r w:rsidRPr="003A3A87">
              <w:rPr>
                <w:sz w:val="20"/>
              </w:rPr>
              <w:t>Un (01)</w:t>
            </w:r>
          </w:p>
        </w:tc>
      </w:tr>
      <w:tr w:rsidR="009C1418" w:rsidRPr="009C1418" w14:paraId="27A2E168" w14:textId="77777777" w:rsidTr="00FB5DF2">
        <w:trPr>
          <w:cantSplit/>
          <w:jc w:val="center"/>
        </w:trPr>
        <w:tc>
          <w:tcPr>
            <w:tcW w:w="4096" w:type="dxa"/>
          </w:tcPr>
          <w:p w14:paraId="476BD4F5" w14:textId="099DE689" w:rsidR="00F84253" w:rsidRPr="000F62A5" w:rsidRDefault="00F84253" w:rsidP="00F84253">
            <w:pPr>
              <w:spacing w:before="20" w:after="20"/>
              <w:rPr>
                <w:sz w:val="20"/>
              </w:rPr>
            </w:pPr>
            <w:r w:rsidRPr="000F62A5">
              <w:rPr>
                <w:rFonts w:cs="Arial"/>
                <w:sz w:val="20"/>
              </w:rPr>
              <w:t>Motopompe de 5 à 10 cv</w:t>
            </w:r>
          </w:p>
        </w:tc>
        <w:tc>
          <w:tcPr>
            <w:tcW w:w="1418" w:type="dxa"/>
            <w:vAlign w:val="center"/>
          </w:tcPr>
          <w:p w14:paraId="0ED599DE" w14:textId="77777777" w:rsidR="00F84253" w:rsidRPr="000F62A5" w:rsidRDefault="00F84253" w:rsidP="00F84253">
            <w:pPr>
              <w:spacing w:before="20" w:after="20"/>
              <w:jc w:val="center"/>
              <w:rPr>
                <w:sz w:val="20"/>
              </w:rPr>
            </w:pPr>
          </w:p>
        </w:tc>
        <w:tc>
          <w:tcPr>
            <w:tcW w:w="2693" w:type="dxa"/>
            <w:vAlign w:val="center"/>
          </w:tcPr>
          <w:p w14:paraId="337C8B7A" w14:textId="77777777" w:rsidR="00F84253" w:rsidRPr="009C1418" w:rsidRDefault="00F84253" w:rsidP="00F84253">
            <w:pPr>
              <w:spacing w:before="20" w:after="20"/>
              <w:jc w:val="center"/>
              <w:rPr>
                <w:sz w:val="20"/>
              </w:rPr>
            </w:pPr>
          </w:p>
        </w:tc>
        <w:tc>
          <w:tcPr>
            <w:tcW w:w="1559" w:type="dxa"/>
            <w:vAlign w:val="center"/>
          </w:tcPr>
          <w:p w14:paraId="4BFF9924" w14:textId="77777777" w:rsidR="00F84253" w:rsidRPr="009C1418" w:rsidRDefault="00F84253" w:rsidP="00F84253">
            <w:pPr>
              <w:spacing w:before="20" w:after="20"/>
              <w:jc w:val="center"/>
              <w:rPr>
                <w:sz w:val="20"/>
              </w:rPr>
            </w:pPr>
            <w:r w:rsidRPr="009C1418">
              <w:rPr>
                <w:sz w:val="20"/>
              </w:rPr>
              <w:t>Une (01)</w:t>
            </w:r>
          </w:p>
        </w:tc>
      </w:tr>
      <w:tr w:rsidR="009C1418" w:rsidRPr="009C1418" w14:paraId="3F5BC4B9" w14:textId="77777777" w:rsidTr="00FB5DF2">
        <w:trPr>
          <w:cantSplit/>
          <w:jc w:val="center"/>
        </w:trPr>
        <w:tc>
          <w:tcPr>
            <w:tcW w:w="4096" w:type="dxa"/>
          </w:tcPr>
          <w:p w14:paraId="2EAE18C4" w14:textId="2110CC46" w:rsidR="00F84253" w:rsidRPr="000F62A5" w:rsidRDefault="00F84253" w:rsidP="00F84253">
            <w:pPr>
              <w:spacing w:before="20" w:after="20"/>
              <w:rPr>
                <w:sz w:val="20"/>
              </w:rPr>
            </w:pPr>
            <w:r w:rsidRPr="000F62A5">
              <w:rPr>
                <w:rFonts w:cs="Arial"/>
                <w:sz w:val="20"/>
              </w:rPr>
              <w:t>Camion-citerne de 5000 litres au moins</w:t>
            </w:r>
          </w:p>
        </w:tc>
        <w:tc>
          <w:tcPr>
            <w:tcW w:w="1418" w:type="dxa"/>
            <w:vAlign w:val="center"/>
          </w:tcPr>
          <w:p w14:paraId="67F8E3B4" w14:textId="77777777" w:rsidR="00F84253" w:rsidRPr="000F62A5" w:rsidRDefault="00F84253" w:rsidP="00F84253">
            <w:pPr>
              <w:spacing w:before="20" w:after="20"/>
              <w:jc w:val="center"/>
              <w:rPr>
                <w:sz w:val="20"/>
              </w:rPr>
            </w:pPr>
          </w:p>
        </w:tc>
        <w:tc>
          <w:tcPr>
            <w:tcW w:w="2693" w:type="dxa"/>
            <w:vAlign w:val="center"/>
          </w:tcPr>
          <w:p w14:paraId="52445BB0" w14:textId="77777777" w:rsidR="00F84253" w:rsidRPr="009C1418" w:rsidRDefault="00F84253" w:rsidP="00F84253">
            <w:pPr>
              <w:spacing w:before="20" w:after="20"/>
              <w:jc w:val="center"/>
              <w:rPr>
                <w:sz w:val="20"/>
              </w:rPr>
            </w:pPr>
          </w:p>
        </w:tc>
        <w:tc>
          <w:tcPr>
            <w:tcW w:w="1559" w:type="dxa"/>
            <w:vAlign w:val="center"/>
          </w:tcPr>
          <w:p w14:paraId="237E4CF9" w14:textId="772CC79B" w:rsidR="00F84253" w:rsidRPr="009C1418" w:rsidRDefault="00B83BA8" w:rsidP="00F84253">
            <w:pPr>
              <w:spacing w:before="20" w:after="20"/>
              <w:jc w:val="center"/>
              <w:rPr>
                <w:sz w:val="20"/>
              </w:rPr>
            </w:pPr>
            <w:r w:rsidRPr="009C1418">
              <w:rPr>
                <w:sz w:val="20"/>
              </w:rPr>
              <w:t>Deux</w:t>
            </w:r>
            <w:r w:rsidR="00F84253" w:rsidRPr="009C1418">
              <w:rPr>
                <w:sz w:val="20"/>
              </w:rPr>
              <w:t xml:space="preserve"> (02)</w:t>
            </w:r>
          </w:p>
        </w:tc>
      </w:tr>
      <w:tr w:rsidR="003F017D" w:rsidRPr="003A3A87" w14:paraId="0E36DC55" w14:textId="77777777" w:rsidTr="006B66E4">
        <w:trPr>
          <w:cantSplit/>
          <w:jc w:val="center"/>
        </w:trPr>
        <w:tc>
          <w:tcPr>
            <w:tcW w:w="4096" w:type="dxa"/>
            <w:vAlign w:val="center"/>
          </w:tcPr>
          <w:p w14:paraId="3E96C5FF" w14:textId="0137F099" w:rsidR="003F017D" w:rsidRPr="000F62A5" w:rsidRDefault="003F017D" w:rsidP="002A57B1">
            <w:pPr>
              <w:spacing w:before="20" w:after="20"/>
              <w:ind w:left="55" w:hanging="96"/>
              <w:rPr>
                <w:sz w:val="20"/>
              </w:rPr>
            </w:pPr>
            <w:r w:rsidRPr="000F62A5">
              <w:rPr>
                <w:sz w:val="20"/>
              </w:rPr>
              <w:t xml:space="preserve">Citerne à </w:t>
            </w:r>
            <w:proofErr w:type="spellStart"/>
            <w:r w:rsidRPr="000F62A5">
              <w:rPr>
                <w:sz w:val="20"/>
              </w:rPr>
              <w:t>gaz-</w:t>
            </w:r>
            <w:r w:rsidR="00BD4C22" w:rsidRPr="000F62A5">
              <w:rPr>
                <w:sz w:val="20"/>
              </w:rPr>
              <w:t>oil</w:t>
            </w:r>
            <w:proofErr w:type="spellEnd"/>
            <w:r w:rsidR="00BD4C22" w:rsidRPr="000F62A5">
              <w:rPr>
                <w:sz w:val="20"/>
              </w:rPr>
              <w:t xml:space="preserve"> </w:t>
            </w:r>
            <w:r w:rsidR="00A55884" w:rsidRPr="000F62A5">
              <w:rPr>
                <w:sz w:val="20"/>
              </w:rPr>
              <w:t>1</w:t>
            </w:r>
            <w:r w:rsidR="00BD4C22" w:rsidRPr="000F62A5">
              <w:rPr>
                <w:sz w:val="20"/>
              </w:rPr>
              <w:t>0</w:t>
            </w:r>
            <w:r w:rsidRPr="000F62A5">
              <w:rPr>
                <w:sz w:val="20"/>
              </w:rPr>
              <w:t> 000 litres (joindre cartes grises ou attestations de vente ou tout document justifiant l’acte de propriété)</w:t>
            </w:r>
          </w:p>
        </w:tc>
        <w:tc>
          <w:tcPr>
            <w:tcW w:w="1418" w:type="dxa"/>
            <w:vAlign w:val="center"/>
          </w:tcPr>
          <w:p w14:paraId="3936AAD8" w14:textId="77777777" w:rsidR="003F017D" w:rsidRPr="000F62A5" w:rsidRDefault="003F017D" w:rsidP="006B66E4">
            <w:pPr>
              <w:spacing w:before="20" w:after="20"/>
              <w:jc w:val="center"/>
              <w:rPr>
                <w:sz w:val="20"/>
              </w:rPr>
            </w:pPr>
          </w:p>
        </w:tc>
        <w:tc>
          <w:tcPr>
            <w:tcW w:w="2693" w:type="dxa"/>
            <w:vAlign w:val="center"/>
          </w:tcPr>
          <w:p w14:paraId="0144E6D5" w14:textId="77777777" w:rsidR="003F017D" w:rsidRPr="003A3A87" w:rsidRDefault="003F017D" w:rsidP="006B66E4">
            <w:pPr>
              <w:spacing w:before="20" w:after="20"/>
              <w:jc w:val="center"/>
              <w:rPr>
                <w:sz w:val="20"/>
              </w:rPr>
            </w:pPr>
          </w:p>
        </w:tc>
        <w:tc>
          <w:tcPr>
            <w:tcW w:w="1559" w:type="dxa"/>
            <w:vAlign w:val="center"/>
          </w:tcPr>
          <w:p w14:paraId="4B581BFF" w14:textId="77777777" w:rsidR="003F017D" w:rsidRPr="003A3A87" w:rsidRDefault="003F017D" w:rsidP="006B66E4">
            <w:pPr>
              <w:spacing w:before="20" w:after="20"/>
              <w:jc w:val="center"/>
              <w:rPr>
                <w:sz w:val="20"/>
              </w:rPr>
            </w:pPr>
            <w:r w:rsidRPr="003A3A87">
              <w:rPr>
                <w:sz w:val="20"/>
              </w:rPr>
              <w:t>Une (01)</w:t>
            </w:r>
          </w:p>
        </w:tc>
      </w:tr>
      <w:tr w:rsidR="003F017D" w:rsidRPr="003A3A87" w14:paraId="0A178279" w14:textId="77777777" w:rsidTr="006B66E4">
        <w:trPr>
          <w:cantSplit/>
          <w:jc w:val="center"/>
        </w:trPr>
        <w:tc>
          <w:tcPr>
            <w:tcW w:w="9766" w:type="dxa"/>
            <w:gridSpan w:val="4"/>
          </w:tcPr>
          <w:p w14:paraId="69AF6DE3" w14:textId="77777777" w:rsidR="003F017D" w:rsidRPr="003A3A87" w:rsidRDefault="003F017D" w:rsidP="006B66E4">
            <w:pPr>
              <w:spacing w:before="20" w:after="20"/>
              <w:jc w:val="center"/>
              <w:rPr>
                <w:rFonts w:cs="Arial"/>
                <w:sz w:val="20"/>
              </w:rPr>
            </w:pPr>
            <w:r w:rsidRPr="003A3A87">
              <w:rPr>
                <w:rFonts w:cs="Arial"/>
                <w:b/>
                <w:bCs/>
                <w:sz w:val="20"/>
              </w:rPr>
              <w:t>Matériel de bétonnage</w:t>
            </w:r>
          </w:p>
        </w:tc>
      </w:tr>
      <w:tr w:rsidR="003F017D" w:rsidRPr="003A3A87" w14:paraId="793BA146" w14:textId="77777777" w:rsidTr="006B66E4">
        <w:trPr>
          <w:cantSplit/>
          <w:jc w:val="center"/>
        </w:trPr>
        <w:tc>
          <w:tcPr>
            <w:tcW w:w="4096" w:type="dxa"/>
          </w:tcPr>
          <w:p w14:paraId="42F509BD" w14:textId="77777777" w:rsidR="003F017D" w:rsidRPr="003A3A87" w:rsidRDefault="003F017D" w:rsidP="006B66E4">
            <w:pPr>
              <w:spacing w:before="20" w:after="20"/>
              <w:rPr>
                <w:rFonts w:cs="Arial"/>
                <w:sz w:val="20"/>
              </w:rPr>
            </w:pPr>
            <w:r w:rsidRPr="003A3A87">
              <w:rPr>
                <w:rFonts w:cs="Arial"/>
                <w:sz w:val="20"/>
              </w:rPr>
              <w:t>Bétonnière (capacité supérieure à 500 litres)</w:t>
            </w:r>
          </w:p>
        </w:tc>
        <w:tc>
          <w:tcPr>
            <w:tcW w:w="1418" w:type="dxa"/>
          </w:tcPr>
          <w:p w14:paraId="4D8370D3" w14:textId="77777777" w:rsidR="003F017D" w:rsidRPr="003A3A87" w:rsidRDefault="003F017D" w:rsidP="006B66E4">
            <w:pPr>
              <w:spacing w:before="20" w:after="20"/>
              <w:jc w:val="center"/>
              <w:rPr>
                <w:rFonts w:cs="Arial"/>
                <w:sz w:val="20"/>
              </w:rPr>
            </w:pPr>
          </w:p>
        </w:tc>
        <w:tc>
          <w:tcPr>
            <w:tcW w:w="2693" w:type="dxa"/>
          </w:tcPr>
          <w:p w14:paraId="468C2E56" w14:textId="77777777" w:rsidR="003F017D" w:rsidRPr="003A3A87" w:rsidRDefault="003F017D" w:rsidP="006B66E4">
            <w:pPr>
              <w:spacing w:before="20" w:after="20"/>
              <w:jc w:val="center"/>
              <w:rPr>
                <w:rFonts w:cs="Arial"/>
                <w:sz w:val="20"/>
              </w:rPr>
            </w:pPr>
          </w:p>
        </w:tc>
        <w:tc>
          <w:tcPr>
            <w:tcW w:w="1559" w:type="dxa"/>
          </w:tcPr>
          <w:p w14:paraId="0ADA715D" w14:textId="287D241C" w:rsidR="003F017D" w:rsidRPr="003A3A87" w:rsidRDefault="00B83BA8" w:rsidP="006B66E4">
            <w:pPr>
              <w:spacing w:before="20" w:after="20"/>
              <w:jc w:val="center"/>
              <w:rPr>
                <w:rFonts w:cs="Arial"/>
                <w:sz w:val="20"/>
              </w:rPr>
            </w:pPr>
            <w:r>
              <w:rPr>
                <w:rFonts w:cs="Arial"/>
                <w:sz w:val="20"/>
              </w:rPr>
              <w:t>Quatre</w:t>
            </w:r>
            <w:r w:rsidR="003F017D" w:rsidRPr="003A3A87">
              <w:rPr>
                <w:rFonts w:cs="Arial"/>
                <w:sz w:val="20"/>
              </w:rPr>
              <w:t xml:space="preserve"> (0</w:t>
            </w:r>
            <w:r>
              <w:rPr>
                <w:rFonts w:cs="Arial"/>
                <w:sz w:val="20"/>
              </w:rPr>
              <w:t>4</w:t>
            </w:r>
            <w:r w:rsidR="003F017D" w:rsidRPr="003A3A87">
              <w:rPr>
                <w:rFonts w:cs="Arial"/>
                <w:sz w:val="20"/>
              </w:rPr>
              <w:t xml:space="preserve">) </w:t>
            </w:r>
          </w:p>
        </w:tc>
      </w:tr>
      <w:tr w:rsidR="003F017D" w:rsidRPr="003A3A87" w14:paraId="24941C0B" w14:textId="77777777" w:rsidTr="006B66E4">
        <w:trPr>
          <w:cantSplit/>
          <w:jc w:val="center"/>
        </w:trPr>
        <w:tc>
          <w:tcPr>
            <w:tcW w:w="4096" w:type="dxa"/>
          </w:tcPr>
          <w:p w14:paraId="7FA6E5E0" w14:textId="77777777" w:rsidR="003F017D" w:rsidRPr="003A3A87" w:rsidRDefault="003F017D" w:rsidP="006B66E4">
            <w:pPr>
              <w:spacing w:before="20" w:after="20"/>
              <w:rPr>
                <w:rFonts w:cs="Arial"/>
                <w:sz w:val="20"/>
              </w:rPr>
            </w:pPr>
            <w:r w:rsidRPr="003A3A87">
              <w:rPr>
                <w:rFonts w:cs="Arial"/>
                <w:sz w:val="20"/>
              </w:rPr>
              <w:t>Unité de vibration de béton</w:t>
            </w:r>
          </w:p>
        </w:tc>
        <w:tc>
          <w:tcPr>
            <w:tcW w:w="1418" w:type="dxa"/>
          </w:tcPr>
          <w:p w14:paraId="40CDAE7F" w14:textId="77777777" w:rsidR="003F017D" w:rsidRPr="003A3A87" w:rsidRDefault="003F017D" w:rsidP="006B66E4">
            <w:pPr>
              <w:spacing w:before="20" w:after="20"/>
              <w:jc w:val="center"/>
              <w:rPr>
                <w:rFonts w:cs="Arial"/>
                <w:sz w:val="20"/>
              </w:rPr>
            </w:pPr>
          </w:p>
        </w:tc>
        <w:tc>
          <w:tcPr>
            <w:tcW w:w="2693" w:type="dxa"/>
          </w:tcPr>
          <w:p w14:paraId="2DAC1C2C" w14:textId="77777777" w:rsidR="003F017D" w:rsidRPr="003A3A87" w:rsidRDefault="003F017D" w:rsidP="006B66E4">
            <w:pPr>
              <w:spacing w:before="20" w:after="20"/>
              <w:jc w:val="center"/>
              <w:rPr>
                <w:rFonts w:cs="Arial"/>
                <w:sz w:val="20"/>
              </w:rPr>
            </w:pPr>
          </w:p>
        </w:tc>
        <w:tc>
          <w:tcPr>
            <w:tcW w:w="1559" w:type="dxa"/>
          </w:tcPr>
          <w:p w14:paraId="3EC19C40" w14:textId="77777777" w:rsidR="003F017D" w:rsidRPr="003A3A87" w:rsidRDefault="003F017D" w:rsidP="006B66E4">
            <w:pPr>
              <w:spacing w:before="20" w:after="20"/>
              <w:jc w:val="center"/>
              <w:rPr>
                <w:rFonts w:cs="Arial"/>
                <w:sz w:val="20"/>
              </w:rPr>
            </w:pPr>
            <w:r w:rsidRPr="003A3A87">
              <w:rPr>
                <w:rFonts w:cs="Arial"/>
                <w:sz w:val="20"/>
              </w:rPr>
              <w:t>Trois (03)</w:t>
            </w:r>
          </w:p>
        </w:tc>
      </w:tr>
      <w:tr w:rsidR="003F017D" w:rsidRPr="003A3A87" w14:paraId="06E89478" w14:textId="77777777" w:rsidTr="006B66E4">
        <w:trPr>
          <w:cantSplit/>
          <w:jc w:val="center"/>
        </w:trPr>
        <w:tc>
          <w:tcPr>
            <w:tcW w:w="9766" w:type="dxa"/>
            <w:gridSpan w:val="4"/>
          </w:tcPr>
          <w:p w14:paraId="61048ED6" w14:textId="77777777" w:rsidR="003F017D" w:rsidRPr="003A3A87" w:rsidRDefault="003F017D" w:rsidP="006B66E4">
            <w:pPr>
              <w:spacing w:before="20" w:after="20"/>
              <w:jc w:val="center"/>
              <w:rPr>
                <w:rFonts w:cs="Arial"/>
                <w:sz w:val="20"/>
              </w:rPr>
            </w:pPr>
            <w:r w:rsidRPr="003A3A87">
              <w:rPr>
                <w:rFonts w:cs="Arial"/>
                <w:b/>
                <w:bCs/>
                <w:sz w:val="20"/>
              </w:rPr>
              <w:t>Matériels divers</w:t>
            </w:r>
          </w:p>
        </w:tc>
      </w:tr>
      <w:tr w:rsidR="003F017D" w:rsidRPr="003A3A87" w14:paraId="2EB5345F" w14:textId="77777777" w:rsidTr="006B66E4">
        <w:trPr>
          <w:cantSplit/>
          <w:trHeight w:val="459"/>
          <w:jc w:val="center"/>
        </w:trPr>
        <w:tc>
          <w:tcPr>
            <w:tcW w:w="4096" w:type="dxa"/>
            <w:vAlign w:val="center"/>
          </w:tcPr>
          <w:p w14:paraId="23946236" w14:textId="77777777" w:rsidR="003F017D" w:rsidRPr="003A3A87" w:rsidRDefault="003F017D" w:rsidP="002A57B1">
            <w:pPr>
              <w:spacing w:before="20" w:after="20"/>
              <w:ind w:left="55" w:hanging="96"/>
              <w:rPr>
                <w:rFonts w:cs="Arial"/>
                <w:sz w:val="20"/>
              </w:rPr>
            </w:pPr>
            <w:r w:rsidRPr="003A3A87">
              <w:rPr>
                <w:rFonts w:cs="Arial"/>
                <w:sz w:val="20"/>
              </w:rPr>
              <w:t>Lot de matériel topographique (Niveau ; Théodolite ; etc.)</w:t>
            </w:r>
          </w:p>
        </w:tc>
        <w:tc>
          <w:tcPr>
            <w:tcW w:w="1418" w:type="dxa"/>
            <w:vAlign w:val="center"/>
          </w:tcPr>
          <w:p w14:paraId="0E888850" w14:textId="77777777" w:rsidR="003F017D" w:rsidRPr="003A3A87" w:rsidRDefault="003F017D" w:rsidP="006B66E4">
            <w:pPr>
              <w:spacing w:before="20" w:after="20"/>
              <w:jc w:val="center"/>
              <w:rPr>
                <w:rFonts w:cs="Arial"/>
                <w:sz w:val="20"/>
              </w:rPr>
            </w:pPr>
          </w:p>
        </w:tc>
        <w:tc>
          <w:tcPr>
            <w:tcW w:w="2693" w:type="dxa"/>
            <w:vAlign w:val="center"/>
          </w:tcPr>
          <w:p w14:paraId="26E21E9C" w14:textId="77777777" w:rsidR="003F017D" w:rsidRPr="003A3A87" w:rsidRDefault="003F017D" w:rsidP="006B66E4">
            <w:pPr>
              <w:spacing w:before="20" w:after="20"/>
              <w:jc w:val="center"/>
              <w:rPr>
                <w:rFonts w:cs="Arial"/>
                <w:sz w:val="20"/>
              </w:rPr>
            </w:pPr>
          </w:p>
        </w:tc>
        <w:tc>
          <w:tcPr>
            <w:tcW w:w="1559" w:type="dxa"/>
            <w:vAlign w:val="center"/>
          </w:tcPr>
          <w:p w14:paraId="4BBD0D54" w14:textId="77777777" w:rsidR="003F017D" w:rsidRPr="003A3A87" w:rsidRDefault="003F017D" w:rsidP="006B66E4">
            <w:pPr>
              <w:spacing w:before="20" w:after="20"/>
              <w:jc w:val="center"/>
              <w:rPr>
                <w:rFonts w:cs="Arial"/>
                <w:sz w:val="20"/>
              </w:rPr>
            </w:pPr>
            <w:r w:rsidRPr="003A3A87">
              <w:rPr>
                <w:rFonts w:cs="Arial"/>
                <w:sz w:val="20"/>
              </w:rPr>
              <w:t>Un (01)</w:t>
            </w:r>
          </w:p>
        </w:tc>
      </w:tr>
      <w:tr w:rsidR="009C1418" w:rsidRPr="009C1418" w14:paraId="14A86A5C" w14:textId="77777777" w:rsidTr="006B66E4">
        <w:trPr>
          <w:cantSplit/>
          <w:trHeight w:val="459"/>
          <w:jc w:val="center"/>
        </w:trPr>
        <w:tc>
          <w:tcPr>
            <w:tcW w:w="4096" w:type="dxa"/>
            <w:vAlign w:val="center"/>
          </w:tcPr>
          <w:p w14:paraId="07430A4D" w14:textId="2F4D4685" w:rsidR="00F84253" w:rsidRPr="009C1418" w:rsidRDefault="00F84253" w:rsidP="00F84253">
            <w:pPr>
              <w:spacing w:before="20" w:after="20"/>
              <w:ind w:left="55" w:hanging="96"/>
              <w:rPr>
                <w:rFonts w:cs="Arial"/>
                <w:sz w:val="20"/>
              </w:rPr>
            </w:pPr>
            <w:r w:rsidRPr="009C1418">
              <w:rPr>
                <w:sz w:val="20"/>
              </w:rPr>
              <w:t xml:space="preserve">Ensemble petit matériels (pelles, </w:t>
            </w:r>
            <w:r w:rsidR="00BD4C22" w:rsidRPr="009C1418">
              <w:rPr>
                <w:sz w:val="20"/>
              </w:rPr>
              <w:t>pioches,</w:t>
            </w:r>
            <w:r w:rsidRPr="009C1418">
              <w:rPr>
                <w:sz w:val="20"/>
              </w:rPr>
              <w:t xml:space="preserve"> brouettes, etc…)</w:t>
            </w:r>
          </w:p>
        </w:tc>
        <w:tc>
          <w:tcPr>
            <w:tcW w:w="1418" w:type="dxa"/>
            <w:vAlign w:val="center"/>
          </w:tcPr>
          <w:p w14:paraId="31EEDD0D" w14:textId="77777777" w:rsidR="00F84253" w:rsidRPr="009C1418" w:rsidRDefault="00F84253" w:rsidP="00F84253">
            <w:pPr>
              <w:spacing w:before="20" w:after="20"/>
              <w:jc w:val="center"/>
              <w:rPr>
                <w:rFonts w:cs="Arial"/>
                <w:sz w:val="20"/>
              </w:rPr>
            </w:pPr>
          </w:p>
        </w:tc>
        <w:tc>
          <w:tcPr>
            <w:tcW w:w="2693" w:type="dxa"/>
            <w:vAlign w:val="center"/>
          </w:tcPr>
          <w:p w14:paraId="33A31497" w14:textId="77777777" w:rsidR="00F84253" w:rsidRPr="009C1418" w:rsidRDefault="00F84253" w:rsidP="00F84253">
            <w:pPr>
              <w:spacing w:before="20" w:after="20"/>
              <w:jc w:val="center"/>
              <w:rPr>
                <w:rFonts w:cs="Arial"/>
                <w:sz w:val="20"/>
              </w:rPr>
            </w:pPr>
          </w:p>
        </w:tc>
        <w:tc>
          <w:tcPr>
            <w:tcW w:w="1559" w:type="dxa"/>
            <w:vAlign w:val="center"/>
          </w:tcPr>
          <w:p w14:paraId="1259A8AB" w14:textId="09F18D69" w:rsidR="00F84253" w:rsidRPr="009C1418" w:rsidRDefault="00F84253" w:rsidP="00F84253">
            <w:pPr>
              <w:spacing w:before="20" w:after="20"/>
              <w:jc w:val="center"/>
              <w:rPr>
                <w:rFonts w:cs="Arial"/>
                <w:sz w:val="20"/>
              </w:rPr>
            </w:pPr>
            <w:r w:rsidRPr="009C1418">
              <w:rPr>
                <w:rFonts w:cs="Arial"/>
                <w:sz w:val="20"/>
              </w:rPr>
              <w:t>Un (1)</w:t>
            </w:r>
          </w:p>
        </w:tc>
      </w:tr>
      <w:tr w:rsidR="009C1418" w:rsidRPr="009C1418" w14:paraId="12C21577" w14:textId="77777777" w:rsidTr="00F84253">
        <w:trPr>
          <w:cantSplit/>
          <w:trHeight w:val="128"/>
          <w:jc w:val="center"/>
        </w:trPr>
        <w:tc>
          <w:tcPr>
            <w:tcW w:w="4096" w:type="dxa"/>
            <w:vAlign w:val="center"/>
          </w:tcPr>
          <w:p w14:paraId="12C9B689" w14:textId="12CAAF24" w:rsidR="00F84253" w:rsidRPr="009C1418" w:rsidRDefault="00F84253" w:rsidP="00F84253">
            <w:pPr>
              <w:spacing w:before="20" w:after="20"/>
              <w:ind w:left="55" w:hanging="96"/>
              <w:rPr>
                <w:rFonts w:cs="Arial"/>
                <w:sz w:val="20"/>
              </w:rPr>
            </w:pPr>
            <w:r w:rsidRPr="009C1418">
              <w:rPr>
                <w:sz w:val="20"/>
              </w:rPr>
              <w:t>Véhicule de chantier</w:t>
            </w:r>
          </w:p>
        </w:tc>
        <w:tc>
          <w:tcPr>
            <w:tcW w:w="1418" w:type="dxa"/>
            <w:vAlign w:val="center"/>
          </w:tcPr>
          <w:p w14:paraId="5F6C54AC" w14:textId="77777777" w:rsidR="00F84253" w:rsidRPr="009C1418" w:rsidRDefault="00F84253" w:rsidP="00F84253">
            <w:pPr>
              <w:spacing w:before="20" w:after="20"/>
              <w:jc w:val="center"/>
              <w:rPr>
                <w:rFonts w:cs="Arial"/>
                <w:sz w:val="20"/>
              </w:rPr>
            </w:pPr>
          </w:p>
        </w:tc>
        <w:tc>
          <w:tcPr>
            <w:tcW w:w="2693" w:type="dxa"/>
            <w:vAlign w:val="center"/>
          </w:tcPr>
          <w:p w14:paraId="59F93F72" w14:textId="77777777" w:rsidR="00F84253" w:rsidRPr="009C1418" w:rsidRDefault="00F84253" w:rsidP="00F84253">
            <w:pPr>
              <w:spacing w:before="20" w:after="20"/>
              <w:jc w:val="center"/>
              <w:rPr>
                <w:rFonts w:cs="Arial"/>
                <w:sz w:val="20"/>
              </w:rPr>
            </w:pPr>
          </w:p>
        </w:tc>
        <w:tc>
          <w:tcPr>
            <w:tcW w:w="1559" w:type="dxa"/>
            <w:vAlign w:val="center"/>
          </w:tcPr>
          <w:p w14:paraId="4A03E702" w14:textId="04ADC230" w:rsidR="00F84253" w:rsidRPr="009C1418" w:rsidRDefault="00F84253" w:rsidP="00F84253">
            <w:pPr>
              <w:spacing w:before="20" w:after="20"/>
              <w:jc w:val="center"/>
              <w:rPr>
                <w:rFonts w:cs="Arial"/>
                <w:sz w:val="20"/>
              </w:rPr>
            </w:pPr>
            <w:r w:rsidRPr="009C1418">
              <w:rPr>
                <w:rFonts w:cs="Arial"/>
                <w:sz w:val="20"/>
              </w:rPr>
              <w:t>Un (1)</w:t>
            </w:r>
          </w:p>
        </w:tc>
      </w:tr>
      <w:tr w:rsidR="009C1418" w:rsidRPr="009C1418" w14:paraId="5B62F924" w14:textId="77777777" w:rsidTr="00F84253">
        <w:trPr>
          <w:cantSplit/>
          <w:trHeight w:val="132"/>
          <w:jc w:val="center"/>
        </w:trPr>
        <w:tc>
          <w:tcPr>
            <w:tcW w:w="4096" w:type="dxa"/>
            <w:vAlign w:val="center"/>
          </w:tcPr>
          <w:p w14:paraId="4AB98DE9" w14:textId="18FF5134" w:rsidR="00F84253" w:rsidRPr="009C1418" w:rsidRDefault="00F84253" w:rsidP="00F84253">
            <w:pPr>
              <w:spacing w:before="20" w:after="20"/>
              <w:ind w:left="55" w:hanging="96"/>
              <w:rPr>
                <w:rFonts w:cs="Arial"/>
                <w:sz w:val="20"/>
              </w:rPr>
            </w:pPr>
            <w:r w:rsidRPr="009C1418">
              <w:rPr>
                <w:sz w:val="20"/>
              </w:rPr>
              <w:t>Véhicule de liaison</w:t>
            </w:r>
          </w:p>
        </w:tc>
        <w:tc>
          <w:tcPr>
            <w:tcW w:w="1418" w:type="dxa"/>
            <w:vAlign w:val="center"/>
          </w:tcPr>
          <w:p w14:paraId="4B85FB4F" w14:textId="77777777" w:rsidR="00F84253" w:rsidRPr="009C1418" w:rsidRDefault="00F84253" w:rsidP="00F84253">
            <w:pPr>
              <w:spacing w:before="20" w:after="20"/>
              <w:jc w:val="center"/>
              <w:rPr>
                <w:rFonts w:cs="Arial"/>
                <w:sz w:val="20"/>
              </w:rPr>
            </w:pPr>
          </w:p>
        </w:tc>
        <w:tc>
          <w:tcPr>
            <w:tcW w:w="2693" w:type="dxa"/>
            <w:vAlign w:val="center"/>
          </w:tcPr>
          <w:p w14:paraId="6E06F377" w14:textId="77777777" w:rsidR="00F84253" w:rsidRPr="009C1418" w:rsidRDefault="00F84253" w:rsidP="00F84253">
            <w:pPr>
              <w:spacing w:before="20" w:after="20"/>
              <w:jc w:val="center"/>
              <w:rPr>
                <w:rFonts w:cs="Arial"/>
                <w:sz w:val="20"/>
              </w:rPr>
            </w:pPr>
          </w:p>
        </w:tc>
        <w:tc>
          <w:tcPr>
            <w:tcW w:w="1559" w:type="dxa"/>
            <w:vAlign w:val="center"/>
          </w:tcPr>
          <w:p w14:paraId="1BB72068" w14:textId="15DB0059" w:rsidR="00F84253" w:rsidRPr="009C1418" w:rsidRDefault="00F84253" w:rsidP="00F84253">
            <w:pPr>
              <w:spacing w:before="20" w:after="20"/>
              <w:jc w:val="center"/>
              <w:rPr>
                <w:rFonts w:cs="Arial"/>
                <w:sz w:val="20"/>
              </w:rPr>
            </w:pPr>
            <w:r w:rsidRPr="009C1418">
              <w:rPr>
                <w:rFonts w:cs="Arial"/>
                <w:sz w:val="20"/>
              </w:rPr>
              <w:t>Un (1)</w:t>
            </w:r>
          </w:p>
        </w:tc>
      </w:tr>
    </w:tbl>
    <w:p w14:paraId="78A6E6B7" w14:textId="77777777" w:rsidR="003F017D" w:rsidRPr="003A3A87" w:rsidRDefault="003F017D" w:rsidP="003F017D">
      <w:pPr>
        <w:spacing w:after="0"/>
        <w:ind w:left="0" w:firstLine="0"/>
        <w:rPr>
          <w:rFonts w:asciiTheme="majorBidi" w:hAnsiTheme="majorBidi" w:cstheme="majorBidi"/>
        </w:rPr>
      </w:pPr>
    </w:p>
    <w:p w14:paraId="67AC4478" w14:textId="44B67EDC" w:rsidR="003F017D" w:rsidRPr="0066491A" w:rsidRDefault="0066491A" w:rsidP="00F82AAD">
      <w:pPr>
        <w:ind w:left="0" w:firstLine="0"/>
        <w:rPr>
          <w:rFonts w:asciiTheme="majorBidi" w:hAnsiTheme="majorBidi" w:cstheme="majorBidi"/>
          <w:b/>
        </w:rPr>
      </w:pPr>
      <w:r w:rsidRPr="0066491A">
        <w:rPr>
          <w:rFonts w:asciiTheme="majorBidi" w:hAnsiTheme="majorBidi" w:cstheme="majorBidi"/>
          <w:b/>
        </w:rPr>
        <w:t>Le Soumissionnaire doit fournir la copie légalisée des cartes grises du matériel roulant ou tout autre document équivalent attestant que le matériel est sa propriété ou un certificat attestant la location pendant la durée des travaux</w:t>
      </w:r>
      <w:r>
        <w:rPr>
          <w:rFonts w:asciiTheme="majorBidi" w:hAnsiTheme="majorBidi" w:cstheme="majorBidi"/>
          <w:b/>
        </w:rPr>
        <w:t>.</w:t>
      </w:r>
    </w:p>
    <w:p w14:paraId="27A99D15" w14:textId="7F66E480" w:rsidR="00CA7312" w:rsidRPr="00F0123A" w:rsidRDefault="001B7E07" w:rsidP="00F0123A">
      <w:pPr>
        <w:ind w:left="0" w:firstLine="0"/>
        <w:rPr>
          <w:rFonts w:asciiTheme="majorBidi" w:hAnsiTheme="majorBidi" w:cstheme="majorBidi"/>
        </w:rPr>
      </w:pPr>
      <w:r w:rsidRPr="00304275">
        <w:rPr>
          <w:rFonts w:asciiTheme="majorBidi" w:hAnsiTheme="majorBidi" w:cstheme="majorBidi"/>
        </w:rPr>
        <w:lastRenderedPageBreak/>
        <w:t>Le Soumissionnaire doit fournir les détails concernant le matériel proposé en utilisant le formulaire MAT de la Section IV, Formulaires de soumission.</w:t>
      </w:r>
    </w:p>
    <w:tbl>
      <w:tblPr>
        <w:tblW w:w="9558" w:type="dxa"/>
        <w:tblLayout w:type="fixed"/>
        <w:tblLook w:val="0000" w:firstRow="0" w:lastRow="0" w:firstColumn="0" w:lastColumn="0" w:noHBand="0" w:noVBand="0"/>
      </w:tblPr>
      <w:tblGrid>
        <w:gridCol w:w="9558"/>
      </w:tblGrid>
      <w:tr w:rsidR="000A450A" w:rsidRPr="00A67F27" w14:paraId="1C53627F" w14:textId="77777777" w:rsidTr="0066491A">
        <w:trPr>
          <w:trHeight w:val="1100"/>
        </w:trPr>
        <w:tc>
          <w:tcPr>
            <w:tcW w:w="9558" w:type="dxa"/>
            <w:tcBorders>
              <w:top w:val="nil"/>
              <w:left w:val="nil"/>
              <w:bottom w:val="nil"/>
              <w:right w:val="nil"/>
            </w:tcBorders>
          </w:tcPr>
          <w:p w14:paraId="26476751" w14:textId="2BC48B8D" w:rsidR="000A450A" w:rsidRPr="00A67F27" w:rsidRDefault="000A450A" w:rsidP="002C339A">
            <w:pPr>
              <w:pStyle w:val="Sous-titre"/>
              <w:spacing w:before="120" w:after="120"/>
              <w:ind w:left="187" w:right="288" w:firstLine="0"/>
              <w:rPr>
                <w:rFonts w:cs="Arial"/>
                <w:sz w:val="36"/>
                <w:lang w:val="fr-FR" w:eastAsia="en-US"/>
              </w:rPr>
            </w:pPr>
            <w:bookmarkStart w:id="446" w:name="_Toc438266927"/>
            <w:bookmarkStart w:id="447" w:name="_Toc438267901"/>
            <w:bookmarkStart w:id="448" w:name="_Toc438366667"/>
            <w:bookmarkStart w:id="449" w:name="_Toc156027995"/>
            <w:bookmarkStart w:id="450" w:name="_Toc156372851"/>
            <w:bookmarkStart w:id="451" w:name="_Toc326657864"/>
            <w:bookmarkStart w:id="452" w:name="_Toc483210556"/>
            <w:bookmarkStart w:id="453" w:name="_Toc487641844"/>
            <w:r w:rsidRPr="00A67F27">
              <w:rPr>
                <w:rFonts w:cs="Arial"/>
                <w:sz w:val="36"/>
                <w:lang w:val="fr-FR" w:eastAsia="en-US"/>
              </w:rPr>
              <w:t>Section IV.</w:t>
            </w:r>
            <w:r w:rsidR="009B2302" w:rsidRPr="00A67F27">
              <w:rPr>
                <w:rFonts w:cs="Arial"/>
                <w:sz w:val="36"/>
                <w:lang w:val="fr-FR" w:eastAsia="en-US"/>
              </w:rPr>
              <w:t xml:space="preserve"> </w:t>
            </w:r>
            <w:r w:rsidRPr="00A67F27">
              <w:rPr>
                <w:rFonts w:cs="Arial"/>
                <w:sz w:val="36"/>
                <w:lang w:val="fr-FR" w:eastAsia="en-US"/>
              </w:rPr>
              <w:t>Formulaires de soumission</w:t>
            </w:r>
            <w:bookmarkEnd w:id="446"/>
            <w:bookmarkEnd w:id="447"/>
            <w:bookmarkEnd w:id="448"/>
            <w:bookmarkEnd w:id="449"/>
            <w:bookmarkEnd w:id="450"/>
            <w:bookmarkEnd w:id="451"/>
            <w:bookmarkEnd w:id="452"/>
            <w:bookmarkEnd w:id="453"/>
          </w:p>
        </w:tc>
      </w:tr>
    </w:tbl>
    <w:p w14:paraId="45F67455" w14:textId="34FE3B6E" w:rsidR="000A450A" w:rsidRPr="00A67F27" w:rsidRDefault="000A450A" w:rsidP="002C339A">
      <w:pPr>
        <w:spacing w:after="0"/>
        <w:ind w:left="0" w:firstLine="0"/>
        <w:jc w:val="center"/>
        <w:rPr>
          <w:b/>
          <w:szCs w:val="24"/>
          <w:lang w:eastAsia="en-US"/>
        </w:rPr>
      </w:pPr>
      <w:bookmarkStart w:id="454" w:name="_Toc494778738"/>
      <w:r w:rsidRPr="00A67F27">
        <w:rPr>
          <w:b/>
          <w:szCs w:val="24"/>
          <w:lang w:eastAsia="en-US"/>
        </w:rPr>
        <w:t>Liste des formulaires</w:t>
      </w:r>
      <w:bookmarkEnd w:id="454"/>
    </w:p>
    <w:p w14:paraId="183AC4BA" w14:textId="77777777" w:rsidR="002C339A" w:rsidRPr="00A67F27" w:rsidRDefault="002C339A" w:rsidP="002C339A">
      <w:pPr>
        <w:spacing w:after="0"/>
        <w:ind w:left="0" w:firstLine="0"/>
        <w:jc w:val="center"/>
        <w:rPr>
          <w:b/>
          <w:szCs w:val="24"/>
          <w:lang w:eastAsia="en-US"/>
        </w:rPr>
      </w:pPr>
    </w:p>
    <w:p w14:paraId="6C189F85" w14:textId="1B3E41A8" w:rsidR="00E56438" w:rsidRPr="00A67F27" w:rsidRDefault="00D40381">
      <w:pPr>
        <w:pStyle w:val="TM1"/>
        <w:rPr>
          <w:rFonts w:asciiTheme="minorHAnsi" w:eastAsiaTheme="minorEastAsia" w:hAnsiTheme="minorHAnsi" w:cstheme="minorBidi"/>
          <w:b w:val="0"/>
          <w:noProof/>
          <w:sz w:val="22"/>
          <w:szCs w:val="22"/>
          <w:lang w:eastAsia="zh-CN"/>
        </w:rPr>
      </w:pPr>
      <w:r w:rsidRPr="00A67F27">
        <w:rPr>
          <w:b w:val="0"/>
          <w:lang w:eastAsia="en-US"/>
        </w:rPr>
        <w:fldChar w:fldCharType="begin"/>
      </w:r>
      <w:r w:rsidRPr="00A67F27">
        <w:rPr>
          <w:b w:val="0"/>
          <w:lang w:eastAsia="en-US"/>
        </w:rPr>
        <w:instrText xml:space="preserve"> TOC \h \z \t "S4-header1,1,S4-Header 2,2" </w:instrText>
      </w:r>
      <w:r w:rsidRPr="00A67F27">
        <w:rPr>
          <w:b w:val="0"/>
          <w:lang w:eastAsia="en-US"/>
        </w:rPr>
        <w:fldChar w:fldCharType="separate"/>
      </w:r>
      <w:hyperlink w:anchor="_Toc487641615" w:history="1">
        <w:r w:rsidR="00E56438" w:rsidRPr="00A67F27">
          <w:rPr>
            <w:rStyle w:val="Lienhypertexte"/>
            <w:noProof/>
          </w:rPr>
          <w:t>Formulaires de la Proposition technique</w:t>
        </w:r>
        <w:r w:rsidR="00E56438" w:rsidRPr="00A67F27">
          <w:rPr>
            <w:noProof/>
            <w:webHidden/>
          </w:rPr>
          <w:tab/>
        </w:r>
        <w:r w:rsidR="00E56438" w:rsidRPr="003B4E37">
          <w:rPr>
            <w:noProof/>
            <w:webHidden/>
          </w:rPr>
          <w:fldChar w:fldCharType="begin"/>
        </w:r>
        <w:r w:rsidR="00E56438" w:rsidRPr="00A67F27">
          <w:rPr>
            <w:noProof/>
            <w:webHidden/>
          </w:rPr>
          <w:instrText xml:space="preserve"> PAGEREF _Toc487641615 \h </w:instrText>
        </w:r>
        <w:r w:rsidR="00E56438" w:rsidRPr="003B4E37">
          <w:rPr>
            <w:noProof/>
            <w:webHidden/>
          </w:rPr>
        </w:r>
        <w:r w:rsidR="00E56438" w:rsidRPr="003B4E37">
          <w:rPr>
            <w:noProof/>
            <w:webHidden/>
          </w:rPr>
          <w:fldChar w:fldCharType="separate"/>
        </w:r>
        <w:r w:rsidR="006C5B9E">
          <w:rPr>
            <w:noProof/>
            <w:webHidden/>
          </w:rPr>
          <w:t>110</w:t>
        </w:r>
        <w:r w:rsidR="00E56438" w:rsidRPr="003B4E37">
          <w:rPr>
            <w:noProof/>
            <w:webHidden/>
          </w:rPr>
          <w:fldChar w:fldCharType="end"/>
        </w:r>
      </w:hyperlink>
    </w:p>
    <w:p w14:paraId="07AC9619" w14:textId="712308D5" w:rsidR="00E56438" w:rsidRPr="00A67F27" w:rsidRDefault="00B37E92">
      <w:pPr>
        <w:pStyle w:val="TM2"/>
        <w:rPr>
          <w:rFonts w:asciiTheme="minorHAnsi" w:eastAsiaTheme="minorEastAsia" w:hAnsiTheme="minorHAnsi" w:cstheme="minorBidi"/>
          <w:noProof/>
          <w:sz w:val="22"/>
          <w:szCs w:val="22"/>
          <w:lang w:eastAsia="zh-CN"/>
        </w:rPr>
      </w:pPr>
      <w:hyperlink w:anchor="_Toc487641616" w:history="1">
        <w:r w:rsidR="00E56438" w:rsidRPr="001627D7">
          <w:rPr>
            <w:rStyle w:val="Lienhypertexte"/>
            <w:noProof/>
          </w:rPr>
          <w:t>Proposition technique</w:t>
        </w:r>
        <w:r w:rsidR="00E56438" w:rsidRPr="001627D7">
          <w:rPr>
            <w:noProof/>
            <w:webHidden/>
          </w:rPr>
          <w:tab/>
        </w:r>
        <w:r w:rsidR="00E56438" w:rsidRPr="001627D7">
          <w:rPr>
            <w:noProof/>
            <w:webHidden/>
          </w:rPr>
          <w:fldChar w:fldCharType="begin"/>
        </w:r>
        <w:r w:rsidR="00E56438" w:rsidRPr="00A67F27">
          <w:rPr>
            <w:noProof/>
            <w:webHidden/>
          </w:rPr>
          <w:instrText xml:space="preserve"> PAGEREF _Toc487641616 \h </w:instrText>
        </w:r>
        <w:r w:rsidR="00E56438" w:rsidRPr="001627D7">
          <w:rPr>
            <w:noProof/>
            <w:webHidden/>
          </w:rPr>
        </w:r>
        <w:r w:rsidR="00E56438" w:rsidRPr="001627D7">
          <w:rPr>
            <w:noProof/>
            <w:webHidden/>
          </w:rPr>
          <w:fldChar w:fldCharType="separate"/>
        </w:r>
        <w:r w:rsidR="006C5B9E">
          <w:rPr>
            <w:noProof/>
            <w:webHidden/>
          </w:rPr>
          <w:t>110</w:t>
        </w:r>
        <w:r w:rsidR="00E56438" w:rsidRPr="001627D7">
          <w:rPr>
            <w:noProof/>
            <w:webHidden/>
          </w:rPr>
          <w:fldChar w:fldCharType="end"/>
        </w:r>
      </w:hyperlink>
    </w:p>
    <w:p w14:paraId="0306FC67" w14:textId="4F8BE3C5" w:rsidR="00E56438" w:rsidRPr="00A67F27" w:rsidRDefault="00B37E92">
      <w:pPr>
        <w:pStyle w:val="TM2"/>
        <w:rPr>
          <w:rFonts w:asciiTheme="minorHAnsi" w:eastAsiaTheme="minorEastAsia" w:hAnsiTheme="minorHAnsi" w:cstheme="minorBidi"/>
          <w:noProof/>
          <w:sz w:val="22"/>
          <w:szCs w:val="22"/>
          <w:lang w:eastAsia="zh-CN"/>
        </w:rPr>
      </w:pPr>
      <w:hyperlink w:anchor="_Toc487641617" w:history="1">
        <w:r w:rsidR="00E56438" w:rsidRPr="001627D7">
          <w:rPr>
            <w:rStyle w:val="Lienhypertexte"/>
            <w:noProof/>
          </w:rPr>
          <w:t>Modèle PER -1</w:t>
        </w:r>
        <w:r w:rsidR="00E56438" w:rsidRPr="001627D7">
          <w:rPr>
            <w:noProof/>
            <w:webHidden/>
          </w:rPr>
          <w:tab/>
        </w:r>
        <w:r w:rsidR="00E56438" w:rsidRPr="001627D7">
          <w:rPr>
            <w:noProof/>
            <w:webHidden/>
          </w:rPr>
          <w:fldChar w:fldCharType="begin"/>
        </w:r>
        <w:r w:rsidR="00E56438" w:rsidRPr="00A67F27">
          <w:rPr>
            <w:noProof/>
            <w:webHidden/>
          </w:rPr>
          <w:instrText xml:space="preserve"> PAGEREF _Toc487641617 \h </w:instrText>
        </w:r>
        <w:r w:rsidR="00E56438" w:rsidRPr="001627D7">
          <w:rPr>
            <w:noProof/>
            <w:webHidden/>
          </w:rPr>
        </w:r>
        <w:r w:rsidR="00E56438" w:rsidRPr="001627D7">
          <w:rPr>
            <w:noProof/>
            <w:webHidden/>
          </w:rPr>
          <w:fldChar w:fldCharType="separate"/>
        </w:r>
        <w:r w:rsidR="006C5B9E">
          <w:rPr>
            <w:noProof/>
            <w:webHidden/>
          </w:rPr>
          <w:t>111</w:t>
        </w:r>
        <w:r w:rsidR="00E56438" w:rsidRPr="001627D7">
          <w:rPr>
            <w:noProof/>
            <w:webHidden/>
          </w:rPr>
          <w:fldChar w:fldCharType="end"/>
        </w:r>
      </w:hyperlink>
    </w:p>
    <w:p w14:paraId="3E0D9B30" w14:textId="5A71D7B0" w:rsidR="00E56438" w:rsidRPr="00A67F27" w:rsidRDefault="00B37E92">
      <w:pPr>
        <w:pStyle w:val="TM2"/>
        <w:rPr>
          <w:rFonts w:asciiTheme="minorHAnsi" w:eastAsiaTheme="minorEastAsia" w:hAnsiTheme="minorHAnsi" w:cstheme="minorBidi"/>
          <w:noProof/>
          <w:sz w:val="22"/>
          <w:szCs w:val="22"/>
          <w:lang w:eastAsia="zh-CN"/>
        </w:rPr>
      </w:pPr>
      <w:hyperlink w:anchor="_Toc487641618" w:history="1">
        <w:r w:rsidR="00E56438" w:rsidRPr="001627D7">
          <w:rPr>
            <w:rStyle w:val="Lienhypertexte"/>
            <w:noProof/>
          </w:rPr>
          <w:t>Modèle PER-2</w:t>
        </w:r>
        <w:r w:rsidR="00E56438" w:rsidRPr="001627D7">
          <w:rPr>
            <w:noProof/>
            <w:webHidden/>
          </w:rPr>
          <w:tab/>
        </w:r>
        <w:r w:rsidR="00E56438" w:rsidRPr="001627D7">
          <w:rPr>
            <w:noProof/>
            <w:webHidden/>
          </w:rPr>
          <w:fldChar w:fldCharType="begin"/>
        </w:r>
        <w:r w:rsidR="00E56438" w:rsidRPr="00A67F27">
          <w:rPr>
            <w:noProof/>
            <w:webHidden/>
          </w:rPr>
          <w:instrText xml:space="preserve"> PAGEREF _Toc487641618 \h </w:instrText>
        </w:r>
        <w:r w:rsidR="00E56438" w:rsidRPr="001627D7">
          <w:rPr>
            <w:noProof/>
            <w:webHidden/>
          </w:rPr>
        </w:r>
        <w:r w:rsidR="00E56438" w:rsidRPr="001627D7">
          <w:rPr>
            <w:noProof/>
            <w:webHidden/>
          </w:rPr>
          <w:fldChar w:fldCharType="separate"/>
        </w:r>
        <w:r w:rsidR="006C5B9E">
          <w:rPr>
            <w:noProof/>
            <w:webHidden/>
          </w:rPr>
          <w:t>113</w:t>
        </w:r>
        <w:r w:rsidR="00E56438" w:rsidRPr="001627D7">
          <w:rPr>
            <w:noProof/>
            <w:webHidden/>
          </w:rPr>
          <w:fldChar w:fldCharType="end"/>
        </w:r>
      </w:hyperlink>
    </w:p>
    <w:p w14:paraId="2B075AE1" w14:textId="43C37F0B" w:rsidR="00E56438" w:rsidRPr="00A67F27" w:rsidRDefault="00B37E92">
      <w:pPr>
        <w:pStyle w:val="TM2"/>
        <w:rPr>
          <w:rFonts w:asciiTheme="minorHAnsi" w:eastAsiaTheme="minorEastAsia" w:hAnsiTheme="minorHAnsi" w:cstheme="minorBidi"/>
          <w:noProof/>
          <w:sz w:val="22"/>
          <w:szCs w:val="22"/>
          <w:lang w:eastAsia="zh-CN"/>
        </w:rPr>
      </w:pPr>
      <w:hyperlink w:anchor="_Toc487641619" w:history="1">
        <w:r w:rsidR="00E56438" w:rsidRPr="001627D7">
          <w:rPr>
            <w:rStyle w:val="Lienhypertexte"/>
            <w:noProof/>
          </w:rPr>
          <w:t>Matériel - Formulaire MAT</w:t>
        </w:r>
        <w:r w:rsidR="00E56438" w:rsidRPr="001627D7">
          <w:rPr>
            <w:noProof/>
            <w:webHidden/>
          </w:rPr>
          <w:tab/>
        </w:r>
        <w:r w:rsidR="00E56438" w:rsidRPr="001627D7">
          <w:rPr>
            <w:noProof/>
            <w:webHidden/>
          </w:rPr>
          <w:fldChar w:fldCharType="begin"/>
        </w:r>
        <w:r w:rsidR="00E56438" w:rsidRPr="00A67F27">
          <w:rPr>
            <w:noProof/>
            <w:webHidden/>
          </w:rPr>
          <w:instrText xml:space="preserve"> PAGEREF _Toc487641619 \h </w:instrText>
        </w:r>
        <w:r w:rsidR="00E56438" w:rsidRPr="001627D7">
          <w:rPr>
            <w:noProof/>
            <w:webHidden/>
          </w:rPr>
        </w:r>
        <w:r w:rsidR="00E56438" w:rsidRPr="001627D7">
          <w:rPr>
            <w:noProof/>
            <w:webHidden/>
          </w:rPr>
          <w:fldChar w:fldCharType="separate"/>
        </w:r>
        <w:r w:rsidR="006C5B9E">
          <w:rPr>
            <w:noProof/>
            <w:webHidden/>
          </w:rPr>
          <w:t>115</w:t>
        </w:r>
        <w:r w:rsidR="00E56438" w:rsidRPr="001627D7">
          <w:rPr>
            <w:noProof/>
            <w:webHidden/>
          </w:rPr>
          <w:fldChar w:fldCharType="end"/>
        </w:r>
      </w:hyperlink>
    </w:p>
    <w:p w14:paraId="54363D6F" w14:textId="5E1CF97A" w:rsidR="00E56438" w:rsidRPr="00A67F27" w:rsidRDefault="00B37E92">
      <w:pPr>
        <w:pStyle w:val="TM2"/>
        <w:rPr>
          <w:rFonts w:asciiTheme="minorHAnsi" w:eastAsiaTheme="minorEastAsia" w:hAnsiTheme="minorHAnsi" w:cstheme="minorBidi"/>
          <w:noProof/>
          <w:sz w:val="22"/>
          <w:szCs w:val="22"/>
          <w:lang w:eastAsia="zh-CN"/>
        </w:rPr>
      </w:pPr>
      <w:hyperlink w:anchor="_Toc487641620" w:history="1">
        <w:r w:rsidR="00E56438" w:rsidRPr="001627D7">
          <w:rPr>
            <w:rStyle w:val="Lienhypertexte"/>
            <w:noProof/>
          </w:rPr>
          <w:t>Stratégies de management et plans de mise en œuvre ESHS</w:t>
        </w:r>
        <w:r w:rsidR="00E56438" w:rsidRPr="001627D7">
          <w:rPr>
            <w:noProof/>
            <w:webHidden/>
          </w:rPr>
          <w:tab/>
        </w:r>
        <w:r w:rsidR="00E56438" w:rsidRPr="001627D7">
          <w:rPr>
            <w:noProof/>
            <w:webHidden/>
          </w:rPr>
          <w:fldChar w:fldCharType="begin"/>
        </w:r>
        <w:r w:rsidR="00E56438" w:rsidRPr="00A67F27">
          <w:rPr>
            <w:noProof/>
            <w:webHidden/>
          </w:rPr>
          <w:instrText xml:space="preserve"> PAGEREF _Toc487641620 \h </w:instrText>
        </w:r>
        <w:r w:rsidR="00E56438" w:rsidRPr="001627D7">
          <w:rPr>
            <w:noProof/>
            <w:webHidden/>
          </w:rPr>
        </w:r>
        <w:r w:rsidR="00E56438" w:rsidRPr="001627D7">
          <w:rPr>
            <w:noProof/>
            <w:webHidden/>
          </w:rPr>
          <w:fldChar w:fldCharType="separate"/>
        </w:r>
        <w:r w:rsidR="006C5B9E">
          <w:rPr>
            <w:noProof/>
            <w:webHidden/>
          </w:rPr>
          <w:t>120</w:t>
        </w:r>
        <w:r w:rsidR="00E56438" w:rsidRPr="001627D7">
          <w:rPr>
            <w:noProof/>
            <w:webHidden/>
          </w:rPr>
          <w:fldChar w:fldCharType="end"/>
        </w:r>
      </w:hyperlink>
    </w:p>
    <w:p w14:paraId="3FDFA10B" w14:textId="25BA9DC8" w:rsidR="00E56438" w:rsidRPr="00A67F27" w:rsidRDefault="00B37E92">
      <w:pPr>
        <w:pStyle w:val="TM2"/>
        <w:rPr>
          <w:rFonts w:asciiTheme="minorHAnsi" w:eastAsiaTheme="minorEastAsia" w:hAnsiTheme="minorHAnsi" w:cstheme="minorBidi"/>
          <w:noProof/>
          <w:sz w:val="22"/>
          <w:szCs w:val="22"/>
          <w:lang w:eastAsia="zh-CN"/>
        </w:rPr>
      </w:pPr>
      <w:hyperlink w:anchor="_Toc487641621" w:history="1">
        <w:r w:rsidR="00E56438" w:rsidRPr="001627D7">
          <w:rPr>
            <w:rStyle w:val="Lienhypertexte"/>
            <w:noProof/>
          </w:rPr>
          <w:t>Code de Conduite (ESHS)</w:t>
        </w:r>
        <w:r w:rsidR="00E56438" w:rsidRPr="001627D7">
          <w:rPr>
            <w:noProof/>
            <w:webHidden/>
          </w:rPr>
          <w:tab/>
        </w:r>
        <w:r w:rsidR="00E56438" w:rsidRPr="001627D7">
          <w:rPr>
            <w:noProof/>
            <w:webHidden/>
          </w:rPr>
          <w:fldChar w:fldCharType="begin"/>
        </w:r>
        <w:r w:rsidR="00E56438" w:rsidRPr="00A67F27">
          <w:rPr>
            <w:noProof/>
            <w:webHidden/>
          </w:rPr>
          <w:instrText xml:space="preserve"> PAGEREF _Toc487641621 \h </w:instrText>
        </w:r>
        <w:r w:rsidR="00E56438" w:rsidRPr="001627D7">
          <w:rPr>
            <w:noProof/>
            <w:webHidden/>
          </w:rPr>
        </w:r>
        <w:r w:rsidR="00E56438" w:rsidRPr="001627D7">
          <w:rPr>
            <w:noProof/>
            <w:webHidden/>
          </w:rPr>
          <w:fldChar w:fldCharType="separate"/>
        </w:r>
        <w:r w:rsidR="006C5B9E">
          <w:rPr>
            <w:noProof/>
            <w:webHidden/>
          </w:rPr>
          <w:t>121</w:t>
        </w:r>
        <w:r w:rsidR="00E56438" w:rsidRPr="001627D7">
          <w:rPr>
            <w:noProof/>
            <w:webHidden/>
          </w:rPr>
          <w:fldChar w:fldCharType="end"/>
        </w:r>
      </w:hyperlink>
    </w:p>
    <w:p w14:paraId="0131F50C" w14:textId="5AB6266C" w:rsidR="00E56438" w:rsidRPr="00A67F27" w:rsidRDefault="00B37E92">
      <w:pPr>
        <w:pStyle w:val="TM1"/>
        <w:rPr>
          <w:rFonts w:asciiTheme="minorHAnsi" w:eastAsiaTheme="minorEastAsia" w:hAnsiTheme="minorHAnsi" w:cstheme="minorBidi"/>
          <w:b w:val="0"/>
          <w:noProof/>
          <w:sz w:val="22"/>
          <w:szCs w:val="22"/>
          <w:lang w:eastAsia="zh-CN"/>
        </w:rPr>
      </w:pPr>
      <w:hyperlink w:anchor="_Toc487641622" w:history="1">
        <w:r w:rsidR="00E56438" w:rsidRPr="001627D7">
          <w:rPr>
            <w:rStyle w:val="Lienhypertexte"/>
            <w:noProof/>
          </w:rPr>
          <w:t>Formulaires de Qualification des Soumissionnaires</w:t>
        </w:r>
        <w:r w:rsidR="00E56438" w:rsidRPr="001627D7">
          <w:rPr>
            <w:noProof/>
            <w:webHidden/>
          </w:rPr>
          <w:tab/>
        </w:r>
        <w:r w:rsidR="00E56438" w:rsidRPr="001627D7">
          <w:rPr>
            <w:noProof/>
            <w:webHidden/>
          </w:rPr>
          <w:fldChar w:fldCharType="begin"/>
        </w:r>
        <w:r w:rsidR="00E56438" w:rsidRPr="00A67F27">
          <w:rPr>
            <w:noProof/>
            <w:webHidden/>
          </w:rPr>
          <w:instrText xml:space="preserve"> PAGEREF _Toc487641622 \h </w:instrText>
        </w:r>
        <w:r w:rsidR="00E56438" w:rsidRPr="001627D7">
          <w:rPr>
            <w:noProof/>
            <w:webHidden/>
          </w:rPr>
        </w:r>
        <w:r w:rsidR="00E56438" w:rsidRPr="001627D7">
          <w:rPr>
            <w:noProof/>
            <w:webHidden/>
          </w:rPr>
          <w:fldChar w:fldCharType="separate"/>
        </w:r>
        <w:r w:rsidR="006C5B9E">
          <w:rPr>
            <w:noProof/>
            <w:webHidden/>
          </w:rPr>
          <w:t>123</w:t>
        </w:r>
        <w:r w:rsidR="00E56438" w:rsidRPr="001627D7">
          <w:rPr>
            <w:noProof/>
            <w:webHidden/>
          </w:rPr>
          <w:fldChar w:fldCharType="end"/>
        </w:r>
      </w:hyperlink>
    </w:p>
    <w:p w14:paraId="74927CDC" w14:textId="546515A6" w:rsidR="00E56438" w:rsidRPr="00A67F27" w:rsidRDefault="00B37E92">
      <w:pPr>
        <w:pStyle w:val="TM2"/>
        <w:rPr>
          <w:rFonts w:asciiTheme="minorHAnsi" w:eastAsiaTheme="minorEastAsia" w:hAnsiTheme="minorHAnsi" w:cstheme="minorBidi"/>
          <w:noProof/>
          <w:sz w:val="22"/>
          <w:szCs w:val="22"/>
          <w:lang w:eastAsia="zh-CN"/>
        </w:rPr>
      </w:pPr>
      <w:hyperlink w:anchor="_Toc487641623" w:history="1">
        <w:r w:rsidR="00E56438" w:rsidRPr="001627D7">
          <w:rPr>
            <w:rStyle w:val="Lienhypertexte"/>
            <w:noProof/>
          </w:rPr>
          <w:t>Formulaire ELI – 1.1 :  Fiche de renseignements sur le soumissionnaire</w:t>
        </w:r>
        <w:r w:rsidR="00E56438" w:rsidRPr="00043C85">
          <w:rPr>
            <w:noProof/>
            <w:webHidden/>
          </w:rPr>
          <w:tab/>
        </w:r>
        <w:r w:rsidR="00E56438" w:rsidRPr="001627D7">
          <w:rPr>
            <w:noProof/>
            <w:webHidden/>
          </w:rPr>
          <w:fldChar w:fldCharType="begin"/>
        </w:r>
        <w:r w:rsidR="00E56438" w:rsidRPr="00A67F27">
          <w:rPr>
            <w:noProof/>
            <w:webHidden/>
          </w:rPr>
          <w:instrText xml:space="preserve"> PAGEREF _Toc487641623 \h </w:instrText>
        </w:r>
        <w:r w:rsidR="00E56438" w:rsidRPr="001627D7">
          <w:rPr>
            <w:noProof/>
            <w:webHidden/>
          </w:rPr>
        </w:r>
        <w:r w:rsidR="00E56438" w:rsidRPr="001627D7">
          <w:rPr>
            <w:noProof/>
            <w:webHidden/>
          </w:rPr>
          <w:fldChar w:fldCharType="separate"/>
        </w:r>
        <w:r w:rsidR="006C5B9E">
          <w:rPr>
            <w:noProof/>
            <w:webHidden/>
          </w:rPr>
          <w:t>124</w:t>
        </w:r>
        <w:r w:rsidR="00E56438" w:rsidRPr="001627D7">
          <w:rPr>
            <w:noProof/>
            <w:webHidden/>
          </w:rPr>
          <w:fldChar w:fldCharType="end"/>
        </w:r>
      </w:hyperlink>
    </w:p>
    <w:p w14:paraId="32CD0A45" w14:textId="22A89071" w:rsidR="00E56438" w:rsidRPr="00A67F27" w:rsidRDefault="00B37E92">
      <w:pPr>
        <w:pStyle w:val="TM2"/>
        <w:rPr>
          <w:rFonts w:asciiTheme="minorHAnsi" w:eastAsiaTheme="minorEastAsia" w:hAnsiTheme="minorHAnsi" w:cstheme="minorBidi"/>
          <w:noProof/>
          <w:sz w:val="22"/>
          <w:szCs w:val="22"/>
          <w:lang w:eastAsia="zh-CN"/>
        </w:rPr>
      </w:pPr>
      <w:hyperlink w:anchor="_Toc487641624" w:history="1">
        <w:r w:rsidR="00E56438" w:rsidRPr="001627D7">
          <w:rPr>
            <w:rStyle w:val="Lienhypertexte"/>
            <w:noProof/>
          </w:rPr>
          <w:t>Formulaire ELI – 1.2 : Fiche de renseignements sur chaque  Partie d’un GE/</w:t>
        </w:r>
        <w:r w:rsidR="00E56438" w:rsidRPr="001627D7">
          <w:rPr>
            <w:rStyle w:val="Lienhypertexte"/>
            <w:noProof/>
          </w:rPr>
          <w:br/>
          <w:t>sous-traitants spécialisés</w:t>
        </w:r>
        <w:r w:rsidR="00E56438" w:rsidRPr="001627D7">
          <w:rPr>
            <w:noProof/>
            <w:webHidden/>
          </w:rPr>
          <w:tab/>
        </w:r>
        <w:r w:rsidR="00E56438" w:rsidRPr="001627D7">
          <w:rPr>
            <w:noProof/>
            <w:webHidden/>
          </w:rPr>
          <w:fldChar w:fldCharType="begin"/>
        </w:r>
        <w:r w:rsidR="00E56438" w:rsidRPr="00A67F27">
          <w:rPr>
            <w:noProof/>
            <w:webHidden/>
          </w:rPr>
          <w:instrText xml:space="preserve"> PAGEREF _Toc487641624 \h </w:instrText>
        </w:r>
        <w:r w:rsidR="00E56438" w:rsidRPr="001627D7">
          <w:rPr>
            <w:noProof/>
            <w:webHidden/>
          </w:rPr>
        </w:r>
        <w:r w:rsidR="00E56438" w:rsidRPr="001627D7">
          <w:rPr>
            <w:noProof/>
            <w:webHidden/>
          </w:rPr>
          <w:fldChar w:fldCharType="separate"/>
        </w:r>
        <w:r w:rsidR="006C5B9E">
          <w:rPr>
            <w:noProof/>
            <w:webHidden/>
          </w:rPr>
          <w:t>125</w:t>
        </w:r>
        <w:r w:rsidR="00E56438" w:rsidRPr="001627D7">
          <w:rPr>
            <w:noProof/>
            <w:webHidden/>
          </w:rPr>
          <w:fldChar w:fldCharType="end"/>
        </w:r>
      </w:hyperlink>
    </w:p>
    <w:p w14:paraId="7F0FD24D" w14:textId="7399F6B6" w:rsidR="00E56438" w:rsidRPr="00A67F27" w:rsidRDefault="00B37E92">
      <w:pPr>
        <w:pStyle w:val="TM2"/>
        <w:rPr>
          <w:rFonts w:asciiTheme="minorHAnsi" w:eastAsiaTheme="minorEastAsia" w:hAnsiTheme="minorHAnsi" w:cstheme="minorBidi"/>
          <w:noProof/>
          <w:sz w:val="22"/>
          <w:szCs w:val="22"/>
          <w:lang w:eastAsia="zh-CN"/>
        </w:rPr>
      </w:pPr>
      <w:hyperlink w:anchor="_Toc487641625" w:history="1">
        <w:r w:rsidR="00E56438" w:rsidRPr="001627D7">
          <w:rPr>
            <w:rStyle w:val="Lienhypertexte"/>
            <w:noProof/>
          </w:rPr>
          <w:t>Formulaire ANT-2 : Antécédents de marchés non exécutés, de litiges en instance et d’antécédents de litiges</w:t>
        </w:r>
        <w:r w:rsidR="00E56438" w:rsidRPr="001627D7">
          <w:rPr>
            <w:noProof/>
            <w:webHidden/>
          </w:rPr>
          <w:tab/>
        </w:r>
        <w:r w:rsidR="00E56438" w:rsidRPr="001627D7">
          <w:rPr>
            <w:noProof/>
            <w:webHidden/>
          </w:rPr>
          <w:fldChar w:fldCharType="begin"/>
        </w:r>
        <w:r w:rsidR="00E56438" w:rsidRPr="00A67F27">
          <w:rPr>
            <w:noProof/>
            <w:webHidden/>
          </w:rPr>
          <w:instrText xml:space="preserve"> PAGEREF _Toc487641625 \h </w:instrText>
        </w:r>
        <w:r w:rsidR="00E56438" w:rsidRPr="001627D7">
          <w:rPr>
            <w:noProof/>
            <w:webHidden/>
          </w:rPr>
        </w:r>
        <w:r w:rsidR="00E56438" w:rsidRPr="001627D7">
          <w:rPr>
            <w:noProof/>
            <w:webHidden/>
          </w:rPr>
          <w:fldChar w:fldCharType="separate"/>
        </w:r>
        <w:r w:rsidR="006C5B9E">
          <w:rPr>
            <w:noProof/>
            <w:webHidden/>
          </w:rPr>
          <w:t>126</w:t>
        </w:r>
        <w:r w:rsidR="00E56438" w:rsidRPr="001627D7">
          <w:rPr>
            <w:noProof/>
            <w:webHidden/>
          </w:rPr>
          <w:fldChar w:fldCharType="end"/>
        </w:r>
      </w:hyperlink>
    </w:p>
    <w:p w14:paraId="1D03E0FD" w14:textId="6B8D704F" w:rsidR="00E56438" w:rsidRPr="00A67F27" w:rsidRDefault="00B37E92">
      <w:pPr>
        <w:pStyle w:val="TM2"/>
        <w:rPr>
          <w:rFonts w:asciiTheme="minorHAnsi" w:eastAsiaTheme="minorEastAsia" w:hAnsiTheme="minorHAnsi" w:cstheme="minorBidi"/>
          <w:noProof/>
          <w:sz w:val="22"/>
          <w:szCs w:val="22"/>
          <w:lang w:eastAsia="zh-CN"/>
        </w:rPr>
      </w:pPr>
      <w:hyperlink w:anchor="_Toc487641626" w:history="1">
        <w:r w:rsidR="00E56438" w:rsidRPr="001627D7">
          <w:rPr>
            <w:rStyle w:val="Lienhypertexte"/>
            <w:noProof/>
          </w:rPr>
          <w:t>Formulaire ANT 3 Déclaration de performance ESHS</w:t>
        </w:r>
        <w:r w:rsidR="00E56438" w:rsidRPr="00043C85">
          <w:rPr>
            <w:noProof/>
            <w:webHidden/>
          </w:rPr>
          <w:tab/>
        </w:r>
        <w:r w:rsidR="00E56438" w:rsidRPr="001627D7">
          <w:rPr>
            <w:noProof/>
            <w:webHidden/>
          </w:rPr>
          <w:fldChar w:fldCharType="begin"/>
        </w:r>
        <w:r w:rsidR="00E56438" w:rsidRPr="00A67F27">
          <w:rPr>
            <w:noProof/>
            <w:webHidden/>
          </w:rPr>
          <w:instrText xml:space="preserve"> PAGEREF _Toc487641626 \h </w:instrText>
        </w:r>
        <w:r w:rsidR="00E56438" w:rsidRPr="001627D7">
          <w:rPr>
            <w:noProof/>
            <w:webHidden/>
          </w:rPr>
        </w:r>
        <w:r w:rsidR="00E56438" w:rsidRPr="001627D7">
          <w:rPr>
            <w:noProof/>
            <w:webHidden/>
          </w:rPr>
          <w:fldChar w:fldCharType="separate"/>
        </w:r>
        <w:r w:rsidR="006C5B9E">
          <w:rPr>
            <w:noProof/>
            <w:webHidden/>
          </w:rPr>
          <w:t>127</w:t>
        </w:r>
        <w:r w:rsidR="00E56438" w:rsidRPr="001627D7">
          <w:rPr>
            <w:noProof/>
            <w:webHidden/>
          </w:rPr>
          <w:fldChar w:fldCharType="end"/>
        </w:r>
      </w:hyperlink>
    </w:p>
    <w:p w14:paraId="38DB1E0E" w14:textId="0FA7E9D3" w:rsidR="00E56438" w:rsidRPr="00A67F27" w:rsidRDefault="00B37E92">
      <w:pPr>
        <w:pStyle w:val="TM2"/>
        <w:rPr>
          <w:rFonts w:asciiTheme="minorHAnsi" w:eastAsiaTheme="minorEastAsia" w:hAnsiTheme="minorHAnsi" w:cstheme="minorBidi"/>
          <w:noProof/>
          <w:sz w:val="22"/>
          <w:szCs w:val="22"/>
          <w:lang w:eastAsia="zh-CN"/>
        </w:rPr>
      </w:pPr>
      <w:hyperlink w:anchor="_Toc487641627" w:history="1">
        <w:r w:rsidR="00E56438" w:rsidRPr="001627D7">
          <w:rPr>
            <w:rStyle w:val="Lienhypertexte"/>
            <w:noProof/>
          </w:rPr>
          <w:t>Formulaire FIN – 3.4 : Charge de travail / travaux en cours</w:t>
        </w:r>
        <w:r w:rsidR="00E56438" w:rsidRPr="001627D7">
          <w:rPr>
            <w:noProof/>
            <w:webHidden/>
          </w:rPr>
          <w:tab/>
        </w:r>
        <w:r w:rsidR="00E56438" w:rsidRPr="001627D7">
          <w:rPr>
            <w:noProof/>
            <w:webHidden/>
          </w:rPr>
          <w:fldChar w:fldCharType="begin"/>
        </w:r>
        <w:r w:rsidR="00E56438" w:rsidRPr="00A67F27">
          <w:rPr>
            <w:noProof/>
            <w:webHidden/>
          </w:rPr>
          <w:instrText xml:space="preserve"> PAGEREF _Toc487641627 \h </w:instrText>
        </w:r>
        <w:r w:rsidR="00E56438" w:rsidRPr="001627D7">
          <w:rPr>
            <w:noProof/>
            <w:webHidden/>
          </w:rPr>
        </w:r>
        <w:r w:rsidR="00E56438" w:rsidRPr="001627D7">
          <w:rPr>
            <w:noProof/>
            <w:webHidden/>
          </w:rPr>
          <w:fldChar w:fldCharType="separate"/>
        </w:r>
        <w:r w:rsidR="006C5B9E">
          <w:rPr>
            <w:noProof/>
            <w:webHidden/>
          </w:rPr>
          <w:t>129</w:t>
        </w:r>
        <w:r w:rsidR="00E56438" w:rsidRPr="001627D7">
          <w:rPr>
            <w:noProof/>
            <w:webHidden/>
          </w:rPr>
          <w:fldChar w:fldCharType="end"/>
        </w:r>
      </w:hyperlink>
    </w:p>
    <w:p w14:paraId="491CD840" w14:textId="28BC4CF2" w:rsidR="00E56438" w:rsidRPr="00A67F27" w:rsidRDefault="00B37E92">
      <w:pPr>
        <w:pStyle w:val="TM2"/>
        <w:rPr>
          <w:rFonts w:asciiTheme="minorHAnsi" w:eastAsiaTheme="minorEastAsia" w:hAnsiTheme="minorHAnsi" w:cstheme="minorBidi"/>
          <w:noProof/>
          <w:sz w:val="22"/>
          <w:szCs w:val="22"/>
          <w:lang w:eastAsia="zh-CN"/>
        </w:rPr>
      </w:pPr>
      <w:hyperlink w:anchor="_Toc487641628" w:history="1">
        <w:r w:rsidR="00E56438" w:rsidRPr="001627D7">
          <w:rPr>
            <w:rStyle w:val="Lienhypertexte"/>
            <w:noProof/>
          </w:rPr>
          <w:t>Formulaire FIN – 3.1 : Situation et Performance financières</w:t>
        </w:r>
        <w:r w:rsidR="00E56438" w:rsidRPr="00043C85">
          <w:rPr>
            <w:noProof/>
            <w:webHidden/>
          </w:rPr>
          <w:tab/>
        </w:r>
        <w:r w:rsidR="00E56438" w:rsidRPr="001627D7">
          <w:rPr>
            <w:noProof/>
            <w:webHidden/>
          </w:rPr>
          <w:fldChar w:fldCharType="begin"/>
        </w:r>
        <w:r w:rsidR="00E56438" w:rsidRPr="00A67F27">
          <w:rPr>
            <w:noProof/>
            <w:webHidden/>
          </w:rPr>
          <w:instrText xml:space="preserve"> PAGEREF _Toc487641628 \h </w:instrText>
        </w:r>
        <w:r w:rsidR="00E56438" w:rsidRPr="001627D7">
          <w:rPr>
            <w:noProof/>
            <w:webHidden/>
          </w:rPr>
        </w:r>
        <w:r w:rsidR="00E56438" w:rsidRPr="001627D7">
          <w:rPr>
            <w:noProof/>
            <w:webHidden/>
          </w:rPr>
          <w:fldChar w:fldCharType="separate"/>
        </w:r>
        <w:r w:rsidR="006C5B9E">
          <w:rPr>
            <w:noProof/>
            <w:webHidden/>
          </w:rPr>
          <w:t>130</w:t>
        </w:r>
        <w:r w:rsidR="00E56438" w:rsidRPr="001627D7">
          <w:rPr>
            <w:noProof/>
            <w:webHidden/>
          </w:rPr>
          <w:fldChar w:fldCharType="end"/>
        </w:r>
      </w:hyperlink>
    </w:p>
    <w:p w14:paraId="72A0EEEE" w14:textId="7612C305" w:rsidR="00E56438" w:rsidRPr="00A67F27" w:rsidRDefault="00B37E92">
      <w:pPr>
        <w:pStyle w:val="TM2"/>
        <w:rPr>
          <w:rFonts w:asciiTheme="minorHAnsi" w:eastAsiaTheme="minorEastAsia" w:hAnsiTheme="minorHAnsi" w:cstheme="minorBidi"/>
          <w:noProof/>
          <w:sz w:val="22"/>
          <w:szCs w:val="22"/>
          <w:lang w:eastAsia="zh-CN"/>
        </w:rPr>
      </w:pPr>
      <w:hyperlink w:anchor="_Toc487641629" w:history="1">
        <w:r w:rsidR="00E56438" w:rsidRPr="001627D7">
          <w:rPr>
            <w:rStyle w:val="Lienhypertexte"/>
            <w:noProof/>
          </w:rPr>
          <w:t>Formulaire FIN – 3.3 : Ressources financières</w:t>
        </w:r>
        <w:r w:rsidR="00E56438" w:rsidRPr="001627D7">
          <w:rPr>
            <w:noProof/>
            <w:webHidden/>
          </w:rPr>
          <w:tab/>
        </w:r>
        <w:r w:rsidR="00E56438" w:rsidRPr="001627D7">
          <w:rPr>
            <w:noProof/>
            <w:webHidden/>
          </w:rPr>
          <w:fldChar w:fldCharType="begin"/>
        </w:r>
        <w:r w:rsidR="00E56438" w:rsidRPr="00A67F27">
          <w:rPr>
            <w:noProof/>
            <w:webHidden/>
          </w:rPr>
          <w:instrText xml:space="preserve"> PAGEREF _Toc487641629 \h </w:instrText>
        </w:r>
        <w:r w:rsidR="00E56438" w:rsidRPr="001627D7">
          <w:rPr>
            <w:noProof/>
            <w:webHidden/>
          </w:rPr>
        </w:r>
        <w:r w:rsidR="00E56438" w:rsidRPr="001627D7">
          <w:rPr>
            <w:noProof/>
            <w:webHidden/>
          </w:rPr>
          <w:fldChar w:fldCharType="separate"/>
        </w:r>
        <w:r w:rsidR="006C5B9E">
          <w:rPr>
            <w:noProof/>
            <w:webHidden/>
          </w:rPr>
          <w:t>133</w:t>
        </w:r>
        <w:r w:rsidR="00E56438" w:rsidRPr="001627D7">
          <w:rPr>
            <w:noProof/>
            <w:webHidden/>
          </w:rPr>
          <w:fldChar w:fldCharType="end"/>
        </w:r>
      </w:hyperlink>
    </w:p>
    <w:p w14:paraId="22FB1EF1" w14:textId="0591C8BE" w:rsidR="00E56438" w:rsidRPr="00A67F27" w:rsidRDefault="00B37E92">
      <w:pPr>
        <w:pStyle w:val="TM2"/>
        <w:rPr>
          <w:rFonts w:asciiTheme="minorHAnsi" w:eastAsiaTheme="minorEastAsia" w:hAnsiTheme="minorHAnsi" w:cstheme="minorBidi"/>
          <w:noProof/>
          <w:sz w:val="22"/>
          <w:szCs w:val="22"/>
          <w:lang w:eastAsia="zh-CN"/>
        </w:rPr>
      </w:pPr>
      <w:hyperlink w:anchor="_Toc487641630" w:history="1">
        <w:r w:rsidR="00E56438" w:rsidRPr="001627D7">
          <w:rPr>
            <w:rStyle w:val="Lienhypertexte"/>
            <w:noProof/>
          </w:rPr>
          <w:t>Formulaire EXP – 4.1 : Expérience générale de construction</w:t>
        </w:r>
        <w:r w:rsidR="00E56438" w:rsidRPr="00043C85">
          <w:rPr>
            <w:noProof/>
            <w:webHidden/>
          </w:rPr>
          <w:tab/>
        </w:r>
        <w:r w:rsidR="00E56438" w:rsidRPr="001627D7">
          <w:rPr>
            <w:noProof/>
            <w:webHidden/>
          </w:rPr>
          <w:fldChar w:fldCharType="begin"/>
        </w:r>
        <w:r w:rsidR="00E56438" w:rsidRPr="00A67F27">
          <w:rPr>
            <w:noProof/>
            <w:webHidden/>
          </w:rPr>
          <w:instrText xml:space="preserve"> PAGEREF _Toc487641630 \h </w:instrText>
        </w:r>
        <w:r w:rsidR="00E56438" w:rsidRPr="001627D7">
          <w:rPr>
            <w:noProof/>
            <w:webHidden/>
          </w:rPr>
        </w:r>
        <w:r w:rsidR="00E56438" w:rsidRPr="001627D7">
          <w:rPr>
            <w:noProof/>
            <w:webHidden/>
          </w:rPr>
          <w:fldChar w:fldCharType="separate"/>
        </w:r>
        <w:r w:rsidR="006C5B9E">
          <w:rPr>
            <w:noProof/>
            <w:webHidden/>
          </w:rPr>
          <w:t>134</w:t>
        </w:r>
        <w:r w:rsidR="00E56438" w:rsidRPr="001627D7">
          <w:rPr>
            <w:noProof/>
            <w:webHidden/>
          </w:rPr>
          <w:fldChar w:fldCharType="end"/>
        </w:r>
      </w:hyperlink>
    </w:p>
    <w:p w14:paraId="16DECE68" w14:textId="4D002C94" w:rsidR="00E56438" w:rsidRPr="00A67F27" w:rsidRDefault="00B37E92">
      <w:pPr>
        <w:pStyle w:val="TM2"/>
        <w:rPr>
          <w:rFonts w:asciiTheme="minorHAnsi" w:eastAsiaTheme="minorEastAsia" w:hAnsiTheme="minorHAnsi" w:cstheme="minorBidi"/>
          <w:noProof/>
          <w:sz w:val="22"/>
          <w:szCs w:val="22"/>
          <w:lang w:eastAsia="zh-CN"/>
        </w:rPr>
      </w:pPr>
      <w:hyperlink w:anchor="_Toc487641631" w:history="1">
        <w:r w:rsidR="00E56438" w:rsidRPr="001627D7">
          <w:rPr>
            <w:rStyle w:val="Lienhypertexte"/>
            <w:noProof/>
          </w:rPr>
          <w:t xml:space="preserve">Formulaire EXP – 4.2 a) : Expérience spécifique en tant qu’Entrepreneur </w:t>
        </w:r>
        <w:r w:rsidR="00E56438" w:rsidRPr="001627D7">
          <w:rPr>
            <w:rStyle w:val="Lienhypertexte"/>
            <w:noProof/>
          </w:rPr>
          <w:br/>
          <w:t>ou Ensemblier</w:t>
        </w:r>
        <w:r w:rsidR="00E56438" w:rsidRPr="001627D7">
          <w:rPr>
            <w:noProof/>
            <w:webHidden/>
          </w:rPr>
          <w:tab/>
        </w:r>
        <w:r w:rsidR="00E56438" w:rsidRPr="001627D7">
          <w:rPr>
            <w:noProof/>
            <w:webHidden/>
          </w:rPr>
          <w:fldChar w:fldCharType="begin"/>
        </w:r>
        <w:r w:rsidR="00E56438" w:rsidRPr="00A67F27">
          <w:rPr>
            <w:noProof/>
            <w:webHidden/>
          </w:rPr>
          <w:instrText xml:space="preserve"> PAGEREF _Toc487641631 \h </w:instrText>
        </w:r>
        <w:r w:rsidR="00E56438" w:rsidRPr="001627D7">
          <w:rPr>
            <w:noProof/>
            <w:webHidden/>
          </w:rPr>
        </w:r>
        <w:r w:rsidR="00E56438" w:rsidRPr="001627D7">
          <w:rPr>
            <w:noProof/>
            <w:webHidden/>
          </w:rPr>
          <w:fldChar w:fldCharType="separate"/>
        </w:r>
        <w:r w:rsidR="006C5B9E">
          <w:rPr>
            <w:noProof/>
            <w:webHidden/>
          </w:rPr>
          <w:t>135</w:t>
        </w:r>
        <w:r w:rsidR="00E56438" w:rsidRPr="001627D7">
          <w:rPr>
            <w:noProof/>
            <w:webHidden/>
          </w:rPr>
          <w:fldChar w:fldCharType="end"/>
        </w:r>
      </w:hyperlink>
    </w:p>
    <w:p w14:paraId="7CA130DD" w14:textId="135B04EC" w:rsidR="00E56438" w:rsidRPr="00A67F27" w:rsidRDefault="00B37E92">
      <w:pPr>
        <w:pStyle w:val="TM2"/>
        <w:rPr>
          <w:rFonts w:asciiTheme="minorHAnsi" w:eastAsiaTheme="minorEastAsia" w:hAnsiTheme="minorHAnsi" w:cstheme="minorBidi"/>
          <w:noProof/>
          <w:sz w:val="22"/>
          <w:szCs w:val="22"/>
          <w:lang w:eastAsia="zh-CN"/>
        </w:rPr>
      </w:pPr>
      <w:hyperlink w:anchor="_Toc487641632" w:history="1">
        <w:r w:rsidR="00E56438" w:rsidRPr="001627D7">
          <w:rPr>
            <w:rStyle w:val="Lienhypertexte"/>
            <w:noProof/>
          </w:rPr>
          <w:t xml:space="preserve">Formulaire EXP – 4.2 b) : Expérience spécifique de construction dans </w:t>
        </w:r>
        <w:r w:rsidR="00E56438" w:rsidRPr="001627D7">
          <w:rPr>
            <w:rStyle w:val="Lienhypertexte"/>
            <w:noProof/>
          </w:rPr>
          <w:br/>
          <w:t>les activités clés</w:t>
        </w:r>
        <w:r w:rsidR="00E56438" w:rsidRPr="001627D7">
          <w:rPr>
            <w:noProof/>
            <w:webHidden/>
          </w:rPr>
          <w:tab/>
        </w:r>
        <w:r w:rsidR="00E56438" w:rsidRPr="001627D7">
          <w:rPr>
            <w:noProof/>
            <w:webHidden/>
          </w:rPr>
          <w:fldChar w:fldCharType="begin"/>
        </w:r>
        <w:r w:rsidR="00E56438" w:rsidRPr="00A67F27">
          <w:rPr>
            <w:noProof/>
            <w:webHidden/>
          </w:rPr>
          <w:instrText xml:space="preserve"> PAGEREF _Toc487641632 \h </w:instrText>
        </w:r>
        <w:r w:rsidR="00E56438" w:rsidRPr="001627D7">
          <w:rPr>
            <w:noProof/>
            <w:webHidden/>
          </w:rPr>
        </w:r>
        <w:r w:rsidR="00E56438" w:rsidRPr="001627D7">
          <w:rPr>
            <w:noProof/>
            <w:webHidden/>
          </w:rPr>
          <w:fldChar w:fldCharType="separate"/>
        </w:r>
        <w:r w:rsidR="006C5B9E">
          <w:rPr>
            <w:noProof/>
            <w:webHidden/>
          </w:rPr>
          <w:t>137</w:t>
        </w:r>
        <w:r w:rsidR="00E56438" w:rsidRPr="001627D7">
          <w:rPr>
            <w:noProof/>
            <w:webHidden/>
          </w:rPr>
          <w:fldChar w:fldCharType="end"/>
        </w:r>
      </w:hyperlink>
    </w:p>
    <w:p w14:paraId="448B8228" w14:textId="68A06391" w:rsidR="00D40381" w:rsidRPr="00A67F27" w:rsidRDefault="00D40381" w:rsidP="00D40381">
      <w:pPr>
        <w:tabs>
          <w:tab w:val="left" w:pos="1350"/>
          <w:tab w:val="right" w:leader="dot" w:pos="9000"/>
        </w:tabs>
        <w:spacing w:after="0"/>
        <w:ind w:left="720" w:hanging="547"/>
        <w:jc w:val="left"/>
        <w:outlineLvl w:val="1"/>
      </w:pPr>
      <w:r w:rsidRPr="00A67F27">
        <w:rPr>
          <w:szCs w:val="24"/>
          <w:lang w:eastAsia="en-US"/>
        </w:rPr>
        <w:fldChar w:fldCharType="end"/>
      </w:r>
    </w:p>
    <w:p w14:paraId="5466BA74" w14:textId="77777777" w:rsidR="00D40381" w:rsidRPr="00A67F27" w:rsidRDefault="00D40381" w:rsidP="00D40381">
      <w:pPr>
        <w:sectPr w:rsidR="00D40381" w:rsidRPr="00A67F27" w:rsidSect="008D2EE3">
          <w:headerReference w:type="first" r:id="rId25"/>
          <w:footnotePr>
            <w:numRestart w:val="eachPage"/>
          </w:footnotePr>
          <w:endnotePr>
            <w:numFmt w:val="decimal"/>
          </w:endnotePr>
          <w:type w:val="oddPage"/>
          <w:pgSz w:w="12240" w:h="15840" w:code="1"/>
          <w:pgMar w:top="1418" w:right="1418" w:bottom="1418" w:left="1418" w:header="720" w:footer="720" w:gutter="0"/>
          <w:cols w:space="720"/>
          <w:titlePg/>
        </w:sectPr>
      </w:pPr>
    </w:p>
    <w:p w14:paraId="772E2100" w14:textId="24CD6ED8" w:rsidR="00A11C07" w:rsidRPr="00A67F27" w:rsidRDefault="00A11C07">
      <w:pPr>
        <w:jc w:val="left"/>
        <w:rPr>
          <w:rFonts w:asciiTheme="majorBidi" w:hAnsiTheme="majorBidi" w:cstheme="majorBidi"/>
          <w:b/>
        </w:rPr>
      </w:pPr>
    </w:p>
    <w:tbl>
      <w:tblPr>
        <w:tblW w:w="0" w:type="auto"/>
        <w:tblLayout w:type="fixed"/>
        <w:tblLook w:val="0000" w:firstRow="0" w:lastRow="0" w:firstColumn="0" w:lastColumn="0" w:noHBand="0" w:noVBand="0"/>
      </w:tblPr>
      <w:tblGrid>
        <w:gridCol w:w="9198"/>
      </w:tblGrid>
      <w:tr w:rsidR="000A450A" w:rsidRPr="00A67F27" w14:paraId="53381BF7" w14:textId="77777777" w:rsidTr="00926B94">
        <w:trPr>
          <w:trHeight w:val="900"/>
        </w:trPr>
        <w:tc>
          <w:tcPr>
            <w:tcW w:w="9198" w:type="dxa"/>
            <w:tcBorders>
              <w:top w:val="nil"/>
              <w:left w:val="nil"/>
              <w:bottom w:val="single" w:sz="4" w:space="0" w:color="auto"/>
              <w:right w:val="nil"/>
            </w:tcBorders>
          </w:tcPr>
          <w:p w14:paraId="1DA1C2CB" w14:textId="2BC92BF0" w:rsidR="000A450A" w:rsidRPr="00A67F27" w:rsidRDefault="00B925BF" w:rsidP="00E33019">
            <w:pPr>
              <w:pStyle w:val="Style7"/>
              <w:rPr>
                <w:rFonts w:asciiTheme="majorBidi" w:hAnsiTheme="majorBidi" w:cstheme="majorBidi"/>
              </w:rPr>
            </w:pPr>
            <w:bookmarkStart w:id="455" w:name="_Toc483210383"/>
            <w:bookmarkStart w:id="456" w:name="_Toc327863856"/>
            <w:bookmarkStart w:id="457" w:name="_Toc461854736"/>
            <w:r w:rsidRPr="00A67F27">
              <w:rPr>
                <w:rFonts w:asciiTheme="majorBidi" w:hAnsiTheme="majorBidi" w:cstheme="majorBidi"/>
              </w:rPr>
              <w:t xml:space="preserve">Lettre de </w:t>
            </w:r>
            <w:r w:rsidR="000A450A" w:rsidRPr="00A67F27">
              <w:rPr>
                <w:rFonts w:asciiTheme="majorBidi" w:hAnsiTheme="majorBidi" w:cstheme="majorBidi"/>
              </w:rPr>
              <w:t>Soumission</w:t>
            </w:r>
            <w:bookmarkEnd w:id="455"/>
            <w:r w:rsidR="000A450A" w:rsidRPr="00A67F27">
              <w:rPr>
                <w:rFonts w:asciiTheme="majorBidi" w:hAnsiTheme="majorBidi" w:cstheme="majorBidi"/>
              </w:rPr>
              <w:t xml:space="preserve"> </w:t>
            </w:r>
            <w:bookmarkEnd w:id="456"/>
            <w:bookmarkEnd w:id="457"/>
          </w:p>
          <w:p w14:paraId="61BAB82A" w14:textId="5E81BB6B" w:rsidR="00412BB8" w:rsidRPr="00A67F27" w:rsidRDefault="00412BB8" w:rsidP="00DF3DF1">
            <w:pPr>
              <w:spacing w:after="120"/>
              <w:rPr>
                <w:rFonts w:asciiTheme="majorBidi" w:hAnsiTheme="majorBidi" w:cstheme="majorBidi"/>
                <w:i/>
              </w:rPr>
            </w:pPr>
          </w:p>
        </w:tc>
      </w:tr>
      <w:tr w:rsidR="00B925BF" w:rsidRPr="00A67F27" w14:paraId="4A599B22" w14:textId="77777777" w:rsidTr="00926B94">
        <w:trPr>
          <w:trHeight w:val="900"/>
        </w:trPr>
        <w:tc>
          <w:tcPr>
            <w:tcW w:w="9198" w:type="dxa"/>
            <w:tcBorders>
              <w:top w:val="single" w:sz="4" w:space="0" w:color="auto"/>
              <w:left w:val="single" w:sz="4" w:space="0" w:color="auto"/>
              <w:bottom w:val="single" w:sz="4" w:space="0" w:color="auto"/>
              <w:right w:val="single" w:sz="4" w:space="0" w:color="auto"/>
            </w:tcBorders>
          </w:tcPr>
          <w:p w14:paraId="4E9F2575" w14:textId="77777777" w:rsidR="00B925BF" w:rsidRPr="00A67F27" w:rsidRDefault="00B925BF" w:rsidP="00F82AAD">
            <w:pPr>
              <w:tabs>
                <w:tab w:val="right" w:pos="9000"/>
              </w:tabs>
              <w:ind w:left="0" w:firstLine="0"/>
              <w:rPr>
                <w:rFonts w:asciiTheme="majorBidi" w:hAnsiTheme="majorBidi" w:cstheme="majorBidi"/>
                <w:i/>
                <w:iCs/>
              </w:rPr>
            </w:pPr>
            <w:r w:rsidRPr="00A67F27">
              <w:rPr>
                <w:rFonts w:asciiTheme="majorBidi" w:hAnsiTheme="majorBidi" w:cstheme="majorBidi"/>
                <w:i/>
                <w:iCs/>
              </w:rPr>
              <w:t>Le Soumissionnaire devra remplir la lettre ci-dessous avec son entête, indiquant clairement le nom et l’adresse commerciale complets.</w:t>
            </w:r>
          </w:p>
          <w:p w14:paraId="4A6CC8A1" w14:textId="35EF2944" w:rsidR="00B925BF" w:rsidRPr="00A67F27" w:rsidRDefault="00B925BF" w:rsidP="00F82AAD">
            <w:pPr>
              <w:tabs>
                <w:tab w:val="right" w:pos="9000"/>
              </w:tabs>
              <w:ind w:left="0" w:firstLine="0"/>
              <w:rPr>
                <w:rFonts w:asciiTheme="majorBidi" w:hAnsiTheme="majorBidi" w:cstheme="majorBidi"/>
                <w:b/>
                <w:bCs/>
              </w:rPr>
            </w:pPr>
            <w:r w:rsidRPr="00A67F27">
              <w:rPr>
                <w:rFonts w:asciiTheme="majorBidi" w:hAnsiTheme="majorBidi" w:cstheme="majorBidi"/>
                <w:b/>
                <w:bCs/>
                <w:i/>
                <w:iCs/>
              </w:rPr>
              <w:t>Notes</w:t>
            </w:r>
            <w:r w:rsidR="009B2302" w:rsidRPr="00A67F27">
              <w:rPr>
                <w:rFonts w:asciiTheme="majorBidi" w:hAnsiTheme="majorBidi" w:cstheme="majorBidi"/>
                <w:b/>
                <w:bCs/>
                <w:i/>
                <w:iCs/>
              </w:rPr>
              <w:t> :</w:t>
            </w:r>
            <w:r w:rsidRPr="00A67F27">
              <w:rPr>
                <w:rFonts w:asciiTheme="majorBidi" w:hAnsiTheme="majorBidi" w:cstheme="majorBidi"/>
                <w:b/>
                <w:bCs/>
                <w:i/>
                <w:iCs/>
              </w:rPr>
              <w:t xml:space="preserve"> le texte en italiques est destiné à faciliter la préparation des formulaires et devra être supprimé dans les formulaires d’offres</w:t>
            </w:r>
            <w:r w:rsidR="00BB4F08" w:rsidRPr="00A67F27">
              <w:rPr>
                <w:rFonts w:asciiTheme="majorBidi" w:hAnsiTheme="majorBidi" w:cstheme="majorBidi"/>
                <w:b/>
                <w:bCs/>
                <w:i/>
                <w:iCs/>
              </w:rPr>
              <w:t>.</w:t>
            </w:r>
          </w:p>
        </w:tc>
      </w:tr>
    </w:tbl>
    <w:p w14:paraId="39F41346" w14:textId="77777777" w:rsidR="00BB4F08" w:rsidRPr="00A67F27" w:rsidRDefault="00BB4F08" w:rsidP="00BB4F08">
      <w:pPr>
        <w:spacing w:before="120" w:after="120"/>
        <w:jc w:val="left"/>
        <w:rPr>
          <w:rFonts w:asciiTheme="majorBidi" w:hAnsiTheme="majorBidi" w:cstheme="majorBidi"/>
        </w:rPr>
      </w:pPr>
    </w:p>
    <w:p w14:paraId="6AA14E9A" w14:textId="1C671742" w:rsidR="00B925BF" w:rsidRPr="00A67F27" w:rsidRDefault="00B925BF" w:rsidP="00BB4F08">
      <w:pPr>
        <w:spacing w:after="0"/>
        <w:jc w:val="left"/>
        <w:rPr>
          <w:rFonts w:asciiTheme="majorBidi" w:hAnsiTheme="majorBidi" w:cstheme="majorBidi"/>
          <w:b/>
          <w:bCs/>
        </w:rPr>
      </w:pPr>
      <w:r w:rsidRPr="00A67F27">
        <w:rPr>
          <w:rFonts w:asciiTheme="majorBidi" w:hAnsiTheme="majorBidi" w:cstheme="majorBidi"/>
        </w:rPr>
        <w:t>Date de soumission</w:t>
      </w:r>
      <w:r w:rsidR="009B2302" w:rsidRPr="00A67F27">
        <w:rPr>
          <w:rFonts w:asciiTheme="majorBidi" w:hAnsiTheme="majorBidi" w:cstheme="majorBidi"/>
        </w:rPr>
        <w:t> :</w:t>
      </w:r>
      <w:r w:rsidRPr="00A67F27">
        <w:rPr>
          <w:rFonts w:asciiTheme="majorBidi" w:hAnsiTheme="majorBidi" w:cstheme="majorBidi"/>
        </w:rPr>
        <w:t xml:space="preserve"> </w:t>
      </w:r>
      <w:r w:rsidRPr="00A67F27">
        <w:rPr>
          <w:rFonts w:asciiTheme="majorBidi" w:hAnsiTheme="majorBidi" w:cstheme="majorBidi"/>
          <w:b/>
          <w:bCs/>
          <w:i/>
          <w:iCs/>
        </w:rPr>
        <w:t>[insérer la date (jour, mois, année) de remise de l’offre]</w:t>
      </w:r>
    </w:p>
    <w:p w14:paraId="49514F53" w14:textId="002C1572" w:rsidR="00B925BF" w:rsidRPr="00A67F27" w:rsidRDefault="00B925BF" w:rsidP="00BB4F08">
      <w:pPr>
        <w:spacing w:after="0"/>
        <w:ind w:right="72"/>
        <w:jc w:val="left"/>
        <w:rPr>
          <w:rFonts w:asciiTheme="majorBidi" w:hAnsiTheme="majorBidi" w:cstheme="majorBidi"/>
          <w:b/>
          <w:i/>
          <w:iCs/>
        </w:rPr>
      </w:pPr>
      <w:r w:rsidRPr="00A67F27">
        <w:rPr>
          <w:rFonts w:asciiTheme="majorBidi" w:hAnsiTheme="majorBidi" w:cstheme="majorBidi"/>
        </w:rPr>
        <w:t>AO</w:t>
      </w:r>
      <w:r w:rsidR="00FF0C52" w:rsidRPr="00A67F27">
        <w:rPr>
          <w:rFonts w:asciiTheme="majorBidi" w:hAnsiTheme="majorBidi" w:cstheme="majorBidi"/>
        </w:rPr>
        <w:t>I</w:t>
      </w:r>
      <w:r w:rsidRPr="00A67F27">
        <w:rPr>
          <w:rFonts w:asciiTheme="majorBidi" w:hAnsiTheme="majorBidi" w:cstheme="majorBidi"/>
        </w:rPr>
        <w:t xml:space="preserve"> No.</w:t>
      </w:r>
      <w:r w:rsidR="009B2302" w:rsidRPr="00A67F27">
        <w:rPr>
          <w:rFonts w:asciiTheme="majorBidi" w:hAnsiTheme="majorBidi" w:cstheme="majorBidi"/>
        </w:rPr>
        <w:t> :</w:t>
      </w:r>
      <w:r w:rsidRPr="00A67F27">
        <w:rPr>
          <w:rFonts w:asciiTheme="majorBidi" w:hAnsiTheme="majorBidi" w:cstheme="majorBidi"/>
        </w:rPr>
        <w:t xml:space="preserve"> </w:t>
      </w:r>
      <w:r w:rsidRPr="00A67F27">
        <w:rPr>
          <w:rFonts w:asciiTheme="majorBidi" w:hAnsiTheme="majorBidi" w:cstheme="majorBidi"/>
          <w:b/>
          <w:i/>
          <w:iCs/>
        </w:rPr>
        <w:t>[</w:t>
      </w:r>
      <w:proofErr w:type="gramStart"/>
      <w:r w:rsidRPr="00A67F27">
        <w:rPr>
          <w:rFonts w:asciiTheme="majorBidi" w:hAnsiTheme="majorBidi" w:cstheme="majorBidi"/>
          <w:b/>
          <w:i/>
          <w:iCs/>
        </w:rPr>
        <w:t>insérer</w:t>
      </w:r>
      <w:proofErr w:type="gramEnd"/>
      <w:r w:rsidRPr="00A67F27">
        <w:rPr>
          <w:rFonts w:asciiTheme="majorBidi" w:hAnsiTheme="majorBidi" w:cstheme="majorBidi"/>
          <w:b/>
          <w:i/>
          <w:iCs/>
        </w:rPr>
        <w:t xml:space="preserve"> le numéro de l’Appel d’Offres]</w:t>
      </w:r>
    </w:p>
    <w:p w14:paraId="33FA8E67" w14:textId="726B76A7" w:rsidR="00BB4F08" w:rsidRPr="00A67F27" w:rsidRDefault="00BB4F08" w:rsidP="00BB4F08">
      <w:pPr>
        <w:tabs>
          <w:tab w:val="right" w:pos="9000"/>
        </w:tabs>
        <w:spacing w:after="0"/>
      </w:pPr>
      <w:r w:rsidRPr="00A67F27">
        <w:t xml:space="preserve">Invitation </w:t>
      </w:r>
      <w:r w:rsidR="0036021B" w:rsidRPr="00A67F27">
        <w:t xml:space="preserve">à soumissionner </w:t>
      </w:r>
      <w:r w:rsidRPr="00A67F27">
        <w:t xml:space="preserve">No.: </w:t>
      </w:r>
      <w:r w:rsidRPr="00A67F27">
        <w:rPr>
          <w:b/>
          <w:i/>
        </w:rPr>
        <w:t>[in</w:t>
      </w:r>
      <w:r w:rsidR="0036021B" w:rsidRPr="00A67F27">
        <w:rPr>
          <w:b/>
          <w:i/>
        </w:rPr>
        <w:t>sérer l’</w:t>
      </w:r>
      <w:r w:rsidRPr="00A67F27">
        <w:rPr>
          <w:b/>
          <w:i/>
        </w:rPr>
        <w:t>identification]</w:t>
      </w:r>
    </w:p>
    <w:p w14:paraId="3C00DDDA" w14:textId="581453AD" w:rsidR="00B925BF" w:rsidRPr="00A67F27" w:rsidRDefault="00B925BF" w:rsidP="00BB4F08">
      <w:pPr>
        <w:tabs>
          <w:tab w:val="right" w:pos="9000"/>
        </w:tabs>
        <w:spacing w:after="0"/>
        <w:jc w:val="left"/>
        <w:rPr>
          <w:rFonts w:asciiTheme="majorBidi" w:hAnsiTheme="majorBidi" w:cstheme="majorBidi"/>
          <w:bCs/>
          <w:i/>
          <w:iCs/>
        </w:rPr>
      </w:pPr>
      <w:r w:rsidRPr="00A67F27">
        <w:rPr>
          <w:rFonts w:asciiTheme="majorBidi" w:hAnsiTheme="majorBidi" w:cstheme="majorBidi"/>
        </w:rPr>
        <w:t>Variante No.</w:t>
      </w:r>
      <w:r w:rsidR="009B2302" w:rsidRPr="00A67F27">
        <w:rPr>
          <w:rFonts w:asciiTheme="majorBidi" w:hAnsiTheme="majorBidi" w:cstheme="majorBidi"/>
        </w:rPr>
        <w:t> :</w:t>
      </w:r>
      <w:r w:rsidRPr="00A67F27">
        <w:rPr>
          <w:rFonts w:asciiTheme="majorBidi" w:hAnsiTheme="majorBidi" w:cstheme="majorBidi"/>
        </w:rPr>
        <w:t xml:space="preserve"> </w:t>
      </w:r>
      <w:r w:rsidRPr="00A67F27">
        <w:rPr>
          <w:rFonts w:asciiTheme="majorBidi" w:hAnsiTheme="majorBidi" w:cstheme="majorBidi"/>
          <w:bCs/>
          <w:i/>
          <w:iCs/>
          <w:spacing w:val="-4"/>
        </w:rPr>
        <w:t>[</w:t>
      </w:r>
      <w:proofErr w:type="gramStart"/>
      <w:r w:rsidRPr="00A67F27">
        <w:rPr>
          <w:rFonts w:asciiTheme="majorBidi" w:hAnsiTheme="majorBidi" w:cstheme="majorBidi"/>
          <w:bCs/>
          <w:i/>
          <w:iCs/>
          <w:spacing w:val="-4"/>
        </w:rPr>
        <w:t>insérer</w:t>
      </w:r>
      <w:proofErr w:type="gramEnd"/>
      <w:r w:rsidRPr="00A67F27">
        <w:rPr>
          <w:rFonts w:asciiTheme="majorBidi" w:hAnsiTheme="majorBidi" w:cstheme="majorBidi"/>
          <w:bCs/>
          <w:i/>
          <w:iCs/>
          <w:spacing w:val="-4"/>
        </w:rPr>
        <w:t xml:space="preserve"> le numéro d’identification si cette offre est proposée pour une variante]</w:t>
      </w:r>
    </w:p>
    <w:p w14:paraId="6054139F" w14:textId="77777777" w:rsidR="00B925BF" w:rsidRPr="00A67F27" w:rsidRDefault="00B925BF" w:rsidP="00BB4F08">
      <w:pPr>
        <w:spacing w:after="0"/>
        <w:rPr>
          <w:rFonts w:asciiTheme="majorBidi" w:hAnsiTheme="majorBidi" w:cstheme="majorBidi"/>
        </w:rPr>
      </w:pPr>
    </w:p>
    <w:p w14:paraId="148191AE" w14:textId="509DF054" w:rsidR="000A450A" w:rsidRPr="00A67F27" w:rsidRDefault="00B925BF">
      <w:pPr>
        <w:rPr>
          <w:rFonts w:asciiTheme="majorBidi" w:hAnsiTheme="majorBidi" w:cstheme="majorBidi"/>
          <w:b/>
        </w:rPr>
      </w:pPr>
      <w:r w:rsidRPr="00A67F27">
        <w:rPr>
          <w:rFonts w:asciiTheme="majorBidi" w:hAnsiTheme="majorBidi" w:cstheme="majorBidi"/>
        </w:rPr>
        <w:t>À</w:t>
      </w:r>
      <w:r w:rsidR="009B2302" w:rsidRPr="00A67F27">
        <w:rPr>
          <w:rFonts w:asciiTheme="majorBidi" w:hAnsiTheme="majorBidi" w:cstheme="majorBidi"/>
        </w:rPr>
        <w:t> :</w:t>
      </w:r>
      <w:r w:rsidRPr="00A67F27">
        <w:rPr>
          <w:rFonts w:asciiTheme="majorBidi" w:hAnsiTheme="majorBidi" w:cstheme="majorBidi"/>
        </w:rPr>
        <w:t xml:space="preserve"> </w:t>
      </w:r>
      <w:r w:rsidRPr="00A67F27">
        <w:rPr>
          <w:rFonts w:asciiTheme="majorBidi" w:hAnsiTheme="majorBidi" w:cstheme="majorBidi"/>
          <w:b/>
          <w:i/>
          <w:iCs/>
        </w:rPr>
        <w:t>[insérer le nom complet du Maître de l’Ouvrage]</w:t>
      </w:r>
    </w:p>
    <w:p w14:paraId="2E73CA0E" w14:textId="33FDC8A2" w:rsidR="000A450A" w:rsidRPr="00A67F27" w:rsidRDefault="000A450A">
      <w:pPr>
        <w:rPr>
          <w:rFonts w:asciiTheme="majorBidi" w:hAnsiTheme="majorBidi" w:cstheme="majorBidi"/>
        </w:rPr>
      </w:pPr>
      <w:r w:rsidRPr="00A67F27">
        <w:rPr>
          <w:rFonts w:asciiTheme="majorBidi" w:hAnsiTheme="majorBidi" w:cstheme="majorBidi"/>
        </w:rPr>
        <w:t>Nous, les soussignés attestons que</w:t>
      </w:r>
      <w:r w:rsidR="009B2302" w:rsidRPr="00A67F27">
        <w:rPr>
          <w:rFonts w:asciiTheme="majorBidi" w:hAnsiTheme="majorBidi" w:cstheme="majorBidi"/>
        </w:rPr>
        <w:t> :</w:t>
      </w:r>
      <w:r w:rsidRPr="00A67F27">
        <w:rPr>
          <w:rFonts w:asciiTheme="majorBidi" w:hAnsiTheme="majorBidi" w:cstheme="majorBidi"/>
        </w:rPr>
        <w:t xml:space="preserve"> </w:t>
      </w:r>
    </w:p>
    <w:p w14:paraId="4EA7C708" w14:textId="0753AFD9" w:rsidR="000A450A" w:rsidRPr="00A67F27" w:rsidRDefault="00D60CA9" w:rsidP="002C7FF1">
      <w:pPr>
        <w:numPr>
          <w:ilvl w:val="0"/>
          <w:numId w:val="12"/>
        </w:numPr>
        <w:tabs>
          <w:tab w:val="left" w:pos="360"/>
          <w:tab w:val="right" w:pos="9000"/>
        </w:tabs>
        <w:ind w:left="364"/>
        <w:rPr>
          <w:rFonts w:asciiTheme="majorBidi" w:hAnsiTheme="majorBidi" w:cstheme="majorBidi"/>
        </w:rPr>
      </w:pPr>
      <w:r w:rsidRPr="00A67F27">
        <w:rPr>
          <w:rFonts w:asciiTheme="majorBidi" w:hAnsiTheme="majorBidi" w:cstheme="majorBidi"/>
        </w:rPr>
        <w:t>Nous</w:t>
      </w:r>
      <w:r w:rsidR="000A450A" w:rsidRPr="00A67F27">
        <w:rPr>
          <w:rFonts w:asciiTheme="majorBidi" w:hAnsiTheme="majorBidi" w:cstheme="majorBidi"/>
        </w:rPr>
        <w:t xml:space="preserve"> avons examiné le Dossier d’Appel d’Offres, y compris l’additif/ les additifs </w:t>
      </w:r>
      <w:r w:rsidR="001A7798" w:rsidRPr="00A67F27">
        <w:rPr>
          <w:rFonts w:asciiTheme="majorBidi" w:hAnsiTheme="majorBidi" w:cstheme="majorBidi"/>
        </w:rPr>
        <w:t>No.</w:t>
      </w:r>
      <w:r w:rsidR="009B2302" w:rsidRPr="00A67F27">
        <w:rPr>
          <w:rFonts w:asciiTheme="majorBidi" w:hAnsiTheme="majorBidi" w:cstheme="majorBidi"/>
        </w:rPr>
        <w:t> :</w:t>
      </w:r>
      <w:r w:rsidR="001A7798" w:rsidRPr="00A67F27">
        <w:rPr>
          <w:rFonts w:asciiTheme="majorBidi" w:hAnsiTheme="majorBidi" w:cstheme="majorBidi"/>
        </w:rPr>
        <w:t xml:space="preserve"> </w:t>
      </w:r>
      <w:r w:rsidR="001A7798" w:rsidRPr="00A67F27">
        <w:rPr>
          <w:rFonts w:asciiTheme="majorBidi" w:hAnsiTheme="majorBidi" w:cstheme="majorBidi"/>
          <w:bCs/>
          <w:i/>
          <w:iCs/>
        </w:rPr>
        <w:t>[insérer les numéros et date</w:t>
      </w:r>
      <w:r w:rsidR="009B2302" w:rsidRPr="00A67F27">
        <w:rPr>
          <w:rFonts w:asciiTheme="majorBidi" w:hAnsiTheme="majorBidi" w:cstheme="majorBidi"/>
        </w:rPr>
        <w:t> ;</w:t>
      </w:r>
    </w:p>
    <w:p w14:paraId="158B6E3A" w14:textId="0C292171" w:rsidR="00294BAD" w:rsidRPr="00A67F27" w:rsidRDefault="00D60CA9" w:rsidP="002C7FF1">
      <w:pPr>
        <w:pStyle w:val="Paragraphedeliste"/>
        <w:numPr>
          <w:ilvl w:val="0"/>
          <w:numId w:val="12"/>
        </w:numPr>
        <w:ind w:left="364"/>
        <w:contextualSpacing w:val="0"/>
        <w:rPr>
          <w:rFonts w:asciiTheme="majorBidi" w:hAnsiTheme="majorBidi" w:cstheme="majorBidi"/>
        </w:rPr>
      </w:pPr>
      <w:r w:rsidRPr="00A67F27">
        <w:rPr>
          <w:rFonts w:asciiTheme="majorBidi" w:hAnsiTheme="majorBidi" w:cstheme="majorBidi"/>
        </w:rPr>
        <w:t>Nous</w:t>
      </w:r>
      <w:r w:rsidR="00232B0F" w:rsidRPr="00A67F27">
        <w:rPr>
          <w:rFonts w:asciiTheme="majorBidi" w:hAnsiTheme="majorBidi" w:cstheme="majorBidi"/>
        </w:rPr>
        <w:t xml:space="preserve"> remplissons les critères d’éligibilité </w:t>
      </w:r>
      <w:r w:rsidR="001A7798" w:rsidRPr="00A67F27">
        <w:rPr>
          <w:rFonts w:asciiTheme="majorBidi" w:hAnsiTheme="majorBidi" w:cstheme="majorBidi"/>
        </w:rPr>
        <w:t xml:space="preserve">et nous </w:t>
      </w:r>
      <w:r w:rsidR="00FF5E79" w:rsidRPr="00A67F27">
        <w:rPr>
          <w:rFonts w:asciiTheme="majorBidi" w:hAnsiTheme="majorBidi" w:cstheme="majorBidi"/>
        </w:rPr>
        <w:t>n’avons</w:t>
      </w:r>
      <w:r w:rsidR="00E519FA" w:rsidRPr="00A67F27">
        <w:rPr>
          <w:rFonts w:asciiTheme="majorBidi" w:hAnsiTheme="majorBidi" w:cstheme="majorBidi"/>
        </w:rPr>
        <w:t xml:space="preserve"> pas de conflit</w:t>
      </w:r>
      <w:r w:rsidR="0043765B">
        <w:rPr>
          <w:rFonts w:asciiTheme="majorBidi" w:hAnsiTheme="majorBidi" w:cstheme="majorBidi"/>
        </w:rPr>
        <w:t>s</w:t>
      </w:r>
      <w:r w:rsidR="00E519FA" w:rsidRPr="00A67F27">
        <w:rPr>
          <w:rFonts w:asciiTheme="majorBidi" w:hAnsiTheme="majorBidi" w:cstheme="majorBidi"/>
        </w:rPr>
        <w:t xml:space="preserve"> d’intérêt tel</w:t>
      </w:r>
      <w:r w:rsidR="00A07F59" w:rsidRPr="00A67F27">
        <w:rPr>
          <w:rFonts w:asciiTheme="majorBidi" w:hAnsiTheme="majorBidi" w:cstheme="majorBidi"/>
        </w:rPr>
        <w:t>s</w:t>
      </w:r>
      <w:r w:rsidR="00E519FA" w:rsidRPr="00A67F27">
        <w:rPr>
          <w:rFonts w:asciiTheme="majorBidi" w:hAnsiTheme="majorBidi" w:cstheme="majorBidi"/>
        </w:rPr>
        <w:t xml:space="preserve"> </w:t>
      </w:r>
      <w:r w:rsidR="00A11B52" w:rsidRPr="00A67F27">
        <w:rPr>
          <w:rFonts w:asciiTheme="majorBidi" w:hAnsiTheme="majorBidi" w:cstheme="majorBidi"/>
        </w:rPr>
        <w:t>que défini</w:t>
      </w:r>
      <w:r w:rsidR="00A07F59" w:rsidRPr="00A67F27">
        <w:rPr>
          <w:rFonts w:asciiTheme="majorBidi" w:hAnsiTheme="majorBidi" w:cstheme="majorBidi"/>
        </w:rPr>
        <w:t>s</w:t>
      </w:r>
      <w:r w:rsidR="00A11B52" w:rsidRPr="00A67F27">
        <w:rPr>
          <w:rFonts w:asciiTheme="majorBidi" w:hAnsiTheme="majorBidi" w:cstheme="majorBidi"/>
        </w:rPr>
        <w:t xml:space="preserve"> à l’article 4 des IS</w:t>
      </w:r>
      <w:r w:rsidR="009B2302" w:rsidRPr="00A67F27">
        <w:rPr>
          <w:rFonts w:asciiTheme="majorBidi" w:hAnsiTheme="majorBidi" w:cstheme="majorBidi"/>
        </w:rPr>
        <w:t> ;</w:t>
      </w:r>
      <w:r w:rsidR="00232B0F" w:rsidRPr="00A67F27">
        <w:rPr>
          <w:rFonts w:asciiTheme="majorBidi" w:hAnsiTheme="majorBidi" w:cstheme="majorBidi"/>
        </w:rPr>
        <w:t xml:space="preserve"> </w:t>
      </w:r>
    </w:p>
    <w:p w14:paraId="0D098C0B" w14:textId="07BBB67E" w:rsidR="00294BAD" w:rsidRPr="00A67F27" w:rsidRDefault="00D60CA9" w:rsidP="002C7FF1">
      <w:pPr>
        <w:pStyle w:val="Paragraphedeliste"/>
        <w:numPr>
          <w:ilvl w:val="0"/>
          <w:numId w:val="12"/>
        </w:numPr>
        <w:ind w:left="364"/>
        <w:contextualSpacing w:val="0"/>
        <w:rPr>
          <w:rFonts w:asciiTheme="majorBidi" w:hAnsiTheme="majorBidi" w:cstheme="majorBidi"/>
        </w:rPr>
      </w:pPr>
      <w:r w:rsidRPr="00A67F27">
        <w:rPr>
          <w:rFonts w:asciiTheme="majorBidi" w:hAnsiTheme="majorBidi" w:cstheme="majorBidi"/>
        </w:rPr>
        <w:t>Nous</w:t>
      </w:r>
      <w:r w:rsidR="00E519FA" w:rsidRPr="00A67F27">
        <w:rPr>
          <w:rFonts w:asciiTheme="majorBidi" w:hAnsiTheme="majorBidi" w:cstheme="majorBidi"/>
        </w:rPr>
        <w:t xml:space="preserve"> n’avons pas été </w:t>
      </w:r>
      <w:r w:rsidR="00652826" w:rsidRPr="00A67F27">
        <w:rPr>
          <w:rFonts w:asciiTheme="majorBidi" w:hAnsiTheme="majorBidi" w:cstheme="majorBidi"/>
        </w:rPr>
        <w:t>exclus</w:t>
      </w:r>
      <w:r w:rsidR="00E519FA" w:rsidRPr="00A67F27">
        <w:rPr>
          <w:rFonts w:asciiTheme="majorBidi" w:hAnsiTheme="majorBidi" w:cstheme="majorBidi"/>
        </w:rPr>
        <w:t xml:space="preserve"> par le Maître de l’Ouvrage sur la base de la mise en œuvre de la déclaration de </w:t>
      </w:r>
      <w:r w:rsidR="00EF6B71" w:rsidRPr="00A67F27">
        <w:rPr>
          <w:rFonts w:asciiTheme="majorBidi" w:hAnsiTheme="majorBidi" w:cstheme="majorBidi"/>
        </w:rPr>
        <w:t>garantie d’offre</w:t>
      </w:r>
      <w:r w:rsidR="00E519FA" w:rsidRPr="00A67F27">
        <w:rPr>
          <w:rFonts w:asciiTheme="majorBidi" w:hAnsiTheme="majorBidi" w:cstheme="majorBidi"/>
        </w:rPr>
        <w:t xml:space="preserve"> telle que</w:t>
      </w:r>
      <w:r w:rsidR="009B2302" w:rsidRPr="00A67F27">
        <w:rPr>
          <w:rFonts w:asciiTheme="majorBidi" w:hAnsiTheme="majorBidi" w:cstheme="majorBidi"/>
        </w:rPr>
        <w:t xml:space="preserve"> </w:t>
      </w:r>
      <w:r w:rsidR="00E519FA" w:rsidRPr="00A67F27">
        <w:rPr>
          <w:rFonts w:asciiTheme="majorBidi" w:hAnsiTheme="majorBidi" w:cstheme="majorBidi"/>
        </w:rPr>
        <w:t>prévue à l’article 4</w:t>
      </w:r>
      <w:r w:rsidR="00A11B52" w:rsidRPr="00A67F27">
        <w:rPr>
          <w:rFonts w:asciiTheme="majorBidi" w:hAnsiTheme="majorBidi" w:cstheme="majorBidi"/>
        </w:rPr>
        <w:t>.</w:t>
      </w:r>
      <w:r w:rsidR="00FF0C52" w:rsidRPr="00A67F27">
        <w:rPr>
          <w:rFonts w:asciiTheme="majorBidi" w:hAnsiTheme="majorBidi" w:cstheme="majorBidi"/>
        </w:rPr>
        <w:t xml:space="preserve">6 </w:t>
      </w:r>
      <w:r w:rsidR="00A11B52" w:rsidRPr="00A67F27">
        <w:rPr>
          <w:rFonts w:asciiTheme="majorBidi" w:hAnsiTheme="majorBidi" w:cstheme="majorBidi"/>
        </w:rPr>
        <w:t>des IS</w:t>
      </w:r>
      <w:r w:rsidR="009B2302" w:rsidRPr="00A67F27">
        <w:rPr>
          <w:rFonts w:asciiTheme="majorBidi" w:hAnsiTheme="majorBidi" w:cstheme="majorBidi"/>
        </w:rPr>
        <w:t> ;</w:t>
      </w:r>
    </w:p>
    <w:p w14:paraId="424E2729" w14:textId="4AD1111F" w:rsidR="00294BAD" w:rsidRPr="00A67F27" w:rsidRDefault="00D60CA9" w:rsidP="002C7FF1">
      <w:pPr>
        <w:numPr>
          <w:ilvl w:val="0"/>
          <w:numId w:val="12"/>
        </w:numPr>
        <w:tabs>
          <w:tab w:val="left" w:pos="360"/>
          <w:tab w:val="right" w:pos="9000"/>
        </w:tabs>
        <w:ind w:left="364"/>
        <w:rPr>
          <w:rFonts w:asciiTheme="majorBidi" w:hAnsiTheme="majorBidi" w:cstheme="majorBidi"/>
        </w:rPr>
      </w:pPr>
      <w:r w:rsidRPr="00A67F27">
        <w:rPr>
          <w:rFonts w:asciiTheme="majorBidi" w:hAnsiTheme="majorBidi" w:cstheme="majorBidi"/>
        </w:rPr>
        <w:t>Nous</w:t>
      </w:r>
      <w:r w:rsidR="000A450A" w:rsidRPr="00A67F27">
        <w:rPr>
          <w:rFonts w:asciiTheme="majorBidi" w:hAnsiTheme="majorBidi" w:cstheme="majorBidi"/>
        </w:rPr>
        <w:t xml:space="preserve"> nous engageons à exécuter conformément au Dossier d’Appel d’Offres et aux Spécifications techniques et plans, les Travaux ci-après</w:t>
      </w:r>
      <w:r w:rsidR="009B2302" w:rsidRPr="00A67F27">
        <w:rPr>
          <w:rFonts w:asciiTheme="majorBidi" w:hAnsiTheme="majorBidi" w:cstheme="majorBidi"/>
        </w:rPr>
        <w:t> :</w:t>
      </w:r>
      <w:r w:rsidR="000A450A" w:rsidRPr="00A67F27">
        <w:rPr>
          <w:rFonts w:asciiTheme="majorBidi" w:hAnsiTheme="majorBidi" w:cstheme="majorBidi"/>
        </w:rPr>
        <w:t xml:space="preserve"> </w:t>
      </w:r>
      <w:r w:rsidR="001A7798" w:rsidRPr="00A67F27">
        <w:rPr>
          <w:rFonts w:asciiTheme="majorBidi" w:hAnsiTheme="majorBidi" w:cstheme="majorBidi"/>
          <w:b/>
          <w:bCs/>
          <w:i/>
          <w:u w:val="single"/>
        </w:rPr>
        <w:t>[insérer une brève description des</w:t>
      </w:r>
      <w:r w:rsidR="00E33019" w:rsidRPr="00A67F27">
        <w:rPr>
          <w:rFonts w:asciiTheme="majorBidi" w:hAnsiTheme="majorBidi" w:cstheme="majorBidi"/>
          <w:b/>
          <w:bCs/>
          <w:i/>
          <w:u w:val="single"/>
        </w:rPr>
        <w:t xml:space="preserve"> </w:t>
      </w:r>
      <w:r w:rsidR="00B549C6" w:rsidRPr="00A67F27">
        <w:rPr>
          <w:rFonts w:asciiTheme="majorBidi" w:hAnsiTheme="majorBidi" w:cstheme="majorBidi"/>
          <w:b/>
          <w:bCs/>
          <w:i/>
          <w:u w:val="single"/>
        </w:rPr>
        <w:t>Travaux</w:t>
      </w:r>
      <w:r w:rsidR="001A7798" w:rsidRPr="00A67F27">
        <w:rPr>
          <w:rFonts w:asciiTheme="majorBidi" w:hAnsiTheme="majorBidi" w:cstheme="majorBidi"/>
          <w:b/>
          <w:bCs/>
          <w:i/>
          <w:u w:val="single"/>
        </w:rPr>
        <w:t>]</w:t>
      </w:r>
      <w:r w:rsidR="009B2302" w:rsidRPr="00A67F27">
        <w:rPr>
          <w:rFonts w:asciiTheme="majorBidi" w:hAnsiTheme="majorBidi" w:cstheme="majorBidi"/>
        </w:rPr>
        <w:t> ;</w:t>
      </w:r>
    </w:p>
    <w:p w14:paraId="1D3C1FED" w14:textId="16582D3F" w:rsidR="002C7FF1" w:rsidRPr="00A67F27" w:rsidRDefault="00D60CA9" w:rsidP="002C7FF1">
      <w:pPr>
        <w:numPr>
          <w:ilvl w:val="0"/>
          <w:numId w:val="12"/>
        </w:numPr>
        <w:tabs>
          <w:tab w:val="right" w:pos="9000"/>
        </w:tabs>
        <w:ind w:left="364"/>
        <w:rPr>
          <w:rFonts w:asciiTheme="majorBidi" w:hAnsiTheme="majorBidi" w:cstheme="majorBidi"/>
        </w:rPr>
      </w:pPr>
      <w:r w:rsidRPr="00A67F27">
        <w:rPr>
          <w:rFonts w:asciiTheme="majorBidi" w:hAnsiTheme="majorBidi" w:cstheme="majorBidi"/>
        </w:rPr>
        <w:t>Le</w:t>
      </w:r>
      <w:r w:rsidR="000A450A" w:rsidRPr="00A67F27">
        <w:rPr>
          <w:rFonts w:asciiTheme="majorBidi" w:hAnsiTheme="majorBidi" w:cstheme="majorBidi"/>
        </w:rPr>
        <w:t xml:space="preserve"> </w:t>
      </w:r>
      <w:r w:rsidR="00EF43A0" w:rsidRPr="00A67F27">
        <w:rPr>
          <w:rFonts w:asciiTheme="majorBidi" w:hAnsiTheme="majorBidi" w:cstheme="majorBidi"/>
        </w:rPr>
        <w:t xml:space="preserve">montant </w:t>
      </w:r>
      <w:r w:rsidR="000A450A" w:rsidRPr="00A67F27">
        <w:rPr>
          <w:rFonts w:asciiTheme="majorBidi" w:hAnsiTheme="majorBidi" w:cstheme="majorBidi"/>
        </w:rPr>
        <w:t>total de notre offre</w:t>
      </w:r>
      <w:r w:rsidR="00FF5E79" w:rsidRPr="00A67F27">
        <w:rPr>
          <w:rFonts w:asciiTheme="majorBidi" w:hAnsiTheme="majorBidi" w:cstheme="majorBidi"/>
        </w:rPr>
        <w:t>, hors rabais offert à l’alinéa (f) ci-après</w:t>
      </w:r>
      <w:r w:rsidR="009B2302" w:rsidRPr="00A67F27">
        <w:rPr>
          <w:rFonts w:asciiTheme="majorBidi" w:hAnsiTheme="majorBidi" w:cstheme="majorBidi"/>
        </w:rPr>
        <w:t xml:space="preserve"> </w:t>
      </w:r>
      <w:r w:rsidR="000A450A" w:rsidRPr="00A67F27">
        <w:rPr>
          <w:rFonts w:asciiTheme="majorBidi" w:hAnsiTheme="majorBidi" w:cstheme="majorBidi"/>
        </w:rPr>
        <w:t>est de</w:t>
      </w:r>
      <w:r w:rsidR="009B2302" w:rsidRPr="00A67F27">
        <w:rPr>
          <w:rFonts w:asciiTheme="majorBidi" w:hAnsiTheme="majorBidi" w:cstheme="majorBidi"/>
        </w:rPr>
        <w:t> :</w:t>
      </w:r>
      <w:r w:rsidR="000A450A" w:rsidRPr="00A67F27">
        <w:rPr>
          <w:rFonts w:asciiTheme="majorBidi" w:hAnsiTheme="majorBidi" w:cstheme="majorBidi"/>
        </w:rPr>
        <w:t xml:space="preserve"> </w:t>
      </w:r>
    </w:p>
    <w:p w14:paraId="4B412D54" w14:textId="7A0AEAE3" w:rsidR="000A450A" w:rsidRPr="00A67F27" w:rsidRDefault="002C7FF1" w:rsidP="002C7FF1">
      <w:pPr>
        <w:ind w:left="364" w:hanging="360"/>
        <w:rPr>
          <w:rFonts w:asciiTheme="majorBidi" w:hAnsiTheme="majorBidi" w:cstheme="majorBidi"/>
          <w:b/>
          <w:bCs/>
          <w:i/>
          <w:iCs/>
        </w:rPr>
      </w:pPr>
      <w:r w:rsidRPr="00A67F27">
        <w:rPr>
          <w:rFonts w:asciiTheme="majorBidi" w:hAnsiTheme="majorBidi" w:cstheme="majorBidi"/>
        </w:rPr>
        <w:tab/>
      </w:r>
      <w:r w:rsidR="000A450A" w:rsidRPr="00A67F27">
        <w:rPr>
          <w:rFonts w:asciiTheme="majorBidi" w:hAnsiTheme="majorBidi" w:cstheme="majorBidi"/>
          <w:b/>
          <w:bCs/>
          <w:i/>
          <w:iCs/>
        </w:rPr>
        <w:t>[</w:t>
      </w:r>
      <w:r w:rsidR="00EF43A0" w:rsidRPr="00A67F27">
        <w:rPr>
          <w:rFonts w:asciiTheme="majorBidi" w:hAnsiTheme="majorBidi" w:cstheme="majorBidi"/>
          <w:b/>
          <w:bCs/>
          <w:i/>
          <w:iCs/>
        </w:rPr>
        <w:t xml:space="preserve">Montant </w:t>
      </w:r>
      <w:r w:rsidR="000A450A" w:rsidRPr="00A67F27">
        <w:rPr>
          <w:rFonts w:asciiTheme="majorBidi" w:hAnsiTheme="majorBidi" w:cstheme="majorBidi"/>
          <w:b/>
          <w:bCs/>
          <w:i/>
          <w:iCs/>
        </w:rPr>
        <w:t>total de l’offre en lettres et en chiffres]</w:t>
      </w:r>
      <w:r w:rsidR="009B2302" w:rsidRPr="00A67F27">
        <w:rPr>
          <w:rFonts w:asciiTheme="majorBidi" w:hAnsiTheme="majorBidi" w:cstheme="majorBidi"/>
          <w:b/>
          <w:bCs/>
          <w:i/>
          <w:iCs/>
        </w:rPr>
        <w:t> ;</w:t>
      </w:r>
    </w:p>
    <w:p w14:paraId="1E74DCC3" w14:textId="6977CA49" w:rsidR="001A7798" w:rsidRPr="00A67F27" w:rsidRDefault="00F82AAD" w:rsidP="00DF3DF1">
      <w:pPr>
        <w:pStyle w:val="Paragraphedeliste"/>
        <w:tabs>
          <w:tab w:val="left" w:pos="540"/>
          <w:tab w:val="right" w:pos="9000"/>
        </w:tabs>
        <w:spacing w:after="120"/>
        <w:ind w:left="360"/>
        <w:rPr>
          <w:rFonts w:asciiTheme="majorBidi" w:hAnsiTheme="majorBidi" w:cstheme="majorBidi"/>
        </w:rPr>
      </w:pPr>
      <w:r w:rsidRPr="00A67F27">
        <w:rPr>
          <w:rFonts w:asciiTheme="majorBidi" w:hAnsiTheme="majorBidi" w:cstheme="majorBidi"/>
        </w:rPr>
        <w:tab/>
      </w:r>
      <w:r w:rsidR="001A7798" w:rsidRPr="00A67F27">
        <w:rPr>
          <w:rFonts w:asciiTheme="majorBidi" w:hAnsiTheme="majorBidi" w:cstheme="majorBidi"/>
        </w:rPr>
        <w:t>Dans le cas de lots multiples, le montant total de chaque lot</w:t>
      </w:r>
      <w:r w:rsidR="009B2302" w:rsidRPr="00A67F27">
        <w:rPr>
          <w:rFonts w:asciiTheme="majorBidi" w:hAnsiTheme="majorBidi" w:cstheme="majorBidi"/>
        </w:rPr>
        <w:t> :</w:t>
      </w:r>
      <w:r w:rsidR="001A7798" w:rsidRPr="00A67F27">
        <w:rPr>
          <w:rFonts w:asciiTheme="majorBidi" w:hAnsiTheme="majorBidi" w:cstheme="majorBidi"/>
        </w:rPr>
        <w:t xml:space="preserve"> </w:t>
      </w:r>
      <w:r w:rsidR="001A7798" w:rsidRPr="00A67F27">
        <w:rPr>
          <w:rFonts w:asciiTheme="majorBidi" w:hAnsiTheme="majorBidi" w:cstheme="majorBidi"/>
          <w:b/>
          <w:bCs/>
          <w:i/>
          <w:iCs/>
        </w:rPr>
        <w:t>[insérer le montant total de l’offre pour chacun des lots en lettres et en chiffres]</w:t>
      </w:r>
      <w:r w:rsidR="009B2302" w:rsidRPr="00A67F27">
        <w:rPr>
          <w:rFonts w:asciiTheme="majorBidi" w:hAnsiTheme="majorBidi" w:cstheme="majorBidi"/>
        </w:rPr>
        <w:t> ;</w:t>
      </w:r>
    </w:p>
    <w:p w14:paraId="0445F83D" w14:textId="33983BDF" w:rsidR="001217A9" w:rsidRPr="00A67F27" w:rsidRDefault="00F82AAD" w:rsidP="00DF3DF1">
      <w:pPr>
        <w:tabs>
          <w:tab w:val="right" w:pos="9000"/>
        </w:tabs>
        <w:spacing w:after="120"/>
        <w:ind w:left="360"/>
        <w:rPr>
          <w:rFonts w:asciiTheme="majorBidi" w:hAnsiTheme="majorBidi" w:cstheme="majorBidi"/>
          <w:i/>
        </w:rPr>
      </w:pPr>
      <w:r w:rsidRPr="00A67F27">
        <w:rPr>
          <w:rFonts w:asciiTheme="majorBidi" w:hAnsiTheme="majorBidi" w:cstheme="majorBidi"/>
        </w:rPr>
        <w:tab/>
      </w:r>
      <w:r w:rsidR="001A7798" w:rsidRPr="00A67F27">
        <w:rPr>
          <w:rFonts w:asciiTheme="majorBidi" w:hAnsiTheme="majorBidi" w:cstheme="majorBidi"/>
        </w:rPr>
        <w:t>Dans le cas de lots multiples, le montant total pour l’ensemble des lots</w:t>
      </w:r>
      <w:r w:rsidR="009B2302" w:rsidRPr="00A67F27">
        <w:rPr>
          <w:rFonts w:asciiTheme="majorBidi" w:hAnsiTheme="majorBidi" w:cstheme="majorBidi"/>
        </w:rPr>
        <w:t> </w:t>
      </w:r>
      <w:r w:rsidR="009B2302" w:rsidRPr="00A67F27">
        <w:rPr>
          <w:rFonts w:asciiTheme="majorBidi" w:hAnsiTheme="majorBidi" w:cstheme="majorBidi"/>
          <w:b/>
          <w:bCs/>
        </w:rPr>
        <w:t>:</w:t>
      </w:r>
      <w:r w:rsidR="001A7798" w:rsidRPr="00A67F27">
        <w:rPr>
          <w:rFonts w:asciiTheme="majorBidi" w:hAnsiTheme="majorBidi" w:cstheme="majorBidi"/>
          <w:b/>
          <w:bCs/>
        </w:rPr>
        <w:t xml:space="preserve"> </w:t>
      </w:r>
      <w:r w:rsidR="001A7798" w:rsidRPr="006A1317">
        <w:rPr>
          <w:rFonts w:asciiTheme="majorBidi" w:hAnsiTheme="majorBidi" w:cstheme="majorBidi"/>
          <w:b/>
          <w:bCs/>
          <w:i/>
          <w:iCs/>
        </w:rPr>
        <w:t>[</w:t>
      </w:r>
      <w:r w:rsidR="001A7798" w:rsidRPr="00A67F27">
        <w:rPr>
          <w:rFonts w:asciiTheme="majorBidi" w:hAnsiTheme="majorBidi" w:cstheme="majorBidi"/>
          <w:b/>
          <w:bCs/>
          <w:i/>
        </w:rPr>
        <w:t>insérer le montant total de l’offre en lettres et en chiffres</w:t>
      </w:r>
      <w:r w:rsidR="001A7798" w:rsidRPr="006A1317">
        <w:rPr>
          <w:rFonts w:asciiTheme="majorBidi" w:hAnsiTheme="majorBidi" w:cstheme="majorBidi"/>
          <w:b/>
          <w:bCs/>
          <w:i/>
        </w:rPr>
        <w:t>]</w:t>
      </w:r>
      <w:r w:rsidR="009B2302" w:rsidRPr="00A67F27">
        <w:rPr>
          <w:rFonts w:asciiTheme="majorBidi" w:hAnsiTheme="majorBidi" w:cstheme="majorBidi"/>
          <w:b/>
          <w:bCs/>
        </w:rPr>
        <w:t> ;</w:t>
      </w:r>
    </w:p>
    <w:p w14:paraId="0B50F602" w14:textId="3B940C9D" w:rsidR="000A450A" w:rsidRPr="00A67F27" w:rsidRDefault="00D60CA9" w:rsidP="002C7FF1">
      <w:pPr>
        <w:numPr>
          <w:ilvl w:val="0"/>
          <w:numId w:val="12"/>
        </w:numPr>
        <w:tabs>
          <w:tab w:val="right" w:pos="9000"/>
        </w:tabs>
        <w:ind w:left="406"/>
        <w:rPr>
          <w:rFonts w:asciiTheme="majorBidi" w:hAnsiTheme="majorBidi" w:cstheme="majorBidi"/>
        </w:rPr>
      </w:pPr>
      <w:r w:rsidRPr="00A67F27">
        <w:rPr>
          <w:rFonts w:asciiTheme="majorBidi" w:hAnsiTheme="majorBidi" w:cstheme="majorBidi"/>
        </w:rPr>
        <w:t>Les</w:t>
      </w:r>
      <w:r w:rsidR="000A450A" w:rsidRPr="00A67F27">
        <w:rPr>
          <w:rFonts w:asciiTheme="majorBidi" w:hAnsiTheme="majorBidi" w:cstheme="majorBidi"/>
        </w:rPr>
        <w:t xml:space="preserve"> rabais offerts et les modalités d’application desdits rabais sont les suivants</w:t>
      </w:r>
      <w:r w:rsidR="009B2302" w:rsidRPr="00A67F27">
        <w:rPr>
          <w:rFonts w:asciiTheme="majorBidi" w:hAnsiTheme="majorBidi" w:cstheme="majorBidi"/>
        </w:rPr>
        <w:t xml:space="preserve"> :</w:t>
      </w:r>
      <w:r w:rsidR="000A450A" w:rsidRPr="00A67F27">
        <w:rPr>
          <w:rFonts w:asciiTheme="majorBidi" w:hAnsiTheme="majorBidi" w:cstheme="majorBidi"/>
        </w:rPr>
        <w:t xml:space="preserve"> </w:t>
      </w:r>
    </w:p>
    <w:p w14:paraId="3BFA66E5" w14:textId="3DCEA642" w:rsidR="00294BAD" w:rsidRPr="00A67F27" w:rsidRDefault="00B5575C" w:rsidP="002C7FF1">
      <w:pPr>
        <w:pStyle w:val="Paragraphedeliste"/>
        <w:numPr>
          <w:ilvl w:val="0"/>
          <w:numId w:val="4"/>
        </w:numPr>
        <w:tabs>
          <w:tab w:val="right" w:pos="9000"/>
        </w:tabs>
        <w:ind w:hanging="501"/>
        <w:rPr>
          <w:rFonts w:asciiTheme="majorBidi" w:hAnsiTheme="majorBidi" w:cstheme="majorBidi"/>
        </w:rPr>
      </w:pPr>
      <w:r w:rsidRPr="00A67F27">
        <w:rPr>
          <w:rFonts w:asciiTheme="majorBidi" w:hAnsiTheme="majorBidi" w:cstheme="majorBidi"/>
        </w:rPr>
        <w:t xml:space="preserve">Les </w:t>
      </w:r>
      <w:r w:rsidRPr="00A67F27">
        <w:rPr>
          <w:rFonts w:asciiTheme="majorBidi" w:hAnsiTheme="majorBidi" w:cstheme="majorBidi"/>
          <w:u w:val="single"/>
        </w:rPr>
        <w:t>r</w:t>
      </w:r>
      <w:r w:rsidR="00294BAD" w:rsidRPr="00A67F27">
        <w:rPr>
          <w:rFonts w:asciiTheme="majorBidi" w:hAnsiTheme="majorBidi" w:cstheme="majorBidi"/>
          <w:u w:val="single"/>
        </w:rPr>
        <w:t>abais offerts</w:t>
      </w:r>
      <w:r w:rsidRPr="00A67F27">
        <w:rPr>
          <w:rFonts w:asciiTheme="majorBidi" w:hAnsiTheme="majorBidi" w:cstheme="majorBidi"/>
          <w:u w:val="single"/>
        </w:rPr>
        <w:t xml:space="preserve"> sont les suivants</w:t>
      </w:r>
      <w:r w:rsidR="009B2302" w:rsidRPr="00A67F27">
        <w:rPr>
          <w:rFonts w:asciiTheme="majorBidi" w:hAnsiTheme="majorBidi" w:cstheme="majorBidi"/>
          <w:u w:val="single"/>
        </w:rPr>
        <w:t> :</w:t>
      </w:r>
      <w:r w:rsidR="001A7798" w:rsidRPr="00A67F27">
        <w:rPr>
          <w:rFonts w:asciiTheme="majorBidi" w:hAnsiTheme="majorBidi" w:cstheme="majorBidi"/>
          <w:i/>
          <w:u w:val="single"/>
        </w:rPr>
        <w:t xml:space="preserve"> </w:t>
      </w:r>
      <w:r w:rsidR="001A7798" w:rsidRPr="00A67F27">
        <w:rPr>
          <w:rFonts w:asciiTheme="majorBidi" w:hAnsiTheme="majorBidi" w:cstheme="majorBidi"/>
          <w:b/>
          <w:bCs/>
          <w:i/>
          <w:u w:val="single"/>
        </w:rPr>
        <w:t>[indiquer en détail chacun des rabais offerts]</w:t>
      </w:r>
      <w:r w:rsidR="001A7798" w:rsidRPr="00A67F27">
        <w:rPr>
          <w:rFonts w:asciiTheme="majorBidi" w:hAnsiTheme="majorBidi" w:cstheme="majorBidi"/>
          <w:i/>
        </w:rPr>
        <w:t> </w:t>
      </w:r>
    </w:p>
    <w:p w14:paraId="104A3390" w14:textId="2680FA87" w:rsidR="00294BAD" w:rsidRPr="00A67F27" w:rsidRDefault="002C7FF1" w:rsidP="002C7FF1">
      <w:pPr>
        <w:tabs>
          <w:tab w:val="right" w:pos="9000"/>
        </w:tabs>
        <w:ind w:left="927" w:hanging="501"/>
        <w:jc w:val="left"/>
        <w:rPr>
          <w:rFonts w:asciiTheme="majorBidi" w:hAnsiTheme="majorBidi" w:cstheme="majorBidi"/>
        </w:rPr>
      </w:pPr>
      <w:r w:rsidRPr="00A67F27">
        <w:rPr>
          <w:rFonts w:asciiTheme="majorBidi" w:hAnsiTheme="majorBidi" w:cstheme="majorBidi"/>
        </w:rPr>
        <w:lastRenderedPageBreak/>
        <w:t>(</w:t>
      </w:r>
      <w:r w:rsidR="00B5575C" w:rsidRPr="00A67F27">
        <w:rPr>
          <w:rFonts w:asciiTheme="majorBidi" w:hAnsiTheme="majorBidi" w:cstheme="majorBidi"/>
        </w:rPr>
        <w:t xml:space="preserve">ii) </w:t>
      </w:r>
      <w:r w:rsidR="00F27908" w:rsidRPr="00A67F27">
        <w:rPr>
          <w:rFonts w:asciiTheme="majorBidi" w:hAnsiTheme="majorBidi" w:cstheme="majorBidi"/>
        </w:rPr>
        <w:tab/>
      </w:r>
      <w:r w:rsidRPr="00A67F27">
        <w:rPr>
          <w:rFonts w:asciiTheme="majorBidi" w:hAnsiTheme="majorBidi" w:cstheme="majorBidi"/>
        </w:rPr>
        <w:t>L</w:t>
      </w:r>
      <w:r w:rsidR="00B5575C" w:rsidRPr="00A67F27">
        <w:rPr>
          <w:rFonts w:asciiTheme="majorBidi" w:hAnsiTheme="majorBidi" w:cstheme="majorBidi"/>
        </w:rPr>
        <w:t>a méthode précise de calcul de ces rabais</w:t>
      </w:r>
      <w:r w:rsidR="009B2302" w:rsidRPr="00A67F27">
        <w:rPr>
          <w:rFonts w:asciiTheme="majorBidi" w:hAnsiTheme="majorBidi" w:cstheme="majorBidi"/>
        </w:rPr>
        <w:t xml:space="preserve"> </w:t>
      </w:r>
      <w:r w:rsidR="00B5575C" w:rsidRPr="00A67F27">
        <w:rPr>
          <w:rFonts w:asciiTheme="majorBidi" w:hAnsiTheme="majorBidi" w:cstheme="majorBidi"/>
        </w:rPr>
        <w:t>pour déterminer le mont</w:t>
      </w:r>
      <w:r w:rsidR="001A7798" w:rsidRPr="00A67F27">
        <w:rPr>
          <w:rFonts w:asciiTheme="majorBidi" w:hAnsiTheme="majorBidi" w:cstheme="majorBidi"/>
        </w:rPr>
        <w:t>ant de l’offre est la suivante</w:t>
      </w:r>
      <w:r w:rsidR="009B2302" w:rsidRPr="00A67F27">
        <w:rPr>
          <w:rFonts w:asciiTheme="majorBidi" w:hAnsiTheme="majorBidi" w:cstheme="majorBidi"/>
        </w:rPr>
        <w:t> :</w:t>
      </w:r>
      <w:r w:rsidR="001A7798" w:rsidRPr="00A67F27">
        <w:rPr>
          <w:rFonts w:asciiTheme="majorBidi" w:hAnsiTheme="majorBidi" w:cstheme="majorBidi"/>
          <w:i/>
        </w:rPr>
        <w:t xml:space="preserve"> [indiquer en détail la méthode d’application de chacun des rabais offerts]</w:t>
      </w:r>
      <w:r w:rsidR="009B2302" w:rsidRPr="00A67F27">
        <w:rPr>
          <w:rFonts w:asciiTheme="majorBidi" w:hAnsiTheme="majorBidi" w:cstheme="majorBidi"/>
        </w:rPr>
        <w:t> ;</w:t>
      </w:r>
    </w:p>
    <w:p w14:paraId="09A8E306" w14:textId="0360E45A" w:rsidR="000A450A" w:rsidRPr="00A67F27" w:rsidRDefault="00CD207E" w:rsidP="002C7FF1">
      <w:pPr>
        <w:numPr>
          <w:ilvl w:val="0"/>
          <w:numId w:val="12"/>
        </w:numPr>
        <w:tabs>
          <w:tab w:val="right" w:pos="9000"/>
        </w:tabs>
        <w:ind w:left="426" w:hanging="408"/>
        <w:rPr>
          <w:rFonts w:asciiTheme="majorBidi" w:hAnsiTheme="majorBidi" w:cstheme="majorBidi"/>
        </w:rPr>
      </w:pPr>
      <w:r w:rsidRPr="00A67F27">
        <w:rPr>
          <w:rFonts w:asciiTheme="majorBidi" w:hAnsiTheme="majorBidi" w:cstheme="majorBidi"/>
        </w:rPr>
        <w:t>Notre</w:t>
      </w:r>
      <w:r w:rsidR="000A450A" w:rsidRPr="00A67F27">
        <w:rPr>
          <w:rFonts w:asciiTheme="majorBidi" w:hAnsiTheme="majorBidi" w:cstheme="majorBidi"/>
        </w:rPr>
        <w:t xml:space="preserve"> offre demeurera valide pendant </w:t>
      </w:r>
      <w:r w:rsidR="001A7798" w:rsidRPr="00A67F27">
        <w:rPr>
          <w:rFonts w:asciiTheme="majorBidi" w:hAnsiTheme="majorBidi" w:cstheme="majorBidi"/>
        </w:rPr>
        <w:t>la période indiquée aux DPAO - IS 18.1 (telle que modifiée par additif le cas échéant)</w:t>
      </w:r>
      <w:r w:rsidR="00E33019" w:rsidRPr="00A67F27">
        <w:rPr>
          <w:rFonts w:asciiTheme="majorBidi" w:hAnsiTheme="majorBidi" w:cstheme="majorBidi"/>
        </w:rPr>
        <w:t xml:space="preserve"> </w:t>
      </w:r>
      <w:r w:rsidR="000A450A" w:rsidRPr="00A67F27">
        <w:rPr>
          <w:rFonts w:asciiTheme="majorBidi" w:hAnsiTheme="majorBidi" w:cstheme="majorBidi"/>
        </w:rPr>
        <w:t xml:space="preserve">à compter de la date limite fixée pour la remise des offres </w:t>
      </w:r>
      <w:r w:rsidR="001A7798" w:rsidRPr="00A67F27">
        <w:rPr>
          <w:rFonts w:asciiTheme="majorBidi" w:hAnsiTheme="majorBidi" w:cstheme="majorBidi"/>
        </w:rPr>
        <w:t>aux DPAO - IS 22.1 (telle que modifiée par additif le cas échéant)</w:t>
      </w:r>
      <w:r w:rsidR="009B2302" w:rsidRPr="00A67F27">
        <w:rPr>
          <w:rFonts w:asciiTheme="majorBidi" w:hAnsiTheme="majorBidi" w:cstheme="majorBidi"/>
        </w:rPr>
        <w:t> ;</w:t>
      </w:r>
      <w:r w:rsidR="000A450A" w:rsidRPr="00A67F27">
        <w:rPr>
          <w:rFonts w:asciiTheme="majorBidi" w:hAnsiTheme="majorBidi" w:cstheme="majorBidi"/>
        </w:rPr>
        <w:t xml:space="preserve"> cette offre nous engage et pourra être acceptée à tout moment avant l’expiration de cette période</w:t>
      </w:r>
      <w:r w:rsidR="009B2302" w:rsidRPr="00A67F27">
        <w:rPr>
          <w:rFonts w:asciiTheme="majorBidi" w:hAnsiTheme="majorBidi" w:cstheme="majorBidi"/>
        </w:rPr>
        <w:t> ;</w:t>
      </w:r>
    </w:p>
    <w:p w14:paraId="2F1A0A23" w14:textId="7D6FF623" w:rsidR="000A450A" w:rsidRPr="00A67F27" w:rsidRDefault="00CD207E" w:rsidP="002C7FF1">
      <w:pPr>
        <w:numPr>
          <w:ilvl w:val="0"/>
          <w:numId w:val="12"/>
        </w:numPr>
        <w:tabs>
          <w:tab w:val="right" w:pos="9000"/>
        </w:tabs>
        <w:ind w:left="426" w:hanging="408"/>
        <w:rPr>
          <w:rFonts w:asciiTheme="majorBidi" w:hAnsiTheme="majorBidi" w:cstheme="majorBidi"/>
        </w:rPr>
      </w:pPr>
      <w:r w:rsidRPr="00A67F27">
        <w:rPr>
          <w:rFonts w:asciiTheme="majorBidi" w:hAnsiTheme="majorBidi" w:cstheme="majorBidi"/>
        </w:rPr>
        <w:t>Si</w:t>
      </w:r>
      <w:r w:rsidR="000A450A" w:rsidRPr="00A67F27">
        <w:rPr>
          <w:rFonts w:asciiTheme="majorBidi" w:hAnsiTheme="majorBidi" w:cstheme="majorBidi"/>
        </w:rPr>
        <w:t xml:space="preserve"> notre offre est acceptée, nous nous engageons à obtenir une garantie de bonne exécution du Marché </w:t>
      </w:r>
      <w:r w:rsidR="002F5FCA" w:rsidRPr="00A67F27">
        <w:rPr>
          <w:rFonts w:asciiTheme="majorBidi" w:hAnsiTheme="majorBidi" w:cstheme="majorBidi"/>
          <w:i/>
        </w:rPr>
        <w:t>[et une garantie de performance environnementale, sociale, hygiène et sécurité</w:t>
      </w:r>
      <w:r w:rsidR="009B2302" w:rsidRPr="00A67F27">
        <w:rPr>
          <w:rFonts w:asciiTheme="majorBidi" w:hAnsiTheme="majorBidi" w:cstheme="majorBidi"/>
          <w:i/>
        </w:rPr>
        <w:t> ;</w:t>
      </w:r>
      <w:r w:rsidR="002F5FCA" w:rsidRPr="00A67F27">
        <w:rPr>
          <w:rFonts w:asciiTheme="majorBidi" w:hAnsiTheme="majorBidi" w:cstheme="majorBidi"/>
          <w:i/>
        </w:rPr>
        <w:t xml:space="preserve"> </w:t>
      </w:r>
      <w:r w:rsidR="002F5FCA" w:rsidRPr="00A67F27">
        <w:rPr>
          <w:rFonts w:asciiTheme="majorBidi" w:hAnsiTheme="majorBidi" w:cstheme="majorBidi"/>
          <w:b/>
          <w:i/>
        </w:rPr>
        <w:t>omettre si non applicable</w:t>
      </w:r>
      <w:r w:rsidR="002F5FCA" w:rsidRPr="00A67F27">
        <w:rPr>
          <w:rFonts w:asciiTheme="majorBidi" w:hAnsiTheme="majorBidi" w:cstheme="majorBidi"/>
          <w:i/>
        </w:rPr>
        <w:t xml:space="preserve">] </w:t>
      </w:r>
      <w:r w:rsidR="000A450A" w:rsidRPr="00A67F27">
        <w:rPr>
          <w:rFonts w:asciiTheme="majorBidi" w:hAnsiTheme="majorBidi" w:cstheme="majorBidi"/>
        </w:rPr>
        <w:t>conformément</w:t>
      </w:r>
      <w:r w:rsidR="001A7798" w:rsidRPr="00A67F27">
        <w:rPr>
          <w:rFonts w:asciiTheme="majorBidi" w:hAnsiTheme="majorBidi" w:cstheme="majorBidi"/>
        </w:rPr>
        <w:t xml:space="preserve"> au Dossier d’appel d’offres</w:t>
      </w:r>
      <w:r w:rsidR="009B2302" w:rsidRPr="00A67F27">
        <w:rPr>
          <w:rFonts w:asciiTheme="majorBidi" w:hAnsiTheme="majorBidi" w:cstheme="majorBidi"/>
        </w:rPr>
        <w:t> ;</w:t>
      </w:r>
    </w:p>
    <w:p w14:paraId="1503B9F5" w14:textId="76C636FE" w:rsidR="000A450A" w:rsidRPr="00A67F27" w:rsidRDefault="00CD207E" w:rsidP="002C7FF1">
      <w:pPr>
        <w:numPr>
          <w:ilvl w:val="0"/>
          <w:numId w:val="12"/>
        </w:numPr>
        <w:tabs>
          <w:tab w:val="right" w:pos="9000"/>
        </w:tabs>
        <w:ind w:left="426" w:hanging="408"/>
        <w:rPr>
          <w:rFonts w:asciiTheme="majorBidi" w:hAnsiTheme="majorBidi" w:cstheme="majorBidi"/>
        </w:rPr>
      </w:pPr>
      <w:r w:rsidRPr="00A67F27">
        <w:rPr>
          <w:rFonts w:asciiTheme="majorBidi" w:hAnsiTheme="majorBidi" w:cstheme="majorBidi"/>
        </w:rPr>
        <w:t>Conformément</w:t>
      </w:r>
      <w:r w:rsidR="00555312" w:rsidRPr="00A67F27">
        <w:rPr>
          <w:rFonts w:asciiTheme="majorBidi" w:hAnsiTheme="majorBidi" w:cstheme="majorBidi"/>
        </w:rPr>
        <w:t xml:space="preserve"> à l’article 4.</w:t>
      </w:r>
      <w:r w:rsidR="00FF0C52" w:rsidRPr="00A67F27">
        <w:rPr>
          <w:rFonts w:asciiTheme="majorBidi" w:hAnsiTheme="majorBidi" w:cstheme="majorBidi"/>
        </w:rPr>
        <w:t xml:space="preserve">2(e) </w:t>
      </w:r>
      <w:r w:rsidR="00555312" w:rsidRPr="00A67F27">
        <w:rPr>
          <w:rFonts w:asciiTheme="majorBidi" w:hAnsiTheme="majorBidi" w:cstheme="majorBidi"/>
        </w:rPr>
        <w:t>des Instructions aux soumissionnaires, n</w:t>
      </w:r>
      <w:r w:rsidR="000A450A" w:rsidRPr="00A67F27">
        <w:rPr>
          <w:rFonts w:asciiTheme="majorBidi" w:hAnsiTheme="majorBidi" w:cstheme="majorBidi"/>
        </w:rPr>
        <w:t xml:space="preserve">ous ne participons pas, en qualité de soumissionnaire à plus d’une offre dans le cadre du présent </w:t>
      </w:r>
      <w:r w:rsidR="00FF5E79" w:rsidRPr="00A67F27">
        <w:rPr>
          <w:rFonts w:asciiTheme="majorBidi" w:hAnsiTheme="majorBidi" w:cstheme="majorBidi"/>
        </w:rPr>
        <w:t>A</w:t>
      </w:r>
      <w:r w:rsidR="000A450A" w:rsidRPr="00A67F27">
        <w:rPr>
          <w:rFonts w:asciiTheme="majorBidi" w:hAnsiTheme="majorBidi" w:cstheme="majorBidi"/>
        </w:rPr>
        <w:t>ppel d’offres, à l’exception des offres</w:t>
      </w:r>
      <w:r w:rsidR="00A11B52" w:rsidRPr="00A67F27">
        <w:rPr>
          <w:rFonts w:asciiTheme="majorBidi" w:hAnsiTheme="majorBidi" w:cstheme="majorBidi"/>
        </w:rPr>
        <w:t xml:space="preserve"> </w:t>
      </w:r>
      <w:r w:rsidR="000A450A" w:rsidRPr="00A67F27">
        <w:rPr>
          <w:rFonts w:asciiTheme="majorBidi" w:hAnsiTheme="majorBidi" w:cstheme="majorBidi"/>
        </w:rPr>
        <w:t>variantes présentées conformément à l’article 13 des Instructions aux Soumissionnaires</w:t>
      </w:r>
      <w:r w:rsidR="009B2302" w:rsidRPr="00A67F27">
        <w:rPr>
          <w:rFonts w:asciiTheme="majorBidi" w:hAnsiTheme="majorBidi" w:cstheme="majorBidi"/>
        </w:rPr>
        <w:t> ;</w:t>
      </w:r>
      <w:r w:rsidR="007C651D" w:rsidRPr="00A67F27">
        <w:rPr>
          <w:rFonts w:asciiTheme="majorBidi" w:hAnsiTheme="majorBidi" w:cstheme="majorBidi"/>
        </w:rPr>
        <w:t xml:space="preserve"> </w:t>
      </w:r>
    </w:p>
    <w:p w14:paraId="1A3B8D3E" w14:textId="73AF82DF" w:rsidR="00412BB8" w:rsidRPr="00A67F27" w:rsidRDefault="00CD207E" w:rsidP="002C7FF1">
      <w:pPr>
        <w:numPr>
          <w:ilvl w:val="0"/>
          <w:numId w:val="12"/>
        </w:numPr>
        <w:tabs>
          <w:tab w:val="right" w:pos="9000"/>
        </w:tabs>
        <w:ind w:left="426" w:hanging="408"/>
        <w:rPr>
          <w:rFonts w:asciiTheme="majorBidi" w:hAnsiTheme="majorBidi" w:cstheme="majorBidi"/>
        </w:rPr>
      </w:pPr>
      <w:r w:rsidRPr="00A67F27">
        <w:rPr>
          <w:rFonts w:asciiTheme="majorBidi" w:hAnsiTheme="majorBidi" w:cstheme="majorBidi"/>
          <w:szCs w:val="24"/>
        </w:rPr>
        <w:t>Ni</w:t>
      </w:r>
      <w:r w:rsidR="00D9428E" w:rsidRPr="00A67F27">
        <w:rPr>
          <w:rFonts w:asciiTheme="majorBidi" w:hAnsiTheme="majorBidi" w:cstheme="majorBidi"/>
          <w:szCs w:val="24"/>
        </w:rPr>
        <w:t xml:space="preserve"> notre entreprise, ni nos sous-traitants, fournisseurs, consultants, fabricants ou prestataires de services pour toute partie du marché, ne faisons l’objet et ne sommes pas sous le contrôle d’une entité ou d’une personne, faisant l’objet de suspension temporaire ou d’exclusion prononcée par le Groupe Banque mondiale, ou d’exclusion imposée par le Groupe Banque mondiale en vertu de l’Accord Mutuel d’Exclusion entre la Banque mondiale et les autres banques de développement. En outre nous ne sommes pas inéligibles au titre de la législation, ou d’une autre réglementation officielle du pays du Maître de l’Ouvrage, ou</w:t>
      </w:r>
      <w:r w:rsidR="009B2302" w:rsidRPr="00A67F27">
        <w:rPr>
          <w:rFonts w:asciiTheme="majorBidi" w:hAnsiTheme="majorBidi" w:cstheme="majorBidi"/>
          <w:szCs w:val="24"/>
        </w:rPr>
        <w:t xml:space="preserve"> </w:t>
      </w:r>
      <w:r w:rsidR="00D9428E" w:rsidRPr="00A67F27">
        <w:rPr>
          <w:rFonts w:asciiTheme="majorBidi" w:hAnsiTheme="majorBidi" w:cstheme="majorBidi"/>
          <w:szCs w:val="24"/>
        </w:rPr>
        <w:t>en application d’une décision prise par le Conseil de sécurité des Nations Unies</w:t>
      </w:r>
      <w:r w:rsidR="002B4A9B">
        <w:rPr>
          <w:rFonts w:asciiTheme="majorBidi" w:hAnsiTheme="majorBidi" w:cstheme="majorBidi"/>
          <w:szCs w:val="24"/>
        </w:rPr>
        <w:t> ;</w:t>
      </w:r>
    </w:p>
    <w:p w14:paraId="7C2803AC" w14:textId="27FC8ED6" w:rsidR="000A450A" w:rsidRPr="001627D7" w:rsidRDefault="000A450A" w:rsidP="002C7FF1">
      <w:pPr>
        <w:numPr>
          <w:ilvl w:val="0"/>
          <w:numId w:val="12"/>
        </w:numPr>
        <w:tabs>
          <w:tab w:val="right" w:pos="9000"/>
        </w:tabs>
        <w:ind w:left="426" w:hanging="408"/>
        <w:rPr>
          <w:rFonts w:asciiTheme="majorBidi" w:hAnsiTheme="majorBidi" w:cstheme="majorBidi"/>
        </w:rPr>
      </w:pPr>
      <w:r w:rsidRPr="00A67F27">
        <w:rPr>
          <w:rFonts w:asciiTheme="majorBidi" w:hAnsiTheme="majorBidi" w:cstheme="majorBidi"/>
          <w:spacing w:val="-2"/>
        </w:rPr>
        <w:t>[insérer soit </w:t>
      </w:r>
      <w:r w:rsidR="009B2302" w:rsidRPr="00A67F27">
        <w:rPr>
          <w:rFonts w:asciiTheme="majorBidi" w:hAnsiTheme="majorBidi" w:cstheme="majorBidi"/>
          <w:spacing w:val="-2"/>
        </w:rPr>
        <w:t xml:space="preserve">« </w:t>
      </w:r>
      <w:r w:rsidR="00A11B52" w:rsidRPr="00A67F27">
        <w:rPr>
          <w:rFonts w:asciiTheme="majorBidi" w:hAnsiTheme="majorBidi" w:cstheme="majorBidi"/>
          <w:spacing w:val="-2"/>
        </w:rPr>
        <w:t>n</w:t>
      </w:r>
      <w:r w:rsidRPr="00A67F27">
        <w:rPr>
          <w:rFonts w:asciiTheme="majorBidi" w:hAnsiTheme="majorBidi" w:cstheme="majorBidi"/>
          <w:spacing w:val="-2"/>
        </w:rPr>
        <w:t>ous ne sommes pas une entreprise publique du pays du Maître de l’Ouvrage</w:t>
      </w:r>
      <w:r w:rsidR="009B2302" w:rsidRPr="00A67F27">
        <w:rPr>
          <w:rFonts w:asciiTheme="majorBidi" w:hAnsiTheme="majorBidi" w:cstheme="majorBidi"/>
          <w:spacing w:val="-2"/>
        </w:rPr>
        <w:t> »</w:t>
      </w:r>
      <w:r w:rsidRPr="00A67F27">
        <w:rPr>
          <w:rFonts w:asciiTheme="majorBidi" w:hAnsiTheme="majorBidi" w:cstheme="majorBidi"/>
          <w:spacing w:val="-2"/>
        </w:rPr>
        <w:t xml:space="preserve"> ou </w:t>
      </w:r>
      <w:r w:rsidR="009B2302" w:rsidRPr="00A67F27">
        <w:rPr>
          <w:rFonts w:asciiTheme="majorBidi" w:hAnsiTheme="majorBidi" w:cstheme="majorBidi"/>
          <w:spacing w:val="-2"/>
        </w:rPr>
        <w:t xml:space="preserve">« </w:t>
      </w:r>
      <w:r w:rsidR="00A11B52" w:rsidRPr="00A67F27">
        <w:rPr>
          <w:rFonts w:asciiTheme="majorBidi" w:hAnsiTheme="majorBidi" w:cstheme="majorBidi"/>
          <w:spacing w:val="-2"/>
        </w:rPr>
        <w:t>n</w:t>
      </w:r>
      <w:r w:rsidRPr="00A67F27">
        <w:rPr>
          <w:rFonts w:asciiTheme="majorBidi" w:hAnsiTheme="majorBidi" w:cstheme="majorBidi"/>
          <w:spacing w:val="-2"/>
        </w:rPr>
        <w:t>ous sommes une entreprise publique du pays du Maître de l’Ouvrage</w:t>
      </w:r>
      <w:r w:rsidR="009B2302" w:rsidRPr="00A67F27">
        <w:rPr>
          <w:rFonts w:asciiTheme="majorBidi" w:hAnsiTheme="majorBidi" w:cstheme="majorBidi"/>
          <w:spacing w:val="-2"/>
        </w:rPr>
        <w:t xml:space="preserve"> </w:t>
      </w:r>
      <w:r w:rsidRPr="00A67F27">
        <w:rPr>
          <w:rFonts w:asciiTheme="majorBidi" w:hAnsiTheme="majorBidi" w:cstheme="majorBidi"/>
          <w:spacing w:val="-2"/>
        </w:rPr>
        <w:t>et nous satisfaisons aux dispositions de l’article 4.</w:t>
      </w:r>
      <w:r w:rsidR="00FF0C52" w:rsidRPr="00A67F27">
        <w:rPr>
          <w:rFonts w:asciiTheme="majorBidi" w:hAnsiTheme="majorBidi" w:cstheme="majorBidi"/>
          <w:spacing w:val="-2"/>
        </w:rPr>
        <w:t xml:space="preserve">5 </w:t>
      </w:r>
      <w:r w:rsidRPr="00A67F27">
        <w:rPr>
          <w:rFonts w:asciiTheme="majorBidi" w:hAnsiTheme="majorBidi" w:cstheme="majorBidi"/>
          <w:spacing w:val="-2"/>
        </w:rPr>
        <w:t>des IS</w:t>
      </w:r>
      <w:r w:rsidR="009B2302" w:rsidRPr="00A67F27">
        <w:rPr>
          <w:rFonts w:asciiTheme="majorBidi" w:hAnsiTheme="majorBidi" w:cstheme="majorBidi"/>
          <w:spacing w:val="-2"/>
        </w:rPr>
        <w:t> »</w:t>
      </w:r>
      <w:r w:rsidRPr="00A67F27">
        <w:rPr>
          <w:rFonts w:asciiTheme="majorBidi" w:hAnsiTheme="majorBidi" w:cstheme="majorBidi"/>
          <w:spacing w:val="-2"/>
        </w:rPr>
        <w:t>]</w:t>
      </w:r>
      <w:r w:rsidR="009B2302" w:rsidRPr="00A67F27">
        <w:rPr>
          <w:rFonts w:asciiTheme="majorBidi" w:hAnsiTheme="majorBidi" w:cstheme="majorBidi"/>
          <w:spacing w:val="-2"/>
        </w:rPr>
        <w:t> </w:t>
      </w:r>
      <w:r w:rsidR="002C7FF1" w:rsidRPr="00A67F27">
        <w:rPr>
          <w:rStyle w:val="Appelnotedebasdep"/>
          <w:rFonts w:asciiTheme="majorBidi" w:hAnsiTheme="majorBidi"/>
          <w:spacing w:val="-2"/>
        </w:rPr>
        <w:footnoteReference w:id="15"/>
      </w:r>
      <w:r w:rsidR="009B2302" w:rsidRPr="00A67F27">
        <w:rPr>
          <w:rFonts w:asciiTheme="majorBidi" w:hAnsiTheme="majorBidi" w:cstheme="majorBidi"/>
          <w:spacing w:val="-2"/>
        </w:rPr>
        <w:t>;</w:t>
      </w:r>
      <w:r w:rsidRPr="00A67F27">
        <w:rPr>
          <w:rFonts w:asciiTheme="majorBidi" w:hAnsiTheme="majorBidi" w:cstheme="majorBidi"/>
          <w:spacing w:val="-2"/>
        </w:rPr>
        <w:t xml:space="preserve"> </w:t>
      </w:r>
    </w:p>
    <w:p w14:paraId="3D88BF16" w14:textId="60196393" w:rsidR="00412BB8" w:rsidRPr="00A67F27" w:rsidRDefault="00A11B52" w:rsidP="002C7FF1">
      <w:pPr>
        <w:numPr>
          <w:ilvl w:val="0"/>
          <w:numId w:val="12"/>
        </w:numPr>
        <w:tabs>
          <w:tab w:val="right" w:pos="9000"/>
        </w:tabs>
        <w:spacing w:after="0"/>
        <w:ind w:left="426" w:hanging="408"/>
        <w:rPr>
          <w:rFonts w:asciiTheme="majorBidi" w:hAnsiTheme="majorBidi" w:cstheme="majorBidi"/>
          <w:szCs w:val="24"/>
        </w:rPr>
      </w:pPr>
      <w:r w:rsidRPr="001627D7">
        <w:rPr>
          <w:rFonts w:asciiTheme="majorBidi" w:hAnsiTheme="majorBidi" w:cstheme="majorBidi"/>
          <w:szCs w:val="24"/>
        </w:rPr>
        <w:t>n</w:t>
      </w:r>
      <w:r w:rsidR="000A450A" w:rsidRPr="00043C85">
        <w:rPr>
          <w:rFonts w:asciiTheme="majorBidi" w:hAnsiTheme="majorBidi" w:cstheme="majorBidi"/>
          <w:szCs w:val="24"/>
        </w:rPr>
        <w:t xml:space="preserve">ous acceptons la nomination de </w:t>
      </w:r>
      <w:r w:rsidR="0005607C" w:rsidRPr="00442531">
        <w:rPr>
          <w:rFonts w:asciiTheme="majorBidi" w:hAnsiTheme="majorBidi" w:cstheme="majorBidi"/>
          <w:b/>
          <w:bCs/>
          <w:i/>
          <w:iCs/>
          <w:szCs w:val="24"/>
        </w:rPr>
        <w:t>[nom indiqué dans les Données particulières de l</w:t>
      </w:r>
      <w:r w:rsidR="000A450A" w:rsidRPr="00442531">
        <w:rPr>
          <w:rFonts w:asciiTheme="majorBidi" w:hAnsiTheme="majorBidi" w:cstheme="majorBidi"/>
          <w:b/>
          <w:bCs/>
          <w:i/>
          <w:iCs/>
          <w:szCs w:val="24"/>
        </w:rPr>
        <w:t>’</w:t>
      </w:r>
      <w:r w:rsidR="0005607C" w:rsidRPr="00132A9B">
        <w:rPr>
          <w:rFonts w:asciiTheme="majorBidi" w:hAnsiTheme="majorBidi" w:cstheme="majorBidi"/>
          <w:b/>
          <w:bCs/>
          <w:i/>
          <w:iCs/>
          <w:szCs w:val="24"/>
        </w:rPr>
        <w:t>Appel d</w:t>
      </w:r>
      <w:r w:rsidR="000A450A" w:rsidRPr="00835449">
        <w:rPr>
          <w:rFonts w:asciiTheme="majorBidi" w:hAnsiTheme="majorBidi" w:cstheme="majorBidi"/>
          <w:b/>
          <w:bCs/>
          <w:i/>
          <w:iCs/>
          <w:szCs w:val="24"/>
        </w:rPr>
        <w:t>’</w:t>
      </w:r>
      <w:r w:rsidR="0005607C" w:rsidRPr="00D6752B">
        <w:rPr>
          <w:rFonts w:asciiTheme="majorBidi" w:hAnsiTheme="majorBidi" w:cstheme="majorBidi"/>
          <w:b/>
          <w:bCs/>
          <w:i/>
          <w:iCs/>
          <w:szCs w:val="24"/>
        </w:rPr>
        <w:t>offres]</w:t>
      </w:r>
      <w:r w:rsidR="000A450A" w:rsidRPr="00D6752B">
        <w:rPr>
          <w:rFonts w:asciiTheme="majorBidi" w:hAnsiTheme="majorBidi" w:cstheme="majorBidi"/>
          <w:szCs w:val="24"/>
        </w:rPr>
        <w:t xml:space="preserve"> comme Conciliateur</w:t>
      </w:r>
      <w:r w:rsidR="009B2302" w:rsidRPr="00013AB1">
        <w:rPr>
          <w:rFonts w:asciiTheme="majorBidi" w:hAnsiTheme="majorBidi" w:cstheme="majorBidi"/>
          <w:szCs w:val="24"/>
        </w:rPr>
        <w:t> ;</w:t>
      </w:r>
      <w:r w:rsidR="002C7FF1" w:rsidRPr="00013AB1">
        <w:rPr>
          <w:rFonts w:asciiTheme="majorBidi" w:hAnsiTheme="majorBidi" w:cstheme="majorBidi"/>
          <w:szCs w:val="24"/>
        </w:rPr>
        <w:t xml:space="preserve"> ou </w:t>
      </w:r>
      <w:r w:rsidR="00F82AAD" w:rsidRPr="00A67F27">
        <w:rPr>
          <w:rFonts w:asciiTheme="majorBidi" w:hAnsiTheme="majorBidi" w:cstheme="majorBidi"/>
          <w:szCs w:val="24"/>
        </w:rPr>
        <w:tab/>
      </w:r>
      <w:r w:rsidRPr="00A67F27">
        <w:rPr>
          <w:rFonts w:asciiTheme="majorBidi" w:hAnsiTheme="majorBidi" w:cstheme="majorBidi"/>
          <w:szCs w:val="24"/>
        </w:rPr>
        <w:t>n</w:t>
      </w:r>
      <w:r w:rsidR="000A450A" w:rsidRPr="00A67F27">
        <w:rPr>
          <w:rFonts w:asciiTheme="majorBidi" w:hAnsiTheme="majorBidi" w:cstheme="majorBidi"/>
          <w:szCs w:val="24"/>
        </w:rPr>
        <w:t xml:space="preserve">ous n’acceptons pas la nomination de </w:t>
      </w:r>
      <w:r w:rsidR="000A450A" w:rsidRPr="00A67F27">
        <w:rPr>
          <w:rFonts w:asciiTheme="majorBidi" w:hAnsiTheme="majorBidi" w:cstheme="majorBidi"/>
          <w:b/>
          <w:bCs/>
          <w:i/>
          <w:iCs/>
          <w:szCs w:val="24"/>
        </w:rPr>
        <w:t>[</w:t>
      </w:r>
      <w:r w:rsidR="0005607C" w:rsidRPr="00A67F27">
        <w:rPr>
          <w:rFonts w:asciiTheme="majorBidi" w:hAnsiTheme="majorBidi" w:cstheme="majorBidi"/>
          <w:b/>
          <w:bCs/>
          <w:i/>
          <w:iCs/>
          <w:szCs w:val="24"/>
        </w:rPr>
        <w:t>nom indiqué dans les Données particulières de l’Appel d’offres</w:t>
      </w:r>
      <w:r w:rsidR="000A450A" w:rsidRPr="00A67F27">
        <w:rPr>
          <w:rFonts w:asciiTheme="majorBidi" w:hAnsiTheme="majorBidi" w:cstheme="majorBidi"/>
          <w:b/>
          <w:bCs/>
          <w:i/>
          <w:iCs/>
          <w:szCs w:val="24"/>
        </w:rPr>
        <w:t>]</w:t>
      </w:r>
      <w:r w:rsidR="000A450A" w:rsidRPr="00A67F27">
        <w:rPr>
          <w:rFonts w:asciiTheme="majorBidi" w:hAnsiTheme="majorBidi" w:cstheme="majorBidi"/>
          <w:szCs w:val="24"/>
        </w:rPr>
        <w:t xml:space="preserve"> comme Conciliateur, et proposons à sa place la nomination de </w:t>
      </w:r>
      <w:r w:rsidR="000A450A" w:rsidRPr="00A67F27">
        <w:rPr>
          <w:rFonts w:asciiTheme="majorBidi" w:hAnsiTheme="majorBidi" w:cstheme="majorBidi"/>
          <w:b/>
          <w:bCs/>
          <w:i/>
          <w:iCs/>
          <w:szCs w:val="24"/>
        </w:rPr>
        <w:t>[</w:t>
      </w:r>
      <w:r w:rsidR="0005607C" w:rsidRPr="00A67F27">
        <w:rPr>
          <w:rFonts w:asciiTheme="majorBidi" w:hAnsiTheme="majorBidi" w:cstheme="majorBidi"/>
          <w:b/>
          <w:bCs/>
          <w:i/>
          <w:iCs/>
          <w:szCs w:val="24"/>
        </w:rPr>
        <w:t>nom</w:t>
      </w:r>
      <w:r w:rsidR="000A450A" w:rsidRPr="00A67F27">
        <w:rPr>
          <w:rFonts w:asciiTheme="majorBidi" w:hAnsiTheme="majorBidi" w:cstheme="majorBidi"/>
          <w:b/>
          <w:bCs/>
          <w:i/>
          <w:iCs/>
          <w:szCs w:val="24"/>
        </w:rPr>
        <w:t>]</w:t>
      </w:r>
      <w:r w:rsidR="000A450A" w:rsidRPr="00A67F27">
        <w:rPr>
          <w:rFonts w:asciiTheme="majorBidi" w:hAnsiTheme="majorBidi" w:cstheme="majorBidi"/>
          <w:szCs w:val="24"/>
        </w:rPr>
        <w:t xml:space="preserve"> dont un curriculum vitae et la rémunération horaire </w:t>
      </w:r>
      <w:r w:rsidR="0035381A" w:rsidRPr="00A67F27">
        <w:rPr>
          <w:rFonts w:asciiTheme="majorBidi" w:hAnsiTheme="majorBidi" w:cstheme="majorBidi"/>
          <w:szCs w:val="24"/>
        </w:rPr>
        <w:t>figurent</w:t>
      </w:r>
      <w:r w:rsidR="000A450A" w:rsidRPr="00A67F27">
        <w:rPr>
          <w:rFonts w:asciiTheme="majorBidi" w:hAnsiTheme="majorBidi" w:cstheme="majorBidi"/>
          <w:szCs w:val="24"/>
        </w:rPr>
        <w:t xml:space="preserve"> </w:t>
      </w:r>
      <w:r w:rsidR="0035381A" w:rsidRPr="00A67F27">
        <w:rPr>
          <w:rFonts w:asciiTheme="majorBidi" w:hAnsiTheme="majorBidi" w:cstheme="majorBidi"/>
          <w:szCs w:val="24"/>
        </w:rPr>
        <w:t>en annexe</w:t>
      </w:r>
      <w:r w:rsidR="000A450A" w:rsidRPr="00A67F27">
        <w:rPr>
          <w:rFonts w:asciiTheme="majorBidi" w:hAnsiTheme="majorBidi" w:cstheme="majorBidi"/>
          <w:szCs w:val="24"/>
        </w:rPr>
        <w:t xml:space="preserve"> à la présente </w:t>
      </w:r>
      <w:r w:rsidR="00A94552" w:rsidRPr="00A67F27">
        <w:rPr>
          <w:rFonts w:asciiTheme="majorBidi" w:hAnsiTheme="majorBidi" w:cstheme="majorBidi"/>
          <w:szCs w:val="24"/>
        </w:rPr>
        <w:t>S</w:t>
      </w:r>
      <w:r w:rsidR="000A450A" w:rsidRPr="00A67F27">
        <w:rPr>
          <w:rFonts w:asciiTheme="majorBidi" w:hAnsiTheme="majorBidi" w:cstheme="majorBidi"/>
          <w:szCs w:val="24"/>
        </w:rPr>
        <w:t>oumission</w:t>
      </w:r>
      <w:r w:rsidR="009B2302" w:rsidRPr="00A67F27">
        <w:rPr>
          <w:rFonts w:asciiTheme="majorBidi" w:hAnsiTheme="majorBidi" w:cstheme="majorBidi"/>
          <w:szCs w:val="24"/>
        </w:rPr>
        <w:t> ;</w:t>
      </w:r>
    </w:p>
    <w:p w14:paraId="75E2EA6B" w14:textId="77777777" w:rsidR="002C7FF1" w:rsidRPr="00A67F27" w:rsidRDefault="002C7FF1" w:rsidP="002C7FF1">
      <w:pPr>
        <w:spacing w:after="0"/>
        <w:ind w:left="720" w:firstLine="0"/>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2070"/>
        <w:gridCol w:w="1548"/>
      </w:tblGrid>
      <w:tr w:rsidR="002C7FF1" w:rsidRPr="00A67F27" w14:paraId="7508E726" w14:textId="77777777" w:rsidTr="00E223D0">
        <w:tc>
          <w:tcPr>
            <w:tcW w:w="2520" w:type="dxa"/>
            <w:tcBorders>
              <w:top w:val="nil"/>
              <w:left w:val="nil"/>
              <w:bottom w:val="nil"/>
              <w:right w:val="nil"/>
            </w:tcBorders>
          </w:tcPr>
          <w:p w14:paraId="1D481471" w14:textId="4FFDC1CE" w:rsidR="002C7FF1" w:rsidRPr="00A67F27" w:rsidRDefault="00564180" w:rsidP="002C7FF1">
            <w:pPr>
              <w:spacing w:after="0"/>
              <w:rPr>
                <w:highlight w:val="yellow"/>
              </w:rPr>
            </w:pPr>
            <w:r w:rsidRPr="00A67F27">
              <w:t>Nom du Bénéficiaire</w:t>
            </w:r>
          </w:p>
        </w:tc>
        <w:tc>
          <w:tcPr>
            <w:tcW w:w="2520" w:type="dxa"/>
            <w:tcBorders>
              <w:top w:val="nil"/>
              <w:left w:val="nil"/>
              <w:bottom w:val="nil"/>
              <w:right w:val="nil"/>
            </w:tcBorders>
          </w:tcPr>
          <w:p w14:paraId="7144F968" w14:textId="5F65A9E8" w:rsidR="002C7FF1" w:rsidRPr="00A67F27" w:rsidRDefault="00564180" w:rsidP="002C7FF1">
            <w:pPr>
              <w:spacing w:after="0"/>
              <w:rPr>
                <w:highlight w:val="yellow"/>
              </w:rPr>
            </w:pPr>
            <w:r w:rsidRPr="00A67F27">
              <w:t>Adresse</w:t>
            </w:r>
          </w:p>
        </w:tc>
        <w:tc>
          <w:tcPr>
            <w:tcW w:w="2070" w:type="dxa"/>
            <w:tcBorders>
              <w:top w:val="nil"/>
              <w:left w:val="nil"/>
              <w:bottom w:val="nil"/>
              <w:right w:val="nil"/>
            </w:tcBorders>
          </w:tcPr>
          <w:p w14:paraId="7E20FA1F" w14:textId="4FEED950" w:rsidR="002C7FF1" w:rsidRPr="00A67F27" w:rsidRDefault="00564180" w:rsidP="002C7FF1">
            <w:pPr>
              <w:spacing w:after="0"/>
              <w:rPr>
                <w:highlight w:val="yellow"/>
              </w:rPr>
            </w:pPr>
            <w:r w:rsidRPr="00A67F27">
              <w:t>Motif</w:t>
            </w:r>
          </w:p>
        </w:tc>
        <w:tc>
          <w:tcPr>
            <w:tcW w:w="1548" w:type="dxa"/>
            <w:tcBorders>
              <w:top w:val="nil"/>
              <w:left w:val="nil"/>
              <w:bottom w:val="nil"/>
              <w:right w:val="nil"/>
            </w:tcBorders>
          </w:tcPr>
          <w:p w14:paraId="52287477" w14:textId="56C0C837" w:rsidR="002C7FF1" w:rsidRPr="00A67F27" w:rsidRDefault="00564180" w:rsidP="002C7FF1">
            <w:pPr>
              <w:spacing w:after="0"/>
              <w:rPr>
                <w:highlight w:val="yellow"/>
              </w:rPr>
            </w:pPr>
            <w:r w:rsidRPr="00A67F27">
              <w:t>Montant</w:t>
            </w:r>
          </w:p>
        </w:tc>
      </w:tr>
      <w:tr w:rsidR="002C7FF1" w:rsidRPr="00A67F27" w14:paraId="79B1A9E3" w14:textId="77777777" w:rsidTr="00E223D0">
        <w:tc>
          <w:tcPr>
            <w:tcW w:w="2520" w:type="dxa"/>
            <w:tcBorders>
              <w:top w:val="nil"/>
              <w:left w:val="nil"/>
              <w:bottom w:val="nil"/>
              <w:right w:val="nil"/>
            </w:tcBorders>
          </w:tcPr>
          <w:p w14:paraId="7198888D" w14:textId="77777777" w:rsidR="002C7FF1" w:rsidRPr="00A67F27" w:rsidRDefault="002C7FF1" w:rsidP="002C7FF1">
            <w:pPr>
              <w:spacing w:after="0"/>
              <w:rPr>
                <w:u w:val="single"/>
              </w:rPr>
            </w:pPr>
            <w:r w:rsidRPr="00A67F27">
              <w:rPr>
                <w:u w:val="single"/>
              </w:rPr>
              <w:tab/>
            </w:r>
          </w:p>
        </w:tc>
        <w:tc>
          <w:tcPr>
            <w:tcW w:w="2520" w:type="dxa"/>
            <w:tcBorders>
              <w:top w:val="nil"/>
              <w:left w:val="nil"/>
              <w:bottom w:val="nil"/>
              <w:right w:val="nil"/>
            </w:tcBorders>
          </w:tcPr>
          <w:p w14:paraId="03BB6ADC" w14:textId="77777777" w:rsidR="002C7FF1" w:rsidRPr="00A67F27" w:rsidRDefault="002C7FF1" w:rsidP="002C7FF1">
            <w:pPr>
              <w:spacing w:after="0"/>
              <w:rPr>
                <w:u w:val="single"/>
              </w:rPr>
            </w:pPr>
            <w:r w:rsidRPr="00A67F27">
              <w:rPr>
                <w:u w:val="single"/>
              </w:rPr>
              <w:tab/>
            </w:r>
          </w:p>
        </w:tc>
        <w:tc>
          <w:tcPr>
            <w:tcW w:w="2070" w:type="dxa"/>
            <w:tcBorders>
              <w:top w:val="nil"/>
              <w:left w:val="nil"/>
              <w:bottom w:val="nil"/>
              <w:right w:val="nil"/>
            </w:tcBorders>
          </w:tcPr>
          <w:p w14:paraId="47FF211C" w14:textId="77777777" w:rsidR="002C7FF1" w:rsidRPr="00A67F27" w:rsidRDefault="002C7FF1" w:rsidP="002C7FF1">
            <w:pPr>
              <w:spacing w:after="0"/>
              <w:rPr>
                <w:u w:val="single"/>
              </w:rPr>
            </w:pPr>
            <w:r w:rsidRPr="00A67F27">
              <w:rPr>
                <w:u w:val="single"/>
              </w:rPr>
              <w:tab/>
            </w:r>
          </w:p>
        </w:tc>
        <w:tc>
          <w:tcPr>
            <w:tcW w:w="1548" w:type="dxa"/>
            <w:tcBorders>
              <w:top w:val="nil"/>
              <w:left w:val="nil"/>
              <w:bottom w:val="nil"/>
              <w:right w:val="nil"/>
            </w:tcBorders>
          </w:tcPr>
          <w:p w14:paraId="21A608F0" w14:textId="77777777" w:rsidR="002C7FF1" w:rsidRPr="00A67F27" w:rsidRDefault="002C7FF1" w:rsidP="002C7FF1">
            <w:pPr>
              <w:spacing w:after="0"/>
              <w:rPr>
                <w:u w:val="single"/>
              </w:rPr>
            </w:pPr>
            <w:r w:rsidRPr="00A67F27">
              <w:rPr>
                <w:u w:val="single"/>
              </w:rPr>
              <w:tab/>
            </w:r>
          </w:p>
        </w:tc>
      </w:tr>
      <w:tr w:rsidR="002C7FF1" w:rsidRPr="00A67F27" w14:paraId="73D69962" w14:textId="77777777" w:rsidTr="00E223D0">
        <w:tc>
          <w:tcPr>
            <w:tcW w:w="2520" w:type="dxa"/>
            <w:tcBorders>
              <w:top w:val="nil"/>
              <w:left w:val="nil"/>
              <w:bottom w:val="nil"/>
              <w:right w:val="nil"/>
            </w:tcBorders>
          </w:tcPr>
          <w:p w14:paraId="2FCF6D57" w14:textId="77777777" w:rsidR="002C7FF1" w:rsidRPr="00A67F27" w:rsidRDefault="002C7FF1" w:rsidP="002C7FF1">
            <w:pPr>
              <w:spacing w:after="0"/>
              <w:rPr>
                <w:u w:val="single"/>
              </w:rPr>
            </w:pPr>
            <w:r w:rsidRPr="00A67F27">
              <w:rPr>
                <w:u w:val="single"/>
              </w:rPr>
              <w:tab/>
            </w:r>
          </w:p>
        </w:tc>
        <w:tc>
          <w:tcPr>
            <w:tcW w:w="2520" w:type="dxa"/>
            <w:tcBorders>
              <w:top w:val="nil"/>
              <w:left w:val="nil"/>
              <w:bottom w:val="nil"/>
              <w:right w:val="nil"/>
            </w:tcBorders>
          </w:tcPr>
          <w:p w14:paraId="43A27075" w14:textId="77777777" w:rsidR="002C7FF1" w:rsidRPr="00A67F27" w:rsidRDefault="002C7FF1" w:rsidP="002C7FF1">
            <w:pPr>
              <w:spacing w:after="0"/>
              <w:rPr>
                <w:u w:val="single"/>
              </w:rPr>
            </w:pPr>
            <w:r w:rsidRPr="00A67F27">
              <w:rPr>
                <w:u w:val="single"/>
              </w:rPr>
              <w:tab/>
            </w:r>
          </w:p>
        </w:tc>
        <w:tc>
          <w:tcPr>
            <w:tcW w:w="2070" w:type="dxa"/>
            <w:tcBorders>
              <w:top w:val="nil"/>
              <w:left w:val="nil"/>
              <w:bottom w:val="nil"/>
              <w:right w:val="nil"/>
            </w:tcBorders>
          </w:tcPr>
          <w:p w14:paraId="49C107C7" w14:textId="77777777" w:rsidR="002C7FF1" w:rsidRPr="00A67F27" w:rsidRDefault="002C7FF1" w:rsidP="002C7FF1">
            <w:pPr>
              <w:spacing w:after="0"/>
              <w:rPr>
                <w:u w:val="single"/>
              </w:rPr>
            </w:pPr>
            <w:r w:rsidRPr="00A67F27">
              <w:rPr>
                <w:u w:val="single"/>
              </w:rPr>
              <w:tab/>
            </w:r>
          </w:p>
        </w:tc>
        <w:tc>
          <w:tcPr>
            <w:tcW w:w="1548" w:type="dxa"/>
            <w:tcBorders>
              <w:top w:val="nil"/>
              <w:left w:val="nil"/>
              <w:bottom w:val="nil"/>
              <w:right w:val="nil"/>
            </w:tcBorders>
          </w:tcPr>
          <w:p w14:paraId="0D543DE1" w14:textId="77777777" w:rsidR="002C7FF1" w:rsidRPr="00A67F27" w:rsidRDefault="002C7FF1" w:rsidP="002C7FF1">
            <w:pPr>
              <w:spacing w:after="0"/>
              <w:rPr>
                <w:u w:val="single"/>
              </w:rPr>
            </w:pPr>
            <w:r w:rsidRPr="00A67F27">
              <w:rPr>
                <w:u w:val="single"/>
              </w:rPr>
              <w:tab/>
            </w:r>
          </w:p>
        </w:tc>
      </w:tr>
      <w:tr w:rsidR="002C7FF1" w:rsidRPr="00A67F27" w14:paraId="6B19E8AB" w14:textId="77777777" w:rsidTr="00E223D0">
        <w:tc>
          <w:tcPr>
            <w:tcW w:w="2520" w:type="dxa"/>
            <w:tcBorders>
              <w:top w:val="nil"/>
              <w:left w:val="nil"/>
              <w:bottom w:val="nil"/>
              <w:right w:val="nil"/>
            </w:tcBorders>
          </w:tcPr>
          <w:p w14:paraId="0AC72ABB" w14:textId="77777777" w:rsidR="002C7FF1" w:rsidRPr="00A67F27" w:rsidRDefault="002C7FF1" w:rsidP="002C7FF1">
            <w:pPr>
              <w:spacing w:after="0"/>
              <w:rPr>
                <w:u w:val="single"/>
              </w:rPr>
            </w:pPr>
            <w:r w:rsidRPr="00A67F27">
              <w:rPr>
                <w:u w:val="single"/>
              </w:rPr>
              <w:tab/>
            </w:r>
          </w:p>
        </w:tc>
        <w:tc>
          <w:tcPr>
            <w:tcW w:w="2520" w:type="dxa"/>
            <w:tcBorders>
              <w:top w:val="nil"/>
              <w:left w:val="nil"/>
              <w:bottom w:val="nil"/>
              <w:right w:val="nil"/>
            </w:tcBorders>
          </w:tcPr>
          <w:p w14:paraId="15BF1197" w14:textId="77777777" w:rsidR="002C7FF1" w:rsidRPr="00A67F27" w:rsidRDefault="002C7FF1" w:rsidP="002C7FF1">
            <w:pPr>
              <w:spacing w:after="0"/>
              <w:rPr>
                <w:u w:val="single"/>
              </w:rPr>
            </w:pPr>
            <w:r w:rsidRPr="00A67F27">
              <w:rPr>
                <w:u w:val="single"/>
              </w:rPr>
              <w:tab/>
            </w:r>
          </w:p>
        </w:tc>
        <w:tc>
          <w:tcPr>
            <w:tcW w:w="2070" w:type="dxa"/>
            <w:tcBorders>
              <w:top w:val="nil"/>
              <w:left w:val="nil"/>
              <w:bottom w:val="nil"/>
              <w:right w:val="nil"/>
            </w:tcBorders>
          </w:tcPr>
          <w:p w14:paraId="5E129689" w14:textId="77777777" w:rsidR="002C7FF1" w:rsidRPr="00A67F27" w:rsidRDefault="002C7FF1" w:rsidP="002C7FF1">
            <w:pPr>
              <w:spacing w:after="0"/>
              <w:rPr>
                <w:u w:val="single"/>
              </w:rPr>
            </w:pPr>
            <w:r w:rsidRPr="00A67F27">
              <w:rPr>
                <w:u w:val="single"/>
              </w:rPr>
              <w:tab/>
            </w:r>
          </w:p>
        </w:tc>
        <w:tc>
          <w:tcPr>
            <w:tcW w:w="1548" w:type="dxa"/>
            <w:tcBorders>
              <w:top w:val="nil"/>
              <w:left w:val="nil"/>
              <w:bottom w:val="nil"/>
              <w:right w:val="nil"/>
            </w:tcBorders>
          </w:tcPr>
          <w:p w14:paraId="0A25E6F5" w14:textId="77777777" w:rsidR="002C7FF1" w:rsidRPr="00A67F27" w:rsidRDefault="002C7FF1" w:rsidP="002C7FF1">
            <w:pPr>
              <w:spacing w:after="0"/>
              <w:rPr>
                <w:u w:val="single"/>
              </w:rPr>
            </w:pPr>
            <w:r w:rsidRPr="00A67F27">
              <w:rPr>
                <w:u w:val="single"/>
              </w:rPr>
              <w:tab/>
            </w:r>
          </w:p>
        </w:tc>
      </w:tr>
      <w:tr w:rsidR="002C7FF1" w:rsidRPr="00A67F27" w14:paraId="0C7E8C31" w14:textId="77777777" w:rsidTr="00E223D0">
        <w:tc>
          <w:tcPr>
            <w:tcW w:w="2520" w:type="dxa"/>
            <w:tcBorders>
              <w:top w:val="nil"/>
              <w:left w:val="nil"/>
              <w:bottom w:val="nil"/>
              <w:right w:val="nil"/>
            </w:tcBorders>
          </w:tcPr>
          <w:p w14:paraId="5BFFD3A4" w14:textId="77777777" w:rsidR="002C7FF1" w:rsidRPr="00A67F27" w:rsidRDefault="002C7FF1" w:rsidP="002C7FF1">
            <w:pPr>
              <w:spacing w:after="0"/>
              <w:rPr>
                <w:u w:val="single"/>
              </w:rPr>
            </w:pPr>
            <w:r w:rsidRPr="00A67F27">
              <w:rPr>
                <w:u w:val="single"/>
              </w:rPr>
              <w:tab/>
            </w:r>
          </w:p>
        </w:tc>
        <w:tc>
          <w:tcPr>
            <w:tcW w:w="2520" w:type="dxa"/>
            <w:tcBorders>
              <w:top w:val="nil"/>
              <w:left w:val="nil"/>
              <w:bottom w:val="nil"/>
              <w:right w:val="nil"/>
            </w:tcBorders>
          </w:tcPr>
          <w:p w14:paraId="00672D99" w14:textId="77777777" w:rsidR="002C7FF1" w:rsidRPr="00A67F27" w:rsidRDefault="002C7FF1" w:rsidP="002C7FF1">
            <w:pPr>
              <w:spacing w:after="0"/>
              <w:rPr>
                <w:u w:val="single"/>
              </w:rPr>
            </w:pPr>
            <w:r w:rsidRPr="00A67F27">
              <w:rPr>
                <w:u w:val="single"/>
              </w:rPr>
              <w:tab/>
            </w:r>
          </w:p>
        </w:tc>
        <w:tc>
          <w:tcPr>
            <w:tcW w:w="2070" w:type="dxa"/>
            <w:tcBorders>
              <w:top w:val="nil"/>
              <w:left w:val="nil"/>
              <w:bottom w:val="nil"/>
              <w:right w:val="nil"/>
            </w:tcBorders>
          </w:tcPr>
          <w:p w14:paraId="114CF318" w14:textId="77777777" w:rsidR="002C7FF1" w:rsidRPr="00A67F27" w:rsidRDefault="002C7FF1" w:rsidP="002C7FF1">
            <w:pPr>
              <w:spacing w:after="0"/>
              <w:rPr>
                <w:u w:val="single"/>
              </w:rPr>
            </w:pPr>
            <w:r w:rsidRPr="00A67F27">
              <w:rPr>
                <w:u w:val="single"/>
              </w:rPr>
              <w:tab/>
            </w:r>
          </w:p>
        </w:tc>
        <w:tc>
          <w:tcPr>
            <w:tcW w:w="1548" w:type="dxa"/>
            <w:tcBorders>
              <w:top w:val="nil"/>
              <w:left w:val="nil"/>
              <w:bottom w:val="nil"/>
              <w:right w:val="nil"/>
            </w:tcBorders>
          </w:tcPr>
          <w:p w14:paraId="50168F26" w14:textId="77777777" w:rsidR="002C7FF1" w:rsidRPr="00A67F27" w:rsidRDefault="002C7FF1" w:rsidP="002C7FF1">
            <w:pPr>
              <w:spacing w:after="0"/>
              <w:rPr>
                <w:u w:val="single"/>
              </w:rPr>
            </w:pPr>
            <w:r w:rsidRPr="00A67F27">
              <w:rPr>
                <w:u w:val="single"/>
              </w:rPr>
              <w:tab/>
            </w:r>
          </w:p>
        </w:tc>
      </w:tr>
    </w:tbl>
    <w:p w14:paraId="6DD4E241" w14:textId="77777777" w:rsidR="002C7FF1" w:rsidRPr="00A67F27" w:rsidRDefault="002C7FF1" w:rsidP="002C7FF1">
      <w:pPr>
        <w:spacing w:after="0"/>
        <w:ind w:left="720" w:firstLine="0"/>
      </w:pPr>
    </w:p>
    <w:p w14:paraId="1AF8C922" w14:textId="2A571EB3" w:rsidR="002C7FF1" w:rsidRPr="00A67F27" w:rsidRDefault="002C7FF1" w:rsidP="00564180">
      <w:pPr>
        <w:spacing w:after="0"/>
        <w:ind w:left="142" w:firstLine="0"/>
      </w:pPr>
      <w:r w:rsidRPr="00A67F27">
        <w:lastRenderedPageBreak/>
        <w:tab/>
      </w:r>
      <w:r w:rsidR="00564180" w:rsidRPr="00A67F27">
        <w:t>(Si aucune somme n’a été versée ou ne doit être versée, porter la mention « néant »).</w:t>
      </w:r>
    </w:p>
    <w:p w14:paraId="5548D805" w14:textId="77777777" w:rsidR="002C7FF1" w:rsidRPr="00A67F27" w:rsidRDefault="002C7FF1" w:rsidP="002C7FF1">
      <w:pPr>
        <w:spacing w:after="0"/>
        <w:ind w:left="720" w:firstLine="0"/>
      </w:pPr>
    </w:p>
    <w:p w14:paraId="1C817E33" w14:textId="192E2C71" w:rsidR="000A450A" w:rsidRPr="00A67F27" w:rsidRDefault="00A40880" w:rsidP="00564180">
      <w:pPr>
        <w:numPr>
          <w:ilvl w:val="0"/>
          <w:numId w:val="12"/>
        </w:numPr>
        <w:tabs>
          <w:tab w:val="right" w:pos="9000"/>
        </w:tabs>
        <w:ind w:left="426" w:hanging="408"/>
        <w:rPr>
          <w:rFonts w:asciiTheme="majorBidi" w:hAnsiTheme="majorBidi" w:cstheme="majorBidi"/>
          <w:spacing w:val="-2"/>
        </w:rPr>
      </w:pPr>
      <w:r w:rsidRPr="00A67F27">
        <w:rPr>
          <w:rFonts w:asciiTheme="majorBidi" w:hAnsiTheme="majorBidi" w:cstheme="majorBidi"/>
          <w:spacing w:val="-2"/>
        </w:rPr>
        <w:t>Les</w:t>
      </w:r>
      <w:r w:rsidR="003A05A9" w:rsidRPr="00A67F27">
        <w:rPr>
          <w:rFonts w:asciiTheme="majorBidi" w:hAnsiTheme="majorBidi" w:cstheme="majorBidi"/>
          <w:spacing w:val="-2"/>
        </w:rPr>
        <w:t xml:space="preserve"> </w:t>
      </w:r>
      <w:r w:rsidR="00C55C64" w:rsidRPr="00A67F27">
        <w:rPr>
          <w:rFonts w:asciiTheme="majorBidi" w:hAnsiTheme="majorBidi" w:cstheme="majorBidi"/>
          <w:spacing w:val="-2"/>
        </w:rPr>
        <w:t>avantages</w:t>
      </w:r>
      <w:r w:rsidR="003A05A9" w:rsidRPr="00A67F27">
        <w:rPr>
          <w:rFonts w:asciiTheme="majorBidi" w:hAnsiTheme="majorBidi" w:cstheme="majorBidi"/>
          <w:spacing w:val="-2"/>
        </w:rPr>
        <w:t>,</w:t>
      </w:r>
      <w:r w:rsidR="009B2302" w:rsidRPr="00A67F27">
        <w:rPr>
          <w:rFonts w:asciiTheme="majorBidi" w:hAnsiTheme="majorBidi" w:cstheme="majorBidi"/>
          <w:spacing w:val="-2"/>
        </w:rPr>
        <w:t xml:space="preserve"> </w:t>
      </w:r>
      <w:r w:rsidR="000A450A" w:rsidRPr="00A67F27">
        <w:rPr>
          <w:rFonts w:asciiTheme="majorBidi" w:hAnsiTheme="majorBidi" w:cstheme="majorBidi"/>
          <w:spacing w:val="-2"/>
        </w:rPr>
        <w:t>honoraires ou commissions ci-après ont été versés ou doivent être versés en rapport avec la procédure d’</w:t>
      </w:r>
      <w:r w:rsidR="00A94552" w:rsidRPr="00A67F27">
        <w:rPr>
          <w:rFonts w:asciiTheme="majorBidi" w:hAnsiTheme="majorBidi" w:cstheme="majorBidi"/>
          <w:spacing w:val="-2"/>
        </w:rPr>
        <w:t>A</w:t>
      </w:r>
      <w:r w:rsidR="000A450A" w:rsidRPr="00A67F27">
        <w:rPr>
          <w:rFonts w:asciiTheme="majorBidi" w:hAnsiTheme="majorBidi" w:cstheme="majorBidi"/>
          <w:spacing w:val="-2"/>
        </w:rPr>
        <w:t>ppel d’offres ou l’exécution/signature du Marché</w:t>
      </w:r>
      <w:r w:rsidR="009B2302" w:rsidRPr="00A67F27">
        <w:rPr>
          <w:rFonts w:asciiTheme="majorBidi" w:hAnsiTheme="majorBidi" w:cstheme="majorBidi"/>
          <w:spacing w:val="-2"/>
        </w:rPr>
        <w:t> :</w:t>
      </w:r>
    </w:p>
    <w:p w14:paraId="48841013" w14:textId="1501F0F3" w:rsidR="00412BB8" w:rsidRPr="00A67F27" w:rsidRDefault="004B46DD" w:rsidP="006F7844">
      <w:pPr>
        <w:numPr>
          <w:ilvl w:val="0"/>
          <w:numId w:val="12"/>
        </w:numPr>
        <w:tabs>
          <w:tab w:val="right" w:pos="9000"/>
        </w:tabs>
        <w:ind w:left="426" w:hanging="408"/>
        <w:rPr>
          <w:rFonts w:asciiTheme="majorBidi" w:hAnsiTheme="majorBidi" w:cstheme="majorBidi"/>
          <w:spacing w:val="-2"/>
        </w:rPr>
      </w:pPr>
      <w:r w:rsidRPr="00A67F27">
        <w:rPr>
          <w:rFonts w:asciiTheme="majorBidi" w:hAnsiTheme="majorBidi" w:cstheme="majorBidi"/>
          <w:spacing w:val="-2"/>
        </w:rPr>
        <w:tab/>
      </w:r>
      <w:r w:rsidR="00A40880" w:rsidRPr="00A67F27">
        <w:rPr>
          <w:rFonts w:asciiTheme="majorBidi" w:hAnsiTheme="majorBidi" w:cstheme="majorBidi"/>
          <w:spacing w:val="-2"/>
        </w:rPr>
        <w:t>Nous</w:t>
      </w:r>
      <w:r w:rsidR="00A21182" w:rsidRPr="00A67F27">
        <w:rPr>
          <w:rFonts w:asciiTheme="majorBidi" w:hAnsiTheme="majorBidi" w:cstheme="majorBidi"/>
          <w:spacing w:val="-2"/>
        </w:rPr>
        <w:t xml:space="preserve"> comprenons que vous n’êtes pas tenu d’accepter l’offre évaluée </w:t>
      </w:r>
      <w:r w:rsidR="009E64E8" w:rsidRPr="00A67F27">
        <w:rPr>
          <w:rFonts w:asciiTheme="majorBidi" w:hAnsiTheme="majorBidi" w:cstheme="majorBidi"/>
          <w:spacing w:val="-2"/>
        </w:rPr>
        <w:t>de moindre coût</w:t>
      </w:r>
      <w:r w:rsidR="00A21182" w:rsidRPr="00A67F27">
        <w:rPr>
          <w:rFonts w:asciiTheme="majorBidi" w:hAnsiTheme="majorBidi" w:cstheme="majorBidi"/>
          <w:spacing w:val="-2"/>
        </w:rPr>
        <w:t xml:space="preserve"> ou toute offre que vous avez pu recevoir</w:t>
      </w:r>
      <w:r w:rsidR="009B2302" w:rsidRPr="00A67F27">
        <w:rPr>
          <w:rFonts w:asciiTheme="majorBidi" w:hAnsiTheme="majorBidi" w:cstheme="majorBidi"/>
          <w:spacing w:val="-2"/>
        </w:rPr>
        <w:t> ;</w:t>
      </w:r>
    </w:p>
    <w:p w14:paraId="0D697E79" w14:textId="7D5FE6AD" w:rsidR="00412BB8" w:rsidRPr="00A67F27" w:rsidRDefault="004B46DD" w:rsidP="006F7844">
      <w:pPr>
        <w:numPr>
          <w:ilvl w:val="0"/>
          <w:numId w:val="12"/>
        </w:numPr>
        <w:tabs>
          <w:tab w:val="right" w:pos="9000"/>
        </w:tabs>
        <w:ind w:left="426" w:hanging="408"/>
        <w:rPr>
          <w:rFonts w:asciiTheme="majorBidi" w:hAnsiTheme="majorBidi" w:cstheme="majorBidi"/>
          <w:spacing w:val="-2"/>
        </w:rPr>
      </w:pPr>
      <w:r w:rsidRPr="00A67F27">
        <w:rPr>
          <w:rFonts w:asciiTheme="majorBidi" w:hAnsiTheme="majorBidi" w:cstheme="majorBidi"/>
          <w:spacing w:val="-2"/>
        </w:rPr>
        <w:tab/>
      </w:r>
      <w:r w:rsidR="00A40880" w:rsidRPr="00A67F27">
        <w:rPr>
          <w:rFonts w:asciiTheme="majorBidi" w:hAnsiTheme="majorBidi" w:cstheme="majorBidi"/>
          <w:spacing w:val="-2"/>
        </w:rPr>
        <w:t>Nous</w:t>
      </w:r>
      <w:r w:rsidR="00A21182" w:rsidRPr="00A67F27">
        <w:rPr>
          <w:rFonts w:asciiTheme="majorBidi" w:hAnsiTheme="majorBidi" w:cstheme="majorBidi"/>
          <w:spacing w:val="-2"/>
        </w:rPr>
        <w:t xml:space="preserve"> certifions que nous avons adopté toute mesure appropriée afin d’assurer qu’aucune personne agissant en notre nom</w:t>
      </w:r>
      <w:r w:rsidR="00D9428E" w:rsidRPr="00A67F27">
        <w:rPr>
          <w:rFonts w:asciiTheme="majorBidi" w:hAnsiTheme="majorBidi" w:cstheme="majorBidi"/>
          <w:spacing w:val="-2"/>
        </w:rPr>
        <w:t>,</w:t>
      </w:r>
      <w:r w:rsidR="00A21182" w:rsidRPr="00A67F27">
        <w:rPr>
          <w:rFonts w:asciiTheme="majorBidi" w:hAnsiTheme="majorBidi" w:cstheme="majorBidi"/>
          <w:spacing w:val="-2"/>
        </w:rPr>
        <w:t xml:space="preserve"> ou pour notre compte</w:t>
      </w:r>
      <w:r w:rsidR="00D9428E" w:rsidRPr="00A67F27">
        <w:rPr>
          <w:rFonts w:asciiTheme="majorBidi" w:hAnsiTheme="majorBidi" w:cstheme="majorBidi"/>
          <w:spacing w:val="-2"/>
        </w:rPr>
        <w:t>,</w:t>
      </w:r>
      <w:r w:rsidR="00A21182" w:rsidRPr="00A67F27">
        <w:rPr>
          <w:rFonts w:asciiTheme="majorBidi" w:hAnsiTheme="majorBidi" w:cstheme="majorBidi"/>
          <w:spacing w:val="-2"/>
        </w:rPr>
        <w:t xml:space="preserve"> ne puisse se livrer à </w:t>
      </w:r>
      <w:r w:rsidR="00D9428E" w:rsidRPr="00A67F27">
        <w:rPr>
          <w:rFonts w:asciiTheme="majorBidi" w:hAnsiTheme="majorBidi" w:cstheme="majorBidi"/>
          <w:spacing w:val="-2"/>
        </w:rPr>
        <w:t>un quelconque acte de fraude et corruption.</w:t>
      </w:r>
      <w:r w:rsidR="00A21182" w:rsidRPr="00A67F27">
        <w:rPr>
          <w:rFonts w:asciiTheme="majorBidi" w:hAnsiTheme="majorBidi" w:cstheme="majorBidi"/>
          <w:spacing w:val="-2"/>
        </w:rPr>
        <w:t xml:space="preserve"> </w:t>
      </w:r>
    </w:p>
    <w:p w14:paraId="2325AC12" w14:textId="77777777" w:rsidR="00C55C64" w:rsidRPr="00A67F27" w:rsidRDefault="00C55C64" w:rsidP="006F7844">
      <w:pPr>
        <w:tabs>
          <w:tab w:val="right" w:pos="4140"/>
          <w:tab w:val="left" w:pos="4500"/>
          <w:tab w:val="right" w:pos="9000"/>
        </w:tabs>
        <w:rPr>
          <w:rFonts w:asciiTheme="majorBidi" w:hAnsiTheme="majorBidi" w:cstheme="majorBidi"/>
        </w:rPr>
      </w:pPr>
      <w:r w:rsidRPr="00A67F27">
        <w:rPr>
          <w:rFonts w:asciiTheme="majorBidi" w:hAnsiTheme="majorBidi" w:cstheme="majorBidi"/>
        </w:rPr>
        <w:t xml:space="preserve">Nom du Soumissionnaire* </w:t>
      </w:r>
      <w:r w:rsidRPr="00A67F27">
        <w:rPr>
          <w:rFonts w:asciiTheme="majorBidi" w:hAnsiTheme="majorBidi" w:cstheme="majorBidi"/>
          <w:b/>
          <w:i/>
          <w:iCs/>
          <w:u w:val="single"/>
        </w:rPr>
        <w:t>[insérer le nom complet du Soumissionnaire]</w:t>
      </w:r>
    </w:p>
    <w:p w14:paraId="7746E648" w14:textId="77777777" w:rsidR="00C55C64" w:rsidRPr="00A67F27" w:rsidRDefault="00C55C64" w:rsidP="006F7844">
      <w:pPr>
        <w:tabs>
          <w:tab w:val="right" w:pos="4140"/>
          <w:tab w:val="left" w:pos="4500"/>
          <w:tab w:val="right" w:pos="9000"/>
        </w:tabs>
        <w:ind w:left="0" w:firstLine="0"/>
        <w:rPr>
          <w:rFonts w:asciiTheme="majorBidi" w:hAnsiTheme="majorBidi" w:cstheme="majorBidi"/>
          <w:b/>
          <w:u w:val="single"/>
        </w:rPr>
      </w:pPr>
      <w:r w:rsidRPr="00A67F27">
        <w:rPr>
          <w:rFonts w:asciiTheme="majorBidi" w:hAnsiTheme="majorBidi" w:cstheme="majorBidi"/>
        </w:rPr>
        <w:t xml:space="preserve">Nom </w:t>
      </w:r>
      <w:r w:rsidRPr="00A67F27">
        <w:rPr>
          <w:rFonts w:asciiTheme="majorBidi" w:hAnsiTheme="majorBidi" w:cstheme="majorBidi"/>
          <w:bCs/>
          <w:iCs/>
        </w:rPr>
        <w:t>de la personne signataire de l’offre**</w:t>
      </w:r>
      <w:r w:rsidRPr="00A67F27">
        <w:rPr>
          <w:rFonts w:asciiTheme="majorBidi" w:hAnsiTheme="majorBidi" w:cstheme="majorBidi"/>
          <w:bCs/>
          <w:i/>
          <w:iCs/>
        </w:rPr>
        <w:t xml:space="preserve"> </w:t>
      </w:r>
      <w:r w:rsidRPr="00A67F27">
        <w:rPr>
          <w:rFonts w:asciiTheme="majorBidi" w:hAnsiTheme="majorBidi" w:cstheme="majorBidi"/>
          <w:b/>
          <w:i/>
          <w:iCs/>
          <w:u w:val="single"/>
        </w:rPr>
        <w:t>[insérer le titre/capacité complet de la personne signataire de l’offre]</w:t>
      </w:r>
    </w:p>
    <w:p w14:paraId="75FD5DC0" w14:textId="77777777" w:rsidR="00C55C64" w:rsidRPr="00A67F27" w:rsidRDefault="00C55C64" w:rsidP="006F7844">
      <w:pPr>
        <w:tabs>
          <w:tab w:val="right" w:pos="4140"/>
          <w:tab w:val="left" w:pos="4500"/>
          <w:tab w:val="right" w:pos="9000"/>
        </w:tabs>
        <w:rPr>
          <w:rFonts w:asciiTheme="majorBidi" w:hAnsiTheme="majorBidi" w:cstheme="majorBidi"/>
          <w:b/>
        </w:rPr>
      </w:pPr>
      <w:r w:rsidRPr="00A67F27">
        <w:rPr>
          <w:rFonts w:asciiTheme="majorBidi" w:hAnsiTheme="majorBidi" w:cstheme="majorBidi"/>
        </w:rPr>
        <w:t xml:space="preserve">En tant que </w:t>
      </w:r>
      <w:r w:rsidRPr="00A67F27">
        <w:rPr>
          <w:rFonts w:asciiTheme="majorBidi" w:hAnsiTheme="majorBidi" w:cstheme="majorBidi"/>
          <w:b/>
          <w:i/>
          <w:iCs/>
        </w:rPr>
        <w:t>[indiquer la capacité du signataire]</w:t>
      </w:r>
    </w:p>
    <w:p w14:paraId="140289DC" w14:textId="77777777" w:rsidR="00C55C64" w:rsidRPr="00A67F27" w:rsidRDefault="00C55C64" w:rsidP="006F7844">
      <w:pPr>
        <w:tabs>
          <w:tab w:val="right" w:pos="4140"/>
          <w:tab w:val="left" w:pos="4500"/>
          <w:tab w:val="right" w:pos="9000"/>
        </w:tabs>
        <w:rPr>
          <w:rFonts w:asciiTheme="majorBidi" w:hAnsiTheme="majorBidi" w:cstheme="majorBidi"/>
          <w:b/>
          <w:u w:val="single"/>
        </w:rPr>
      </w:pPr>
      <w:r w:rsidRPr="00A67F27">
        <w:rPr>
          <w:rFonts w:asciiTheme="majorBidi" w:hAnsiTheme="majorBidi" w:cstheme="majorBidi"/>
        </w:rPr>
        <w:t xml:space="preserve">Signature </w:t>
      </w:r>
      <w:r w:rsidRPr="00A67F27">
        <w:rPr>
          <w:rFonts w:asciiTheme="majorBidi" w:hAnsiTheme="majorBidi" w:cstheme="majorBidi"/>
          <w:b/>
          <w:i/>
          <w:iCs/>
        </w:rPr>
        <w:t>[insérer la signature]</w:t>
      </w:r>
    </w:p>
    <w:p w14:paraId="0B05C279" w14:textId="77777777" w:rsidR="00C55C64" w:rsidRPr="00A67F27" w:rsidRDefault="00C55C64" w:rsidP="00C55C64">
      <w:pPr>
        <w:tabs>
          <w:tab w:val="right" w:pos="9000"/>
        </w:tabs>
        <w:spacing w:after="120"/>
        <w:rPr>
          <w:rFonts w:asciiTheme="majorBidi" w:hAnsiTheme="majorBidi" w:cstheme="majorBidi"/>
          <w:bCs/>
          <w:i/>
          <w:iCs/>
        </w:rPr>
      </w:pPr>
      <w:r w:rsidRPr="00A67F27">
        <w:rPr>
          <w:rFonts w:asciiTheme="majorBidi" w:hAnsiTheme="majorBidi" w:cstheme="majorBidi"/>
        </w:rPr>
        <w:t xml:space="preserve">Dûment habilité à signer l’offre pour et au nom de </w:t>
      </w:r>
      <w:r w:rsidRPr="00A67F27">
        <w:rPr>
          <w:rFonts w:asciiTheme="majorBidi" w:hAnsiTheme="majorBidi" w:cstheme="majorBidi"/>
          <w:b/>
          <w:i/>
          <w:iCs/>
          <w:u w:val="single"/>
        </w:rPr>
        <w:t>[insérer le nom complet du Soumissionnaire]</w:t>
      </w:r>
    </w:p>
    <w:p w14:paraId="77024B02" w14:textId="77777777" w:rsidR="00C55C64" w:rsidRPr="00A67F27" w:rsidRDefault="00C55C64" w:rsidP="00C55C64">
      <w:pPr>
        <w:tabs>
          <w:tab w:val="right" w:pos="9000"/>
        </w:tabs>
        <w:spacing w:after="120"/>
        <w:rPr>
          <w:rFonts w:asciiTheme="majorBidi" w:hAnsiTheme="majorBidi" w:cstheme="majorBidi"/>
        </w:rPr>
      </w:pPr>
    </w:p>
    <w:p w14:paraId="7FE0768C" w14:textId="77777777" w:rsidR="00C55C64" w:rsidRPr="00A67F27" w:rsidRDefault="00C55C64" w:rsidP="00C55C64">
      <w:pPr>
        <w:tabs>
          <w:tab w:val="right" w:pos="9000"/>
        </w:tabs>
        <w:rPr>
          <w:rFonts w:asciiTheme="majorBidi" w:hAnsiTheme="majorBidi" w:cstheme="majorBidi"/>
          <w:i/>
          <w:iCs/>
        </w:rPr>
      </w:pPr>
      <w:r w:rsidRPr="00A67F27">
        <w:rPr>
          <w:rFonts w:asciiTheme="majorBidi" w:hAnsiTheme="majorBidi" w:cstheme="majorBidi"/>
        </w:rPr>
        <w:t xml:space="preserve">En date du ________________________________ jour de </w:t>
      </w:r>
      <w:r w:rsidRPr="00A67F27">
        <w:rPr>
          <w:rFonts w:asciiTheme="majorBidi" w:hAnsiTheme="majorBidi" w:cstheme="majorBidi"/>
          <w:b/>
          <w:bCs/>
          <w:i/>
          <w:iCs/>
        </w:rPr>
        <w:t>[Insérer la date de signature]</w:t>
      </w:r>
    </w:p>
    <w:p w14:paraId="6130E4AD" w14:textId="77777777" w:rsidR="00C55C64" w:rsidRPr="00A67F27" w:rsidRDefault="00C55C64" w:rsidP="00C55C64">
      <w:pPr>
        <w:tabs>
          <w:tab w:val="right" w:pos="9000"/>
        </w:tabs>
        <w:rPr>
          <w:rFonts w:asciiTheme="majorBidi" w:hAnsiTheme="majorBidi" w:cstheme="majorBidi"/>
        </w:rPr>
      </w:pPr>
    </w:p>
    <w:p w14:paraId="2BC19897" w14:textId="77777777" w:rsidR="00C55C64" w:rsidRPr="00A67F27" w:rsidRDefault="00C55C64" w:rsidP="006F7844">
      <w:pPr>
        <w:tabs>
          <w:tab w:val="right" w:pos="9000"/>
        </w:tabs>
        <w:spacing w:after="120"/>
        <w:ind w:left="0" w:firstLine="0"/>
        <w:rPr>
          <w:rFonts w:asciiTheme="majorBidi" w:hAnsiTheme="majorBidi" w:cstheme="majorBidi"/>
        </w:rPr>
      </w:pPr>
      <w:r w:rsidRPr="00A67F27">
        <w:rPr>
          <w:rFonts w:asciiTheme="majorBidi" w:hAnsiTheme="majorBidi" w:cstheme="majorBidi"/>
        </w:rPr>
        <w:t>*Dans le cas d’une offre présentée par un groupement d’entreprises, indiquer le nom du groupement ou de ses partenaires, en tant que Soumissionnaire.</w:t>
      </w:r>
    </w:p>
    <w:p w14:paraId="3D07A73B" w14:textId="77777777" w:rsidR="00C55C64" w:rsidRPr="00A67F27" w:rsidRDefault="00C55C64" w:rsidP="006F7844">
      <w:pPr>
        <w:tabs>
          <w:tab w:val="right" w:pos="9000"/>
        </w:tabs>
        <w:ind w:left="0" w:firstLine="0"/>
        <w:rPr>
          <w:rFonts w:asciiTheme="majorBidi" w:hAnsiTheme="majorBidi" w:cstheme="majorBidi"/>
        </w:rPr>
      </w:pPr>
      <w:r w:rsidRPr="00A67F27">
        <w:rPr>
          <w:rFonts w:asciiTheme="majorBidi" w:hAnsiTheme="majorBidi" w:cstheme="majorBidi"/>
        </w:rPr>
        <w:t>**La personne signataire doit avoir un pouvoir donné par le Soumissionnaire, à joindre à l’offre.</w:t>
      </w:r>
    </w:p>
    <w:p w14:paraId="23849275" w14:textId="77777777" w:rsidR="000A450A" w:rsidRPr="00A67F27" w:rsidRDefault="000A450A">
      <w:pPr>
        <w:tabs>
          <w:tab w:val="right" w:pos="9000"/>
        </w:tabs>
        <w:rPr>
          <w:rFonts w:asciiTheme="majorBidi" w:hAnsiTheme="majorBidi" w:cstheme="majorBidi"/>
        </w:rPr>
      </w:pPr>
      <w:bookmarkStart w:id="458" w:name="_Toc438013346"/>
    </w:p>
    <w:p w14:paraId="23A81628" w14:textId="77777777" w:rsidR="000A450A" w:rsidRPr="00A67F27" w:rsidRDefault="000A450A">
      <w:pPr>
        <w:tabs>
          <w:tab w:val="right" w:pos="9000"/>
        </w:tabs>
        <w:rPr>
          <w:rFonts w:asciiTheme="majorBidi" w:hAnsiTheme="majorBidi" w:cstheme="majorBidi"/>
        </w:rPr>
      </w:pPr>
    </w:p>
    <w:bookmarkEnd w:id="458"/>
    <w:p w14:paraId="63BF8A5F" w14:textId="0FF8F105" w:rsidR="005001E0" w:rsidRPr="00A67F27" w:rsidRDefault="000A450A" w:rsidP="00E223D0">
      <w:pPr>
        <w:pStyle w:val="Style8"/>
        <w:rPr>
          <w:rFonts w:asciiTheme="majorBidi" w:hAnsiTheme="majorBidi" w:cstheme="majorBidi"/>
        </w:rPr>
      </w:pPr>
      <w:r w:rsidRPr="00A67F27">
        <w:rPr>
          <w:rFonts w:asciiTheme="majorBidi" w:hAnsiTheme="majorBidi" w:cstheme="majorBidi"/>
        </w:rPr>
        <w:br w:type="page"/>
      </w:r>
    </w:p>
    <w:p w14:paraId="161663E1" w14:textId="1A7DB913" w:rsidR="0036021B" w:rsidRPr="00A67F27" w:rsidRDefault="0036021B" w:rsidP="0036021B">
      <w:pPr>
        <w:jc w:val="center"/>
        <w:rPr>
          <w:b/>
          <w:sz w:val="28"/>
          <w:szCs w:val="28"/>
        </w:rPr>
      </w:pPr>
      <w:bookmarkStart w:id="459" w:name="_Toc108950333"/>
      <w:bookmarkStart w:id="460" w:name="_Toc138144061"/>
      <w:r w:rsidRPr="00A67F27">
        <w:rPr>
          <w:b/>
          <w:sz w:val="28"/>
          <w:szCs w:val="28"/>
        </w:rPr>
        <w:lastRenderedPageBreak/>
        <w:t>Bordereau des prix et</w:t>
      </w:r>
    </w:p>
    <w:p w14:paraId="74027073" w14:textId="5FC2D32F" w:rsidR="0036021B" w:rsidRPr="00A67F27" w:rsidRDefault="0036021B" w:rsidP="0036021B">
      <w:pPr>
        <w:jc w:val="center"/>
        <w:rPr>
          <w:b/>
          <w:sz w:val="28"/>
          <w:szCs w:val="28"/>
        </w:rPr>
      </w:pPr>
      <w:r w:rsidRPr="00A67F27">
        <w:rPr>
          <w:b/>
          <w:sz w:val="28"/>
          <w:szCs w:val="28"/>
        </w:rPr>
        <w:t>Détail Quantitatif Estimatif</w:t>
      </w:r>
    </w:p>
    <w:p w14:paraId="1CA0D115" w14:textId="77777777" w:rsidR="0036021B" w:rsidRPr="00A67F27" w:rsidRDefault="0036021B" w:rsidP="0036021B">
      <w:pPr>
        <w:pStyle w:val="SectionIVHeader-2"/>
      </w:pPr>
      <w:bookmarkStart w:id="461" w:name="_Toc327863860"/>
      <w:r w:rsidRPr="00A67F27">
        <w:t>A.</w:t>
      </w:r>
      <w:r w:rsidRPr="00A67F27">
        <w:tab/>
        <w:t>Préambule</w:t>
      </w:r>
      <w:bookmarkEnd w:id="461"/>
    </w:p>
    <w:p w14:paraId="6081DC48" w14:textId="77777777" w:rsidR="0036021B" w:rsidRPr="00A67F27" w:rsidRDefault="0036021B" w:rsidP="0036021B">
      <w:pPr>
        <w:numPr>
          <w:ilvl w:val="0"/>
          <w:numId w:val="13"/>
        </w:numPr>
        <w:spacing w:after="240"/>
        <w:rPr>
          <w:szCs w:val="24"/>
        </w:rPr>
      </w:pPr>
      <w:r w:rsidRPr="00A67F27">
        <w:rPr>
          <w:szCs w:val="24"/>
        </w:rPr>
        <w:t>Le Bordereau des prix doit être pris en compte par le Soumissionnaire conjointement avec les Instructions aux soumissionnaires, les Cahiers des Clauses administratives générales et particulières, les Spécifications techniques et les plans.</w:t>
      </w:r>
    </w:p>
    <w:p w14:paraId="70ECA533" w14:textId="08A32219" w:rsidR="0036021B" w:rsidRPr="00A67F27" w:rsidRDefault="0036021B" w:rsidP="0036021B">
      <w:pPr>
        <w:numPr>
          <w:ilvl w:val="0"/>
          <w:numId w:val="13"/>
        </w:numPr>
        <w:spacing w:after="240"/>
        <w:rPr>
          <w:szCs w:val="24"/>
        </w:rPr>
      </w:pPr>
      <w:r w:rsidRPr="00A67F27">
        <w:rPr>
          <w:szCs w:val="24"/>
        </w:rPr>
        <w:t xml:space="preserve">Les quantités spécifiées dans le Détail quantitatif et estimatif sont des quantités estimées et provisoires.  Elles fourniront une base commune pour l’évaluation des offres et l’attribution du marché.  La base des règlements sera les quantités réelles de travaux commandés et exécutés, telles qu’elles seront mesurées par l’Entrepreneur et vérifiées par le Maître d’Œuvre, et valorisées aux taux et prix spécifiés au Bordereau </w:t>
      </w:r>
      <w:r w:rsidR="002F2A06" w:rsidRPr="00A67F27">
        <w:rPr>
          <w:szCs w:val="24"/>
        </w:rPr>
        <w:t>des prix chiffrés</w:t>
      </w:r>
      <w:r w:rsidRPr="00A67F27">
        <w:rPr>
          <w:szCs w:val="24"/>
        </w:rPr>
        <w:t xml:space="preserve"> présenté par l’Entrepreneur dans son offre.  Dans les cas où cette valorisation n’est pas applicable, ou dans tout autre cas, le règlement se fera aux taux et prix que le Maître d’Œuvre pourra fixer dans le cadre des termes du Marché.</w:t>
      </w:r>
    </w:p>
    <w:p w14:paraId="418A76B6" w14:textId="77777777" w:rsidR="0036021B" w:rsidRPr="00A67F27" w:rsidRDefault="0036021B" w:rsidP="0036021B">
      <w:pPr>
        <w:numPr>
          <w:ilvl w:val="0"/>
          <w:numId w:val="13"/>
        </w:numPr>
        <w:spacing w:after="240"/>
        <w:rPr>
          <w:szCs w:val="24"/>
        </w:rPr>
      </w:pPr>
      <w:r w:rsidRPr="00A67F27">
        <w:rPr>
          <w:szCs w:val="24"/>
        </w:rPr>
        <w:t>Sauf dispositions contraires spécifiées dans le Marché, les prix fournis par l’Entrepreneur dans le Bordereau des prix chiffré inclus dans son offre devront comprendre toutes les installations de construction, la main-d’œuvre, la supervision, les matériaux, le montage, l’entretien, les assurances, les frais généraux et profits, les impôts, droits et taxes, ainsi que la couverture des risques généraux, des engagements et autres obligations spécifiées explicitement ou implicitement dans le Marché.</w:t>
      </w:r>
    </w:p>
    <w:p w14:paraId="77F8EE38" w14:textId="77777777" w:rsidR="0036021B" w:rsidRPr="00A67F27" w:rsidRDefault="0036021B" w:rsidP="0036021B">
      <w:pPr>
        <w:numPr>
          <w:ilvl w:val="0"/>
          <w:numId w:val="13"/>
        </w:numPr>
        <w:spacing w:after="240"/>
        <w:rPr>
          <w:szCs w:val="24"/>
        </w:rPr>
      </w:pPr>
      <w:r w:rsidRPr="00A67F27">
        <w:rPr>
          <w:szCs w:val="24"/>
        </w:rPr>
        <w:t>Un prix devra être indiqué pour chaque poste dans le Détail quantitatif et estimatif chiffré, que les quantités soient spécifiées ou non.  Le coût des postes pour lesquels l’Entrepreneur n’a pas indiqué de prix sera considéré comme couvert par d’autres prix indiqués dans le Détail quantitatif et estimatif chiffré.</w:t>
      </w:r>
    </w:p>
    <w:p w14:paraId="23D7CCD6" w14:textId="77777777" w:rsidR="0036021B" w:rsidRPr="00A67F27" w:rsidRDefault="0036021B" w:rsidP="0036021B">
      <w:pPr>
        <w:numPr>
          <w:ilvl w:val="0"/>
          <w:numId w:val="13"/>
        </w:numPr>
        <w:spacing w:after="240"/>
        <w:rPr>
          <w:szCs w:val="24"/>
        </w:rPr>
      </w:pPr>
      <w:r w:rsidRPr="00A67F27">
        <w:rPr>
          <w:szCs w:val="24"/>
        </w:rPr>
        <w:t>Le coût total en accord avec les dispositions du Marché sera inclus dans les postes spécifiés dans le Bordereau des prix et le Détail quantitatif et estimatif chiffrés.  Lorsqu’un poste n’est pas spécifié, le coût correspondant sera considéré comme distribué parmi les prix mentionnés pour des postes correspondants des travaux.</w:t>
      </w:r>
    </w:p>
    <w:p w14:paraId="28D9F633" w14:textId="77777777" w:rsidR="0036021B" w:rsidRPr="00A67F27" w:rsidRDefault="0036021B" w:rsidP="0036021B">
      <w:pPr>
        <w:numPr>
          <w:ilvl w:val="0"/>
          <w:numId w:val="13"/>
        </w:numPr>
        <w:spacing w:after="240"/>
        <w:rPr>
          <w:szCs w:val="24"/>
        </w:rPr>
      </w:pPr>
      <w:r w:rsidRPr="00A67F27">
        <w:rPr>
          <w:szCs w:val="24"/>
        </w:rPr>
        <w:t xml:space="preserve">Les indications générales et les descriptions des travaux et matériaux ne sont pas nécessairement </w:t>
      </w:r>
      <w:proofErr w:type="gramStart"/>
      <w:r w:rsidRPr="00A67F27">
        <w:rPr>
          <w:szCs w:val="24"/>
        </w:rPr>
        <w:t>reprises</w:t>
      </w:r>
      <w:proofErr w:type="gramEnd"/>
      <w:r w:rsidRPr="00A67F27">
        <w:rPr>
          <w:szCs w:val="24"/>
        </w:rPr>
        <w:t xml:space="preserve"> ou résumées dans le Bordereau des prix et le Détail quantitatif et estimatif inclus dans le Dossier d’Appel d’Offres.  Les références, explicites ou implicites, aux sections appropriées du Dossier doivent être considérées avant de chiffrer les prix pour chaque poste du Bordereau des prix et du Détail quantitatif et estimatif chiffrés soumis dans l’offre.</w:t>
      </w:r>
    </w:p>
    <w:p w14:paraId="4CC6CECE" w14:textId="77777777" w:rsidR="0036021B" w:rsidRPr="00A67F27" w:rsidRDefault="0036021B" w:rsidP="0036021B">
      <w:pPr>
        <w:numPr>
          <w:ilvl w:val="0"/>
          <w:numId w:val="13"/>
        </w:numPr>
        <w:spacing w:after="240"/>
        <w:rPr>
          <w:szCs w:val="24"/>
        </w:rPr>
      </w:pPr>
      <w:r w:rsidRPr="00A67F27">
        <w:rPr>
          <w:szCs w:val="24"/>
        </w:rPr>
        <w:t xml:space="preserve">Les matériaux définis comme “roches” sont ceux qui, au jugement du Maître d’Œuvre, nécessitent l’usage d’explosifs, de pics ou marteaux pneumatiques, ou l’utilisation de foreuses à air comprimé pour leur extraction et qui ne peuvent être </w:t>
      </w:r>
      <w:r w:rsidRPr="00A67F27">
        <w:rPr>
          <w:szCs w:val="24"/>
        </w:rPr>
        <w:lastRenderedPageBreak/>
        <w:t>enlevés/fragmentés</w:t>
      </w:r>
      <w:r w:rsidRPr="00A67F27">
        <w:rPr>
          <w:b/>
          <w:szCs w:val="24"/>
        </w:rPr>
        <w:t xml:space="preserve"> </w:t>
      </w:r>
      <w:r w:rsidRPr="00A67F27">
        <w:rPr>
          <w:szCs w:val="24"/>
        </w:rPr>
        <w:t>qu’avec un bulldozer d’au moins cent cinquante (150) chevaux au frein équipé d’un ripper à une dent.</w:t>
      </w:r>
    </w:p>
    <w:p w14:paraId="01F88B3B" w14:textId="77777777" w:rsidR="0036021B" w:rsidRPr="00A67F27" w:rsidRDefault="0036021B" w:rsidP="0036021B">
      <w:pPr>
        <w:numPr>
          <w:ilvl w:val="0"/>
          <w:numId w:val="13"/>
        </w:numPr>
        <w:spacing w:after="240"/>
        <w:rPr>
          <w:szCs w:val="24"/>
        </w:rPr>
      </w:pPr>
      <w:r w:rsidRPr="00A67F27">
        <w:rPr>
          <w:szCs w:val="24"/>
        </w:rPr>
        <w:t>Durant l’évaluation des offres, les erreurs arithmétiques éventuelles relevées dans le Bordereau des prix et le Détail quantitatif et estimatif seront corrigées suivant les dispositions de l’article 31 des Instructions aux soumissionnaires.</w:t>
      </w:r>
    </w:p>
    <w:p w14:paraId="4B175EEC" w14:textId="5BE1A814" w:rsidR="0071474E" w:rsidRPr="00A67F27" w:rsidRDefault="0036021B" w:rsidP="0071474E">
      <w:pPr>
        <w:numPr>
          <w:ilvl w:val="0"/>
          <w:numId w:val="13"/>
        </w:numPr>
        <w:spacing w:after="240"/>
        <w:rPr>
          <w:szCs w:val="24"/>
        </w:rPr>
      </w:pPr>
      <w:r w:rsidRPr="00A67F27">
        <w:rPr>
          <w:szCs w:val="24"/>
        </w:rPr>
        <w:t>La méthode de constatation des prestations exécutées en vue des règlements devra être en accord avec :</w:t>
      </w:r>
    </w:p>
    <w:p w14:paraId="0F9CF309" w14:textId="77777777" w:rsidR="0071474E" w:rsidRPr="00A67F27" w:rsidRDefault="0071474E" w:rsidP="0071474E">
      <w:pPr>
        <w:pStyle w:val="Paragraphedeliste"/>
        <w:spacing w:after="0"/>
        <w:ind w:firstLine="0"/>
        <w:rPr>
          <w:szCs w:val="24"/>
        </w:rPr>
      </w:pPr>
      <w:r w:rsidRPr="00A67F27">
        <w:rPr>
          <w:szCs w:val="24"/>
        </w:rPr>
        <w:t xml:space="preserve">Seuls les travaux permanents réceptionnés par la Mission de Contrôle sont évalués ; </w:t>
      </w:r>
    </w:p>
    <w:p w14:paraId="13246907" w14:textId="77777777" w:rsidR="0071474E" w:rsidRPr="00A67F27" w:rsidRDefault="0071474E" w:rsidP="0071474E">
      <w:pPr>
        <w:pStyle w:val="Paragraphedeliste"/>
        <w:spacing w:after="0"/>
        <w:ind w:firstLine="0"/>
        <w:rPr>
          <w:szCs w:val="24"/>
        </w:rPr>
      </w:pPr>
      <w:r w:rsidRPr="00A67F27">
        <w:rPr>
          <w:szCs w:val="24"/>
        </w:rPr>
        <w:t>Aucune somme ne sera prévue pour la perte de matériaux ou de volume durant le transport ou le compactage ;</w:t>
      </w:r>
    </w:p>
    <w:p w14:paraId="76DDF354" w14:textId="77777777" w:rsidR="0071474E" w:rsidRPr="00A67F27" w:rsidRDefault="0071474E" w:rsidP="0071474E">
      <w:pPr>
        <w:pStyle w:val="Paragraphedeliste"/>
        <w:spacing w:after="0"/>
        <w:ind w:firstLine="0"/>
        <w:rPr>
          <w:szCs w:val="24"/>
        </w:rPr>
      </w:pPr>
      <w:r w:rsidRPr="00A67F27">
        <w:rPr>
          <w:szCs w:val="24"/>
        </w:rPr>
        <w:t>Les unités de calcul utilisées sont celles du Système International (SI). Aucune autre ne sera utilisée pour l’évaluation, la fixation des prix, les détails des plans, etc. (Toute unité non mentionnée dans la documentation technique doit aussi être exprimée conformément aux termes du SI). Les abréviations s’interprètent de la manière suivante :</w:t>
      </w:r>
    </w:p>
    <w:p w14:paraId="3BCCC9CA" w14:textId="77777777" w:rsidR="0071474E" w:rsidRPr="00A67F27" w:rsidRDefault="0071474E" w:rsidP="0071474E">
      <w:pPr>
        <w:pStyle w:val="Paragraphedeliste"/>
        <w:spacing w:after="0"/>
        <w:ind w:firstLine="0"/>
        <w:rPr>
          <w:szCs w:val="24"/>
        </w:rPr>
      </w:pPr>
      <w:proofErr w:type="gramStart"/>
      <w:r w:rsidRPr="00A67F27">
        <w:rPr>
          <w:szCs w:val="24"/>
        </w:rPr>
        <w:t>mm</w:t>
      </w:r>
      <w:proofErr w:type="gramEnd"/>
      <w:r w:rsidRPr="00A67F27">
        <w:rPr>
          <w:szCs w:val="24"/>
        </w:rPr>
        <w:tab/>
        <w:t xml:space="preserve">signifie </w:t>
      </w:r>
      <w:r w:rsidRPr="00A67F27">
        <w:rPr>
          <w:szCs w:val="24"/>
        </w:rPr>
        <w:tab/>
        <w:t>millimètre</w:t>
      </w:r>
      <w:r w:rsidRPr="00A67F27">
        <w:rPr>
          <w:szCs w:val="24"/>
        </w:rPr>
        <w:br/>
        <w:t>m</w:t>
      </w:r>
      <w:r w:rsidRPr="00A67F27">
        <w:rPr>
          <w:szCs w:val="24"/>
        </w:rPr>
        <w:tab/>
        <w:t xml:space="preserve">signifie </w:t>
      </w:r>
      <w:r w:rsidRPr="00A67F27">
        <w:rPr>
          <w:szCs w:val="24"/>
        </w:rPr>
        <w:tab/>
        <w:t>mètre</w:t>
      </w:r>
    </w:p>
    <w:p w14:paraId="7AF9FC86" w14:textId="1E2ADFDB" w:rsidR="0071474E" w:rsidRPr="00A67F27" w:rsidRDefault="0071474E" w:rsidP="0071474E">
      <w:pPr>
        <w:pStyle w:val="Paragraphedeliste"/>
        <w:spacing w:after="240"/>
        <w:ind w:firstLine="0"/>
        <w:rPr>
          <w:szCs w:val="24"/>
        </w:rPr>
      </w:pPr>
      <w:r w:rsidRPr="00A67F27">
        <w:rPr>
          <w:szCs w:val="24"/>
        </w:rPr>
        <w:t>ml        signifie          mètre linéaire</w:t>
      </w:r>
      <w:r w:rsidRPr="00A67F27">
        <w:rPr>
          <w:szCs w:val="24"/>
        </w:rPr>
        <w:br/>
        <w:t>mm²</w:t>
      </w:r>
      <w:r w:rsidRPr="00A67F27">
        <w:rPr>
          <w:szCs w:val="24"/>
        </w:rPr>
        <w:tab/>
        <w:t xml:space="preserve">signifie </w:t>
      </w:r>
      <w:r w:rsidRPr="00A67F27">
        <w:rPr>
          <w:szCs w:val="24"/>
        </w:rPr>
        <w:tab/>
        <w:t>millimètre carré</w:t>
      </w:r>
      <w:r w:rsidRPr="00A67F27">
        <w:rPr>
          <w:szCs w:val="24"/>
        </w:rPr>
        <w:br/>
        <w:t>m²</w:t>
      </w:r>
      <w:r w:rsidRPr="00A67F27">
        <w:rPr>
          <w:szCs w:val="24"/>
        </w:rPr>
        <w:tab/>
        <w:t xml:space="preserve">signifie </w:t>
      </w:r>
      <w:r w:rsidRPr="00A67F27">
        <w:rPr>
          <w:szCs w:val="24"/>
        </w:rPr>
        <w:tab/>
        <w:t>mètre carré</w:t>
      </w:r>
      <w:r w:rsidRPr="00A67F27">
        <w:rPr>
          <w:szCs w:val="24"/>
        </w:rPr>
        <w:br/>
        <w:t>m³</w:t>
      </w:r>
      <w:r w:rsidRPr="00A67F27">
        <w:rPr>
          <w:szCs w:val="24"/>
        </w:rPr>
        <w:tab/>
        <w:t>signifie</w:t>
      </w:r>
      <w:r w:rsidRPr="00A67F27">
        <w:rPr>
          <w:szCs w:val="24"/>
        </w:rPr>
        <w:tab/>
        <w:t xml:space="preserve">            mètre cube</w:t>
      </w:r>
      <w:r w:rsidRPr="00A67F27">
        <w:rPr>
          <w:szCs w:val="24"/>
        </w:rPr>
        <w:br/>
        <w:t>kg</w:t>
      </w:r>
      <w:r w:rsidRPr="00A67F27">
        <w:rPr>
          <w:szCs w:val="24"/>
        </w:rPr>
        <w:tab/>
        <w:t xml:space="preserve">signifie </w:t>
      </w:r>
      <w:r w:rsidRPr="00A67F27">
        <w:rPr>
          <w:szCs w:val="24"/>
        </w:rPr>
        <w:tab/>
        <w:t>kilogramme</w:t>
      </w:r>
      <w:r w:rsidRPr="00A67F27">
        <w:rPr>
          <w:szCs w:val="24"/>
        </w:rPr>
        <w:br/>
        <w:t>T</w:t>
      </w:r>
      <w:r w:rsidRPr="00A67F27">
        <w:rPr>
          <w:szCs w:val="24"/>
        </w:rPr>
        <w:tab/>
        <w:t>signifie</w:t>
      </w:r>
      <w:r w:rsidRPr="00A67F27">
        <w:rPr>
          <w:szCs w:val="24"/>
        </w:rPr>
        <w:tab/>
        <w:t xml:space="preserve">            tonne (1000 kg</w:t>
      </w:r>
      <w:proofErr w:type="gramStart"/>
      <w:r w:rsidRPr="00A67F27">
        <w:rPr>
          <w:szCs w:val="24"/>
        </w:rPr>
        <w:t>)</w:t>
      </w:r>
      <w:proofErr w:type="gramEnd"/>
      <w:r w:rsidRPr="00A67F27">
        <w:rPr>
          <w:szCs w:val="24"/>
        </w:rPr>
        <w:br/>
        <w:t>U</w:t>
      </w:r>
      <w:r w:rsidRPr="00A67F27">
        <w:rPr>
          <w:szCs w:val="24"/>
        </w:rPr>
        <w:tab/>
        <w:t>signifie</w:t>
      </w:r>
      <w:r w:rsidRPr="00A67F27">
        <w:rPr>
          <w:szCs w:val="24"/>
        </w:rPr>
        <w:tab/>
        <w:t xml:space="preserve">            Unité</w:t>
      </w:r>
      <w:r w:rsidRPr="00A67F27">
        <w:rPr>
          <w:szCs w:val="24"/>
        </w:rPr>
        <w:br/>
        <w:t>FF.</w:t>
      </w:r>
      <w:r w:rsidRPr="00A67F27">
        <w:rPr>
          <w:szCs w:val="24"/>
        </w:rPr>
        <w:tab/>
      </w:r>
      <w:r w:rsidR="00A77936" w:rsidRPr="00A67F27">
        <w:rPr>
          <w:szCs w:val="24"/>
        </w:rPr>
        <w:t xml:space="preserve">Signifie </w:t>
      </w:r>
      <w:r w:rsidR="00A77936" w:rsidRPr="00A67F27">
        <w:rPr>
          <w:szCs w:val="24"/>
        </w:rPr>
        <w:tab/>
      </w:r>
      <w:r w:rsidRPr="00A67F27">
        <w:rPr>
          <w:szCs w:val="24"/>
        </w:rPr>
        <w:t>forfait</w:t>
      </w:r>
      <w:r w:rsidRPr="00A67F27">
        <w:rPr>
          <w:szCs w:val="24"/>
        </w:rPr>
        <w:br/>
        <w:t>km</w:t>
      </w:r>
      <w:r w:rsidRPr="00A67F27">
        <w:rPr>
          <w:szCs w:val="24"/>
        </w:rPr>
        <w:tab/>
        <w:t>signifie</w:t>
      </w:r>
      <w:r w:rsidRPr="00A67F27">
        <w:rPr>
          <w:szCs w:val="24"/>
        </w:rPr>
        <w:tab/>
        <w:t xml:space="preserve">           kilomètre</w:t>
      </w:r>
      <w:r w:rsidRPr="00A67F27">
        <w:rPr>
          <w:szCs w:val="24"/>
        </w:rPr>
        <w:br/>
        <w:t>%</w:t>
      </w:r>
      <w:r w:rsidRPr="00A67F27">
        <w:rPr>
          <w:szCs w:val="24"/>
        </w:rPr>
        <w:tab/>
      </w:r>
      <w:r w:rsidR="00A77936" w:rsidRPr="00A67F27">
        <w:rPr>
          <w:szCs w:val="24"/>
        </w:rPr>
        <w:t xml:space="preserve">signifie </w:t>
      </w:r>
      <w:r w:rsidR="00A77936" w:rsidRPr="00A67F27">
        <w:rPr>
          <w:szCs w:val="24"/>
        </w:rPr>
        <w:tab/>
      </w:r>
      <w:r w:rsidRPr="00A67F27">
        <w:rPr>
          <w:szCs w:val="24"/>
        </w:rPr>
        <w:t>pour cent</w:t>
      </w:r>
    </w:p>
    <w:p w14:paraId="66BE44BC" w14:textId="3CF047DA" w:rsidR="0036021B" w:rsidRPr="00A67F27" w:rsidRDefault="0036021B" w:rsidP="0036021B">
      <w:pPr>
        <w:spacing w:after="240"/>
        <w:ind w:left="144" w:firstLine="0"/>
        <w:rPr>
          <w:szCs w:val="24"/>
        </w:rPr>
      </w:pPr>
    </w:p>
    <w:p w14:paraId="11E27034" w14:textId="77777777" w:rsidR="002B7ED8" w:rsidRPr="00A67F27" w:rsidRDefault="002B7ED8" w:rsidP="0036021B">
      <w:pPr>
        <w:pStyle w:val="SectionIVHeader-2"/>
      </w:pPr>
      <w:bookmarkStart w:id="462" w:name="_Toc327863861"/>
    </w:p>
    <w:p w14:paraId="36F73E54" w14:textId="77777777" w:rsidR="002B7ED8" w:rsidRPr="00A67F27" w:rsidRDefault="002B7ED8" w:rsidP="0036021B">
      <w:pPr>
        <w:pStyle w:val="SectionIVHeader-2"/>
      </w:pPr>
    </w:p>
    <w:p w14:paraId="461EE246" w14:textId="77777777" w:rsidR="002B7ED8" w:rsidRPr="00A67F27" w:rsidRDefault="002B7ED8" w:rsidP="0036021B">
      <w:pPr>
        <w:pStyle w:val="SectionIVHeader-2"/>
      </w:pPr>
    </w:p>
    <w:p w14:paraId="29DB7564" w14:textId="77777777" w:rsidR="002B7ED8" w:rsidRPr="00A67F27" w:rsidRDefault="002B7ED8" w:rsidP="0036021B">
      <w:pPr>
        <w:pStyle w:val="SectionIVHeader-2"/>
      </w:pPr>
    </w:p>
    <w:p w14:paraId="63334EA0" w14:textId="77777777" w:rsidR="002B7ED8" w:rsidRPr="00A67F27" w:rsidRDefault="002B7ED8" w:rsidP="0036021B">
      <w:pPr>
        <w:pStyle w:val="SectionIVHeader-2"/>
      </w:pPr>
    </w:p>
    <w:p w14:paraId="425C2D09" w14:textId="77777777" w:rsidR="002B7ED8" w:rsidRPr="00A67F27" w:rsidRDefault="002B7ED8" w:rsidP="0036021B">
      <w:pPr>
        <w:pStyle w:val="SectionIVHeader-2"/>
      </w:pPr>
    </w:p>
    <w:p w14:paraId="65389519" w14:textId="77777777" w:rsidR="002B7ED8" w:rsidRPr="00A67F27" w:rsidRDefault="002B7ED8" w:rsidP="0036021B">
      <w:pPr>
        <w:pStyle w:val="SectionIVHeader-2"/>
      </w:pPr>
    </w:p>
    <w:p w14:paraId="46BCD053" w14:textId="77777777" w:rsidR="002B7ED8" w:rsidRPr="00A67F27" w:rsidRDefault="002B7ED8" w:rsidP="0036021B">
      <w:pPr>
        <w:pStyle w:val="SectionIVHeader-2"/>
      </w:pPr>
    </w:p>
    <w:p w14:paraId="5490DDBD" w14:textId="77777777" w:rsidR="002B7ED8" w:rsidRPr="00A67F27" w:rsidRDefault="002B7ED8" w:rsidP="0036021B">
      <w:pPr>
        <w:pStyle w:val="SectionIVHeader-2"/>
      </w:pPr>
    </w:p>
    <w:p w14:paraId="5497707A" w14:textId="77777777" w:rsidR="002B7ED8" w:rsidRPr="00A67F27" w:rsidRDefault="002B7ED8" w:rsidP="0036021B">
      <w:pPr>
        <w:pStyle w:val="SectionIVHeader-2"/>
      </w:pPr>
    </w:p>
    <w:p w14:paraId="50C2E9D6" w14:textId="77777777" w:rsidR="002B7ED8" w:rsidRPr="00A67F27" w:rsidRDefault="002B7ED8" w:rsidP="0036021B">
      <w:pPr>
        <w:pStyle w:val="SectionIVHeader-2"/>
      </w:pPr>
    </w:p>
    <w:p w14:paraId="609197B3" w14:textId="77777777" w:rsidR="002B7ED8" w:rsidRPr="00A67F27" w:rsidRDefault="002B7ED8" w:rsidP="0036021B">
      <w:pPr>
        <w:pStyle w:val="SectionIVHeader-2"/>
      </w:pPr>
    </w:p>
    <w:p w14:paraId="4C758984" w14:textId="77777777" w:rsidR="002B7ED8" w:rsidRPr="00A67F27" w:rsidRDefault="002B7ED8" w:rsidP="0036021B">
      <w:pPr>
        <w:pStyle w:val="SectionIVHeader-2"/>
      </w:pPr>
    </w:p>
    <w:p w14:paraId="54295E79" w14:textId="77777777" w:rsidR="002B7ED8" w:rsidRPr="00A67F27" w:rsidRDefault="002B7ED8" w:rsidP="0036021B">
      <w:pPr>
        <w:pStyle w:val="SectionIVHeader-2"/>
      </w:pPr>
    </w:p>
    <w:p w14:paraId="521A39C6" w14:textId="77777777" w:rsidR="002B7ED8" w:rsidRPr="00A67F27" w:rsidRDefault="002B7ED8" w:rsidP="0036021B">
      <w:pPr>
        <w:pStyle w:val="SectionIVHeader-2"/>
      </w:pPr>
    </w:p>
    <w:p w14:paraId="53273765" w14:textId="77777777" w:rsidR="002B7ED8" w:rsidRPr="00A67F27" w:rsidRDefault="002B7ED8" w:rsidP="0036021B">
      <w:pPr>
        <w:pStyle w:val="SectionIVHeader-2"/>
      </w:pPr>
    </w:p>
    <w:p w14:paraId="22850F0F" w14:textId="77777777" w:rsidR="002B7ED8" w:rsidRPr="00A67F27" w:rsidRDefault="002B7ED8" w:rsidP="0036021B">
      <w:pPr>
        <w:pStyle w:val="SectionIVHeader-2"/>
      </w:pPr>
    </w:p>
    <w:p w14:paraId="659F8578" w14:textId="77777777" w:rsidR="002B7ED8" w:rsidRPr="00A67F27" w:rsidRDefault="002B7ED8" w:rsidP="0036021B">
      <w:pPr>
        <w:pStyle w:val="SectionIVHeader-2"/>
      </w:pPr>
    </w:p>
    <w:p w14:paraId="33D03053" w14:textId="77777777" w:rsidR="002B7ED8" w:rsidRPr="00A67F27" w:rsidRDefault="002B7ED8" w:rsidP="0036021B">
      <w:pPr>
        <w:pStyle w:val="SectionIVHeader-2"/>
      </w:pPr>
    </w:p>
    <w:p w14:paraId="54DAB0ED" w14:textId="77777777" w:rsidR="002B7ED8" w:rsidRPr="00A67F27" w:rsidRDefault="002B7ED8" w:rsidP="0036021B">
      <w:pPr>
        <w:pStyle w:val="SectionIVHeader-2"/>
      </w:pPr>
    </w:p>
    <w:p w14:paraId="64C24697" w14:textId="77777777" w:rsidR="002B7ED8" w:rsidRPr="00C278BD" w:rsidRDefault="002B7ED8" w:rsidP="0036021B">
      <w:pPr>
        <w:pStyle w:val="SectionIVHeader-2"/>
      </w:pPr>
    </w:p>
    <w:p w14:paraId="0C1B0E89" w14:textId="77777777" w:rsidR="002B7ED8" w:rsidRPr="00C278BD" w:rsidRDefault="002B7ED8" w:rsidP="00F31983">
      <w:pPr>
        <w:pStyle w:val="SectionIVHeader-2"/>
      </w:pPr>
    </w:p>
    <w:p w14:paraId="2C5FDAA8" w14:textId="321DE9D1" w:rsidR="0036021B" w:rsidRPr="00C278BD" w:rsidRDefault="0036021B" w:rsidP="00F31983">
      <w:pPr>
        <w:pStyle w:val="SectionIVHeader-2"/>
        <w:rPr>
          <w:sz w:val="44"/>
          <w:szCs w:val="44"/>
        </w:rPr>
      </w:pPr>
      <w:r w:rsidRPr="00C278BD">
        <w:rPr>
          <w:sz w:val="44"/>
          <w:szCs w:val="44"/>
        </w:rPr>
        <w:t>B.</w:t>
      </w:r>
      <w:r w:rsidRPr="00C278BD">
        <w:rPr>
          <w:sz w:val="44"/>
          <w:szCs w:val="44"/>
        </w:rPr>
        <w:tab/>
      </w:r>
      <w:r w:rsidR="00A214D0" w:rsidRPr="00C278BD">
        <w:rPr>
          <w:sz w:val="44"/>
          <w:szCs w:val="44"/>
        </w:rPr>
        <w:t>Cadres</w:t>
      </w:r>
      <w:r w:rsidRPr="00C278BD">
        <w:rPr>
          <w:sz w:val="44"/>
          <w:szCs w:val="44"/>
        </w:rPr>
        <w:t xml:space="preserve"> du Bordereau des prix et Détail</w:t>
      </w:r>
      <w:r w:rsidR="00A214D0" w:rsidRPr="00C278BD">
        <w:rPr>
          <w:sz w:val="44"/>
          <w:szCs w:val="44"/>
        </w:rPr>
        <w:t>s</w:t>
      </w:r>
      <w:r w:rsidRPr="00C278BD">
        <w:rPr>
          <w:sz w:val="44"/>
          <w:szCs w:val="44"/>
        </w:rPr>
        <w:t xml:space="preserve"> quantitatif et estimatif</w:t>
      </w:r>
      <w:bookmarkEnd w:id="462"/>
    </w:p>
    <w:p w14:paraId="5DD122C5" w14:textId="77777777" w:rsidR="002B7ED8" w:rsidRPr="00C278BD" w:rsidRDefault="002B7ED8" w:rsidP="00175401">
      <w:pPr>
        <w:spacing w:after="240"/>
        <w:ind w:left="720" w:hanging="720"/>
        <w:rPr>
          <w:szCs w:val="24"/>
        </w:rPr>
      </w:pPr>
    </w:p>
    <w:p w14:paraId="3B2FCF23" w14:textId="77777777" w:rsidR="002B7ED8" w:rsidRPr="00A67F27" w:rsidRDefault="002B7ED8" w:rsidP="00175401">
      <w:pPr>
        <w:spacing w:after="240"/>
        <w:ind w:left="720" w:hanging="720"/>
        <w:rPr>
          <w:szCs w:val="24"/>
        </w:rPr>
      </w:pPr>
    </w:p>
    <w:p w14:paraId="342A36F3" w14:textId="77777777" w:rsidR="002B7ED8" w:rsidRPr="00A67F27" w:rsidRDefault="002B7ED8" w:rsidP="00175401">
      <w:pPr>
        <w:spacing w:after="240"/>
        <w:ind w:left="720" w:hanging="720"/>
        <w:rPr>
          <w:szCs w:val="24"/>
        </w:rPr>
      </w:pPr>
    </w:p>
    <w:p w14:paraId="528ADBD2" w14:textId="77777777" w:rsidR="002B7ED8" w:rsidRPr="00A67F27" w:rsidRDefault="002B7ED8" w:rsidP="00175401">
      <w:pPr>
        <w:spacing w:after="240"/>
        <w:ind w:left="720" w:hanging="720"/>
        <w:rPr>
          <w:szCs w:val="24"/>
        </w:rPr>
      </w:pPr>
    </w:p>
    <w:p w14:paraId="341FF56F" w14:textId="77777777" w:rsidR="002B7ED8" w:rsidRPr="00A67F27" w:rsidRDefault="002B7ED8" w:rsidP="00175401">
      <w:pPr>
        <w:spacing w:after="240"/>
        <w:ind w:left="720" w:hanging="720"/>
        <w:rPr>
          <w:szCs w:val="24"/>
        </w:rPr>
      </w:pPr>
    </w:p>
    <w:p w14:paraId="49177D9D" w14:textId="77777777" w:rsidR="002B7ED8" w:rsidRPr="00A67F27" w:rsidRDefault="002B7ED8" w:rsidP="00175401">
      <w:pPr>
        <w:spacing w:after="240"/>
        <w:ind w:left="720" w:hanging="720"/>
        <w:rPr>
          <w:szCs w:val="24"/>
        </w:rPr>
      </w:pPr>
    </w:p>
    <w:p w14:paraId="253AC528" w14:textId="77777777" w:rsidR="002B7ED8" w:rsidRPr="00A67F27" w:rsidRDefault="002B7ED8" w:rsidP="00175401">
      <w:pPr>
        <w:spacing w:after="240"/>
        <w:ind w:left="720" w:hanging="720"/>
        <w:rPr>
          <w:szCs w:val="24"/>
        </w:rPr>
      </w:pPr>
    </w:p>
    <w:p w14:paraId="05096508" w14:textId="77777777" w:rsidR="002B7ED8" w:rsidRPr="00A67F27" w:rsidRDefault="002B7ED8" w:rsidP="00175401">
      <w:pPr>
        <w:spacing w:after="240"/>
        <w:ind w:left="720" w:hanging="720"/>
        <w:rPr>
          <w:szCs w:val="24"/>
        </w:rPr>
      </w:pPr>
    </w:p>
    <w:p w14:paraId="54758D6A" w14:textId="77777777" w:rsidR="002B7ED8" w:rsidRPr="00A67F27" w:rsidRDefault="002B7ED8" w:rsidP="00175401">
      <w:pPr>
        <w:spacing w:after="240"/>
        <w:ind w:left="720" w:hanging="720"/>
        <w:rPr>
          <w:szCs w:val="24"/>
        </w:rPr>
      </w:pPr>
    </w:p>
    <w:p w14:paraId="3CBF0D79" w14:textId="77777777" w:rsidR="002B7ED8" w:rsidRPr="00A67F27" w:rsidRDefault="002B7ED8" w:rsidP="00175401">
      <w:pPr>
        <w:spacing w:after="240"/>
        <w:ind w:left="720" w:hanging="720"/>
        <w:rPr>
          <w:szCs w:val="24"/>
        </w:rPr>
      </w:pPr>
    </w:p>
    <w:p w14:paraId="27184F3D" w14:textId="33306234" w:rsidR="00B62D96" w:rsidRPr="008B7D77" w:rsidRDefault="00B62D96" w:rsidP="008B7D77">
      <w:pPr>
        <w:spacing w:after="0"/>
        <w:ind w:left="0" w:firstLine="0"/>
        <w:jc w:val="center"/>
        <w:rPr>
          <w:szCs w:val="24"/>
          <w:lang w:eastAsia="en-US"/>
        </w:rPr>
      </w:pPr>
    </w:p>
    <w:p w14:paraId="62342D92" w14:textId="427927FB" w:rsidR="00533B04" w:rsidRPr="008B7D77" w:rsidRDefault="00533B04" w:rsidP="008B7D77">
      <w:pPr>
        <w:spacing w:after="0"/>
        <w:ind w:left="0" w:firstLine="0"/>
        <w:jc w:val="center"/>
        <w:rPr>
          <w:szCs w:val="24"/>
          <w:lang w:eastAsia="en-US"/>
        </w:rPr>
      </w:pPr>
    </w:p>
    <w:p w14:paraId="3CFFA159" w14:textId="5A706002" w:rsidR="00533B04" w:rsidRPr="008B7D77" w:rsidRDefault="00533B04" w:rsidP="008B7D77">
      <w:pPr>
        <w:spacing w:after="0"/>
        <w:ind w:left="0" w:firstLine="0"/>
        <w:jc w:val="center"/>
        <w:rPr>
          <w:szCs w:val="24"/>
          <w:lang w:eastAsia="en-US"/>
        </w:rPr>
      </w:pPr>
    </w:p>
    <w:p w14:paraId="24201FD2" w14:textId="01709E35" w:rsidR="00533B04" w:rsidRPr="008B7D77" w:rsidRDefault="00533B04" w:rsidP="008B7D77">
      <w:pPr>
        <w:spacing w:after="0"/>
        <w:ind w:left="0" w:firstLine="0"/>
        <w:jc w:val="center"/>
        <w:rPr>
          <w:szCs w:val="24"/>
          <w:lang w:eastAsia="en-US"/>
        </w:rPr>
      </w:pPr>
    </w:p>
    <w:p w14:paraId="5871FB98" w14:textId="27DA4DF7" w:rsidR="00533B04" w:rsidRPr="008B7D77" w:rsidRDefault="00533B04" w:rsidP="008B7D77">
      <w:pPr>
        <w:spacing w:after="0"/>
        <w:ind w:left="0" w:firstLine="0"/>
        <w:jc w:val="center"/>
        <w:rPr>
          <w:szCs w:val="24"/>
          <w:lang w:eastAsia="en-US"/>
        </w:rPr>
      </w:pPr>
    </w:p>
    <w:p w14:paraId="7CEDD07F" w14:textId="32202143" w:rsidR="00533B04" w:rsidRPr="008B7D77" w:rsidRDefault="00533B04" w:rsidP="008B7D77">
      <w:pPr>
        <w:spacing w:after="0"/>
        <w:ind w:left="0" w:firstLine="0"/>
        <w:jc w:val="center"/>
        <w:rPr>
          <w:szCs w:val="24"/>
          <w:lang w:eastAsia="en-US"/>
        </w:rPr>
      </w:pPr>
    </w:p>
    <w:p w14:paraId="16944465" w14:textId="77777777" w:rsidR="00EE2003" w:rsidRPr="008B7D77" w:rsidRDefault="00EE2003" w:rsidP="005D6252">
      <w:pPr>
        <w:pStyle w:val="00SectionIVSubtitle"/>
        <w:rPr>
          <w:sz w:val="24"/>
          <w:lang w:val="fr-FR"/>
        </w:rPr>
      </w:pPr>
      <w:bookmarkStart w:id="463" w:name="_Toc333564284"/>
      <w:bookmarkStart w:id="464" w:name="_Toc473887066"/>
      <w:bookmarkStart w:id="465" w:name="_Toc488658183"/>
      <w:bookmarkStart w:id="466" w:name="_Toc108950335"/>
      <w:bookmarkEnd w:id="459"/>
      <w:bookmarkEnd w:id="460"/>
    </w:p>
    <w:p w14:paraId="2C6D0AA9" w14:textId="77777777" w:rsidR="00EE2003" w:rsidRPr="008B7D77" w:rsidRDefault="00EE2003" w:rsidP="005D6252">
      <w:pPr>
        <w:pStyle w:val="00SectionIVSubtitle"/>
        <w:rPr>
          <w:sz w:val="24"/>
          <w:lang w:val="fr-FR"/>
        </w:rPr>
      </w:pPr>
    </w:p>
    <w:p w14:paraId="13CD75B1" w14:textId="69B907FC" w:rsidR="000C4EAD" w:rsidRPr="00C278BD" w:rsidRDefault="00A874BA" w:rsidP="00F31983">
      <w:pPr>
        <w:pStyle w:val="00SectionIVSubtitle"/>
        <w:rPr>
          <w:lang w:val="fr-FR"/>
        </w:rPr>
      </w:pPr>
      <w:r w:rsidRPr="00977EF0">
        <w:rPr>
          <w:lang w:val="fr-FR"/>
        </w:rPr>
        <w:t>1</w:t>
      </w:r>
      <w:r w:rsidRPr="00C278BD">
        <w:rPr>
          <w:lang w:val="fr-FR"/>
        </w:rPr>
        <w:t>.  C</w:t>
      </w:r>
      <w:r w:rsidR="00533B04" w:rsidRPr="00C278BD">
        <w:rPr>
          <w:lang w:val="fr-FR"/>
        </w:rPr>
        <w:t>ADRE DU DEVIS QUANTITATIF ET ESTIMATIF</w:t>
      </w:r>
      <w:bookmarkEnd w:id="463"/>
      <w:bookmarkEnd w:id="464"/>
      <w:bookmarkEnd w:id="465"/>
    </w:p>
    <w:p w14:paraId="00A97002" w14:textId="77777777" w:rsidR="00533B04" w:rsidRPr="00C278BD" w:rsidRDefault="00533B04" w:rsidP="00F31983">
      <w:pPr>
        <w:rPr>
          <w:b/>
          <w:szCs w:val="24"/>
        </w:rPr>
      </w:pPr>
      <w:r w:rsidRPr="00C278BD">
        <w:br w:type="page"/>
      </w:r>
    </w:p>
    <w:p w14:paraId="290EDCD7" w14:textId="019B95AA" w:rsidR="006B66E4" w:rsidRPr="00ED3B37" w:rsidRDefault="006B66E4" w:rsidP="006B66E4">
      <w:pPr>
        <w:pStyle w:val="S1-Header2"/>
        <w:numPr>
          <w:ilvl w:val="0"/>
          <w:numId w:val="0"/>
        </w:numPr>
        <w:rPr>
          <w:lang w:val="fr-FR" w:eastAsia="fr-FR"/>
        </w:rPr>
      </w:pPr>
      <w:r w:rsidRPr="00ED3B37">
        <w:rPr>
          <w:lang w:val="fr-FR" w:eastAsia="fr-FR"/>
        </w:rPr>
        <w:lastRenderedPageBreak/>
        <w:t>Travaux d’</w:t>
      </w:r>
      <w:proofErr w:type="spellStart"/>
      <w:r w:rsidRPr="00ED3B37">
        <w:rPr>
          <w:lang w:val="fr-FR" w:eastAsia="fr-FR"/>
        </w:rPr>
        <w:t>amenagement</w:t>
      </w:r>
      <w:proofErr w:type="spellEnd"/>
      <w:r w:rsidRPr="00ED3B37">
        <w:rPr>
          <w:lang w:val="fr-FR" w:eastAsia="fr-FR"/>
        </w:rPr>
        <w:t xml:space="preserve"> hydro agricole du bas fond de </w:t>
      </w:r>
      <w:proofErr w:type="spellStart"/>
      <w:r w:rsidRPr="00ED3B37">
        <w:rPr>
          <w:lang w:val="fr-FR" w:eastAsia="fr-FR"/>
        </w:rPr>
        <w:t>Kissakoro</w:t>
      </w:r>
      <w:proofErr w:type="spellEnd"/>
      <w:r w:rsidRPr="00ED3B37">
        <w:rPr>
          <w:lang w:val="fr-FR" w:eastAsia="fr-FR"/>
        </w:rPr>
        <w:t xml:space="preserve"> (212 ha) et construction d’un magasin de stockage et de conservation d’échalote - commune de </w:t>
      </w:r>
      <w:proofErr w:type="spellStart"/>
      <w:r w:rsidRPr="00ED3B37">
        <w:rPr>
          <w:lang w:val="fr-FR" w:eastAsia="fr-FR"/>
        </w:rPr>
        <w:t>Benkadi</w:t>
      </w:r>
      <w:proofErr w:type="spellEnd"/>
      <w:r w:rsidRPr="00ED3B37">
        <w:rPr>
          <w:lang w:val="fr-FR" w:eastAsia="fr-FR"/>
        </w:rPr>
        <w:t xml:space="preserve"> - </w:t>
      </w:r>
      <w:r w:rsidR="00AB1A40">
        <w:rPr>
          <w:lang w:val="fr-FR" w:eastAsia="fr-FR"/>
        </w:rPr>
        <w:t>Région de Dioïla</w:t>
      </w:r>
    </w:p>
    <w:p w14:paraId="3A3AE405" w14:textId="77777777" w:rsidR="006B66E4" w:rsidRPr="001124FC" w:rsidRDefault="006B66E4" w:rsidP="006B66E4">
      <w:pPr>
        <w:jc w:val="center"/>
        <w:rPr>
          <w:b/>
          <w:bCs/>
        </w:rPr>
      </w:pPr>
      <w:r w:rsidRPr="001124FC">
        <w:rPr>
          <w:b/>
          <w:bCs/>
        </w:rPr>
        <w:t>OUVRAGE : DIGUE N°01 MUNI DE DEUX DEVERSOIRS</w:t>
      </w:r>
    </w:p>
    <w:tbl>
      <w:tblPr>
        <w:tblW w:w="5000" w:type="pct"/>
        <w:tblBorders>
          <w:top w:val="double" w:sz="6" w:space="0" w:color="auto"/>
          <w:left w:val="double" w:sz="4" w:space="0" w:color="auto"/>
          <w:bottom w:val="double" w:sz="6" w:space="0" w:color="auto"/>
          <w:right w:val="double" w:sz="6"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6"/>
        <w:gridCol w:w="4041"/>
        <w:gridCol w:w="786"/>
        <w:gridCol w:w="1184"/>
        <w:gridCol w:w="1182"/>
        <w:gridCol w:w="1180"/>
      </w:tblGrid>
      <w:tr w:rsidR="006B66E4" w:rsidRPr="00C5347D" w14:paraId="16311FCC" w14:textId="77777777" w:rsidTr="00D77BC6">
        <w:trPr>
          <w:trHeight w:val="276"/>
        </w:trPr>
        <w:tc>
          <w:tcPr>
            <w:tcW w:w="311" w:type="pct"/>
            <w:shd w:val="clear" w:color="000000" w:fill="C0C0C0"/>
            <w:vAlign w:val="center"/>
            <w:hideMark/>
          </w:tcPr>
          <w:p w14:paraId="004A6B56" w14:textId="77777777" w:rsidR="006B66E4" w:rsidRPr="00C5347D" w:rsidRDefault="006B66E4" w:rsidP="006B66E4">
            <w:pPr>
              <w:spacing w:after="0"/>
              <w:ind w:left="0" w:firstLine="0"/>
              <w:jc w:val="center"/>
              <w:rPr>
                <w:rFonts w:ascii="Arial Narrow" w:hAnsi="Arial Narrow" w:cs="Arial"/>
                <w:b/>
                <w:bCs/>
                <w:sz w:val="20"/>
              </w:rPr>
            </w:pPr>
            <w:r w:rsidRPr="00C5347D">
              <w:rPr>
                <w:rFonts w:ascii="Arial Narrow" w:hAnsi="Arial Narrow" w:cs="Arial"/>
                <w:b/>
                <w:bCs/>
                <w:sz w:val="20"/>
              </w:rPr>
              <w:t>N°</w:t>
            </w:r>
          </w:p>
        </w:tc>
        <w:tc>
          <w:tcPr>
            <w:tcW w:w="2263" w:type="pct"/>
            <w:shd w:val="clear" w:color="000000" w:fill="C0C0C0"/>
            <w:vAlign w:val="center"/>
            <w:hideMark/>
          </w:tcPr>
          <w:p w14:paraId="42047BB6" w14:textId="77777777" w:rsidR="006B66E4" w:rsidRPr="00C5347D" w:rsidRDefault="006B66E4" w:rsidP="006B66E4">
            <w:pPr>
              <w:spacing w:after="0"/>
              <w:ind w:left="0" w:firstLine="0"/>
              <w:jc w:val="center"/>
              <w:rPr>
                <w:rFonts w:ascii="Arial Narrow" w:hAnsi="Arial Narrow" w:cs="Arial"/>
                <w:b/>
                <w:bCs/>
                <w:sz w:val="20"/>
              </w:rPr>
            </w:pPr>
            <w:r w:rsidRPr="00C5347D">
              <w:rPr>
                <w:rFonts w:ascii="Arial Narrow" w:hAnsi="Arial Narrow" w:cs="Arial"/>
                <w:b/>
                <w:bCs/>
                <w:sz w:val="20"/>
              </w:rPr>
              <w:t>Désignation des travaux</w:t>
            </w:r>
          </w:p>
        </w:tc>
        <w:tc>
          <w:tcPr>
            <w:tcW w:w="440" w:type="pct"/>
            <w:shd w:val="clear" w:color="000000" w:fill="C0C0C0"/>
            <w:vAlign w:val="center"/>
            <w:hideMark/>
          </w:tcPr>
          <w:p w14:paraId="410ADB2C" w14:textId="77777777" w:rsidR="006B66E4" w:rsidRPr="00C5347D" w:rsidRDefault="006B66E4" w:rsidP="006B66E4">
            <w:pPr>
              <w:spacing w:after="0"/>
              <w:ind w:left="0" w:firstLine="0"/>
              <w:jc w:val="center"/>
              <w:rPr>
                <w:rFonts w:ascii="Arial Narrow" w:hAnsi="Arial Narrow" w:cs="Arial"/>
                <w:b/>
                <w:bCs/>
                <w:sz w:val="20"/>
              </w:rPr>
            </w:pPr>
            <w:r w:rsidRPr="00C5347D">
              <w:rPr>
                <w:rFonts w:ascii="Arial Narrow" w:hAnsi="Arial Narrow" w:cs="Arial"/>
                <w:b/>
                <w:bCs/>
                <w:sz w:val="20"/>
              </w:rPr>
              <w:t>Unités</w:t>
            </w:r>
          </w:p>
        </w:tc>
        <w:tc>
          <w:tcPr>
            <w:tcW w:w="663" w:type="pct"/>
            <w:shd w:val="clear" w:color="000000" w:fill="C0C0C0"/>
            <w:vAlign w:val="center"/>
            <w:hideMark/>
          </w:tcPr>
          <w:p w14:paraId="5886F7FB" w14:textId="77777777" w:rsidR="006B66E4" w:rsidRPr="00C5347D" w:rsidRDefault="006B66E4" w:rsidP="006B66E4">
            <w:pPr>
              <w:spacing w:after="0"/>
              <w:ind w:left="0" w:firstLine="0"/>
              <w:jc w:val="center"/>
              <w:rPr>
                <w:rFonts w:ascii="Arial Narrow" w:hAnsi="Arial Narrow" w:cs="Arial"/>
                <w:b/>
                <w:bCs/>
                <w:sz w:val="20"/>
              </w:rPr>
            </w:pPr>
            <w:r w:rsidRPr="00C5347D">
              <w:rPr>
                <w:rFonts w:ascii="Arial Narrow" w:hAnsi="Arial Narrow" w:cs="Arial"/>
                <w:b/>
                <w:bCs/>
                <w:sz w:val="20"/>
              </w:rPr>
              <w:t>Quantités</w:t>
            </w:r>
          </w:p>
        </w:tc>
        <w:tc>
          <w:tcPr>
            <w:tcW w:w="662" w:type="pct"/>
            <w:shd w:val="clear" w:color="000000" w:fill="C0C0C0"/>
          </w:tcPr>
          <w:p w14:paraId="6DB8AB5D" w14:textId="77777777" w:rsidR="006B66E4" w:rsidRDefault="006B66E4" w:rsidP="006B66E4">
            <w:pPr>
              <w:spacing w:after="0"/>
              <w:ind w:left="0" w:firstLine="0"/>
              <w:jc w:val="center"/>
              <w:rPr>
                <w:rFonts w:ascii="Arial Narrow" w:hAnsi="Arial Narrow" w:cs="Calibri"/>
                <w:b/>
                <w:bCs/>
                <w:sz w:val="22"/>
                <w:szCs w:val="22"/>
              </w:rPr>
            </w:pPr>
            <w:r w:rsidRPr="00C5347D">
              <w:rPr>
                <w:rFonts w:ascii="Arial Narrow" w:hAnsi="Arial Narrow" w:cs="Calibri"/>
                <w:b/>
                <w:bCs/>
                <w:sz w:val="22"/>
                <w:szCs w:val="22"/>
              </w:rPr>
              <w:t>Prix unitaires</w:t>
            </w:r>
          </w:p>
          <w:p w14:paraId="4CE43F96" w14:textId="60930BB0" w:rsidR="006B66E4" w:rsidRPr="00C5347D" w:rsidRDefault="006B66E4" w:rsidP="006B66E4">
            <w:pPr>
              <w:spacing w:after="0"/>
              <w:ind w:left="0" w:firstLine="0"/>
              <w:jc w:val="center"/>
              <w:rPr>
                <w:rFonts w:ascii="Arial Narrow" w:hAnsi="Arial Narrow" w:cs="Arial"/>
                <w:b/>
                <w:bCs/>
                <w:sz w:val="20"/>
              </w:rPr>
            </w:pPr>
            <w:r>
              <w:rPr>
                <w:rFonts w:ascii="Arial Narrow" w:hAnsi="Arial Narrow" w:cs="Calibri"/>
                <w:b/>
                <w:bCs/>
                <w:sz w:val="22"/>
                <w:szCs w:val="22"/>
              </w:rPr>
              <w:t>HTVA</w:t>
            </w:r>
          </w:p>
        </w:tc>
        <w:tc>
          <w:tcPr>
            <w:tcW w:w="661" w:type="pct"/>
            <w:shd w:val="clear" w:color="000000" w:fill="C0C0C0"/>
          </w:tcPr>
          <w:p w14:paraId="6B682A71" w14:textId="6707C733" w:rsidR="006B66E4" w:rsidRPr="00C5347D" w:rsidRDefault="006B66E4" w:rsidP="006B66E4">
            <w:pPr>
              <w:spacing w:after="0"/>
              <w:ind w:left="0" w:firstLine="0"/>
              <w:jc w:val="center"/>
              <w:rPr>
                <w:rFonts w:ascii="Arial Narrow" w:hAnsi="Arial Narrow" w:cs="Arial"/>
                <w:b/>
                <w:bCs/>
                <w:sz w:val="20"/>
              </w:rPr>
            </w:pPr>
            <w:r w:rsidRPr="00C5347D">
              <w:rPr>
                <w:rFonts w:ascii="Arial Narrow" w:hAnsi="Arial Narrow" w:cs="Calibri"/>
                <w:b/>
                <w:bCs/>
                <w:sz w:val="22"/>
                <w:szCs w:val="22"/>
              </w:rPr>
              <w:t xml:space="preserve">Montants en FCFA </w:t>
            </w:r>
            <w:r>
              <w:rPr>
                <w:rFonts w:ascii="Arial Narrow" w:hAnsi="Arial Narrow" w:cs="Calibri"/>
                <w:b/>
                <w:bCs/>
                <w:sz w:val="22"/>
                <w:szCs w:val="22"/>
              </w:rPr>
              <w:t>HTVA</w:t>
            </w:r>
          </w:p>
        </w:tc>
      </w:tr>
      <w:tr w:rsidR="006B66E4" w:rsidRPr="00C5347D" w14:paraId="15D312B4" w14:textId="77777777" w:rsidTr="00D77BC6">
        <w:trPr>
          <w:trHeight w:val="264"/>
        </w:trPr>
        <w:tc>
          <w:tcPr>
            <w:tcW w:w="311" w:type="pct"/>
            <w:shd w:val="clear" w:color="auto" w:fill="auto"/>
            <w:vAlign w:val="center"/>
            <w:hideMark/>
          </w:tcPr>
          <w:p w14:paraId="759D9A91"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I</w:t>
            </w:r>
          </w:p>
        </w:tc>
        <w:tc>
          <w:tcPr>
            <w:tcW w:w="2263" w:type="pct"/>
            <w:shd w:val="clear" w:color="auto" w:fill="auto"/>
            <w:vAlign w:val="center"/>
            <w:hideMark/>
          </w:tcPr>
          <w:p w14:paraId="3A3F9520" w14:textId="77777777" w:rsidR="006B66E4" w:rsidRPr="00C5347D" w:rsidRDefault="006B66E4" w:rsidP="006B66E4">
            <w:pPr>
              <w:spacing w:after="0"/>
              <w:ind w:left="0" w:firstLine="0"/>
              <w:jc w:val="left"/>
              <w:rPr>
                <w:rFonts w:ascii="Arial Narrow" w:hAnsi="Arial Narrow" w:cs="Arial"/>
                <w:b/>
                <w:bCs/>
                <w:sz w:val="20"/>
              </w:rPr>
            </w:pPr>
            <w:r w:rsidRPr="00C5347D">
              <w:rPr>
                <w:rFonts w:ascii="Arial Narrow" w:hAnsi="Arial Narrow" w:cs="Arial"/>
                <w:b/>
                <w:bCs/>
                <w:sz w:val="20"/>
              </w:rPr>
              <w:t>Série I - TRAVAUX PRELIMINAIRES</w:t>
            </w:r>
          </w:p>
        </w:tc>
        <w:tc>
          <w:tcPr>
            <w:tcW w:w="440" w:type="pct"/>
            <w:shd w:val="clear" w:color="auto" w:fill="auto"/>
            <w:vAlign w:val="center"/>
            <w:hideMark/>
          </w:tcPr>
          <w:p w14:paraId="3448CE8F"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 </w:t>
            </w:r>
          </w:p>
        </w:tc>
        <w:tc>
          <w:tcPr>
            <w:tcW w:w="663" w:type="pct"/>
            <w:shd w:val="clear" w:color="auto" w:fill="auto"/>
            <w:vAlign w:val="center"/>
            <w:hideMark/>
          </w:tcPr>
          <w:p w14:paraId="682906EF" w14:textId="77777777" w:rsidR="006B66E4" w:rsidRPr="00A7320B" w:rsidRDefault="006B66E4" w:rsidP="006B66E4">
            <w:pPr>
              <w:spacing w:after="0"/>
              <w:ind w:left="0" w:firstLine="0"/>
              <w:jc w:val="center"/>
              <w:rPr>
                <w:rFonts w:ascii="Arial Narrow" w:hAnsi="Arial Narrow" w:cs="Arial"/>
                <w:sz w:val="20"/>
              </w:rPr>
            </w:pPr>
            <w:r w:rsidRPr="00A7320B">
              <w:rPr>
                <w:rFonts w:ascii="Arial Narrow" w:hAnsi="Arial Narrow" w:cs="Arial"/>
                <w:sz w:val="20"/>
              </w:rPr>
              <w:t> </w:t>
            </w:r>
          </w:p>
        </w:tc>
        <w:tc>
          <w:tcPr>
            <w:tcW w:w="662" w:type="pct"/>
          </w:tcPr>
          <w:p w14:paraId="08FBE781" w14:textId="77777777" w:rsidR="006B66E4" w:rsidRPr="00C5347D" w:rsidRDefault="006B66E4" w:rsidP="006B66E4">
            <w:pPr>
              <w:spacing w:after="0"/>
              <w:ind w:left="0" w:firstLine="0"/>
              <w:jc w:val="center"/>
              <w:rPr>
                <w:rFonts w:ascii="Arial Narrow" w:hAnsi="Arial Narrow" w:cs="Arial"/>
                <w:sz w:val="20"/>
              </w:rPr>
            </w:pPr>
          </w:p>
        </w:tc>
        <w:tc>
          <w:tcPr>
            <w:tcW w:w="661" w:type="pct"/>
          </w:tcPr>
          <w:p w14:paraId="42ECE9D3" w14:textId="77777777" w:rsidR="006B66E4" w:rsidRPr="00C5347D" w:rsidRDefault="006B66E4" w:rsidP="006B66E4">
            <w:pPr>
              <w:spacing w:after="0"/>
              <w:ind w:left="0" w:firstLine="0"/>
              <w:jc w:val="center"/>
              <w:rPr>
                <w:rFonts w:ascii="Arial Narrow" w:hAnsi="Arial Narrow" w:cs="Arial"/>
                <w:sz w:val="20"/>
              </w:rPr>
            </w:pPr>
          </w:p>
        </w:tc>
      </w:tr>
      <w:tr w:rsidR="006B66E4" w:rsidRPr="00C5347D" w14:paraId="7E8A35E3" w14:textId="77777777" w:rsidTr="00D77BC6">
        <w:trPr>
          <w:trHeight w:val="264"/>
        </w:trPr>
        <w:tc>
          <w:tcPr>
            <w:tcW w:w="311" w:type="pct"/>
            <w:shd w:val="clear" w:color="auto" w:fill="auto"/>
            <w:vAlign w:val="center"/>
            <w:hideMark/>
          </w:tcPr>
          <w:p w14:paraId="5D814F11"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1.1</w:t>
            </w:r>
          </w:p>
        </w:tc>
        <w:tc>
          <w:tcPr>
            <w:tcW w:w="2263" w:type="pct"/>
            <w:shd w:val="clear" w:color="auto" w:fill="auto"/>
            <w:vAlign w:val="center"/>
            <w:hideMark/>
          </w:tcPr>
          <w:p w14:paraId="44C32A8C" w14:textId="77777777" w:rsidR="006B66E4" w:rsidRPr="00C5347D" w:rsidRDefault="006B66E4" w:rsidP="006B66E4">
            <w:pPr>
              <w:spacing w:after="0"/>
              <w:ind w:left="0" w:firstLine="0"/>
              <w:jc w:val="left"/>
              <w:rPr>
                <w:rFonts w:ascii="Arial Narrow" w:hAnsi="Arial Narrow" w:cs="Arial"/>
                <w:sz w:val="20"/>
              </w:rPr>
            </w:pPr>
            <w:r w:rsidRPr="00C5347D">
              <w:rPr>
                <w:rFonts w:ascii="Arial Narrow" w:hAnsi="Arial Narrow" w:cs="Arial"/>
                <w:sz w:val="20"/>
              </w:rPr>
              <w:t>Installation et replis du chantier</w:t>
            </w:r>
          </w:p>
        </w:tc>
        <w:tc>
          <w:tcPr>
            <w:tcW w:w="440" w:type="pct"/>
            <w:shd w:val="clear" w:color="auto" w:fill="auto"/>
            <w:noWrap/>
            <w:vAlign w:val="center"/>
            <w:hideMark/>
          </w:tcPr>
          <w:p w14:paraId="0E4421DE" w14:textId="77777777" w:rsidR="006B66E4" w:rsidRPr="00C5347D" w:rsidRDefault="006B66E4" w:rsidP="006B66E4">
            <w:pPr>
              <w:spacing w:after="0"/>
              <w:ind w:left="0" w:firstLine="0"/>
              <w:jc w:val="center"/>
              <w:rPr>
                <w:rFonts w:ascii="Arial Narrow" w:hAnsi="Arial Narrow" w:cs="Arial"/>
                <w:sz w:val="20"/>
              </w:rPr>
            </w:pPr>
            <w:proofErr w:type="spellStart"/>
            <w:r w:rsidRPr="00C5347D">
              <w:rPr>
                <w:rFonts w:ascii="Arial Narrow" w:hAnsi="Arial Narrow" w:cs="Arial"/>
                <w:sz w:val="20"/>
              </w:rPr>
              <w:t>ff</w:t>
            </w:r>
            <w:proofErr w:type="spellEnd"/>
          </w:p>
        </w:tc>
        <w:tc>
          <w:tcPr>
            <w:tcW w:w="663" w:type="pct"/>
            <w:shd w:val="clear" w:color="auto" w:fill="auto"/>
            <w:noWrap/>
            <w:vAlign w:val="center"/>
            <w:hideMark/>
          </w:tcPr>
          <w:p w14:paraId="66D3EF6D" w14:textId="77777777" w:rsidR="006B66E4" w:rsidRPr="00A7320B" w:rsidRDefault="006B66E4" w:rsidP="006B66E4">
            <w:pPr>
              <w:spacing w:after="0"/>
              <w:ind w:left="0" w:firstLine="0"/>
              <w:jc w:val="center"/>
              <w:rPr>
                <w:rFonts w:ascii="Arial Narrow" w:hAnsi="Arial Narrow" w:cs="Arial"/>
                <w:sz w:val="20"/>
              </w:rPr>
            </w:pPr>
            <w:r w:rsidRPr="00A7320B">
              <w:rPr>
                <w:rFonts w:ascii="Arial Narrow" w:hAnsi="Arial Narrow" w:cs="Arial"/>
                <w:sz w:val="20"/>
              </w:rPr>
              <w:t>1,00</w:t>
            </w:r>
          </w:p>
        </w:tc>
        <w:tc>
          <w:tcPr>
            <w:tcW w:w="662" w:type="pct"/>
          </w:tcPr>
          <w:p w14:paraId="6B952820" w14:textId="77777777" w:rsidR="006B66E4" w:rsidRPr="00C5347D" w:rsidRDefault="006B66E4" w:rsidP="006B66E4">
            <w:pPr>
              <w:spacing w:after="0"/>
              <w:ind w:left="0" w:firstLine="0"/>
              <w:jc w:val="center"/>
              <w:rPr>
                <w:rFonts w:ascii="Arial Narrow" w:hAnsi="Arial Narrow" w:cs="Arial"/>
                <w:sz w:val="20"/>
              </w:rPr>
            </w:pPr>
          </w:p>
        </w:tc>
        <w:tc>
          <w:tcPr>
            <w:tcW w:w="661" w:type="pct"/>
          </w:tcPr>
          <w:p w14:paraId="5431334F" w14:textId="77777777" w:rsidR="006B66E4" w:rsidRPr="00C5347D" w:rsidRDefault="006B66E4" w:rsidP="006B66E4">
            <w:pPr>
              <w:spacing w:after="0"/>
              <w:ind w:left="0" w:firstLine="0"/>
              <w:jc w:val="center"/>
              <w:rPr>
                <w:rFonts w:ascii="Arial Narrow" w:hAnsi="Arial Narrow" w:cs="Arial"/>
                <w:sz w:val="20"/>
              </w:rPr>
            </w:pPr>
          </w:p>
        </w:tc>
      </w:tr>
      <w:tr w:rsidR="006B66E4" w:rsidRPr="00C5347D" w14:paraId="4E11756B" w14:textId="77777777" w:rsidTr="00D77BC6">
        <w:trPr>
          <w:trHeight w:val="792"/>
        </w:trPr>
        <w:tc>
          <w:tcPr>
            <w:tcW w:w="311" w:type="pct"/>
            <w:shd w:val="clear" w:color="auto" w:fill="auto"/>
            <w:vAlign w:val="center"/>
            <w:hideMark/>
          </w:tcPr>
          <w:p w14:paraId="17423DA7"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1.2</w:t>
            </w:r>
          </w:p>
        </w:tc>
        <w:tc>
          <w:tcPr>
            <w:tcW w:w="2263" w:type="pct"/>
            <w:shd w:val="clear" w:color="auto" w:fill="auto"/>
            <w:vAlign w:val="center"/>
            <w:hideMark/>
          </w:tcPr>
          <w:p w14:paraId="6343F0A1" w14:textId="77777777" w:rsidR="006B66E4" w:rsidRPr="00C5347D" w:rsidRDefault="006B66E4" w:rsidP="006B66E4">
            <w:pPr>
              <w:spacing w:after="0"/>
              <w:ind w:left="0" w:firstLine="0"/>
              <w:jc w:val="left"/>
              <w:rPr>
                <w:rFonts w:ascii="Arial Narrow" w:hAnsi="Arial Narrow" w:cs="Arial"/>
                <w:sz w:val="20"/>
              </w:rPr>
            </w:pPr>
            <w:r w:rsidRPr="00C5347D">
              <w:rPr>
                <w:rFonts w:ascii="Arial Narrow" w:hAnsi="Arial Narrow" w:cs="Arial"/>
                <w:sz w:val="20"/>
              </w:rPr>
              <w:t xml:space="preserve">Préparation du terrain et implantation des ouvrages y compris abattage des arbres et </w:t>
            </w:r>
            <w:proofErr w:type="spellStart"/>
            <w:r w:rsidRPr="00C5347D">
              <w:rPr>
                <w:rFonts w:ascii="Arial Narrow" w:hAnsi="Arial Narrow" w:cs="Arial"/>
                <w:sz w:val="20"/>
              </w:rPr>
              <w:t>debroussayage</w:t>
            </w:r>
            <w:proofErr w:type="spellEnd"/>
            <w:r w:rsidRPr="00C5347D">
              <w:rPr>
                <w:rFonts w:ascii="Arial Narrow" w:hAnsi="Arial Narrow" w:cs="Arial"/>
                <w:sz w:val="20"/>
              </w:rPr>
              <w:t xml:space="preserve"> sur l'emprise des ouvrages et élaboration des plans d'exécutions</w:t>
            </w:r>
          </w:p>
        </w:tc>
        <w:tc>
          <w:tcPr>
            <w:tcW w:w="440" w:type="pct"/>
            <w:shd w:val="clear" w:color="auto" w:fill="auto"/>
            <w:noWrap/>
            <w:vAlign w:val="center"/>
            <w:hideMark/>
          </w:tcPr>
          <w:p w14:paraId="40733CD6" w14:textId="77777777" w:rsidR="006B66E4" w:rsidRPr="00C5347D" w:rsidRDefault="006B66E4" w:rsidP="006B66E4">
            <w:pPr>
              <w:spacing w:after="0"/>
              <w:ind w:left="0" w:firstLine="0"/>
              <w:jc w:val="center"/>
              <w:rPr>
                <w:rFonts w:ascii="Arial Narrow" w:hAnsi="Arial Narrow" w:cs="Arial"/>
                <w:sz w:val="20"/>
              </w:rPr>
            </w:pPr>
            <w:proofErr w:type="spellStart"/>
            <w:r w:rsidRPr="00C5347D">
              <w:rPr>
                <w:rFonts w:ascii="Arial Narrow" w:hAnsi="Arial Narrow" w:cs="Arial"/>
                <w:sz w:val="20"/>
              </w:rPr>
              <w:t>ff</w:t>
            </w:r>
            <w:proofErr w:type="spellEnd"/>
          </w:p>
        </w:tc>
        <w:tc>
          <w:tcPr>
            <w:tcW w:w="663" w:type="pct"/>
            <w:shd w:val="clear" w:color="auto" w:fill="auto"/>
            <w:noWrap/>
            <w:vAlign w:val="center"/>
            <w:hideMark/>
          </w:tcPr>
          <w:p w14:paraId="1FF1AA3F" w14:textId="77777777" w:rsidR="006B66E4" w:rsidRPr="00A7320B" w:rsidRDefault="006B66E4" w:rsidP="006B66E4">
            <w:pPr>
              <w:spacing w:after="0"/>
              <w:ind w:left="0" w:firstLine="0"/>
              <w:jc w:val="center"/>
              <w:rPr>
                <w:rFonts w:ascii="Arial Narrow" w:hAnsi="Arial Narrow" w:cs="Arial"/>
                <w:sz w:val="20"/>
              </w:rPr>
            </w:pPr>
            <w:r w:rsidRPr="00A7320B">
              <w:rPr>
                <w:rFonts w:ascii="Arial Narrow" w:hAnsi="Arial Narrow" w:cs="Arial"/>
                <w:sz w:val="20"/>
              </w:rPr>
              <w:t>1,00</w:t>
            </w:r>
          </w:p>
        </w:tc>
        <w:tc>
          <w:tcPr>
            <w:tcW w:w="662" w:type="pct"/>
          </w:tcPr>
          <w:p w14:paraId="151CF7D3" w14:textId="77777777" w:rsidR="006B66E4" w:rsidRPr="00C5347D" w:rsidRDefault="006B66E4" w:rsidP="006B66E4">
            <w:pPr>
              <w:spacing w:after="0"/>
              <w:ind w:left="0" w:firstLine="0"/>
              <w:jc w:val="center"/>
              <w:rPr>
                <w:rFonts w:ascii="Arial Narrow" w:hAnsi="Arial Narrow" w:cs="Arial"/>
                <w:sz w:val="20"/>
              </w:rPr>
            </w:pPr>
          </w:p>
        </w:tc>
        <w:tc>
          <w:tcPr>
            <w:tcW w:w="661" w:type="pct"/>
          </w:tcPr>
          <w:p w14:paraId="135C1154" w14:textId="77777777" w:rsidR="006B66E4" w:rsidRPr="00C5347D" w:rsidRDefault="006B66E4" w:rsidP="006B66E4">
            <w:pPr>
              <w:spacing w:after="0"/>
              <w:ind w:left="0" w:firstLine="0"/>
              <w:jc w:val="center"/>
              <w:rPr>
                <w:rFonts w:ascii="Arial Narrow" w:hAnsi="Arial Narrow" w:cs="Arial"/>
                <w:sz w:val="20"/>
              </w:rPr>
            </w:pPr>
          </w:p>
        </w:tc>
      </w:tr>
      <w:tr w:rsidR="006B66E4" w:rsidRPr="00C5347D" w14:paraId="29CE22DC" w14:textId="77777777" w:rsidTr="00D77BC6">
        <w:trPr>
          <w:trHeight w:val="528"/>
        </w:trPr>
        <w:tc>
          <w:tcPr>
            <w:tcW w:w="311" w:type="pct"/>
            <w:shd w:val="clear" w:color="auto" w:fill="auto"/>
            <w:vAlign w:val="center"/>
            <w:hideMark/>
          </w:tcPr>
          <w:p w14:paraId="0ED262AA"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1.3</w:t>
            </w:r>
          </w:p>
        </w:tc>
        <w:tc>
          <w:tcPr>
            <w:tcW w:w="2263" w:type="pct"/>
            <w:shd w:val="clear" w:color="auto" w:fill="auto"/>
            <w:vAlign w:val="center"/>
            <w:hideMark/>
          </w:tcPr>
          <w:p w14:paraId="381FD09A" w14:textId="77777777" w:rsidR="006B66E4" w:rsidRPr="00C5347D" w:rsidRDefault="006B66E4" w:rsidP="006B66E4">
            <w:pPr>
              <w:spacing w:after="0"/>
              <w:ind w:left="0" w:firstLine="0"/>
              <w:jc w:val="left"/>
              <w:rPr>
                <w:rFonts w:ascii="Arial Narrow" w:hAnsi="Arial Narrow" w:cs="Arial"/>
                <w:sz w:val="20"/>
              </w:rPr>
            </w:pPr>
            <w:r w:rsidRPr="00C5347D">
              <w:rPr>
                <w:rFonts w:ascii="Arial Narrow" w:hAnsi="Arial Narrow" w:cs="Arial"/>
                <w:sz w:val="20"/>
              </w:rPr>
              <w:t>Décapage de la terre végétale sur l'emprise des ouvrages (20cm)</w:t>
            </w:r>
          </w:p>
        </w:tc>
        <w:tc>
          <w:tcPr>
            <w:tcW w:w="440" w:type="pct"/>
            <w:shd w:val="clear" w:color="auto" w:fill="auto"/>
            <w:vAlign w:val="center"/>
            <w:hideMark/>
          </w:tcPr>
          <w:p w14:paraId="37926A4E"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m²</w:t>
            </w:r>
          </w:p>
        </w:tc>
        <w:tc>
          <w:tcPr>
            <w:tcW w:w="663" w:type="pct"/>
            <w:shd w:val="clear" w:color="auto" w:fill="auto"/>
            <w:vAlign w:val="center"/>
            <w:hideMark/>
          </w:tcPr>
          <w:p w14:paraId="0704FB52" w14:textId="77777777" w:rsidR="006B66E4" w:rsidRPr="00A7320B" w:rsidRDefault="006B66E4" w:rsidP="006B66E4">
            <w:pPr>
              <w:spacing w:after="0"/>
              <w:ind w:left="0" w:firstLine="0"/>
              <w:jc w:val="center"/>
              <w:rPr>
                <w:rFonts w:ascii="Arial Narrow" w:hAnsi="Arial Narrow" w:cs="Arial"/>
                <w:sz w:val="20"/>
              </w:rPr>
            </w:pPr>
            <w:r w:rsidRPr="00A7320B">
              <w:rPr>
                <w:rFonts w:ascii="Arial Narrow" w:hAnsi="Arial Narrow" w:cs="Arial"/>
                <w:sz w:val="20"/>
              </w:rPr>
              <w:t>31 196,75</w:t>
            </w:r>
          </w:p>
        </w:tc>
        <w:tc>
          <w:tcPr>
            <w:tcW w:w="662" w:type="pct"/>
          </w:tcPr>
          <w:p w14:paraId="652A291E" w14:textId="77777777" w:rsidR="006B66E4" w:rsidRPr="00C5347D" w:rsidRDefault="006B66E4" w:rsidP="006B66E4">
            <w:pPr>
              <w:spacing w:after="0"/>
              <w:ind w:left="0" w:firstLine="0"/>
              <w:jc w:val="center"/>
              <w:rPr>
                <w:rFonts w:ascii="Arial Narrow" w:hAnsi="Arial Narrow" w:cs="Arial"/>
                <w:sz w:val="20"/>
              </w:rPr>
            </w:pPr>
          </w:p>
        </w:tc>
        <w:tc>
          <w:tcPr>
            <w:tcW w:w="661" w:type="pct"/>
          </w:tcPr>
          <w:p w14:paraId="1D7843CF" w14:textId="77777777" w:rsidR="006B66E4" w:rsidRPr="00C5347D" w:rsidRDefault="006B66E4" w:rsidP="006B66E4">
            <w:pPr>
              <w:spacing w:after="0"/>
              <w:ind w:left="0" w:firstLine="0"/>
              <w:jc w:val="center"/>
              <w:rPr>
                <w:rFonts w:ascii="Arial Narrow" w:hAnsi="Arial Narrow" w:cs="Arial"/>
                <w:sz w:val="20"/>
              </w:rPr>
            </w:pPr>
          </w:p>
        </w:tc>
      </w:tr>
      <w:tr w:rsidR="006B66E4" w:rsidRPr="00C5347D" w14:paraId="68212FCD" w14:textId="77777777" w:rsidTr="00D77BC6">
        <w:trPr>
          <w:trHeight w:val="264"/>
        </w:trPr>
        <w:tc>
          <w:tcPr>
            <w:tcW w:w="311" w:type="pct"/>
            <w:shd w:val="clear" w:color="auto" w:fill="auto"/>
            <w:vAlign w:val="center"/>
            <w:hideMark/>
          </w:tcPr>
          <w:p w14:paraId="641C1069"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 </w:t>
            </w:r>
          </w:p>
        </w:tc>
        <w:tc>
          <w:tcPr>
            <w:tcW w:w="2263" w:type="pct"/>
            <w:shd w:val="clear" w:color="auto" w:fill="auto"/>
            <w:vAlign w:val="center"/>
            <w:hideMark/>
          </w:tcPr>
          <w:p w14:paraId="23AE78B8" w14:textId="77777777" w:rsidR="006B66E4" w:rsidRPr="00C5347D" w:rsidRDefault="006B66E4" w:rsidP="006B66E4">
            <w:pPr>
              <w:spacing w:after="0"/>
              <w:ind w:left="0" w:firstLine="0"/>
              <w:jc w:val="right"/>
              <w:rPr>
                <w:rFonts w:ascii="Arial Narrow" w:hAnsi="Arial Narrow" w:cs="Arial"/>
                <w:b/>
                <w:bCs/>
                <w:sz w:val="20"/>
              </w:rPr>
            </w:pPr>
            <w:r w:rsidRPr="00C5347D">
              <w:rPr>
                <w:rFonts w:ascii="Arial Narrow" w:hAnsi="Arial Narrow" w:cs="Arial"/>
                <w:b/>
                <w:bCs/>
                <w:sz w:val="20"/>
              </w:rPr>
              <w:t xml:space="preserve">Total </w:t>
            </w:r>
            <w:proofErr w:type="spellStart"/>
            <w:r w:rsidRPr="00C5347D">
              <w:rPr>
                <w:rFonts w:ascii="Arial Narrow" w:hAnsi="Arial Narrow" w:cs="Arial"/>
                <w:b/>
                <w:bCs/>
                <w:sz w:val="20"/>
              </w:rPr>
              <w:t>Serie</w:t>
            </w:r>
            <w:proofErr w:type="spellEnd"/>
            <w:r w:rsidRPr="00C5347D">
              <w:rPr>
                <w:rFonts w:ascii="Arial Narrow" w:hAnsi="Arial Narrow" w:cs="Arial"/>
                <w:b/>
                <w:bCs/>
                <w:sz w:val="20"/>
              </w:rPr>
              <w:t xml:space="preserve"> 1</w:t>
            </w:r>
          </w:p>
        </w:tc>
        <w:tc>
          <w:tcPr>
            <w:tcW w:w="440" w:type="pct"/>
            <w:shd w:val="clear" w:color="auto" w:fill="auto"/>
            <w:vAlign w:val="center"/>
            <w:hideMark/>
          </w:tcPr>
          <w:p w14:paraId="7759E5E2" w14:textId="77777777" w:rsidR="006B66E4" w:rsidRPr="00C5347D" w:rsidRDefault="006B66E4" w:rsidP="006B66E4">
            <w:pPr>
              <w:spacing w:after="0"/>
              <w:ind w:left="0" w:firstLine="0"/>
              <w:jc w:val="center"/>
              <w:rPr>
                <w:rFonts w:ascii="Arial Narrow" w:hAnsi="Arial Narrow" w:cs="Arial"/>
                <w:b/>
                <w:bCs/>
                <w:i/>
                <w:iCs/>
                <w:sz w:val="20"/>
              </w:rPr>
            </w:pPr>
            <w:r w:rsidRPr="00C5347D">
              <w:rPr>
                <w:rFonts w:ascii="Arial Narrow" w:hAnsi="Arial Narrow" w:cs="Arial"/>
                <w:b/>
                <w:bCs/>
                <w:i/>
                <w:iCs/>
                <w:sz w:val="20"/>
              </w:rPr>
              <w:t> </w:t>
            </w:r>
          </w:p>
        </w:tc>
        <w:tc>
          <w:tcPr>
            <w:tcW w:w="663" w:type="pct"/>
            <w:shd w:val="clear" w:color="auto" w:fill="auto"/>
            <w:vAlign w:val="center"/>
            <w:hideMark/>
          </w:tcPr>
          <w:p w14:paraId="4ED51466" w14:textId="77777777" w:rsidR="006B66E4" w:rsidRPr="00A7320B" w:rsidRDefault="006B66E4" w:rsidP="006B66E4">
            <w:pPr>
              <w:spacing w:after="0"/>
              <w:ind w:left="0" w:firstLine="0"/>
              <w:jc w:val="center"/>
              <w:rPr>
                <w:rFonts w:ascii="Arial Narrow" w:hAnsi="Arial Narrow" w:cs="Arial"/>
                <w:b/>
                <w:bCs/>
                <w:i/>
                <w:iCs/>
                <w:sz w:val="20"/>
              </w:rPr>
            </w:pPr>
            <w:r w:rsidRPr="00A7320B">
              <w:rPr>
                <w:rFonts w:ascii="Arial Narrow" w:hAnsi="Arial Narrow" w:cs="Arial"/>
                <w:b/>
                <w:bCs/>
                <w:i/>
                <w:iCs/>
                <w:sz w:val="20"/>
              </w:rPr>
              <w:t> </w:t>
            </w:r>
          </w:p>
        </w:tc>
        <w:tc>
          <w:tcPr>
            <w:tcW w:w="662" w:type="pct"/>
          </w:tcPr>
          <w:p w14:paraId="5F7C6C49" w14:textId="77777777" w:rsidR="006B66E4" w:rsidRPr="00C5347D" w:rsidRDefault="006B66E4" w:rsidP="006B66E4">
            <w:pPr>
              <w:spacing w:after="0"/>
              <w:ind w:left="0" w:firstLine="0"/>
              <w:jc w:val="center"/>
              <w:rPr>
                <w:rFonts w:ascii="Arial Narrow" w:hAnsi="Arial Narrow" w:cs="Arial"/>
                <w:b/>
                <w:bCs/>
                <w:i/>
                <w:iCs/>
                <w:sz w:val="20"/>
              </w:rPr>
            </w:pPr>
          </w:p>
        </w:tc>
        <w:tc>
          <w:tcPr>
            <w:tcW w:w="661" w:type="pct"/>
          </w:tcPr>
          <w:p w14:paraId="4353278D" w14:textId="77777777" w:rsidR="006B66E4" w:rsidRPr="00C5347D" w:rsidRDefault="006B66E4" w:rsidP="006B66E4">
            <w:pPr>
              <w:spacing w:after="0"/>
              <w:ind w:left="0" w:firstLine="0"/>
              <w:jc w:val="center"/>
              <w:rPr>
                <w:rFonts w:ascii="Arial Narrow" w:hAnsi="Arial Narrow" w:cs="Arial"/>
                <w:b/>
                <w:bCs/>
                <w:i/>
                <w:iCs/>
                <w:sz w:val="20"/>
              </w:rPr>
            </w:pPr>
          </w:p>
        </w:tc>
      </w:tr>
      <w:tr w:rsidR="006B66E4" w:rsidRPr="00C5347D" w14:paraId="555D0CB9" w14:textId="77777777" w:rsidTr="00D77BC6">
        <w:trPr>
          <w:trHeight w:val="264"/>
        </w:trPr>
        <w:tc>
          <w:tcPr>
            <w:tcW w:w="311" w:type="pct"/>
            <w:shd w:val="clear" w:color="auto" w:fill="auto"/>
            <w:vAlign w:val="center"/>
            <w:hideMark/>
          </w:tcPr>
          <w:p w14:paraId="5C33B4AC"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 </w:t>
            </w:r>
          </w:p>
        </w:tc>
        <w:tc>
          <w:tcPr>
            <w:tcW w:w="2263" w:type="pct"/>
            <w:shd w:val="clear" w:color="auto" w:fill="auto"/>
            <w:vAlign w:val="center"/>
            <w:hideMark/>
          </w:tcPr>
          <w:p w14:paraId="46A70539" w14:textId="77777777" w:rsidR="006B66E4" w:rsidRPr="00C5347D" w:rsidRDefault="006B66E4" w:rsidP="006B66E4">
            <w:pPr>
              <w:spacing w:after="0"/>
              <w:ind w:left="0" w:firstLine="0"/>
              <w:jc w:val="left"/>
              <w:rPr>
                <w:rFonts w:ascii="Arial Narrow" w:hAnsi="Arial Narrow" w:cs="Arial"/>
                <w:b/>
                <w:bCs/>
                <w:sz w:val="20"/>
              </w:rPr>
            </w:pPr>
            <w:r w:rsidRPr="00C5347D">
              <w:rPr>
                <w:rFonts w:ascii="Arial Narrow" w:hAnsi="Arial Narrow" w:cs="Arial"/>
                <w:b/>
                <w:bCs/>
                <w:sz w:val="20"/>
              </w:rPr>
              <w:t>Série II - DEVERSOIR</w:t>
            </w:r>
          </w:p>
        </w:tc>
        <w:tc>
          <w:tcPr>
            <w:tcW w:w="440" w:type="pct"/>
            <w:shd w:val="clear" w:color="auto" w:fill="auto"/>
            <w:vAlign w:val="center"/>
            <w:hideMark/>
          </w:tcPr>
          <w:p w14:paraId="10803447" w14:textId="77777777" w:rsidR="006B66E4" w:rsidRPr="00C5347D" w:rsidRDefault="006B66E4" w:rsidP="006B66E4">
            <w:pPr>
              <w:spacing w:after="0"/>
              <w:ind w:left="0" w:firstLine="0"/>
              <w:jc w:val="center"/>
              <w:rPr>
                <w:rFonts w:ascii="Arial Narrow" w:hAnsi="Arial Narrow" w:cs="Arial"/>
                <w:b/>
                <w:bCs/>
                <w:i/>
                <w:iCs/>
                <w:sz w:val="20"/>
              </w:rPr>
            </w:pPr>
            <w:r w:rsidRPr="00C5347D">
              <w:rPr>
                <w:rFonts w:ascii="Arial Narrow" w:hAnsi="Arial Narrow" w:cs="Arial"/>
                <w:b/>
                <w:bCs/>
                <w:i/>
                <w:iCs/>
                <w:sz w:val="20"/>
              </w:rPr>
              <w:t> </w:t>
            </w:r>
          </w:p>
        </w:tc>
        <w:tc>
          <w:tcPr>
            <w:tcW w:w="663" w:type="pct"/>
            <w:shd w:val="clear" w:color="auto" w:fill="auto"/>
            <w:vAlign w:val="center"/>
            <w:hideMark/>
          </w:tcPr>
          <w:p w14:paraId="21622FBB" w14:textId="77777777" w:rsidR="006B66E4" w:rsidRPr="00A7320B" w:rsidRDefault="006B66E4" w:rsidP="006B66E4">
            <w:pPr>
              <w:spacing w:after="0"/>
              <w:ind w:left="0" w:firstLine="0"/>
              <w:jc w:val="center"/>
              <w:rPr>
                <w:rFonts w:ascii="Arial Narrow" w:hAnsi="Arial Narrow" w:cs="Arial"/>
                <w:b/>
                <w:bCs/>
                <w:i/>
                <w:iCs/>
                <w:sz w:val="20"/>
              </w:rPr>
            </w:pPr>
            <w:r w:rsidRPr="00A7320B">
              <w:rPr>
                <w:rFonts w:ascii="Arial Narrow" w:hAnsi="Arial Narrow" w:cs="Arial"/>
                <w:b/>
                <w:bCs/>
                <w:i/>
                <w:iCs/>
                <w:sz w:val="20"/>
              </w:rPr>
              <w:t> </w:t>
            </w:r>
          </w:p>
        </w:tc>
        <w:tc>
          <w:tcPr>
            <w:tcW w:w="662" w:type="pct"/>
          </w:tcPr>
          <w:p w14:paraId="4ECDEBA7" w14:textId="77777777" w:rsidR="006B66E4" w:rsidRPr="00C5347D" w:rsidRDefault="006B66E4" w:rsidP="006B66E4">
            <w:pPr>
              <w:spacing w:after="0"/>
              <w:ind w:left="0" w:firstLine="0"/>
              <w:jc w:val="center"/>
              <w:rPr>
                <w:rFonts w:ascii="Arial Narrow" w:hAnsi="Arial Narrow" w:cs="Arial"/>
                <w:b/>
                <w:bCs/>
                <w:i/>
                <w:iCs/>
                <w:sz w:val="20"/>
              </w:rPr>
            </w:pPr>
          </w:p>
        </w:tc>
        <w:tc>
          <w:tcPr>
            <w:tcW w:w="661" w:type="pct"/>
          </w:tcPr>
          <w:p w14:paraId="4CD653E3" w14:textId="77777777" w:rsidR="006B66E4" w:rsidRPr="00C5347D" w:rsidRDefault="006B66E4" w:rsidP="006B66E4">
            <w:pPr>
              <w:spacing w:after="0"/>
              <w:ind w:left="0" w:firstLine="0"/>
              <w:jc w:val="center"/>
              <w:rPr>
                <w:rFonts w:ascii="Arial Narrow" w:hAnsi="Arial Narrow" w:cs="Arial"/>
                <w:b/>
                <w:bCs/>
                <w:i/>
                <w:iCs/>
                <w:sz w:val="20"/>
              </w:rPr>
            </w:pPr>
          </w:p>
        </w:tc>
      </w:tr>
      <w:tr w:rsidR="006B66E4" w:rsidRPr="00C5347D" w14:paraId="17D441D9" w14:textId="77777777" w:rsidTr="00D77BC6">
        <w:trPr>
          <w:trHeight w:val="792"/>
        </w:trPr>
        <w:tc>
          <w:tcPr>
            <w:tcW w:w="311" w:type="pct"/>
            <w:shd w:val="clear" w:color="auto" w:fill="auto"/>
            <w:vAlign w:val="center"/>
            <w:hideMark/>
          </w:tcPr>
          <w:p w14:paraId="6DBDE634"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2.1</w:t>
            </w:r>
          </w:p>
        </w:tc>
        <w:tc>
          <w:tcPr>
            <w:tcW w:w="2263" w:type="pct"/>
            <w:shd w:val="clear" w:color="auto" w:fill="auto"/>
            <w:vAlign w:val="center"/>
            <w:hideMark/>
          </w:tcPr>
          <w:p w14:paraId="2935404B" w14:textId="77777777" w:rsidR="006B66E4" w:rsidRPr="00C5347D" w:rsidRDefault="006B66E4" w:rsidP="006B66E4">
            <w:pPr>
              <w:spacing w:after="0"/>
              <w:ind w:left="0" w:firstLine="0"/>
              <w:jc w:val="left"/>
              <w:rPr>
                <w:rFonts w:ascii="Arial Narrow" w:hAnsi="Arial Narrow" w:cs="Arial"/>
                <w:sz w:val="20"/>
              </w:rPr>
            </w:pPr>
            <w:r w:rsidRPr="00C5347D">
              <w:rPr>
                <w:rFonts w:ascii="Arial Narrow" w:hAnsi="Arial Narrow" w:cs="Arial"/>
                <w:sz w:val="20"/>
              </w:rPr>
              <w:t>Déblai en terrain ordinaire pour tranchée d'ancrage du mur d'</w:t>
            </w:r>
            <w:proofErr w:type="spellStart"/>
            <w:r w:rsidRPr="00C5347D">
              <w:rPr>
                <w:rFonts w:ascii="Arial Narrow" w:hAnsi="Arial Narrow" w:cs="Arial"/>
                <w:sz w:val="20"/>
              </w:rPr>
              <w:t>étancheité</w:t>
            </w:r>
            <w:proofErr w:type="spellEnd"/>
            <w:r w:rsidRPr="00C5347D">
              <w:rPr>
                <w:rFonts w:ascii="Arial Narrow" w:hAnsi="Arial Narrow" w:cs="Arial"/>
                <w:sz w:val="20"/>
              </w:rPr>
              <w:t xml:space="preserve"> y compris fouilles éventuelles sous eau et blindage des parois</w:t>
            </w:r>
          </w:p>
        </w:tc>
        <w:tc>
          <w:tcPr>
            <w:tcW w:w="440" w:type="pct"/>
            <w:shd w:val="clear" w:color="auto" w:fill="auto"/>
            <w:vAlign w:val="center"/>
            <w:hideMark/>
          </w:tcPr>
          <w:p w14:paraId="7AF04A32"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m</w:t>
            </w:r>
            <w:r w:rsidRPr="00C5347D">
              <w:rPr>
                <w:rFonts w:ascii="Arial Narrow" w:hAnsi="Arial Narrow" w:cs="Arial"/>
                <w:sz w:val="20"/>
                <w:vertAlign w:val="superscript"/>
              </w:rPr>
              <w:t>3</w:t>
            </w:r>
          </w:p>
        </w:tc>
        <w:tc>
          <w:tcPr>
            <w:tcW w:w="663" w:type="pct"/>
            <w:shd w:val="clear" w:color="auto" w:fill="auto"/>
            <w:vAlign w:val="center"/>
            <w:hideMark/>
          </w:tcPr>
          <w:p w14:paraId="6F5B4EE8" w14:textId="77777777" w:rsidR="006B66E4" w:rsidRPr="00A7320B" w:rsidRDefault="006B66E4" w:rsidP="006B66E4">
            <w:pPr>
              <w:spacing w:after="0"/>
              <w:ind w:left="0" w:firstLine="0"/>
              <w:jc w:val="center"/>
              <w:rPr>
                <w:rFonts w:ascii="Arial Narrow" w:hAnsi="Arial Narrow" w:cs="Arial"/>
                <w:sz w:val="20"/>
              </w:rPr>
            </w:pPr>
            <w:r w:rsidRPr="00A7320B">
              <w:rPr>
                <w:rFonts w:ascii="Arial Narrow" w:hAnsi="Arial Narrow" w:cs="Arial"/>
                <w:sz w:val="20"/>
              </w:rPr>
              <w:t>180,00</w:t>
            </w:r>
          </w:p>
        </w:tc>
        <w:tc>
          <w:tcPr>
            <w:tcW w:w="662" w:type="pct"/>
          </w:tcPr>
          <w:p w14:paraId="1CEF061B" w14:textId="77777777" w:rsidR="006B66E4" w:rsidRPr="00C5347D" w:rsidRDefault="006B66E4" w:rsidP="006B66E4">
            <w:pPr>
              <w:spacing w:after="0"/>
              <w:ind w:left="0" w:firstLine="0"/>
              <w:jc w:val="center"/>
              <w:rPr>
                <w:rFonts w:ascii="Arial Narrow" w:hAnsi="Arial Narrow" w:cs="Arial"/>
                <w:sz w:val="20"/>
              </w:rPr>
            </w:pPr>
          </w:p>
        </w:tc>
        <w:tc>
          <w:tcPr>
            <w:tcW w:w="661" w:type="pct"/>
          </w:tcPr>
          <w:p w14:paraId="18C9FBF9" w14:textId="77777777" w:rsidR="006B66E4" w:rsidRPr="00C5347D" w:rsidRDefault="006B66E4" w:rsidP="006B66E4">
            <w:pPr>
              <w:spacing w:after="0"/>
              <w:ind w:left="0" w:firstLine="0"/>
              <w:jc w:val="center"/>
              <w:rPr>
                <w:rFonts w:ascii="Arial Narrow" w:hAnsi="Arial Narrow" w:cs="Arial"/>
                <w:sz w:val="20"/>
              </w:rPr>
            </w:pPr>
          </w:p>
        </w:tc>
      </w:tr>
      <w:tr w:rsidR="006B66E4" w:rsidRPr="00C5347D" w14:paraId="61BF87B5" w14:textId="77777777" w:rsidTr="00D77BC6">
        <w:trPr>
          <w:trHeight w:val="312"/>
        </w:trPr>
        <w:tc>
          <w:tcPr>
            <w:tcW w:w="311" w:type="pct"/>
            <w:shd w:val="clear" w:color="auto" w:fill="auto"/>
            <w:vAlign w:val="center"/>
            <w:hideMark/>
          </w:tcPr>
          <w:p w14:paraId="44EED2C3"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2.2</w:t>
            </w:r>
          </w:p>
        </w:tc>
        <w:tc>
          <w:tcPr>
            <w:tcW w:w="2263" w:type="pct"/>
            <w:shd w:val="clear" w:color="auto" w:fill="auto"/>
            <w:vAlign w:val="center"/>
            <w:hideMark/>
          </w:tcPr>
          <w:p w14:paraId="19184DC5" w14:textId="77777777" w:rsidR="006B66E4" w:rsidRPr="00C5347D" w:rsidRDefault="006B66E4" w:rsidP="006B66E4">
            <w:pPr>
              <w:spacing w:after="0"/>
              <w:ind w:left="0" w:firstLine="0"/>
              <w:jc w:val="left"/>
              <w:rPr>
                <w:rFonts w:ascii="Arial Narrow" w:hAnsi="Arial Narrow" w:cs="Arial"/>
                <w:sz w:val="20"/>
              </w:rPr>
            </w:pPr>
            <w:r w:rsidRPr="00C5347D">
              <w:rPr>
                <w:rFonts w:ascii="Arial Narrow" w:hAnsi="Arial Narrow" w:cs="Arial"/>
                <w:sz w:val="20"/>
              </w:rPr>
              <w:t xml:space="preserve">Déblai en terrain ordinaire pour fondation du contrefort </w:t>
            </w:r>
          </w:p>
        </w:tc>
        <w:tc>
          <w:tcPr>
            <w:tcW w:w="440" w:type="pct"/>
            <w:shd w:val="clear" w:color="auto" w:fill="auto"/>
            <w:vAlign w:val="center"/>
            <w:hideMark/>
          </w:tcPr>
          <w:p w14:paraId="546C4A9E"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m</w:t>
            </w:r>
            <w:r w:rsidRPr="00C5347D">
              <w:rPr>
                <w:rFonts w:ascii="Arial Narrow" w:hAnsi="Arial Narrow" w:cs="Arial"/>
                <w:sz w:val="20"/>
                <w:vertAlign w:val="superscript"/>
              </w:rPr>
              <w:t>3</w:t>
            </w:r>
          </w:p>
        </w:tc>
        <w:tc>
          <w:tcPr>
            <w:tcW w:w="663" w:type="pct"/>
            <w:shd w:val="clear" w:color="auto" w:fill="auto"/>
            <w:vAlign w:val="center"/>
            <w:hideMark/>
          </w:tcPr>
          <w:p w14:paraId="5977773F" w14:textId="77777777" w:rsidR="006B66E4" w:rsidRPr="00A7320B" w:rsidRDefault="006B66E4" w:rsidP="006B66E4">
            <w:pPr>
              <w:spacing w:after="0"/>
              <w:ind w:left="0" w:firstLine="0"/>
              <w:jc w:val="center"/>
              <w:rPr>
                <w:rFonts w:ascii="Arial Narrow" w:hAnsi="Arial Narrow" w:cs="Arial"/>
                <w:sz w:val="20"/>
              </w:rPr>
            </w:pPr>
            <w:r w:rsidRPr="00A7320B">
              <w:rPr>
                <w:rFonts w:ascii="Arial Narrow" w:hAnsi="Arial Narrow" w:cs="Arial"/>
                <w:sz w:val="20"/>
              </w:rPr>
              <w:t>146,95</w:t>
            </w:r>
          </w:p>
        </w:tc>
        <w:tc>
          <w:tcPr>
            <w:tcW w:w="662" w:type="pct"/>
          </w:tcPr>
          <w:p w14:paraId="5726A2A6" w14:textId="77777777" w:rsidR="006B66E4" w:rsidRPr="00C5347D" w:rsidRDefault="006B66E4" w:rsidP="006B66E4">
            <w:pPr>
              <w:spacing w:after="0"/>
              <w:ind w:left="0" w:firstLine="0"/>
              <w:jc w:val="center"/>
              <w:rPr>
                <w:rFonts w:ascii="Arial Narrow" w:hAnsi="Arial Narrow" w:cs="Arial"/>
                <w:sz w:val="20"/>
              </w:rPr>
            </w:pPr>
          </w:p>
        </w:tc>
        <w:tc>
          <w:tcPr>
            <w:tcW w:w="661" w:type="pct"/>
          </w:tcPr>
          <w:p w14:paraId="003A9054" w14:textId="77777777" w:rsidR="006B66E4" w:rsidRPr="00C5347D" w:rsidRDefault="006B66E4" w:rsidP="006B66E4">
            <w:pPr>
              <w:spacing w:after="0"/>
              <w:ind w:left="0" w:firstLine="0"/>
              <w:jc w:val="center"/>
              <w:rPr>
                <w:rFonts w:ascii="Arial Narrow" w:hAnsi="Arial Narrow" w:cs="Arial"/>
                <w:sz w:val="20"/>
              </w:rPr>
            </w:pPr>
          </w:p>
        </w:tc>
      </w:tr>
      <w:tr w:rsidR="006B66E4" w:rsidRPr="00C5347D" w14:paraId="6DF44DC8" w14:textId="77777777" w:rsidTr="00D77BC6">
        <w:trPr>
          <w:trHeight w:val="576"/>
        </w:trPr>
        <w:tc>
          <w:tcPr>
            <w:tcW w:w="311" w:type="pct"/>
            <w:shd w:val="clear" w:color="auto" w:fill="auto"/>
            <w:vAlign w:val="center"/>
            <w:hideMark/>
          </w:tcPr>
          <w:p w14:paraId="0BC61681"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2.3</w:t>
            </w:r>
          </w:p>
        </w:tc>
        <w:tc>
          <w:tcPr>
            <w:tcW w:w="2263" w:type="pct"/>
            <w:shd w:val="clear" w:color="auto" w:fill="auto"/>
            <w:vAlign w:val="center"/>
            <w:hideMark/>
          </w:tcPr>
          <w:p w14:paraId="495A1C5E" w14:textId="77777777" w:rsidR="006B66E4" w:rsidRPr="00C5347D" w:rsidRDefault="006B66E4" w:rsidP="006B66E4">
            <w:pPr>
              <w:spacing w:after="0"/>
              <w:ind w:left="0" w:firstLine="0"/>
              <w:jc w:val="left"/>
              <w:rPr>
                <w:rFonts w:ascii="Arial Narrow" w:hAnsi="Arial Narrow" w:cs="Arial"/>
                <w:sz w:val="20"/>
              </w:rPr>
            </w:pPr>
            <w:r w:rsidRPr="00C5347D">
              <w:rPr>
                <w:rFonts w:ascii="Arial Narrow" w:hAnsi="Arial Narrow" w:cs="Arial"/>
                <w:sz w:val="20"/>
              </w:rPr>
              <w:t>Béton de propreté dosé à 150kg/m</w:t>
            </w:r>
            <w:r w:rsidRPr="00C5347D">
              <w:rPr>
                <w:rFonts w:ascii="Arial Narrow" w:hAnsi="Arial Narrow" w:cs="Arial"/>
                <w:sz w:val="20"/>
                <w:vertAlign w:val="superscript"/>
              </w:rPr>
              <w:t>3</w:t>
            </w:r>
            <w:r w:rsidRPr="00C5347D">
              <w:rPr>
                <w:rFonts w:ascii="Arial Narrow" w:hAnsi="Arial Narrow" w:cs="Arial"/>
                <w:sz w:val="20"/>
              </w:rPr>
              <w:t xml:space="preserve"> e=10cm pour mur d'</w:t>
            </w:r>
            <w:proofErr w:type="spellStart"/>
            <w:r w:rsidRPr="00C5347D">
              <w:rPr>
                <w:rFonts w:ascii="Arial Narrow" w:hAnsi="Arial Narrow" w:cs="Arial"/>
                <w:sz w:val="20"/>
              </w:rPr>
              <w:t>étancheité</w:t>
            </w:r>
            <w:proofErr w:type="spellEnd"/>
            <w:r w:rsidRPr="00C5347D">
              <w:rPr>
                <w:rFonts w:ascii="Arial Narrow" w:hAnsi="Arial Narrow" w:cs="Arial"/>
                <w:sz w:val="20"/>
              </w:rPr>
              <w:t xml:space="preserve"> et contrefort </w:t>
            </w:r>
          </w:p>
        </w:tc>
        <w:tc>
          <w:tcPr>
            <w:tcW w:w="440" w:type="pct"/>
            <w:shd w:val="clear" w:color="auto" w:fill="auto"/>
            <w:vAlign w:val="center"/>
            <w:hideMark/>
          </w:tcPr>
          <w:p w14:paraId="20FF2342"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m</w:t>
            </w:r>
            <w:r w:rsidRPr="00C5347D">
              <w:rPr>
                <w:rFonts w:ascii="Arial Narrow" w:hAnsi="Arial Narrow" w:cs="Arial"/>
                <w:sz w:val="20"/>
                <w:vertAlign w:val="superscript"/>
              </w:rPr>
              <w:t>3</w:t>
            </w:r>
          </w:p>
        </w:tc>
        <w:tc>
          <w:tcPr>
            <w:tcW w:w="663" w:type="pct"/>
            <w:shd w:val="clear" w:color="auto" w:fill="auto"/>
            <w:vAlign w:val="center"/>
            <w:hideMark/>
          </w:tcPr>
          <w:p w14:paraId="76F85E09" w14:textId="77777777" w:rsidR="006B66E4" w:rsidRPr="00A7320B" w:rsidRDefault="006B66E4" w:rsidP="006B66E4">
            <w:pPr>
              <w:spacing w:after="0"/>
              <w:ind w:left="0" w:firstLine="0"/>
              <w:jc w:val="center"/>
              <w:rPr>
                <w:rFonts w:ascii="Arial Narrow" w:hAnsi="Arial Narrow" w:cs="Arial"/>
                <w:sz w:val="20"/>
              </w:rPr>
            </w:pPr>
            <w:r w:rsidRPr="00A7320B">
              <w:rPr>
                <w:rFonts w:ascii="Arial Narrow" w:hAnsi="Arial Narrow" w:cs="Arial"/>
                <w:sz w:val="20"/>
              </w:rPr>
              <w:t>40,50</w:t>
            </w:r>
          </w:p>
        </w:tc>
        <w:tc>
          <w:tcPr>
            <w:tcW w:w="662" w:type="pct"/>
          </w:tcPr>
          <w:p w14:paraId="313C6EEA" w14:textId="77777777" w:rsidR="006B66E4" w:rsidRPr="00C5347D" w:rsidRDefault="006B66E4" w:rsidP="006B66E4">
            <w:pPr>
              <w:spacing w:after="0"/>
              <w:ind w:left="0" w:firstLine="0"/>
              <w:jc w:val="center"/>
              <w:rPr>
                <w:rFonts w:ascii="Arial Narrow" w:hAnsi="Arial Narrow" w:cs="Arial"/>
                <w:sz w:val="20"/>
              </w:rPr>
            </w:pPr>
          </w:p>
        </w:tc>
        <w:tc>
          <w:tcPr>
            <w:tcW w:w="661" w:type="pct"/>
          </w:tcPr>
          <w:p w14:paraId="7677D35B" w14:textId="77777777" w:rsidR="006B66E4" w:rsidRPr="00C5347D" w:rsidRDefault="006B66E4" w:rsidP="006B66E4">
            <w:pPr>
              <w:spacing w:after="0"/>
              <w:ind w:left="0" w:firstLine="0"/>
              <w:jc w:val="center"/>
              <w:rPr>
                <w:rFonts w:ascii="Arial Narrow" w:hAnsi="Arial Narrow" w:cs="Arial"/>
                <w:sz w:val="20"/>
              </w:rPr>
            </w:pPr>
          </w:p>
        </w:tc>
      </w:tr>
      <w:tr w:rsidR="006B66E4" w:rsidRPr="00C5347D" w14:paraId="2B6E14E9" w14:textId="77777777" w:rsidTr="00D77BC6">
        <w:trPr>
          <w:trHeight w:val="512"/>
        </w:trPr>
        <w:tc>
          <w:tcPr>
            <w:tcW w:w="311" w:type="pct"/>
            <w:shd w:val="clear" w:color="auto" w:fill="auto"/>
            <w:vAlign w:val="center"/>
            <w:hideMark/>
          </w:tcPr>
          <w:p w14:paraId="5058D815"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2.4</w:t>
            </w:r>
          </w:p>
        </w:tc>
        <w:tc>
          <w:tcPr>
            <w:tcW w:w="2263" w:type="pct"/>
            <w:shd w:val="clear" w:color="auto" w:fill="auto"/>
            <w:vAlign w:val="center"/>
            <w:hideMark/>
          </w:tcPr>
          <w:p w14:paraId="7B668327" w14:textId="77777777" w:rsidR="006B66E4" w:rsidRPr="00C5347D" w:rsidRDefault="006B66E4" w:rsidP="006B66E4">
            <w:pPr>
              <w:spacing w:after="0"/>
              <w:ind w:left="0" w:firstLine="0"/>
              <w:jc w:val="left"/>
              <w:rPr>
                <w:rFonts w:ascii="Arial Narrow" w:hAnsi="Arial Narrow" w:cs="Arial"/>
                <w:sz w:val="20"/>
              </w:rPr>
            </w:pPr>
            <w:r w:rsidRPr="00C5347D">
              <w:rPr>
                <w:rFonts w:ascii="Arial Narrow" w:hAnsi="Arial Narrow" w:cs="Arial"/>
                <w:sz w:val="20"/>
              </w:rPr>
              <w:t>Blocage de la fouille en béton cyclopéen dosé à 350 kg/m</w:t>
            </w:r>
            <w:r w:rsidRPr="00C5347D">
              <w:rPr>
                <w:rFonts w:ascii="Arial Narrow" w:hAnsi="Arial Narrow" w:cs="Arial"/>
                <w:sz w:val="20"/>
                <w:vertAlign w:val="superscript"/>
              </w:rPr>
              <w:t>3</w:t>
            </w:r>
            <w:r w:rsidRPr="00C5347D">
              <w:rPr>
                <w:rFonts w:ascii="Arial Narrow" w:hAnsi="Arial Narrow" w:cs="Arial"/>
                <w:sz w:val="20"/>
              </w:rPr>
              <w:t xml:space="preserve"> sur le long du mur d'</w:t>
            </w:r>
            <w:proofErr w:type="spellStart"/>
            <w:r w:rsidRPr="00C5347D">
              <w:rPr>
                <w:rFonts w:ascii="Arial Narrow" w:hAnsi="Arial Narrow" w:cs="Arial"/>
                <w:sz w:val="20"/>
              </w:rPr>
              <w:t>étancheité</w:t>
            </w:r>
            <w:proofErr w:type="spellEnd"/>
            <w:r w:rsidRPr="00C5347D">
              <w:rPr>
                <w:rFonts w:ascii="Arial Narrow" w:hAnsi="Arial Narrow" w:cs="Arial"/>
                <w:sz w:val="20"/>
              </w:rPr>
              <w:t xml:space="preserve"> et contrefort avec ajout du </w:t>
            </w:r>
            <w:proofErr w:type="spellStart"/>
            <w:r w:rsidRPr="00C5347D">
              <w:rPr>
                <w:rFonts w:ascii="Arial Narrow" w:hAnsi="Arial Narrow" w:cs="Arial"/>
                <w:sz w:val="20"/>
              </w:rPr>
              <w:t>sikhalite</w:t>
            </w:r>
            <w:proofErr w:type="spellEnd"/>
          </w:p>
        </w:tc>
        <w:tc>
          <w:tcPr>
            <w:tcW w:w="440" w:type="pct"/>
            <w:shd w:val="clear" w:color="auto" w:fill="auto"/>
            <w:vAlign w:val="center"/>
            <w:hideMark/>
          </w:tcPr>
          <w:p w14:paraId="26C27418"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m</w:t>
            </w:r>
            <w:r w:rsidRPr="00C5347D">
              <w:rPr>
                <w:rFonts w:ascii="Arial Narrow" w:hAnsi="Arial Narrow" w:cs="Arial"/>
                <w:sz w:val="20"/>
                <w:vertAlign w:val="superscript"/>
              </w:rPr>
              <w:t>3</w:t>
            </w:r>
          </w:p>
        </w:tc>
        <w:tc>
          <w:tcPr>
            <w:tcW w:w="663" w:type="pct"/>
            <w:shd w:val="clear" w:color="auto" w:fill="auto"/>
            <w:vAlign w:val="center"/>
            <w:hideMark/>
          </w:tcPr>
          <w:p w14:paraId="0CEC7930" w14:textId="77777777" w:rsidR="006B66E4" w:rsidRPr="00A7320B" w:rsidRDefault="006B66E4" w:rsidP="006B66E4">
            <w:pPr>
              <w:spacing w:after="0"/>
              <w:ind w:left="0" w:firstLine="0"/>
              <w:jc w:val="center"/>
              <w:rPr>
                <w:rFonts w:ascii="Arial Narrow" w:hAnsi="Arial Narrow" w:cs="Arial"/>
                <w:sz w:val="20"/>
              </w:rPr>
            </w:pPr>
            <w:r w:rsidRPr="00A7320B">
              <w:rPr>
                <w:rFonts w:ascii="Arial Narrow" w:hAnsi="Arial Narrow" w:cs="Arial"/>
                <w:sz w:val="20"/>
              </w:rPr>
              <w:t>286,45</w:t>
            </w:r>
          </w:p>
        </w:tc>
        <w:tc>
          <w:tcPr>
            <w:tcW w:w="662" w:type="pct"/>
          </w:tcPr>
          <w:p w14:paraId="66F1F051" w14:textId="77777777" w:rsidR="006B66E4" w:rsidRPr="00C5347D" w:rsidRDefault="006B66E4" w:rsidP="006B66E4">
            <w:pPr>
              <w:spacing w:after="0"/>
              <w:ind w:left="0" w:firstLine="0"/>
              <w:jc w:val="center"/>
              <w:rPr>
                <w:rFonts w:ascii="Arial Narrow" w:hAnsi="Arial Narrow" w:cs="Arial"/>
                <w:sz w:val="20"/>
              </w:rPr>
            </w:pPr>
          </w:p>
        </w:tc>
        <w:tc>
          <w:tcPr>
            <w:tcW w:w="661" w:type="pct"/>
          </w:tcPr>
          <w:p w14:paraId="6A9D3102" w14:textId="77777777" w:rsidR="006B66E4" w:rsidRPr="00C5347D" w:rsidRDefault="006B66E4" w:rsidP="006B66E4">
            <w:pPr>
              <w:spacing w:after="0"/>
              <w:ind w:left="0" w:firstLine="0"/>
              <w:jc w:val="center"/>
              <w:rPr>
                <w:rFonts w:ascii="Arial Narrow" w:hAnsi="Arial Narrow" w:cs="Arial"/>
                <w:sz w:val="20"/>
              </w:rPr>
            </w:pPr>
          </w:p>
        </w:tc>
      </w:tr>
      <w:tr w:rsidR="006B66E4" w:rsidRPr="00C5347D" w14:paraId="53DE7E15" w14:textId="77777777" w:rsidTr="00D77BC6">
        <w:trPr>
          <w:trHeight w:val="369"/>
        </w:trPr>
        <w:tc>
          <w:tcPr>
            <w:tcW w:w="311" w:type="pct"/>
            <w:shd w:val="clear" w:color="auto" w:fill="auto"/>
            <w:vAlign w:val="center"/>
            <w:hideMark/>
          </w:tcPr>
          <w:p w14:paraId="3924F9CC"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2.5</w:t>
            </w:r>
          </w:p>
        </w:tc>
        <w:tc>
          <w:tcPr>
            <w:tcW w:w="2263" w:type="pct"/>
            <w:shd w:val="clear" w:color="auto" w:fill="auto"/>
            <w:vAlign w:val="center"/>
            <w:hideMark/>
          </w:tcPr>
          <w:p w14:paraId="5A8FE811" w14:textId="77777777" w:rsidR="006B66E4" w:rsidRPr="00C5347D" w:rsidRDefault="006B66E4" w:rsidP="006B66E4">
            <w:pPr>
              <w:spacing w:after="0"/>
              <w:ind w:left="0" w:firstLine="0"/>
              <w:jc w:val="left"/>
              <w:rPr>
                <w:rFonts w:ascii="Arial Narrow" w:hAnsi="Arial Narrow" w:cs="Arial"/>
                <w:sz w:val="20"/>
              </w:rPr>
            </w:pPr>
            <w:r w:rsidRPr="00C5347D">
              <w:rPr>
                <w:rFonts w:ascii="Arial Narrow" w:hAnsi="Arial Narrow" w:cs="Arial"/>
                <w:sz w:val="20"/>
              </w:rPr>
              <w:t>Béton cyclopéen en élévation dosé à 350kg/m</w:t>
            </w:r>
            <w:r w:rsidRPr="00C5347D">
              <w:rPr>
                <w:rFonts w:ascii="Arial Narrow" w:hAnsi="Arial Narrow" w:cs="Arial"/>
                <w:sz w:val="20"/>
                <w:vertAlign w:val="superscript"/>
              </w:rPr>
              <w:t xml:space="preserve">3 </w:t>
            </w:r>
            <w:r w:rsidRPr="00C5347D">
              <w:rPr>
                <w:rFonts w:ascii="Arial Narrow" w:hAnsi="Arial Narrow" w:cs="Arial"/>
                <w:sz w:val="20"/>
              </w:rPr>
              <w:t>pour mur d'</w:t>
            </w:r>
            <w:proofErr w:type="spellStart"/>
            <w:r w:rsidRPr="00C5347D">
              <w:rPr>
                <w:rFonts w:ascii="Arial Narrow" w:hAnsi="Arial Narrow" w:cs="Arial"/>
                <w:sz w:val="20"/>
              </w:rPr>
              <w:t>étancheité</w:t>
            </w:r>
            <w:proofErr w:type="spellEnd"/>
            <w:r w:rsidRPr="00C5347D">
              <w:rPr>
                <w:rFonts w:ascii="Arial Narrow" w:hAnsi="Arial Narrow" w:cs="Arial"/>
                <w:sz w:val="20"/>
              </w:rPr>
              <w:t xml:space="preserve"> avec ajout du </w:t>
            </w:r>
            <w:proofErr w:type="spellStart"/>
            <w:r w:rsidRPr="00C5347D">
              <w:rPr>
                <w:rFonts w:ascii="Arial Narrow" w:hAnsi="Arial Narrow" w:cs="Arial"/>
                <w:sz w:val="20"/>
              </w:rPr>
              <w:t>sikhalite</w:t>
            </w:r>
            <w:proofErr w:type="spellEnd"/>
          </w:p>
        </w:tc>
        <w:tc>
          <w:tcPr>
            <w:tcW w:w="440" w:type="pct"/>
            <w:shd w:val="clear" w:color="auto" w:fill="auto"/>
            <w:vAlign w:val="center"/>
            <w:hideMark/>
          </w:tcPr>
          <w:p w14:paraId="5DC6AFA9"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m</w:t>
            </w:r>
            <w:r w:rsidRPr="00C5347D">
              <w:rPr>
                <w:rFonts w:ascii="Arial Narrow" w:hAnsi="Arial Narrow" w:cs="Arial"/>
                <w:sz w:val="20"/>
                <w:vertAlign w:val="superscript"/>
              </w:rPr>
              <w:t>3</w:t>
            </w:r>
          </w:p>
        </w:tc>
        <w:tc>
          <w:tcPr>
            <w:tcW w:w="663" w:type="pct"/>
            <w:shd w:val="clear" w:color="auto" w:fill="auto"/>
            <w:vAlign w:val="center"/>
            <w:hideMark/>
          </w:tcPr>
          <w:p w14:paraId="2A4DDE48" w14:textId="77777777" w:rsidR="006B66E4" w:rsidRPr="00A7320B" w:rsidRDefault="006B66E4" w:rsidP="006B66E4">
            <w:pPr>
              <w:spacing w:after="0"/>
              <w:ind w:left="0" w:firstLine="0"/>
              <w:jc w:val="center"/>
              <w:rPr>
                <w:rFonts w:ascii="Arial Narrow" w:hAnsi="Arial Narrow" w:cs="Arial"/>
                <w:sz w:val="20"/>
              </w:rPr>
            </w:pPr>
            <w:r w:rsidRPr="00A7320B">
              <w:rPr>
                <w:rFonts w:ascii="Arial Narrow" w:hAnsi="Arial Narrow" w:cs="Arial"/>
                <w:sz w:val="20"/>
              </w:rPr>
              <w:t>83,95</w:t>
            </w:r>
          </w:p>
        </w:tc>
        <w:tc>
          <w:tcPr>
            <w:tcW w:w="662" w:type="pct"/>
          </w:tcPr>
          <w:p w14:paraId="08553B9D" w14:textId="77777777" w:rsidR="006B66E4" w:rsidRPr="00C5347D" w:rsidRDefault="006B66E4" w:rsidP="006B66E4">
            <w:pPr>
              <w:spacing w:after="0"/>
              <w:ind w:left="0" w:firstLine="0"/>
              <w:jc w:val="center"/>
              <w:rPr>
                <w:rFonts w:ascii="Arial Narrow" w:hAnsi="Arial Narrow" w:cs="Arial"/>
                <w:sz w:val="20"/>
              </w:rPr>
            </w:pPr>
          </w:p>
        </w:tc>
        <w:tc>
          <w:tcPr>
            <w:tcW w:w="661" w:type="pct"/>
          </w:tcPr>
          <w:p w14:paraId="48DCA624" w14:textId="77777777" w:rsidR="006B66E4" w:rsidRPr="00C5347D" w:rsidRDefault="006B66E4" w:rsidP="006B66E4">
            <w:pPr>
              <w:spacing w:after="0"/>
              <w:ind w:left="0" w:firstLine="0"/>
              <w:jc w:val="center"/>
              <w:rPr>
                <w:rFonts w:ascii="Arial Narrow" w:hAnsi="Arial Narrow" w:cs="Arial"/>
                <w:sz w:val="20"/>
              </w:rPr>
            </w:pPr>
          </w:p>
        </w:tc>
      </w:tr>
      <w:tr w:rsidR="006B66E4" w:rsidRPr="00C5347D" w14:paraId="67ED8D34" w14:textId="77777777" w:rsidTr="00D77BC6">
        <w:trPr>
          <w:trHeight w:val="576"/>
        </w:trPr>
        <w:tc>
          <w:tcPr>
            <w:tcW w:w="311" w:type="pct"/>
            <w:shd w:val="clear" w:color="auto" w:fill="auto"/>
            <w:vAlign w:val="center"/>
            <w:hideMark/>
          </w:tcPr>
          <w:p w14:paraId="1997BEA7"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2.6</w:t>
            </w:r>
          </w:p>
        </w:tc>
        <w:tc>
          <w:tcPr>
            <w:tcW w:w="2263" w:type="pct"/>
            <w:shd w:val="clear" w:color="auto" w:fill="auto"/>
            <w:vAlign w:val="center"/>
            <w:hideMark/>
          </w:tcPr>
          <w:p w14:paraId="6D79CA08" w14:textId="77777777" w:rsidR="006B66E4" w:rsidRPr="00C5347D" w:rsidRDefault="006B66E4" w:rsidP="006B66E4">
            <w:pPr>
              <w:spacing w:after="0"/>
              <w:ind w:left="0" w:firstLine="0"/>
              <w:jc w:val="left"/>
              <w:rPr>
                <w:rFonts w:ascii="Arial Narrow" w:hAnsi="Arial Narrow" w:cs="Arial"/>
                <w:sz w:val="20"/>
              </w:rPr>
            </w:pPr>
            <w:r w:rsidRPr="00C5347D">
              <w:rPr>
                <w:rFonts w:ascii="Arial Narrow" w:hAnsi="Arial Narrow" w:cs="Arial"/>
                <w:sz w:val="20"/>
              </w:rPr>
              <w:t>Béton cyclopéen pour contrefort dosé à 350kg/m</w:t>
            </w:r>
            <w:r w:rsidRPr="00C5347D">
              <w:rPr>
                <w:rFonts w:ascii="Arial Narrow" w:hAnsi="Arial Narrow" w:cs="Arial"/>
                <w:sz w:val="20"/>
                <w:vertAlign w:val="superscript"/>
              </w:rPr>
              <w:t>3</w:t>
            </w:r>
            <w:r w:rsidRPr="00C5347D">
              <w:rPr>
                <w:rFonts w:ascii="Arial Narrow" w:hAnsi="Arial Narrow" w:cs="Arial"/>
                <w:sz w:val="20"/>
              </w:rPr>
              <w:t xml:space="preserve"> avec ajout du </w:t>
            </w:r>
            <w:proofErr w:type="spellStart"/>
            <w:r w:rsidRPr="00C5347D">
              <w:rPr>
                <w:rFonts w:ascii="Arial Narrow" w:hAnsi="Arial Narrow" w:cs="Arial"/>
                <w:sz w:val="20"/>
              </w:rPr>
              <w:t>sikhalite</w:t>
            </w:r>
            <w:proofErr w:type="spellEnd"/>
            <w:r w:rsidRPr="00C5347D">
              <w:rPr>
                <w:rFonts w:ascii="Arial Narrow" w:hAnsi="Arial Narrow" w:cs="Arial"/>
                <w:sz w:val="20"/>
              </w:rPr>
              <w:t xml:space="preserve"> </w:t>
            </w:r>
          </w:p>
        </w:tc>
        <w:tc>
          <w:tcPr>
            <w:tcW w:w="440" w:type="pct"/>
            <w:shd w:val="clear" w:color="auto" w:fill="auto"/>
            <w:vAlign w:val="center"/>
            <w:hideMark/>
          </w:tcPr>
          <w:p w14:paraId="74488C0A"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m</w:t>
            </w:r>
            <w:r w:rsidRPr="00C5347D">
              <w:rPr>
                <w:rFonts w:ascii="Arial Narrow" w:hAnsi="Arial Narrow" w:cs="Arial"/>
                <w:sz w:val="20"/>
                <w:vertAlign w:val="superscript"/>
              </w:rPr>
              <w:t>3</w:t>
            </w:r>
          </w:p>
        </w:tc>
        <w:tc>
          <w:tcPr>
            <w:tcW w:w="663" w:type="pct"/>
            <w:shd w:val="clear" w:color="auto" w:fill="auto"/>
            <w:vAlign w:val="center"/>
            <w:hideMark/>
          </w:tcPr>
          <w:p w14:paraId="1E3154A5" w14:textId="77777777" w:rsidR="006B66E4" w:rsidRPr="00A7320B" w:rsidRDefault="006B66E4" w:rsidP="006B66E4">
            <w:pPr>
              <w:spacing w:after="0"/>
              <w:ind w:left="0" w:firstLine="0"/>
              <w:jc w:val="center"/>
              <w:rPr>
                <w:rFonts w:ascii="Arial Narrow" w:hAnsi="Arial Narrow" w:cs="Arial"/>
                <w:sz w:val="20"/>
              </w:rPr>
            </w:pPr>
            <w:r w:rsidRPr="00A7320B">
              <w:rPr>
                <w:rFonts w:ascii="Arial Narrow" w:hAnsi="Arial Narrow" w:cs="Arial"/>
                <w:sz w:val="20"/>
              </w:rPr>
              <w:t>126,65</w:t>
            </w:r>
          </w:p>
        </w:tc>
        <w:tc>
          <w:tcPr>
            <w:tcW w:w="662" w:type="pct"/>
          </w:tcPr>
          <w:p w14:paraId="6588FEE7" w14:textId="77777777" w:rsidR="006B66E4" w:rsidRPr="00C5347D" w:rsidRDefault="006B66E4" w:rsidP="006B66E4">
            <w:pPr>
              <w:spacing w:after="0"/>
              <w:ind w:left="0" w:firstLine="0"/>
              <w:jc w:val="center"/>
              <w:rPr>
                <w:rFonts w:ascii="Arial Narrow" w:hAnsi="Arial Narrow" w:cs="Arial"/>
                <w:sz w:val="20"/>
              </w:rPr>
            </w:pPr>
          </w:p>
        </w:tc>
        <w:tc>
          <w:tcPr>
            <w:tcW w:w="661" w:type="pct"/>
          </w:tcPr>
          <w:p w14:paraId="53A7D043" w14:textId="77777777" w:rsidR="006B66E4" w:rsidRPr="00C5347D" w:rsidRDefault="006B66E4" w:rsidP="006B66E4">
            <w:pPr>
              <w:spacing w:after="0"/>
              <w:ind w:left="0" w:firstLine="0"/>
              <w:jc w:val="center"/>
              <w:rPr>
                <w:rFonts w:ascii="Arial Narrow" w:hAnsi="Arial Narrow" w:cs="Arial"/>
                <w:sz w:val="20"/>
              </w:rPr>
            </w:pPr>
          </w:p>
        </w:tc>
      </w:tr>
      <w:tr w:rsidR="006B66E4" w:rsidRPr="00C5347D" w14:paraId="0AB88380" w14:textId="77777777" w:rsidTr="00D77BC6">
        <w:trPr>
          <w:trHeight w:val="792"/>
        </w:trPr>
        <w:tc>
          <w:tcPr>
            <w:tcW w:w="311" w:type="pct"/>
            <w:shd w:val="clear" w:color="auto" w:fill="auto"/>
            <w:vAlign w:val="center"/>
            <w:hideMark/>
          </w:tcPr>
          <w:p w14:paraId="1F4EEF31"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2.7</w:t>
            </w:r>
          </w:p>
        </w:tc>
        <w:tc>
          <w:tcPr>
            <w:tcW w:w="2263" w:type="pct"/>
            <w:shd w:val="clear" w:color="auto" w:fill="auto"/>
            <w:vAlign w:val="center"/>
            <w:hideMark/>
          </w:tcPr>
          <w:p w14:paraId="323AE279" w14:textId="77777777" w:rsidR="006B66E4" w:rsidRPr="00C5347D" w:rsidRDefault="006B66E4" w:rsidP="006B66E4">
            <w:pPr>
              <w:spacing w:after="0"/>
              <w:ind w:left="0" w:firstLine="0"/>
              <w:jc w:val="left"/>
              <w:rPr>
                <w:rFonts w:ascii="Arial Narrow" w:hAnsi="Arial Narrow" w:cs="Arial"/>
                <w:sz w:val="20"/>
              </w:rPr>
            </w:pPr>
            <w:r w:rsidRPr="00C5347D">
              <w:rPr>
                <w:rFonts w:ascii="Arial Narrow" w:hAnsi="Arial Narrow" w:cs="Arial"/>
                <w:sz w:val="20"/>
              </w:rPr>
              <w:t>Enduit dosé à 400kg/m3 pour mur d'</w:t>
            </w:r>
            <w:proofErr w:type="spellStart"/>
            <w:r w:rsidRPr="00C5347D">
              <w:rPr>
                <w:rFonts w:ascii="Arial Narrow" w:hAnsi="Arial Narrow" w:cs="Arial"/>
                <w:sz w:val="20"/>
              </w:rPr>
              <w:t>étancheité</w:t>
            </w:r>
            <w:proofErr w:type="spellEnd"/>
            <w:r w:rsidRPr="00C5347D">
              <w:rPr>
                <w:rFonts w:ascii="Arial Narrow" w:hAnsi="Arial Narrow" w:cs="Arial"/>
                <w:sz w:val="20"/>
              </w:rPr>
              <w:t xml:space="preserve"> et contrefort avec ajout du </w:t>
            </w:r>
            <w:proofErr w:type="spellStart"/>
            <w:r w:rsidRPr="00C5347D">
              <w:rPr>
                <w:rFonts w:ascii="Arial Narrow" w:hAnsi="Arial Narrow" w:cs="Arial"/>
                <w:sz w:val="20"/>
              </w:rPr>
              <w:t>sikhalite</w:t>
            </w:r>
            <w:proofErr w:type="spellEnd"/>
            <w:r w:rsidRPr="00C5347D">
              <w:rPr>
                <w:rFonts w:ascii="Arial Narrow" w:hAnsi="Arial Narrow" w:cs="Arial"/>
                <w:sz w:val="20"/>
              </w:rPr>
              <w:t xml:space="preserve"> y compris joint </w:t>
            </w:r>
            <w:proofErr w:type="spellStart"/>
            <w:r w:rsidRPr="00C5347D">
              <w:rPr>
                <w:rFonts w:ascii="Arial Narrow" w:hAnsi="Arial Narrow" w:cs="Arial"/>
                <w:sz w:val="20"/>
              </w:rPr>
              <w:t>polystirène</w:t>
            </w:r>
            <w:proofErr w:type="spellEnd"/>
            <w:r w:rsidRPr="00C5347D">
              <w:rPr>
                <w:rFonts w:ascii="Arial Narrow" w:hAnsi="Arial Narrow" w:cs="Arial"/>
                <w:sz w:val="20"/>
              </w:rPr>
              <w:t xml:space="preserve"> à tous les 10m </w:t>
            </w:r>
          </w:p>
        </w:tc>
        <w:tc>
          <w:tcPr>
            <w:tcW w:w="440" w:type="pct"/>
            <w:shd w:val="clear" w:color="auto" w:fill="auto"/>
            <w:vAlign w:val="center"/>
            <w:hideMark/>
          </w:tcPr>
          <w:p w14:paraId="180F143A"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m</w:t>
            </w:r>
            <w:r w:rsidRPr="00C5347D">
              <w:rPr>
                <w:rFonts w:ascii="Arial Narrow" w:hAnsi="Arial Narrow" w:cs="Arial"/>
                <w:sz w:val="20"/>
                <w:vertAlign w:val="superscript"/>
              </w:rPr>
              <w:t>2</w:t>
            </w:r>
          </w:p>
        </w:tc>
        <w:tc>
          <w:tcPr>
            <w:tcW w:w="663" w:type="pct"/>
            <w:shd w:val="clear" w:color="auto" w:fill="auto"/>
            <w:vAlign w:val="center"/>
            <w:hideMark/>
          </w:tcPr>
          <w:p w14:paraId="1587A780" w14:textId="77777777" w:rsidR="006B66E4" w:rsidRPr="00A7320B" w:rsidRDefault="006B66E4" w:rsidP="006B66E4">
            <w:pPr>
              <w:spacing w:after="0"/>
              <w:ind w:left="0" w:firstLine="0"/>
              <w:jc w:val="center"/>
              <w:rPr>
                <w:rFonts w:ascii="Arial Narrow" w:hAnsi="Arial Narrow" w:cs="Arial"/>
                <w:sz w:val="20"/>
              </w:rPr>
            </w:pPr>
            <w:r w:rsidRPr="00A7320B">
              <w:rPr>
                <w:rFonts w:ascii="Arial Narrow" w:hAnsi="Arial Narrow" w:cs="Arial"/>
                <w:sz w:val="20"/>
              </w:rPr>
              <w:t>437,20</w:t>
            </w:r>
          </w:p>
        </w:tc>
        <w:tc>
          <w:tcPr>
            <w:tcW w:w="662" w:type="pct"/>
          </w:tcPr>
          <w:p w14:paraId="10319658" w14:textId="77777777" w:rsidR="006B66E4" w:rsidRPr="00C5347D" w:rsidRDefault="006B66E4" w:rsidP="006B66E4">
            <w:pPr>
              <w:spacing w:after="0"/>
              <w:ind w:left="0" w:firstLine="0"/>
              <w:jc w:val="center"/>
              <w:rPr>
                <w:rFonts w:ascii="Arial Narrow" w:hAnsi="Arial Narrow" w:cs="Arial"/>
                <w:sz w:val="20"/>
              </w:rPr>
            </w:pPr>
          </w:p>
        </w:tc>
        <w:tc>
          <w:tcPr>
            <w:tcW w:w="661" w:type="pct"/>
          </w:tcPr>
          <w:p w14:paraId="59617453" w14:textId="77777777" w:rsidR="006B66E4" w:rsidRPr="00C5347D" w:rsidRDefault="006B66E4" w:rsidP="006B66E4">
            <w:pPr>
              <w:spacing w:after="0"/>
              <w:ind w:left="0" w:firstLine="0"/>
              <w:jc w:val="center"/>
              <w:rPr>
                <w:rFonts w:ascii="Arial Narrow" w:hAnsi="Arial Narrow" w:cs="Arial"/>
                <w:sz w:val="20"/>
              </w:rPr>
            </w:pPr>
          </w:p>
        </w:tc>
      </w:tr>
      <w:tr w:rsidR="006B66E4" w:rsidRPr="00C5347D" w14:paraId="7895722B" w14:textId="77777777" w:rsidTr="00D77BC6">
        <w:trPr>
          <w:trHeight w:val="528"/>
        </w:trPr>
        <w:tc>
          <w:tcPr>
            <w:tcW w:w="311" w:type="pct"/>
            <w:shd w:val="clear" w:color="auto" w:fill="auto"/>
            <w:vAlign w:val="center"/>
            <w:hideMark/>
          </w:tcPr>
          <w:p w14:paraId="639975D4"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2.8</w:t>
            </w:r>
          </w:p>
        </w:tc>
        <w:tc>
          <w:tcPr>
            <w:tcW w:w="2263" w:type="pct"/>
            <w:shd w:val="clear" w:color="auto" w:fill="auto"/>
            <w:vAlign w:val="center"/>
            <w:hideMark/>
          </w:tcPr>
          <w:p w14:paraId="114A25ED" w14:textId="77777777" w:rsidR="006B66E4" w:rsidRPr="00C5347D" w:rsidRDefault="006B66E4" w:rsidP="006B66E4">
            <w:pPr>
              <w:spacing w:after="0"/>
              <w:ind w:left="0" w:firstLine="0"/>
              <w:jc w:val="left"/>
              <w:rPr>
                <w:rFonts w:ascii="Arial Narrow" w:hAnsi="Arial Narrow" w:cs="Arial"/>
                <w:sz w:val="20"/>
              </w:rPr>
            </w:pPr>
            <w:r w:rsidRPr="00C5347D">
              <w:rPr>
                <w:rFonts w:ascii="Arial Narrow" w:hAnsi="Arial Narrow" w:cs="Arial"/>
                <w:sz w:val="20"/>
              </w:rPr>
              <w:t xml:space="preserve">Fourniture de joint water stop à </w:t>
            </w:r>
            <w:proofErr w:type="spellStart"/>
            <w:r w:rsidRPr="00C5347D">
              <w:rPr>
                <w:rFonts w:ascii="Arial Narrow" w:hAnsi="Arial Narrow" w:cs="Arial"/>
                <w:sz w:val="20"/>
              </w:rPr>
              <w:t>scéller</w:t>
            </w:r>
            <w:proofErr w:type="spellEnd"/>
            <w:r w:rsidRPr="00C5347D">
              <w:rPr>
                <w:rFonts w:ascii="Arial Narrow" w:hAnsi="Arial Narrow" w:cs="Arial"/>
                <w:sz w:val="20"/>
              </w:rPr>
              <w:t xml:space="preserve"> dans un </w:t>
            </w:r>
            <w:proofErr w:type="spellStart"/>
            <w:r w:rsidRPr="00C5347D">
              <w:rPr>
                <w:rFonts w:ascii="Arial Narrow" w:hAnsi="Arial Narrow" w:cs="Arial"/>
                <w:sz w:val="20"/>
              </w:rPr>
              <w:t>élement</w:t>
            </w:r>
            <w:proofErr w:type="spellEnd"/>
            <w:r w:rsidRPr="00C5347D">
              <w:rPr>
                <w:rFonts w:ascii="Arial Narrow" w:hAnsi="Arial Narrow" w:cs="Arial"/>
                <w:sz w:val="20"/>
              </w:rPr>
              <w:t xml:space="preserve"> de béton à </w:t>
            </w:r>
            <w:proofErr w:type="spellStart"/>
            <w:r w:rsidRPr="00C5347D">
              <w:rPr>
                <w:rFonts w:ascii="Arial Narrow" w:hAnsi="Arial Narrow" w:cs="Arial"/>
                <w:sz w:val="20"/>
              </w:rPr>
              <w:t>tout</w:t>
            </w:r>
            <w:proofErr w:type="spellEnd"/>
            <w:r w:rsidRPr="00C5347D">
              <w:rPr>
                <w:rFonts w:ascii="Arial Narrow" w:hAnsi="Arial Narrow" w:cs="Arial"/>
                <w:sz w:val="20"/>
              </w:rPr>
              <w:t xml:space="preserve"> les 10 </w:t>
            </w:r>
            <w:proofErr w:type="spellStart"/>
            <w:r w:rsidRPr="00C5347D">
              <w:rPr>
                <w:rFonts w:ascii="Arial Narrow" w:hAnsi="Arial Narrow" w:cs="Arial"/>
                <w:sz w:val="20"/>
              </w:rPr>
              <w:t>métres</w:t>
            </w:r>
            <w:proofErr w:type="spellEnd"/>
            <w:r w:rsidRPr="00C5347D">
              <w:rPr>
                <w:rFonts w:ascii="Arial Narrow" w:hAnsi="Arial Narrow" w:cs="Arial"/>
                <w:sz w:val="20"/>
              </w:rPr>
              <w:t xml:space="preserve"> y compris toutes </w:t>
            </w:r>
            <w:proofErr w:type="spellStart"/>
            <w:r w:rsidRPr="00C5347D">
              <w:rPr>
                <w:rFonts w:ascii="Arial Narrow" w:hAnsi="Arial Narrow" w:cs="Arial"/>
                <w:sz w:val="20"/>
              </w:rPr>
              <w:t>sujetions</w:t>
            </w:r>
            <w:proofErr w:type="spellEnd"/>
          </w:p>
        </w:tc>
        <w:tc>
          <w:tcPr>
            <w:tcW w:w="440" w:type="pct"/>
            <w:shd w:val="clear" w:color="auto" w:fill="auto"/>
            <w:vAlign w:val="center"/>
            <w:hideMark/>
          </w:tcPr>
          <w:p w14:paraId="649DBBC1"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ml</w:t>
            </w:r>
          </w:p>
        </w:tc>
        <w:tc>
          <w:tcPr>
            <w:tcW w:w="663" w:type="pct"/>
            <w:shd w:val="clear" w:color="auto" w:fill="auto"/>
            <w:vAlign w:val="center"/>
            <w:hideMark/>
          </w:tcPr>
          <w:p w14:paraId="1238BFF8" w14:textId="77777777" w:rsidR="006B66E4" w:rsidRPr="00A7320B" w:rsidRDefault="006B66E4" w:rsidP="006B66E4">
            <w:pPr>
              <w:spacing w:after="0"/>
              <w:ind w:left="0" w:firstLine="0"/>
              <w:jc w:val="center"/>
              <w:rPr>
                <w:rFonts w:ascii="Arial Narrow" w:hAnsi="Arial Narrow" w:cs="Arial"/>
                <w:sz w:val="20"/>
              </w:rPr>
            </w:pPr>
            <w:r w:rsidRPr="00A7320B">
              <w:rPr>
                <w:rFonts w:ascii="Arial Narrow" w:hAnsi="Arial Narrow" w:cs="Arial"/>
                <w:sz w:val="20"/>
              </w:rPr>
              <w:t>55,00</w:t>
            </w:r>
          </w:p>
        </w:tc>
        <w:tc>
          <w:tcPr>
            <w:tcW w:w="662" w:type="pct"/>
          </w:tcPr>
          <w:p w14:paraId="2629534E" w14:textId="77777777" w:rsidR="006B66E4" w:rsidRPr="00C5347D" w:rsidRDefault="006B66E4" w:rsidP="006B66E4">
            <w:pPr>
              <w:spacing w:after="0"/>
              <w:ind w:left="0" w:firstLine="0"/>
              <w:jc w:val="center"/>
              <w:rPr>
                <w:rFonts w:ascii="Arial Narrow" w:hAnsi="Arial Narrow" w:cs="Arial"/>
                <w:sz w:val="20"/>
              </w:rPr>
            </w:pPr>
          </w:p>
        </w:tc>
        <w:tc>
          <w:tcPr>
            <w:tcW w:w="661" w:type="pct"/>
          </w:tcPr>
          <w:p w14:paraId="1A6D9262" w14:textId="77777777" w:rsidR="006B66E4" w:rsidRPr="00C5347D" w:rsidRDefault="006B66E4" w:rsidP="006B66E4">
            <w:pPr>
              <w:spacing w:after="0"/>
              <w:ind w:left="0" w:firstLine="0"/>
              <w:jc w:val="center"/>
              <w:rPr>
                <w:rFonts w:ascii="Arial Narrow" w:hAnsi="Arial Narrow" w:cs="Arial"/>
                <w:sz w:val="20"/>
              </w:rPr>
            </w:pPr>
          </w:p>
        </w:tc>
      </w:tr>
      <w:tr w:rsidR="006B66E4" w:rsidRPr="00C5347D" w14:paraId="19D1C0A2" w14:textId="77777777" w:rsidTr="00D77BC6">
        <w:trPr>
          <w:trHeight w:val="792"/>
        </w:trPr>
        <w:tc>
          <w:tcPr>
            <w:tcW w:w="311" w:type="pct"/>
            <w:shd w:val="clear" w:color="auto" w:fill="auto"/>
            <w:vAlign w:val="center"/>
            <w:hideMark/>
          </w:tcPr>
          <w:p w14:paraId="1849E125"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2.9</w:t>
            </w:r>
          </w:p>
        </w:tc>
        <w:tc>
          <w:tcPr>
            <w:tcW w:w="2263" w:type="pct"/>
            <w:shd w:val="clear" w:color="auto" w:fill="auto"/>
            <w:vAlign w:val="center"/>
            <w:hideMark/>
          </w:tcPr>
          <w:p w14:paraId="654F164A" w14:textId="77777777" w:rsidR="006B66E4" w:rsidRPr="00C5347D" w:rsidRDefault="006B66E4" w:rsidP="006B66E4">
            <w:pPr>
              <w:spacing w:after="0"/>
              <w:ind w:left="0" w:firstLine="0"/>
              <w:jc w:val="left"/>
              <w:rPr>
                <w:rFonts w:ascii="Arial Narrow" w:hAnsi="Arial Narrow" w:cs="Arial"/>
                <w:sz w:val="20"/>
              </w:rPr>
            </w:pPr>
            <w:r w:rsidRPr="00C5347D">
              <w:rPr>
                <w:rFonts w:ascii="Arial Narrow" w:hAnsi="Arial Narrow" w:cs="Arial"/>
                <w:sz w:val="20"/>
              </w:rPr>
              <w:t xml:space="preserve">Béton ordinaire dosé à 400kg/m3 avec ajout du </w:t>
            </w:r>
            <w:proofErr w:type="spellStart"/>
            <w:r w:rsidRPr="00C5347D">
              <w:rPr>
                <w:rFonts w:ascii="Arial Narrow" w:hAnsi="Arial Narrow" w:cs="Arial"/>
                <w:sz w:val="20"/>
              </w:rPr>
              <w:t>sikhalite</w:t>
            </w:r>
            <w:proofErr w:type="spellEnd"/>
            <w:r w:rsidRPr="00C5347D">
              <w:rPr>
                <w:rFonts w:ascii="Arial Narrow" w:hAnsi="Arial Narrow" w:cs="Arial"/>
                <w:sz w:val="20"/>
              </w:rPr>
              <w:t xml:space="preserve"> dans la masse pour scellement des joints waters stop y compris pose de joint et polystyrène</w:t>
            </w:r>
          </w:p>
        </w:tc>
        <w:tc>
          <w:tcPr>
            <w:tcW w:w="440" w:type="pct"/>
            <w:shd w:val="clear" w:color="auto" w:fill="auto"/>
            <w:vAlign w:val="center"/>
            <w:hideMark/>
          </w:tcPr>
          <w:p w14:paraId="26170A86"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m</w:t>
            </w:r>
            <w:r w:rsidRPr="00C5347D">
              <w:rPr>
                <w:rFonts w:ascii="Arial Narrow" w:hAnsi="Arial Narrow" w:cs="Arial"/>
                <w:sz w:val="20"/>
                <w:vertAlign w:val="superscript"/>
              </w:rPr>
              <w:t>3</w:t>
            </w:r>
          </w:p>
        </w:tc>
        <w:tc>
          <w:tcPr>
            <w:tcW w:w="663" w:type="pct"/>
            <w:shd w:val="clear" w:color="auto" w:fill="auto"/>
            <w:vAlign w:val="center"/>
            <w:hideMark/>
          </w:tcPr>
          <w:p w14:paraId="5CFB70E6" w14:textId="77777777" w:rsidR="006B66E4" w:rsidRPr="00A7320B" w:rsidRDefault="006B66E4" w:rsidP="006B66E4">
            <w:pPr>
              <w:spacing w:after="0"/>
              <w:ind w:left="0" w:firstLine="0"/>
              <w:jc w:val="center"/>
              <w:rPr>
                <w:rFonts w:ascii="Arial Narrow" w:hAnsi="Arial Narrow" w:cs="Arial"/>
                <w:sz w:val="20"/>
              </w:rPr>
            </w:pPr>
            <w:r w:rsidRPr="00A7320B">
              <w:rPr>
                <w:rFonts w:ascii="Arial Narrow" w:hAnsi="Arial Narrow" w:cs="Arial"/>
                <w:sz w:val="20"/>
              </w:rPr>
              <w:t>17,50</w:t>
            </w:r>
          </w:p>
        </w:tc>
        <w:tc>
          <w:tcPr>
            <w:tcW w:w="662" w:type="pct"/>
          </w:tcPr>
          <w:p w14:paraId="35270691" w14:textId="77777777" w:rsidR="006B66E4" w:rsidRPr="00C5347D" w:rsidRDefault="006B66E4" w:rsidP="006B66E4">
            <w:pPr>
              <w:spacing w:after="0"/>
              <w:ind w:left="0" w:firstLine="0"/>
              <w:jc w:val="center"/>
              <w:rPr>
                <w:rFonts w:ascii="Arial Narrow" w:hAnsi="Arial Narrow" w:cs="Arial"/>
                <w:sz w:val="20"/>
              </w:rPr>
            </w:pPr>
          </w:p>
        </w:tc>
        <w:tc>
          <w:tcPr>
            <w:tcW w:w="661" w:type="pct"/>
          </w:tcPr>
          <w:p w14:paraId="3533A871" w14:textId="77777777" w:rsidR="006B66E4" w:rsidRPr="00C5347D" w:rsidRDefault="006B66E4" w:rsidP="006B66E4">
            <w:pPr>
              <w:spacing w:after="0"/>
              <w:ind w:left="0" w:firstLine="0"/>
              <w:jc w:val="center"/>
              <w:rPr>
                <w:rFonts w:ascii="Arial Narrow" w:hAnsi="Arial Narrow" w:cs="Arial"/>
                <w:sz w:val="20"/>
              </w:rPr>
            </w:pPr>
          </w:p>
        </w:tc>
      </w:tr>
      <w:tr w:rsidR="006B66E4" w:rsidRPr="00C5347D" w14:paraId="0D55F7AB" w14:textId="77777777" w:rsidTr="00D77BC6">
        <w:trPr>
          <w:trHeight w:val="264"/>
        </w:trPr>
        <w:tc>
          <w:tcPr>
            <w:tcW w:w="311" w:type="pct"/>
            <w:shd w:val="clear" w:color="auto" w:fill="auto"/>
            <w:vAlign w:val="center"/>
            <w:hideMark/>
          </w:tcPr>
          <w:p w14:paraId="1ED7C891"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 </w:t>
            </w:r>
          </w:p>
        </w:tc>
        <w:tc>
          <w:tcPr>
            <w:tcW w:w="2263" w:type="pct"/>
            <w:shd w:val="clear" w:color="auto" w:fill="auto"/>
            <w:vAlign w:val="center"/>
            <w:hideMark/>
          </w:tcPr>
          <w:p w14:paraId="5736219D" w14:textId="77777777" w:rsidR="006B66E4" w:rsidRPr="00C5347D" w:rsidRDefault="006B66E4" w:rsidP="006B66E4">
            <w:pPr>
              <w:spacing w:after="0"/>
              <w:ind w:left="0" w:firstLine="0"/>
              <w:jc w:val="right"/>
              <w:rPr>
                <w:rFonts w:ascii="Arial Narrow" w:hAnsi="Arial Narrow" w:cs="Arial"/>
                <w:b/>
                <w:bCs/>
                <w:sz w:val="20"/>
              </w:rPr>
            </w:pPr>
            <w:r w:rsidRPr="00C5347D">
              <w:rPr>
                <w:rFonts w:ascii="Arial Narrow" w:hAnsi="Arial Narrow" w:cs="Arial"/>
                <w:b/>
                <w:bCs/>
                <w:sz w:val="20"/>
              </w:rPr>
              <w:t xml:space="preserve">Total </w:t>
            </w:r>
            <w:proofErr w:type="spellStart"/>
            <w:r w:rsidRPr="00C5347D">
              <w:rPr>
                <w:rFonts w:ascii="Arial Narrow" w:hAnsi="Arial Narrow" w:cs="Arial"/>
                <w:b/>
                <w:bCs/>
                <w:sz w:val="20"/>
              </w:rPr>
              <w:t>Serie</w:t>
            </w:r>
            <w:proofErr w:type="spellEnd"/>
            <w:r w:rsidRPr="00C5347D">
              <w:rPr>
                <w:rFonts w:ascii="Arial Narrow" w:hAnsi="Arial Narrow" w:cs="Arial"/>
                <w:b/>
                <w:bCs/>
                <w:sz w:val="20"/>
              </w:rPr>
              <w:t xml:space="preserve"> 2</w:t>
            </w:r>
          </w:p>
        </w:tc>
        <w:tc>
          <w:tcPr>
            <w:tcW w:w="440" w:type="pct"/>
            <w:shd w:val="clear" w:color="auto" w:fill="auto"/>
            <w:vAlign w:val="center"/>
            <w:hideMark/>
          </w:tcPr>
          <w:p w14:paraId="52B4740D"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 </w:t>
            </w:r>
          </w:p>
        </w:tc>
        <w:tc>
          <w:tcPr>
            <w:tcW w:w="663" w:type="pct"/>
            <w:shd w:val="clear" w:color="auto" w:fill="auto"/>
            <w:vAlign w:val="center"/>
            <w:hideMark/>
          </w:tcPr>
          <w:p w14:paraId="6FD505C4" w14:textId="77777777" w:rsidR="006B66E4" w:rsidRPr="00A7320B" w:rsidRDefault="006B66E4" w:rsidP="006B66E4">
            <w:pPr>
              <w:spacing w:after="0"/>
              <w:ind w:left="0" w:firstLine="0"/>
              <w:jc w:val="center"/>
              <w:rPr>
                <w:rFonts w:ascii="Arial Narrow" w:hAnsi="Arial Narrow" w:cs="Arial"/>
                <w:sz w:val="20"/>
              </w:rPr>
            </w:pPr>
            <w:r w:rsidRPr="00A7320B">
              <w:rPr>
                <w:rFonts w:ascii="Arial Narrow" w:hAnsi="Arial Narrow" w:cs="Arial"/>
                <w:sz w:val="20"/>
              </w:rPr>
              <w:t> </w:t>
            </w:r>
          </w:p>
        </w:tc>
        <w:tc>
          <w:tcPr>
            <w:tcW w:w="662" w:type="pct"/>
          </w:tcPr>
          <w:p w14:paraId="5A4B1162" w14:textId="77777777" w:rsidR="006B66E4" w:rsidRPr="00C5347D" w:rsidRDefault="006B66E4" w:rsidP="006B66E4">
            <w:pPr>
              <w:spacing w:after="0"/>
              <w:ind w:left="0" w:firstLine="0"/>
              <w:jc w:val="center"/>
              <w:rPr>
                <w:rFonts w:ascii="Arial Narrow" w:hAnsi="Arial Narrow" w:cs="Arial"/>
                <w:sz w:val="20"/>
              </w:rPr>
            </w:pPr>
          </w:p>
        </w:tc>
        <w:tc>
          <w:tcPr>
            <w:tcW w:w="661" w:type="pct"/>
          </w:tcPr>
          <w:p w14:paraId="0CE6CD13" w14:textId="77777777" w:rsidR="006B66E4" w:rsidRPr="00C5347D" w:rsidRDefault="006B66E4" w:rsidP="006B66E4">
            <w:pPr>
              <w:spacing w:after="0"/>
              <w:ind w:left="0" w:firstLine="0"/>
              <w:jc w:val="center"/>
              <w:rPr>
                <w:rFonts w:ascii="Arial Narrow" w:hAnsi="Arial Narrow" w:cs="Arial"/>
                <w:sz w:val="20"/>
              </w:rPr>
            </w:pPr>
          </w:p>
        </w:tc>
      </w:tr>
      <w:tr w:rsidR="006B66E4" w:rsidRPr="00C5347D" w14:paraId="0EF2F070" w14:textId="77777777" w:rsidTr="00D77BC6">
        <w:trPr>
          <w:trHeight w:val="264"/>
        </w:trPr>
        <w:tc>
          <w:tcPr>
            <w:tcW w:w="311" w:type="pct"/>
            <w:shd w:val="clear" w:color="auto" w:fill="auto"/>
            <w:vAlign w:val="center"/>
            <w:hideMark/>
          </w:tcPr>
          <w:p w14:paraId="360B2394"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 </w:t>
            </w:r>
          </w:p>
        </w:tc>
        <w:tc>
          <w:tcPr>
            <w:tcW w:w="2263" w:type="pct"/>
            <w:shd w:val="clear" w:color="auto" w:fill="auto"/>
            <w:vAlign w:val="center"/>
            <w:hideMark/>
          </w:tcPr>
          <w:p w14:paraId="6460B10A" w14:textId="77777777" w:rsidR="006B66E4" w:rsidRPr="00C5347D" w:rsidRDefault="006B66E4" w:rsidP="006B66E4">
            <w:pPr>
              <w:spacing w:after="0"/>
              <w:ind w:left="0" w:firstLine="0"/>
              <w:jc w:val="left"/>
              <w:rPr>
                <w:rFonts w:ascii="Arial Narrow" w:hAnsi="Arial Narrow" w:cs="Arial"/>
                <w:b/>
                <w:bCs/>
                <w:sz w:val="20"/>
              </w:rPr>
            </w:pPr>
            <w:proofErr w:type="spellStart"/>
            <w:r w:rsidRPr="00C5347D">
              <w:rPr>
                <w:rFonts w:ascii="Arial Narrow" w:hAnsi="Arial Narrow" w:cs="Arial"/>
                <w:b/>
                <w:bCs/>
                <w:sz w:val="20"/>
              </w:rPr>
              <w:t>Serie</w:t>
            </w:r>
            <w:proofErr w:type="spellEnd"/>
            <w:r w:rsidRPr="00C5347D">
              <w:rPr>
                <w:rFonts w:ascii="Arial Narrow" w:hAnsi="Arial Narrow" w:cs="Arial"/>
                <w:b/>
                <w:bCs/>
                <w:sz w:val="20"/>
              </w:rPr>
              <w:t xml:space="preserve"> III-  PERTUIS DE VIDANGE </w:t>
            </w:r>
          </w:p>
        </w:tc>
        <w:tc>
          <w:tcPr>
            <w:tcW w:w="440" w:type="pct"/>
            <w:shd w:val="clear" w:color="auto" w:fill="auto"/>
            <w:vAlign w:val="center"/>
            <w:hideMark/>
          </w:tcPr>
          <w:p w14:paraId="6C74C963"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 </w:t>
            </w:r>
          </w:p>
        </w:tc>
        <w:tc>
          <w:tcPr>
            <w:tcW w:w="663" w:type="pct"/>
            <w:shd w:val="clear" w:color="auto" w:fill="auto"/>
            <w:vAlign w:val="center"/>
            <w:hideMark/>
          </w:tcPr>
          <w:p w14:paraId="575EC55D" w14:textId="77777777" w:rsidR="006B66E4" w:rsidRPr="00A7320B" w:rsidRDefault="006B66E4" w:rsidP="006B66E4">
            <w:pPr>
              <w:spacing w:after="0"/>
              <w:ind w:left="0" w:firstLine="0"/>
              <w:jc w:val="center"/>
              <w:rPr>
                <w:rFonts w:ascii="Arial Narrow" w:hAnsi="Arial Narrow" w:cs="Arial"/>
                <w:sz w:val="20"/>
              </w:rPr>
            </w:pPr>
            <w:r w:rsidRPr="00A7320B">
              <w:rPr>
                <w:rFonts w:ascii="Arial Narrow" w:hAnsi="Arial Narrow" w:cs="Arial"/>
                <w:sz w:val="20"/>
              </w:rPr>
              <w:t> </w:t>
            </w:r>
          </w:p>
        </w:tc>
        <w:tc>
          <w:tcPr>
            <w:tcW w:w="662" w:type="pct"/>
          </w:tcPr>
          <w:p w14:paraId="69C657ED" w14:textId="77777777" w:rsidR="006B66E4" w:rsidRPr="00C5347D" w:rsidRDefault="006B66E4" w:rsidP="006B66E4">
            <w:pPr>
              <w:spacing w:after="0"/>
              <w:ind w:left="0" w:firstLine="0"/>
              <w:jc w:val="center"/>
              <w:rPr>
                <w:rFonts w:ascii="Arial Narrow" w:hAnsi="Arial Narrow" w:cs="Arial"/>
                <w:sz w:val="20"/>
              </w:rPr>
            </w:pPr>
          </w:p>
        </w:tc>
        <w:tc>
          <w:tcPr>
            <w:tcW w:w="661" w:type="pct"/>
          </w:tcPr>
          <w:p w14:paraId="79280273" w14:textId="77777777" w:rsidR="006B66E4" w:rsidRPr="00C5347D" w:rsidRDefault="006B66E4" w:rsidP="006B66E4">
            <w:pPr>
              <w:spacing w:after="0"/>
              <w:ind w:left="0" w:firstLine="0"/>
              <w:jc w:val="center"/>
              <w:rPr>
                <w:rFonts w:ascii="Arial Narrow" w:hAnsi="Arial Narrow" w:cs="Arial"/>
                <w:sz w:val="20"/>
              </w:rPr>
            </w:pPr>
          </w:p>
        </w:tc>
      </w:tr>
      <w:tr w:rsidR="006B66E4" w:rsidRPr="00C5347D" w14:paraId="78692DCD" w14:textId="77777777" w:rsidTr="00D77BC6">
        <w:trPr>
          <w:trHeight w:val="312"/>
        </w:trPr>
        <w:tc>
          <w:tcPr>
            <w:tcW w:w="311" w:type="pct"/>
            <w:shd w:val="clear" w:color="auto" w:fill="auto"/>
            <w:vAlign w:val="center"/>
            <w:hideMark/>
          </w:tcPr>
          <w:p w14:paraId="18FEB981"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3.1</w:t>
            </w:r>
          </w:p>
        </w:tc>
        <w:tc>
          <w:tcPr>
            <w:tcW w:w="2263" w:type="pct"/>
            <w:shd w:val="clear" w:color="auto" w:fill="auto"/>
            <w:vAlign w:val="center"/>
            <w:hideMark/>
          </w:tcPr>
          <w:p w14:paraId="7F1F41E8" w14:textId="77777777" w:rsidR="006B66E4" w:rsidRPr="00C5347D" w:rsidRDefault="006B66E4" w:rsidP="006B66E4">
            <w:pPr>
              <w:spacing w:after="0"/>
              <w:ind w:left="0" w:firstLine="0"/>
              <w:jc w:val="left"/>
              <w:rPr>
                <w:rFonts w:ascii="Arial Narrow" w:hAnsi="Arial Narrow" w:cs="Arial"/>
                <w:sz w:val="20"/>
              </w:rPr>
            </w:pPr>
            <w:r w:rsidRPr="00C5347D">
              <w:rPr>
                <w:rFonts w:ascii="Arial Narrow" w:hAnsi="Arial Narrow" w:cs="Arial"/>
                <w:sz w:val="20"/>
              </w:rPr>
              <w:t xml:space="preserve">Fouille pour murs pertuis </w:t>
            </w:r>
          </w:p>
        </w:tc>
        <w:tc>
          <w:tcPr>
            <w:tcW w:w="440" w:type="pct"/>
            <w:shd w:val="clear" w:color="auto" w:fill="auto"/>
            <w:vAlign w:val="center"/>
            <w:hideMark/>
          </w:tcPr>
          <w:p w14:paraId="6D305C63"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m</w:t>
            </w:r>
            <w:r w:rsidRPr="00C5347D">
              <w:rPr>
                <w:rFonts w:ascii="Arial Narrow" w:hAnsi="Arial Narrow" w:cs="Arial"/>
                <w:sz w:val="20"/>
                <w:vertAlign w:val="superscript"/>
              </w:rPr>
              <w:t>3</w:t>
            </w:r>
          </w:p>
        </w:tc>
        <w:tc>
          <w:tcPr>
            <w:tcW w:w="663" w:type="pct"/>
            <w:shd w:val="clear" w:color="auto" w:fill="auto"/>
            <w:vAlign w:val="center"/>
            <w:hideMark/>
          </w:tcPr>
          <w:p w14:paraId="73552C96" w14:textId="77777777" w:rsidR="006B66E4" w:rsidRPr="00A7320B" w:rsidRDefault="006B66E4" w:rsidP="006B66E4">
            <w:pPr>
              <w:spacing w:after="0"/>
              <w:ind w:left="0" w:firstLine="0"/>
              <w:jc w:val="center"/>
              <w:rPr>
                <w:rFonts w:ascii="Arial Narrow" w:hAnsi="Arial Narrow" w:cs="Arial"/>
                <w:sz w:val="20"/>
              </w:rPr>
            </w:pPr>
            <w:r w:rsidRPr="00A7320B">
              <w:rPr>
                <w:rFonts w:ascii="Arial Narrow" w:hAnsi="Arial Narrow" w:cs="Arial"/>
                <w:sz w:val="20"/>
              </w:rPr>
              <w:t>10,20</w:t>
            </w:r>
          </w:p>
        </w:tc>
        <w:tc>
          <w:tcPr>
            <w:tcW w:w="662" w:type="pct"/>
          </w:tcPr>
          <w:p w14:paraId="259C629E" w14:textId="77777777" w:rsidR="006B66E4" w:rsidRPr="00C5347D" w:rsidRDefault="006B66E4" w:rsidP="006B66E4">
            <w:pPr>
              <w:spacing w:after="0"/>
              <w:ind w:left="0" w:firstLine="0"/>
              <w:jc w:val="center"/>
              <w:rPr>
                <w:rFonts w:ascii="Arial Narrow" w:hAnsi="Arial Narrow" w:cs="Arial"/>
                <w:sz w:val="20"/>
              </w:rPr>
            </w:pPr>
          </w:p>
        </w:tc>
        <w:tc>
          <w:tcPr>
            <w:tcW w:w="661" w:type="pct"/>
          </w:tcPr>
          <w:p w14:paraId="7B7FFF11" w14:textId="77777777" w:rsidR="006B66E4" w:rsidRPr="00C5347D" w:rsidRDefault="006B66E4" w:rsidP="006B66E4">
            <w:pPr>
              <w:spacing w:after="0"/>
              <w:ind w:left="0" w:firstLine="0"/>
              <w:jc w:val="center"/>
              <w:rPr>
                <w:rFonts w:ascii="Arial Narrow" w:hAnsi="Arial Narrow" w:cs="Arial"/>
                <w:sz w:val="20"/>
              </w:rPr>
            </w:pPr>
          </w:p>
        </w:tc>
      </w:tr>
      <w:tr w:rsidR="006B66E4" w:rsidRPr="00C5347D" w14:paraId="06976A91" w14:textId="77777777" w:rsidTr="00D77BC6">
        <w:trPr>
          <w:trHeight w:val="312"/>
        </w:trPr>
        <w:tc>
          <w:tcPr>
            <w:tcW w:w="311" w:type="pct"/>
            <w:shd w:val="clear" w:color="auto" w:fill="auto"/>
            <w:vAlign w:val="center"/>
            <w:hideMark/>
          </w:tcPr>
          <w:p w14:paraId="760F10C6"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3.2</w:t>
            </w:r>
          </w:p>
        </w:tc>
        <w:tc>
          <w:tcPr>
            <w:tcW w:w="2263" w:type="pct"/>
            <w:shd w:val="clear" w:color="auto" w:fill="auto"/>
            <w:vAlign w:val="center"/>
            <w:hideMark/>
          </w:tcPr>
          <w:p w14:paraId="3B036D26" w14:textId="77777777" w:rsidR="006B66E4" w:rsidRPr="00C5347D" w:rsidRDefault="006B66E4" w:rsidP="006B66E4">
            <w:pPr>
              <w:spacing w:after="0"/>
              <w:ind w:left="0" w:firstLine="0"/>
              <w:jc w:val="left"/>
              <w:rPr>
                <w:rFonts w:ascii="Arial Narrow" w:hAnsi="Arial Narrow" w:cs="Arial"/>
                <w:sz w:val="20"/>
              </w:rPr>
            </w:pPr>
            <w:r w:rsidRPr="00C5347D">
              <w:rPr>
                <w:rFonts w:ascii="Arial Narrow" w:hAnsi="Arial Narrow" w:cs="Arial"/>
                <w:sz w:val="20"/>
              </w:rPr>
              <w:t>Béton de propreté dosé à 150kg/m</w:t>
            </w:r>
            <w:r w:rsidRPr="00C5347D">
              <w:rPr>
                <w:rFonts w:ascii="Arial Narrow" w:hAnsi="Arial Narrow" w:cs="Arial"/>
                <w:sz w:val="20"/>
                <w:vertAlign w:val="superscript"/>
              </w:rPr>
              <w:t>3</w:t>
            </w:r>
            <w:r w:rsidRPr="00C5347D">
              <w:rPr>
                <w:rFonts w:ascii="Arial Narrow" w:hAnsi="Arial Narrow" w:cs="Arial"/>
                <w:sz w:val="20"/>
              </w:rPr>
              <w:t xml:space="preserve"> </w:t>
            </w:r>
            <w:proofErr w:type="spellStart"/>
            <w:r w:rsidRPr="00C5347D">
              <w:rPr>
                <w:rFonts w:ascii="Arial Narrow" w:hAnsi="Arial Narrow" w:cs="Arial"/>
                <w:sz w:val="20"/>
              </w:rPr>
              <w:t>ep</w:t>
            </w:r>
            <w:proofErr w:type="spellEnd"/>
            <w:r w:rsidRPr="00C5347D">
              <w:rPr>
                <w:rFonts w:ascii="Arial Narrow" w:hAnsi="Arial Narrow" w:cs="Arial"/>
                <w:sz w:val="20"/>
              </w:rPr>
              <w:t xml:space="preserve"> =10cm </w:t>
            </w:r>
          </w:p>
        </w:tc>
        <w:tc>
          <w:tcPr>
            <w:tcW w:w="440" w:type="pct"/>
            <w:shd w:val="clear" w:color="auto" w:fill="auto"/>
            <w:vAlign w:val="center"/>
            <w:hideMark/>
          </w:tcPr>
          <w:p w14:paraId="0D7F0FF8"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m</w:t>
            </w:r>
            <w:r w:rsidRPr="00C5347D">
              <w:rPr>
                <w:rFonts w:ascii="Arial Narrow" w:hAnsi="Arial Narrow" w:cs="Arial"/>
                <w:sz w:val="20"/>
                <w:vertAlign w:val="superscript"/>
              </w:rPr>
              <w:t>3</w:t>
            </w:r>
          </w:p>
        </w:tc>
        <w:tc>
          <w:tcPr>
            <w:tcW w:w="663" w:type="pct"/>
            <w:shd w:val="clear" w:color="auto" w:fill="auto"/>
            <w:vAlign w:val="center"/>
            <w:hideMark/>
          </w:tcPr>
          <w:p w14:paraId="5E94434E" w14:textId="77777777" w:rsidR="006B66E4" w:rsidRPr="00A7320B" w:rsidRDefault="006B66E4" w:rsidP="006B66E4">
            <w:pPr>
              <w:spacing w:after="0"/>
              <w:ind w:left="0" w:firstLine="0"/>
              <w:jc w:val="center"/>
              <w:rPr>
                <w:rFonts w:ascii="Arial Narrow" w:hAnsi="Arial Narrow" w:cs="Arial"/>
                <w:sz w:val="20"/>
              </w:rPr>
            </w:pPr>
            <w:r w:rsidRPr="00A7320B">
              <w:rPr>
                <w:rFonts w:ascii="Arial Narrow" w:hAnsi="Arial Narrow" w:cs="Arial"/>
                <w:sz w:val="20"/>
              </w:rPr>
              <w:t>1,20</w:t>
            </w:r>
          </w:p>
        </w:tc>
        <w:tc>
          <w:tcPr>
            <w:tcW w:w="662" w:type="pct"/>
          </w:tcPr>
          <w:p w14:paraId="78E6F999" w14:textId="77777777" w:rsidR="006B66E4" w:rsidRPr="00C5347D" w:rsidRDefault="006B66E4" w:rsidP="006B66E4">
            <w:pPr>
              <w:spacing w:after="0"/>
              <w:ind w:left="0" w:firstLine="0"/>
              <w:jc w:val="center"/>
              <w:rPr>
                <w:rFonts w:ascii="Arial Narrow" w:hAnsi="Arial Narrow" w:cs="Arial"/>
                <w:sz w:val="20"/>
              </w:rPr>
            </w:pPr>
          </w:p>
        </w:tc>
        <w:tc>
          <w:tcPr>
            <w:tcW w:w="661" w:type="pct"/>
          </w:tcPr>
          <w:p w14:paraId="500262DC" w14:textId="77777777" w:rsidR="006B66E4" w:rsidRPr="00C5347D" w:rsidRDefault="006B66E4" w:rsidP="006B66E4">
            <w:pPr>
              <w:spacing w:after="0"/>
              <w:ind w:left="0" w:firstLine="0"/>
              <w:jc w:val="center"/>
              <w:rPr>
                <w:rFonts w:ascii="Arial Narrow" w:hAnsi="Arial Narrow" w:cs="Arial"/>
                <w:sz w:val="20"/>
              </w:rPr>
            </w:pPr>
          </w:p>
        </w:tc>
      </w:tr>
      <w:tr w:rsidR="006B66E4" w:rsidRPr="00C5347D" w14:paraId="10C33A01" w14:textId="77777777" w:rsidTr="00D77BC6">
        <w:trPr>
          <w:trHeight w:val="528"/>
        </w:trPr>
        <w:tc>
          <w:tcPr>
            <w:tcW w:w="311" w:type="pct"/>
            <w:shd w:val="clear" w:color="auto" w:fill="auto"/>
            <w:vAlign w:val="center"/>
            <w:hideMark/>
          </w:tcPr>
          <w:p w14:paraId="79DFEB94"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3.3</w:t>
            </w:r>
          </w:p>
        </w:tc>
        <w:tc>
          <w:tcPr>
            <w:tcW w:w="2263" w:type="pct"/>
            <w:shd w:val="clear" w:color="auto" w:fill="auto"/>
            <w:vAlign w:val="center"/>
            <w:hideMark/>
          </w:tcPr>
          <w:p w14:paraId="1E5D81BB" w14:textId="77777777" w:rsidR="006B66E4" w:rsidRPr="00C5347D" w:rsidRDefault="006B66E4" w:rsidP="006B66E4">
            <w:pPr>
              <w:spacing w:after="0"/>
              <w:ind w:left="0" w:firstLine="0"/>
              <w:jc w:val="left"/>
              <w:rPr>
                <w:rFonts w:ascii="Arial Narrow" w:hAnsi="Arial Narrow" w:cs="Arial"/>
                <w:sz w:val="20"/>
              </w:rPr>
            </w:pPr>
            <w:r w:rsidRPr="00C5347D">
              <w:rPr>
                <w:rFonts w:ascii="Arial Narrow" w:hAnsi="Arial Narrow" w:cs="Arial"/>
                <w:sz w:val="20"/>
              </w:rPr>
              <w:t xml:space="preserve">Blocage de la fouille en béton cyclopéen dosé à 350 kg/m3 pour murs y compris ajout du </w:t>
            </w:r>
            <w:proofErr w:type="spellStart"/>
            <w:r w:rsidRPr="00C5347D">
              <w:rPr>
                <w:rFonts w:ascii="Arial Narrow" w:hAnsi="Arial Narrow" w:cs="Arial"/>
                <w:sz w:val="20"/>
              </w:rPr>
              <w:t>sikhalite</w:t>
            </w:r>
            <w:proofErr w:type="spellEnd"/>
            <w:r w:rsidRPr="00C5347D">
              <w:rPr>
                <w:rFonts w:ascii="Arial Narrow" w:hAnsi="Arial Narrow" w:cs="Arial"/>
                <w:sz w:val="20"/>
              </w:rPr>
              <w:t xml:space="preserve"> </w:t>
            </w:r>
          </w:p>
        </w:tc>
        <w:tc>
          <w:tcPr>
            <w:tcW w:w="440" w:type="pct"/>
            <w:shd w:val="clear" w:color="auto" w:fill="auto"/>
            <w:vAlign w:val="center"/>
            <w:hideMark/>
          </w:tcPr>
          <w:p w14:paraId="0446AB3E"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m</w:t>
            </w:r>
            <w:r w:rsidRPr="00C5347D">
              <w:rPr>
                <w:rFonts w:ascii="Arial Narrow" w:hAnsi="Arial Narrow" w:cs="Arial"/>
                <w:sz w:val="20"/>
                <w:vertAlign w:val="superscript"/>
              </w:rPr>
              <w:t>3</w:t>
            </w:r>
          </w:p>
        </w:tc>
        <w:tc>
          <w:tcPr>
            <w:tcW w:w="663" w:type="pct"/>
            <w:shd w:val="clear" w:color="auto" w:fill="auto"/>
            <w:vAlign w:val="center"/>
            <w:hideMark/>
          </w:tcPr>
          <w:p w14:paraId="262427DE" w14:textId="77777777" w:rsidR="006B66E4" w:rsidRPr="00A7320B" w:rsidRDefault="006B66E4" w:rsidP="006B66E4">
            <w:pPr>
              <w:spacing w:after="0"/>
              <w:ind w:left="0" w:firstLine="0"/>
              <w:jc w:val="center"/>
              <w:rPr>
                <w:rFonts w:ascii="Arial Narrow" w:hAnsi="Arial Narrow" w:cs="Arial"/>
                <w:sz w:val="20"/>
              </w:rPr>
            </w:pPr>
            <w:r w:rsidRPr="00A7320B">
              <w:rPr>
                <w:rFonts w:ascii="Arial Narrow" w:hAnsi="Arial Narrow" w:cs="Arial"/>
                <w:sz w:val="20"/>
              </w:rPr>
              <w:t>9,00</w:t>
            </w:r>
          </w:p>
        </w:tc>
        <w:tc>
          <w:tcPr>
            <w:tcW w:w="662" w:type="pct"/>
          </w:tcPr>
          <w:p w14:paraId="541A27EB" w14:textId="77777777" w:rsidR="006B66E4" w:rsidRPr="00C5347D" w:rsidRDefault="006B66E4" w:rsidP="006B66E4">
            <w:pPr>
              <w:spacing w:after="0"/>
              <w:ind w:left="0" w:firstLine="0"/>
              <w:jc w:val="center"/>
              <w:rPr>
                <w:rFonts w:ascii="Arial Narrow" w:hAnsi="Arial Narrow" w:cs="Arial"/>
                <w:sz w:val="20"/>
              </w:rPr>
            </w:pPr>
          </w:p>
        </w:tc>
        <w:tc>
          <w:tcPr>
            <w:tcW w:w="661" w:type="pct"/>
          </w:tcPr>
          <w:p w14:paraId="0A7A4C06" w14:textId="77777777" w:rsidR="006B66E4" w:rsidRPr="00C5347D" w:rsidRDefault="006B66E4" w:rsidP="006B66E4">
            <w:pPr>
              <w:spacing w:after="0"/>
              <w:ind w:left="0" w:firstLine="0"/>
              <w:jc w:val="center"/>
              <w:rPr>
                <w:rFonts w:ascii="Arial Narrow" w:hAnsi="Arial Narrow" w:cs="Arial"/>
                <w:sz w:val="20"/>
              </w:rPr>
            </w:pPr>
          </w:p>
        </w:tc>
      </w:tr>
      <w:tr w:rsidR="006B66E4" w:rsidRPr="00C5347D" w14:paraId="350F99BA" w14:textId="77777777" w:rsidTr="00D77BC6">
        <w:trPr>
          <w:trHeight w:val="576"/>
        </w:trPr>
        <w:tc>
          <w:tcPr>
            <w:tcW w:w="311" w:type="pct"/>
            <w:shd w:val="clear" w:color="auto" w:fill="auto"/>
            <w:vAlign w:val="center"/>
            <w:hideMark/>
          </w:tcPr>
          <w:p w14:paraId="2C94F834"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lastRenderedPageBreak/>
              <w:t>3.4</w:t>
            </w:r>
          </w:p>
        </w:tc>
        <w:tc>
          <w:tcPr>
            <w:tcW w:w="2263" w:type="pct"/>
            <w:shd w:val="clear" w:color="auto" w:fill="auto"/>
            <w:vAlign w:val="center"/>
            <w:hideMark/>
          </w:tcPr>
          <w:p w14:paraId="6A02B370" w14:textId="77777777" w:rsidR="006B66E4" w:rsidRPr="00C5347D" w:rsidRDefault="006B66E4" w:rsidP="006B66E4">
            <w:pPr>
              <w:spacing w:after="0"/>
              <w:ind w:left="0" w:firstLine="0"/>
              <w:jc w:val="left"/>
              <w:rPr>
                <w:rFonts w:ascii="Arial Narrow" w:hAnsi="Arial Narrow" w:cs="Arial"/>
                <w:sz w:val="20"/>
              </w:rPr>
            </w:pPr>
            <w:r w:rsidRPr="00C5347D">
              <w:rPr>
                <w:rFonts w:ascii="Arial Narrow" w:hAnsi="Arial Narrow" w:cs="Arial"/>
                <w:sz w:val="20"/>
              </w:rPr>
              <w:t xml:space="preserve"> Béton cyclopéen en </w:t>
            </w:r>
            <w:proofErr w:type="spellStart"/>
            <w:r w:rsidRPr="00C5347D">
              <w:rPr>
                <w:rFonts w:ascii="Arial Narrow" w:hAnsi="Arial Narrow" w:cs="Arial"/>
                <w:sz w:val="20"/>
              </w:rPr>
              <w:t>élevation</w:t>
            </w:r>
            <w:proofErr w:type="spellEnd"/>
            <w:r w:rsidRPr="00C5347D">
              <w:rPr>
                <w:rFonts w:ascii="Arial Narrow" w:hAnsi="Arial Narrow" w:cs="Arial"/>
                <w:sz w:val="20"/>
              </w:rPr>
              <w:t xml:space="preserve"> dosé à 350 kg/m</w:t>
            </w:r>
            <w:r w:rsidRPr="00C5347D">
              <w:rPr>
                <w:rFonts w:ascii="Arial Narrow" w:hAnsi="Arial Narrow" w:cs="Arial"/>
                <w:sz w:val="20"/>
                <w:vertAlign w:val="superscript"/>
              </w:rPr>
              <w:t>3</w:t>
            </w:r>
            <w:r w:rsidRPr="00C5347D">
              <w:rPr>
                <w:rFonts w:ascii="Arial Narrow" w:hAnsi="Arial Narrow" w:cs="Arial"/>
                <w:sz w:val="20"/>
              </w:rPr>
              <w:t xml:space="preserve"> avec ajout du </w:t>
            </w:r>
            <w:proofErr w:type="spellStart"/>
            <w:r w:rsidRPr="00C5347D">
              <w:rPr>
                <w:rFonts w:ascii="Arial Narrow" w:hAnsi="Arial Narrow" w:cs="Arial"/>
                <w:sz w:val="20"/>
              </w:rPr>
              <w:t>sikhalite</w:t>
            </w:r>
            <w:proofErr w:type="spellEnd"/>
            <w:r w:rsidRPr="00C5347D">
              <w:rPr>
                <w:rFonts w:ascii="Arial Narrow" w:hAnsi="Arial Narrow" w:cs="Arial"/>
                <w:sz w:val="20"/>
              </w:rPr>
              <w:t xml:space="preserve"> pour murs pertuis  y compris ajout du </w:t>
            </w:r>
            <w:proofErr w:type="spellStart"/>
            <w:r w:rsidRPr="00C5347D">
              <w:rPr>
                <w:rFonts w:ascii="Arial Narrow" w:hAnsi="Arial Narrow" w:cs="Arial"/>
                <w:sz w:val="20"/>
              </w:rPr>
              <w:t>sikhalite</w:t>
            </w:r>
            <w:proofErr w:type="spellEnd"/>
            <w:r w:rsidRPr="00C5347D">
              <w:rPr>
                <w:rFonts w:ascii="Arial Narrow" w:hAnsi="Arial Narrow" w:cs="Arial"/>
                <w:sz w:val="20"/>
              </w:rPr>
              <w:t xml:space="preserve"> </w:t>
            </w:r>
          </w:p>
        </w:tc>
        <w:tc>
          <w:tcPr>
            <w:tcW w:w="440" w:type="pct"/>
            <w:shd w:val="clear" w:color="auto" w:fill="auto"/>
            <w:vAlign w:val="center"/>
            <w:hideMark/>
          </w:tcPr>
          <w:p w14:paraId="04AAB3A5"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m</w:t>
            </w:r>
            <w:r w:rsidRPr="00C5347D">
              <w:rPr>
                <w:rFonts w:ascii="Arial Narrow" w:hAnsi="Arial Narrow" w:cs="Arial"/>
                <w:sz w:val="20"/>
                <w:vertAlign w:val="superscript"/>
              </w:rPr>
              <w:t>3</w:t>
            </w:r>
          </w:p>
        </w:tc>
        <w:tc>
          <w:tcPr>
            <w:tcW w:w="663" w:type="pct"/>
            <w:shd w:val="clear" w:color="auto" w:fill="auto"/>
            <w:vAlign w:val="center"/>
            <w:hideMark/>
          </w:tcPr>
          <w:p w14:paraId="23BA8042" w14:textId="77777777" w:rsidR="006B66E4" w:rsidRPr="00A7320B" w:rsidRDefault="006B66E4" w:rsidP="006B66E4">
            <w:pPr>
              <w:spacing w:after="0"/>
              <w:ind w:left="0" w:firstLine="0"/>
              <w:jc w:val="center"/>
              <w:rPr>
                <w:rFonts w:ascii="Arial Narrow" w:hAnsi="Arial Narrow" w:cs="Arial"/>
                <w:sz w:val="20"/>
              </w:rPr>
            </w:pPr>
            <w:r w:rsidRPr="00A7320B">
              <w:rPr>
                <w:rFonts w:ascii="Arial Narrow" w:hAnsi="Arial Narrow" w:cs="Arial"/>
                <w:sz w:val="20"/>
              </w:rPr>
              <w:t>7,20</w:t>
            </w:r>
          </w:p>
        </w:tc>
        <w:tc>
          <w:tcPr>
            <w:tcW w:w="662" w:type="pct"/>
          </w:tcPr>
          <w:p w14:paraId="44D72A1C" w14:textId="77777777" w:rsidR="006B66E4" w:rsidRPr="00C5347D" w:rsidRDefault="006B66E4" w:rsidP="006B66E4">
            <w:pPr>
              <w:spacing w:after="0"/>
              <w:ind w:left="0" w:firstLine="0"/>
              <w:jc w:val="center"/>
              <w:rPr>
                <w:rFonts w:ascii="Arial Narrow" w:hAnsi="Arial Narrow" w:cs="Arial"/>
                <w:sz w:val="20"/>
              </w:rPr>
            </w:pPr>
          </w:p>
        </w:tc>
        <w:tc>
          <w:tcPr>
            <w:tcW w:w="661" w:type="pct"/>
          </w:tcPr>
          <w:p w14:paraId="0D774E9D" w14:textId="77777777" w:rsidR="006B66E4" w:rsidRPr="00C5347D" w:rsidRDefault="006B66E4" w:rsidP="006B66E4">
            <w:pPr>
              <w:spacing w:after="0"/>
              <w:ind w:left="0" w:firstLine="0"/>
              <w:jc w:val="center"/>
              <w:rPr>
                <w:rFonts w:ascii="Arial Narrow" w:hAnsi="Arial Narrow" w:cs="Arial"/>
                <w:sz w:val="20"/>
              </w:rPr>
            </w:pPr>
          </w:p>
        </w:tc>
      </w:tr>
      <w:tr w:rsidR="006B66E4" w:rsidRPr="00C5347D" w14:paraId="4EDA6A90" w14:textId="77777777" w:rsidTr="00D77BC6">
        <w:trPr>
          <w:trHeight w:val="576"/>
        </w:trPr>
        <w:tc>
          <w:tcPr>
            <w:tcW w:w="311" w:type="pct"/>
            <w:shd w:val="clear" w:color="auto" w:fill="auto"/>
            <w:vAlign w:val="center"/>
            <w:hideMark/>
          </w:tcPr>
          <w:p w14:paraId="3289535B"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3.5</w:t>
            </w:r>
          </w:p>
        </w:tc>
        <w:tc>
          <w:tcPr>
            <w:tcW w:w="2263" w:type="pct"/>
            <w:shd w:val="clear" w:color="auto" w:fill="auto"/>
            <w:vAlign w:val="center"/>
            <w:hideMark/>
          </w:tcPr>
          <w:p w14:paraId="594F9B48" w14:textId="77777777" w:rsidR="006B66E4" w:rsidRPr="00C5347D" w:rsidRDefault="006B66E4" w:rsidP="006B66E4">
            <w:pPr>
              <w:spacing w:after="0"/>
              <w:ind w:left="0" w:firstLine="0"/>
              <w:jc w:val="left"/>
              <w:rPr>
                <w:rFonts w:ascii="Arial Narrow" w:hAnsi="Arial Narrow" w:cs="Arial"/>
                <w:sz w:val="20"/>
              </w:rPr>
            </w:pPr>
            <w:r w:rsidRPr="00C5347D">
              <w:rPr>
                <w:rFonts w:ascii="Arial Narrow" w:hAnsi="Arial Narrow" w:cs="Arial"/>
                <w:sz w:val="20"/>
              </w:rPr>
              <w:t xml:space="preserve">Dallage pour </w:t>
            </w:r>
            <w:proofErr w:type="spellStart"/>
            <w:r w:rsidRPr="00C5347D">
              <w:rPr>
                <w:rFonts w:ascii="Arial Narrow" w:hAnsi="Arial Narrow" w:cs="Arial"/>
                <w:sz w:val="20"/>
              </w:rPr>
              <w:t>passerrelle</w:t>
            </w:r>
            <w:proofErr w:type="spellEnd"/>
            <w:r w:rsidRPr="00C5347D">
              <w:rPr>
                <w:rFonts w:ascii="Arial Narrow" w:hAnsi="Arial Narrow" w:cs="Arial"/>
                <w:sz w:val="20"/>
              </w:rPr>
              <w:t xml:space="preserve"> pertuis en béton armé dosé à 350kg/m</w:t>
            </w:r>
            <w:r w:rsidRPr="00C5347D">
              <w:rPr>
                <w:rFonts w:ascii="Arial Narrow" w:hAnsi="Arial Narrow" w:cs="Arial"/>
                <w:sz w:val="20"/>
                <w:vertAlign w:val="superscript"/>
              </w:rPr>
              <w:t>3</w:t>
            </w:r>
            <w:r w:rsidRPr="00C5347D">
              <w:rPr>
                <w:rFonts w:ascii="Arial Narrow" w:hAnsi="Arial Narrow" w:cs="Arial"/>
                <w:sz w:val="20"/>
              </w:rPr>
              <w:t xml:space="preserve"> </w:t>
            </w:r>
          </w:p>
        </w:tc>
        <w:tc>
          <w:tcPr>
            <w:tcW w:w="440" w:type="pct"/>
            <w:shd w:val="clear" w:color="auto" w:fill="auto"/>
            <w:vAlign w:val="center"/>
            <w:hideMark/>
          </w:tcPr>
          <w:p w14:paraId="5E04EF19"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m</w:t>
            </w:r>
            <w:r w:rsidRPr="00C5347D">
              <w:rPr>
                <w:rFonts w:ascii="Arial Narrow" w:hAnsi="Arial Narrow" w:cs="Arial"/>
                <w:sz w:val="20"/>
                <w:vertAlign w:val="superscript"/>
              </w:rPr>
              <w:t>3</w:t>
            </w:r>
          </w:p>
        </w:tc>
        <w:tc>
          <w:tcPr>
            <w:tcW w:w="663" w:type="pct"/>
            <w:shd w:val="clear" w:color="auto" w:fill="auto"/>
            <w:vAlign w:val="center"/>
            <w:hideMark/>
          </w:tcPr>
          <w:p w14:paraId="7E557908" w14:textId="77777777" w:rsidR="006B66E4" w:rsidRPr="00A7320B" w:rsidRDefault="006B66E4" w:rsidP="006B66E4">
            <w:pPr>
              <w:spacing w:after="0"/>
              <w:ind w:left="0" w:firstLine="0"/>
              <w:jc w:val="center"/>
              <w:rPr>
                <w:rFonts w:ascii="Arial Narrow" w:hAnsi="Arial Narrow" w:cs="Arial"/>
                <w:sz w:val="20"/>
              </w:rPr>
            </w:pPr>
            <w:r w:rsidRPr="00A7320B">
              <w:rPr>
                <w:rFonts w:ascii="Arial Narrow" w:hAnsi="Arial Narrow" w:cs="Arial"/>
                <w:sz w:val="20"/>
              </w:rPr>
              <w:t>0,90</w:t>
            </w:r>
          </w:p>
        </w:tc>
        <w:tc>
          <w:tcPr>
            <w:tcW w:w="662" w:type="pct"/>
          </w:tcPr>
          <w:p w14:paraId="301117C7" w14:textId="77777777" w:rsidR="006B66E4" w:rsidRPr="00C5347D" w:rsidRDefault="006B66E4" w:rsidP="006B66E4">
            <w:pPr>
              <w:spacing w:after="0"/>
              <w:ind w:left="0" w:firstLine="0"/>
              <w:jc w:val="center"/>
              <w:rPr>
                <w:rFonts w:ascii="Arial Narrow" w:hAnsi="Arial Narrow" w:cs="Arial"/>
                <w:sz w:val="20"/>
              </w:rPr>
            </w:pPr>
          </w:p>
        </w:tc>
        <w:tc>
          <w:tcPr>
            <w:tcW w:w="661" w:type="pct"/>
          </w:tcPr>
          <w:p w14:paraId="1AC9E81D" w14:textId="77777777" w:rsidR="006B66E4" w:rsidRPr="00C5347D" w:rsidRDefault="006B66E4" w:rsidP="006B66E4">
            <w:pPr>
              <w:spacing w:after="0"/>
              <w:ind w:left="0" w:firstLine="0"/>
              <w:jc w:val="center"/>
              <w:rPr>
                <w:rFonts w:ascii="Arial Narrow" w:hAnsi="Arial Narrow" w:cs="Arial"/>
                <w:sz w:val="20"/>
              </w:rPr>
            </w:pPr>
          </w:p>
        </w:tc>
      </w:tr>
      <w:tr w:rsidR="006B66E4" w:rsidRPr="00C5347D" w14:paraId="6FB73060" w14:textId="77777777" w:rsidTr="00D77BC6">
        <w:trPr>
          <w:trHeight w:val="576"/>
        </w:trPr>
        <w:tc>
          <w:tcPr>
            <w:tcW w:w="311" w:type="pct"/>
            <w:shd w:val="clear" w:color="auto" w:fill="auto"/>
            <w:vAlign w:val="center"/>
            <w:hideMark/>
          </w:tcPr>
          <w:p w14:paraId="2C3701D6"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3.6</w:t>
            </w:r>
          </w:p>
        </w:tc>
        <w:tc>
          <w:tcPr>
            <w:tcW w:w="2263" w:type="pct"/>
            <w:shd w:val="clear" w:color="auto" w:fill="auto"/>
            <w:vAlign w:val="center"/>
            <w:hideMark/>
          </w:tcPr>
          <w:p w14:paraId="554E3B51" w14:textId="77777777" w:rsidR="006B66E4" w:rsidRPr="00C5347D" w:rsidRDefault="006B66E4" w:rsidP="006B66E4">
            <w:pPr>
              <w:spacing w:after="0"/>
              <w:ind w:left="0" w:firstLine="0"/>
              <w:jc w:val="left"/>
              <w:rPr>
                <w:rFonts w:ascii="Arial Narrow" w:hAnsi="Arial Narrow" w:cs="Arial"/>
                <w:sz w:val="20"/>
              </w:rPr>
            </w:pPr>
            <w:r w:rsidRPr="00C5347D">
              <w:rPr>
                <w:rFonts w:ascii="Arial Narrow" w:hAnsi="Arial Narrow" w:cs="Arial"/>
                <w:sz w:val="20"/>
              </w:rPr>
              <w:t>Enduit gras dosé à 400 kg/m</w:t>
            </w:r>
            <w:r w:rsidRPr="00C5347D">
              <w:rPr>
                <w:rFonts w:ascii="Arial Narrow" w:hAnsi="Arial Narrow" w:cs="Arial"/>
                <w:sz w:val="20"/>
                <w:vertAlign w:val="superscript"/>
              </w:rPr>
              <w:t>3</w:t>
            </w:r>
            <w:r w:rsidRPr="00C5347D">
              <w:rPr>
                <w:rFonts w:ascii="Arial Narrow" w:hAnsi="Arial Narrow" w:cs="Arial"/>
                <w:sz w:val="20"/>
              </w:rPr>
              <w:t xml:space="preserve"> pour les murs pertuis avec ajout du </w:t>
            </w:r>
            <w:proofErr w:type="spellStart"/>
            <w:r w:rsidRPr="00C5347D">
              <w:rPr>
                <w:rFonts w:ascii="Arial Narrow" w:hAnsi="Arial Narrow" w:cs="Arial"/>
                <w:sz w:val="20"/>
              </w:rPr>
              <w:t>sikhalite</w:t>
            </w:r>
            <w:proofErr w:type="spellEnd"/>
            <w:r w:rsidRPr="00C5347D">
              <w:rPr>
                <w:rFonts w:ascii="Arial Narrow" w:hAnsi="Arial Narrow" w:cs="Arial"/>
                <w:sz w:val="20"/>
              </w:rPr>
              <w:t xml:space="preserve"> </w:t>
            </w:r>
          </w:p>
        </w:tc>
        <w:tc>
          <w:tcPr>
            <w:tcW w:w="440" w:type="pct"/>
            <w:shd w:val="clear" w:color="auto" w:fill="auto"/>
            <w:vAlign w:val="center"/>
            <w:hideMark/>
          </w:tcPr>
          <w:p w14:paraId="354684B1"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m</w:t>
            </w:r>
            <w:r w:rsidRPr="00C5347D">
              <w:rPr>
                <w:rFonts w:ascii="Arial Narrow" w:hAnsi="Arial Narrow" w:cs="Arial"/>
                <w:sz w:val="20"/>
                <w:vertAlign w:val="superscript"/>
              </w:rPr>
              <w:t>2</w:t>
            </w:r>
          </w:p>
        </w:tc>
        <w:tc>
          <w:tcPr>
            <w:tcW w:w="663" w:type="pct"/>
            <w:shd w:val="clear" w:color="auto" w:fill="auto"/>
            <w:vAlign w:val="center"/>
            <w:hideMark/>
          </w:tcPr>
          <w:p w14:paraId="6D5D5436" w14:textId="77777777" w:rsidR="006B66E4" w:rsidRPr="00A7320B" w:rsidRDefault="006B66E4" w:rsidP="006B66E4">
            <w:pPr>
              <w:spacing w:after="0"/>
              <w:ind w:left="0" w:firstLine="0"/>
              <w:jc w:val="center"/>
              <w:rPr>
                <w:rFonts w:ascii="Arial Narrow" w:hAnsi="Arial Narrow" w:cs="Arial"/>
                <w:sz w:val="20"/>
              </w:rPr>
            </w:pPr>
            <w:r w:rsidRPr="00A7320B">
              <w:rPr>
                <w:rFonts w:ascii="Arial Narrow" w:hAnsi="Arial Narrow" w:cs="Arial"/>
                <w:sz w:val="20"/>
              </w:rPr>
              <w:t>26,00</w:t>
            </w:r>
          </w:p>
        </w:tc>
        <w:tc>
          <w:tcPr>
            <w:tcW w:w="662" w:type="pct"/>
          </w:tcPr>
          <w:p w14:paraId="30749A9F" w14:textId="77777777" w:rsidR="006B66E4" w:rsidRPr="00C5347D" w:rsidRDefault="006B66E4" w:rsidP="006B66E4">
            <w:pPr>
              <w:spacing w:after="0"/>
              <w:ind w:left="0" w:firstLine="0"/>
              <w:jc w:val="center"/>
              <w:rPr>
                <w:rFonts w:ascii="Arial Narrow" w:hAnsi="Arial Narrow" w:cs="Arial"/>
                <w:sz w:val="20"/>
              </w:rPr>
            </w:pPr>
          </w:p>
        </w:tc>
        <w:tc>
          <w:tcPr>
            <w:tcW w:w="661" w:type="pct"/>
          </w:tcPr>
          <w:p w14:paraId="045C9B1C" w14:textId="77777777" w:rsidR="006B66E4" w:rsidRPr="00C5347D" w:rsidRDefault="006B66E4" w:rsidP="006B66E4">
            <w:pPr>
              <w:spacing w:after="0"/>
              <w:ind w:left="0" w:firstLine="0"/>
              <w:jc w:val="center"/>
              <w:rPr>
                <w:rFonts w:ascii="Arial Narrow" w:hAnsi="Arial Narrow" w:cs="Arial"/>
                <w:sz w:val="20"/>
              </w:rPr>
            </w:pPr>
          </w:p>
        </w:tc>
      </w:tr>
      <w:tr w:rsidR="006B66E4" w:rsidRPr="00C5347D" w14:paraId="08253B0F" w14:textId="77777777" w:rsidTr="00D77BC6">
        <w:trPr>
          <w:trHeight w:val="528"/>
        </w:trPr>
        <w:tc>
          <w:tcPr>
            <w:tcW w:w="311" w:type="pct"/>
            <w:shd w:val="clear" w:color="auto" w:fill="auto"/>
            <w:vAlign w:val="center"/>
            <w:hideMark/>
          </w:tcPr>
          <w:p w14:paraId="61C7BD59"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3.7</w:t>
            </w:r>
          </w:p>
        </w:tc>
        <w:tc>
          <w:tcPr>
            <w:tcW w:w="2263" w:type="pct"/>
            <w:shd w:val="clear" w:color="auto" w:fill="auto"/>
            <w:vAlign w:val="center"/>
            <w:hideMark/>
          </w:tcPr>
          <w:p w14:paraId="46B7DD84" w14:textId="77777777" w:rsidR="006B66E4" w:rsidRPr="00C5347D" w:rsidRDefault="006B66E4" w:rsidP="006B66E4">
            <w:pPr>
              <w:spacing w:after="0"/>
              <w:ind w:left="0" w:firstLine="0"/>
              <w:jc w:val="left"/>
              <w:rPr>
                <w:rFonts w:ascii="Arial Narrow" w:hAnsi="Arial Narrow" w:cs="Arial"/>
                <w:sz w:val="20"/>
              </w:rPr>
            </w:pPr>
            <w:r w:rsidRPr="00C5347D">
              <w:rPr>
                <w:rFonts w:ascii="Arial Narrow" w:hAnsi="Arial Narrow" w:cs="Arial"/>
                <w:sz w:val="20"/>
              </w:rPr>
              <w:t>Fourniture et pose de profilé UPN100 pour rainure des batardeaux façonné en cadre U (1,70 m x0</w:t>
            </w:r>
            <w:proofErr w:type="gramStart"/>
            <w:r w:rsidRPr="00C5347D">
              <w:rPr>
                <w:rFonts w:ascii="Arial Narrow" w:hAnsi="Arial Narrow" w:cs="Arial"/>
                <w:sz w:val="20"/>
              </w:rPr>
              <w:t>,85m</w:t>
            </w:r>
            <w:proofErr w:type="gramEnd"/>
            <w:r w:rsidRPr="00C5347D">
              <w:rPr>
                <w:rFonts w:ascii="Arial Narrow" w:hAnsi="Arial Narrow" w:cs="Arial"/>
                <w:sz w:val="20"/>
              </w:rPr>
              <w:t>)</w:t>
            </w:r>
          </w:p>
        </w:tc>
        <w:tc>
          <w:tcPr>
            <w:tcW w:w="440" w:type="pct"/>
            <w:shd w:val="clear" w:color="auto" w:fill="auto"/>
            <w:vAlign w:val="center"/>
            <w:hideMark/>
          </w:tcPr>
          <w:p w14:paraId="16B9F728"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U</w:t>
            </w:r>
          </w:p>
        </w:tc>
        <w:tc>
          <w:tcPr>
            <w:tcW w:w="663" w:type="pct"/>
            <w:shd w:val="clear" w:color="auto" w:fill="auto"/>
            <w:vAlign w:val="center"/>
            <w:hideMark/>
          </w:tcPr>
          <w:p w14:paraId="774B8A13" w14:textId="77777777" w:rsidR="006B66E4" w:rsidRPr="00A7320B" w:rsidRDefault="006B66E4" w:rsidP="006B66E4">
            <w:pPr>
              <w:spacing w:after="0"/>
              <w:ind w:left="0" w:firstLine="0"/>
              <w:jc w:val="center"/>
              <w:rPr>
                <w:rFonts w:ascii="Arial Narrow" w:hAnsi="Arial Narrow" w:cs="Arial"/>
                <w:sz w:val="20"/>
              </w:rPr>
            </w:pPr>
            <w:r w:rsidRPr="00A7320B">
              <w:rPr>
                <w:rFonts w:ascii="Arial Narrow" w:hAnsi="Arial Narrow" w:cs="Arial"/>
                <w:sz w:val="20"/>
              </w:rPr>
              <w:t>4,00</w:t>
            </w:r>
          </w:p>
        </w:tc>
        <w:tc>
          <w:tcPr>
            <w:tcW w:w="662" w:type="pct"/>
          </w:tcPr>
          <w:p w14:paraId="27FD0539" w14:textId="77777777" w:rsidR="006B66E4" w:rsidRPr="00C5347D" w:rsidRDefault="006B66E4" w:rsidP="006B66E4">
            <w:pPr>
              <w:spacing w:after="0"/>
              <w:ind w:left="0" w:firstLine="0"/>
              <w:jc w:val="center"/>
              <w:rPr>
                <w:rFonts w:ascii="Arial Narrow" w:hAnsi="Arial Narrow" w:cs="Arial"/>
                <w:sz w:val="20"/>
              </w:rPr>
            </w:pPr>
          </w:p>
        </w:tc>
        <w:tc>
          <w:tcPr>
            <w:tcW w:w="661" w:type="pct"/>
          </w:tcPr>
          <w:p w14:paraId="30BE1B2C" w14:textId="77777777" w:rsidR="006B66E4" w:rsidRPr="00C5347D" w:rsidRDefault="006B66E4" w:rsidP="006B66E4">
            <w:pPr>
              <w:spacing w:after="0"/>
              <w:ind w:left="0" w:firstLine="0"/>
              <w:jc w:val="center"/>
              <w:rPr>
                <w:rFonts w:ascii="Arial Narrow" w:hAnsi="Arial Narrow" w:cs="Arial"/>
                <w:sz w:val="20"/>
              </w:rPr>
            </w:pPr>
          </w:p>
        </w:tc>
      </w:tr>
      <w:tr w:rsidR="006B66E4" w:rsidRPr="00C5347D" w14:paraId="01556C6C" w14:textId="77777777" w:rsidTr="00D77BC6">
        <w:trPr>
          <w:trHeight w:val="264"/>
        </w:trPr>
        <w:tc>
          <w:tcPr>
            <w:tcW w:w="311" w:type="pct"/>
            <w:shd w:val="clear" w:color="auto" w:fill="auto"/>
            <w:vAlign w:val="center"/>
            <w:hideMark/>
          </w:tcPr>
          <w:p w14:paraId="17575A49"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3.8</w:t>
            </w:r>
          </w:p>
        </w:tc>
        <w:tc>
          <w:tcPr>
            <w:tcW w:w="2263" w:type="pct"/>
            <w:shd w:val="clear" w:color="auto" w:fill="auto"/>
            <w:vAlign w:val="center"/>
            <w:hideMark/>
          </w:tcPr>
          <w:p w14:paraId="0D2F5FF7" w14:textId="77777777" w:rsidR="006B66E4" w:rsidRPr="00C5347D" w:rsidRDefault="006B66E4" w:rsidP="006B66E4">
            <w:pPr>
              <w:spacing w:after="0"/>
              <w:ind w:left="0" w:firstLine="0"/>
              <w:jc w:val="left"/>
              <w:rPr>
                <w:rFonts w:ascii="Arial Narrow" w:hAnsi="Arial Narrow" w:cs="Arial"/>
                <w:sz w:val="20"/>
              </w:rPr>
            </w:pPr>
            <w:r w:rsidRPr="00C5347D">
              <w:rPr>
                <w:rFonts w:ascii="Arial Narrow" w:hAnsi="Arial Narrow" w:cs="Arial"/>
                <w:sz w:val="20"/>
              </w:rPr>
              <w:t>F/P  Batardeaux 170 x25 y compris protection antirouille</w:t>
            </w:r>
          </w:p>
        </w:tc>
        <w:tc>
          <w:tcPr>
            <w:tcW w:w="440" w:type="pct"/>
            <w:shd w:val="clear" w:color="auto" w:fill="auto"/>
            <w:vAlign w:val="center"/>
            <w:hideMark/>
          </w:tcPr>
          <w:p w14:paraId="6D81381B"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U</w:t>
            </w:r>
          </w:p>
        </w:tc>
        <w:tc>
          <w:tcPr>
            <w:tcW w:w="663" w:type="pct"/>
            <w:shd w:val="clear" w:color="auto" w:fill="auto"/>
            <w:vAlign w:val="center"/>
            <w:hideMark/>
          </w:tcPr>
          <w:p w14:paraId="1152588D" w14:textId="77777777" w:rsidR="006B66E4" w:rsidRPr="00A7320B" w:rsidRDefault="006B66E4" w:rsidP="006B66E4">
            <w:pPr>
              <w:spacing w:after="0"/>
              <w:ind w:left="0" w:firstLine="0"/>
              <w:jc w:val="center"/>
              <w:rPr>
                <w:rFonts w:ascii="Arial Narrow" w:hAnsi="Arial Narrow" w:cs="Arial"/>
                <w:sz w:val="20"/>
              </w:rPr>
            </w:pPr>
            <w:r w:rsidRPr="00A7320B">
              <w:rPr>
                <w:rFonts w:ascii="Arial Narrow" w:hAnsi="Arial Narrow" w:cs="Arial"/>
                <w:sz w:val="20"/>
              </w:rPr>
              <w:t>12,00</w:t>
            </w:r>
          </w:p>
        </w:tc>
        <w:tc>
          <w:tcPr>
            <w:tcW w:w="662" w:type="pct"/>
          </w:tcPr>
          <w:p w14:paraId="1F1BCCB3" w14:textId="77777777" w:rsidR="006B66E4" w:rsidRPr="00C5347D" w:rsidRDefault="006B66E4" w:rsidP="006B66E4">
            <w:pPr>
              <w:spacing w:after="0"/>
              <w:ind w:left="0" w:firstLine="0"/>
              <w:jc w:val="center"/>
              <w:rPr>
                <w:rFonts w:ascii="Arial Narrow" w:hAnsi="Arial Narrow" w:cs="Arial"/>
                <w:sz w:val="20"/>
              </w:rPr>
            </w:pPr>
          </w:p>
        </w:tc>
        <w:tc>
          <w:tcPr>
            <w:tcW w:w="661" w:type="pct"/>
          </w:tcPr>
          <w:p w14:paraId="0888C0B4" w14:textId="77777777" w:rsidR="006B66E4" w:rsidRPr="00C5347D" w:rsidRDefault="006B66E4" w:rsidP="006B66E4">
            <w:pPr>
              <w:spacing w:after="0"/>
              <w:ind w:left="0" w:firstLine="0"/>
              <w:jc w:val="center"/>
              <w:rPr>
                <w:rFonts w:ascii="Arial Narrow" w:hAnsi="Arial Narrow" w:cs="Arial"/>
                <w:sz w:val="20"/>
              </w:rPr>
            </w:pPr>
          </w:p>
        </w:tc>
      </w:tr>
      <w:tr w:rsidR="006B66E4" w:rsidRPr="00C5347D" w14:paraId="069997BE" w14:textId="77777777" w:rsidTr="00D77BC6">
        <w:trPr>
          <w:trHeight w:val="528"/>
        </w:trPr>
        <w:tc>
          <w:tcPr>
            <w:tcW w:w="311" w:type="pct"/>
            <w:shd w:val="clear" w:color="auto" w:fill="auto"/>
            <w:vAlign w:val="center"/>
            <w:hideMark/>
          </w:tcPr>
          <w:p w14:paraId="452D1319"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3.9</w:t>
            </w:r>
          </w:p>
        </w:tc>
        <w:tc>
          <w:tcPr>
            <w:tcW w:w="2263" w:type="pct"/>
            <w:shd w:val="clear" w:color="auto" w:fill="auto"/>
            <w:vAlign w:val="center"/>
            <w:hideMark/>
          </w:tcPr>
          <w:p w14:paraId="6D4271D5" w14:textId="77777777" w:rsidR="006B66E4" w:rsidRPr="00C5347D" w:rsidRDefault="006B66E4" w:rsidP="006B66E4">
            <w:pPr>
              <w:spacing w:after="0"/>
              <w:ind w:left="0" w:firstLine="0"/>
              <w:jc w:val="left"/>
              <w:rPr>
                <w:rFonts w:ascii="Arial Narrow" w:hAnsi="Arial Narrow" w:cs="Arial"/>
                <w:sz w:val="20"/>
              </w:rPr>
            </w:pPr>
            <w:r w:rsidRPr="00C5347D">
              <w:rPr>
                <w:rFonts w:ascii="Arial Narrow" w:hAnsi="Arial Narrow" w:cs="Arial"/>
                <w:sz w:val="20"/>
              </w:rPr>
              <w:t xml:space="preserve">Echelle </w:t>
            </w:r>
            <w:proofErr w:type="spellStart"/>
            <w:r w:rsidRPr="00C5347D">
              <w:rPr>
                <w:rFonts w:ascii="Arial Narrow" w:hAnsi="Arial Narrow" w:cs="Arial"/>
                <w:sz w:val="20"/>
              </w:rPr>
              <w:t>limnimétrique</w:t>
            </w:r>
            <w:proofErr w:type="spellEnd"/>
            <w:r w:rsidRPr="00C5347D">
              <w:rPr>
                <w:rFonts w:ascii="Arial Narrow" w:hAnsi="Arial Narrow" w:cs="Arial"/>
                <w:sz w:val="20"/>
              </w:rPr>
              <w:t xml:space="preserve"> </w:t>
            </w:r>
            <w:proofErr w:type="gramStart"/>
            <w:r w:rsidRPr="00C5347D">
              <w:rPr>
                <w:rFonts w:ascii="Arial Narrow" w:hAnsi="Arial Narrow" w:cs="Arial"/>
                <w:sz w:val="20"/>
              </w:rPr>
              <w:t>a</w:t>
            </w:r>
            <w:proofErr w:type="gramEnd"/>
            <w:r w:rsidRPr="00C5347D">
              <w:rPr>
                <w:rFonts w:ascii="Arial Narrow" w:hAnsi="Arial Narrow" w:cs="Arial"/>
                <w:sz w:val="20"/>
              </w:rPr>
              <w:t xml:space="preserve"> sceller dans un ouvrage en béton y compris et toutes sujétions comprises</w:t>
            </w:r>
          </w:p>
        </w:tc>
        <w:tc>
          <w:tcPr>
            <w:tcW w:w="440" w:type="pct"/>
            <w:shd w:val="clear" w:color="auto" w:fill="auto"/>
            <w:vAlign w:val="center"/>
            <w:hideMark/>
          </w:tcPr>
          <w:p w14:paraId="2915F62F"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U</w:t>
            </w:r>
          </w:p>
        </w:tc>
        <w:tc>
          <w:tcPr>
            <w:tcW w:w="663" w:type="pct"/>
            <w:shd w:val="clear" w:color="auto" w:fill="auto"/>
            <w:vAlign w:val="center"/>
            <w:hideMark/>
          </w:tcPr>
          <w:p w14:paraId="4A924204" w14:textId="77777777" w:rsidR="006B66E4" w:rsidRPr="00A7320B" w:rsidRDefault="006B66E4" w:rsidP="006B66E4">
            <w:pPr>
              <w:spacing w:after="0"/>
              <w:ind w:left="0" w:firstLine="0"/>
              <w:jc w:val="center"/>
              <w:rPr>
                <w:rFonts w:ascii="Arial Narrow" w:hAnsi="Arial Narrow" w:cs="Arial"/>
                <w:sz w:val="20"/>
              </w:rPr>
            </w:pPr>
            <w:r w:rsidRPr="00A7320B">
              <w:rPr>
                <w:rFonts w:ascii="Arial Narrow" w:hAnsi="Arial Narrow" w:cs="Arial"/>
                <w:sz w:val="20"/>
              </w:rPr>
              <w:t>3,00</w:t>
            </w:r>
          </w:p>
        </w:tc>
        <w:tc>
          <w:tcPr>
            <w:tcW w:w="662" w:type="pct"/>
          </w:tcPr>
          <w:p w14:paraId="67FB5E3B" w14:textId="77777777" w:rsidR="006B66E4" w:rsidRPr="00C5347D" w:rsidRDefault="006B66E4" w:rsidP="006B66E4">
            <w:pPr>
              <w:spacing w:after="0"/>
              <w:ind w:left="0" w:firstLine="0"/>
              <w:jc w:val="center"/>
              <w:rPr>
                <w:rFonts w:ascii="Arial Narrow" w:hAnsi="Arial Narrow" w:cs="Arial"/>
                <w:sz w:val="20"/>
              </w:rPr>
            </w:pPr>
          </w:p>
        </w:tc>
        <w:tc>
          <w:tcPr>
            <w:tcW w:w="661" w:type="pct"/>
          </w:tcPr>
          <w:p w14:paraId="315AE1EA" w14:textId="77777777" w:rsidR="006B66E4" w:rsidRPr="00C5347D" w:rsidRDefault="006B66E4" w:rsidP="006B66E4">
            <w:pPr>
              <w:spacing w:after="0"/>
              <w:ind w:left="0" w:firstLine="0"/>
              <w:jc w:val="center"/>
              <w:rPr>
                <w:rFonts w:ascii="Arial Narrow" w:hAnsi="Arial Narrow" w:cs="Arial"/>
                <w:sz w:val="20"/>
              </w:rPr>
            </w:pPr>
          </w:p>
        </w:tc>
      </w:tr>
      <w:tr w:rsidR="006B66E4" w:rsidRPr="00C5347D" w14:paraId="72ACAEBD" w14:textId="77777777" w:rsidTr="00D77BC6">
        <w:trPr>
          <w:trHeight w:val="264"/>
        </w:trPr>
        <w:tc>
          <w:tcPr>
            <w:tcW w:w="311" w:type="pct"/>
            <w:shd w:val="clear" w:color="auto" w:fill="auto"/>
            <w:vAlign w:val="center"/>
            <w:hideMark/>
          </w:tcPr>
          <w:p w14:paraId="4D5EFD4F"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 </w:t>
            </w:r>
          </w:p>
        </w:tc>
        <w:tc>
          <w:tcPr>
            <w:tcW w:w="2263" w:type="pct"/>
            <w:shd w:val="clear" w:color="auto" w:fill="auto"/>
            <w:vAlign w:val="center"/>
            <w:hideMark/>
          </w:tcPr>
          <w:p w14:paraId="50289CC2" w14:textId="77777777" w:rsidR="006B66E4" w:rsidRPr="00C5347D" w:rsidRDefault="006B66E4" w:rsidP="006B66E4">
            <w:pPr>
              <w:spacing w:after="0"/>
              <w:ind w:left="0" w:firstLine="0"/>
              <w:jc w:val="right"/>
              <w:rPr>
                <w:rFonts w:ascii="Arial Narrow" w:hAnsi="Arial Narrow" w:cs="Arial"/>
                <w:b/>
                <w:bCs/>
                <w:sz w:val="20"/>
              </w:rPr>
            </w:pPr>
            <w:r w:rsidRPr="00C5347D">
              <w:rPr>
                <w:rFonts w:ascii="Arial Narrow" w:hAnsi="Arial Narrow" w:cs="Arial"/>
                <w:b/>
                <w:bCs/>
                <w:sz w:val="20"/>
              </w:rPr>
              <w:t>Total Série 3</w:t>
            </w:r>
          </w:p>
        </w:tc>
        <w:tc>
          <w:tcPr>
            <w:tcW w:w="440" w:type="pct"/>
            <w:shd w:val="clear" w:color="auto" w:fill="auto"/>
            <w:vAlign w:val="center"/>
            <w:hideMark/>
          </w:tcPr>
          <w:p w14:paraId="4112AF3E" w14:textId="77777777" w:rsidR="006B66E4" w:rsidRPr="00C5347D" w:rsidRDefault="006B66E4" w:rsidP="006B66E4">
            <w:pPr>
              <w:spacing w:after="0"/>
              <w:ind w:left="0" w:firstLine="0"/>
              <w:jc w:val="center"/>
              <w:rPr>
                <w:rFonts w:ascii="Arial Narrow" w:hAnsi="Arial Narrow" w:cs="Arial"/>
                <w:b/>
                <w:bCs/>
                <w:sz w:val="20"/>
              </w:rPr>
            </w:pPr>
            <w:r w:rsidRPr="00C5347D">
              <w:rPr>
                <w:rFonts w:ascii="Arial Narrow" w:hAnsi="Arial Narrow" w:cs="Arial"/>
                <w:b/>
                <w:bCs/>
                <w:sz w:val="20"/>
              </w:rPr>
              <w:t> </w:t>
            </w:r>
          </w:p>
        </w:tc>
        <w:tc>
          <w:tcPr>
            <w:tcW w:w="663" w:type="pct"/>
            <w:shd w:val="clear" w:color="auto" w:fill="auto"/>
            <w:vAlign w:val="center"/>
            <w:hideMark/>
          </w:tcPr>
          <w:p w14:paraId="04D9C587" w14:textId="77777777" w:rsidR="006B66E4" w:rsidRPr="00A7320B" w:rsidRDefault="006B66E4" w:rsidP="006B66E4">
            <w:pPr>
              <w:spacing w:after="0"/>
              <w:ind w:left="0" w:firstLine="0"/>
              <w:jc w:val="center"/>
              <w:rPr>
                <w:rFonts w:ascii="Arial Narrow" w:hAnsi="Arial Narrow" w:cs="Arial"/>
                <w:b/>
                <w:bCs/>
                <w:sz w:val="20"/>
              </w:rPr>
            </w:pPr>
            <w:r w:rsidRPr="00A7320B">
              <w:rPr>
                <w:rFonts w:ascii="Arial Narrow" w:hAnsi="Arial Narrow" w:cs="Arial"/>
                <w:b/>
                <w:bCs/>
                <w:sz w:val="20"/>
              </w:rPr>
              <w:t> </w:t>
            </w:r>
          </w:p>
        </w:tc>
        <w:tc>
          <w:tcPr>
            <w:tcW w:w="662" w:type="pct"/>
          </w:tcPr>
          <w:p w14:paraId="317B8404" w14:textId="77777777" w:rsidR="006B66E4" w:rsidRPr="00C5347D" w:rsidRDefault="006B66E4" w:rsidP="006B66E4">
            <w:pPr>
              <w:spacing w:after="0"/>
              <w:ind w:left="0" w:firstLine="0"/>
              <w:jc w:val="center"/>
              <w:rPr>
                <w:rFonts w:ascii="Arial Narrow" w:hAnsi="Arial Narrow" w:cs="Arial"/>
                <w:b/>
                <w:bCs/>
                <w:sz w:val="20"/>
              </w:rPr>
            </w:pPr>
          </w:p>
        </w:tc>
        <w:tc>
          <w:tcPr>
            <w:tcW w:w="661" w:type="pct"/>
          </w:tcPr>
          <w:p w14:paraId="6A845B3A" w14:textId="77777777" w:rsidR="006B66E4" w:rsidRPr="00C5347D" w:rsidRDefault="006B66E4" w:rsidP="006B66E4">
            <w:pPr>
              <w:spacing w:after="0"/>
              <w:ind w:left="0" w:firstLine="0"/>
              <w:jc w:val="center"/>
              <w:rPr>
                <w:rFonts w:ascii="Arial Narrow" w:hAnsi="Arial Narrow" w:cs="Arial"/>
                <w:b/>
                <w:bCs/>
                <w:sz w:val="20"/>
              </w:rPr>
            </w:pPr>
          </w:p>
        </w:tc>
      </w:tr>
      <w:tr w:rsidR="006B66E4" w:rsidRPr="00C5347D" w14:paraId="54BBDD4A" w14:textId="77777777" w:rsidTr="00D77BC6">
        <w:trPr>
          <w:trHeight w:val="528"/>
        </w:trPr>
        <w:tc>
          <w:tcPr>
            <w:tcW w:w="311" w:type="pct"/>
            <w:shd w:val="clear" w:color="auto" w:fill="auto"/>
            <w:vAlign w:val="center"/>
            <w:hideMark/>
          </w:tcPr>
          <w:p w14:paraId="65B86D5D"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 </w:t>
            </w:r>
          </w:p>
        </w:tc>
        <w:tc>
          <w:tcPr>
            <w:tcW w:w="2263" w:type="pct"/>
            <w:shd w:val="clear" w:color="auto" w:fill="auto"/>
            <w:vAlign w:val="center"/>
            <w:hideMark/>
          </w:tcPr>
          <w:p w14:paraId="6F48676B" w14:textId="77777777" w:rsidR="006B66E4" w:rsidRPr="00C5347D" w:rsidRDefault="006B66E4" w:rsidP="006B66E4">
            <w:pPr>
              <w:spacing w:after="0"/>
              <w:ind w:left="0" w:firstLine="0"/>
              <w:jc w:val="left"/>
              <w:rPr>
                <w:rFonts w:ascii="Arial Narrow" w:hAnsi="Arial Narrow" w:cs="Arial"/>
                <w:b/>
                <w:bCs/>
                <w:sz w:val="20"/>
              </w:rPr>
            </w:pPr>
            <w:r w:rsidRPr="00C5347D">
              <w:rPr>
                <w:rFonts w:ascii="Arial Narrow" w:hAnsi="Arial Narrow" w:cs="Arial"/>
                <w:b/>
                <w:bCs/>
                <w:sz w:val="20"/>
              </w:rPr>
              <w:t>Série IV - BASSIN DE DISSIPATION ET PROTECTION AVALE</w:t>
            </w:r>
          </w:p>
        </w:tc>
        <w:tc>
          <w:tcPr>
            <w:tcW w:w="440" w:type="pct"/>
            <w:shd w:val="clear" w:color="auto" w:fill="auto"/>
            <w:vAlign w:val="center"/>
            <w:hideMark/>
          </w:tcPr>
          <w:p w14:paraId="47B45D85"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 </w:t>
            </w:r>
          </w:p>
        </w:tc>
        <w:tc>
          <w:tcPr>
            <w:tcW w:w="663" w:type="pct"/>
            <w:shd w:val="clear" w:color="auto" w:fill="auto"/>
            <w:vAlign w:val="center"/>
            <w:hideMark/>
          </w:tcPr>
          <w:p w14:paraId="6D7495A6" w14:textId="77777777" w:rsidR="006B66E4" w:rsidRPr="00A7320B" w:rsidRDefault="006B66E4" w:rsidP="006B66E4">
            <w:pPr>
              <w:spacing w:after="0"/>
              <w:ind w:left="0" w:firstLine="0"/>
              <w:jc w:val="center"/>
              <w:rPr>
                <w:rFonts w:ascii="Arial Narrow" w:hAnsi="Arial Narrow" w:cs="Arial"/>
                <w:sz w:val="20"/>
              </w:rPr>
            </w:pPr>
            <w:r w:rsidRPr="00A7320B">
              <w:rPr>
                <w:rFonts w:ascii="Arial Narrow" w:hAnsi="Arial Narrow" w:cs="Arial"/>
                <w:sz w:val="20"/>
              </w:rPr>
              <w:t> </w:t>
            </w:r>
          </w:p>
        </w:tc>
        <w:tc>
          <w:tcPr>
            <w:tcW w:w="662" w:type="pct"/>
          </w:tcPr>
          <w:p w14:paraId="2C9DF572" w14:textId="77777777" w:rsidR="006B66E4" w:rsidRPr="00C5347D" w:rsidRDefault="006B66E4" w:rsidP="006B66E4">
            <w:pPr>
              <w:spacing w:after="0"/>
              <w:ind w:left="0" w:firstLine="0"/>
              <w:jc w:val="center"/>
              <w:rPr>
                <w:rFonts w:ascii="Arial Narrow" w:hAnsi="Arial Narrow" w:cs="Arial"/>
                <w:sz w:val="20"/>
              </w:rPr>
            </w:pPr>
          </w:p>
        </w:tc>
        <w:tc>
          <w:tcPr>
            <w:tcW w:w="661" w:type="pct"/>
          </w:tcPr>
          <w:p w14:paraId="42DDDEDF" w14:textId="77777777" w:rsidR="006B66E4" w:rsidRPr="00C5347D" w:rsidRDefault="006B66E4" w:rsidP="006B66E4">
            <w:pPr>
              <w:spacing w:after="0"/>
              <w:ind w:left="0" w:firstLine="0"/>
              <w:jc w:val="center"/>
              <w:rPr>
                <w:rFonts w:ascii="Arial Narrow" w:hAnsi="Arial Narrow" w:cs="Arial"/>
                <w:sz w:val="20"/>
              </w:rPr>
            </w:pPr>
          </w:p>
        </w:tc>
      </w:tr>
      <w:tr w:rsidR="006B66E4" w:rsidRPr="00C5347D" w14:paraId="0FC15415" w14:textId="77777777" w:rsidTr="00D77BC6">
        <w:trPr>
          <w:trHeight w:val="312"/>
        </w:trPr>
        <w:tc>
          <w:tcPr>
            <w:tcW w:w="311" w:type="pct"/>
            <w:shd w:val="clear" w:color="auto" w:fill="auto"/>
            <w:vAlign w:val="center"/>
            <w:hideMark/>
          </w:tcPr>
          <w:p w14:paraId="46253646"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4.1</w:t>
            </w:r>
          </w:p>
        </w:tc>
        <w:tc>
          <w:tcPr>
            <w:tcW w:w="2263" w:type="pct"/>
            <w:shd w:val="clear" w:color="auto" w:fill="auto"/>
            <w:vAlign w:val="center"/>
            <w:hideMark/>
          </w:tcPr>
          <w:p w14:paraId="1CA005D5" w14:textId="77777777" w:rsidR="006B66E4" w:rsidRPr="00C5347D" w:rsidRDefault="006B66E4" w:rsidP="006B66E4">
            <w:pPr>
              <w:spacing w:after="0"/>
              <w:ind w:left="0" w:firstLine="0"/>
              <w:jc w:val="left"/>
              <w:rPr>
                <w:rFonts w:ascii="Arial Narrow" w:hAnsi="Arial Narrow" w:cs="Arial"/>
                <w:sz w:val="20"/>
              </w:rPr>
            </w:pPr>
            <w:r w:rsidRPr="00C5347D">
              <w:rPr>
                <w:rFonts w:ascii="Arial Narrow" w:hAnsi="Arial Narrow" w:cs="Arial"/>
                <w:sz w:val="20"/>
              </w:rPr>
              <w:t>Fouille pour bassin, murs de séparation et butées</w:t>
            </w:r>
          </w:p>
        </w:tc>
        <w:tc>
          <w:tcPr>
            <w:tcW w:w="440" w:type="pct"/>
            <w:shd w:val="clear" w:color="auto" w:fill="auto"/>
            <w:vAlign w:val="center"/>
            <w:hideMark/>
          </w:tcPr>
          <w:p w14:paraId="420C6D28"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m</w:t>
            </w:r>
            <w:r w:rsidRPr="00C5347D">
              <w:rPr>
                <w:rFonts w:ascii="Arial Narrow" w:hAnsi="Arial Narrow" w:cs="Arial"/>
                <w:sz w:val="20"/>
                <w:vertAlign w:val="superscript"/>
              </w:rPr>
              <w:t>3</w:t>
            </w:r>
          </w:p>
        </w:tc>
        <w:tc>
          <w:tcPr>
            <w:tcW w:w="663" w:type="pct"/>
            <w:shd w:val="clear" w:color="auto" w:fill="auto"/>
            <w:vAlign w:val="center"/>
            <w:hideMark/>
          </w:tcPr>
          <w:p w14:paraId="71C47AE2" w14:textId="77777777" w:rsidR="006B66E4" w:rsidRPr="00A7320B" w:rsidRDefault="006B66E4" w:rsidP="006B66E4">
            <w:pPr>
              <w:spacing w:after="0"/>
              <w:ind w:left="0" w:firstLine="0"/>
              <w:jc w:val="center"/>
              <w:rPr>
                <w:rFonts w:ascii="Arial Narrow" w:hAnsi="Arial Narrow" w:cs="Arial"/>
                <w:sz w:val="20"/>
              </w:rPr>
            </w:pPr>
            <w:r w:rsidRPr="00A7320B">
              <w:rPr>
                <w:rFonts w:ascii="Arial Narrow" w:hAnsi="Arial Narrow" w:cs="Arial"/>
                <w:sz w:val="20"/>
              </w:rPr>
              <w:t>319,20</w:t>
            </w:r>
          </w:p>
        </w:tc>
        <w:tc>
          <w:tcPr>
            <w:tcW w:w="662" w:type="pct"/>
          </w:tcPr>
          <w:p w14:paraId="19AB2AC3" w14:textId="77777777" w:rsidR="006B66E4" w:rsidRPr="00C5347D" w:rsidRDefault="006B66E4" w:rsidP="006B66E4">
            <w:pPr>
              <w:spacing w:after="0"/>
              <w:ind w:left="0" w:firstLine="0"/>
              <w:jc w:val="center"/>
              <w:rPr>
                <w:rFonts w:ascii="Arial Narrow" w:hAnsi="Arial Narrow" w:cs="Arial"/>
                <w:sz w:val="20"/>
              </w:rPr>
            </w:pPr>
          </w:p>
        </w:tc>
        <w:tc>
          <w:tcPr>
            <w:tcW w:w="661" w:type="pct"/>
          </w:tcPr>
          <w:p w14:paraId="56943BA7" w14:textId="77777777" w:rsidR="006B66E4" w:rsidRPr="00C5347D" w:rsidRDefault="006B66E4" w:rsidP="006B66E4">
            <w:pPr>
              <w:spacing w:after="0"/>
              <w:ind w:left="0" w:firstLine="0"/>
              <w:jc w:val="center"/>
              <w:rPr>
                <w:rFonts w:ascii="Arial Narrow" w:hAnsi="Arial Narrow" w:cs="Arial"/>
                <w:sz w:val="20"/>
              </w:rPr>
            </w:pPr>
          </w:p>
        </w:tc>
      </w:tr>
      <w:tr w:rsidR="006B66E4" w:rsidRPr="00C5347D" w14:paraId="42110561" w14:textId="77777777" w:rsidTr="00D77BC6">
        <w:trPr>
          <w:trHeight w:val="312"/>
        </w:trPr>
        <w:tc>
          <w:tcPr>
            <w:tcW w:w="311" w:type="pct"/>
            <w:shd w:val="clear" w:color="auto" w:fill="auto"/>
            <w:vAlign w:val="center"/>
            <w:hideMark/>
          </w:tcPr>
          <w:p w14:paraId="06C35803"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4.2</w:t>
            </w:r>
          </w:p>
        </w:tc>
        <w:tc>
          <w:tcPr>
            <w:tcW w:w="2263" w:type="pct"/>
            <w:shd w:val="clear" w:color="auto" w:fill="auto"/>
            <w:vAlign w:val="center"/>
            <w:hideMark/>
          </w:tcPr>
          <w:p w14:paraId="0F142F47" w14:textId="77777777" w:rsidR="006B66E4" w:rsidRPr="00C5347D" w:rsidRDefault="006B66E4" w:rsidP="006B66E4">
            <w:pPr>
              <w:spacing w:after="0"/>
              <w:ind w:left="0" w:firstLine="0"/>
              <w:jc w:val="left"/>
              <w:rPr>
                <w:rFonts w:ascii="Arial Narrow" w:hAnsi="Arial Narrow" w:cs="Arial"/>
                <w:sz w:val="20"/>
              </w:rPr>
            </w:pPr>
            <w:r w:rsidRPr="00C5347D">
              <w:rPr>
                <w:rFonts w:ascii="Arial Narrow" w:hAnsi="Arial Narrow" w:cs="Arial"/>
                <w:sz w:val="20"/>
              </w:rPr>
              <w:t xml:space="preserve">Béton de </w:t>
            </w:r>
            <w:proofErr w:type="spellStart"/>
            <w:r w:rsidRPr="00C5347D">
              <w:rPr>
                <w:rFonts w:ascii="Arial Narrow" w:hAnsi="Arial Narrow" w:cs="Arial"/>
                <w:sz w:val="20"/>
              </w:rPr>
              <w:t>propréte</w:t>
            </w:r>
            <w:proofErr w:type="spellEnd"/>
            <w:r w:rsidRPr="00C5347D">
              <w:rPr>
                <w:rFonts w:ascii="Arial Narrow" w:hAnsi="Arial Narrow" w:cs="Arial"/>
                <w:sz w:val="20"/>
              </w:rPr>
              <w:t xml:space="preserve"> dosé à 150kg/m</w:t>
            </w:r>
            <w:r w:rsidRPr="00C5347D">
              <w:rPr>
                <w:rFonts w:ascii="Arial Narrow" w:hAnsi="Arial Narrow" w:cs="Arial"/>
                <w:sz w:val="20"/>
                <w:vertAlign w:val="superscript"/>
              </w:rPr>
              <w:t>3</w:t>
            </w:r>
            <w:r w:rsidRPr="00C5347D">
              <w:rPr>
                <w:rFonts w:ascii="Arial Narrow" w:hAnsi="Arial Narrow" w:cs="Arial"/>
                <w:sz w:val="20"/>
              </w:rPr>
              <w:t xml:space="preserve"> pour butées </w:t>
            </w:r>
          </w:p>
        </w:tc>
        <w:tc>
          <w:tcPr>
            <w:tcW w:w="440" w:type="pct"/>
            <w:shd w:val="clear" w:color="auto" w:fill="auto"/>
            <w:vAlign w:val="center"/>
            <w:hideMark/>
          </w:tcPr>
          <w:p w14:paraId="14667583"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m</w:t>
            </w:r>
            <w:r w:rsidRPr="00C5347D">
              <w:rPr>
                <w:rFonts w:ascii="Arial Narrow" w:hAnsi="Arial Narrow" w:cs="Arial"/>
                <w:sz w:val="20"/>
                <w:vertAlign w:val="superscript"/>
              </w:rPr>
              <w:t>3</w:t>
            </w:r>
          </w:p>
        </w:tc>
        <w:tc>
          <w:tcPr>
            <w:tcW w:w="663" w:type="pct"/>
            <w:shd w:val="clear" w:color="auto" w:fill="auto"/>
            <w:vAlign w:val="center"/>
            <w:hideMark/>
          </w:tcPr>
          <w:p w14:paraId="39B6D757" w14:textId="77777777" w:rsidR="006B66E4" w:rsidRPr="00A7320B" w:rsidRDefault="006B66E4" w:rsidP="006B66E4">
            <w:pPr>
              <w:spacing w:after="0"/>
              <w:ind w:left="0" w:firstLine="0"/>
              <w:jc w:val="center"/>
              <w:rPr>
                <w:rFonts w:ascii="Arial Narrow" w:hAnsi="Arial Narrow" w:cs="Arial"/>
                <w:sz w:val="20"/>
              </w:rPr>
            </w:pPr>
            <w:r w:rsidRPr="00A7320B">
              <w:rPr>
                <w:rFonts w:ascii="Arial Narrow" w:hAnsi="Arial Narrow" w:cs="Arial"/>
                <w:sz w:val="20"/>
              </w:rPr>
              <w:t>8,00</w:t>
            </w:r>
          </w:p>
        </w:tc>
        <w:tc>
          <w:tcPr>
            <w:tcW w:w="662" w:type="pct"/>
          </w:tcPr>
          <w:p w14:paraId="366FF9A6" w14:textId="77777777" w:rsidR="006B66E4" w:rsidRPr="00C5347D" w:rsidRDefault="006B66E4" w:rsidP="006B66E4">
            <w:pPr>
              <w:spacing w:after="0"/>
              <w:ind w:left="0" w:firstLine="0"/>
              <w:jc w:val="center"/>
              <w:rPr>
                <w:rFonts w:ascii="Arial Narrow" w:hAnsi="Arial Narrow" w:cs="Arial"/>
                <w:sz w:val="20"/>
              </w:rPr>
            </w:pPr>
          </w:p>
        </w:tc>
        <w:tc>
          <w:tcPr>
            <w:tcW w:w="661" w:type="pct"/>
          </w:tcPr>
          <w:p w14:paraId="00C9355E" w14:textId="77777777" w:rsidR="006B66E4" w:rsidRPr="00C5347D" w:rsidRDefault="006B66E4" w:rsidP="006B66E4">
            <w:pPr>
              <w:spacing w:after="0"/>
              <w:ind w:left="0" w:firstLine="0"/>
              <w:jc w:val="center"/>
              <w:rPr>
                <w:rFonts w:ascii="Arial Narrow" w:hAnsi="Arial Narrow" w:cs="Arial"/>
                <w:sz w:val="20"/>
              </w:rPr>
            </w:pPr>
          </w:p>
        </w:tc>
      </w:tr>
      <w:tr w:rsidR="006B66E4" w:rsidRPr="00C5347D" w14:paraId="3672209A" w14:textId="77777777" w:rsidTr="00D77BC6">
        <w:trPr>
          <w:trHeight w:val="312"/>
        </w:trPr>
        <w:tc>
          <w:tcPr>
            <w:tcW w:w="311" w:type="pct"/>
            <w:shd w:val="clear" w:color="auto" w:fill="auto"/>
            <w:vAlign w:val="center"/>
            <w:hideMark/>
          </w:tcPr>
          <w:p w14:paraId="220836DA"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4.3</w:t>
            </w:r>
          </w:p>
        </w:tc>
        <w:tc>
          <w:tcPr>
            <w:tcW w:w="2263" w:type="pct"/>
            <w:shd w:val="clear" w:color="auto" w:fill="auto"/>
            <w:vAlign w:val="center"/>
            <w:hideMark/>
          </w:tcPr>
          <w:p w14:paraId="302D1B9E" w14:textId="77777777" w:rsidR="006B66E4" w:rsidRPr="00C5347D" w:rsidRDefault="006B66E4" w:rsidP="006B66E4">
            <w:pPr>
              <w:spacing w:after="0"/>
              <w:ind w:left="0" w:firstLine="0"/>
              <w:jc w:val="left"/>
              <w:rPr>
                <w:rFonts w:ascii="Arial Narrow" w:hAnsi="Arial Narrow" w:cs="Arial"/>
                <w:sz w:val="20"/>
              </w:rPr>
            </w:pPr>
            <w:r w:rsidRPr="00C5347D">
              <w:rPr>
                <w:rFonts w:ascii="Arial Narrow" w:hAnsi="Arial Narrow" w:cs="Arial"/>
                <w:sz w:val="20"/>
              </w:rPr>
              <w:t>Béton cyclopéen en fondation dosé à 350kg/m</w:t>
            </w:r>
            <w:r w:rsidRPr="00C5347D">
              <w:rPr>
                <w:rFonts w:ascii="Arial Narrow" w:hAnsi="Arial Narrow" w:cs="Arial"/>
                <w:sz w:val="20"/>
                <w:vertAlign w:val="superscript"/>
              </w:rPr>
              <w:t>3</w:t>
            </w:r>
            <w:r w:rsidRPr="00C5347D">
              <w:rPr>
                <w:rFonts w:ascii="Arial Narrow" w:hAnsi="Arial Narrow" w:cs="Arial"/>
                <w:sz w:val="20"/>
              </w:rPr>
              <w:t xml:space="preserve"> pour butées</w:t>
            </w:r>
          </w:p>
        </w:tc>
        <w:tc>
          <w:tcPr>
            <w:tcW w:w="440" w:type="pct"/>
            <w:shd w:val="clear" w:color="auto" w:fill="auto"/>
            <w:vAlign w:val="center"/>
            <w:hideMark/>
          </w:tcPr>
          <w:p w14:paraId="4D894EBE"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m</w:t>
            </w:r>
            <w:r w:rsidRPr="00C5347D">
              <w:rPr>
                <w:rFonts w:ascii="Arial Narrow" w:hAnsi="Arial Narrow" w:cs="Arial"/>
                <w:sz w:val="20"/>
                <w:vertAlign w:val="superscript"/>
              </w:rPr>
              <w:t>3</w:t>
            </w:r>
          </w:p>
        </w:tc>
        <w:tc>
          <w:tcPr>
            <w:tcW w:w="663" w:type="pct"/>
            <w:shd w:val="clear" w:color="auto" w:fill="auto"/>
            <w:vAlign w:val="center"/>
            <w:hideMark/>
          </w:tcPr>
          <w:p w14:paraId="279EC0C4" w14:textId="77777777" w:rsidR="006B66E4" w:rsidRPr="00A7320B" w:rsidRDefault="006B66E4" w:rsidP="006B66E4">
            <w:pPr>
              <w:spacing w:after="0"/>
              <w:ind w:left="0" w:firstLine="0"/>
              <w:jc w:val="center"/>
              <w:rPr>
                <w:rFonts w:ascii="Arial Narrow" w:hAnsi="Arial Narrow" w:cs="Arial"/>
                <w:sz w:val="20"/>
              </w:rPr>
            </w:pPr>
            <w:r w:rsidRPr="00A7320B">
              <w:rPr>
                <w:rFonts w:ascii="Arial Narrow" w:hAnsi="Arial Narrow" w:cs="Arial"/>
                <w:sz w:val="20"/>
              </w:rPr>
              <w:t>52,80</w:t>
            </w:r>
          </w:p>
        </w:tc>
        <w:tc>
          <w:tcPr>
            <w:tcW w:w="662" w:type="pct"/>
          </w:tcPr>
          <w:p w14:paraId="1055EEB5" w14:textId="77777777" w:rsidR="006B66E4" w:rsidRPr="00C5347D" w:rsidRDefault="006B66E4" w:rsidP="006B66E4">
            <w:pPr>
              <w:spacing w:after="0"/>
              <w:ind w:left="0" w:firstLine="0"/>
              <w:jc w:val="center"/>
              <w:rPr>
                <w:rFonts w:ascii="Arial Narrow" w:hAnsi="Arial Narrow" w:cs="Arial"/>
                <w:sz w:val="20"/>
              </w:rPr>
            </w:pPr>
          </w:p>
        </w:tc>
        <w:tc>
          <w:tcPr>
            <w:tcW w:w="661" w:type="pct"/>
          </w:tcPr>
          <w:p w14:paraId="4BB33E84" w14:textId="77777777" w:rsidR="006B66E4" w:rsidRPr="00C5347D" w:rsidRDefault="006B66E4" w:rsidP="006B66E4">
            <w:pPr>
              <w:spacing w:after="0"/>
              <w:ind w:left="0" w:firstLine="0"/>
              <w:jc w:val="center"/>
              <w:rPr>
                <w:rFonts w:ascii="Arial Narrow" w:hAnsi="Arial Narrow" w:cs="Arial"/>
                <w:sz w:val="20"/>
              </w:rPr>
            </w:pPr>
          </w:p>
        </w:tc>
      </w:tr>
      <w:tr w:rsidR="006B66E4" w:rsidRPr="00C5347D" w14:paraId="4E39FD2E" w14:textId="77777777" w:rsidTr="00D77BC6">
        <w:trPr>
          <w:trHeight w:val="576"/>
        </w:trPr>
        <w:tc>
          <w:tcPr>
            <w:tcW w:w="311" w:type="pct"/>
            <w:shd w:val="clear" w:color="auto" w:fill="auto"/>
            <w:vAlign w:val="center"/>
            <w:hideMark/>
          </w:tcPr>
          <w:p w14:paraId="535974D5"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4.4</w:t>
            </w:r>
          </w:p>
        </w:tc>
        <w:tc>
          <w:tcPr>
            <w:tcW w:w="2263" w:type="pct"/>
            <w:shd w:val="clear" w:color="auto" w:fill="auto"/>
            <w:vAlign w:val="center"/>
            <w:hideMark/>
          </w:tcPr>
          <w:p w14:paraId="29E3F4C2" w14:textId="77777777" w:rsidR="006B66E4" w:rsidRPr="00C5347D" w:rsidRDefault="006B66E4" w:rsidP="006B66E4">
            <w:pPr>
              <w:spacing w:after="0"/>
              <w:ind w:left="0" w:firstLine="0"/>
              <w:jc w:val="left"/>
              <w:rPr>
                <w:rFonts w:ascii="Arial Narrow" w:hAnsi="Arial Narrow" w:cs="Arial"/>
                <w:sz w:val="20"/>
              </w:rPr>
            </w:pPr>
            <w:r w:rsidRPr="00C5347D">
              <w:rPr>
                <w:rFonts w:ascii="Arial Narrow" w:hAnsi="Arial Narrow" w:cs="Arial"/>
                <w:sz w:val="20"/>
              </w:rPr>
              <w:t xml:space="preserve">Béton cyclopéen en </w:t>
            </w:r>
            <w:proofErr w:type="spellStart"/>
            <w:r w:rsidRPr="00C5347D">
              <w:rPr>
                <w:rFonts w:ascii="Arial Narrow" w:hAnsi="Arial Narrow" w:cs="Arial"/>
                <w:sz w:val="20"/>
              </w:rPr>
              <w:t>elevation</w:t>
            </w:r>
            <w:proofErr w:type="spellEnd"/>
            <w:r w:rsidRPr="00C5347D">
              <w:rPr>
                <w:rFonts w:ascii="Arial Narrow" w:hAnsi="Arial Narrow" w:cs="Arial"/>
                <w:sz w:val="20"/>
              </w:rPr>
              <w:t xml:space="preserve"> dosé à 350kg/m</w:t>
            </w:r>
            <w:r w:rsidRPr="00C5347D">
              <w:rPr>
                <w:rFonts w:ascii="Arial Narrow" w:hAnsi="Arial Narrow" w:cs="Arial"/>
                <w:sz w:val="20"/>
                <w:vertAlign w:val="superscript"/>
              </w:rPr>
              <w:t>3</w:t>
            </w:r>
            <w:r w:rsidRPr="00C5347D">
              <w:rPr>
                <w:rFonts w:ascii="Arial Narrow" w:hAnsi="Arial Narrow" w:cs="Arial"/>
                <w:sz w:val="20"/>
              </w:rPr>
              <w:t xml:space="preserve"> pour butées y compris enduits gras</w:t>
            </w:r>
          </w:p>
        </w:tc>
        <w:tc>
          <w:tcPr>
            <w:tcW w:w="440" w:type="pct"/>
            <w:shd w:val="clear" w:color="auto" w:fill="auto"/>
            <w:vAlign w:val="center"/>
            <w:hideMark/>
          </w:tcPr>
          <w:p w14:paraId="2931871A"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m</w:t>
            </w:r>
            <w:r w:rsidRPr="00C5347D">
              <w:rPr>
                <w:rFonts w:ascii="Arial Narrow" w:hAnsi="Arial Narrow" w:cs="Arial"/>
                <w:sz w:val="20"/>
                <w:vertAlign w:val="superscript"/>
              </w:rPr>
              <w:t>3</w:t>
            </w:r>
          </w:p>
        </w:tc>
        <w:tc>
          <w:tcPr>
            <w:tcW w:w="663" w:type="pct"/>
            <w:shd w:val="clear" w:color="auto" w:fill="auto"/>
            <w:vAlign w:val="center"/>
            <w:hideMark/>
          </w:tcPr>
          <w:p w14:paraId="6C18B501" w14:textId="77777777" w:rsidR="006B66E4" w:rsidRPr="00A7320B" w:rsidRDefault="006B66E4" w:rsidP="006B66E4">
            <w:pPr>
              <w:spacing w:after="0"/>
              <w:ind w:left="0" w:firstLine="0"/>
              <w:jc w:val="center"/>
              <w:rPr>
                <w:rFonts w:ascii="Arial Narrow" w:hAnsi="Arial Narrow" w:cs="Arial"/>
                <w:sz w:val="20"/>
              </w:rPr>
            </w:pPr>
            <w:r w:rsidRPr="00A7320B">
              <w:rPr>
                <w:rFonts w:ascii="Arial Narrow" w:hAnsi="Arial Narrow" w:cs="Arial"/>
                <w:sz w:val="20"/>
              </w:rPr>
              <w:t>77,20</w:t>
            </w:r>
          </w:p>
        </w:tc>
        <w:tc>
          <w:tcPr>
            <w:tcW w:w="662" w:type="pct"/>
          </w:tcPr>
          <w:p w14:paraId="0AE4C8EC" w14:textId="77777777" w:rsidR="006B66E4" w:rsidRPr="00C5347D" w:rsidRDefault="006B66E4" w:rsidP="006B66E4">
            <w:pPr>
              <w:spacing w:after="0"/>
              <w:ind w:left="0" w:firstLine="0"/>
              <w:jc w:val="center"/>
              <w:rPr>
                <w:rFonts w:ascii="Arial Narrow" w:hAnsi="Arial Narrow" w:cs="Arial"/>
                <w:sz w:val="20"/>
              </w:rPr>
            </w:pPr>
          </w:p>
        </w:tc>
        <w:tc>
          <w:tcPr>
            <w:tcW w:w="661" w:type="pct"/>
          </w:tcPr>
          <w:p w14:paraId="05FCCC65" w14:textId="77777777" w:rsidR="006B66E4" w:rsidRPr="00C5347D" w:rsidRDefault="006B66E4" w:rsidP="006B66E4">
            <w:pPr>
              <w:spacing w:after="0"/>
              <w:ind w:left="0" w:firstLine="0"/>
              <w:jc w:val="center"/>
              <w:rPr>
                <w:rFonts w:ascii="Arial Narrow" w:hAnsi="Arial Narrow" w:cs="Arial"/>
                <w:sz w:val="20"/>
              </w:rPr>
            </w:pPr>
          </w:p>
        </w:tc>
      </w:tr>
      <w:tr w:rsidR="006B66E4" w:rsidRPr="00C5347D" w14:paraId="38EF7B93" w14:textId="77777777" w:rsidTr="00D77BC6">
        <w:trPr>
          <w:trHeight w:val="528"/>
        </w:trPr>
        <w:tc>
          <w:tcPr>
            <w:tcW w:w="311" w:type="pct"/>
            <w:shd w:val="clear" w:color="auto" w:fill="auto"/>
            <w:vAlign w:val="center"/>
            <w:hideMark/>
          </w:tcPr>
          <w:p w14:paraId="21B2BA49"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4.5</w:t>
            </w:r>
          </w:p>
        </w:tc>
        <w:tc>
          <w:tcPr>
            <w:tcW w:w="2263" w:type="pct"/>
            <w:shd w:val="clear" w:color="auto" w:fill="auto"/>
            <w:vAlign w:val="center"/>
            <w:hideMark/>
          </w:tcPr>
          <w:p w14:paraId="60A13D90" w14:textId="77777777" w:rsidR="006B66E4" w:rsidRPr="00C5347D" w:rsidRDefault="006B66E4" w:rsidP="006B66E4">
            <w:pPr>
              <w:spacing w:after="0"/>
              <w:ind w:left="0" w:firstLine="0"/>
              <w:jc w:val="left"/>
              <w:rPr>
                <w:rFonts w:ascii="Arial Narrow" w:hAnsi="Arial Narrow" w:cs="Arial"/>
                <w:sz w:val="20"/>
              </w:rPr>
            </w:pPr>
            <w:r w:rsidRPr="00C5347D">
              <w:rPr>
                <w:rFonts w:ascii="Arial Narrow" w:hAnsi="Arial Narrow" w:cs="Arial"/>
                <w:sz w:val="20"/>
              </w:rPr>
              <w:t>Béton cyclopéen dosé à 350kg/m3 pour bassin et murs de séparation et enduits y compris toutes sujétions</w:t>
            </w:r>
          </w:p>
        </w:tc>
        <w:tc>
          <w:tcPr>
            <w:tcW w:w="440" w:type="pct"/>
            <w:shd w:val="clear" w:color="auto" w:fill="auto"/>
            <w:vAlign w:val="center"/>
            <w:hideMark/>
          </w:tcPr>
          <w:p w14:paraId="24C39C40"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m</w:t>
            </w:r>
            <w:r w:rsidRPr="00C5347D">
              <w:rPr>
                <w:rFonts w:ascii="Arial Narrow" w:hAnsi="Arial Narrow" w:cs="Arial"/>
                <w:sz w:val="20"/>
                <w:vertAlign w:val="superscript"/>
              </w:rPr>
              <w:t>3</w:t>
            </w:r>
          </w:p>
        </w:tc>
        <w:tc>
          <w:tcPr>
            <w:tcW w:w="663" w:type="pct"/>
            <w:shd w:val="clear" w:color="auto" w:fill="auto"/>
            <w:vAlign w:val="center"/>
            <w:hideMark/>
          </w:tcPr>
          <w:p w14:paraId="7F4DFC0B" w14:textId="77777777" w:rsidR="006B66E4" w:rsidRPr="00A7320B" w:rsidRDefault="006B66E4" w:rsidP="006B66E4">
            <w:pPr>
              <w:spacing w:after="0"/>
              <w:ind w:left="0" w:firstLine="0"/>
              <w:jc w:val="center"/>
              <w:rPr>
                <w:rFonts w:ascii="Arial Narrow" w:hAnsi="Arial Narrow" w:cs="Arial"/>
                <w:sz w:val="20"/>
              </w:rPr>
            </w:pPr>
            <w:r w:rsidRPr="00A7320B">
              <w:rPr>
                <w:rFonts w:ascii="Arial Narrow" w:hAnsi="Arial Narrow" w:cs="Arial"/>
                <w:sz w:val="20"/>
              </w:rPr>
              <w:t>208,95</w:t>
            </w:r>
          </w:p>
        </w:tc>
        <w:tc>
          <w:tcPr>
            <w:tcW w:w="662" w:type="pct"/>
          </w:tcPr>
          <w:p w14:paraId="6DCB260F" w14:textId="77777777" w:rsidR="006B66E4" w:rsidRPr="00C5347D" w:rsidRDefault="006B66E4" w:rsidP="006B66E4">
            <w:pPr>
              <w:spacing w:after="0"/>
              <w:ind w:left="0" w:firstLine="0"/>
              <w:jc w:val="center"/>
              <w:rPr>
                <w:rFonts w:ascii="Arial Narrow" w:hAnsi="Arial Narrow" w:cs="Arial"/>
                <w:sz w:val="20"/>
              </w:rPr>
            </w:pPr>
          </w:p>
        </w:tc>
        <w:tc>
          <w:tcPr>
            <w:tcW w:w="661" w:type="pct"/>
          </w:tcPr>
          <w:p w14:paraId="257FF53A" w14:textId="77777777" w:rsidR="006B66E4" w:rsidRPr="00C5347D" w:rsidRDefault="006B66E4" w:rsidP="006B66E4">
            <w:pPr>
              <w:spacing w:after="0"/>
              <w:ind w:left="0" w:firstLine="0"/>
              <w:jc w:val="center"/>
              <w:rPr>
                <w:rFonts w:ascii="Arial Narrow" w:hAnsi="Arial Narrow" w:cs="Arial"/>
                <w:sz w:val="20"/>
              </w:rPr>
            </w:pPr>
          </w:p>
        </w:tc>
      </w:tr>
      <w:tr w:rsidR="006B66E4" w:rsidRPr="00C5347D" w14:paraId="5282EDB0" w14:textId="77777777" w:rsidTr="00D77BC6">
        <w:trPr>
          <w:trHeight w:val="528"/>
        </w:trPr>
        <w:tc>
          <w:tcPr>
            <w:tcW w:w="311" w:type="pct"/>
            <w:shd w:val="clear" w:color="auto" w:fill="auto"/>
            <w:vAlign w:val="center"/>
            <w:hideMark/>
          </w:tcPr>
          <w:p w14:paraId="56649782"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4.6</w:t>
            </w:r>
          </w:p>
        </w:tc>
        <w:tc>
          <w:tcPr>
            <w:tcW w:w="2263" w:type="pct"/>
            <w:shd w:val="clear" w:color="000000" w:fill="FFFFFF"/>
            <w:vAlign w:val="center"/>
            <w:hideMark/>
          </w:tcPr>
          <w:p w14:paraId="6C153FA6" w14:textId="77777777" w:rsidR="006B66E4" w:rsidRPr="00C5347D" w:rsidRDefault="006B66E4" w:rsidP="006B66E4">
            <w:pPr>
              <w:spacing w:after="0"/>
              <w:ind w:left="0" w:firstLine="0"/>
              <w:jc w:val="left"/>
              <w:rPr>
                <w:rFonts w:ascii="Arial Narrow" w:hAnsi="Arial Narrow" w:cs="Arial"/>
                <w:sz w:val="20"/>
              </w:rPr>
            </w:pPr>
            <w:r w:rsidRPr="00C5347D">
              <w:rPr>
                <w:rFonts w:ascii="Arial Narrow" w:hAnsi="Arial Narrow" w:cs="Arial"/>
                <w:sz w:val="20"/>
              </w:rPr>
              <w:t xml:space="preserve">Béton ordinaire dosé à 350 kg/m3 pour blocs de chutes y compris enduits </w:t>
            </w:r>
          </w:p>
        </w:tc>
        <w:tc>
          <w:tcPr>
            <w:tcW w:w="440" w:type="pct"/>
            <w:shd w:val="clear" w:color="auto" w:fill="auto"/>
            <w:vAlign w:val="center"/>
            <w:hideMark/>
          </w:tcPr>
          <w:p w14:paraId="0637B2F4"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m</w:t>
            </w:r>
            <w:r w:rsidRPr="00C5347D">
              <w:rPr>
                <w:rFonts w:ascii="Arial Narrow" w:hAnsi="Arial Narrow" w:cs="Arial"/>
                <w:sz w:val="20"/>
                <w:vertAlign w:val="superscript"/>
              </w:rPr>
              <w:t>3</w:t>
            </w:r>
          </w:p>
        </w:tc>
        <w:tc>
          <w:tcPr>
            <w:tcW w:w="663" w:type="pct"/>
            <w:shd w:val="clear" w:color="auto" w:fill="auto"/>
            <w:vAlign w:val="center"/>
            <w:hideMark/>
          </w:tcPr>
          <w:p w14:paraId="21D8E0A2" w14:textId="77777777" w:rsidR="006B66E4" w:rsidRPr="00A7320B" w:rsidRDefault="006B66E4" w:rsidP="006B66E4">
            <w:pPr>
              <w:spacing w:after="0"/>
              <w:ind w:left="0" w:firstLine="0"/>
              <w:jc w:val="center"/>
              <w:rPr>
                <w:rFonts w:ascii="Arial Narrow" w:hAnsi="Arial Narrow" w:cs="Arial"/>
                <w:sz w:val="20"/>
              </w:rPr>
            </w:pPr>
            <w:r w:rsidRPr="00A7320B">
              <w:rPr>
                <w:rFonts w:ascii="Arial Narrow" w:hAnsi="Arial Narrow" w:cs="Arial"/>
                <w:sz w:val="20"/>
              </w:rPr>
              <w:t>80,00</w:t>
            </w:r>
          </w:p>
        </w:tc>
        <w:tc>
          <w:tcPr>
            <w:tcW w:w="662" w:type="pct"/>
          </w:tcPr>
          <w:p w14:paraId="182E5DDA" w14:textId="77777777" w:rsidR="006B66E4" w:rsidRPr="00C5347D" w:rsidRDefault="006B66E4" w:rsidP="006B66E4">
            <w:pPr>
              <w:spacing w:after="0"/>
              <w:ind w:left="0" w:firstLine="0"/>
              <w:jc w:val="center"/>
              <w:rPr>
                <w:rFonts w:ascii="Arial Narrow" w:hAnsi="Arial Narrow" w:cs="Arial"/>
                <w:sz w:val="20"/>
              </w:rPr>
            </w:pPr>
          </w:p>
        </w:tc>
        <w:tc>
          <w:tcPr>
            <w:tcW w:w="661" w:type="pct"/>
          </w:tcPr>
          <w:p w14:paraId="45D3341C" w14:textId="77777777" w:rsidR="006B66E4" w:rsidRPr="00C5347D" w:rsidRDefault="006B66E4" w:rsidP="006B66E4">
            <w:pPr>
              <w:spacing w:after="0"/>
              <w:ind w:left="0" w:firstLine="0"/>
              <w:jc w:val="center"/>
              <w:rPr>
                <w:rFonts w:ascii="Arial Narrow" w:hAnsi="Arial Narrow" w:cs="Arial"/>
                <w:sz w:val="20"/>
              </w:rPr>
            </w:pPr>
          </w:p>
        </w:tc>
      </w:tr>
      <w:tr w:rsidR="006B66E4" w:rsidRPr="00C5347D" w14:paraId="6C58DA09" w14:textId="77777777" w:rsidTr="00D77BC6">
        <w:trPr>
          <w:trHeight w:val="312"/>
        </w:trPr>
        <w:tc>
          <w:tcPr>
            <w:tcW w:w="311" w:type="pct"/>
            <w:shd w:val="clear" w:color="auto" w:fill="auto"/>
            <w:vAlign w:val="center"/>
            <w:hideMark/>
          </w:tcPr>
          <w:p w14:paraId="03E558C6"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4.7</w:t>
            </w:r>
          </w:p>
        </w:tc>
        <w:tc>
          <w:tcPr>
            <w:tcW w:w="2263" w:type="pct"/>
            <w:shd w:val="clear" w:color="auto" w:fill="auto"/>
            <w:vAlign w:val="center"/>
            <w:hideMark/>
          </w:tcPr>
          <w:p w14:paraId="108B639F" w14:textId="77777777" w:rsidR="006B66E4" w:rsidRPr="00C5347D" w:rsidRDefault="006B66E4" w:rsidP="006B66E4">
            <w:pPr>
              <w:spacing w:after="0"/>
              <w:ind w:left="0" w:firstLine="0"/>
              <w:jc w:val="left"/>
              <w:rPr>
                <w:rFonts w:ascii="Arial Narrow" w:hAnsi="Arial Narrow" w:cs="Arial"/>
                <w:sz w:val="20"/>
              </w:rPr>
            </w:pPr>
            <w:r w:rsidRPr="00C5347D">
              <w:rPr>
                <w:rFonts w:ascii="Arial Narrow" w:hAnsi="Arial Narrow" w:cs="Arial"/>
                <w:sz w:val="20"/>
              </w:rPr>
              <w:t xml:space="preserve">Lit de sable </w:t>
            </w:r>
            <w:proofErr w:type="spellStart"/>
            <w:r w:rsidRPr="00C5347D">
              <w:rPr>
                <w:rFonts w:ascii="Arial Narrow" w:hAnsi="Arial Narrow" w:cs="Arial"/>
                <w:sz w:val="20"/>
              </w:rPr>
              <w:t>ep</w:t>
            </w:r>
            <w:proofErr w:type="spellEnd"/>
            <w:r w:rsidRPr="00C5347D">
              <w:rPr>
                <w:rFonts w:ascii="Arial Narrow" w:hAnsi="Arial Narrow" w:cs="Arial"/>
                <w:sz w:val="20"/>
              </w:rPr>
              <w:t xml:space="preserve"> = 0,05 m</w:t>
            </w:r>
          </w:p>
        </w:tc>
        <w:tc>
          <w:tcPr>
            <w:tcW w:w="440" w:type="pct"/>
            <w:shd w:val="clear" w:color="auto" w:fill="auto"/>
            <w:vAlign w:val="center"/>
            <w:hideMark/>
          </w:tcPr>
          <w:p w14:paraId="4E798D5F"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m</w:t>
            </w:r>
            <w:r w:rsidRPr="00C5347D">
              <w:rPr>
                <w:rFonts w:ascii="Arial Narrow" w:hAnsi="Arial Narrow" w:cs="Arial"/>
                <w:sz w:val="20"/>
                <w:vertAlign w:val="superscript"/>
              </w:rPr>
              <w:t>3</w:t>
            </w:r>
          </w:p>
        </w:tc>
        <w:tc>
          <w:tcPr>
            <w:tcW w:w="663" w:type="pct"/>
            <w:shd w:val="clear" w:color="auto" w:fill="auto"/>
            <w:vAlign w:val="center"/>
            <w:hideMark/>
          </w:tcPr>
          <w:p w14:paraId="283161B6" w14:textId="77777777" w:rsidR="006B66E4" w:rsidRPr="00A7320B" w:rsidRDefault="006B66E4" w:rsidP="006B66E4">
            <w:pPr>
              <w:spacing w:after="0"/>
              <w:ind w:left="0" w:firstLine="0"/>
              <w:jc w:val="center"/>
              <w:rPr>
                <w:rFonts w:ascii="Arial Narrow" w:hAnsi="Arial Narrow" w:cs="Arial"/>
                <w:sz w:val="20"/>
              </w:rPr>
            </w:pPr>
            <w:r w:rsidRPr="00A7320B">
              <w:rPr>
                <w:rFonts w:ascii="Arial Narrow" w:hAnsi="Arial Narrow" w:cs="Arial"/>
                <w:sz w:val="20"/>
              </w:rPr>
              <w:t>26,00</w:t>
            </w:r>
          </w:p>
        </w:tc>
        <w:tc>
          <w:tcPr>
            <w:tcW w:w="662" w:type="pct"/>
          </w:tcPr>
          <w:p w14:paraId="097E41B0" w14:textId="77777777" w:rsidR="006B66E4" w:rsidRPr="00C5347D" w:rsidRDefault="006B66E4" w:rsidP="006B66E4">
            <w:pPr>
              <w:spacing w:after="0"/>
              <w:ind w:left="0" w:firstLine="0"/>
              <w:jc w:val="center"/>
              <w:rPr>
                <w:rFonts w:ascii="Arial Narrow" w:hAnsi="Arial Narrow" w:cs="Arial"/>
                <w:sz w:val="20"/>
              </w:rPr>
            </w:pPr>
          </w:p>
        </w:tc>
        <w:tc>
          <w:tcPr>
            <w:tcW w:w="661" w:type="pct"/>
          </w:tcPr>
          <w:p w14:paraId="4BAAA3C0" w14:textId="77777777" w:rsidR="006B66E4" w:rsidRPr="00C5347D" w:rsidRDefault="006B66E4" w:rsidP="006B66E4">
            <w:pPr>
              <w:spacing w:after="0"/>
              <w:ind w:left="0" w:firstLine="0"/>
              <w:jc w:val="center"/>
              <w:rPr>
                <w:rFonts w:ascii="Arial Narrow" w:hAnsi="Arial Narrow" w:cs="Arial"/>
                <w:sz w:val="20"/>
              </w:rPr>
            </w:pPr>
          </w:p>
        </w:tc>
      </w:tr>
      <w:tr w:rsidR="006B66E4" w:rsidRPr="00C5347D" w14:paraId="1EC37342" w14:textId="77777777" w:rsidTr="00D77BC6">
        <w:trPr>
          <w:trHeight w:val="312"/>
        </w:trPr>
        <w:tc>
          <w:tcPr>
            <w:tcW w:w="311" w:type="pct"/>
            <w:shd w:val="clear" w:color="auto" w:fill="auto"/>
            <w:vAlign w:val="center"/>
            <w:hideMark/>
          </w:tcPr>
          <w:p w14:paraId="27B16A95"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4.8</w:t>
            </w:r>
          </w:p>
        </w:tc>
        <w:tc>
          <w:tcPr>
            <w:tcW w:w="2263" w:type="pct"/>
            <w:shd w:val="clear" w:color="auto" w:fill="auto"/>
            <w:vAlign w:val="center"/>
            <w:hideMark/>
          </w:tcPr>
          <w:p w14:paraId="5C528B67" w14:textId="77777777" w:rsidR="006B66E4" w:rsidRPr="00C5347D" w:rsidRDefault="006B66E4" w:rsidP="006B66E4">
            <w:pPr>
              <w:spacing w:after="0"/>
              <w:ind w:left="0" w:firstLine="0"/>
              <w:jc w:val="left"/>
              <w:rPr>
                <w:rFonts w:ascii="Arial Narrow" w:hAnsi="Arial Narrow" w:cs="Arial"/>
                <w:sz w:val="20"/>
              </w:rPr>
            </w:pPr>
            <w:r w:rsidRPr="00C5347D">
              <w:rPr>
                <w:rFonts w:ascii="Arial Narrow" w:hAnsi="Arial Narrow" w:cs="Arial"/>
                <w:sz w:val="20"/>
              </w:rPr>
              <w:t xml:space="preserve">Lit de gravier </w:t>
            </w:r>
            <w:proofErr w:type="spellStart"/>
            <w:r w:rsidRPr="00C5347D">
              <w:rPr>
                <w:rFonts w:ascii="Arial Narrow" w:hAnsi="Arial Narrow" w:cs="Arial"/>
                <w:sz w:val="20"/>
              </w:rPr>
              <w:t>ep</w:t>
            </w:r>
            <w:proofErr w:type="spellEnd"/>
            <w:r w:rsidRPr="00C5347D">
              <w:rPr>
                <w:rFonts w:ascii="Arial Narrow" w:hAnsi="Arial Narrow" w:cs="Arial"/>
                <w:sz w:val="20"/>
              </w:rPr>
              <w:t xml:space="preserve"> = 0,05 m</w:t>
            </w:r>
          </w:p>
        </w:tc>
        <w:tc>
          <w:tcPr>
            <w:tcW w:w="440" w:type="pct"/>
            <w:shd w:val="clear" w:color="auto" w:fill="auto"/>
            <w:vAlign w:val="center"/>
            <w:hideMark/>
          </w:tcPr>
          <w:p w14:paraId="65BACDE0"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m</w:t>
            </w:r>
            <w:r w:rsidRPr="00C5347D">
              <w:rPr>
                <w:rFonts w:ascii="Arial Narrow" w:hAnsi="Arial Narrow" w:cs="Arial"/>
                <w:sz w:val="20"/>
                <w:vertAlign w:val="superscript"/>
              </w:rPr>
              <w:t>3</w:t>
            </w:r>
          </w:p>
        </w:tc>
        <w:tc>
          <w:tcPr>
            <w:tcW w:w="663" w:type="pct"/>
            <w:shd w:val="clear" w:color="auto" w:fill="auto"/>
            <w:vAlign w:val="center"/>
            <w:hideMark/>
          </w:tcPr>
          <w:p w14:paraId="4A78F3F3" w14:textId="77777777" w:rsidR="006B66E4" w:rsidRPr="00A7320B" w:rsidRDefault="006B66E4" w:rsidP="006B66E4">
            <w:pPr>
              <w:spacing w:after="0"/>
              <w:ind w:left="0" w:firstLine="0"/>
              <w:jc w:val="center"/>
              <w:rPr>
                <w:rFonts w:ascii="Arial Narrow" w:hAnsi="Arial Narrow" w:cs="Arial"/>
                <w:sz w:val="20"/>
              </w:rPr>
            </w:pPr>
            <w:r w:rsidRPr="00A7320B">
              <w:rPr>
                <w:rFonts w:ascii="Arial Narrow" w:hAnsi="Arial Narrow" w:cs="Arial"/>
                <w:sz w:val="20"/>
              </w:rPr>
              <w:t>26,00</w:t>
            </w:r>
          </w:p>
        </w:tc>
        <w:tc>
          <w:tcPr>
            <w:tcW w:w="662" w:type="pct"/>
          </w:tcPr>
          <w:p w14:paraId="1D33887F" w14:textId="77777777" w:rsidR="006B66E4" w:rsidRPr="00C5347D" w:rsidRDefault="006B66E4" w:rsidP="006B66E4">
            <w:pPr>
              <w:spacing w:after="0"/>
              <w:ind w:left="0" w:firstLine="0"/>
              <w:jc w:val="center"/>
              <w:rPr>
                <w:rFonts w:ascii="Arial Narrow" w:hAnsi="Arial Narrow" w:cs="Arial"/>
                <w:sz w:val="20"/>
              </w:rPr>
            </w:pPr>
          </w:p>
        </w:tc>
        <w:tc>
          <w:tcPr>
            <w:tcW w:w="661" w:type="pct"/>
          </w:tcPr>
          <w:p w14:paraId="5D083418" w14:textId="77777777" w:rsidR="006B66E4" w:rsidRPr="00C5347D" w:rsidRDefault="006B66E4" w:rsidP="006B66E4">
            <w:pPr>
              <w:spacing w:after="0"/>
              <w:ind w:left="0" w:firstLine="0"/>
              <w:jc w:val="center"/>
              <w:rPr>
                <w:rFonts w:ascii="Arial Narrow" w:hAnsi="Arial Narrow" w:cs="Arial"/>
                <w:sz w:val="20"/>
              </w:rPr>
            </w:pPr>
          </w:p>
        </w:tc>
      </w:tr>
      <w:tr w:rsidR="006B66E4" w:rsidRPr="00C5347D" w14:paraId="22A01DB0" w14:textId="77777777" w:rsidTr="00D77BC6">
        <w:trPr>
          <w:trHeight w:val="528"/>
        </w:trPr>
        <w:tc>
          <w:tcPr>
            <w:tcW w:w="311" w:type="pct"/>
            <w:shd w:val="clear" w:color="auto" w:fill="auto"/>
            <w:vAlign w:val="center"/>
            <w:hideMark/>
          </w:tcPr>
          <w:p w14:paraId="4B296C17"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4.9</w:t>
            </w:r>
          </w:p>
        </w:tc>
        <w:tc>
          <w:tcPr>
            <w:tcW w:w="2263" w:type="pct"/>
            <w:shd w:val="clear" w:color="000000" w:fill="FFFFFF"/>
            <w:vAlign w:val="center"/>
            <w:hideMark/>
          </w:tcPr>
          <w:p w14:paraId="0F248247" w14:textId="77777777" w:rsidR="006B66E4" w:rsidRPr="00C5347D" w:rsidRDefault="006B66E4" w:rsidP="006B66E4">
            <w:pPr>
              <w:spacing w:after="0"/>
              <w:ind w:left="0" w:firstLine="0"/>
              <w:jc w:val="left"/>
              <w:rPr>
                <w:rFonts w:ascii="Arial Narrow" w:hAnsi="Arial Narrow" w:cs="Arial"/>
                <w:sz w:val="20"/>
              </w:rPr>
            </w:pPr>
            <w:r w:rsidRPr="00C5347D">
              <w:rPr>
                <w:rFonts w:ascii="Arial Narrow" w:hAnsi="Arial Narrow" w:cs="Arial"/>
                <w:sz w:val="20"/>
              </w:rPr>
              <w:t>F/P de barbacane en PVC40mm y compris grillage d'embout et toutes sujétions</w:t>
            </w:r>
          </w:p>
        </w:tc>
        <w:tc>
          <w:tcPr>
            <w:tcW w:w="440" w:type="pct"/>
            <w:shd w:val="clear" w:color="auto" w:fill="auto"/>
            <w:vAlign w:val="center"/>
            <w:hideMark/>
          </w:tcPr>
          <w:p w14:paraId="06A6A20E"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ml</w:t>
            </w:r>
          </w:p>
        </w:tc>
        <w:tc>
          <w:tcPr>
            <w:tcW w:w="663" w:type="pct"/>
            <w:shd w:val="clear" w:color="auto" w:fill="auto"/>
            <w:vAlign w:val="center"/>
            <w:hideMark/>
          </w:tcPr>
          <w:p w14:paraId="41A3B8C5" w14:textId="77777777" w:rsidR="006B66E4" w:rsidRPr="00A7320B" w:rsidRDefault="006B66E4" w:rsidP="006B66E4">
            <w:pPr>
              <w:spacing w:after="0"/>
              <w:ind w:left="0" w:firstLine="0"/>
              <w:jc w:val="center"/>
              <w:rPr>
                <w:rFonts w:ascii="Arial Narrow" w:hAnsi="Arial Narrow" w:cs="Arial"/>
                <w:sz w:val="20"/>
              </w:rPr>
            </w:pPr>
            <w:r w:rsidRPr="00A7320B">
              <w:rPr>
                <w:rFonts w:ascii="Arial Narrow" w:hAnsi="Arial Narrow" w:cs="Arial"/>
                <w:sz w:val="20"/>
              </w:rPr>
              <w:t>100,00</w:t>
            </w:r>
          </w:p>
        </w:tc>
        <w:tc>
          <w:tcPr>
            <w:tcW w:w="662" w:type="pct"/>
          </w:tcPr>
          <w:p w14:paraId="40F4348F" w14:textId="77777777" w:rsidR="006B66E4" w:rsidRPr="00C5347D" w:rsidRDefault="006B66E4" w:rsidP="006B66E4">
            <w:pPr>
              <w:spacing w:after="0"/>
              <w:ind w:left="0" w:firstLine="0"/>
              <w:jc w:val="center"/>
              <w:rPr>
                <w:rFonts w:ascii="Arial Narrow" w:hAnsi="Arial Narrow" w:cs="Arial"/>
                <w:sz w:val="20"/>
              </w:rPr>
            </w:pPr>
          </w:p>
        </w:tc>
        <w:tc>
          <w:tcPr>
            <w:tcW w:w="661" w:type="pct"/>
          </w:tcPr>
          <w:p w14:paraId="7391275D" w14:textId="77777777" w:rsidR="006B66E4" w:rsidRPr="00C5347D" w:rsidRDefault="006B66E4" w:rsidP="006B66E4">
            <w:pPr>
              <w:spacing w:after="0"/>
              <w:ind w:left="0" w:firstLine="0"/>
              <w:jc w:val="center"/>
              <w:rPr>
                <w:rFonts w:ascii="Arial Narrow" w:hAnsi="Arial Narrow" w:cs="Arial"/>
                <w:sz w:val="20"/>
              </w:rPr>
            </w:pPr>
          </w:p>
        </w:tc>
      </w:tr>
      <w:tr w:rsidR="006B66E4" w:rsidRPr="00C5347D" w14:paraId="33713749" w14:textId="77777777" w:rsidTr="00D77BC6">
        <w:trPr>
          <w:trHeight w:val="528"/>
        </w:trPr>
        <w:tc>
          <w:tcPr>
            <w:tcW w:w="311" w:type="pct"/>
            <w:shd w:val="clear" w:color="auto" w:fill="auto"/>
            <w:vAlign w:val="center"/>
            <w:hideMark/>
          </w:tcPr>
          <w:p w14:paraId="739FA900"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4.10</w:t>
            </w:r>
          </w:p>
        </w:tc>
        <w:tc>
          <w:tcPr>
            <w:tcW w:w="2263" w:type="pct"/>
            <w:shd w:val="clear" w:color="000000" w:fill="FFFFFF"/>
            <w:vAlign w:val="center"/>
            <w:hideMark/>
          </w:tcPr>
          <w:p w14:paraId="4F234A74" w14:textId="77777777" w:rsidR="006B66E4" w:rsidRPr="00C5347D" w:rsidRDefault="006B66E4" w:rsidP="006B66E4">
            <w:pPr>
              <w:spacing w:after="0"/>
              <w:ind w:left="0" w:firstLine="0"/>
              <w:jc w:val="left"/>
              <w:rPr>
                <w:rFonts w:ascii="Arial Narrow" w:hAnsi="Arial Narrow" w:cs="Arial"/>
                <w:sz w:val="20"/>
              </w:rPr>
            </w:pPr>
            <w:r w:rsidRPr="00C5347D">
              <w:rPr>
                <w:rFonts w:ascii="Arial Narrow" w:hAnsi="Arial Narrow" w:cs="Arial"/>
                <w:sz w:val="20"/>
              </w:rPr>
              <w:t>F/P de gabion de protection avale y compris fouilles complémentaires</w:t>
            </w:r>
          </w:p>
        </w:tc>
        <w:tc>
          <w:tcPr>
            <w:tcW w:w="440" w:type="pct"/>
            <w:shd w:val="clear" w:color="auto" w:fill="auto"/>
            <w:vAlign w:val="center"/>
            <w:hideMark/>
          </w:tcPr>
          <w:p w14:paraId="17EC1BE2"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m</w:t>
            </w:r>
            <w:r w:rsidRPr="00C5347D">
              <w:rPr>
                <w:rFonts w:ascii="Arial Narrow" w:hAnsi="Arial Narrow" w:cs="Arial"/>
                <w:sz w:val="20"/>
                <w:vertAlign w:val="superscript"/>
              </w:rPr>
              <w:t>3</w:t>
            </w:r>
          </w:p>
        </w:tc>
        <w:tc>
          <w:tcPr>
            <w:tcW w:w="663" w:type="pct"/>
            <w:shd w:val="clear" w:color="auto" w:fill="auto"/>
            <w:vAlign w:val="center"/>
            <w:hideMark/>
          </w:tcPr>
          <w:p w14:paraId="57F67B7A" w14:textId="77777777" w:rsidR="006B66E4" w:rsidRPr="00A7320B" w:rsidRDefault="006B66E4" w:rsidP="006B66E4">
            <w:pPr>
              <w:spacing w:after="0"/>
              <w:ind w:left="0" w:firstLine="0"/>
              <w:jc w:val="center"/>
              <w:rPr>
                <w:rFonts w:ascii="Arial Narrow" w:hAnsi="Arial Narrow" w:cs="Arial"/>
                <w:sz w:val="20"/>
              </w:rPr>
            </w:pPr>
            <w:r w:rsidRPr="00A7320B">
              <w:rPr>
                <w:rFonts w:ascii="Arial Narrow" w:hAnsi="Arial Narrow" w:cs="Arial"/>
                <w:sz w:val="20"/>
              </w:rPr>
              <w:t>5,00</w:t>
            </w:r>
          </w:p>
        </w:tc>
        <w:tc>
          <w:tcPr>
            <w:tcW w:w="662" w:type="pct"/>
          </w:tcPr>
          <w:p w14:paraId="25EBD103" w14:textId="77777777" w:rsidR="006B66E4" w:rsidRPr="00C5347D" w:rsidRDefault="006B66E4" w:rsidP="006B66E4">
            <w:pPr>
              <w:spacing w:after="0"/>
              <w:ind w:left="0" w:firstLine="0"/>
              <w:jc w:val="center"/>
              <w:rPr>
                <w:rFonts w:ascii="Arial Narrow" w:hAnsi="Arial Narrow" w:cs="Arial"/>
                <w:sz w:val="20"/>
              </w:rPr>
            </w:pPr>
          </w:p>
        </w:tc>
        <w:tc>
          <w:tcPr>
            <w:tcW w:w="661" w:type="pct"/>
          </w:tcPr>
          <w:p w14:paraId="62BE23D3" w14:textId="77777777" w:rsidR="006B66E4" w:rsidRPr="00C5347D" w:rsidRDefault="006B66E4" w:rsidP="006B66E4">
            <w:pPr>
              <w:spacing w:after="0"/>
              <w:ind w:left="0" w:firstLine="0"/>
              <w:jc w:val="center"/>
              <w:rPr>
                <w:rFonts w:ascii="Arial Narrow" w:hAnsi="Arial Narrow" w:cs="Arial"/>
                <w:sz w:val="20"/>
              </w:rPr>
            </w:pPr>
          </w:p>
        </w:tc>
      </w:tr>
      <w:tr w:rsidR="006B66E4" w:rsidRPr="00C5347D" w14:paraId="6B3F34BE" w14:textId="77777777" w:rsidTr="00D77BC6">
        <w:trPr>
          <w:trHeight w:val="312"/>
        </w:trPr>
        <w:tc>
          <w:tcPr>
            <w:tcW w:w="311" w:type="pct"/>
            <w:shd w:val="clear" w:color="auto" w:fill="auto"/>
            <w:vAlign w:val="center"/>
            <w:hideMark/>
          </w:tcPr>
          <w:p w14:paraId="1962B900"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4.11</w:t>
            </w:r>
          </w:p>
        </w:tc>
        <w:tc>
          <w:tcPr>
            <w:tcW w:w="2263" w:type="pct"/>
            <w:shd w:val="clear" w:color="auto" w:fill="auto"/>
            <w:vAlign w:val="center"/>
            <w:hideMark/>
          </w:tcPr>
          <w:p w14:paraId="7B5FE16E" w14:textId="77777777" w:rsidR="006B66E4" w:rsidRPr="00C5347D" w:rsidRDefault="006B66E4" w:rsidP="006B66E4">
            <w:pPr>
              <w:spacing w:after="0"/>
              <w:ind w:left="0" w:firstLine="0"/>
              <w:jc w:val="left"/>
              <w:rPr>
                <w:rFonts w:ascii="Arial Narrow" w:hAnsi="Arial Narrow" w:cs="Arial"/>
                <w:sz w:val="20"/>
              </w:rPr>
            </w:pPr>
            <w:r w:rsidRPr="00C5347D">
              <w:rPr>
                <w:rFonts w:ascii="Arial Narrow" w:hAnsi="Arial Narrow" w:cs="Arial"/>
                <w:sz w:val="20"/>
              </w:rPr>
              <w:t>Empierrement libre pour la protection avale</w:t>
            </w:r>
          </w:p>
        </w:tc>
        <w:tc>
          <w:tcPr>
            <w:tcW w:w="440" w:type="pct"/>
            <w:shd w:val="clear" w:color="auto" w:fill="auto"/>
            <w:vAlign w:val="center"/>
            <w:hideMark/>
          </w:tcPr>
          <w:p w14:paraId="28582E27"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m</w:t>
            </w:r>
            <w:r w:rsidRPr="00C5347D">
              <w:rPr>
                <w:rFonts w:ascii="Arial Narrow" w:hAnsi="Arial Narrow" w:cs="Arial"/>
                <w:sz w:val="20"/>
                <w:vertAlign w:val="superscript"/>
              </w:rPr>
              <w:t>3</w:t>
            </w:r>
          </w:p>
        </w:tc>
        <w:tc>
          <w:tcPr>
            <w:tcW w:w="663" w:type="pct"/>
            <w:shd w:val="clear" w:color="auto" w:fill="auto"/>
            <w:vAlign w:val="center"/>
            <w:hideMark/>
          </w:tcPr>
          <w:p w14:paraId="59EF44F0" w14:textId="77777777" w:rsidR="006B66E4" w:rsidRPr="00A7320B" w:rsidRDefault="006B66E4" w:rsidP="006B66E4">
            <w:pPr>
              <w:spacing w:after="0"/>
              <w:ind w:left="0" w:firstLine="0"/>
              <w:jc w:val="center"/>
              <w:rPr>
                <w:rFonts w:ascii="Arial Narrow" w:hAnsi="Arial Narrow" w:cs="Arial"/>
                <w:sz w:val="20"/>
              </w:rPr>
            </w:pPr>
            <w:r w:rsidRPr="00A7320B">
              <w:rPr>
                <w:rFonts w:ascii="Arial Narrow" w:hAnsi="Arial Narrow" w:cs="Arial"/>
                <w:sz w:val="20"/>
              </w:rPr>
              <w:t>196,95</w:t>
            </w:r>
          </w:p>
        </w:tc>
        <w:tc>
          <w:tcPr>
            <w:tcW w:w="662" w:type="pct"/>
          </w:tcPr>
          <w:p w14:paraId="4B34A2EC" w14:textId="77777777" w:rsidR="006B66E4" w:rsidRPr="00C5347D" w:rsidRDefault="006B66E4" w:rsidP="006B66E4">
            <w:pPr>
              <w:spacing w:after="0"/>
              <w:ind w:left="0" w:firstLine="0"/>
              <w:jc w:val="center"/>
              <w:rPr>
                <w:rFonts w:ascii="Arial Narrow" w:hAnsi="Arial Narrow" w:cs="Arial"/>
                <w:sz w:val="20"/>
              </w:rPr>
            </w:pPr>
          </w:p>
        </w:tc>
        <w:tc>
          <w:tcPr>
            <w:tcW w:w="661" w:type="pct"/>
          </w:tcPr>
          <w:p w14:paraId="3D5B1B9D" w14:textId="77777777" w:rsidR="006B66E4" w:rsidRPr="00C5347D" w:rsidRDefault="006B66E4" w:rsidP="006B66E4">
            <w:pPr>
              <w:spacing w:after="0"/>
              <w:ind w:left="0" w:firstLine="0"/>
              <w:jc w:val="center"/>
              <w:rPr>
                <w:rFonts w:ascii="Arial Narrow" w:hAnsi="Arial Narrow" w:cs="Arial"/>
                <w:sz w:val="20"/>
              </w:rPr>
            </w:pPr>
          </w:p>
        </w:tc>
      </w:tr>
      <w:tr w:rsidR="006B66E4" w:rsidRPr="00C5347D" w14:paraId="53E73D0F" w14:textId="77777777" w:rsidTr="00D77BC6">
        <w:trPr>
          <w:trHeight w:val="264"/>
        </w:trPr>
        <w:tc>
          <w:tcPr>
            <w:tcW w:w="311" w:type="pct"/>
            <w:shd w:val="clear" w:color="auto" w:fill="auto"/>
            <w:vAlign w:val="center"/>
            <w:hideMark/>
          </w:tcPr>
          <w:p w14:paraId="72D74DA3"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 </w:t>
            </w:r>
          </w:p>
        </w:tc>
        <w:tc>
          <w:tcPr>
            <w:tcW w:w="2263" w:type="pct"/>
            <w:shd w:val="clear" w:color="auto" w:fill="auto"/>
            <w:vAlign w:val="center"/>
            <w:hideMark/>
          </w:tcPr>
          <w:p w14:paraId="48CA66B7" w14:textId="77777777" w:rsidR="006B66E4" w:rsidRPr="00C5347D" w:rsidRDefault="006B66E4" w:rsidP="006B66E4">
            <w:pPr>
              <w:spacing w:after="0"/>
              <w:ind w:left="0" w:firstLine="0"/>
              <w:jc w:val="right"/>
              <w:rPr>
                <w:rFonts w:ascii="Arial Narrow" w:hAnsi="Arial Narrow" w:cs="Arial"/>
                <w:b/>
                <w:bCs/>
                <w:sz w:val="20"/>
              </w:rPr>
            </w:pPr>
            <w:r w:rsidRPr="00C5347D">
              <w:rPr>
                <w:rFonts w:ascii="Arial Narrow" w:hAnsi="Arial Narrow" w:cs="Arial"/>
                <w:b/>
                <w:bCs/>
                <w:sz w:val="20"/>
              </w:rPr>
              <w:t>Total Série 4</w:t>
            </w:r>
          </w:p>
        </w:tc>
        <w:tc>
          <w:tcPr>
            <w:tcW w:w="440" w:type="pct"/>
            <w:shd w:val="clear" w:color="auto" w:fill="auto"/>
            <w:vAlign w:val="center"/>
            <w:hideMark/>
          </w:tcPr>
          <w:p w14:paraId="17D3681A"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 </w:t>
            </w:r>
          </w:p>
        </w:tc>
        <w:tc>
          <w:tcPr>
            <w:tcW w:w="663" w:type="pct"/>
            <w:shd w:val="clear" w:color="auto" w:fill="auto"/>
            <w:vAlign w:val="center"/>
            <w:hideMark/>
          </w:tcPr>
          <w:p w14:paraId="244D7D52" w14:textId="77777777" w:rsidR="006B66E4" w:rsidRPr="00A7320B" w:rsidRDefault="006B66E4" w:rsidP="006B66E4">
            <w:pPr>
              <w:spacing w:after="0"/>
              <w:ind w:left="0" w:firstLine="0"/>
              <w:jc w:val="center"/>
              <w:rPr>
                <w:rFonts w:ascii="Arial Narrow" w:hAnsi="Arial Narrow" w:cs="Arial"/>
                <w:sz w:val="20"/>
              </w:rPr>
            </w:pPr>
            <w:r w:rsidRPr="00A7320B">
              <w:rPr>
                <w:rFonts w:ascii="Arial Narrow" w:hAnsi="Arial Narrow" w:cs="Arial"/>
                <w:sz w:val="20"/>
              </w:rPr>
              <w:t> </w:t>
            </w:r>
          </w:p>
        </w:tc>
        <w:tc>
          <w:tcPr>
            <w:tcW w:w="662" w:type="pct"/>
          </w:tcPr>
          <w:p w14:paraId="4BCD7E64" w14:textId="77777777" w:rsidR="006B66E4" w:rsidRPr="00C5347D" w:rsidRDefault="006B66E4" w:rsidP="006B66E4">
            <w:pPr>
              <w:spacing w:after="0"/>
              <w:ind w:left="0" w:firstLine="0"/>
              <w:jc w:val="center"/>
              <w:rPr>
                <w:rFonts w:ascii="Arial Narrow" w:hAnsi="Arial Narrow" w:cs="Arial"/>
                <w:sz w:val="20"/>
              </w:rPr>
            </w:pPr>
          </w:p>
        </w:tc>
        <w:tc>
          <w:tcPr>
            <w:tcW w:w="661" w:type="pct"/>
          </w:tcPr>
          <w:p w14:paraId="2576A6BC" w14:textId="77777777" w:rsidR="006B66E4" w:rsidRPr="00C5347D" w:rsidRDefault="006B66E4" w:rsidP="006B66E4">
            <w:pPr>
              <w:spacing w:after="0"/>
              <w:ind w:left="0" w:firstLine="0"/>
              <w:jc w:val="center"/>
              <w:rPr>
                <w:rFonts w:ascii="Arial Narrow" w:hAnsi="Arial Narrow" w:cs="Arial"/>
                <w:sz w:val="20"/>
              </w:rPr>
            </w:pPr>
          </w:p>
        </w:tc>
      </w:tr>
      <w:tr w:rsidR="006B66E4" w:rsidRPr="00C5347D" w14:paraId="7C84D4F5" w14:textId="77777777" w:rsidTr="00D77BC6">
        <w:trPr>
          <w:trHeight w:val="528"/>
        </w:trPr>
        <w:tc>
          <w:tcPr>
            <w:tcW w:w="311" w:type="pct"/>
            <w:shd w:val="clear" w:color="auto" w:fill="auto"/>
            <w:vAlign w:val="center"/>
            <w:hideMark/>
          </w:tcPr>
          <w:p w14:paraId="691E3C38"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 </w:t>
            </w:r>
          </w:p>
        </w:tc>
        <w:tc>
          <w:tcPr>
            <w:tcW w:w="2263" w:type="pct"/>
            <w:shd w:val="clear" w:color="auto" w:fill="auto"/>
            <w:vAlign w:val="center"/>
            <w:hideMark/>
          </w:tcPr>
          <w:p w14:paraId="47F90D08" w14:textId="77777777" w:rsidR="006B66E4" w:rsidRPr="00C5347D" w:rsidRDefault="006B66E4" w:rsidP="006B66E4">
            <w:pPr>
              <w:spacing w:after="0"/>
              <w:ind w:left="0" w:firstLine="0"/>
              <w:jc w:val="left"/>
              <w:rPr>
                <w:rFonts w:ascii="Arial Narrow" w:hAnsi="Arial Narrow" w:cs="Arial"/>
                <w:b/>
                <w:bCs/>
                <w:sz w:val="20"/>
              </w:rPr>
            </w:pPr>
            <w:r w:rsidRPr="00C5347D">
              <w:rPr>
                <w:rFonts w:ascii="Arial Narrow" w:hAnsi="Arial Narrow" w:cs="Arial"/>
                <w:b/>
                <w:bCs/>
                <w:sz w:val="20"/>
              </w:rPr>
              <w:t xml:space="preserve">Série V  -MURS BAJOYERS ET DIGUES DE RACCORDEMENT DE L'OUVRAGE </w:t>
            </w:r>
          </w:p>
        </w:tc>
        <w:tc>
          <w:tcPr>
            <w:tcW w:w="440" w:type="pct"/>
            <w:shd w:val="clear" w:color="auto" w:fill="auto"/>
            <w:vAlign w:val="center"/>
            <w:hideMark/>
          </w:tcPr>
          <w:p w14:paraId="3875B9D5"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 </w:t>
            </w:r>
          </w:p>
        </w:tc>
        <w:tc>
          <w:tcPr>
            <w:tcW w:w="663" w:type="pct"/>
            <w:shd w:val="clear" w:color="auto" w:fill="auto"/>
            <w:vAlign w:val="center"/>
            <w:hideMark/>
          </w:tcPr>
          <w:p w14:paraId="1766F6A0" w14:textId="77777777" w:rsidR="006B66E4" w:rsidRPr="00A7320B" w:rsidRDefault="006B66E4" w:rsidP="006B66E4">
            <w:pPr>
              <w:spacing w:after="0"/>
              <w:ind w:left="0" w:firstLine="0"/>
              <w:jc w:val="center"/>
              <w:rPr>
                <w:rFonts w:ascii="Arial Narrow" w:hAnsi="Arial Narrow" w:cs="Arial"/>
                <w:sz w:val="20"/>
              </w:rPr>
            </w:pPr>
            <w:r w:rsidRPr="00A7320B">
              <w:rPr>
                <w:rFonts w:ascii="Arial Narrow" w:hAnsi="Arial Narrow" w:cs="Arial"/>
                <w:sz w:val="20"/>
              </w:rPr>
              <w:t> </w:t>
            </w:r>
          </w:p>
        </w:tc>
        <w:tc>
          <w:tcPr>
            <w:tcW w:w="662" w:type="pct"/>
          </w:tcPr>
          <w:p w14:paraId="64100E39" w14:textId="77777777" w:rsidR="006B66E4" w:rsidRPr="00C5347D" w:rsidRDefault="006B66E4" w:rsidP="006B66E4">
            <w:pPr>
              <w:spacing w:after="0"/>
              <w:ind w:left="0" w:firstLine="0"/>
              <w:jc w:val="center"/>
              <w:rPr>
                <w:rFonts w:ascii="Arial Narrow" w:hAnsi="Arial Narrow" w:cs="Arial"/>
                <w:sz w:val="20"/>
              </w:rPr>
            </w:pPr>
          </w:p>
        </w:tc>
        <w:tc>
          <w:tcPr>
            <w:tcW w:w="661" w:type="pct"/>
          </w:tcPr>
          <w:p w14:paraId="56FE8017" w14:textId="77777777" w:rsidR="006B66E4" w:rsidRPr="00C5347D" w:rsidRDefault="006B66E4" w:rsidP="006B66E4">
            <w:pPr>
              <w:spacing w:after="0"/>
              <w:ind w:left="0" w:firstLine="0"/>
              <w:jc w:val="center"/>
              <w:rPr>
                <w:rFonts w:ascii="Arial Narrow" w:hAnsi="Arial Narrow" w:cs="Arial"/>
                <w:sz w:val="20"/>
              </w:rPr>
            </w:pPr>
          </w:p>
        </w:tc>
      </w:tr>
      <w:tr w:rsidR="006B66E4" w:rsidRPr="00C5347D" w14:paraId="3D68A66B" w14:textId="77777777" w:rsidTr="00D77BC6">
        <w:trPr>
          <w:trHeight w:val="528"/>
        </w:trPr>
        <w:tc>
          <w:tcPr>
            <w:tcW w:w="311" w:type="pct"/>
            <w:shd w:val="clear" w:color="auto" w:fill="auto"/>
            <w:vAlign w:val="center"/>
            <w:hideMark/>
          </w:tcPr>
          <w:p w14:paraId="0EEABCB5"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5.1</w:t>
            </w:r>
          </w:p>
        </w:tc>
        <w:tc>
          <w:tcPr>
            <w:tcW w:w="2263" w:type="pct"/>
            <w:shd w:val="clear" w:color="auto" w:fill="auto"/>
            <w:vAlign w:val="center"/>
            <w:hideMark/>
          </w:tcPr>
          <w:p w14:paraId="5E562F6A" w14:textId="77777777" w:rsidR="006B66E4" w:rsidRPr="00C5347D" w:rsidRDefault="006B66E4" w:rsidP="006B66E4">
            <w:pPr>
              <w:spacing w:after="0"/>
              <w:ind w:left="0" w:firstLine="0"/>
              <w:jc w:val="left"/>
              <w:rPr>
                <w:rFonts w:ascii="Arial Narrow" w:hAnsi="Arial Narrow" w:cs="Arial"/>
                <w:sz w:val="20"/>
              </w:rPr>
            </w:pPr>
            <w:r w:rsidRPr="00C5347D">
              <w:rPr>
                <w:rFonts w:ascii="Arial Narrow" w:hAnsi="Arial Narrow" w:cs="Arial"/>
                <w:sz w:val="20"/>
              </w:rPr>
              <w:t>Déblai pour murs bajoyers et digue de raccordements dans les dimensions du plan</w:t>
            </w:r>
          </w:p>
        </w:tc>
        <w:tc>
          <w:tcPr>
            <w:tcW w:w="440" w:type="pct"/>
            <w:shd w:val="clear" w:color="auto" w:fill="auto"/>
            <w:vAlign w:val="center"/>
            <w:hideMark/>
          </w:tcPr>
          <w:p w14:paraId="2B65D02C"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m</w:t>
            </w:r>
            <w:r w:rsidRPr="00C5347D">
              <w:rPr>
                <w:rFonts w:ascii="Arial Narrow" w:hAnsi="Arial Narrow" w:cs="Arial"/>
                <w:sz w:val="20"/>
                <w:vertAlign w:val="superscript"/>
              </w:rPr>
              <w:t>3</w:t>
            </w:r>
          </w:p>
        </w:tc>
        <w:tc>
          <w:tcPr>
            <w:tcW w:w="663" w:type="pct"/>
            <w:shd w:val="clear" w:color="auto" w:fill="auto"/>
            <w:vAlign w:val="center"/>
            <w:hideMark/>
          </w:tcPr>
          <w:p w14:paraId="7BEFF994" w14:textId="77777777" w:rsidR="006B66E4" w:rsidRPr="00A7320B" w:rsidRDefault="006B66E4" w:rsidP="006B66E4">
            <w:pPr>
              <w:spacing w:after="0"/>
              <w:ind w:left="0" w:firstLine="0"/>
              <w:jc w:val="center"/>
              <w:rPr>
                <w:rFonts w:ascii="Arial Narrow" w:hAnsi="Arial Narrow" w:cs="Arial"/>
                <w:sz w:val="20"/>
              </w:rPr>
            </w:pPr>
            <w:r w:rsidRPr="00A7320B">
              <w:rPr>
                <w:rFonts w:ascii="Arial Narrow" w:hAnsi="Arial Narrow" w:cs="Arial"/>
                <w:sz w:val="20"/>
              </w:rPr>
              <w:t>2 112,55</w:t>
            </w:r>
          </w:p>
        </w:tc>
        <w:tc>
          <w:tcPr>
            <w:tcW w:w="662" w:type="pct"/>
          </w:tcPr>
          <w:p w14:paraId="40469B8D" w14:textId="77777777" w:rsidR="006B66E4" w:rsidRPr="00C5347D" w:rsidRDefault="006B66E4" w:rsidP="006B66E4">
            <w:pPr>
              <w:spacing w:after="0"/>
              <w:ind w:left="0" w:firstLine="0"/>
              <w:jc w:val="center"/>
              <w:rPr>
                <w:rFonts w:ascii="Arial Narrow" w:hAnsi="Arial Narrow" w:cs="Arial"/>
                <w:sz w:val="20"/>
              </w:rPr>
            </w:pPr>
          </w:p>
        </w:tc>
        <w:tc>
          <w:tcPr>
            <w:tcW w:w="661" w:type="pct"/>
          </w:tcPr>
          <w:p w14:paraId="6FCA4291" w14:textId="77777777" w:rsidR="006B66E4" w:rsidRPr="00C5347D" w:rsidRDefault="006B66E4" w:rsidP="006B66E4">
            <w:pPr>
              <w:spacing w:after="0"/>
              <w:ind w:left="0" w:firstLine="0"/>
              <w:jc w:val="center"/>
              <w:rPr>
                <w:rFonts w:ascii="Arial Narrow" w:hAnsi="Arial Narrow" w:cs="Arial"/>
                <w:sz w:val="20"/>
              </w:rPr>
            </w:pPr>
          </w:p>
        </w:tc>
      </w:tr>
      <w:tr w:rsidR="006B66E4" w:rsidRPr="00C5347D" w14:paraId="197243C1" w14:textId="77777777" w:rsidTr="00D77BC6">
        <w:trPr>
          <w:trHeight w:val="312"/>
        </w:trPr>
        <w:tc>
          <w:tcPr>
            <w:tcW w:w="311" w:type="pct"/>
            <w:shd w:val="clear" w:color="auto" w:fill="auto"/>
            <w:vAlign w:val="center"/>
            <w:hideMark/>
          </w:tcPr>
          <w:p w14:paraId="72C52684"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5.2</w:t>
            </w:r>
          </w:p>
        </w:tc>
        <w:tc>
          <w:tcPr>
            <w:tcW w:w="2263" w:type="pct"/>
            <w:shd w:val="clear" w:color="auto" w:fill="auto"/>
            <w:vAlign w:val="center"/>
            <w:hideMark/>
          </w:tcPr>
          <w:p w14:paraId="10639961" w14:textId="77777777" w:rsidR="006B66E4" w:rsidRPr="00C5347D" w:rsidRDefault="006B66E4" w:rsidP="006B66E4">
            <w:pPr>
              <w:spacing w:after="0"/>
              <w:ind w:left="0" w:firstLine="0"/>
              <w:jc w:val="left"/>
              <w:rPr>
                <w:rFonts w:ascii="Arial Narrow" w:hAnsi="Arial Narrow" w:cs="Arial"/>
                <w:sz w:val="20"/>
              </w:rPr>
            </w:pPr>
            <w:r w:rsidRPr="00C5347D">
              <w:rPr>
                <w:rFonts w:ascii="Arial Narrow" w:hAnsi="Arial Narrow" w:cs="Arial"/>
                <w:sz w:val="20"/>
              </w:rPr>
              <w:t xml:space="preserve">Béton de propreté dosé à 150 kg/m3 </w:t>
            </w:r>
            <w:proofErr w:type="spellStart"/>
            <w:r w:rsidRPr="00C5347D">
              <w:rPr>
                <w:rFonts w:ascii="Arial Narrow" w:hAnsi="Arial Narrow" w:cs="Arial"/>
                <w:sz w:val="20"/>
              </w:rPr>
              <w:t>ép</w:t>
            </w:r>
            <w:proofErr w:type="spellEnd"/>
            <w:r w:rsidRPr="00C5347D">
              <w:rPr>
                <w:rFonts w:ascii="Arial Narrow" w:hAnsi="Arial Narrow" w:cs="Arial"/>
                <w:sz w:val="20"/>
              </w:rPr>
              <w:t>=10cm</w:t>
            </w:r>
          </w:p>
        </w:tc>
        <w:tc>
          <w:tcPr>
            <w:tcW w:w="440" w:type="pct"/>
            <w:shd w:val="clear" w:color="auto" w:fill="auto"/>
            <w:vAlign w:val="center"/>
            <w:hideMark/>
          </w:tcPr>
          <w:p w14:paraId="57FFE8CA"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m</w:t>
            </w:r>
            <w:r w:rsidRPr="00C5347D">
              <w:rPr>
                <w:rFonts w:ascii="Arial Narrow" w:hAnsi="Arial Narrow" w:cs="Arial"/>
                <w:sz w:val="20"/>
                <w:vertAlign w:val="superscript"/>
              </w:rPr>
              <w:t>3</w:t>
            </w:r>
          </w:p>
        </w:tc>
        <w:tc>
          <w:tcPr>
            <w:tcW w:w="663" w:type="pct"/>
            <w:shd w:val="clear" w:color="auto" w:fill="auto"/>
            <w:vAlign w:val="center"/>
            <w:hideMark/>
          </w:tcPr>
          <w:p w14:paraId="0F928353" w14:textId="77777777" w:rsidR="006B66E4" w:rsidRPr="00A7320B" w:rsidRDefault="006B66E4" w:rsidP="006B66E4">
            <w:pPr>
              <w:spacing w:after="0"/>
              <w:ind w:left="0" w:firstLine="0"/>
              <w:jc w:val="center"/>
              <w:rPr>
                <w:rFonts w:ascii="Arial Narrow" w:hAnsi="Arial Narrow" w:cs="Arial"/>
                <w:sz w:val="20"/>
              </w:rPr>
            </w:pPr>
            <w:r w:rsidRPr="00A7320B">
              <w:rPr>
                <w:rFonts w:ascii="Arial Narrow" w:hAnsi="Arial Narrow" w:cs="Arial"/>
                <w:sz w:val="20"/>
              </w:rPr>
              <w:t>2,12</w:t>
            </w:r>
          </w:p>
        </w:tc>
        <w:tc>
          <w:tcPr>
            <w:tcW w:w="662" w:type="pct"/>
          </w:tcPr>
          <w:p w14:paraId="02C4B6E3" w14:textId="77777777" w:rsidR="006B66E4" w:rsidRPr="00C5347D" w:rsidRDefault="006B66E4" w:rsidP="006B66E4">
            <w:pPr>
              <w:spacing w:after="0"/>
              <w:ind w:left="0" w:firstLine="0"/>
              <w:jc w:val="center"/>
              <w:rPr>
                <w:rFonts w:ascii="Arial Narrow" w:hAnsi="Arial Narrow" w:cs="Arial"/>
                <w:sz w:val="20"/>
              </w:rPr>
            </w:pPr>
          </w:p>
        </w:tc>
        <w:tc>
          <w:tcPr>
            <w:tcW w:w="661" w:type="pct"/>
          </w:tcPr>
          <w:p w14:paraId="4FA8CAA0" w14:textId="77777777" w:rsidR="006B66E4" w:rsidRPr="00C5347D" w:rsidRDefault="006B66E4" w:rsidP="006B66E4">
            <w:pPr>
              <w:spacing w:after="0"/>
              <w:ind w:left="0" w:firstLine="0"/>
              <w:jc w:val="center"/>
              <w:rPr>
                <w:rFonts w:ascii="Arial Narrow" w:hAnsi="Arial Narrow" w:cs="Arial"/>
                <w:sz w:val="20"/>
              </w:rPr>
            </w:pPr>
          </w:p>
        </w:tc>
      </w:tr>
      <w:tr w:rsidR="006B66E4" w:rsidRPr="00C5347D" w14:paraId="49EE9CE1" w14:textId="77777777" w:rsidTr="00D77BC6">
        <w:trPr>
          <w:trHeight w:val="528"/>
        </w:trPr>
        <w:tc>
          <w:tcPr>
            <w:tcW w:w="311" w:type="pct"/>
            <w:shd w:val="clear" w:color="auto" w:fill="auto"/>
            <w:vAlign w:val="center"/>
            <w:hideMark/>
          </w:tcPr>
          <w:p w14:paraId="4F9E159C"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5.3</w:t>
            </w:r>
          </w:p>
        </w:tc>
        <w:tc>
          <w:tcPr>
            <w:tcW w:w="2263" w:type="pct"/>
            <w:shd w:val="clear" w:color="auto" w:fill="auto"/>
            <w:vAlign w:val="center"/>
            <w:hideMark/>
          </w:tcPr>
          <w:p w14:paraId="7EAFDAFC" w14:textId="77777777" w:rsidR="006B66E4" w:rsidRPr="00C5347D" w:rsidRDefault="006B66E4" w:rsidP="006B66E4">
            <w:pPr>
              <w:spacing w:after="0"/>
              <w:ind w:left="0" w:firstLine="0"/>
              <w:jc w:val="left"/>
              <w:rPr>
                <w:rFonts w:ascii="Arial Narrow" w:hAnsi="Arial Narrow" w:cs="Arial"/>
                <w:sz w:val="20"/>
              </w:rPr>
            </w:pPr>
            <w:r w:rsidRPr="00C5347D">
              <w:rPr>
                <w:rFonts w:ascii="Arial Narrow" w:hAnsi="Arial Narrow" w:cs="Arial"/>
                <w:sz w:val="20"/>
              </w:rPr>
              <w:t xml:space="preserve">Béton cyclopéen de moellon de grés dosé à 350 kg/m3 pour bajoyers  </w:t>
            </w:r>
            <w:proofErr w:type="gramStart"/>
            <w:r w:rsidRPr="00C5347D">
              <w:rPr>
                <w:rFonts w:ascii="Arial Narrow" w:hAnsi="Arial Narrow" w:cs="Arial"/>
                <w:sz w:val="20"/>
              </w:rPr>
              <w:t>( blocage</w:t>
            </w:r>
            <w:proofErr w:type="gramEnd"/>
            <w:r w:rsidRPr="00C5347D">
              <w:rPr>
                <w:rFonts w:ascii="Arial Narrow" w:hAnsi="Arial Narrow" w:cs="Arial"/>
                <w:sz w:val="20"/>
              </w:rPr>
              <w:t xml:space="preserve"> et </w:t>
            </w:r>
            <w:proofErr w:type="spellStart"/>
            <w:r w:rsidRPr="00C5347D">
              <w:rPr>
                <w:rFonts w:ascii="Arial Narrow" w:hAnsi="Arial Narrow" w:cs="Arial"/>
                <w:sz w:val="20"/>
              </w:rPr>
              <w:t>élevation</w:t>
            </w:r>
            <w:proofErr w:type="spellEnd"/>
            <w:r w:rsidRPr="00C5347D">
              <w:rPr>
                <w:rFonts w:ascii="Arial Narrow" w:hAnsi="Arial Narrow" w:cs="Arial"/>
                <w:sz w:val="20"/>
              </w:rPr>
              <w:t>)</w:t>
            </w:r>
          </w:p>
        </w:tc>
        <w:tc>
          <w:tcPr>
            <w:tcW w:w="440" w:type="pct"/>
            <w:shd w:val="clear" w:color="auto" w:fill="auto"/>
            <w:vAlign w:val="center"/>
            <w:hideMark/>
          </w:tcPr>
          <w:p w14:paraId="3B70E32B"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m</w:t>
            </w:r>
            <w:r w:rsidRPr="00C5347D">
              <w:rPr>
                <w:rFonts w:ascii="Arial Narrow" w:hAnsi="Arial Narrow" w:cs="Arial"/>
                <w:sz w:val="20"/>
                <w:vertAlign w:val="superscript"/>
              </w:rPr>
              <w:t>3</w:t>
            </w:r>
          </w:p>
        </w:tc>
        <w:tc>
          <w:tcPr>
            <w:tcW w:w="663" w:type="pct"/>
            <w:shd w:val="clear" w:color="auto" w:fill="auto"/>
            <w:vAlign w:val="center"/>
            <w:hideMark/>
          </w:tcPr>
          <w:p w14:paraId="74C7B891" w14:textId="77777777" w:rsidR="006B66E4" w:rsidRPr="00A7320B" w:rsidRDefault="006B66E4" w:rsidP="006B66E4">
            <w:pPr>
              <w:spacing w:after="0"/>
              <w:ind w:left="0" w:firstLine="0"/>
              <w:jc w:val="center"/>
              <w:rPr>
                <w:rFonts w:ascii="Arial Narrow" w:hAnsi="Arial Narrow" w:cs="Arial"/>
                <w:sz w:val="20"/>
              </w:rPr>
            </w:pPr>
            <w:r w:rsidRPr="00A7320B">
              <w:rPr>
                <w:rFonts w:ascii="Arial Narrow" w:hAnsi="Arial Narrow" w:cs="Arial"/>
                <w:sz w:val="20"/>
              </w:rPr>
              <w:t>20,41</w:t>
            </w:r>
          </w:p>
        </w:tc>
        <w:tc>
          <w:tcPr>
            <w:tcW w:w="662" w:type="pct"/>
          </w:tcPr>
          <w:p w14:paraId="2D008B9D" w14:textId="77777777" w:rsidR="006B66E4" w:rsidRPr="00C5347D" w:rsidRDefault="006B66E4" w:rsidP="006B66E4">
            <w:pPr>
              <w:spacing w:after="0"/>
              <w:ind w:left="0" w:firstLine="0"/>
              <w:jc w:val="center"/>
              <w:rPr>
                <w:rFonts w:ascii="Arial Narrow" w:hAnsi="Arial Narrow" w:cs="Arial"/>
                <w:sz w:val="20"/>
              </w:rPr>
            </w:pPr>
          </w:p>
        </w:tc>
        <w:tc>
          <w:tcPr>
            <w:tcW w:w="661" w:type="pct"/>
          </w:tcPr>
          <w:p w14:paraId="08F8C01C" w14:textId="77777777" w:rsidR="006B66E4" w:rsidRPr="00C5347D" w:rsidRDefault="006B66E4" w:rsidP="006B66E4">
            <w:pPr>
              <w:spacing w:after="0"/>
              <w:ind w:left="0" w:firstLine="0"/>
              <w:jc w:val="center"/>
              <w:rPr>
                <w:rFonts w:ascii="Arial Narrow" w:hAnsi="Arial Narrow" w:cs="Arial"/>
                <w:sz w:val="20"/>
              </w:rPr>
            </w:pPr>
          </w:p>
        </w:tc>
      </w:tr>
      <w:tr w:rsidR="006B66E4" w:rsidRPr="00C5347D" w14:paraId="49B07433" w14:textId="77777777" w:rsidTr="00D77BC6">
        <w:trPr>
          <w:trHeight w:val="528"/>
        </w:trPr>
        <w:tc>
          <w:tcPr>
            <w:tcW w:w="311" w:type="pct"/>
            <w:shd w:val="clear" w:color="auto" w:fill="auto"/>
            <w:vAlign w:val="center"/>
            <w:hideMark/>
          </w:tcPr>
          <w:p w14:paraId="6205521B"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5.4</w:t>
            </w:r>
          </w:p>
        </w:tc>
        <w:tc>
          <w:tcPr>
            <w:tcW w:w="2263" w:type="pct"/>
            <w:shd w:val="clear" w:color="auto" w:fill="auto"/>
            <w:vAlign w:val="center"/>
            <w:hideMark/>
          </w:tcPr>
          <w:p w14:paraId="012BC502" w14:textId="77777777" w:rsidR="006B66E4" w:rsidRPr="00C5347D" w:rsidRDefault="006B66E4" w:rsidP="006B66E4">
            <w:pPr>
              <w:spacing w:after="0"/>
              <w:ind w:left="0" w:firstLine="0"/>
              <w:jc w:val="left"/>
              <w:rPr>
                <w:rFonts w:ascii="Arial Narrow" w:hAnsi="Arial Narrow" w:cs="Arial"/>
                <w:sz w:val="20"/>
              </w:rPr>
            </w:pPr>
            <w:r w:rsidRPr="00C5347D">
              <w:rPr>
                <w:rFonts w:ascii="Arial Narrow" w:hAnsi="Arial Narrow" w:cs="Arial"/>
                <w:sz w:val="20"/>
              </w:rPr>
              <w:t xml:space="preserve">Enduit gras dosé à 400 kg/m3 pour les murs bajoyers  avec ajout du </w:t>
            </w:r>
            <w:proofErr w:type="spellStart"/>
            <w:r w:rsidRPr="00C5347D">
              <w:rPr>
                <w:rFonts w:ascii="Arial Narrow" w:hAnsi="Arial Narrow" w:cs="Arial"/>
                <w:sz w:val="20"/>
              </w:rPr>
              <w:t>sikhalite</w:t>
            </w:r>
            <w:proofErr w:type="spellEnd"/>
            <w:r w:rsidRPr="00C5347D">
              <w:rPr>
                <w:rFonts w:ascii="Arial Narrow" w:hAnsi="Arial Narrow" w:cs="Arial"/>
                <w:sz w:val="20"/>
              </w:rPr>
              <w:t xml:space="preserve"> dans la masse</w:t>
            </w:r>
          </w:p>
        </w:tc>
        <w:tc>
          <w:tcPr>
            <w:tcW w:w="440" w:type="pct"/>
            <w:shd w:val="clear" w:color="auto" w:fill="auto"/>
            <w:vAlign w:val="center"/>
            <w:hideMark/>
          </w:tcPr>
          <w:p w14:paraId="0731801F"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m</w:t>
            </w:r>
            <w:r w:rsidRPr="00C5347D">
              <w:rPr>
                <w:rFonts w:ascii="Arial Narrow" w:hAnsi="Arial Narrow" w:cs="Arial"/>
                <w:sz w:val="20"/>
                <w:vertAlign w:val="superscript"/>
              </w:rPr>
              <w:t>2</w:t>
            </w:r>
          </w:p>
        </w:tc>
        <w:tc>
          <w:tcPr>
            <w:tcW w:w="663" w:type="pct"/>
            <w:shd w:val="clear" w:color="auto" w:fill="auto"/>
            <w:vAlign w:val="center"/>
            <w:hideMark/>
          </w:tcPr>
          <w:p w14:paraId="110CE70E" w14:textId="77777777" w:rsidR="006B66E4" w:rsidRPr="00A7320B" w:rsidRDefault="006B66E4" w:rsidP="006B66E4">
            <w:pPr>
              <w:spacing w:after="0"/>
              <w:ind w:left="0" w:firstLine="0"/>
              <w:jc w:val="center"/>
              <w:rPr>
                <w:rFonts w:ascii="Arial Narrow" w:hAnsi="Arial Narrow" w:cs="Arial"/>
                <w:sz w:val="20"/>
              </w:rPr>
            </w:pPr>
            <w:r w:rsidRPr="00A7320B">
              <w:rPr>
                <w:rFonts w:ascii="Arial Narrow" w:hAnsi="Arial Narrow" w:cs="Arial"/>
                <w:sz w:val="20"/>
              </w:rPr>
              <w:t>28,24</w:t>
            </w:r>
          </w:p>
        </w:tc>
        <w:tc>
          <w:tcPr>
            <w:tcW w:w="662" w:type="pct"/>
          </w:tcPr>
          <w:p w14:paraId="3708AF22" w14:textId="77777777" w:rsidR="006B66E4" w:rsidRPr="00C5347D" w:rsidRDefault="006B66E4" w:rsidP="006B66E4">
            <w:pPr>
              <w:spacing w:after="0"/>
              <w:ind w:left="0" w:firstLine="0"/>
              <w:jc w:val="center"/>
              <w:rPr>
                <w:rFonts w:ascii="Arial Narrow" w:hAnsi="Arial Narrow" w:cs="Arial"/>
                <w:sz w:val="20"/>
              </w:rPr>
            </w:pPr>
          </w:p>
        </w:tc>
        <w:tc>
          <w:tcPr>
            <w:tcW w:w="661" w:type="pct"/>
          </w:tcPr>
          <w:p w14:paraId="63337F88" w14:textId="77777777" w:rsidR="006B66E4" w:rsidRPr="00C5347D" w:rsidRDefault="006B66E4" w:rsidP="006B66E4">
            <w:pPr>
              <w:spacing w:after="0"/>
              <w:ind w:left="0" w:firstLine="0"/>
              <w:jc w:val="center"/>
              <w:rPr>
                <w:rFonts w:ascii="Arial Narrow" w:hAnsi="Arial Narrow" w:cs="Arial"/>
                <w:sz w:val="20"/>
              </w:rPr>
            </w:pPr>
          </w:p>
        </w:tc>
      </w:tr>
      <w:tr w:rsidR="006B66E4" w:rsidRPr="00C5347D" w14:paraId="71EE440A" w14:textId="77777777" w:rsidTr="00D77BC6">
        <w:trPr>
          <w:trHeight w:val="528"/>
        </w:trPr>
        <w:tc>
          <w:tcPr>
            <w:tcW w:w="311" w:type="pct"/>
            <w:shd w:val="clear" w:color="auto" w:fill="auto"/>
            <w:vAlign w:val="center"/>
            <w:hideMark/>
          </w:tcPr>
          <w:p w14:paraId="1166A2AB"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5.5</w:t>
            </w:r>
          </w:p>
        </w:tc>
        <w:tc>
          <w:tcPr>
            <w:tcW w:w="2263" w:type="pct"/>
            <w:shd w:val="clear" w:color="auto" w:fill="auto"/>
            <w:vAlign w:val="center"/>
            <w:hideMark/>
          </w:tcPr>
          <w:p w14:paraId="297B414E" w14:textId="77777777" w:rsidR="006B66E4" w:rsidRPr="00C5347D" w:rsidRDefault="006B66E4" w:rsidP="006B66E4">
            <w:pPr>
              <w:spacing w:after="0"/>
              <w:ind w:left="0" w:firstLine="0"/>
              <w:jc w:val="left"/>
              <w:rPr>
                <w:rFonts w:ascii="Arial Narrow" w:hAnsi="Arial Narrow" w:cs="Arial"/>
                <w:sz w:val="20"/>
              </w:rPr>
            </w:pPr>
            <w:r w:rsidRPr="00C5347D">
              <w:rPr>
                <w:rFonts w:ascii="Arial Narrow" w:hAnsi="Arial Narrow" w:cs="Arial"/>
                <w:sz w:val="20"/>
              </w:rPr>
              <w:t xml:space="preserve">Remblai en argile homogène compacté à l'OPM pour le corps de la digue </w:t>
            </w:r>
          </w:p>
        </w:tc>
        <w:tc>
          <w:tcPr>
            <w:tcW w:w="440" w:type="pct"/>
            <w:shd w:val="clear" w:color="auto" w:fill="auto"/>
            <w:vAlign w:val="center"/>
            <w:hideMark/>
          </w:tcPr>
          <w:p w14:paraId="7885163D"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m</w:t>
            </w:r>
            <w:r w:rsidRPr="00C5347D">
              <w:rPr>
                <w:rFonts w:ascii="Arial Narrow" w:hAnsi="Arial Narrow" w:cs="Arial"/>
                <w:sz w:val="20"/>
                <w:vertAlign w:val="superscript"/>
              </w:rPr>
              <w:t>3</w:t>
            </w:r>
          </w:p>
        </w:tc>
        <w:tc>
          <w:tcPr>
            <w:tcW w:w="663" w:type="pct"/>
            <w:shd w:val="clear" w:color="auto" w:fill="auto"/>
            <w:vAlign w:val="center"/>
            <w:hideMark/>
          </w:tcPr>
          <w:p w14:paraId="24B31840" w14:textId="77777777" w:rsidR="006B66E4" w:rsidRPr="00A7320B" w:rsidRDefault="006B66E4" w:rsidP="006B66E4">
            <w:pPr>
              <w:spacing w:after="0"/>
              <w:ind w:left="0" w:firstLine="0"/>
              <w:jc w:val="center"/>
              <w:rPr>
                <w:rFonts w:ascii="Arial Narrow" w:hAnsi="Arial Narrow" w:cs="Arial"/>
                <w:sz w:val="20"/>
              </w:rPr>
            </w:pPr>
            <w:r w:rsidRPr="00A7320B">
              <w:rPr>
                <w:rFonts w:ascii="Arial Narrow" w:hAnsi="Arial Narrow" w:cs="Arial"/>
                <w:sz w:val="20"/>
              </w:rPr>
              <w:t>13 712,90</w:t>
            </w:r>
          </w:p>
        </w:tc>
        <w:tc>
          <w:tcPr>
            <w:tcW w:w="662" w:type="pct"/>
          </w:tcPr>
          <w:p w14:paraId="05B60CEB" w14:textId="77777777" w:rsidR="006B66E4" w:rsidRPr="00C5347D" w:rsidRDefault="006B66E4" w:rsidP="006B66E4">
            <w:pPr>
              <w:spacing w:after="0"/>
              <w:ind w:left="0" w:firstLine="0"/>
              <w:jc w:val="center"/>
              <w:rPr>
                <w:rFonts w:ascii="Arial Narrow" w:hAnsi="Arial Narrow" w:cs="Arial"/>
                <w:sz w:val="20"/>
              </w:rPr>
            </w:pPr>
          </w:p>
        </w:tc>
        <w:tc>
          <w:tcPr>
            <w:tcW w:w="661" w:type="pct"/>
          </w:tcPr>
          <w:p w14:paraId="341A59A8" w14:textId="77777777" w:rsidR="006B66E4" w:rsidRPr="00C5347D" w:rsidRDefault="006B66E4" w:rsidP="006B66E4">
            <w:pPr>
              <w:spacing w:after="0"/>
              <w:ind w:left="0" w:firstLine="0"/>
              <w:jc w:val="center"/>
              <w:rPr>
                <w:rFonts w:ascii="Arial Narrow" w:hAnsi="Arial Narrow" w:cs="Arial"/>
                <w:sz w:val="20"/>
              </w:rPr>
            </w:pPr>
          </w:p>
        </w:tc>
      </w:tr>
      <w:tr w:rsidR="006B66E4" w:rsidRPr="00C5347D" w14:paraId="29DEBA27" w14:textId="77777777" w:rsidTr="00D77BC6">
        <w:trPr>
          <w:trHeight w:val="528"/>
        </w:trPr>
        <w:tc>
          <w:tcPr>
            <w:tcW w:w="311" w:type="pct"/>
            <w:shd w:val="clear" w:color="auto" w:fill="auto"/>
            <w:vAlign w:val="center"/>
            <w:hideMark/>
          </w:tcPr>
          <w:p w14:paraId="5CB534CF"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lastRenderedPageBreak/>
              <w:t>5.6</w:t>
            </w:r>
          </w:p>
        </w:tc>
        <w:tc>
          <w:tcPr>
            <w:tcW w:w="2263" w:type="pct"/>
            <w:shd w:val="clear" w:color="000000" w:fill="FFFFFF"/>
            <w:vAlign w:val="center"/>
            <w:hideMark/>
          </w:tcPr>
          <w:p w14:paraId="2EB7C8BC" w14:textId="77777777" w:rsidR="006B66E4" w:rsidRPr="00C5347D" w:rsidRDefault="006B66E4" w:rsidP="006B66E4">
            <w:pPr>
              <w:spacing w:after="0"/>
              <w:ind w:left="0" w:firstLine="0"/>
              <w:jc w:val="left"/>
              <w:rPr>
                <w:rFonts w:ascii="Arial Narrow" w:hAnsi="Arial Narrow" w:cs="Arial"/>
                <w:sz w:val="20"/>
              </w:rPr>
            </w:pPr>
            <w:r w:rsidRPr="00C5347D">
              <w:rPr>
                <w:rFonts w:ascii="Arial Narrow" w:hAnsi="Arial Narrow" w:cs="Arial"/>
                <w:sz w:val="20"/>
              </w:rPr>
              <w:t xml:space="preserve">Couche de roulement en graveleux latéritique compacté aux engins lourds - e = 20 cm </w:t>
            </w:r>
          </w:p>
        </w:tc>
        <w:tc>
          <w:tcPr>
            <w:tcW w:w="440" w:type="pct"/>
            <w:shd w:val="clear" w:color="000000" w:fill="FFFFFF"/>
            <w:noWrap/>
            <w:vAlign w:val="center"/>
            <w:hideMark/>
          </w:tcPr>
          <w:p w14:paraId="5B9C9E79"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m</w:t>
            </w:r>
            <w:r w:rsidRPr="00C5347D">
              <w:rPr>
                <w:rFonts w:ascii="Arial Narrow" w:hAnsi="Arial Narrow" w:cs="Arial"/>
                <w:sz w:val="20"/>
                <w:vertAlign w:val="superscript"/>
              </w:rPr>
              <w:t>3</w:t>
            </w:r>
          </w:p>
        </w:tc>
        <w:tc>
          <w:tcPr>
            <w:tcW w:w="663" w:type="pct"/>
            <w:shd w:val="clear" w:color="auto" w:fill="auto"/>
            <w:noWrap/>
            <w:vAlign w:val="center"/>
            <w:hideMark/>
          </w:tcPr>
          <w:p w14:paraId="2278816B" w14:textId="77777777" w:rsidR="006B66E4" w:rsidRPr="00A7320B" w:rsidRDefault="006B66E4" w:rsidP="006B66E4">
            <w:pPr>
              <w:spacing w:after="0"/>
              <w:ind w:left="0" w:firstLine="0"/>
              <w:jc w:val="center"/>
              <w:rPr>
                <w:rFonts w:ascii="Arial Narrow" w:hAnsi="Arial Narrow" w:cs="Arial"/>
                <w:sz w:val="20"/>
              </w:rPr>
            </w:pPr>
            <w:r w:rsidRPr="00A7320B">
              <w:rPr>
                <w:rFonts w:ascii="Arial Narrow" w:hAnsi="Arial Narrow" w:cs="Arial"/>
                <w:sz w:val="20"/>
              </w:rPr>
              <w:t>878,50</w:t>
            </w:r>
          </w:p>
        </w:tc>
        <w:tc>
          <w:tcPr>
            <w:tcW w:w="662" w:type="pct"/>
          </w:tcPr>
          <w:p w14:paraId="0409AA36" w14:textId="77777777" w:rsidR="006B66E4" w:rsidRPr="00C5347D" w:rsidRDefault="006B66E4" w:rsidP="006B66E4">
            <w:pPr>
              <w:spacing w:after="0"/>
              <w:ind w:left="0" w:firstLine="0"/>
              <w:jc w:val="center"/>
              <w:rPr>
                <w:rFonts w:ascii="Arial Narrow" w:hAnsi="Arial Narrow" w:cs="Arial"/>
                <w:sz w:val="20"/>
              </w:rPr>
            </w:pPr>
          </w:p>
        </w:tc>
        <w:tc>
          <w:tcPr>
            <w:tcW w:w="661" w:type="pct"/>
          </w:tcPr>
          <w:p w14:paraId="01D37FE9" w14:textId="77777777" w:rsidR="006B66E4" w:rsidRPr="00C5347D" w:rsidRDefault="006B66E4" w:rsidP="006B66E4">
            <w:pPr>
              <w:spacing w:after="0"/>
              <w:ind w:left="0" w:firstLine="0"/>
              <w:jc w:val="center"/>
              <w:rPr>
                <w:rFonts w:ascii="Arial Narrow" w:hAnsi="Arial Narrow" w:cs="Arial"/>
                <w:sz w:val="20"/>
              </w:rPr>
            </w:pPr>
          </w:p>
        </w:tc>
      </w:tr>
      <w:tr w:rsidR="006B66E4" w:rsidRPr="00C5347D" w14:paraId="1B3F0074" w14:textId="77777777" w:rsidTr="00D77BC6">
        <w:trPr>
          <w:trHeight w:val="312"/>
        </w:trPr>
        <w:tc>
          <w:tcPr>
            <w:tcW w:w="311" w:type="pct"/>
            <w:shd w:val="clear" w:color="auto" w:fill="auto"/>
            <w:vAlign w:val="center"/>
            <w:hideMark/>
          </w:tcPr>
          <w:p w14:paraId="60983FF6"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5.7</w:t>
            </w:r>
          </w:p>
        </w:tc>
        <w:tc>
          <w:tcPr>
            <w:tcW w:w="2263" w:type="pct"/>
            <w:shd w:val="clear" w:color="auto" w:fill="auto"/>
            <w:vAlign w:val="center"/>
            <w:hideMark/>
          </w:tcPr>
          <w:p w14:paraId="4BDAB062" w14:textId="77777777" w:rsidR="006B66E4" w:rsidRPr="00C5347D" w:rsidRDefault="006B66E4" w:rsidP="006B66E4">
            <w:pPr>
              <w:spacing w:after="0"/>
              <w:ind w:left="0" w:firstLine="0"/>
              <w:jc w:val="left"/>
              <w:rPr>
                <w:rFonts w:ascii="Arial Narrow" w:hAnsi="Arial Narrow" w:cs="Arial"/>
                <w:sz w:val="20"/>
              </w:rPr>
            </w:pPr>
            <w:r w:rsidRPr="00C5347D">
              <w:rPr>
                <w:rFonts w:ascii="Arial Narrow" w:hAnsi="Arial Narrow" w:cs="Arial"/>
                <w:sz w:val="20"/>
              </w:rPr>
              <w:t>Empierrement libre pour la protection de la digue</w:t>
            </w:r>
          </w:p>
        </w:tc>
        <w:tc>
          <w:tcPr>
            <w:tcW w:w="440" w:type="pct"/>
            <w:shd w:val="clear" w:color="auto" w:fill="auto"/>
            <w:vAlign w:val="center"/>
            <w:hideMark/>
          </w:tcPr>
          <w:p w14:paraId="1FAD8EA6"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m</w:t>
            </w:r>
            <w:r w:rsidRPr="00C5347D">
              <w:rPr>
                <w:rFonts w:ascii="Arial Narrow" w:hAnsi="Arial Narrow" w:cs="Arial"/>
                <w:sz w:val="20"/>
                <w:vertAlign w:val="superscript"/>
              </w:rPr>
              <w:t>3</w:t>
            </w:r>
          </w:p>
        </w:tc>
        <w:tc>
          <w:tcPr>
            <w:tcW w:w="663" w:type="pct"/>
            <w:shd w:val="clear" w:color="auto" w:fill="auto"/>
            <w:vAlign w:val="center"/>
            <w:hideMark/>
          </w:tcPr>
          <w:p w14:paraId="6046311F" w14:textId="77777777" w:rsidR="006B66E4" w:rsidRPr="00A7320B" w:rsidRDefault="006B66E4" w:rsidP="006B66E4">
            <w:pPr>
              <w:spacing w:after="0"/>
              <w:ind w:left="0" w:firstLine="0"/>
              <w:jc w:val="center"/>
              <w:rPr>
                <w:rFonts w:ascii="Arial Narrow" w:hAnsi="Arial Narrow" w:cs="Arial"/>
                <w:sz w:val="20"/>
              </w:rPr>
            </w:pPr>
            <w:r w:rsidRPr="00A7320B">
              <w:rPr>
                <w:rFonts w:ascii="Arial Narrow" w:hAnsi="Arial Narrow" w:cs="Arial"/>
                <w:sz w:val="20"/>
              </w:rPr>
              <w:t>1 860,95</w:t>
            </w:r>
          </w:p>
        </w:tc>
        <w:tc>
          <w:tcPr>
            <w:tcW w:w="662" w:type="pct"/>
          </w:tcPr>
          <w:p w14:paraId="7FD762A7" w14:textId="77777777" w:rsidR="006B66E4" w:rsidRPr="00C5347D" w:rsidRDefault="006B66E4" w:rsidP="006B66E4">
            <w:pPr>
              <w:spacing w:after="0"/>
              <w:ind w:left="0" w:firstLine="0"/>
              <w:jc w:val="center"/>
              <w:rPr>
                <w:rFonts w:ascii="Arial Narrow" w:hAnsi="Arial Narrow" w:cs="Arial"/>
                <w:sz w:val="20"/>
              </w:rPr>
            </w:pPr>
          </w:p>
        </w:tc>
        <w:tc>
          <w:tcPr>
            <w:tcW w:w="661" w:type="pct"/>
          </w:tcPr>
          <w:p w14:paraId="04F08C32" w14:textId="77777777" w:rsidR="006B66E4" w:rsidRPr="00C5347D" w:rsidRDefault="006B66E4" w:rsidP="006B66E4">
            <w:pPr>
              <w:spacing w:after="0"/>
              <w:ind w:left="0" w:firstLine="0"/>
              <w:jc w:val="center"/>
              <w:rPr>
                <w:rFonts w:ascii="Arial Narrow" w:hAnsi="Arial Narrow" w:cs="Arial"/>
                <w:sz w:val="20"/>
              </w:rPr>
            </w:pPr>
          </w:p>
        </w:tc>
      </w:tr>
      <w:tr w:rsidR="006B66E4" w:rsidRPr="00C5347D" w14:paraId="068B0566" w14:textId="77777777" w:rsidTr="00D77BC6">
        <w:trPr>
          <w:trHeight w:val="264"/>
        </w:trPr>
        <w:tc>
          <w:tcPr>
            <w:tcW w:w="311" w:type="pct"/>
            <w:shd w:val="clear" w:color="auto" w:fill="auto"/>
            <w:vAlign w:val="center"/>
            <w:hideMark/>
          </w:tcPr>
          <w:p w14:paraId="5B013503"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 </w:t>
            </w:r>
          </w:p>
        </w:tc>
        <w:tc>
          <w:tcPr>
            <w:tcW w:w="2263" w:type="pct"/>
            <w:shd w:val="clear" w:color="auto" w:fill="auto"/>
            <w:vAlign w:val="center"/>
            <w:hideMark/>
          </w:tcPr>
          <w:p w14:paraId="585B89E2" w14:textId="77777777" w:rsidR="006B66E4" w:rsidRPr="00C5347D" w:rsidRDefault="006B66E4" w:rsidP="006B66E4">
            <w:pPr>
              <w:spacing w:after="0"/>
              <w:ind w:left="0" w:firstLine="0"/>
              <w:jc w:val="right"/>
              <w:rPr>
                <w:rFonts w:ascii="Arial Narrow" w:hAnsi="Arial Narrow" w:cs="Arial"/>
                <w:b/>
                <w:bCs/>
                <w:sz w:val="20"/>
              </w:rPr>
            </w:pPr>
            <w:r w:rsidRPr="00C5347D">
              <w:rPr>
                <w:rFonts w:ascii="Arial Narrow" w:hAnsi="Arial Narrow" w:cs="Arial"/>
                <w:b/>
                <w:bCs/>
                <w:sz w:val="20"/>
              </w:rPr>
              <w:t>Total Série 5</w:t>
            </w:r>
          </w:p>
        </w:tc>
        <w:tc>
          <w:tcPr>
            <w:tcW w:w="440" w:type="pct"/>
            <w:shd w:val="clear" w:color="auto" w:fill="auto"/>
            <w:vAlign w:val="center"/>
            <w:hideMark/>
          </w:tcPr>
          <w:p w14:paraId="4AC57C1E"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 </w:t>
            </w:r>
          </w:p>
        </w:tc>
        <w:tc>
          <w:tcPr>
            <w:tcW w:w="663" w:type="pct"/>
            <w:shd w:val="clear" w:color="auto" w:fill="auto"/>
            <w:vAlign w:val="center"/>
            <w:hideMark/>
          </w:tcPr>
          <w:p w14:paraId="15375CA6" w14:textId="77777777" w:rsidR="006B66E4" w:rsidRPr="00A7320B" w:rsidRDefault="006B66E4" w:rsidP="006B66E4">
            <w:pPr>
              <w:spacing w:after="0"/>
              <w:ind w:left="0" w:firstLine="0"/>
              <w:jc w:val="left"/>
              <w:rPr>
                <w:rFonts w:ascii="Arial Narrow" w:hAnsi="Arial Narrow" w:cs="Arial"/>
                <w:sz w:val="20"/>
              </w:rPr>
            </w:pPr>
            <w:r w:rsidRPr="00A7320B">
              <w:rPr>
                <w:rFonts w:ascii="Arial Narrow" w:hAnsi="Arial Narrow" w:cs="Arial"/>
                <w:sz w:val="20"/>
              </w:rPr>
              <w:t> </w:t>
            </w:r>
          </w:p>
        </w:tc>
        <w:tc>
          <w:tcPr>
            <w:tcW w:w="662" w:type="pct"/>
          </w:tcPr>
          <w:p w14:paraId="07EA064E" w14:textId="77777777" w:rsidR="006B66E4" w:rsidRPr="00C5347D" w:rsidRDefault="006B66E4" w:rsidP="006B66E4">
            <w:pPr>
              <w:spacing w:after="0"/>
              <w:ind w:left="0" w:firstLine="0"/>
              <w:jc w:val="left"/>
              <w:rPr>
                <w:rFonts w:ascii="Arial Narrow" w:hAnsi="Arial Narrow" w:cs="Arial"/>
                <w:sz w:val="20"/>
              </w:rPr>
            </w:pPr>
          </w:p>
        </w:tc>
        <w:tc>
          <w:tcPr>
            <w:tcW w:w="661" w:type="pct"/>
          </w:tcPr>
          <w:p w14:paraId="38008214" w14:textId="77777777" w:rsidR="006B66E4" w:rsidRPr="00C5347D" w:rsidRDefault="006B66E4" w:rsidP="006B66E4">
            <w:pPr>
              <w:spacing w:after="0"/>
              <w:ind w:left="0" w:firstLine="0"/>
              <w:jc w:val="left"/>
              <w:rPr>
                <w:rFonts w:ascii="Arial Narrow" w:hAnsi="Arial Narrow" w:cs="Arial"/>
                <w:sz w:val="20"/>
              </w:rPr>
            </w:pPr>
          </w:p>
        </w:tc>
      </w:tr>
      <w:tr w:rsidR="006B66E4" w:rsidRPr="00C5347D" w14:paraId="068976B2" w14:textId="77777777" w:rsidTr="00D77BC6">
        <w:trPr>
          <w:trHeight w:val="264"/>
        </w:trPr>
        <w:tc>
          <w:tcPr>
            <w:tcW w:w="311" w:type="pct"/>
            <w:shd w:val="clear" w:color="auto" w:fill="auto"/>
            <w:vAlign w:val="center"/>
            <w:hideMark/>
          </w:tcPr>
          <w:p w14:paraId="1E5ABC26"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 </w:t>
            </w:r>
          </w:p>
        </w:tc>
        <w:tc>
          <w:tcPr>
            <w:tcW w:w="2263" w:type="pct"/>
            <w:shd w:val="clear" w:color="auto" w:fill="auto"/>
            <w:vAlign w:val="center"/>
            <w:hideMark/>
          </w:tcPr>
          <w:p w14:paraId="19F0CA16" w14:textId="77777777" w:rsidR="006B66E4" w:rsidRPr="00C5347D" w:rsidRDefault="006B66E4" w:rsidP="006B66E4">
            <w:pPr>
              <w:spacing w:after="0"/>
              <w:ind w:left="0" w:firstLine="0"/>
              <w:jc w:val="left"/>
              <w:rPr>
                <w:rFonts w:ascii="Arial Narrow" w:hAnsi="Arial Narrow" w:cs="Arial"/>
                <w:b/>
                <w:bCs/>
                <w:sz w:val="20"/>
              </w:rPr>
            </w:pPr>
            <w:r w:rsidRPr="00C5347D">
              <w:rPr>
                <w:rFonts w:ascii="Arial Narrow" w:hAnsi="Arial Narrow" w:cs="Arial"/>
                <w:b/>
                <w:bCs/>
                <w:sz w:val="20"/>
              </w:rPr>
              <w:t>Série VI-ACCESSOIRE</w:t>
            </w:r>
          </w:p>
        </w:tc>
        <w:tc>
          <w:tcPr>
            <w:tcW w:w="440" w:type="pct"/>
            <w:shd w:val="clear" w:color="auto" w:fill="auto"/>
            <w:vAlign w:val="center"/>
            <w:hideMark/>
          </w:tcPr>
          <w:p w14:paraId="45855E05"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 </w:t>
            </w:r>
          </w:p>
        </w:tc>
        <w:tc>
          <w:tcPr>
            <w:tcW w:w="663" w:type="pct"/>
            <w:shd w:val="clear" w:color="auto" w:fill="auto"/>
            <w:vAlign w:val="center"/>
            <w:hideMark/>
          </w:tcPr>
          <w:p w14:paraId="2874D037" w14:textId="77777777" w:rsidR="006B66E4" w:rsidRPr="00A7320B" w:rsidRDefault="006B66E4" w:rsidP="006B66E4">
            <w:pPr>
              <w:spacing w:after="0"/>
              <w:ind w:left="0" w:firstLine="0"/>
              <w:jc w:val="left"/>
              <w:rPr>
                <w:rFonts w:ascii="Arial Narrow" w:hAnsi="Arial Narrow" w:cs="Arial"/>
                <w:sz w:val="20"/>
              </w:rPr>
            </w:pPr>
            <w:r w:rsidRPr="00A7320B">
              <w:rPr>
                <w:rFonts w:ascii="Arial Narrow" w:hAnsi="Arial Narrow" w:cs="Arial"/>
                <w:sz w:val="20"/>
              </w:rPr>
              <w:t> </w:t>
            </w:r>
          </w:p>
        </w:tc>
        <w:tc>
          <w:tcPr>
            <w:tcW w:w="662" w:type="pct"/>
          </w:tcPr>
          <w:p w14:paraId="2464A520" w14:textId="77777777" w:rsidR="006B66E4" w:rsidRPr="00C5347D" w:rsidRDefault="006B66E4" w:rsidP="006B66E4">
            <w:pPr>
              <w:spacing w:after="0"/>
              <w:ind w:left="0" w:firstLine="0"/>
              <w:jc w:val="left"/>
              <w:rPr>
                <w:rFonts w:ascii="Arial Narrow" w:hAnsi="Arial Narrow" w:cs="Arial"/>
                <w:sz w:val="20"/>
              </w:rPr>
            </w:pPr>
          </w:p>
        </w:tc>
        <w:tc>
          <w:tcPr>
            <w:tcW w:w="661" w:type="pct"/>
          </w:tcPr>
          <w:p w14:paraId="441F799E" w14:textId="77777777" w:rsidR="006B66E4" w:rsidRPr="00C5347D" w:rsidRDefault="006B66E4" w:rsidP="006B66E4">
            <w:pPr>
              <w:spacing w:after="0"/>
              <w:ind w:left="0" w:firstLine="0"/>
              <w:jc w:val="left"/>
              <w:rPr>
                <w:rFonts w:ascii="Arial Narrow" w:hAnsi="Arial Narrow" w:cs="Arial"/>
                <w:sz w:val="20"/>
              </w:rPr>
            </w:pPr>
          </w:p>
        </w:tc>
      </w:tr>
      <w:tr w:rsidR="006B66E4" w:rsidRPr="00C5347D" w14:paraId="081ED582" w14:textId="77777777" w:rsidTr="00D77BC6">
        <w:trPr>
          <w:trHeight w:val="264"/>
        </w:trPr>
        <w:tc>
          <w:tcPr>
            <w:tcW w:w="311" w:type="pct"/>
            <w:shd w:val="clear" w:color="auto" w:fill="auto"/>
            <w:vAlign w:val="center"/>
            <w:hideMark/>
          </w:tcPr>
          <w:p w14:paraId="629B4B66"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6.1</w:t>
            </w:r>
          </w:p>
        </w:tc>
        <w:tc>
          <w:tcPr>
            <w:tcW w:w="2263" w:type="pct"/>
            <w:shd w:val="clear" w:color="auto" w:fill="auto"/>
            <w:vAlign w:val="center"/>
            <w:hideMark/>
          </w:tcPr>
          <w:p w14:paraId="7AA885DB" w14:textId="77777777" w:rsidR="006B66E4" w:rsidRPr="00C5347D" w:rsidRDefault="006B66E4" w:rsidP="006B66E4">
            <w:pPr>
              <w:spacing w:after="0"/>
              <w:ind w:left="0" w:firstLine="0"/>
              <w:jc w:val="left"/>
              <w:rPr>
                <w:rFonts w:ascii="Arial Narrow" w:hAnsi="Arial Narrow" w:cs="Arial"/>
                <w:sz w:val="20"/>
              </w:rPr>
            </w:pPr>
            <w:r w:rsidRPr="00C5347D">
              <w:rPr>
                <w:rFonts w:ascii="Arial Narrow" w:hAnsi="Arial Narrow" w:cs="Arial"/>
                <w:sz w:val="20"/>
              </w:rPr>
              <w:t>Panneaux d'information</w:t>
            </w:r>
          </w:p>
        </w:tc>
        <w:tc>
          <w:tcPr>
            <w:tcW w:w="440" w:type="pct"/>
            <w:shd w:val="clear" w:color="auto" w:fill="auto"/>
            <w:vAlign w:val="center"/>
            <w:hideMark/>
          </w:tcPr>
          <w:p w14:paraId="2E2421CA"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u</w:t>
            </w:r>
          </w:p>
        </w:tc>
        <w:tc>
          <w:tcPr>
            <w:tcW w:w="663" w:type="pct"/>
            <w:shd w:val="clear" w:color="auto" w:fill="auto"/>
            <w:vAlign w:val="center"/>
            <w:hideMark/>
          </w:tcPr>
          <w:p w14:paraId="3B310658" w14:textId="77777777" w:rsidR="006B66E4" w:rsidRPr="00A7320B" w:rsidRDefault="006B66E4" w:rsidP="006B66E4">
            <w:pPr>
              <w:spacing w:after="0"/>
              <w:ind w:left="0" w:firstLine="0"/>
              <w:jc w:val="center"/>
              <w:rPr>
                <w:rFonts w:ascii="Arial Narrow" w:hAnsi="Arial Narrow" w:cs="Arial"/>
                <w:sz w:val="20"/>
              </w:rPr>
            </w:pPr>
            <w:r w:rsidRPr="00A7320B">
              <w:rPr>
                <w:rFonts w:ascii="Arial Narrow" w:hAnsi="Arial Narrow" w:cs="Arial"/>
                <w:sz w:val="20"/>
              </w:rPr>
              <w:t>2,00</w:t>
            </w:r>
          </w:p>
        </w:tc>
        <w:tc>
          <w:tcPr>
            <w:tcW w:w="662" w:type="pct"/>
          </w:tcPr>
          <w:p w14:paraId="62CD2E24" w14:textId="77777777" w:rsidR="006B66E4" w:rsidRPr="00C5347D" w:rsidRDefault="006B66E4" w:rsidP="006B66E4">
            <w:pPr>
              <w:spacing w:after="0"/>
              <w:ind w:left="0" w:firstLine="0"/>
              <w:jc w:val="center"/>
              <w:rPr>
                <w:rFonts w:ascii="Arial Narrow" w:hAnsi="Arial Narrow" w:cs="Arial"/>
                <w:sz w:val="20"/>
              </w:rPr>
            </w:pPr>
          </w:p>
        </w:tc>
        <w:tc>
          <w:tcPr>
            <w:tcW w:w="661" w:type="pct"/>
          </w:tcPr>
          <w:p w14:paraId="7470028D" w14:textId="77777777" w:rsidR="006B66E4" w:rsidRPr="00C5347D" w:rsidRDefault="006B66E4" w:rsidP="006B66E4">
            <w:pPr>
              <w:spacing w:after="0"/>
              <w:ind w:left="0" w:firstLine="0"/>
              <w:jc w:val="center"/>
              <w:rPr>
                <w:rFonts w:ascii="Arial Narrow" w:hAnsi="Arial Narrow" w:cs="Arial"/>
                <w:sz w:val="20"/>
              </w:rPr>
            </w:pPr>
          </w:p>
        </w:tc>
      </w:tr>
      <w:tr w:rsidR="006B66E4" w:rsidRPr="00C5347D" w14:paraId="0BDB534C" w14:textId="77777777" w:rsidTr="00D77BC6">
        <w:trPr>
          <w:trHeight w:val="264"/>
        </w:trPr>
        <w:tc>
          <w:tcPr>
            <w:tcW w:w="311" w:type="pct"/>
            <w:shd w:val="clear" w:color="auto" w:fill="auto"/>
            <w:vAlign w:val="center"/>
            <w:hideMark/>
          </w:tcPr>
          <w:p w14:paraId="21F1A07D"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 </w:t>
            </w:r>
          </w:p>
        </w:tc>
        <w:tc>
          <w:tcPr>
            <w:tcW w:w="2263" w:type="pct"/>
            <w:shd w:val="clear" w:color="auto" w:fill="auto"/>
            <w:vAlign w:val="center"/>
            <w:hideMark/>
          </w:tcPr>
          <w:p w14:paraId="4DA6A118" w14:textId="77777777" w:rsidR="006B66E4" w:rsidRPr="00C5347D" w:rsidRDefault="006B66E4" w:rsidP="006B66E4">
            <w:pPr>
              <w:spacing w:after="0"/>
              <w:ind w:left="0" w:firstLine="0"/>
              <w:jc w:val="right"/>
              <w:rPr>
                <w:rFonts w:ascii="Arial Narrow" w:hAnsi="Arial Narrow" w:cs="Arial"/>
                <w:b/>
                <w:bCs/>
                <w:sz w:val="20"/>
              </w:rPr>
            </w:pPr>
            <w:r w:rsidRPr="00C5347D">
              <w:rPr>
                <w:rFonts w:ascii="Arial Narrow" w:hAnsi="Arial Narrow" w:cs="Arial"/>
                <w:b/>
                <w:bCs/>
                <w:sz w:val="20"/>
              </w:rPr>
              <w:t>Total Série 6</w:t>
            </w:r>
          </w:p>
        </w:tc>
        <w:tc>
          <w:tcPr>
            <w:tcW w:w="440" w:type="pct"/>
            <w:shd w:val="clear" w:color="auto" w:fill="auto"/>
            <w:vAlign w:val="center"/>
            <w:hideMark/>
          </w:tcPr>
          <w:p w14:paraId="0C7EECB7"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 </w:t>
            </w:r>
          </w:p>
        </w:tc>
        <w:tc>
          <w:tcPr>
            <w:tcW w:w="663" w:type="pct"/>
            <w:shd w:val="clear" w:color="auto" w:fill="auto"/>
            <w:vAlign w:val="center"/>
            <w:hideMark/>
          </w:tcPr>
          <w:p w14:paraId="7C4BD788" w14:textId="77777777" w:rsidR="006B66E4" w:rsidRPr="00A7320B" w:rsidRDefault="006B66E4" w:rsidP="006B66E4">
            <w:pPr>
              <w:spacing w:after="0"/>
              <w:ind w:left="0" w:firstLine="0"/>
              <w:jc w:val="left"/>
              <w:rPr>
                <w:rFonts w:ascii="Arial Narrow" w:hAnsi="Arial Narrow" w:cs="Arial"/>
                <w:sz w:val="20"/>
              </w:rPr>
            </w:pPr>
            <w:r w:rsidRPr="00A7320B">
              <w:rPr>
                <w:rFonts w:ascii="Arial Narrow" w:hAnsi="Arial Narrow" w:cs="Arial"/>
                <w:sz w:val="20"/>
              </w:rPr>
              <w:t> </w:t>
            </w:r>
          </w:p>
        </w:tc>
        <w:tc>
          <w:tcPr>
            <w:tcW w:w="662" w:type="pct"/>
          </w:tcPr>
          <w:p w14:paraId="04987F4F" w14:textId="77777777" w:rsidR="006B66E4" w:rsidRPr="00C5347D" w:rsidRDefault="006B66E4" w:rsidP="006B66E4">
            <w:pPr>
              <w:spacing w:after="0"/>
              <w:ind w:left="0" w:firstLine="0"/>
              <w:jc w:val="left"/>
              <w:rPr>
                <w:rFonts w:ascii="Arial Narrow" w:hAnsi="Arial Narrow" w:cs="Arial"/>
                <w:sz w:val="20"/>
              </w:rPr>
            </w:pPr>
          </w:p>
        </w:tc>
        <w:tc>
          <w:tcPr>
            <w:tcW w:w="661" w:type="pct"/>
          </w:tcPr>
          <w:p w14:paraId="6958B9C3" w14:textId="77777777" w:rsidR="006B66E4" w:rsidRPr="00C5347D" w:rsidRDefault="006B66E4" w:rsidP="006B66E4">
            <w:pPr>
              <w:spacing w:after="0"/>
              <w:ind w:left="0" w:firstLine="0"/>
              <w:jc w:val="left"/>
              <w:rPr>
                <w:rFonts w:ascii="Arial Narrow" w:hAnsi="Arial Narrow" w:cs="Arial"/>
                <w:sz w:val="20"/>
              </w:rPr>
            </w:pPr>
          </w:p>
        </w:tc>
      </w:tr>
      <w:tr w:rsidR="006B66E4" w:rsidRPr="00C5347D" w14:paraId="258973C3" w14:textId="77777777" w:rsidTr="00D77BC6">
        <w:trPr>
          <w:trHeight w:val="276"/>
        </w:trPr>
        <w:tc>
          <w:tcPr>
            <w:tcW w:w="311" w:type="pct"/>
            <w:shd w:val="clear" w:color="000000" w:fill="C0C0C0"/>
            <w:noWrap/>
            <w:vAlign w:val="center"/>
            <w:hideMark/>
          </w:tcPr>
          <w:p w14:paraId="78173BD6"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 </w:t>
            </w:r>
          </w:p>
        </w:tc>
        <w:tc>
          <w:tcPr>
            <w:tcW w:w="2263" w:type="pct"/>
            <w:shd w:val="clear" w:color="000000" w:fill="C0C0C0"/>
            <w:vAlign w:val="center"/>
            <w:hideMark/>
          </w:tcPr>
          <w:p w14:paraId="2E5F678C" w14:textId="77777777" w:rsidR="006B66E4" w:rsidRPr="00C5347D" w:rsidRDefault="006B66E4" w:rsidP="006B66E4">
            <w:pPr>
              <w:spacing w:after="0"/>
              <w:ind w:left="0" w:firstLine="0"/>
              <w:jc w:val="left"/>
              <w:rPr>
                <w:rFonts w:ascii="Arial Narrow" w:hAnsi="Arial Narrow" w:cs="Arial"/>
                <w:b/>
                <w:bCs/>
                <w:sz w:val="20"/>
              </w:rPr>
            </w:pPr>
            <w:r w:rsidRPr="00C5347D">
              <w:rPr>
                <w:rFonts w:ascii="Arial Narrow" w:hAnsi="Arial Narrow" w:cs="Arial"/>
                <w:b/>
                <w:bCs/>
                <w:sz w:val="20"/>
              </w:rPr>
              <w:t>Total Général (DIGUE N°01)</w:t>
            </w:r>
          </w:p>
        </w:tc>
        <w:tc>
          <w:tcPr>
            <w:tcW w:w="440" w:type="pct"/>
            <w:shd w:val="clear" w:color="000000" w:fill="C0C0C0"/>
            <w:noWrap/>
            <w:vAlign w:val="center"/>
            <w:hideMark/>
          </w:tcPr>
          <w:p w14:paraId="1D14216E"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 </w:t>
            </w:r>
          </w:p>
        </w:tc>
        <w:tc>
          <w:tcPr>
            <w:tcW w:w="663" w:type="pct"/>
            <w:shd w:val="clear" w:color="000000" w:fill="C0C0C0"/>
            <w:noWrap/>
            <w:vAlign w:val="center"/>
            <w:hideMark/>
          </w:tcPr>
          <w:p w14:paraId="28533BF3" w14:textId="77777777" w:rsidR="006B66E4" w:rsidRPr="00CD207E" w:rsidRDefault="006B66E4" w:rsidP="006B66E4">
            <w:pPr>
              <w:spacing w:after="0"/>
              <w:ind w:left="0" w:firstLine="0"/>
              <w:jc w:val="left"/>
              <w:rPr>
                <w:rFonts w:ascii="Arial Narrow" w:hAnsi="Arial Narrow" w:cs="Arial"/>
                <w:color w:val="FF0000"/>
                <w:sz w:val="20"/>
              </w:rPr>
            </w:pPr>
            <w:r w:rsidRPr="00CD207E">
              <w:rPr>
                <w:rFonts w:ascii="Arial Narrow" w:hAnsi="Arial Narrow" w:cs="Arial"/>
                <w:color w:val="FF0000"/>
                <w:sz w:val="20"/>
              </w:rPr>
              <w:t> </w:t>
            </w:r>
          </w:p>
        </w:tc>
        <w:tc>
          <w:tcPr>
            <w:tcW w:w="662" w:type="pct"/>
            <w:shd w:val="clear" w:color="000000" w:fill="C0C0C0"/>
          </w:tcPr>
          <w:p w14:paraId="1C2F9B97" w14:textId="77777777" w:rsidR="006B66E4" w:rsidRPr="00C5347D" w:rsidRDefault="006B66E4" w:rsidP="006B66E4">
            <w:pPr>
              <w:spacing w:after="0"/>
              <w:ind w:left="0" w:firstLine="0"/>
              <w:jc w:val="left"/>
              <w:rPr>
                <w:rFonts w:ascii="Arial Narrow" w:hAnsi="Arial Narrow" w:cs="Arial"/>
                <w:sz w:val="20"/>
              </w:rPr>
            </w:pPr>
          </w:p>
        </w:tc>
        <w:tc>
          <w:tcPr>
            <w:tcW w:w="661" w:type="pct"/>
            <w:shd w:val="clear" w:color="000000" w:fill="C0C0C0"/>
          </w:tcPr>
          <w:p w14:paraId="6970C02D" w14:textId="77777777" w:rsidR="006B66E4" w:rsidRPr="00C5347D" w:rsidRDefault="006B66E4" w:rsidP="006B66E4">
            <w:pPr>
              <w:spacing w:after="0"/>
              <w:ind w:left="0" w:firstLine="0"/>
              <w:jc w:val="left"/>
              <w:rPr>
                <w:rFonts w:ascii="Arial Narrow" w:hAnsi="Arial Narrow" w:cs="Arial"/>
                <w:sz w:val="20"/>
              </w:rPr>
            </w:pPr>
          </w:p>
        </w:tc>
      </w:tr>
      <w:tr w:rsidR="00D77BC6" w:rsidRPr="00C5347D" w14:paraId="3571C724" w14:textId="77777777" w:rsidTr="00D77BC6">
        <w:trPr>
          <w:trHeight w:val="276"/>
        </w:trPr>
        <w:tc>
          <w:tcPr>
            <w:tcW w:w="311" w:type="pct"/>
            <w:shd w:val="clear" w:color="auto" w:fill="auto"/>
            <w:noWrap/>
            <w:vAlign w:val="center"/>
          </w:tcPr>
          <w:p w14:paraId="43661526" w14:textId="77777777" w:rsidR="00D77BC6" w:rsidRPr="00C5347D" w:rsidRDefault="00D77BC6" w:rsidP="006B66E4">
            <w:pPr>
              <w:spacing w:after="0"/>
              <w:ind w:left="0" w:firstLine="0"/>
              <w:jc w:val="center"/>
              <w:rPr>
                <w:rFonts w:ascii="Arial Narrow" w:hAnsi="Arial Narrow" w:cs="Arial"/>
                <w:sz w:val="20"/>
              </w:rPr>
            </w:pPr>
          </w:p>
        </w:tc>
        <w:tc>
          <w:tcPr>
            <w:tcW w:w="2263" w:type="pct"/>
            <w:shd w:val="clear" w:color="auto" w:fill="auto"/>
            <w:vAlign w:val="center"/>
          </w:tcPr>
          <w:p w14:paraId="3E462EBE" w14:textId="7167E82A" w:rsidR="00D77BC6" w:rsidRPr="00C5347D" w:rsidRDefault="00D77BC6" w:rsidP="006B66E4">
            <w:pPr>
              <w:spacing w:after="0"/>
              <w:ind w:left="0" w:firstLine="0"/>
              <w:jc w:val="left"/>
              <w:rPr>
                <w:rFonts w:ascii="Arial Narrow" w:hAnsi="Arial Narrow" w:cs="Arial"/>
                <w:b/>
                <w:bCs/>
                <w:sz w:val="20"/>
              </w:rPr>
            </w:pPr>
            <w:r>
              <w:rPr>
                <w:rFonts w:ascii="Arial Narrow" w:hAnsi="Arial Narrow" w:cs="Arial"/>
                <w:b/>
                <w:bCs/>
                <w:sz w:val="20"/>
              </w:rPr>
              <w:t>TVA</w:t>
            </w:r>
          </w:p>
        </w:tc>
        <w:tc>
          <w:tcPr>
            <w:tcW w:w="440" w:type="pct"/>
            <w:shd w:val="clear" w:color="auto" w:fill="auto"/>
            <w:noWrap/>
            <w:vAlign w:val="center"/>
          </w:tcPr>
          <w:p w14:paraId="257C03FE" w14:textId="77777777" w:rsidR="00D77BC6" w:rsidRPr="00C5347D" w:rsidRDefault="00D77BC6" w:rsidP="006B66E4">
            <w:pPr>
              <w:spacing w:after="0"/>
              <w:ind w:left="0" w:firstLine="0"/>
              <w:jc w:val="center"/>
              <w:rPr>
                <w:rFonts w:ascii="Arial Narrow" w:hAnsi="Arial Narrow" w:cs="Arial"/>
                <w:sz w:val="20"/>
              </w:rPr>
            </w:pPr>
          </w:p>
        </w:tc>
        <w:tc>
          <w:tcPr>
            <w:tcW w:w="663" w:type="pct"/>
            <w:shd w:val="clear" w:color="auto" w:fill="auto"/>
            <w:noWrap/>
            <w:vAlign w:val="center"/>
          </w:tcPr>
          <w:p w14:paraId="21B2005E" w14:textId="77777777" w:rsidR="00D77BC6" w:rsidRPr="00CD207E" w:rsidRDefault="00D77BC6" w:rsidP="006B66E4">
            <w:pPr>
              <w:spacing w:after="0"/>
              <w:ind w:left="0" w:firstLine="0"/>
              <w:jc w:val="left"/>
              <w:rPr>
                <w:rFonts w:ascii="Arial Narrow" w:hAnsi="Arial Narrow" w:cs="Arial"/>
                <w:color w:val="FF0000"/>
                <w:sz w:val="20"/>
              </w:rPr>
            </w:pPr>
          </w:p>
        </w:tc>
        <w:tc>
          <w:tcPr>
            <w:tcW w:w="662" w:type="pct"/>
            <w:shd w:val="clear" w:color="auto" w:fill="auto"/>
          </w:tcPr>
          <w:p w14:paraId="44C4C880" w14:textId="77777777" w:rsidR="00D77BC6" w:rsidRPr="00C5347D" w:rsidRDefault="00D77BC6" w:rsidP="006B66E4">
            <w:pPr>
              <w:spacing w:after="0"/>
              <w:ind w:left="0" w:firstLine="0"/>
              <w:jc w:val="left"/>
              <w:rPr>
                <w:rFonts w:ascii="Arial Narrow" w:hAnsi="Arial Narrow" w:cs="Arial"/>
                <w:sz w:val="20"/>
              </w:rPr>
            </w:pPr>
          </w:p>
        </w:tc>
        <w:tc>
          <w:tcPr>
            <w:tcW w:w="661" w:type="pct"/>
            <w:shd w:val="clear" w:color="auto" w:fill="auto"/>
          </w:tcPr>
          <w:p w14:paraId="4C4CB2BC" w14:textId="77777777" w:rsidR="00D77BC6" w:rsidRPr="00C5347D" w:rsidRDefault="00D77BC6" w:rsidP="006B66E4">
            <w:pPr>
              <w:spacing w:after="0"/>
              <w:ind w:left="0" w:firstLine="0"/>
              <w:jc w:val="left"/>
              <w:rPr>
                <w:rFonts w:ascii="Arial Narrow" w:hAnsi="Arial Narrow" w:cs="Arial"/>
                <w:sz w:val="20"/>
              </w:rPr>
            </w:pPr>
          </w:p>
        </w:tc>
      </w:tr>
      <w:tr w:rsidR="00D77BC6" w:rsidRPr="00C5347D" w14:paraId="143EDEF9" w14:textId="77777777" w:rsidTr="00D77BC6">
        <w:trPr>
          <w:trHeight w:val="276"/>
        </w:trPr>
        <w:tc>
          <w:tcPr>
            <w:tcW w:w="311" w:type="pct"/>
            <w:shd w:val="clear" w:color="000000" w:fill="C0C0C0"/>
            <w:noWrap/>
            <w:vAlign w:val="center"/>
          </w:tcPr>
          <w:p w14:paraId="78A24C00" w14:textId="77777777" w:rsidR="00D77BC6" w:rsidRPr="00C5347D" w:rsidRDefault="00D77BC6" w:rsidP="006B66E4">
            <w:pPr>
              <w:spacing w:after="0"/>
              <w:ind w:left="0" w:firstLine="0"/>
              <w:jc w:val="center"/>
              <w:rPr>
                <w:rFonts w:ascii="Arial Narrow" w:hAnsi="Arial Narrow" w:cs="Arial"/>
                <w:sz w:val="20"/>
              </w:rPr>
            </w:pPr>
          </w:p>
        </w:tc>
        <w:tc>
          <w:tcPr>
            <w:tcW w:w="2263" w:type="pct"/>
            <w:shd w:val="clear" w:color="000000" w:fill="C0C0C0"/>
            <w:vAlign w:val="center"/>
          </w:tcPr>
          <w:p w14:paraId="054A8A39" w14:textId="01E06786" w:rsidR="00D77BC6" w:rsidRDefault="00D77BC6" w:rsidP="00D77BC6">
            <w:pPr>
              <w:spacing w:after="0"/>
              <w:ind w:left="0" w:firstLine="0"/>
              <w:jc w:val="left"/>
              <w:rPr>
                <w:rFonts w:ascii="Arial Narrow" w:hAnsi="Arial Narrow" w:cs="Arial"/>
                <w:b/>
                <w:bCs/>
                <w:sz w:val="20"/>
              </w:rPr>
            </w:pPr>
            <w:r>
              <w:rPr>
                <w:rFonts w:ascii="Arial Narrow" w:hAnsi="Arial Narrow" w:cs="Arial"/>
                <w:b/>
                <w:bCs/>
                <w:sz w:val="20"/>
              </w:rPr>
              <w:t>TOTAL GENERAL TTC</w:t>
            </w:r>
          </w:p>
        </w:tc>
        <w:tc>
          <w:tcPr>
            <w:tcW w:w="440" w:type="pct"/>
            <w:shd w:val="clear" w:color="000000" w:fill="C0C0C0"/>
            <w:noWrap/>
            <w:vAlign w:val="center"/>
          </w:tcPr>
          <w:p w14:paraId="17A567AE" w14:textId="77777777" w:rsidR="00D77BC6" w:rsidRPr="00C5347D" w:rsidRDefault="00D77BC6" w:rsidP="006B66E4">
            <w:pPr>
              <w:spacing w:after="0"/>
              <w:ind w:left="0" w:firstLine="0"/>
              <w:jc w:val="center"/>
              <w:rPr>
                <w:rFonts w:ascii="Arial Narrow" w:hAnsi="Arial Narrow" w:cs="Arial"/>
                <w:sz w:val="20"/>
              </w:rPr>
            </w:pPr>
          </w:p>
        </w:tc>
        <w:tc>
          <w:tcPr>
            <w:tcW w:w="663" w:type="pct"/>
            <w:shd w:val="clear" w:color="000000" w:fill="C0C0C0"/>
            <w:noWrap/>
            <w:vAlign w:val="center"/>
          </w:tcPr>
          <w:p w14:paraId="3F872FD0" w14:textId="77777777" w:rsidR="00D77BC6" w:rsidRPr="00CD207E" w:rsidRDefault="00D77BC6" w:rsidP="006B66E4">
            <w:pPr>
              <w:spacing w:after="0"/>
              <w:ind w:left="0" w:firstLine="0"/>
              <w:jc w:val="left"/>
              <w:rPr>
                <w:rFonts w:ascii="Arial Narrow" w:hAnsi="Arial Narrow" w:cs="Arial"/>
                <w:color w:val="FF0000"/>
                <w:sz w:val="20"/>
              </w:rPr>
            </w:pPr>
          </w:p>
        </w:tc>
        <w:tc>
          <w:tcPr>
            <w:tcW w:w="662" w:type="pct"/>
            <w:shd w:val="clear" w:color="000000" w:fill="C0C0C0"/>
          </w:tcPr>
          <w:p w14:paraId="404221D8" w14:textId="77777777" w:rsidR="00D77BC6" w:rsidRPr="00C5347D" w:rsidRDefault="00D77BC6" w:rsidP="006B66E4">
            <w:pPr>
              <w:spacing w:after="0"/>
              <w:ind w:left="0" w:firstLine="0"/>
              <w:jc w:val="left"/>
              <w:rPr>
                <w:rFonts w:ascii="Arial Narrow" w:hAnsi="Arial Narrow" w:cs="Arial"/>
                <w:sz w:val="20"/>
              </w:rPr>
            </w:pPr>
          </w:p>
        </w:tc>
        <w:tc>
          <w:tcPr>
            <w:tcW w:w="661" w:type="pct"/>
            <w:shd w:val="clear" w:color="000000" w:fill="C0C0C0"/>
          </w:tcPr>
          <w:p w14:paraId="441928CB" w14:textId="77777777" w:rsidR="00D77BC6" w:rsidRPr="00C5347D" w:rsidRDefault="00D77BC6" w:rsidP="006B66E4">
            <w:pPr>
              <w:spacing w:after="0"/>
              <w:ind w:left="0" w:firstLine="0"/>
              <w:jc w:val="left"/>
              <w:rPr>
                <w:rFonts w:ascii="Arial Narrow" w:hAnsi="Arial Narrow" w:cs="Arial"/>
                <w:sz w:val="20"/>
              </w:rPr>
            </w:pPr>
          </w:p>
        </w:tc>
      </w:tr>
    </w:tbl>
    <w:p w14:paraId="252ACB85" w14:textId="77777777" w:rsidR="006B66E4" w:rsidRPr="001124FC" w:rsidRDefault="006B66E4" w:rsidP="006B66E4">
      <w:pPr>
        <w:pStyle w:val="S1-Header2"/>
        <w:numPr>
          <w:ilvl w:val="0"/>
          <w:numId w:val="0"/>
        </w:numPr>
        <w:ind w:left="720" w:hanging="720"/>
        <w:rPr>
          <w:b w:val="0"/>
          <w:lang w:val="fr-FR"/>
        </w:rPr>
      </w:pPr>
      <w:r w:rsidRPr="001124FC">
        <w:rPr>
          <w:b w:val="0"/>
          <w:lang w:val="fr-FR"/>
        </w:rPr>
        <w:t xml:space="preserve">         </w:t>
      </w:r>
    </w:p>
    <w:p w14:paraId="75CE7253" w14:textId="7AF9BAAA" w:rsidR="006B66E4" w:rsidRPr="00A7320B" w:rsidRDefault="006B66E4" w:rsidP="006B66E4">
      <w:pPr>
        <w:pStyle w:val="S1-Header2"/>
        <w:numPr>
          <w:ilvl w:val="0"/>
          <w:numId w:val="0"/>
        </w:numPr>
        <w:ind w:left="720" w:hanging="720"/>
        <w:rPr>
          <w:b w:val="0"/>
          <w:lang w:val="fr-FR"/>
        </w:rPr>
      </w:pPr>
      <w:r w:rsidRPr="00A7320B">
        <w:rPr>
          <w:b w:val="0"/>
          <w:lang w:val="fr-FR"/>
        </w:rPr>
        <w:t xml:space="preserve">                                                   Fait à……………………, le ……………………202</w:t>
      </w:r>
      <w:r w:rsidR="00CD207E" w:rsidRPr="00A7320B">
        <w:rPr>
          <w:b w:val="0"/>
          <w:lang w:val="fr-FR"/>
        </w:rPr>
        <w:t>1</w:t>
      </w:r>
      <w:r w:rsidRPr="00A7320B">
        <w:rPr>
          <w:b w:val="0"/>
          <w:lang w:val="fr-FR"/>
        </w:rPr>
        <w:t>.</w:t>
      </w:r>
    </w:p>
    <w:p w14:paraId="0C04BF29" w14:textId="77777777" w:rsidR="006B66E4" w:rsidRPr="001124FC" w:rsidRDefault="006B66E4" w:rsidP="006B66E4">
      <w:pPr>
        <w:pStyle w:val="S1-Header2"/>
        <w:numPr>
          <w:ilvl w:val="0"/>
          <w:numId w:val="0"/>
        </w:numPr>
        <w:ind w:left="142" w:hanging="11"/>
        <w:rPr>
          <w:b w:val="0"/>
          <w:lang w:val="fr-FR"/>
        </w:rPr>
      </w:pPr>
      <w:r w:rsidRPr="001124FC">
        <w:rPr>
          <w:b w:val="0"/>
          <w:lang w:val="fr-FR"/>
        </w:rPr>
        <w:t>Arrêter le présent devis à la somme de ………………………francs CFA toutes taxes comprises</w:t>
      </w:r>
    </w:p>
    <w:p w14:paraId="2D2635AD" w14:textId="77777777" w:rsidR="006B66E4" w:rsidRPr="001124FC" w:rsidRDefault="006B66E4" w:rsidP="006B66E4">
      <w:pPr>
        <w:spacing w:after="0"/>
        <w:ind w:left="426" w:hanging="426"/>
        <w:jc w:val="left"/>
        <w:rPr>
          <w:b/>
          <w:szCs w:val="24"/>
          <w:lang w:eastAsia="en-US"/>
        </w:rPr>
      </w:pPr>
      <w:r w:rsidRPr="001124FC">
        <w:rPr>
          <w:b/>
          <w:szCs w:val="24"/>
          <w:lang w:eastAsia="en-US"/>
        </w:rPr>
        <w:t xml:space="preserve">                                                   </w:t>
      </w:r>
    </w:p>
    <w:p w14:paraId="2DE60704" w14:textId="77777777" w:rsidR="006B66E4" w:rsidRPr="001124FC" w:rsidRDefault="006B66E4" w:rsidP="006B66E4">
      <w:pPr>
        <w:spacing w:after="0"/>
        <w:ind w:left="426" w:hanging="426"/>
        <w:jc w:val="left"/>
        <w:rPr>
          <w:b/>
          <w:szCs w:val="24"/>
          <w:lang w:eastAsia="en-US"/>
        </w:rPr>
      </w:pPr>
      <w:r w:rsidRPr="001124FC">
        <w:rPr>
          <w:b/>
          <w:szCs w:val="24"/>
          <w:lang w:eastAsia="en-US"/>
        </w:rPr>
        <w:t xml:space="preserve">                                                                                                    Le Soumissionnaire</w:t>
      </w:r>
    </w:p>
    <w:p w14:paraId="5B1D9389" w14:textId="657067F3" w:rsidR="006B66E4" w:rsidRDefault="006B66E4" w:rsidP="00E4353C">
      <w:pPr>
        <w:pStyle w:val="S1-Header2"/>
        <w:numPr>
          <w:ilvl w:val="0"/>
          <w:numId w:val="0"/>
        </w:numPr>
        <w:ind w:left="720" w:hanging="720"/>
        <w:rPr>
          <w:b w:val="0"/>
          <w:color w:val="FF0000"/>
          <w:lang w:val="fr-FR"/>
        </w:rPr>
      </w:pPr>
    </w:p>
    <w:p w14:paraId="3B8F8547" w14:textId="77777777" w:rsidR="006B66E4" w:rsidRPr="001124FC" w:rsidRDefault="006B66E4" w:rsidP="006B66E4">
      <w:pPr>
        <w:jc w:val="center"/>
        <w:rPr>
          <w:b/>
          <w:bCs/>
        </w:rPr>
      </w:pPr>
      <w:r w:rsidRPr="001124FC">
        <w:rPr>
          <w:b/>
          <w:bCs/>
        </w:rPr>
        <w:t>OUVRAGE : DIGUE N°02 MUNI D'UN DEVERSOIR</w:t>
      </w:r>
    </w:p>
    <w:tbl>
      <w:tblPr>
        <w:tblW w:w="5000" w:type="pct"/>
        <w:tblBorders>
          <w:top w:val="double" w:sz="6" w:space="0" w:color="auto"/>
          <w:left w:val="double" w:sz="4" w:space="0" w:color="auto"/>
          <w:bottom w:val="double" w:sz="6" w:space="0" w:color="auto"/>
          <w:right w:val="double" w:sz="6"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0"/>
        <w:gridCol w:w="4868"/>
        <w:gridCol w:w="654"/>
        <w:gridCol w:w="914"/>
        <w:gridCol w:w="909"/>
        <w:gridCol w:w="1104"/>
      </w:tblGrid>
      <w:tr w:rsidR="006B66E4" w:rsidRPr="00C5347D" w14:paraId="538DD2FA" w14:textId="77777777" w:rsidTr="00D77BC6">
        <w:trPr>
          <w:trHeight w:val="276"/>
        </w:trPr>
        <w:tc>
          <w:tcPr>
            <w:tcW w:w="269" w:type="pct"/>
            <w:shd w:val="clear" w:color="000000" w:fill="C0C0C0"/>
            <w:vAlign w:val="center"/>
            <w:hideMark/>
          </w:tcPr>
          <w:p w14:paraId="0BF8CD23" w14:textId="77777777" w:rsidR="006B66E4" w:rsidRPr="00C5347D" w:rsidRDefault="006B66E4" w:rsidP="006B66E4">
            <w:pPr>
              <w:spacing w:after="0"/>
              <w:ind w:left="0" w:firstLine="0"/>
              <w:jc w:val="center"/>
              <w:rPr>
                <w:rFonts w:ascii="Arial Narrow" w:hAnsi="Arial Narrow" w:cs="Arial"/>
                <w:b/>
                <w:bCs/>
                <w:sz w:val="20"/>
              </w:rPr>
            </w:pPr>
            <w:r w:rsidRPr="00C5347D">
              <w:rPr>
                <w:rFonts w:ascii="Arial Narrow" w:hAnsi="Arial Narrow" w:cs="Arial"/>
                <w:b/>
                <w:bCs/>
                <w:sz w:val="20"/>
              </w:rPr>
              <w:t>N°</w:t>
            </w:r>
          </w:p>
        </w:tc>
        <w:tc>
          <w:tcPr>
            <w:tcW w:w="2725" w:type="pct"/>
            <w:shd w:val="clear" w:color="000000" w:fill="C0C0C0"/>
            <w:vAlign w:val="center"/>
            <w:hideMark/>
          </w:tcPr>
          <w:p w14:paraId="62E2711C" w14:textId="77777777" w:rsidR="006B66E4" w:rsidRPr="00C5347D" w:rsidRDefault="006B66E4" w:rsidP="006B66E4">
            <w:pPr>
              <w:spacing w:after="0"/>
              <w:ind w:left="0" w:firstLine="0"/>
              <w:jc w:val="center"/>
              <w:rPr>
                <w:rFonts w:ascii="Arial Narrow" w:hAnsi="Arial Narrow" w:cs="Arial"/>
                <w:b/>
                <w:bCs/>
                <w:sz w:val="20"/>
              </w:rPr>
            </w:pPr>
            <w:r w:rsidRPr="00C5347D">
              <w:rPr>
                <w:rFonts w:ascii="Arial Narrow" w:hAnsi="Arial Narrow" w:cs="Arial"/>
                <w:b/>
                <w:bCs/>
                <w:sz w:val="20"/>
              </w:rPr>
              <w:t>Désignation des travaux</w:t>
            </w:r>
          </w:p>
        </w:tc>
        <w:tc>
          <w:tcPr>
            <w:tcW w:w="366" w:type="pct"/>
            <w:shd w:val="clear" w:color="000000" w:fill="C0C0C0"/>
            <w:vAlign w:val="center"/>
            <w:hideMark/>
          </w:tcPr>
          <w:p w14:paraId="241A1E42" w14:textId="77777777" w:rsidR="006B66E4" w:rsidRPr="00C5347D" w:rsidRDefault="006B66E4" w:rsidP="006B66E4">
            <w:pPr>
              <w:spacing w:after="0"/>
              <w:ind w:left="0" w:firstLine="0"/>
              <w:jc w:val="center"/>
              <w:rPr>
                <w:rFonts w:ascii="Arial Narrow" w:hAnsi="Arial Narrow" w:cs="Arial"/>
                <w:b/>
                <w:bCs/>
                <w:sz w:val="20"/>
              </w:rPr>
            </w:pPr>
            <w:r w:rsidRPr="00C5347D">
              <w:rPr>
                <w:rFonts w:ascii="Arial Narrow" w:hAnsi="Arial Narrow" w:cs="Arial"/>
                <w:b/>
                <w:bCs/>
                <w:sz w:val="20"/>
              </w:rPr>
              <w:t>Unités</w:t>
            </w:r>
          </w:p>
        </w:tc>
        <w:tc>
          <w:tcPr>
            <w:tcW w:w="512" w:type="pct"/>
            <w:shd w:val="clear" w:color="000000" w:fill="C0C0C0"/>
            <w:vAlign w:val="center"/>
            <w:hideMark/>
          </w:tcPr>
          <w:p w14:paraId="190790B6" w14:textId="77777777" w:rsidR="006B66E4" w:rsidRPr="00C5347D" w:rsidRDefault="006B66E4" w:rsidP="006B66E4">
            <w:pPr>
              <w:spacing w:after="0"/>
              <w:ind w:left="0" w:firstLine="0"/>
              <w:jc w:val="center"/>
              <w:rPr>
                <w:rFonts w:ascii="Arial Narrow" w:hAnsi="Arial Narrow" w:cs="Arial"/>
                <w:b/>
                <w:bCs/>
                <w:sz w:val="20"/>
              </w:rPr>
            </w:pPr>
            <w:r w:rsidRPr="00C5347D">
              <w:rPr>
                <w:rFonts w:ascii="Arial Narrow" w:hAnsi="Arial Narrow" w:cs="Arial"/>
                <w:b/>
                <w:bCs/>
                <w:sz w:val="20"/>
              </w:rPr>
              <w:t>Quantités</w:t>
            </w:r>
          </w:p>
        </w:tc>
        <w:tc>
          <w:tcPr>
            <w:tcW w:w="509" w:type="pct"/>
            <w:shd w:val="clear" w:color="000000" w:fill="C0C0C0"/>
          </w:tcPr>
          <w:p w14:paraId="2C8303AE" w14:textId="77777777" w:rsidR="006B66E4" w:rsidRDefault="006B66E4" w:rsidP="006B66E4">
            <w:pPr>
              <w:spacing w:after="0"/>
              <w:ind w:left="0" w:firstLine="0"/>
              <w:jc w:val="center"/>
              <w:rPr>
                <w:rFonts w:ascii="Arial Narrow" w:hAnsi="Arial Narrow" w:cs="Calibri"/>
                <w:b/>
                <w:bCs/>
                <w:sz w:val="22"/>
                <w:szCs w:val="22"/>
              </w:rPr>
            </w:pPr>
            <w:r w:rsidRPr="00C5347D">
              <w:rPr>
                <w:rFonts w:ascii="Arial Narrow" w:hAnsi="Arial Narrow" w:cs="Calibri"/>
                <w:b/>
                <w:bCs/>
                <w:sz w:val="22"/>
                <w:szCs w:val="22"/>
              </w:rPr>
              <w:t>Prix unitaires</w:t>
            </w:r>
          </w:p>
          <w:p w14:paraId="52475B93" w14:textId="3930F2E4" w:rsidR="006B66E4" w:rsidRPr="00C5347D" w:rsidRDefault="006B66E4" w:rsidP="006B66E4">
            <w:pPr>
              <w:spacing w:after="0"/>
              <w:ind w:left="0" w:firstLine="0"/>
              <w:jc w:val="center"/>
              <w:rPr>
                <w:rFonts w:ascii="Arial Narrow" w:hAnsi="Arial Narrow" w:cs="Arial"/>
                <w:b/>
                <w:bCs/>
                <w:sz w:val="20"/>
              </w:rPr>
            </w:pPr>
            <w:r>
              <w:rPr>
                <w:rFonts w:ascii="Arial Narrow" w:hAnsi="Arial Narrow" w:cs="Calibri"/>
                <w:b/>
                <w:bCs/>
                <w:sz w:val="22"/>
                <w:szCs w:val="22"/>
              </w:rPr>
              <w:t>HTVA</w:t>
            </w:r>
          </w:p>
        </w:tc>
        <w:tc>
          <w:tcPr>
            <w:tcW w:w="618" w:type="pct"/>
            <w:shd w:val="clear" w:color="000000" w:fill="C0C0C0"/>
          </w:tcPr>
          <w:p w14:paraId="1690FEDB" w14:textId="0F049B1F" w:rsidR="006B66E4" w:rsidRPr="00C5347D" w:rsidRDefault="006B66E4" w:rsidP="006B66E4">
            <w:pPr>
              <w:spacing w:after="0"/>
              <w:ind w:left="0" w:firstLine="0"/>
              <w:jc w:val="center"/>
              <w:rPr>
                <w:rFonts w:ascii="Arial Narrow" w:hAnsi="Arial Narrow" w:cs="Arial"/>
                <w:b/>
                <w:bCs/>
                <w:sz w:val="20"/>
              </w:rPr>
            </w:pPr>
            <w:r w:rsidRPr="00C5347D">
              <w:rPr>
                <w:rFonts w:ascii="Arial Narrow" w:hAnsi="Arial Narrow" w:cs="Calibri"/>
                <w:b/>
                <w:bCs/>
                <w:sz w:val="22"/>
                <w:szCs w:val="22"/>
              </w:rPr>
              <w:t xml:space="preserve">Montants en FCFA </w:t>
            </w:r>
            <w:r>
              <w:rPr>
                <w:rFonts w:ascii="Arial Narrow" w:hAnsi="Arial Narrow" w:cs="Calibri"/>
                <w:b/>
                <w:bCs/>
                <w:sz w:val="22"/>
                <w:szCs w:val="22"/>
              </w:rPr>
              <w:t>HTVA</w:t>
            </w:r>
          </w:p>
        </w:tc>
      </w:tr>
      <w:tr w:rsidR="006B66E4" w:rsidRPr="00C5347D" w14:paraId="7807B471" w14:textId="77777777" w:rsidTr="00D77BC6">
        <w:trPr>
          <w:trHeight w:val="264"/>
        </w:trPr>
        <w:tc>
          <w:tcPr>
            <w:tcW w:w="269" w:type="pct"/>
            <w:shd w:val="clear" w:color="auto" w:fill="auto"/>
            <w:vAlign w:val="center"/>
            <w:hideMark/>
          </w:tcPr>
          <w:p w14:paraId="02E39C3D"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I</w:t>
            </w:r>
          </w:p>
        </w:tc>
        <w:tc>
          <w:tcPr>
            <w:tcW w:w="2725" w:type="pct"/>
            <w:shd w:val="clear" w:color="auto" w:fill="auto"/>
            <w:vAlign w:val="center"/>
            <w:hideMark/>
          </w:tcPr>
          <w:p w14:paraId="70ED7459" w14:textId="77777777" w:rsidR="006B66E4" w:rsidRPr="00C5347D" w:rsidRDefault="006B66E4" w:rsidP="006B66E4">
            <w:pPr>
              <w:spacing w:after="0"/>
              <w:ind w:left="0" w:firstLine="0"/>
              <w:jc w:val="left"/>
              <w:rPr>
                <w:rFonts w:ascii="Arial Narrow" w:hAnsi="Arial Narrow" w:cs="Arial"/>
                <w:b/>
                <w:bCs/>
                <w:sz w:val="20"/>
              </w:rPr>
            </w:pPr>
            <w:r w:rsidRPr="00C5347D">
              <w:rPr>
                <w:rFonts w:ascii="Arial Narrow" w:hAnsi="Arial Narrow" w:cs="Arial"/>
                <w:b/>
                <w:bCs/>
                <w:sz w:val="20"/>
              </w:rPr>
              <w:t>Série I - TRAVAUX PRELIMINAIRES</w:t>
            </w:r>
          </w:p>
        </w:tc>
        <w:tc>
          <w:tcPr>
            <w:tcW w:w="366" w:type="pct"/>
            <w:shd w:val="clear" w:color="auto" w:fill="auto"/>
            <w:vAlign w:val="center"/>
            <w:hideMark/>
          </w:tcPr>
          <w:p w14:paraId="60957045"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 </w:t>
            </w:r>
          </w:p>
        </w:tc>
        <w:tc>
          <w:tcPr>
            <w:tcW w:w="512" w:type="pct"/>
            <w:shd w:val="clear" w:color="auto" w:fill="auto"/>
            <w:vAlign w:val="center"/>
            <w:hideMark/>
          </w:tcPr>
          <w:p w14:paraId="6000F43C" w14:textId="77777777" w:rsidR="006B66E4" w:rsidRPr="00A7320B" w:rsidRDefault="006B66E4" w:rsidP="006B66E4">
            <w:pPr>
              <w:spacing w:after="0"/>
              <w:ind w:left="0" w:firstLine="0"/>
              <w:jc w:val="center"/>
              <w:rPr>
                <w:rFonts w:ascii="Arial Narrow" w:hAnsi="Arial Narrow" w:cs="Arial"/>
                <w:sz w:val="20"/>
              </w:rPr>
            </w:pPr>
            <w:r w:rsidRPr="00A7320B">
              <w:rPr>
                <w:rFonts w:ascii="Arial Narrow" w:hAnsi="Arial Narrow" w:cs="Arial"/>
                <w:sz w:val="20"/>
              </w:rPr>
              <w:t> </w:t>
            </w:r>
          </w:p>
        </w:tc>
        <w:tc>
          <w:tcPr>
            <w:tcW w:w="509" w:type="pct"/>
          </w:tcPr>
          <w:p w14:paraId="1FA69497" w14:textId="77777777" w:rsidR="006B66E4" w:rsidRPr="00C5347D" w:rsidRDefault="006B66E4" w:rsidP="006B66E4">
            <w:pPr>
              <w:spacing w:after="0"/>
              <w:ind w:left="0" w:firstLine="0"/>
              <w:jc w:val="center"/>
              <w:rPr>
                <w:rFonts w:ascii="Arial Narrow" w:hAnsi="Arial Narrow" w:cs="Arial"/>
                <w:sz w:val="20"/>
              </w:rPr>
            </w:pPr>
          </w:p>
        </w:tc>
        <w:tc>
          <w:tcPr>
            <w:tcW w:w="618" w:type="pct"/>
          </w:tcPr>
          <w:p w14:paraId="549F22D2" w14:textId="77777777" w:rsidR="006B66E4" w:rsidRPr="00C5347D" w:rsidRDefault="006B66E4" w:rsidP="006B66E4">
            <w:pPr>
              <w:spacing w:after="0"/>
              <w:ind w:left="0" w:firstLine="0"/>
              <w:jc w:val="center"/>
              <w:rPr>
                <w:rFonts w:ascii="Arial Narrow" w:hAnsi="Arial Narrow" w:cs="Arial"/>
                <w:sz w:val="20"/>
              </w:rPr>
            </w:pPr>
          </w:p>
        </w:tc>
      </w:tr>
      <w:tr w:rsidR="006B66E4" w:rsidRPr="00C5347D" w14:paraId="3E61B87C" w14:textId="77777777" w:rsidTr="00D77BC6">
        <w:trPr>
          <w:trHeight w:val="583"/>
        </w:trPr>
        <w:tc>
          <w:tcPr>
            <w:tcW w:w="269" w:type="pct"/>
            <w:shd w:val="clear" w:color="auto" w:fill="auto"/>
            <w:vAlign w:val="center"/>
            <w:hideMark/>
          </w:tcPr>
          <w:p w14:paraId="5AA2514E"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1.1</w:t>
            </w:r>
          </w:p>
        </w:tc>
        <w:tc>
          <w:tcPr>
            <w:tcW w:w="2725" w:type="pct"/>
            <w:shd w:val="clear" w:color="auto" w:fill="auto"/>
            <w:vAlign w:val="center"/>
            <w:hideMark/>
          </w:tcPr>
          <w:p w14:paraId="2015F9BA" w14:textId="77777777" w:rsidR="006B66E4" w:rsidRPr="00C5347D" w:rsidRDefault="006B66E4" w:rsidP="006B66E4">
            <w:pPr>
              <w:spacing w:after="0"/>
              <w:ind w:left="0" w:firstLine="0"/>
              <w:jc w:val="left"/>
              <w:rPr>
                <w:rFonts w:ascii="Arial Narrow" w:hAnsi="Arial Narrow" w:cs="Arial"/>
                <w:sz w:val="20"/>
              </w:rPr>
            </w:pPr>
            <w:r w:rsidRPr="00C5347D">
              <w:rPr>
                <w:rFonts w:ascii="Arial Narrow" w:hAnsi="Arial Narrow" w:cs="Arial"/>
                <w:sz w:val="20"/>
              </w:rPr>
              <w:t xml:space="preserve">Préparation du terrain et implantation des ouvrages y compris abattage des arbres et </w:t>
            </w:r>
            <w:proofErr w:type="spellStart"/>
            <w:r w:rsidRPr="00C5347D">
              <w:rPr>
                <w:rFonts w:ascii="Arial Narrow" w:hAnsi="Arial Narrow" w:cs="Arial"/>
                <w:sz w:val="20"/>
              </w:rPr>
              <w:t>debroussayage</w:t>
            </w:r>
            <w:proofErr w:type="spellEnd"/>
            <w:r w:rsidRPr="00C5347D">
              <w:rPr>
                <w:rFonts w:ascii="Arial Narrow" w:hAnsi="Arial Narrow" w:cs="Arial"/>
                <w:sz w:val="20"/>
              </w:rPr>
              <w:t xml:space="preserve"> sur l'emprise des ouvrages et élaboration des plans d'exécutions</w:t>
            </w:r>
          </w:p>
        </w:tc>
        <w:tc>
          <w:tcPr>
            <w:tcW w:w="366" w:type="pct"/>
            <w:shd w:val="clear" w:color="auto" w:fill="auto"/>
            <w:noWrap/>
            <w:vAlign w:val="center"/>
            <w:hideMark/>
          </w:tcPr>
          <w:p w14:paraId="061A06A0" w14:textId="77777777" w:rsidR="006B66E4" w:rsidRPr="00C5347D" w:rsidRDefault="006B66E4" w:rsidP="006B66E4">
            <w:pPr>
              <w:spacing w:after="0"/>
              <w:ind w:left="0" w:firstLine="0"/>
              <w:jc w:val="center"/>
              <w:rPr>
                <w:rFonts w:ascii="Arial Narrow" w:hAnsi="Arial Narrow" w:cs="Arial"/>
                <w:sz w:val="20"/>
              </w:rPr>
            </w:pPr>
            <w:proofErr w:type="spellStart"/>
            <w:r w:rsidRPr="00C5347D">
              <w:rPr>
                <w:rFonts w:ascii="Arial Narrow" w:hAnsi="Arial Narrow" w:cs="Arial"/>
                <w:sz w:val="20"/>
              </w:rPr>
              <w:t>ff</w:t>
            </w:r>
            <w:proofErr w:type="spellEnd"/>
          </w:p>
        </w:tc>
        <w:tc>
          <w:tcPr>
            <w:tcW w:w="512" w:type="pct"/>
            <w:shd w:val="clear" w:color="auto" w:fill="auto"/>
            <w:noWrap/>
            <w:vAlign w:val="center"/>
            <w:hideMark/>
          </w:tcPr>
          <w:p w14:paraId="2F7CE87D" w14:textId="77777777" w:rsidR="006B66E4" w:rsidRPr="00A7320B" w:rsidRDefault="006B66E4" w:rsidP="006B66E4">
            <w:pPr>
              <w:spacing w:after="0"/>
              <w:ind w:left="0" w:firstLine="0"/>
              <w:jc w:val="center"/>
              <w:rPr>
                <w:rFonts w:ascii="Arial Narrow" w:hAnsi="Arial Narrow" w:cs="Arial"/>
                <w:sz w:val="20"/>
              </w:rPr>
            </w:pPr>
            <w:r w:rsidRPr="00A7320B">
              <w:rPr>
                <w:rFonts w:ascii="Arial Narrow" w:hAnsi="Arial Narrow" w:cs="Arial"/>
                <w:sz w:val="20"/>
              </w:rPr>
              <w:t>1,00</w:t>
            </w:r>
          </w:p>
        </w:tc>
        <w:tc>
          <w:tcPr>
            <w:tcW w:w="509" w:type="pct"/>
          </w:tcPr>
          <w:p w14:paraId="65EFDE5F" w14:textId="77777777" w:rsidR="006B66E4" w:rsidRPr="00C5347D" w:rsidRDefault="006B66E4" w:rsidP="006B66E4">
            <w:pPr>
              <w:spacing w:after="0"/>
              <w:ind w:left="0" w:firstLine="0"/>
              <w:jc w:val="center"/>
              <w:rPr>
                <w:rFonts w:ascii="Arial Narrow" w:hAnsi="Arial Narrow" w:cs="Arial"/>
                <w:sz w:val="20"/>
              </w:rPr>
            </w:pPr>
          </w:p>
        </w:tc>
        <w:tc>
          <w:tcPr>
            <w:tcW w:w="618" w:type="pct"/>
          </w:tcPr>
          <w:p w14:paraId="3E32CFFB" w14:textId="77777777" w:rsidR="006B66E4" w:rsidRPr="00C5347D" w:rsidRDefault="006B66E4" w:rsidP="006B66E4">
            <w:pPr>
              <w:spacing w:after="0"/>
              <w:ind w:left="0" w:firstLine="0"/>
              <w:jc w:val="center"/>
              <w:rPr>
                <w:rFonts w:ascii="Arial Narrow" w:hAnsi="Arial Narrow" w:cs="Arial"/>
                <w:sz w:val="20"/>
              </w:rPr>
            </w:pPr>
          </w:p>
        </w:tc>
      </w:tr>
      <w:tr w:rsidR="006B66E4" w:rsidRPr="00C5347D" w14:paraId="2B3C5810" w14:textId="77777777" w:rsidTr="00D77BC6">
        <w:trPr>
          <w:trHeight w:val="309"/>
        </w:trPr>
        <w:tc>
          <w:tcPr>
            <w:tcW w:w="269" w:type="pct"/>
            <w:shd w:val="clear" w:color="auto" w:fill="auto"/>
            <w:vAlign w:val="center"/>
            <w:hideMark/>
          </w:tcPr>
          <w:p w14:paraId="45EF40E4"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1.2</w:t>
            </w:r>
          </w:p>
        </w:tc>
        <w:tc>
          <w:tcPr>
            <w:tcW w:w="2725" w:type="pct"/>
            <w:shd w:val="clear" w:color="auto" w:fill="auto"/>
            <w:vAlign w:val="center"/>
            <w:hideMark/>
          </w:tcPr>
          <w:p w14:paraId="06994E7D" w14:textId="77777777" w:rsidR="006B66E4" w:rsidRPr="00C5347D" w:rsidRDefault="006B66E4" w:rsidP="006B66E4">
            <w:pPr>
              <w:spacing w:after="0"/>
              <w:ind w:left="0" w:firstLine="0"/>
              <w:jc w:val="left"/>
              <w:rPr>
                <w:rFonts w:ascii="Arial Narrow" w:hAnsi="Arial Narrow" w:cs="Arial"/>
                <w:sz w:val="20"/>
              </w:rPr>
            </w:pPr>
            <w:r w:rsidRPr="00C5347D">
              <w:rPr>
                <w:rFonts w:ascii="Arial Narrow" w:hAnsi="Arial Narrow" w:cs="Arial"/>
                <w:sz w:val="20"/>
              </w:rPr>
              <w:t>Décapage de la terre végétale sur l'emprise des ouvrages (20cm)</w:t>
            </w:r>
          </w:p>
        </w:tc>
        <w:tc>
          <w:tcPr>
            <w:tcW w:w="366" w:type="pct"/>
            <w:shd w:val="clear" w:color="auto" w:fill="auto"/>
            <w:vAlign w:val="center"/>
            <w:hideMark/>
          </w:tcPr>
          <w:p w14:paraId="4264B4DA"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m²</w:t>
            </w:r>
          </w:p>
        </w:tc>
        <w:tc>
          <w:tcPr>
            <w:tcW w:w="512" w:type="pct"/>
            <w:shd w:val="clear" w:color="auto" w:fill="auto"/>
            <w:vAlign w:val="center"/>
            <w:hideMark/>
          </w:tcPr>
          <w:p w14:paraId="2C7AE5D0" w14:textId="77777777" w:rsidR="006B66E4" w:rsidRPr="00A7320B" w:rsidRDefault="006B66E4" w:rsidP="006B66E4">
            <w:pPr>
              <w:spacing w:after="0"/>
              <w:ind w:left="0" w:firstLine="0"/>
              <w:jc w:val="center"/>
              <w:rPr>
                <w:rFonts w:ascii="Arial Narrow" w:hAnsi="Arial Narrow" w:cs="Arial"/>
                <w:sz w:val="20"/>
              </w:rPr>
            </w:pPr>
            <w:r w:rsidRPr="00A7320B">
              <w:rPr>
                <w:rFonts w:ascii="Arial Narrow" w:hAnsi="Arial Narrow" w:cs="Arial"/>
                <w:sz w:val="20"/>
              </w:rPr>
              <w:t>48 514,13</w:t>
            </w:r>
          </w:p>
        </w:tc>
        <w:tc>
          <w:tcPr>
            <w:tcW w:w="509" w:type="pct"/>
          </w:tcPr>
          <w:p w14:paraId="01CF3582" w14:textId="77777777" w:rsidR="006B66E4" w:rsidRPr="00C5347D" w:rsidRDefault="006B66E4" w:rsidP="006B66E4">
            <w:pPr>
              <w:spacing w:after="0"/>
              <w:ind w:left="0" w:firstLine="0"/>
              <w:jc w:val="center"/>
              <w:rPr>
                <w:rFonts w:ascii="Arial Narrow" w:hAnsi="Arial Narrow" w:cs="Arial"/>
                <w:sz w:val="20"/>
              </w:rPr>
            </w:pPr>
          </w:p>
        </w:tc>
        <w:tc>
          <w:tcPr>
            <w:tcW w:w="618" w:type="pct"/>
          </w:tcPr>
          <w:p w14:paraId="054460A5" w14:textId="77777777" w:rsidR="006B66E4" w:rsidRPr="00C5347D" w:rsidRDefault="006B66E4" w:rsidP="006B66E4">
            <w:pPr>
              <w:spacing w:after="0"/>
              <w:ind w:left="0" w:firstLine="0"/>
              <w:jc w:val="center"/>
              <w:rPr>
                <w:rFonts w:ascii="Arial Narrow" w:hAnsi="Arial Narrow" w:cs="Arial"/>
                <w:sz w:val="20"/>
              </w:rPr>
            </w:pPr>
          </w:p>
        </w:tc>
      </w:tr>
      <w:tr w:rsidR="006B66E4" w:rsidRPr="00C5347D" w14:paraId="73DB4273" w14:textId="77777777" w:rsidTr="00D77BC6">
        <w:trPr>
          <w:trHeight w:val="264"/>
        </w:trPr>
        <w:tc>
          <w:tcPr>
            <w:tcW w:w="269" w:type="pct"/>
            <w:shd w:val="clear" w:color="auto" w:fill="auto"/>
            <w:vAlign w:val="center"/>
            <w:hideMark/>
          </w:tcPr>
          <w:p w14:paraId="450B182C"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 </w:t>
            </w:r>
          </w:p>
        </w:tc>
        <w:tc>
          <w:tcPr>
            <w:tcW w:w="2725" w:type="pct"/>
            <w:shd w:val="clear" w:color="auto" w:fill="auto"/>
            <w:vAlign w:val="center"/>
            <w:hideMark/>
          </w:tcPr>
          <w:p w14:paraId="55AB2DAE" w14:textId="77777777" w:rsidR="006B66E4" w:rsidRPr="00C5347D" w:rsidRDefault="006B66E4" w:rsidP="006B66E4">
            <w:pPr>
              <w:spacing w:after="0"/>
              <w:ind w:left="0" w:firstLine="0"/>
              <w:jc w:val="right"/>
              <w:rPr>
                <w:rFonts w:ascii="Arial Narrow" w:hAnsi="Arial Narrow" w:cs="Arial"/>
                <w:b/>
                <w:bCs/>
                <w:sz w:val="20"/>
              </w:rPr>
            </w:pPr>
            <w:r w:rsidRPr="00C5347D">
              <w:rPr>
                <w:rFonts w:ascii="Arial Narrow" w:hAnsi="Arial Narrow" w:cs="Arial"/>
                <w:b/>
                <w:bCs/>
                <w:sz w:val="20"/>
              </w:rPr>
              <w:t xml:space="preserve">Total </w:t>
            </w:r>
            <w:proofErr w:type="spellStart"/>
            <w:r w:rsidRPr="00C5347D">
              <w:rPr>
                <w:rFonts w:ascii="Arial Narrow" w:hAnsi="Arial Narrow" w:cs="Arial"/>
                <w:b/>
                <w:bCs/>
                <w:sz w:val="20"/>
              </w:rPr>
              <w:t>Serie</w:t>
            </w:r>
            <w:proofErr w:type="spellEnd"/>
            <w:r w:rsidRPr="00C5347D">
              <w:rPr>
                <w:rFonts w:ascii="Arial Narrow" w:hAnsi="Arial Narrow" w:cs="Arial"/>
                <w:b/>
                <w:bCs/>
                <w:sz w:val="20"/>
              </w:rPr>
              <w:t xml:space="preserve"> 1</w:t>
            </w:r>
          </w:p>
        </w:tc>
        <w:tc>
          <w:tcPr>
            <w:tcW w:w="366" w:type="pct"/>
            <w:shd w:val="clear" w:color="auto" w:fill="auto"/>
            <w:vAlign w:val="center"/>
            <w:hideMark/>
          </w:tcPr>
          <w:p w14:paraId="23045EB4" w14:textId="77777777" w:rsidR="006B66E4" w:rsidRPr="00C5347D" w:rsidRDefault="006B66E4" w:rsidP="006B66E4">
            <w:pPr>
              <w:spacing w:after="0"/>
              <w:ind w:left="0" w:firstLine="0"/>
              <w:jc w:val="center"/>
              <w:rPr>
                <w:rFonts w:ascii="Arial Narrow" w:hAnsi="Arial Narrow" w:cs="Arial"/>
                <w:b/>
                <w:bCs/>
                <w:i/>
                <w:iCs/>
                <w:sz w:val="20"/>
              </w:rPr>
            </w:pPr>
            <w:r w:rsidRPr="00C5347D">
              <w:rPr>
                <w:rFonts w:ascii="Arial Narrow" w:hAnsi="Arial Narrow" w:cs="Arial"/>
                <w:b/>
                <w:bCs/>
                <w:i/>
                <w:iCs/>
                <w:sz w:val="20"/>
              </w:rPr>
              <w:t> </w:t>
            </w:r>
          </w:p>
        </w:tc>
        <w:tc>
          <w:tcPr>
            <w:tcW w:w="512" w:type="pct"/>
            <w:shd w:val="clear" w:color="auto" w:fill="auto"/>
            <w:vAlign w:val="center"/>
            <w:hideMark/>
          </w:tcPr>
          <w:p w14:paraId="79B1E7D8" w14:textId="77777777" w:rsidR="006B66E4" w:rsidRPr="00A7320B" w:rsidRDefault="006B66E4" w:rsidP="006B66E4">
            <w:pPr>
              <w:spacing w:after="0"/>
              <w:ind w:left="0" w:firstLine="0"/>
              <w:jc w:val="center"/>
              <w:rPr>
                <w:rFonts w:ascii="Arial Narrow" w:hAnsi="Arial Narrow" w:cs="Arial"/>
                <w:b/>
                <w:bCs/>
                <w:i/>
                <w:iCs/>
                <w:sz w:val="20"/>
              </w:rPr>
            </w:pPr>
            <w:r w:rsidRPr="00A7320B">
              <w:rPr>
                <w:rFonts w:ascii="Arial Narrow" w:hAnsi="Arial Narrow" w:cs="Arial"/>
                <w:b/>
                <w:bCs/>
                <w:i/>
                <w:iCs/>
                <w:sz w:val="20"/>
              </w:rPr>
              <w:t> </w:t>
            </w:r>
          </w:p>
        </w:tc>
        <w:tc>
          <w:tcPr>
            <w:tcW w:w="509" w:type="pct"/>
          </w:tcPr>
          <w:p w14:paraId="39183C1C" w14:textId="77777777" w:rsidR="006B66E4" w:rsidRPr="00C5347D" w:rsidRDefault="006B66E4" w:rsidP="006B66E4">
            <w:pPr>
              <w:spacing w:after="0"/>
              <w:ind w:left="0" w:firstLine="0"/>
              <w:jc w:val="center"/>
              <w:rPr>
                <w:rFonts w:ascii="Arial Narrow" w:hAnsi="Arial Narrow" w:cs="Arial"/>
                <w:b/>
                <w:bCs/>
                <w:i/>
                <w:iCs/>
                <w:sz w:val="20"/>
              </w:rPr>
            </w:pPr>
          </w:p>
        </w:tc>
        <w:tc>
          <w:tcPr>
            <w:tcW w:w="618" w:type="pct"/>
          </w:tcPr>
          <w:p w14:paraId="71C6D4B6" w14:textId="77777777" w:rsidR="006B66E4" w:rsidRPr="00C5347D" w:rsidRDefault="006B66E4" w:rsidP="006B66E4">
            <w:pPr>
              <w:spacing w:after="0"/>
              <w:ind w:left="0" w:firstLine="0"/>
              <w:jc w:val="center"/>
              <w:rPr>
                <w:rFonts w:ascii="Arial Narrow" w:hAnsi="Arial Narrow" w:cs="Arial"/>
                <w:b/>
                <w:bCs/>
                <w:i/>
                <w:iCs/>
                <w:sz w:val="20"/>
              </w:rPr>
            </w:pPr>
          </w:p>
        </w:tc>
      </w:tr>
      <w:tr w:rsidR="006B66E4" w:rsidRPr="00C5347D" w14:paraId="46FE6A6C" w14:textId="77777777" w:rsidTr="00D77BC6">
        <w:trPr>
          <w:trHeight w:val="264"/>
        </w:trPr>
        <w:tc>
          <w:tcPr>
            <w:tcW w:w="269" w:type="pct"/>
            <w:shd w:val="clear" w:color="auto" w:fill="auto"/>
            <w:vAlign w:val="center"/>
            <w:hideMark/>
          </w:tcPr>
          <w:p w14:paraId="3D912B31"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 </w:t>
            </w:r>
          </w:p>
        </w:tc>
        <w:tc>
          <w:tcPr>
            <w:tcW w:w="2725" w:type="pct"/>
            <w:shd w:val="clear" w:color="auto" w:fill="auto"/>
            <w:vAlign w:val="center"/>
            <w:hideMark/>
          </w:tcPr>
          <w:p w14:paraId="0532C28F" w14:textId="77777777" w:rsidR="006B66E4" w:rsidRPr="00C5347D" w:rsidRDefault="006B66E4" w:rsidP="006B66E4">
            <w:pPr>
              <w:spacing w:after="0"/>
              <w:ind w:left="0" w:firstLine="0"/>
              <w:jc w:val="left"/>
              <w:rPr>
                <w:rFonts w:ascii="Arial Narrow" w:hAnsi="Arial Narrow" w:cs="Arial"/>
                <w:b/>
                <w:bCs/>
                <w:sz w:val="20"/>
              </w:rPr>
            </w:pPr>
            <w:r w:rsidRPr="00C5347D">
              <w:rPr>
                <w:rFonts w:ascii="Arial Narrow" w:hAnsi="Arial Narrow" w:cs="Arial"/>
                <w:b/>
                <w:bCs/>
                <w:sz w:val="20"/>
              </w:rPr>
              <w:t>Série II - DEVERSOIR</w:t>
            </w:r>
          </w:p>
        </w:tc>
        <w:tc>
          <w:tcPr>
            <w:tcW w:w="366" w:type="pct"/>
            <w:shd w:val="clear" w:color="auto" w:fill="auto"/>
            <w:vAlign w:val="center"/>
            <w:hideMark/>
          </w:tcPr>
          <w:p w14:paraId="075E8D91" w14:textId="77777777" w:rsidR="006B66E4" w:rsidRPr="00C5347D" w:rsidRDefault="006B66E4" w:rsidP="006B66E4">
            <w:pPr>
              <w:spacing w:after="0"/>
              <w:ind w:left="0" w:firstLine="0"/>
              <w:jc w:val="center"/>
              <w:rPr>
                <w:rFonts w:ascii="Arial Narrow" w:hAnsi="Arial Narrow" w:cs="Arial"/>
                <w:b/>
                <w:bCs/>
                <w:i/>
                <w:iCs/>
                <w:sz w:val="20"/>
              </w:rPr>
            </w:pPr>
            <w:r w:rsidRPr="00C5347D">
              <w:rPr>
                <w:rFonts w:ascii="Arial Narrow" w:hAnsi="Arial Narrow" w:cs="Arial"/>
                <w:b/>
                <w:bCs/>
                <w:i/>
                <w:iCs/>
                <w:sz w:val="20"/>
              </w:rPr>
              <w:t> </w:t>
            </w:r>
          </w:p>
        </w:tc>
        <w:tc>
          <w:tcPr>
            <w:tcW w:w="512" w:type="pct"/>
            <w:shd w:val="clear" w:color="auto" w:fill="auto"/>
            <w:vAlign w:val="center"/>
            <w:hideMark/>
          </w:tcPr>
          <w:p w14:paraId="5169AE32" w14:textId="77777777" w:rsidR="006B66E4" w:rsidRPr="00A7320B" w:rsidRDefault="006B66E4" w:rsidP="006B66E4">
            <w:pPr>
              <w:spacing w:after="0"/>
              <w:ind w:left="0" w:firstLine="0"/>
              <w:jc w:val="center"/>
              <w:rPr>
                <w:rFonts w:ascii="Arial Narrow" w:hAnsi="Arial Narrow" w:cs="Arial"/>
                <w:b/>
                <w:bCs/>
                <w:i/>
                <w:iCs/>
                <w:sz w:val="20"/>
              </w:rPr>
            </w:pPr>
            <w:r w:rsidRPr="00A7320B">
              <w:rPr>
                <w:rFonts w:ascii="Arial Narrow" w:hAnsi="Arial Narrow" w:cs="Arial"/>
                <w:b/>
                <w:bCs/>
                <w:i/>
                <w:iCs/>
                <w:sz w:val="20"/>
              </w:rPr>
              <w:t> </w:t>
            </w:r>
          </w:p>
        </w:tc>
        <w:tc>
          <w:tcPr>
            <w:tcW w:w="509" w:type="pct"/>
          </w:tcPr>
          <w:p w14:paraId="5E4C88AF" w14:textId="77777777" w:rsidR="006B66E4" w:rsidRPr="00C5347D" w:rsidRDefault="006B66E4" w:rsidP="006B66E4">
            <w:pPr>
              <w:spacing w:after="0"/>
              <w:ind w:left="0" w:firstLine="0"/>
              <w:jc w:val="center"/>
              <w:rPr>
                <w:rFonts w:ascii="Arial Narrow" w:hAnsi="Arial Narrow" w:cs="Arial"/>
                <w:b/>
                <w:bCs/>
                <w:i/>
                <w:iCs/>
                <w:sz w:val="20"/>
              </w:rPr>
            </w:pPr>
          </w:p>
        </w:tc>
        <w:tc>
          <w:tcPr>
            <w:tcW w:w="618" w:type="pct"/>
          </w:tcPr>
          <w:p w14:paraId="39247738" w14:textId="77777777" w:rsidR="006B66E4" w:rsidRPr="00C5347D" w:rsidRDefault="006B66E4" w:rsidP="006B66E4">
            <w:pPr>
              <w:spacing w:after="0"/>
              <w:ind w:left="0" w:firstLine="0"/>
              <w:jc w:val="center"/>
              <w:rPr>
                <w:rFonts w:ascii="Arial Narrow" w:hAnsi="Arial Narrow" w:cs="Arial"/>
                <w:b/>
                <w:bCs/>
                <w:i/>
                <w:iCs/>
                <w:sz w:val="20"/>
              </w:rPr>
            </w:pPr>
          </w:p>
        </w:tc>
      </w:tr>
      <w:tr w:rsidR="006B66E4" w:rsidRPr="00C5347D" w14:paraId="12F1DD9E" w14:textId="77777777" w:rsidTr="00D77BC6">
        <w:trPr>
          <w:trHeight w:val="577"/>
        </w:trPr>
        <w:tc>
          <w:tcPr>
            <w:tcW w:w="269" w:type="pct"/>
            <w:shd w:val="clear" w:color="auto" w:fill="auto"/>
            <w:vAlign w:val="center"/>
            <w:hideMark/>
          </w:tcPr>
          <w:p w14:paraId="29458B3A"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2.1</w:t>
            </w:r>
          </w:p>
        </w:tc>
        <w:tc>
          <w:tcPr>
            <w:tcW w:w="2725" w:type="pct"/>
            <w:shd w:val="clear" w:color="auto" w:fill="auto"/>
            <w:vAlign w:val="center"/>
            <w:hideMark/>
          </w:tcPr>
          <w:p w14:paraId="6BFAE950" w14:textId="77777777" w:rsidR="006B66E4" w:rsidRPr="00C5347D" w:rsidRDefault="006B66E4" w:rsidP="006B66E4">
            <w:pPr>
              <w:spacing w:after="0"/>
              <w:ind w:left="0" w:firstLine="0"/>
              <w:jc w:val="left"/>
              <w:rPr>
                <w:rFonts w:ascii="Arial Narrow" w:hAnsi="Arial Narrow" w:cs="Arial"/>
                <w:sz w:val="20"/>
              </w:rPr>
            </w:pPr>
            <w:r w:rsidRPr="00C5347D">
              <w:rPr>
                <w:rFonts w:ascii="Arial Narrow" w:hAnsi="Arial Narrow" w:cs="Arial"/>
                <w:sz w:val="20"/>
              </w:rPr>
              <w:t>Déblai en terrain ordinaire pour tranchée d'ancrage du mur d'</w:t>
            </w:r>
            <w:proofErr w:type="spellStart"/>
            <w:r w:rsidRPr="00C5347D">
              <w:rPr>
                <w:rFonts w:ascii="Arial Narrow" w:hAnsi="Arial Narrow" w:cs="Arial"/>
                <w:sz w:val="20"/>
              </w:rPr>
              <w:t>étancheité</w:t>
            </w:r>
            <w:proofErr w:type="spellEnd"/>
            <w:r w:rsidRPr="00C5347D">
              <w:rPr>
                <w:rFonts w:ascii="Arial Narrow" w:hAnsi="Arial Narrow" w:cs="Arial"/>
                <w:sz w:val="20"/>
              </w:rPr>
              <w:t xml:space="preserve"> y compris fouilles éventuelles sous eau et blindage des parois</w:t>
            </w:r>
          </w:p>
        </w:tc>
        <w:tc>
          <w:tcPr>
            <w:tcW w:w="366" w:type="pct"/>
            <w:shd w:val="clear" w:color="auto" w:fill="auto"/>
            <w:vAlign w:val="center"/>
            <w:hideMark/>
          </w:tcPr>
          <w:p w14:paraId="13D59993"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m</w:t>
            </w:r>
            <w:r w:rsidRPr="00C5347D">
              <w:rPr>
                <w:rFonts w:ascii="Arial Narrow" w:hAnsi="Arial Narrow" w:cs="Arial"/>
                <w:sz w:val="20"/>
                <w:vertAlign w:val="superscript"/>
              </w:rPr>
              <w:t>3</w:t>
            </w:r>
          </w:p>
        </w:tc>
        <w:tc>
          <w:tcPr>
            <w:tcW w:w="512" w:type="pct"/>
            <w:shd w:val="clear" w:color="auto" w:fill="auto"/>
            <w:vAlign w:val="center"/>
            <w:hideMark/>
          </w:tcPr>
          <w:p w14:paraId="04716B75" w14:textId="77777777" w:rsidR="006B66E4" w:rsidRPr="00A7320B" w:rsidRDefault="006B66E4" w:rsidP="006B66E4">
            <w:pPr>
              <w:spacing w:after="0"/>
              <w:ind w:left="0" w:firstLine="0"/>
              <w:jc w:val="center"/>
              <w:rPr>
                <w:rFonts w:ascii="Arial Narrow" w:hAnsi="Arial Narrow" w:cs="Arial"/>
                <w:sz w:val="20"/>
              </w:rPr>
            </w:pPr>
            <w:r w:rsidRPr="00A7320B">
              <w:rPr>
                <w:rFonts w:ascii="Arial Narrow" w:hAnsi="Arial Narrow" w:cs="Arial"/>
                <w:sz w:val="20"/>
              </w:rPr>
              <w:t>178,20</w:t>
            </w:r>
          </w:p>
        </w:tc>
        <w:tc>
          <w:tcPr>
            <w:tcW w:w="509" w:type="pct"/>
          </w:tcPr>
          <w:p w14:paraId="0E340CD2" w14:textId="77777777" w:rsidR="006B66E4" w:rsidRPr="00C5347D" w:rsidRDefault="006B66E4" w:rsidP="006B66E4">
            <w:pPr>
              <w:spacing w:after="0"/>
              <w:ind w:left="0" w:firstLine="0"/>
              <w:jc w:val="center"/>
              <w:rPr>
                <w:rFonts w:ascii="Arial Narrow" w:hAnsi="Arial Narrow" w:cs="Arial"/>
                <w:sz w:val="20"/>
              </w:rPr>
            </w:pPr>
          </w:p>
        </w:tc>
        <w:tc>
          <w:tcPr>
            <w:tcW w:w="618" w:type="pct"/>
          </w:tcPr>
          <w:p w14:paraId="7DDC994B" w14:textId="77777777" w:rsidR="006B66E4" w:rsidRPr="00C5347D" w:rsidRDefault="006B66E4" w:rsidP="006B66E4">
            <w:pPr>
              <w:spacing w:after="0"/>
              <w:ind w:left="0" w:firstLine="0"/>
              <w:jc w:val="center"/>
              <w:rPr>
                <w:rFonts w:ascii="Arial Narrow" w:hAnsi="Arial Narrow" w:cs="Arial"/>
                <w:sz w:val="20"/>
              </w:rPr>
            </w:pPr>
          </w:p>
        </w:tc>
      </w:tr>
      <w:tr w:rsidR="006B66E4" w:rsidRPr="00C5347D" w14:paraId="5C579361" w14:textId="77777777" w:rsidTr="00D77BC6">
        <w:trPr>
          <w:trHeight w:val="312"/>
        </w:trPr>
        <w:tc>
          <w:tcPr>
            <w:tcW w:w="269" w:type="pct"/>
            <w:shd w:val="clear" w:color="auto" w:fill="auto"/>
            <w:vAlign w:val="center"/>
            <w:hideMark/>
          </w:tcPr>
          <w:p w14:paraId="63CFA42E"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2.2</w:t>
            </w:r>
          </w:p>
        </w:tc>
        <w:tc>
          <w:tcPr>
            <w:tcW w:w="2725" w:type="pct"/>
            <w:shd w:val="clear" w:color="auto" w:fill="auto"/>
            <w:vAlign w:val="center"/>
            <w:hideMark/>
          </w:tcPr>
          <w:p w14:paraId="2FDA51E0" w14:textId="77777777" w:rsidR="006B66E4" w:rsidRPr="00C5347D" w:rsidRDefault="006B66E4" w:rsidP="006B66E4">
            <w:pPr>
              <w:spacing w:after="0"/>
              <w:ind w:left="0" w:firstLine="0"/>
              <w:jc w:val="left"/>
              <w:rPr>
                <w:rFonts w:ascii="Arial Narrow" w:hAnsi="Arial Narrow" w:cs="Arial"/>
                <w:sz w:val="20"/>
              </w:rPr>
            </w:pPr>
            <w:r w:rsidRPr="00C5347D">
              <w:rPr>
                <w:rFonts w:ascii="Arial Narrow" w:hAnsi="Arial Narrow" w:cs="Arial"/>
                <w:sz w:val="20"/>
              </w:rPr>
              <w:t xml:space="preserve">Déblai en terrain ordinaire pour fondation du contrefort </w:t>
            </w:r>
          </w:p>
        </w:tc>
        <w:tc>
          <w:tcPr>
            <w:tcW w:w="366" w:type="pct"/>
            <w:shd w:val="clear" w:color="auto" w:fill="auto"/>
            <w:vAlign w:val="center"/>
            <w:hideMark/>
          </w:tcPr>
          <w:p w14:paraId="6583DE0E"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m</w:t>
            </w:r>
            <w:r w:rsidRPr="00C5347D">
              <w:rPr>
                <w:rFonts w:ascii="Arial Narrow" w:hAnsi="Arial Narrow" w:cs="Arial"/>
                <w:sz w:val="20"/>
                <w:vertAlign w:val="superscript"/>
              </w:rPr>
              <w:t>3</w:t>
            </w:r>
          </w:p>
        </w:tc>
        <w:tc>
          <w:tcPr>
            <w:tcW w:w="512" w:type="pct"/>
            <w:shd w:val="clear" w:color="auto" w:fill="auto"/>
            <w:vAlign w:val="center"/>
            <w:hideMark/>
          </w:tcPr>
          <w:p w14:paraId="0EEABD91" w14:textId="77777777" w:rsidR="006B66E4" w:rsidRPr="00A7320B" w:rsidRDefault="006B66E4" w:rsidP="006B66E4">
            <w:pPr>
              <w:spacing w:after="0"/>
              <w:ind w:left="0" w:firstLine="0"/>
              <w:jc w:val="center"/>
              <w:rPr>
                <w:rFonts w:ascii="Arial Narrow" w:hAnsi="Arial Narrow" w:cs="Arial"/>
                <w:sz w:val="20"/>
              </w:rPr>
            </w:pPr>
            <w:r w:rsidRPr="00A7320B">
              <w:rPr>
                <w:rFonts w:ascii="Arial Narrow" w:hAnsi="Arial Narrow" w:cs="Arial"/>
                <w:sz w:val="20"/>
              </w:rPr>
              <w:t>123,50</w:t>
            </w:r>
          </w:p>
        </w:tc>
        <w:tc>
          <w:tcPr>
            <w:tcW w:w="509" w:type="pct"/>
          </w:tcPr>
          <w:p w14:paraId="5E772E87" w14:textId="77777777" w:rsidR="006B66E4" w:rsidRPr="00C5347D" w:rsidRDefault="006B66E4" w:rsidP="006B66E4">
            <w:pPr>
              <w:spacing w:after="0"/>
              <w:ind w:left="0" w:firstLine="0"/>
              <w:jc w:val="center"/>
              <w:rPr>
                <w:rFonts w:ascii="Arial Narrow" w:hAnsi="Arial Narrow" w:cs="Arial"/>
                <w:sz w:val="20"/>
              </w:rPr>
            </w:pPr>
          </w:p>
        </w:tc>
        <w:tc>
          <w:tcPr>
            <w:tcW w:w="618" w:type="pct"/>
          </w:tcPr>
          <w:p w14:paraId="1D40DC7E" w14:textId="77777777" w:rsidR="006B66E4" w:rsidRPr="00C5347D" w:rsidRDefault="006B66E4" w:rsidP="006B66E4">
            <w:pPr>
              <w:spacing w:after="0"/>
              <w:ind w:left="0" w:firstLine="0"/>
              <w:jc w:val="center"/>
              <w:rPr>
                <w:rFonts w:ascii="Arial Narrow" w:hAnsi="Arial Narrow" w:cs="Arial"/>
                <w:sz w:val="20"/>
              </w:rPr>
            </w:pPr>
          </w:p>
        </w:tc>
      </w:tr>
      <w:tr w:rsidR="006B66E4" w:rsidRPr="00C5347D" w14:paraId="42D1FF0C" w14:textId="77777777" w:rsidTr="00D77BC6">
        <w:trPr>
          <w:trHeight w:val="265"/>
        </w:trPr>
        <w:tc>
          <w:tcPr>
            <w:tcW w:w="269" w:type="pct"/>
            <w:shd w:val="clear" w:color="auto" w:fill="auto"/>
            <w:vAlign w:val="center"/>
            <w:hideMark/>
          </w:tcPr>
          <w:p w14:paraId="26BDE6A0"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2.3</w:t>
            </w:r>
          </w:p>
        </w:tc>
        <w:tc>
          <w:tcPr>
            <w:tcW w:w="2725" w:type="pct"/>
            <w:shd w:val="clear" w:color="auto" w:fill="auto"/>
            <w:vAlign w:val="center"/>
            <w:hideMark/>
          </w:tcPr>
          <w:p w14:paraId="5E4561AA" w14:textId="77777777" w:rsidR="006B66E4" w:rsidRPr="00C5347D" w:rsidRDefault="006B66E4" w:rsidP="006B66E4">
            <w:pPr>
              <w:spacing w:after="0"/>
              <w:ind w:left="0" w:firstLine="0"/>
              <w:jc w:val="left"/>
              <w:rPr>
                <w:rFonts w:ascii="Arial Narrow" w:hAnsi="Arial Narrow" w:cs="Arial"/>
                <w:sz w:val="20"/>
              </w:rPr>
            </w:pPr>
            <w:r w:rsidRPr="00C5347D">
              <w:rPr>
                <w:rFonts w:ascii="Arial Narrow" w:hAnsi="Arial Narrow" w:cs="Arial"/>
                <w:sz w:val="20"/>
              </w:rPr>
              <w:t>Béton de propreté dosé à 150kg/m</w:t>
            </w:r>
            <w:r w:rsidRPr="00C5347D">
              <w:rPr>
                <w:rFonts w:ascii="Arial Narrow" w:hAnsi="Arial Narrow" w:cs="Arial"/>
                <w:sz w:val="20"/>
                <w:vertAlign w:val="superscript"/>
              </w:rPr>
              <w:t>3</w:t>
            </w:r>
            <w:r w:rsidRPr="00C5347D">
              <w:rPr>
                <w:rFonts w:ascii="Arial Narrow" w:hAnsi="Arial Narrow" w:cs="Arial"/>
                <w:sz w:val="20"/>
              </w:rPr>
              <w:t xml:space="preserve"> e=10cm pour mur d'</w:t>
            </w:r>
            <w:proofErr w:type="spellStart"/>
            <w:r w:rsidRPr="00C5347D">
              <w:rPr>
                <w:rFonts w:ascii="Arial Narrow" w:hAnsi="Arial Narrow" w:cs="Arial"/>
                <w:sz w:val="20"/>
              </w:rPr>
              <w:t>étancheité</w:t>
            </w:r>
            <w:proofErr w:type="spellEnd"/>
            <w:r w:rsidRPr="00C5347D">
              <w:rPr>
                <w:rFonts w:ascii="Arial Narrow" w:hAnsi="Arial Narrow" w:cs="Arial"/>
                <w:sz w:val="20"/>
              </w:rPr>
              <w:t xml:space="preserve"> et contrefort </w:t>
            </w:r>
          </w:p>
        </w:tc>
        <w:tc>
          <w:tcPr>
            <w:tcW w:w="366" w:type="pct"/>
            <w:shd w:val="clear" w:color="auto" w:fill="auto"/>
            <w:vAlign w:val="center"/>
            <w:hideMark/>
          </w:tcPr>
          <w:p w14:paraId="26C092EC"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m</w:t>
            </w:r>
            <w:r w:rsidRPr="00C5347D">
              <w:rPr>
                <w:rFonts w:ascii="Arial Narrow" w:hAnsi="Arial Narrow" w:cs="Arial"/>
                <w:sz w:val="20"/>
                <w:vertAlign w:val="superscript"/>
              </w:rPr>
              <w:t>3</w:t>
            </w:r>
          </w:p>
        </w:tc>
        <w:tc>
          <w:tcPr>
            <w:tcW w:w="512" w:type="pct"/>
            <w:shd w:val="clear" w:color="auto" w:fill="auto"/>
            <w:vAlign w:val="center"/>
            <w:hideMark/>
          </w:tcPr>
          <w:p w14:paraId="44D12B3F" w14:textId="77777777" w:rsidR="006B66E4" w:rsidRPr="00A7320B" w:rsidRDefault="006B66E4" w:rsidP="006B66E4">
            <w:pPr>
              <w:spacing w:after="0"/>
              <w:ind w:left="0" w:firstLine="0"/>
              <w:jc w:val="center"/>
              <w:rPr>
                <w:rFonts w:ascii="Arial Narrow" w:hAnsi="Arial Narrow" w:cs="Arial"/>
                <w:sz w:val="20"/>
              </w:rPr>
            </w:pPr>
            <w:r w:rsidRPr="00A7320B">
              <w:rPr>
                <w:rFonts w:ascii="Arial Narrow" w:hAnsi="Arial Narrow" w:cs="Arial"/>
                <w:sz w:val="20"/>
              </w:rPr>
              <w:t>32,50</w:t>
            </w:r>
          </w:p>
        </w:tc>
        <w:tc>
          <w:tcPr>
            <w:tcW w:w="509" w:type="pct"/>
          </w:tcPr>
          <w:p w14:paraId="2774DC9D" w14:textId="77777777" w:rsidR="006B66E4" w:rsidRPr="00C5347D" w:rsidRDefault="006B66E4" w:rsidP="006B66E4">
            <w:pPr>
              <w:spacing w:after="0"/>
              <w:ind w:left="0" w:firstLine="0"/>
              <w:jc w:val="center"/>
              <w:rPr>
                <w:rFonts w:ascii="Arial Narrow" w:hAnsi="Arial Narrow" w:cs="Arial"/>
                <w:sz w:val="20"/>
              </w:rPr>
            </w:pPr>
          </w:p>
        </w:tc>
        <w:tc>
          <w:tcPr>
            <w:tcW w:w="618" w:type="pct"/>
          </w:tcPr>
          <w:p w14:paraId="49404CE0" w14:textId="77777777" w:rsidR="006B66E4" w:rsidRPr="00C5347D" w:rsidRDefault="006B66E4" w:rsidP="006B66E4">
            <w:pPr>
              <w:spacing w:after="0"/>
              <w:ind w:left="0" w:firstLine="0"/>
              <w:jc w:val="center"/>
              <w:rPr>
                <w:rFonts w:ascii="Arial Narrow" w:hAnsi="Arial Narrow" w:cs="Arial"/>
                <w:sz w:val="20"/>
              </w:rPr>
            </w:pPr>
          </w:p>
        </w:tc>
      </w:tr>
      <w:tr w:rsidR="006B66E4" w:rsidRPr="00C5347D" w14:paraId="1A381D4E" w14:textId="77777777" w:rsidTr="00D77BC6">
        <w:trPr>
          <w:trHeight w:val="499"/>
        </w:trPr>
        <w:tc>
          <w:tcPr>
            <w:tcW w:w="269" w:type="pct"/>
            <w:shd w:val="clear" w:color="auto" w:fill="auto"/>
            <w:vAlign w:val="center"/>
            <w:hideMark/>
          </w:tcPr>
          <w:p w14:paraId="0D3248C1"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2.4</w:t>
            </w:r>
          </w:p>
        </w:tc>
        <w:tc>
          <w:tcPr>
            <w:tcW w:w="2725" w:type="pct"/>
            <w:shd w:val="clear" w:color="auto" w:fill="auto"/>
            <w:vAlign w:val="center"/>
            <w:hideMark/>
          </w:tcPr>
          <w:p w14:paraId="5D1DBBF9" w14:textId="77777777" w:rsidR="006B66E4" w:rsidRPr="00C5347D" w:rsidRDefault="006B66E4" w:rsidP="006B66E4">
            <w:pPr>
              <w:spacing w:after="0"/>
              <w:ind w:left="0" w:firstLine="0"/>
              <w:jc w:val="left"/>
              <w:rPr>
                <w:rFonts w:ascii="Arial Narrow" w:hAnsi="Arial Narrow" w:cs="Arial"/>
                <w:sz w:val="20"/>
              </w:rPr>
            </w:pPr>
            <w:r w:rsidRPr="00C5347D">
              <w:rPr>
                <w:rFonts w:ascii="Arial Narrow" w:hAnsi="Arial Narrow" w:cs="Arial"/>
                <w:sz w:val="20"/>
              </w:rPr>
              <w:t>Blocage de la fouille en béton cyclopéen dosé à 350 kg/m</w:t>
            </w:r>
            <w:r w:rsidRPr="00C5347D">
              <w:rPr>
                <w:rFonts w:ascii="Arial Narrow" w:hAnsi="Arial Narrow" w:cs="Arial"/>
                <w:sz w:val="20"/>
                <w:vertAlign w:val="superscript"/>
              </w:rPr>
              <w:t>3</w:t>
            </w:r>
            <w:r w:rsidRPr="00C5347D">
              <w:rPr>
                <w:rFonts w:ascii="Arial Narrow" w:hAnsi="Arial Narrow" w:cs="Arial"/>
                <w:sz w:val="20"/>
              </w:rPr>
              <w:t xml:space="preserve"> sur le long du mur d'</w:t>
            </w:r>
            <w:proofErr w:type="spellStart"/>
            <w:r w:rsidRPr="00C5347D">
              <w:rPr>
                <w:rFonts w:ascii="Arial Narrow" w:hAnsi="Arial Narrow" w:cs="Arial"/>
                <w:sz w:val="20"/>
              </w:rPr>
              <w:t>étancheité</w:t>
            </w:r>
            <w:proofErr w:type="spellEnd"/>
            <w:r w:rsidRPr="00C5347D">
              <w:rPr>
                <w:rFonts w:ascii="Arial Narrow" w:hAnsi="Arial Narrow" w:cs="Arial"/>
                <w:sz w:val="20"/>
              </w:rPr>
              <w:t xml:space="preserve"> et contrefort avec ajout du </w:t>
            </w:r>
            <w:proofErr w:type="spellStart"/>
            <w:r w:rsidRPr="00C5347D">
              <w:rPr>
                <w:rFonts w:ascii="Arial Narrow" w:hAnsi="Arial Narrow" w:cs="Arial"/>
                <w:sz w:val="20"/>
              </w:rPr>
              <w:t>sikhalite</w:t>
            </w:r>
            <w:proofErr w:type="spellEnd"/>
          </w:p>
        </w:tc>
        <w:tc>
          <w:tcPr>
            <w:tcW w:w="366" w:type="pct"/>
            <w:shd w:val="clear" w:color="auto" w:fill="auto"/>
            <w:vAlign w:val="center"/>
            <w:hideMark/>
          </w:tcPr>
          <w:p w14:paraId="58C13192"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m</w:t>
            </w:r>
            <w:r w:rsidRPr="00C5347D">
              <w:rPr>
                <w:rFonts w:ascii="Arial Narrow" w:hAnsi="Arial Narrow" w:cs="Arial"/>
                <w:sz w:val="20"/>
                <w:vertAlign w:val="superscript"/>
              </w:rPr>
              <w:t>3</w:t>
            </w:r>
          </w:p>
        </w:tc>
        <w:tc>
          <w:tcPr>
            <w:tcW w:w="512" w:type="pct"/>
            <w:shd w:val="clear" w:color="auto" w:fill="auto"/>
            <w:vAlign w:val="center"/>
            <w:hideMark/>
          </w:tcPr>
          <w:p w14:paraId="0697A062" w14:textId="77777777" w:rsidR="006B66E4" w:rsidRPr="00A7320B" w:rsidRDefault="006B66E4" w:rsidP="006B66E4">
            <w:pPr>
              <w:spacing w:after="0"/>
              <w:ind w:left="0" w:firstLine="0"/>
              <w:jc w:val="center"/>
              <w:rPr>
                <w:rFonts w:ascii="Arial Narrow" w:hAnsi="Arial Narrow" w:cs="Arial"/>
                <w:sz w:val="20"/>
              </w:rPr>
            </w:pPr>
            <w:r w:rsidRPr="00A7320B">
              <w:rPr>
                <w:rFonts w:ascii="Arial Narrow" w:hAnsi="Arial Narrow" w:cs="Arial"/>
                <w:sz w:val="20"/>
              </w:rPr>
              <w:t>269,20</w:t>
            </w:r>
          </w:p>
        </w:tc>
        <w:tc>
          <w:tcPr>
            <w:tcW w:w="509" w:type="pct"/>
          </w:tcPr>
          <w:p w14:paraId="01F08A20" w14:textId="77777777" w:rsidR="006B66E4" w:rsidRPr="00C5347D" w:rsidRDefault="006B66E4" w:rsidP="006B66E4">
            <w:pPr>
              <w:spacing w:after="0"/>
              <w:ind w:left="0" w:firstLine="0"/>
              <w:jc w:val="center"/>
              <w:rPr>
                <w:rFonts w:ascii="Arial Narrow" w:hAnsi="Arial Narrow" w:cs="Arial"/>
                <w:sz w:val="20"/>
              </w:rPr>
            </w:pPr>
          </w:p>
        </w:tc>
        <w:tc>
          <w:tcPr>
            <w:tcW w:w="618" w:type="pct"/>
          </w:tcPr>
          <w:p w14:paraId="03EF9BC9" w14:textId="77777777" w:rsidR="006B66E4" w:rsidRPr="00C5347D" w:rsidRDefault="006B66E4" w:rsidP="006B66E4">
            <w:pPr>
              <w:spacing w:after="0"/>
              <w:ind w:left="0" w:firstLine="0"/>
              <w:jc w:val="center"/>
              <w:rPr>
                <w:rFonts w:ascii="Arial Narrow" w:hAnsi="Arial Narrow" w:cs="Arial"/>
                <w:sz w:val="20"/>
              </w:rPr>
            </w:pPr>
          </w:p>
        </w:tc>
      </w:tr>
      <w:tr w:rsidR="006B66E4" w:rsidRPr="00C5347D" w14:paraId="7B712CF1" w14:textId="77777777" w:rsidTr="00D77BC6">
        <w:trPr>
          <w:trHeight w:val="278"/>
        </w:trPr>
        <w:tc>
          <w:tcPr>
            <w:tcW w:w="269" w:type="pct"/>
            <w:shd w:val="clear" w:color="auto" w:fill="auto"/>
            <w:vAlign w:val="center"/>
            <w:hideMark/>
          </w:tcPr>
          <w:p w14:paraId="75C8F50B"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2.5</w:t>
            </w:r>
          </w:p>
        </w:tc>
        <w:tc>
          <w:tcPr>
            <w:tcW w:w="2725" w:type="pct"/>
            <w:shd w:val="clear" w:color="auto" w:fill="auto"/>
            <w:vAlign w:val="center"/>
            <w:hideMark/>
          </w:tcPr>
          <w:p w14:paraId="396D8F09" w14:textId="77777777" w:rsidR="006B66E4" w:rsidRPr="00C5347D" w:rsidRDefault="006B66E4" w:rsidP="006B66E4">
            <w:pPr>
              <w:spacing w:after="0"/>
              <w:ind w:left="0" w:firstLine="0"/>
              <w:jc w:val="left"/>
              <w:rPr>
                <w:rFonts w:ascii="Arial Narrow" w:hAnsi="Arial Narrow" w:cs="Arial"/>
                <w:sz w:val="20"/>
              </w:rPr>
            </w:pPr>
            <w:r w:rsidRPr="00C5347D">
              <w:rPr>
                <w:rFonts w:ascii="Arial Narrow" w:hAnsi="Arial Narrow" w:cs="Arial"/>
                <w:sz w:val="20"/>
              </w:rPr>
              <w:t>Béton cyclopéen en élévation dosé à 350kg/m</w:t>
            </w:r>
            <w:r w:rsidRPr="00C5347D">
              <w:rPr>
                <w:rFonts w:ascii="Arial Narrow" w:hAnsi="Arial Narrow" w:cs="Arial"/>
                <w:sz w:val="20"/>
                <w:vertAlign w:val="superscript"/>
              </w:rPr>
              <w:t xml:space="preserve">3 </w:t>
            </w:r>
            <w:r w:rsidRPr="00C5347D">
              <w:rPr>
                <w:rFonts w:ascii="Arial Narrow" w:hAnsi="Arial Narrow" w:cs="Arial"/>
                <w:sz w:val="20"/>
              </w:rPr>
              <w:t>pour mur d'</w:t>
            </w:r>
            <w:proofErr w:type="spellStart"/>
            <w:r w:rsidRPr="00C5347D">
              <w:rPr>
                <w:rFonts w:ascii="Arial Narrow" w:hAnsi="Arial Narrow" w:cs="Arial"/>
                <w:sz w:val="20"/>
              </w:rPr>
              <w:t>étancheité</w:t>
            </w:r>
            <w:proofErr w:type="spellEnd"/>
            <w:r w:rsidRPr="00C5347D">
              <w:rPr>
                <w:rFonts w:ascii="Arial Narrow" w:hAnsi="Arial Narrow" w:cs="Arial"/>
                <w:sz w:val="20"/>
              </w:rPr>
              <w:t xml:space="preserve"> avec ajout du </w:t>
            </w:r>
            <w:proofErr w:type="spellStart"/>
            <w:r w:rsidRPr="00C5347D">
              <w:rPr>
                <w:rFonts w:ascii="Arial Narrow" w:hAnsi="Arial Narrow" w:cs="Arial"/>
                <w:sz w:val="20"/>
              </w:rPr>
              <w:t>sikhalite</w:t>
            </w:r>
            <w:proofErr w:type="spellEnd"/>
          </w:p>
        </w:tc>
        <w:tc>
          <w:tcPr>
            <w:tcW w:w="366" w:type="pct"/>
            <w:shd w:val="clear" w:color="auto" w:fill="auto"/>
            <w:vAlign w:val="center"/>
            <w:hideMark/>
          </w:tcPr>
          <w:p w14:paraId="3B151B05"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m</w:t>
            </w:r>
            <w:r w:rsidRPr="00C5347D">
              <w:rPr>
                <w:rFonts w:ascii="Arial Narrow" w:hAnsi="Arial Narrow" w:cs="Arial"/>
                <w:sz w:val="20"/>
                <w:vertAlign w:val="superscript"/>
              </w:rPr>
              <w:t>3</w:t>
            </w:r>
          </w:p>
        </w:tc>
        <w:tc>
          <w:tcPr>
            <w:tcW w:w="512" w:type="pct"/>
            <w:shd w:val="clear" w:color="auto" w:fill="auto"/>
            <w:vAlign w:val="center"/>
            <w:hideMark/>
          </w:tcPr>
          <w:p w14:paraId="33BA64FC" w14:textId="77777777" w:rsidR="006B66E4" w:rsidRPr="00A7320B" w:rsidRDefault="006B66E4" w:rsidP="006B66E4">
            <w:pPr>
              <w:spacing w:after="0"/>
              <w:ind w:left="0" w:firstLine="0"/>
              <w:jc w:val="center"/>
              <w:rPr>
                <w:rFonts w:ascii="Arial Narrow" w:hAnsi="Arial Narrow" w:cs="Arial"/>
                <w:sz w:val="20"/>
              </w:rPr>
            </w:pPr>
            <w:r w:rsidRPr="00A7320B">
              <w:rPr>
                <w:rFonts w:ascii="Arial Narrow" w:hAnsi="Arial Narrow" w:cs="Arial"/>
                <w:sz w:val="20"/>
              </w:rPr>
              <w:t>67,50</w:t>
            </w:r>
          </w:p>
        </w:tc>
        <w:tc>
          <w:tcPr>
            <w:tcW w:w="509" w:type="pct"/>
          </w:tcPr>
          <w:p w14:paraId="10C0ED0B" w14:textId="77777777" w:rsidR="006B66E4" w:rsidRPr="00C5347D" w:rsidRDefault="006B66E4" w:rsidP="006B66E4">
            <w:pPr>
              <w:spacing w:after="0"/>
              <w:ind w:left="0" w:firstLine="0"/>
              <w:jc w:val="center"/>
              <w:rPr>
                <w:rFonts w:ascii="Arial Narrow" w:hAnsi="Arial Narrow" w:cs="Arial"/>
                <w:sz w:val="20"/>
              </w:rPr>
            </w:pPr>
          </w:p>
        </w:tc>
        <w:tc>
          <w:tcPr>
            <w:tcW w:w="618" w:type="pct"/>
          </w:tcPr>
          <w:p w14:paraId="54527C23" w14:textId="77777777" w:rsidR="006B66E4" w:rsidRPr="00C5347D" w:rsidRDefault="006B66E4" w:rsidP="006B66E4">
            <w:pPr>
              <w:spacing w:after="0"/>
              <w:ind w:left="0" w:firstLine="0"/>
              <w:jc w:val="center"/>
              <w:rPr>
                <w:rFonts w:ascii="Arial Narrow" w:hAnsi="Arial Narrow" w:cs="Arial"/>
                <w:sz w:val="20"/>
              </w:rPr>
            </w:pPr>
          </w:p>
        </w:tc>
      </w:tr>
      <w:tr w:rsidR="006B66E4" w:rsidRPr="00C5347D" w14:paraId="51282C41" w14:textId="77777777" w:rsidTr="00D77BC6">
        <w:trPr>
          <w:trHeight w:val="229"/>
        </w:trPr>
        <w:tc>
          <w:tcPr>
            <w:tcW w:w="269" w:type="pct"/>
            <w:shd w:val="clear" w:color="auto" w:fill="auto"/>
            <w:vAlign w:val="center"/>
            <w:hideMark/>
          </w:tcPr>
          <w:p w14:paraId="3FD61EC6"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2.6</w:t>
            </w:r>
          </w:p>
        </w:tc>
        <w:tc>
          <w:tcPr>
            <w:tcW w:w="2725" w:type="pct"/>
            <w:shd w:val="clear" w:color="auto" w:fill="auto"/>
            <w:vAlign w:val="center"/>
            <w:hideMark/>
          </w:tcPr>
          <w:p w14:paraId="14676A46" w14:textId="77777777" w:rsidR="006B66E4" w:rsidRPr="00C5347D" w:rsidRDefault="006B66E4" w:rsidP="006B66E4">
            <w:pPr>
              <w:spacing w:after="0"/>
              <w:ind w:left="0" w:firstLine="0"/>
              <w:jc w:val="left"/>
              <w:rPr>
                <w:rFonts w:ascii="Arial Narrow" w:hAnsi="Arial Narrow" w:cs="Arial"/>
                <w:sz w:val="20"/>
              </w:rPr>
            </w:pPr>
            <w:r w:rsidRPr="00C5347D">
              <w:rPr>
                <w:rFonts w:ascii="Arial Narrow" w:hAnsi="Arial Narrow" w:cs="Arial"/>
                <w:sz w:val="20"/>
              </w:rPr>
              <w:t>Béton cyclopéen pour contrefort dosé à 350kg/m</w:t>
            </w:r>
            <w:r w:rsidRPr="00C5347D">
              <w:rPr>
                <w:rFonts w:ascii="Arial Narrow" w:hAnsi="Arial Narrow" w:cs="Arial"/>
                <w:sz w:val="20"/>
                <w:vertAlign w:val="superscript"/>
              </w:rPr>
              <w:t>3</w:t>
            </w:r>
            <w:r w:rsidRPr="00C5347D">
              <w:rPr>
                <w:rFonts w:ascii="Arial Narrow" w:hAnsi="Arial Narrow" w:cs="Arial"/>
                <w:sz w:val="20"/>
              </w:rPr>
              <w:t xml:space="preserve"> avec ajout du </w:t>
            </w:r>
            <w:proofErr w:type="spellStart"/>
            <w:r w:rsidRPr="00C5347D">
              <w:rPr>
                <w:rFonts w:ascii="Arial Narrow" w:hAnsi="Arial Narrow" w:cs="Arial"/>
                <w:sz w:val="20"/>
              </w:rPr>
              <w:t>sikhalite</w:t>
            </w:r>
            <w:proofErr w:type="spellEnd"/>
            <w:r w:rsidRPr="00C5347D">
              <w:rPr>
                <w:rFonts w:ascii="Arial Narrow" w:hAnsi="Arial Narrow" w:cs="Arial"/>
                <w:sz w:val="20"/>
              </w:rPr>
              <w:t xml:space="preserve"> </w:t>
            </w:r>
          </w:p>
        </w:tc>
        <w:tc>
          <w:tcPr>
            <w:tcW w:w="366" w:type="pct"/>
            <w:shd w:val="clear" w:color="auto" w:fill="auto"/>
            <w:vAlign w:val="center"/>
            <w:hideMark/>
          </w:tcPr>
          <w:p w14:paraId="5E64B8D3"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m</w:t>
            </w:r>
            <w:r w:rsidRPr="00C5347D">
              <w:rPr>
                <w:rFonts w:ascii="Arial Narrow" w:hAnsi="Arial Narrow" w:cs="Arial"/>
                <w:sz w:val="20"/>
                <w:vertAlign w:val="superscript"/>
              </w:rPr>
              <w:t>3</w:t>
            </w:r>
          </w:p>
        </w:tc>
        <w:tc>
          <w:tcPr>
            <w:tcW w:w="512" w:type="pct"/>
            <w:shd w:val="clear" w:color="auto" w:fill="auto"/>
            <w:vAlign w:val="center"/>
            <w:hideMark/>
          </w:tcPr>
          <w:p w14:paraId="591355BC" w14:textId="77777777" w:rsidR="006B66E4" w:rsidRPr="00A7320B" w:rsidRDefault="006B66E4" w:rsidP="006B66E4">
            <w:pPr>
              <w:spacing w:after="0"/>
              <w:ind w:left="0" w:firstLine="0"/>
              <w:jc w:val="center"/>
              <w:rPr>
                <w:rFonts w:ascii="Arial Narrow" w:hAnsi="Arial Narrow" w:cs="Arial"/>
                <w:sz w:val="20"/>
              </w:rPr>
            </w:pPr>
            <w:r w:rsidRPr="00A7320B">
              <w:rPr>
                <w:rFonts w:ascii="Arial Narrow" w:hAnsi="Arial Narrow" w:cs="Arial"/>
                <w:sz w:val="20"/>
              </w:rPr>
              <w:t>115,30</w:t>
            </w:r>
          </w:p>
        </w:tc>
        <w:tc>
          <w:tcPr>
            <w:tcW w:w="509" w:type="pct"/>
          </w:tcPr>
          <w:p w14:paraId="55CCFA64" w14:textId="77777777" w:rsidR="006B66E4" w:rsidRPr="00C5347D" w:rsidRDefault="006B66E4" w:rsidP="006B66E4">
            <w:pPr>
              <w:spacing w:after="0"/>
              <w:ind w:left="0" w:firstLine="0"/>
              <w:jc w:val="center"/>
              <w:rPr>
                <w:rFonts w:ascii="Arial Narrow" w:hAnsi="Arial Narrow" w:cs="Arial"/>
                <w:sz w:val="20"/>
              </w:rPr>
            </w:pPr>
          </w:p>
        </w:tc>
        <w:tc>
          <w:tcPr>
            <w:tcW w:w="618" w:type="pct"/>
          </w:tcPr>
          <w:p w14:paraId="33AEBA27" w14:textId="77777777" w:rsidR="006B66E4" w:rsidRPr="00C5347D" w:rsidRDefault="006B66E4" w:rsidP="006B66E4">
            <w:pPr>
              <w:spacing w:after="0"/>
              <w:ind w:left="0" w:firstLine="0"/>
              <w:jc w:val="center"/>
              <w:rPr>
                <w:rFonts w:ascii="Arial Narrow" w:hAnsi="Arial Narrow" w:cs="Arial"/>
                <w:sz w:val="20"/>
              </w:rPr>
            </w:pPr>
          </w:p>
        </w:tc>
      </w:tr>
      <w:tr w:rsidR="006B66E4" w:rsidRPr="00C5347D" w14:paraId="7C88A544" w14:textId="77777777" w:rsidTr="00D77BC6">
        <w:trPr>
          <w:trHeight w:val="477"/>
        </w:trPr>
        <w:tc>
          <w:tcPr>
            <w:tcW w:w="269" w:type="pct"/>
            <w:shd w:val="clear" w:color="auto" w:fill="auto"/>
            <w:vAlign w:val="center"/>
            <w:hideMark/>
          </w:tcPr>
          <w:p w14:paraId="0D369B66"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2.7</w:t>
            </w:r>
          </w:p>
        </w:tc>
        <w:tc>
          <w:tcPr>
            <w:tcW w:w="2725" w:type="pct"/>
            <w:shd w:val="clear" w:color="auto" w:fill="auto"/>
            <w:vAlign w:val="center"/>
            <w:hideMark/>
          </w:tcPr>
          <w:p w14:paraId="02F44D1C" w14:textId="77777777" w:rsidR="006B66E4" w:rsidRPr="00C5347D" w:rsidRDefault="006B66E4" w:rsidP="006B66E4">
            <w:pPr>
              <w:spacing w:after="0"/>
              <w:ind w:left="0" w:firstLine="0"/>
              <w:jc w:val="left"/>
              <w:rPr>
                <w:rFonts w:ascii="Arial Narrow" w:hAnsi="Arial Narrow" w:cs="Arial"/>
                <w:sz w:val="20"/>
              </w:rPr>
            </w:pPr>
            <w:r w:rsidRPr="00C5347D">
              <w:rPr>
                <w:rFonts w:ascii="Arial Narrow" w:hAnsi="Arial Narrow" w:cs="Arial"/>
                <w:sz w:val="20"/>
              </w:rPr>
              <w:t>Enduit dosé à 400kg/m3 pour mur d'</w:t>
            </w:r>
            <w:proofErr w:type="spellStart"/>
            <w:r w:rsidRPr="00C5347D">
              <w:rPr>
                <w:rFonts w:ascii="Arial Narrow" w:hAnsi="Arial Narrow" w:cs="Arial"/>
                <w:sz w:val="20"/>
              </w:rPr>
              <w:t>étancheité</w:t>
            </w:r>
            <w:proofErr w:type="spellEnd"/>
            <w:r w:rsidRPr="00C5347D">
              <w:rPr>
                <w:rFonts w:ascii="Arial Narrow" w:hAnsi="Arial Narrow" w:cs="Arial"/>
                <w:sz w:val="20"/>
              </w:rPr>
              <w:t xml:space="preserve"> et contrefort avec ajout du </w:t>
            </w:r>
            <w:proofErr w:type="spellStart"/>
            <w:r w:rsidRPr="00C5347D">
              <w:rPr>
                <w:rFonts w:ascii="Arial Narrow" w:hAnsi="Arial Narrow" w:cs="Arial"/>
                <w:sz w:val="20"/>
              </w:rPr>
              <w:t>sikhalite</w:t>
            </w:r>
            <w:proofErr w:type="spellEnd"/>
            <w:r w:rsidRPr="00C5347D">
              <w:rPr>
                <w:rFonts w:ascii="Arial Narrow" w:hAnsi="Arial Narrow" w:cs="Arial"/>
                <w:sz w:val="20"/>
              </w:rPr>
              <w:t xml:space="preserve"> y compris joint </w:t>
            </w:r>
            <w:proofErr w:type="spellStart"/>
            <w:r w:rsidRPr="00C5347D">
              <w:rPr>
                <w:rFonts w:ascii="Arial Narrow" w:hAnsi="Arial Narrow" w:cs="Arial"/>
                <w:sz w:val="20"/>
              </w:rPr>
              <w:t>polystirène</w:t>
            </w:r>
            <w:proofErr w:type="spellEnd"/>
            <w:r w:rsidRPr="00C5347D">
              <w:rPr>
                <w:rFonts w:ascii="Arial Narrow" w:hAnsi="Arial Narrow" w:cs="Arial"/>
                <w:sz w:val="20"/>
              </w:rPr>
              <w:t xml:space="preserve"> à tous les 10m </w:t>
            </w:r>
          </w:p>
        </w:tc>
        <w:tc>
          <w:tcPr>
            <w:tcW w:w="366" w:type="pct"/>
            <w:shd w:val="clear" w:color="auto" w:fill="auto"/>
            <w:vAlign w:val="center"/>
            <w:hideMark/>
          </w:tcPr>
          <w:p w14:paraId="713ECF5C"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m</w:t>
            </w:r>
            <w:r w:rsidRPr="00C5347D">
              <w:rPr>
                <w:rFonts w:ascii="Arial Narrow" w:hAnsi="Arial Narrow" w:cs="Arial"/>
                <w:sz w:val="20"/>
                <w:vertAlign w:val="superscript"/>
              </w:rPr>
              <w:t>2</w:t>
            </w:r>
          </w:p>
        </w:tc>
        <w:tc>
          <w:tcPr>
            <w:tcW w:w="512" w:type="pct"/>
            <w:shd w:val="clear" w:color="auto" w:fill="auto"/>
            <w:vAlign w:val="center"/>
            <w:hideMark/>
          </w:tcPr>
          <w:p w14:paraId="11A5F25D" w14:textId="77777777" w:rsidR="006B66E4" w:rsidRPr="00A7320B" w:rsidRDefault="006B66E4" w:rsidP="006B66E4">
            <w:pPr>
              <w:spacing w:after="0"/>
              <w:ind w:left="0" w:firstLine="0"/>
              <w:jc w:val="center"/>
              <w:rPr>
                <w:rFonts w:ascii="Arial Narrow" w:hAnsi="Arial Narrow" w:cs="Arial"/>
                <w:sz w:val="20"/>
              </w:rPr>
            </w:pPr>
            <w:r w:rsidRPr="00A7320B">
              <w:rPr>
                <w:rFonts w:ascii="Arial Narrow" w:hAnsi="Arial Narrow" w:cs="Arial"/>
                <w:sz w:val="20"/>
              </w:rPr>
              <w:t>355,60</w:t>
            </w:r>
          </w:p>
        </w:tc>
        <w:tc>
          <w:tcPr>
            <w:tcW w:w="509" w:type="pct"/>
          </w:tcPr>
          <w:p w14:paraId="264FA098" w14:textId="77777777" w:rsidR="006B66E4" w:rsidRPr="00C5347D" w:rsidRDefault="006B66E4" w:rsidP="006B66E4">
            <w:pPr>
              <w:spacing w:after="0"/>
              <w:ind w:left="0" w:firstLine="0"/>
              <w:jc w:val="center"/>
              <w:rPr>
                <w:rFonts w:ascii="Arial Narrow" w:hAnsi="Arial Narrow" w:cs="Arial"/>
                <w:sz w:val="20"/>
              </w:rPr>
            </w:pPr>
          </w:p>
        </w:tc>
        <w:tc>
          <w:tcPr>
            <w:tcW w:w="618" w:type="pct"/>
          </w:tcPr>
          <w:p w14:paraId="57D0B3A5" w14:textId="77777777" w:rsidR="006B66E4" w:rsidRPr="00C5347D" w:rsidRDefault="006B66E4" w:rsidP="006B66E4">
            <w:pPr>
              <w:spacing w:after="0"/>
              <w:ind w:left="0" w:firstLine="0"/>
              <w:jc w:val="center"/>
              <w:rPr>
                <w:rFonts w:ascii="Arial Narrow" w:hAnsi="Arial Narrow" w:cs="Arial"/>
                <w:sz w:val="20"/>
              </w:rPr>
            </w:pPr>
          </w:p>
        </w:tc>
      </w:tr>
      <w:tr w:rsidR="006B66E4" w:rsidRPr="00C5347D" w14:paraId="4247AEDC" w14:textId="77777777" w:rsidTr="00D77BC6">
        <w:trPr>
          <w:trHeight w:val="528"/>
        </w:trPr>
        <w:tc>
          <w:tcPr>
            <w:tcW w:w="269" w:type="pct"/>
            <w:shd w:val="clear" w:color="auto" w:fill="auto"/>
            <w:vAlign w:val="center"/>
            <w:hideMark/>
          </w:tcPr>
          <w:p w14:paraId="21392A3A"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2.8</w:t>
            </w:r>
          </w:p>
        </w:tc>
        <w:tc>
          <w:tcPr>
            <w:tcW w:w="2725" w:type="pct"/>
            <w:shd w:val="clear" w:color="auto" w:fill="auto"/>
            <w:vAlign w:val="center"/>
            <w:hideMark/>
          </w:tcPr>
          <w:p w14:paraId="2915A4C0" w14:textId="77777777" w:rsidR="006B66E4" w:rsidRPr="00C5347D" w:rsidRDefault="006B66E4" w:rsidP="006B66E4">
            <w:pPr>
              <w:spacing w:after="0"/>
              <w:ind w:left="0" w:firstLine="0"/>
              <w:jc w:val="left"/>
              <w:rPr>
                <w:rFonts w:ascii="Arial Narrow" w:hAnsi="Arial Narrow" w:cs="Arial"/>
                <w:sz w:val="20"/>
              </w:rPr>
            </w:pPr>
            <w:r w:rsidRPr="00C5347D">
              <w:rPr>
                <w:rFonts w:ascii="Arial Narrow" w:hAnsi="Arial Narrow" w:cs="Arial"/>
                <w:sz w:val="20"/>
              </w:rPr>
              <w:t xml:space="preserve">Fourniture de joint water stop </w:t>
            </w:r>
            <w:proofErr w:type="spellStart"/>
            <w:r w:rsidRPr="00C5347D">
              <w:rPr>
                <w:rFonts w:ascii="Arial Narrow" w:hAnsi="Arial Narrow" w:cs="Arial"/>
                <w:sz w:val="20"/>
              </w:rPr>
              <w:t>scéller</w:t>
            </w:r>
            <w:proofErr w:type="spellEnd"/>
            <w:r w:rsidRPr="00C5347D">
              <w:rPr>
                <w:rFonts w:ascii="Arial Narrow" w:hAnsi="Arial Narrow" w:cs="Arial"/>
                <w:sz w:val="20"/>
              </w:rPr>
              <w:t xml:space="preserve"> dans un </w:t>
            </w:r>
            <w:proofErr w:type="spellStart"/>
            <w:r w:rsidRPr="00C5347D">
              <w:rPr>
                <w:rFonts w:ascii="Arial Narrow" w:hAnsi="Arial Narrow" w:cs="Arial"/>
                <w:sz w:val="20"/>
              </w:rPr>
              <w:t>élement</w:t>
            </w:r>
            <w:proofErr w:type="spellEnd"/>
            <w:r w:rsidRPr="00C5347D">
              <w:rPr>
                <w:rFonts w:ascii="Arial Narrow" w:hAnsi="Arial Narrow" w:cs="Arial"/>
                <w:sz w:val="20"/>
              </w:rPr>
              <w:t xml:space="preserve"> de béton à </w:t>
            </w:r>
            <w:proofErr w:type="spellStart"/>
            <w:r w:rsidRPr="00C5347D">
              <w:rPr>
                <w:rFonts w:ascii="Arial Narrow" w:hAnsi="Arial Narrow" w:cs="Arial"/>
                <w:sz w:val="20"/>
              </w:rPr>
              <w:t>tout</w:t>
            </w:r>
            <w:proofErr w:type="spellEnd"/>
            <w:r w:rsidRPr="00C5347D">
              <w:rPr>
                <w:rFonts w:ascii="Arial Narrow" w:hAnsi="Arial Narrow" w:cs="Arial"/>
                <w:sz w:val="20"/>
              </w:rPr>
              <w:t xml:space="preserve"> les 10 </w:t>
            </w:r>
            <w:proofErr w:type="spellStart"/>
            <w:r w:rsidRPr="00C5347D">
              <w:rPr>
                <w:rFonts w:ascii="Arial Narrow" w:hAnsi="Arial Narrow" w:cs="Arial"/>
                <w:sz w:val="20"/>
              </w:rPr>
              <w:t>métres</w:t>
            </w:r>
            <w:proofErr w:type="spellEnd"/>
            <w:r w:rsidRPr="00C5347D">
              <w:rPr>
                <w:rFonts w:ascii="Arial Narrow" w:hAnsi="Arial Narrow" w:cs="Arial"/>
                <w:sz w:val="20"/>
              </w:rPr>
              <w:t xml:space="preserve"> y compris toutes </w:t>
            </w:r>
            <w:proofErr w:type="spellStart"/>
            <w:r w:rsidRPr="00C5347D">
              <w:rPr>
                <w:rFonts w:ascii="Arial Narrow" w:hAnsi="Arial Narrow" w:cs="Arial"/>
                <w:sz w:val="20"/>
              </w:rPr>
              <w:t>sujetions</w:t>
            </w:r>
            <w:proofErr w:type="spellEnd"/>
          </w:p>
        </w:tc>
        <w:tc>
          <w:tcPr>
            <w:tcW w:w="366" w:type="pct"/>
            <w:shd w:val="clear" w:color="auto" w:fill="auto"/>
            <w:vAlign w:val="center"/>
            <w:hideMark/>
          </w:tcPr>
          <w:p w14:paraId="3E5E1DA3"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ml</w:t>
            </w:r>
          </w:p>
        </w:tc>
        <w:tc>
          <w:tcPr>
            <w:tcW w:w="512" w:type="pct"/>
            <w:shd w:val="clear" w:color="auto" w:fill="auto"/>
            <w:vAlign w:val="center"/>
            <w:hideMark/>
          </w:tcPr>
          <w:p w14:paraId="3BA3BF6C" w14:textId="77777777" w:rsidR="006B66E4" w:rsidRPr="00A7320B" w:rsidRDefault="006B66E4" w:rsidP="006B66E4">
            <w:pPr>
              <w:spacing w:after="0"/>
              <w:ind w:left="0" w:firstLine="0"/>
              <w:jc w:val="center"/>
              <w:rPr>
                <w:rFonts w:ascii="Arial Narrow" w:hAnsi="Arial Narrow" w:cs="Arial"/>
                <w:sz w:val="20"/>
              </w:rPr>
            </w:pPr>
            <w:r w:rsidRPr="00A7320B">
              <w:rPr>
                <w:rFonts w:ascii="Arial Narrow" w:hAnsi="Arial Narrow" w:cs="Arial"/>
                <w:sz w:val="20"/>
              </w:rPr>
              <w:t>55,00</w:t>
            </w:r>
          </w:p>
        </w:tc>
        <w:tc>
          <w:tcPr>
            <w:tcW w:w="509" w:type="pct"/>
          </w:tcPr>
          <w:p w14:paraId="13F35779" w14:textId="77777777" w:rsidR="006B66E4" w:rsidRPr="00C5347D" w:rsidRDefault="006B66E4" w:rsidP="006B66E4">
            <w:pPr>
              <w:spacing w:after="0"/>
              <w:ind w:left="0" w:firstLine="0"/>
              <w:jc w:val="center"/>
              <w:rPr>
                <w:rFonts w:ascii="Arial Narrow" w:hAnsi="Arial Narrow" w:cs="Arial"/>
                <w:sz w:val="20"/>
              </w:rPr>
            </w:pPr>
          </w:p>
        </w:tc>
        <w:tc>
          <w:tcPr>
            <w:tcW w:w="618" w:type="pct"/>
          </w:tcPr>
          <w:p w14:paraId="796F6A23" w14:textId="77777777" w:rsidR="006B66E4" w:rsidRPr="00C5347D" w:rsidRDefault="006B66E4" w:rsidP="006B66E4">
            <w:pPr>
              <w:spacing w:after="0"/>
              <w:ind w:left="0" w:firstLine="0"/>
              <w:jc w:val="center"/>
              <w:rPr>
                <w:rFonts w:ascii="Arial Narrow" w:hAnsi="Arial Narrow" w:cs="Arial"/>
                <w:sz w:val="20"/>
              </w:rPr>
            </w:pPr>
          </w:p>
        </w:tc>
      </w:tr>
      <w:tr w:rsidR="006B66E4" w:rsidRPr="00C5347D" w14:paraId="53461B65" w14:textId="77777777" w:rsidTr="00D77BC6">
        <w:trPr>
          <w:trHeight w:val="577"/>
        </w:trPr>
        <w:tc>
          <w:tcPr>
            <w:tcW w:w="269" w:type="pct"/>
            <w:shd w:val="clear" w:color="auto" w:fill="auto"/>
            <w:vAlign w:val="center"/>
            <w:hideMark/>
          </w:tcPr>
          <w:p w14:paraId="530C085C"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lastRenderedPageBreak/>
              <w:t>2.9</w:t>
            </w:r>
          </w:p>
        </w:tc>
        <w:tc>
          <w:tcPr>
            <w:tcW w:w="2725" w:type="pct"/>
            <w:shd w:val="clear" w:color="auto" w:fill="auto"/>
            <w:vAlign w:val="center"/>
            <w:hideMark/>
          </w:tcPr>
          <w:p w14:paraId="0FA9947B" w14:textId="77777777" w:rsidR="006B66E4" w:rsidRPr="00C5347D" w:rsidRDefault="006B66E4" w:rsidP="006B66E4">
            <w:pPr>
              <w:spacing w:after="0"/>
              <w:ind w:left="0" w:firstLine="0"/>
              <w:jc w:val="left"/>
              <w:rPr>
                <w:rFonts w:ascii="Arial Narrow" w:hAnsi="Arial Narrow" w:cs="Arial"/>
                <w:sz w:val="20"/>
              </w:rPr>
            </w:pPr>
            <w:r w:rsidRPr="00C5347D">
              <w:rPr>
                <w:rFonts w:ascii="Arial Narrow" w:hAnsi="Arial Narrow" w:cs="Arial"/>
                <w:sz w:val="20"/>
              </w:rPr>
              <w:t xml:space="preserve">Béton ordinaire dosé à 400kg/m3 avec ajout du </w:t>
            </w:r>
            <w:proofErr w:type="spellStart"/>
            <w:r w:rsidRPr="00C5347D">
              <w:rPr>
                <w:rFonts w:ascii="Arial Narrow" w:hAnsi="Arial Narrow" w:cs="Arial"/>
                <w:sz w:val="20"/>
              </w:rPr>
              <w:t>sikhalite</w:t>
            </w:r>
            <w:proofErr w:type="spellEnd"/>
            <w:r w:rsidRPr="00C5347D">
              <w:rPr>
                <w:rFonts w:ascii="Arial Narrow" w:hAnsi="Arial Narrow" w:cs="Arial"/>
                <w:sz w:val="20"/>
              </w:rPr>
              <w:t xml:space="preserve"> dans la masse pour scellement des joints waters stop y compris pose de joint et polystyrène</w:t>
            </w:r>
          </w:p>
        </w:tc>
        <w:tc>
          <w:tcPr>
            <w:tcW w:w="366" w:type="pct"/>
            <w:shd w:val="clear" w:color="auto" w:fill="auto"/>
            <w:vAlign w:val="center"/>
            <w:hideMark/>
          </w:tcPr>
          <w:p w14:paraId="77B1EB1A"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m</w:t>
            </w:r>
            <w:r w:rsidRPr="00C5347D">
              <w:rPr>
                <w:rFonts w:ascii="Arial Narrow" w:hAnsi="Arial Narrow" w:cs="Arial"/>
                <w:sz w:val="20"/>
                <w:vertAlign w:val="superscript"/>
              </w:rPr>
              <w:t>3</w:t>
            </w:r>
          </w:p>
        </w:tc>
        <w:tc>
          <w:tcPr>
            <w:tcW w:w="512" w:type="pct"/>
            <w:shd w:val="clear" w:color="auto" w:fill="auto"/>
            <w:vAlign w:val="center"/>
            <w:hideMark/>
          </w:tcPr>
          <w:p w14:paraId="7F953C07" w14:textId="77777777" w:rsidR="006B66E4" w:rsidRPr="00A7320B" w:rsidRDefault="006B66E4" w:rsidP="006B66E4">
            <w:pPr>
              <w:spacing w:after="0"/>
              <w:ind w:left="0" w:firstLine="0"/>
              <w:jc w:val="center"/>
              <w:rPr>
                <w:rFonts w:ascii="Arial Narrow" w:hAnsi="Arial Narrow" w:cs="Arial"/>
                <w:sz w:val="20"/>
              </w:rPr>
            </w:pPr>
            <w:r w:rsidRPr="00A7320B">
              <w:rPr>
                <w:rFonts w:ascii="Arial Narrow" w:hAnsi="Arial Narrow" w:cs="Arial"/>
                <w:sz w:val="20"/>
              </w:rPr>
              <w:t>17,35</w:t>
            </w:r>
          </w:p>
        </w:tc>
        <w:tc>
          <w:tcPr>
            <w:tcW w:w="509" w:type="pct"/>
          </w:tcPr>
          <w:p w14:paraId="1B2CD4DA" w14:textId="77777777" w:rsidR="006B66E4" w:rsidRPr="00C5347D" w:rsidRDefault="006B66E4" w:rsidP="006B66E4">
            <w:pPr>
              <w:spacing w:after="0"/>
              <w:ind w:left="0" w:firstLine="0"/>
              <w:jc w:val="center"/>
              <w:rPr>
                <w:rFonts w:ascii="Arial Narrow" w:hAnsi="Arial Narrow" w:cs="Arial"/>
                <w:sz w:val="20"/>
              </w:rPr>
            </w:pPr>
          </w:p>
        </w:tc>
        <w:tc>
          <w:tcPr>
            <w:tcW w:w="618" w:type="pct"/>
          </w:tcPr>
          <w:p w14:paraId="21EE6FDC" w14:textId="77777777" w:rsidR="006B66E4" w:rsidRPr="00C5347D" w:rsidRDefault="006B66E4" w:rsidP="006B66E4">
            <w:pPr>
              <w:spacing w:after="0"/>
              <w:ind w:left="0" w:firstLine="0"/>
              <w:jc w:val="center"/>
              <w:rPr>
                <w:rFonts w:ascii="Arial Narrow" w:hAnsi="Arial Narrow" w:cs="Arial"/>
                <w:sz w:val="20"/>
              </w:rPr>
            </w:pPr>
          </w:p>
        </w:tc>
      </w:tr>
      <w:tr w:rsidR="006B66E4" w:rsidRPr="00C5347D" w14:paraId="49E1EF04" w14:textId="77777777" w:rsidTr="00D77BC6">
        <w:trPr>
          <w:trHeight w:val="264"/>
        </w:trPr>
        <w:tc>
          <w:tcPr>
            <w:tcW w:w="269" w:type="pct"/>
            <w:shd w:val="clear" w:color="auto" w:fill="auto"/>
            <w:vAlign w:val="center"/>
            <w:hideMark/>
          </w:tcPr>
          <w:p w14:paraId="4395CEAD"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 </w:t>
            </w:r>
          </w:p>
        </w:tc>
        <w:tc>
          <w:tcPr>
            <w:tcW w:w="2725" w:type="pct"/>
            <w:shd w:val="clear" w:color="auto" w:fill="auto"/>
            <w:vAlign w:val="center"/>
            <w:hideMark/>
          </w:tcPr>
          <w:p w14:paraId="6526ACA5" w14:textId="77777777" w:rsidR="006B66E4" w:rsidRPr="00C5347D" w:rsidRDefault="006B66E4" w:rsidP="006B66E4">
            <w:pPr>
              <w:spacing w:after="0"/>
              <w:ind w:left="0" w:firstLine="0"/>
              <w:jc w:val="right"/>
              <w:rPr>
                <w:rFonts w:ascii="Arial Narrow" w:hAnsi="Arial Narrow" w:cs="Arial"/>
                <w:b/>
                <w:bCs/>
                <w:sz w:val="20"/>
              </w:rPr>
            </w:pPr>
            <w:r w:rsidRPr="00C5347D">
              <w:rPr>
                <w:rFonts w:ascii="Arial Narrow" w:hAnsi="Arial Narrow" w:cs="Arial"/>
                <w:b/>
                <w:bCs/>
                <w:sz w:val="20"/>
              </w:rPr>
              <w:t xml:space="preserve">Total </w:t>
            </w:r>
            <w:proofErr w:type="spellStart"/>
            <w:r w:rsidRPr="00C5347D">
              <w:rPr>
                <w:rFonts w:ascii="Arial Narrow" w:hAnsi="Arial Narrow" w:cs="Arial"/>
                <w:b/>
                <w:bCs/>
                <w:sz w:val="20"/>
              </w:rPr>
              <w:t>Serie</w:t>
            </w:r>
            <w:proofErr w:type="spellEnd"/>
            <w:r w:rsidRPr="00C5347D">
              <w:rPr>
                <w:rFonts w:ascii="Arial Narrow" w:hAnsi="Arial Narrow" w:cs="Arial"/>
                <w:b/>
                <w:bCs/>
                <w:sz w:val="20"/>
              </w:rPr>
              <w:t xml:space="preserve"> 2</w:t>
            </w:r>
          </w:p>
        </w:tc>
        <w:tc>
          <w:tcPr>
            <w:tcW w:w="366" w:type="pct"/>
            <w:shd w:val="clear" w:color="auto" w:fill="auto"/>
            <w:vAlign w:val="center"/>
            <w:hideMark/>
          </w:tcPr>
          <w:p w14:paraId="17BA2211"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 </w:t>
            </w:r>
          </w:p>
        </w:tc>
        <w:tc>
          <w:tcPr>
            <w:tcW w:w="512" w:type="pct"/>
            <w:shd w:val="clear" w:color="auto" w:fill="auto"/>
            <w:vAlign w:val="center"/>
            <w:hideMark/>
          </w:tcPr>
          <w:p w14:paraId="5AB99DC5" w14:textId="77777777" w:rsidR="006B66E4" w:rsidRPr="00A7320B" w:rsidRDefault="006B66E4" w:rsidP="006B66E4">
            <w:pPr>
              <w:spacing w:after="0"/>
              <w:ind w:left="0" w:firstLine="0"/>
              <w:jc w:val="center"/>
              <w:rPr>
                <w:rFonts w:ascii="Arial Narrow" w:hAnsi="Arial Narrow" w:cs="Arial"/>
                <w:sz w:val="20"/>
              </w:rPr>
            </w:pPr>
            <w:r w:rsidRPr="00A7320B">
              <w:rPr>
                <w:rFonts w:ascii="Arial Narrow" w:hAnsi="Arial Narrow" w:cs="Arial"/>
                <w:sz w:val="20"/>
              </w:rPr>
              <w:t> </w:t>
            </w:r>
          </w:p>
        </w:tc>
        <w:tc>
          <w:tcPr>
            <w:tcW w:w="509" w:type="pct"/>
          </w:tcPr>
          <w:p w14:paraId="1DE6863B" w14:textId="77777777" w:rsidR="006B66E4" w:rsidRPr="00C5347D" w:rsidRDefault="006B66E4" w:rsidP="006B66E4">
            <w:pPr>
              <w:spacing w:after="0"/>
              <w:ind w:left="0" w:firstLine="0"/>
              <w:jc w:val="center"/>
              <w:rPr>
                <w:rFonts w:ascii="Arial Narrow" w:hAnsi="Arial Narrow" w:cs="Arial"/>
                <w:sz w:val="20"/>
              </w:rPr>
            </w:pPr>
          </w:p>
        </w:tc>
        <w:tc>
          <w:tcPr>
            <w:tcW w:w="618" w:type="pct"/>
          </w:tcPr>
          <w:p w14:paraId="2FB83BFC" w14:textId="77777777" w:rsidR="006B66E4" w:rsidRPr="00C5347D" w:rsidRDefault="006B66E4" w:rsidP="006B66E4">
            <w:pPr>
              <w:spacing w:after="0"/>
              <w:ind w:left="0" w:firstLine="0"/>
              <w:jc w:val="center"/>
              <w:rPr>
                <w:rFonts w:ascii="Arial Narrow" w:hAnsi="Arial Narrow" w:cs="Arial"/>
                <w:sz w:val="20"/>
              </w:rPr>
            </w:pPr>
          </w:p>
        </w:tc>
      </w:tr>
      <w:tr w:rsidR="006B66E4" w:rsidRPr="00C5347D" w14:paraId="4E6DCC0A" w14:textId="77777777" w:rsidTr="00D77BC6">
        <w:trPr>
          <w:trHeight w:val="264"/>
        </w:trPr>
        <w:tc>
          <w:tcPr>
            <w:tcW w:w="269" w:type="pct"/>
            <w:shd w:val="clear" w:color="auto" w:fill="auto"/>
            <w:vAlign w:val="center"/>
            <w:hideMark/>
          </w:tcPr>
          <w:p w14:paraId="7B9B3654"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 </w:t>
            </w:r>
          </w:p>
        </w:tc>
        <w:tc>
          <w:tcPr>
            <w:tcW w:w="2725" w:type="pct"/>
            <w:shd w:val="clear" w:color="auto" w:fill="auto"/>
            <w:vAlign w:val="center"/>
            <w:hideMark/>
          </w:tcPr>
          <w:p w14:paraId="0C803878" w14:textId="77777777" w:rsidR="006B66E4" w:rsidRPr="00C5347D" w:rsidRDefault="006B66E4" w:rsidP="006B66E4">
            <w:pPr>
              <w:spacing w:after="0"/>
              <w:ind w:left="0" w:firstLine="0"/>
              <w:jc w:val="left"/>
              <w:rPr>
                <w:rFonts w:ascii="Arial Narrow" w:hAnsi="Arial Narrow" w:cs="Arial"/>
                <w:b/>
                <w:bCs/>
                <w:sz w:val="20"/>
              </w:rPr>
            </w:pPr>
            <w:proofErr w:type="spellStart"/>
            <w:r w:rsidRPr="00C5347D">
              <w:rPr>
                <w:rFonts w:ascii="Arial Narrow" w:hAnsi="Arial Narrow" w:cs="Arial"/>
                <w:b/>
                <w:bCs/>
                <w:sz w:val="20"/>
              </w:rPr>
              <w:t>Serie</w:t>
            </w:r>
            <w:proofErr w:type="spellEnd"/>
            <w:r w:rsidRPr="00C5347D">
              <w:rPr>
                <w:rFonts w:ascii="Arial Narrow" w:hAnsi="Arial Narrow" w:cs="Arial"/>
                <w:b/>
                <w:bCs/>
                <w:sz w:val="20"/>
              </w:rPr>
              <w:t xml:space="preserve"> III-  PERTUIS DE VIDANGE </w:t>
            </w:r>
          </w:p>
        </w:tc>
        <w:tc>
          <w:tcPr>
            <w:tcW w:w="366" w:type="pct"/>
            <w:shd w:val="clear" w:color="auto" w:fill="auto"/>
            <w:vAlign w:val="center"/>
            <w:hideMark/>
          </w:tcPr>
          <w:p w14:paraId="2E030220"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 </w:t>
            </w:r>
          </w:p>
        </w:tc>
        <w:tc>
          <w:tcPr>
            <w:tcW w:w="512" w:type="pct"/>
            <w:shd w:val="clear" w:color="auto" w:fill="auto"/>
            <w:vAlign w:val="center"/>
            <w:hideMark/>
          </w:tcPr>
          <w:p w14:paraId="447557BF" w14:textId="77777777" w:rsidR="006B66E4" w:rsidRPr="00A7320B" w:rsidRDefault="006B66E4" w:rsidP="006B66E4">
            <w:pPr>
              <w:spacing w:after="0"/>
              <w:ind w:left="0" w:firstLine="0"/>
              <w:jc w:val="center"/>
              <w:rPr>
                <w:rFonts w:ascii="Arial Narrow" w:hAnsi="Arial Narrow" w:cs="Arial"/>
                <w:sz w:val="20"/>
              </w:rPr>
            </w:pPr>
            <w:r w:rsidRPr="00A7320B">
              <w:rPr>
                <w:rFonts w:ascii="Arial Narrow" w:hAnsi="Arial Narrow" w:cs="Arial"/>
                <w:sz w:val="20"/>
              </w:rPr>
              <w:t> </w:t>
            </w:r>
          </w:p>
        </w:tc>
        <w:tc>
          <w:tcPr>
            <w:tcW w:w="509" w:type="pct"/>
          </w:tcPr>
          <w:p w14:paraId="64B41739" w14:textId="77777777" w:rsidR="006B66E4" w:rsidRPr="00C5347D" w:rsidRDefault="006B66E4" w:rsidP="006B66E4">
            <w:pPr>
              <w:spacing w:after="0"/>
              <w:ind w:left="0" w:firstLine="0"/>
              <w:jc w:val="center"/>
              <w:rPr>
                <w:rFonts w:ascii="Arial Narrow" w:hAnsi="Arial Narrow" w:cs="Arial"/>
                <w:sz w:val="20"/>
              </w:rPr>
            </w:pPr>
          </w:p>
        </w:tc>
        <w:tc>
          <w:tcPr>
            <w:tcW w:w="618" w:type="pct"/>
          </w:tcPr>
          <w:p w14:paraId="6BEBC191" w14:textId="77777777" w:rsidR="006B66E4" w:rsidRPr="00C5347D" w:rsidRDefault="006B66E4" w:rsidP="006B66E4">
            <w:pPr>
              <w:spacing w:after="0"/>
              <w:ind w:left="0" w:firstLine="0"/>
              <w:jc w:val="center"/>
              <w:rPr>
                <w:rFonts w:ascii="Arial Narrow" w:hAnsi="Arial Narrow" w:cs="Arial"/>
                <w:sz w:val="20"/>
              </w:rPr>
            </w:pPr>
          </w:p>
        </w:tc>
      </w:tr>
      <w:tr w:rsidR="006B66E4" w:rsidRPr="00C5347D" w14:paraId="4F79582B" w14:textId="77777777" w:rsidTr="00D77BC6">
        <w:trPr>
          <w:trHeight w:val="312"/>
        </w:trPr>
        <w:tc>
          <w:tcPr>
            <w:tcW w:w="269" w:type="pct"/>
            <w:shd w:val="clear" w:color="auto" w:fill="auto"/>
            <w:vAlign w:val="center"/>
            <w:hideMark/>
          </w:tcPr>
          <w:p w14:paraId="653978EB"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3.1</w:t>
            </w:r>
          </w:p>
        </w:tc>
        <w:tc>
          <w:tcPr>
            <w:tcW w:w="2725" w:type="pct"/>
            <w:shd w:val="clear" w:color="auto" w:fill="auto"/>
            <w:vAlign w:val="center"/>
            <w:hideMark/>
          </w:tcPr>
          <w:p w14:paraId="68E0AEAD" w14:textId="77777777" w:rsidR="006B66E4" w:rsidRPr="00C5347D" w:rsidRDefault="006B66E4" w:rsidP="006B66E4">
            <w:pPr>
              <w:spacing w:after="0"/>
              <w:ind w:left="0" w:firstLine="0"/>
              <w:jc w:val="left"/>
              <w:rPr>
                <w:rFonts w:ascii="Arial Narrow" w:hAnsi="Arial Narrow" w:cs="Arial"/>
                <w:sz w:val="20"/>
              </w:rPr>
            </w:pPr>
            <w:r w:rsidRPr="00C5347D">
              <w:rPr>
                <w:rFonts w:ascii="Arial Narrow" w:hAnsi="Arial Narrow" w:cs="Arial"/>
                <w:sz w:val="20"/>
              </w:rPr>
              <w:t xml:space="preserve">Fouille pour murs pertuis </w:t>
            </w:r>
          </w:p>
        </w:tc>
        <w:tc>
          <w:tcPr>
            <w:tcW w:w="366" w:type="pct"/>
            <w:shd w:val="clear" w:color="auto" w:fill="auto"/>
            <w:vAlign w:val="center"/>
            <w:hideMark/>
          </w:tcPr>
          <w:p w14:paraId="0E9A24DA"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m</w:t>
            </w:r>
            <w:r w:rsidRPr="00C5347D">
              <w:rPr>
                <w:rFonts w:ascii="Arial Narrow" w:hAnsi="Arial Narrow" w:cs="Arial"/>
                <w:sz w:val="20"/>
                <w:vertAlign w:val="superscript"/>
              </w:rPr>
              <w:t>3</w:t>
            </w:r>
          </w:p>
        </w:tc>
        <w:tc>
          <w:tcPr>
            <w:tcW w:w="512" w:type="pct"/>
            <w:shd w:val="clear" w:color="auto" w:fill="auto"/>
            <w:vAlign w:val="center"/>
            <w:hideMark/>
          </w:tcPr>
          <w:p w14:paraId="4A84784A" w14:textId="77777777" w:rsidR="006B66E4" w:rsidRPr="00A7320B" w:rsidRDefault="006B66E4" w:rsidP="006B66E4">
            <w:pPr>
              <w:spacing w:after="0"/>
              <w:ind w:left="0" w:firstLine="0"/>
              <w:jc w:val="center"/>
              <w:rPr>
                <w:rFonts w:ascii="Arial Narrow" w:hAnsi="Arial Narrow" w:cs="Arial"/>
                <w:sz w:val="20"/>
              </w:rPr>
            </w:pPr>
            <w:r w:rsidRPr="00A7320B">
              <w:rPr>
                <w:rFonts w:ascii="Arial Narrow" w:hAnsi="Arial Narrow" w:cs="Arial"/>
                <w:sz w:val="20"/>
              </w:rPr>
              <w:t>20,00</w:t>
            </w:r>
          </w:p>
        </w:tc>
        <w:tc>
          <w:tcPr>
            <w:tcW w:w="509" w:type="pct"/>
          </w:tcPr>
          <w:p w14:paraId="57079875" w14:textId="77777777" w:rsidR="006B66E4" w:rsidRPr="00C5347D" w:rsidRDefault="006B66E4" w:rsidP="006B66E4">
            <w:pPr>
              <w:spacing w:after="0"/>
              <w:ind w:left="0" w:firstLine="0"/>
              <w:jc w:val="center"/>
              <w:rPr>
                <w:rFonts w:ascii="Arial Narrow" w:hAnsi="Arial Narrow" w:cs="Arial"/>
                <w:sz w:val="20"/>
              </w:rPr>
            </w:pPr>
          </w:p>
        </w:tc>
        <w:tc>
          <w:tcPr>
            <w:tcW w:w="618" w:type="pct"/>
          </w:tcPr>
          <w:p w14:paraId="597097B8" w14:textId="77777777" w:rsidR="006B66E4" w:rsidRPr="00C5347D" w:rsidRDefault="006B66E4" w:rsidP="006B66E4">
            <w:pPr>
              <w:spacing w:after="0"/>
              <w:ind w:left="0" w:firstLine="0"/>
              <w:jc w:val="center"/>
              <w:rPr>
                <w:rFonts w:ascii="Arial Narrow" w:hAnsi="Arial Narrow" w:cs="Arial"/>
                <w:sz w:val="20"/>
              </w:rPr>
            </w:pPr>
          </w:p>
        </w:tc>
      </w:tr>
      <w:tr w:rsidR="006B66E4" w:rsidRPr="00C5347D" w14:paraId="35E7D26B" w14:textId="77777777" w:rsidTr="00D77BC6">
        <w:trPr>
          <w:trHeight w:val="312"/>
        </w:trPr>
        <w:tc>
          <w:tcPr>
            <w:tcW w:w="269" w:type="pct"/>
            <w:shd w:val="clear" w:color="auto" w:fill="auto"/>
            <w:vAlign w:val="center"/>
            <w:hideMark/>
          </w:tcPr>
          <w:p w14:paraId="7D3839CA"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3.2</w:t>
            </w:r>
          </w:p>
        </w:tc>
        <w:tc>
          <w:tcPr>
            <w:tcW w:w="2725" w:type="pct"/>
            <w:shd w:val="clear" w:color="auto" w:fill="auto"/>
            <w:vAlign w:val="center"/>
            <w:hideMark/>
          </w:tcPr>
          <w:p w14:paraId="710E0838" w14:textId="77777777" w:rsidR="006B66E4" w:rsidRPr="00C5347D" w:rsidRDefault="006B66E4" w:rsidP="006B66E4">
            <w:pPr>
              <w:spacing w:after="0"/>
              <w:ind w:left="0" w:firstLine="0"/>
              <w:jc w:val="left"/>
              <w:rPr>
                <w:rFonts w:ascii="Arial Narrow" w:hAnsi="Arial Narrow" w:cs="Arial"/>
                <w:sz w:val="20"/>
              </w:rPr>
            </w:pPr>
            <w:r w:rsidRPr="00C5347D">
              <w:rPr>
                <w:rFonts w:ascii="Arial Narrow" w:hAnsi="Arial Narrow" w:cs="Arial"/>
                <w:sz w:val="20"/>
              </w:rPr>
              <w:t>Béton de propreté dosé à 150kg/m</w:t>
            </w:r>
            <w:r w:rsidRPr="00C5347D">
              <w:rPr>
                <w:rFonts w:ascii="Arial Narrow" w:hAnsi="Arial Narrow" w:cs="Arial"/>
                <w:sz w:val="20"/>
                <w:vertAlign w:val="superscript"/>
              </w:rPr>
              <w:t>3</w:t>
            </w:r>
            <w:r w:rsidRPr="00C5347D">
              <w:rPr>
                <w:rFonts w:ascii="Arial Narrow" w:hAnsi="Arial Narrow" w:cs="Arial"/>
                <w:sz w:val="20"/>
              </w:rPr>
              <w:t xml:space="preserve"> </w:t>
            </w:r>
            <w:proofErr w:type="spellStart"/>
            <w:r w:rsidRPr="00C5347D">
              <w:rPr>
                <w:rFonts w:ascii="Arial Narrow" w:hAnsi="Arial Narrow" w:cs="Arial"/>
                <w:sz w:val="20"/>
              </w:rPr>
              <w:t>ep</w:t>
            </w:r>
            <w:proofErr w:type="spellEnd"/>
            <w:r w:rsidRPr="00C5347D">
              <w:rPr>
                <w:rFonts w:ascii="Arial Narrow" w:hAnsi="Arial Narrow" w:cs="Arial"/>
                <w:sz w:val="20"/>
              </w:rPr>
              <w:t xml:space="preserve"> =10cm </w:t>
            </w:r>
          </w:p>
        </w:tc>
        <w:tc>
          <w:tcPr>
            <w:tcW w:w="366" w:type="pct"/>
            <w:shd w:val="clear" w:color="auto" w:fill="auto"/>
            <w:vAlign w:val="center"/>
            <w:hideMark/>
          </w:tcPr>
          <w:p w14:paraId="425E46B4"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m</w:t>
            </w:r>
            <w:r w:rsidRPr="00C5347D">
              <w:rPr>
                <w:rFonts w:ascii="Arial Narrow" w:hAnsi="Arial Narrow" w:cs="Arial"/>
                <w:sz w:val="20"/>
                <w:vertAlign w:val="superscript"/>
              </w:rPr>
              <w:t>3</w:t>
            </w:r>
          </w:p>
        </w:tc>
        <w:tc>
          <w:tcPr>
            <w:tcW w:w="512" w:type="pct"/>
            <w:shd w:val="clear" w:color="auto" w:fill="auto"/>
            <w:vAlign w:val="center"/>
            <w:hideMark/>
          </w:tcPr>
          <w:p w14:paraId="35CB32B2" w14:textId="77777777" w:rsidR="006B66E4" w:rsidRPr="00A7320B" w:rsidRDefault="006B66E4" w:rsidP="006B66E4">
            <w:pPr>
              <w:spacing w:after="0"/>
              <w:ind w:left="0" w:firstLine="0"/>
              <w:jc w:val="center"/>
              <w:rPr>
                <w:rFonts w:ascii="Arial Narrow" w:hAnsi="Arial Narrow" w:cs="Arial"/>
                <w:sz w:val="20"/>
              </w:rPr>
            </w:pPr>
            <w:r w:rsidRPr="00A7320B">
              <w:rPr>
                <w:rFonts w:ascii="Arial Narrow" w:hAnsi="Arial Narrow" w:cs="Arial"/>
                <w:sz w:val="20"/>
              </w:rPr>
              <w:t>2,20</w:t>
            </w:r>
          </w:p>
        </w:tc>
        <w:tc>
          <w:tcPr>
            <w:tcW w:w="509" w:type="pct"/>
          </w:tcPr>
          <w:p w14:paraId="4F649F32" w14:textId="77777777" w:rsidR="006B66E4" w:rsidRPr="00C5347D" w:rsidRDefault="006B66E4" w:rsidP="006B66E4">
            <w:pPr>
              <w:spacing w:after="0"/>
              <w:ind w:left="0" w:firstLine="0"/>
              <w:jc w:val="center"/>
              <w:rPr>
                <w:rFonts w:ascii="Arial Narrow" w:hAnsi="Arial Narrow" w:cs="Arial"/>
                <w:sz w:val="20"/>
              </w:rPr>
            </w:pPr>
          </w:p>
        </w:tc>
        <w:tc>
          <w:tcPr>
            <w:tcW w:w="618" w:type="pct"/>
          </w:tcPr>
          <w:p w14:paraId="623C1468" w14:textId="77777777" w:rsidR="006B66E4" w:rsidRPr="00C5347D" w:rsidRDefault="006B66E4" w:rsidP="006B66E4">
            <w:pPr>
              <w:spacing w:after="0"/>
              <w:ind w:left="0" w:firstLine="0"/>
              <w:jc w:val="center"/>
              <w:rPr>
                <w:rFonts w:ascii="Arial Narrow" w:hAnsi="Arial Narrow" w:cs="Arial"/>
                <w:sz w:val="20"/>
              </w:rPr>
            </w:pPr>
          </w:p>
        </w:tc>
      </w:tr>
      <w:tr w:rsidR="006B66E4" w:rsidRPr="00C5347D" w14:paraId="0F0A99D9" w14:textId="77777777" w:rsidTr="00D77BC6">
        <w:trPr>
          <w:trHeight w:val="391"/>
        </w:trPr>
        <w:tc>
          <w:tcPr>
            <w:tcW w:w="269" w:type="pct"/>
            <w:shd w:val="clear" w:color="auto" w:fill="auto"/>
            <w:vAlign w:val="center"/>
            <w:hideMark/>
          </w:tcPr>
          <w:p w14:paraId="19801749"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3.3</w:t>
            </w:r>
          </w:p>
        </w:tc>
        <w:tc>
          <w:tcPr>
            <w:tcW w:w="2725" w:type="pct"/>
            <w:shd w:val="clear" w:color="auto" w:fill="auto"/>
            <w:vAlign w:val="center"/>
            <w:hideMark/>
          </w:tcPr>
          <w:p w14:paraId="6209F8C6" w14:textId="77777777" w:rsidR="006B66E4" w:rsidRPr="00C5347D" w:rsidRDefault="006B66E4" w:rsidP="006B66E4">
            <w:pPr>
              <w:spacing w:after="0"/>
              <w:ind w:left="0" w:firstLine="0"/>
              <w:jc w:val="left"/>
              <w:rPr>
                <w:rFonts w:ascii="Arial Narrow" w:hAnsi="Arial Narrow" w:cs="Arial"/>
                <w:sz w:val="20"/>
              </w:rPr>
            </w:pPr>
            <w:r w:rsidRPr="00C5347D">
              <w:rPr>
                <w:rFonts w:ascii="Arial Narrow" w:hAnsi="Arial Narrow" w:cs="Arial"/>
                <w:sz w:val="20"/>
              </w:rPr>
              <w:t xml:space="preserve">Blocage de la fouille en béton cyclopéen dosé à 350 kg/m3 pour murs y compris ajout du </w:t>
            </w:r>
            <w:proofErr w:type="spellStart"/>
            <w:r w:rsidRPr="00C5347D">
              <w:rPr>
                <w:rFonts w:ascii="Arial Narrow" w:hAnsi="Arial Narrow" w:cs="Arial"/>
                <w:sz w:val="20"/>
              </w:rPr>
              <w:t>sikhalite</w:t>
            </w:r>
            <w:proofErr w:type="spellEnd"/>
            <w:r w:rsidRPr="00C5347D">
              <w:rPr>
                <w:rFonts w:ascii="Arial Narrow" w:hAnsi="Arial Narrow" w:cs="Arial"/>
                <w:sz w:val="20"/>
              </w:rPr>
              <w:t xml:space="preserve"> </w:t>
            </w:r>
          </w:p>
        </w:tc>
        <w:tc>
          <w:tcPr>
            <w:tcW w:w="366" w:type="pct"/>
            <w:shd w:val="clear" w:color="auto" w:fill="auto"/>
            <w:vAlign w:val="center"/>
            <w:hideMark/>
          </w:tcPr>
          <w:p w14:paraId="3399B90B"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m</w:t>
            </w:r>
            <w:r w:rsidRPr="00C5347D">
              <w:rPr>
                <w:rFonts w:ascii="Arial Narrow" w:hAnsi="Arial Narrow" w:cs="Arial"/>
                <w:sz w:val="20"/>
                <w:vertAlign w:val="superscript"/>
              </w:rPr>
              <w:t>3</w:t>
            </w:r>
          </w:p>
        </w:tc>
        <w:tc>
          <w:tcPr>
            <w:tcW w:w="512" w:type="pct"/>
            <w:shd w:val="clear" w:color="auto" w:fill="auto"/>
            <w:vAlign w:val="center"/>
            <w:hideMark/>
          </w:tcPr>
          <w:p w14:paraId="2B5CB12A" w14:textId="77777777" w:rsidR="006B66E4" w:rsidRPr="00A7320B" w:rsidRDefault="006B66E4" w:rsidP="006B66E4">
            <w:pPr>
              <w:spacing w:after="0"/>
              <w:ind w:left="0" w:firstLine="0"/>
              <w:jc w:val="center"/>
              <w:rPr>
                <w:rFonts w:ascii="Arial Narrow" w:hAnsi="Arial Narrow" w:cs="Arial"/>
                <w:sz w:val="20"/>
              </w:rPr>
            </w:pPr>
            <w:r w:rsidRPr="00A7320B">
              <w:rPr>
                <w:rFonts w:ascii="Arial Narrow" w:hAnsi="Arial Narrow" w:cs="Arial"/>
                <w:sz w:val="20"/>
              </w:rPr>
              <w:t>17,80</w:t>
            </w:r>
          </w:p>
        </w:tc>
        <w:tc>
          <w:tcPr>
            <w:tcW w:w="509" w:type="pct"/>
          </w:tcPr>
          <w:p w14:paraId="1E056DC1" w14:textId="77777777" w:rsidR="006B66E4" w:rsidRPr="00C5347D" w:rsidRDefault="006B66E4" w:rsidP="006B66E4">
            <w:pPr>
              <w:spacing w:after="0"/>
              <w:ind w:left="0" w:firstLine="0"/>
              <w:jc w:val="center"/>
              <w:rPr>
                <w:rFonts w:ascii="Arial Narrow" w:hAnsi="Arial Narrow" w:cs="Arial"/>
                <w:sz w:val="20"/>
              </w:rPr>
            </w:pPr>
          </w:p>
        </w:tc>
        <w:tc>
          <w:tcPr>
            <w:tcW w:w="618" w:type="pct"/>
          </w:tcPr>
          <w:p w14:paraId="51504241" w14:textId="77777777" w:rsidR="006B66E4" w:rsidRPr="00C5347D" w:rsidRDefault="006B66E4" w:rsidP="006B66E4">
            <w:pPr>
              <w:spacing w:after="0"/>
              <w:ind w:left="0" w:firstLine="0"/>
              <w:jc w:val="center"/>
              <w:rPr>
                <w:rFonts w:ascii="Arial Narrow" w:hAnsi="Arial Narrow" w:cs="Arial"/>
                <w:sz w:val="20"/>
              </w:rPr>
            </w:pPr>
          </w:p>
        </w:tc>
      </w:tr>
      <w:tr w:rsidR="006B66E4" w:rsidRPr="00C5347D" w14:paraId="7D8C8F4E" w14:textId="77777777" w:rsidTr="00D77BC6">
        <w:trPr>
          <w:trHeight w:val="271"/>
        </w:trPr>
        <w:tc>
          <w:tcPr>
            <w:tcW w:w="269" w:type="pct"/>
            <w:shd w:val="clear" w:color="auto" w:fill="auto"/>
            <w:vAlign w:val="center"/>
            <w:hideMark/>
          </w:tcPr>
          <w:p w14:paraId="24BCD254"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3.4</w:t>
            </w:r>
          </w:p>
        </w:tc>
        <w:tc>
          <w:tcPr>
            <w:tcW w:w="2725" w:type="pct"/>
            <w:shd w:val="clear" w:color="auto" w:fill="auto"/>
            <w:vAlign w:val="center"/>
            <w:hideMark/>
          </w:tcPr>
          <w:p w14:paraId="7ADDB8B4" w14:textId="77777777" w:rsidR="006B66E4" w:rsidRPr="00C5347D" w:rsidRDefault="006B66E4" w:rsidP="006B66E4">
            <w:pPr>
              <w:spacing w:after="0"/>
              <w:ind w:left="0" w:firstLine="0"/>
              <w:jc w:val="left"/>
              <w:rPr>
                <w:rFonts w:ascii="Arial Narrow" w:hAnsi="Arial Narrow" w:cs="Arial"/>
                <w:sz w:val="20"/>
              </w:rPr>
            </w:pPr>
            <w:r w:rsidRPr="00C5347D">
              <w:rPr>
                <w:rFonts w:ascii="Arial Narrow" w:hAnsi="Arial Narrow" w:cs="Arial"/>
                <w:sz w:val="20"/>
              </w:rPr>
              <w:t xml:space="preserve"> Béton cyclopéen en </w:t>
            </w:r>
            <w:proofErr w:type="spellStart"/>
            <w:r w:rsidRPr="00C5347D">
              <w:rPr>
                <w:rFonts w:ascii="Arial Narrow" w:hAnsi="Arial Narrow" w:cs="Arial"/>
                <w:sz w:val="20"/>
              </w:rPr>
              <w:t>élevation</w:t>
            </w:r>
            <w:proofErr w:type="spellEnd"/>
            <w:r w:rsidRPr="00C5347D">
              <w:rPr>
                <w:rFonts w:ascii="Arial Narrow" w:hAnsi="Arial Narrow" w:cs="Arial"/>
                <w:sz w:val="20"/>
              </w:rPr>
              <w:t xml:space="preserve"> dosé à 350 kg/m</w:t>
            </w:r>
            <w:r w:rsidRPr="00C5347D">
              <w:rPr>
                <w:rFonts w:ascii="Arial Narrow" w:hAnsi="Arial Narrow" w:cs="Arial"/>
                <w:sz w:val="20"/>
                <w:vertAlign w:val="superscript"/>
              </w:rPr>
              <w:t>3</w:t>
            </w:r>
            <w:r w:rsidRPr="00C5347D">
              <w:rPr>
                <w:rFonts w:ascii="Arial Narrow" w:hAnsi="Arial Narrow" w:cs="Arial"/>
                <w:sz w:val="20"/>
              </w:rPr>
              <w:t xml:space="preserve"> avec ajout du </w:t>
            </w:r>
            <w:proofErr w:type="spellStart"/>
            <w:r w:rsidRPr="00C5347D">
              <w:rPr>
                <w:rFonts w:ascii="Arial Narrow" w:hAnsi="Arial Narrow" w:cs="Arial"/>
                <w:sz w:val="20"/>
              </w:rPr>
              <w:t>sikhalite</w:t>
            </w:r>
            <w:proofErr w:type="spellEnd"/>
            <w:r w:rsidRPr="00C5347D">
              <w:rPr>
                <w:rFonts w:ascii="Arial Narrow" w:hAnsi="Arial Narrow" w:cs="Arial"/>
                <w:sz w:val="20"/>
              </w:rPr>
              <w:t xml:space="preserve"> pour murs pertuis  y compris ajout du </w:t>
            </w:r>
            <w:proofErr w:type="spellStart"/>
            <w:r w:rsidRPr="00C5347D">
              <w:rPr>
                <w:rFonts w:ascii="Arial Narrow" w:hAnsi="Arial Narrow" w:cs="Arial"/>
                <w:sz w:val="20"/>
              </w:rPr>
              <w:t>sikhalite</w:t>
            </w:r>
            <w:proofErr w:type="spellEnd"/>
            <w:r w:rsidRPr="00C5347D">
              <w:rPr>
                <w:rFonts w:ascii="Arial Narrow" w:hAnsi="Arial Narrow" w:cs="Arial"/>
                <w:sz w:val="20"/>
              </w:rPr>
              <w:t xml:space="preserve"> </w:t>
            </w:r>
          </w:p>
        </w:tc>
        <w:tc>
          <w:tcPr>
            <w:tcW w:w="366" w:type="pct"/>
            <w:shd w:val="clear" w:color="auto" w:fill="auto"/>
            <w:vAlign w:val="center"/>
            <w:hideMark/>
          </w:tcPr>
          <w:p w14:paraId="2703C994"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m</w:t>
            </w:r>
            <w:r w:rsidRPr="00C5347D">
              <w:rPr>
                <w:rFonts w:ascii="Arial Narrow" w:hAnsi="Arial Narrow" w:cs="Arial"/>
                <w:sz w:val="20"/>
                <w:vertAlign w:val="superscript"/>
              </w:rPr>
              <w:t>3</w:t>
            </w:r>
          </w:p>
        </w:tc>
        <w:tc>
          <w:tcPr>
            <w:tcW w:w="512" w:type="pct"/>
            <w:shd w:val="clear" w:color="auto" w:fill="auto"/>
            <w:vAlign w:val="center"/>
            <w:hideMark/>
          </w:tcPr>
          <w:p w14:paraId="5758F3BA" w14:textId="77777777" w:rsidR="006B66E4" w:rsidRPr="00A7320B" w:rsidRDefault="006B66E4" w:rsidP="006B66E4">
            <w:pPr>
              <w:spacing w:after="0"/>
              <w:ind w:left="0" w:firstLine="0"/>
              <w:jc w:val="center"/>
              <w:rPr>
                <w:rFonts w:ascii="Arial Narrow" w:hAnsi="Arial Narrow" w:cs="Arial"/>
                <w:sz w:val="20"/>
              </w:rPr>
            </w:pPr>
            <w:r w:rsidRPr="00A7320B">
              <w:rPr>
                <w:rFonts w:ascii="Arial Narrow" w:hAnsi="Arial Narrow" w:cs="Arial"/>
                <w:sz w:val="20"/>
              </w:rPr>
              <w:t>11,50</w:t>
            </w:r>
          </w:p>
        </w:tc>
        <w:tc>
          <w:tcPr>
            <w:tcW w:w="509" w:type="pct"/>
          </w:tcPr>
          <w:p w14:paraId="0A8B12EC" w14:textId="77777777" w:rsidR="006B66E4" w:rsidRPr="00C5347D" w:rsidRDefault="006B66E4" w:rsidP="006B66E4">
            <w:pPr>
              <w:spacing w:after="0"/>
              <w:ind w:left="0" w:firstLine="0"/>
              <w:jc w:val="center"/>
              <w:rPr>
                <w:rFonts w:ascii="Arial Narrow" w:hAnsi="Arial Narrow" w:cs="Arial"/>
                <w:sz w:val="20"/>
              </w:rPr>
            </w:pPr>
          </w:p>
        </w:tc>
        <w:tc>
          <w:tcPr>
            <w:tcW w:w="618" w:type="pct"/>
          </w:tcPr>
          <w:p w14:paraId="14618DE0" w14:textId="77777777" w:rsidR="006B66E4" w:rsidRPr="00C5347D" w:rsidRDefault="006B66E4" w:rsidP="006B66E4">
            <w:pPr>
              <w:spacing w:after="0"/>
              <w:ind w:left="0" w:firstLine="0"/>
              <w:jc w:val="center"/>
              <w:rPr>
                <w:rFonts w:ascii="Arial Narrow" w:hAnsi="Arial Narrow" w:cs="Arial"/>
                <w:sz w:val="20"/>
              </w:rPr>
            </w:pPr>
          </w:p>
        </w:tc>
      </w:tr>
      <w:tr w:rsidR="006B66E4" w:rsidRPr="00C5347D" w14:paraId="603DD62B" w14:textId="77777777" w:rsidTr="00D77BC6">
        <w:trPr>
          <w:trHeight w:val="305"/>
        </w:trPr>
        <w:tc>
          <w:tcPr>
            <w:tcW w:w="269" w:type="pct"/>
            <w:shd w:val="clear" w:color="auto" w:fill="auto"/>
            <w:vAlign w:val="center"/>
            <w:hideMark/>
          </w:tcPr>
          <w:p w14:paraId="1462A7BD"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3.5</w:t>
            </w:r>
          </w:p>
        </w:tc>
        <w:tc>
          <w:tcPr>
            <w:tcW w:w="2725" w:type="pct"/>
            <w:shd w:val="clear" w:color="auto" w:fill="auto"/>
            <w:vAlign w:val="center"/>
            <w:hideMark/>
          </w:tcPr>
          <w:p w14:paraId="27C9AFA4" w14:textId="77777777" w:rsidR="006B66E4" w:rsidRPr="00C5347D" w:rsidRDefault="006B66E4" w:rsidP="006B66E4">
            <w:pPr>
              <w:spacing w:after="0"/>
              <w:ind w:left="0" w:firstLine="0"/>
              <w:jc w:val="left"/>
              <w:rPr>
                <w:rFonts w:ascii="Arial Narrow" w:hAnsi="Arial Narrow" w:cs="Arial"/>
                <w:sz w:val="20"/>
              </w:rPr>
            </w:pPr>
            <w:r w:rsidRPr="00C5347D">
              <w:rPr>
                <w:rFonts w:ascii="Arial Narrow" w:hAnsi="Arial Narrow" w:cs="Arial"/>
                <w:sz w:val="20"/>
              </w:rPr>
              <w:t xml:space="preserve">Dallage pour </w:t>
            </w:r>
            <w:proofErr w:type="spellStart"/>
            <w:r w:rsidRPr="00C5347D">
              <w:rPr>
                <w:rFonts w:ascii="Arial Narrow" w:hAnsi="Arial Narrow" w:cs="Arial"/>
                <w:sz w:val="20"/>
              </w:rPr>
              <w:t>passerrelle</w:t>
            </w:r>
            <w:proofErr w:type="spellEnd"/>
            <w:r w:rsidRPr="00C5347D">
              <w:rPr>
                <w:rFonts w:ascii="Arial Narrow" w:hAnsi="Arial Narrow" w:cs="Arial"/>
                <w:sz w:val="20"/>
              </w:rPr>
              <w:t xml:space="preserve"> pertuis en béton armé dosé à 350kg/m</w:t>
            </w:r>
            <w:r w:rsidRPr="00C5347D">
              <w:rPr>
                <w:rFonts w:ascii="Arial Narrow" w:hAnsi="Arial Narrow" w:cs="Arial"/>
                <w:sz w:val="20"/>
                <w:vertAlign w:val="superscript"/>
              </w:rPr>
              <w:t>3</w:t>
            </w:r>
            <w:r w:rsidRPr="00C5347D">
              <w:rPr>
                <w:rFonts w:ascii="Arial Narrow" w:hAnsi="Arial Narrow" w:cs="Arial"/>
                <w:sz w:val="20"/>
              </w:rPr>
              <w:t xml:space="preserve"> </w:t>
            </w:r>
          </w:p>
        </w:tc>
        <w:tc>
          <w:tcPr>
            <w:tcW w:w="366" w:type="pct"/>
            <w:shd w:val="clear" w:color="auto" w:fill="auto"/>
            <w:vAlign w:val="center"/>
            <w:hideMark/>
          </w:tcPr>
          <w:p w14:paraId="7F63DFF8"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m</w:t>
            </w:r>
            <w:r w:rsidRPr="00C5347D">
              <w:rPr>
                <w:rFonts w:ascii="Arial Narrow" w:hAnsi="Arial Narrow" w:cs="Arial"/>
                <w:sz w:val="20"/>
                <w:vertAlign w:val="superscript"/>
              </w:rPr>
              <w:t>3</w:t>
            </w:r>
          </w:p>
        </w:tc>
        <w:tc>
          <w:tcPr>
            <w:tcW w:w="512" w:type="pct"/>
            <w:shd w:val="clear" w:color="auto" w:fill="auto"/>
            <w:vAlign w:val="center"/>
            <w:hideMark/>
          </w:tcPr>
          <w:p w14:paraId="3594328B" w14:textId="77777777" w:rsidR="006B66E4" w:rsidRPr="00A7320B" w:rsidRDefault="006B66E4" w:rsidP="006B66E4">
            <w:pPr>
              <w:spacing w:after="0"/>
              <w:ind w:left="0" w:firstLine="0"/>
              <w:jc w:val="center"/>
              <w:rPr>
                <w:rFonts w:ascii="Arial Narrow" w:hAnsi="Arial Narrow" w:cs="Arial"/>
                <w:sz w:val="20"/>
              </w:rPr>
            </w:pPr>
            <w:r w:rsidRPr="00A7320B">
              <w:rPr>
                <w:rFonts w:ascii="Arial Narrow" w:hAnsi="Arial Narrow" w:cs="Arial"/>
                <w:sz w:val="20"/>
              </w:rPr>
              <w:t>4,65</w:t>
            </w:r>
          </w:p>
        </w:tc>
        <w:tc>
          <w:tcPr>
            <w:tcW w:w="509" w:type="pct"/>
          </w:tcPr>
          <w:p w14:paraId="1163C54E" w14:textId="77777777" w:rsidR="006B66E4" w:rsidRPr="00C5347D" w:rsidRDefault="006B66E4" w:rsidP="006B66E4">
            <w:pPr>
              <w:spacing w:after="0"/>
              <w:ind w:left="0" w:firstLine="0"/>
              <w:jc w:val="center"/>
              <w:rPr>
                <w:rFonts w:ascii="Arial Narrow" w:hAnsi="Arial Narrow" w:cs="Arial"/>
                <w:sz w:val="20"/>
              </w:rPr>
            </w:pPr>
          </w:p>
        </w:tc>
        <w:tc>
          <w:tcPr>
            <w:tcW w:w="618" w:type="pct"/>
          </w:tcPr>
          <w:p w14:paraId="3B950DC3" w14:textId="77777777" w:rsidR="006B66E4" w:rsidRPr="00C5347D" w:rsidRDefault="006B66E4" w:rsidP="006B66E4">
            <w:pPr>
              <w:spacing w:after="0"/>
              <w:ind w:left="0" w:firstLine="0"/>
              <w:jc w:val="center"/>
              <w:rPr>
                <w:rFonts w:ascii="Arial Narrow" w:hAnsi="Arial Narrow" w:cs="Arial"/>
                <w:sz w:val="20"/>
              </w:rPr>
            </w:pPr>
          </w:p>
        </w:tc>
      </w:tr>
      <w:tr w:rsidR="006B66E4" w:rsidRPr="00C5347D" w14:paraId="126F25EB" w14:textId="77777777" w:rsidTr="00D77BC6">
        <w:trPr>
          <w:trHeight w:val="410"/>
        </w:trPr>
        <w:tc>
          <w:tcPr>
            <w:tcW w:w="269" w:type="pct"/>
            <w:shd w:val="clear" w:color="auto" w:fill="auto"/>
            <w:vAlign w:val="center"/>
            <w:hideMark/>
          </w:tcPr>
          <w:p w14:paraId="3F4E11C7"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3.6</w:t>
            </w:r>
          </w:p>
        </w:tc>
        <w:tc>
          <w:tcPr>
            <w:tcW w:w="2725" w:type="pct"/>
            <w:shd w:val="clear" w:color="auto" w:fill="auto"/>
            <w:vAlign w:val="center"/>
            <w:hideMark/>
          </w:tcPr>
          <w:p w14:paraId="310CD72F" w14:textId="77777777" w:rsidR="006B66E4" w:rsidRPr="00C5347D" w:rsidRDefault="006B66E4" w:rsidP="006B66E4">
            <w:pPr>
              <w:spacing w:after="0"/>
              <w:ind w:left="0" w:firstLine="0"/>
              <w:jc w:val="left"/>
              <w:rPr>
                <w:rFonts w:ascii="Arial Narrow" w:hAnsi="Arial Narrow" w:cs="Arial"/>
                <w:sz w:val="20"/>
              </w:rPr>
            </w:pPr>
            <w:r w:rsidRPr="00C5347D">
              <w:rPr>
                <w:rFonts w:ascii="Arial Narrow" w:hAnsi="Arial Narrow" w:cs="Arial"/>
                <w:sz w:val="20"/>
              </w:rPr>
              <w:t>Enduit gras dosé à 400 kg/m</w:t>
            </w:r>
            <w:r w:rsidRPr="00C5347D">
              <w:rPr>
                <w:rFonts w:ascii="Arial Narrow" w:hAnsi="Arial Narrow" w:cs="Arial"/>
                <w:sz w:val="20"/>
                <w:vertAlign w:val="superscript"/>
              </w:rPr>
              <w:t>3</w:t>
            </w:r>
            <w:r w:rsidRPr="00C5347D">
              <w:rPr>
                <w:rFonts w:ascii="Arial Narrow" w:hAnsi="Arial Narrow" w:cs="Arial"/>
                <w:sz w:val="20"/>
              </w:rPr>
              <w:t xml:space="preserve"> pour les murs pertuis avec ajout du </w:t>
            </w:r>
            <w:proofErr w:type="spellStart"/>
            <w:r w:rsidRPr="00C5347D">
              <w:rPr>
                <w:rFonts w:ascii="Arial Narrow" w:hAnsi="Arial Narrow" w:cs="Arial"/>
                <w:sz w:val="20"/>
              </w:rPr>
              <w:t>sikhalite</w:t>
            </w:r>
            <w:proofErr w:type="spellEnd"/>
            <w:r w:rsidRPr="00C5347D">
              <w:rPr>
                <w:rFonts w:ascii="Arial Narrow" w:hAnsi="Arial Narrow" w:cs="Arial"/>
                <w:sz w:val="20"/>
              </w:rPr>
              <w:t xml:space="preserve"> </w:t>
            </w:r>
          </w:p>
        </w:tc>
        <w:tc>
          <w:tcPr>
            <w:tcW w:w="366" w:type="pct"/>
            <w:shd w:val="clear" w:color="auto" w:fill="auto"/>
            <w:vAlign w:val="center"/>
            <w:hideMark/>
          </w:tcPr>
          <w:p w14:paraId="54A80263"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m</w:t>
            </w:r>
            <w:r w:rsidRPr="00C5347D">
              <w:rPr>
                <w:rFonts w:ascii="Arial Narrow" w:hAnsi="Arial Narrow" w:cs="Arial"/>
                <w:sz w:val="20"/>
                <w:vertAlign w:val="superscript"/>
              </w:rPr>
              <w:t>2</w:t>
            </w:r>
          </w:p>
        </w:tc>
        <w:tc>
          <w:tcPr>
            <w:tcW w:w="512" w:type="pct"/>
            <w:shd w:val="clear" w:color="auto" w:fill="auto"/>
            <w:vAlign w:val="center"/>
            <w:hideMark/>
          </w:tcPr>
          <w:p w14:paraId="4C706169" w14:textId="77777777" w:rsidR="006B66E4" w:rsidRPr="00A7320B" w:rsidRDefault="006B66E4" w:rsidP="006B66E4">
            <w:pPr>
              <w:spacing w:after="0"/>
              <w:ind w:left="0" w:firstLine="0"/>
              <w:jc w:val="center"/>
              <w:rPr>
                <w:rFonts w:ascii="Arial Narrow" w:hAnsi="Arial Narrow" w:cs="Arial"/>
                <w:sz w:val="20"/>
              </w:rPr>
            </w:pPr>
            <w:r w:rsidRPr="00A7320B">
              <w:rPr>
                <w:rFonts w:ascii="Arial Narrow" w:hAnsi="Arial Narrow" w:cs="Arial"/>
                <w:sz w:val="20"/>
              </w:rPr>
              <w:t>62,20</w:t>
            </w:r>
          </w:p>
        </w:tc>
        <w:tc>
          <w:tcPr>
            <w:tcW w:w="509" w:type="pct"/>
          </w:tcPr>
          <w:p w14:paraId="0E55E3FF" w14:textId="77777777" w:rsidR="006B66E4" w:rsidRPr="00C5347D" w:rsidRDefault="006B66E4" w:rsidP="006B66E4">
            <w:pPr>
              <w:spacing w:after="0"/>
              <w:ind w:left="0" w:firstLine="0"/>
              <w:jc w:val="center"/>
              <w:rPr>
                <w:rFonts w:ascii="Arial Narrow" w:hAnsi="Arial Narrow" w:cs="Arial"/>
                <w:sz w:val="20"/>
              </w:rPr>
            </w:pPr>
          </w:p>
        </w:tc>
        <w:tc>
          <w:tcPr>
            <w:tcW w:w="618" w:type="pct"/>
          </w:tcPr>
          <w:p w14:paraId="101861DD" w14:textId="77777777" w:rsidR="006B66E4" w:rsidRPr="00C5347D" w:rsidRDefault="006B66E4" w:rsidP="006B66E4">
            <w:pPr>
              <w:spacing w:after="0"/>
              <w:ind w:left="0" w:firstLine="0"/>
              <w:jc w:val="center"/>
              <w:rPr>
                <w:rFonts w:ascii="Arial Narrow" w:hAnsi="Arial Narrow" w:cs="Arial"/>
                <w:sz w:val="20"/>
              </w:rPr>
            </w:pPr>
          </w:p>
        </w:tc>
      </w:tr>
      <w:tr w:rsidR="006B66E4" w:rsidRPr="00C5347D" w14:paraId="590649CA" w14:textId="77777777" w:rsidTr="00D77BC6">
        <w:trPr>
          <w:trHeight w:val="528"/>
        </w:trPr>
        <w:tc>
          <w:tcPr>
            <w:tcW w:w="269" w:type="pct"/>
            <w:shd w:val="clear" w:color="auto" w:fill="auto"/>
            <w:vAlign w:val="center"/>
            <w:hideMark/>
          </w:tcPr>
          <w:p w14:paraId="4D0E588D"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3.7</w:t>
            </w:r>
          </w:p>
        </w:tc>
        <w:tc>
          <w:tcPr>
            <w:tcW w:w="2725" w:type="pct"/>
            <w:shd w:val="clear" w:color="auto" w:fill="auto"/>
            <w:vAlign w:val="center"/>
            <w:hideMark/>
          </w:tcPr>
          <w:p w14:paraId="3A67EB32" w14:textId="77777777" w:rsidR="006B66E4" w:rsidRPr="00C5347D" w:rsidRDefault="006B66E4" w:rsidP="006B66E4">
            <w:pPr>
              <w:spacing w:after="0"/>
              <w:ind w:left="0" w:firstLine="0"/>
              <w:jc w:val="left"/>
              <w:rPr>
                <w:rFonts w:ascii="Arial Narrow" w:hAnsi="Arial Narrow" w:cs="Arial"/>
                <w:sz w:val="20"/>
              </w:rPr>
            </w:pPr>
            <w:r w:rsidRPr="00C5347D">
              <w:rPr>
                <w:rFonts w:ascii="Arial Narrow" w:hAnsi="Arial Narrow" w:cs="Arial"/>
                <w:sz w:val="20"/>
              </w:rPr>
              <w:t>Fourniture et pose de profilé UPN100 pour rainure des batardeaux façonné en cadre U (1,70 m x0</w:t>
            </w:r>
            <w:proofErr w:type="gramStart"/>
            <w:r w:rsidRPr="00C5347D">
              <w:rPr>
                <w:rFonts w:ascii="Arial Narrow" w:hAnsi="Arial Narrow" w:cs="Arial"/>
                <w:sz w:val="20"/>
              </w:rPr>
              <w:t>,60m</w:t>
            </w:r>
            <w:proofErr w:type="gramEnd"/>
            <w:r w:rsidRPr="00C5347D">
              <w:rPr>
                <w:rFonts w:ascii="Arial Narrow" w:hAnsi="Arial Narrow" w:cs="Arial"/>
                <w:sz w:val="20"/>
              </w:rPr>
              <w:t>)</w:t>
            </w:r>
          </w:p>
        </w:tc>
        <w:tc>
          <w:tcPr>
            <w:tcW w:w="366" w:type="pct"/>
            <w:shd w:val="clear" w:color="auto" w:fill="auto"/>
            <w:vAlign w:val="center"/>
            <w:hideMark/>
          </w:tcPr>
          <w:p w14:paraId="3FB6AC10"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U</w:t>
            </w:r>
          </w:p>
        </w:tc>
        <w:tc>
          <w:tcPr>
            <w:tcW w:w="512" w:type="pct"/>
            <w:shd w:val="clear" w:color="auto" w:fill="auto"/>
            <w:vAlign w:val="center"/>
            <w:hideMark/>
          </w:tcPr>
          <w:p w14:paraId="5DF3C5EA" w14:textId="77777777" w:rsidR="006B66E4" w:rsidRPr="00A7320B" w:rsidRDefault="006B66E4" w:rsidP="006B66E4">
            <w:pPr>
              <w:spacing w:after="0"/>
              <w:ind w:left="0" w:firstLine="0"/>
              <w:jc w:val="center"/>
              <w:rPr>
                <w:rFonts w:ascii="Arial Narrow" w:hAnsi="Arial Narrow" w:cs="Arial"/>
                <w:sz w:val="20"/>
              </w:rPr>
            </w:pPr>
            <w:r w:rsidRPr="00A7320B">
              <w:rPr>
                <w:rFonts w:ascii="Arial Narrow" w:hAnsi="Arial Narrow" w:cs="Arial"/>
                <w:sz w:val="20"/>
              </w:rPr>
              <w:t>10,00</w:t>
            </w:r>
          </w:p>
        </w:tc>
        <w:tc>
          <w:tcPr>
            <w:tcW w:w="509" w:type="pct"/>
          </w:tcPr>
          <w:p w14:paraId="6BFC959F" w14:textId="77777777" w:rsidR="006B66E4" w:rsidRPr="00C5347D" w:rsidRDefault="006B66E4" w:rsidP="006B66E4">
            <w:pPr>
              <w:spacing w:after="0"/>
              <w:ind w:left="0" w:firstLine="0"/>
              <w:jc w:val="center"/>
              <w:rPr>
                <w:rFonts w:ascii="Arial Narrow" w:hAnsi="Arial Narrow" w:cs="Arial"/>
                <w:sz w:val="20"/>
              </w:rPr>
            </w:pPr>
          </w:p>
        </w:tc>
        <w:tc>
          <w:tcPr>
            <w:tcW w:w="618" w:type="pct"/>
          </w:tcPr>
          <w:p w14:paraId="5404D904" w14:textId="77777777" w:rsidR="006B66E4" w:rsidRPr="00C5347D" w:rsidRDefault="006B66E4" w:rsidP="006B66E4">
            <w:pPr>
              <w:spacing w:after="0"/>
              <w:ind w:left="0" w:firstLine="0"/>
              <w:jc w:val="center"/>
              <w:rPr>
                <w:rFonts w:ascii="Arial Narrow" w:hAnsi="Arial Narrow" w:cs="Arial"/>
                <w:sz w:val="20"/>
              </w:rPr>
            </w:pPr>
          </w:p>
        </w:tc>
      </w:tr>
      <w:tr w:rsidR="006B66E4" w:rsidRPr="00C5347D" w14:paraId="1D7CC306" w14:textId="77777777" w:rsidTr="00D77BC6">
        <w:trPr>
          <w:trHeight w:val="264"/>
        </w:trPr>
        <w:tc>
          <w:tcPr>
            <w:tcW w:w="269" w:type="pct"/>
            <w:shd w:val="clear" w:color="auto" w:fill="auto"/>
            <w:vAlign w:val="center"/>
            <w:hideMark/>
          </w:tcPr>
          <w:p w14:paraId="6149B454"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3.8</w:t>
            </w:r>
          </w:p>
        </w:tc>
        <w:tc>
          <w:tcPr>
            <w:tcW w:w="2725" w:type="pct"/>
            <w:shd w:val="clear" w:color="auto" w:fill="auto"/>
            <w:vAlign w:val="center"/>
            <w:hideMark/>
          </w:tcPr>
          <w:p w14:paraId="6397F492" w14:textId="77777777" w:rsidR="006B66E4" w:rsidRPr="00C5347D" w:rsidRDefault="006B66E4" w:rsidP="006B66E4">
            <w:pPr>
              <w:spacing w:after="0"/>
              <w:ind w:left="0" w:firstLine="0"/>
              <w:jc w:val="left"/>
              <w:rPr>
                <w:rFonts w:ascii="Arial Narrow" w:hAnsi="Arial Narrow" w:cs="Arial"/>
                <w:sz w:val="20"/>
              </w:rPr>
            </w:pPr>
            <w:r w:rsidRPr="00C5347D">
              <w:rPr>
                <w:rFonts w:ascii="Arial Narrow" w:hAnsi="Arial Narrow" w:cs="Arial"/>
                <w:sz w:val="20"/>
              </w:rPr>
              <w:t xml:space="preserve">F/P  Batardeaux 170 x25 y compris protection </w:t>
            </w:r>
            <w:proofErr w:type="spellStart"/>
            <w:r w:rsidRPr="00C5347D">
              <w:rPr>
                <w:rFonts w:ascii="Arial Narrow" w:hAnsi="Arial Narrow" w:cs="Arial"/>
                <w:sz w:val="20"/>
              </w:rPr>
              <w:t>anti-rouille</w:t>
            </w:r>
            <w:proofErr w:type="spellEnd"/>
          </w:p>
        </w:tc>
        <w:tc>
          <w:tcPr>
            <w:tcW w:w="366" w:type="pct"/>
            <w:shd w:val="clear" w:color="auto" w:fill="auto"/>
            <w:vAlign w:val="center"/>
            <w:hideMark/>
          </w:tcPr>
          <w:p w14:paraId="578E811F"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U</w:t>
            </w:r>
          </w:p>
        </w:tc>
        <w:tc>
          <w:tcPr>
            <w:tcW w:w="512" w:type="pct"/>
            <w:shd w:val="clear" w:color="auto" w:fill="auto"/>
            <w:vAlign w:val="center"/>
            <w:hideMark/>
          </w:tcPr>
          <w:p w14:paraId="10FC5450" w14:textId="77777777" w:rsidR="006B66E4" w:rsidRPr="00A7320B" w:rsidRDefault="006B66E4" w:rsidP="006B66E4">
            <w:pPr>
              <w:spacing w:after="0"/>
              <w:ind w:left="0" w:firstLine="0"/>
              <w:jc w:val="center"/>
              <w:rPr>
                <w:rFonts w:ascii="Arial Narrow" w:hAnsi="Arial Narrow" w:cs="Arial"/>
                <w:sz w:val="20"/>
              </w:rPr>
            </w:pPr>
            <w:r w:rsidRPr="00A7320B">
              <w:rPr>
                <w:rFonts w:ascii="Arial Narrow" w:hAnsi="Arial Narrow" w:cs="Arial"/>
                <w:sz w:val="20"/>
              </w:rPr>
              <w:t>20,00</w:t>
            </w:r>
          </w:p>
        </w:tc>
        <w:tc>
          <w:tcPr>
            <w:tcW w:w="509" w:type="pct"/>
          </w:tcPr>
          <w:p w14:paraId="3B3B3091" w14:textId="77777777" w:rsidR="006B66E4" w:rsidRPr="00C5347D" w:rsidRDefault="006B66E4" w:rsidP="006B66E4">
            <w:pPr>
              <w:spacing w:after="0"/>
              <w:ind w:left="0" w:firstLine="0"/>
              <w:jc w:val="center"/>
              <w:rPr>
                <w:rFonts w:ascii="Arial Narrow" w:hAnsi="Arial Narrow" w:cs="Arial"/>
                <w:sz w:val="20"/>
              </w:rPr>
            </w:pPr>
          </w:p>
        </w:tc>
        <w:tc>
          <w:tcPr>
            <w:tcW w:w="618" w:type="pct"/>
          </w:tcPr>
          <w:p w14:paraId="68C30AA8" w14:textId="77777777" w:rsidR="006B66E4" w:rsidRPr="00C5347D" w:rsidRDefault="006B66E4" w:rsidP="006B66E4">
            <w:pPr>
              <w:spacing w:after="0"/>
              <w:ind w:left="0" w:firstLine="0"/>
              <w:jc w:val="center"/>
              <w:rPr>
                <w:rFonts w:ascii="Arial Narrow" w:hAnsi="Arial Narrow" w:cs="Arial"/>
                <w:sz w:val="20"/>
              </w:rPr>
            </w:pPr>
          </w:p>
        </w:tc>
      </w:tr>
      <w:tr w:rsidR="006B66E4" w:rsidRPr="00C5347D" w14:paraId="382596DD" w14:textId="77777777" w:rsidTr="00D77BC6">
        <w:trPr>
          <w:trHeight w:val="528"/>
        </w:trPr>
        <w:tc>
          <w:tcPr>
            <w:tcW w:w="269" w:type="pct"/>
            <w:shd w:val="clear" w:color="auto" w:fill="auto"/>
            <w:vAlign w:val="center"/>
            <w:hideMark/>
          </w:tcPr>
          <w:p w14:paraId="5652778C"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3.9</w:t>
            </w:r>
          </w:p>
        </w:tc>
        <w:tc>
          <w:tcPr>
            <w:tcW w:w="2725" w:type="pct"/>
            <w:shd w:val="clear" w:color="auto" w:fill="auto"/>
            <w:vAlign w:val="center"/>
            <w:hideMark/>
          </w:tcPr>
          <w:p w14:paraId="34C122CE" w14:textId="77777777" w:rsidR="006B66E4" w:rsidRPr="00C5347D" w:rsidRDefault="006B66E4" w:rsidP="006B66E4">
            <w:pPr>
              <w:spacing w:after="0"/>
              <w:ind w:left="0" w:firstLine="0"/>
              <w:jc w:val="left"/>
              <w:rPr>
                <w:rFonts w:ascii="Arial Narrow" w:hAnsi="Arial Narrow" w:cs="Arial"/>
                <w:sz w:val="20"/>
              </w:rPr>
            </w:pPr>
            <w:r w:rsidRPr="00C5347D">
              <w:rPr>
                <w:rFonts w:ascii="Arial Narrow" w:hAnsi="Arial Narrow" w:cs="Arial"/>
                <w:sz w:val="20"/>
              </w:rPr>
              <w:t xml:space="preserve">Echelle </w:t>
            </w:r>
            <w:proofErr w:type="spellStart"/>
            <w:r w:rsidRPr="00C5347D">
              <w:rPr>
                <w:rFonts w:ascii="Arial Narrow" w:hAnsi="Arial Narrow" w:cs="Arial"/>
                <w:sz w:val="20"/>
              </w:rPr>
              <w:t>limnimétrique</w:t>
            </w:r>
            <w:proofErr w:type="spellEnd"/>
            <w:r w:rsidRPr="00C5347D">
              <w:rPr>
                <w:rFonts w:ascii="Arial Narrow" w:hAnsi="Arial Narrow" w:cs="Arial"/>
                <w:sz w:val="20"/>
              </w:rPr>
              <w:t xml:space="preserve"> </w:t>
            </w:r>
            <w:proofErr w:type="gramStart"/>
            <w:r w:rsidRPr="00C5347D">
              <w:rPr>
                <w:rFonts w:ascii="Arial Narrow" w:hAnsi="Arial Narrow" w:cs="Arial"/>
                <w:sz w:val="20"/>
              </w:rPr>
              <w:t>a</w:t>
            </w:r>
            <w:proofErr w:type="gramEnd"/>
            <w:r w:rsidRPr="00C5347D">
              <w:rPr>
                <w:rFonts w:ascii="Arial Narrow" w:hAnsi="Arial Narrow" w:cs="Arial"/>
                <w:sz w:val="20"/>
              </w:rPr>
              <w:t xml:space="preserve"> sceller dans un ouvrage en béton y compris et toutes sujétions comprises</w:t>
            </w:r>
          </w:p>
        </w:tc>
        <w:tc>
          <w:tcPr>
            <w:tcW w:w="366" w:type="pct"/>
            <w:shd w:val="clear" w:color="auto" w:fill="auto"/>
            <w:vAlign w:val="center"/>
            <w:hideMark/>
          </w:tcPr>
          <w:p w14:paraId="706116B8"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U</w:t>
            </w:r>
          </w:p>
        </w:tc>
        <w:tc>
          <w:tcPr>
            <w:tcW w:w="512" w:type="pct"/>
            <w:shd w:val="clear" w:color="auto" w:fill="auto"/>
            <w:vAlign w:val="center"/>
            <w:hideMark/>
          </w:tcPr>
          <w:p w14:paraId="57B18189" w14:textId="77777777" w:rsidR="006B66E4" w:rsidRPr="00A7320B" w:rsidRDefault="006B66E4" w:rsidP="006B66E4">
            <w:pPr>
              <w:spacing w:after="0"/>
              <w:ind w:left="0" w:firstLine="0"/>
              <w:jc w:val="center"/>
              <w:rPr>
                <w:rFonts w:ascii="Arial Narrow" w:hAnsi="Arial Narrow" w:cs="Arial"/>
                <w:sz w:val="20"/>
              </w:rPr>
            </w:pPr>
            <w:r w:rsidRPr="00A7320B">
              <w:rPr>
                <w:rFonts w:ascii="Arial Narrow" w:hAnsi="Arial Narrow" w:cs="Arial"/>
                <w:sz w:val="20"/>
              </w:rPr>
              <w:t>3,00</w:t>
            </w:r>
          </w:p>
        </w:tc>
        <w:tc>
          <w:tcPr>
            <w:tcW w:w="509" w:type="pct"/>
          </w:tcPr>
          <w:p w14:paraId="4FC345CD" w14:textId="77777777" w:rsidR="006B66E4" w:rsidRPr="00C5347D" w:rsidRDefault="006B66E4" w:rsidP="006B66E4">
            <w:pPr>
              <w:spacing w:after="0"/>
              <w:ind w:left="0" w:firstLine="0"/>
              <w:jc w:val="center"/>
              <w:rPr>
                <w:rFonts w:ascii="Arial Narrow" w:hAnsi="Arial Narrow" w:cs="Arial"/>
                <w:sz w:val="20"/>
              </w:rPr>
            </w:pPr>
          </w:p>
        </w:tc>
        <w:tc>
          <w:tcPr>
            <w:tcW w:w="618" w:type="pct"/>
          </w:tcPr>
          <w:p w14:paraId="1159ABEE" w14:textId="77777777" w:rsidR="006B66E4" w:rsidRPr="00C5347D" w:rsidRDefault="006B66E4" w:rsidP="006B66E4">
            <w:pPr>
              <w:spacing w:after="0"/>
              <w:ind w:left="0" w:firstLine="0"/>
              <w:jc w:val="center"/>
              <w:rPr>
                <w:rFonts w:ascii="Arial Narrow" w:hAnsi="Arial Narrow" w:cs="Arial"/>
                <w:sz w:val="20"/>
              </w:rPr>
            </w:pPr>
          </w:p>
        </w:tc>
      </w:tr>
      <w:tr w:rsidR="006B66E4" w:rsidRPr="00C5347D" w14:paraId="61C1347C" w14:textId="77777777" w:rsidTr="00D77BC6">
        <w:trPr>
          <w:trHeight w:val="264"/>
        </w:trPr>
        <w:tc>
          <w:tcPr>
            <w:tcW w:w="269" w:type="pct"/>
            <w:shd w:val="clear" w:color="auto" w:fill="auto"/>
            <w:vAlign w:val="center"/>
            <w:hideMark/>
          </w:tcPr>
          <w:p w14:paraId="1519681E"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 </w:t>
            </w:r>
          </w:p>
        </w:tc>
        <w:tc>
          <w:tcPr>
            <w:tcW w:w="2725" w:type="pct"/>
            <w:shd w:val="clear" w:color="auto" w:fill="auto"/>
            <w:vAlign w:val="center"/>
            <w:hideMark/>
          </w:tcPr>
          <w:p w14:paraId="0ABBF37C" w14:textId="77777777" w:rsidR="006B66E4" w:rsidRPr="00C5347D" w:rsidRDefault="006B66E4" w:rsidP="006B66E4">
            <w:pPr>
              <w:spacing w:after="0"/>
              <w:ind w:left="0" w:firstLine="0"/>
              <w:jc w:val="right"/>
              <w:rPr>
                <w:rFonts w:ascii="Arial Narrow" w:hAnsi="Arial Narrow" w:cs="Arial"/>
                <w:b/>
                <w:bCs/>
                <w:sz w:val="20"/>
              </w:rPr>
            </w:pPr>
            <w:r w:rsidRPr="00C5347D">
              <w:rPr>
                <w:rFonts w:ascii="Arial Narrow" w:hAnsi="Arial Narrow" w:cs="Arial"/>
                <w:b/>
                <w:bCs/>
                <w:sz w:val="20"/>
              </w:rPr>
              <w:t>Total Série 3</w:t>
            </w:r>
          </w:p>
        </w:tc>
        <w:tc>
          <w:tcPr>
            <w:tcW w:w="366" w:type="pct"/>
            <w:shd w:val="clear" w:color="auto" w:fill="auto"/>
            <w:vAlign w:val="center"/>
            <w:hideMark/>
          </w:tcPr>
          <w:p w14:paraId="67789271" w14:textId="77777777" w:rsidR="006B66E4" w:rsidRPr="00C5347D" w:rsidRDefault="006B66E4" w:rsidP="006B66E4">
            <w:pPr>
              <w:spacing w:after="0"/>
              <w:ind w:left="0" w:firstLine="0"/>
              <w:jc w:val="center"/>
              <w:rPr>
                <w:rFonts w:ascii="Arial Narrow" w:hAnsi="Arial Narrow" w:cs="Arial"/>
                <w:b/>
                <w:bCs/>
                <w:sz w:val="20"/>
              </w:rPr>
            </w:pPr>
            <w:r w:rsidRPr="00C5347D">
              <w:rPr>
                <w:rFonts w:ascii="Arial Narrow" w:hAnsi="Arial Narrow" w:cs="Arial"/>
                <w:b/>
                <w:bCs/>
                <w:sz w:val="20"/>
              </w:rPr>
              <w:t> </w:t>
            </w:r>
          </w:p>
        </w:tc>
        <w:tc>
          <w:tcPr>
            <w:tcW w:w="512" w:type="pct"/>
            <w:shd w:val="clear" w:color="auto" w:fill="auto"/>
            <w:vAlign w:val="center"/>
            <w:hideMark/>
          </w:tcPr>
          <w:p w14:paraId="1796F450" w14:textId="77777777" w:rsidR="006B66E4" w:rsidRPr="00A7320B" w:rsidRDefault="006B66E4" w:rsidP="006B66E4">
            <w:pPr>
              <w:spacing w:after="0"/>
              <w:ind w:left="0" w:firstLine="0"/>
              <w:jc w:val="center"/>
              <w:rPr>
                <w:rFonts w:ascii="Arial Narrow" w:hAnsi="Arial Narrow" w:cs="Arial"/>
                <w:b/>
                <w:bCs/>
                <w:sz w:val="20"/>
              </w:rPr>
            </w:pPr>
            <w:r w:rsidRPr="00A7320B">
              <w:rPr>
                <w:rFonts w:ascii="Arial Narrow" w:hAnsi="Arial Narrow" w:cs="Arial"/>
                <w:b/>
                <w:bCs/>
                <w:sz w:val="20"/>
              </w:rPr>
              <w:t> </w:t>
            </w:r>
          </w:p>
        </w:tc>
        <w:tc>
          <w:tcPr>
            <w:tcW w:w="509" w:type="pct"/>
          </w:tcPr>
          <w:p w14:paraId="15274CD3" w14:textId="77777777" w:rsidR="006B66E4" w:rsidRPr="00C5347D" w:rsidRDefault="006B66E4" w:rsidP="006B66E4">
            <w:pPr>
              <w:spacing w:after="0"/>
              <w:ind w:left="0" w:firstLine="0"/>
              <w:jc w:val="center"/>
              <w:rPr>
                <w:rFonts w:ascii="Arial Narrow" w:hAnsi="Arial Narrow" w:cs="Arial"/>
                <w:b/>
                <w:bCs/>
                <w:sz w:val="20"/>
              </w:rPr>
            </w:pPr>
          </w:p>
        </w:tc>
        <w:tc>
          <w:tcPr>
            <w:tcW w:w="618" w:type="pct"/>
          </w:tcPr>
          <w:p w14:paraId="1FBAF121" w14:textId="77777777" w:rsidR="006B66E4" w:rsidRPr="00C5347D" w:rsidRDefault="006B66E4" w:rsidP="006B66E4">
            <w:pPr>
              <w:spacing w:after="0"/>
              <w:ind w:left="0" w:firstLine="0"/>
              <w:jc w:val="center"/>
              <w:rPr>
                <w:rFonts w:ascii="Arial Narrow" w:hAnsi="Arial Narrow" w:cs="Arial"/>
                <w:b/>
                <w:bCs/>
                <w:sz w:val="20"/>
              </w:rPr>
            </w:pPr>
          </w:p>
        </w:tc>
      </w:tr>
      <w:tr w:rsidR="006B66E4" w:rsidRPr="00C5347D" w14:paraId="32834718" w14:textId="77777777" w:rsidTr="00D77BC6">
        <w:trPr>
          <w:trHeight w:val="268"/>
        </w:trPr>
        <w:tc>
          <w:tcPr>
            <w:tcW w:w="269" w:type="pct"/>
            <w:shd w:val="clear" w:color="auto" w:fill="auto"/>
            <w:vAlign w:val="center"/>
            <w:hideMark/>
          </w:tcPr>
          <w:p w14:paraId="4C076D69"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 </w:t>
            </w:r>
          </w:p>
        </w:tc>
        <w:tc>
          <w:tcPr>
            <w:tcW w:w="2725" w:type="pct"/>
            <w:shd w:val="clear" w:color="auto" w:fill="auto"/>
            <w:vAlign w:val="center"/>
            <w:hideMark/>
          </w:tcPr>
          <w:p w14:paraId="53FD325B" w14:textId="77777777" w:rsidR="006B66E4" w:rsidRPr="00C5347D" w:rsidRDefault="006B66E4" w:rsidP="006B66E4">
            <w:pPr>
              <w:spacing w:after="0"/>
              <w:ind w:left="0" w:firstLine="0"/>
              <w:jc w:val="left"/>
              <w:rPr>
                <w:rFonts w:ascii="Arial Narrow" w:hAnsi="Arial Narrow" w:cs="Arial"/>
                <w:b/>
                <w:bCs/>
                <w:sz w:val="20"/>
              </w:rPr>
            </w:pPr>
            <w:r w:rsidRPr="00C5347D">
              <w:rPr>
                <w:rFonts w:ascii="Arial Narrow" w:hAnsi="Arial Narrow" w:cs="Arial"/>
                <w:b/>
                <w:bCs/>
                <w:sz w:val="20"/>
              </w:rPr>
              <w:t>Série IV - BASSIN DE DISSIPATION ET PROTECTION AVALE</w:t>
            </w:r>
          </w:p>
        </w:tc>
        <w:tc>
          <w:tcPr>
            <w:tcW w:w="366" w:type="pct"/>
            <w:shd w:val="clear" w:color="auto" w:fill="auto"/>
            <w:vAlign w:val="center"/>
            <w:hideMark/>
          </w:tcPr>
          <w:p w14:paraId="3381A566"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 </w:t>
            </w:r>
          </w:p>
        </w:tc>
        <w:tc>
          <w:tcPr>
            <w:tcW w:w="512" w:type="pct"/>
            <w:shd w:val="clear" w:color="auto" w:fill="auto"/>
            <w:vAlign w:val="center"/>
            <w:hideMark/>
          </w:tcPr>
          <w:p w14:paraId="0FB319D1" w14:textId="77777777" w:rsidR="006B66E4" w:rsidRPr="00A7320B" w:rsidRDefault="006B66E4" w:rsidP="006B66E4">
            <w:pPr>
              <w:spacing w:after="0"/>
              <w:ind w:left="0" w:firstLine="0"/>
              <w:jc w:val="center"/>
              <w:rPr>
                <w:rFonts w:ascii="Arial Narrow" w:hAnsi="Arial Narrow" w:cs="Arial"/>
                <w:sz w:val="20"/>
              </w:rPr>
            </w:pPr>
            <w:r w:rsidRPr="00A7320B">
              <w:rPr>
                <w:rFonts w:ascii="Arial Narrow" w:hAnsi="Arial Narrow" w:cs="Arial"/>
                <w:sz w:val="20"/>
              </w:rPr>
              <w:t> </w:t>
            </w:r>
          </w:p>
        </w:tc>
        <w:tc>
          <w:tcPr>
            <w:tcW w:w="509" w:type="pct"/>
          </w:tcPr>
          <w:p w14:paraId="64F21FA5" w14:textId="77777777" w:rsidR="006B66E4" w:rsidRPr="00C5347D" w:rsidRDefault="006B66E4" w:rsidP="006B66E4">
            <w:pPr>
              <w:spacing w:after="0"/>
              <w:ind w:left="0" w:firstLine="0"/>
              <w:jc w:val="center"/>
              <w:rPr>
                <w:rFonts w:ascii="Arial Narrow" w:hAnsi="Arial Narrow" w:cs="Arial"/>
                <w:sz w:val="20"/>
              </w:rPr>
            </w:pPr>
          </w:p>
        </w:tc>
        <w:tc>
          <w:tcPr>
            <w:tcW w:w="618" w:type="pct"/>
          </w:tcPr>
          <w:p w14:paraId="37B4EA0A" w14:textId="77777777" w:rsidR="006B66E4" w:rsidRPr="00C5347D" w:rsidRDefault="006B66E4" w:rsidP="006B66E4">
            <w:pPr>
              <w:spacing w:after="0"/>
              <w:ind w:left="0" w:firstLine="0"/>
              <w:jc w:val="center"/>
              <w:rPr>
                <w:rFonts w:ascii="Arial Narrow" w:hAnsi="Arial Narrow" w:cs="Arial"/>
                <w:sz w:val="20"/>
              </w:rPr>
            </w:pPr>
          </w:p>
        </w:tc>
      </w:tr>
      <w:tr w:rsidR="006B66E4" w:rsidRPr="00C5347D" w14:paraId="7228EA43" w14:textId="77777777" w:rsidTr="00D77BC6">
        <w:trPr>
          <w:trHeight w:val="312"/>
        </w:trPr>
        <w:tc>
          <w:tcPr>
            <w:tcW w:w="269" w:type="pct"/>
            <w:shd w:val="clear" w:color="auto" w:fill="auto"/>
            <w:vAlign w:val="center"/>
            <w:hideMark/>
          </w:tcPr>
          <w:p w14:paraId="714B25CE"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4.1</w:t>
            </w:r>
          </w:p>
        </w:tc>
        <w:tc>
          <w:tcPr>
            <w:tcW w:w="2725" w:type="pct"/>
            <w:shd w:val="clear" w:color="auto" w:fill="auto"/>
            <w:vAlign w:val="center"/>
            <w:hideMark/>
          </w:tcPr>
          <w:p w14:paraId="6AF6319D" w14:textId="77777777" w:rsidR="006B66E4" w:rsidRPr="00C5347D" w:rsidRDefault="006B66E4" w:rsidP="006B66E4">
            <w:pPr>
              <w:spacing w:after="0"/>
              <w:ind w:left="0" w:firstLine="0"/>
              <w:jc w:val="left"/>
              <w:rPr>
                <w:rFonts w:ascii="Arial Narrow" w:hAnsi="Arial Narrow" w:cs="Arial"/>
                <w:sz w:val="20"/>
              </w:rPr>
            </w:pPr>
            <w:r w:rsidRPr="00C5347D">
              <w:rPr>
                <w:rFonts w:ascii="Arial Narrow" w:hAnsi="Arial Narrow" w:cs="Arial"/>
                <w:sz w:val="20"/>
              </w:rPr>
              <w:t>Fouille pour bassin, murs de séparation et butées</w:t>
            </w:r>
          </w:p>
        </w:tc>
        <w:tc>
          <w:tcPr>
            <w:tcW w:w="366" w:type="pct"/>
            <w:shd w:val="clear" w:color="auto" w:fill="auto"/>
            <w:vAlign w:val="center"/>
            <w:hideMark/>
          </w:tcPr>
          <w:p w14:paraId="01DA55E4"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m</w:t>
            </w:r>
            <w:r w:rsidRPr="00C5347D">
              <w:rPr>
                <w:rFonts w:ascii="Arial Narrow" w:hAnsi="Arial Narrow" w:cs="Arial"/>
                <w:sz w:val="20"/>
                <w:vertAlign w:val="superscript"/>
              </w:rPr>
              <w:t>3</w:t>
            </w:r>
          </w:p>
        </w:tc>
        <w:tc>
          <w:tcPr>
            <w:tcW w:w="512" w:type="pct"/>
            <w:shd w:val="clear" w:color="auto" w:fill="auto"/>
            <w:vAlign w:val="center"/>
            <w:hideMark/>
          </w:tcPr>
          <w:p w14:paraId="301DB710" w14:textId="77777777" w:rsidR="006B66E4" w:rsidRPr="00A7320B" w:rsidRDefault="006B66E4" w:rsidP="006B66E4">
            <w:pPr>
              <w:spacing w:after="0"/>
              <w:ind w:left="0" w:firstLine="0"/>
              <w:jc w:val="center"/>
              <w:rPr>
                <w:rFonts w:ascii="Arial Narrow" w:hAnsi="Arial Narrow" w:cs="Arial"/>
                <w:sz w:val="20"/>
              </w:rPr>
            </w:pPr>
            <w:r w:rsidRPr="00A7320B">
              <w:rPr>
                <w:rFonts w:ascii="Arial Narrow" w:hAnsi="Arial Narrow" w:cs="Arial"/>
                <w:sz w:val="20"/>
              </w:rPr>
              <w:t>319,20</w:t>
            </w:r>
          </w:p>
        </w:tc>
        <w:tc>
          <w:tcPr>
            <w:tcW w:w="509" w:type="pct"/>
          </w:tcPr>
          <w:p w14:paraId="7F04B33C" w14:textId="77777777" w:rsidR="006B66E4" w:rsidRPr="00C5347D" w:rsidRDefault="006B66E4" w:rsidP="006B66E4">
            <w:pPr>
              <w:spacing w:after="0"/>
              <w:ind w:left="0" w:firstLine="0"/>
              <w:jc w:val="center"/>
              <w:rPr>
                <w:rFonts w:ascii="Arial Narrow" w:hAnsi="Arial Narrow" w:cs="Arial"/>
                <w:sz w:val="20"/>
              </w:rPr>
            </w:pPr>
          </w:p>
        </w:tc>
        <w:tc>
          <w:tcPr>
            <w:tcW w:w="618" w:type="pct"/>
          </w:tcPr>
          <w:p w14:paraId="725CEE25" w14:textId="77777777" w:rsidR="006B66E4" w:rsidRPr="00C5347D" w:rsidRDefault="006B66E4" w:rsidP="006B66E4">
            <w:pPr>
              <w:spacing w:after="0"/>
              <w:ind w:left="0" w:firstLine="0"/>
              <w:jc w:val="center"/>
              <w:rPr>
                <w:rFonts w:ascii="Arial Narrow" w:hAnsi="Arial Narrow" w:cs="Arial"/>
                <w:sz w:val="20"/>
              </w:rPr>
            </w:pPr>
          </w:p>
        </w:tc>
      </w:tr>
      <w:tr w:rsidR="006B66E4" w:rsidRPr="00C5347D" w14:paraId="66AF7E11" w14:textId="77777777" w:rsidTr="00D77BC6">
        <w:trPr>
          <w:trHeight w:val="312"/>
        </w:trPr>
        <w:tc>
          <w:tcPr>
            <w:tcW w:w="269" w:type="pct"/>
            <w:shd w:val="clear" w:color="auto" w:fill="auto"/>
            <w:vAlign w:val="center"/>
            <w:hideMark/>
          </w:tcPr>
          <w:p w14:paraId="26B0110A"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4.2</w:t>
            </w:r>
          </w:p>
        </w:tc>
        <w:tc>
          <w:tcPr>
            <w:tcW w:w="2725" w:type="pct"/>
            <w:shd w:val="clear" w:color="auto" w:fill="auto"/>
            <w:vAlign w:val="center"/>
            <w:hideMark/>
          </w:tcPr>
          <w:p w14:paraId="4B8A7A7C" w14:textId="77777777" w:rsidR="006B66E4" w:rsidRPr="00C5347D" w:rsidRDefault="006B66E4" w:rsidP="006B66E4">
            <w:pPr>
              <w:spacing w:after="0"/>
              <w:ind w:left="0" w:firstLine="0"/>
              <w:jc w:val="left"/>
              <w:rPr>
                <w:rFonts w:ascii="Arial Narrow" w:hAnsi="Arial Narrow" w:cs="Arial"/>
                <w:sz w:val="20"/>
              </w:rPr>
            </w:pPr>
            <w:r w:rsidRPr="00C5347D">
              <w:rPr>
                <w:rFonts w:ascii="Arial Narrow" w:hAnsi="Arial Narrow" w:cs="Arial"/>
                <w:sz w:val="20"/>
              </w:rPr>
              <w:t xml:space="preserve">Béton de </w:t>
            </w:r>
            <w:proofErr w:type="spellStart"/>
            <w:r w:rsidRPr="00C5347D">
              <w:rPr>
                <w:rFonts w:ascii="Arial Narrow" w:hAnsi="Arial Narrow" w:cs="Arial"/>
                <w:sz w:val="20"/>
              </w:rPr>
              <w:t>propréte</w:t>
            </w:r>
            <w:proofErr w:type="spellEnd"/>
            <w:r w:rsidRPr="00C5347D">
              <w:rPr>
                <w:rFonts w:ascii="Arial Narrow" w:hAnsi="Arial Narrow" w:cs="Arial"/>
                <w:sz w:val="20"/>
              </w:rPr>
              <w:t xml:space="preserve"> dosé à 150kg/m</w:t>
            </w:r>
            <w:r w:rsidRPr="00C5347D">
              <w:rPr>
                <w:rFonts w:ascii="Arial Narrow" w:hAnsi="Arial Narrow" w:cs="Arial"/>
                <w:sz w:val="20"/>
                <w:vertAlign w:val="superscript"/>
              </w:rPr>
              <w:t>3</w:t>
            </w:r>
            <w:r w:rsidRPr="00C5347D">
              <w:rPr>
                <w:rFonts w:ascii="Arial Narrow" w:hAnsi="Arial Narrow" w:cs="Arial"/>
                <w:sz w:val="20"/>
              </w:rPr>
              <w:t xml:space="preserve"> pour butée </w:t>
            </w:r>
          </w:p>
        </w:tc>
        <w:tc>
          <w:tcPr>
            <w:tcW w:w="366" w:type="pct"/>
            <w:shd w:val="clear" w:color="auto" w:fill="auto"/>
            <w:vAlign w:val="center"/>
            <w:hideMark/>
          </w:tcPr>
          <w:p w14:paraId="1A89B653"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m</w:t>
            </w:r>
            <w:r w:rsidRPr="00C5347D">
              <w:rPr>
                <w:rFonts w:ascii="Arial Narrow" w:hAnsi="Arial Narrow" w:cs="Arial"/>
                <w:sz w:val="20"/>
                <w:vertAlign w:val="superscript"/>
              </w:rPr>
              <w:t>3</w:t>
            </w:r>
          </w:p>
        </w:tc>
        <w:tc>
          <w:tcPr>
            <w:tcW w:w="512" w:type="pct"/>
            <w:shd w:val="clear" w:color="auto" w:fill="auto"/>
            <w:vAlign w:val="center"/>
            <w:hideMark/>
          </w:tcPr>
          <w:p w14:paraId="3024485F" w14:textId="77777777" w:rsidR="006B66E4" w:rsidRPr="00A7320B" w:rsidRDefault="006B66E4" w:rsidP="006B66E4">
            <w:pPr>
              <w:spacing w:after="0"/>
              <w:ind w:left="0" w:firstLine="0"/>
              <w:jc w:val="center"/>
              <w:rPr>
                <w:rFonts w:ascii="Arial Narrow" w:hAnsi="Arial Narrow" w:cs="Arial"/>
                <w:sz w:val="20"/>
              </w:rPr>
            </w:pPr>
            <w:r w:rsidRPr="00A7320B">
              <w:rPr>
                <w:rFonts w:ascii="Arial Narrow" w:hAnsi="Arial Narrow" w:cs="Arial"/>
                <w:sz w:val="20"/>
              </w:rPr>
              <w:t>8,00</w:t>
            </w:r>
          </w:p>
        </w:tc>
        <w:tc>
          <w:tcPr>
            <w:tcW w:w="509" w:type="pct"/>
          </w:tcPr>
          <w:p w14:paraId="7AF94384" w14:textId="77777777" w:rsidR="006B66E4" w:rsidRPr="00C5347D" w:rsidRDefault="006B66E4" w:rsidP="006B66E4">
            <w:pPr>
              <w:spacing w:after="0"/>
              <w:ind w:left="0" w:firstLine="0"/>
              <w:jc w:val="center"/>
              <w:rPr>
                <w:rFonts w:ascii="Arial Narrow" w:hAnsi="Arial Narrow" w:cs="Arial"/>
                <w:sz w:val="20"/>
              </w:rPr>
            </w:pPr>
          </w:p>
        </w:tc>
        <w:tc>
          <w:tcPr>
            <w:tcW w:w="618" w:type="pct"/>
          </w:tcPr>
          <w:p w14:paraId="47A02B72" w14:textId="77777777" w:rsidR="006B66E4" w:rsidRPr="00C5347D" w:rsidRDefault="006B66E4" w:rsidP="006B66E4">
            <w:pPr>
              <w:spacing w:after="0"/>
              <w:ind w:left="0" w:firstLine="0"/>
              <w:jc w:val="center"/>
              <w:rPr>
                <w:rFonts w:ascii="Arial Narrow" w:hAnsi="Arial Narrow" w:cs="Arial"/>
                <w:sz w:val="20"/>
              </w:rPr>
            </w:pPr>
          </w:p>
        </w:tc>
      </w:tr>
      <w:tr w:rsidR="006B66E4" w:rsidRPr="00C5347D" w14:paraId="34E266BF" w14:textId="77777777" w:rsidTr="00D77BC6">
        <w:trPr>
          <w:trHeight w:val="312"/>
        </w:trPr>
        <w:tc>
          <w:tcPr>
            <w:tcW w:w="269" w:type="pct"/>
            <w:shd w:val="clear" w:color="auto" w:fill="auto"/>
            <w:vAlign w:val="center"/>
            <w:hideMark/>
          </w:tcPr>
          <w:p w14:paraId="75844137"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4.3</w:t>
            </w:r>
          </w:p>
        </w:tc>
        <w:tc>
          <w:tcPr>
            <w:tcW w:w="2725" w:type="pct"/>
            <w:shd w:val="clear" w:color="auto" w:fill="auto"/>
            <w:vAlign w:val="center"/>
            <w:hideMark/>
          </w:tcPr>
          <w:p w14:paraId="6DC6E286" w14:textId="77777777" w:rsidR="006B66E4" w:rsidRPr="00C5347D" w:rsidRDefault="006B66E4" w:rsidP="006B66E4">
            <w:pPr>
              <w:spacing w:after="0"/>
              <w:ind w:left="0" w:firstLine="0"/>
              <w:jc w:val="left"/>
              <w:rPr>
                <w:rFonts w:ascii="Arial Narrow" w:hAnsi="Arial Narrow" w:cs="Arial"/>
                <w:sz w:val="20"/>
              </w:rPr>
            </w:pPr>
            <w:r w:rsidRPr="00C5347D">
              <w:rPr>
                <w:rFonts w:ascii="Arial Narrow" w:hAnsi="Arial Narrow" w:cs="Arial"/>
                <w:sz w:val="20"/>
              </w:rPr>
              <w:t>Béton cyclopéen en fondation dosé à 350kg/m</w:t>
            </w:r>
            <w:r w:rsidRPr="00C5347D">
              <w:rPr>
                <w:rFonts w:ascii="Arial Narrow" w:hAnsi="Arial Narrow" w:cs="Arial"/>
                <w:sz w:val="20"/>
                <w:vertAlign w:val="superscript"/>
              </w:rPr>
              <w:t>3</w:t>
            </w:r>
            <w:r w:rsidRPr="00C5347D">
              <w:rPr>
                <w:rFonts w:ascii="Arial Narrow" w:hAnsi="Arial Narrow" w:cs="Arial"/>
                <w:sz w:val="20"/>
              </w:rPr>
              <w:t xml:space="preserve"> pour butée</w:t>
            </w:r>
          </w:p>
        </w:tc>
        <w:tc>
          <w:tcPr>
            <w:tcW w:w="366" w:type="pct"/>
            <w:shd w:val="clear" w:color="auto" w:fill="auto"/>
            <w:vAlign w:val="center"/>
            <w:hideMark/>
          </w:tcPr>
          <w:p w14:paraId="01ED1F27"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m</w:t>
            </w:r>
            <w:r w:rsidRPr="00C5347D">
              <w:rPr>
                <w:rFonts w:ascii="Arial Narrow" w:hAnsi="Arial Narrow" w:cs="Arial"/>
                <w:sz w:val="20"/>
                <w:vertAlign w:val="superscript"/>
              </w:rPr>
              <w:t>3</w:t>
            </w:r>
          </w:p>
        </w:tc>
        <w:tc>
          <w:tcPr>
            <w:tcW w:w="512" w:type="pct"/>
            <w:shd w:val="clear" w:color="auto" w:fill="auto"/>
            <w:vAlign w:val="center"/>
            <w:hideMark/>
          </w:tcPr>
          <w:p w14:paraId="00D0C103" w14:textId="77777777" w:rsidR="006B66E4" w:rsidRPr="00A7320B" w:rsidRDefault="006B66E4" w:rsidP="006B66E4">
            <w:pPr>
              <w:spacing w:after="0"/>
              <w:ind w:left="0" w:firstLine="0"/>
              <w:jc w:val="center"/>
              <w:rPr>
                <w:rFonts w:ascii="Arial Narrow" w:hAnsi="Arial Narrow" w:cs="Arial"/>
                <w:sz w:val="20"/>
              </w:rPr>
            </w:pPr>
            <w:r w:rsidRPr="00A7320B">
              <w:rPr>
                <w:rFonts w:ascii="Arial Narrow" w:hAnsi="Arial Narrow" w:cs="Arial"/>
                <w:sz w:val="20"/>
              </w:rPr>
              <w:t>52,80</w:t>
            </w:r>
          </w:p>
        </w:tc>
        <w:tc>
          <w:tcPr>
            <w:tcW w:w="509" w:type="pct"/>
          </w:tcPr>
          <w:p w14:paraId="63893927" w14:textId="77777777" w:rsidR="006B66E4" w:rsidRPr="00C5347D" w:rsidRDefault="006B66E4" w:rsidP="006B66E4">
            <w:pPr>
              <w:spacing w:after="0"/>
              <w:ind w:left="0" w:firstLine="0"/>
              <w:jc w:val="center"/>
              <w:rPr>
                <w:rFonts w:ascii="Arial Narrow" w:hAnsi="Arial Narrow" w:cs="Arial"/>
                <w:sz w:val="20"/>
              </w:rPr>
            </w:pPr>
          </w:p>
        </w:tc>
        <w:tc>
          <w:tcPr>
            <w:tcW w:w="618" w:type="pct"/>
          </w:tcPr>
          <w:p w14:paraId="22626C53" w14:textId="77777777" w:rsidR="006B66E4" w:rsidRPr="00C5347D" w:rsidRDefault="006B66E4" w:rsidP="006B66E4">
            <w:pPr>
              <w:spacing w:after="0"/>
              <w:ind w:left="0" w:firstLine="0"/>
              <w:jc w:val="center"/>
              <w:rPr>
                <w:rFonts w:ascii="Arial Narrow" w:hAnsi="Arial Narrow" w:cs="Arial"/>
                <w:sz w:val="20"/>
              </w:rPr>
            </w:pPr>
          </w:p>
        </w:tc>
      </w:tr>
      <w:tr w:rsidR="006B66E4" w:rsidRPr="00C5347D" w14:paraId="0055E050" w14:textId="77777777" w:rsidTr="00D77BC6">
        <w:trPr>
          <w:trHeight w:val="456"/>
        </w:trPr>
        <w:tc>
          <w:tcPr>
            <w:tcW w:w="269" w:type="pct"/>
            <w:shd w:val="clear" w:color="auto" w:fill="auto"/>
            <w:vAlign w:val="center"/>
            <w:hideMark/>
          </w:tcPr>
          <w:p w14:paraId="6C8C88DF"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4.4</w:t>
            </w:r>
          </w:p>
        </w:tc>
        <w:tc>
          <w:tcPr>
            <w:tcW w:w="2725" w:type="pct"/>
            <w:shd w:val="clear" w:color="auto" w:fill="auto"/>
            <w:vAlign w:val="center"/>
            <w:hideMark/>
          </w:tcPr>
          <w:p w14:paraId="666BCAE5" w14:textId="77777777" w:rsidR="006B66E4" w:rsidRPr="00C5347D" w:rsidRDefault="006B66E4" w:rsidP="006B66E4">
            <w:pPr>
              <w:spacing w:after="0"/>
              <w:ind w:left="0" w:firstLine="0"/>
              <w:jc w:val="left"/>
              <w:rPr>
                <w:rFonts w:ascii="Arial Narrow" w:hAnsi="Arial Narrow" w:cs="Arial"/>
                <w:sz w:val="20"/>
              </w:rPr>
            </w:pPr>
            <w:r w:rsidRPr="00C5347D">
              <w:rPr>
                <w:rFonts w:ascii="Arial Narrow" w:hAnsi="Arial Narrow" w:cs="Arial"/>
                <w:sz w:val="20"/>
              </w:rPr>
              <w:t xml:space="preserve">Béton cyclopéen en </w:t>
            </w:r>
            <w:proofErr w:type="spellStart"/>
            <w:r w:rsidRPr="00C5347D">
              <w:rPr>
                <w:rFonts w:ascii="Arial Narrow" w:hAnsi="Arial Narrow" w:cs="Arial"/>
                <w:sz w:val="20"/>
              </w:rPr>
              <w:t>elevation</w:t>
            </w:r>
            <w:proofErr w:type="spellEnd"/>
            <w:r w:rsidRPr="00C5347D">
              <w:rPr>
                <w:rFonts w:ascii="Arial Narrow" w:hAnsi="Arial Narrow" w:cs="Arial"/>
                <w:sz w:val="20"/>
              </w:rPr>
              <w:t xml:space="preserve"> dosé à 350kg/m</w:t>
            </w:r>
            <w:r w:rsidRPr="00C5347D">
              <w:rPr>
                <w:rFonts w:ascii="Arial Narrow" w:hAnsi="Arial Narrow" w:cs="Arial"/>
                <w:sz w:val="20"/>
                <w:vertAlign w:val="superscript"/>
              </w:rPr>
              <w:t>3</w:t>
            </w:r>
            <w:r w:rsidRPr="00C5347D">
              <w:rPr>
                <w:rFonts w:ascii="Arial Narrow" w:hAnsi="Arial Narrow" w:cs="Arial"/>
                <w:sz w:val="20"/>
              </w:rPr>
              <w:t xml:space="preserve"> pour butées y compris enduits gras</w:t>
            </w:r>
          </w:p>
        </w:tc>
        <w:tc>
          <w:tcPr>
            <w:tcW w:w="366" w:type="pct"/>
            <w:shd w:val="clear" w:color="auto" w:fill="auto"/>
            <w:vAlign w:val="center"/>
            <w:hideMark/>
          </w:tcPr>
          <w:p w14:paraId="5053A502"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m</w:t>
            </w:r>
            <w:r w:rsidRPr="00C5347D">
              <w:rPr>
                <w:rFonts w:ascii="Arial Narrow" w:hAnsi="Arial Narrow" w:cs="Arial"/>
                <w:sz w:val="20"/>
                <w:vertAlign w:val="superscript"/>
              </w:rPr>
              <w:t>3</w:t>
            </w:r>
          </w:p>
        </w:tc>
        <w:tc>
          <w:tcPr>
            <w:tcW w:w="512" w:type="pct"/>
            <w:shd w:val="clear" w:color="auto" w:fill="auto"/>
            <w:vAlign w:val="center"/>
            <w:hideMark/>
          </w:tcPr>
          <w:p w14:paraId="33EE1432" w14:textId="77777777" w:rsidR="006B66E4" w:rsidRPr="00A7320B" w:rsidRDefault="006B66E4" w:rsidP="006B66E4">
            <w:pPr>
              <w:spacing w:after="0"/>
              <w:ind w:left="0" w:firstLine="0"/>
              <w:jc w:val="center"/>
              <w:rPr>
                <w:rFonts w:ascii="Arial Narrow" w:hAnsi="Arial Narrow" w:cs="Arial"/>
                <w:sz w:val="20"/>
              </w:rPr>
            </w:pPr>
            <w:r w:rsidRPr="00A7320B">
              <w:rPr>
                <w:rFonts w:ascii="Arial Narrow" w:hAnsi="Arial Narrow" w:cs="Arial"/>
                <w:sz w:val="20"/>
              </w:rPr>
              <w:t>77,20</w:t>
            </w:r>
          </w:p>
        </w:tc>
        <w:tc>
          <w:tcPr>
            <w:tcW w:w="509" w:type="pct"/>
          </w:tcPr>
          <w:p w14:paraId="4F898D2B" w14:textId="77777777" w:rsidR="006B66E4" w:rsidRPr="00C5347D" w:rsidRDefault="006B66E4" w:rsidP="006B66E4">
            <w:pPr>
              <w:spacing w:after="0"/>
              <w:ind w:left="0" w:firstLine="0"/>
              <w:jc w:val="center"/>
              <w:rPr>
                <w:rFonts w:ascii="Arial Narrow" w:hAnsi="Arial Narrow" w:cs="Arial"/>
                <w:sz w:val="20"/>
              </w:rPr>
            </w:pPr>
          </w:p>
        </w:tc>
        <w:tc>
          <w:tcPr>
            <w:tcW w:w="618" w:type="pct"/>
          </w:tcPr>
          <w:p w14:paraId="6AF97DA4" w14:textId="77777777" w:rsidR="006B66E4" w:rsidRPr="00C5347D" w:rsidRDefault="006B66E4" w:rsidP="006B66E4">
            <w:pPr>
              <w:spacing w:after="0"/>
              <w:ind w:left="0" w:firstLine="0"/>
              <w:jc w:val="center"/>
              <w:rPr>
                <w:rFonts w:ascii="Arial Narrow" w:hAnsi="Arial Narrow" w:cs="Arial"/>
                <w:sz w:val="20"/>
              </w:rPr>
            </w:pPr>
          </w:p>
        </w:tc>
      </w:tr>
      <w:tr w:rsidR="006B66E4" w:rsidRPr="00C5347D" w14:paraId="5E7419E7" w14:textId="77777777" w:rsidTr="00D77BC6">
        <w:trPr>
          <w:trHeight w:val="528"/>
        </w:trPr>
        <w:tc>
          <w:tcPr>
            <w:tcW w:w="269" w:type="pct"/>
            <w:shd w:val="clear" w:color="auto" w:fill="auto"/>
            <w:vAlign w:val="center"/>
            <w:hideMark/>
          </w:tcPr>
          <w:p w14:paraId="798B078B"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4.5</w:t>
            </w:r>
          </w:p>
        </w:tc>
        <w:tc>
          <w:tcPr>
            <w:tcW w:w="2725" w:type="pct"/>
            <w:shd w:val="clear" w:color="auto" w:fill="auto"/>
            <w:vAlign w:val="center"/>
            <w:hideMark/>
          </w:tcPr>
          <w:p w14:paraId="65AD5F53" w14:textId="77777777" w:rsidR="006B66E4" w:rsidRPr="00C5347D" w:rsidRDefault="006B66E4" w:rsidP="006B66E4">
            <w:pPr>
              <w:spacing w:after="0"/>
              <w:ind w:left="0" w:firstLine="0"/>
              <w:jc w:val="left"/>
              <w:rPr>
                <w:rFonts w:ascii="Arial Narrow" w:hAnsi="Arial Narrow" w:cs="Arial"/>
                <w:sz w:val="20"/>
              </w:rPr>
            </w:pPr>
            <w:r w:rsidRPr="00C5347D">
              <w:rPr>
                <w:rFonts w:ascii="Arial Narrow" w:hAnsi="Arial Narrow" w:cs="Arial"/>
                <w:sz w:val="20"/>
              </w:rPr>
              <w:t>Béton cyclopéen dosé à 350kg/m3 pour bassin et murs de séparation et enduits y compris toutes sujétions</w:t>
            </w:r>
          </w:p>
        </w:tc>
        <w:tc>
          <w:tcPr>
            <w:tcW w:w="366" w:type="pct"/>
            <w:shd w:val="clear" w:color="auto" w:fill="auto"/>
            <w:vAlign w:val="center"/>
            <w:hideMark/>
          </w:tcPr>
          <w:p w14:paraId="472ED6BB"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m</w:t>
            </w:r>
            <w:r w:rsidRPr="00C5347D">
              <w:rPr>
                <w:rFonts w:ascii="Arial Narrow" w:hAnsi="Arial Narrow" w:cs="Arial"/>
                <w:sz w:val="20"/>
                <w:vertAlign w:val="superscript"/>
              </w:rPr>
              <w:t>3</w:t>
            </w:r>
          </w:p>
        </w:tc>
        <w:tc>
          <w:tcPr>
            <w:tcW w:w="512" w:type="pct"/>
            <w:shd w:val="clear" w:color="auto" w:fill="auto"/>
            <w:vAlign w:val="center"/>
            <w:hideMark/>
          </w:tcPr>
          <w:p w14:paraId="6AF0AD21" w14:textId="77777777" w:rsidR="006B66E4" w:rsidRPr="00A7320B" w:rsidRDefault="006B66E4" w:rsidP="006B66E4">
            <w:pPr>
              <w:spacing w:after="0"/>
              <w:ind w:left="0" w:firstLine="0"/>
              <w:jc w:val="center"/>
              <w:rPr>
                <w:rFonts w:ascii="Arial Narrow" w:hAnsi="Arial Narrow" w:cs="Arial"/>
                <w:sz w:val="20"/>
              </w:rPr>
            </w:pPr>
            <w:r w:rsidRPr="00A7320B">
              <w:rPr>
                <w:rFonts w:ascii="Arial Narrow" w:hAnsi="Arial Narrow" w:cs="Arial"/>
                <w:sz w:val="20"/>
              </w:rPr>
              <w:t>208,95</w:t>
            </w:r>
          </w:p>
        </w:tc>
        <w:tc>
          <w:tcPr>
            <w:tcW w:w="509" w:type="pct"/>
          </w:tcPr>
          <w:p w14:paraId="2E2ECC17" w14:textId="77777777" w:rsidR="006B66E4" w:rsidRPr="00C5347D" w:rsidRDefault="006B66E4" w:rsidP="006B66E4">
            <w:pPr>
              <w:spacing w:after="0"/>
              <w:ind w:left="0" w:firstLine="0"/>
              <w:jc w:val="center"/>
              <w:rPr>
                <w:rFonts w:ascii="Arial Narrow" w:hAnsi="Arial Narrow" w:cs="Arial"/>
                <w:sz w:val="20"/>
              </w:rPr>
            </w:pPr>
          </w:p>
        </w:tc>
        <w:tc>
          <w:tcPr>
            <w:tcW w:w="618" w:type="pct"/>
          </w:tcPr>
          <w:p w14:paraId="545866FF" w14:textId="77777777" w:rsidR="006B66E4" w:rsidRPr="00C5347D" w:rsidRDefault="006B66E4" w:rsidP="006B66E4">
            <w:pPr>
              <w:spacing w:after="0"/>
              <w:ind w:left="0" w:firstLine="0"/>
              <w:jc w:val="center"/>
              <w:rPr>
                <w:rFonts w:ascii="Arial Narrow" w:hAnsi="Arial Narrow" w:cs="Arial"/>
                <w:sz w:val="20"/>
              </w:rPr>
            </w:pPr>
          </w:p>
        </w:tc>
      </w:tr>
      <w:tr w:rsidR="006B66E4" w:rsidRPr="00C5347D" w14:paraId="2FAEF2E3" w14:textId="77777777" w:rsidTr="00D77BC6">
        <w:trPr>
          <w:trHeight w:val="441"/>
        </w:trPr>
        <w:tc>
          <w:tcPr>
            <w:tcW w:w="269" w:type="pct"/>
            <w:shd w:val="clear" w:color="auto" w:fill="auto"/>
            <w:vAlign w:val="center"/>
            <w:hideMark/>
          </w:tcPr>
          <w:p w14:paraId="2712A7E2"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4.6</w:t>
            </w:r>
          </w:p>
        </w:tc>
        <w:tc>
          <w:tcPr>
            <w:tcW w:w="2725" w:type="pct"/>
            <w:shd w:val="clear" w:color="000000" w:fill="FFFFFF"/>
            <w:vAlign w:val="center"/>
            <w:hideMark/>
          </w:tcPr>
          <w:p w14:paraId="11BF5156" w14:textId="77777777" w:rsidR="006B66E4" w:rsidRPr="00C5347D" w:rsidRDefault="006B66E4" w:rsidP="006B66E4">
            <w:pPr>
              <w:spacing w:after="0"/>
              <w:ind w:left="0" w:firstLine="0"/>
              <w:jc w:val="left"/>
              <w:rPr>
                <w:rFonts w:ascii="Arial Narrow" w:hAnsi="Arial Narrow" w:cs="Arial"/>
                <w:sz w:val="20"/>
              </w:rPr>
            </w:pPr>
            <w:r w:rsidRPr="00C5347D">
              <w:rPr>
                <w:rFonts w:ascii="Arial Narrow" w:hAnsi="Arial Narrow" w:cs="Arial"/>
                <w:sz w:val="20"/>
              </w:rPr>
              <w:t xml:space="preserve">Béton ordinaire dosé à 350 kg/m3 pour blocs de chutes y compris enduits </w:t>
            </w:r>
          </w:p>
        </w:tc>
        <w:tc>
          <w:tcPr>
            <w:tcW w:w="366" w:type="pct"/>
            <w:shd w:val="clear" w:color="auto" w:fill="auto"/>
            <w:vAlign w:val="center"/>
            <w:hideMark/>
          </w:tcPr>
          <w:p w14:paraId="73A0079D"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m</w:t>
            </w:r>
            <w:r w:rsidRPr="00C5347D">
              <w:rPr>
                <w:rFonts w:ascii="Arial Narrow" w:hAnsi="Arial Narrow" w:cs="Arial"/>
                <w:sz w:val="20"/>
                <w:vertAlign w:val="superscript"/>
              </w:rPr>
              <w:t>3</w:t>
            </w:r>
          </w:p>
        </w:tc>
        <w:tc>
          <w:tcPr>
            <w:tcW w:w="512" w:type="pct"/>
            <w:shd w:val="clear" w:color="auto" w:fill="auto"/>
            <w:vAlign w:val="center"/>
            <w:hideMark/>
          </w:tcPr>
          <w:p w14:paraId="5D50F4CA" w14:textId="77777777" w:rsidR="006B66E4" w:rsidRPr="00A7320B" w:rsidRDefault="006B66E4" w:rsidP="006B66E4">
            <w:pPr>
              <w:spacing w:after="0"/>
              <w:ind w:left="0" w:firstLine="0"/>
              <w:jc w:val="center"/>
              <w:rPr>
                <w:rFonts w:ascii="Arial Narrow" w:hAnsi="Arial Narrow" w:cs="Arial"/>
                <w:sz w:val="20"/>
              </w:rPr>
            </w:pPr>
            <w:r w:rsidRPr="00A7320B">
              <w:rPr>
                <w:rFonts w:ascii="Arial Narrow" w:hAnsi="Arial Narrow" w:cs="Arial"/>
                <w:sz w:val="20"/>
              </w:rPr>
              <w:t>80,00</w:t>
            </w:r>
          </w:p>
        </w:tc>
        <w:tc>
          <w:tcPr>
            <w:tcW w:w="509" w:type="pct"/>
          </w:tcPr>
          <w:p w14:paraId="05CBD2D0" w14:textId="77777777" w:rsidR="006B66E4" w:rsidRPr="00C5347D" w:rsidRDefault="006B66E4" w:rsidP="006B66E4">
            <w:pPr>
              <w:spacing w:after="0"/>
              <w:ind w:left="0" w:firstLine="0"/>
              <w:jc w:val="center"/>
              <w:rPr>
                <w:rFonts w:ascii="Arial Narrow" w:hAnsi="Arial Narrow" w:cs="Arial"/>
                <w:sz w:val="20"/>
              </w:rPr>
            </w:pPr>
          </w:p>
        </w:tc>
        <w:tc>
          <w:tcPr>
            <w:tcW w:w="618" w:type="pct"/>
          </w:tcPr>
          <w:p w14:paraId="7763187A" w14:textId="77777777" w:rsidR="006B66E4" w:rsidRPr="00C5347D" w:rsidRDefault="006B66E4" w:rsidP="006B66E4">
            <w:pPr>
              <w:spacing w:after="0"/>
              <w:ind w:left="0" w:firstLine="0"/>
              <w:jc w:val="center"/>
              <w:rPr>
                <w:rFonts w:ascii="Arial Narrow" w:hAnsi="Arial Narrow" w:cs="Arial"/>
                <w:sz w:val="20"/>
              </w:rPr>
            </w:pPr>
          </w:p>
        </w:tc>
      </w:tr>
      <w:tr w:rsidR="006B66E4" w:rsidRPr="00C5347D" w14:paraId="1B64628D" w14:textId="77777777" w:rsidTr="00D77BC6">
        <w:trPr>
          <w:trHeight w:val="312"/>
        </w:trPr>
        <w:tc>
          <w:tcPr>
            <w:tcW w:w="269" w:type="pct"/>
            <w:shd w:val="clear" w:color="auto" w:fill="auto"/>
            <w:vAlign w:val="center"/>
            <w:hideMark/>
          </w:tcPr>
          <w:p w14:paraId="65A8BDF6"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4.7</w:t>
            </w:r>
          </w:p>
        </w:tc>
        <w:tc>
          <w:tcPr>
            <w:tcW w:w="2725" w:type="pct"/>
            <w:shd w:val="clear" w:color="auto" w:fill="auto"/>
            <w:vAlign w:val="center"/>
            <w:hideMark/>
          </w:tcPr>
          <w:p w14:paraId="158C7BDC" w14:textId="77777777" w:rsidR="006B66E4" w:rsidRPr="00C5347D" w:rsidRDefault="006B66E4" w:rsidP="006B66E4">
            <w:pPr>
              <w:spacing w:after="0"/>
              <w:ind w:left="0" w:firstLine="0"/>
              <w:jc w:val="left"/>
              <w:rPr>
                <w:rFonts w:ascii="Arial Narrow" w:hAnsi="Arial Narrow" w:cs="Arial"/>
                <w:sz w:val="20"/>
              </w:rPr>
            </w:pPr>
            <w:r w:rsidRPr="00C5347D">
              <w:rPr>
                <w:rFonts w:ascii="Arial Narrow" w:hAnsi="Arial Narrow" w:cs="Arial"/>
                <w:sz w:val="20"/>
              </w:rPr>
              <w:t xml:space="preserve">Lit de sable </w:t>
            </w:r>
            <w:proofErr w:type="spellStart"/>
            <w:r w:rsidRPr="00C5347D">
              <w:rPr>
                <w:rFonts w:ascii="Arial Narrow" w:hAnsi="Arial Narrow" w:cs="Arial"/>
                <w:sz w:val="20"/>
              </w:rPr>
              <w:t>ep</w:t>
            </w:r>
            <w:proofErr w:type="spellEnd"/>
            <w:r w:rsidRPr="00C5347D">
              <w:rPr>
                <w:rFonts w:ascii="Arial Narrow" w:hAnsi="Arial Narrow" w:cs="Arial"/>
                <w:sz w:val="20"/>
              </w:rPr>
              <w:t xml:space="preserve"> = 0,05 m</w:t>
            </w:r>
          </w:p>
        </w:tc>
        <w:tc>
          <w:tcPr>
            <w:tcW w:w="366" w:type="pct"/>
            <w:shd w:val="clear" w:color="auto" w:fill="auto"/>
            <w:vAlign w:val="center"/>
            <w:hideMark/>
          </w:tcPr>
          <w:p w14:paraId="49785334"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m</w:t>
            </w:r>
            <w:r w:rsidRPr="00C5347D">
              <w:rPr>
                <w:rFonts w:ascii="Arial Narrow" w:hAnsi="Arial Narrow" w:cs="Arial"/>
                <w:sz w:val="20"/>
                <w:vertAlign w:val="superscript"/>
              </w:rPr>
              <w:t>3</w:t>
            </w:r>
          </w:p>
        </w:tc>
        <w:tc>
          <w:tcPr>
            <w:tcW w:w="512" w:type="pct"/>
            <w:shd w:val="clear" w:color="auto" w:fill="auto"/>
            <w:vAlign w:val="center"/>
            <w:hideMark/>
          </w:tcPr>
          <w:p w14:paraId="281CD925" w14:textId="77777777" w:rsidR="006B66E4" w:rsidRPr="00A7320B" w:rsidRDefault="006B66E4" w:rsidP="006B66E4">
            <w:pPr>
              <w:spacing w:after="0"/>
              <w:ind w:left="0" w:firstLine="0"/>
              <w:jc w:val="center"/>
              <w:rPr>
                <w:rFonts w:ascii="Arial Narrow" w:hAnsi="Arial Narrow" w:cs="Arial"/>
                <w:sz w:val="20"/>
              </w:rPr>
            </w:pPr>
            <w:r w:rsidRPr="00A7320B">
              <w:rPr>
                <w:rFonts w:ascii="Arial Narrow" w:hAnsi="Arial Narrow" w:cs="Arial"/>
                <w:sz w:val="20"/>
              </w:rPr>
              <w:t>26,00</w:t>
            </w:r>
          </w:p>
        </w:tc>
        <w:tc>
          <w:tcPr>
            <w:tcW w:w="509" w:type="pct"/>
          </w:tcPr>
          <w:p w14:paraId="75C31F74" w14:textId="77777777" w:rsidR="006B66E4" w:rsidRPr="00C5347D" w:rsidRDefault="006B66E4" w:rsidP="006B66E4">
            <w:pPr>
              <w:spacing w:after="0"/>
              <w:ind w:left="0" w:firstLine="0"/>
              <w:jc w:val="center"/>
              <w:rPr>
                <w:rFonts w:ascii="Arial Narrow" w:hAnsi="Arial Narrow" w:cs="Arial"/>
                <w:sz w:val="20"/>
              </w:rPr>
            </w:pPr>
          </w:p>
        </w:tc>
        <w:tc>
          <w:tcPr>
            <w:tcW w:w="618" w:type="pct"/>
          </w:tcPr>
          <w:p w14:paraId="599A9C20" w14:textId="77777777" w:rsidR="006B66E4" w:rsidRPr="00C5347D" w:rsidRDefault="006B66E4" w:rsidP="006B66E4">
            <w:pPr>
              <w:spacing w:after="0"/>
              <w:ind w:left="0" w:firstLine="0"/>
              <w:jc w:val="center"/>
              <w:rPr>
                <w:rFonts w:ascii="Arial Narrow" w:hAnsi="Arial Narrow" w:cs="Arial"/>
                <w:sz w:val="20"/>
              </w:rPr>
            </w:pPr>
          </w:p>
        </w:tc>
      </w:tr>
      <w:tr w:rsidR="006B66E4" w:rsidRPr="00C5347D" w14:paraId="39656F01" w14:textId="77777777" w:rsidTr="00D77BC6">
        <w:trPr>
          <w:trHeight w:val="312"/>
        </w:trPr>
        <w:tc>
          <w:tcPr>
            <w:tcW w:w="269" w:type="pct"/>
            <w:shd w:val="clear" w:color="auto" w:fill="auto"/>
            <w:vAlign w:val="center"/>
            <w:hideMark/>
          </w:tcPr>
          <w:p w14:paraId="7525766A"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4.8</w:t>
            </w:r>
          </w:p>
        </w:tc>
        <w:tc>
          <w:tcPr>
            <w:tcW w:w="2725" w:type="pct"/>
            <w:shd w:val="clear" w:color="auto" w:fill="auto"/>
            <w:vAlign w:val="center"/>
            <w:hideMark/>
          </w:tcPr>
          <w:p w14:paraId="393CAD61" w14:textId="77777777" w:rsidR="006B66E4" w:rsidRPr="00C5347D" w:rsidRDefault="006B66E4" w:rsidP="006B66E4">
            <w:pPr>
              <w:spacing w:after="0"/>
              <w:ind w:left="0" w:firstLine="0"/>
              <w:jc w:val="left"/>
              <w:rPr>
                <w:rFonts w:ascii="Arial Narrow" w:hAnsi="Arial Narrow" w:cs="Arial"/>
                <w:sz w:val="20"/>
              </w:rPr>
            </w:pPr>
            <w:r w:rsidRPr="00C5347D">
              <w:rPr>
                <w:rFonts w:ascii="Arial Narrow" w:hAnsi="Arial Narrow" w:cs="Arial"/>
                <w:sz w:val="20"/>
              </w:rPr>
              <w:t xml:space="preserve">Lit de gravier </w:t>
            </w:r>
            <w:proofErr w:type="spellStart"/>
            <w:r w:rsidRPr="00C5347D">
              <w:rPr>
                <w:rFonts w:ascii="Arial Narrow" w:hAnsi="Arial Narrow" w:cs="Arial"/>
                <w:sz w:val="20"/>
              </w:rPr>
              <w:t>ep</w:t>
            </w:r>
            <w:proofErr w:type="spellEnd"/>
            <w:r w:rsidRPr="00C5347D">
              <w:rPr>
                <w:rFonts w:ascii="Arial Narrow" w:hAnsi="Arial Narrow" w:cs="Arial"/>
                <w:sz w:val="20"/>
              </w:rPr>
              <w:t xml:space="preserve"> = 0,05 m</w:t>
            </w:r>
          </w:p>
        </w:tc>
        <w:tc>
          <w:tcPr>
            <w:tcW w:w="366" w:type="pct"/>
            <w:shd w:val="clear" w:color="auto" w:fill="auto"/>
            <w:vAlign w:val="center"/>
            <w:hideMark/>
          </w:tcPr>
          <w:p w14:paraId="67D4393A"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m</w:t>
            </w:r>
            <w:r w:rsidRPr="00C5347D">
              <w:rPr>
                <w:rFonts w:ascii="Arial Narrow" w:hAnsi="Arial Narrow" w:cs="Arial"/>
                <w:sz w:val="20"/>
                <w:vertAlign w:val="superscript"/>
              </w:rPr>
              <w:t>3</w:t>
            </w:r>
          </w:p>
        </w:tc>
        <w:tc>
          <w:tcPr>
            <w:tcW w:w="512" w:type="pct"/>
            <w:shd w:val="clear" w:color="auto" w:fill="auto"/>
            <w:vAlign w:val="center"/>
            <w:hideMark/>
          </w:tcPr>
          <w:p w14:paraId="53A461DA" w14:textId="77777777" w:rsidR="006B66E4" w:rsidRPr="00A7320B" w:rsidRDefault="006B66E4" w:rsidP="006B66E4">
            <w:pPr>
              <w:spacing w:after="0"/>
              <w:ind w:left="0" w:firstLine="0"/>
              <w:jc w:val="center"/>
              <w:rPr>
                <w:rFonts w:ascii="Arial Narrow" w:hAnsi="Arial Narrow" w:cs="Arial"/>
                <w:sz w:val="20"/>
              </w:rPr>
            </w:pPr>
            <w:r w:rsidRPr="00A7320B">
              <w:rPr>
                <w:rFonts w:ascii="Arial Narrow" w:hAnsi="Arial Narrow" w:cs="Arial"/>
                <w:sz w:val="20"/>
              </w:rPr>
              <w:t>26,00</w:t>
            </w:r>
          </w:p>
        </w:tc>
        <w:tc>
          <w:tcPr>
            <w:tcW w:w="509" w:type="pct"/>
          </w:tcPr>
          <w:p w14:paraId="644AC4BB" w14:textId="77777777" w:rsidR="006B66E4" w:rsidRPr="00C5347D" w:rsidRDefault="006B66E4" w:rsidP="006B66E4">
            <w:pPr>
              <w:spacing w:after="0"/>
              <w:ind w:left="0" w:firstLine="0"/>
              <w:jc w:val="center"/>
              <w:rPr>
                <w:rFonts w:ascii="Arial Narrow" w:hAnsi="Arial Narrow" w:cs="Arial"/>
                <w:sz w:val="20"/>
              </w:rPr>
            </w:pPr>
          </w:p>
        </w:tc>
        <w:tc>
          <w:tcPr>
            <w:tcW w:w="618" w:type="pct"/>
          </w:tcPr>
          <w:p w14:paraId="236A204A" w14:textId="77777777" w:rsidR="006B66E4" w:rsidRPr="00C5347D" w:rsidRDefault="006B66E4" w:rsidP="006B66E4">
            <w:pPr>
              <w:spacing w:after="0"/>
              <w:ind w:left="0" w:firstLine="0"/>
              <w:jc w:val="center"/>
              <w:rPr>
                <w:rFonts w:ascii="Arial Narrow" w:hAnsi="Arial Narrow" w:cs="Arial"/>
                <w:sz w:val="20"/>
              </w:rPr>
            </w:pPr>
          </w:p>
        </w:tc>
      </w:tr>
      <w:tr w:rsidR="006B66E4" w:rsidRPr="00C5347D" w14:paraId="612975F2" w14:textId="77777777" w:rsidTr="00D77BC6">
        <w:trPr>
          <w:trHeight w:val="329"/>
        </w:trPr>
        <w:tc>
          <w:tcPr>
            <w:tcW w:w="269" w:type="pct"/>
            <w:shd w:val="clear" w:color="auto" w:fill="auto"/>
            <w:vAlign w:val="center"/>
            <w:hideMark/>
          </w:tcPr>
          <w:p w14:paraId="03605514"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4.9</w:t>
            </w:r>
          </w:p>
        </w:tc>
        <w:tc>
          <w:tcPr>
            <w:tcW w:w="2725" w:type="pct"/>
            <w:shd w:val="clear" w:color="000000" w:fill="FFFFFF"/>
            <w:vAlign w:val="center"/>
            <w:hideMark/>
          </w:tcPr>
          <w:p w14:paraId="21ACA055" w14:textId="77777777" w:rsidR="006B66E4" w:rsidRPr="00C5347D" w:rsidRDefault="006B66E4" w:rsidP="006B66E4">
            <w:pPr>
              <w:spacing w:after="0"/>
              <w:ind w:left="0" w:firstLine="0"/>
              <w:jc w:val="left"/>
              <w:rPr>
                <w:rFonts w:ascii="Arial Narrow" w:hAnsi="Arial Narrow" w:cs="Arial"/>
                <w:sz w:val="20"/>
              </w:rPr>
            </w:pPr>
            <w:r w:rsidRPr="00C5347D">
              <w:rPr>
                <w:rFonts w:ascii="Arial Narrow" w:hAnsi="Arial Narrow" w:cs="Arial"/>
                <w:sz w:val="20"/>
              </w:rPr>
              <w:t>F/P de barbacane en PVC40mm y compris grillage d'embout et toutes sujétions</w:t>
            </w:r>
          </w:p>
        </w:tc>
        <w:tc>
          <w:tcPr>
            <w:tcW w:w="366" w:type="pct"/>
            <w:shd w:val="clear" w:color="auto" w:fill="auto"/>
            <w:vAlign w:val="center"/>
            <w:hideMark/>
          </w:tcPr>
          <w:p w14:paraId="768F9BF7"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ml</w:t>
            </w:r>
          </w:p>
        </w:tc>
        <w:tc>
          <w:tcPr>
            <w:tcW w:w="512" w:type="pct"/>
            <w:shd w:val="clear" w:color="auto" w:fill="auto"/>
            <w:vAlign w:val="center"/>
            <w:hideMark/>
          </w:tcPr>
          <w:p w14:paraId="7E5F50AE" w14:textId="77777777" w:rsidR="006B66E4" w:rsidRPr="00A7320B" w:rsidRDefault="006B66E4" w:rsidP="006B66E4">
            <w:pPr>
              <w:spacing w:after="0"/>
              <w:ind w:left="0" w:firstLine="0"/>
              <w:jc w:val="center"/>
              <w:rPr>
                <w:rFonts w:ascii="Arial Narrow" w:hAnsi="Arial Narrow" w:cs="Arial"/>
                <w:sz w:val="20"/>
              </w:rPr>
            </w:pPr>
            <w:r w:rsidRPr="00A7320B">
              <w:rPr>
                <w:rFonts w:ascii="Arial Narrow" w:hAnsi="Arial Narrow" w:cs="Arial"/>
                <w:sz w:val="20"/>
              </w:rPr>
              <w:t>100,00</w:t>
            </w:r>
          </w:p>
        </w:tc>
        <w:tc>
          <w:tcPr>
            <w:tcW w:w="509" w:type="pct"/>
          </w:tcPr>
          <w:p w14:paraId="29A73074" w14:textId="77777777" w:rsidR="006B66E4" w:rsidRPr="00C5347D" w:rsidRDefault="006B66E4" w:rsidP="006B66E4">
            <w:pPr>
              <w:spacing w:after="0"/>
              <w:ind w:left="0" w:firstLine="0"/>
              <w:jc w:val="center"/>
              <w:rPr>
                <w:rFonts w:ascii="Arial Narrow" w:hAnsi="Arial Narrow" w:cs="Arial"/>
                <w:sz w:val="20"/>
              </w:rPr>
            </w:pPr>
          </w:p>
        </w:tc>
        <w:tc>
          <w:tcPr>
            <w:tcW w:w="618" w:type="pct"/>
          </w:tcPr>
          <w:p w14:paraId="0DFA94C1" w14:textId="77777777" w:rsidR="006B66E4" w:rsidRPr="00C5347D" w:rsidRDefault="006B66E4" w:rsidP="006B66E4">
            <w:pPr>
              <w:spacing w:after="0"/>
              <w:ind w:left="0" w:firstLine="0"/>
              <w:jc w:val="center"/>
              <w:rPr>
                <w:rFonts w:ascii="Arial Narrow" w:hAnsi="Arial Narrow" w:cs="Arial"/>
                <w:sz w:val="20"/>
              </w:rPr>
            </w:pPr>
          </w:p>
        </w:tc>
      </w:tr>
      <w:tr w:rsidR="006B66E4" w:rsidRPr="00C5347D" w14:paraId="6BDDC027" w14:textId="77777777" w:rsidTr="00D77BC6">
        <w:trPr>
          <w:trHeight w:val="421"/>
        </w:trPr>
        <w:tc>
          <w:tcPr>
            <w:tcW w:w="269" w:type="pct"/>
            <w:shd w:val="clear" w:color="auto" w:fill="auto"/>
            <w:vAlign w:val="center"/>
            <w:hideMark/>
          </w:tcPr>
          <w:p w14:paraId="0E9EA9D9"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4.10</w:t>
            </w:r>
          </w:p>
        </w:tc>
        <w:tc>
          <w:tcPr>
            <w:tcW w:w="2725" w:type="pct"/>
            <w:shd w:val="clear" w:color="000000" w:fill="FFFFFF"/>
            <w:vAlign w:val="center"/>
            <w:hideMark/>
          </w:tcPr>
          <w:p w14:paraId="77E690A4" w14:textId="77777777" w:rsidR="006B66E4" w:rsidRPr="00C5347D" w:rsidRDefault="006B66E4" w:rsidP="006B66E4">
            <w:pPr>
              <w:spacing w:after="0"/>
              <w:ind w:left="0" w:firstLine="0"/>
              <w:jc w:val="left"/>
              <w:rPr>
                <w:rFonts w:ascii="Arial Narrow" w:hAnsi="Arial Narrow" w:cs="Arial"/>
                <w:sz w:val="20"/>
              </w:rPr>
            </w:pPr>
            <w:r w:rsidRPr="00C5347D">
              <w:rPr>
                <w:rFonts w:ascii="Arial Narrow" w:hAnsi="Arial Narrow" w:cs="Arial"/>
                <w:sz w:val="20"/>
              </w:rPr>
              <w:t>F/P de gabion de protection avale y compris fouilles complémentaires</w:t>
            </w:r>
          </w:p>
        </w:tc>
        <w:tc>
          <w:tcPr>
            <w:tcW w:w="366" w:type="pct"/>
            <w:shd w:val="clear" w:color="auto" w:fill="auto"/>
            <w:vAlign w:val="center"/>
            <w:hideMark/>
          </w:tcPr>
          <w:p w14:paraId="6347E73A"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m</w:t>
            </w:r>
            <w:r w:rsidRPr="00C5347D">
              <w:rPr>
                <w:rFonts w:ascii="Arial Narrow" w:hAnsi="Arial Narrow" w:cs="Arial"/>
                <w:sz w:val="20"/>
                <w:vertAlign w:val="superscript"/>
              </w:rPr>
              <w:t>3</w:t>
            </w:r>
          </w:p>
        </w:tc>
        <w:tc>
          <w:tcPr>
            <w:tcW w:w="512" w:type="pct"/>
            <w:shd w:val="clear" w:color="auto" w:fill="auto"/>
            <w:vAlign w:val="center"/>
            <w:hideMark/>
          </w:tcPr>
          <w:p w14:paraId="587E7B74" w14:textId="77777777" w:rsidR="006B66E4" w:rsidRPr="00A7320B" w:rsidRDefault="006B66E4" w:rsidP="006B66E4">
            <w:pPr>
              <w:spacing w:after="0"/>
              <w:ind w:left="0" w:firstLine="0"/>
              <w:jc w:val="center"/>
              <w:rPr>
                <w:rFonts w:ascii="Arial Narrow" w:hAnsi="Arial Narrow" w:cs="Arial"/>
                <w:sz w:val="20"/>
              </w:rPr>
            </w:pPr>
            <w:r w:rsidRPr="00A7320B">
              <w:rPr>
                <w:rFonts w:ascii="Arial Narrow" w:hAnsi="Arial Narrow" w:cs="Arial"/>
                <w:sz w:val="20"/>
              </w:rPr>
              <w:t>5,00</w:t>
            </w:r>
          </w:p>
        </w:tc>
        <w:tc>
          <w:tcPr>
            <w:tcW w:w="509" w:type="pct"/>
          </w:tcPr>
          <w:p w14:paraId="0752F3C0" w14:textId="77777777" w:rsidR="006B66E4" w:rsidRPr="00C5347D" w:rsidRDefault="006B66E4" w:rsidP="006B66E4">
            <w:pPr>
              <w:spacing w:after="0"/>
              <w:ind w:left="0" w:firstLine="0"/>
              <w:jc w:val="center"/>
              <w:rPr>
                <w:rFonts w:ascii="Arial Narrow" w:hAnsi="Arial Narrow" w:cs="Arial"/>
                <w:sz w:val="20"/>
              </w:rPr>
            </w:pPr>
          </w:p>
        </w:tc>
        <w:tc>
          <w:tcPr>
            <w:tcW w:w="618" w:type="pct"/>
          </w:tcPr>
          <w:p w14:paraId="145DC1BA" w14:textId="77777777" w:rsidR="006B66E4" w:rsidRPr="00C5347D" w:rsidRDefault="006B66E4" w:rsidP="006B66E4">
            <w:pPr>
              <w:spacing w:after="0"/>
              <w:ind w:left="0" w:firstLine="0"/>
              <w:jc w:val="center"/>
              <w:rPr>
                <w:rFonts w:ascii="Arial Narrow" w:hAnsi="Arial Narrow" w:cs="Arial"/>
                <w:sz w:val="20"/>
              </w:rPr>
            </w:pPr>
          </w:p>
        </w:tc>
      </w:tr>
      <w:tr w:rsidR="006B66E4" w:rsidRPr="00C5347D" w14:paraId="6103CFC3" w14:textId="77777777" w:rsidTr="00D77BC6">
        <w:trPr>
          <w:trHeight w:val="312"/>
        </w:trPr>
        <w:tc>
          <w:tcPr>
            <w:tcW w:w="269" w:type="pct"/>
            <w:shd w:val="clear" w:color="auto" w:fill="auto"/>
            <w:vAlign w:val="center"/>
            <w:hideMark/>
          </w:tcPr>
          <w:p w14:paraId="3521923A"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4.11</w:t>
            </w:r>
          </w:p>
        </w:tc>
        <w:tc>
          <w:tcPr>
            <w:tcW w:w="2725" w:type="pct"/>
            <w:shd w:val="clear" w:color="auto" w:fill="auto"/>
            <w:vAlign w:val="center"/>
            <w:hideMark/>
          </w:tcPr>
          <w:p w14:paraId="63F390DD" w14:textId="77777777" w:rsidR="006B66E4" w:rsidRPr="00C5347D" w:rsidRDefault="006B66E4" w:rsidP="006B66E4">
            <w:pPr>
              <w:spacing w:after="0"/>
              <w:ind w:left="0" w:firstLine="0"/>
              <w:jc w:val="left"/>
              <w:rPr>
                <w:rFonts w:ascii="Arial Narrow" w:hAnsi="Arial Narrow" w:cs="Arial"/>
                <w:sz w:val="20"/>
              </w:rPr>
            </w:pPr>
            <w:r w:rsidRPr="00C5347D">
              <w:rPr>
                <w:rFonts w:ascii="Arial Narrow" w:hAnsi="Arial Narrow" w:cs="Arial"/>
                <w:sz w:val="20"/>
              </w:rPr>
              <w:t>Empierrement libre pour la protection avale</w:t>
            </w:r>
          </w:p>
        </w:tc>
        <w:tc>
          <w:tcPr>
            <w:tcW w:w="366" w:type="pct"/>
            <w:shd w:val="clear" w:color="auto" w:fill="auto"/>
            <w:vAlign w:val="center"/>
            <w:hideMark/>
          </w:tcPr>
          <w:p w14:paraId="1209474E"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m</w:t>
            </w:r>
            <w:r w:rsidRPr="00C5347D">
              <w:rPr>
                <w:rFonts w:ascii="Arial Narrow" w:hAnsi="Arial Narrow" w:cs="Arial"/>
                <w:sz w:val="20"/>
                <w:vertAlign w:val="superscript"/>
              </w:rPr>
              <w:t>3</w:t>
            </w:r>
          </w:p>
        </w:tc>
        <w:tc>
          <w:tcPr>
            <w:tcW w:w="512" w:type="pct"/>
            <w:shd w:val="clear" w:color="auto" w:fill="auto"/>
            <w:vAlign w:val="center"/>
            <w:hideMark/>
          </w:tcPr>
          <w:p w14:paraId="090126B9" w14:textId="77777777" w:rsidR="006B66E4" w:rsidRPr="00A7320B" w:rsidRDefault="006B66E4" w:rsidP="006B66E4">
            <w:pPr>
              <w:spacing w:after="0"/>
              <w:ind w:left="0" w:firstLine="0"/>
              <w:jc w:val="center"/>
              <w:rPr>
                <w:rFonts w:ascii="Arial Narrow" w:hAnsi="Arial Narrow" w:cs="Arial"/>
                <w:sz w:val="20"/>
              </w:rPr>
            </w:pPr>
            <w:r w:rsidRPr="00A7320B">
              <w:rPr>
                <w:rFonts w:ascii="Arial Narrow" w:hAnsi="Arial Narrow" w:cs="Arial"/>
                <w:sz w:val="20"/>
              </w:rPr>
              <w:t>196,95</w:t>
            </w:r>
          </w:p>
        </w:tc>
        <w:tc>
          <w:tcPr>
            <w:tcW w:w="509" w:type="pct"/>
          </w:tcPr>
          <w:p w14:paraId="0C374134" w14:textId="77777777" w:rsidR="006B66E4" w:rsidRPr="00C5347D" w:rsidRDefault="006B66E4" w:rsidP="006B66E4">
            <w:pPr>
              <w:spacing w:after="0"/>
              <w:ind w:left="0" w:firstLine="0"/>
              <w:jc w:val="center"/>
              <w:rPr>
                <w:rFonts w:ascii="Arial Narrow" w:hAnsi="Arial Narrow" w:cs="Arial"/>
                <w:sz w:val="20"/>
              </w:rPr>
            </w:pPr>
          </w:p>
        </w:tc>
        <w:tc>
          <w:tcPr>
            <w:tcW w:w="618" w:type="pct"/>
          </w:tcPr>
          <w:p w14:paraId="3ECD31FF" w14:textId="77777777" w:rsidR="006B66E4" w:rsidRPr="00C5347D" w:rsidRDefault="006B66E4" w:rsidP="006B66E4">
            <w:pPr>
              <w:spacing w:after="0"/>
              <w:ind w:left="0" w:firstLine="0"/>
              <w:jc w:val="center"/>
              <w:rPr>
                <w:rFonts w:ascii="Arial Narrow" w:hAnsi="Arial Narrow" w:cs="Arial"/>
                <w:sz w:val="20"/>
              </w:rPr>
            </w:pPr>
          </w:p>
        </w:tc>
      </w:tr>
      <w:tr w:rsidR="006B66E4" w:rsidRPr="00C5347D" w14:paraId="1F65787E" w14:textId="77777777" w:rsidTr="00D77BC6">
        <w:trPr>
          <w:trHeight w:val="264"/>
        </w:trPr>
        <w:tc>
          <w:tcPr>
            <w:tcW w:w="269" w:type="pct"/>
            <w:shd w:val="clear" w:color="auto" w:fill="auto"/>
            <w:vAlign w:val="center"/>
            <w:hideMark/>
          </w:tcPr>
          <w:p w14:paraId="6A465AA8"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 </w:t>
            </w:r>
          </w:p>
        </w:tc>
        <w:tc>
          <w:tcPr>
            <w:tcW w:w="2725" w:type="pct"/>
            <w:shd w:val="clear" w:color="auto" w:fill="auto"/>
            <w:vAlign w:val="center"/>
            <w:hideMark/>
          </w:tcPr>
          <w:p w14:paraId="2810D1AC" w14:textId="77777777" w:rsidR="006B66E4" w:rsidRPr="00C5347D" w:rsidRDefault="006B66E4" w:rsidP="006B66E4">
            <w:pPr>
              <w:spacing w:after="0"/>
              <w:ind w:left="0" w:firstLine="0"/>
              <w:jc w:val="right"/>
              <w:rPr>
                <w:rFonts w:ascii="Arial Narrow" w:hAnsi="Arial Narrow" w:cs="Arial"/>
                <w:b/>
                <w:bCs/>
                <w:sz w:val="20"/>
              </w:rPr>
            </w:pPr>
            <w:r w:rsidRPr="00C5347D">
              <w:rPr>
                <w:rFonts w:ascii="Arial Narrow" w:hAnsi="Arial Narrow" w:cs="Arial"/>
                <w:b/>
                <w:bCs/>
                <w:sz w:val="20"/>
              </w:rPr>
              <w:t>Total Série 4</w:t>
            </w:r>
          </w:p>
        </w:tc>
        <w:tc>
          <w:tcPr>
            <w:tcW w:w="366" w:type="pct"/>
            <w:shd w:val="clear" w:color="auto" w:fill="auto"/>
            <w:vAlign w:val="center"/>
            <w:hideMark/>
          </w:tcPr>
          <w:p w14:paraId="284889E1"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 </w:t>
            </w:r>
          </w:p>
        </w:tc>
        <w:tc>
          <w:tcPr>
            <w:tcW w:w="512" w:type="pct"/>
            <w:shd w:val="clear" w:color="auto" w:fill="auto"/>
            <w:vAlign w:val="center"/>
            <w:hideMark/>
          </w:tcPr>
          <w:p w14:paraId="01DE40C7" w14:textId="77777777" w:rsidR="006B66E4" w:rsidRPr="00A7320B" w:rsidRDefault="006B66E4" w:rsidP="006B66E4">
            <w:pPr>
              <w:spacing w:after="0"/>
              <w:ind w:left="0" w:firstLine="0"/>
              <w:jc w:val="center"/>
              <w:rPr>
                <w:rFonts w:ascii="Arial Narrow" w:hAnsi="Arial Narrow" w:cs="Arial"/>
                <w:sz w:val="20"/>
              </w:rPr>
            </w:pPr>
            <w:r w:rsidRPr="00A7320B">
              <w:rPr>
                <w:rFonts w:ascii="Arial Narrow" w:hAnsi="Arial Narrow" w:cs="Arial"/>
                <w:sz w:val="20"/>
              </w:rPr>
              <w:t> </w:t>
            </w:r>
          </w:p>
        </w:tc>
        <w:tc>
          <w:tcPr>
            <w:tcW w:w="509" w:type="pct"/>
          </w:tcPr>
          <w:p w14:paraId="4667C312" w14:textId="77777777" w:rsidR="006B66E4" w:rsidRPr="00C5347D" w:rsidRDefault="006B66E4" w:rsidP="006B66E4">
            <w:pPr>
              <w:spacing w:after="0"/>
              <w:ind w:left="0" w:firstLine="0"/>
              <w:jc w:val="center"/>
              <w:rPr>
                <w:rFonts w:ascii="Arial Narrow" w:hAnsi="Arial Narrow" w:cs="Arial"/>
                <w:sz w:val="20"/>
              </w:rPr>
            </w:pPr>
          </w:p>
        </w:tc>
        <w:tc>
          <w:tcPr>
            <w:tcW w:w="618" w:type="pct"/>
          </w:tcPr>
          <w:p w14:paraId="15B36CE6" w14:textId="77777777" w:rsidR="006B66E4" w:rsidRPr="00C5347D" w:rsidRDefault="006B66E4" w:rsidP="006B66E4">
            <w:pPr>
              <w:spacing w:after="0"/>
              <w:ind w:left="0" w:firstLine="0"/>
              <w:jc w:val="center"/>
              <w:rPr>
                <w:rFonts w:ascii="Arial Narrow" w:hAnsi="Arial Narrow" w:cs="Arial"/>
                <w:sz w:val="20"/>
              </w:rPr>
            </w:pPr>
          </w:p>
        </w:tc>
      </w:tr>
      <w:tr w:rsidR="006B66E4" w:rsidRPr="00C5347D" w14:paraId="55517C25" w14:textId="77777777" w:rsidTr="00D77BC6">
        <w:trPr>
          <w:trHeight w:val="528"/>
        </w:trPr>
        <w:tc>
          <w:tcPr>
            <w:tcW w:w="269" w:type="pct"/>
            <w:shd w:val="clear" w:color="auto" w:fill="auto"/>
            <w:vAlign w:val="center"/>
            <w:hideMark/>
          </w:tcPr>
          <w:p w14:paraId="12CC3173"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 </w:t>
            </w:r>
          </w:p>
        </w:tc>
        <w:tc>
          <w:tcPr>
            <w:tcW w:w="2725" w:type="pct"/>
            <w:shd w:val="clear" w:color="auto" w:fill="auto"/>
            <w:vAlign w:val="center"/>
            <w:hideMark/>
          </w:tcPr>
          <w:p w14:paraId="3E91BAAE" w14:textId="77777777" w:rsidR="006B66E4" w:rsidRPr="00C5347D" w:rsidRDefault="006B66E4" w:rsidP="006B66E4">
            <w:pPr>
              <w:spacing w:after="0"/>
              <w:ind w:left="0" w:firstLine="0"/>
              <w:jc w:val="left"/>
              <w:rPr>
                <w:rFonts w:ascii="Arial Narrow" w:hAnsi="Arial Narrow" w:cs="Arial"/>
                <w:b/>
                <w:bCs/>
                <w:sz w:val="20"/>
              </w:rPr>
            </w:pPr>
            <w:r w:rsidRPr="00C5347D">
              <w:rPr>
                <w:rFonts w:ascii="Arial Narrow" w:hAnsi="Arial Narrow" w:cs="Arial"/>
                <w:b/>
                <w:bCs/>
                <w:sz w:val="20"/>
              </w:rPr>
              <w:t xml:space="preserve">Série V  -MURS BAJOYERS ET DIGUES DE RACCORDEMENT DE L'OUVRAGE </w:t>
            </w:r>
          </w:p>
        </w:tc>
        <w:tc>
          <w:tcPr>
            <w:tcW w:w="366" w:type="pct"/>
            <w:shd w:val="clear" w:color="auto" w:fill="auto"/>
            <w:vAlign w:val="center"/>
            <w:hideMark/>
          </w:tcPr>
          <w:p w14:paraId="77B37DFF"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 </w:t>
            </w:r>
          </w:p>
        </w:tc>
        <w:tc>
          <w:tcPr>
            <w:tcW w:w="512" w:type="pct"/>
            <w:shd w:val="clear" w:color="auto" w:fill="auto"/>
            <w:vAlign w:val="center"/>
            <w:hideMark/>
          </w:tcPr>
          <w:p w14:paraId="3BF5A935" w14:textId="77777777" w:rsidR="006B66E4" w:rsidRPr="00A7320B" w:rsidRDefault="006B66E4" w:rsidP="006B66E4">
            <w:pPr>
              <w:spacing w:after="0"/>
              <w:ind w:left="0" w:firstLine="0"/>
              <w:jc w:val="center"/>
              <w:rPr>
                <w:rFonts w:ascii="Arial Narrow" w:hAnsi="Arial Narrow" w:cs="Arial"/>
                <w:sz w:val="20"/>
              </w:rPr>
            </w:pPr>
            <w:r w:rsidRPr="00A7320B">
              <w:rPr>
                <w:rFonts w:ascii="Arial Narrow" w:hAnsi="Arial Narrow" w:cs="Arial"/>
                <w:sz w:val="20"/>
              </w:rPr>
              <w:t> </w:t>
            </w:r>
          </w:p>
        </w:tc>
        <w:tc>
          <w:tcPr>
            <w:tcW w:w="509" w:type="pct"/>
          </w:tcPr>
          <w:p w14:paraId="5A691C9C" w14:textId="77777777" w:rsidR="006B66E4" w:rsidRPr="00C5347D" w:rsidRDefault="006B66E4" w:rsidP="006B66E4">
            <w:pPr>
              <w:spacing w:after="0"/>
              <w:ind w:left="0" w:firstLine="0"/>
              <w:jc w:val="center"/>
              <w:rPr>
                <w:rFonts w:ascii="Arial Narrow" w:hAnsi="Arial Narrow" w:cs="Arial"/>
                <w:sz w:val="20"/>
              </w:rPr>
            </w:pPr>
          </w:p>
        </w:tc>
        <w:tc>
          <w:tcPr>
            <w:tcW w:w="618" w:type="pct"/>
          </w:tcPr>
          <w:p w14:paraId="0D7B7C05" w14:textId="77777777" w:rsidR="006B66E4" w:rsidRPr="00C5347D" w:rsidRDefault="006B66E4" w:rsidP="006B66E4">
            <w:pPr>
              <w:spacing w:after="0"/>
              <w:ind w:left="0" w:firstLine="0"/>
              <w:jc w:val="center"/>
              <w:rPr>
                <w:rFonts w:ascii="Arial Narrow" w:hAnsi="Arial Narrow" w:cs="Arial"/>
                <w:sz w:val="20"/>
              </w:rPr>
            </w:pPr>
          </w:p>
        </w:tc>
      </w:tr>
      <w:tr w:rsidR="006B66E4" w:rsidRPr="00C5347D" w14:paraId="57D564C9" w14:textId="77777777" w:rsidTr="00D77BC6">
        <w:trPr>
          <w:trHeight w:val="373"/>
        </w:trPr>
        <w:tc>
          <w:tcPr>
            <w:tcW w:w="269" w:type="pct"/>
            <w:shd w:val="clear" w:color="auto" w:fill="auto"/>
            <w:vAlign w:val="center"/>
            <w:hideMark/>
          </w:tcPr>
          <w:p w14:paraId="3214775A"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5.1</w:t>
            </w:r>
          </w:p>
        </w:tc>
        <w:tc>
          <w:tcPr>
            <w:tcW w:w="2725" w:type="pct"/>
            <w:shd w:val="clear" w:color="auto" w:fill="auto"/>
            <w:vAlign w:val="center"/>
            <w:hideMark/>
          </w:tcPr>
          <w:p w14:paraId="56337E5A" w14:textId="77777777" w:rsidR="006B66E4" w:rsidRPr="00C5347D" w:rsidRDefault="006B66E4" w:rsidP="006B66E4">
            <w:pPr>
              <w:spacing w:after="0"/>
              <w:ind w:left="0" w:firstLine="0"/>
              <w:jc w:val="left"/>
              <w:rPr>
                <w:rFonts w:ascii="Arial Narrow" w:hAnsi="Arial Narrow" w:cs="Arial"/>
                <w:sz w:val="20"/>
              </w:rPr>
            </w:pPr>
            <w:r w:rsidRPr="00C5347D">
              <w:rPr>
                <w:rFonts w:ascii="Arial Narrow" w:hAnsi="Arial Narrow" w:cs="Arial"/>
                <w:sz w:val="20"/>
              </w:rPr>
              <w:t>Déblai pour murs bajoyers et digue de raccordements dans les dimensions du plan</w:t>
            </w:r>
          </w:p>
        </w:tc>
        <w:tc>
          <w:tcPr>
            <w:tcW w:w="366" w:type="pct"/>
            <w:shd w:val="clear" w:color="auto" w:fill="auto"/>
            <w:vAlign w:val="center"/>
            <w:hideMark/>
          </w:tcPr>
          <w:p w14:paraId="1083278D"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m</w:t>
            </w:r>
            <w:r w:rsidRPr="00C5347D">
              <w:rPr>
                <w:rFonts w:ascii="Arial Narrow" w:hAnsi="Arial Narrow" w:cs="Arial"/>
                <w:sz w:val="20"/>
                <w:vertAlign w:val="superscript"/>
              </w:rPr>
              <w:t>3</w:t>
            </w:r>
          </w:p>
        </w:tc>
        <w:tc>
          <w:tcPr>
            <w:tcW w:w="512" w:type="pct"/>
            <w:shd w:val="clear" w:color="auto" w:fill="auto"/>
            <w:vAlign w:val="center"/>
            <w:hideMark/>
          </w:tcPr>
          <w:p w14:paraId="1291126F" w14:textId="77777777" w:rsidR="006B66E4" w:rsidRPr="00A7320B" w:rsidRDefault="006B66E4" w:rsidP="006B66E4">
            <w:pPr>
              <w:spacing w:after="0"/>
              <w:ind w:left="0" w:firstLine="0"/>
              <w:jc w:val="center"/>
              <w:rPr>
                <w:rFonts w:ascii="Arial Narrow" w:hAnsi="Arial Narrow" w:cs="Arial"/>
                <w:sz w:val="20"/>
              </w:rPr>
            </w:pPr>
            <w:r w:rsidRPr="00A7320B">
              <w:rPr>
                <w:rFonts w:ascii="Arial Narrow" w:hAnsi="Arial Narrow" w:cs="Arial"/>
                <w:sz w:val="20"/>
              </w:rPr>
              <w:t>5 707,50</w:t>
            </w:r>
          </w:p>
        </w:tc>
        <w:tc>
          <w:tcPr>
            <w:tcW w:w="509" w:type="pct"/>
          </w:tcPr>
          <w:p w14:paraId="627CE75E" w14:textId="77777777" w:rsidR="006B66E4" w:rsidRPr="00C5347D" w:rsidRDefault="006B66E4" w:rsidP="006B66E4">
            <w:pPr>
              <w:spacing w:after="0"/>
              <w:ind w:left="0" w:firstLine="0"/>
              <w:jc w:val="center"/>
              <w:rPr>
                <w:rFonts w:ascii="Arial Narrow" w:hAnsi="Arial Narrow" w:cs="Arial"/>
                <w:sz w:val="20"/>
              </w:rPr>
            </w:pPr>
          </w:p>
        </w:tc>
        <w:tc>
          <w:tcPr>
            <w:tcW w:w="618" w:type="pct"/>
          </w:tcPr>
          <w:p w14:paraId="6CC4E015" w14:textId="77777777" w:rsidR="006B66E4" w:rsidRPr="00C5347D" w:rsidRDefault="006B66E4" w:rsidP="006B66E4">
            <w:pPr>
              <w:spacing w:after="0"/>
              <w:ind w:left="0" w:firstLine="0"/>
              <w:jc w:val="center"/>
              <w:rPr>
                <w:rFonts w:ascii="Arial Narrow" w:hAnsi="Arial Narrow" w:cs="Arial"/>
                <w:sz w:val="20"/>
              </w:rPr>
            </w:pPr>
          </w:p>
        </w:tc>
      </w:tr>
      <w:tr w:rsidR="006B66E4" w:rsidRPr="00C5347D" w14:paraId="25B5D04E" w14:textId="77777777" w:rsidTr="00D77BC6">
        <w:trPr>
          <w:trHeight w:val="312"/>
        </w:trPr>
        <w:tc>
          <w:tcPr>
            <w:tcW w:w="269" w:type="pct"/>
            <w:shd w:val="clear" w:color="auto" w:fill="auto"/>
            <w:vAlign w:val="center"/>
            <w:hideMark/>
          </w:tcPr>
          <w:p w14:paraId="3088673C"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5.2</w:t>
            </w:r>
          </w:p>
        </w:tc>
        <w:tc>
          <w:tcPr>
            <w:tcW w:w="2725" w:type="pct"/>
            <w:shd w:val="clear" w:color="auto" w:fill="auto"/>
            <w:vAlign w:val="center"/>
            <w:hideMark/>
          </w:tcPr>
          <w:p w14:paraId="7BED3811" w14:textId="77777777" w:rsidR="006B66E4" w:rsidRPr="00C5347D" w:rsidRDefault="006B66E4" w:rsidP="006B66E4">
            <w:pPr>
              <w:spacing w:after="0"/>
              <w:ind w:left="0" w:firstLine="0"/>
              <w:jc w:val="left"/>
              <w:rPr>
                <w:rFonts w:ascii="Arial Narrow" w:hAnsi="Arial Narrow" w:cs="Arial"/>
                <w:sz w:val="20"/>
              </w:rPr>
            </w:pPr>
            <w:r w:rsidRPr="00C5347D">
              <w:rPr>
                <w:rFonts w:ascii="Arial Narrow" w:hAnsi="Arial Narrow" w:cs="Arial"/>
                <w:sz w:val="20"/>
              </w:rPr>
              <w:t xml:space="preserve">Béton de propreté dosé à 150 kg/m3 </w:t>
            </w:r>
            <w:proofErr w:type="spellStart"/>
            <w:r w:rsidRPr="00C5347D">
              <w:rPr>
                <w:rFonts w:ascii="Arial Narrow" w:hAnsi="Arial Narrow" w:cs="Arial"/>
                <w:sz w:val="20"/>
              </w:rPr>
              <w:t>ép</w:t>
            </w:r>
            <w:proofErr w:type="spellEnd"/>
            <w:r w:rsidRPr="00C5347D">
              <w:rPr>
                <w:rFonts w:ascii="Arial Narrow" w:hAnsi="Arial Narrow" w:cs="Arial"/>
                <w:sz w:val="20"/>
              </w:rPr>
              <w:t>=10cm</w:t>
            </w:r>
          </w:p>
        </w:tc>
        <w:tc>
          <w:tcPr>
            <w:tcW w:w="366" w:type="pct"/>
            <w:shd w:val="clear" w:color="auto" w:fill="auto"/>
            <w:vAlign w:val="center"/>
            <w:hideMark/>
          </w:tcPr>
          <w:p w14:paraId="568CEB1F"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m</w:t>
            </w:r>
            <w:r w:rsidRPr="00C5347D">
              <w:rPr>
                <w:rFonts w:ascii="Arial Narrow" w:hAnsi="Arial Narrow" w:cs="Arial"/>
                <w:sz w:val="20"/>
                <w:vertAlign w:val="superscript"/>
              </w:rPr>
              <w:t>3</w:t>
            </w:r>
          </w:p>
        </w:tc>
        <w:tc>
          <w:tcPr>
            <w:tcW w:w="512" w:type="pct"/>
            <w:shd w:val="clear" w:color="auto" w:fill="auto"/>
            <w:vAlign w:val="center"/>
            <w:hideMark/>
          </w:tcPr>
          <w:p w14:paraId="7724E358" w14:textId="77777777" w:rsidR="006B66E4" w:rsidRPr="00A7320B" w:rsidRDefault="006B66E4" w:rsidP="006B66E4">
            <w:pPr>
              <w:spacing w:after="0"/>
              <w:ind w:left="0" w:firstLine="0"/>
              <w:jc w:val="center"/>
              <w:rPr>
                <w:rFonts w:ascii="Arial Narrow" w:hAnsi="Arial Narrow" w:cs="Arial"/>
                <w:sz w:val="20"/>
              </w:rPr>
            </w:pPr>
            <w:r w:rsidRPr="00A7320B">
              <w:rPr>
                <w:rFonts w:ascii="Arial Narrow" w:hAnsi="Arial Narrow" w:cs="Arial"/>
                <w:sz w:val="20"/>
              </w:rPr>
              <w:t>1,10</w:t>
            </w:r>
          </w:p>
        </w:tc>
        <w:tc>
          <w:tcPr>
            <w:tcW w:w="509" w:type="pct"/>
          </w:tcPr>
          <w:p w14:paraId="5D329410" w14:textId="77777777" w:rsidR="006B66E4" w:rsidRPr="00C5347D" w:rsidRDefault="006B66E4" w:rsidP="006B66E4">
            <w:pPr>
              <w:spacing w:after="0"/>
              <w:ind w:left="0" w:firstLine="0"/>
              <w:jc w:val="center"/>
              <w:rPr>
                <w:rFonts w:ascii="Arial Narrow" w:hAnsi="Arial Narrow" w:cs="Arial"/>
                <w:sz w:val="20"/>
              </w:rPr>
            </w:pPr>
          </w:p>
        </w:tc>
        <w:tc>
          <w:tcPr>
            <w:tcW w:w="618" w:type="pct"/>
          </w:tcPr>
          <w:p w14:paraId="786715A2" w14:textId="77777777" w:rsidR="006B66E4" w:rsidRPr="00C5347D" w:rsidRDefault="006B66E4" w:rsidP="006B66E4">
            <w:pPr>
              <w:spacing w:after="0"/>
              <w:ind w:left="0" w:firstLine="0"/>
              <w:jc w:val="center"/>
              <w:rPr>
                <w:rFonts w:ascii="Arial Narrow" w:hAnsi="Arial Narrow" w:cs="Arial"/>
                <w:sz w:val="20"/>
              </w:rPr>
            </w:pPr>
          </w:p>
        </w:tc>
      </w:tr>
      <w:tr w:rsidR="006B66E4" w:rsidRPr="00C5347D" w14:paraId="5D38E83D" w14:textId="77777777" w:rsidTr="00D77BC6">
        <w:trPr>
          <w:trHeight w:val="528"/>
        </w:trPr>
        <w:tc>
          <w:tcPr>
            <w:tcW w:w="269" w:type="pct"/>
            <w:shd w:val="clear" w:color="auto" w:fill="auto"/>
            <w:vAlign w:val="center"/>
            <w:hideMark/>
          </w:tcPr>
          <w:p w14:paraId="4B04FBE7"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5.3</w:t>
            </w:r>
          </w:p>
        </w:tc>
        <w:tc>
          <w:tcPr>
            <w:tcW w:w="2725" w:type="pct"/>
            <w:shd w:val="clear" w:color="auto" w:fill="auto"/>
            <w:vAlign w:val="center"/>
            <w:hideMark/>
          </w:tcPr>
          <w:p w14:paraId="1940B645" w14:textId="77777777" w:rsidR="006B66E4" w:rsidRPr="00C5347D" w:rsidRDefault="006B66E4" w:rsidP="006B66E4">
            <w:pPr>
              <w:spacing w:after="0"/>
              <w:ind w:left="0" w:firstLine="0"/>
              <w:jc w:val="left"/>
              <w:rPr>
                <w:rFonts w:ascii="Arial Narrow" w:hAnsi="Arial Narrow" w:cs="Arial"/>
                <w:sz w:val="20"/>
              </w:rPr>
            </w:pPr>
            <w:r w:rsidRPr="00C5347D">
              <w:rPr>
                <w:rFonts w:ascii="Arial Narrow" w:hAnsi="Arial Narrow" w:cs="Arial"/>
                <w:sz w:val="20"/>
              </w:rPr>
              <w:t xml:space="preserve">Béton cyclopéen de moellon de grés dosé à 350 kg/m3 pour bajoyers  </w:t>
            </w:r>
            <w:proofErr w:type="gramStart"/>
            <w:r w:rsidRPr="00C5347D">
              <w:rPr>
                <w:rFonts w:ascii="Arial Narrow" w:hAnsi="Arial Narrow" w:cs="Arial"/>
                <w:sz w:val="20"/>
              </w:rPr>
              <w:t>( blocage</w:t>
            </w:r>
            <w:proofErr w:type="gramEnd"/>
            <w:r w:rsidRPr="00C5347D">
              <w:rPr>
                <w:rFonts w:ascii="Arial Narrow" w:hAnsi="Arial Narrow" w:cs="Arial"/>
                <w:sz w:val="20"/>
              </w:rPr>
              <w:t xml:space="preserve"> et </w:t>
            </w:r>
            <w:proofErr w:type="spellStart"/>
            <w:r w:rsidRPr="00C5347D">
              <w:rPr>
                <w:rFonts w:ascii="Arial Narrow" w:hAnsi="Arial Narrow" w:cs="Arial"/>
                <w:sz w:val="20"/>
              </w:rPr>
              <w:t>élevation</w:t>
            </w:r>
            <w:proofErr w:type="spellEnd"/>
            <w:r w:rsidRPr="00C5347D">
              <w:rPr>
                <w:rFonts w:ascii="Arial Narrow" w:hAnsi="Arial Narrow" w:cs="Arial"/>
                <w:sz w:val="20"/>
              </w:rPr>
              <w:t>)</w:t>
            </w:r>
          </w:p>
        </w:tc>
        <w:tc>
          <w:tcPr>
            <w:tcW w:w="366" w:type="pct"/>
            <w:shd w:val="clear" w:color="auto" w:fill="auto"/>
            <w:vAlign w:val="center"/>
            <w:hideMark/>
          </w:tcPr>
          <w:p w14:paraId="629D3760"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m</w:t>
            </w:r>
            <w:r w:rsidRPr="00C5347D">
              <w:rPr>
                <w:rFonts w:ascii="Arial Narrow" w:hAnsi="Arial Narrow" w:cs="Arial"/>
                <w:sz w:val="20"/>
                <w:vertAlign w:val="superscript"/>
              </w:rPr>
              <w:t>3</w:t>
            </w:r>
          </w:p>
        </w:tc>
        <w:tc>
          <w:tcPr>
            <w:tcW w:w="512" w:type="pct"/>
            <w:shd w:val="clear" w:color="auto" w:fill="auto"/>
            <w:vAlign w:val="center"/>
            <w:hideMark/>
          </w:tcPr>
          <w:p w14:paraId="44625490" w14:textId="77777777" w:rsidR="006B66E4" w:rsidRPr="00A7320B" w:rsidRDefault="006B66E4" w:rsidP="006B66E4">
            <w:pPr>
              <w:spacing w:after="0"/>
              <w:ind w:left="0" w:firstLine="0"/>
              <w:jc w:val="center"/>
              <w:rPr>
                <w:rFonts w:ascii="Arial Narrow" w:hAnsi="Arial Narrow" w:cs="Arial"/>
                <w:sz w:val="20"/>
              </w:rPr>
            </w:pPr>
            <w:r w:rsidRPr="00A7320B">
              <w:rPr>
                <w:rFonts w:ascii="Arial Narrow" w:hAnsi="Arial Narrow" w:cs="Arial"/>
                <w:sz w:val="20"/>
              </w:rPr>
              <w:t>10,60</w:t>
            </w:r>
          </w:p>
        </w:tc>
        <w:tc>
          <w:tcPr>
            <w:tcW w:w="509" w:type="pct"/>
          </w:tcPr>
          <w:p w14:paraId="0B52E75E" w14:textId="77777777" w:rsidR="006B66E4" w:rsidRPr="00C5347D" w:rsidRDefault="006B66E4" w:rsidP="006B66E4">
            <w:pPr>
              <w:spacing w:after="0"/>
              <w:ind w:left="0" w:firstLine="0"/>
              <w:jc w:val="center"/>
              <w:rPr>
                <w:rFonts w:ascii="Arial Narrow" w:hAnsi="Arial Narrow" w:cs="Arial"/>
                <w:sz w:val="20"/>
              </w:rPr>
            </w:pPr>
          </w:p>
        </w:tc>
        <w:tc>
          <w:tcPr>
            <w:tcW w:w="618" w:type="pct"/>
          </w:tcPr>
          <w:p w14:paraId="0682A677" w14:textId="77777777" w:rsidR="006B66E4" w:rsidRPr="00C5347D" w:rsidRDefault="006B66E4" w:rsidP="006B66E4">
            <w:pPr>
              <w:spacing w:after="0"/>
              <w:ind w:left="0" w:firstLine="0"/>
              <w:jc w:val="center"/>
              <w:rPr>
                <w:rFonts w:ascii="Arial Narrow" w:hAnsi="Arial Narrow" w:cs="Arial"/>
                <w:sz w:val="20"/>
              </w:rPr>
            </w:pPr>
          </w:p>
        </w:tc>
      </w:tr>
      <w:tr w:rsidR="006B66E4" w:rsidRPr="00C5347D" w14:paraId="04508CA2" w14:textId="77777777" w:rsidTr="00D77BC6">
        <w:trPr>
          <w:trHeight w:val="528"/>
        </w:trPr>
        <w:tc>
          <w:tcPr>
            <w:tcW w:w="269" w:type="pct"/>
            <w:shd w:val="clear" w:color="auto" w:fill="auto"/>
            <w:vAlign w:val="center"/>
            <w:hideMark/>
          </w:tcPr>
          <w:p w14:paraId="6B325129"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5.4</w:t>
            </w:r>
          </w:p>
        </w:tc>
        <w:tc>
          <w:tcPr>
            <w:tcW w:w="2725" w:type="pct"/>
            <w:shd w:val="clear" w:color="auto" w:fill="auto"/>
            <w:vAlign w:val="center"/>
            <w:hideMark/>
          </w:tcPr>
          <w:p w14:paraId="04608C68" w14:textId="77777777" w:rsidR="006B66E4" w:rsidRPr="00C5347D" w:rsidRDefault="006B66E4" w:rsidP="006B66E4">
            <w:pPr>
              <w:spacing w:after="0"/>
              <w:ind w:left="0" w:firstLine="0"/>
              <w:jc w:val="left"/>
              <w:rPr>
                <w:rFonts w:ascii="Arial Narrow" w:hAnsi="Arial Narrow" w:cs="Arial"/>
                <w:sz w:val="20"/>
              </w:rPr>
            </w:pPr>
            <w:r w:rsidRPr="00C5347D">
              <w:rPr>
                <w:rFonts w:ascii="Arial Narrow" w:hAnsi="Arial Narrow" w:cs="Arial"/>
                <w:sz w:val="20"/>
              </w:rPr>
              <w:t xml:space="preserve">Enduit gras dosé à 400 kg/m3 pour les murs bajoyers  avec ajout du </w:t>
            </w:r>
            <w:proofErr w:type="spellStart"/>
            <w:r w:rsidRPr="00C5347D">
              <w:rPr>
                <w:rFonts w:ascii="Arial Narrow" w:hAnsi="Arial Narrow" w:cs="Arial"/>
                <w:sz w:val="20"/>
              </w:rPr>
              <w:t>sikhalite</w:t>
            </w:r>
            <w:proofErr w:type="spellEnd"/>
            <w:r w:rsidRPr="00C5347D">
              <w:rPr>
                <w:rFonts w:ascii="Arial Narrow" w:hAnsi="Arial Narrow" w:cs="Arial"/>
                <w:sz w:val="20"/>
              </w:rPr>
              <w:t xml:space="preserve"> dans la masse</w:t>
            </w:r>
          </w:p>
        </w:tc>
        <w:tc>
          <w:tcPr>
            <w:tcW w:w="366" w:type="pct"/>
            <w:shd w:val="clear" w:color="auto" w:fill="auto"/>
            <w:vAlign w:val="center"/>
            <w:hideMark/>
          </w:tcPr>
          <w:p w14:paraId="06F724A9"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m</w:t>
            </w:r>
            <w:r w:rsidRPr="00C5347D">
              <w:rPr>
                <w:rFonts w:ascii="Arial Narrow" w:hAnsi="Arial Narrow" w:cs="Arial"/>
                <w:sz w:val="20"/>
                <w:vertAlign w:val="superscript"/>
              </w:rPr>
              <w:t>2</w:t>
            </w:r>
          </w:p>
        </w:tc>
        <w:tc>
          <w:tcPr>
            <w:tcW w:w="512" w:type="pct"/>
            <w:shd w:val="clear" w:color="auto" w:fill="auto"/>
            <w:vAlign w:val="center"/>
            <w:hideMark/>
          </w:tcPr>
          <w:p w14:paraId="524627AF" w14:textId="77777777" w:rsidR="006B66E4" w:rsidRPr="00A7320B" w:rsidRDefault="006B66E4" w:rsidP="006B66E4">
            <w:pPr>
              <w:spacing w:after="0"/>
              <w:ind w:left="0" w:firstLine="0"/>
              <w:jc w:val="center"/>
              <w:rPr>
                <w:rFonts w:ascii="Arial Narrow" w:hAnsi="Arial Narrow" w:cs="Arial"/>
                <w:sz w:val="20"/>
              </w:rPr>
            </w:pPr>
            <w:r w:rsidRPr="00A7320B">
              <w:rPr>
                <w:rFonts w:ascii="Arial Narrow" w:hAnsi="Arial Narrow" w:cs="Arial"/>
                <w:sz w:val="20"/>
              </w:rPr>
              <w:t>14,12</w:t>
            </w:r>
          </w:p>
        </w:tc>
        <w:tc>
          <w:tcPr>
            <w:tcW w:w="509" w:type="pct"/>
          </w:tcPr>
          <w:p w14:paraId="686D3891" w14:textId="77777777" w:rsidR="006B66E4" w:rsidRPr="00C5347D" w:rsidRDefault="006B66E4" w:rsidP="006B66E4">
            <w:pPr>
              <w:spacing w:after="0"/>
              <w:ind w:left="0" w:firstLine="0"/>
              <w:jc w:val="center"/>
              <w:rPr>
                <w:rFonts w:ascii="Arial Narrow" w:hAnsi="Arial Narrow" w:cs="Arial"/>
                <w:sz w:val="20"/>
              </w:rPr>
            </w:pPr>
          </w:p>
        </w:tc>
        <w:tc>
          <w:tcPr>
            <w:tcW w:w="618" w:type="pct"/>
          </w:tcPr>
          <w:p w14:paraId="41200444" w14:textId="77777777" w:rsidR="006B66E4" w:rsidRPr="00C5347D" w:rsidRDefault="006B66E4" w:rsidP="006B66E4">
            <w:pPr>
              <w:spacing w:after="0"/>
              <w:ind w:left="0" w:firstLine="0"/>
              <w:jc w:val="center"/>
              <w:rPr>
                <w:rFonts w:ascii="Arial Narrow" w:hAnsi="Arial Narrow" w:cs="Arial"/>
                <w:sz w:val="20"/>
              </w:rPr>
            </w:pPr>
          </w:p>
        </w:tc>
      </w:tr>
      <w:tr w:rsidR="006B66E4" w:rsidRPr="00C5347D" w14:paraId="339A716D" w14:textId="77777777" w:rsidTr="00D77BC6">
        <w:trPr>
          <w:trHeight w:val="343"/>
        </w:trPr>
        <w:tc>
          <w:tcPr>
            <w:tcW w:w="269" w:type="pct"/>
            <w:shd w:val="clear" w:color="auto" w:fill="auto"/>
            <w:vAlign w:val="center"/>
            <w:hideMark/>
          </w:tcPr>
          <w:p w14:paraId="212FD3DB"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5.5</w:t>
            </w:r>
          </w:p>
        </w:tc>
        <w:tc>
          <w:tcPr>
            <w:tcW w:w="2725" w:type="pct"/>
            <w:shd w:val="clear" w:color="auto" w:fill="auto"/>
            <w:vAlign w:val="center"/>
            <w:hideMark/>
          </w:tcPr>
          <w:p w14:paraId="42DF4A75" w14:textId="77777777" w:rsidR="006B66E4" w:rsidRPr="00C5347D" w:rsidRDefault="006B66E4" w:rsidP="006B66E4">
            <w:pPr>
              <w:spacing w:after="0"/>
              <w:ind w:left="0" w:firstLine="0"/>
              <w:jc w:val="left"/>
              <w:rPr>
                <w:rFonts w:ascii="Arial Narrow" w:hAnsi="Arial Narrow" w:cs="Arial"/>
                <w:sz w:val="20"/>
              </w:rPr>
            </w:pPr>
            <w:r w:rsidRPr="00C5347D">
              <w:rPr>
                <w:rFonts w:ascii="Arial Narrow" w:hAnsi="Arial Narrow" w:cs="Arial"/>
                <w:sz w:val="20"/>
              </w:rPr>
              <w:t xml:space="preserve">Remblai en argile homogène compacté à l'OPM pour le corps de </w:t>
            </w:r>
            <w:r w:rsidRPr="00C5347D">
              <w:rPr>
                <w:rFonts w:ascii="Arial Narrow" w:hAnsi="Arial Narrow" w:cs="Arial"/>
                <w:sz w:val="20"/>
              </w:rPr>
              <w:lastRenderedPageBreak/>
              <w:t xml:space="preserve">la digue </w:t>
            </w:r>
          </w:p>
        </w:tc>
        <w:tc>
          <w:tcPr>
            <w:tcW w:w="366" w:type="pct"/>
            <w:shd w:val="clear" w:color="auto" w:fill="auto"/>
            <w:vAlign w:val="center"/>
            <w:hideMark/>
          </w:tcPr>
          <w:p w14:paraId="0B383270"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lastRenderedPageBreak/>
              <w:t>m</w:t>
            </w:r>
            <w:r w:rsidRPr="00C5347D">
              <w:rPr>
                <w:rFonts w:ascii="Arial Narrow" w:hAnsi="Arial Narrow" w:cs="Arial"/>
                <w:sz w:val="20"/>
                <w:vertAlign w:val="superscript"/>
              </w:rPr>
              <w:t>3</w:t>
            </w:r>
          </w:p>
        </w:tc>
        <w:tc>
          <w:tcPr>
            <w:tcW w:w="512" w:type="pct"/>
            <w:shd w:val="clear" w:color="auto" w:fill="auto"/>
            <w:vAlign w:val="center"/>
            <w:hideMark/>
          </w:tcPr>
          <w:p w14:paraId="05F3B48E" w14:textId="77777777" w:rsidR="006B66E4" w:rsidRPr="00A7320B" w:rsidRDefault="006B66E4" w:rsidP="006B66E4">
            <w:pPr>
              <w:spacing w:after="0"/>
              <w:ind w:left="0" w:firstLine="0"/>
              <w:jc w:val="center"/>
              <w:rPr>
                <w:rFonts w:ascii="Arial Narrow" w:hAnsi="Arial Narrow" w:cs="Arial"/>
                <w:sz w:val="20"/>
              </w:rPr>
            </w:pPr>
            <w:r w:rsidRPr="00A7320B">
              <w:rPr>
                <w:rFonts w:ascii="Arial Narrow" w:hAnsi="Arial Narrow" w:cs="Arial"/>
                <w:sz w:val="20"/>
              </w:rPr>
              <w:t>32 540,20</w:t>
            </w:r>
          </w:p>
        </w:tc>
        <w:tc>
          <w:tcPr>
            <w:tcW w:w="509" w:type="pct"/>
          </w:tcPr>
          <w:p w14:paraId="71625219" w14:textId="77777777" w:rsidR="006B66E4" w:rsidRPr="00C5347D" w:rsidRDefault="006B66E4" w:rsidP="006B66E4">
            <w:pPr>
              <w:spacing w:after="0"/>
              <w:ind w:left="0" w:firstLine="0"/>
              <w:jc w:val="center"/>
              <w:rPr>
                <w:rFonts w:ascii="Arial Narrow" w:hAnsi="Arial Narrow" w:cs="Arial"/>
                <w:sz w:val="20"/>
              </w:rPr>
            </w:pPr>
          </w:p>
        </w:tc>
        <w:tc>
          <w:tcPr>
            <w:tcW w:w="618" w:type="pct"/>
          </w:tcPr>
          <w:p w14:paraId="63F470DB" w14:textId="77777777" w:rsidR="006B66E4" w:rsidRPr="00C5347D" w:rsidRDefault="006B66E4" w:rsidP="006B66E4">
            <w:pPr>
              <w:spacing w:after="0"/>
              <w:ind w:left="0" w:firstLine="0"/>
              <w:jc w:val="center"/>
              <w:rPr>
                <w:rFonts w:ascii="Arial Narrow" w:hAnsi="Arial Narrow" w:cs="Arial"/>
                <w:sz w:val="20"/>
              </w:rPr>
            </w:pPr>
          </w:p>
        </w:tc>
      </w:tr>
      <w:tr w:rsidR="006B66E4" w:rsidRPr="00C5347D" w14:paraId="74CEBE2A" w14:textId="77777777" w:rsidTr="00D77BC6">
        <w:trPr>
          <w:trHeight w:val="451"/>
        </w:trPr>
        <w:tc>
          <w:tcPr>
            <w:tcW w:w="269" w:type="pct"/>
            <w:shd w:val="clear" w:color="auto" w:fill="auto"/>
            <w:vAlign w:val="center"/>
            <w:hideMark/>
          </w:tcPr>
          <w:p w14:paraId="46FE43B4"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lastRenderedPageBreak/>
              <w:t>5.6</w:t>
            </w:r>
          </w:p>
        </w:tc>
        <w:tc>
          <w:tcPr>
            <w:tcW w:w="2725" w:type="pct"/>
            <w:shd w:val="clear" w:color="000000" w:fill="FFFFFF"/>
            <w:vAlign w:val="center"/>
            <w:hideMark/>
          </w:tcPr>
          <w:p w14:paraId="237839D1" w14:textId="77777777" w:rsidR="006B66E4" w:rsidRPr="00C5347D" w:rsidRDefault="006B66E4" w:rsidP="006B66E4">
            <w:pPr>
              <w:spacing w:after="0"/>
              <w:ind w:left="0" w:firstLine="0"/>
              <w:jc w:val="left"/>
              <w:rPr>
                <w:rFonts w:ascii="Arial Narrow" w:hAnsi="Arial Narrow" w:cs="Arial"/>
                <w:sz w:val="20"/>
              </w:rPr>
            </w:pPr>
            <w:r w:rsidRPr="00C5347D">
              <w:rPr>
                <w:rFonts w:ascii="Arial Narrow" w:hAnsi="Arial Narrow" w:cs="Arial"/>
                <w:sz w:val="20"/>
              </w:rPr>
              <w:t xml:space="preserve">Couche de roulement en graveleux latéritique compacté aux engins lourds - e = 20 cm </w:t>
            </w:r>
          </w:p>
        </w:tc>
        <w:tc>
          <w:tcPr>
            <w:tcW w:w="366" w:type="pct"/>
            <w:shd w:val="clear" w:color="000000" w:fill="FFFFFF"/>
            <w:noWrap/>
            <w:vAlign w:val="center"/>
            <w:hideMark/>
          </w:tcPr>
          <w:p w14:paraId="564ED034"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m</w:t>
            </w:r>
            <w:r w:rsidRPr="00C5347D">
              <w:rPr>
                <w:rFonts w:ascii="Arial Narrow" w:hAnsi="Arial Narrow" w:cs="Arial"/>
                <w:sz w:val="20"/>
                <w:vertAlign w:val="superscript"/>
              </w:rPr>
              <w:t>3</w:t>
            </w:r>
          </w:p>
        </w:tc>
        <w:tc>
          <w:tcPr>
            <w:tcW w:w="512" w:type="pct"/>
            <w:shd w:val="clear" w:color="auto" w:fill="auto"/>
            <w:noWrap/>
            <w:vAlign w:val="center"/>
            <w:hideMark/>
          </w:tcPr>
          <w:p w14:paraId="28964D75" w14:textId="77777777" w:rsidR="006B66E4" w:rsidRPr="00A7320B" w:rsidRDefault="006B66E4" w:rsidP="006B66E4">
            <w:pPr>
              <w:spacing w:after="0"/>
              <w:ind w:left="0" w:firstLine="0"/>
              <w:jc w:val="center"/>
              <w:rPr>
                <w:rFonts w:ascii="Arial Narrow" w:hAnsi="Arial Narrow" w:cs="Arial"/>
                <w:sz w:val="20"/>
              </w:rPr>
            </w:pPr>
            <w:r w:rsidRPr="00A7320B">
              <w:rPr>
                <w:rFonts w:ascii="Arial Narrow" w:hAnsi="Arial Narrow" w:cs="Arial"/>
                <w:sz w:val="20"/>
              </w:rPr>
              <w:t>2 279,20</w:t>
            </w:r>
          </w:p>
        </w:tc>
        <w:tc>
          <w:tcPr>
            <w:tcW w:w="509" w:type="pct"/>
          </w:tcPr>
          <w:p w14:paraId="292650EE" w14:textId="77777777" w:rsidR="006B66E4" w:rsidRPr="00C5347D" w:rsidRDefault="006B66E4" w:rsidP="006B66E4">
            <w:pPr>
              <w:spacing w:after="0"/>
              <w:ind w:left="0" w:firstLine="0"/>
              <w:jc w:val="center"/>
              <w:rPr>
                <w:rFonts w:ascii="Arial Narrow" w:hAnsi="Arial Narrow" w:cs="Arial"/>
                <w:sz w:val="20"/>
              </w:rPr>
            </w:pPr>
          </w:p>
        </w:tc>
        <w:tc>
          <w:tcPr>
            <w:tcW w:w="618" w:type="pct"/>
          </w:tcPr>
          <w:p w14:paraId="3DFB829E" w14:textId="77777777" w:rsidR="006B66E4" w:rsidRPr="00C5347D" w:rsidRDefault="006B66E4" w:rsidP="006B66E4">
            <w:pPr>
              <w:spacing w:after="0"/>
              <w:ind w:left="0" w:firstLine="0"/>
              <w:jc w:val="center"/>
              <w:rPr>
                <w:rFonts w:ascii="Arial Narrow" w:hAnsi="Arial Narrow" w:cs="Arial"/>
                <w:sz w:val="20"/>
              </w:rPr>
            </w:pPr>
          </w:p>
        </w:tc>
      </w:tr>
      <w:tr w:rsidR="006B66E4" w:rsidRPr="00C5347D" w14:paraId="62EB6B78" w14:textId="77777777" w:rsidTr="00D77BC6">
        <w:trPr>
          <w:trHeight w:val="312"/>
        </w:trPr>
        <w:tc>
          <w:tcPr>
            <w:tcW w:w="269" w:type="pct"/>
            <w:shd w:val="clear" w:color="auto" w:fill="auto"/>
            <w:vAlign w:val="center"/>
            <w:hideMark/>
          </w:tcPr>
          <w:p w14:paraId="3A623823"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5.7</w:t>
            </w:r>
          </w:p>
        </w:tc>
        <w:tc>
          <w:tcPr>
            <w:tcW w:w="2725" w:type="pct"/>
            <w:shd w:val="clear" w:color="auto" w:fill="auto"/>
            <w:vAlign w:val="center"/>
            <w:hideMark/>
          </w:tcPr>
          <w:p w14:paraId="65105953" w14:textId="77777777" w:rsidR="006B66E4" w:rsidRPr="00C5347D" w:rsidRDefault="006B66E4" w:rsidP="006B66E4">
            <w:pPr>
              <w:spacing w:after="0"/>
              <w:ind w:left="0" w:firstLine="0"/>
              <w:jc w:val="left"/>
              <w:rPr>
                <w:rFonts w:ascii="Arial Narrow" w:hAnsi="Arial Narrow" w:cs="Arial"/>
                <w:sz w:val="20"/>
              </w:rPr>
            </w:pPr>
            <w:r w:rsidRPr="00C5347D">
              <w:rPr>
                <w:rFonts w:ascii="Arial Narrow" w:hAnsi="Arial Narrow" w:cs="Arial"/>
                <w:sz w:val="20"/>
              </w:rPr>
              <w:t>Empierrement libre pour la protection de la digue</w:t>
            </w:r>
          </w:p>
        </w:tc>
        <w:tc>
          <w:tcPr>
            <w:tcW w:w="366" w:type="pct"/>
            <w:shd w:val="clear" w:color="auto" w:fill="auto"/>
            <w:vAlign w:val="center"/>
            <w:hideMark/>
          </w:tcPr>
          <w:p w14:paraId="3F3FB159"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m</w:t>
            </w:r>
            <w:r w:rsidRPr="00C5347D">
              <w:rPr>
                <w:rFonts w:ascii="Arial Narrow" w:hAnsi="Arial Narrow" w:cs="Arial"/>
                <w:sz w:val="20"/>
                <w:vertAlign w:val="superscript"/>
              </w:rPr>
              <w:t>3</w:t>
            </w:r>
          </w:p>
        </w:tc>
        <w:tc>
          <w:tcPr>
            <w:tcW w:w="512" w:type="pct"/>
            <w:shd w:val="clear" w:color="auto" w:fill="auto"/>
            <w:vAlign w:val="center"/>
            <w:hideMark/>
          </w:tcPr>
          <w:p w14:paraId="09838844" w14:textId="77777777" w:rsidR="006B66E4" w:rsidRPr="00A7320B" w:rsidRDefault="006B66E4" w:rsidP="006B66E4">
            <w:pPr>
              <w:spacing w:after="0"/>
              <w:ind w:left="0" w:firstLine="0"/>
              <w:jc w:val="center"/>
              <w:rPr>
                <w:rFonts w:ascii="Arial Narrow" w:hAnsi="Arial Narrow" w:cs="Arial"/>
                <w:sz w:val="20"/>
              </w:rPr>
            </w:pPr>
            <w:r w:rsidRPr="00A7320B">
              <w:rPr>
                <w:rFonts w:ascii="Arial Narrow" w:hAnsi="Arial Narrow" w:cs="Arial"/>
                <w:sz w:val="20"/>
              </w:rPr>
              <w:t>4 608,50</w:t>
            </w:r>
          </w:p>
        </w:tc>
        <w:tc>
          <w:tcPr>
            <w:tcW w:w="509" w:type="pct"/>
          </w:tcPr>
          <w:p w14:paraId="160F3F85" w14:textId="77777777" w:rsidR="006B66E4" w:rsidRPr="00C5347D" w:rsidRDefault="006B66E4" w:rsidP="006B66E4">
            <w:pPr>
              <w:spacing w:after="0"/>
              <w:ind w:left="0" w:firstLine="0"/>
              <w:jc w:val="center"/>
              <w:rPr>
                <w:rFonts w:ascii="Arial Narrow" w:hAnsi="Arial Narrow" w:cs="Arial"/>
                <w:sz w:val="20"/>
              </w:rPr>
            </w:pPr>
          </w:p>
        </w:tc>
        <w:tc>
          <w:tcPr>
            <w:tcW w:w="618" w:type="pct"/>
          </w:tcPr>
          <w:p w14:paraId="6204883D" w14:textId="77777777" w:rsidR="006B66E4" w:rsidRPr="00C5347D" w:rsidRDefault="006B66E4" w:rsidP="006B66E4">
            <w:pPr>
              <w:spacing w:after="0"/>
              <w:ind w:left="0" w:firstLine="0"/>
              <w:jc w:val="center"/>
              <w:rPr>
                <w:rFonts w:ascii="Arial Narrow" w:hAnsi="Arial Narrow" w:cs="Arial"/>
                <w:sz w:val="20"/>
              </w:rPr>
            </w:pPr>
          </w:p>
        </w:tc>
      </w:tr>
      <w:tr w:rsidR="006B66E4" w:rsidRPr="00C5347D" w14:paraId="10738989" w14:textId="77777777" w:rsidTr="00D77BC6">
        <w:trPr>
          <w:trHeight w:val="264"/>
        </w:trPr>
        <w:tc>
          <w:tcPr>
            <w:tcW w:w="269" w:type="pct"/>
            <w:shd w:val="clear" w:color="auto" w:fill="auto"/>
            <w:vAlign w:val="center"/>
            <w:hideMark/>
          </w:tcPr>
          <w:p w14:paraId="7C86B63A"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 </w:t>
            </w:r>
          </w:p>
        </w:tc>
        <w:tc>
          <w:tcPr>
            <w:tcW w:w="2725" w:type="pct"/>
            <w:shd w:val="clear" w:color="auto" w:fill="auto"/>
            <w:vAlign w:val="center"/>
            <w:hideMark/>
          </w:tcPr>
          <w:p w14:paraId="5709D4E4" w14:textId="77777777" w:rsidR="006B66E4" w:rsidRPr="00C5347D" w:rsidRDefault="006B66E4" w:rsidP="006B66E4">
            <w:pPr>
              <w:spacing w:after="0"/>
              <w:ind w:left="0" w:firstLine="0"/>
              <w:jc w:val="right"/>
              <w:rPr>
                <w:rFonts w:ascii="Arial Narrow" w:hAnsi="Arial Narrow" w:cs="Arial"/>
                <w:b/>
                <w:bCs/>
                <w:sz w:val="20"/>
              </w:rPr>
            </w:pPr>
            <w:r w:rsidRPr="00C5347D">
              <w:rPr>
                <w:rFonts w:ascii="Arial Narrow" w:hAnsi="Arial Narrow" w:cs="Arial"/>
                <w:b/>
                <w:bCs/>
                <w:sz w:val="20"/>
              </w:rPr>
              <w:t>Total Série 5</w:t>
            </w:r>
          </w:p>
        </w:tc>
        <w:tc>
          <w:tcPr>
            <w:tcW w:w="366" w:type="pct"/>
            <w:shd w:val="clear" w:color="auto" w:fill="auto"/>
            <w:vAlign w:val="center"/>
            <w:hideMark/>
          </w:tcPr>
          <w:p w14:paraId="2F39188E"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 </w:t>
            </w:r>
          </w:p>
        </w:tc>
        <w:tc>
          <w:tcPr>
            <w:tcW w:w="512" w:type="pct"/>
            <w:shd w:val="clear" w:color="auto" w:fill="auto"/>
            <w:vAlign w:val="center"/>
            <w:hideMark/>
          </w:tcPr>
          <w:p w14:paraId="3C6FBE60" w14:textId="77777777" w:rsidR="006B66E4" w:rsidRPr="00A7320B" w:rsidRDefault="006B66E4" w:rsidP="006B66E4">
            <w:pPr>
              <w:spacing w:after="0"/>
              <w:ind w:left="0" w:firstLine="0"/>
              <w:jc w:val="left"/>
              <w:rPr>
                <w:rFonts w:ascii="Arial Narrow" w:hAnsi="Arial Narrow" w:cs="Arial"/>
                <w:sz w:val="20"/>
              </w:rPr>
            </w:pPr>
            <w:r w:rsidRPr="00A7320B">
              <w:rPr>
                <w:rFonts w:ascii="Arial Narrow" w:hAnsi="Arial Narrow" w:cs="Arial"/>
                <w:sz w:val="20"/>
              </w:rPr>
              <w:t> </w:t>
            </w:r>
          </w:p>
        </w:tc>
        <w:tc>
          <w:tcPr>
            <w:tcW w:w="509" w:type="pct"/>
          </w:tcPr>
          <w:p w14:paraId="25E74AF5" w14:textId="77777777" w:rsidR="006B66E4" w:rsidRPr="00C5347D" w:rsidRDefault="006B66E4" w:rsidP="006B66E4">
            <w:pPr>
              <w:spacing w:after="0"/>
              <w:ind w:left="0" w:firstLine="0"/>
              <w:jc w:val="left"/>
              <w:rPr>
                <w:rFonts w:ascii="Arial Narrow" w:hAnsi="Arial Narrow" w:cs="Arial"/>
                <w:sz w:val="20"/>
              </w:rPr>
            </w:pPr>
          </w:p>
        </w:tc>
        <w:tc>
          <w:tcPr>
            <w:tcW w:w="618" w:type="pct"/>
          </w:tcPr>
          <w:p w14:paraId="353369ED" w14:textId="77777777" w:rsidR="006B66E4" w:rsidRPr="00C5347D" w:rsidRDefault="006B66E4" w:rsidP="006B66E4">
            <w:pPr>
              <w:spacing w:after="0"/>
              <w:ind w:left="0" w:firstLine="0"/>
              <w:jc w:val="left"/>
              <w:rPr>
                <w:rFonts w:ascii="Arial Narrow" w:hAnsi="Arial Narrow" w:cs="Arial"/>
                <w:sz w:val="20"/>
              </w:rPr>
            </w:pPr>
          </w:p>
        </w:tc>
      </w:tr>
      <w:tr w:rsidR="006B66E4" w:rsidRPr="00C5347D" w14:paraId="0E356C54" w14:textId="77777777" w:rsidTr="00D77BC6">
        <w:trPr>
          <w:trHeight w:val="264"/>
        </w:trPr>
        <w:tc>
          <w:tcPr>
            <w:tcW w:w="269" w:type="pct"/>
            <w:shd w:val="clear" w:color="auto" w:fill="auto"/>
            <w:vAlign w:val="center"/>
            <w:hideMark/>
          </w:tcPr>
          <w:p w14:paraId="3B6FF77B"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 </w:t>
            </w:r>
          </w:p>
        </w:tc>
        <w:tc>
          <w:tcPr>
            <w:tcW w:w="2725" w:type="pct"/>
            <w:shd w:val="clear" w:color="auto" w:fill="auto"/>
            <w:vAlign w:val="center"/>
            <w:hideMark/>
          </w:tcPr>
          <w:p w14:paraId="5175F1B0" w14:textId="77777777" w:rsidR="006B66E4" w:rsidRPr="00C5347D" w:rsidRDefault="006B66E4" w:rsidP="006B66E4">
            <w:pPr>
              <w:spacing w:after="0"/>
              <w:ind w:left="0" w:firstLine="0"/>
              <w:jc w:val="left"/>
              <w:rPr>
                <w:rFonts w:ascii="Arial Narrow" w:hAnsi="Arial Narrow" w:cs="Arial"/>
                <w:b/>
                <w:bCs/>
                <w:sz w:val="20"/>
              </w:rPr>
            </w:pPr>
            <w:r w:rsidRPr="00C5347D">
              <w:rPr>
                <w:rFonts w:ascii="Arial Narrow" w:hAnsi="Arial Narrow" w:cs="Arial"/>
                <w:b/>
                <w:bCs/>
                <w:sz w:val="20"/>
              </w:rPr>
              <w:t>Série VI-ACCESSOIRE</w:t>
            </w:r>
          </w:p>
        </w:tc>
        <w:tc>
          <w:tcPr>
            <w:tcW w:w="366" w:type="pct"/>
            <w:shd w:val="clear" w:color="auto" w:fill="auto"/>
            <w:vAlign w:val="center"/>
            <w:hideMark/>
          </w:tcPr>
          <w:p w14:paraId="34C5DC22"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 </w:t>
            </w:r>
          </w:p>
        </w:tc>
        <w:tc>
          <w:tcPr>
            <w:tcW w:w="512" w:type="pct"/>
            <w:shd w:val="clear" w:color="auto" w:fill="auto"/>
            <w:vAlign w:val="center"/>
            <w:hideMark/>
          </w:tcPr>
          <w:p w14:paraId="259ACD1C" w14:textId="77777777" w:rsidR="006B66E4" w:rsidRPr="00A7320B" w:rsidRDefault="006B66E4" w:rsidP="006B66E4">
            <w:pPr>
              <w:spacing w:after="0"/>
              <w:ind w:left="0" w:firstLine="0"/>
              <w:jc w:val="left"/>
              <w:rPr>
                <w:rFonts w:ascii="Arial Narrow" w:hAnsi="Arial Narrow" w:cs="Arial"/>
                <w:sz w:val="20"/>
              </w:rPr>
            </w:pPr>
            <w:r w:rsidRPr="00A7320B">
              <w:rPr>
                <w:rFonts w:ascii="Arial Narrow" w:hAnsi="Arial Narrow" w:cs="Arial"/>
                <w:sz w:val="20"/>
              </w:rPr>
              <w:t> </w:t>
            </w:r>
          </w:p>
        </w:tc>
        <w:tc>
          <w:tcPr>
            <w:tcW w:w="509" w:type="pct"/>
          </w:tcPr>
          <w:p w14:paraId="3EBB6CF6" w14:textId="77777777" w:rsidR="006B66E4" w:rsidRPr="00C5347D" w:rsidRDefault="006B66E4" w:rsidP="006B66E4">
            <w:pPr>
              <w:spacing w:after="0"/>
              <w:ind w:left="0" w:firstLine="0"/>
              <w:jc w:val="left"/>
              <w:rPr>
                <w:rFonts w:ascii="Arial Narrow" w:hAnsi="Arial Narrow" w:cs="Arial"/>
                <w:sz w:val="20"/>
              </w:rPr>
            </w:pPr>
          </w:p>
        </w:tc>
        <w:tc>
          <w:tcPr>
            <w:tcW w:w="618" w:type="pct"/>
          </w:tcPr>
          <w:p w14:paraId="374FDF47" w14:textId="77777777" w:rsidR="006B66E4" w:rsidRPr="00C5347D" w:rsidRDefault="006B66E4" w:rsidP="006B66E4">
            <w:pPr>
              <w:spacing w:after="0"/>
              <w:ind w:left="0" w:firstLine="0"/>
              <w:jc w:val="left"/>
              <w:rPr>
                <w:rFonts w:ascii="Arial Narrow" w:hAnsi="Arial Narrow" w:cs="Arial"/>
                <w:sz w:val="20"/>
              </w:rPr>
            </w:pPr>
          </w:p>
        </w:tc>
      </w:tr>
      <w:tr w:rsidR="006B66E4" w:rsidRPr="00C5347D" w14:paraId="546DAA88" w14:textId="77777777" w:rsidTr="00D77BC6">
        <w:trPr>
          <w:trHeight w:val="264"/>
        </w:trPr>
        <w:tc>
          <w:tcPr>
            <w:tcW w:w="269" w:type="pct"/>
            <w:shd w:val="clear" w:color="auto" w:fill="auto"/>
            <w:vAlign w:val="center"/>
            <w:hideMark/>
          </w:tcPr>
          <w:p w14:paraId="32899B92"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6.1</w:t>
            </w:r>
          </w:p>
        </w:tc>
        <w:tc>
          <w:tcPr>
            <w:tcW w:w="2725" w:type="pct"/>
            <w:shd w:val="clear" w:color="auto" w:fill="auto"/>
            <w:vAlign w:val="center"/>
            <w:hideMark/>
          </w:tcPr>
          <w:p w14:paraId="64220DB3" w14:textId="77777777" w:rsidR="006B66E4" w:rsidRPr="00C5347D" w:rsidRDefault="006B66E4" w:rsidP="006B66E4">
            <w:pPr>
              <w:spacing w:after="0"/>
              <w:ind w:left="0" w:firstLine="0"/>
              <w:jc w:val="left"/>
              <w:rPr>
                <w:rFonts w:ascii="Arial Narrow" w:hAnsi="Arial Narrow" w:cs="Arial"/>
                <w:sz w:val="20"/>
              </w:rPr>
            </w:pPr>
            <w:r w:rsidRPr="00C5347D">
              <w:rPr>
                <w:rFonts w:ascii="Arial Narrow" w:hAnsi="Arial Narrow" w:cs="Arial"/>
                <w:sz w:val="20"/>
              </w:rPr>
              <w:t>Panneaux d'information</w:t>
            </w:r>
          </w:p>
        </w:tc>
        <w:tc>
          <w:tcPr>
            <w:tcW w:w="366" w:type="pct"/>
            <w:shd w:val="clear" w:color="auto" w:fill="auto"/>
            <w:vAlign w:val="center"/>
            <w:hideMark/>
          </w:tcPr>
          <w:p w14:paraId="097467D1"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u</w:t>
            </w:r>
          </w:p>
        </w:tc>
        <w:tc>
          <w:tcPr>
            <w:tcW w:w="512" w:type="pct"/>
            <w:shd w:val="clear" w:color="auto" w:fill="auto"/>
            <w:vAlign w:val="center"/>
            <w:hideMark/>
          </w:tcPr>
          <w:p w14:paraId="51BF83F5" w14:textId="77777777" w:rsidR="006B66E4" w:rsidRPr="00A7320B" w:rsidRDefault="006B66E4" w:rsidP="006B66E4">
            <w:pPr>
              <w:spacing w:after="0"/>
              <w:ind w:left="0" w:firstLine="0"/>
              <w:jc w:val="center"/>
              <w:rPr>
                <w:rFonts w:ascii="Arial Narrow" w:hAnsi="Arial Narrow" w:cs="Arial"/>
                <w:sz w:val="20"/>
              </w:rPr>
            </w:pPr>
            <w:r w:rsidRPr="00A7320B">
              <w:rPr>
                <w:rFonts w:ascii="Arial Narrow" w:hAnsi="Arial Narrow" w:cs="Arial"/>
                <w:sz w:val="20"/>
              </w:rPr>
              <w:t>2,00</w:t>
            </w:r>
          </w:p>
        </w:tc>
        <w:tc>
          <w:tcPr>
            <w:tcW w:w="509" w:type="pct"/>
          </w:tcPr>
          <w:p w14:paraId="3B362F56" w14:textId="77777777" w:rsidR="006B66E4" w:rsidRPr="00C5347D" w:rsidRDefault="006B66E4" w:rsidP="006B66E4">
            <w:pPr>
              <w:spacing w:after="0"/>
              <w:ind w:left="0" w:firstLine="0"/>
              <w:jc w:val="center"/>
              <w:rPr>
                <w:rFonts w:ascii="Arial Narrow" w:hAnsi="Arial Narrow" w:cs="Arial"/>
                <w:sz w:val="20"/>
              </w:rPr>
            </w:pPr>
          </w:p>
        </w:tc>
        <w:tc>
          <w:tcPr>
            <w:tcW w:w="618" w:type="pct"/>
          </w:tcPr>
          <w:p w14:paraId="28C2CE36" w14:textId="77777777" w:rsidR="006B66E4" w:rsidRPr="00C5347D" w:rsidRDefault="006B66E4" w:rsidP="006B66E4">
            <w:pPr>
              <w:spacing w:after="0"/>
              <w:ind w:left="0" w:firstLine="0"/>
              <w:jc w:val="center"/>
              <w:rPr>
                <w:rFonts w:ascii="Arial Narrow" w:hAnsi="Arial Narrow" w:cs="Arial"/>
                <w:sz w:val="20"/>
              </w:rPr>
            </w:pPr>
          </w:p>
        </w:tc>
      </w:tr>
      <w:tr w:rsidR="006B66E4" w:rsidRPr="00C5347D" w14:paraId="77F48917" w14:textId="77777777" w:rsidTr="00D77BC6">
        <w:trPr>
          <w:trHeight w:val="264"/>
        </w:trPr>
        <w:tc>
          <w:tcPr>
            <w:tcW w:w="269" w:type="pct"/>
            <w:shd w:val="clear" w:color="auto" w:fill="auto"/>
            <w:vAlign w:val="center"/>
            <w:hideMark/>
          </w:tcPr>
          <w:p w14:paraId="0E341719"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 </w:t>
            </w:r>
          </w:p>
        </w:tc>
        <w:tc>
          <w:tcPr>
            <w:tcW w:w="2725" w:type="pct"/>
            <w:shd w:val="clear" w:color="auto" w:fill="auto"/>
            <w:vAlign w:val="center"/>
            <w:hideMark/>
          </w:tcPr>
          <w:p w14:paraId="7F66DEF0" w14:textId="77777777" w:rsidR="006B66E4" w:rsidRPr="00C5347D" w:rsidRDefault="006B66E4" w:rsidP="006B66E4">
            <w:pPr>
              <w:spacing w:after="0"/>
              <w:ind w:left="0" w:firstLine="0"/>
              <w:jc w:val="right"/>
              <w:rPr>
                <w:rFonts w:ascii="Arial Narrow" w:hAnsi="Arial Narrow" w:cs="Arial"/>
                <w:b/>
                <w:bCs/>
                <w:sz w:val="20"/>
              </w:rPr>
            </w:pPr>
            <w:r w:rsidRPr="00C5347D">
              <w:rPr>
                <w:rFonts w:ascii="Arial Narrow" w:hAnsi="Arial Narrow" w:cs="Arial"/>
                <w:b/>
                <w:bCs/>
                <w:sz w:val="20"/>
              </w:rPr>
              <w:t>Total Série 6</w:t>
            </w:r>
          </w:p>
        </w:tc>
        <w:tc>
          <w:tcPr>
            <w:tcW w:w="366" w:type="pct"/>
            <w:shd w:val="clear" w:color="auto" w:fill="auto"/>
            <w:vAlign w:val="center"/>
            <w:hideMark/>
          </w:tcPr>
          <w:p w14:paraId="28839A9F"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 </w:t>
            </w:r>
          </w:p>
        </w:tc>
        <w:tc>
          <w:tcPr>
            <w:tcW w:w="512" w:type="pct"/>
            <w:shd w:val="clear" w:color="auto" w:fill="auto"/>
            <w:vAlign w:val="center"/>
            <w:hideMark/>
          </w:tcPr>
          <w:p w14:paraId="5BCF7BEF" w14:textId="77777777" w:rsidR="006B66E4" w:rsidRPr="00CD207E" w:rsidRDefault="006B66E4" w:rsidP="006B66E4">
            <w:pPr>
              <w:spacing w:after="0"/>
              <w:ind w:left="0" w:firstLine="0"/>
              <w:jc w:val="left"/>
              <w:rPr>
                <w:rFonts w:ascii="Arial Narrow" w:hAnsi="Arial Narrow" w:cs="Arial"/>
                <w:color w:val="FF0000"/>
                <w:sz w:val="20"/>
              </w:rPr>
            </w:pPr>
            <w:r w:rsidRPr="00CD207E">
              <w:rPr>
                <w:rFonts w:ascii="Arial Narrow" w:hAnsi="Arial Narrow" w:cs="Arial"/>
                <w:color w:val="FF0000"/>
                <w:sz w:val="20"/>
              </w:rPr>
              <w:t> </w:t>
            </w:r>
          </w:p>
        </w:tc>
        <w:tc>
          <w:tcPr>
            <w:tcW w:w="509" w:type="pct"/>
          </w:tcPr>
          <w:p w14:paraId="41D2662D" w14:textId="77777777" w:rsidR="006B66E4" w:rsidRPr="00C5347D" w:rsidRDefault="006B66E4" w:rsidP="006B66E4">
            <w:pPr>
              <w:spacing w:after="0"/>
              <w:ind w:left="0" w:firstLine="0"/>
              <w:jc w:val="left"/>
              <w:rPr>
                <w:rFonts w:ascii="Arial Narrow" w:hAnsi="Arial Narrow" w:cs="Arial"/>
                <w:sz w:val="20"/>
              </w:rPr>
            </w:pPr>
          </w:p>
        </w:tc>
        <w:tc>
          <w:tcPr>
            <w:tcW w:w="618" w:type="pct"/>
          </w:tcPr>
          <w:p w14:paraId="3FA6AAD5" w14:textId="77777777" w:rsidR="006B66E4" w:rsidRPr="00C5347D" w:rsidRDefault="006B66E4" w:rsidP="006B66E4">
            <w:pPr>
              <w:spacing w:after="0"/>
              <w:ind w:left="0" w:firstLine="0"/>
              <w:jc w:val="left"/>
              <w:rPr>
                <w:rFonts w:ascii="Arial Narrow" w:hAnsi="Arial Narrow" w:cs="Arial"/>
                <w:sz w:val="20"/>
              </w:rPr>
            </w:pPr>
          </w:p>
        </w:tc>
      </w:tr>
      <w:tr w:rsidR="006B66E4" w:rsidRPr="00C5347D" w14:paraId="5E488A5A" w14:textId="77777777" w:rsidTr="00D77BC6">
        <w:trPr>
          <w:trHeight w:val="276"/>
        </w:trPr>
        <w:tc>
          <w:tcPr>
            <w:tcW w:w="269" w:type="pct"/>
            <w:shd w:val="clear" w:color="000000" w:fill="C0C0C0"/>
            <w:noWrap/>
            <w:vAlign w:val="center"/>
            <w:hideMark/>
          </w:tcPr>
          <w:p w14:paraId="7B3C1DC7"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 </w:t>
            </w:r>
          </w:p>
        </w:tc>
        <w:tc>
          <w:tcPr>
            <w:tcW w:w="2725" w:type="pct"/>
            <w:shd w:val="clear" w:color="000000" w:fill="C0C0C0"/>
            <w:vAlign w:val="center"/>
            <w:hideMark/>
          </w:tcPr>
          <w:p w14:paraId="4C4F672F" w14:textId="77777777" w:rsidR="006B66E4" w:rsidRPr="00C5347D" w:rsidRDefault="006B66E4" w:rsidP="006B66E4">
            <w:pPr>
              <w:spacing w:after="0"/>
              <w:ind w:left="0" w:firstLine="0"/>
              <w:jc w:val="left"/>
              <w:rPr>
                <w:rFonts w:ascii="Arial Narrow" w:hAnsi="Arial Narrow" w:cs="Arial"/>
                <w:b/>
                <w:bCs/>
                <w:sz w:val="20"/>
              </w:rPr>
            </w:pPr>
            <w:r w:rsidRPr="00C5347D">
              <w:rPr>
                <w:rFonts w:ascii="Arial Narrow" w:hAnsi="Arial Narrow" w:cs="Arial"/>
                <w:b/>
                <w:bCs/>
                <w:sz w:val="20"/>
              </w:rPr>
              <w:t>Total Général (DIGUE N°02)</w:t>
            </w:r>
          </w:p>
        </w:tc>
        <w:tc>
          <w:tcPr>
            <w:tcW w:w="366" w:type="pct"/>
            <w:shd w:val="clear" w:color="000000" w:fill="C0C0C0"/>
            <w:noWrap/>
            <w:vAlign w:val="center"/>
            <w:hideMark/>
          </w:tcPr>
          <w:p w14:paraId="1D3654B6" w14:textId="77777777" w:rsidR="006B66E4" w:rsidRPr="00C5347D" w:rsidRDefault="006B66E4" w:rsidP="006B66E4">
            <w:pPr>
              <w:spacing w:after="0"/>
              <w:ind w:left="0" w:firstLine="0"/>
              <w:jc w:val="center"/>
              <w:rPr>
                <w:rFonts w:ascii="Arial Narrow" w:hAnsi="Arial Narrow" w:cs="Arial"/>
                <w:sz w:val="20"/>
              </w:rPr>
            </w:pPr>
            <w:r w:rsidRPr="00C5347D">
              <w:rPr>
                <w:rFonts w:ascii="Arial Narrow" w:hAnsi="Arial Narrow" w:cs="Arial"/>
                <w:sz w:val="20"/>
              </w:rPr>
              <w:t> </w:t>
            </w:r>
          </w:p>
        </w:tc>
        <w:tc>
          <w:tcPr>
            <w:tcW w:w="512" w:type="pct"/>
            <w:shd w:val="clear" w:color="000000" w:fill="C0C0C0"/>
            <w:noWrap/>
            <w:vAlign w:val="center"/>
            <w:hideMark/>
          </w:tcPr>
          <w:p w14:paraId="485C8D67" w14:textId="77777777" w:rsidR="006B66E4" w:rsidRPr="00CD207E" w:rsidRDefault="006B66E4" w:rsidP="006B66E4">
            <w:pPr>
              <w:spacing w:after="0"/>
              <w:ind w:left="0" w:firstLine="0"/>
              <w:jc w:val="left"/>
              <w:rPr>
                <w:rFonts w:ascii="Arial Narrow" w:hAnsi="Arial Narrow" w:cs="Arial"/>
                <w:color w:val="FF0000"/>
                <w:sz w:val="20"/>
              </w:rPr>
            </w:pPr>
            <w:r w:rsidRPr="00CD207E">
              <w:rPr>
                <w:rFonts w:ascii="Arial Narrow" w:hAnsi="Arial Narrow" w:cs="Arial"/>
                <w:color w:val="FF0000"/>
                <w:sz w:val="20"/>
              </w:rPr>
              <w:t> </w:t>
            </w:r>
          </w:p>
        </w:tc>
        <w:tc>
          <w:tcPr>
            <w:tcW w:w="509" w:type="pct"/>
            <w:shd w:val="clear" w:color="000000" w:fill="C0C0C0"/>
          </w:tcPr>
          <w:p w14:paraId="21A9869B" w14:textId="77777777" w:rsidR="006B66E4" w:rsidRPr="00C5347D" w:rsidRDefault="006B66E4" w:rsidP="006B66E4">
            <w:pPr>
              <w:spacing w:after="0"/>
              <w:ind w:left="0" w:firstLine="0"/>
              <w:jc w:val="left"/>
              <w:rPr>
                <w:rFonts w:ascii="Arial Narrow" w:hAnsi="Arial Narrow" w:cs="Arial"/>
                <w:sz w:val="20"/>
              </w:rPr>
            </w:pPr>
          </w:p>
        </w:tc>
        <w:tc>
          <w:tcPr>
            <w:tcW w:w="618" w:type="pct"/>
            <w:shd w:val="clear" w:color="000000" w:fill="C0C0C0"/>
          </w:tcPr>
          <w:p w14:paraId="7F9DA825" w14:textId="77777777" w:rsidR="006B66E4" w:rsidRPr="00C5347D" w:rsidRDefault="006B66E4" w:rsidP="006B66E4">
            <w:pPr>
              <w:spacing w:after="0"/>
              <w:ind w:left="0" w:firstLine="0"/>
              <w:jc w:val="left"/>
              <w:rPr>
                <w:rFonts w:ascii="Arial Narrow" w:hAnsi="Arial Narrow" w:cs="Arial"/>
                <w:sz w:val="20"/>
              </w:rPr>
            </w:pPr>
          </w:p>
        </w:tc>
      </w:tr>
      <w:tr w:rsidR="00D77BC6" w:rsidRPr="00C5347D" w14:paraId="2B122014" w14:textId="77777777" w:rsidTr="00D77BC6">
        <w:trPr>
          <w:trHeight w:val="276"/>
        </w:trPr>
        <w:tc>
          <w:tcPr>
            <w:tcW w:w="269" w:type="pct"/>
            <w:shd w:val="clear" w:color="auto" w:fill="auto"/>
            <w:noWrap/>
            <w:vAlign w:val="center"/>
          </w:tcPr>
          <w:p w14:paraId="559D0AA8" w14:textId="77777777" w:rsidR="00D77BC6" w:rsidRPr="00C5347D" w:rsidRDefault="00D77BC6" w:rsidP="00D77BC6">
            <w:pPr>
              <w:spacing w:after="0"/>
              <w:ind w:left="0" w:firstLine="0"/>
              <w:jc w:val="center"/>
              <w:rPr>
                <w:rFonts w:ascii="Arial Narrow" w:hAnsi="Arial Narrow" w:cs="Arial"/>
                <w:sz w:val="20"/>
              </w:rPr>
            </w:pPr>
          </w:p>
        </w:tc>
        <w:tc>
          <w:tcPr>
            <w:tcW w:w="2725" w:type="pct"/>
            <w:shd w:val="clear" w:color="auto" w:fill="auto"/>
            <w:vAlign w:val="center"/>
          </w:tcPr>
          <w:p w14:paraId="04AEC067" w14:textId="7140E059" w:rsidR="00D77BC6" w:rsidRPr="00C5347D" w:rsidRDefault="00D77BC6" w:rsidP="00D77BC6">
            <w:pPr>
              <w:spacing w:after="0"/>
              <w:ind w:left="0" w:firstLine="0"/>
              <w:jc w:val="left"/>
              <w:rPr>
                <w:rFonts w:ascii="Arial Narrow" w:hAnsi="Arial Narrow" w:cs="Arial"/>
                <w:b/>
                <w:bCs/>
                <w:sz w:val="20"/>
              </w:rPr>
            </w:pPr>
            <w:r>
              <w:rPr>
                <w:rFonts w:ascii="Arial Narrow" w:hAnsi="Arial Narrow" w:cs="Arial"/>
                <w:b/>
                <w:bCs/>
                <w:sz w:val="20"/>
              </w:rPr>
              <w:t>TVA</w:t>
            </w:r>
          </w:p>
        </w:tc>
        <w:tc>
          <w:tcPr>
            <w:tcW w:w="366" w:type="pct"/>
            <w:shd w:val="clear" w:color="auto" w:fill="auto"/>
            <w:noWrap/>
            <w:vAlign w:val="center"/>
          </w:tcPr>
          <w:p w14:paraId="3F17DC13" w14:textId="77777777" w:rsidR="00D77BC6" w:rsidRPr="00C5347D" w:rsidRDefault="00D77BC6" w:rsidP="00D77BC6">
            <w:pPr>
              <w:spacing w:after="0"/>
              <w:ind w:left="0" w:firstLine="0"/>
              <w:jc w:val="center"/>
              <w:rPr>
                <w:rFonts w:ascii="Arial Narrow" w:hAnsi="Arial Narrow" w:cs="Arial"/>
                <w:sz w:val="20"/>
              </w:rPr>
            </w:pPr>
          </w:p>
        </w:tc>
        <w:tc>
          <w:tcPr>
            <w:tcW w:w="512" w:type="pct"/>
            <w:shd w:val="clear" w:color="auto" w:fill="auto"/>
            <w:noWrap/>
            <w:vAlign w:val="center"/>
          </w:tcPr>
          <w:p w14:paraId="1162A8A3" w14:textId="77777777" w:rsidR="00D77BC6" w:rsidRPr="00CD207E" w:rsidRDefault="00D77BC6" w:rsidP="00D77BC6">
            <w:pPr>
              <w:spacing w:after="0"/>
              <w:ind w:left="0" w:firstLine="0"/>
              <w:jc w:val="left"/>
              <w:rPr>
                <w:rFonts w:ascii="Arial Narrow" w:hAnsi="Arial Narrow" w:cs="Arial"/>
                <w:color w:val="FF0000"/>
                <w:sz w:val="20"/>
              </w:rPr>
            </w:pPr>
          </w:p>
        </w:tc>
        <w:tc>
          <w:tcPr>
            <w:tcW w:w="509" w:type="pct"/>
            <w:shd w:val="clear" w:color="auto" w:fill="auto"/>
          </w:tcPr>
          <w:p w14:paraId="10EC1FA1" w14:textId="77777777" w:rsidR="00D77BC6" w:rsidRPr="00C5347D" w:rsidRDefault="00D77BC6" w:rsidP="00D77BC6">
            <w:pPr>
              <w:spacing w:after="0"/>
              <w:ind w:left="0" w:firstLine="0"/>
              <w:jc w:val="left"/>
              <w:rPr>
                <w:rFonts w:ascii="Arial Narrow" w:hAnsi="Arial Narrow" w:cs="Arial"/>
                <w:sz w:val="20"/>
              </w:rPr>
            </w:pPr>
          </w:p>
        </w:tc>
        <w:tc>
          <w:tcPr>
            <w:tcW w:w="618" w:type="pct"/>
            <w:shd w:val="clear" w:color="auto" w:fill="auto"/>
          </w:tcPr>
          <w:p w14:paraId="4D860F9F" w14:textId="77777777" w:rsidR="00D77BC6" w:rsidRPr="00C5347D" w:rsidRDefault="00D77BC6" w:rsidP="00D77BC6">
            <w:pPr>
              <w:spacing w:after="0"/>
              <w:ind w:left="0" w:firstLine="0"/>
              <w:jc w:val="left"/>
              <w:rPr>
                <w:rFonts w:ascii="Arial Narrow" w:hAnsi="Arial Narrow" w:cs="Arial"/>
                <w:sz w:val="20"/>
              </w:rPr>
            </w:pPr>
          </w:p>
        </w:tc>
      </w:tr>
      <w:tr w:rsidR="00D77BC6" w:rsidRPr="00C5347D" w14:paraId="330564E3" w14:textId="77777777" w:rsidTr="00D77BC6">
        <w:trPr>
          <w:trHeight w:val="276"/>
        </w:trPr>
        <w:tc>
          <w:tcPr>
            <w:tcW w:w="269" w:type="pct"/>
            <w:shd w:val="clear" w:color="000000" w:fill="C0C0C0"/>
            <w:noWrap/>
            <w:vAlign w:val="center"/>
          </w:tcPr>
          <w:p w14:paraId="5D96275A" w14:textId="77777777" w:rsidR="00D77BC6" w:rsidRPr="00C5347D" w:rsidRDefault="00D77BC6" w:rsidP="00D77BC6">
            <w:pPr>
              <w:spacing w:after="0"/>
              <w:ind w:left="0" w:firstLine="0"/>
              <w:jc w:val="center"/>
              <w:rPr>
                <w:rFonts w:ascii="Arial Narrow" w:hAnsi="Arial Narrow" w:cs="Arial"/>
                <w:sz w:val="20"/>
              </w:rPr>
            </w:pPr>
          </w:p>
        </w:tc>
        <w:tc>
          <w:tcPr>
            <w:tcW w:w="2725" w:type="pct"/>
            <w:shd w:val="clear" w:color="000000" w:fill="C0C0C0"/>
            <w:vAlign w:val="center"/>
          </w:tcPr>
          <w:p w14:paraId="647094B7" w14:textId="39289767" w:rsidR="00D77BC6" w:rsidRPr="00C5347D" w:rsidRDefault="00D77BC6" w:rsidP="00D77BC6">
            <w:pPr>
              <w:spacing w:after="0"/>
              <w:ind w:left="0" w:firstLine="0"/>
              <w:jc w:val="left"/>
              <w:rPr>
                <w:rFonts w:ascii="Arial Narrow" w:hAnsi="Arial Narrow" w:cs="Arial"/>
                <w:b/>
                <w:bCs/>
                <w:sz w:val="20"/>
              </w:rPr>
            </w:pPr>
            <w:r>
              <w:rPr>
                <w:rFonts w:ascii="Arial Narrow" w:hAnsi="Arial Narrow" w:cs="Arial"/>
                <w:b/>
                <w:bCs/>
                <w:sz w:val="20"/>
              </w:rPr>
              <w:t>TOTAL GENERAL TTC</w:t>
            </w:r>
          </w:p>
        </w:tc>
        <w:tc>
          <w:tcPr>
            <w:tcW w:w="366" w:type="pct"/>
            <w:shd w:val="clear" w:color="000000" w:fill="C0C0C0"/>
            <w:noWrap/>
            <w:vAlign w:val="center"/>
          </w:tcPr>
          <w:p w14:paraId="4E061555" w14:textId="77777777" w:rsidR="00D77BC6" w:rsidRPr="00C5347D" w:rsidRDefault="00D77BC6" w:rsidP="00D77BC6">
            <w:pPr>
              <w:spacing w:after="0"/>
              <w:ind w:left="0" w:firstLine="0"/>
              <w:jc w:val="center"/>
              <w:rPr>
                <w:rFonts w:ascii="Arial Narrow" w:hAnsi="Arial Narrow" w:cs="Arial"/>
                <w:sz w:val="20"/>
              </w:rPr>
            </w:pPr>
          </w:p>
        </w:tc>
        <w:tc>
          <w:tcPr>
            <w:tcW w:w="512" w:type="pct"/>
            <w:shd w:val="clear" w:color="000000" w:fill="C0C0C0"/>
            <w:noWrap/>
            <w:vAlign w:val="center"/>
          </w:tcPr>
          <w:p w14:paraId="5A6D4A73" w14:textId="77777777" w:rsidR="00D77BC6" w:rsidRPr="00CD207E" w:rsidRDefault="00D77BC6" w:rsidP="00D77BC6">
            <w:pPr>
              <w:spacing w:after="0"/>
              <w:ind w:left="0" w:firstLine="0"/>
              <w:jc w:val="left"/>
              <w:rPr>
                <w:rFonts w:ascii="Arial Narrow" w:hAnsi="Arial Narrow" w:cs="Arial"/>
                <w:color w:val="FF0000"/>
                <w:sz w:val="20"/>
              </w:rPr>
            </w:pPr>
          </w:p>
        </w:tc>
        <w:tc>
          <w:tcPr>
            <w:tcW w:w="509" w:type="pct"/>
            <w:shd w:val="clear" w:color="000000" w:fill="C0C0C0"/>
          </w:tcPr>
          <w:p w14:paraId="2DCDFF30" w14:textId="77777777" w:rsidR="00D77BC6" w:rsidRPr="00C5347D" w:rsidRDefault="00D77BC6" w:rsidP="00D77BC6">
            <w:pPr>
              <w:spacing w:after="0"/>
              <w:ind w:left="0" w:firstLine="0"/>
              <w:jc w:val="left"/>
              <w:rPr>
                <w:rFonts w:ascii="Arial Narrow" w:hAnsi="Arial Narrow" w:cs="Arial"/>
                <w:sz w:val="20"/>
              </w:rPr>
            </w:pPr>
          </w:p>
        </w:tc>
        <w:tc>
          <w:tcPr>
            <w:tcW w:w="618" w:type="pct"/>
            <w:shd w:val="clear" w:color="000000" w:fill="C0C0C0"/>
          </w:tcPr>
          <w:p w14:paraId="52C38D02" w14:textId="77777777" w:rsidR="00D77BC6" w:rsidRPr="00C5347D" w:rsidRDefault="00D77BC6" w:rsidP="00D77BC6">
            <w:pPr>
              <w:spacing w:after="0"/>
              <w:ind w:left="0" w:firstLine="0"/>
              <w:jc w:val="left"/>
              <w:rPr>
                <w:rFonts w:ascii="Arial Narrow" w:hAnsi="Arial Narrow" w:cs="Arial"/>
                <w:sz w:val="20"/>
              </w:rPr>
            </w:pPr>
          </w:p>
        </w:tc>
      </w:tr>
    </w:tbl>
    <w:p w14:paraId="1FF082BA" w14:textId="77777777" w:rsidR="006B66E4" w:rsidRPr="001124FC" w:rsidRDefault="006B66E4" w:rsidP="006B66E4">
      <w:pPr>
        <w:ind w:left="0" w:firstLine="0"/>
        <w:rPr>
          <w:b/>
          <w:szCs w:val="24"/>
          <w:lang w:eastAsia="en-US"/>
        </w:rPr>
      </w:pPr>
    </w:p>
    <w:p w14:paraId="68D3DFDA" w14:textId="5E7B85A6" w:rsidR="006B66E4" w:rsidRPr="00A7320B" w:rsidRDefault="006B66E4" w:rsidP="006B66E4">
      <w:pPr>
        <w:pStyle w:val="S1-Header2"/>
        <w:numPr>
          <w:ilvl w:val="0"/>
          <w:numId w:val="0"/>
        </w:numPr>
        <w:ind w:left="720" w:hanging="720"/>
        <w:rPr>
          <w:b w:val="0"/>
          <w:lang w:val="fr-FR"/>
        </w:rPr>
      </w:pPr>
      <w:r w:rsidRPr="00A7320B">
        <w:rPr>
          <w:b w:val="0"/>
          <w:lang w:val="fr-FR"/>
        </w:rPr>
        <w:t xml:space="preserve">                                                   Fait à……………………, le ……………………202</w:t>
      </w:r>
      <w:r w:rsidR="00CD207E" w:rsidRPr="00A7320B">
        <w:rPr>
          <w:b w:val="0"/>
          <w:lang w:val="fr-FR"/>
        </w:rPr>
        <w:t>1</w:t>
      </w:r>
      <w:r w:rsidRPr="00A7320B">
        <w:rPr>
          <w:b w:val="0"/>
          <w:lang w:val="fr-FR"/>
        </w:rPr>
        <w:t>.</w:t>
      </w:r>
    </w:p>
    <w:p w14:paraId="233F9693" w14:textId="77777777" w:rsidR="006B66E4" w:rsidRPr="001124FC" w:rsidRDefault="006B66E4" w:rsidP="006B66E4">
      <w:pPr>
        <w:pStyle w:val="S1-Header2"/>
        <w:numPr>
          <w:ilvl w:val="0"/>
          <w:numId w:val="0"/>
        </w:numPr>
        <w:ind w:left="142" w:hanging="11"/>
        <w:rPr>
          <w:b w:val="0"/>
          <w:lang w:val="fr-FR"/>
        </w:rPr>
      </w:pPr>
      <w:r w:rsidRPr="001124FC">
        <w:rPr>
          <w:b w:val="0"/>
          <w:lang w:val="fr-FR"/>
        </w:rPr>
        <w:t>Arrêter le présent devis à la somme de ………………………francs CFA toutes taxes comprises</w:t>
      </w:r>
    </w:p>
    <w:p w14:paraId="598039DA" w14:textId="77777777" w:rsidR="006B66E4" w:rsidRPr="001124FC" w:rsidRDefault="006B66E4" w:rsidP="006B66E4">
      <w:pPr>
        <w:spacing w:after="0"/>
        <w:ind w:left="426" w:hanging="426"/>
        <w:jc w:val="left"/>
        <w:rPr>
          <w:b/>
          <w:szCs w:val="24"/>
          <w:lang w:eastAsia="en-US"/>
        </w:rPr>
      </w:pPr>
      <w:r w:rsidRPr="001124FC">
        <w:rPr>
          <w:b/>
          <w:szCs w:val="24"/>
          <w:lang w:eastAsia="en-US"/>
        </w:rPr>
        <w:t xml:space="preserve">                         </w:t>
      </w:r>
    </w:p>
    <w:p w14:paraId="27383FBB" w14:textId="0C5B60D7" w:rsidR="006B66E4" w:rsidRDefault="006B66E4" w:rsidP="006B66E4">
      <w:pPr>
        <w:spacing w:after="0"/>
        <w:ind w:left="426" w:hanging="426"/>
        <w:jc w:val="left"/>
        <w:rPr>
          <w:b/>
          <w:szCs w:val="24"/>
          <w:lang w:eastAsia="en-US"/>
        </w:rPr>
      </w:pPr>
      <w:r w:rsidRPr="001124FC">
        <w:rPr>
          <w:b/>
          <w:szCs w:val="24"/>
          <w:lang w:eastAsia="en-US"/>
        </w:rPr>
        <w:t xml:space="preserve">                                                                                                    Le Soumissionnaire</w:t>
      </w:r>
    </w:p>
    <w:p w14:paraId="6F0365C0" w14:textId="77777777" w:rsidR="006B66E4" w:rsidRPr="00EA12AA" w:rsidRDefault="006B66E4" w:rsidP="006B66E4">
      <w:pPr>
        <w:spacing w:after="0"/>
        <w:ind w:left="0" w:firstLine="0"/>
        <w:jc w:val="center"/>
        <w:rPr>
          <w:b/>
          <w:color w:val="000000" w:themeColor="text1"/>
          <w:sz w:val="28"/>
          <w:szCs w:val="28"/>
          <w:lang w:eastAsia="en-US"/>
        </w:rPr>
      </w:pPr>
    </w:p>
    <w:p w14:paraId="041912B4" w14:textId="77777777" w:rsidR="006B66E4" w:rsidRDefault="006B66E4">
      <w:pPr>
        <w:rPr>
          <w:b/>
          <w:bCs/>
        </w:rPr>
      </w:pPr>
      <w:r>
        <w:rPr>
          <w:b/>
          <w:bCs/>
        </w:rPr>
        <w:br w:type="page"/>
      </w:r>
    </w:p>
    <w:p w14:paraId="706360EC" w14:textId="416CC046" w:rsidR="006B66E4" w:rsidRPr="00C5347D" w:rsidRDefault="006B66E4" w:rsidP="006B66E4">
      <w:pPr>
        <w:spacing w:after="0"/>
        <w:ind w:left="0" w:firstLine="0"/>
        <w:jc w:val="center"/>
        <w:rPr>
          <w:b/>
          <w:sz w:val="28"/>
          <w:szCs w:val="28"/>
          <w:highlight w:val="yellow"/>
          <w:lang w:eastAsia="en-US"/>
        </w:rPr>
      </w:pPr>
      <w:r w:rsidRPr="00C5347D">
        <w:rPr>
          <w:b/>
          <w:bCs/>
        </w:rPr>
        <w:lastRenderedPageBreak/>
        <w:t>OUVRAGE : MAGASIN DE CONSERVATION D'ECHALOTE DE 30 TONNES A KISSAKORO</w:t>
      </w:r>
    </w:p>
    <w:p w14:paraId="2F8A2669" w14:textId="77777777" w:rsidR="006B66E4" w:rsidRPr="00C5347D" w:rsidRDefault="006B66E4" w:rsidP="006B66E4">
      <w:pPr>
        <w:spacing w:after="0"/>
        <w:ind w:left="0" w:firstLine="0"/>
        <w:jc w:val="center"/>
        <w:rPr>
          <w:b/>
          <w:sz w:val="28"/>
          <w:szCs w:val="28"/>
          <w:highlight w:val="yellow"/>
          <w:lang w:eastAsia="en-US"/>
        </w:rPr>
      </w:pPr>
    </w:p>
    <w:tbl>
      <w:tblPr>
        <w:tblW w:w="5000" w:type="pct"/>
        <w:tblBorders>
          <w:top w:val="double" w:sz="4" w:space="0" w:color="auto"/>
          <w:left w:val="double" w:sz="6" w:space="0" w:color="auto"/>
          <w:bottom w:val="double" w:sz="6" w:space="0" w:color="auto"/>
          <w:right w:val="doub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3"/>
        <w:gridCol w:w="4543"/>
        <w:gridCol w:w="759"/>
        <w:gridCol w:w="1068"/>
        <w:gridCol w:w="1068"/>
        <w:gridCol w:w="1068"/>
      </w:tblGrid>
      <w:tr w:rsidR="006B66E4" w:rsidRPr="00C5347D" w14:paraId="17CBCC2D" w14:textId="77777777" w:rsidTr="00D77BC6">
        <w:trPr>
          <w:trHeight w:val="276"/>
        </w:trPr>
        <w:tc>
          <w:tcPr>
            <w:tcW w:w="237" w:type="pct"/>
            <w:shd w:val="clear" w:color="auto" w:fill="D9D9D9" w:themeFill="background1" w:themeFillShade="D9"/>
            <w:vAlign w:val="center"/>
            <w:hideMark/>
          </w:tcPr>
          <w:p w14:paraId="61F05A8A" w14:textId="77777777" w:rsidR="006B66E4" w:rsidRPr="00C5347D" w:rsidRDefault="006B66E4" w:rsidP="006B66E4">
            <w:pPr>
              <w:spacing w:after="0"/>
              <w:ind w:left="0" w:firstLine="0"/>
              <w:jc w:val="center"/>
              <w:rPr>
                <w:rFonts w:ascii="Arial Narrow" w:hAnsi="Arial Narrow" w:cs="Calibri"/>
                <w:b/>
                <w:bCs/>
                <w:sz w:val="22"/>
                <w:szCs w:val="22"/>
              </w:rPr>
            </w:pPr>
            <w:r w:rsidRPr="00C5347D">
              <w:rPr>
                <w:rFonts w:ascii="Arial Narrow" w:hAnsi="Arial Narrow" w:cs="Calibri"/>
                <w:b/>
                <w:bCs/>
                <w:sz w:val="22"/>
                <w:szCs w:val="22"/>
              </w:rPr>
              <w:t>N°</w:t>
            </w:r>
          </w:p>
        </w:tc>
        <w:tc>
          <w:tcPr>
            <w:tcW w:w="2543" w:type="pct"/>
            <w:shd w:val="clear" w:color="auto" w:fill="D9D9D9" w:themeFill="background1" w:themeFillShade="D9"/>
            <w:vAlign w:val="center"/>
            <w:hideMark/>
          </w:tcPr>
          <w:p w14:paraId="5CCE5C83" w14:textId="77777777" w:rsidR="006B66E4" w:rsidRPr="00C5347D" w:rsidRDefault="006B66E4" w:rsidP="006B66E4">
            <w:pPr>
              <w:spacing w:after="0"/>
              <w:ind w:left="0" w:firstLine="0"/>
              <w:jc w:val="center"/>
              <w:rPr>
                <w:rFonts w:ascii="Arial Narrow" w:hAnsi="Arial Narrow" w:cs="Calibri"/>
                <w:b/>
                <w:bCs/>
                <w:sz w:val="22"/>
                <w:szCs w:val="22"/>
              </w:rPr>
            </w:pPr>
            <w:r w:rsidRPr="00C5347D">
              <w:rPr>
                <w:rFonts w:ascii="Arial Narrow" w:hAnsi="Arial Narrow" w:cs="Calibri"/>
                <w:b/>
                <w:bCs/>
                <w:sz w:val="22"/>
                <w:szCs w:val="22"/>
              </w:rPr>
              <w:t>Désignations</w:t>
            </w:r>
          </w:p>
        </w:tc>
        <w:tc>
          <w:tcPr>
            <w:tcW w:w="425" w:type="pct"/>
            <w:shd w:val="clear" w:color="auto" w:fill="D9D9D9" w:themeFill="background1" w:themeFillShade="D9"/>
            <w:vAlign w:val="center"/>
            <w:hideMark/>
          </w:tcPr>
          <w:p w14:paraId="73BFFB82" w14:textId="77777777" w:rsidR="006B66E4" w:rsidRPr="00C5347D" w:rsidRDefault="006B66E4" w:rsidP="006B66E4">
            <w:pPr>
              <w:spacing w:after="0"/>
              <w:ind w:left="0" w:firstLine="0"/>
              <w:jc w:val="center"/>
              <w:rPr>
                <w:rFonts w:ascii="Arial Narrow" w:hAnsi="Arial Narrow" w:cs="Calibri"/>
                <w:b/>
                <w:bCs/>
                <w:sz w:val="22"/>
                <w:szCs w:val="22"/>
              </w:rPr>
            </w:pPr>
            <w:r w:rsidRPr="00C5347D">
              <w:rPr>
                <w:rFonts w:ascii="Arial Narrow" w:hAnsi="Arial Narrow" w:cs="Calibri"/>
                <w:b/>
                <w:bCs/>
                <w:sz w:val="22"/>
                <w:szCs w:val="22"/>
              </w:rPr>
              <w:t>Unités</w:t>
            </w:r>
          </w:p>
        </w:tc>
        <w:tc>
          <w:tcPr>
            <w:tcW w:w="598" w:type="pct"/>
            <w:shd w:val="clear" w:color="auto" w:fill="D9D9D9" w:themeFill="background1" w:themeFillShade="D9"/>
            <w:vAlign w:val="center"/>
            <w:hideMark/>
          </w:tcPr>
          <w:p w14:paraId="272095FA" w14:textId="77777777" w:rsidR="006B66E4" w:rsidRPr="00C5347D" w:rsidRDefault="006B66E4" w:rsidP="006B66E4">
            <w:pPr>
              <w:spacing w:after="0"/>
              <w:ind w:left="0" w:firstLine="0"/>
              <w:jc w:val="center"/>
              <w:rPr>
                <w:rFonts w:ascii="Arial Narrow" w:hAnsi="Arial Narrow" w:cs="Calibri"/>
                <w:b/>
                <w:bCs/>
                <w:sz w:val="22"/>
                <w:szCs w:val="22"/>
              </w:rPr>
            </w:pPr>
            <w:r w:rsidRPr="00C5347D">
              <w:rPr>
                <w:rFonts w:ascii="Arial Narrow" w:hAnsi="Arial Narrow" w:cs="Calibri"/>
                <w:b/>
                <w:bCs/>
                <w:sz w:val="22"/>
                <w:szCs w:val="22"/>
              </w:rPr>
              <w:t>Quantités</w:t>
            </w:r>
          </w:p>
        </w:tc>
        <w:tc>
          <w:tcPr>
            <w:tcW w:w="598" w:type="pct"/>
            <w:shd w:val="clear" w:color="auto" w:fill="D9D9D9" w:themeFill="background1" w:themeFillShade="D9"/>
          </w:tcPr>
          <w:p w14:paraId="27D6FEC9" w14:textId="77777777" w:rsidR="006B66E4" w:rsidRDefault="006B66E4" w:rsidP="006B66E4">
            <w:pPr>
              <w:spacing w:after="0"/>
              <w:ind w:left="0" w:firstLine="0"/>
              <w:jc w:val="center"/>
              <w:rPr>
                <w:rFonts w:ascii="Arial Narrow" w:hAnsi="Arial Narrow" w:cs="Calibri"/>
                <w:b/>
                <w:bCs/>
                <w:sz w:val="22"/>
                <w:szCs w:val="22"/>
              </w:rPr>
            </w:pPr>
            <w:r w:rsidRPr="00C5347D">
              <w:rPr>
                <w:rFonts w:ascii="Arial Narrow" w:hAnsi="Arial Narrow" w:cs="Calibri"/>
                <w:b/>
                <w:bCs/>
                <w:sz w:val="22"/>
                <w:szCs w:val="22"/>
              </w:rPr>
              <w:t>Prix unitaires</w:t>
            </w:r>
          </w:p>
          <w:p w14:paraId="28265317" w14:textId="6D8E33CC" w:rsidR="006B66E4" w:rsidRPr="00C5347D" w:rsidRDefault="006B66E4" w:rsidP="006B66E4">
            <w:pPr>
              <w:spacing w:after="0"/>
              <w:ind w:left="0" w:firstLine="0"/>
              <w:jc w:val="center"/>
              <w:rPr>
                <w:rFonts w:ascii="Arial Narrow" w:hAnsi="Arial Narrow" w:cs="Calibri"/>
                <w:b/>
                <w:bCs/>
                <w:sz w:val="22"/>
                <w:szCs w:val="22"/>
              </w:rPr>
            </w:pPr>
            <w:r>
              <w:rPr>
                <w:rFonts w:ascii="Arial Narrow" w:hAnsi="Arial Narrow" w:cs="Calibri"/>
                <w:b/>
                <w:bCs/>
                <w:sz w:val="22"/>
                <w:szCs w:val="22"/>
              </w:rPr>
              <w:t>HTVA</w:t>
            </w:r>
          </w:p>
        </w:tc>
        <w:tc>
          <w:tcPr>
            <w:tcW w:w="598" w:type="pct"/>
            <w:shd w:val="clear" w:color="auto" w:fill="D9D9D9" w:themeFill="background1" w:themeFillShade="D9"/>
          </w:tcPr>
          <w:p w14:paraId="614E66D4" w14:textId="4B69CBAD" w:rsidR="006B66E4" w:rsidRPr="00C5347D" w:rsidRDefault="006B66E4" w:rsidP="006B66E4">
            <w:pPr>
              <w:spacing w:after="0"/>
              <w:ind w:left="0" w:firstLine="0"/>
              <w:jc w:val="center"/>
              <w:rPr>
                <w:rFonts w:ascii="Arial Narrow" w:hAnsi="Arial Narrow" w:cs="Calibri"/>
                <w:b/>
                <w:bCs/>
                <w:sz w:val="22"/>
                <w:szCs w:val="22"/>
              </w:rPr>
            </w:pPr>
            <w:r w:rsidRPr="00C5347D">
              <w:rPr>
                <w:rFonts w:ascii="Arial Narrow" w:hAnsi="Arial Narrow" w:cs="Calibri"/>
                <w:b/>
                <w:bCs/>
                <w:sz w:val="22"/>
                <w:szCs w:val="22"/>
              </w:rPr>
              <w:t xml:space="preserve">Montants en FCFA </w:t>
            </w:r>
            <w:r>
              <w:rPr>
                <w:rFonts w:ascii="Arial Narrow" w:hAnsi="Arial Narrow" w:cs="Calibri"/>
                <w:b/>
                <w:bCs/>
                <w:sz w:val="22"/>
                <w:szCs w:val="22"/>
              </w:rPr>
              <w:t>HTVA</w:t>
            </w:r>
          </w:p>
        </w:tc>
      </w:tr>
      <w:tr w:rsidR="006B66E4" w:rsidRPr="00C5347D" w14:paraId="31517129" w14:textId="77777777" w:rsidTr="00D77BC6">
        <w:trPr>
          <w:trHeight w:val="276"/>
        </w:trPr>
        <w:tc>
          <w:tcPr>
            <w:tcW w:w="237" w:type="pct"/>
            <w:shd w:val="clear" w:color="auto" w:fill="auto"/>
            <w:noWrap/>
            <w:vAlign w:val="center"/>
            <w:hideMark/>
          </w:tcPr>
          <w:p w14:paraId="0064A92D" w14:textId="77777777" w:rsidR="006B66E4" w:rsidRPr="00C5347D" w:rsidRDefault="006B66E4" w:rsidP="006B66E4">
            <w:pPr>
              <w:spacing w:after="0"/>
              <w:ind w:left="0" w:firstLine="0"/>
              <w:jc w:val="center"/>
              <w:rPr>
                <w:rFonts w:ascii="Arial Narrow" w:hAnsi="Arial Narrow" w:cs="Calibri"/>
                <w:sz w:val="22"/>
                <w:szCs w:val="22"/>
              </w:rPr>
            </w:pPr>
            <w:r w:rsidRPr="00C5347D">
              <w:rPr>
                <w:rFonts w:ascii="Arial Narrow" w:hAnsi="Arial Narrow" w:cs="Calibri"/>
                <w:sz w:val="22"/>
                <w:szCs w:val="22"/>
              </w:rPr>
              <w:t> </w:t>
            </w:r>
          </w:p>
        </w:tc>
        <w:tc>
          <w:tcPr>
            <w:tcW w:w="2543" w:type="pct"/>
            <w:shd w:val="clear" w:color="auto" w:fill="auto"/>
            <w:vAlign w:val="center"/>
            <w:hideMark/>
          </w:tcPr>
          <w:p w14:paraId="30BADA1F" w14:textId="77777777" w:rsidR="006B66E4" w:rsidRPr="00C5347D" w:rsidRDefault="006B66E4" w:rsidP="006B66E4">
            <w:pPr>
              <w:spacing w:after="0"/>
              <w:ind w:left="0" w:firstLine="0"/>
              <w:jc w:val="left"/>
              <w:rPr>
                <w:rFonts w:ascii="Arial Narrow" w:hAnsi="Arial Narrow" w:cs="Calibri"/>
                <w:b/>
                <w:bCs/>
                <w:sz w:val="22"/>
                <w:szCs w:val="22"/>
              </w:rPr>
            </w:pPr>
            <w:r w:rsidRPr="00C5347D">
              <w:rPr>
                <w:rFonts w:ascii="Arial Narrow" w:hAnsi="Arial Narrow" w:cs="Calibri"/>
                <w:b/>
                <w:bCs/>
                <w:sz w:val="22"/>
                <w:szCs w:val="22"/>
              </w:rPr>
              <w:t>I. TERRASSEMENTS</w:t>
            </w:r>
          </w:p>
        </w:tc>
        <w:tc>
          <w:tcPr>
            <w:tcW w:w="425" w:type="pct"/>
            <w:shd w:val="clear" w:color="auto" w:fill="auto"/>
            <w:noWrap/>
            <w:vAlign w:val="center"/>
            <w:hideMark/>
          </w:tcPr>
          <w:p w14:paraId="0B4EA8A4" w14:textId="77777777" w:rsidR="006B66E4" w:rsidRPr="00C5347D" w:rsidRDefault="006B66E4" w:rsidP="006B66E4">
            <w:pPr>
              <w:spacing w:after="0"/>
              <w:ind w:left="0" w:firstLine="0"/>
              <w:jc w:val="center"/>
              <w:rPr>
                <w:rFonts w:ascii="Arial Narrow" w:hAnsi="Arial Narrow" w:cs="Calibri"/>
                <w:sz w:val="22"/>
                <w:szCs w:val="22"/>
              </w:rPr>
            </w:pPr>
            <w:r w:rsidRPr="00C5347D">
              <w:rPr>
                <w:rFonts w:ascii="Arial Narrow" w:hAnsi="Arial Narrow" w:cs="Calibri"/>
                <w:sz w:val="22"/>
                <w:szCs w:val="22"/>
              </w:rPr>
              <w:t> </w:t>
            </w:r>
          </w:p>
        </w:tc>
        <w:tc>
          <w:tcPr>
            <w:tcW w:w="598" w:type="pct"/>
            <w:shd w:val="clear" w:color="auto" w:fill="auto"/>
            <w:noWrap/>
            <w:vAlign w:val="center"/>
            <w:hideMark/>
          </w:tcPr>
          <w:p w14:paraId="63A8411E" w14:textId="77777777" w:rsidR="006B66E4" w:rsidRPr="00C5347D" w:rsidRDefault="006B66E4" w:rsidP="006B66E4">
            <w:pPr>
              <w:spacing w:after="0"/>
              <w:ind w:left="0" w:firstLine="0"/>
              <w:jc w:val="right"/>
              <w:rPr>
                <w:rFonts w:ascii="Arial Narrow" w:hAnsi="Arial Narrow" w:cs="Calibri"/>
                <w:sz w:val="22"/>
                <w:szCs w:val="22"/>
              </w:rPr>
            </w:pPr>
            <w:r w:rsidRPr="00C5347D">
              <w:rPr>
                <w:rFonts w:ascii="Arial Narrow" w:hAnsi="Arial Narrow" w:cs="Calibri"/>
                <w:sz w:val="22"/>
                <w:szCs w:val="22"/>
              </w:rPr>
              <w:t> </w:t>
            </w:r>
          </w:p>
        </w:tc>
        <w:tc>
          <w:tcPr>
            <w:tcW w:w="598" w:type="pct"/>
          </w:tcPr>
          <w:p w14:paraId="48D6F5D0" w14:textId="77777777" w:rsidR="006B66E4" w:rsidRPr="00C5347D" w:rsidRDefault="006B66E4" w:rsidP="006B66E4">
            <w:pPr>
              <w:spacing w:after="0"/>
              <w:ind w:left="0" w:firstLine="0"/>
              <w:jc w:val="right"/>
              <w:rPr>
                <w:rFonts w:ascii="Arial Narrow" w:hAnsi="Arial Narrow" w:cs="Calibri"/>
                <w:sz w:val="22"/>
                <w:szCs w:val="22"/>
              </w:rPr>
            </w:pPr>
          </w:p>
        </w:tc>
        <w:tc>
          <w:tcPr>
            <w:tcW w:w="598" w:type="pct"/>
          </w:tcPr>
          <w:p w14:paraId="79A10533" w14:textId="77777777" w:rsidR="006B66E4" w:rsidRPr="00C5347D" w:rsidRDefault="006B66E4" w:rsidP="006B66E4">
            <w:pPr>
              <w:spacing w:after="0"/>
              <w:ind w:left="0" w:firstLine="0"/>
              <w:jc w:val="right"/>
              <w:rPr>
                <w:rFonts w:ascii="Arial Narrow" w:hAnsi="Arial Narrow" w:cs="Calibri"/>
                <w:sz w:val="22"/>
                <w:szCs w:val="22"/>
              </w:rPr>
            </w:pPr>
          </w:p>
        </w:tc>
      </w:tr>
      <w:tr w:rsidR="006B66E4" w:rsidRPr="00C5347D" w14:paraId="6CE0D6BE" w14:textId="77777777" w:rsidTr="00D77BC6">
        <w:trPr>
          <w:trHeight w:val="525"/>
        </w:trPr>
        <w:tc>
          <w:tcPr>
            <w:tcW w:w="237" w:type="pct"/>
            <w:shd w:val="clear" w:color="auto" w:fill="auto"/>
            <w:noWrap/>
            <w:vAlign w:val="center"/>
            <w:hideMark/>
          </w:tcPr>
          <w:p w14:paraId="1C6F00A6" w14:textId="77777777" w:rsidR="006B66E4" w:rsidRPr="00C5347D" w:rsidRDefault="006B66E4" w:rsidP="006B66E4">
            <w:pPr>
              <w:spacing w:after="0"/>
              <w:ind w:left="0" w:firstLine="0"/>
              <w:jc w:val="center"/>
              <w:rPr>
                <w:rFonts w:ascii="Arial Narrow" w:hAnsi="Arial Narrow" w:cs="Calibri"/>
                <w:sz w:val="22"/>
                <w:szCs w:val="22"/>
              </w:rPr>
            </w:pPr>
            <w:r w:rsidRPr="00C5347D">
              <w:rPr>
                <w:rFonts w:ascii="Arial Narrow" w:hAnsi="Arial Narrow" w:cs="Calibri"/>
                <w:sz w:val="22"/>
                <w:szCs w:val="22"/>
              </w:rPr>
              <w:t>1.1</w:t>
            </w:r>
          </w:p>
        </w:tc>
        <w:tc>
          <w:tcPr>
            <w:tcW w:w="2543" w:type="pct"/>
            <w:shd w:val="clear" w:color="auto" w:fill="auto"/>
            <w:vAlign w:val="center"/>
            <w:hideMark/>
          </w:tcPr>
          <w:p w14:paraId="6978901B" w14:textId="77777777" w:rsidR="006B66E4" w:rsidRPr="00C5347D" w:rsidRDefault="006B66E4" w:rsidP="006B66E4">
            <w:pPr>
              <w:spacing w:after="0"/>
              <w:ind w:left="0" w:firstLine="0"/>
              <w:jc w:val="left"/>
              <w:rPr>
                <w:rFonts w:ascii="Arial Narrow" w:hAnsi="Arial Narrow" w:cs="Calibri"/>
                <w:sz w:val="22"/>
                <w:szCs w:val="22"/>
              </w:rPr>
            </w:pPr>
            <w:proofErr w:type="spellStart"/>
            <w:r w:rsidRPr="00C5347D">
              <w:rPr>
                <w:rFonts w:ascii="Arial Narrow" w:hAnsi="Arial Narrow" w:cs="Calibri"/>
                <w:sz w:val="22"/>
                <w:szCs w:val="22"/>
              </w:rPr>
              <w:t>Prepartion</w:t>
            </w:r>
            <w:proofErr w:type="spellEnd"/>
            <w:r w:rsidRPr="00C5347D">
              <w:rPr>
                <w:rFonts w:ascii="Arial Narrow" w:hAnsi="Arial Narrow" w:cs="Calibri"/>
                <w:sz w:val="22"/>
                <w:szCs w:val="22"/>
              </w:rPr>
              <w:t xml:space="preserve"> du terrain y compris implantation de tous les ouvrages </w:t>
            </w:r>
          </w:p>
        </w:tc>
        <w:tc>
          <w:tcPr>
            <w:tcW w:w="425" w:type="pct"/>
            <w:shd w:val="clear" w:color="auto" w:fill="auto"/>
            <w:noWrap/>
            <w:vAlign w:val="center"/>
            <w:hideMark/>
          </w:tcPr>
          <w:p w14:paraId="513D57AA" w14:textId="77777777" w:rsidR="006B66E4" w:rsidRPr="00C5347D" w:rsidRDefault="006B66E4" w:rsidP="006B66E4">
            <w:pPr>
              <w:spacing w:after="0"/>
              <w:ind w:left="0" w:firstLine="0"/>
              <w:jc w:val="center"/>
              <w:rPr>
                <w:rFonts w:ascii="Arial Narrow" w:hAnsi="Arial Narrow" w:cs="Calibri"/>
                <w:sz w:val="22"/>
                <w:szCs w:val="22"/>
              </w:rPr>
            </w:pPr>
            <w:r w:rsidRPr="00C5347D">
              <w:rPr>
                <w:rFonts w:ascii="Arial Narrow" w:hAnsi="Arial Narrow" w:cs="Calibri"/>
                <w:sz w:val="22"/>
                <w:szCs w:val="22"/>
              </w:rPr>
              <w:t>m²</w:t>
            </w:r>
          </w:p>
        </w:tc>
        <w:tc>
          <w:tcPr>
            <w:tcW w:w="598" w:type="pct"/>
            <w:shd w:val="clear" w:color="auto" w:fill="auto"/>
            <w:noWrap/>
            <w:vAlign w:val="center"/>
            <w:hideMark/>
          </w:tcPr>
          <w:p w14:paraId="3958F843" w14:textId="77777777" w:rsidR="006B66E4" w:rsidRPr="00A7320B" w:rsidRDefault="006B66E4" w:rsidP="006B66E4">
            <w:pPr>
              <w:spacing w:after="0"/>
              <w:ind w:left="0" w:firstLine="0"/>
              <w:jc w:val="center"/>
              <w:rPr>
                <w:rFonts w:ascii="Arial Narrow" w:hAnsi="Arial Narrow" w:cs="Calibri"/>
                <w:sz w:val="22"/>
                <w:szCs w:val="22"/>
              </w:rPr>
            </w:pPr>
            <w:r w:rsidRPr="00A7320B">
              <w:rPr>
                <w:rFonts w:ascii="Arial Narrow" w:hAnsi="Arial Narrow" w:cs="Calibri"/>
                <w:sz w:val="22"/>
                <w:szCs w:val="22"/>
              </w:rPr>
              <w:t>333,19</w:t>
            </w:r>
          </w:p>
        </w:tc>
        <w:tc>
          <w:tcPr>
            <w:tcW w:w="598" w:type="pct"/>
          </w:tcPr>
          <w:p w14:paraId="25390493" w14:textId="77777777" w:rsidR="006B66E4" w:rsidRPr="00C5347D" w:rsidRDefault="006B66E4" w:rsidP="006B66E4">
            <w:pPr>
              <w:spacing w:after="0"/>
              <w:ind w:left="0" w:firstLine="0"/>
              <w:jc w:val="center"/>
              <w:rPr>
                <w:rFonts w:ascii="Arial Narrow" w:hAnsi="Arial Narrow" w:cs="Calibri"/>
                <w:sz w:val="22"/>
                <w:szCs w:val="22"/>
              </w:rPr>
            </w:pPr>
          </w:p>
        </w:tc>
        <w:tc>
          <w:tcPr>
            <w:tcW w:w="598" w:type="pct"/>
          </w:tcPr>
          <w:p w14:paraId="177133E7" w14:textId="77777777" w:rsidR="006B66E4" w:rsidRPr="00C5347D" w:rsidRDefault="006B66E4" w:rsidP="006B66E4">
            <w:pPr>
              <w:spacing w:after="0"/>
              <w:ind w:left="0" w:firstLine="0"/>
              <w:jc w:val="center"/>
              <w:rPr>
                <w:rFonts w:ascii="Arial Narrow" w:hAnsi="Arial Narrow" w:cs="Calibri"/>
                <w:sz w:val="22"/>
                <w:szCs w:val="22"/>
              </w:rPr>
            </w:pPr>
          </w:p>
        </w:tc>
      </w:tr>
      <w:tr w:rsidR="006B66E4" w:rsidRPr="00C5347D" w14:paraId="0596A647" w14:textId="77777777" w:rsidTr="00D77BC6">
        <w:trPr>
          <w:trHeight w:val="276"/>
        </w:trPr>
        <w:tc>
          <w:tcPr>
            <w:tcW w:w="237" w:type="pct"/>
            <w:shd w:val="clear" w:color="auto" w:fill="auto"/>
            <w:noWrap/>
            <w:vAlign w:val="center"/>
            <w:hideMark/>
          </w:tcPr>
          <w:p w14:paraId="089B2F36" w14:textId="77777777" w:rsidR="006B66E4" w:rsidRPr="00C5347D" w:rsidRDefault="006B66E4" w:rsidP="006B66E4">
            <w:pPr>
              <w:spacing w:after="0"/>
              <w:ind w:left="0" w:firstLine="0"/>
              <w:jc w:val="center"/>
              <w:rPr>
                <w:rFonts w:ascii="Arial Narrow" w:hAnsi="Arial Narrow" w:cs="Calibri"/>
                <w:sz w:val="22"/>
                <w:szCs w:val="22"/>
              </w:rPr>
            </w:pPr>
            <w:r w:rsidRPr="00C5347D">
              <w:rPr>
                <w:rFonts w:ascii="Arial Narrow" w:hAnsi="Arial Narrow" w:cs="Calibri"/>
                <w:sz w:val="22"/>
                <w:szCs w:val="22"/>
              </w:rPr>
              <w:t>1.2</w:t>
            </w:r>
          </w:p>
        </w:tc>
        <w:tc>
          <w:tcPr>
            <w:tcW w:w="2543" w:type="pct"/>
            <w:shd w:val="clear" w:color="auto" w:fill="auto"/>
            <w:vAlign w:val="center"/>
            <w:hideMark/>
          </w:tcPr>
          <w:p w14:paraId="446EEB94" w14:textId="77777777" w:rsidR="006B66E4" w:rsidRPr="00C5347D" w:rsidRDefault="006B66E4" w:rsidP="006B66E4">
            <w:pPr>
              <w:spacing w:after="0"/>
              <w:ind w:left="0" w:firstLine="0"/>
              <w:jc w:val="left"/>
              <w:rPr>
                <w:rFonts w:ascii="Arial Narrow" w:hAnsi="Arial Narrow" w:cs="Calibri"/>
                <w:sz w:val="22"/>
                <w:szCs w:val="22"/>
              </w:rPr>
            </w:pPr>
            <w:r w:rsidRPr="00C5347D">
              <w:rPr>
                <w:rFonts w:ascii="Arial Narrow" w:hAnsi="Arial Narrow" w:cs="Calibri"/>
                <w:sz w:val="22"/>
                <w:szCs w:val="22"/>
              </w:rPr>
              <w:t xml:space="preserve">Fouille en rigole pour soubassement </w:t>
            </w:r>
          </w:p>
        </w:tc>
        <w:tc>
          <w:tcPr>
            <w:tcW w:w="425" w:type="pct"/>
            <w:shd w:val="clear" w:color="auto" w:fill="auto"/>
            <w:noWrap/>
            <w:vAlign w:val="center"/>
            <w:hideMark/>
          </w:tcPr>
          <w:p w14:paraId="6E50791C" w14:textId="77777777" w:rsidR="006B66E4" w:rsidRPr="00C5347D" w:rsidRDefault="006B66E4" w:rsidP="006B66E4">
            <w:pPr>
              <w:spacing w:after="0"/>
              <w:ind w:left="0" w:firstLine="0"/>
              <w:jc w:val="center"/>
              <w:rPr>
                <w:rFonts w:ascii="Arial Narrow" w:hAnsi="Arial Narrow" w:cs="Calibri"/>
                <w:sz w:val="22"/>
                <w:szCs w:val="22"/>
              </w:rPr>
            </w:pPr>
            <w:r w:rsidRPr="00C5347D">
              <w:rPr>
                <w:rFonts w:ascii="Arial Narrow" w:hAnsi="Arial Narrow" w:cs="Calibri"/>
                <w:sz w:val="22"/>
                <w:szCs w:val="22"/>
              </w:rPr>
              <w:t>m3</w:t>
            </w:r>
          </w:p>
        </w:tc>
        <w:tc>
          <w:tcPr>
            <w:tcW w:w="598" w:type="pct"/>
            <w:shd w:val="clear" w:color="auto" w:fill="auto"/>
            <w:noWrap/>
            <w:vAlign w:val="center"/>
            <w:hideMark/>
          </w:tcPr>
          <w:p w14:paraId="20431A0A" w14:textId="77777777" w:rsidR="006B66E4" w:rsidRPr="00A7320B" w:rsidRDefault="006B66E4" w:rsidP="006B66E4">
            <w:pPr>
              <w:spacing w:after="0"/>
              <w:ind w:left="0" w:firstLine="0"/>
              <w:jc w:val="center"/>
              <w:rPr>
                <w:rFonts w:ascii="Arial Narrow" w:hAnsi="Arial Narrow" w:cs="Calibri"/>
                <w:sz w:val="22"/>
                <w:szCs w:val="22"/>
              </w:rPr>
            </w:pPr>
            <w:r w:rsidRPr="00A7320B">
              <w:rPr>
                <w:rFonts w:ascii="Arial Narrow" w:hAnsi="Arial Narrow" w:cs="Calibri"/>
                <w:sz w:val="22"/>
                <w:szCs w:val="22"/>
              </w:rPr>
              <w:t>28,67</w:t>
            </w:r>
          </w:p>
        </w:tc>
        <w:tc>
          <w:tcPr>
            <w:tcW w:w="598" w:type="pct"/>
          </w:tcPr>
          <w:p w14:paraId="494AB6A4" w14:textId="77777777" w:rsidR="006B66E4" w:rsidRPr="00C5347D" w:rsidRDefault="006B66E4" w:rsidP="006B66E4">
            <w:pPr>
              <w:spacing w:after="0"/>
              <w:ind w:left="0" w:firstLine="0"/>
              <w:jc w:val="center"/>
              <w:rPr>
                <w:rFonts w:ascii="Arial Narrow" w:hAnsi="Arial Narrow" w:cs="Calibri"/>
                <w:sz w:val="22"/>
                <w:szCs w:val="22"/>
              </w:rPr>
            </w:pPr>
          </w:p>
        </w:tc>
        <w:tc>
          <w:tcPr>
            <w:tcW w:w="598" w:type="pct"/>
          </w:tcPr>
          <w:p w14:paraId="524D9695" w14:textId="77777777" w:rsidR="006B66E4" w:rsidRPr="00C5347D" w:rsidRDefault="006B66E4" w:rsidP="006B66E4">
            <w:pPr>
              <w:spacing w:after="0"/>
              <w:ind w:left="0" w:firstLine="0"/>
              <w:jc w:val="center"/>
              <w:rPr>
                <w:rFonts w:ascii="Arial Narrow" w:hAnsi="Arial Narrow" w:cs="Calibri"/>
                <w:sz w:val="22"/>
                <w:szCs w:val="22"/>
              </w:rPr>
            </w:pPr>
          </w:p>
        </w:tc>
      </w:tr>
      <w:tr w:rsidR="006B66E4" w:rsidRPr="00C5347D" w14:paraId="4057521D" w14:textId="77777777" w:rsidTr="00D77BC6">
        <w:trPr>
          <w:trHeight w:val="552"/>
        </w:trPr>
        <w:tc>
          <w:tcPr>
            <w:tcW w:w="237" w:type="pct"/>
            <w:shd w:val="clear" w:color="auto" w:fill="auto"/>
            <w:noWrap/>
            <w:vAlign w:val="center"/>
            <w:hideMark/>
          </w:tcPr>
          <w:p w14:paraId="7F75A497" w14:textId="77777777" w:rsidR="006B66E4" w:rsidRPr="00C5347D" w:rsidRDefault="006B66E4" w:rsidP="006B66E4">
            <w:pPr>
              <w:spacing w:after="0"/>
              <w:ind w:left="0" w:firstLine="0"/>
              <w:jc w:val="center"/>
              <w:rPr>
                <w:rFonts w:ascii="Arial Narrow" w:hAnsi="Arial Narrow" w:cs="Calibri"/>
                <w:sz w:val="22"/>
                <w:szCs w:val="22"/>
              </w:rPr>
            </w:pPr>
            <w:r w:rsidRPr="00C5347D">
              <w:rPr>
                <w:rFonts w:ascii="Arial Narrow" w:hAnsi="Arial Narrow" w:cs="Calibri"/>
                <w:sz w:val="22"/>
                <w:szCs w:val="22"/>
              </w:rPr>
              <w:t>1.3</w:t>
            </w:r>
          </w:p>
        </w:tc>
        <w:tc>
          <w:tcPr>
            <w:tcW w:w="2543" w:type="pct"/>
            <w:shd w:val="clear" w:color="auto" w:fill="auto"/>
            <w:vAlign w:val="center"/>
            <w:hideMark/>
          </w:tcPr>
          <w:p w14:paraId="5F383AE7" w14:textId="77777777" w:rsidR="006B66E4" w:rsidRPr="00C5347D" w:rsidRDefault="006B66E4" w:rsidP="006B66E4">
            <w:pPr>
              <w:spacing w:after="0"/>
              <w:ind w:left="0" w:firstLine="0"/>
              <w:jc w:val="left"/>
              <w:rPr>
                <w:rFonts w:ascii="Arial Narrow" w:hAnsi="Arial Narrow" w:cs="Calibri"/>
                <w:sz w:val="22"/>
                <w:szCs w:val="22"/>
              </w:rPr>
            </w:pPr>
            <w:r w:rsidRPr="00C5347D">
              <w:rPr>
                <w:rFonts w:ascii="Arial Narrow" w:hAnsi="Arial Narrow" w:cs="Calibri"/>
                <w:sz w:val="22"/>
                <w:szCs w:val="22"/>
              </w:rPr>
              <w:t>Fouille en plein masse sur une prof= 1,10m pour semelles isolées y compris toutes suggestions</w:t>
            </w:r>
          </w:p>
        </w:tc>
        <w:tc>
          <w:tcPr>
            <w:tcW w:w="425" w:type="pct"/>
            <w:shd w:val="clear" w:color="auto" w:fill="auto"/>
            <w:noWrap/>
            <w:vAlign w:val="center"/>
            <w:hideMark/>
          </w:tcPr>
          <w:p w14:paraId="0B38881D" w14:textId="77777777" w:rsidR="006B66E4" w:rsidRPr="00C5347D" w:rsidRDefault="006B66E4" w:rsidP="006B66E4">
            <w:pPr>
              <w:spacing w:after="0"/>
              <w:ind w:left="0" w:firstLine="0"/>
              <w:jc w:val="center"/>
              <w:rPr>
                <w:rFonts w:ascii="Arial Narrow" w:hAnsi="Arial Narrow" w:cs="Calibri"/>
                <w:sz w:val="22"/>
                <w:szCs w:val="22"/>
              </w:rPr>
            </w:pPr>
            <w:r w:rsidRPr="00C5347D">
              <w:rPr>
                <w:rFonts w:ascii="Arial Narrow" w:hAnsi="Arial Narrow" w:cs="Calibri"/>
                <w:sz w:val="22"/>
                <w:szCs w:val="22"/>
              </w:rPr>
              <w:t>m3</w:t>
            </w:r>
          </w:p>
        </w:tc>
        <w:tc>
          <w:tcPr>
            <w:tcW w:w="598" w:type="pct"/>
            <w:shd w:val="clear" w:color="auto" w:fill="auto"/>
            <w:noWrap/>
            <w:vAlign w:val="center"/>
            <w:hideMark/>
          </w:tcPr>
          <w:p w14:paraId="12CA6BFF" w14:textId="77777777" w:rsidR="006B66E4" w:rsidRPr="00A7320B" w:rsidRDefault="006B66E4" w:rsidP="006B66E4">
            <w:pPr>
              <w:spacing w:after="0"/>
              <w:ind w:left="0" w:firstLine="0"/>
              <w:jc w:val="center"/>
              <w:rPr>
                <w:rFonts w:ascii="Arial Narrow" w:hAnsi="Arial Narrow" w:cs="Calibri"/>
                <w:sz w:val="22"/>
                <w:szCs w:val="22"/>
              </w:rPr>
            </w:pPr>
            <w:r w:rsidRPr="00A7320B">
              <w:rPr>
                <w:rFonts w:ascii="Arial Narrow" w:hAnsi="Arial Narrow" w:cs="Calibri"/>
                <w:sz w:val="22"/>
                <w:szCs w:val="22"/>
              </w:rPr>
              <w:t>22,52</w:t>
            </w:r>
          </w:p>
        </w:tc>
        <w:tc>
          <w:tcPr>
            <w:tcW w:w="598" w:type="pct"/>
          </w:tcPr>
          <w:p w14:paraId="7A9DD699" w14:textId="77777777" w:rsidR="006B66E4" w:rsidRPr="00C5347D" w:rsidRDefault="006B66E4" w:rsidP="006B66E4">
            <w:pPr>
              <w:spacing w:after="0"/>
              <w:ind w:left="0" w:firstLine="0"/>
              <w:jc w:val="center"/>
              <w:rPr>
                <w:rFonts w:ascii="Arial Narrow" w:hAnsi="Arial Narrow" w:cs="Calibri"/>
                <w:sz w:val="22"/>
                <w:szCs w:val="22"/>
              </w:rPr>
            </w:pPr>
          </w:p>
        </w:tc>
        <w:tc>
          <w:tcPr>
            <w:tcW w:w="598" w:type="pct"/>
          </w:tcPr>
          <w:p w14:paraId="143E97EE" w14:textId="77777777" w:rsidR="006B66E4" w:rsidRPr="00C5347D" w:rsidRDefault="006B66E4" w:rsidP="006B66E4">
            <w:pPr>
              <w:spacing w:after="0"/>
              <w:ind w:left="0" w:firstLine="0"/>
              <w:jc w:val="center"/>
              <w:rPr>
                <w:rFonts w:ascii="Arial Narrow" w:hAnsi="Arial Narrow" w:cs="Calibri"/>
                <w:sz w:val="22"/>
                <w:szCs w:val="22"/>
              </w:rPr>
            </w:pPr>
          </w:p>
        </w:tc>
      </w:tr>
      <w:tr w:rsidR="006B66E4" w:rsidRPr="00C5347D" w14:paraId="7EDDB69F" w14:textId="77777777" w:rsidTr="00D77BC6">
        <w:trPr>
          <w:trHeight w:val="276"/>
        </w:trPr>
        <w:tc>
          <w:tcPr>
            <w:tcW w:w="237" w:type="pct"/>
            <w:shd w:val="clear" w:color="auto" w:fill="auto"/>
            <w:noWrap/>
            <w:vAlign w:val="center"/>
            <w:hideMark/>
          </w:tcPr>
          <w:p w14:paraId="70F5F567" w14:textId="77777777" w:rsidR="006B66E4" w:rsidRPr="00C5347D" w:rsidRDefault="006B66E4" w:rsidP="006B66E4">
            <w:pPr>
              <w:spacing w:after="0"/>
              <w:ind w:left="0" w:firstLine="0"/>
              <w:jc w:val="center"/>
              <w:rPr>
                <w:rFonts w:ascii="Arial Narrow" w:hAnsi="Arial Narrow" w:cs="Calibri"/>
                <w:sz w:val="22"/>
                <w:szCs w:val="22"/>
              </w:rPr>
            </w:pPr>
            <w:r w:rsidRPr="00C5347D">
              <w:rPr>
                <w:rFonts w:ascii="Arial Narrow" w:hAnsi="Arial Narrow" w:cs="Calibri"/>
                <w:sz w:val="22"/>
                <w:szCs w:val="22"/>
              </w:rPr>
              <w:t>1.4</w:t>
            </w:r>
          </w:p>
        </w:tc>
        <w:tc>
          <w:tcPr>
            <w:tcW w:w="2543" w:type="pct"/>
            <w:shd w:val="clear" w:color="auto" w:fill="auto"/>
            <w:vAlign w:val="center"/>
            <w:hideMark/>
          </w:tcPr>
          <w:p w14:paraId="26D46C93" w14:textId="77777777" w:rsidR="006B66E4" w:rsidRPr="00C5347D" w:rsidRDefault="006B66E4" w:rsidP="006B66E4">
            <w:pPr>
              <w:spacing w:after="0"/>
              <w:ind w:left="0" w:firstLine="0"/>
              <w:jc w:val="left"/>
              <w:rPr>
                <w:rFonts w:ascii="Arial Narrow" w:hAnsi="Arial Narrow" w:cs="Calibri"/>
                <w:sz w:val="22"/>
                <w:szCs w:val="22"/>
              </w:rPr>
            </w:pPr>
            <w:r w:rsidRPr="00C5347D">
              <w:rPr>
                <w:rFonts w:ascii="Arial Narrow" w:hAnsi="Arial Narrow" w:cs="Calibri"/>
                <w:sz w:val="22"/>
                <w:szCs w:val="22"/>
              </w:rPr>
              <w:t xml:space="preserve">Remblais des déblais </w:t>
            </w:r>
          </w:p>
        </w:tc>
        <w:tc>
          <w:tcPr>
            <w:tcW w:w="425" w:type="pct"/>
            <w:shd w:val="clear" w:color="auto" w:fill="auto"/>
            <w:noWrap/>
            <w:vAlign w:val="center"/>
            <w:hideMark/>
          </w:tcPr>
          <w:p w14:paraId="3E561C7E" w14:textId="77777777" w:rsidR="006B66E4" w:rsidRPr="00C5347D" w:rsidRDefault="006B66E4" w:rsidP="006B66E4">
            <w:pPr>
              <w:spacing w:after="0"/>
              <w:ind w:left="0" w:firstLine="0"/>
              <w:jc w:val="center"/>
              <w:rPr>
                <w:rFonts w:ascii="Arial Narrow" w:hAnsi="Arial Narrow" w:cs="Calibri"/>
                <w:sz w:val="22"/>
                <w:szCs w:val="22"/>
              </w:rPr>
            </w:pPr>
            <w:r w:rsidRPr="00C5347D">
              <w:rPr>
                <w:rFonts w:ascii="Arial Narrow" w:hAnsi="Arial Narrow" w:cs="Calibri"/>
                <w:sz w:val="22"/>
                <w:szCs w:val="22"/>
              </w:rPr>
              <w:t>m3</w:t>
            </w:r>
          </w:p>
        </w:tc>
        <w:tc>
          <w:tcPr>
            <w:tcW w:w="598" w:type="pct"/>
            <w:shd w:val="clear" w:color="auto" w:fill="auto"/>
            <w:noWrap/>
            <w:vAlign w:val="center"/>
            <w:hideMark/>
          </w:tcPr>
          <w:p w14:paraId="088FE67E" w14:textId="77777777" w:rsidR="006B66E4" w:rsidRPr="00A7320B" w:rsidRDefault="006B66E4" w:rsidP="006B66E4">
            <w:pPr>
              <w:spacing w:after="0"/>
              <w:ind w:left="0" w:firstLine="0"/>
              <w:jc w:val="center"/>
              <w:rPr>
                <w:rFonts w:ascii="Arial Narrow" w:hAnsi="Arial Narrow" w:cs="Calibri"/>
                <w:sz w:val="22"/>
                <w:szCs w:val="22"/>
              </w:rPr>
            </w:pPr>
            <w:r w:rsidRPr="00A7320B">
              <w:rPr>
                <w:rFonts w:ascii="Arial Narrow" w:hAnsi="Arial Narrow" w:cs="Calibri"/>
                <w:sz w:val="22"/>
                <w:szCs w:val="22"/>
              </w:rPr>
              <w:t>51,19</w:t>
            </w:r>
          </w:p>
        </w:tc>
        <w:tc>
          <w:tcPr>
            <w:tcW w:w="598" w:type="pct"/>
          </w:tcPr>
          <w:p w14:paraId="138A25A6" w14:textId="77777777" w:rsidR="006B66E4" w:rsidRPr="00C5347D" w:rsidRDefault="006B66E4" w:rsidP="006B66E4">
            <w:pPr>
              <w:spacing w:after="0"/>
              <w:ind w:left="0" w:firstLine="0"/>
              <w:jc w:val="center"/>
              <w:rPr>
                <w:rFonts w:ascii="Arial Narrow" w:hAnsi="Arial Narrow" w:cs="Calibri"/>
                <w:sz w:val="22"/>
                <w:szCs w:val="22"/>
              </w:rPr>
            </w:pPr>
          </w:p>
        </w:tc>
        <w:tc>
          <w:tcPr>
            <w:tcW w:w="598" w:type="pct"/>
          </w:tcPr>
          <w:p w14:paraId="35D31BC9" w14:textId="77777777" w:rsidR="006B66E4" w:rsidRPr="00C5347D" w:rsidRDefault="006B66E4" w:rsidP="006B66E4">
            <w:pPr>
              <w:spacing w:after="0"/>
              <w:ind w:left="0" w:firstLine="0"/>
              <w:jc w:val="center"/>
              <w:rPr>
                <w:rFonts w:ascii="Arial Narrow" w:hAnsi="Arial Narrow" w:cs="Calibri"/>
                <w:sz w:val="22"/>
                <w:szCs w:val="22"/>
              </w:rPr>
            </w:pPr>
          </w:p>
        </w:tc>
      </w:tr>
      <w:tr w:rsidR="006B66E4" w:rsidRPr="00C5347D" w14:paraId="6CB91A23" w14:textId="77777777" w:rsidTr="00D77BC6">
        <w:trPr>
          <w:trHeight w:val="276"/>
        </w:trPr>
        <w:tc>
          <w:tcPr>
            <w:tcW w:w="237" w:type="pct"/>
            <w:shd w:val="clear" w:color="auto" w:fill="auto"/>
            <w:noWrap/>
            <w:vAlign w:val="center"/>
            <w:hideMark/>
          </w:tcPr>
          <w:p w14:paraId="1AB3F257" w14:textId="77777777" w:rsidR="006B66E4" w:rsidRPr="00C5347D" w:rsidRDefault="006B66E4" w:rsidP="006B66E4">
            <w:pPr>
              <w:spacing w:after="0"/>
              <w:ind w:left="0" w:firstLine="0"/>
              <w:jc w:val="center"/>
              <w:rPr>
                <w:rFonts w:ascii="Arial Narrow" w:hAnsi="Arial Narrow" w:cs="Calibri"/>
                <w:sz w:val="22"/>
                <w:szCs w:val="22"/>
              </w:rPr>
            </w:pPr>
            <w:r w:rsidRPr="00C5347D">
              <w:rPr>
                <w:rFonts w:ascii="Arial Narrow" w:hAnsi="Arial Narrow" w:cs="Calibri"/>
                <w:sz w:val="22"/>
                <w:szCs w:val="22"/>
              </w:rPr>
              <w:t>1.5</w:t>
            </w:r>
          </w:p>
        </w:tc>
        <w:tc>
          <w:tcPr>
            <w:tcW w:w="2543" w:type="pct"/>
            <w:shd w:val="clear" w:color="auto" w:fill="auto"/>
            <w:vAlign w:val="center"/>
            <w:hideMark/>
          </w:tcPr>
          <w:p w14:paraId="0464C1C2" w14:textId="77777777" w:rsidR="006B66E4" w:rsidRPr="00C5347D" w:rsidRDefault="006B66E4" w:rsidP="006B66E4">
            <w:pPr>
              <w:spacing w:after="0"/>
              <w:ind w:left="0" w:firstLine="0"/>
              <w:jc w:val="left"/>
              <w:rPr>
                <w:rFonts w:ascii="Arial Narrow" w:hAnsi="Arial Narrow" w:cs="Calibri"/>
                <w:sz w:val="22"/>
                <w:szCs w:val="22"/>
              </w:rPr>
            </w:pPr>
            <w:r w:rsidRPr="00C5347D">
              <w:rPr>
                <w:rFonts w:ascii="Arial Narrow" w:hAnsi="Arial Narrow" w:cs="Calibri"/>
                <w:sz w:val="22"/>
                <w:szCs w:val="22"/>
              </w:rPr>
              <w:t>Remblais d'apport arrosé et compactage par couche de 20cm</w:t>
            </w:r>
          </w:p>
        </w:tc>
        <w:tc>
          <w:tcPr>
            <w:tcW w:w="425" w:type="pct"/>
            <w:shd w:val="clear" w:color="auto" w:fill="auto"/>
            <w:noWrap/>
            <w:vAlign w:val="center"/>
            <w:hideMark/>
          </w:tcPr>
          <w:p w14:paraId="2869F443" w14:textId="77777777" w:rsidR="006B66E4" w:rsidRPr="00C5347D" w:rsidRDefault="006B66E4" w:rsidP="006B66E4">
            <w:pPr>
              <w:spacing w:after="0"/>
              <w:ind w:left="0" w:firstLine="0"/>
              <w:jc w:val="center"/>
              <w:rPr>
                <w:rFonts w:ascii="Arial Narrow" w:hAnsi="Arial Narrow" w:cs="Calibri"/>
                <w:sz w:val="22"/>
                <w:szCs w:val="22"/>
              </w:rPr>
            </w:pPr>
            <w:r w:rsidRPr="00C5347D">
              <w:rPr>
                <w:rFonts w:ascii="Arial Narrow" w:hAnsi="Arial Narrow" w:cs="Calibri"/>
                <w:sz w:val="22"/>
                <w:szCs w:val="22"/>
              </w:rPr>
              <w:t>m3</w:t>
            </w:r>
          </w:p>
        </w:tc>
        <w:tc>
          <w:tcPr>
            <w:tcW w:w="598" w:type="pct"/>
            <w:shd w:val="clear" w:color="auto" w:fill="auto"/>
            <w:noWrap/>
            <w:vAlign w:val="center"/>
            <w:hideMark/>
          </w:tcPr>
          <w:p w14:paraId="03CC7E71" w14:textId="77777777" w:rsidR="006B66E4" w:rsidRPr="00A7320B" w:rsidRDefault="006B66E4" w:rsidP="006B66E4">
            <w:pPr>
              <w:spacing w:after="0"/>
              <w:ind w:left="0" w:firstLine="0"/>
              <w:jc w:val="center"/>
              <w:rPr>
                <w:rFonts w:ascii="Arial Narrow" w:hAnsi="Arial Narrow" w:cs="Calibri"/>
                <w:sz w:val="22"/>
                <w:szCs w:val="22"/>
              </w:rPr>
            </w:pPr>
            <w:r w:rsidRPr="00A7320B">
              <w:rPr>
                <w:rFonts w:ascii="Arial Narrow" w:hAnsi="Arial Narrow" w:cs="Calibri"/>
                <w:sz w:val="22"/>
                <w:szCs w:val="22"/>
              </w:rPr>
              <w:t>82,02</w:t>
            </w:r>
          </w:p>
        </w:tc>
        <w:tc>
          <w:tcPr>
            <w:tcW w:w="598" w:type="pct"/>
          </w:tcPr>
          <w:p w14:paraId="571B6F32" w14:textId="77777777" w:rsidR="006B66E4" w:rsidRPr="00C5347D" w:rsidRDefault="006B66E4" w:rsidP="006B66E4">
            <w:pPr>
              <w:spacing w:after="0"/>
              <w:ind w:left="0" w:firstLine="0"/>
              <w:jc w:val="center"/>
              <w:rPr>
                <w:rFonts w:ascii="Arial Narrow" w:hAnsi="Arial Narrow" w:cs="Calibri"/>
                <w:sz w:val="22"/>
                <w:szCs w:val="22"/>
              </w:rPr>
            </w:pPr>
          </w:p>
        </w:tc>
        <w:tc>
          <w:tcPr>
            <w:tcW w:w="598" w:type="pct"/>
          </w:tcPr>
          <w:p w14:paraId="5285A934" w14:textId="77777777" w:rsidR="006B66E4" w:rsidRPr="00C5347D" w:rsidRDefault="006B66E4" w:rsidP="006B66E4">
            <w:pPr>
              <w:spacing w:after="0"/>
              <w:ind w:left="0" w:firstLine="0"/>
              <w:jc w:val="center"/>
              <w:rPr>
                <w:rFonts w:ascii="Arial Narrow" w:hAnsi="Arial Narrow" w:cs="Calibri"/>
                <w:sz w:val="22"/>
                <w:szCs w:val="22"/>
              </w:rPr>
            </w:pPr>
          </w:p>
        </w:tc>
      </w:tr>
      <w:tr w:rsidR="006B66E4" w:rsidRPr="00C5347D" w14:paraId="2E6DDFE3" w14:textId="77777777" w:rsidTr="00D77BC6">
        <w:trPr>
          <w:trHeight w:val="276"/>
        </w:trPr>
        <w:tc>
          <w:tcPr>
            <w:tcW w:w="237" w:type="pct"/>
            <w:shd w:val="clear" w:color="auto" w:fill="auto"/>
            <w:noWrap/>
            <w:vAlign w:val="center"/>
            <w:hideMark/>
          </w:tcPr>
          <w:p w14:paraId="142CA049" w14:textId="77777777" w:rsidR="006B66E4" w:rsidRPr="00C5347D" w:rsidRDefault="006B66E4" w:rsidP="006B66E4">
            <w:pPr>
              <w:spacing w:after="0"/>
              <w:ind w:left="0" w:firstLine="0"/>
              <w:jc w:val="center"/>
              <w:rPr>
                <w:rFonts w:ascii="Arial Narrow" w:hAnsi="Arial Narrow" w:cs="Calibri"/>
                <w:sz w:val="22"/>
                <w:szCs w:val="22"/>
              </w:rPr>
            </w:pPr>
            <w:r w:rsidRPr="00C5347D">
              <w:rPr>
                <w:rFonts w:ascii="Arial Narrow" w:hAnsi="Arial Narrow" w:cs="Calibri"/>
                <w:sz w:val="22"/>
                <w:szCs w:val="22"/>
              </w:rPr>
              <w:t> </w:t>
            </w:r>
          </w:p>
        </w:tc>
        <w:tc>
          <w:tcPr>
            <w:tcW w:w="2543" w:type="pct"/>
            <w:shd w:val="clear" w:color="auto" w:fill="auto"/>
            <w:vAlign w:val="center"/>
            <w:hideMark/>
          </w:tcPr>
          <w:p w14:paraId="0F0DD5D5" w14:textId="77777777" w:rsidR="006B66E4" w:rsidRPr="00C5347D" w:rsidRDefault="006B66E4" w:rsidP="006B66E4">
            <w:pPr>
              <w:spacing w:after="0"/>
              <w:ind w:left="0" w:firstLine="0"/>
              <w:jc w:val="left"/>
              <w:rPr>
                <w:rFonts w:ascii="Arial Narrow" w:hAnsi="Arial Narrow" w:cs="Calibri"/>
                <w:b/>
                <w:bCs/>
                <w:sz w:val="22"/>
                <w:szCs w:val="22"/>
              </w:rPr>
            </w:pPr>
            <w:r w:rsidRPr="00C5347D">
              <w:rPr>
                <w:rFonts w:ascii="Arial Narrow" w:hAnsi="Arial Narrow" w:cs="Calibri"/>
                <w:b/>
                <w:bCs/>
                <w:sz w:val="22"/>
                <w:szCs w:val="22"/>
              </w:rPr>
              <w:t>TOTAL TERRASSEMENT</w:t>
            </w:r>
          </w:p>
        </w:tc>
        <w:tc>
          <w:tcPr>
            <w:tcW w:w="425" w:type="pct"/>
            <w:shd w:val="clear" w:color="auto" w:fill="auto"/>
            <w:noWrap/>
            <w:vAlign w:val="center"/>
            <w:hideMark/>
          </w:tcPr>
          <w:p w14:paraId="20D10088" w14:textId="77777777" w:rsidR="006B66E4" w:rsidRPr="00C5347D" w:rsidRDefault="006B66E4" w:rsidP="006B66E4">
            <w:pPr>
              <w:spacing w:after="0"/>
              <w:ind w:left="0" w:firstLine="0"/>
              <w:jc w:val="center"/>
              <w:rPr>
                <w:rFonts w:ascii="Arial Narrow" w:hAnsi="Arial Narrow" w:cs="Calibri"/>
                <w:sz w:val="22"/>
                <w:szCs w:val="22"/>
              </w:rPr>
            </w:pPr>
            <w:r w:rsidRPr="00C5347D">
              <w:rPr>
                <w:rFonts w:ascii="Arial Narrow" w:hAnsi="Arial Narrow" w:cs="Calibri"/>
                <w:sz w:val="22"/>
                <w:szCs w:val="22"/>
              </w:rPr>
              <w:t> </w:t>
            </w:r>
          </w:p>
        </w:tc>
        <w:tc>
          <w:tcPr>
            <w:tcW w:w="598" w:type="pct"/>
            <w:shd w:val="clear" w:color="auto" w:fill="auto"/>
            <w:noWrap/>
            <w:vAlign w:val="center"/>
            <w:hideMark/>
          </w:tcPr>
          <w:p w14:paraId="0D0E2512" w14:textId="77777777" w:rsidR="006B66E4" w:rsidRPr="00A7320B" w:rsidRDefault="006B66E4" w:rsidP="006B66E4">
            <w:pPr>
              <w:spacing w:after="0"/>
              <w:ind w:left="0" w:firstLine="0"/>
              <w:jc w:val="right"/>
              <w:rPr>
                <w:rFonts w:ascii="Arial Narrow" w:hAnsi="Arial Narrow" w:cs="Calibri"/>
                <w:sz w:val="22"/>
                <w:szCs w:val="22"/>
              </w:rPr>
            </w:pPr>
            <w:r w:rsidRPr="00A7320B">
              <w:rPr>
                <w:rFonts w:ascii="Arial Narrow" w:hAnsi="Arial Narrow" w:cs="Calibri"/>
                <w:sz w:val="22"/>
                <w:szCs w:val="22"/>
              </w:rPr>
              <w:t> </w:t>
            </w:r>
          </w:p>
        </w:tc>
        <w:tc>
          <w:tcPr>
            <w:tcW w:w="598" w:type="pct"/>
          </w:tcPr>
          <w:p w14:paraId="72B0D7D6" w14:textId="77777777" w:rsidR="006B66E4" w:rsidRPr="00C5347D" w:rsidRDefault="006B66E4" w:rsidP="006B66E4">
            <w:pPr>
              <w:spacing w:after="0"/>
              <w:ind w:left="0" w:firstLine="0"/>
              <w:jc w:val="right"/>
              <w:rPr>
                <w:rFonts w:ascii="Arial Narrow" w:hAnsi="Arial Narrow" w:cs="Calibri"/>
                <w:sz w:val="22"/>
                <w:szCs w:val="22"/>
              </w:rPr>
            </w:pPr>
          </w:p>
        </w:tc>
        <w:tc>
          <w:tcPr>
            <w:tcW w:w="598" w:type="pct"/>
          </w:tcPr>
          <w:p w14:paraId="055524B5" w14:textId="77777777" w:rsidR="006B66E4" w:rsidRPr="00C5347D" w:rsidRDefault="006B66E4" w:rsidP="006B66E4">
            <w:pPr>
              <w:spacing w:after="0"/>
              <w:ind w:left="0" w:firstLine="0"/>
              <w:jc w:val="right"/>
              <w:rPr>
                <w:rFonts w:ascii="Arial Narrow" w:hAnsi="Arial Narrow" w:cs="Calibri"/>
                <w:sz w:val="22"/>
                <w:szCs w:val="22"/>
              </w:rPr>
            </w:pPr>
          </w:p>
        </w:tc>
      </w:tr>
      <w:tr w:rsidR="006B66E4" w:rsidRPr="00C5347D" w14:paraId="67CF27DB" w14:textId="77777777" w:rsidTr="00D77BC6">
        <w:trPr>
          <w:trHeight w:val="276"/>
        </w:trPr>
        <w:tc>
          <w:tcPr>
            <w:tcW w:w="237" w:type="pct"/>
            <w:shd w:val="clear" w:color="auto" w:fill="auto"/>
            <w:noWrap/>
            <w:vAlign w:val="center"/>
            <w:hideMark/>
          </w:tcPr>
          <w:p w14:paraId="4832E0C7" w14:textId="77777777" w:rsidR="006B66E4" w:rsidRPr="00C5347D" w:rsidRDefault="006B66E4" w:rsidP="006B66E4">
            <w:pPr>
              <w:spacing w:after="0"/>
              <w:ind w:left="0" w:firstLine="0"/>
              <w:jc w:val="left"/>
              <w:rPr>
                <w:rFonts w:ascii="Arial Narrow" w:hAnsi="Arial Narrow" w:cs="Calibri"/>
                <w:sz w:val="22"/>
                <w:szCs w:val="22"/>
              </w:rPr>
            </w:pPr>
            <w:r w:rsidRPr="00C5347D">
              <w:rPr>
                <w:rFonts w:ascii="Arial Narrow" w:hAnsi="Arial Narrow" w:cs="Calibri"/>
                <w:sz w:val="22"/>
                <w:szCs w:val="22"/>
              </w:rPr>
              <w:t> </w:t>
            </w:r>
          </w:p>
        </w:tc>
        <w:tc>
          <w:tcPr>
            <w:tcW w:w="2543" w:type="pct"/>
            <w:shd w:val="clear" w:color="auto" w:fill="auto"/>
            <w:vAlign w:val="center"/>
            <w:hideMark/>
          </w:tcPr>
          <w:p w14:paraId="62E61FE9" w14:textId="77777777" w:rsidR="006B66E4" w:rsidRPr="00C5347D" w:rsidRDefault="006B66E4" w:rsidP="006B66E4">
            <w:pPr>
              <w:spacing w:after="0"/>
              <w:ind w:left="0" w:firstLine="0"/>
              <w:jc w:val="left"/>
              <w:rPr>
                <w:rFonts w:ascii="Arial Narrow" w:hAnsi="Arial Narrow" w:cs="Calibri"/>
                <w:b/>
                <w:bCs/>
                <w:sz w:val="22"/>
                <w:szCs w:val="22"/>
              </w:rPr>
            </w:pPr>
            <w:r w:rsidRPr="00C5347D">
              <w:rPr>
                <w:rFonts w:ascii="Arial Narrow" w:hAnsi="Arial Narrow" w:cs="Calibri"/>
                <w:b/>
                <w:bCs/>
                <w:sz w:val="22"/>
                <w:szCs w:val="22"/>
              </w:rPr>
              <w:t>II. FONDATIONS</w:t>
            </w:r>
          </w:p>
        </w:tc>
        <w:tc>
          <w:tcPr>
            <w:tcW w:w="425" w:type="pct"/>
            <w:shd w:val="clear" w:color="auto" w:fill="auto"/>
            <w:noWrap/>
            <w:vAlign w:val="center"/>
            <w:hideMark/>
          </w:tcPr>
          <w:p w14:paraId="316323E2" w14:textId="77777777" w:rsidR="006B66E4" w:rsidRPr="00C5347D" w:rsidRDefault="006B66E4" w:rsidP="006B66E4">
            <w:pPr>
              <w:spacing w:after="0"/>
              <w:ind w:left="0" w:firstLine="0"/>
              <w:jc w:val="center"/>
              <w:rPr>
                <w:rFonts w:ascii="Arial Narrow" w:hAnsi="Arial Narrow" w:cs="Calibri"/>
                <w:sz w:val="22"/>
                <w:szCs w:val="22"/>
              </w:rPr>
            </w:pPr>
            <w:r w:rsidRPr="00C5347D">
              <w:rPr>
                <w:rFonts w:ascii="Arial Narrow" w:hAnsi="Arial Narrow" w:cs="Calibri"/>
                <w:sz w:val="22"/>
                <w:szCs w:val="22"/>
              </w:rPr>
              <w:t> </w:t>
            </w:r>
          </w:p>
        </w:tc>
        <w:tc>
          <w:tcPr>
            <w:tcW w:w="598" w:type="pct"/>
            <w:shd w:val="clear" w:color="auto" w:fill="auto"/>
            <w:noWrap/>
            <w:vAlign w:val="center"/>
            <w:hideMark/>
          </w:tcPr>
          <w:p w14:paraId="436460B4" w14:textId="77777777" w:rsidR="006B66E4" w:rsidRPr="00A7320B" w:rsidRDefault="006B66E4" w:rsidP="006B66E4">
            <w:pPr>
              <w:spacing w:after="0"/>
              <w:ind w:left="0" w:firstLine="0"/>
              <w:jc w:val="right"/>
              <w:rPr>
                <w:rFonts w:ascii="Arial Narrow" w:hAnsi="Arial Narrow" w:cs="Calibri"/>
                <w:sz w:val="22"/>
                <w:szCs w:val="22"/>
              </w:rPr>
            </w:pPr>
            <w:r w:rsidRPr="00A7320B">
              <w:rPr>
                <w:rFonts w:ascii="Arial Narrow" w:hAnsi="Arial Narrow" w:cs="Calibri"/>
                <w:sz w:val="22"/>
                <w:szCs w:val="22"/>
              </w:rPr>
              <w:t> </w:t>
            </w:r>
          </w:p>
        </w:tc>
        <w:tc>
          <w:tcPr>
            <w:tcW w:w="598" w:type="pct"/>
          </w:tcPr>
          <w:p w14:paraId="7CDEBDCB" w14:textId="77777777" w:rsidR="006B66E4" w:rsidRPr="00C5347D" w:rsidRDefault="006B66E4" w:rsidP="006B66E4">
            <w:pPr>
              <w:spacing w:after="0"/>
              <w:ind w:left="0" w:firstLine="0"/>
              <w:jc w:val="right"/>
              <w:rPr>
                <w:rFonts w:ascii="Arial Narrow" w:hAnsi="Arial Narrow" w:cs="Calibri"/>
                <w:sz w:val="22"/>
                <w:szCs w:val="22"/>
              </w:rPr>
            </w:pPr>
          </w:p>
        </w:tc>
        <w:tc>
          <w:tcPr>
            <w:tcW w:w="598" w:type="pct"/>
          </w:tcPr>
          <w:p w14:paraId="0823FDE0" w14:textId="77777777" w:rsidR="006B66E4" w:rsidRPr="00C5347D" w:rsidRDefault="006B66E4" w:rsidP="006B66E4">
            <w:pPr>
              <w:spacing w:after="0"/>
              <w:ind w:left="0" w:firstLine="0"/>
              <w:jc w:val="right"/>
              <w:rPr>
                <w:rFonts w:ascii="Arial Narrow" w:hAnsi="Arial Narrow" w:cs="Calibri"/>
                <w:sz w:val="22"/>
                <w:szCs w:val="22"/>
              </w:rPr>
            </w:pPr>
          </w:p>
        </w:tc>
      </w:tr>
      <w:tr w:rsidR="006B66E4" w:rsidRPr="00C5347D" w14:paraId="2F2F2C72" w14:textId="77777777" w:rsidTr="00D77BC6">
        <w:trPr>
          <w:trHeight w:val="552"/>
        </w:trPr>
        <w:tc>
          <w:tcPr>
            <w:tcW w:w="237" w:type="pct"/>
            <w:shd w:val="clear" w:color="auto" w:fill="auto"/>
            <w:noWrap/>
            <w:vAlign w:val="center"/>
            <w:hideMark/>
          </w:tcPr>
          <w:p w14:paraId="1138E037" w14:textId="77777777" w:rsidR="006B66E4" w:rsidRPr="00C5347D" w:rsidRDefault="006B66E4" w:rsidP="006B66E4">
            <w:pPr>
              <w:spacing w:after="0"/>
              <w:ind w:left="0" w:firstLine="0"/>
              <w:jc w:val="center"/>
              <w:rPr>
                <w:rFonts w:ascii="Arial Narrow" w:hAnsi="Arial Narrow" w:cs="Calibri"/>
                <w:sz w:val="22"/>
                <w:szCs w:val="22"/>
              </w:rPr>
            </w:pPr>
            <w:r w:rsidRPr="00C5347D">
              <w:rPr>
                <w:rFonts w:ascii="Arial Narrow" w:hAnsi="Arial Narrow" w:cs="Calibri"/>
                <w:sz w:val="22"/>
                <w:szCs w:val="22"/>
              </w:rPr>
              <w:t>2.1</w:t>
            </w:r>
          </w:p>
        </w:tc>
        <w:tc>
          <w:tcPr>
            <w:tcW w:w="2543" w:type="pct"/>
            <w:shd w:val="clear" w:color="auto" w:fill="auto"/>
            <w:vAlign w:val="center"/>
            <w:hideMark/>
          </w:tcPr>
          <w:p w14:paraId="4DFE67C9" w14:textId="77777777" w:rsidR="006B66E4" w:rsidRPr="00C5347D" w:rsidRDefault="006B66E4" w:rsidP="006B66E4">
            <w:pPr>
              <w:spacing w:after="0"/>
              <w:ind w:left="0" w:firstLine="0"/>
              <w:jc w:val="left"/>
              <w:rPr>
                <w:rFonts w:ascii="Arial Narrow" w:hAnsi="Arial Narrow" w:cs="Calibri"/>
                <w:sz w:val="22"/>
                <w:szCs w:val="22"/>
              </w:rPr>
            </w:pPr>
            <w:r w:rsidRPr="00C5347D">
              <w:rPr>
                <w:rFonts w:ascii="Arial Narrow" w:hAnsi="Arial Narrow" w:cs="Calibri"/>
                <w:sz w:val="22"/>
                <w:szCs w:val="22"/>
              </w:rPr>
              <w:t>Béton de propreté dosé à 150kg/m3 pour nivellement de fonds de fouille de 0,05cm d'épaisseur</w:t>
            </w:r>
          </w:p>
        </w:tc>
        <w:tc>
          <w:tcPr>
            <w:tcW w:w="425" w:type="pct"/>
            <w:shd w:val="clear" w:color="auto" w:fill="auto"/>
            <w:noWrap/>
            <w:vAlign w:val="center"/>
            <w:hideMark/>
          </w:tcPr>
          <w:p w14:paraId="33E060A3" w14:textId="77777777" w:rsidR="006B66E4" w:rsidRPr="00C5347D" w:rsidRDefault="006B66E4" w:rsidP="006B66E4">
            <w:pPr>
              <w:spacing w:after="0"/>
              <w:ind w:left="0" w:firstLine="0"/>
              <w:jc w:val="center"/>
              <w:rPr>
                <w:rFonts w:ascii="Arial Narrow" w:hAnsi="Arial Narrow" w:cs="Calibri"/>
                <w:sz w:val="22"/>
                <w:szCs w:val="22"/>
              </w:rPr>
            </w:pPr>
            <w:r w:rsidRPr="00C5347D">
              <w:rPr>
                <w:rFonts w:ascii="Arial Narrow" w:hAnsi="Arial Narrow" w:cs="Calibri"/>
                <w:sz w:val="22"/>
                <w:szCs w:val="22"/>
              </w:rPr>
              <w:t>m3</w:t>
            </w:r>
          </w:p>
        </w:tc>
        <w:tc>
          <w:tcPr>
            <w:tcW w:w="598" w:type="pct"/>
            <w:shd w:val="clear" w:color="auto" w:fill="auto"/>
            <w:noWrap/>
            <w:vAlign w:val="center"/>
            <w:hideMark/>
          </w:tcPr>
          <w:p w14:paraId="41E82628" w14:textId="77777777" w:rsidR="006B66E4" w:rsidRPr="00A7320B" w:rsidRDefault="006B66E4" w:rsidP="006B66E4">
            <w:pPr>
              <w:spacing w:after="0"/>
              <w:ind w:left="0" w:firstLine="0"/>
              <w:jc w:val="center"/>
              <w:rPr>
                <w:rFonts w:ascii="Arial Narrow" w:hAnsi="Arial Narrow" w:cs="Calibri"/>
                <w:sz w:val="22"/>
                <w:szCs w:val="22"/>
              </w:rPr>
            </w:pPr>
            <w:r w:rsidRPr="00A7320B">
              <w:rPr>
                <w:rFonts w:ascii="Arial Narrow" w:hAnsi="Arial Narrow" w:cs="Calibri"/>
                <w:sz w:val="22"/>
                <w:szCs w:val="22"/>
              </w:rPr>
              <w:t>2,7</w:t>
            </w:r>
          </w:p>
        </w:tc>
        <w:tc>
          <w:tcPr>
            <w:tcW w:w="598" w:type="pct"/>
          </w:tcPr>
          <w:p w14:paraId="020C9750" w14:textId="77777777" w:rsidR="006B66E4" w:rsidRPr="00C5347D" w:rsidRDefault="006B66E4" w:rsidP="006B66E4">
            <w:pPr>
              <w:spacing w:after="0"/>
              <w:ind w:left="0" w:firstLine="0"/>
              <w:jc w:val="center"/>
              <w:rPr>
                <w:rFonts w:ascii="Arial Narrow" w:hAnsi="Arial Narrow" w:cs="Calibri"/>
                <w:sz w:val="22"/>
                <w:szCs w:val="22"/>
              </w:rPr>
            </w:pPr>
          </w:p>
        </w:tc>
        <w:tc>
          <w:tcPr>
            <w:tcW w:w="598" w:type="pct"/>
          </w:tcPr>
          <w:p w14:paraId="3815962E" w14:textId="77777777" w:rsidR="006B66E4" w:rsidRPr="00C5347D" w:rsidRDefault="006B66E4" w:rsidP="006B66E4">
            <w:pPr>
              <w:spacing w:after="0"/>
              <w:ind w:left="0" w:firstLine="0"/>
              <w:jc w:val="center"/>
              <w:rPr>
                <w:rFonts w:ascii="Arial Narrow" w:hAnsi="Arial Narrow" w:cs="Calibri"/>
                <w:sz w:val="22"/>
                <w:szCs w:val="22"/>
              </w:rPr>
            </w:pPr>
          </w:p>
        </w:tc>
      </w:tr>
      <w:tr w:rsidR="006B66E4" w:rsidRPr="00C5347D" w14:paraId="37B7DCED" w14:textId="77777777" w:rsidTr="00D77BC6">
        <w:trPr>
          <w:trHeight w:val="552"/>
        </w:trPr>
        <w:tc>
          <w:tcPr>
            <w:tcW w:w="237" w:type="pct"/>
            <w:shd w:val="clear" w:color="auto" w:fill="auto"/>
            <w:noWrap/>
            <w:vAlign w:val="center"/>
            <w:hideMark/>
          </w:tcPr>
          <w:p w14:paraId="3FC8D1B4" w14:textId="77777777" w:rsidR="006B66E4" w:rsidRPr="00C5347D" w:rsidRDefault="006B66E4" w:rsidP="006B66E4">
            <w:pPr>
              <w:spacing w:after="0"/>
              <w:ind w:left="0" w:firstLine="0"/>
              <w:jc w:val="center"/>
              <w:rPr>
                <w:rFonts w:ascii="Arial Narrow" w:hAnsi="Arial Narrow" w:cs="Calibri"/>
                <w:sz w:val="22"/>
                <w:szCs w:val="22"/>
              </w:rPr>
            </w:pPr>
            <w:r w:rsidRPr="00C5347D">
              <w:rPr>
                <w:rFonts w:ascii="Arial Narrow" w:hAnsi="Arial Narrow" w:cs="Calibri"/>
                <w:sz w:val="22"/>
                <w:szCs w:val="22"/>
              </w:rPr>
              <w:t>2.2</w:t>
            </w:r>
          </w:p>
        </w:tc>
        <w:tc>
          <w:tcPr>
            <w:tcW w:w="2543" w:type="pct"/>
            <w:shd w:val="clear" w:color="auto" w:fill="auto"/>
            <w:vAlign w:val="center"/>
            <w:hideMark/>
          </w:tcPr>
          <w:p w14:paraId="1621BA63" w14:textId="77777777" w:rsidR="006B66E4" w:rsidRPr="00C5347D" w:rsidRDefault="006B66E4" w:rsidP="006B66E4">
            <w:pPr>
              <w:spacing w:after="0"/>
              <w:ind w:left="0" w:firstLine="0"/>
              <w:jc w:val="left"/>
              <w:rPr>
                <w:rFonts w:ascii="Arial Narrow" w:hAnsi="Arial Narrow" w:cs="Calibri"/>
                <w:sz w:val="22"/>
                <w:szCs w:val="22"/>
              </w:rPr>
            </w:pPr>
            <w:r w:rsidRPr="00C5347D">
              <w:rPr>
                <w:rFonts w:ascii="Arial Narrow" w:hAnsi="Arial Narrow" w:cs="Calibri"/>
                <w:sz w:val="22"/>
                <w:szCs w:val="22"/>
              </w:rPr>
              <w:t xml:space="preserve">Béton armé dosé à 350kg/m3 pour semelle isolées et poteau d'attentes y compris </w:t>
            </w:r>
            <w:proofErr w:type="spellStart"/>
            <w:r w:rsidRPr="00C5347D">
              <w:rPr>
                <w:rFonts w:ascii="Arial Narrow" w:hAnsi="Arial Narrow" w:cs="Calibri"/>
                <w:sz w:val="22"/>
                <w:szCs w:val="22"/>
              </w:rPr>
              <w:t>touts</w:t>
            </w:r>
            <w:proofErr w:type="spellEnd"/>
            <w:r w:rsidRPr="00C5347D">
              <w:rPr>
                <w:rFonts w:ascii="Arial Narrow" w:hAnsi="Arial Narrow" w:cs="Calibri"/>
                <w:sz w:val="22"/>
                <w:szCs w:val="22"/>
              </w:rPr>
              <w:t xml:space="preserve"> suggestions </w:t>
            </w:r>
          </w:p>
        </w:tc>
        <w:tc>
          <w:tcPr>
            <w:tcW w:w="425" w:type="pct"/>
            <w:shd w:val="clear" w:color="auto" w:fill="auto"/>
            <w:noWrap/>
            <w:vAlign w:val="center"/>
            <w:hideMark/>
          </w:tcPr>
          <w:p w14:paraId="26F83332" w14:textId="77777777" w:rsidR="006B66E4" w:rsidRPr="00C5347D" w:rsidRDefault="006B66E4" w:rsidP="006B66E4">
            <w:pPr>
              <w:spacing w:after="0"/>
              <w:ind w:left="0" w:firstLine="0"/>
              <w:jc w:val="center"/>
              <w:rPr>
                <w:rFonts w:ascii="Arial Narrow" w:hAnsi="Arial Narrow" w:cs="Calibri"/>
                <w:sz w:val="22"/>
                <w:szCs w:val="22"/>
              </w:rPr>
            </w:pPr>
            <w:r w:rsidRPr="00C5347D">
              <w:rPr>
                <w:rFonts w:ascii="Arial Narrow" w:hAnsi="Arial Narrow" w:cs="Calibri"/>
                <w:sz w:val="22"/>
                <w:szCs w:val="22"/>
              </w:rPr>
              <w:t>m3</w:t>
            </w:r>
          </w:p>
        </w:tc>
        <w:tc>
          <w:tcPr>
            <w:tcW w:w="598" w:type="pct"/>
            <w:shd w:val="clear" w:color="auto" w:fill="auto"/>
            <w:noWrap/>
            <w:vAlign w:val="center"/>
            <w:hideMark/>
          </w:tcPr>
          <w:p w14:paraId="1AD0C6BB" w14:textId="77777777" w:rsidR="006B66E4" w:rsidRPr="00A7320B" w:rsidRDefault="006B66E4" w:rsidP="006B66E4">
            <w:pPr>
              <w:spacing w:after="0"/>
              <w:ind w:left="0" w:firstLine="0"/>
              <w:jc w:val="center"/>
              <w:rPr>
                <w:rFonts w:ascii="Arial Narrow" w:hAnsi="Arial Narrow" w:cs="Calibri"/>
                <w:sz w:val="22"/>
                <w:szCs w:val="22"/>
              </w:rPr>
            </w:pPr>
            <w:r w:rsidRPr="00A7320B">
              <w:rPr>
                <w:rFonts w:ascii="Arial Narrow" w:hAnsi="Arial Narrow" w:cs="Calibri"/>
                <w:sz w:val="22"/>
                <w:szCs w:val="22"/>
              </w:rPr>
              <w:t>5,34</w:t>
            </w:r>
          </w:p>
        </w:tc>
        <w:tc>
          <w:tcPr>
            <w:tcW w:w="598" w:type="pct"/>
          </w:tcPr>
          <w:p w14:paraId="5664A4F0" w14:textId="77777777" w:rsidR="006B66E4" w:rsidRPr="00C5347D" w:rsidRDefault="006B66E4" w:rsidP="006B66E4">
            <w:pPr>
              <w:spacing w:after="0"/>
              <w:ind w:left="0" w:firstLine="0"/>
              <w:jc w:val="center"/>
              <w:rPr>
                <w:rFonts w:ascii="Arial Narrow" w:hAnsi="Arial Narrow" w:cs="Calibri"/>
                <w:sz w:val="22"/>
                <w:szCs w:val="22"/>
              </w:rPr>
            </w:pPr>
          </w:p>
        </w:tc>
        <w:tc>
          <w:tcPr>
            <w:tcW w:w="598" w:type="pct"/>
          </w:tcPr>
          <w:p w14:paraId="6E185D15" w14:textId="77777777" w:rsidR="006B66E4" w:rsidRPr="00C5347D" w:rsidRDefault="006B66E4" w:rsidP="006B66E4">
            <w:pPr>
              <w:spacing w:after="0"/>
              <w:ind w:left="0" w:firstLine="0"/>
              <w:jc w:val="center"/>
              <w:rPr>
                <w:rFonts w:ascii="Arial Narrow" w:hAnsi="Arial Narrow" w:cs="Calibri"/>
                <w:sz w:val="22"/>
                <w:szCs w:val="22"/>
              </w:rPr>
            </w:pPr>
          </w:p>
        </w:tc>
      </w:tr>
      <w:tr w:rsidR="006B66E4" w:rsidRPr="00C5347D" w14:paraId="22980F42" w14:textId="77777777" w:rsidTr="00D77BC6">
        <w:trPr>
          <w:trHeight w:val="552"/>
        </w:trPr>
        <w:tc>
          <w:tcPr>
            <w:tcW w:w="237" w:type="pct"/>
            <w:shd w:val="clear" w:color="auto" w:fill="auto"/>
            <w:noWrap/>
            <w:vAlign w:val="center"/>
            <w:hideMark/>
          </w:tcPr>
          <w:p w14:paraId="23A331F6" w14:textId="77777777" w:rsidR="006B66E4" w:rsidRPr="00C5347D" w:rsidRDefault="006B66E4" w:rsidP="006B66E4">
            <w:pPr>
              <w:spacing w:after="0"/>
              <w:ind w:left="0" w:firstLine="0"/>
              <w:jc w:val="center"/>
              <w:rPr>
                <w:rFonts w:ascii="Arial Narrow" w:hAnsi="Arial Narrow" w:cs="Calibri"/>
                <w:sz w:val="22"/>
                <w:szCs w:val="22"/>
              </w:rPr>
            </w:pPr>
            <w:r w:rsidRPr="00C5347D">
              <w:rPr>
                <w:rFonts w:ascii="Arial Narrow" w:hAnsi="Arial Narrow" w:cs="Calibri"/>
                <w:sz w:val="22"/>
                <w:szCs w:val="22"/>
              </w:rPr>
              <w:t>2.3</w:t>
            </w:r>
          </w:p>
        </w:tc>
        <w:tc>
          <w:tcPr>
            <w:tcW w:w="2543" w:type="pct"/>
            <w:shd w:val="clear" w:color="auto" w:fill="auto"/>
            <w:vAlign w:val="center"/>
            <w:hideMark/>
          </w:tcPr>
          <w:p w14:paraId="46C0773E" w14:textId="77777777" w:rsidR="006B66E4" w:rsidRPr="00C5347D" w:rsidRDefault="006B66E4" w:rsidP="006B66E4">
            <w:pPr>
              <w:spacing w:after="0"/>
              <w:ind w:left="0" w:firstLine="0"/>
              <w:jc w:val="left"/>
              <w:rPr>
                <w:rFonts w:ascii="Arial Narrow" w:hAnsi="Arial Narrow" w:cs="Calibri"/>
                <w:sz w:val="22"/>
                <w:szCs w:val="22"/>
              </w:rPr>
            </w:pPr>
            <w:r w:rsidRPr="00C5347D">
              <w:rPr>
                <w:rFonts w:ascii="Arial Narrow" w:hAnsi="Arial Narrow" w:cs="Calibri"/>
                <w:sz w:val="22"/>
                <w:szCs w:val="22"/>
              </w:rPr>
              <w:t xml:space="preserve">Maçonnerie agglos plein de 20x20x40cm pour blocage des fonds de fouilles </w:t>
            </w:r>
          </w:p>
        </w:tc>
        <w:tc>
          <w:tcPr>
            <w:tcW w:w="425" w:type="pct"/>
            <w:shd w:val="clear" w:color="auto" w:fill="auto"/>
            <w:noWrap/>
            <w:vAlign w:val="center"/>
            <w:hideMark/>
          </w:tcPr>
          <w:p w14:paraId="60AB6D4C" w14:textId="77777777" w:rsidR="006B66E4" w:rsidRPr="00C5347D" w:rsidRDefault="006B66E4" w:rsidP="006B66E4">
            <w:pPr>
              <w:spacing w:after="0"/>
              <w:ind w:left="0" w:firstLine="0"/>
              <w:jc w:val="center"/>
              <w:rPr>
                <w:rFonts w:ascii="Arial Narrow" w:hAnsi="Arial Narrow" w:cs="Calibri"/>
                <w:sz w:val="22"/>
                <w:szCs w:val="22"/>
              </w:rPr>
            </w:pPr>
            <w:r w:rsidRPr="00C5347D">
              <w:rPr>
                <w:rFonts w:ascii="Arial Narrow" w:hAnsi="Arial Narrow" w:cs="Calibri"/>
                <w:sz w:val="22"/>
                <w:szCs w:val="22"/>
              </w:rPr>
              <w:t>m3</w:t>
            </w:r>
          </w:p>
        </w:tc>
        <w:tc>
          <w:tcPr>
            <w:tcW w:w="598" w:type="pct"/>
            <w:shd w:val="clear" w:color="auto" w:fill="auto"/>
            <w:noWrap/>
            <w:vAlign w:val="center"/>
            <w:hideMark/>
          </w:tcPr>
          <w:p w14:paraId="2B8CEC67" w14:textId="77777777" w:rsidR="006B66E4" w:rsidRPr="00A7320B" w:rsidRDefault="006B66E4" w:rsidP="006B66E4">
            <w:pPr>
              <w:spacing w:after="0"/>
              <w:ind w:left="0" w:firstLine="0"/>
              <w:jc w:val="center"/>
              <w:rPr>
                <w:rFonts w:ascii="Arial Narrow" w:hAnsi="Arial Narrow" w:cs="Calibri"/>
                <w:sz w:val="22"/>
                <w:szCs w:val="22"/>
              </w:rPr>
            </w:pPr>
            <w:r w:rsidRPr="00A7320B">
              <w:rPr>
                <w:rFonts w:ascii="Arial Narrow" w:hAnsi="Arial Narrow" w:cs="Calibri"/>
                <w:sz w:val="22"/>
                <w:szCs w:val="22"/>
              </w:rPr>
              <w:t>89,85</w:t>
            </w:r>
          </w:p>
        </w:tc>
        <w:tc>
          <w:tcPr>
            <w:tcW w:w="598" w:type="pct"/>
          </w:tcPr>
          <w:p w14:paraId="5856058E" w14:textId="77777777" w:rsidR="006B66E4" w:rsidRPr="00C5347D" w:rsidRDefault="006B66E4" w:rsidP="006B66E4">
            <w:pPr>
              <w:spacing w:after="0"/>
              <w:ind w:left="0" w:firstLine="0"/>
              <w:jc w:val="center"/>
              <w:rPr>
                <w:rFonts w:ascii="Arial Narrow" w:hAnsi="Arial Narrow" w:cs="Calibri"/>
                <w:sz w:val="22"/>
                <w:szCs w:val="22"/>
              </w:rPr>
            </w:pPr>
          </w:p>
        </w:tc>
        <w:tc>
          <w:tcPr>
            <w:tcW w:w="598" w:type="pct"/>
          </w:tcPr>
          <w:p w14:paraId="77200621" w14:textId="77777777" w:rsidR="006B66E4" w:rsidRPr="00C5347D" w:rsidRDefault="006B66E4" w:rsidP="006B66E4">
            <w:pPr>
              <w:spacing w:after="0"/>
              <w:ind w:left="0" w:firstLine="0"/>
              <w:jc w:val="center"/>
              <w:rPr>
                <w:rFonts w:ascii="Arial Narrow" w:hAnsi="Arial Narrow" w:cs="Calibri"/>
                <w:sz w:val="22"/>
                <w:szCs w:val="22"/>
              </w:rPr>
            </w:pPr>
          </w:p>
        </w:tc>
      </w:tr>
      <w:tr w:rsidR="006B66E4" w:rsidRPr="00C5347D" w14:paraId="4E6A17E7" w14:textId="77777777" w:rsidTr="00D77BC6">
        <w:trPr>
          <w:trHeight w:val="552"/>
        </w:trPr>
        <w:tc>
          <w:tcPr>
            <w:tcW w:w="237" w:type="pct"/>
            <w:shd w:val="clear" w:color="auto" w:fill="auto"/>
            <w:noWrap/>
            <w:vAlign w:val="center"/>
            <w:hideMark/>
          </w:tcPr>
          <w:p w14:paraId="3E8E26C7" w14:textId="77777777" w:rsidR="006B66E4" w:rsidRPr="00C5347D" w:rsidRDefault="006B66E4" w:rsidP="006B66E4">
            <w:pPr>
              <w:spacing w:after="0"/>
              <w:ind w:left="0" w:firstLine="0"/>
              <w:jc w:val="center"/>
              <w:rPr>
                <w:rFonts w:ascii="Arial Narrow" w:hAnsi="Arial Narrow" w:cs="Calibri"/>
                <w:sz w:val="22"/>
                <w:szCs w:val="22"/>
              </w:rPr>
            </w:pPr>
            <w:r w:rsidRPr="00C5347D">
              <w:rPr>
                <w:rFonts w:ascii="Arial Narrow" w:hAnsi="Arial Narrow" w:cs="Calibri"/>
                <w:sz w:val="22"/>
                <w:szCs w:val="22"/>
              </w:rPr>
              <w:t>2.4</w:t>
            </w:r>
          </w:p>
        </w:tc>
        <w:tc>
          <w:tcPr>
            <w:tcW w:w="2543" w:type="pct"/>
            <w:shd w:val="clear" w:color="auto" w:fill="auto"/>
            <w:vAlign w:val="center"/>
            <w:hideMark/>
          </w:tcPr>
          <w:p w14:paraId="6E7264ED" w14:textId="77777777" w:rsidR="006B66E4" w:rsidRPr="00C5347D" w:rsidRDefault="006B66E4" w:rsidP="006B66E4">
            <w:pPr>
              <w:spacing w:after="0"/>
              <w:ind w:left="0" w:firstLine="0"/>
              <w:jc w:val="left"/>
              <w:rPr>
                <w:rFonts w:ascii="Arial Narrow" w:hAnsi="Arial Narrow" w:cs="Calibri"/>
                <w:sz w:val="22"/>
                <w:szCs w:val="22"/>
              </w:rPr>
            </w:pPr>
            <w:r w:rsidRPr="00C5347D">
              <w:rPr>
                <w:rFonts w:ascii="Arial Narrow" w:hAnsi="Arial Narrow" w:cs="Calibri"/>
                <w:sz w:val="22"/>
                <w:szCs w:val="22"/>
              </w:rPr>
              <w:t xml:space="preserve">Béton armé dosé à 350kg/m3 pour  longrines  y compris </w:t>
            </w:r>
            <w:proofErr w:type="spellStart"/>
            <w:r w:rsidRPr="00C5347D">
              <w:rPr>
                <w:rFonts w:ascii="Arial Narrow" w:hAnsi="Arial Narrow" w:cs="Calibri"/>
                <w:sz w:val="22"/>
                <w:szCs w:val="22"/>
              </w:rPr>
              <w:t>touts</w:t>
            </w:r>
            <w:proofErr w:type="spellEnd"/>
            <w:r w:rsidRPr="00C5347D">
              <w:rPr>
                <w:rFonts w:ascii="Arial Narrow" w:hAnsi="Arial Narrow" w:cs="Calibri"/>
                <w:sz w:val="22"/>
                <w:szCs w:val="22"/>
              </w:rPr>
              <w:t xml:space="preserve"> suggestions </w:t>
            </w:r>
          </w:p>
        </w:tc>
        <w:tc>
          <w:tcPr>
            <w:tcW w:w="425" w:type="pct"/>
            <w:shd w:val="clear" w:color="auto" w:fill="auto"/>
            <w:noWrap/>
            <w:vAlign w:val="center"/>
            <w:hideMark/>
          </w:tcPr>
          <w:p w14:paraId="3596C0A0" w14:textId="77777777" w:rsidR="006B66E4" w:rsidRPr="00C5347D" w:rsidRDefault="006B66E4" w:rsidP="006B66E4">
            <w:pPr>
              <w:spacing w:after="0"/>
              <w:ind w:left="0" w:firstLine="0"/>
              <w:jc w:val="center"/>
              <w:rPr>
                <w:rFonts w:ascii="Arial Narrow" w:hAnsi="Arial Narrow" w:cs="Calibri"/>
                <w:sz w:val="22"/>
                <w:szCs w:val="22"/>
              </w:rPr>
            </w:pPr>
            <w:r w:rsidRPr="00C5347D">
              <w:rPr>
                <w:rFonts w:ascii="Arial Narrow" w:hAnsi="Arial Narrow" w:cs="Calibri"/>
                <w:sz w:val="22"/>
                <w:szCs w:val="22"/>
              </w:rPr>
              <w:t>m3</w:t>
            </w:r>
          </w:p>
        </w:tc>
        <w:tc>
          <w:tcPr>
            <w:tcW w:w="598" w:type="pct"/>
            <w:shd w:val="clear" w:color="auto" w:fill="auto"/>
            <w:noWrap/>
            <w:vAlign w:val="center"/>
            <w:hideMark/>
          </w:tcPr>
          <w:p w14:paraId="73687C95" w14:textId="77777777" w:rsidR="006B66E4" w:rsidRPr="00A7320B" w:rsidRDefault="006B66E4" w:rsidP="006B66E4">
            <w:pPr>
              <w:spacing w:after="0"/>
              <w:ind w:left="0" w:firstLine="0"/>
              <w:jc w:val="center"/>
              <w:rPr>
                <w:rFonts w:ascii="Arial Narrow" w:hAnsi="Arial Narrow" w:cs="Calibri"/>
                <w:sz w:val="22"/>
                <w:szCs w:val="22"/>
              </w:rPr>
            </w:pPr>
            <w:r w:rsidRPr="00A7320B">
              <w:rPr>
                <w:rFonts w:ascii="Arial Narrow" w:hAnsi="Arial Narrow" w:cs="Calibri"/>
                <w:sz w:val="22"/>
                <w:szCs w:val="22"/>
              </w:rPr>
              <w:t>4,58</w:t>
            </w:r>
          </w:p>
        </w:tc>
        <w:tc>
          <w:tcPr>
            <w:tcW w:w="598" w:type="pct"/>
          </w:tcPr>
          <w:p w14:paraId="0A8064C1" w14:textId="77777777" w:rsidR="006B66E4" w:rsidRPr="00C5347D" w:rsidRDefault="006B66E4" w:rsidP="006B66E4">
            <w:pPr>
              <w:spacing w:after="0"/>
              <w:ind w:left="0" w:firstLine="0"/>
              <w:jc w:val="center"/>
              <w:rPr>
                <w:rFonts w:ascii="Arial Narrow" w:hAnsi="Arial Narrow" w:cs="Calibri"/>
                <w:sz w:val="22"/>
                <w:szCs w:val="22"/>
              </w:rPr>
            </w:pPr>
          </w:p>
        </w:tc>
        <w:tc>
          <w:tcPr>
            <w:tcW w:w="598" w:type="pct"/>
          </w:tcPr>
          <w:p w14:paraId="7AA60711" w14:textId="77777777" w:rsidR="006B66E4" w:rsidRPr="00C5347D" w:rsidRDefault="006B66E4" w:rsidP="006B66E4">
            <w:pPr>
              <w:spacing w:after="0"/>
              <w:ind w:left="0" w:firstLine="0"/>
              <w:jc w:val="center"/>
              <w:rPr>
                <w:rFonts w:ascii="Arial Narrow" w:hAnsi="Arial Narrow" w:cs="Calibri"/>
                <w:sz w:val="22"/>
                <w:szCs w:val="22"/>
              </w:rPr>
            </w:pPr>
          </w:p>
        </w:tc>
      </w:tr>
      <w:tr w:rsidR="006B66E4" w:rsidRPr="00C5347D" w14:paraId="42F24249" w14:textId="77777777" w:rsidTr="00D77BC6">
        <w:trPr>
          <w:trHeight w:val="552"/>
        </w:trPr>
        <w:tc>
          <w:tcPr>
            <w:tcW w:w="237" w:type="pct"/>
            <w:shd w:val="clear" w:color="auto" w:fill="auto"/>
            <w:noWrap/>
            <w:vAlign w:val="center"/>
            <w:hideMark/>
          </w:tcPr>
          <w:p w14:paraId="5723D527" w14:textId="77777777" w:rsidR="006B66E4" w:rsidRPr="00C5347D" w:rsidRDefault="006B66E4" w:rsidP="006B66E4">
            <w:pPr>
              <w:spacing w:after="0"/>
              <w:ind w:left="0" w:firstLine="0"/>
              <w:jc w:val="center"/>
              <w:rPr>
                <w:rFonts w:ascii="Arial Narrow" w:hAnsi="Arial Narrow" w:cs="Calibri"/>
                <w:sz w:val="22"/>
                <w:szCs w:val="22"/>
              </w:rPr>
            </w:pPr>
            <w:r w:rsidRPr="00C5347D">
              <w:rPr>
                <w:rFonts w:ascii="Arial Narrow" w:hAnsi="Arial Narrow" w:cs="Calibri"/>
                <w:sz w:val="22"/>
                <w:szCs w:val="22"/>
              </w:rPr>
              <w:t>2.5</w:t>
            </w:r>
          </w:p>
        </w:tc>
        <w:tc>
          <w:tcPr>
            <w:tcW w:w="2543" w:type="pct"/>
            <w:shd w:val="clear" w:color="auto" w:fill="auto"/>
            <w:vAlign w:val="center"/>
            <w:hideMark/>
          </w:tcPr>
          <w:p w14:paraId="14B52A03" w14:textId="77777777" w:rsidR="006B66E4" w:rsidRPr="00C5347D" w:rsidRDefault="006B66E4" w:rsidP="006B66E4">
            <w:pPr>
              <w:spacing w:after="0"/>
              <w:ind w:left="0" w:firstLine="0"/>
              <w:jc w:val="left"/>
              <w:rPr>
                <w:rFonts w:ascii="Arial Narrow" w:hAnsi="Arial Narrow" w:cs="Calibri"/>
                <w:sz w:val="22"/>
                <w:szCs w:val="22"/>
              </w:rPr>
            </w:pPr>
            <w:r w:rsidRPr="00C5347D">
              <w:rPr>
                <w:rFonts w:ascii="Arial Narrow" w:hAnsi="Arial Narrow" w:cs="Calibri"/>
                <w:sz w:val="22"/>
                <w:szCs w:val="22"/>
              </w:rPr>
              <w:t xml:space="preserve">Béton de forme légèrement armé dosé à 300kg/m3 </w:t>
            </w:r>
            <w:proofErr w:type="spellStart"/>
            <w:r w:rsidRPr="00C5347D">
              <w:rPr>
                <w:rFonts w:ascii="Arial Narrow" w:hAnsi="Arial Narrow" w:cs="Calibri"/>
                <w:sz w:val="22"/>
                <w:szCs w:val="22"/>
              </w:rPr>
              <w:t>ép</w:t>
            </w:r>
            <w:proofErr w:type="spellEnd"/>
            <w:r w:rsidRPr="00C5347D">
              <w:rPr>
                <w:rFonts w:ascii="Arial Narrow" w:hAnsi="Arial Narrow" w:cs="Calibri"/>
                <w:sz w:val="22"/>
                <w:szCs w:val="22"/>
              </w:rPr>
              <w:t>=12cm y compris film polyane et lit de sable de 5 cm épaisseur</w:t>
            </w:r>
          </w:p>
        </w:tc>
        <w:tc>
          <w:tcPr>
            <w:tcW w:w="425" w:type="pct"/>
            <w:shd w:val="clear" w:color="auto" w:fill="auto"/>
            <w:noWrap/>
            <w:vAlign w:val="center"/>
            <w:hideMark/>
          </w:tcPr>
          <w:p w14:paraId="05197DB3" w14:textId="77777777" w:rsidR="006B66E4" w:rsidRPr="00C5347D" w:rsidRDefault="006B66E4" w:rsidP="006B66E4">
            <w:pPr>
              <w:spacing w:after="0"/>
              <w:ind w:left="0" w:firstLine="0"/>
              <w:jc w:val="center"/>
              <w:rPr>
                <w:rFonts w:ascii="Arial Narrow" w:hAnsi="Arial Narrow" w:cs="Calibri"/>
                <w:sz w:val="22"/>
                <w:szCs w:val="22"/>
              </w:rPr>
            </w:pPr>
            <w:r w:rsidRPr="00C5347D">
              <w:rPr>
                <w:rFonts w:ascii="Arial Narrow" w:hAnsi="Arial Narrow" w:cs="Calibri"/>
                <w:sz w:val="22"/>
                <w:szCs w:val="22"/>
              </w:rPr>
              <w:t>m3</w:t>
            </w:r>
          </w:p>
        </w:tc>
        <w:tc>
          <w:tcPr>
            <w:tcW w:w="598" w:type="pct"/>
            <w:shd w:val="clear" w:color="auto" w:fill="auto"/>
            <w:noWrap/>
            <w:vAlign w:val="center"/>
            <w:hideMark/>
          </w:tcPr>
          <w:p w14:paraId="3DF7EFE1" w14:textId="77777777" w:rsidR="006B66E4" w:rsidRPr="00A7320B" w:rsidRDefault="006B66E4" w:rsidP="006B66E4">
            <w:pPr>
              <w:spacing w:after="0"/>
              <w:ind w:left="0" w:firstLine="0"/>
              <w:jc w:val="center"/>
              <w:rPr>
                <w:rFonts w:ascii="Arial Narrow" w:hAnsi="Arial Narrow" w:cs="Calibri"/>
                <w:sz w:val="22"/>
                <w:szCs w:val="22"/>
              </w:rPr>
            </w:pPr>
            <w:r w:rsidRPr="00A7320B">
              <w:rPr>
                <w:rFonts w:ascii="Arial Narrow" w:hAnsi="Arial Narrow" w:cs="Calibri"/>
                <w:sz w:val="22"/>
                <w:szCs w:val="22"/>
              </w:rPr>
              <w:t>40,27</w:t>
            </w:r>
          </w:p>
        </w:tc>
        <w:tc>
          <w:tcPr>
            <w:tcW w:w="598" w:type="pct"/>
          </w:tcPr>
          <w:p w14:paraId="6BBA58E3" w14:textId="77777777" w:rsidR="006B66E4" w:rsidRPr="00C5347D" w:rsidRDefault="006B66E4" w:rsidP="006B66E4">
            <w:pPr>
              <w:spacing w:after="0"/>
              <w:ind w:left="0" w:firstLine="0"/>
              <w:jc w:val="center"/>
              <w:rPr>
                <w:rFonts w:ascii="Arial Narrow" w:hAnsi="Arial Narrow" w:cs="Calibri"/>
                <w:sz w:val="22"/>
                <w:szCs w:val="22"/>
              </w:rPr>
            </w:pPr>
          </w:p>
        </w:tc>
        <w:tc>
          <w:tcPr>
            <w:tcW w:w="598" w:type="pct"/>
          </w:tcPr>
          <w:p w14:paraId="66F0E79C" w14:textId="77777777" w:rsidR="006B66E4" w:rsidRPr="00C5347D" w:rsidRDefault="006B66E4" w:rsidP="006B66E4">
            <w:pPr>
              <w:spacing w:after="0"/>
              <w:ind w:left="0" w:firstLine="0"/>
              <w:jc w:val="center"/>
              <w:rPr>
                <w:rFonts w:ascii="Arial Narrow" w:hAnsi="Arial Narrow" w:cs="Calibri"/>
                <w:sz w:val="22"/>
                <w:szCs w:val="22"/>
              </w:rPr>
            </w:pPr>
          </w:p>
        </w:tc>
      </w:tr>
      <w:tr w:rsidR="006B66E4" w:rsidRPr="00C5347D" w14:paraId="6564109F" w14:textId="77777777" w:rsidTr="00D77BC6">
        <w:trPr>
          <w:trHeight w:val="276"/>
        </w:trPr>
        <w:tc>
          <w:tcPr>
            <w:tcW w:w="237" w:type="pct"/>
            <w:shd w:val="clear" w:color="auto" w:fill="auto"/>
            <w:noWrap/>
            <w:vAlign w:val="center"/>
            <w:hideMark/>
          </w:tcPr>
          <w:p w14:paraId="62E5B299" w14:textId="77777777" w:rsidR="006B66E4" w:rsidRPr="00C5347D" w:rsidRDefault="006B66E4" w:rsidP="006B66E4">
            <w:pPr>
              <w:spacing w:after="0"/>
              <w:ind w:left="0" w:firstLine="0"/>
              <w:jc w:val="center"/>
              <w:rPr>
                <w:rFonts w:ascii="Arial Narrow" w:hAnsi="Arial Narrow" w:cs="Calibri"/>
                <w:sz w:val="22"/>
                <w:szCs w:val="22"/>
              </w:rPr>
            </w:pPr>
            <w:r w:rsidRPr="00C5347D">
              <w:rPr>
                <w:rFonts w:ascii="Arial Narrow" w:hAnsi="Arial Narrow" w:cs="Calibri"/>
                <w:sz w:val="22"/>
                <w:szCs w:val="22"/>
              </w:rPr>
              <w:t>2.6</w:t>
            </w:r>
          </w:p>
        </w:tc>
        <w:tc>
          <w:tcPr>
            <w:tcW w:w="2543" w:type="pct"/>
            <w:shd w:val="clear" w:color="auto" w:fill="auto"/>
            <w:vAlign w:val="center"/>
            <w:hideMark/>
          </w:tcPr>
          <w:p w14:paraId="21018DBF" w14:textId="77777777" w:rsidR="006B66E4" w:rsidRPr="00C5347D" w:rsidRDefault="006B66E4" w:rsidP="006B66E4">
            <w:pPr>
              <w:spacing w:after="0"/>
              <w:ind w:left="0" w:firstLine="0"/>
              <w:jc w:val="left"/>
              <w:rPr>
                <w:rFonts w:ascii="Arial Narrow" w:hAnsi="Arial Narrow" w:cs="Calibri"/>
                <w:sz w:val="22"/>
                <w:szCs w:val="22"/>
              </w:rPr>
            </w:pPr>
            <w:r w:rsidRPr="00C5347D">
              <w:rPr>
                <w:rFonts w:ascii="Arial Narrow" w:hAnsi="Arial Narrow" w:cs="Calibri"/>
                <w:sz w:val="22"/>
                <w:szCs w:val="22"/>
              </w:rPr>
              <w:t xml:space="preserve">Béton de forme </w:t>
            </w:r>
            <w:proofErr w:type="spellStart"/>
            <w:r w:rsidRPr="00C5347D">
              <w:rPr>
                <w:rFonts w:ascii="Arial Narrow" w:hAnsi="Arial Narrow" w:cs="Calibri"/>
                <w:sz w:val="22"/>
                <w:szCs w:val="22"/>
              </w:rPr>
              <w:t>legèrement</w:t>
            </w:r>
            <w:proofErr w:type="spellEnd"/>
            <w:r w:rsidRPr="00C5347D">
              <w:rPr>
                <w:rFonts w:ascii="Arial Narrow" w:hAnsi="Arial Narrow" w:cs="Calibri"/>
                <w:sz w:val="22"/>
                <w:szCs w:val="22"/>
              </w:rPr>
              <w:t xml:space="preserve"> armé pour </w:t>
            </w:r>
            <w:proofErr w:type="spellStart"/>
            <w:r w:rsidRPr="00C5347D">
              <w:rPr>
                <w:rFonts w:ascii="Arial Narrow" w:hAnsi="Arial Narrow" w:cs="Calibri"/>
                <w:sz w:val="22"/>
                <w:szCs w:val="22"/>
              </w:rPr>
              <w:t>pérron</w:t>
            </w:r>
            <w:proofErr w:type="spellEnd"/>
            <w:r w:rsidRPr="00C5347D">
              <w:rPr>
                <w:rFonts w:ascii="Arial Narrow" w:hAnsi="Arial Narrow" w:cs="Calibri"/>
                <w:sz w:val="22"/>
                <w:szCs w:val="22"/>
              </w:rPr>
              <w:t xml:space="preserve"> d'accès </w:t>
            </w:r>
          </w:p>
        </w:tc>
        <w:tc>
          <w:tcPr>
            <w:tcW w:w="425" w:type="pct"/>
            <w:shd w:val="clear" w:color="auto" w:fill="auto"/>
            <w:noWrap/>
            <w:vAlign w:val="center"/>
            <w:hideMark/>
          </w:tcPr>
          <w:p w14:paraId="53A79D05" w14:textId="77777777" w:rsidR="006B66E4" w:rsidRPr="00C5347D" w:rsidRDefault="006B66E4" w:rsidP="006B66E4">
            <w:pPr>
              <w:spacing w:after="0"/>
              <w:ind w:left="0" w:firstLine="0"/>
              <w:jc w:val="center"/>
              <w:rPr>
                <w:rFonts w:ascii="Arial Narrow" w:hAnsi="Arial Narrow" w:cs="Calibri"/>
                <w:sz w:val="22"/>
                <w:szCs w:val="22"/>
              </w:rPr>
            </w:pPr>
            <w:r w:rsidRPr="00C5347D">
              <w:rPr>
                <w:rFonts w:ascii="Arial Narrow" w:hAnsi="Arial Narrow" w:cs="Calibri"/>
                <w:sz w:val="22"/>
                <w:szCs w:val="22"/>
              </w:rPr>
              <w:t>m3</w:t>
            </w:r>
          </w:p>
        </w:tc>
        <w:tc>
          <w:tcPr>
            <w:tcW w:w="598" w:type="pct"/>
            <w:shd w:val="clear" w:color="auto" w:fill="auto"/>
            <w:noWrap/>
            <w:vAlign w:val="center"/>
            <w:hideMark/>
          </w:tcPr>
          <w:p w14:paraId="603FB157" w14:textId="77777777" w:rsidR="006B66E4" w:rsidRPr="00A7320B" w:rsidRDefault="006B66E4" w:rsidP="006B66E4">
            <w:pPr>
              <w:spacing w:after="0"/>
              <w:ind w:left="0" w:firstLine="0"/>
              <w:jc w:val="center"/>
              <w:rPr>
                <w:rFonts w:ascii="Arial Narrow" w:hAnsi="Arial Narrow" w:cs="Calibri"/>
                <w:sz w:val="22"/>
                <w:szCs w:val="22"/>
              </w:rPr>
            </w:pPr>
            <w:r w:rsidRPr="00A7320B">
              <w:rPr>
                <w:rFonts w:ascii="Arial Narrow" w:hAnsi="Arial Narrow" w:cs="Calibri"/>
                <w:sz w:val="22"/>
                <w:szCs w:val="22"/>
              </w:rPr>
              <w:t>0,87</w:t>
            </w:r>
          </w:p>
        </w:tc>
        <w:tc>
          <w:tcPr>
            <w:tcW w:w="598" w:type="pct"/>
          </w:tcPr>
          <w:p w14:paraId="06833F5C" w14:textId="77777777" w:rsidR="006B66E4" w:rsidRPr="00C5347D" w:rsidRDefault="006B66E4" w:rsidP="006B66E4">
            <w:pPr>
              <w:spacing w:after="0"/>
              <w:ind w:left="0" w:firstLine="0"/>
              <w:jc w:val="center"/>
              <w:rPr>
                <w:rFonts w:ascii="Arial Narrow" w:hAnsi="Arial Narrow" w:cs="Calibri"/>
                <w:sz w:val="22"/>
                <w:szCs w:val="22"/>
              </w:rPr>
            </w:pPr>
          </w:p>
        </w:tc>
        <w:tc>
          <w:tcPr>
            <w:tcW w:w="598" w:type="pct"/>
          </w:tcPr>
          <w:p w14:paraId="74225D59" w14:textId="77777777" w:rsidR="006B66E4" w:rsidRPr="00C5347D" w:rsidRDefault="006B66E4" w:rsidP="006B66E4">
            <w:pPr>
              <w:spacing w:after="0"/>
              <w:ind w:left="0" w:firstLine="0"/>
              <w:jc w:val="center"/>
              <w:rPr>
                <w:rFonts w:ascii="Arial Narrow" w:hAnsi="Arial Narrow" w:cs="Calibri"/>
                <w:sz w:val="22"/>
                <w:szCs w:val="22"/>
              </w:rPr>
            </w:pPr>
          </w:p>
        </w:tc>
      </w:tr>
      <w:tr w:rsidR="006B66E4" w:rsidRPr="00C5347D" w14:paraId="6D329EF2" w14:textId="77777777" w:rsidTr="00D77BC6">
        <w:trPr>
          <w:trHeight w:val="276"/>
        </w:trPr>
        <w:tc>
          <w:tcPr>
            <w:tcW w:w="237" w:type="pct"/>
            <w:shd w:val="clear" w:color="auto" w:fill="auto"/>
            <w:noWrap/>
            <w:vAlign w:val="center"/>
            <w:hideMark/>
          </w:tcPr>
          <w:p w14:paraId="4ADE962D" w14:textId="77777777" w:rsidR="006B66E4" w:rsidRPr="00C5347D" w:rsidRDefault="006B66E4" w:rsidP="006B66E4">
            <w:pPr>
              <w:spacing w:after="0"/>
              <w:ind w:left="0" w:firstLine="0"/>
              <w:jc w:val="center"/>
              <w:rPr>
                <w:rFonts w:ascii="Arial Narrow" w:hAnsi="Arial Narrow" w:cs="Calibri"/>
                <w:sz w:val="22"/>
                <w:szCs w:val="22"/>
              </w:rPr>
            </w:pPr>
            <w:r w:rsidRPr="00C5347D">
              <w:rPr>
                <w:rFonts w:ascii="Arial Narrow" w:hAnsi="Arial Narrow" w:cs="Calibri"/>
                <w:sz w:val="22"/>
                <w:szCs w:val="22"/>
              </w:rPr>
              <w:t> </w:t>
            </w:r>
          </w:p>
        </w:tc>
        <w:tc>
          <w:tcPr>
            <w:tcW w:w="2543" w:type="pct"/>
            <w:shd w:val="clear" w:color="auto" w:fill="auto"/>
            <w:vAlign w:val="center"/>
            <w:hideMark/>
          </w:tcPr>
          <w:p w14:paraId="58342432" w14:textId="77777777" w:rsidR="006B66E4" w:rsidRPr="00C5347D" w:rsidRDefault="006B66E4" w:rsidP="006B66E4">
            <w:pPr>
              <w:spacing w:after="0"/>
              <w:ind w:left="0" w:firstLine="0"/>
              <w:jc w:val="left"/>
              <w:rPr>
                <w:rFonts w:ascii="Arial Narrow" w:hAnsi="Arial Narrow" w:cs="Calibri"/>
                <w:b/>
                <w:bCs/>
                <w:sz w:val="22"/>
                <w:szCs w:val="22"/>
              </w:rPr>
            </w:pPr>
            <w:r w:rsidRPr="00C5347D">
              <w:rPr>
                <w:rFonts w:ascii="Arial Narrow" w:hAnsi="Arial Narrow" w:cs="Calibri"/>
                <w:b/>
                <w:bCs/>
                <w:sz w:val="22"/>
                <w:szCs w:val="22"/>
              </w:rPr>
              <w:t>TOTAL FONDATION</w:t>
            </w:r>
          </w:p>
        </w:tc>
        <w:tc>
          <w:tcPr>
            <w:tcW w:w="425" w:type="pct"/>
            <w:shd w:val="clear" w:color="auto" w:fill="auto"/>
            <w:noWrap/>
            <w:vAlign w:val="center"/>
            <w:hideMark/>
          </w:tcPr>
          <w:p w14:paraId="635D88EC" w14:textId="77777777" w:rsidR="006B66E4" w:rsidRPr="00C5347D" w:rsidRDefault="006B66E4" w:rsidP="006B66E4">
            <w:pPr>
              <w:spacing w:after="0"/>
              <w:ind w:left="0" w:firstLine="0"/>
              <w:jc w:val="center"/>
              <w:rPr>
                <w:rFonts w:ascii="Arial Narrow" w:hAnsi="Arial Narrow" w:cs="Calibri"/>
                <w:sz w:val="22"/>
                <w:szCs w:val="22"/>
              </w:rPr>
            </w:pPr>
            <w:r w:rsidRPr="00C5347D">
              <w:rPr>
                <w:rFonts w:ascii="Arial Narrow" w:hAnsi="Arial Narrow" w:cs="Calibri"/>
                <w:sz w:val="22"/>
                <w:szCs w:val="22"/>
              </w:rPr>
              <w:t> </w:t>
            </w:r>
          </w:p>
        </w:tc>
        <w:tc>
          <w:tcPr>
            <w:tcW w:w="598" w:type="pct"/>
            <w:shd w:val="clear" w:color="auto" w:fill="auto"/>
            <w:noWrap/>
            <w:vAlign w:val="center"/>
            <w:hideMark/>
          </w:tcPr>
          <w:p w14:paraId="165AC21E" w14:textId="77777777" w:rsidR="006B66E4" w:rsidRPr="00A7320B" w:rsidRDefault="006B66E4" w:rsidP="006B66E4">
            <w:pPr>
              <w:spacing w:after="0"/>
              <w:ind w:left="0" w:firstLine="0"/>
              <w:jc w:val="right"/>
              <w:rPr>
                <w:rFonts w:ascii="Arial Narrow" w:hAnsi="Arial Narrow" w:cs="Calibri"/>
                <w:sz w:val="22"/>
                <w:szCs w:val="22"/>
              </w:rPr>
            </w:pPr>
            <w:r w:rsidRPr="00A7320B">
              <w:rPr>
                <w:rFonts w:ascii="Arial Narrow" w:hAnsi="Arial Narrow" w:cs="Calibri"/>
                <w:sz w:val="22"/>
                <w:szCs w:val="22"/>
              </w:rPr>
              <w:t> </w:t>
            </w:r>
          </w:p>
        </w:tc>
        <w:tc>
          <w:tcPr>
            <w:tcW w:w="598" w:type="pct"/>
          </w:tcPr>
          <w:p w14:paraId="32D5C075" w14:textId="77777777" w:rsidR="006B66E4" w:rsidRPr="00C5347D" w:rsidRDefault="006B66E4" w:rsidP="006B66E4">
            <w:pPr>
              <w:spacing w:after="0"/>
              <w:ind w:left="0" w:firstLine="0"/>
              <w:jc w:val="right"/>
              <w:rPr>
                <w:rFonts w:ascii="Arial Narrow" w:hAnsi="Arial Narrow" w:cs="Calibri"/>
                <w:sz w:val="22"/>
                <w:szCs w:val="22"/>
              </w:rPr>
            </w:pPr>
          </w:p>
        </w:tc>
        <w:tc>
          <w:tcPr>
            <w:tcW w:w="598" w:type="pct"/>
          </w:tcPr>
          <w:p w14:paraId="4D450DE3" w14:textId="77777777" w:rsidR="006B66E4" w:rsidRPr="00C5347D" w:rsidRDefault="006B66E4" w:rsidP="006B66E4">
            <w:pPr>
              <w:spacing w:after="0"/>
              <w:ind w:left="0" w:firstLine="0"/>
              <w:jc w:val="right"/>
              <w:rPr>
                <w:rFonts w:ascii="Arial Narrow" w:hAnsi="Arial Narrow" w:cs="Calibri"/>
                <w:sz w:val="22"/>
                <w:szCs w:val="22"/>
              </w:rPr>
            </w:pPr>
          </w:p>
        </w:tc>
      </w:tr>
      <w:tr w:rsidR="006B66E4" w:rsidRPr="00C5347D" w14:paraId="79068EF5" w14:textId="77777777" w:rsidTr="00D77BC6">
        <w:trPr>
          <w:trHeight w:val="276"/>
        </w:trPr>
        <w:tc>
          <w:tcPr>
            <w:tcW w:w="237" w:type="pct"/>
            <w:shd w:val="clear" w:color="auto" w:fill="auto"/>
            <w:noWrap/>
            <w:vAlign w:val="center"/>
            <w:hideMark/>
          </w:tcPr>
          <w:p w14:paraId="4A088FD1" w14:textId="77777777" w:rsidR="006B66E4" w:rsidRPr="00C5347D" w:rsidRDefault="006B66E4" w:rsidP="006B66E4">
            <w:pPr>
              <w:spacing w:after="0"/>
              <w:ind w:left="0" w:firstLine="0"/>
              <w:jc w:val="center"/>
              <w:rPr>
                <w:rFonts w:ascii="Arial Narrow" w:hAnsi="Arial Narrow" w:cs="Calibri"/>
                <w:sz w:val="22"/>
                <w:szCs w:val="22"/>
              </w:rPr>
            </w:pPr>
            <w:r w:rsidRPr="00C5347D">
              <w:rPr>
                <w:rFonts w:ascii="Arial Narrow" w:hAnsi="Arial Narrow" w:cs="Calibri"/>
                <w:sz w:val="22"/>
                <w:szCs w:val="22"/>
              </w:rPr>
              <w:t> </w:t>
            </w:r>
          </w:p>
        </w:tc>
        <w:tc>
          <w:tcPr>
            <w:tcW w:w="2543" w:type="pct"/>
            <w:shd w:val="clear" w:color="auto" w:fill="auto"/>
            <w:vAlign w:val="center"/>
            <w:hideMark/>
          </w:tcPr>
          <w:p w14:paraId="45821FF7" w14:textId="77777777" w:rsidR="006B66E4" w:rsidRPr="00C5347D" w:rsidRDefault="006B66E4" w:rsidP="006B66E4">
            <w:pPr>
              <w:spacing w:after="0"/>
              <w:ind w:left="0" w:firstLine="0"/>
              <w:jc w:val="left"/>
              <w:rPr>
                <w:rFonts w:ascii="Arial Narrow" w:hAnsi="Arial Narrow" w:cs="Calibri"/>
                <w:b/>
                <w:bCs/>
                <w:sz w:val="22"/>
                <w:szCs w:val="22"/>
              </w:rPr>
            </w:pPr>
            <w:r w:rsidRPr="00C5347D">
              <w:rPr>
                <w:rFonts w:ascii="Arial Narrow" w:hAnsi="Arial Narrow" w:cs="Calibri"/>
                <w:b/>
                <w:bCs/>
                <w:sz w:val="22"/>
                <w:szCs w:val="22"/>
              </w:rPr>
              <w:t>III. MACONNERIE - BETON EN ELEVATION</w:t>
            </w:r>
          </w:p>
        </w:tc>
        <w:tc>
          <w:tcPr>
            <w:tcW w:w="425" w:type="pct"/>
            <w:shd w:val="clear" w:color="auto" w:fill="auto"/>
            <w:noWrap/>
            <w:vAlign w:val="center"/>
            <w:hideMark/>
          </w:tcPr>
          <w:p w14:paraId="2C1114CF" w14:textId="77777777" w:rsidR="006B66E4" w:rsidRPr="00C5347D" w:rsidRDefault="006B66E4" w:rsidP="006B66E4">
            <w:pPr>
              <w:spacing w:after="0"/>
              <w:ind w:left="0" w:firstLine="0"/>
              <w:jc w:val="center"/>
              <w:rPr>
                <w:rFonts w:ascii="Arial Narrow" w:hAnsi="Arial Narrow" w:cs="Calibri"/>
                <w:sz w:val="22"/>
                <w:szCs w:val="22"/>
              </w:rPr>
            </w:pPr>
            <w:r w:rsidRPr="00C5347D">
              <w:rPr>
                <w:rFonts w:ascii="Arial Narrow" w:hAnsi="Arial Narrow" w:cs="Calibri"/>
                <w:sz w:val="22"/>
                <w:szCs w:val="22"/>
              </w:rPr>
              <w:t> </w:t>
            </w:r>
          </w:p>
        </w:tc>
        <w:tc>
          <w:tcPr>
            <w:tcW w:w="598" w:type="pct"/>
            <w:shd w:val="clear" w:color="auto" w:fill="auto"/>
            <w:noWrap/>
            <w:vAlign w:val="center"/>
            <w:hideMark/>
          </w:tcPr>
          <w:p w14:paraId="26580704" w14:textId="77777777" w:rsidR="006B66E4" w:rsidRPr="00A7320B" w:rsidRDefault="006B66E4" w:rsidP="006B66E4">
            <w:pPr>
              <w:spacing w:after="0"/>
              <w:ind w:left="0" w:firstLine="0"/>
              <w:jc w:val="right"/>
              <w:rPr>
                <w:rFonts w:ascii="Arial Narrow" w:hAnsi="Arial Narrow" w:cs="Calibri"/>
                <w:sz w:val="22"/>
                <w:szCs w:val="22"/>
              </w:rPr>
            </w:pPr>
            <w:r w:rsidRPr="00A7320B">
              <w:rPr>
                <w:rFonts w:ascii="Arial Narrow" w:hAnsi="Arial Narrow" w:cs="Calibri"/>
                <w:sz w:val="22"/>
                <w:szCs w:val="22"/>
              </w:rPr>
              <w:t> </w:t>
            </w:r>
          </w:p>
        </w:tc>
        <w:tc>
          <w:tcPr>
            <w:tcW w:w="598" w:type="pct"/>
          </w:tcPr>
          <w:p w14:paraId="1A11F8AD" w14:textId="77777777" w:rsidR="006B66E4" w:rsidRPr="00C5347D" w:rsidRDefault="006B66E4" w:rsidP="006B66E4">
            <w:pPr>
              <w:spacing w:after="0"/>
              <w:ind w:left="0" w:firstLine="0"/>
              <w:jc w:val="right"/>
              <w:rPr>
                <w:rFonts w:ascii="Arial Narrow" w:hAnsi="Arial Narrow" w:cs="Calibri"/>
                <w:sz w:val="22"/>
                <w:szCs w:val="22"/>
              </w:rPr>
            </w:pPr>
          </w:p>
        </w:tc>
        <w:tc>
          <w:tcPr>
            <w:tcW w:w="598" w:type="pct"/>
          </w:tcPr>
          <w:p w14:paraId="3E7DBE9E" w14:textId="77777777" w:rsidR="006B66E4" w:rsidRPr="00C5347D" w:rsidRDefault="006B66E4" w:rsidP="006B66E4">
            <w:pPr>
              <w:spacing w:after="0"/>
              <w:ind w:left="0" w:firstLine="0"/>
              <w:jc w:val="right"/>
              <w:rPr>
                <w:rFonts w:ascii="Arial Narrow" w:hAnsi="Arial Narrow" w:cs="Calibri"/>
                <w:sz w:val="22"/>
                <w:szCs w:val="22"/>
              </w:rPr>
            </w:pPr>
          </w:p>
        </w:tc>
      </w:tr>
      <w:tr w:rsidR="006B66E4" w:rsidRPr="00C5347D" w14:paraId="375E628C" w14:textId="77777777" w:rsidTr="00D77BC6">
        <w:trPr>
          <w:trHeight w:val="780"/>
        </w:trPr>
        <w:tc>
          <w:tcPr>
            <w:tcW w:w="237" w:type="pct"/>
            <w:shd w:val="clear" w:color="auto" w:fill="auto"/>
            <w:noWrap/>
            <w:vAlign w:val="center"/>
            <w:hideMark/>
          </w:tcPr>
          <w:p w14:paraId="0BA74BDC" w14:textId="77777777" w:rsidR="006B66E4" w:rsidRPr="00C5347D" w:rsidRDefault="006B66E4" w:rsidP="006B66E4">
            <w:pPr>
              <w:spacing w:after="0"/>
              <w:ind w:left="0" w:firstLine="0"/>
              <w:jc w:val="left"/>
              <w:rPr>
                <w:rFonts w:ascii="Arial Narrow" w:hAnsi="Arial Narrow" w:cs="Calibri"/>
                <w:sz w:val="22"/>
                <w:szCs w:val="22"/>
              </w:rPr>
            </w:pPr>
            <w:r w:rsidRPr="00C5347D">
              <w:rPr>
                <w:rFonts w:ascii="Arial Narrow" w:hAnsi="Arial Narrow" w:cs="Calibri"/>
                <w:sz w:val="22"/>
                <w:szCs w:val="22"/>
              </w:rPr>
              <w:t>3.1</w:t>
            </w:r>
          </w:p>
        </w:tc>
        <w:tc>
          <w:tcPr>
            <w:tcW w:w="2543" w:type="pct"/>
            <w:shd w:val="clear" w:color="auto" w:fill="auto"/>
            <w:vAlign w:val="center"/>
            <w:hideMark/>
          </w:tcPr>
          <w:p w14:paraId="2C15FE55" w14:textId="77777777" w:rsidR="006B66E4" w:rsidRPr="00C5347D" w:rsidRDefault="006B66E4" w:rsidP="006B66E4">
            <w:pPr>
              <w:spacing w:after="0"/>
              <w:ind w:left="0" w:firstLine="0"/>
              <w:jc w:val="left"/>
              <w:rPr>
                <w:rFonts w:ascii="Arial Narrow" w:hAnsi="Arial Narrow" w:cs="Calibri"/>
                <w:sz w:val="22"/>
                <w:szCs w:val="22"/>
              </w:rPr>
            </w:pPr>
            <w:r w:rsidRPr="00C5347D">
              <w:rPr>
                <w:rFonts w:ascii="Arial Narrow" w:hAnsi="Arial Narrow" w:cs="Calibri"/>
                <w:sz w:val="22"/>
                <w:szCs w:val="22"/>
              </w:rPr>
              <w:t xml:space="preserve">Maçonnerie agglos creux de 20x20x40cm avec </w:t>
            </w:r>
            <w:proofErr w:type="spellStart"/>
            <w:r w:rsidRPr="00C5347D">
              <w:rPr>
                <w:rFonts w:ascii="Arial Narrow" w:hAnsi="Arial Narrow" w:cs="Calibri"/>
                <w:sz w:val="22"/>
                <w:szCs w:val="22"/>
              </w:rPr>
              <w:t>jointage</w:t>
            </w:r>
            <w:proofErr w:type="spellEnd"/>
            <w:r w:rsidRPr="00C5347D">
              <w:rPr>
                <w:rFonts w:ascii="Arial Narrow" w:hAnsi="Arial Narrow" w:cs="Calibri"/>
                <w:sz w:val="22"/>
                <w:szCs w:val="22"/>
              </w:rPr>
              <w:t xml:space="preserve"> au mortier de ciment dosé à 250kg/m3 y compris </w:t>
            </w:r>
            <w:proofErr w:type="gramStart"/>
            <w:r w:rsidRPr="00C5347D">
              <w:rPr>
                <w:rFonts w:ascii="Arial Narrow" w:hAnsi="Arial Narrow" w:cs="Calibri"/>
                <w:sz w:val="22"/>
                <w:szCs w:val="22"/>
              </w:rPr>
              <w:t>toutes suggestion</w:t>
            </w:r>
            <w:proofErr w:type="gramEnd"/>
            <w:r w:rsidRPr="00C5347D">
              <w:rPr>
                <w:rFonts w:ascii="Arial Narrow" w:hAnsi="Arial Narrow" w:cs="Calibri"/>
                <w:sz w:val="22"/>
                <w:szCs w:val="22"/>
              </w:rPr>
              <w:t xml:space="preserve"> </w:t>
            </w:r>
          </w:p>
        </w:tc>
        <w:tc>
          <w:tcPr>
            <w:tcW w:w="425" w:type="pct"/>
            <w:shd w:val="clear" w:color="auto" w:fill="auto"/>
            <w:noWrap/>
            <w:vAlign w:val="center"/>
            <w:hideMark/>
          </w:tcPr>
          <w:p w14:paraId="62CABA53" w14:textId="77777777" w:rsidR="006B66E4" w:rsidRPr="00C5347D" w:rsidRDefault="006B66E4" w:rsidP="006B66E4">
            <w:pPr>
              <w:spacing w:after="0"/>
              <w:ind w:left="0" w:firstLine="0"/>
              <w:jc w:val="center"/>
              <w:rPr>
                <w:rFonts w:ascii="Arial Narrow" w:hAnsi="Arial Narrow" w:cs="Calibri"/>
                <w:sz w:val="22"/>
                <w:szCs w:val="22"/>
              </w:rPr>
            </w:pPr>
            <w:r w:rsidRPr="00C5347D">
              <w:rPr>
                <w:rFonts w:ascii="Arial Narrow" w:hAnsi="Arial Narrow" w:cs="Calibri"/>
                <w:sz w:val="22"/>
                <w:szCs w:val="22"/>
              </w:rPr>
              <w:t>m2</w:t>
            </w:r>
          </w:p>
        </w:tc>
        <w:tc>
          <w:tcPr>
            <w:tcW w:w="598" w:type="pct"/>
            <w:shd w:val="clear" w:color="auto" w:fill="auto"/>
            <w:noWrap/>
            <w:vAlign w:val="center"/>
            <w:hideMark/>
          </w:tcPr>
          <w:p w14:paraId="165AEBE1" w14:textId="77777777" w:rsidR="006B66E4" w:rsidRPr="00A7320B" w:rsidRDefault="006B66E4" w:rsidP="006B66E4">
            <w:pPr>
              <w:spacing w:after="0"/>
              <w:ind w:left="0" w:firstLine="0"/>
              <w:jc w:val="center"/>
              <w:rPr>
                <w:rFonts w:ascii="Arial Narrow" w:hAnsi="Arial Narrow" w:cs="Calibri"/>
                <w:sz w:val="22"/>
                <w:szCs w:val="22"/>
              </w:rPr>
            </w:pPr>
            <w:r w:rsidRPr="00A7320B">
              <w:rPr>
                <w:rFonts w:ascii="Arial Narrow" w:hAnsi="Arial Narrow" w:cs="Calibri"/>
                <w:sz w:val="22"/>
                <w:szCs w:val="22"/>
              </w:rPr>
              <w:t>382,64</w:t>
            </w:r>
          </w:p>
        </w:tc>
        <w:tc>
          <w:tcPr>
            <w:tcW w:w="598" w:type="pct"/>
          </w:tcPr>
          <w:p w14:paraId="3917D587" w14:textId="77777777" w:rsidR="006B66E4" w:rsidRPr="00C5347D" w:rsidRDefault="006B66E4" w:rsidP="006B66E4">
            <w:pPr>
              <w:spacing w:after="0"/>
              <w:ind w:left="0" w:firstLine="0"/>
              <w:jc w:val="center"/>
              <w:rPr>
                <w:rFonts w:ascii="Arial Narrow" w:hAnsi="Arial Narrow" w:cs="Calibri"/>
                <w:sz w:val="22"/>
                <w:szCs w:val="22"/>
              </w:rPr>
            </w:pPr>
          </w:p>
        </w:tc>
        <w:tc>
          <w:tcPr>
            <w:tcW w:w="598" w:type="pct"/>
          </w:tcPr>
          <w:p w14:paraId="62677E1F" w14:textId="77777777" w:rsidR="006B66E4" w:rsidRPr="00C5347D" w:rsidRDefault="006B66E4" w:rsidP="006B66E4">
            <w:pPr>
              <w:spacing w:after="0"/>
              <w:ind w:left="0" w:firstLine="0"/>
              <w:jc w:val="center"/>
              <w:rPr>
                <w:rFonts w:ascii="Arial Narrow" w:hAnsi="Arial Narrow" w:cs="Calibri"/>
                <w:sz w:val="22"/>
                <w:szCs w:val="22"/>
              </w:rPr>
            </w:pPr>
          </w:p>
        </w:tc>
      </w:tr>
      <w:tr w:rsidR="006B66E4" w:rsidRPr="00C5347D" w14:paraId="6E0F5551" w14:textId="77777777" w:rsidTr="00D77BC6">
        <w:trPr>
          <w:trHeight w:val="552"/>
        </w:trPr>
        <w:tc>
          <w:tcPr>
            <w:tcW w:w="237" w:type="pct"/>
            <w:shd w:val="clear" w:color="auto" w:fill="auto"/>
            <w:noWrap/>
            <w:vAlign w:val="center"/>
            <w:hideMark/>
          </w:tcPr>
          <w:p w14:paraId="3AF7754B" w14:textId="77777777" w:rsidR="006B66E4" w:rsidRPr="00C5347D" w:rsidRDefault="006B66E4" w:rsidP="006B66E4">
            <w:pPr>
              <w:spacing w:after="0"/>
              <w:ind w:left="0" w:firstLine="0"/>
              <w:jc w:val="left"/>
              <w:rPr>
                <w:rFonts w:ascii="Arial Narrow" w:hAnsi="Arial Narrow" w:cs="Calibri"/>
                <w:sz w:val="22"/>
                <w:szCs w:val="22"/>
              </w:rPr>
            </w:pPr>
            <w:r w:rsidRPr="00C5347D">
              <w:rPr>
                <w:rFonts w:ascii="Arial Narrow" w:hAnsi="Arial Narrow" w:cs="Calibri"/>
                <w:sz w:val="22"/>
                <w:szCs w:val="22"/>
              </w:rPr>
              <w:t>3.2</w:t>
            </w:r>
          </w:p>
        </w:tc>
        <w:tc>
          <w:tcPr>
            <w:tcW w:w="2543" w:type="pct"/>
            <w:shd w:val="clear" w:color="auto" w:fill="auto"/>
            <w:vAlign w:val="center"/>
            <w:hideMark/>
          </w:tcPr>
          <w:p w14:paraId="425B8F52" w14:textId="77777777" w:rsidR="006B66E4" w:rsidRPr="00C5347D" w:rsidRDefault="006B66E4" w:rsidP="006B66E4">
            <w:pPr>
              <w:spacing w:after="0"/>
              <w:ind w:left="0" w:firstLine="0"/>
              <w:jc w:val="left"/>
              <w:rPr>
                <w:rFonts w:ascii="Arial Narrow" w:hAnsi="Arial Narrow" w:cs="Calibri"/>
                <w:sz w:val="22"/>
                <w:szCs w:val="22"/>
              </w:rPr>
            </w:pPr>
            <w:r w:rsidRPr="00C5347D">
              <w:rPr>
                <w:rFonts w:ascii="Arial Narrow" w:hAnsi="Arial Narrow" w:cs="Calibri"/>
                <w:sz w:val="22"/>
                <w:szCs w:val="22"/>
              </w:rPr>
              <w:t xml:space="preserve">Béton armé dosé à 350kg/m3 pour poteau en </w:t>
            </w:r>
            <w:proofErr w:type="spellStart"/>
            <w:r w:rsidRPr="00C5347D">
              <w:rPr>
                <w:rFonts w:ascii="Arial Narrow" w:hAnsi="Arial Narrow" w:cs="Calibri"/>
                <w:sz w:val="22"/>
                <w:szCs w:val="22"/>
              </w:rPr>
              <w:t>elevation</w:t>
            </w:r>
            <w:proofErr w:type="spellEnd"/>
            <w:r w:rsidRPr="00C5347D">
              <w:rPr>
                <w:rFonts w:ascii="Arial Narrow" w:hAnsi="Arial Narrow" w:cs="Calibri"/>
                <w:sz w:val="22"/>
                <w:szCs w:val="22"/>
              </w:rPr>
              <w:t xml:space="preserve"> suivant section des plan d'exécution approuvés y compris </w:t>
            </w:r>
            <w:proofErr w:type="gramStart"/>
            <w:r w:rsidRPr="00C5347D">
              <w:rPr>
                <w:rFonts w:ascii="Arial Narrow" w:hAnsi="Arial Narrow" w:cs="Calibri"/>
                <w:sz w:val="22"/>
                <w:szCs w:val="22"/>
              </w:rPr>
              <w:t>toutes suggestion</w:t>
            </w:r>
            <w:proofErr w:type="gramEnd"/>
          </w:p>
        </w:tc>
        <w:tc>
          <w:tcPr>
            <w:tcW w:w="425" w:type="pct"/>
            <w:shd w:val="clear" w:color="auto" w:fill="auto"/>
            <w:noWrap/>
            <w:vAlign w:val="center"/>
            <w:hideMark/>
          </w:tcPr>
          <w:p w14:paraId="4D9604CB" w14:textId="77777777" w:rsidR="006B66E4" w:rsidRPr="00C5347D" w:rsidRDefault="006B66E4" w:rsidP="006B66E4">
            <w:pPr>
              <w:spacing w:after="0"/>
              <w:ind w:left="0" w:firstLine="0"/>
              <w:jc w:val="center"/>
              <w:rPr>
                <w:rFonts w:ascii="Arial Narrow" w:hAnsi="Arial Narrow" w:cs="Calibri"/>
                <w:sz w:val="22"/>
                <w:szCs w:val="22"/>
              </w:rPr>
            </w:pPr>
            <w:r w:rsidRPr="00C5347D">
              <w:rPr>
                <w:rFonts w:ascii="Arial Narrow" w:hAnsi="Arial Narrow" w:cs="Calibri"/>
                <w:sz w:val="22"/>
                <w:szCs w:val="22"/>
              </w:rPr>
              <w:t>m3</w:t>
            </w:r>
          </w:p>
        </w:tc>
        <w:tc>
          <w:tcPr>
            <w:tcW w:w="598" w:type="pct"/>
            <w:shd w:val="clear" w:color="auto" w:fill="auto"/>
            <w:noWrap/>
            <w:vAlign w:val="center"/>
            <w:hideMark/>
          </w:tcPr>
          <w:p w14:paraId="0F42CEF1" w14:textId="77777777" w:rsidR="006B66E4" w:rsidRPr="00A7320B" w:rsidRDefault="006B66E4" w:rsidP="006B66E4">
            <w:pPr>
              <w:spacing w:after="0"/>
              <w:ind w:left="0" w:firstLine="0"/>
              <w:jc w:val="center"/>
              <w:rPr>
                <w:rFonts w:ascii="Arial Narrow" w:hAnsi="Arial Narrow" w:cs="Calibri"/>
                <w:sz w:val="22"/>
                <w:szCs w:val="22"/>
              </w:rPr>
            </w:pPr>
            <w:r w:rsidRPr="00A7320B">
              <w:rPr>
                <w:rFonts w:ascii="Arial Narrow" w:hAnsi="Arial Narrow" w:cs="Calibri"/>
                <w:sz w:val="22"/>
                <w:szCs w:val="22"/>
              </w:rPr>
              <w:t>7,03</w:t>
            </w:r>
          </w:p>
        </w:tc>
        <w:tc>
          <w:tcPr>
            <w:tcW w:w="598" w:type="pct"/>
          </w:tcPr>
          <w:p w14:paraId="1109BC4F" w14:textId="77777777" w:rsidR="006B66E4" w:rsidRPr="00C5347D" w:rsidRDefault="006B66E4" w:rsidP="006B66E4">
            <w:pPr>
              <w:spacing w:after="0"/>
              <w:ind w:left="0" w:firstLine="0"/>
              <w:jc w:val="center"/>
              <w:rPr>
                <w:rFonts w:ascii="Arial Narrow" w:hAnsi="Arial Narrow" w:cs="Calibri"/>
                <w:sz w:val="22"/>
                <w:szCs w:val="22"/>
              </w:rPr>
            </w:pPr>
          </w:p>
        </w:tc>
        <w:tc>
          <w:tcPr>
            <w:tcW w:w="598" w:type="pct"/>
          </w:tcPr>
          <w:p w14:paraId="3D89E47D" w14:textId="77777777" w:rsidR="006B66E4" w:rsidRPr="00C5347D" w:rsidRDefault="006B66E4" w:rsidP="006B66E4">
            <w:pPr>
              <w:spacing w:after="0"/>
              <w:ind w:left="0" w:firstLine="0"/>
              <w:jc w:val="center"/>
              <w:rPr>
                <w:rFonts w:ascii="Arial Narrow" w:hAnsi="Arial Narrow" w:cs="Calibri"/>
                <w:sz w:val="22"/>
                <w:szCs w:val="22"/>
              </w:rPr>
            </w:pPr>
          </w:p>
        </w:tc>
      </w:tr>
      <w:tr w:rsidR="006B66E4" w:rsidRPr="00C5347D" w14:paraId="0464E21D" w14:textId="77777777" w:rsidTr="00D77BC6">
        <w:trPr>
          <w:trHeight w:val="552"/>
        </w:trPr>
        <w:tc>
          <w:tcPr>
            <w:tcW w:w="237" w:type="pct"/>
            <w:shd w:val="clear" w:color="auto" w:fill="auto"/>
            <w:noWrap/>
            <w:vAlign w:val="center"/>
            <w:hideMark/>
          </w:tcPr>
          <w:p w14:paraId="5D48F052" w14:textId="77777777" w:rsidR="006B66E4" w:rsidRPr="00C5347D" w:rsidRDefault="006B66E4" w:rsidP="006B66E4">
            <w:pPr>
              <w:spacing w:after="0"/>
              <w:ind w:left="0" w:firstLine="0"/>
              <w:jc w:val="left"/>
              <w:rPr>
                <w:rFonts w:ascii="Arial Narrow" w:hAnsi="Arial Narrow" w:cs="Calibri"/>
                <w:sz w:val="22"/>
                <w:szCs w:val="22"/>
              </w:rPr>
            </w:pPr>
            <w:r w:rsidRPr="00C5347D">
              <w:rPr>
                <w:rFonts w:ascii="Arial Narrow" w:hAnsi="Arial Narrow" w:cs="Calibri"/>
                <w:sz w:val="22"/>
                <w:szCs w:val="22"/>
              </w:rPr>
              <w:t>3.3</w:t>
            </w:r>
          </w:p>
        </w:tc>
        <w:tc>
          <w:tcPr>
            <w:tcW w:w="2543" w:type="pct"/>
            <w:shd w:val="clear" w:color="auto" w:fill="auto"/>
            <w:vAlign w:val="center"/>
            <w:hideMark/>
          </w:tcPr>
          <w:p w14:paraId="52386935" w14:textId="77777777" w:rsidR="006B66E4" w:rsidRPr="00C5347D" w:rsidRDefault="006B66E4" w:rsidP="006B66E4">
            <w:pPr>
              <w:spacing w:after="0"/>
              <w:ind w:left="0" w:firstLine="0"/>
              <w:jc w:val="left"/>
              <w:rPr>
                <w:rFonts w:ascii="Arial Narrow" w:hAnsi="Arial Narrow" w:cs="Calibri"/>
                <w:sz w:val="22"/>
                <w:szCs w:val="22"/>
              </w:rPr>
            </w:pPr>
            <w:r w:rsidRPr="00C5347D">
              <w:rPr>
                <w:rFonts w:ascii="Arial Narrow" w:hAnsi="Arial Narrow" w:cs="Calibri"/>
                <w:sz w:val="22"/>
                <w:szCs w:val="22"/>
              </w:rPr>
              <w:t xml:space="preserve">Béton armé dosé à 350kg/m3 pour chainage </w:t>
            </w:r>
            <w:proofErr w:type="gramStart"/>
            <w:r w:rsidRPr="00C5347D">
              <w:rPr>
                <w:rFonts w:ascii="Arial Narrow" w:hAnsi="Arial Narrow" w:cs="Calibri"/>
                <w:sz w:val="22"/>
                <w:szCs w:val="22"/>
              </w:rPr>
              <w:t>linteau ,</w:t>
            </w:r>
            <w:proofErr w:type="gramEnd"/>
            <w:r w:rsidRPr="00C5347D">
              <w:rPr>
                <w:rFonts w:ascii="Arial Narrow" w:hAnsi="Arial Narrow" w:cs="Calibri"/>
                <w:sz w:val="22"/>
                <w:szCs w:val="22"/>
              </w:rPr>
              <w:t xml:space="preserve"> haut et allège section des plan d'exécution approuvées y compris toutes suggestions</w:t>
            </w:r>
          </w:p>
        </w:tc>
        <w:tc>
          <w:tcPr>
            <w:tcW w:w="425" w:type="pct"/>
            <w:shd w:val="clear" w:color="auto" w:fill="auto"/>
            <w:noWrap/>
            <w:vAlign w:val="center"/>
            <w:hideMark/>
          </w:tcPr>
          <w:p w14:paraId="5928F3EA" w14:textId="77777777" w:rsidR="006B66E4" w:rsidRPr="00C5347D" w:rsidRDefault="006B66E4" w:rsidP="006B66E4">
            <w:pPr>
              <w:spacing w:after="0"/>
              <w:ind w:left="0" w:firstLine="0"/>
              <w:jc w:val="center"/>
              <w:rPr>
                <w:rFonts w:ascii="Arial Narrow" w:hAnsi="Arial Narrow" w:cs="Calibri"/>
                <w:sz w:val="22"/>
                <w:szCs w:val="22"/>
              </w:rPr>
            </w:pPr>
            <w:r w:rsidRPr="00C5347D">
              <w:rPr>
                <w:rFonts w:ascii="Arial Narrow" w:hAnsi="Arial Narrow" w:cs="Calibri"/>
                <w:sz w:val="22"/>
                <w:szCs w:val="22"/>
              </w:rPr>
              <w:t>m3</w:t>
            </w:r>
          </w:p>
        </w:tc>
        <w:tc>
          <w:tcPr>
            <w:tcW w:w="598" w:type="pct"/>
            <w:shd w:val="clear" w:color="auto" w:fill="auto"/>
            <w:noWrap/>
            <w:vAlign w:val="center"/>
            <w:hideMark/>
          </w:tcPr>
          <w:p w14:paraId="132233CC" w14:textId="77777777" w:rsidR="006B66E4" w:rsidRPr="00A7320B" w:rsidRDefault="006B66E4" w:rsidP="006B66E4">
            <w:pPr>
              <w:spacing w:after="0"/>
              <w:ind w:left="0" w:firstLine="0"/>
              <w:jc w:val="center"/>
              <w:rPr>
                <w:rFonts w:ascii="Arial Narrow" w:hAnsi="Arial Narrow" w:cs="Calibri"/>
                <w:sz w:val="22"/>
                <w:szCs w:val="22"/>
              </w:rPr>
            </w:pPr>
            <w:r w:rsidRPr="00A7320B">
              <w:rPr>
                <w:rFonts w:ascii="Arial Narrow" w:hAnsi="Arial Narrow" w:cs="Calibri"/>
                <w:sz w:val="22"/>
                <w:szCs w:val="22"/>
              </w:rPr>
              <w:t>6,24</w:t>
            </w:r>
          </w:p>
        </w:tc>
        <w:tc>
          <w:tcPr>
            <w:tcW w:w="598" w:type="pct"/>
          </w:tcPr>
          <w:p w14:paraId="2229E025" w14:textId="77777777" w:rsidR="006B66E4" w:rsidRPr="00C5347D" w:rsidRDefault="006B66E4" w:rsidP="006B66E4">
            <w:pPr>
              <w:spacing w:after="0"/>
              <w:ind w:left="0" w:firstLine="0"/>
              <w:jc w:val="center"/>
              <w:rPr>
                <w:rFonts w:ascii="Arial Narrow" w:hAnsi="Arial Narrow" w:cs="Calibri"/>
                <w:sz w:val="22"/>
                <w:szCs w:val="22"/>
              </w:rPr>
            </w:pPr>
          </w:p>
        </w:tc>
        <w:tc>
          <w:tcPr>
            <w:tcW w:w="598" w:type="pct"/>
          </w:tcPr>
          <w:p w14:paraId="3B88A669" w14:textId="77777777" w:rsidR="006B66E4" w:rsidRPr="00C5347D" w:rsidRDefault="006B66E4" w:rsidP="006B66E4">
            <w:pPr>
              <w:spacing w:after="0"/>
              <w:ind w:left="0" w:firstLine="0"/>
              <w:jc w:val="center"/>
              <w:rPr>
                <w:rFonts w:ascii="Arial Narrow" w:hAnsi="Arial Narrow" w:cs="Calibri"/>
                <w:sz w:val="22"/>
                <w:szCs w:val="22"/>
              </w:rPr>
            </w:pPr>
          </w:p>
        </w:tc>
      </w:tr>
      <w:tr w:rsidR="006B66E4" w:rsidRPr="00C5347D" w14:paraId="5E09C200" w14:textId="77777777" w:rsidTr="00D77BC6">
        <w:trPr>
          <w:trHeight w:val="552"/>
        </w:trPr>
        <w:tc>
          <w:tcPr>
            <w:tcW w:w="237" w:type="pct"/>
            <w:shd w:val="clear" w:color="auto" w:fill="auto"/>
            <w:noWrap/>
            <w:vAlign w:val="center"/>
            <w:hideMark/>
          </w:tcPr>
          <w:p w14:paraId="2D432F74" w14:textId="77777777" w:rsidR="006B66E4" w:rsidRPr="00C5347D" w:rsidRDefault="006B66E4" w:rsidP="006B66E4">
            <w:pPr>
              <w:spacing w:after="0"/>
              <w:ind w:left="0" w:firstLine="0"/>
              <w:jc w:val="left"/>
              <w:rPr>
                <w:rFonts w:ascii="Arial Narrow" w:hAnsi="Arial Narrow" w:cs="Calibri"/>
                <w:sz w:val="22"/>
                <w:szCs w:val="22"/>
              </w:rPr>
            </w:pPr>
            <w:r w:rsidRPr="00C5347D">
              <w:rPr>
                <w:rFonts w:ascii="Arial Narrow" w:hAnsi="Arial Narrow" w:cs="Calibri"/>
                <w:sz w:val="22"/>
                <w:szCs w:val="22"/>
              </w:rPr>
              <w:t>3.4</w:t>
            </w:r>
          </w:p>
        </w:tc>
        <w:tc>
          <w:tcPr>
            <w:tcW w:w="2543" w:type="pct"/>
            <w:shd w:val="clear" w:color="auto" w:fill="auto"/>
            <w:vAlign w:val="center"/>
            <w:hideMark/>
          </w:tcPr>
          <w:p w14:paraId="05804278" w14:textId="77777777" w:rsidR="006B66E4" w:rsidRPr="00C5347D" w:rsidRDefault="006B66E4" w:rsidP="006B66E4">
            <w:pPr>
              <w:spacing w:after="0"/>
              <w:ind w:left="0" w:firstLine="0"/>
              <w:jc w:val="left"/>
              <w:rPr>
                <w:rFonts w:ascii="Arial Narrow" w:hAnsi="Arial Narrow" w:cs="Calibri"/>
                <w:sz w:val="22"/>
                <w:szCs w:val="22"/>
              </w:rPr>
            </w:pPr>
            <w:r w:rsidRPr="00C5347D">
              <w:rPr>
                <w:rFonts w:ascii="Arial Narrow" w:hAnsi="Arial Narrow" w:cs="Calibri"/>
                <w:sz w:val="22"/>
                <w:szCs w:val="22"/>
              </w:rPr>
              <w:t xml:space="preserve">Béton armé dosé à 350kg/m3 pour chainage rampant y compris toutes suggestions </w:t>
            </w:r>
          </w:p>
        </w:tc>
        <w:tc>
          <w:tcPr>
            <w:tcW w:w="425" w:type="pct"/>
            <w:shd w:val="clear" w:color="auto" w:fill="auto"/>
            <w:noWrap/>
            <w:vAlign w:val="center"/>
            <w:hideMark/>
          </w:tcPr>
          <w:p w14:paraId="2482BA74" w14:textId="77777777" w:rsidR="006B66E4" w:rsidRPr="00C5347D" w:rsidRDefault="006B66E4" w:rsidP="006B66E4">
            <w:pPr>
              <w:spacing w:after="0"/>
              <w:ind w:left="0" w:firstLine="0"/>
              <w:jc w:val="center"/>
              <w:rPr>
                <w:rFonts w:ascii="Arial Narrow" w:hAnsi="Arial Narrow" w:cs="Calibri"/>
                <w:sz w:val="22"/>
                <w:szCs w:val="22"/>
              </w:rPr>
            </w:pPr>
            <w:r w:rsidRPr="00C5347D">
              <w:rPr>
                <w:rFonts w:ascii="Arial Narrow" w:hAnsi="Arial Narrow" w:cs="Calibri"/>
                <w:sz w:val="22"/>
                <w:szCs w:val="22"/>
              </w:rPr>
              <w:t>m3</w:t>
            </w:r>
          </w:p>
        </w:tc>
        <w:tc>
          <w:tcPr>
            <w:tcW w:w="598" w:type="pct"/>
            <w:shd w:val="clear" w:color="auto" w:fill="auto"/>
            <w:noWrap/>
            <w:vAlign w:val="center"/>
            <w:hideMark/>
          </w:tcPr>
          <w:p w14:paraId="4637CB35" w14:textId="77777777" w:rsidR="006B66E4" w:rsidRPr="00A7320B" w:rsidRDefault="006B66E4" w:rsidP="006B66E4">
            <w:pPr>
              <w:spacing w:after="0"/>
              <w:ind w:left="0" w:firstLine="0"/>
              <w:jc w:val="center"/>
              <w:rPr>
                <w:rFonts w:ascii="Arial Narrow" w:hAnsi="Arial Narrow" w:cs="Calibri"/>
                <w:sz w:val="22"/>
                <w:szCs w:val="22"/>
              </w:rPr>
            </w:pPr>
            <w:r w:rsidRPr="00A7320B">
              <w:rPr>
                <w:rFonts w:ascii="Arial Narrow" w:hAnsi="Arial Narrow" w:cs="Calibri"/>
                <w:sz w:val="22"/>
                <w:szCs w:val="22"/>
              </w:rPr>
              <w:t>1,26</w:t>
            </w:r>
          </w:p>
        </w:tc>
        <w:tc>
          <w:tcPr>
            <w:tcW w:w="598" w:type="pct"/>
          </w:tcPr>
          <w:p w14:paraId="657B8CA3" w14:textId="77777777" w:rsidR="006B66E4" w:rsidRPr="00C5347D" w:rsidRDefault="006B66E4" w:rsidP="006B66E4">
            <w:pPr>
              <w:spacing w:after="0"/>
              <w:ind w:left="0" w:firstLine="0"/>
              <w:jc w:val="center"/>
              <w:rPr>
                <w:rFonts w:ascii="Arial Narrow" w:hAnsi="Arial Narrow" w:cs="Calibri"/>
                <w:sz w:val="22"/>
                <w:szCs w:val="22"/>
              </w:rPr>
            </w:pPr>
          </w:p>
        </w:tc>
        <w:tc>
          <w:tcPr>
            <w:tcW w:w="598" w:type="pct"/>
          </w:tcPr>
          <w:p w14:paraId="4FCF47FE" w14:textId="77777777" w:rsidR="006B66E4" w:rsidRPr="00C5347D" w:rsidRDefault="006B66E4" w:rsidP="006B66E4">
            <w:pPr>
              <w:spacing w:after="0"/>
              <w:ind w:left="0" w:firstLine="0"/>
              <w:jc w:val="center"/>
              <w:rPr>
                <w:rFonts w:ascii="Arial Narrow" w:hAnsi="Arial Narrow" w:cs="Calibri"/>
                <w:sz w:val="22"/>
                <w:szCs w:val="22"/>
              </w:rPr>
            </w:pPr>
          </w:p>
        </w:tc>
      </w:tr>
      <w:tr w:rsidR="006B66E4" w:rsidRPr="00C5347D" w14:paraId="31A82A8F" w14:textId="77777777" w:rsidTr="00D77BC6">
        <w:trPr>
          <w:trHeight w:val="276"/>
        </w:trPr>
        <w:tc>
          <w:tcPr>
            <w:tcW w:w="237" w:type="pct"/>
            <w:shd w:val="clear" w:color="auto" w:fill="auto"/>
            <w:noWrap/>
            <w:vAlign w:val="center"/>
            <w:hideMark/>
          </w:tcPr>
          <w:p w14:paraId="376454F7" w14:textId="77777777" w:rsidR="006B66E4" w:rsidRPr="00C5347D" w:rsidRDefault="006B66E4" w:rsidP="006B66E4">
            <w:pPr>
              <w:spacing w:after="0"/>
              <w:ind w:left="0" w:firstLine="0"/>
              <w:jc w:val="left"/>
              <w:rPr>
                <w:rFonts w:ascii="Arial Narrow" w:hAnsi="Arial Narrow" w:cs="Calibri"/>
                <w:sz w:val="22"/>
                <w:szCs w:val="22"/>
              </w:rPr>
            </w:pPr>
            <w:r w:rsidRPr="00C5347D">
              <w:rPr>
                <w:rFonts w:ascii="Arial Narrow" w:hAnsi="Arial Narrow" w:cs="Calibri"/>
                <w:sz w:val="22"/>
                <w:szCs w:val="22"/>
              </w:rPr>
              <w:t> </w:t>
            </w:r>
          </w:p>
        </w:tc>
        <w:tc>
          <w:tcPr>
            <w:tcW w:w="2543" w:type="pct"/>
            <w:shd w:val="clear" w:color="auto" w:fill="auto"/>
            <w:vAlign w:val="center"/>
            <w:hideMark/>
          </w:tcPr>
          <w:p w14:paraId="1F1C4ED7" w14:textId="77777777" w:rsidR="006B66E4" w:rsidRPr="00C5347D" w:rsidRDefault="006B66E4" w:rsidP="006B66E4">
            <w:pPr>
              <w:spacing w:after="0"/>
              <w:ind w:left="0" w:firstLine="0"/>
              <w:jc w:val="left"/>
              <w:rPr>
                <w:rFonts w:ascii="Arial Narrow" w:hAnsi="Arial Narrow" w:cs="Calibri"/>
                <w:b/>
                <w:bCs/>
                <w:sz w:val="22"/>
                <w:szCs w:val="22"/>
              </w:rPr>
            </w:pPr>
            <w:r w:rsidRPr="00C5347D">
              <w:rPr>
                <w:rFonts w:ascii="Arial Narrow" w:hAnsi="Arial Narrow" w:cs="Calibri"/>
                <w:b/>
                <w:bCs/>
                <w:sz w:val="22"/>
                <w:szCs w:val="22"/>
              </w:rPr>
              <w:t>TOTAL ELEVATION</w:t>
            </w:r>
          </w:p>
        </w:tc>
        <w:tc>
          <w:tcPr>
            <w:tcW w:w="425" w:type="pct"/>
            <w:shd w:val="clear" w:color="auto" w:fill="auto"/>
            <w:noWrap/>
            <w:vAlign w:val="center"/>
            <w:hideMark/>
          </w:tcPr>
          <w:p w14:paraId="1C09500B" w14:textId="77777777" w:rsidR="006B66E4" w:rsidRPr="00C5347D" w:rsidRDefault="006B66E4" w:rsidP="006B66E4">
            <w:pPr>
              <w:spacing w:after="0"/>
              <w:ind w:left="0" w:firstLine="0"/>
              <w:jc w:val="left"/>
              <w:rPr>
                <w:rFonts w:ascii="Arial Narrow" w:hAnsi="Arial Narrow" w:cs="Calibri"/>
                <w:sz w:val="22"/>
                <w:szCs w:val="22"/>
              </w:rPr>
            </w:pPr>
            <w:r w:rsidRPr="00C5347D">
              <w:rPr>
                <w:rFonts w:ascii="Arial Narrow" w:hAnsi="Arial Narrow" w:cs="Calibri"/>
                <w:sz w:val="22"/>
                <w:szCs w:val="22"/>
              </w:rPr>
              <w:t> </w:t>
            </w:r>
          </w:p>
        </w:tc>
        <w:tc>
          <w:tcPr>
            <w:tcW w:w="598" w:type="pct"/>
            <w:shd w:val="clear" w:color="auto" w:fill="auto"/>
            <w:noWrap/>
            <w:vAlign w:val="center"/>
            <w:hideMark/>
          </w:tcPr>
          <w:p w14:paraId="2C5089D8" w14:textId="77777777" w:rsidR="006B66E4" w:rsidRPr="00A7320B" w:rsidRDefault="006B66E4" w:rsidP="006B66E4">
            <w:pPr>
              <w:spacing w:after="0"/>
              <w:ind w:left="0" w:firstLine="0"/>
              <w:jc w:val="right"/>
              <w:rPr>
                <w:rFonts w:ascii="Arial Narrow" w:hAnsi="Arial Narrow" w:cs="Calibri"/>
                <w:sz w:val="22"/>
                <w:szCs w:val="22"/>
              </w:rPr>
            </w:pPr>
            <w:r w:rsidRPr="00A7320B">
              <w:rPr>
                <w:rFonts w:ascii="Arial Narrow" w:hAnsi="Arial Narrow" w:cs="Calibri"/>
                <w:sz w:val="22"/>
                <w:szCs w:val="22"/>
              </w:rPr>
              <w:t> </w:t>
            </w:r>
          </w:p>
        </w:tc>
        <w:tc>
          <w:tcPr>
            <w:tcW w:w="598" w:type="pct"/>
          </w:tcPr>
          <w:p w14:paraId="28C4E0C3" w14:textId="77777777" w:rsidR="006B66E4" w:rsidRPr="00C5347D" w:rsidRDefault="006B66E4" w:rsidP="006B66E4">
            <w:pPr>
              <w:spacing w:after="0"/>
              <w:ind w:left="0" w:firstLine="0"/>
              <w:jc w:val="right"/>
              <w:rPr>
                <w:rFonts w:ascii="Arial Narrow" w:hAnsi="Arial Narrow" w:cs="Calibri"/>
                <w:sz w:val="22"/>
                <w:szCs w:val="22"/>
              </w:rPr>
            </w:pPr>
          </w:p>
        </w:tc>
        <w:tc>
          <w:tcPr>
            <w:tcW w:w="598" w:type="pct"/>
          </w:tcPr>
          <w:p w14:paraId="23EF62A5" w14:textId="77777777" w:rsidR="006B66E4" w:rsidRPr="00C5347D" w:rsidRDefault="006B66E4" w:rsidP="006B66E4">
            <w:pPr>
              <w:spacing w:after="0"/>
              <w:ind w:left="0" w:firstLine="0"/>
              <w:jc w:val="right"/>
              <w:rPr>
                <w:rFonts w:ascii="Arial Narrow" w:hAnsi="Arial Narrow" w:cs="Calibri"/>
                <w:sz w:val="22"/>
                <w:szCs w:val="22"/>
              </w:rPr>
            </w:pPr>
          </w:p>
        </w:tc>
      </w:tr>
      <w:tr w:rsidR="006B66E4" w:rsidRPr="00C5347D" w14:paraId="233A9B1F" w14:textId="77777777" w:rsidTr="00D77BC6">
        <w:trPr>
          <w:trHeight w:val="276"/>
        </w:trPr>
        <w:tc>
          <w:tcPr>
            <w:tcW w:w="237" w:type="pct"/>
            <w:shd w:val="clear" w:color="auto" w:fill="auto"/>
            <w:noWrap/>
            <w:vAlign w:val="center"/>
            <w:hideMark/>
          </w:tcPr>
          <w:p w14:paraId="1B7588E4" w14:textId="77777777" w:rsidR="006B66E4" w:rsidRPr="00C5347D" w:rsidRDefault="006B66E4" w:rsidP="006B66E4">
            <w:pPr>
              <w:spacing w:after="0"/>
              <w:ind w:left="0" w:firstLine="0"/>
              <w:jc w:val="left"/>
              <w:rPr>
                <w:rFonts w:ascii="Arial Narrow" w:hAnsi="Arial Narrow" w:cs="Calibri"/>
                <w:sz w:val="22"/>
                <w:szCs w:val="22"/>
              </w:rPr>
            </w:pPr>
            <w:r w:rsidRPr="00C5347D">
              <w:rPr>
                <w:rFonts w:ascii="Arial Narrow" w:hAnsi="Arial Narrow" w:cs="Calibri"/>
                <w:sz w:val="22"/>
                <w:szCs w:val="22"/>
              </w:rPr>
              <w:t> </w:t>
            </w:r>
          </w:p>
        </w:tc>
        <w:tc>
          <w:tcPr>
            <w:tcW w:w="2543" w:type="pct"/>
            <w:shd w:val="clear" w:color="auto" w:fill="auto"/>
            <w:vAlign w:val="center"/>
            <w:hideMark/>
          </w:tcPr>
          <w:p w14:paraId="07115D9C" w14:textId="77777777" w:rsidR="006B66E4" w:rsidRPr="00C5347D" w:rsidRDefault="006B66E4" w:rsidP="006B66E4">
            <w:pPr>
              <w:spacing w:after="0"/>
              <w:ind w:left="0" w:firstLine="0"/>
              <w:jc w:val="left"/>
              <w:rPr>
                <w:rFonts w:ascii="Arial Narrow" w:hAnsi="Arial Narrow" w:cs="Calibri"/>
                <w:b/>
                <w:bCs/>
                <w:sz w:val="22"/>
                <w:szCs w:val="22"/>
              </w:rPr>
            </w:pPr>
            <w:r w:rsidRPr="00C5347D">
              <w:rPr>
                <w:rFonts w:ascii="Arial Narrow" w:hAnsi="Arial Narrow" w:cs="Calibri"/>
                <w:b/>
                <w:bCs/>
                <w:sz w:val="22"/>
                <w:szCs w:val="22"/>
              </w:rPr>
              <w:t>IV. COUVERTURE-CHARPENTE</w:t>
            </w:r>
          </w:p>
        </w:tc>
        <w:tc>
          <w:tcPr>
            <w:tcW w:w="425" w:type="pct"/>
            <w:shd w:val="clear" w:color="auto" w:fill="auto"/>
            <w:noWrap/>
            <w:vAlign w:val="center"/>
            <w:hideMark/>
          </w:tcPr>
          <w:p w14:paraId="4040E7CA" w14:textId="77777777" w:rsidR="006B66E4" w:rsidRPr="00C5347D" w:rsidRDefault="006B66E4" w:rsidP="006B66E4">
            <w:pPr>
              <w:spacing w:after="0"/>
              <w:ind w:left="0" w:firstLine="0"/>
              <w:jc w:val="left"/>
              <w:rPr>
                <w:rFonts w:ascii="Arial Narrow" w:hAnsi="Arial Narrow" w:cs="Calibri"/>
                <w:sz w:val="22"/>
                <w:szCs w:val="22"/>
              </w:rPr>
            </w:pPr>
            <w:r w:rsidRPr="00C5347D">
              <w:rPr>
                <w:rFonts w:ascii="Arial Narrow" w:hAnsi="Arial Narrow" w:cs="Calibri"/>
                <w:sz w:val="22"/>
                <w:szCs w:val="22"/>
              </w:rPr>
              <w:t> </w:t>
            </w:r>
          </w:p>
        </w:tc>
        <w:tc>
          <w:tcPr>
            <w:tcW w:w="598" w:type="pct"/>
            <w:shd w:val="clear" w:color="auto" w:fill="auto"/>
            <w:noWrap/>
            <w:vAlign w:val="center"/>
            <w:hideMark/>
          </w:tcPr>
          <w:p w14:paraId="1508FA1D" w14:textId="77777777" w:rsidR="006B66E4" w:rsidRPr="00A7320B" w:rsidRDefault="006B66E4" w:rsidP="006B66E4">
            <w:pPr>
              <w:spacing w:after="0"/>
              <w:ind w:left="0" w:firstLine="0"/>
              <w:jc w:val="right"/>
              <w:rPr>
                <w:rFonts w:ascii="Arial Narrow" w:hAnsi="Arial Narrow" w:cs="Calibri"/>
                <w:sz w:val="22"/>
                <w:szCs w:val="22"/>
              </w:rPr>
            </w:pPr>
            <w:r w:rsidRPr="00A7320B">
              <w:rPr>
                <w:rFonts w:ascii="Arial Narrow" w:hAnsi="Arial Narrow" w:cs="Calibri"/>
                <w:sz w:val="22"/>
                <w:szCs w:val="22"/>
              </w:rPr>
              <w:t> </w:t>
            </w:r>
          </w:p>
        </w:tc>
        <w:tc>
          <w:tcPr>
            <w:tcW w:w="598" w:type="pct"/>
          </w:tcPr>
          <w:p w14:paraId="146FFA30" w14:textId="77777777" w:rsidR="006B66E4" w:rsidRPr="00C5347D" w:rsidRDefault="006B66E4" w:rsidP="006B66E4">
            <w:pPr>
              <w:spacing w:after="0"/>
              <w:ind w:left="0" w:firstLine="0"/>
              <w:jc w:val="right"/>
              <w:rPr>
                <w:rFonts w:ascii="Arial Narrow" w:hAnsi="Arial Narrow" w:cs="Calibri"/>
                <w:sz w:val="22"/>
                <w:szCs w:val="22"/>
              </w:rPr>
            </w:pPr>
          </w:p>
        </w:tc>
        <w:tc>
          <w:tcPr>
            <w:tcW w:w="598" w:type="pct"/>
          </w:tcPr>
          <w:p w14:paraId="26DDBA23" w14:textId="77777777" w:rsidR="006B66E4" w:rsidRPr="00C5347D" w:rsidRDefault="006B66E4" w:rsidP="006B66E4">
            <w:pPr>
              <w:spacing w:after="0"/>
              <w:ind w:left="0" w:firstLine="0"/>
              <w:jc w:val="right"/>
              <w:rPr>
                <w:rFonts w:ascii="Arial Narrow" w:hAnsi="Arial Narrow" w:cs="Calibri"/>
                <w:sz w:val="22"/>
                <w:szCs w:val="22"/>
              </w:rPr>
            </w:pPr>
          </w:p>
        </w:tc>
      </w:tr>
      <w:tr w:rsidR="006B66E4" w:rsidRPr="00C5347D" w14:paraId="650B40C9" w14:textId="77777777" w:rsidTr="00D77BC6">
        <w:trPr>
          <w:trHeight w:val="828"/>
        </w:trPr>
        <w:tc>
          <w:tcPr>
            <w:tcW w:w="237" w:type="pct"/>
            <w:shd w:val="clear" w:color="auto" w:fill="auto"/>
            <w:noWrap/>
            <w:vAlign w:val="center"/>
            <w:hideMark/>
          </w:tcPr>
          <w:p w14:paraId="1A5DB5E7" w14:textId="77777777" w:rsidR="006B66E4" w:rsidRPr="00C5347D" w:rsidRDefault="006B66E4" w:rsidP="006B66E4">
            <w:pPr>
              <w:spacing w:after="0"/>
              <w:ind w:left="0" w:firstLine="0"/>
              <w:jc w:val="left"/>
              <w:rPr>
                <w:rFonts w:ascii="Arial Narrow" w:hAnsi="Arial Narrow" w:cs="Calibri"/>
                <w:sz w:val="22"/>
                <w:szCs w:val="22"/>
              </w:rPr>
            </w:pPr>
            <w:r w:rsidRPr="00C5347D">
              <w:rPr>
                <w:rFonts w:ascii="Arial Narrow" w:hAnsi="Arial Narrow" w:cs="Calibri"/>
                <w:sz w:val="22"/>
                <w:szCs w:val="22"/>
              </w:rPr>
              <w:t>4.1</w:t>
            </w:r>
          </w:p>
        </w:tc>
        <w:tc>
          <w:tcPr>
            <w:tcW w:w="2543" w:type="pct"/>
            <w:shd w:val="clear" w:color="auto" w:fill="auto"/>
            <w:vAlign w:val="center"/>
            <w:hideMark/>
          </w:tcPr>
          <w:p w14:paraId="181816E4" w14:textId="77777777" w:rsidR="006B66E4" w:rsidRPr="00C5347D" w:rsidRDefault="006B66E4" w:rsidP="006B66E4">
            <w:pPr>
              <w:spacing w:after="0"/>
              <w:ind w:left="0" w:firstLine="0"/>
              <w:jc w:val="left"/>
              <w:rPr>
                <w:rFonts w:ascii="Arial Narrow" w:hAnsi="Arial Narrow" w:cs="Calibri"/>
                <w:sz w:val="22"/>
                <w:szCs w:val="22"/>
              </w:rPr>
            </w:pPr>
            <w:r w:rsidRPr="00C5347D">
              <w:rPr>
                <w:rFonts w:ascii="Arial Narrow" w:hAnsi="Arial Narrow" w:cs="Calibri"/>
                <w:sz w:val="22"/>
                <w:szCs w:val="22"/>
              </w:rPr>
              <w:t>F/P de poutre IPN 120 avec assemblées antirouille y compris platines en tôle noire de 12 mm et système de boulonnage conforme au plan d'exécution</w:t>
            </w:r>
          </w:p>
        </w:tc>
        <w:tc>
          <w:tcPr>
            <w:tcW w:w="425" w:type="pct"/>
            <w:shd w:val="clear" w:color="auto" w:fill="auto"/>
            <w:noWrap/>
            <w:vAlign w:val="center"/>
            <w:hideMark/>
          </w:tcPr>
          <w:p w14:paraId="6F32F69A" w14:textId="77777777" w:rsidR="006B66E4" w:rsidRPr="00C5347D" w:rsidRDefault="006B66E4" w:rsidP="006B66E4">
            <w:pPr>
              <w:spacing w:after="0"/>
              <w:ind w:left="0" w:firstLine="0"/>
              <w:jc w:val="center"/>
              <w:rPr>
                <w:rFonts w:ascii="Arial Narrow" w:hAnsi="Arial Narrow" w:cs="Calibri"/>
                <w:sz w:val="22"/>
                <w:szCs w:val="22"/>
              </w:rPr>
            </w:pPr>
            <w:r w:rsidRPr="00C5347D">
              <w:rPr>
                <w:rFonts w:ascii="Arial Narrow" w:hAnsi="Arial Narrow" w:cs="Calibri"/>
                <w:sz w:val="22"/>
                <w:szCs w:val="22"/>
              </w:rPr>
              <w:t>ml</w:t>
            </w:r>
          </w:p>
        </w:tc>
        <w:tc>
          <w:tcPr>
            <w:tcW w:w="598" w:type="pct"/>
            <w:shd w:val="clear" w:color="auto" w:fill="auto"/>
            <w:noWrap/>
            <w:vAlign w:val="center"/>
            <w:hideMark/>
          </w:tcPr>
          <w:p w14:paraId="112B609E" w14:textId="77777777" w:rsidR="006B66E4" w:rsidRPr="00A7320B" w:rsidRDefault="006B66E4" w:rsidP="006B66E4">
            <w:pPr>
              <w:spacing w:after="0"/>
              <w:ind w:left="0" w:firstLine="0"/>
              <w:jc w:val="center"/>
              <w:rPr>
                <w:rFonts w:ascii="Arial Narrow" w:hAnsi="Arial Narrow" w:cs="Calibri"/>
                <w:sz w:val="22"/>
                <w:szCs w:val="22"/>
              </w:rPr>
            </w:pPr>
            <w:r w:rsidRPr="00A7320B">
              <w:rPr>
                <w:rFonts w:ascii="Arial Narrow" w:hAnsi="Arial Narrow" w:cs="Calibri"/>
                <w:sz w:val="22"/>
                <w:szCs w:val="22"/>
              </w:rPr>
              <w:t>50</w:t>
            </w:r>
          </w:p>
        </w:tc>
        <w:tc>
          <w:tcPr>
            <w:tcW w:w="598" w:type="pct"/>
          </w:tcPr>
          <w:p w14:paraId="48264BD0" w14:textId="77777777" w:rsidR="006B66E4" w:rsidRPr="00C5347D" w:rsidRDefault="006B66E4" w:rsidP="006B66E4">
            <w:pPr>
              <w:spacing w:after="0"/>
              <w:ind w:left="0" w:firstLine="0"/>
              <w:jc w:val="center"/>
              <w:rPr>
                <w:rFonts w:ascii="Arial Narrow" w:hAnsi="Arial Narrow" w:cs="Calibri"/>
                <w:sz w:val="22"/>
                <w:szCs w:val="22"/>
              </w:rPr>
            </w:pPr>
          </w:p>
        </w:tc>
        <w:tc>
          <w:tcPr>
            <w:tcW w:w="598" w:type="pct"/>
          </w:tcPr>
          <w:p w14:paraId="0037502B" w14:textId="77777777" w:rsidR="006B66E4" w:rsidRPr="00C5347D" w:rsidRDefault="006B66E4" w:rsidP="006B66E4">
            <w:pPr>
              <w:spacing w:after="0"/>
              <w:ind w:left="0" w:firstLine="0"/>
              <w:jc w:val="center"/>
              <w:rPr>
                <w:rFonts w:ascii="Arial Narrow" w:hAnsi="Arial Narrow" w:cs="Calibri"/>
                <w:sz w:val="22"/>
                <w:szCs w:val="22"/>
              </w:rPr>
            </w:pPr>
          </w:p>
        </w:tc>
      </w:tr>
      <w:tr w:rsidR="006B66E4" w:rsidRPr="00C5347D" w14:paraId="379EA4DE" w14:textId="77777777" w:rsidTr="00D77BC6">
        <w:trPr>
          <w:trHeight w:val="552"/>
        </w:trPr>
        <w:tc>
          <w:tcPr>
            <w:tcW w:w="237" w:type="pct"/>
            <w:shd w:val="clear" w:color="auto" w:fill="auto"/>
            <w:noWrap/>
            <w:vAlign w:val="center"/>
            <w:hideMark/>
          </w:tcPr>
          <w:p w14:paraId="7BC13D94" w14:textId="77777777" w:rsidR="006B66E4" w:rsidRPr="00C5347D" w:rsidRDefault="006B66E4" w:rsidP="006B66E4">
            <w:pPr>
              <w:spacing w:after="0"/>
              <w:ind w:left="0" w:firstLine="0"/>
              <w:jc w:val="left"/>
              <w:rPr>
                <w:rFonts w:ascii="Arial Narrow" w:hAnsi="Arial Narrow" w:cs="Calibri"/>
                <w:sz w:val="22"/>
                <w:szCs w:val="22"/>
              </w:rPr>
            </w:pPr>
            <w:r w:rsidRPr="00C5347D">
              <w:rPr>
                <w:rFonts w:ascii="Arial Narrow" w:hAnsi="Arial Narrow" w:cs="Calibri"/>
                <w:sz w:val="22"/>
                <w:szCs w:val="22"/>
              </w:rPr>
              <w:lastRenderedPageBreak/>
              <w:t>4.2</w:t>
            </w:r>
          </w:p>
        </w:tc>
        <w:tc>
          <w:tcPr>
            <w:tcW w:w="2543" w:type="pct"/>
            <w:shd w:val="clear" w:color="auto" w:fill="auto"/>
            <w:vAlign w:val="center"/>
            <w:hideMark/>
          </w:tcPr>
          <w:p w14:paraId="3F6447D5" w14:textId="77777777" w:rsidR="006B66E4" w:rsidRPr="00C5347D" w:rsidRDefault="006B66E4" w:rsidP="006B66E4">
            <w:pPr>
              <w:spacing w:after="0"/>
              <w:ind w:left="0" w:firstLine="0"/>
              <w:jc w:val="left"/>
              <w:rPr>
                <w:rFonts w:ascii="Arial Narrow" w:hAnsi="Arial Narrow" w:cs="Calibri"/>
                <w:sz w:val="22"/>
                <w:szCs w:val="22"/>
              </w:rPr>
            </w:pPr>
            <w:r w:rsidRPr="00C5347D">
              <w:rPr>
                <w:rFonts w:ascii="Arial Narrow" w:hAnsi="Arial Narrow" w:cs="Calibri"/>
                <w:sz w:val="22"/>
                <w:szCs w:val="22"/>
              </w:rPr>
              <w:t xml:space="preserve">F/P de panne IPN 80 avec </w:t>
            </w:r>
            <w:proofErr w:type="spellStart"/>
            <w:r w:rsidRPr="00C5347D">
              <w:rPr>
                <w:rFonts w:ascii="Arial Narrow" w:hAnsi="Arial Narrow" w:cs="Calibri"/>
                <w:sz w:val="22"/>
                <w:szCs w:val="22"/>
              </w:rPr>
              <w:t>anti-rouille</w:t>
            </w:r>
            <w:proofErr w:type="spellEnd"/>
            <w:r w:rsidRPr="00C5347D">
              <w:rPr>
                <w:rFonts w:ascii="Arial Narrow" w:hAnsi="Arial Narrow" w:cs="Calibri"/>
                <w:sz w:val="22"/>
                <w:szCs w:val="22"/>
              </w:rPr>
              <w:t xml:space="preserve"> y compris platines en tôle noire 10mm et système de boulonnage conforme au plan d'exécution</w:t>
            </w:r>
          </w:p>
        </w:tc>
        <w:tc>
          <w:tcPr>
            <w:tcW w:w="425" w:type="pct"/>
            <w:shd w:val="clear" w:color="auto" w:fill="auto"/>
            <w:noWrap/>
            <w:vAlign w:val="center"/>
            <w:hideMark/>
          </w:tcPr>
          <w:p w14:paraId="052493F8" w14:textId="77777777" w:rsidR="006B66E4" w:rsidRPr="00C5347D" w:rsidRDefault="006B66E4" w:rsidP="006B66E4">
            <w:pPr>
              <w:spacing w:after="0"/>
              <w:ind w:left="0" w:firstLine="0"/>
              <w:jc w:val="center"/>
              <w:rPr>
                <w:rFonts w:ascii="Arial Narrow" w:hAnsi="Arial Narrow" w:cs="Calibri"/>
                <w:sz w:val="22"/>
                <w:szCs w:val="22"/>
              </w:rPr>
            </w:pPr>
            <w:r w:rsidRPr="00C5347D">
              <w:rPr>
                <w:rFonts w:ascii="Arial Narrow" w:hAnsi="Arial Narrow" w:cs="Calibri"/>
                <w:sz w:val="22"/>
                <w:szCs w:val="22"/>
              </w:rPr>
              <w:t>ml</w:t>
            </w:r>
          </w:p>
        </w:tc>
        <w:tc>
          <w:tcPr>
            <w:tcW w:w="598" w:type="pct"/>
            <w:shd w:val="clear" w:color="auto" w:fill="auto"/>
            <w:noWrap/>
            <w:vAlign w:val="center"/>
            <w:hideMark/>
          </w:tcPr>
          <w:p w14:paraId="674D3F8C" w14:textId="77777777" w:rsidR="006B66E4" w:rsidRPr="00A7320B" w:rsidRDefault="006B66E4" w:rsidP="006B66E4">
            <w:pPr>
              <w:spacing w:after="0"/>
              <w:ind w:left="0" w:firstLine="0"/>
              <w:jc w:val="center"/>
              <w:rPr>
                <w:rFonts w:ascii="Arial Narrow" w:hAnsi="Arial Narrow" w:cs="Calibri"/>
                <w:sz w:val="22"/>
                <w:szCs w:val="22"/>
              </w:rPr>
            </w:pPr>
            <w:r w:rsidRPr="00A7320B">
              <w:rPr>
                <w:rFonts w:ascii="Arial Narrow" w:hAnsi="Arial Narrow" w:cs="Calibri"/>
                <w:sz w:val="22"/>
                <w:szCs w:val="22"/>
              </w:rPr>
              <w:t>250</w:t>
            </w:r>
          </w:p>
        </w:tc>
        <w:tc>
          <w:tcPr>
            <w:tcW w:w="598" w:type="pct"/>
          </w:tcPr>
          <w:p w14:paraId="198BCF61" w14:textId="77777777" w:rsidR="006B66E4" w:rsidRPr="00C5347D" w:rsidRDefault="006B66E4" w:rsidP="006B66E4">
            <w:pPr>
              <w:spacing w:after="0"/>
              <w:ind w:left="0" w:firstLine="0"/>
              <w:jc w:val="center"/>
              <w:rPr>
                <w:rFonts w:ascii="Arial Narrow" w:hAnsi="Arial Narrow" w:cs="Calibri"/>
                <w:sz w:val="22"/>
                <w:szCs w:val="22"/>
              </w:rPr>
            </w:pPr>
          </w:p>
        </w:tc>
        <w:tc>
          <w:tcPr>
            <w:tcW w:w="598" w:type="pct"/>
          </w:tcPr>
          <w:p w14:paraId="239F76D6" w14:textId="77777777" w:rsidR="006B66E4" w:rsidRPr="00C5347D" w:rsidRDefault="006B66E4" w:rsidP="006B66E4">
            <w:pPr>
              <w:spacing w:after="0"/>
              <w:ind w:left="0" w:firstLine="0"/>
              <w:jc w:val="center"/>
              <w:rPr>
                <w:rFonts w:ascii="Arial Narrow" w:hAnsi="Arial Narrow" w:cs="Calibri"/>
                <w:sz w:val="22"/>
                <w:szCs w:val="22"/>
              </w:rPr>
            </w:pPr>
          </w:p>
        </w:tc>
      </w:tr>
      <w:tr w:rsidR="006B66E4" w:rsidRPr="00C5347D" w14:paraId="6C4355B6" w14:textId="77777777" w:rsidTr="00D77BC6">
        <w:trPr>
          <w:trHeight w:val="276"/>
        </w:trPr>
        <w:tc>
          <w:tcPr>
            <w:tcW w:w="237" w:type="pct"/>
            <w:shd w:val="clear" w:color="auto" w:fill="auto"/>
            <w:noWrap/>
            <w:vAlign w:val="center"/>
            <w:hideMark/>
          </w:tcPr>
          <w:p w14:paraId="5C27AA2B" w14:textId="77777777" w:rsidR="006B66E4" w:rsidRPr="00C5347D" w:rsidRDefault="006B66E4" w:rsidP="006B66E4">
            <w:pPr>
              <w:spacing w:after="0"/>
              <w:ind w:left="0" w:firstLine="0"/>
              <w:jc w:val="left"/>
              <w:rPr>
                <w:rFonts w:ascii="Arial Narrow" w:hAnsi="Arial Narrow" w:cs="Calibri"/>
                <w:sz w:val="22"/>
                <w:szCs w:val="22"/>
              </w:rPr>
            </w:pPr>
            <w:r w:rsidRPr="00C5347D">
              <w:rPr>
                <w:rFonts w:ascii="Arial Narrow" w:hAnsi="Arial Narrow" w:cs="Calibri"/>
                <w:sz w:val="22"/>
                <w:szCs w:val="22"/>
              </w:rPr>
              <w:t>4.3</w:t>
            </w:r>
          </w:p>
        </w:tc>
        <w:tc>
          <w:tcPr>
            <w:tcW w:w="2543" w:type="pct"/>
            <w:shd w:val="clear" w:color="auto" w:fill="auto"/>
            <w:vAlign w:val="center"/>
            <w:hideMark/>
          </w:tcPr>
          <w:p w14:paraId="78B8256F" w14:textId="77777777" w:rsidR="006B66E4" w:rsidRPr="00C5347D" w:rsidRDefault="006B66E4" w:rsidP="006B66E4">
            <w:pPr>
              <w:spacing w:after="0"/>
              <w:ind w:left="0" w:firstLine="0"/>
              <w:jc w:val="left"/>
              <w:rPr>
                <w:rFonts w:ascii="Arial Narrow" w:hAnsi="Arial Narrow" w:cs="Calibri"/>
                <w:sz w:val="22"/>
                <w:szCs w:val="22"/>
              </w:rPr>
            </w:pPr>
            <w:r w:rsidRPr="00C5347D">
              <w:rPr>
                <w:rFonts w:ascii="Arial Narrow" w:hAnsi="Arial Narrow" w:cs="Calibri"/>
                <w:sz w:val="22"/>
                <w:szCs w:val="22"/>
              </w:rPr>
              <w:t xml:space="preserve">F/P de tôle bac 7,200kg y compris toutes suggestions </w:t>
            </w:r>
          </w:p>
        </w:tc>
        <w:tc>
          <w:tcPr>
            <w:tcW w:w="425" w:type="pct"/>
            <w:shd w:val="clear" w:color="auto" w:fill="auto"/>
            <w:noWrap/>
            <w:vAlign w:val="center"/>
            <w:hideMark/>
          </w:tcPr>
          <w:p w14:paraId="4B811028" w14:textId="77777777" w:rsidR="006B66E4" w:rsidRPr="00C5347D" w:rsidRDefault="006B66E4" w:rsidP="006B66E4">
            <w:pPr>
              <w:spacing w:after="0"/>
              <w:ind w:left="0" w:firstLine="0"/>
              <w:jc w:val="center"/>
              <w:rPr>
                <w:rFonts w:ascii="Arial Narrow" w:hAnsi="Arial Narrow" w:cs="Calibri"/>
                <w:sz w:val="22"/>
                <w:szCs w:val="22"/>
              </w:rPr>
            </w:pPr>
            <w:r w:rsidRPr="00C5347D">
              <w:rPr>
                <w:rFonts w:ascii="Arial Narrow" w:hAnsi="Arial Narrow" w:cs="Calibri"/>
                <w:sz w:val="22"/>
                <w:szCs w:val="22"/>
              </w:rPr>
              <w:t>m²</w:t>
            </w:r>
          </w:p>
        </w:tc>
        <w:tc>
          <w:tcPr>
            <w:tcW w:w="598" w:type="pct"/>
            <w:shd w:val="clear" w:color="auto" w:fill="auto"/>
            <w:noWrap/>
            <w:vAlign w:val="center"/>
            <w:hideMark/>
          </w:tcPr>
          <w:p w14:paraId="315599B0" w14:textId="77777777" w:rsidR="006B66E4" w:rsidRPr="00A7320B" w:rsidRDefault="006B66E4" w:rsidP="006B66E4">
            <w:pPr>
              <w:spacing w:after="0"/>
              <w:ind w:left="0" w:firstLine="0"/>
              <w:jc w:val="center"/>
              <w:rPr>
                <w:rFonts w:ascii="Arial Narrow" w:hAnsi="Arial Narrow" w:cs="Calibri"/>
                <w:sz w:val="22"/>
                <w:szCs w:val="22"/>
              </w:rPr>
            </w:pPr>
            <w:r w:rsidRPr="00A7320B">
              <w:rPr>
                <w:rFonts w:ascii="Arial Narrow" w:hAnsi="Arial Narrow" w:cs="Calibri"/>
                <w:sz w:val="22"/>
                <w:szCs w:val="22"/>
              </w:rPr>
              <w:t>280</w:t>
            </w:r>
          </w:p>
        </w:tc>
        <w:tc>
          <w:tcPr>
            <w:tcW w:w="598" w:type="pct"/>
          </w:tcPr>
          <w:p w14:paraId="3BF5AF88" w14:textId="77777777" w:rsidR="006B66E4" w:rsidRPr="00C5347D" w:rsidRDefault="006B66E4" w:rsidP="006B66E4">
            <w:pPr>
              <w:spacing w:after="0"/>
              <w:ind w:left="0" w:firstLine="0"/>
              <w:jc w:val="center"/>
              <w:rPr>
                <w:rFonts w:ascii="Arial Narrow" w:hAnsi="Arial Narrow" w:cs="Calibri"/>
                <w:sz w:val="22"/>
                <w:szCs w:val="22"/>
              </w:rPr>
            </w:pPr>
          </w:p>
        </w:tc>
        <w:tc>
          <w:tcPr>
            <w:tcW w:w="598" w:type="pct"/>
          </w:tcPr>
          <w:p w14:paraId="5B5BCFE4" w14:textId="77777777" w:rsidR="006B66E4" w:rsidRPr="00C5347D" w:rsidRDefault="006B66E4" w:rsidP="006B66E4">
            <w:pPr>
              <w:spacing w:after="0"/>
              <w:ind w:left="0" w:firstLine="0"/>
              <w:jc w:val="center"/>
              <w:rPr>
                <w:rFonts w:ascii="Arial Narrow" w:hAnsi="Arial Narrow" w:cs="Calibri"/>
                <w:sz w:val="22"/>
                <w:szCs w:val="22"/>
              </w:rPr>
            </w:pPr>
          </w:p>
        </w:tc>
      </w:tr>
      <w:tr w:rsidR="006B66E4" w:rsidRPr="00C5347D" w14:paraId="14B67BE0" w14:textId="77777777" w:rsidTr="00D77BC6">
        <w:trPr>
          <w:trHeight w:val="276"/>
        </w:trPr>
        <w:tc>
          <w:tcPr>
            <w:tcW w:w="237" w:type="pct"/>
            <w:shd w:val="clear" w:color="auto" w:fill="auto"/>
            <w:noWrap/>
            <w:vAlign w:val="center"/>
            <w:hideMark/>
          </w:tcPr>
          <w:p w14:paraId="6E3C18EE" w14:textId="77777777" w:rsidR="006B66E4" w:rsidRPr="00C5347D" w:rsidRDefault="006B66E4" w:rsidP="006B66E4">
            <w:pPr>
              <w:spacing w:after="0"/>
              <w:ind w:left="0" w:firstLine="0"/>
              <w:jc w:val="left"/>
              <w:rPr>
                <w:rFonts w:ascii="Arial Narrow" w:hAnsi="Arial Narrow" w:cs="Calibri"/>
                <w:sz w:val="22"/>
                <w:szCs w:val="22"/>
              </w:rPr>
            </w:pPr>
            <w:r w:rsidRPr="00C5347D">
              <w:rPr>
                <w:rFonts w:ascii="Arial Narrow" w:hAnsi="Arial Narrow" w:cs="Calibri"/>
                <w:sz w:val="22"/>
                <w:szCs w:val="22"/>
              </w:rPr>
              <w:t> </w:t>
            </w:r>
          </w:p>
        </w:tc>
        <w:tc>
          <w:tcPr>
            <w:tcW w:w="2543" w:type="pct"/>
            <w:shd w:val="clear" w:color="auto" w:fill="auto"/>
            <w:vAlign w:val="center"/>
            <w:hideMark/>
          </w:tcPr>
          <w:p w14:paraId="12955F5F" w14:textId="77777777" w:rsidR="006B66E4" w:rsidRPr="00C5347D" w:rsidRDefault="006B66E4" w:rsidP="006B66E4">
            <w:pPr>
              <w:spacing w:after="0"/>
              <w:ind w:left="0" w:firstLine="0"/>
              <w:jc w:val="left"/>
              <w:rPr>
                <w:rFonts w:ascii="Arial Narrow" w:hAnsi="Arial Narrow" w:cs="Calibri"/>
                <w:b/>
                <w:bCs/>
                <w:sz w:val="22"/>
                <w:szCs w:val="22"/>
              </w:rPr>
            </w:pPr>
            <w:r w:rsidRPr="00C5347D">
              <w:rPr>
                <w:rFonts w:ascii="Arial Narrow" w:hAnsi="Arial Narrow" w:cs="Calibri"/>
                <w:b/>
                <w:bCs/>
                <w:sz w:val="22"/>
                <w:szCs w:val="22"/>
              </w:rPr>
              <w:t>TOTAL COUVERTURE</w:t>
            </w:r>
          </w:p>
        </w:tc>
        <w:tc>
          <w:tcPr>
            <w:tcW w:w="425" w:type="pct"/>
            <w:shd w:val="clear" w:color="auto" w:fill="auto"/>
            <w:noWrap/>
            <w:vAlign w:val="center"/>
            <w:hideMark/>
          </w:tcPr>
          <w:p w14:paraId="07786B33" w14:textId="77777777" w:rsidR="006B66E4" w:rsidRPr="00C5347D" w:rsidRDefault="006B66E4" w:rsidP="006B66E4">
            <w:pPr>
              <w:spacing w:after="0"/>
              <w:ind w:left="0" w:firstLine="0"/>
              <w:jc w:val="center"/>
              <w:rPr>
                <w:rFonts w:ascii="Arial Narrow" w:hAnsi="Arial Narrow" w:cs="Calibri"/>
                <w:sz w:val="22"/>
                <w:szCs w:val="22"/>
              </w:rPr>
            </w:pPr>
            <w:r w:rsidRPr="00C5347D">
              <w:rPr>
                <w:rFonts w:ascii="Arial Narrow" w:hAnsi="Arial Narrow" w:cs="Calibri"/>
                <w:sz w:val="22"/>
                <w:szCs w:val="22"/>
              </w:rPr>
              <w:t> </w:t>
            </w:r>
          </w:p>
        </w:tc>
        <w:tc>
          <w:tcPr>
            <w:tcW w:w="598" w:type="pct"/>
            <w:shd w:val="clear" w:color="auto" w:fill="auto"/>
            <w:noWrap/>
            <w:vAlign w:val="center"/>
            <w:hideMark/>
          </w:tcPr>
          <w:p w14:paraId="31B53308" w14:textId="77777777" w:rsidR="006B66E4" w:rsidRPr="00A7320B" w:rsidRDefault="006B66E4" w:rsidP="006B66E4">
            <w:pPr>
              <w:spacing w:after="0"/>
              <w:ind w:left="0" w:firstLine="0"/>
              <w:jc w:val="center"/>
              <w:rPr>
                <w:rFonts w:ascii="Arial Narrow" w:hAnsi="Arial Narrow" w:cs="Calibri"/>
                <w:sz w:val="22"/>
                <w:szCs w:val="22"/>
              </w:rPr>
            </w:pPr>
            <w:r w:rsidRPr="00A7320B">
              <w:rPr>
                <w:rFonts w:ascii="Arial Narrow" w:hAnsi="Arial Narrow" w:cs="Calibri"/>
                <w:sz w:val="22"/>
                <w:szCs w:val="22"/>
              </w:rPr>
              <w:t> </w:t>
            </w:r>
          </w:p>
        </w:tc>
        <w:tc>
          <w:tcPr>
            <w:tcW w:w="598" w:type="pct"/>
          </w:tcPr>
          <w:p w14:paraId="0F7399E5" w14:textId="77777777" w:rsidR="006B66E4" w:rsidRPr="00C5347D" w:rsidRDefault="006B66E4" w:rsidP="006B66E4">
            <w:pPr>
              <w:spacing w:after="0"/>
              <w:ind w:left="0" w:firstLine="0"/>
              <w:jc w:val="center"/>
              <w:rPr>
                <w:rFonts w:ascii="Arial Narrow" w:hAnsi="Arial Narrow" w:cs="Calibri"/>
                <w:sz w:val="22"/>
                <w:szCs w:val="22"/>
              </w:rPr>
            </w:pPr>
          </w:p>
        </w:tc>
        <w:tc>
          <w:tcPr>
            <w:tcW w:w="598" w:type="pct"/>
          </w:tcPr>
          <w:p w14:paraId="60E38D74" w14:textId="77777777" w:rsidR="006B66E4" w:rsidRPr="00C5347D" w:rsidRDefault="006B66E4" w:rsidP="006B66E4">
            <w:pPr>
              <w:spacing w:after="0"/>
              <w:ind w:left="0" w:firstLine="0"/>
              <w:jc w:val="center"/>
              <w:rPr>
                <w:rFonts w:ascii="Arial Narrow" w:hAnsi="Arial Narrow" w:cs="Calibri"/>
                <w:sz w:val="22"/>
                <w:szCs w:val="22"/>
              </w:rPr>
            </w:pPr>
          </w:p>
        </w:tc>
      </w:tr>
      <w:tr w:rsidR="006B66E4" w:rsidRPr="00C5347D" w14:paraId="05291FAB" w14:textId="77777777" w:rsidTr="00D77BC6">
        <w:trPr>
          <w:trHeight w:val="276"/>
        </w:trPr>
        <w:tc>
          <w:tcPr>
            <w:tcW w:w="237" w:type="pct"/>
            <w:shd w:val="clear" w:color="auto" w:fill="auto"/>
            <w:noWrap/>
            <w:vAlign w:val="center"/>
            <w:hideMark/>
          </w:tcPr>
          <w:p w14:paraId="37BB06F5" w14:textId="77777777" w:rsidR="006B66E4" w:rsidRPr="00C5347D" w:rsidRDefault="006B66E4" w:rsidP="006B66E4">
            <w:pPr>
              <w:spacing w:after="0"/>
              <w:ind w:left="0" w:firstLine="0"/>
              <w:jc w:val="left"/>
              <w:rPr>
                <w:rFonts w:ascii="Arial Narrow" w:hAnsi="Arial Narrow" w:cs="Calibri"/>
                <w:sz w:val="22"/>
                <w:szCs w:val="22"/>
              </w:rPr>
            </w:pPr>
            <w:r w:rsidRPr="00C5347D">
              <w:rPr>
                <w:rFonts w:ascii="Arial Narrow" w:hAnsi="Arial Narrow" w:cs="Calibri"/>
                <w:sz w:val="22"/>
                <w:szCs w:val="22"/>
              </w:rPr>
              <w:t> </w:t>
            </w:r>
          </w:p>
        </w:tc>
        <w:tc>
          <w:tcPr>
            <w:tcW w:w="2543" w:type="pct"/>
            <w:shd w:val="clear" w:color="auto" w:fill="auto"/>
            <w:vAlign w:val="center"/>
            <w:hideMark/>
          </w:tcPr>
          <w:p w14:paraId="1D06C2E4" w14:textId="77777777" w:rsidR="006B66E4" w:rsidRPr="00C5347D" w:rsidRDefault="006B66E4" w:rsidP="006B66E4">
            <w:pPr>
              <w:spacing w:after="0"/>
              <w:ind w:left="0" w:firstLine="0"/>
              <w:jc w:val="left"/>
              <w:rPr>
                <w:rFonts w:ascii="Arial Narrow" w:hAnsi="Arial Narrow" w:cs="Calibri"/>
                <w:b/>
                <w:bCs/>
                <w:sz w:val="22"/>
                <w:szCs w:val="22"/>
              </w:rPr>
            </w:pPr>
            <w:r w:rsidRPr="00C5347D">
              <w:rPr>
                <w:rFonts w:ascii="Arial Narrow" w:hAnsi="Arial Narrow" w:cs="Calibri"/>
                <w:b/>
                <w:bCs/>
                <w:sz w:val="22"/>
                <w:szCs w:val="22"/>
              </w:rPr>
              <w:t>V. ENDUIT ET REVETEMENT</w:t>
            </w:r>
          </w:p>
        </w:tc>
        <w:tc>
          <w:tcPr>
            <w:tcW w:w="425" w:type="pct"/>
            <w:shd w:val="clear" w:color="auto" w:fill="auto"/>
            <w:noWrap/>
            <w:vAlign w:val="center"/>
            <w:hideMark/>
          </w:tcPr>
          <w:p w14:paraId="276F6F29" w14:textId="77777777" w:rsidR="006B66E4" w:rsidRPr="00C5347D" w:rsidRDefault="006B66E4" w:rsidP="006B66E4">
            <w:pPr>
              <w:spacing w:after="0"/>
              <w:ind w:left="0" w:firstLine="0"/>
              <w:jc w:val="center"/>
              <w:rPr>
                <w:rFonts w:ascii="Arial Narrow" w:hAnsi="Arial Narrow" w:cs="Calibri"/>
                <w:sz w:val="22"/>
                <w:szCs w:val="22"/>
              </w:rPr>
            </w:pPr>
            <w:r w:rsidRPr="00C5347D">
              <w:rPr>
                <w:rFonts w:ascii="Arial Narrow" w:hAnsi="Arial Narrow" w:cs="Calibri"/>
                <w:sz w:val="22"/>
                <w:szCs w:val="22"/>
              </w:rPr>
              <w:t> </w:t>
            </w:r>
          </w:p>
        </w:tc>
        <w:tc>
          <w:tcPr>
            <w:tcW w:w="598" w:type="pct"/>
            <w:shd w:val="clear" w:color="auto" w:fill="auto"/>
            <w:noWrap/>
            <w:vAlign w:val="center"/>
            <w:hideMark/>
          </w:tcPr>
          <w:p w14:paraId="7908328F" w14:textId="77777777" w:rsidR="006B66E4" w:rsidRPr="00A7320B" w:rsidRDefault="006B66E4" w:rsidP="006B66E4">
            <w:pPr>
              <w:spacing w:after="0"/>
              <w:ind w:left="0" w:firstLine="0"/>
              <w:jc w:val="center"/>
              <w:rPr>
                <w:rFonts w:ascii="Arial Narrow" w:hAnsi="Arial Narrow" w:cs="Calibri"/>
                <w:sz w:val="22"/>
                <w:szCs w:val="22"/>
              </w:rPr>
            </w:pPr>
            <w:r w:rsidRPr="00A7320B">
              <w:rPr>
                <w:rFonts w:ascii="Arial Narrow" w:hAnsi="Arial Narrow" w:cs="Calibri"/>
                <w:sz w:val="22"/>
                <w:szCs w:val="22"/>
              </w:rPr>
              <w:t> </w:t>
            </w:r>
          </w:p>
        </w:tc>
        <w:tc>
          <w:tcPr>
            <w:tcW w:w="598" w:type="pct"/>
          </w:tcPr>
          <w:p w14:paraId="4A88A0C5" w14:textId="77777777" w:rsidR="006B66E4" w:rsidRPr="00C5347D" w:rsidRDefault="006B66E4" w:rsidP="006B66E4">
            <w:pPr>
              <w:spacing w:after="0"/>
              <w:ind w:left="0" w:firstLine="0"/>
              <w:jc w:val="center"/>
              <w:rPr>
                <w:rFonts w:ascii="Arial Narrow" w:hAnsi="Arial Narrow" w:cs="Calibri"/>
                <w:sz w:val="22"/>
                <w:szCs w:val="22"/>
              </w:rPr>
            </w:pPr>
          </w:p>
        </w:tc>
        <w:tc>
          <w:tcPr>
            <w:tcW w:w="598" w:type="pct"/>
          </w:tcPr>
          <w:p w14:paraId="768C731D" w14:textId="77777777" w:rsidR="006B66E4" w:rsidRPr="00C5347D" w:rsidRDefault="006B66E4" w:rsidP="006B66E4">
            <w:pPr>
              <w:spacing w:after="0"/>
              <w:ind w:left="0" w:firstLine="0"/>
              <w:jc w:val="center"/>
              <w:rPr>
                <w:rFonts w:ascii="Arial Narrow" w:hAnsi="Arial Narrow" w:cs="Calibri"/>
                <w:sz w:val="22"/>
                <w:szCs w:val="22"/>
              </w:rPr>
            </w:pPr>
          </w:p>
        </w:tc>
      </w:tr>
      <w:tr w:rsidR="006B66E4" w:rsidRPr="00C5347D" w14:paraId="45B7CE2B" w14:textId="77777777" w:rsidTr="00D77BC6">
        <w:trPr>
          <w:trHeight w:val="552"/>
        </w:trPr>
        <w:tc>
          <w:tcPr>
            <w:tcW w:w="237" w:type="pct"/>
            <w:shd w:val="clear" w:color="auto" w:fill="auto"/>
            <w:noWrap/>
            <w:vAlign w:val="center"/>
            <w:hideMark/>
          </w:tcPr>
          <w:p w14:paraId="15B0879D" w14:textId="77777777" w:rsidR="006B66E4" w:rsidRPr="00C5347D" w:rsidRDefault="006B66E4" w:rsidP="006B66E4">
            <w:pPr>
              <w:spacing w:after="0"/>
              <w:ind w:left="0" w:firstLine="0"/>
              <w:jc w:val="left"/>
              <w:rPr>
                <w:rFonts w:ascii="Arial Narrow" w:hAnsi="Arial Narrow" w:cs="Calibri"/>
                <w:sz w:val="22"/>
                <w:szCs w:val="22"/>
              </w:rPr>
            </w:pPr>
            <w:r w:rsidRPr="00C5347D">
              <w:rPr>
                <w:rFonts w:ascii="Arial Narrow" w:hAnsi="Arial Narrow" w:cs="Calibri"/>
                <w:sz w:val="22"/>
                <w:szCs w:val="22"/>
              </w:rPr>
              <w:t>5.1</w:t>
            </w:r>
          </w:p>
        </w:tc>
        <w:tc>
          <w:tcPr>
            <w:tcW w:w="2543" w:type="pct"/>
            <w:shd w:val="clear" w:color="auto" w:fill="auto"/>
            <w:vAlign w:val="center"/>
            <w:hideMark/>
          </w:tcPr>
          <w:p w14:paraId="304F571F" w14:textId="77777777" w:rsidR="006B66E4" w:rsidRPr="00C5347D" w:rsidRDefault="006B66E4" w:rsidP="006B66E4">
            <w:pPr>
              <w:spacing w:after="0"/>
              <w:ind w:left="0" w:firstLine="0"/>
              <w:jc w:val="left"/>
              <w:rPr>
                <w:rFonts w:ascii="Arial Narrow" w:hAnsi="Arial Narrow" w:cs="Calibri"/>
                <w:sz w:val="22"/>
                <w:szCs w:val="22"/>
              </w:rPr>
            </w:pPr>
            <w:r w:rsidRPr="00C5347D">
              <w:rPr>
                <w:rFonts w:ascii="Arial Narrow" w:hAnsi="Arial Narrow" w:cs="Calibri"/>
                <w:sz w:val="22"/>
                <w:szCs w:val="22"/>
              </w:rPr>
              <w:t xml:space="preserve">Enduit </w:t>
            </w:r>
            <w:proofErr w:type="spellStart"/>
            <w:r w:rsidRPr="00C5347D">
              <w:rPr>
                <w:rFonts w:ascii="Arial Narrow" w:hAnsi="Arial Narrow" w:cs="Calibri"/>
                <w:sz w:val="22"/>
                <w:szCs w:val="22"/>
              </w:rPr>
              <w:t>interieur</w:t>
            </w:r>
            <w:proofErr w:type="spellEnd"/>
            <w:r w:rsidRPr="00C5347D">
              <w:rPr>
                <w:rFonts w:ascii="Arial Narrow" w:hAnsi="Arial Narrow" w:cs="Calibri"/>
                <w:sz w:val="22"/>
                <w:szCs w:val="22"/>
              </w:rPr>
              <w:t xml:space="preserve"> au mortier de ciment dosé à 300kg/m3 en deux couches </w:t>
            </w:r>
          </w:p>
        </w:tc>
        <w:tc>
          <w:tcPr>
            <w:tcW w:w="425" w:type="pct"/>
            <w:shd w:val="clear" w:color="auto" w:fill="auto"/>
            <w:noWrap/>
            <w:vAlign w:val="center"/>
            <w:hideMark/>
          </w:tcPr>
          <w:p w14:paraId="6ECE05DE" w14:textId="77777777" w:rsidR="006B66E4" w:rsidRPr="00C5347D" w:rsidRDefault="006B66E4" w:rsidP="006B66E4">
            <w:pPr>
              <w:spacing w:after="0"/>
              <w:ind w:left="0" w:firstLine="0"/>
              <w:jc w:val="center"/>
              <w:rPr>
                <w:rFonts w:ascii="Arial Narrow" w:hAnsi="Arial Narrow" w:cs="Calibri"/>
                <w:sz w:val="22"/>
                <w:szCs w:val="22"/>
              </w:rPr>
            </w:pPr>
            <w:r w:rsidRPr="00C5347D">
              <w:rPr>
                <w:rFonts w:ascii="Arial Narrow" w:hAnsi="Arial Narrow" w:cs="Calibri"/>
                <w:sz w:val="22"/>
                <w:szCs w:val="22"/>
              </w:rPr>
              <w:t>m²</w:t>
            </w:r>
          </w:p>
        </w:tc>
        <w:tc>
          <w:tcPr>
            <w:tcW w:w="598" w:type="pct"/>
            <w:shd w:val="clear" w:color="auto" w:fill="auto"/>
            <w:noWrap/>
            <w:vAlign w:val="center"/>
            <w:hideMark/>
          </w:tcPr>
          <w:p w14:paraId="70C40C08" w14:textId="77777777" w:rsidR="006B66E4" w:rsidRPr="00A7320B" w:rsidRDefault="006B66E4" w:rsidP="006B66E4">
            <w:pPr>
              <w:spacing w:after="0"/>
              <w:ind w:left="0" w:firstLine="0"/>
              <w:jc w:val="center"/>
              <w:rPr>
                <w:rFonts w:ascii="Arial Narrow" w:hAnsi="Arial Narrow" w:cs="Calibri"/>
                <w:sz w:val="22"/>
                <w:szCs w:val="22"/>
              </w:rPr>
            </w:pPr>
            <w:r w:rsidRPr="00A7320B">
              <w:rPr>
                <w:rFonts w:ascii="Arial Narrow" w:hAnsi="Arial Narrow" w:cs="Calibri"/>
                <w:sz w:val="22"/>
                <w:szCs w:val="22"/>
              </w:rPr>
              <w:t>383</w:t>
            </w:r>
          </w:p>
        </w:tc>
        <w:tc>
          <w:tcPr>
            <w:tcW w:w="598" w:type="pct"/>
          </w:tcPr>
          <w:p w14:paraId="2C0E8ECF" w14:textId="77777777" w:rsidR="006B66E4" w:rsidRPr="00C5347D" w:rsidRDefault="006B66E4" w:rsidP="006B66E4">
            <w:pPr>
              <w:spacing w:after="0"/>
              <w:ind w:left="0" w:firstLine="0"/>
              <w:jc w:val="center"/>
              <w:rPr>
                <w:rFonts w:ascii="Arial Narrow" w:hAnsi="Arial Narrow" w:cs="Calibri"/>
                <w:sz w:val="22"/>
                <w:szCs w:val="22"/>
              </w:rPr>
            </w:pPr>
          </w:p>
        </w:tc>
        <w:tc>
          <w:tcPr>
            <w:tcW w:w="598" w:type="pct"/>
          </w:tcPr>
          <w:p w14:paraId="45897770" w14:textId="77777777" w:rsidR="006B66E4" w:rsidRPr="00C5347D" w:rsidRDefault="006B66E4" w:rsidP="006B66E4">
            <w:pPr>
              <w:spacing w:after="0"/>
              <w:ind w:left="0" w:firstLine="0"/>
              <w:jc w:val="center"/>
              <w:rPr>
                <w:rFonts w:ascii="Arial Narrow" w:hAnsi="Arial Narrow" w:cs="Calibri"/>
                <w:sz w:val="22"/>
                <w:szCs w:val="22"/>
              </w:rPr>
            </w:pPr>
          </w:p>
        </w:tc>
      </w:tr>
      <w:tr w:rsidR="006B66E4" w:rsidRPr="00C5347D" w14:paraId="19A0D973" w14:textId="77777777" w:rsidTr="00D77BC6">
        <w:trPr>
          <w:trHeight w:val="552"/>
        </w:trPr>
        <w:tc>
          <w:tcPr>
            <w:tcW w:w="237" w:type="pct"/>
            <w:shd w:val="clear" w:color="auto" w:fill="auto"/>
            <w:noWrap/>
            <w:vAlign w:val="center"/>
            <w:hideMark/>
          </w:tcPr>
          <w:p w14:paraId="376D103A" w14:textId="77777777" w:rsidR="006B66E4" w:rsidRPr="00C5347D" w:rsidRDefault="006B66E4" w:rsidP="006B66E4">
            <w:pPr>
              <w:spacing w:after="0"/>
              <w:ind w:left="0" w:firstLine="0"/>
              <w:jc w:val="left"/>
              <w:rPr>
                <w:rFonts w:ascii="Arial Narrow" w:hAnsi="Arial Narrow" w:cs="Calibri"/>
                <w:sz w:val="22"/>
                <w:szCs w:val="22"/>
              </w:rPr>
            </w:pPr>
            <w:r w:rsidRPr="00C5347D">
              <w:rPr>
                <w:rFonts w:ascii="Arial Narrow" w:hAnsi="Arial Narrow" w:cs="Calibri"/>
                <w:sz w:val="22"/>
                <w:szCs w:val="22"/>
              </w:rPr>
              <w:t>5.2</w:t>
            </w:r>
          </w:p>
        </w:tc>
        <w:tc>
          <w:tcPr>
            <w:tcW w:w="2543" w:type="pct"/>
            <w:shd w:val="clear" w:color="auto" w:fill="auto"/>
            <w:vAlign w:val="center"/>
            <w:hideMark/>
          </w:tcPr>
          <w:p w14:paraId="6E145B48" w14:textId="77777777" w:rsidR="006B66E4" w:rsidRPr="00C5347D" w:rsidRDefault="006B66E4" w:rsidP="006B66E4">
            <w:pPr>
              <w:spacing w:after="0"/>
              <w:ind w:left="0" w:firstLine="0"/>
              <w:jc w:val="left"/>
              <w:rPr>
                <w:rFonts w:ascii="Arial Narrow" w:hAnsi="Arial Narrow" w:cs="Calibri"/>
                <w:sz w:val="22"/>
                <w:szCs w:val="22"/>
              </w:rPr>
            </w:pPr>
            <w:r w:rsidRPr="00C5347D">
              <w:rPr>
                <w:rFonts w:ascii="Arial Narrow" w:hAnsi="Arial Narrow" w:cs="Calibri"/>
                <w:sz w:val="22"/>
                <w:szCs w:val="22"/>
              </w:rPr>
              <w:t xml:space="preserve">Enduit </w:t>
            </w:r>
            <w:proofErr w:type="spellStart"/>
            <w:r w:rsidRPr="00C5347D">
              <w:rPr>
                <w:rFonts w:ascii="Arial Narrow" w:hAnsi="Arial Narrow" w:cs="Calibri"/>
                <w:sz w:val="22"/>
                <w:szCs w:val="22"/>
              </w:rPr>
              <w:t>exterieur</w:t>
            </w:r>
            <w:proofErr w:type="spellEnd"/>
            <w:r w:rsidRPr="00C5347D">
              <w:rPr>
                <w:rFonts w:ascii="Arial Narrow" w:hAnsi="Arial Narrow" w:cs="Calibri"/>
                <w:sz w:val="22"/>
                <w:szCs w:val="22"/>
              </w:rPr>
              <w:t xml:space="preserve"> au mortier de ciment dosé à 300kg/m3 en deux couches </w:t>
            </w:r>
          </w:p>
        </w:tc>
        <w:tc>
          <w:tcPr>
            <w:tcW w:w="425" w:type="pct"/>
            <w:shd w:val="clear" w:color="auto" w:fill="auto"/>
            <w:noWrap/>
            <w:vAlign w:val="center"/>
            <w:hideMark/>
          </w:tcPr>
          <w:p w14:paraId="1DFECDAC" w14:textId="77777777" w:rsidR="006B66E4" w:rsidRPr="00C5347D" w:rsidRDefault="006B66E4" w:rsidP="006B66E4">
            <w:pPr>
              <w:spacing w:after="0"/>
              <w:ind w:left="0" w:firstLine="0"/>
              <w:jc w:val="center"/>
              <w:rPr>
                <w:rFonts w:ascii="Arial Narrow" w:hAnsi="Arial Narrow" w:cs="Calibri"/>
                <w:sz w:val="22"/>
                <w:szCs w:val="22"/>
              </w:rPr>
            </w:pPr>
            <w:r w:rsidRPr="00C5347D">
              <w:rPr>
                <w:rFonts w:ascii="Arial Narrow" w:hAnsi="Arial Narrow" w:cs="Calibri"/>
                <w:sz w:val="22"/>
                <w:szCs w:val="22"/>
              </w:rPr>
              <w:t>m²</w:t>
            </w:r>
          </w:p>
        </w:tc>
        <w:tc>
          <w:tcPr>
            <w:tcW w:w="598" w:type="pct"/>
            <w:shd w:val="clear" w:color="auto" w:fill="auto"/>
            <w:noWrap/>
            <w:vAlign w:val="center"/>
            <w:hideMark/>
          </w:tcPr>
          <w:p w14:paraId="53250458" w14:textId="77777777" w:rsidR="006B66E4" w:rsidRPr="00A7320B" w:rsidRDefault="006B66E4" w:rsidP="006B66E4">
            <w:pPr>
              <w:spacing w:after="0"/>
              <w:ind w:left="0" w:firstLine="0"/>
              <w:jc w:val="center"/>
              <w:rPr>
                <w:rFonts w:ascii="Arial Narrow" w:hAnsi="Arial Narrow" w:cs="Calibri"/>
                <w:sz w:val="22"/>
                <w:szCs w:val="22"/>
              </w:rPr>
            </w:pPr>
            <w:r w:rsidRPr="00A7320B">
              <w:rPr>
                <w:rFonts w:ascii="Arial Narrow" w:hAnsi="Arial Narrow" w:cs="Calibri"/>
                <w:sz w:val="22"/>
                <w:szCs w:val="22"/>
              </w:rPr>
              <w:t>489</w:t>
            </w:r>
          </w:p>
        </w:tc>
        <w:tc>
          <w:tcPr>
            <w:tcW w:w="598" w:type="pct"/>
          </w:tcPr>
          <w:p w14:paraId="4E247B09" w14:textId="77777777" w:rsidR="006B66E4" w:rsidRPr="00C5347D" w:rsidRDefault="006B66E4" w:rsidP="006B66E4">
            <w:pPr>
              <w:spacing w:after="0"/>
              <w:ind w:left="0" w:firstLine="0"/>
              <w:jc w:val="center"/>
              <w:rPr>
                <w:rFonts w:ascii="Arial Narrow" w:hAnsi="Arial Narrow" w:cs="Calibri"/>
                <w:sz w:val="22"/>
                <w:szCs w:val="22"/>
              </w:rPr>
            </w:pPr>
          </w:p>
        </w:tc>
        <w:tc>
          <w:tcPr>
            <w:tcW w:w="598" w:type="pct"/>
          </w:tcPr>
          <w:p w14:paraId="6890E4A7" w14:textId="77777777" w:rsidR="006B66E4" w:rsidRPr="00C5347D" w:rsidRDefault="006B66E4" w:rsidP="006B66E4">
            <w:pPr>
              <w:spacing w:after="0"/>
              <w:ind w:left="0" w:firstLine="0"/>
              <w:jc w:val="center"/>
              <w:rPr>
                <w:rFonts w:ascii="Arial Narrow" w:hAnsi="Arial Narrow" w:cs="Calibri"/>
                <w:sz w:val="22"/>
                <w:szCs w:val="22"/>
              </w:rPr>
            </w:pPr>
          </w:p>
        </w:tc>
      </w:tr>
      <w:tr w:rsidR="006B66E4" w:rsidRPr="00C5347D" w14:paraId="2C05FD08" w14:textId="77777777" w:rsidTr="00D77BC6">
        <w:trPr>
          <w:trHeight w:val="276"/>
        </w:trPr>
        <w:tc>
          <w:tcPr>
            <w:tcW w:w="237" w:type="pct"/>
            <w:shd w:val="clear" w:color="auto" w:fill="auto"/>
            <w:noWrap/>
            <w:vAlign w:val="center"/>
            <w:hideMark/>
          </w:tcPr>
          <w:p w14:paraId="4AC2D124" w14:textId="77777777" w:rsidR="006B66E4" w:rsidRPr="00C5347D" w:rsidRDefault="006B66E4" w:rsidP="006B66E4">
            <w:pPr>
              <w:spacing w:after="0"/>
              <w:ind w:left="0" w:firstLine="0"/>
              <w:jc w:val="left"/>
              <w:rPr>
                <w:rFonts w:ascii="Arial Narrow" w:hAnsi="Arial Narrow" w:cs="Calibri"/>
                <w:sz w:val="22"/>
                <w:szCs w:val="22"/>
              </w:rPr>
            </w:pPr>
            <w:r w:rsidRPr="00C5347D">
              <w:rPr>
                <w:rFonts w:ascii="Arial Narrow" w:hAnsi="Arial Narrow" w:cs="Calibri"/>
                <w:sz w:val="22"/>
                <w:szCs w:val="22"/>
              </w:rPr>
              <w:t> </w:t>
            </w:r>
          </w:p>
        </w:tc>
        <w:tc>
          <w:tcPr>
            <w:tcW w:w="2543" w:type="pct"/>
            <w:shd w:val="clear" w:color="auto" w:fill="auto"/>
            <w:vAlign w:val="center"/>
            <w:hideMark/>
          </w:tcPr>
          <w:p w14:paraId="2EDE2D0B" w14:textId="77777777" w:rsidR="006B66E4" w:rsidRPr="00C5347D" w:rsidRDefault="006B66E4" w:rsidP="006B66E4">
            <w:pPr>
              <w:spacing w:after="0"/>
              <w:ind w:left="0" w:firstLine="0"/>
              <w:jc w:val="left"/>
              <w:rPr>
                <w:rFonts w:ascii="Arial Narrow" w:hAnsi="Arial Narrow" w:cs="Calibri"/>
                <w:b/>
                <w:bCs/>
                <w:sz w:val="22"/>
                <w:szCs w:val="22"/>
              </w:rPr>
            </w:pPr>
            <w:r w:rsidRPr="00C5347D">
              <w:rPr>
                <w:rFonts w:ascii="Arial Narrow" w:hAnsi="Arial Narrow" w:cs="Calibri"/>
                <w:b/>
                <w:bCs/>
                <w:sz w:val="22"/>
                <w:szCs w:val="22"/>
              </w:rPr>
              <w:t>TOTAL ENDUITS</w:t>
            </w:r>
          </w:p>
        </w:tc>
        <w:tc>
          <w:tcPr>
            <w:tcW w:w="425" w:type="pct"/>
            <w:shd w:val="clear" w:color="auto" w:fill="auto"/>
            <w:noWrap/>
            <w:vAlign w:val="center"/>
            <w:hideMark/>
          </w:tcPr>
          <w:p w14:paraId="1C72C61B" w14:textId="77777777" w:rsidR="006B66E4" w:rsidRPr="00C5347D" w:rsidRDefault="006B66E4" w:rsidP="006B66E4">
            <w:pPr>
              <w:spacing w:after="0"/>
              <w:ind w:left="0" w:firstLine="0"/>
              <w:jc w:val="center"/>
              <w:rPr>
                <w:rFonts w:ascii="Arial Narrow" w:hAnsi="Arial Narrow" w:cs="Calibri"/>
                <w:sz w:val="22"/>
                <w:szCs w:val="22"/>
              </w:rPr>
            </w:pPr>
            <w:r w:rsidRPr="00C5347D">
              <w:rPr>
                <w:rFonts w:ascii="Arial Narrow" w:hAnsi="Arial Narrow" w:cs="Calibri"/>
                <w:sz w:val="22"/>
                <w:szCs w:val="22"/>
              </w:rPr>
              <w:t> </w:t>
            </w:r>
          </w:p>
        </w:tc>
        <w:tc>
          <w:tcPr>
            <w:tcW w:w="598" w:type="pct"/>
            <w:shd w:val="clear" w:color="auto" w:fill="auto"/>
            <w:noWrap/>
            <w:vAlign w:val="center"/>
            <w:hideMark/>
          </w:tcPr>
          <w:p w14:paraId="7A26BBBE" w14:textId="77777777" w:rsidR="006B66E4" w:rsidRPr="00A7320B" w:rsidRDefault="006B66E4" w:rsidP="006B66E4">
            <w:pPr>
              <w:spacing w:after="0"/>
              <w:ind w:left="0" w:firstLine="0"/>
              <w:jc w:val="left"/>
              <w:rPr>
                <w:rFonts w:ascii="Arial Narrow" w:hAnsi="Arial Narrow" w:cs="Calibri"/>
                <w:sz w:val="22"/>
                <w:szCs w:val="22"/>
              </w:rPr>
            </w:pPr>
            <w:r w:rsidRPr="00A7320B">
              <w:rPr>
                <w:rFonts w:ascii="Arial Narrow" w:hAnsi="Arial Narrow" w:cs="Calibri"/>
                <w:sz w:val="22"/>
                <w:szCs w:val="22"/>
              </w:rPr>
              <w:t> </w:t>
            </w:r>
          </w:p>
        </w:tc>
        <w:tc>
          <w:tcPr>
            <w:tcW w:w="598" w:type="pct"/>
          </w:tcPr>
          <w:p w14:paraId="3AFD623B" w14:textId="77777777" w:rsidR="006B66E4" w:rsidRPr="00C5347D" w:rsidRDefault="006B66E4" w:rsidP="006B66E4">
            <w:pPr>
              <w:spacing w:after="0"/>
              <w:ind w:left="0" w:firstLine="0"/>
              <w:jc w:val="left"/>
              <w:rPr>
                <w:rFonts w:ascii="Arial Narrow" w:hAnsi="Arial Narrow" w:cs="Calibri"/>
                <w:sz w:val="22"/>
                <w:szCs w:val="22"/>
              </w:rPr>
            </w:pPr>
          </w:p>
        </w:tc>
        <w:tc>
          <w:tcPr>
            <w:tcW w:w="598" w:type="pct"/>
          </w:tcPr>
          <w:p w14:paraId="25AE552A" w14:textId="77777777" w:rsidR="006B66E4" w:rsidRPr="00C5347D" w:rsidRDefault="006B66E4" w:rsidP="006B66E4">
            <w:pPr>
              <w:spacing w:after="0"/>
              <w:ind w:left="0" w:firstLine="0"/>
              <w:jc w:val="left"/>
              <w:rPr>
                <w:rFonts w:ascii="Arial Narrow" w:hAnsi="Arial Narrow" w:cs="Calibri"/>
                <w:sz w:val="22"/>
                <w:szCs w:val="22"/>
              </w:rPr>
            </w:pPr>
          </w:p>
        </w:tc>
      </w:tr>
      <w:tr w:rsidR="006B66E4" w:rsidRPr="00C5347D" w14:paraId="6567BFC3" w14:textId="77777777" w:rsidTr="00D77BC6">
        <w:trPr>
          <w:trHeight w:val="276"/>
        </w:trPr>
        <w:tc>
          <w:tcPr>
            <w:tcW w:w="237" w:type="pct"/>
            <w:shd w:val="clear" w:color="auto" w:fill="auto"/>
            <w:noWrap/>
            <w:vAlign w:val="center"/>
            <w:hideMark/>
          </w:tcPr>
          <w:p w14:paraId="7CC8EE66" w14:textId="77777777" w:rsidR="006B66E4" w:rsidRPr="00C5347D" w:rsidRDefault="006B66E4" w:rsidP="006B66E4">
            <w:pPr>
              <w:spacing w:after="0"/>
              <w:ind w:left="0" w:firstLine="0"/>
              <w:jc w:val="left"/>
              <w:rPr>
                <w:rFonts w:ascii="Arial Narrow" w:hAnsi="Arial Narrow" w:cs="Calibri"/>
                <w:sz w:val="22"/>
                <w:szCs w:val="22"/>
              </w:rPr>
            </w:pPr>
            <w:r w:rsidRPr="00C5347D">
              <w:rPr>
                <w:rFonts w:ascii="Arial Narrow" w:hAnsi="Arial Narrow" w:cs="Calibri"/>
                <w:sz w:val="22"/>
                <w:szCs w:val="22"/>
              </w:rPr>
              <w:t> </w:t>
            </w:r>
          </w:p>
        </w:tc>
        <w:tc>
          <w:tcPr>
            <w:tcW w:w="2543" w:type="pct"/>
            <w:shd w:val="clear" w:color="auto" w:fill="auto"/>
            <w:vAlign w:val="center"/>
            <w:hideMark/>
          </w:tcPr>
          <w:p w14:paraId="436EBEBC" w14:textId="77777777" w:rsidR="006B66E4" w:rsidRPr="00C5347D" w:rsidRDefault="006B66E4" w:rsidP="006B66E4">
            <w:pPr>
              <w:spacing w:after="0"/>
              <w:ind w:left="0" w:firstLine="0"/>
              <w:jc w:val="left"/>
              <w:rPr>
                <w:rFonts w:ascii="Arial Narrow" w:hAnsi="Arial Narrow" w:cs="Calibri"/>
                <w:b/>
                <w:bCs/>
                <w:sz w:val="22"/>
                <w:szCs w:val="22"/>
              </w:rPr>
            </w:pPr>
            <w:r w:rsidRPr="00C5347D">
              <w:rPr>
                <w:rFonts w:ascii="Arial Narrow" w:hAnsi="Arial Narrow" w:cs="Calibri"/>
                <w:b/>
                <w:bCs/>
                <w:sz w:val="22"/>
                <w:szCs w:val="22"/>
              </w:rPr>
              <w:t>VI. MENUISERIE</w:t>
            </w:r>
          </w:p>
        </w:tc>
        <w:tc>
          <w:tcPr>
            <w:tcW w:w="425" w:type="pct"/>
            <w:shd w:val="clear" w:color="auto" w:fill="auto"/>
            <w:noWrap/>
            <w:vAlign w:val="center"/>
            <w:hideMark/>
          </w:tcPr>
          <w:p w14:paraId="0A97F98F" w14:textId="77777777" w:rsidR="006B66E4" w:rsidRPr="00C5347D" w:rsidRDefault="006B66E4" w:rsidP="006B66E4">
            <w:pPr>
              <w:spacing w:after="0"/>
              <w:ind w:left="0" w:firstLine="0"/>
              <w:jc w:val="center"/>
              <w:rPr>
                <w:rFonts w:ascii="Arial Narrow" w:hAnsi="Arial Narrow" w:cs="Calibri"/>
                <w:sz w:val="22"/>
                <w:szCs w:val="22"/>
              </w:rPr>
            </w:pPr>
            <w:r w:rsidRPr="00C5347D">
              <w:rPr>
                <w:rFonts w:ascii="Arial Narrow" w:hAnsi="Arial Narrow" w:cs="Calibri"/>
                <w:sz w:val="22"/>
                <w:szCs w:val="22"/>
              </w:rPr>
              <w:t> </w:t>
            </w:r>
          </w:p>
        </w:tc>
        <w:tc>
          <w:tcPr>
            <w:tcW w:w="598" w:type="pct"/>
            <w:shd w:val="clear" w:color="auto" w:fill="auto"/>
            <w:noWrap/>
            <w:vAlign w:val="center"/>
            <w:hideMark/>
          </w:tcPr>
          <w:p w14:paraId="034D8C77" w14:textId="77777777" w:rsidR="006B66E4" w:rsidRPr="00A7320B" w:rsidRDefault="006B66E4" w:rsidP="006B66E4">
            <w:pPr>
              <w:spacing w:after="0"/>
              <w:ind w:left="0" w:firstLine="0"/>
              <w:jc w:val="left"/>
              <w:rPr>
                <w:rFonts w:ascii="Arial Narrow" w:hAnsi="Arial Narrow" w:cs="Calibri"/>
                <w:sz w:val="22"/>
                <w:szCs w:val="22"/>
              </w:rPr>
            </w:pPr>
            <w:r w:rsidRPr="00A7320B">
              <w:rPr>
                <w:rFonts w:ascii="Arial Narrow" w:hAnsi="Arial Narrow" w:cs="Calibri"/>
                <w:sz w:val="22"/>
                <w:szCs w:val="22"/>
              </w:rPr>
              <w:t> </w:t>
            </w:r>
          </w:p>
        </w:tc>
        <w:tc>
          <w:tcPr>
            <w:tcW w:w="598" w:type="pct"/>
          </w:tcPr>
          <w:p w14:paraId="51125678" w14:textId="77777777" w:rsidR="006B66E4" w:rsidRPr="00C5347D" w:rsidRDefault="006B66E4" w:rsidP="006B66E4">
            <w:pPr>
              <w:spacing w:after="0"/>
              <w:ind w:left="0" w:firstLine="0"/>
              <w:jc w:val="left"/>
              <w:rPr>
                <w:rFonts w:ascii="Arial Narrow" w:hAnsi="Arial Narrow" w:cs="Calibri"/>
                <w:sz w:val="22"/>
                <w:szCs w:val="22"/>
              </w:rPr>
            </w:pPr>
          </w:p>
        </w:tc>
        <w:tc>
          <w:tcPr>
            <w:tcW w:w="598" w:type="pct"/>
          </w:tcPr>
          <w:p w14:paraId="478C1E00" w14:textId="77777777" w:rsidR="006B66E4" w:rsidRPr="00C5347D" w:rsidRDefault="006B66E4" w:rsidP="006B66E4">
            <w:pPr>
              <w:spacing w:after="0"/>
              <w:ind w:left="0" w:firstLine="0"/>
              <w:jc w:val="left"/>
              <w:rPr>
                <w:rFonts w:ascii="Arial Narrow" w:hAnsi="Arial Narrow" w:cs="Calibri"/>
                <w:sz w:val="22"/>
                <w:szCs w:val="22"/>
              </w:rPr>
            </w:pPr>
          </w:p>
        </w:tc>
      </w:tr>
      <w:tr w:rsidR="006B66E4" w:rsidRPr="00C5347D" w14:paraId="4262E653" w14:textId="77777777" w:rsidTr="00D77BC6">
        <w:trPr>
          <w:trHeight w:val="552"/>
        </w:trPr>
        <w:tc>
          <w:tcPr>
            <w:tcW w:w="237" w:type="pct"/>
            <w:shd w:val="clear" w:color="auto" w:fill="auto"/>
            <w:noWrap/>
            <w:vAlign w:val="center"/>
            <w:hideMark/>
          </w:tcPr>
          <w:p w14:paraId="58348CE8" w14:textId="77777777" w:rsidR="006B66E4" w:rsidRPr="00C5347D" w:rsidRDefault="006B66E4" w:rsidP="006B66E4">
            <w:pPr>
              <w:spacing w:after="0"/>
              <w:ind w:left="0" w:firstLine="0"/>
              <w:jc w:val="left"/>
              <w:rPr>
                <w:rFonts w:ascii="Arial Narrow" w:hAnsi="Arial Narrow" w:cs="Calibri"/>
                <w:sz w:val="22"/>
                <w:szCs w:val="22"/>
              </w:rPr>
            </w:pPr>
            <w:r w:rsidRPr="00C5347D">
              <w:rPr>
                <w:rFonts w:ascii="Arial Narrow" w:hAnsi="Arial Narrow" w:cs="Calibri"/>
                <w:sz w:val="22"/>
                <w:szCs w:val="22"/>
              </w:rPr>
              <w:t>6.1</w:t>
            </w:r>
          </w:p>
        </w:tc>
        <w:tc>
          <w:tcPr>
            <w:tcW w:w="2543" w:type="pct"/>
            <w:shd w:val="clear" w:color="auto" w:fill="auto"/>
            <w:vAlign w:val="center"/>
            <w:hideMark/>
          </w:tcPr>
          <w:p w14:paraId="730E7DCA" w14:textId="77777777" w:rsidR="006B66E4" w:rsidRPr="00C5347D" w:rsidRDefault="006B66E4" w:rsidP="006B66E4">
            <w:pPr>
              <w:spacing w:after="0"/>
              <w:ind w:left="0" w:firstLine="0"/>
              <w:jc w:val="left"/>
              <w:rPr>
                <w:rFonts w:ascii="Arial Narrow" w:hAnsi="Arial Narrow" w:cs="Calibri"/>
                <w:sz w:val="22"/>
                <w:szCs w:val="22"/>
              </w:rPr>
            </w:pPr>
            <w:r w:rsidRPr="00C5347D">
              <w:rPr>
                <w:rFonts w:ascii="Arial Narrow" w:hAnsi="Arial Narrow" w:cs="Calibri"/>
                <w:sz w:val="22"/>
                <w:szCs w:val="22"/>
              </w:rPr>
              <w:t>F/P porte métallique persienne orientable (2,00x2</w:t>
            </w:r>
            <w:proofErr w:type="gramStart"/>
            <w:r w:rsidRPr="00C5347D">
              <w:rPr>
                <w:rFonts w:ascii="Arial Narrow" w:hAnsi="Arial Narrow" w:cs="Calibri"/>
                <w:sz w:val="22"/>
                <w:szCs w:val="22"/>
              </w:rPr>
              <w:t>,20</w:t>
            </w:r>
            <w:proofErr w:type="gramEnd"/>
            <w:r w:rsidRPr="00C5347D">
              <w:rPr>
                <w:rFonts w:ascii="Arial Narrow" w:hAnsi="Arial Narrow" w:cs="Calibri"/>
                <w:sz w:val="22"/>
                <w:szCs w:val="22"/>
              </w:rPr>
              <w:t>) avec  grille moustiquaire y compris toutes suggestions</w:t>
            </w:r>
          </w:p>
        </w:tc>
        <w:tc>
          <w:tcPr>
            <w:tcW w:w="425" w:type="pct"/>
            <w:shd w:val="clear" w:color="auto" w:fill="auto"/>
            <w:noWrap/>
            <w:vAlign w:val="center"/>
            <w:hideMark/>
          </w:tcPr>
          <w:p w14:paraId="0DFCA29A" w14:textId="77777777" w:rsidR="006B66E4" w:rsidRPr="00C5347D" w:rsidRDefault="006B66E4" w:rsidP="006B66E4">
            <w:pPr>
              <w:spacing w:after="0"/>
              <w:ind w:left="0" w:firstLine="0"/>
              <w:jc w:val="center"/>
              <w:rPr>
                <w:rFonts w:ascii="Arial Narrow" w:hAnsi="Arial Narrow" w:cs="Calibri"/>
                <w:sz w:val="22"/>
                <w:szCs w:val="22"/>
              </w:rPr>
            </w:pPr>
            <w:r w:rsidRPr="00C5347D">
              <w:rPr>
                <w:rFonts w:ascii="Arial Narrow" w:hAnsi="Arial Narrow" w:cs="Calibri"/>
                <w:sz w:val="22"/>
                <w:szCs w:val="22"/>
              </w:rPr>
              <w:t>U</w:t>
            </w:r>
          </w:p>
        </w:tc>
        <w:tc>
          <w:tcPr>
            <w:tcW w:w="598" w:type="pct"/>
            <w:shd w:val="clear" w:color="auto" w:fill="auto"/>
            <w:noWrap/>
            <w:vAlign w:val="center"/>
            <w:hideMark/>
          </w:tcPr>
          <w:p w14:paraId="2FF696EF" w14:textId="77777777" w:rsidR="006B66E4" w:rsidRPr="00A7320B" w:rsidRDefault="006B66E4" w:rsidP="006B66E4">
            <w:pPr>
              <w:spacing w:after="0"/>
              <w:ind w:left="0" w:firstLine="0"/>
              <w:jc w:val="center"/>
              <w:rPr>
                <w:rFonts w:ascii="Arial Narrow" w:hAnsi="Arial Narrow" w:cs="Calibri"/>
                <w:sz w:val="22"/>
                <w:szCs w:val="22"/>
              </w:rPr>
            </w:pPr>
            <w:r w:rsidRPr="00A7320B">
              <w:rPr>
                <w:rFonts w:ascii="Arial Narrow" w:hAnsi="Arial Narrow" w:cs="Calibri"/>
                <w:sz w:val="22"/>
                <w:szCs w:val="22"/>
              </w:rPr>
              <w:t>2</w:t>
            </w:r>
          </w:p>
        </w:tc>
        <w:tc>
          <w:tcPr>
            <w:tcW w:w="598" w:type="pct"/>
          </w:tcPr>
          <w:p w14:paraId="22091004" w14:textId="77777777" w:rsidR="006B66E4" w:rsidRPr="00C5347D" w:rsidRDefault="006B66E4" w:rsidP="006B66E4">
            <w:pPr>
              <w:spacing w:after="0"/>
              <w:ind w:left="0" w:firstLine="0"/>
              <w:jc w:val="center"/>
              <w:rPr>
                <w:rFonts w:ascii="Arial Narrow" w:hAnsi="Arial Narrow" w:cs="Calibri"/>
                <w:sz w:val="22"/>
                <w:szCs w:val="22"/>
              </w:rPr>
            </w:pPr>
          </w:p>
        </w:tc>
        <w:tc>
          <w:tcPr>
            <w:tcW w:w="598" w:type="pct"/>
          </w:tcPr>
          <w:p w14:paraId="50B81DFA" w14:textId="77777777" w:rsidR="006B66E4" w:rsidRPr="00C5347D" w:rsidRDefault="006B66E4" w:rsidP="006B66E4">
            <w:pPr>
              <w:spacing w:after="0"/>
              <w:ind w:left="0" w:firstLine="0"/>
              <w:jc w:val="center"/>
              <w:rPr>
                <w:rFonts w:ascii="Arial Narrow" w:hAnsi="Arial Narrow" w:cs="Calibri"/>
                <w:sz w:val="22"/>
                <w:szCs w:val="22"/>
              </w:rPr>
            </w:pPr>
          </w:p>
        </w:tc>
      </w:tr>
      <w:tr w:rsidR="006B66E4" w:rsidRPr="00C5347D" w14:paraId="435CA77A" w14:textId="77777777" w:rsidTr="00D77BC6">
        <w:trPr>
          <w:trHeight w:val="552"/>
        </w:trPr>
        <w:tc>
          <w:tcPr>
            <w:tcW w:w="237" w:type="pct"/>
            <w:shd w:val="clear" w:color="auto" w:fill="auto"/>
            <w:noWrap/>
            <w:vAlign w:val="center"/>
            <w:hideMark/>
          </w:tcPr>
          <w:p w14:paraId="672AC435" w14:textId="77777777" w:rsidR="006B66E4" w:rsidRPr="00C5347D" w:rsidRDefault="006B66E4" w:rsidP="006B66E4">
            <w:pPr>
              <w:spacing w:after="0"/>
              <w:ind w:left="0" w:firstLine="0"/>
              <w:jc w:val="left"/>
              <w:rPr>
                <w:rFonts w:ascii="Arial Narrow" w:hAnsi="Arial Narrow" w:cs="Calibri"/>
                <w:sz w:val="22"/>
                <w:szCs w:val="22"/>
              </w:rPr>
            </w:pPr>
            <w:r w:rsidRPr="00C5347D">
              <w:rPr>
                <w:rFonts w:ascii="Arial Narrow" w:hAnsi="Arial Narrow" w:cs="Calibri"/>
                <w:sz w:val="22"/>
                <w:szCs w:val="22"/>
              </w:rPr>
              <w:t>6.2</w:t>
            </w:r>
          </w:p>
        </w:tc>
        <w:tc>
          <w:tcPr>
            <w:tcW w:w="2543" w:type="pct"/>
            <w:shd w:val="clear" w:color="auto" w:fill="auto"/>
            <w:vAlign w:val="center"/>
            <w:hideMark/>
          </w:tcPr>
          <w:p w14:paraId="6EB61F16" w14:textId="77777777" w:rsidR="006B66E4" w:rsidRPr="00C5347D" w:rsidRDefault="006B66E4" w:rsidP="006B66E4">
            <w:pPr>
              <w:spacing w:after="0"/>
              <w:ind w:left="0" w:firstLine="0"/>
              <w:jc w:val="left"/>
              <w:rPr>
                <w:rFonts w:ascii="Arial Narrow" w:hAnsi="Arial Narrow" w:cs="Calibri"/>
                <w:sz w:val="22"/>
                <w:szCs w:val="22"/>
              </w:rPr>
            </w:pPr>
            <w:r w:rsidRPr="00C5347D">
              <w:rPr>
                <w:rFonts w:ascii="Arial Narrow" w:hAnsi="Arial Narrow" w:cs="Calibri"/>
                <w:sz w:val="22"/>
                <w:szCs w:val="22"/>
              </w:rPr>
              <w:t>F/P porte métallique persienne orientable (0,80x2</w:t>
            </w:r>
            <w:proofErr w:type="gramStart"/>
            <w:r w:rsidRPr="00C5347D">
              <w:rPr>
                <w:rFonts w:ascii="Arial Narrow" w:hAnsi="Arial Narrow" w:cs="Calibri"/>
                <w:sz w:val="22"/>
                <w:szCs w:val="22"/>
              </w:rPr>
              <w:t>,20</w:t>
            </w:r>
            <w:proofErr w:type="gramEnd"/>
            <w:r w:rsidRPr="00C5347D">
              <w:rPr>
                <w:rFonts w:ascii="Arial Narrow" w:hAnsi="Arial Narrow" w:cs="Calibri"/>
                <w:sz w:val="22"/>
                <w:szCs w:val="22"/>
              </w:rPr>
              <w:t>) avec grille moustiquaire y compris toutes suggestions</w:t>
            </w:r>
          </w:p>
        </w:tc>
        <w:tc>
          <w:tcPr>
            <w:tcW w:w="425" w:type="pct"/>
            <w:shd w:val="clear" w:color="auto" w:fill="auto"/>
            <w:noWrap/>
            <w:vAlign w:val="center"/>
            <w:hideMark/>
          </w:tcPr>
          <w:p w14:paraId="5BD3762B" w14:textId="77777777" w:rsidR="006B66E4" w:rsidRPr="00C5347D" w:rsidRDefault="006B66E4" w:rsidP="006B66E4">
            <w:pPr>
              <w:spacing w:after="0"/>
              <w:ind w:left="0" w:firstLine="0"/>
              <w:jc w:val="center"/>
              <w:rPr>
                <w:rFonts w:ascii="Arial Narrow" w:hAnsi="Arial Narrow" w:cs="Calibri"/>
                <w:sz w:val="22"/>
                <w:szCs w:val="22"/>
              </w:rPr>
            </w:pPr>
            <w:r w:rsidRPr="00C5347D">
              <w:rPr>
                <w:rFonts w:ascii="Arial Narrow" w:hAnsi="Arial Narrow" w:cs="Calibri"/>
                <w:sz w:val="22"/>
                <w:szCs w:val="22"/>
              </w:rPr>
              <w:t>U</w:t>
            </w:r>
          </w:p>
        </w:tc>
        <w:tc>
          <w:tcPr>
            <w:tcW w:w="598" w:type="pct"/>
            <w:shd w:val="clear" w:color="auto" w:fill="auto"/>
            <w:noWrap/>
            <w:vAlign w:val="center"/>
            <w:hideMark/>
          </w:tcPr>
          <w:p w14:paraId="5A692E1B" w14:textId="77777777" w:rsidR="006B66E4" w:rsidRPr="00A7320B" w:rsidRDefault="006B66E4" w:rsidP="006B66E4">
            <w:pPr>
              <w:spacing w:after="0"/>
              <w:ind w:left="0" w:firstLine="0"/>
              <w:jc w:val="center"/>
              <w:rPr>
                <w:rFonts w:ascii="Arial Narrow" w:hAnsi="Arial Narrow" w:cs="Calibri"/>
                <w:sz w:val="22"/>
                <w:szCs w:val="22"/>
              </w:rPr>
            </w:pPr>
            <w:r w:rsidRPr="00A7320B">
              <w:rPr>
                <w:rFonts w:ascii="Arial Narrow" w:hAnsi="Arial Narrow" w:cs="Calibri"/>
                <w:sz w:val="22"/>
                <w:szCs w:val="22"/>
              </w:rPr>
              <w:t>1</w:t>
            </w:r>
          </w:p>
        </w:tc>
        <w:tc>
          <w:tcPr>
            <w:tcW w:w="598" w:type="pct"/>
          </w:tcPr>
          <w:p w14:paraId="101A9D86" w14:textId="77777777" w:rsidR="006B66E4" w:rsidRPr="00C5347D" w:rsidRDefault="006B66E4" w:rsidP="006B66E4">
            <w:pPr>
              <w:spacing w:after="0"/>
              <w:ind w:left="0" w:firstLine="0"/>
              <w:jc w:val="center"/>
              <w:rPr>
                <w:rFonts w:ascii="Arial Narrow" w:hAnsi="Arial Narrow" w:cs="Calibri"/>
                <w:sz w:val="22"/>
                <w:szCs w:val="22"/>
              </w:rPr>
            </w:pPr>
          </w:p>
        </w:tc>
        <w:tc>
          <w:tcPr>
            <w:tcW w:w="598" w:type="pct"/>
          </w:tcPr>
          <w:p w14:paraId="6819DDBE" w14:textId="77777777" w:rsidR="006B66E4" w:rsidRPr="00C5347D" w:rsidRDefault="006B66E4" w:rsidP="006B66E4">
            <w:pPr>
              <w:spacing w:after="0"/>
              <w:ind w:left="0" w:firstLine="0"/>
              <w:jc w:val="center"/>
              <w:rPr>
                <w:rFonts w:ascii="Arial Narrow" w:hAnsi="Arial Narrow" w:cs="Calibri"/>
                <w:sz w:val="22"/>
                <w:szCs w:val="22"/>
              </w:rPr>
            </w:pPr>
          </w:p>
        </w:tc>
      </w:tr>
      <w:tr w:rsidR="006B66E4" w:rsidRPr="00C5347D" w14:paraId="3DEC2CD2" w14:textId="77777777" w:rsidTr="00D77BC6">
        <w:trPr>
          <w:trHeight w:val="552"/>
        </w:trPr>
        <w:tc>
          <w:tcPr>
            <w:tcW w:w="237" w:type="pct"/>
            <w:shd w:val="clear" w:color="auto" w:fill="auto"/>
            <w:noWrap/>
            <w:vAlign w:val="center"/>
            <w:hideMark/>
          </w:tcPr>
          <w:p w14:paraId="5491CAE9" w14:textId="77777777" w:rsidR="006B66E4" w:rsidRPr="00C5347D" w:rsidRDefault="006B66E4" w:rsidP="006B66E4">
            <w:pPr>
              <w:spacing w:after="0"/>
              <w:ind w:left="0" w:firstLine="0"/>
              <w:jc w:val="left"/>
              <w:rPr>
                <w:rFonts w:ascii="Arial Narrow" w:hAnsi="Arial Narrow" w:cs="Calibri"/>
                <w:sz w:val="22"/>
                <w:szCs w:val="22"/>
              </w:rPr>
            </w:pPr>
            <w:r w:rsidRPr="00C5347D">
              <w:rPr>
                <w:rFonts w:ascii="Arial Narrow" w:hAnsi="Arial Narrow" w:cs="Calibri"/>
                <w:sz w:val="22"/>
                <w:szCs w:val="22"/>
              </w:rPr>
              <w:t>6.3</w:t>
            </w:r>
          </w:p>
        </w:tc>
        <w:tc>
          <w:tcPr>
            <w:tcW w:w="2543" w:type="pct"/>
            <w:shd w:val="clear" w:color="auto" w:fill="auto"/>
            <w:vAlign w:val="center"/>
            <w:hideMark/>
          </w:tcPr>
          <w:p w14:paraId="78223371" w14:textId="77777777" w:rsidR="006B66E4" w:rsidRPr="00C5347D" w:rsidRDefault="006B66E4" w:rsidP="006B66E4">
            <w:pPr>
              <w:spacing w:after="0"/>
              <w:ind w:left="0" w:firstLine="0"/>
              <w:jc w:val="left"/>
              <w:rPr>
                <w:rFonts w:ascii="Arial Narrow" w:hAnsi="Arial Narrow" w:cs="Calibri"/>
                <w:sz w:val="22"/>
                <w:szCs w:val="22"/>
              </w:rPr>
            </w:pPr>
            <w:r w:rsidRPr="00C5347D">
              <w:rPr>
                <w:rFonts w:ascii="Arial Narrow" w:hAnsi="Arial Narrow" w:cs="Calibri"/>
                <w:sz w:val="22"/>
                <w:szCs w:val="22"/>
              </w:rPr>
              <w:t xml:space="preserve">F/P </w:t>
            </w:r>
            <w:proofErr w:type="spellStart"/>
            <w:r w:rsidRPr="00C5347D">
              <w:rPr>
                <w:rFonts w:ascii="Arial Narrow" w:hAnsi="Arial Narrow" w:cs="Calibri"/>
                <w:sz w:val="22"/>
                <w:szCs w:val="22"/>
              </w:rPr>
              <w:t>fénêtre</w:t>
            </w:r>
            <w:proofErr w:type="spellEnd"/>
            <w:r w:rsidRPr="00C5347D">
              <w:rPr>
                <w:rFonts w:ascii="Arial Narrow" w:hAnsi="Arial Narrow" w:cs="Calibri"/>
                <w:sz w:val="22"/>
                <w:szCs w:val="22"/>
              </w:rPr>
              <w:t xml:space="preserve"> métallique persienne orientable (2,00x1</w:t>
            </w:r>
            <w:proofErr w:type="gramStart"/>
            <w:r w:rsidRPr="00C5347D">
              <w:rPr>
                <w:rFonts w:ascii="Arial Narrow" w:hAnsi="Arial Narrow" w:cs="Calibri"/>
                <w:sz w:val="22"/>
                <w:szCs w:val="22"/>
              </w:rPr>
              <w:t>,80</w:t>
            </w:r>
            <w:proofErr w:type="gramEnd"/>
            <w:r w:rsidRPr="00C5347D">
              <w:rPr>
                <w:rFonts w:ascii="Arial Narrow" w:hAnsi="Arial Narrow" w:cs="Calibri"/>
                <w:sz w:val="22"/>
                <w:szCs w:val="22"/>
              </w:rPr>
              <w:t>) avec grille moustiquaire y compris toutes suggestions</w:t>
            </w:r>
          </w:p>
        </w:tc>
        <w:tc>
          <w:tcPr>
            <w:tcW w:w="425" w:type="pct"/>
            <w:shd w:val="clear" w:color="auto" w:fill="auto"/>
            <w:noWrap/>
            <w:vAlign w:val="center"/>
            <w:hideMark/>
          </w:tcPr>
          <w:p w14:paraId="531C7E58" w14:textId="77777777" w:rsidR="006B66E4" w:rsidRPr="00C5347D" w:rsidRDefault="006B66E4" w:rsidP="006B66E4">
            <w:pPr>
              <w:spacing w:after="0"/>
              <w:ind w:left="0" w:firstLine="0"/>
              <w:jc w:val="center"/>
              <w:rPr>
                <w:rFonts w:ascii="Arial Narrow" w:hAnsi="Arial Narrow" w:cs="Calibri"/>
                <w:sz w:val="22"/>
                <w:szCs w:val="22"/>
              </w:rPr>
            </w:pPr>
            <w:r w:rsidRPr="00C5347D">
              <w:rPr>
                <w:rFonts w:ascii="Arial Narrow" w:hAnsi="Arial Narrow" w:cs="Calibri"/>
                <w:sz w:val="22"/>
                <w:szCs w:val="22"/>
              </w:rPr>
              <w:t>U</w:t>
            </w:r>
          </w:p>
        </w:tc>
        <w:tc>
          <w:tcPr>
            <w:tcW w:w="598" w:type="pct"/>
            <w:shd w:val="clear" w:color="auto" w:fill="auto"/>
            <w:noWrap/>
            <w:vAlign w:val="center"/>
            <w:hideMark/>
          </w:tcPr>
          <w:p w14:paraId="0727DF66" w14:textId="77777777" w:rsidR="006B66E4" w:rsidRPr="00A7320B" w:rsidRDefault="006B66E4" w:rsidP="006B66E4">
            <w:pPr>
              <w:spacing w:after="0"/>
              <w:ind w:left="0" w:firstLine="0"/>
              <w:jc w:val="center"/>
              <w:rPr>
                <w:rFonts w:ascii="Arial Narrow" w:hAnsi="Arial Narrow" w:cs="Calibri"/>
                <w:sz w:val="22"/>
                <w:szCs w:val="22"/>
              </w:rPr>
            </w:pPr>
            <w:r w:rsidRPr="00A7320B">
              <w:rPr>
                <w:rFonts w:ascii="Arial Narrow" w:hAnsi="Arial Narrow" w:cs="Calibri"/>
                <w:sz w:val="22"/>
                <w:szCs w:val="22"/>
              </w:rPr>
              <w:t>13</w:t>
            </w:r>
          </w:p>
        </w:tc>
        <w:tc>
          <w:tcPr>
            <w:tcW w:w="598" w:type="pct"/>
          </w:tcPr>
          <w:p w14:paraId="1FB1EEF9" w14:textId="77777777" w:rsidR="006B66E4" w:rsidRPr="00C5347D" w:rsidRDefault="006B66E4" w:rsidP="006B66E4">
            <w:pPr>
              <w:spacing w:after="0"/>
              <w:ind w:left="0" w:firstLine="0"/>
              <w:jc w:val="center"/>
              <w:rPr>
                <w:rFonts w:ascii="Arial Narrow" w:hAnsi="Arial Narrow" w:cs="Calibri"/>
                <w:sz w:val="22"/>
                <w:szCs w:val="22"/>
              </w:rPr>
            </w:pPr>
          </w:p>
        </w:tc>
        <w:tc>
          <w:tcPr>
            <w:tcW w:w="598" w:type="pct"/>
          </w:tcPr>
          <w:p w14:paraId="082992AA" w14:textId="77777777" w:rsidR="006B66E4" w:rsidRPr="00C5347D" w:rsidRDefault="006B66E4" w:rsidP="006B66E4">
            <w:pPr>
              <w:spacing w:after="0"/>
              <w:ind w:left="0" w:firstLine="0"/>
              <w:jc w:val="center"/>
              <w:rPr>
                <w:rFonts w:ascii="Arial Narrow" w:hAnsi="Arial Narrow" w:cs="Calibri"/>
                <w:sz w:val="22"/>
                <w:szCs w:val="22"/>
              </w:rPr>
            </w:pPr>
          </w:p>
        </w:tc>
      </w:tr>
      <w:tr w:rsidR="006B66E4" w:rsidRPr="00C5347D" w14:paraId="4BD95504" w14:textId="77777777" w:rsidTr="00D77BC6">
        <w:trPr>
          <w:trHeight w:val="552"/>
        </w:trPr>
        <w:tc>
          <w:tcPr>
            <w:tcW w:w="237" w:type="pct"/>
            <w:shd w:val="clear" w:color="auto" w:fill="auto"/>
            <w:noWrap/>
            <w:vAlign w:val="center"/>
            <w:hideMark/>
          </w:tcPr>
          <w:p w14:paraId="28803C72" w14:textId="77777777" w:rsidR="006B66E4" w:rsidRPr="00C5347D" w:rsidRDefault="006B66E4" w:rsidP="006B66E4">
            <w:pPr>
              <w:spacing w:after="0"/>
              <w:ind w:left="0" w:firstLine="0"/>
              <w:jc w:val="left"/>
              <w:rPr>
                <w:rFonts w:ascii="Arial Narrow" w:hAnsi="Arial Narrow" w:cs="Calibri"/>
                <w:sz w:val="22"/>
                <w:szCs w:val="22"/>
              </w:rPr>
            </w:pPr>
            <w:r w:rsidRPr="00C5347D">
              <w:rPr>
                <w:rFonts w:ascii="Arial Narrow" w:hAnsi="Arial Narrow" w:cs="Calibri"/>
                <w:sz w:val="22"/>
                <w:szCs w:val="22"/>
              </w:rPr>
              <w:t>6.4</w:t>
            </w:r>
          </w:p>
        </w:tc>
        <w:tc>
          <w:tcPr>
            <w:tcW w:w="2543" w:type="pct"/>
            <w:shd w:val="clear" w:color="auto" w:fill="auto"/>
            <w:vAlign w:val="center"/>
            <w:hideMark/>
          </w:tcPr>
          <w:p w14:paraId="5A9BB82E" w14:textId="77777777" w:rsidR="006B66E4" w:rsidRPr="00C5347D" w:rsidRDefault="006B66E4" w:rsidP="006B66E4">
            <w:pPr>
              <w:spacing w:after="0"/>
              <w:ind w:left="0" w:firstLine="0"/>
              <w:jc w:val="left"/>
              <w:rPr>
                <w:rFonts w:ascii="Arial Narrow" w:hAnsi="Arial Narrow" w:cs="Calibri"/>
                <w:sz w:val="22"/>
                <w:szCs w:val="22"/>
              </w:rPr>
            </w:pPr>
            <w:r w:rsidRPr="00C5347D">
              <w:rPr>
                <w:rFonts w:ascii="Arial Narrow" w:hAnsi="Arial Narrow" w:cs="Calibri"/>
                <w:sz w:val="22"/>
                <w:szCs w:val="22"/>
              </w:rPr>
              <w:t xml:space="preserve">F/P </w:t>
            </w:r>
            <w:proofErr w:type="spellStart"/>
            <w:r w:rsidRPr="00C5347D">
              <w:rPr>
                <w:rFonts w:ascii="Arial Narrow" w:hAnsi="Arial Narrow" w:cs="Calibri"/>
                <w:sz w:val="22"/>
                <w:szCs w:val="22"/>
              </w:rPr>
              <w:t>fénêtre</w:t>
            </w:r>
            <w:proofErr w:type="spellEnd"/>
            <w:r w:rsidRPr="00C5347D">
              <w:rPr>
                <w:rFonts w:ascii="Arial Narrow" w:hAnsi="Arial Narrow" w:cs="Calibri"/>
                <w:sz w:val="22"/>
                <w:szCs w:val="22"/>
              </w:rPr>
              <w:t xml:space="preserve"> métallique persienne orientable (1,20x1</w:t>
            </w:r>
            <w:proofErr w:type="gramStart"/>
            <w:r w:rsidRPr="00C5347D">
              <w:rPr>
                <w:rFonts w:ascii="Arial Narrow" w:hAnsi="Arial Narrow" w:cs="Calibri"/>
                <w:sz w:val="22"/>
                <w:szCs w:val="22"/>
              </w:rPr>
              <w:t>,20</w:t>
            </w:r>
            <w:proofErr w:type="gramEnd"/>
            <w:r w:rsidRPr="00C5347D">
              <w:rPr>
                <w:rFonts w:ascii="Arial Narrow" w:hAnsi="Arial Narrow" w:cs="Calibri"/>
                <w:sz w:val="22"/>
                <w:szCs w:val="22"/>
              </w:rPr>
              <w:t>) avec grille moustiquaire y compris toutes suggestions</w:t>
            </w:r>
          </w:p>
        </w:tc>
        <w:tc>
          <w:tcPr>
            <w:tcW w:w="425" w:type="pct"/>
            <w:shd w:val="clear" w:color="auto" w:fill="auto"/>
            <w:noWrap/>
            <w:vAlign w:val="center"/>
            <w:hideMark/>
          </w:tcPr>
          <w:p w14:paraId="22F5A397" w14:textId="77777777" w:rsidR="006B66E4" w:rsidRPr="00C5347D" w:rsidRDefault="006B66E4" w:rsidP="006B66E4">
            <w:pPr>
              <w:spacing w:after="0"/>
              <w:ind w:left="0" w:firstLine="0"/>
              <w:jc w:val="center"/>
              <w:rPr>
                <w:rFonts w:ascii="Arial Narrow" w:hAnsi="Arial Narrow" w:cs="Calibri"/>
                <w:sz w:val="22"/>
                <w:szCs w:val="22"/>
              </w:rPr>
            </w:pPr>
            <w:r w:rsidRPr="00C5347D">
              <w:rPr>
                <w:rFonts w:ascii="Arial Narrow" w:hAnsi="Arial Narrow" w:cs="Calibri"/>
                <w:sz w:val="22"/>
                <w:szCs w:val="22"/>
              </w:rPr>
              <w:t>U</w:t>
            </w:r>
          </w:p>
        </w:tc>
        <w:tc>
          <w:tcPr>
            <w:tcW w:w="598" w:type="pct"/>
            <w:shd w:val="clear" w:color="auto" w:fill="auto"/>
            <w:noWrap/>
            <w:vAlign w:val="center"/>
            <w:hideMark/>
          </w:tcPr>
          <w:p w14:paraId="44919A64" w14:textId="77777777" w:rsidR="006B66E4" w:rsidRPr="00A7320B" w:rsidRDefault="006B66E4" w:rsidP="006B66E4">
            <w:pPr>
              <w:spacing w:after="0"/>
              <w:ind w:left="0" w:firstLine="0"/>
              <w:jc w:val="center"/>
              <w:rPr>
                <w:rFonts w:ascii="Arial Narrow" w:hAnsi="Arial Narrow" w:cs="Calibri"/>
                <w:sz w:val="22"/>
                <w:szCs w:val="22"/>
              </w:rPr>
            </w:pPr>
            <w:r w:rsidRPr="00A7320B">
              <w:rPr>
                <w:rFonts w:ascii="Arial Narrow" w:hAnsi="Arial Narrow" w:cs="Calibri"/>
                <w:sz w:val="22"/>
                <w:szCs w:val="22"/>
              </w:rPr>
              <w:t>2</w:t>
            </w:r>
          </w:p>
        </w:tc>
        <w:tc>
          <w:tcPr>
            <w:tcW w:w="598" w:type="pct"/>
          </w:tcPr>
          <w:p w14:paraId="20DCD38F" w14:textId="77777777" w:rsidR="006B66E4" w:rsidRPr="00C5347D" w:rsidRDefault="006B66E4" w:rsidP="006B66E4">
            <w:pPr>
              <w:spacing w:after="0"/>
              <w:ind w:left="0" w:firstLine="0"/>
              <w:jc w:val="center"/>
              <w:rPr>
                <w:rFonts w:ascii="Arial Narrow" w:hAnsi="Arial Narrow" w:cs="Calibri"/>
                <w:sz w:val="22"/>
                <w:szCs w:val="22"/>
              </w:rPr>
            </w:pPr>
          </w:p>
        </w:tc>
        <w:tc>
          <w:tcPr>
            <w:tcW w:w="598" w:type="pct"/>
          </w:tcPr>
          <w:p w14:paraId="52ACD7A2" w14:textId="77777777" w:rsidR="006B66E4" w:rsidRPr="00C5347D" w:rsidRDefault="006B66E4" w:rsidP="006B66E4">
            <w:pPr>
              <w:spacing w:after="0"/>
              <w:ind w:left="0" w:firstLine="0"/>
              <w:jc w:val="center"/>
              <w:rPr>
                <w:rFonts w:ascii="Arial Narrow" w:hAnsi="Arial Narrow" w:cs="Calibri"/>
                <w:sz w:val="22"/>
                <w:szCs w:val="22"/>
              </w:rPr>
            </w:pPr>
          </w:p>
        </w:tc>
      </w:tr>
      <w:tr w:rsidR="006B66E4" w:rsidRPr="00C5347D" w14:paraId="6F00D94D" w14:textId="77777777" w:rsidTr="00D77BC6">
        <w:trPr>
          <w:trHeight w:val="552"/>
        </w:trPr>
        <w:tc>
          <w:tcPr>
            <w:tcW w:w="237" w:type="pct"/>
            <w:shd w:val="clear" w:color="auto" w:fill="auto"/>
            <w:noWrap/>
            <w:vAlign w:val="center"/>
            <w:hideMark/>
          </w:tcPr>
          <w:p w14:paraId="6B9F5B42" w14:textId="77777777" w:rsidR="006B66E4" w:rsidRPr="00C5347D" w:rsidRDefault="006B66E4" w:rsidP="006B66E4">
            <w:pPr>
              <w:spacing w:after="0"/>
              <w:ind w:left="0" w:firstLine="0"/>
              <w:jc w:val="left"/>
              <w:rPr>
                <w:rFonts w:ascii="Arial Narrow" w:hAnsi="Arial Narrow" w:cs="Calibri"/>
                <w:sz w:val="22"/>
                <w:szCs w:val="22"/>
              </w:rPr>
            </w:pPr>
            <w:r w:rsidRPr="00C5347D">
              <w:rPr>
                <w:rFonts w:ascii="Arial Narrow" w:hAnsi="Arial Narrow" w:cs="Calibri"/>
                <w:sz w:val="22"/>
                <w:szCs w:val="22"/>
              </w:rPr>
              <w:t>6.5</w:t>
            </w:r>
          </w:p>
        </w:tc>
        <w:tc>
          <w:tcPr>
            <w:tcW w:w="2543" w:type="pct"/>
            <w:shd w:val="clear" w:color="auto" w:fill="auto"/>
            <w:vAlign w:val="center"/>
            <w:hideMark/>
          </w:tcPr>
          <w:p w14:paraId="5B7CE6E4" w14:textId="77777777" w:rsidR="006B66E4" w:rsidRPr="00C5347D" w:rsidRDefault="006B66E4" w:rsidP="006B66E4">
            <w:pPr>
              <w:spacing w:after="0"/>
              <w:ind w:left="0" w:firstLine="0"/>
              <w:jc w:val="left"/>
              <w:rPr>
                <w:rFonts w:ascii="Arial Narrow" w:hAnsi="Arial Narrow" w:cs="Calibri"/>
                <w:sz w:val="22"/>
                <w:szCs w:val="22"/>
              </w:rPr>
            </w:pPr>
            <w:r w:rsidRPr="00C5347D">
              <w:rPr>
                <w:rFonts w:ascii="Arial Narrow" w:hAnsi="Arial Narrow" w:cs="Calibri"/>
                <w:sz w:val="22"/>
                <w:szCs w:val="22"/>
              </w:rPr>
              <w:t>F/P imposte métallique persienne orientable (2,00x0</w:t>
            </w:r>
            <w:proofErr w:type="gramStart"/>
            <w:r w:rsidRPr="00C5347D">
              <w:rPr>
                <w:rFonts w:ascii="Arial Narrow" w:hAnsi="Arial Narrow" w:cs="Calibri"/>
                <w:sz w:val="22"/>
                <w:szCs w:val="22"/>
              </w:rPr>
              <w:t>,45</w:t>
            </w:r>
            <w:proofErr w:type="gramEnd"/>
            <w:r w:rsidRPr="00C5347D">
              <w:rPr>
                <w:rFonts w:ascii="Arial Narrow" w:hAnsi="Arial Narrow" w:cs="Calibri"/>
                <w:sz w:val="22"/>
                <w:szCs w:val="22"/>
              </w:rPr>
              <w:t xml:space="preserve">) avec grille </w:t>
            </w:r>
            <w:proofErr w:type="spellStart"/>
            <w:r w:rsidRPr="00C5347D">
              <w:rPr>
                <w:rFonts w:ascii="Arial Narrow" w:hAnsi="Arial Narrow" w:cs="Calibri"/>
                <w:sz w:val="22"/>
                <w:szCs w:val="22"/>
              </w:rPr>
              <w:t>grille</w:t>
            </w:r>
            <w:proofErr w:type="spellEnd"/>
            <w:r w:rsidRPr="00C5347D">
              <w:rPr>
                <w:rFonts w:ascii="Arial Narrow" w:hAnsi="Arial Narrow" w:cs="Calibri"/>
                <w:sz w:val="22"/>
                <w:szCs w:val="22"/>
              </w:rPr>
              <w:t xml:space="preserve"> moustiquaire y compris toutes suggestions</w:t>
            </w:r>
          </w:p>
        </w:tc>
        <w:tc>
          <w:tcPr>
            <w:tcW w:w="425" w:type="pct"/>
            <w:shd w:val="clear" w:color="auto" w:fill="auto"/>
            <w:noWrap/>
            <w:vAlign w:val="center"/>
            <w:hideMark/>
          </w:tcPr>
          <w:p w14:paraId="61B292AA" w14:textId="77777777" w:rsidR="006B66E4" w:rsidRPr="00C5347D" w:rsidRDefault="006B66E4" w:rsidP="006B66E4">
            <w:pPr>
              <w:spacing w:after="0"/>
              <w:ind w:left="0" w:firstLine="0"/>
              <w:jc w:val="center"/>
              <w:rPr>
                <w:rFonts w:ascii="Arial Narrow" w:hAnsi="Arial Narrow" w:cs="Calibri"/>
                <w:sz w:val="22"/>
                <w:szCs w:val="22"/>
              </w:rPr>
            </w:pPr>
            <w:r w:rsidRPr="00C5347D">
              <w:rPr>
                <w:rFonts w:ascii="Arial Narrow" w:hAnsi="Arial Narrow" w:cs="Calibri"/>
                <w:sz w:val="22"/>
                <w:szCs w:val="22"/>
              </w:rPr>
              <w:t>U</w:t>
            </w:r>
          </w:p>
        </w:tc>
        <w:tc>
          <w:tcPr>
            <w:tcW w:w="598" w:type="pct"/>
            <w:shd w:val="clear" w:color="auto" w:fill="auto"/>
            <w:noWrap/>
            <w:vAlign w:val="center"/>
            <w:hideMark/>
          </w:tcPr>
          <w:p w14:paraId="1AB17BCC" w14:textId="77777777" w:rsidR="006B66E4" w:rsidRPr="00A7320B" w:rsidRDefault="006B66E4" w:rsidP="006B66E4">
            <w:pPr>
              <w:spacing w:after="0"/>
              <w:ind w:left="0" w:firstLine="0"/>
              <w:jc w:val="center"/>
              <w:rPr>
                <w:rFonts w:ascii="Arial Narrow" w:hAnsi="Arial Narrow" w:cs="Calibri"/>
                <w:sz w:val="22"/>
                <w:szCs w:val="22"/>
              </w:rPr>
            </w:pPr>
            <w:r w:rsidRPr="00A7320B">
              <w:rPr>
                <w:rFonts w:ascii="Arial Narrow" w:hAnsi="Arial Narrow" w:cs="Calibri"/>
                <w:sz w:val="22"/>
                <w:szCs w:val="22"/>
              </w:rPr>
              <w:t>10</w:t>
            </w:r>
          </w:p>
        </w:tc>
        <w:tc>
          <w:tcPr>
            <w:tcW w:w="598" w:type="pct"/>
          </w:tcPr>
          <w:p w14:paraId="25E6F423" w14:textId="77777777" w:rsidR="006B66E4" w:rsidRPr="00C5347D" w:rsidRDefault="006B66E4" w:rsidP="006B66E4">
            <w:pPr>
              <w:spacing w:after="0"/>
              <w:ind w:left="0" w:firstLine="0"/>
              <w:jc w:val="center"/>
              <w:rPr>
                <w:rFonts w:ascii="Arial Narrow" w:hAnsi="Arial Narrow" w:cs="Calibri"/>
                <w:sz w:val="22"/>
                <w:szCs w:val="22"/>
              </w:rPr>
            </w:pPr>
          </w:p>
        </w:tc>
        <w:tc>
          <w:tcPr>
            <w:tcW w:w="598" w:type="pct"/>
          </w:tcPr>
          <w:p w14:paraId="2830B0F1" w14:textId="77777777" w:rsidR="006B66E4" w:rsidRPr="00C5347D" w:rsidRDefault="006B66E4" w:rsidP="006B66E4">
            <w:pPr>
              <w:spacing w:after="0"/>
              <w:ind w:left="0" w:firstLine="0"/>
              <w:jc w:val="center"/>
              <w:rPr>
                <w:rFonts w:ascii="Arial Narrow" w:hAnsi="Arial Narrow" w:cs="Calibri"/>
                <w:sz w:val="22"/>
                <w:szCs w:val="22"/>
              </w:rPr>
            </w:pPr>
          </w:p>
        </w:tc>
      </w:tr>
      <w:tr w:rsidR="006B66E4" w:rsidRPr="00C5347D" w14:paraId="63B48CE0" w14:textId="77777777" w:rsidTr="00D77BC6">
        <w:trPr>
          <w:trHeight w:val="552"/>
        </w:trPr>
        <w:tc>
          <w:tcPr>
            <w:tcW w:w="237" w:type="pct"/>
            <w:shd w:val="clear" w:color="auto" w:fill="auto"/>
            <w:noWrap/>
            <w:vAlign w:val="center"/>
            <w:hideMark/>
          </w:tcPr>
          <w:p w14:paraId="0E9D5151" w14:textId="77777777" w:rsidR="006B66E4" w:rsidRPr="00C5347D" w:rsidRDefault="006B66E4" w:rsidP="006B66E4">
            <w:pPr>
              <w:spacing w:after="0"/>
              <w:ind w:left="0" w:firstLine="0"/>
              <w:jc w:val="left"/>
              <w:rPr>
                <w:rFonts w:ascii="Arial Narrow" w:hAnsi="Arial Narrow" w:cs="Calibri"/>
                <w:sz w:val="22"/>
                <w:szCs w:val="22"/>
              </w:rPr>
            </w:pPr>
            <w:r w:rsidRPr="00C5347D">
              <w:rPr>
                <w:rFonts w:ascii="Arial Narrow" w:hAnsi="Arial Narrow" w:cs="Calibri"/>
                <w:sz w:val="22"/>
                <w:szCs w:val="22"/>
              </w:rPr>
              <w:t>6.6</w:t>
            </w:r>
          </w:p>
        </w:tc>
        <w:tc>
          <w:tcPr>
            <w:tcW w:w="2543" w:type="pct"/>
            <w:shd w:val="clear" w:color="auto" w:fill="auto"/>
            <w:vAlign w:val="center"/>
            <w:hideMark/>
          </w:tcPr>
          <w:p w14:paraId="44454B18" w14:textId="77777777" w:rsidR="006B66E4" w:rsidRPr="00C5347D" w:rsidRDefault="006B66E4" w:rsidP="006B66E4">
            <w:pPr>
              <w:spacing w:after="0"/>
              <w:ind w:left="0" w:firstLine="0"/>
              <w:jc w:val="left"/>
              <w:rPr>
                <w:rFonts w:ascii="Arial Narrow" w:hAnsi="Arial Narrow" w:cs="Calibri"/>
                <w:sz w:val="22"/>
                <w:szCs w:val="22"/>
              </w:rPr>
            </w:pPr>
            <w:r w:rsidRPr="00C5347D">
              <w:rPr>
                <w:rFonts w:ascii="Arial Narrow" w:hAnsi="Arial Narrow" w:cs="Calibri"/>
                <w:sz w:val="22"/>
                <w:szCs w:val="22"/>
              </w:rPr>
              <w:t>F/P imposte métallique persienne orientable (1,20x0</w:t>
            </w:r>
            <w:proofErr w:type="gramStart"/>
            <w:r w:rsidRPr="00C5347D">
              <w:rPr>
                <w:rFonts w:ascii="Arial Narrow" w:hAnsi="Arial Narrow" w:cs="Calibri"/>
                <w:sz w:val="22"/>
                <w:szCs w:val="22"/>
              </w:rPr>
              <w:t>,45</w:t>
            </w:r>
            <w:proofErr w:type="gramEnd"/>
            <w:r w:rsidRPr="00C5347D">
              <w:rPr>
                <w:rFonts w:ascii="Arial Narrow" w:hAnsi="Arial Narrow" w:cs="Calibri"/>
                <w:sz w:val="22"/>
                <w:szCs w:val="22"/>
              </w:rPr>
              <w:t>) avec grille moustiquaire y compris toutes suggestions</w:t>
            </w:r>
          </w:p>
        </w:tc>
        <w:tc>
          <w:tcPr>
            <w:tcW w:w="425" w:type="pct"/>
            <w:shd w:val="clear" w:color="auto" w:fill="auto"/>
            <w:noWrap/>
            <w:vAlign w:val="center"/>
            <w:hideMark/>
          </w:tcPr>
          <w:p w14:paraId="315EBA2D" w14:textId="77777777" w:rsidR="006B66E4" w:rsidRPr="00C5347D" w:rsidRDefault="006B66E4" w:rsidP="006B66E4">
            <w:pPr>
              <w:spacing w:after="0"/>
              <w:ind w:left="0" w:firstLine="0"/>
              <w:jc w:val="center"/>
              <w:rPr>
                <w:rFonts w:ascii="Arial Narrow" w:hAnsi="Arial Narrow" w:cs="Calibri"/>
                <w:sz w:val="22"/>
                <w:szCs w:val="22"/>
              </w:rPr>
            </w:pPr>
            <w:r w:rsidRPr="00C5347D">
              <w:rPr>
                <w:rFonts w:ascii="Arial Narrow" w:hAnsi="Arial Narrow" w:cs="Calibri"/>
                <w:sz w:val="22"/>
                <w:szCs w:val="22"/>
              </w:rPr>
              <w:t>U</w:t>
            </w:r>
          </w:p>
        </w:tc>
        <w:tc>
          <w:tcPr>
            <w:tcW w:w="598" w:type="pct"/>
            <w:shd w:val="clear" w:color="auto" w:fill="auto"/>
            <w:noWrap/>
            <w:vAlign w:val="center"/>
            <w:hideMark/>
          </w:tcPr>
          <w:p w14:paraId="1A191DC0" w14:textId="77777777" w:rsidR="006B66E4" w:rsidRPr="00A7320B" w:rsidRDefault="006B66E4" w:rsidP="006B66E4">
            <w:pPr>
              <w:spacing w:after="0"/>
              <w:ind w:left="0" w:firstLine="0"/>
              <w:jc w:val="center"/>
              <w:rPr>
                <w:rFonts w:ascii="Arial Narrow" w:hAnsi="Arial Narrow" w:cs="Calibri"/>
                <w:sz w:val="22"/>
                <w:szCs w:val="22"/>
              </w:rPr>
            </w:pPr>
            <w:r w:rsidRPr="00A7320B">
              <w:rPr>
                <w:rFonts w:ascii="Arial Narrow" w:hAnsi="Arial Narrow" w:cs="Calibri"/>
                <w:sz w:val="22"/>
                <w:szCs w:val="22"/>
              </w:rPr>
              <w:t>2</w:t>
            </w:r>
          </w:p>
        </w:tc>
        <w:tc>
          <w:tcPr>
            <w:tcW w:w="598" w:type="pct"/>
          </w:tcPr>
          <w:p w14:paraId="50971A94" w14:textId="77777777" w:rsidR="006B66E4" w:rsidRPr="00C5347D" w:rsidRDefault="006B66E4" w:rsidP="006B66E4">
            <w:pPr>
              <w:spacing w:after="0"/>
              <w:ind w:left="0" w:firstLine="0"/>
              <w:jc w:val="center"/>
              <w:rPr>
                <w:rFonts w:ascii="Arial Narrow" w:hAnsi="Arial Narrow" w:cs="Calibri"/>
                <w:sz w:val="22"/>
                <w:szCs w:val="22"/>
              </w:rPr>
            </w:pPr>
          </w:p>
        </w:tc>
        <w:tc>
          <w:tcPr>
            <w:tcW w:w="598" w:type="pct"/>
          </w:tcPr>
          <w:p w14:paraId="4FE372B6" w14:textId="77777777" w:rsidR="006B66E4" w:rsidRPr="00C5347D" w:rsidRDefault="006B66E4" w:rsidP="006B66E4">
            <w:pPr>
              <w:spacing w:after="0"/>
              <w:ind w:left="0" w:firstLine="0"/>
              <w:jc w:val="center"/>
              <w:rPr>
                <w:rFonts w:ascii="Arial Narrow" w:hAnsi="Arial Narrow" w:cs="Calibri"/>
                <w:sz w:val="22"/>
                <w:szCs w:val="22"/>
              </w:rPr>
            </w:pPr>
          </w:p>
        </w:tc>
      </w:tr>
      <w:tr w:rsidR="006B66E4" w:rsidRPr="00C5347D" w14:paraId="6881C1B5" w14:textId="77777777" w:rsidTr="00D77BC6">
        <w:trPr>
          <w:trHeight w:val="552"/>
        </w:trPr>
        <w:tc>
          <w:tcPr>
            <w:tcW w:w="237" w:type="pct"/>
            <w:shd w:val="clear" w:color="auto" w:fill="auto"/>
            <w:noWrap/>
            <w:vAlign w:val="center"/>
            <w:hideMark/>
          </w:tcPr>
          <w:p w14:paraId="208D68A2" w14:textId="77777777" w:rsidR="006B66E4" w:rsidRPr="00C5347D" w:rsidRDefault="006B66E4" w:rsidP="006B66E4">
            <w:pPr>
              <w:spacing w:after="0"/>
              <w:ind w:left="0" w:firstLine="0"/>
              <w:jc w:val="left"/>
              <w:rPr>
                <w:rFonts w:ascii="Arial Narrow" w:hAnsi="Arial Narrow" w:cs="Calibri"/>
                <w:sz w:val="22"/>
                <w:szCs w:val="22"/>
              </w:rPr>
            </w:pPr>
            <w:r w:rsidRPr="00C5347D">
              <w:rPr>
                <w:rFonts w:ascii="Arial Narrow" w:hAnsi="Arial Narrow" w:cs="Calibri"/>
                <w:sz w:val="22"/>
                <w:szCs w:val="22"/>
              </w:rPr>
              <w:t>6.7</w:t>
            </w:r>
          </w:p>
        </w:tc>
        <w:tc>
          <w:tcPr>
            <w:tcW w:w="2543" w:type="pct"/>
            <w:shd w:val="clear" w:color="auto" w:fill="auto"/>
            <w:vAlign w:val="center"/>
            <w:hideMark/>
          </w:tcPr>
          <w:p w14:paraId="6BF3E0F8" w14:textId="77777777" w:rsidR="006B66E4" w:rsidRPr="00C5347D" w:rsidRDefault="006B66E4" w:rsidP="006B66E4">
            <w:pPr>
              <w:spacing w:after="0"/>
              <w:ind w:left="0" w:firstLine="0"/>
              <w:jc w:val="left"/>
              <w:rPr>
                <w:rFonts w:ascii="Arial Narrow" w:hAnsi="Arial Narrow" w:cs="Calibri"/>
                <w:sz w:val="22"/>
                <w:szCs w:val="22"/>
              </w:rPr>
            </w:pPr>
            <w:r w:rsidRPr="00C5347D">
              <w:rPr>
                <w:rFonts w:ascii="Arial Narrow" w:hAnsi="Arial Narrow" w:cs="Calibri"/>
                <w:sz w:val="22"/>
                <w:szCs w:val="22"/>
              </w:rPr>
              <w:t xml:space="preserve">F/P de faux plafond en </w:t>
            </w:r>
            <w:proofErr w:type="spellStart"/>
            <w:r w:rsidRPr="00C5347D">
              <w:rPr>
                <w:rFonts w:ascii="Arial Narrow" w:hAnsi="Arial Narrow" w:cs="Calibri"/>
                <w:sz w:val="22"/>
                <w:szCs w:val="22"/>
              </w:rPr>
              <w:t>contre plaqué</w:t>
            </w:r>
            <w:proofErr w:type="spellEnd"/>
            <w:r w:rsidRPr="00C5347D">
              <w:rPr>
                <w:rFonts w:ascii="Arial Narrow" w:hAnsi="Arial Narrow" w:cs="Calibri"/>
                <w:sz w:val="22"/>
                <w:szCs w:val="22"/>
              </w:rPr>
              <w:t xml:space="preserve"> de 10mm sur travure en métallique de bonne qualité</w:t>
            </w:r>
          </w:p>
        </w:tc>
        <w:tc>
          <w:tcPr>
            <w:tcW w:w="425" w:type="pct"/>
            <w:shd w:val="clear" w:color="auto" w:fill="auto"/>
            <w:noWrap/>
            <w:vAlign w:val="center"/>
            <w:hideMark/>
          </w:tcPr>
          <w:p w14:paraId="060A8D4C" w14:textId="77777777" w:rsidR="006B66E4" w:rsidRPr="00C5347D" w:rsidRDefault="006B66E4" w:rsidP="006B66E4">
            <w:pPr>
              <w:spacing w:after="0"/>
              <w:ind w:left="0" w:firstLine="0"/>
              <w:jc w:val="center"/>
              <w:rPr>
                <w:rFonts w:ascii="Arial Narrow" w:hAnsi="Arial Narrow" w:cs="Calibri"/>
                <w:sz w:val="22"/>
                <w:szCs w:val="22"/>
              </w:rPr>
            </w:pPr>
            <w:r w:rsidRPr="00C5347D">
              <w:rPr>
                <w:rFonts w:ascii="Arial Narrow" w:hAnsi="Arial Narrow" w:cs="Calibri"/>
                <w:sz w:val="22"/>
                <w:szCs w:val="22"/>
              </w:rPr>
              <w:t>m²</w:t>
            </w:r>
          </w:p>
        </w:tc>
        <w:tc>
          <w:tcPr>
            <w:tcW w:w="598" w:type="pct"/>
            <w:shd w:val="clear" w:color="auto" w:fill="auto"/>
            <w:noWrap/>
            <w:vAlign w:val="center"/>
            <w:hideMark/>
          </w:tcPr>
          <w:p w14:paraId="5DDB522E" w14:textId="77777777" w:rsidR="006B66E4" w:rsidRPr="00A7320B" w:rsidRDefault="006B66E4" w:rsidP="006B66E4">
            <w:pPr>
              <w:spacing w:after="0"/>
              <w:ind w:left="0" w:firstLine="0"/>
              <w:jc w:val="center"/>
              <w:rPr>
                <w:rFonts w:ascii="Arial Narrow" w:hAnsi="Arial Narrow" w:cs="Calibri"/>
                <w:sz w:val="22"/>
                <w:szCs w:val="22"/>
              </w:rPr>
            </w:pPr>
            <w:r w:rsidRPr="00A7320B">
              <w:rPr>
                <w:rFonts w:ascii="Arial Narrow" w:hAnsi="Arial Narrow" w:cs="Calibri"/>
                <w:sz w:val="22"/>
                <w:szCs w:val="22"/>
              </w:rPr>
              <w:t>244</w:t>
            </w:r>
          </w:p>
        </w:tc>
        <w:tc>
          <w:tcPr>
            <w:tcW w:w="598" w:type="pct"/>
          </w:tcPr>
          <w:p w14:paraId="41ECAA0B" w14:textId="77777777" w:rsidR="006B66E4" w:rsidRPr="00C5347D" w:rsidRDefault="006B66E4" w:rsidP="006B66E4">
            <w:pPr>
              <w:spacing w:after="0"/>
              <w:ind w:left="0" w:firstLine="0"/>
              <w:jc w:val="center"/>
              <w:rPr>
                <w:rFonts w:ascii="Arial Narrow" w:hAnsi="Arial Narrow" w:cs="Calibri"/>
                <w:sz w:val="22"/>
                <w:szCs w:val="22"/>
              </w:rPr>
            </w:pPr>
          </w:p>
        </w:tc>
        <w:tc>
          <w:tcPr>
            <w:tcW w:w="598" w:type="pct"/>
          </w:tcPr>
          <w:p w14:paraId="2F444116" w14:textId="77777777" w:rsidR="006B66E4" w:rsidRPr="00C5347D" w:rsidRDefault="006B66E4" w:rsidP="006B66E4">
            <w:pPr>
              <w:spacing w:after="0"/>
              <w:ind w:left="0" w:firstLine="0"/>
              <w:jc w:val="center"/>
              <w:rPr>
                <w:rFonts w:ascii="Arial Narrow" w:hAnsi="Arial Narrow" w:cs="Calibri"/>
                <w:sz w:val="22"/>
                <w:szCs w:val="22"/>
              </w:rPr>
            </w:pPr>
          </w:p>
        </w:tc>
      </w:tr>
      <w:tr w:rsidR="006B66E4" w:rsidRPr="00C5347D" w14:paraId="1949CD89" w14:textId="77777777" w:rsidTr="00D77BC6">
        <w:trPr>
          <w:trHeight w:val="276"/>
        </w:trPr>
        <w:tc>
          <w:tcPr>
            <w:tcW w:w="237" w:type="pct"/>
            <w:shd w:val="clear" w:color="auto" w:fill="auto"/>
            <w:noWrap/>
            <w:vAlign w:val="center"/>
            <w:hideMark/>
          </w:tcPr>
          <w:p w14:paraId="54F118FD" w14:textId="77777777" w:rsidR="006B66E4" w:rsidRPr="00C5347D" w:rsidRDefault="006B66E4" w:rsidP="006B66E4">
            <w:pPr>
              <w:spacing w:after="0"/>
              <w:ind w:left="0" w:firstLine="0"/>
              <w:jc w:val="left"/>
              <w:rPr>
                <w:rFonts w:ascii="Arial Narrow" w:hAnsi="Arial Narrow" w:cs="Calibri"/>
                <w:sz w:val="22"/>
                <w:szCs w:val="22"/>
              </w:rPr>
            </w:pPr>
            <w:r w:rsidRPr="00C5347D">
              <w:rPr>
                <w:rFonts w:ascii="Arial Narrow" w:hAnsi="Arial Narrow" w:cs="Calibri"/>
                <w:sz w:val="22"/>
                <w:szCs w:val="22"/>
              </w:rPr>
              <w:t> </w:t>
            </w:r>
          </w:p>
        </w:tc>
        <w:tc>
          <w:tcPr>
            <w:tcW w:w="2543" w:type="pct"/>
            <w:shd w:val="clear" w:color="auto" w:fill="auto"/>
            <w:vAlign w:val="center"/>
            <w:hideMark/>
          </w:tcPr>
          <w:p w14:paraId="405892C1" w14:textId="77777777" w:rsidR="006B66E4" w:rsidRPr="00C5347D" w:rsidRDefault="006B66E4" w:rsidP="006B66E4">
            <w:pPr>
              <w:spacing w:after="0"/>
              <w:ind w:left="0" w:firstLine="0"/>
              <w:jc w:val="left"/>
              <w:rPr>
                <w:rFonts w:ascii="Arial Narrow" w:hAnsi="Arial Narrow" w:cs="Calibri"/>
                <w:b/>
                <w:bCs/>
                <w:sz w:val="22"/>
                <w:szCs w:val="22"/>
              </w:rPr>
            </w:pPr>
            <w:r w:rsidRPr="00C5347D">
              <w:rPr>
                <w:rFonts w:ascii="Arial Narrow" w:hAnsi="Arial Narrow" w:cs="Calibri"/>
                <w:b/>
                <w:bCs/>
                <w:sz w:val="22"/>
                <w:szCs w:val="22"/>
              </w:rPr>
              <w:t>TOTAL MENUISERIE</w:t>
            </w:r>
          </w:p>
        </w:tc>
        <w:tc>
          <w:tcPr>
            <w:tcW w:w="425" w:type="pct"/>
            <w:shd w:val="clear" w:color="auto" w:fill="auto"/>
            <w:noWrap/>
            <w:vAlign w:val="center"/>
            <w:hideMark/>
          </w:tcPr>
          <w:p w14:paraId="2102BEB9" w14:textId="77777777" w:rsidR="006B66E4" w:rsidRPr="00C5347D" w:rsidRDefault="006B66E4" w:rsidP="006B66E4">
            <w:pPr>
              <w:spacing w:after="0"/>
              <w:ind w:left="0" w:firstLine="0"/>
              <w:jc w:val="center"/>
              <w:rPr>
                <w:rFonts w:ascii="Arial Narrow" w:hAnsi="Arial Narrow" w:cs="Calibri"/>
                <w:sz w:val="22"/>
                <w:szCs w:val="22"/>
              </w:rPr>
            </w:pPr>
            <w:r w:rsidRPr="00C5347D">
              <w:rPr>
                <w:rFonts w:ascii="Arial Narrow" w:hAnsi="Arial Narrow" w:cs="Calibri"/>
                <w:sz w:val="22"/>
                <w:szCs w:val="22"/>
              </w:rPr>
              <w:t> </w:t>
            </w:r>
          </w:p>
        </w:tc>
        <w:tc>
          <w:tcPr>
            <w:tcW w:w="598" w:type="pct"/>
            <w:shd w:val="clear" w:color="auto" w:fill="auto"/>
            <w:noWrap/>
            <w:vAlign w:val="center"/>
            <w:hideMark/>
          </w:tcPr>
          <w:p w14:paraId="015B7310" w14:textId="77777777" w:rsidR="006B66E4" w:rsidRPr="00A7320B" w:rsidRDefault="006B66E4" w:rsidP="006B66E4">
            <w:pPr>
              <w:spacing w:after="0"/>
              <w:ind w:left="0" w:firstLine="0"/>
              <w:jc w:val="left"/>
              <w:rPr>
                <w:rFonts w:ascii="Arial Narrow" w:hAnsi="Arial Narrow" w:cs="Calibri"/>
                <w:sz w:val="22"/>
                <w:szCs w:val="22"/>
              </w:rPr>
            </w:pPr>
            <w:r w:rsidRPr="00A7320B">
              <w:rPr>
                <w:rFonts w:ascii="Arial Narrow" w:hAnsi="Arial Narrow" w:cs="Calibri"/>
                <w:sz w:val="22"/>
                <w:szCs w:val="22"/>
              </w:rPr>
              <w:t> </w:t>
            </w:r>
          </w:p>
        </w:tc>
        <w:tc>
          <w:tcPr>
            <w:tcW w:w="598" w:type="pct"/>
          </w:tcPr>
          <w:p w14:paraId="2C59D49A" w14:textId="77777777" w:rsidR="006B66E4" w:rsidRPr="00C5347D" w:rsidRDefault="006B66E4" w:rsidP="006B66E4">
            <w:pPr>
              <w:spacing w:after="0"/>
              <w:ind w:left="0" w:firstLine="0"/>
              <w:jc w:val="left"/>
              <w:rPr>
                <w:rFonts w:ascii="Arial Narrow" w:hAnsi="Arial Narrow" w:cs="Calibri"/>
                <w:sz w:val="22"/>
                <w:szCs w:val="22"/>
              </w:rPr>
            </w:pPr>
          </w:p>
        </w:tc>
        <w:tc>
          <w:tcPr>
            <w:tcW w:w="598" w:type="pct"/>
          </w:tcPr>
          <w:p w14:paraId="0D3DDCBC" w14:textId="77777777" w:rsidR="006B66E4" w:rsidRPr="00C5347D" w:rsidRDefault="006B66E4" w:rsidP="006B66E4">
            <w:pPr>
              <w:spacing w:after="0"/>
              <w:ind w:left="0" w:firstLine="0"/>
              <w:jc w:val="left"/>
              <w:rPr>
                <w:rFonts w:ascii="Arial Narrow" w:hAnsi="Arial Narrow" w:cs="Calibri"/>
                <w:sz w:val="22"/>
                <w:szCs w:val="22"/>
              </w:rPr>
            </w:pPr>
          </w:p>
        </w:tc>
      </w:tr>
      <w:tr w:rsidR="006B66E4" w:rsidRPr="00C5347D" w14:paraId="7320CA06" w14:textId="77777777" w:rsidTr="00D77BC6">
        <w:trPr>
          <w:trHeight w:val="276"/>
        </w:trPr>
        <w:tc>
          <w:tcPr>
            <w:tcW w:w="237" w:type="pct"/>
            <w:shd w:val="clear" w:color="auto" w:fill="auto"/>
            <w:noWrap/>
            <w:vAlign w:val="center"/>
            <w:hideMark/>
          </w:tcPr>
          <w:p w14:paraId="3F5EC990" w14:textId="77777777" w:rsidR="006B66E4" w:rsidRPr="00C5347D" w:rsidRDefault="006B66E4" w:rsidP="006B66E4">
            <w:pPr>
              <w:spacing w:after="0"/>
              <w:ind w:left="0" w:firstLine="0"/>
              <w:jc w:val="left"/>
              <w:rPr>
                <w:rFonts w:ascii="Arial Narrow" w:hAnsi="Arial Narrow" w:cs="Calibri"/>
                <w:sz w:val="22"/>
                <w:szCs w:val="22"/>
              </w:rPr>
            </w:pPr>
            <w:r w:rsidRPr="00C5347D">
              <w:rPr>
                <w:rFonts w:ascii="Arial Narrow" w:hAnsi="Arial Narrow" w:cs="Calibri"/>
                <w:sz w:val="22"/>
                <w:szCs w:val="22"/>
              </w:rPr>
              <w:t> </w:t>
            </w:r>
          </w:p>
        </w:tc>
        <w:tc>
          <w:tcPr>
            <w:tcW w:w="2543" w:type="pct"/>
            <w:shd w:val="clear" w:color="auto" w:fill="auto"/>
            <w:vAlign w:val="center"/>
            <w:hideMark/>
          </w:tcPr>
          <w:p w14:paraId="326771C4" w14:textId="77777777" w:rsidR="006B66E4" w:rsidRPr="00C5347D" w:rsidRDefault="006B66E4" w:rsidP="006B66E4">
            <w:pPr>
              <w:spacing w:after="0"/>
              <w:ind w:left="0" w:firstLine="0"/>
              <w:jc w:val="left"/>
              <w:rPr>
                <w:rFonts w:ascii="Arial Narrow" w:hAnsi="Arial Narrow" w:cs="Calibri"/>
                <w:b/>
                <w:bCs/>
                <w:sz w:val="22"/>
                <w:szCs w:val="22"/>
              </w:rPr>
            </w:pPr>
            <w:r w:rsidRPr="00C5347D">
              <w:rPr>
                <w:rFonts w:ascii="Arial Narrow" w:hAnsi="Arial Narrow" w:cs="Calibri"/>
                <w:b/>
                <w:bCs/>
                <w:sz w:val="22"/>
                <w:szCs w:val="22"/>
              </w:rPr>
              <w:t>VII. PEINTURE</w:t>
            </w:r>
          </w:p>
        </w:tc>
        <w:tc>
          <w:tcPr>
            <w:tcW w:w="425" w:type="pct"/>
            <w:shd w:val="clear" w:color="auto" w:fill="auto"/>
            <w:noWrap/>
            <w:vAlign w:val="center"/>
            <w:hideMark/>
          </w:tcPr>
          <w:p w14:paraId="45844345" w14:textId="77777777" w:rsidR="006B66E4" w:rsidRPr="00C5347D" w:rsidRDefault="006B66E4" w:rsidP="006B66E4">
            <w:pPr>
              <w:spacing w:after="0"/>
              <w:ind w:left="0" w:firstLine="0"/>
              <w:jc w:val="center"/>
              <w:rPr>
                <w:rFonts w:ascii="Arial Narrow" w:hAnsi="Arial Narrow" w:cs="Calibri"/>
                <w:sz w:val="22"/>
                <w:szCs w:val="22"/>
              </w:rPr>
            </w:pPr>
            <w:r w:rsidRPr="00C5347D">
              <w:rPr>
                <w:rFonts w:ascii="Arial Narrow" w:hAnsi="Arial Narrow" w:cs="Calibri"/>
                <w:sz w:val="22"/>
                <w:szCs w:val="22"/>
              </w:rPr>
              <w:t> </w:t>
            </w:r>
          </w:p>
        </w:tc>
        <w:tc>
          <w:tcPr>
            <w:tcW w:w="598" w:type="pct"/>
            <w:shd w:val="clear" w:color="auto" w:fill="auto"/>
            <w:noWrap/>
            <w:vAlign w:val="center"/>
            <w:hideMark/>
          </w:tcPr>
          <w:p w14:paraId="7E158A73" w14:textId="77777777" w:rsidR="006B66E4" w:rsidRPr="00A7320B" w:rsidRDefault="006B66E4" w:rsidP="006B66E4">
            <w:pPr>
              <w:spacing w:after="0"/>
              <w:ind w:left="0" w:firstLine="0"/>
              <w:jc w:val="left"/>
              <w:rPr>
                <w:rFonts w:ascii="Arial Narrow" w:hAnsi="Arial Narrow" w:cs="Calibri"/>
                <w:sz w:val="22"/>
                <w:szCs w:val="22"/>
              </w:rPr>
            </w:pPr>
            <w:r w:rsidRPr="00A7320B">
              <w:rPr>
                <w:rFonts w:ascii="Arial Narrow" w:hAnsi="Arial Narrow" w:cs="Calibri"/>
                <w:sz w:val="22"/>
                <w:szCs w:val="22"/>
              </w:rPr>
              <w:t> </w:t>
            </w:r>
          </w:p>
        </w:tc>
        <w:tc>
          <w:tcPr>
            <w:tcW w:w="598" w:type="pct"/>
          </w:tcPr>
          <w:p w14:paraId="1B6D5C8F" w14:textId="77777777" w:rsidR="006B66E4" w:rsidRPr="00C5347D" w:rsidRDefault="006B66E4" w:rsidP="006B66E4">
            <w:pPr>
              <w:spacing w:after="0"/>
              <w:ind w:left="0" w:firstLine="0"/>
              <w:jc w:val="left"/>
              <w:rPr>
                <w:rFonts w:ascii="Arial Narrow" w:hAnsi="Arial Narrow" w:cs="Calibri"/>
                <w:sz w:val="22"/>
                <w:szCs w:val="22"/>
              </w:rPr>
            </w:pPr>
          </w:p>
        </w:tc>
        <w:tc>
          <w:tcPr>
            <w:tcW w:w="598" w:type="pct"/>
          </w:tcPr>
          <w:p w14:paraId="4D849A50" w14:textId="77777777" w:rsidR="006B66E4" w:rsidRPr="00C5347D" w:rsidRDefault="006B66E4" w:rsidP="006B66E4">
            <w:pPr>
              <w:spacing w:after="0"/>
              <w:ind w:left="0" w:firstLine="0"/>
              <w:jc w:val="left"/>
              <w:rPr>
                <w:rFonts w:ascii="Arial Narrow" w:hAnsi="Arial Narrow" w:cs="Calibri"/>
                <w:sz w:val="22"/>
                <w:szCs w:val="22"/>
              </w:rPr>
            </w:pPr>
          </w:p>
        </w:tc>
      </w:tr>
      <w:tr w:rsidR="006B66E4" w:rsidRPr="00C5347D" w14:paraId="0A715630" w14:textId="77777777" w:rsidTr="00D77BC6">
        <w:trPr>
          <w:trHeight w:val="276"/>
        </w:trPr>
        <w:tc>
          <w:tcPr>
            <w:tcW w:w="237" w:type="pct"/>
            <w:shd w:val="clear" w:color="auto" w:fill="auto"/>
            <w:noWrap/>
            <w:vAlign w:val="center"/>
            <w:hideMark/>
          </w:tcPr>
          <w:p w14:paraId="4BF335A6" w14:textId="77777777" w:rsidR="006B66E4" w:rsidRPr="00C5347D" w:rsidRDefault="006B66E4" w:rsidP="006B66E4">
            <w:pPr>
              <w:spacing w:after="0"/>
              <w:ind w:left="0" w:firstLine="0"/>
              <w:jc w:val="left"/>
              <w:rPr>
                <w:rFonts w:ascii="Arial Narrow" w:hAnsi="Arial Narrow" w:cs="Calibri"/>
                <w:sz w:val="22"/>
                <w:szCs w:val="22"/>
              </w:rPr>
            </w:pPr>
            <w:r w:rsidRPr="00C5347D">
              <w:rPr>
                <w:rFonts w:ascii="Arial Narrow" w:hAnsi="Arial Narrow" w:cs="Calibri"/>
                <w:sz w:val="22"/>
                <w:szCs w:val="22"/>
              </w:rPr>
              <w:t>7.1</w:t>
            </w:r>
          </w:p>
        </w:tc>
        <w:tc>
          <w:tcPr>
            <w:tcW w:w="2543" w:type="pct"/>
            <w:shd w:val="clear" w:color="auto" w:fill="auto"/>
            <w:noWrap/>
            <w:vAlign w:val="center"/>
            <w:hideMark/>
          </w:tcPr>
          <w:p w14:paraId="4C5E09AE" w14:textId="77777777" w:rsidR="006B66E4" w:rsidRPr="00C5347D" w:rsidRDefault="006B66E4" w:rsidP="006B66E4">
            <w:pPr>
              <w:spacing w:after="0"/>
              <w:ind w:left="0" w:firstLine="0"/>
              <w:jc w:val="left"/>
              <w:rPr>
                <w:rFonts w:ascii="Arial Narrow" w:hAnsi="Arial Narrow" w:cs="Calibri"/>
                <w:sz w:val="22"/>
                <w:szCs w:val="22"/>
              </w:rPr>
            </w:pPr>
            <w:r w:rsidRPr="00C5347D">
              <w:rPr>
                <w:rFonts w:ascii="Arial Narrow" w:hAnsi="Arial Narrow" w:cs="Calibri"/>
                <w:sz w:val="22"/>
                <w:szCs w:val="22"/>
              </w:rPr>
              <w:t xml:space="preserve">Peinture FOM sur murs </w:t>
            </w:r>
            <w:proofErr w:type="spellStart"/>
            <w:r w:rsidRPr="00C5347D">
              <w:rPr>
                <w:rFonts w:ascii="Arial Narrow" w:hAnsi="Arial Narrow" w:cs="Calibri"/>
                <w:sz w:val="22"/>
                <w:szCs w:val="22"/>
              </w:rPr>
              <w:t>interieurs</w:t>
            </w:r>
            <w:proofErr w:type="spellEnd"/>
            <w:r w:rsidRPr="00C5347D">
              <w:rPr>
                <w:rFonts w:ascii="Arial Narrow" w:hAnsi="Arial Narrow" w:cs="Calibri"/>
                <w:sz w:val="22"/>
                <w:szCs w:val="22"/>
              </w:rPr>
              <w:t xml:space="preserve"> et faux plafonds</w:t>
            </w:r>
          </w:p>
        </w:tc>
        <w:tc>
          <w:tcPr>
            <w:tcW w:w="425" w:type="pct"/>
            <w:shd w:val="clear" w:color="auto" w:fill="auto"/>
            <w:noWrap/>
            <w:vAlign w:val="center"/>
            <w:hideMark/>
          </w:tcPr>
          <w:p w14:paraId="4EA63306" w14:textId="77777777" w:rsidR="006B66E4" w:rsidRPr="00C5347D" w:rsidRDefault="006B66E4" w:rsidP="006B66E4">
            <w:pPr>
              <w:spacing w:after="0"/>
              <w:ind w:left="0" w:firstLine="0"/>
              <w:jc w:val="center"/>
              <w:rPr>
                <w:rFonts w:ascii="Arial Narrow" w:hAnsi="Arial Narrow" w:cs="Calibri"/>
                <w:sz w:val="22"/>
                <w:szCs w:val="22"/>
              </w:rPr>
            </w:pPr>
            <w:r w:rsidRPr="00C5347D">
              <w:rPr>
                <w:rFonts w:ascii="Arial Narrow" w:hAnsi="Arial Narrow" w:cs="Calibri"/>
                <w:sz w:val="22"/>
                <w:szCs w:val="22"/>
              </w:rPr>
              <w:t>m²</w:t>
            </w:r>
          </w:p>
        </w:tc>
        <w:tc>
          <w:tcPr>
            <w:tcW w:w="598" w:type="pct"/>
            <w:shd w:val="clear" w:color="auto" w:fill="auto"/>
            <w:noWrap/>
            <w:vAlign w:val="center"/>
            <w:hideMark/>
          </w:tcPr>
          <w:p w14:paraId="59004CB6" w14:textId="77777777" w:rsidR="006B66E4" w:rsidRPr="00A7320B" w:rsidRDefault="006B66E4" w:rsidP="006B66E4">
            <w:pPr>
              <w:spacing w:after="0"/>
              <w:ind w:left="0" w:firstLine="0"/>
              <w:jc w:val="center"/>
              <w:rPr>
                <w:rFonts w:ascii="Arial Narrow" w:hAnsi="Arial Narrow" w:cs="Calibri"/>
                <w:sz w:val="22"/>
                <w:szCs w:val="22"/>
              </w:rPr>
            </w:pPr>
            <w:r w:rsidRPr="00A7320B">
              <w:rPr>
                <w:rFonts w:ascii="Arial Narrow" w:hAnsi="Arial Narrow" w:cs="Calibri"/>
                <w:sz w:val="22"/>
                <w:szCs w:val="22"/>
              </w:rPr>
              <w:t>626</w:t>
            </w:r>
          </w:p>
        </w:tc>
        <w:tc>
          <w:tcPr>
            <w:tcW w:w="598" w:type="pct"/>
          </w:tcPr>
          <w:p w14:paraId="7B8BD2A8" w14:textId="77777777" w:rsidR="006B66E4" w:rsidRPr="00C5347D" w:rsidRDefault="006B66E4" w:rsidP="006B66E4">
            <w:pPr>
              <w:spacing w:after="0"/>
              <w:ind w:left="0" w:firstLine="0"/>
              <w:jc w:val="center"/>
              <w:rPr>
                <w:rFonts w:ascii="Arial Narrow" w:hAnsi="Arial Narrow" w:cs="Calibri"/>
                <w:sz w:val="22"/>
                <w:szCs w:val="22"/>
              </w:rPr>
            </w:pPr>
          </w:p>
        </w:tc>
        <w:tc>
          <w:tcPr>
            <w:tcW w:w="598" w:type="pct"/>
          </w:tcPr>
          <w:p w14:paraId="3E1D707E" w14:textId="77777777" w:rsidR="006B66E4" w:rsidRPr="00C5347D" w:rsidRDefault="006B66E4" w:rsidP="006B66E4">
            <w:pPr>
              <w:spacing w:after="0"/>
              <w:ind w:left="0" w:firstLine="0"/>
              <w:jc w:val="center"/>
              <w:rPr>
                <w:rFonts w:ascii="Arial Narrow" w:hAnsi="Arial Narrow" w:cs="Calibri"/>
                <w:sz w:val="22"/>
                <w:szCs w:val="22"/>
              </w:rPr>
            </w:pPr>
          </w:p>
        </w:tc>
      </w:tr>
      <w:tr w:rsidR="006B66E4" w:rsidRPr="00C5347D" w14:paraId="5408E4C2" w14:textId="77777777" w:rsidTr="00D77BC6">
        <w:trPr>
          <w:trHeight w:val="276"/>
        </w:trPr>
        <w:tc>
          <w:tcPr>
            <w:tcW w:w="237" w:type="pct"/>
            <w:shd w:val="clear" w:color="auto" w:fill="auto"/>
            <w:noWrap/>
            <w:vAlign w:val="center"/>
            <w:hideMark/>
          </w:tcPr>
          <w:p w14:paraId="39041CB2" w14:textId="77777777" w:rsidR="006B66E4" w:rsidRPr="00C5347D" w:rsidRDefault="006B66E4" w:rsidP="006B66E4">
            <w:pPr>
              <w:spacing w:after="0"/>
              <w:ind w:left="0" w:firstLine="0"/>
              <w:jc w:val="left"/>
              <w:rPr>
                <w:rFonts w:ascii="Arial Narrow" w:hAnsi="Arial Narrow" w:cs="Calibri"/>
                <w:sz w:val="22"/>
                <w:szCs w:val="22"/>
              </w:rPr>
            </w:pPr>
            <w:r w:rsidRPr="00C5347D">
              <w:rPr>
                <w:rFonts w:ascii="Arial Narrow" w:hAnsi="Arial Narrow" w:cs="Calibri"/>
                <w:sz w:val="22"/>
                <w:szCs w:val="22"/>
              </w:rPr>
              <w:t>7.2</w:t>
            </w:r>
          </w:p>
        </w:tc>
        <w:tc>
          <w:tcPr>
            <w:tcW w:w="2543" w:type="pct"/>
            <w:shd w:val="clear" w:color="auto" w:fill="auto"/>
            <w:noWrap/>
            <w:vAlign w:val="center"/>
            <w:hideMark/>
          </w:tcPr>
          <w:p w14:paraId="6DCDA769" w14:textId="77777777" w:rsidR="006B66E4" w:rsidRPr="00C5347D" w:rsidRDefault="006B66E4" w:rsidP="006B66E4">
            <w:pPr>
              <w:spacing w:after="0"/>
              <w:ind w:left="0" w:firstLine="0"/>
              <w:jc w:val="left"/>
              <w:rPr>
                <w:rFonts w:ascii="Arial Narrow" w:hAnsi="Arial Narrow" w:cs="Calibri"/>
                <w:sz w:val="22"/>
                <w:szCs w:val="22"/>
              </w:rPr>
            </w:pPr>
            <w:r w:rsidRPr="00C5347D">
              <w:rPr>
                <w:rFonts w:ascii="Arial Narrow" w:hAnsi="Arial Narrow" w:cs="Calibri"/>
                <w:sz w:val="22"/>
                <w:szCs w:val="22"/>
              </w:rPr>
              <w:t xml:space="preserve">Peinture tyrolienne sur murs </w:t>
            </w:r>
            <w:proofErr w:type="spellStart"/>
            <w:r w:rsidRPr="00C5347D">
              <w:rPr>
                <w:rFonts w:ascii="Arial Narrow" w:hAnsi="Arial Narrow" w:cs="Calibri"/>
                <w:sz w:val="22"/>
                <w:szCs w:val="22"/>
              </w:rPr>
              <w:t>exterieurs</w:t>
            </w:r>
            <w:proofErr w:type="spellEnd"/>
          </w:p>
        </w:tc>
        <w:tc>
          <w:tcPr>
            <w:tcW w:w="425" w:type="pct"/>
            <w:shd w:val="clear" w:color="auto" w:fill="auto"/>
            <w:noWrap/>
            <w:vAlign w:val="center"/>
            <w:hideMark/>
          </w:tcPr>
          <w:p w14:paraId="059C63AE" w14:textId="77777777" w:rsidR="006B66E4" w:rsidRPr="00C5347D" w:rsidRDefault="006B66E4" w:rsidP="006B66E4">
            <w:pPr>
              <w:spacing w:after="0"/>
              <w:ind w:left="0" w:firstLine="0"/>
              <w:jc w:val="center"/>
              <w:rPr>
                <w:rFonts w:ascii="Arial Narrow" w:hAnsi="Arial Narrow" w:cs="Calibri"/>
                <w:sz w:val="22"/>
                <w:szCs w:val="22"/>
              </w:rPr>
            </w:pPr>
            <w:r w:rsidRPr="00C5347D">
              <w:rPr>
                <w:rFonts w:ascii="Arial Narrow" w:hAnsi="Arial Narrow" w:cs="Calibri"/>
                <w:sz w:val="22"/>
                <w:szCs w:val="22"/>
              </w:rPr>
              <w:t>m²</w:t>
            </w:r>
          </w:p>
        </w:tc>
        <w:tc>
          <w:tcPr>
            <w:tcW w:w="598" w:type="pct"/>
            <w:shd w:val="clear" w:color="auto" w:fill="auto"/>
            <w:noWrap/>
            <w:vAlign w:val="center"/>
            <w:hideMark/>
          </w:tcPr>
          <w:p w14:paraId="5BA8B97D" w14:textId="77777777" w:rsidR="006B66E4" w:rsidRPr="00A7320B" w:rsidRDefault="006B66E4" w:rsidP="006B66E4">
            <w:pPr>
              <w:spacing w:after="0"/>
              <w:ind w:left="0" w:firstLine="0"/>
              <w:jc w:val="center"/>
              <w:rPr>
                <w:rFonts w:ascii="Arial Narrow" w:hAnsi="Arial Narrow" w:cs="Calibri"/>
                <w:sz w:val="22"/>
                <w:szCs w:val="22"/>
              </w:rPr>
            </w:pPr>
            <w:r w:rsidRPr="00A7320B">
              <w:rPr>
                <w:rFonts w:ascii="Arial Narrow" w:hAnsi="Arial Narrow" w:cs="Calibri"/>
                <w:sz w:val="22"/>
                <w:szCs w:val="22"/>
              </w:rPr>
              <w:t>489</w:t>
            </w:r>
          </w:p>
        </w:tc>
        <w:tc>
          <w:tcPr>
            <w:tcW w:w="598" w:type="pct"/>
          </w:tcPr>
          <w:p w14:paraId="72E0E1D9" w14:textId="77777777" w:rsidR="006B66E4" w:rsidRPr="00C5347D" w:rsidRDefault="006B66E4" w:rsidP="006B66E4">
            <w:pPr>
              <w:spacing w:after="0"/>
              <w:ind w:left="0" w:firstLine="0"/>
              <w:jc w:val="center"/>
              <w:rPr>
                <w:rFonts w:ascii="Arial Narrow" w:hAnsi="Arial Narrow" w:cs="Calibri"/>
                <w:sz w:val="22"/>
                <w:szCs w:val="22"/>
              </w:rPr>
            </w:pPr>
          </w:p>
        </w:tc>
        <w:tc>
          <w:tcPr>
            <w:tcW w:w="598" w:type="pct"/>
          </w:tcPr>
          <w:p w14:paraId="3845422F" w14:textId="77777777" w:rsidR="006B66E4" w:rsidRPr="00C5347D" w:rsidRDefault="006B66E4" w:rsidP="006B66E4">
            <w:pPr>
              <w:spacing w:after="0"/>
              <w:ind w:left="0" w:firstLine="0"/>
              <w:jc w:val="center"/>
              <w:rPr>
                <w:rFonts w:ascii="Arial Narrow" w:hAnsi="Arial Narrow" w:cs="Calibri"/>
                <w:sz w:val="22"/>
                <w:szCs w:val="22"/>
              </w:rPr>
            </w:pPr>
          </w:p>
        </w:tc>
      </w:tr>
      <w:tr w:rsidR="006B66E4" w:rsidRPr="00C5347D" w14:paraId="4FDC33F9" w14:textId="77777777" w:rsidTr="00D77BC6">
        <w:trPr>
          <w:trHeight w:val="276"/>
        </w:trPr>
        <w:tc>
          <w:tcPr>
            <w:tcW w:w="237" w:type="pct"/>
            <w:shd w:val="clear" w:color="auto" w:fill="auto"/>
            <w:noWrap/>
            <w:vAlign w:val="center"/>
            <w:hideMark/>
          </w:tcPr>
          <w:p w14:paraId="743CBE97" w14:textId="77777777" w:rsidR="006B66E4" w:rsidRPr="00C5347D" w:rsidRDefault="006B66E4" w:rsidP="006B66E4">
            <w:pPr>
              <w:spacing w:after="0"/>
              <w:ind w:left="0" w:firstLine="0"/>
              <w:jc w:val="left"/>
              <w:rPr>
                <w:rFonts w:ascii="Arial Narrow" w:hAnsi="Arial Narrow" w:cs="Calibri"/>
                <w:sz w:val="22"/>
                <w:szCs w:val="22"/>
              </w:rPr>
            </w:pPr>
            <w:r w:rsidRPr="00C5347D">
              <w:rPr>
                <w:rFonts w:ascii="Arial Narrow" w:hAnsi="Arial Narrow" w:cs="Calibri"/>
                <w:sz w:val="22"/>
                <w:szCs w:val="22"/>
              </w:rPr>
              <w:t>7.3</w:t>
            </w:r>
          </w:p>
        </w:tc>
        <w:tc>
          <w:tcPr>
            <w:tcW w:w="2543" w:type="pct"/>
            <w:shd w:val="clear" w:color="auto" w:fill="auto"/>
            <w:noWrap/>
            <w:vAlign w:val="center"/>
            <w:hideMark/>
          </w:tcPr>
          <w:p w14:paraId="59689812" w14:textId="77777777" w:rsidR="006B66E4" w:rsidRPr="00C5347D" w:rsidRDefault="006B66E4" w:rsidP="006B66E4">
            <w:pPr>
              <w:spacing w:after="0"/>
              <w:ind w:left="0" w:firstLine="0"/>
              <w:jc w:val="left"/>
              <w:rPr>
                <w:rFonts w:ascii="Arial Narrow" w:hAnsi="Arial Narrow" w:cs="Calibri"/>
                <w:sz w:val="22"/>
                <w:szCs w:val="22"/>
              </w:rPr>
            </w:pPr>
            <w:r w:rsidRPr="00C5347D">
              <w:rPr>
                <w:rFonts w:ascii="Arial Narrow" w:hAnsi="Arial Narrow" w:cs="Calibri"/>
                <w:sz w:val="22"/>
                <w:szCs w:val="22"/>
              </w:rPr>
              <w:t>Peinture à huile sur menuiserie</w:t>
            </w:r>
          </w:p>
        </w:tc>
        <w:tc>
          <w:tcPr>
            <w:tcW w:w="425" w:type="pct"/>
            <w:shd w:val="clear" w:color="auto" w:fill="auto"/>
            <w:noWrap/>
            <w:vAlign w:val="center"/>
            <w:hideMark/>
          </w:tcPr>
          <w:p w14:paraId="1C9ED610" w14:textId="77777777" w:rsidR="006B66E4" w:rsidRPr="00C5347D" w:rsidRDefault="006B66E4" w:rsidP="006B66E4">
            <w:pPr>
              <w:spacing w:after="0"/>
              <w:ind w:left="0" w:firstLine="0"/>
              <w:jc w:val="center"/>
              <w:rPr>
                <w:rFonts w:ascii="Arial Narrow" w:hAnsi="Arial Narrow" w:cs="Calibri"/>
                <w:sz w:val="22"/>
                <w:szCs w:val="22"/>
              </w:rPr>
            </w:pPr>
            <w:r w:rsidRPr="00C5347D">
              <w:rPr>
                <w:rFonts w:ascii="Arial Narrow" w:hAnsi="Arial Narrow" w:cs="Calibri"/>
                <w:sz w:val="22"/>
                <w:szCs w:val="22"/>
              </w:rPr>
              <w:t>m²</w:t>
            </w:r>
          </w:p>
        </w:tc>
        <w:tc>
          <w:tcPr>
            <w:tcW w:w="598" w:type="pct"/>
            <w:shd w:val="clear" w:color="auto" w:fill="auto"/>
            <w:noWrap/>
            <w:vAlign w:val="center"/>
            <w:hideMark/>
          </w:tcPr>
          <w:p w14:paraId="1486F064" w14:textId="77777777" w:rsidR="006B66E4" w:rsidRPr="00A7320B" w:rsidRDefault="006B66E4" w:rsidP="006B66E4">
            <w:pPr>
              <w:spacing w:after="0"/>
              <w:ind w:left="0" w:firstLine="0"/>
              <w:jc w:val="center"/>
              <w:rPr>
                <w:rFonts w:ascii="Arial Narrow" w:hAnsi="Arial Narrow" w:cs="Calibri"/>
                <w:sz w:val="22"/>
                <w:szCs w:val="22"/>
              </w:rPr>
            </w:pPr>
            <w:r w:rsidRPr="00A7320B">
              <w:rPr>
                <w:rFonts w:ascii="Arial Narrow" w:hAnsi="Arial Narrow" w:cs="Calibri"/>
                <w:sz w:val="22"/>
                <w:szCs w:val="22"/>
              </w:rPr>
              <w:t>132</w:t>
            </w:r>
          </w:p>
        </w:tc>
        <w:tc>
          <w:tcPr>
            <w:tcW w:w="598" w:type="pct"/>
          </w:tcPr>
          <w:p w14:paraId="17C0F83C" w14:textId="77777777" w:rsidR="006B66E4" w:rsidRPr="00C5347D" w:rsidRDefault="006B66E4" w:rsidP="006B66E4">
            <w:pPr>
              <w:spacing w:after="0"/>
              <w:ind w:left="0" w:firstLine="0"/>
              <w:jc w:val="center"/>
              <w:rPr>
                <w:rFonts w:ascii="Arial Narrow" w:hAnsi="Arial Narrow" w:cs="Calibri"/>
                <w:sz w:val="22"/>
                <w:szCs w:val="22"/>
              </w:rPr>
            </w:pPr>
          </w:p>
        </w:tc>
        <w:tc>
          <w:tcPr>
            <w:tcW w:w="598" w:type="pct"/>
          </w:tcPr>
          <w:p w14:paraId="60FFC959" w14:textId="77777777" w:rsidR="006B66E4" w:rsidRPr="00C5347D" w:rsidRDefault="006B66E4" w:rsidP="006B66E4">
            <w:pPr>
              <w:spacing w:after="0"/>
              <w:ind w:left="0" w:firstLine="0"/>
              <w:jc w:val="center"/>
              <w:rPr>
                <w:rFonts w:ascii="Arial Narrow" w:hAnsi="Arial Narrow" w:cs="Calibri"/>
                <w:sz w:val="22"/>
                <w:szCs w:val="22"/>
              </w:rPr>
            </w:pPr>
          </w:p>
        </w:tc>
      </w:tr>
      <w:tr w:rsidR="006B66E4" w:rsidRPr="00C5347D" w14:paraId="4C6E4F3F" w14:textId="77777777" w:rsidTr="00D77BC6">
        <w:trPr>
          <w:trHeight w:val="276"/>
        </w:trPr>
        <w:tc>
          <w:tcPr>
            <w:tcW w:w="237" w:type="pct"/>
            <w:shd w:val="clear" w:color="auto" w:fill="auto"/>
            <w:noWrap/>
            <w:vAlign w:val="center"/>
            <w:hideMark/>
          </w:tcPr>
          <w:p w14:paraId="4DC2ACBA" w14:textId="77777777" w:rsidR="006B66E4" w:rsidRPr="00C5347D" w:rsidRDefault="006B66E4" w:rsidP="006B66E4">
            <w:pPr>
              <w:spacing w:after="0"/>
              <w:ind w:left="0" w:firstLine="0"/>
              <w:jc w:val="left"/>
              <w:rPr>
                <w:rFonts w:ascii="Arial Narrow" w:hAnsi="Arial Narrow" w:cs="Calibri"/>
                <w:sz w:val="22"/>
                <w:szCs w:val="22"/>
              </w:rPr>
            </w:pPr>
            <w:r w:rsidRPr="00C5347D">
              <w:rPr>
                <w:rFonts w:ascii="Arial Narrow" w:hAnsi="Arial Narrow" w:cs="Calibri"/>
                <w:sz w:val="22"/>
                <w:szCs w:val="22"/>
              </w:rPr>
              <w:t> </w:t>
            </w:r>
          </w:p>
        </w:tc>
        <w:tc>
          <w:tcPr>
            <w:tcW w:w="2543" w:type="pct"/>
            <w:shd w:val="clear" w:color="auto" w:fill="auto"/>
            <w:vAlign w:val="center"/>
            <w:hideMark/>
          </w:tcPr>
          <w:p w14:paraId="40692A2C" w14:textId="77777777" w:rsidR="006B66E4" w:rsidRPr="00C5347D" w:rsidRDefault="006B66E4" w:rsidP="006B66E4">
            <w:pPr>
              <w:spacing w:after="0"/>
              <w:ind w:left="0" w:firstLine="0"/>
              <w:jc w:val="left"/>
              <w:rPr>
                <w:rFonts w:ascii="Arial Narrow" w:hAnsi="Arial Narrow" w:cs="Calibri"/>
                <w:b/>
                <w:bCs/>
                <w:sz w:val="22"/>
                <w:szCs w:val="22"/>
              </w:rPr>
            </w:pPr>
            <w:r w:rsidRPr="00C5347D">
              <w:rPr>
                <w:rFonts w:ascii="Arial Narrow" w:hAnsi="Arial Narrow" w:cs="Calibri"/>
                <w:b/>
                <w:bCs/>
                <w:sz w:val="22"/>
                <w:szCs w:val="22"/>
              </w:rPr>
              <w:t>TOTAL PEINTURE</w:t>
            </w:r>
          </w:p>
        </w:tc>
        <w:tc>
          <w:tcPr>
            <w:tcW w:w="425" w:type="pct"/>
            <w:shd w:val="clear" w:color="auto" w:fill="auto"/>
            <w:noWrap/>
            <w:vAlign w:val="center"/>
            <w:hideMark/>
          </w:tcPr>
          <w:p w14:paraId="1D83A238" w14:textId="77777777" w:rsidR="006B66E4" w:rsidRPr="00C5347D" w:rsidRDefault="006B66E4" w:rsidP="006B66E4">
            <w:pPr>
              <w:spacing w:after="0"/>
              <w:ind w:left="0" w:firstLine="0"/>
              <w:jc w:val="center"/>
              <w:rPr>
                <w:rFonts w:ascii="Arial Narrow" w:hAnsi="Arial Narrow" w:cs="Calibri"/>
                <w:sz w:val="22"/>
                <w:szCs w:val="22"/>
              </w:rPr>
            </w:pPr>
            <w:r w:rsidRPr="00C5347D">
              <w:rPr>
                <w:rFonts w:ascii="Arial Narrow" w:hAnsi="Arial Narrow" w:cs="Calibri"/>
                <w:sz w:val="22"/>
                <w:szCs w:val="22"/>
              </w:rPr>
              <w:t> </w:t>
            </w:r>
          </w:p>
        </w:tc>
        <w:tc>
          <w:tcPr>
            <w:tcW w:w="598" w:type="pct"/>
            <w:shd w:val="clear" w:color="auto" w:fill="auto"/>
            <w:noWrap/>
            <w:vAlign w:val="center"/>
            <w:hideMark/>
          </w:tcPr>
          <w:p w14:paraId="5DF2F5B7" w14:textId="77777777" w:rsidR="006B66E4" w:rsidRPr="00A7320B" w:rsidRDefault="006B66E4" w:rsidP="006B66E4">
            <w:pPr>
              <w:spacing w:after="0"/>
              <w:ind w:left="0" w:firstLine="0"/>
              <w:jc w:val="left"/>
              <w:rPr>
                <w:rFonts w:ascii="Arial Narrow" w:hAnsi="Arial Narrow" w:cs="Calibri"/>
                <w:sz w:val="22"/>
                <w:szCs w:val="22"/>
              </w:rPr>
            </w:pPr>
            <w:r w:rsidRPr="00A7320B">
              <w:rPr>
                <w:rFonts w:ascii="Arial Narrow" w:hAnsi="Arial Narrow" w:cs="Calibri"/>
                <w:sz w:val="22"/>
                <w:szCs w:val="22"/>
              </w:rPr>
              <w:t> </w:t>
            </w:r>
          </w:p>
        </w:tc>
        <w:tc>
          <w:tcPr>
            <w:tcW w:w="598" w:type="pct"/>
          </w:tcPr>
          <w:p w14:paraId="4CC9503C" w14:textId="77777777" w:rsidR="006B66E4" w:rsidRPr="00C5347D" w:rsidRDefault="006B66E4" w:rsidP="006B66E4">
            <w:pPr>
              <w:spacing w:after="0"/>
              <w:ind w:left="0" w:firstLine="0"/>
              <w:jc w:val="left"/>
              <w:rPr>
                <w:rFonts w:ascii="Arial Narrow" w:hAnsi="Arial Narrow" w:cs="Calibri"/>
                <w:sz w:val="22"/>
                <w:szCs w:val="22"/>
              </w:rPr>
            </w:pPr>
          </w:p>
        </w:tc>
        <w:tc>
          <w:tcPr>
            <w:tcW w:w="598" w:type="pct"/>
          </w:tcPr>
          <w:p w14:paraId="6217F712" w14:textId="77777777" w:rsidR="006B66E4" w:rsidRPr="00C5347D" w:rsidRDefault="006B66E4" w:rsidP="006B66E4">
            <w:pPr>
              <w:spacing w:after="0"/>
              <w:ind w:left="0" w:firstLine="0"/>
              <w:jc w:val="left"/>
              <w:rPr>
                <w:rFonts w:ascii="Arial Narrow" w:hAnsi="Arial Narrow" w:cs="Calibri"/>
                <w:sz w:val="22"/>
                <w:szCs w:val="22"/>
              </w:rPr>
            </w:pPr>
          </w:p>
        </w:tc>
      </w:tr>
      <w:tr w:rsidR="006B66E4" w:rsidRPr="00C5347D" w14:paraId="29F0E471" w14:textId="77777777" w:rsidTr="00D77BC6">
        <w:trPr>
          <w:trHeight w:val="552"/>
        </w:trPr>
        <w:tc>
          <w:tcPr>
            <w:tcW w:w="237" w:type="pct"/>
            <w:shd w:val="clear" w:color="auto" w:fill="auto"/>
            <w:noWrap/>
            <w:vAlign w:val="center"/>
            <w:hideMark/>
          </w:tcPr>
          <w:p w14:paraId="3EE2F855" w14:textId="77777777" w:rsidR="006B66E4" w:rsidRPr="00C5347D" w:rsidRDefault="006B66E4" w:rsidP="006B66E4">
            <w:pPr>
              <w:spacing w:after="0"/>
              <w:ind w:left="0" w:firstLine="0"/>
              <w:jc w:val="left"/>
              <w:rPr>
                <w:rFonts w:ascii="Arial Narrow" w:hAnsi="Arial Narrow" w:cs="Calibri"/>
                <w:sz w:val="22"/>
                <w:szCs w:val="22"/>
              </w:rPr>
            </w:pPr>
            <w:r w:rsidRPr="00C5347D">
              <w:rPr>
                <w:rFonts w:ascii="Arial Narrow" w:hAnsi="Arial Narrow" w:cs="Calibri"/>
                <w:sz w:val="22"/>
                <w:szCs w:val="22"/>
              </w:rPr>
              <w:t> </w:t>
            </w:r>
          </w:p>
        </w:tc>
        <w:tc>
          <w:tcPr>
            <w:tcW w:w="2543" w:type="pct"/>
            <w:shd w:val="clear" w:color="auto" w:fill="auto"/>
            <w:vAlign w:val="center"/>
            <w:hideMark/>
          </w:tcPr>
          <w:p w14:paraId="245DA38E" w14:textId="77777777" w:rsidR="006B66E4" w:rsidRPr="00C5347D" w:rsidRDefault="006B66E4" w:rsidP="006B66E4">
            <w:pPr>
              <w:spacing w:after="0"/>
              <w:ind w:left="0" w:firstLine="0"/>
              <w:jc w:val="left"/>
              <w:rPr>
                <w:rFonts w:ascii="Arial Narrow" w:hAnsi="Arial Narrow" w:cs="Calibri"/>
                <w:b/>
                <w:bCs/>
                <w:sz w:val="22"/>
                <w:szCs w:val="22"/>
              </w:rPr>
            </w:pPr>
            <w:r w:rsidRPr="00C5347D">
              <w:rPr>
                <w:rFonts w:ascii="Arial Narrow" w:hAnsi="Arial Narrow" w:cs="Calibri"/>
                <w:b/>
                <w:bCs/>
                <w:sz w:val="22"/>
                <w:szCs w:val="22"/>
              </w:rPr>
              <w:t>VIII. FOURNITURES ET INSTALLATION DE CLAIES ET EQUIPEMENTS</w:t>
            </w:r>
          </w:p>
        </w:tc>
        <w:tc>
          <w:tcPr>
            <w:tcW w:w="425" w:type="pct"/>
            <w:shd w:val="clear" w:color="auto" w:fill="auto"/>
            <w:noWrap/>
            <w:vAlign w:val="center"/>
            <w:hideMark/>
          </w:tcPr>
          <w:p w14:paraId="37584DC9" w14:textId="77777777" w:rsidR="006B66E4" w:rsidRPr="00C5347D" w:rsidRDefault="006B66E4" w:rsidP="006B66E4">
            <w:pPr>
              <w:spacing w:after="0"/>
              <w:ind w:left="0" w:firstLine="0"/>
              <w:jc w:val="center"/>
              <w:rPr>
                <w:rFonts w:ascii="Arial Narrow" w:hAnsi="Arial Narrow" w:cs="Calibri"/>
                <w:sz w:val="22"/>
                <w:szCs w:val="22"/>
              </w:rPr>
            </w:pPr>
            <w:r w:rsidRPr="00C5347D">
              <w:rPr>
                <w:rFonts w:ascii="Arial Narrow" w:hAnsi="Arial Narrow" w:cs="Calibri"/>
                <w:sz w:val="22"/>
                <w:szCs w:val="22"/>
              </w:rPr>
              <w:t> </w:t>
            </w:r>
          </w:p>
        </w:tc>
        <w:tc>
          <w:tcPr>
            <w:tcW w:w="598" w:type="pct"/>
            <w:shd w:val="clear" w:color="auto" w:fill="auto"/>
            <w:noWrap/>
            <w:vAlign w:val="center"/>
            <w:hideMark/>
          </w:tcPr>
          <w:p w14:paraId="51ACF1A2" w14:textId="77777777" w:rsidR="006B66E4" w:rsidRPr="00A7320B" w:rsidRDefault="006B66E4" w:rsidP="006B66E4">
            <w:pPr>
              <w:spacing w:after="0"/>
              <w:ind w:left="0" w:firstLine="0"/>
              <w:jc w:val="left"/>
              <w:rPr>
                <w:rFonts w:ascii="Arial Narrow" w:hAnsi="Arial Narrow" w:cs="Calibri"/>
                <w:sz w:val="22"/>
                <w:szCs w:val="22"/>
              </w:rPr>
            </w:pPr>
            <w:r w:rsidRPr="00A7320B">
              <w:rPr>
                <w:rFonts w:ascii="Arial Narrow" w:hAnsi="Arial Narrow" w:cs="Calibri"/>
                <w:sz w:val="22"/>
                <w:szCs w:val="22"/>
              </w:rPr>
              <w:t> </w:t>
            </w:r>
          </w:p>
        </w:tc>
        <w:tc>
          <w:tcPr>
            <w:tcW w:w="598" w:type="pct"/>
          </w:tcPr>
          <w:p w14:paraId="72BEB6FB" w14:textId="77777777" w:rsidR="006B66E4" w:rsidRPr="00C5347D" w:rsidRDefault="006B66E4" w:rsidP="006B66E4">
            <w:pPr>
              <w:spacing w:after="0"/>
              <w:ind w:left="0" w:firstLine="0"/>
              <w:jc w:val="left"/>
              <w:rPr>
                <w:rFonts w:ascii="Arial Narrow" w:hAnsi="Arial Narrow" w:cs="Calibri"/>
                <w:sz w:val="22"/>
                <w:szCs w:val="22"/>
              </w:rPr>
            </w:pPr>
          </w:p>
        </w:tc>
        <w:tc>
          <w:tcPr>
            <w:tcW w:w="598" w:type="pct"/>
          </w:tcPr>
          <w:p w14:paraId="197EA0F0" w14:textId="77777777" w:rsidR="006B66E4" w:rsidRPr="00C5347D" w:rsidRDefault="006B66E4" w:rsidP="006B66E4">
            <w:pPr>
              <w:spacing w:after="0"/>
              <w:ind w:left="0" w:firstLine="0"/>
              <w:jc w:val="left"/>
              <w:rPr>
                <w:rFonts w:ascii="Arial Narrow" w:hAnsi="Arial Narrow" w:cs="Calibri"/>
                <w:sz w:val="22"/>
                <w:szCs w:val="22"/>
              </w:rPr>
            </w:pPr>
          </w:p>
        </w:tc>
      </w:tr>
      <w:tr w:rsidR="006B66E4" w:rsidRPr="00C5347D" w14:paraId="054BA0E7" w14:textId="77777777" w:rsidTr="00D77BC6">
        <w:trPr>
          <w:trHeight w:val="552"/>
        </w:trPr>
        <w:tc>
          <w:tcPr>
            <w:tcW w:w="237" w:type="pct"/>
            <w:shd w:val="clear" w:color="auto" w:fill="auto"/>
            <w:noWrap/>
            <w:vAlign w:val="center"/>
            <w:hideMark/>
          </w:tcPr>
          <w:p w14:paraId="197880F2" w14:textId="77777777" w:rsidR="006B66E4" w:rsidRPr="00C5347D" w:rsidRDefault="006B66E4" w:rsidP="006B66E4">
            <w:pPr>
              <w:spacing w:after="0"/>
              <w:ind w:left="0" w:firstLine="0"/>
              <w:jc w:val="left"/>
              <w:rPr>
                <w:rFonts w:ascii="Arial Narrow" w:hAnsi="Arial Narrow" w:cs="Calibri"/>
                <w:sz w:val="22"/>
                <w:szCs w:val="22"/>
              </w:rPr>
            </w:pPr>
            <w:r w:rsidRPr="00C5347D">
              <w:rPr>
                <w:rFonts w:ascii="Arial Narrow" w:hAnsi="Arial Narrow" w:cs="Calibri"/>
                <w:sz w:val="22"/>
                <w:szCs w:val="22"/>
              </w:rPr>
              <w:t>8.1</w:t>
            </w:r>
          </w:p>
        </w:tc>
        <w:tc>
          <w:tcPr>
            <w:tcW w:w="2543" w:type="pct"/>
            <w:shd w:val="clear" w:color="auto" w:fill="auto"/>
            <w:vAlign w:val="center"/>
            <w:hideMark/>
          </w:tcPr>
          <w:p w14:paraId="3EF778BD" w14:textId="77777777" w:rsidR="006B66E4" w:rsidRPr="00C5347D" w:rsidRDefault="006B66E4" w:rsidP="006B66E4">
            <w:pPr>
              <w:spacing w:after="0"/>
              <w:ind w:left="0" w:firstLine="0"/>
              <w:jc w:val="left"/>
              <w:rPr>
                <w:rFonts w:ascii="Arial Narrow" w:hAnsi="Arial Narrow" w:cs="Calibri"/>
                <w:sz w:val="22"/>
                <w:szCs w:val="22"/>
              </w:rPr>
            </w:pPr>
            <w:r w:rsidRPr="00C5347D">
              <w:rPr>
                <w:rFonts w:ascii="Arial Narrow" w:hAnsi="Arial Narrow" w:cs="Calibri"/>
                <w:sz w:val="22"/>
                <w:szCs w:val="22"/>
              </w:rPr>
              <w:t>F/P unité de claies métalliques à 8 casiers de 1,20X1</w:t>
            </w:r>
            <w:proofErr w:type="gramStart"/>
            <w:r w:rsidRPr="00C5347D">
              <w:rPr>
                <w:rFonts w:ascii="Arial Narrow" w:hAnsi="Arial Narrow" w:cs="Calibri"/>
                <w:sz w:val="22"/>
                <w:szCs w:val="22"/>
              </w:rPr>
              <w:t>,00</w:t>
            </w:r>
            <w:proofErr w:type="gramEnd"/>
            <w:r w:rsidRPr="00C5347D">
              <w:rPr>
                <w:rFonts w:ascii="Arial Narrow" w:hAnsi="Arial Narrow" w:cs="Calibri"/>
                <w:sz w:val="22"/>
                <w:szCs w:val="22"/>
              </w:rPr>
              <w:t xml:space="preserve"> m y compris toutes </w:t>
            </w:r>
            <w:proofErr w:type="spellStart"/>
            <w:r w:rsidRPr="00C5347D">
              <w:rPr>
                <w:rFonts w:ascii="Arial Narrow" w:hAnsi="Arial Narrow" w:cs="Calibri"/>
                <w:sz w:val="22"/>
                <w:szCs w:val="22"/>
              </w:rPr>
              <w:t>sujetions</w:t>
            </w:r>
            <w:proofErr w:type="spellEnd"/>
          </w:p>
        </w:tc>
        <w:tc>
          <w:tcPr>
            <w:tcW w:w="425" w:type="pct"/>
            <w:shd w:val="clear" w:color="auto" w:fill="auto"/>
            <w:noWrap/>
            <w:vAlign w:val="center"/>
            <w:hideMark/>
          </w:tcPr>
          <w:p w14:paraId="36DFC6AC" w14:textId="77777777" w:rsidR="006B66E4" w:rsidRPr="00C5347D" w:rsidRDefault="006B66E4" w:rsidP="006B66E4">
            <w:pPr>
              <w:spacing w:after="0"/>
              <w:ind w:left="0" w:firstLine="0"/>
              <w:jc w:val="center"/>
              <w:rPr>
                <w:rFonts w:ascii="Arial Narrow" w:hAnsi="Arial Narrow" w:cs="Calibri"/>
                <w:sz w:val="22"/>
                <w:szCs w:val="22"/>
              </w:rPr>
            </w:pPr>
            <w:r w:rsidRPr="00C5347D">
              <w:rPr>
                <w:rFonts w:ascii="Arial Narrow" w:hAnsi="Arial Narrow" w:cs="Calibri"/>
                <w:sz w:val="22"/>
                <w:szCs w:val="22"/>
              </w:rPr>
              <w:t>U</w:t>
            </w:r>
          </w:p>
        </w:tc>
        <w:tc>
          <w:tcPr>
            <w:tcW w:w="598" w:type="pct"/>
            <w:shd w:val="clear" w:color="auto" w:fill="auto"/>
            <w:noWrap/>
            <w:vAlign w:val="center"/>
            <w:hideMark/>
          </w:tcPr>
          <w:p w14:paraId="41D5906C" w14:textId="77777777" w:rsidR="006B66E4" w:rsidRPr="00A7320B" w:rsidRDefault="006B66E4" w:rsidP="006B66E4">
            <w:pPr>
              <w:spacing w:after="0"/>
              <w:ind w:left="0" w:firstLine="0"/>
              <w:jc w:val="center"/>
              <w:rPr>
                <w:rFonts w:ascii="Arial Narrow" w:hAnsi="Arial Narrow" w:cs="Calibri"/>
                <w:sz w:val="22"/>
                <w:szCs w:val="22"/>
              </w:rPr>
            </w:pPr>
            <w:r w:rsidRPr="00A7320B">
              <w:rPr>
                <w:rFonts w:ascii="Arial Narrow" w:hAnsi="Arial Narrow" w:cs="Calibri"/>
                <w:sz w:val="22"/>
                <w:szCs w:val="22"/>
              </w:rPr>
              <w:t>42</w:t>
            </w:r>
          </w:p>
        </w:tc>
        <w:tc>
          <w:tcPr>
            <w:tcW w:w="598" w:type="pct"/>
          </w:tcPr>
          <w:p w14:paraId="39125434" w14:textId="77777777" w:rsidR="006B66E4" w:rsidRPr="00C5347D" w:rsidRDefault="006B66E4" w:rsidP="006B66E4">
            <w:pPr>
              <w:spacing w:after="0"/>
              <w:ind w:left="0" w:firstLine="0"/>
              <w:jc w:val="center"/>
              <w:rPr>
                <w:rFonts w:ascii="Arial Narrow" w:hAnsi="Arial Narrow" w:cs="Calibri"/>
                <w:sz w:val="22"/>
                <w:szCs w:val="22"/>
              </w:rPr>
            </w:pPr>
          </w:p>
        </w:tc>
        <w:tc>
          <w:tcPr>
            <w:tcW w:w="598" w:type="pct"/>
          </w:tcPr>
          <w:p w14:paraId="0F3527FC" w14:textId="77777777" w:rsidR="006B66E4" w:rsidRPr="00C5347D" w:rsidRDefault="006B66E4" w:rsidP="006B66E4">
            <w:pPr>
              <w:spacing w:after="0"/>
              <w:ind w:left="0" w:firstLine="0"/>
              <w:jc w:val="center"/>
              <w:rPr>
                <w:rFonts w:ascii="Arial Narrow" w:hAnsi="Arial Narrow" w:cs="Calibri"/>
                <w:sz w:val="22"/>
                <w:szCs w:val="22"/>
              </w:rPr>
            </w:pPr>
          </w:p>
        </w:tc>
      </w:tr>
      <w:tr w:rsidR="006B66E4" w:rsidRPr="00C5347D" w14:paraId="3339300D" w14:textId="77777777" w:rsidTr="00D77BC6">
        <w:trPr>
          <w:trHeight w:val="276"/>
        </w:trPr>
        <w:tc>
          <w:tcPr>
            <w:tcW w:w="237" w:type="pct"/>
            <w:shd w:val="clear" w:color="auto" w:fill="auto"/>
            <w:noWrap/>
            <w:vAlign w:val="center"/>
            <w:hideMark/>
          </w:tcPr>
          <w:p w14:paraId="416873CB" w14:textId="77777777" w:rsidR="006B66E4" w:rsidRPr="00C5347D" w:rsidRDefault="006B66E4" w:rsidP="006B66E4">
            <w:pPr>
              <w:spacing w:after="0"/>
              <w:ind w:left="0" w:firstLine="0"/>
              <w:jc w:val="left"/>
              <w:rPr>
                <w:rFonts w:ascii="Arial Narrow" w:hAnsi="Arial Narrow" w:cs="Calibri"/>
                <w:sz w:val="22"/>
                <w:szCs w:val="22"/>
              </w:rPr>
            </w:pPr>
            <w:r w:rsidRPr="00C5347D">
              <w:rPr>
                <w:rFonts w:ascii="Arial Narrow" w:hAnsi="Arial Narrow" w:cs="Calibri"/>
                <w:sz w:val="22"/>
                <w:szCs w:val="22"/>
              </w:rPr>
              <w:t>8.2</w:t>
            </w:r>
          </w:p>
        </w:tc>
        <w:tc>
          <w:tcPr>
            <w:tcW w:w="2543" w:type="pct"/>
            <w:shd w:val="clear" w:color="auto" w:fill="auto"/>
            <w:vAlign w:val="center"/>
            <w:hideMark/>
          </w:tcPr>
          <w:p w14:paraId="5F2EFD39" w14:textId="77777777" w:rsidR="006B66E4" w:rsidRPr="00C5347D" w:rsidRDefault="006B66E4" w:rsidP="006B66E4">
            <w:pPr>
              <w:spacing w:after="0"/>
              <w:ind w:left="0" w:firstLine="0"/>
              <w:jc w:val="left"/>
              <w:rPr>
                <w:rFonts w:ascii="Arial Narrow" w:hAnsi="Arial Narrow" w:cs="Calibri"/>
                <w:sz w:val="22"/>
                <w:szCs w:val="22"/>
              </w:rPr>
            </w:pPr>
            <w:r w:rsidRPr="00C5347D">
              <w:rPr>
                <w:rFonts w:ascii="Arial Narrow" w:hAnsi="Arial Narrow" w:cs="Calibri"/>
                <w:sz w:val="22"/>
                <w:szCs w:val="22"/>
              </w:rPr>
              <w:t>Fourniture de bascule de 500 Kg</w:t>
            </w:r>
          </w:p>
        </w:tc>
        <w:tc>
          <w:tcPr>
            <w:tcW w:w="425" w:type="pct"/>
            <w:shd w:val="clear" w:color="auto" w:fill="auto"/>
            <w:noWrap/>
            <w:vAlign w:val="center"/>
            <w:hideMark/>
          </w:tcPr>
          <w:p w14:paraId="28B562AD" w14:textId="77777777" w:rsidR="006B66E4" w:rsidRPr="00C5347D" w:rsidRDefault="006B66E4" w:rsidP="006B66E4">
            <w:pPr>
              <w:spacing w:after="0"/>
              <w:ind w:left="0" w:firstLine="0"/>
              <w:jc w:val="center"/>
              <w:rPr>
                <w:rFonts w:ascii="Arial Narrow" w:hAnsi="Arial Narrow" w:cs="Calibri"/>
                <w:sz w:val="22"/>
                <w:szCs w:val="22"/>
              </w:rPr>
            </w:pPr>
            <w:r w:rsidRPr="00C5347D">
              <w:rPr>
                <w:rFonts w:ascii="Arial Narrow" w:hAnsi="Arial Narrow" w:cs="Calibri"/>
                <w:sz w:val="22"/>
                <w:szCs w:val="22"/>
              </w:rPr>
              <w:t>U</w:t>
            </w:r>
          </w:p>
        </w:tc>
        <w:tc>
          <w:tcPr>
            <w:tcW w:w="598" w:type="pct"/>
            <w:shd w:val="clear" w:color="auto" w:fill="auto"/>
            <w:noWrap/>
            <w:vAlign w:val="center"/>
            <w:hideMark/>
          </w:tcPr>
          <w:p w14:paraId="51976110" w14:textId="77777777" w:rsidR="006B66E4" w:rsidRPr="00A7320B" w:rsidRDefault="006B66E4" w:rsidP="006B66E4">
            <w:pPr>
              <w:spacing w:after="0"/>
              <w:ind w:left="0" w:firstLine="0"/>
              <w:jc w:val="center"/>
              <w:rPr>
                <w:rFonts w:ascii="Arial Narrow" w:hAnsi="Arial Narrow" w:cs="Calibri"/>
                <w:sz w:val="22"/>
                <w:szCs w:val="22"/>
              </w:rPr>
            </w:pPr>
            <w:r w:rsidRPr="00A7320B">
              <w:rPr>
                <w:rFonts w:ascii="Arial Narrow" w:hAnsi="Arial Narrow" w:cs="Calibri"/>
                <w:sz w:val="22"/>
                <w:szCs w:val="22"/>
              </w:rPr>
              <w:t>1</w:t>
            </w:r>
          </w:p>
        </w:tc>
        <w:tc>
          <w:tcPr>
            <w:tcW w:w="598" w:type="pct"/>
          </w:tcPr>
          <w:p w14:paraId="377370F7" w14:textId="77777777" w:rsidR="006B66E4" w:rsidRPr="00C5347D" w:rsidRDefault="006B66E4" w:rsidP="006B66E4">
            <w:pPr>
              <w:spacing w:after="0"/>
              <w:ind w:left="0" w:firstLine="0"/>
              <w:jc w:val="center"/>
              <w:rPr>
                <w:rFonts w:ascii="Arial Narrow" w:hAnsi="Arial Narrow" w:cs="Calibri"/>
                <w:sz w:val="22"/>
                <w:szCs w:val="22"/>
              </w:rPr>
            </w:pPr>
          </w:p>
        </w:tc>
        <w:tc>
          <w:tcPr>
            <w:tcW w:w="598" w:type="pct"/>
          </w:tcPr>
          <w:p w14:paraId="62C17883" w14:textId="77777777" w:rsidR="006B66E4" w:rsidRPr="00C5347D" w:rsidRDefault="006B66E4" w:rsidP="006B66E4">
            <w:pPr>
              <w:spacing w:after="0"/>
              <w:ind w:left="0" w:firstLine="0"/>
              <w:jc w:val="center"/>
              <w:rPr>
                <w:rFonts w:ascii="Arial Narrow" w:hAnsi="Arial Narrow" w:cs="Calibri"/>
                <w:sz w:val="22"/>
                <w:szCs w:val="22"/>
              </w:rPr>
            </w:pPr>
          </w:p>
        </w:tc>
      </w:tr>
      <w:tr w:rsidR="006B66E4" w:rsidRPr="00C5347D" w14:paraId="0101C00F" w14:textId="77777777" w:rsidTr="00D77BC6">
        <w:trPr>
          <w:trHeight w:val="276"/>
        </w:trPr>
        <w:tc>
          <w:tcPr>
            <w:tcW w:w="237" w:type="pct"/>
            <w:shd w:val="clear" w:color="auto" w:fill="auto"/>
            <w:noWrap/>
            <w:vAlign w:val="center"/>
            <w:hideMark/>
          </w:tcPr>
          <w:p w14:paraId="33F5433B" w14:textId="77777777" w:rsidR="006B66E4" w:rsidRPr="00C5347D" w:rsidRDefault="006B66E4" w:rsidP="006B66E4">
            <w:pPr>
              <w:spacing w:after="0"/>
              <w:ind w:left="0" w:firstLine="0"/>
              <w:jc w:val="left"/>
              <w:rPr>
                <w:rFonts w:ascii="Arial Narrow" w:hAnsi="Arial Narrow" w:cs="Calibri"/>
                <w:sz w:val="22"/>
                <w:szCs w:val="22"/>
              </w:rPr>
            </w:pPr>
            <w:r w:rsidRPr="00C5347D">
              <w:rPr>
                <w:rFonts w:ascii="Arial Narrow" w:hAnsi="Arial Narrow" w:cs="Calibri"/>
                <w:sz w:val="22"/>
                <w:szCs w:val="22"/>
              </w:rPr>
              <w:t>8.3</w:t>
            </w:r>
          </w:p>
        </w:tc>
        <w:tc>
          <w:tcPr>
            <w:tcW w:w="2543" w:type="pct"/>
            <w:shd w:val="clear" w:color="auto" w:fill="auto"/>
            <w:vAlign w:val="center"/>
            <w:hideMark/>
          </w:tcPr>
          <w:p w14:paraId="63210679" w14:textId="77777777" w:rsidR="006B66E4" w:rsidRPr="00C5347D" w:rsidRDefault="006B66E4" w:rsidP="006B66E4">
            <w:pPr>
              <w:spacing w:after="0"/>
              <w:ind w:left="0" w:firstLine="0"/>
              <w:jc w:val="left"/>
              <w:rPr>
                <w:rFonts w:ascii="Arial Narrow" w:hAnsi="Arial Narrow" w:cs="Calibri"/>
                <w:sz w:val="22"/>
                <w:szCs w:val="22"/>
              </w:rPr>
            </w:pPr>
            <w:r w:rsidRPr="00C5347D">
              <w:rPr>
                <w:rFonts w:ascii="Arial Narrow" w:hAnsi="Arial Narrow" w:cs="Calibri"/>
                <w:sz w:val="22"/>
                <w:szCs w:val="22"/>
              </w:rPr>
              <w:t>Fourniture de balance de 100 Kg</w:t>
            </w:r>
          </w:p>
        </w:tc>
        <w:tc>
          <w:tcPr>
            <w:tcW w:w="425" w:type="pct"/>
            <w:shd w:val="clear" w:color="auto" w:fill="auto"/>
            <w:noWrap/>
            <w:vAlign w:val="center"/>
            <w:hideMark/>
          </w:tcPr>
          <w:p w14:paraId="05023A36" w14:textId="77777777" w:rsidR="006B66E4" w:rsidRPr="00C5347D" w:rsidRDefault="006B66E4" w:rsidP="006B66E4">
            <w:pPr>
              <w:spacing w:after="0"/>
              <w:ind w:left="0" w:firstLine="0"/>
              <w:jc w:val="center"/>
              <w:rPr>
                <w:rFonts w:ascii="Arial Narrow" w:hAnsi="Arial Narrow" w:cs="Calibri"/>
                <w:sz w:val="22"/>
                <w:szCs w:val="22"/>
              </w:rPr>
            </w:pPr>
            <w:r w:rsidRPr="00C5347D">
              <w:rPr>
                <w:rFonts w:ascii="Arial Narrow" w:hAnsi="Arial Narrow" w:cs="Calibri"/>
                <w:sz w:val="22"/>
                <w:szCs w:val="22"/>
              </w:rPr>
              <w:t>U</w:t>
            </w:r>
          </w:p>
        </w:tc>
        <w:tc>
          <w:tcPr>
            <w:tcW w:w="598" w:type="pct"/>
            <w:shd w:val="clear" w:color="auto" w:fill="auto"/>
            <w:noWrap/>
            <w:vAlign w:val="center"/>
            <w:hideMark/>
          </w:tcPr>
          <w:p w14:paraId="417FCC76" w14:textId="77777777" w:rsidR="006B66E4" w:rsidRPr="00A7320B" w:rsidRDefault="006B66E4" w:rsidP="006B66E4">
            <w:pPr>
              <w:spacing w:after="0"/>
              <w:ind w:left="0" w:firstLine="0"/>
              <w:jc w:val="center"/>
              <w:rPr>
                <w:rFonts w:ascii="Arial Narrow" w:hAnsi="Arial Narrow" w:cs="Calibri"/>
                <w:sz w:val="22"/>
                <w:szCs w:val="22"/>
              </w:rPr>
            </w:pPr>
            <w:r w:rsidRPr="00A7320B">
              <w:rPr>
                <w:rFonts w:ascii="Arial Narrow" w:hAnsi="Arial Narrow" w:cs="Calibri"/>
                <w:sz w:val="22"/>
                <w:szCs w:val="22"/>
              </w:rPr>
              <w:t>1</w:t>
            </w:r>
          </w:p>
        </w:tc>
        <w:tc>
          <w:tcPr>
            <w:tcW w:w="598" w:type="pct"/>
          </w:tcPr>
          <w:p w14:paraId="5ED39019" w14:textId="77777777" w:rsidR="006B66E4" w:rsidRPr="00C5347D" w:rsidRDefault="006B66E4" w:rsidP="006B66E4">
            <w:pPr>
              <w:spacing w:after="0"/>
              <w:ind w:left="0" w:firstLine="0"/>
              <w:jc w:val="center"/>
              <w:rPr>
                <w:rFonts w:ascii="Arial Narrow" w:hAnsi="Arial Narrow" w:cs="Calibri"/>
                <w:sz w:val="22"/>
                <w:szCs w:val="22"/>
              </w:rPr>
            </w:pPr>
          </w:p>
        </w:tc>
        <w:tc>
          <w:tcPr>
            <w:tcW w:w="598" w:type="pct"/>
          </w:tcPr>
          <w:p w14:paraId="754C08FD" w14:textId="77777777" w:rsidR="006B66E4" w:rsidRPr="00C5347D" w:rsidRDefault="006B66E4" w:rsidP="006B66E4">
            <w:pPr>
              <w:spacing w:after="0"/>
              <w:ind w:left="0" w:firstLine="0"/>
              <w:jc w:val="center"/>
              <w:rPr>
                <w:rFonts w:ascii="Arial Narrow" w:hAnsi="Arial Narrow" w:cs="Calibri"/>
                <w:sz w:val="22"/>
                <w:szCs w:val="22"/>
              </w:rPr>
            </w:pPr>
          </w:p>
        </w:tc>
      </w:tr>
      <w:tr w:rsidR="006B66E4" w:rsidRPr="00C5347D" w14:paraId="7B8E6A7C" w14:textId="77777777" w:rsidTr="00D77BC6">
        <w:trPr>
          <w:trHeight w:val="276"/>
        </w:trPr>
        <w:tc>
          <w:tcPr>
            <w:tcW w:w="237" w:type="pct"/>
            <w:shd w:val="clear" w:color="auto" w:fill="auto"/>
            <w:noWrap/>
            <w:vAlign w:val="center"/>
            <w:hideMark/>
          </w:tcPr>
          <w:p w14:paraId="3B31B386" w14:textId="77777777" w:rsidR="006B66E4" w:rsidRPr="00C5347D" w:rsidRDefault="006B66E4" w:rsidP="006B66E4">
            <w:pPr>
              <w:spacing w:after="0"/>
              <w:ind w:left="0" w:firstLine="0"/>
              <w:jc w:val="left"/>
              <w:rPr>
                <w:rFonts w:ascii="Arial Narrow" w:hAnsi="Arial Narrow" w:cs="Calibri"/>
                <w:sz w:val="22"/>
                <w:szCs w:val="22"/>
              </w:rPr>
            </w:pPr>
            <w:r w:rsidRPr="00C5347D">
              <w:rPr>
                <w:rFonts w:ascii="Arial Narrow" w:hAnsi="Arial Narrow" w:cs="Calibri"/>
                <w:sz w:val="22"/>
                <w:szCs w:val="22"/>
              </w:rPr>
              <w:t>8.4</w:t>
            </w:r>
          </w:p>
        </w:tc>
        <w:tc>
          <w:tcPr>
            <w:tcW w:w="2543" w:type="pct"/>
            <w:shd w:val="clear" w:color="auto" w:fill="auto"/>
            <w:vAlign w:val="center"/>
            <w:hideMark/>
          </w:tcPr>
          <w:p w14:paraId="7CC0FEBC" w14:textId="77777777" w:rsidR="006B66E4" w:rsidRPr="00C5347D" w:rsidRDefault="006B66E4" w:rsidP="006B66E4">
            <w:pPr>
              <w:spacing w:after="0"/>
              <w:ind w:left="0" w:firstLine="0"/>
              <w:jc w:val="left"/>
              <w:rPr>
                <w:rFonts w:ascii="Arial Narrow" w:hAnsi="Arial Narrow" w:cs="Calibri"/>
                <w:sz w:val="22"/>
                <w:szCs w:val="22"/>
              </w:rPr>
            </w:pPr>
            <w:r w:rsidRPr="00C5347D">
              <w:rPr>
                <w:rFonts w:ascii="Arial Narrow" w:hAnsi="Arial Narrow" w:cs="Calibri"/>
                <w:sz w:val="22"/>
                <w:szCs w:val="22"/>
              </w:rPr>
              <w:t>Fourniture d'échelle d'accès aux claies</w:t>
            </w:r>
          </w:p>
        </w:tc>
        <w:tc>
          <w:tcPr>
            <w:tcW w:w="425" w:type="pct"/>
            <w:shd w:val="clear" w:color="auto" w:fill="auto"/>
            <w:noWrap/>
            <w:vAlign w:val="center"/>
            <w:hideMark/>
          </w:tcPr>
          <w:p w14:paraId="12F95C8C" w14:textId="77777777" w:rsidR="006B66E4" w:rsidRPr="00C5347D" w:rsidRDefault="006B66E4" w:rsidP="006B66E4">
            <w:pPr>
              <w:spacing w:after="0"/>
              <w:ind w:left="0" w:firstLine="0"/>
              <w:jc w:val="center"/>
              <w:rPr>
                <w:rFonts w:ascii="Arial Narrow" w:hAnsi="Arial Narrow" w:cs="Calibri"/>
                <w:sz w:val="22"/>
                <w:szCs w:val="22"/>
              </w:rPr>
            </w:pPr>
            <w:r w:rsidRPr="00C5347D">
              <w:rPr>
                <w:rFonts w:ascii="Arial Narrow" w:hAnsi="Arial Narrow" w:cs="Calibri"/>
                <w:sz w:val="22"/>
                <w:szCs w:val="22"/>
              </w:rPr>
              <w:t>U</w:t>
            </w:r>
          </w:p>
        </w:tc>
        <w:tc>
          <w:tcPr>
            <w:tcW w:w="598" w:type="pct"/>
            <w:shd w:val="clear" w:color="auto" w:fill="auto"/>
            <w:noWrap/>
            <w:vAlign w:val="center"/>
            <w:hideMark/>
          </w:tcPr>
          <w:p w14:paraId="03603038" w14:textId="77777777" w:rsidR="006B66E4" w:rsidRPr="00A7320B" w:rsidRDefault="006B66E4" w:rsidP="006B66E4">
            <w:pPr>
              <w:spacing w:after="0"/>
              <w:ind w:left="0" w:firstLine="0"/>
              <w:jc w:val="center"/>
              <w:rPr>
                <w:rFonts w:ascii="Arial Narrow" w:hAnsi="Arial Narrow" w:cs="Calibri"/>
                <w:sz w:val="22"/>
                <w:szCs w:val="22"/>
              </w:rPr>
            </w:pPr>
            <w:r w:rsidRPr="00A7320B">
              <w:rPr>
                <w:rFonts w:ascii="Arial Narrow" w:hAnsi="Arial Narrow" w:cs="Calibri"/>
                <w:sz w:val="22"/>
                <w:szCs w:val="22"/>
              </w:rPr>
              <w:t>2</w:t>
            </w:r>
          </w:p>
        </w:tc>
        <w:tc>
          <w:tcPr>
            <w:tcW w:w="598" w:type="pct"/>
          </w:tcPr>
          <w:p w14:paraId="1C268127" w14:textId="77777777" w:rsidR="006B66E4" w:rsidRPr="00C5347D" w:rsidRDefault="006B66E4" w:rsidP="006B66E4">
            <w:pPr>
              <w:spacing w:after="0"/>
              <w:ind w:left="0" w:firstLine="0"/>
              <w:jc w:val="center"/>
              <w:rPr>
                <w:rFonts w:ascii="Arial Narrow" w:hAnsi="Arial Narrow" w:cs="Calibri"/>
                <w:sz w:val="22"/>
                <w:szCs w:val="22"/>
              </w:rPr>
            </w:pPr>
          </w:p>
        </w:tc>
        <w:tc>
          <w:tcPr>
            <w:tcW w:w="598" w:type="pct"/>
          </w:tcPr>
          <w:p w14:paraId="0C358079" w14:textId="77777777" w:rsidR="006B66E4" w:rsidRPr="00C5347D" w:rsidRDefault="006B66E4" w:rsidP="006B66E4">
            <w:pPr>
              <w:spacing w:after="0"/>
              <w:ind w:left="0" w:firstLine="0"/>
              <w:jc w:val="center"/>
              <w:rPr>
                <w:rFonts w:ascii="Arial Narrow" w:hAnsi="Arial Narrow" w:cs="Calibri"/>
                <w:sz w:val="22"/>
                <w:szCs w:val="22"/>
              </w:rPr>
            </w:pPr>
          </w:p>
        </w:tc>
      </w:tr>
      <w:tr w:rsidR="006B66E4" w:rsidRPr="00C5347D" w14:paraId="141582D1" w14:textId="77777777" w:rsidTr="00D77BC6">
        <w:trPr>
          <w:trHeight w:val="276"/>
        </w:trPr>
        <w:tc>
          <w:tcPr>
            <w:tcW w:w="237" w:type="pct"/>
            <w:shd w:val="clear" w:color="auto" w:fill="auto"/>
            <w:noWrap/>
            <w:vAlign w:val="center"/>
            <w:hideMark/>
          </w:tcPr>
          <w:p w14:paraId="219810A8" w14:textId="77777777" w:rsidR="006B66E4" w:rsidRPr="00C5347D" w:rsidRDefault="006B66E4" w:rsidP="006B66E4">
            <w:pPr>
              <w:spacing w:after="0"/>
              <w:ind w:left="0" w:firstLine="0"/>
              <w:jc w:val="left"/>
              <w:rPr>
                <w:rFonts w:ascii="Arial Narrow" w:hAnsi="Arial Narrow" w:cs="Calibri"/>
                <w:sz w:val="22"/>
                <w:szCs w:val="22"/>
              </w:rPr>
            </w:pPr>
            <w:r w:rsidRPr="00C5347D">
              <w:rPr>
                <w:rFonts w:ascii="Arial Narrow" w:hAnsi="Arial Narrow" w:cs="Calibri"/>
                <w:sz w:val="22"/>
                <w:szCs w:val="22"/>
              </w:rPr>
              <w:t>8.5</w:t>
            </w:r>
          </w:p>
        </w:tc>
        <w:tc>
          <w:tcPr>
            <w:tcW w:w="2543" w:type="pct"/>
            <w:shd w:val="clear" w:color="auto" w:fill="auto"/>
            <w:vAlign w:val="center"/>
            <w:hideMark/>
          </w:tcPr>
          <w:p w14:paraId="61C3CF60" w14:textId="77777777" w:rsidR="006B66E4" w:rsidRPr="00C5347D" w:rsidRDefault="006B66E4" w:rsidP="006B66E4">
            <w:pPr>
              <w:spacing w:after="0"/>
              <w:ind w:left="0" w:firstLine="0"/>
              <w:jc w:val="left"/>
              <w:rPr>
                <w:rFonts w:ascii="Arial Narrow" w:hAnsi="Arial Narrow" w:cs="Calibri"/>
                <w:sz w:val="22"/>
                <w:szCs w:val="22"/>
              </w:rPr>
            </w:pPr>
            <w:r w:rsidRPr="00C5347D">
              <w:rPr>
                <w:rFonts w:ascii="Arial Narrow" w:hAnsi="Arial Narrow" w:cs="Calibri"/>
                <w:sz w:val="22"/>
                <w:szCs w:val="22"/>
              </w:rPr>
              <w:t>Fourniture de banc métallique</w:t>
            </w:r>
          </w:p>
        </w:tc>
        <w:tc>
          <w:tcPr>
            <w:tcW w:w="425" w:type="pct"/>
            <w:shd w:val="clear" w:color="auto" w:fill="auto"/>
            <w:noWrap/>
            <w:vAlign w:val="center"/>
            <w:hideMark/>
          </w:tcPr>
          <w:p w14:paraId="2FF7879E" w14:textId="77777777" w:rsidR="006B66E4" w:rsidRPr="00C5347D" w:rsidRDefault="006B66E4" w:rsidP="006B66E4">
            <w:pPr>
              <w:spacing w:after="0"/>
              <w:ind w:left="0" w:firstLine="0"/>
              <w:jc w:val="center"/>
              <w:rPr>
                <w:rFonts w:ascii="Arial Narrow" w:hAnsi="Arial Narrow" w:cs="Calibri"/>
                <w:sz w:val="22"/>
                <w:szCs w:val="22"/>
              </w:rPr>
            </w:pPr>
            <w:r w:rsidRPr="00C5347D">
              <w:rPr>
                <w:rFonts w:ascii="Arial Narrow" w:hAnsi="Arial Narrow" w:cs="Calibri"/>
                <w:sz w:val="22"/>
                <w:szCs w:val="22"/>
              </w:rPr>
              <w:t>U</w:t>
            </w:r>
          </w:p>
        </w:tc>
        <w:tc>
          <w:tcPr>
            <w:tcW w:w="598" w:type="pct"/>
            <w:shd w:val="clear" w:color="auto" w:fill="auto"/>
            <w:noWrap/>
            <w:vAlign w:val="center"/>
            <w:hideMark/>
          </w:tcPr>
          <w:p w14:paraId="461A87E6" w14:textId="77777777" w:rsidR="006B66E4" w:rsidRPr="00A7320B" w:rsidRDefault="006B66E4" w:rsidP="006B66E4">
            <w:pPr>
              <w:spacing w:after="0"/>
              <w:ind w:left="0" w:firstLine="0"/>
              <w:jc w:val="center"/>
              <w:rPr>
                <w:rFonts w:ascii="Arial Narrow" w:hAnsi="Arial Narrow" w:cs="Calibri"/>
                <w:sz w:val="22"/>
                <w:szCs w:val="22"/>
              </w:rPr>
            </w:pPr>
            <w:r w:rsidRPr="00A7320B">
              <w:rPr>
                <w:rFonts w:ascii="Arial Narrow" w:hAnsi="Arial Narrow" w:cs="Calibri"/>
                <w:sz w:val="22"/>
                <w:szCs w:val="22"/>
              </w:rPr>
              <w:t>2</w:t>
            </w:r>
          </w:p>
        </w:tc>
        <w:tc>
          <w:tcPr>
            <w:tcW w:w="598" w:type="pct"/>
          </w:tcPr>
          <w:p w14:paraId="02DC51AF" w14:textId="77777777" w:rsidR="006B66E4" w:rsidRPr="00C5347D" w:rsidRDefault="006B66E4" w:rsidP="006B66E4">
            <w:pPr>
              <w:spacing w:after="0"/>
              <w:ind w:left="0" w:firstLine="0"/>
              <w:jc w:val="center"/>
              <w:rPr>
                <w:rFonts w:ascii="Arial Narrow" w:hAnsi="Arial Narrow" w:cs="Calibri"/>
                <w:sz w:val="22"/>
                <w:szCs w:val="22"/>
              </w:rPr>
            </w:pPr>
          </w:p>
        </w:tc>
        <w:tc>
          <w:tcPr>
            <w:tcW w:w="598" w:type="pct"/>
          </w:tcPr>
          <w:p w14:paraId="593652DB" w14:textId="77777777" w:rsidR="006B66E4" w:rsidRPr="00C5347D" w:rsidRDefault="006B66E4" w:rsidP="006B66E4">
            <w:pPr>
              <w:spacing w:after="0"/>
              <w:ind w:left="0" w:firstLine="0"/>
              <w:jc w:val="center"/>
              <w:rPr>
                <w:rFonts w:ascii="Arial Narrow" w:hAnsi="Arial Narrow" w:cs="Calibri"/>
                <w:sz w:val="22"/>
                <w:szCs w:val="22"/>
              </w:rPr>
            </w:pPr>
          </w:p>
        </w:tc>
      </w:tr>
      <w:tr w:rsidR="006B66E4" w:rsidRPr="00C5347D" w14:paraId="3DC5A181" w14:textId="77777777" w:rsidTr="00D77BC6">
        <w:trPr>
          <w:trHeight w:val="276"/>
        </w:trPr>
        <w:tc>
          <w:tcPr>
            <w:tcW w:w="237" w:type="pct"/>
            <w:shd w:val="clear" w:color="auto" w:fill="auto"/>
            <w:noWrap/>
            <w:vAlign w:val="center"/>
            <w:hideMark/>
          </w:tcPr>
          <w:p w14:paraId="18483B95" w14:textId="77777777" w:rsidR="006B66E4" w:rsidRPr="00C5347D" w:rsidRDefault="006B66E4" w:rsidP="006B66E4">
            <w:pPr>
              <w:spacing w:after="0"/>
              <w:ind w:left="0" w:firstLine="0"/>
              <w:jc w:val="left"/>
              <w:rPr>
                <w:rFonts w:ascii="Arial Narrow" w:hAnsi="Arial Narrow" w:cs="Calibri"/>
                <w:sz w:val="22"/>
                <w:szCs w:val="22"/>
              </w:rPr>
            </w:pPr>
            <w:r w:rsidRPr="00C5347D">
              <w:rPr>
                <w:rFonts w:ascii="Arial Narrow" w:hAnsi="Arial Narrow" w:cs="Calibri"/>
                <w:sz w:val="22"/>
                <w:szCs w:val="22"/>
              </w:rPr>
              <w:t>8.6</w:t>
            </w:r>
          </w:p>
        </w:tc>
        <w:tc>
          <w:tcPr>
            <w:tcW w:w="2543" w:type="pct"/>
            <w:shd w:val="clear" w:color="auto" w:fill="auto"/>
            <w:vAlign w:val="center"/>
            <w:hideMark/>
          </w:tcPr>
          <w:p w14:paraId="26228AB0" w14:textId="77777777" w:rsidR="006B66E4" w:rsidRPr="00C5347D" w:rsidRDefault="006B66E4" w:rsidP="006B66E4">
            <w:pPr>
              <w:spacing w:after="0"/>
              <w:ind w:left="0" w:firstLine="0"/>
              <w:jc w:val="left"/>
              <w:rPr>
                <w:rFonts w:ascii="Arial Narrow" w:hAnsi="Arial Narrow" w:cs="Calibri"/>
                <w:sz w:val="22"/>
                <w:szCs w:val="22"/>
              </w:rPr>
            </w:pPr>
            <w:r w:rsidRPr="00C5347D">
              <w:rPr>
                <w:rFonts w:ascii="Arial Narrow" w:hAnsi="Arial Narrow" w:cs="Calibri"/>
                <w:sz w:val="22"/>
                <w:szCs w:val="22"/>
              </w:rPr>
              <w:t>Fourniture de chaises pour le bureau du gestionnaire</w:t>
            </w:r>
          </w:p>
        </w:tc>
        <w:tc>
          <w:tcPr>
            <w:tcW w:w="425" w:type="pct"/>
            <w:shd w:val="clear" w:color="auto" w:fill="auto"/>
            <w:noWrap/>
            <w:vAlign w:val="center"/>
            <w:hideMark/>
          </w:tcPr>
          <w:p w14:paraId="162F4753" w14:textId="77777777" w:rsidR="006B66E4" w:rsidRPr="00C5347D" w:rsidRDefault="006B66E4" w:rsidP="006B66E4">
            <w:pPr>
              <w:spacing w:after="0"/>
              <w:ind w:left="0" w:firstLine="0"/>
              <w:jc w:val="center"/>
              <w:rPr>
                <w:rFonts w:ascii="Arial Narrow" w:hAnsi="Arial Narrow" w:cs="Calibri"/>
                <w:sz w:val="22"/>
                <w:szCs w:val="22"/>
              </w:rPr>
            </w:pPr>
            <w:r w:rsidRPr="00C5347D">
              <w:rPr>
                <w:rFonts w:ascii="Arial Narrow" w:hAnsi="Arial Narrow" w:cs="Calibri"/>
                <w:sz w:val="22"/>
                <w:szCs w:val="22"/>
              </w:rPr>
              <w:t>U</w:t>
            </w:r>
          </w:p>
        </w:tc>
        <w:tc>
          <w:tcPr>
            <w:tcW w:w="598" w:type="pct"/>
            <w:shd w:val="clear" w:color="auto" w:fill="auto"/>
            <w:noWrap/>
            <w:vAlign w:val="center"/>
            <w:hideMark/>
          </w:tcPr>
          <w:p w14:paraId="2ECFF646" w14:textId="77777777" w:rsidR="006B66E4" w:rsidRPr="00A7320B" w:rsidRDefault="006B66E4" w:rsidP="006B66E4">
            <w:pPr>
              <w:spacing w:after="0"/>
              <w:ind w:left="0" w:firstLine="0"/>
              <w:jc w:val="center"/>
              <w:rPr>
                <w:rFonts w:ascii="Arial Narrow" w:hAnsi="Arial Narrow" w:cs="Calibri"/>
                <w:sz w:val="22"/>
                <w:szCs w:val="22"/>
              </w:rPr>
            </w:pPr>
            <w:r w:rsidRPr="00A7320B">
              <w:rPr>
                <w:rFonts w:ascii="Arial Narrow" w:hAnsi="Arial Narrow" w:cs="Calibri"/>
                <w:sz w:val="22"/>
                <w:szCs w:val="22"/>
              </w:rPr>
              <w:t>3</w:t>
            </w:r>
          </w:p>
        </w:tc>
        <w:tc>
          <w:tcPr>
            <w:tcW w:w="598" w:type="pct"/>
          </w:tcPr>
          <w:p w14:paraId="7B279AF7" w14:textId="77777777" w:rsidR="006B66E4" w:rsidRPr="00C5347D" w:rsidRDefault="006B66E4" w:rsidP="006B66E4">
            <w:pPr>
              <w:spacing w:after="0"/>
              <w:ind w:left="0" w:firstLine="0"/>
              <w:jc w:val="center"/>
              <w:rPr>
                <w:rFonts w:ascii="Arial Narrow" w:hAnsi="Arial Narrow" w:cs="Calibri"/>
                <w:sz w:val="22"/>
                <w:szCs w:val="22"/>
              </w:rPr>
            </w:pPr>
          </w:p>
        </w:tc>
        <w:tc>
          <w:tcPr>
            <w:tcW w:w="598" w:type="pct"/>
          </w:tcPr>
          <w:p w14:paraId="3970F722" w14:textId="77777777" w:rsidR="006B66E4" w:rsidRPr="00C5347D" w:rsidRDefault="006B66E4" w:rsidP="006B66E4">
            <w:pPr>
              <w:spacing w:after="0"/>
              <w:ind w:left="0" w:firstLine="0"/>
              <w:jc w:val="center"/>
              <w:rPr>
                <w:rFonts w:ascii="Arial Narrow" w:hAnsi="Arial Narrow" w:cs="Calibri"/>
                <w:sz w:val="22"/>
                <w:szCs w:val="22"/>
              </w:rPr>
            </w:pPr>
          </w:p>
        </w:tc>
      </w:tr>
      <w:tr w:rsidR="006B66E4" w:rsidRPr="00C5347D" w14:paraId="22FE99B8" w14:textId="77777777" w:rsidTr="00D77BC6">
        <w:trPr>
          <w:trHeight w:val="276"/>
        </w:trPr>
        <w:tc>
          <w:tcPr>
            <w:tcW w:w="237" w:type="pct"/>
            <w:shd w:val="clear" w:color="auto" w:fill="auto"/>
            <w:noWrap/>
            <w:vAlign w:val="center"/>
            <w:hideMark/>
          </w:tcPr>
          <w:p w14:paraId="61D196A5" w14:textId="77777777" w:rsidR="006B66E4" w:rsidRPr="00C5347D" w:rsidRDefault="006B66E4" w:rsidP="006B66E4">
            <w:pPr>
              <w:spacing w:after="0"/>
              <w:ind w:left="0" w:firstLine="0"/>
              <w:jc w:val="left"/>
              <w:rPr>
                <w:rFonts w:ascii="Arial Narrow" w:hAnsi="Arial Narrow" w:cs="Calibri"/>
                <w:sz w:val="22"/>
                <w:szCs w:val="22"/>
              </w:rPr>
            </w:pPr>
            <w:r w:rsidRPr="00C5347D">
              <w:rPr>
                <w:rFonts w:ascii="Arial Narrow" w:hAnsi="Arial Narrow" w:cs="Calibri"/>
                <w:sz w:val="22"/>
                <w:szCs w:val="22"/>
              </w:rPr>
              <w:t>8.7</w:t>
            </w:r>
          </w:p>
        </w:tc>
        <w:tc>
          <w:tcPr>
            <w:tcW w:w="2543" w:type="pct"/>
            <w:shd w:val="clear" w:color="auto" w:fill="auto"/>
            <w:vAlign w:val="center"/>
            <w:hideMark/>
          </w:tcPr>
          <w:p w14:paraId="408D2E67" w14:textId="77777777" w:rsidR="006B66E4" w:rsidRPr="00C5347D" w:rsidRDefault="006B66E4" w:rsidP="006B66E4">
            <w:pPr>
              <w:spacing w:after="0"/>
              <w:ind w:left="0" w:firstLine="0"/>
              <w:jc w:val="left"/>
              <w:rPr>
                <w:rFonts w:ascii="Arial Narrow" w:hAnsi="Arial Narrow" w:cs="Calibri"/>
                <w:sz w:val="22"/>
                <w:szCs w:val="22"/>
              </w:rPr>
            </w:pPr>
            <w:r w:rsidRPr="00C5347D">
              <w:rPr>
                <w:rFonts w:ascii="Arial Narrow" w:hAnsi="Arial Narrow" w:cs="Calibri"/>
                <w:sz w:val="22"/>
                <w:szCs w:val="22"/>
              </w:rPr>
              <w:t>Fourniture de table métallique pour le bureau du gestionnaire</w:t>
            </w:r>
          </w:p>
        </w:tc>
        <w:tc>
          <w:tcPr>
            <w:tcW w:w="425" w:type="pct"/>
            <w:shd w:val="clear" w:color="auto" w:fill="auto"/>
            <w:noWrap/>
            <w:vAlign w:val="center"/>
            <w:hideMark/>
          </w:tcPr>
          <w:p w14:paraId="033A05EE" w14:textId="77777777" w:rsidR="006B66E4" w:rsidRPr="00C5347D" w:rsidRDefault="006B66E4" w:rsidP="006B66E4">
            <w:pPr>
              <w:spacing w:after="0"/>
              <w:ind w:left="0" w:firstLine="0"/>
              <w:jc w:val="center"/>
              <w:rPr>
                <w:rFonts w:ascii="Arial Narrow" w:hAnsi="Arial Narrow" w:cs="Calibri"/>
                <w:sz w:val="22"/>
                <w:szCs w:val="22"/>
              </w:rPr>
            </w:pPr>
            <w:r w:rsidRPr="00C5347D">
              <w:rPr>
                <w:rFonts w:ascii="Arial Narrow" w:hAnsi="Arial Narrow" w:cs="Calibri"/>
                <w:sz w:val="22"/>
                <w:szCs w:val="22"/>
              </w:rPr>
              <w:t>U</w:t>
            </w:r>
          </w:p>
        </w:tc>
        <w:tc>
          <w:tcPr>
            <w:tcW w:w="598" w:type="pct"/>
            <w:shd w:val="clear" w:color="auto" w:fill="auto"/>
            <w:noWrap/>
            <w:vAlign w:val="center"/>
            <w:hideMark/>
          </w:tcPr>
          <w:p w14:paraId="64022D23" w14:textId="77777777" w:rsidR="006B66E4" w:rsidRPr="00A7320B" w:rsidRDefault="006B66E4" w:rsidP="006B66E4">
            <w:pPr>
              <w:spacing w:after="0"/>
              <w:ind w:left="0" w:firstLine="0"/>
              <w:jc w:val="center"/>
              <w:rPr>
                <w:rFonts w:ascii="Arial Narrow" w:hAnsi="Arial Narrow" w:cs="Calibri"/>
                <w:sz w:val="22"/>
                <w:szCs w:val="22"/>
              </w:rPr>
            </w:pPr>
            <w:r w:rsidRPr="00A7320B">
              <w:rPr>
                <w:rFonts w:ascii="Arial Narrow" w:hAnsi="Arial Narrow" w:cs="Calibri"/>
                <w:sz w:val="22"/>
                <w:szCs w:val="22"/>
              </w:rPr>
              <w:t>1</w:t>
            </w:r>
          </w:p>
        </w:tc>
        <w:tc>
          <w:tcPr>
            <w:tcW w:w="598" w:type="pct"/>
          </w:tcPr>
          <w:p w14:paraId="428A81F7" w14:textId="77777777" w:rsidR="006B66E4" w:rsidRPr="00C5347D" w:rsidRDefault="006B66E4" w:rsidP="006B66E4">
            <w:pPr>
              <w:spacing w:after="0"/>
              <w:ind w:left="0" w:firstLine="0"/>
              <w:jc w:val="center"/>
              <w:rPr>
                <w:rFonts w:ascii="Arial Narrow" w:hAnsi="Arial Narrow" w:cs="Calibri"/>
                <w:sz w:val="22"/>
                <w:szCs w:val="22"/>
              </w:rPr>
            </w:pPr>
          </w:p>
        </w:tc>
        <w:tc>
          <w:tcPr>
            <w:tcW w:w="598" w:type="pct"/>
          </w:tcPr>
          <w:p w14:paraId="56A8C0F0" w14:textId="77777777" w:rsidR="006B66E4" w:rsidRPr="00C5347D" w:rsidRDefault="006B66E4" w:rsidP="006B66E4">
            <w:pPr>
              <w:spacing w:after="0"/>
              <w:ind w:left="0" w:firstLine="0"/>
              <w:jc w:val="center"/>
              <w:rPr>
                <w:rFonts w:ascii="Arial Narrow" w:hAnsi="Arial Narrow" w:cs="Calibri"/>
                <w:sz w:val="22"/>
                <w:szCs w:val="22"/>
              </w:rPr>
            </w:pPr>
          </w:p>
        </w:tc>
      </w:tr>
      <w:tr w:rsidR="006B66E4" w:rsidRPr="00C5347D" w14:paraId="6D3356CD" w14:textId="77777777" w:rsidTr="00D77BC6">
        <w:trPr>
          <w:trHeight w:val="552"/>
        </w:trPr>
        <w:tc>
          <w:tcPr>
            <w:tcW w:w="237" w:type="pct"/>
            <w:shd w:val="clear" w:color="auto" w:fill="auto"/>
            <w:noWrap/>
            <w:vAlign w:val="center"/>
            <w:hideMark/>
          </w:tcPr>
          <w:p w14:paraId="1C5BFC37" w14:textId="77777777" w:rsidR="006B66E4" w:rsidRPr="00C5347D" w:rsidRDefault="006B66E4" w:rsidP="006B66E4">
            <w:pPr>
              <w:spacing w:after="0"/>
              <w:ind w:left="0" w:firstLine="0"/>
              <w:jc w:val="left"/>
              <w:rPr>
                <w:rFonts w:ascii="Arial Narrow" w:hAnsi="Arial Narrow" w:cs="Calibri"/>
                <w:sz w:val="22"/>
                <w:szCs w:val="22"/>
              </w:rPr>
            </w:pPr>
            <w:r w:rsidRPr="00C5347D">
              <w:rPr>
                <w:rFonts w:ascii="Arial Narrow" w:hAnsi="Arial Narrow" w:cs="Calibri"/>
                <w:sz w:val="22"/>
                <w:szCs w:val="22"/>
              </w:rPr>
              <w:lastRenderedPageBreak/>
              <w:t> </w:t>
            </w:r>
          </w:p>
        </w:tc>
        <w:tc>
          <w:tcPr>
            <w:tcW w:w="2543" w:type="pct"/>
            <w:shd w:val="clear" w:color="auto" w:fill="auto"/>
            <w:vAlign w:val="center"/>
            <w:hideMark/>
          </w:tcPr>
          <w:p w14:paraId="0FE791B1" w14:textId="77777777" w:rsidR="006B66E4" w:rsidRPr="00C5347D" w:rsidRDefault="006B66E4" w:rsidP="006B66E4">
            <w:pPr>
              <w:spacing w:after="0"/>
              <w:ind w:left="0" w:firstLine="0"/>
              <w:jc w:val="left"/>
              <w:rPr>
                <w:rFonts w:ascii="Arial Narrow" w:hAnsi="Arial Narrow" w:cs="Calibri"/>
                <w:b/>
                <w:bCs/>
                <w:sz w:val="22"/>
                <w:szCs w:val="22"/>
              </w:rPr>
            </w:pPr>
            <w:r w:rsidRPr="00C5347D">
              <w:rPr>
                <w:rFonts w:ascii="Arial Narrow" w:hAnsi="Arial Narrow" w:cs="Calibri"/>
                <w:b/>
                <w:bCs/>
                <w:sz w:val="22"/>
                <w:szCs w:val="22"/>
              </w:rPr>
              <w:t>TOTAL FOURNITURES ET INSTALLATION DE CLAIES ET EQUIPEMENTS</w:t>
            </w:r>
          </w:p>
        </w:tc>
        <w:tc>
          <w:tcPr>
            <w:tcW w:w="425" w:type="pct"/>
            <w:shd w:val="clear" w:color="auto" w:fill="auto"/>
            <w:noWrap/>
            <w:vAlign w:val="center"/>
            <w:hideMark/>
          </w:tcPr>
          <w:p w14:paraId="41CCE042" w14:textId="77777777" w:rsidR="006B66E4" w:rsidRPr="00C5347D" w:rsidRDefault="006B66E4" w:rsidP="006B66E4">
            <w:pPr>
              <w:spacing w:after="0"/>
              <w:ind w:left="0" w:firstLine="0"/>
              <w:jc w:val="center"/>
              <w:rPr>
                <w:rFonts w:ascii="Arial Narrow" w:hAnsi="Arial Narrow" w:cs="Calibri"/>
                <w:sz w:val="22"/>
                <w:szCs w:val="22"/>
              </w:rPr>
            </w:pPr>
            <w:r w:rsidRPr="00C5347D">
              <w:rPr>
                <w:rFonts w:ascii="Arial Narrow" w:hAnsi="Arial Narrow" w:cs="Calibri"/>
                <w:sz w:val="22"/>
                <w:szCs w:val="22"/>
              </w:rPr>
              <w:t> </w:t>
            </w:r>
          </w:p>
        </w:tc>
        <w:tc>
          <w:tcPr>
            <w:tcW w:w="598" w:type="pct"/>
            <w:shd w:val="clear" w:color="auto" w:fill="auto"/>
            <w:noWrap/>
            <w:vAlign w:val="center"/>
            <w:hideMark/>
          </w:tcPr>
          <w:p w14:paraId="6BC41D37" w14:textId="77777777" w:rsidR="006B66E4" w:rsidRPr="00CD207E" w:rsidRDefault="006B66E4" w:rsidP="006B66E4">
            <w:pPr>
              <w:spacing w:after="0"/>
              <w:ind w:left="0" w:firstLine="0"/>
              <w:jc w:val="left"/>
              <w:rPr>
                <w:rFonts w:ascii="Arial Narrow" w:hAnsi="Arial Narrow" w:cs="Calibri"/>
                <w:color w:val="FF0000"/>
                <w:sz w:val="22"/>
                <w:szCs w:val="22"/>
              </w:rPr>
            </w:pPr>
            <w:r w:rsidRPr="00CD207E">
              <w:rPr>
                <w:rFonts w:ascii="Arial Narrow" w:hAnsi="Arial Narrow" w:cs="Calibri"/>
                <w:color w:val="FF0000"/>
                <w:sz w:val="22"/>
                <w:szCs w:val="22"/>
              </w:rPr>
              <w:t> </w:t>
            </w:r>
          </w:p>
        </w:tc>
        <w:tc>
          <w:tcPr>
            <w:tcW w:w="598" w:type="pct"/>
          </w:tcPr>
          <w:p w14:paraId="5DA1ADA1" w14:textId="77777777" w:rsidR="006B66E4" w:rsidRPr="00C5347D" w:rsidRDefault="006B66E4" w:rsidP="006B66E4">
            <w:pPr>
              <w:spacing w:after="0"/>
              <w:ind w:left="0" w:firstLine="0"/>
              <w:jc w:val="left"/>
              <w:rPr>
                <w:rFonts w:ascii="Arial Narrow" w:hAnsi="Arial Narrow" w:cs="Calibri"/>
                <w:sz w:val="22"/>
                <w:szCs w:val="22"/>
              </w:rPr>
            </w:pPr>
          </w:p>
        </w:tc>
        <w:tc>
          <w:tcPr>
            <w:tcW w:w="598" w:type="pct"/>
          </w:tcPr>
          <w:p w14:paraId="1E8EF400" w14:textId="77777777" w:rsidR="006B66E4" w:rsidRPr="00C5347D" w:rsidRDefault="006B66E4" w:rsidP="006B66E4">
            <w:pPr>
              <w:spacing w:after="0"/>
              <w:ind w:left="0" w:firstLine="0"/>
              <w:jc w:val="left"/>
              <w:rPr>
                <w:rFonts w:ascii="Arial Narrow" w:hAnsi="Arial Narrow" w:cs="Calibri"/>
                <w:sz w:val="22"/>
                <w:szCs w:val="22"/>
              </w:rPr>
            </w:pPr>
          </w:p>
        </w:tc>
      </w:tr>
      <w:tr w:rsidR="006B66E4" w:rsidRPr="00C5347D" w14:paraId="12FE2F04" w14:textId="77777777" w:rsidTr="00D77BC6">
        <w:trPr>
          <w:trHeight w:val="288"/>
        </w:trPr>
        <w:tc>
          <w:tcPr>
            <w:tcW w:w="237" w:type="pct"/>
            <w:shd w:val="clear" w:color="auto" w:fill="D9D9D9" w:themeFill="background1" w:themeFillShade="D9"/>
            <w:noWrap/>
            <w:vAlign w:val="center"/>
            <w:hideMark/>
          </w:tcPr>
          <w:p w14:paraId="6595D627" w14:textId="77777777" w:rsidR="006B66E4" w:rsidRPr="00C5347D" w:rsidRDefault="006B66E4" w:rsidP="006B66E4">
            <w:pPr>
              <w:spacing w:after="0"/>
              <w:ind w:left="0" w:firstLine="0"/>
              <w:jc w:val="left"/>
              <w:rPr>
                <w:rFonts w:ascii="Arial Narrow" w:hAnsi="Arial Narrow" w:cs="Calibri"/>
                <w:sz w:val="22"/>
                <w:szCs w:val="22"/>
              </w:rPr>
            </w:pPr>
            <w:r w:rsidRPr="00C5347D">
              <w:rPr>
                <w:rFonts w:ascii="Arial Narrow" w:hAnsi="Arial Narrow" w:cs="Calibri"/>
                <w:sz w:val="22"/>
                <w:szCs w:val="22"/>
              </w:rPr>
              <w:t> </w:t>
            </w:r>
          </w:p>
        </w:tc>
        <w:tc>
          <w:tcPr>
            <w:tcW w:w="2543" w:type="pct"/>
            <w:shd w:val="clear" w:color="auto" w:fill="D9D9D9" w:themeFill="background1" w:themeFillShade="D9"/>
            <w:noWrap/>
            <w:vAlign w:val="center"/>
            <w:hideMark/>
          </w:tcPr>
          <w:p w14:paraId="404594B9" w14:textId="7734DE2E" w:rsidR="006B66E4" w:rsidRPr="00C5347D" w:rsidRDefault="006B66E4" w:rsidP="00D77BC6">
            <w:pPr>
              <w:spacing w:after="0"/>
              <w:ind w:left="0" w:firstLine="0"/>
              <w:jc w:val="left"/>
              <w:rPr>
                <w:rFonts w:ascii="Arial Narrow" w:hAnsi="Arial Narrow" w:cs="Calibri"/>
                <w:b/>
                <w:bCs/>
                <w:sz w:val="22"/>
                <w:szCs w:val="22"/>
              </w:rPr>
            </w:pPr>
            <w:r w:rsidRPr="00C5347D">
              <w:rPr>
                <w:rFonts w:ascii="Arial Narrow" w:hAnsi="Arial Narrow" w:cs="Calibri"/>
                <w:b/>
                <w:bCs/>
                <w:sz w:val="22"/>
                <w:szCs w:val="22"/>
              </w:rPr>
              <w:t xml:space="preserve">TOTAL </w:t>
            </w:r>
            <w:r w:rsidR="00D96D1B" w:rsidRPr="00C5347D">
              <w:rPr>
                <w:rFonts w:ascii="Arial Narrow" w:hAnsi="Arial Narrow" w:cs="Calibri"/>
                <w:b/>
                <w:bCs/>
                <w:sz w:val="22"/>
                <w:szCs w:val="22"/>
              </w:rPr>
              <w:t>- MAGASIN</w:t>
            </w:r>
          </w:p>
        </w:tc>
        <w:tc>
          <w:tcPr>
            <w:tcW w:w="425" w:type="pct"/>
            <w:shd w:val="clear" w:color="auto" w:fill="D9D9D9" w:themeFill="background1" w:themeFillShade="D9"/>
            <w:noWrap/>
            <w:vAlign w:val="center"/>
            <w:hideMark/>
          </w:tcPr>
          <w:p w14:paraId="48674F07" w14:textId="77777777" w:rsidR="006B66E4" w:rsidRPr="00C5347D" w:rsidRDefault="006B66E4" w:rsidP="006B66E4">
            <w:pPr>
              <w:spacing w:after="0"/>
              <w:ind w:left="0" w:firstLine="0"/>
              <w:jc w:val="left"/>
              <w:rPr>
                <w:rFonts w:ascii="Arial Narrow" w:hAnsi="Arial Narrow" w:cs="Calibri"/>
                <w:sz w:val="22"/>
                <w:szCs w:val="22"/>
              </w:rPr>
            </w:pPr>
            <w:r w:rsidRPr="00C5347D">
              <w:rPr>
                <w:rFonts w:ascii="Arial Narrow" w:hAnsi="Arial Narrow" w:cs="Calibri"/>
                <w:sz w:val="22"/>
                <w:szCs w:val="22"/>
              </w:rPr>
              <w:t> </w:t>
            </w:r>
          </w:p>
        </w:tc>
        <w:tc>
          <w:tcPr>
            <w:tcW w:w="598" w:type="pct"/>
            <w:shd w:val="clear" w:color="auto" w:fill="D9D9D9" w:themeFill="background1" w:themeFillShade="D9"/>
            <w:noWrap/>
            <w:vAlign w:val="center"/>
            <w:hideMark/>
          </w:tcPr>
          <w:p w14:paraId="3E4FA6DF" w14:textId="77777777" w:rsidR="006B66E4" w:rsidRPr="00CD207E" w:rsidRDefault="006B66E4" w:rsidP="006B66E4">
            <w:pPr>
              <w:spacing w:after="0"/>
              <w:ind w:left="0" w:firstLine="0"/>
              <w:jc w:val="left"/>
              <w:rPr>
                <w:rFonts w:ascii="Arial Narrow" w:hAnsi="Arial Narrow" w:cs="Calibri"/>
                <w:color w:val="FF0000"/>
                <w:sz w:val="22"/>
                <w:szCs w:val="22"/>
              </w:rPr>
            </w:pPr>
            <w:r w:rsidRPr="00CD207E">
              <w:rPr>
                <w:rFonts w:ascii="Arial Narrow" w:hAnsi="Arial Narrow" w:cs="Calibri"/>
                <w:color w:val="FF0000"/>
                <w:sz w:val="22"/>
                <w:szCs w:val="22"/>
              </w:rPr>
              <w:t> </w:t>
            </w:r>
          </w:p>
        </w:tc>
        <w:tc>
          <w:tcPr>
            <w:tcW w:w="598" w:type="pct"/>
            <w:shd w:val="clear" w:color="auto" w:fill="D9D9D9" w:themeFill="background1" w:themeFillShade="D9"/>
          </w:tcPr>
          <w:p w14:paraId="10C17EFF" w14:textId="77777777" w:rsidR="006B66E4" w:rsidRPr="00C5347D" w:rsidRDefault="006B66E4" w:rsidP="006B66E4">
            <w:pPr>
              <w:spacing w:after="0"/>
              <w:ind w:left="0" w:firstLine="0"/>
              <w:jc w:val="left"/>
              <w:rPr>
                <w:rFonts w:ascii="Arial Narrow" w:hAnsi="Arial Narrow" w:cs="Calibri"/>
                <w:sz w:val="22"/>
                <w:szCs w:val="22"/>
              </w:rPr>
            </w:pPr>
          </w:p>
        </w:tc>
        <w:tc>
          <w:tcPr>
            <w:tcW w:w="598" w:type="pct"/>
            <w:shd w:val="clear" w:color="auto" w:fill="D9D9D9" w:themeFill="background1" w:themeFillShade="D9"/>
          </w:tcPr>
          <w:p w14:paraId="6A31C923" w14:textId="77777777" w:rsidR="006B66E4" w:rsidRPr="00C5347D" w:rsidRDefault="006B66E4" w:rsidP="006B66E4">
            <w:pPr>
              <w:spacing w:after="0"/>
              <w:ind w:left="0" w:firstLine="0"/>
              <w:jc w:val="left"/>
              <w:rPr>
                <w:rFonts w:ascii="Arial Narrow" w:hAnsi="Arial Narrow" w:cs="Calibri"/>
                <w:sz w:val="22"/>
                <w:szCs w:val="22"/>
              </w:rPr>
            </w:pPr>
          </w:p>
        </w:tc>
      </w:tr>
      <w:tr w:rsidR="00D77BC6" w:rsidRPr="00C5347D" w14:paraId="406FE4BD" w14:textId="77777777" w:rsidTr="00D77BC6">
        <w:trPr>
          <w:trHeight w:val="288"/>
        </w:trPr>
        <w:tc>
          <w:tcPr>
            <w:tcW w:w="237" w:type="pct"/>
            <w:shd w:val="clear" w:color="auto" w:fill="auto"/>
            <w:noWrap/>
            <w:vAlign w:val="center"/>
          </w:tcPr>
          <w:p w14:paraId="0BA94E59" w14:textId="77777777" w:rsidR="00D77BC6" w:rsidRPr="00C5347D" w:rsidRDefault="00D77BC6" w:rsidP="00D77BC6">
            <w:pPr>
              <w:spacing w:after="0"/>
              <w:ind w:left="0" w:firstLine="0"/>
              <w:jc w:val="left"/>
              <w:rPr>
                <w:rFonts w:ascii="Arial Narrow" w:hAnsi="Arial Narrow" w:cs="Calibri"/>
                <w:sz w:val="22"/>
                <w:szCs w:val="22"/>
              </w:rPr>
            </w:pPr>
          </w:p>
        </w:tc>
        <w:tc>
          <w:tcPr>
            <w:tcW w:w="2543" w:type="pct"/>
            <w:shd w:val="clear" w:color="auto" w:fill="auto"/>
            <w:noWrap/>
            <w:vAlign w:val="center"/>
          </w:tcPr>
          <w:p w14:paraId="792F5697" w14:textId="31A0C41B" w:rsidR="00D77BC6" w:rsidRPr="00C5347D" w:rsidRDefault="00D77BC6" w:rsidP="00D77BC6">
            <w:pPr>
              <w:spacing w:after="0"/>
              <w:ind w:left="0" w:firstLine="0"/>
              <w:jc w:val="left"/>
              <w:rPr>
                <w:rFonts w:ascii="Arial Narrow" w:hAnsi="Arial Narrow" w:cs="Calibri"/>
                <w:b/>
                <w:bCs/>
                <w:sz w:val="22"/>
                <w:szCs w:val="22"/>
              </w:rPr>
            </w:pPr>
            <w:r>
              <w:rPr>
                <w:rFonts w:ascii="Arial Narrow" w:hAnsi="Arial Narrow" w:cs="Arial"/>
                <w:b/>
                <w:bCs/>
                <w:sz w:val="20"/>
              </w:rPr>
              <w:t>TVA</w:t>
            </w:r>
          </w:p>
        </w:tc>
        <w:tc>
          <w:tcPr>
            <w:tcW w:w="425" w:type="pct"/>
            <w:shd w:val="clear" w:color="auto" w:fill="auto"/>
            <w:noWrap/>
            <w:vAlign w:val="center"/>
          </w:tcPr>
          <w:p w14:paraId="2819C9C8" w14:textId="77777777" w:rsidR="00D77BC6" w:rsidRPr="00C5347D" w:rsidRDefault="00D77BC6" w:rsidP="00D77BC6">
            <w:pPr>
              <w:spacing w:after="0"/>
              <w:ind w:left="0" w:firstLine="0"/>
              <w:jc w:val="left"/>
              <w:rPr>
                <w:rFonts w:ascii="Arial Narrow" w:hAnsi="Arial Narrow" w:cs="Calibri"/>
                <w:sz w:val="22"/>
                <w:szCs w:val="22"/>
              </w:rPr>
            </w:pPr>
          </w:p>
        </w:tc>
        <w:tc>
          <w:tcPr>
            <w:tcW w:w="598" w:type="pct"/>
            <w:shd w:val="clear" w:color="auto" w:fill="auto"/>
            <w:noWrap/>
            <w:vAlign w:val="center"/>
          </w:tcPr>
          <w:p w14:paraId="005EB8EE" w14:textId="77777777" w:rsidR="00D77BC6" w:rsidRPr="00CD207E" w:rsidRDefault="00D77BC6" w:rsidP="00D77BC6">
            <w:pPr>
              <w:spacing w:after="0"/>
              <w:ind w:left="0" w:firstLine="0"/>
              <w:jc w:val="left"/>
              <w:rPr>
                <w:rFonts w:ascii="Arial Narrow" w:hAnsi="Arial Narrow" w:cs="Calibri"/>
                <w:color w:val="FF0000"/>
                <w:sz w:val="22"/>
                <w:szCs w:val="22"/>
              </w:rPr>
            </w:pPr>
          </w:p>
        </w:tc>
        <w:tc>
          <w:tcPr>
            <w:tcW w:w="598" w:type="pct"/>
          </w:tcPr>
          <w:p w14:paraId="4CE92993" w14:textId="77777777" w:rsidR="00D77BC6" w:rsidRPr="00C5347D" w:rsidRDefault="00D77BC6" w:rsidP="00D77BC6">
            <w:pPr>
              <w:spacing w:after="0"/>
              <w:ind w:left="0" w:firstLine="0"/>
              <w:jc w:val="left"/>
              <w:rPr>
                <w:rFonts w:ascii="Arial Narrow" w:hAnsi="Arial Narrow" w:cs="Calibri"/>
                <w:sz w:val="22"/>
                <w:szCs w:val="22"/>
              </w:rPr>
            </w:pPr>
          </w:p>
        </w:tc>
        <w:tc>
          <w:tcPr>
            <w:tcW w:w="598" w:type="pct"/>
          </w:tcPr>
          <w:p w14:paraId="27ECBF34" w14:textId="77777777" w:rsidR="00D77BC6" w:rsidRPr="00C5347D" w:rsidRDefault="00D77BC6" w:rsidP="00D77BC6">
            <w:pPr>
              <w:spacing w:after="0"/>
              <w:ind w:left="0" w:firstLine="0"/>
              <w:jc w:val="left"/>
              <w:rPr>
                <w:rFonts w:ascii="Arial Narrow" w:hAnsi="Arial Narrow" w:cs="Calibri"/>
                <w:sz w:val="22"/>
                <w:szCs w:val="22"/>
              </w:rPr>
            </w:pPr>
          </w:p>
        </w:tc>
      </w:tr>
      <w:tr w:rsidR="00D77BC6" w:rsidRPr="00C5347D" w14:paraId="7DB6D4A9" w14:textId="77777777" w:rsidTr="00D77BC6">
        <w:trPr>
          <w:trHeight w:val="288"/>
        </w:trPr>
        <w:tc>
          <w:tcPr>
            <w:tcW w:w="237" w:type="pct"/>
            <w:shd w:val="clear" w:color="auto" w:fill="D9D9D9" w:themeFill="background1" w:themeFillShade="D9"/>
            <w:noWrap/>
            <w:vAlign w:val="center"/>
          </w:tcPr>
          <w:p w14:paraId="0BAC8A65" w14:textId="77777777" w:rsidR="00D77BC6" w:rsidRPr="00C5347D" w:rsidRDefault="00D77BC6" w:rsidP="00D77BC6">
            <w:pPr>
              <w:spacing w:after="0"/>
              <w:ind w:left="0" w:firstLine="0"/>
              <w:jc w:val="left"/>
              <w:rPr>
                <w:rFonts w:ascii="Arial Narrow" w:hAnsi="Arial Narrow" w:cs="Calibri"/>
                <w:sz w:val="22"/>
                <w:szCs w:val="22"/>
              </w:rPr>
            </w:pPr>
          </w:p>
        </w:tc>
        <w:tc>
          <w:tcPr>
            <w:tcW w:w="2543" w:type="pct"/>
            <w:shd w:val="clear" w:color="auto" w:fill="D9D9D9" w:themeFill="background1" w:themeFillShade="D9"/>
            <w:noWrap/>
            <w:vAlign w:val="center"/>
          </w:tcPr>
          <w:p w14:paraId="7545ECED" w14:textId="7F900C02" w:rsidR="00D77BC6" w:rsidRPr="00C5347D" w:rsidRDefault="00D77BC6" w:rsidP="00D77BC6">
            <w:pPr>
              <w:spacing w:after="0"/>
              <w:ind w:left="0" w:firstLine="0"/>
              <w:jc w:val="left"/>
              <w:rPr>
                <w:rFonts w:ascii="Arial Narrow" w:hAnsi="Arial Narrow" w:cs="Calibri"/>
                <w:b/>
                <w:bCs/>
                <w:sz w:val="22"/>
                <w:szCs w:val="22"/>
              </w:rPr>
            </w:pPr>
            <w:r>
              <w:rPr>
                <w:rFonts w:ascii="Arial Narrow" w:hAnsi="Arial Narrow" w:cs="Arial"/>
                <w:b/>
                <w:bCs/>
                <w:sz w:val="20"/>
              </w:rPr>
              <w:t>TOTAL GENERAL TTC</w:t>
            </w:r>
          </w:p>
        </w:tc>
        <w:tc>
          <w:tcPr>
            <w:tcW w:w="425" w:type="pct"/>
            <w:shd w:val="clear" w:color="auto" w:fill="D9D9D9" w:themeFill="background1" w:themeFillShade="D9"/>
            <w:noWrap/>
            <w:vAlign w:val="center"/>
          </w:tcPr>
          <w:p w14:paraId="169F2EB2" w14:textId="77777777" w:rsidR="00D77BC6" w:rsidRPr="00C5347D" w:rsidRDefault="00D77BC6" w:rsidP="00D77BC6">
            <w:pPr>
              <w:spacing w:after="0"/>
              <w:ind w:left="0" w:firstLine="0"/>
              <w:jc w:val="left"/>
              <w:rPr>
                <w:rFonts w:ascii="Arial Narrow" w:hAnsi="Arial Narrow" w:cs="Calibri"/>
                <w:sz w:val="22"/>
                <w:szCs w:val="22"/>
              </w:rPr>
            </w:pPr>
          </w:p>
        </w:tc>
        <w:tc>
          <w:tcPr>
            <w:tcW w:w="598" w:type="pct"/>
            <w:shd w:val="clear" w:color="auto" w:fill="D9D9D9" w:themeFill="background1" w:themeFillShade="D9"/>
            <w:noWrap/>
            <w:vAlign w:val="center"/>
          </w:tcPr>
          <w:p w14:paraId="73CF1A09" w14:textId="77777777" w:rsidR="00D77BC6" w:rsidRPr="00CD207E" w:rsidRDefault="00D77BC6" w:rsidP="00D77BC6">
            <w:pPr>
              <w:spacing w:after="0"/>
              <w:ind w:left="0" w:firstLine="0"/>
              <w:jc w:val="left"/>
              <w:rPr>
                <w:rFonts w:ascii="Arial Narrow" w:hAnsi="Arial Narrow" w:cs="Calibri"/>
                <w:color w:val="FF0000"/>
                <w:sz w:val="22"/>
                <w:szCs w:val="22"/>
              </w:rPr>
            </w:pPr>
          </w:p>
        </w:tc>
        <w:tc>
          <w:tcPr>
            <w:tcW w:w="598" w:type="pct"/>
            <w:shd w:val="clear" w:color="auto" w:fill="D9D9D9" w:themeFill="background1" w:themeFillShade="D9"/>
          </w:tcPr>
          <w:p w14:paraId="6B26AE06" w14:textId="77777777" w:rsidR="00D77BC6" w:rsidRPr="00C5347D" w:rsidRDefault="00D77BC6" w:rsidP="00D77BC6">
            <w:pPr>
              <w:spacing w:after="0"/>
              <w:ind w:left="0" w:firstLine="0"/>
              <w:jc w:val="left"/>
              <w:rPr>
                <w:rFonts w:ascii="Arial Narrow" w:hAnsi="Arial Narrow" w:cs="Calibri"/>
                <w:sz w:val="22"/>
                <w:szCs w:val="22"/>
              </w:rPr>
            </w:pPr>
          </w:p>
        </w:tc>
        <w:tc>
          <w:tcPr>
            <w:tcW w:w="598" w:type="pct"/>
            <w:shd w:val="clear" w:color="auto" w:fill="D9D9D9" w:themeFill="background1" w:themeFillShade="D9"/>
          </w:tcPr>
          <w:p w14:paraId="45EF059B" w14:textId="77777777" w:rsidR="00D77BC6" w:rsidRPr="00C5347D" w:rsidRDefault="00D77BC6" w:rsidP="00D77BC6">
            <w:pPr>
              <w:spacing w:after="0"/>
              <w:ind w:left="0" w:firstLine="0"/>
              <w:jc w:val="left"/>
              <w:rPr>
                <w:rFonts w:ascii="Arial Narrow" w:hAnsi="Arial Narrow" w:cs="Calibri"/>
                <w:sz w:val="22"/>
                <w:szCs w:val="22"/>
              </w:rPr>
            </w:pPr>
          </w:p>
        </w:tc>
      </w:tr>
    </w:tbl>
    <w:p w14:paraId="3C5E6420" w14:textId="77777777" w:rsidR="006B66E4" w:rsidRPr="00C5347D" w:rsidRDefault="006B66E4" w:rsidP="006B66E4">
      <w:pPr>
        <w:spacing w:after="0"/>
        <w:ind w:left="0" w:firstLine="0"/>
        <w:jc w:val="left"/>
        <w:rPr>
          <w:b/>
          <w:sz w:val="28"/>
          <w:szCs w:val="28"/>
          <w:highlight w:val="yellow"/>
          <w:lang w:eastAsia="en-US"/>
        </w:rPr>
      </w:pPr>
    </w:p>
    <w:p w14:paraId="0C33F7E5" w14:textId="77777777" w:rsidR="006B66E4" w:rsidRPr="001124FC" w:rsidRDefault="006B66E4" w:rsidP="006B66E4">
      <w:pPr>
        <w:ind w:left="0" w:firstLine="0"/>
        <w:rPr>
          <w:b/>
          <w:szCs w:val="24"/>
          <w:lang w:eastAsia="en-US"/>
        </w:rPr>
      </w:pPr>
    </w:p>
    <w:p w14:paraId="40B9BE9E" w14:textId="66690A57" w:rsidR="006B66E4" w:rsidRPr="00A7320B" w:rsidRDefault="006B66E4" w:rsidP="006B66E4">
      <w:pPr>
        <w:pStyle w:val="S1-Header2"/>
        <w:numPr>
          <w:ilvl w:val="0"/>
          <w:numId w:val="0"/>
        </w:numPr>
        <w:ind w:left="720" w:hanging="720"/>
        <w:rPr>
          <w:b w:val="0"/>
          <w:lang w:val="fr-FR"/>
        </w:rPr>
      </w:pPr>
      <w:r w:rsidRPr="00A7320B">
        <w:rPr>
          <w:b w:val="0"/>
          <w:lang w:val="fr-FR"/>
        </w:rPr>
        <w:t>Fait à……………………, le ……………………202</w:t>
      </w:r>
      <w:r w:rsidR="00CD207E" w:rsidRPr="00A7320B">
        <w:rPr>
          <w:b w:val="0"/>
          <w:lang w:val="fr-FR"/>
        </w:rPr>
        <w:t>1</w:t>
      </w:r>
      <w:r w:rsidRPr="00A7320B">
        <w:rPr>
          <w:b w:val="0"/>
          <w:lang w:val="fr-FR"/>
        </w:rPr>
        <w:t>.</w:t>
      </w:r>
    </w:p>
    <w:p w14:paraId="30D2969B" w14:textId="77777777" w:rsidR="006B66E4" w:rsidRPr="001124FC" w:rsidRDefault="006B66E4" w:rsidP="006B66E4">
      <w:pPr>
        <w:pStyle w:val="S1-Header2"/>
        <w:numPr>
          <w:ilvl w:val="0"/>
          <w:numId w:val="0"/>
        </w:numPr>
        <w:ind w:left="142" w:hanging="11"/>
        <w:rPr>
          <w:b w:val="0"/>
          <w:lang w:val="fr-FR"/>
        </w:rPr>
      </w:pPr>
      <w:r w:rsidRPr="001124FC">
        <w:rPr>
          <w:b w:val="0"/>
          <w:lang w:val="fr-FR"/>
        </w:rPr>
        <w:t>Arrêter le présent devis à la somme de ………………………francs CFA toutes taxes comprises</w:t>
      </w:r>
    </w:p>
    <w:p w14:paraId="19E87EAB" w14:textId="77777777" w:rsidR="006B66E4" w:rsidRPr="001124FC" w:rsidRDefault="006B66E4" w:rsidP="006B66E4">
      <w:pPr>
        <w:spacing w:after="0"/>
        <w:ind w:left="426" w:hanging="426"/>
        <w:jc w:val="left"/>
        <w:rPr>
          <w:b/>
          <w:szCs w:val="24"/>
          <w:lang w:eastAsia="en-US"/>
        </w:rPr>
      </w:pPr>
      <w:r w:rsidRPr="001124FC">
        <w:rPr>
          <w:b/>
          <w:szCs w:val="24"/>
          <w:lang w:eastAsia="en-US"/>
        </w:rPr>
        <w:t xml:space="preserve">                         </w:t>
      </w:r>
    </w:p>
    <w:p w14:paraId="07502F1B" w14:textId="77777777" w:rsidR="006B66E4" w:rsidRPr="001124FC" w:rsidRDefault="006B66E4" w:rsidP="006B66E4">
      <w:pPr>
        <w:spacing w:after="0"/>
        <w:ind w:left="426" w:hanging="426"/>
        <w:jc w:val="left"/>
        <w:rPr>
          <w:b/>
          <w:szCs w:val="24"/>
          <w:lang w:eastAsia="en-US"/>
        </w:rPr>
      </w:pPr>
      <w:r w:rsidRPr="001124FC">
        <w:rPr>
          <w:b/>
          <w:szCs w:val="24"/>
          <w:lang w:eastAsia="en-US"/>
        </w:rPr>
        <w:t xml:space="preserve">                                                                                                    Le Soumissionnaire</w:t>
      </w:r>
    </w:p>
    <w:p w14:paraId="2A2BCF24" w14:textId="0E0942A2" w:rsidR="006B66E4" w:rsidRDefault="006B66E4" w:rsidP="006B66E4">
      <w:pPr>
        <w:shd w:val="clear" w:color="auto" w:fill="FFFFFF" w:themeFill="background1"/>
        <w:spacing w:after="0"/>
        <w:ind w:left="0" w:firstLine="0"/>
        <w:jc w:val="center"/>
        <w:rPr>
          <w:b/>
          <w:color w:val="00B050"/>
          <w:sz w:val="28"/>
          <w:szCs w:val="28"/>
          <w:lang w:eastAsia="en-US"/>
        </w:rPr>
      </w:pPr>
    </w:p>
    <w:p w14:paraId="144E0770" w14:textId="10800B36" w:rsidR="002D0933" w:rsidRDefault="002D0933" w:rsidP="006B66E4">
      <w:pPr>
        <w:shd w:val="clear" w:color="auto" w:fill="FFFFFF" w:themeFill="background1"/>
        <w:spacing w:after="0"/>
        <w:ind w:left="0" w:firstLine="0"/>
        <w:jc w:val="center"/>
        <w:rPr>
          <w:b/>
          <w:color w:val="00B050"/>
          <w:sz w:val="28"/>
          <w:szCs w:val="28"/>
          <w:lang w:eastAsia="en-US"/>
        </w:rPr>
      </w:pPr>
    </w:p>
    <w:p w14:paraId="1B3AE0F3" w14:textId="77777777" w:rsidR="002D0933" w:rsidRDefault="002D0933" w:rsidP="006B66E4">
      <w:pPr>
        <w:shd w:val="clear" w:color="auto" w:fill="FFFFFF" w:themeFill="background1"/>
        <w:spacing w:after="0"/>
        <w:ind w:left="0" w:firstLine="0"/>
        <w:jc w:val="center"/>
        <w:rPr>
          <w:b/>
          <w:color w:val="00B050"/>
          <w:sz w:val="28"/>
          <w:szCs w:val="28"/>
          <w:lang w:eastAsia="en-US"/>
        </w:rPr>
      </w:pPr>
    </w:p>
    <w:p w14:paraId="7B113C88" w14:textId="77777777" w:rsidR="00414BAC" w:rsidRPr="008B6E1E" w:rsidRDefault="00414BAC" w:rsidP="00414BAC">
      <w:pPr>
        <w:spacing w:after="0"/>
        <w:ind w:left="426" w:hanging="426"/>
        <w:jc w:val="left"/>
        <w:rPr>
          <w:b/>
          <w:szCs w:val="24"/>
          <w:u w:val="single"/>
          <w:lang w:eastAsia="en-US"/>
        </w:rPr>
      </w:pPr>
      <w:r w:rsidRPr="008B6E1E">
        <w:rPr>
          <w:b/>
          <w:szCs w:val="24"/>
          <w:u w:val="single"/>
          <w:lang w:eastAsia="en-US"/>
        </w:rPr>
        <w:t>PGES</w:t>
      </w:r>
    </w:p>
    <w:p w14:paraId="4475121D" w14:textId="16B5974B" w:rsidR="00E228E6" w:rsidRPr="009C1418" w:rsidRDefault="00E228E6" w:rsidP="00E228E6">
      <w:pPr>
        <w:spacing w:after="0"/>
        <w:jc w:val="left"/>
        <w:rPr>
          <w:rFonts w:eastAsiaTheme="minorEastAsia"/>
          <w:sz w:val="20"/>
          <w:szCs w:val="22"/>
        </w:rPr>
      </w:pPr>
      <w:r w:rsidRPr="009C1418">
        <w:rPr>
          <w:rFonts w:eastAsiaTheme="minorEastAsia"/>
          <w:sz w:val="20"/>
          <w:szCs w:val="22"/>
        </w:rPr>
        <w:t>L’Entrepreneur prendra connaissances des mesures imposées par l’Etude</w:t>
      </w:r>
      <w:r>
        <w:rPr>
          <w:rFonts w:eastAsiaTheme="minorEastAsia"/>
          <w:sz w:val="20"/>
          <w:szCs w:val="22"/>
        </w:rPr>
        <w:t xml:space="preserve"> </w:t>
      </w:r>
      <w:r w:rsidRPr="009C1418">
        <w:rPr>
          <w:rFonts w:eastAsiaTheme="minorEastAsia"/>
          <w:sz w:val="20"/>
          <w:szCs w:val="22"/>
        </w:rPr>
        <w:t>d’Impact Environnementale et</w:t>
      </w:r>
      <w:r>
        <w:rPr>
          <w:rFonts w:eastAsiaTheme="minorEastAsia"/>
          <w:sz w:val="20"/>
          <w:szCs w:val="22"/>
        </w:rPr>
        <w:t xml:space="preserve"> </w:t>
      </w:r>
      <w:r w:rsidRPr="009C1418">
        <w:rPr>
          <w:rFonts w:eastAsiaTheme="minorEastAsia"/>
          <w:sz w:val="20"/>
          <w:szCs w:val="22"/>
        </w:rPr>
        <w:t>Sociale rédigée avec le projet et proposera :</w:t>
      </w:r>
    </w:p>
    <w:p w14:paraId="5A44B75A" w14:textId="77777777" w:rsidR="00E228E6" w:rsidRPr="009C1418" w:rsidRDefault="00E228E6" w:rsidP="00E228E6">
      <w:pPr>
        <w:pStyle w:val="Paragraphedeliste"/>
        <w:numPr>
          <w:ilvl w:val="2"/>
          <w:numId w:val="10"/>
        </w:numPr>
        <w:tabs>
          <w:tab w:val="clear" w:pos="5040"/>
        </w:tabs>
        <w:spacing w:after="0"/>
        <w:ind w:left="360" w:hanging="360"/>
        <w:jc w:val="left"/>
        <w:rPr>
          <w:rFonts w:eastAsiaTheme="minorEastAsia"/>
          <w:sz w:val="20"/>
          <w:szCs w:val="22"/>
        </w:rPr>
      </w:pPr>
      <w:r w:rsidRPr="009C1418">
        <w:rPr>
          <w:rFonts w:eastAsiaTheme="minorEastAsia"/>
          <w:sz w:val="20"/>
          <w:szCs w:val="22"/>
        </w:rPr>
        <w:t>Un plan de réalisation des activités relatives à la Protection de l’environnement et du milieu socio-économique (Plan de Gestion Environnementale Et Sociale PGES) ; des mesures qui seront prises afin de protéger l’environnement durant les différentes phases de travaux ;</w:t>
      </w:r>
    </w:p>
    <w:p w14:paraId="5F4C309B" w14:textId="67D55429" w:rsidR="00414BAC" w:rsidRDefault="00E228E6" w:rsidP="00E228E6">
      <w:pPr>
        <w:spacing w:after="0"/>
        <w:ind w:left="426" w:hanging="426"/>
        <w:rPr>
          <w:rFonts w:eastAsiaTheme="minorEastAsia"/>
          <w:sz w:val="20"/>
          <w:szCs w:val="22"/>
        </w:rPr>
      </w:pPr>
      <w:r w:rsidRPr="009C1418">
        <w:rPr>
          <w:rFonts w:eastAsiaTheme="minorEastAsia"/>
          <w:sz w:val="20"/>
          <w:szCs w:val="22"/>
        </w:rPr>
        <w:t>Des travaux de remise en état des zones d’emprunt et un exposé méthodologique décrivant de quelle manière il compte éviter les effets négatifs et minimiser les effets inévitables résultant des travaux</w:t>
      </w:r>
      <w:r>
        <w:rPr>
          <w:rFonts w:eastAsiaTheme="minorEastAsia"/>
          <w:sz w:val="20"/>
          <w:szCs w:val="22"/>
        </w:rPr>
        <w:t xml:space="preserve"> </w:t>
      </w:r>
      <w:r w:rsidRPr="009C1418">
        <w:rPr>
          <w:rFonts w:eastAsiaTheme="minorEastAsia"/>
          <w:sz w:val="20"/>
          <w:szCs w:val="22"/>
        </w:rPr>
        <w:t>d’aménagement des sites.  L'entrepreneur dotera ses ouvriers des équipements individuels de sécurité nécessaires et des actions de sensibilisation sur les IST/VIH SIDA et adéquats, notamment pour les postes de travail.</w:t>
      </w:r>
    </w:p>
    <w:p w14:paraId="7E0A911E" w14:textId="77777777" w:rsidR="00E228E6" w:rsidRDefault="00E228E6" w:rsidP="00E228E6">
      <w:pPr>
        <w:spacing w:after="0"/>
        <w:ind w:left="426" w:hanging="426"/>
        <w:rPr>
          <w:b/>
          <w:szCs w:val="24"/>
          <w:u w:val="single"/>
          <w:lang w:eastAsia="en-US"/>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4118"/>
        <w:gridCol w:w="1020"/>
        <w:gridCol w:w="948"/>
        <w:gridCol w:w="968"/>
        <w:gridCol w:w="1114"/>
      </w:tblGrid>
      <w:tr w:rsidR="009C1418" w:rsidRPr="009C1418" w14:paraId="2CCAD46F" w14:textId="77777777" w:rsidTr="006672E4">
        <w:tc>
          <w:tcPr>
            <w:tcW w:w="616" w:type="dxa"/>
            <w:vAlign w:val="center"/>
          </w:tcPr>
          <w:p w14:paraId="08F18640" w14:textId="77777777" w:rsidR="00414BAC" w:rsidRPr="009C1418" w:rsidRDefault="00414BAC" w:rsidP="00FB5DF2">
            <w:pPr>
              <w:spacing w:after="0"/>
              <w:ind w:left="0" w:firstLine="0"/>
              <w:jc w:val="left"/>
              <w:rPr>
                <w:sz w:val="20"/>
                <w:lang w:eastAsia="en-US"/>
              </w:rPr>
            </w:pPr>
            <w:r w:rsidRPr="009C1418">
              <w:rPr>
                <w:bCs/>
                <w:sz w:val="20"/>
              </w:rPr>
              <w:t>N°</w:t>
            </w:r>
          </w:p>
        </w:tc>
        <w:tc>
          <w:tcPr>
            <w:tcW w:w="4118" w:type="dxa"/>
            <w:vAlign w:val="center"/>
          </w:tcPr>
          <w:p w14:paraId="34B7F3DB" w14:textId="77777777" w:rsidR="00414BAC" w:rsidRPr="009C1418" w:rsidRDefault="00414BAC" w:rsidP="00FB5DF2">
            <w:pPr>
              <w:spacing w:after="0"/>
              <w:ind w:left="0" w:firstLine="0"/>
              <w:jc w:val="left"/>
              <w:rPr>
                <w:sz w:val="20"/>
                <w:lang w:eastAsia="en-US"/>
              </w:rPr>
            </w:pPr>
            <w:r w:rsidRPr="009C1418">
              <w:rPr>
                <w:sz w:val="20"/>
              </w:rPr>
              <w:t>Plan de Gestion Environnemental et Social</w:t>
            </w:r>
          </w:p>
        </w:tc>
        <w:tc>
          <w:tcPr>
            <w:tcW w:w="1020" w:type="dxa"/>
            <w:vAlign w:val="center"/>
          </w:tcPr>
          <w:p w14:paraId="1012F1A7" w14:textId="77777777" w:rsidR="00414BAC" w:rsidRPr="009C1418" w:rsidRDefault="00414BAC" w:rsidP="00FB5DF2">
            <w:pPr>
              <w:spacing w:after="0"/>
              <w:ind w:left="0" w:firstLine="0"/>
              <w:jc w:val="left"/>
              <w:rPr>
                <w:sz w:val="20"/>
                <w:lang w:eastAsia="en-US"/>
              </w:rPr>
            </w:pPr>
            <w:r w:rsidRPr="009C1418">
              <w:rPr>
                <w:bCs/>
                <w:sz w:val="20"/>
              </w:rPr>
              <w:t>Unités</w:t>
            </w:r>
          </w:p>
        </w:tc>
        <w:tc>
          <w:tcPr>
            <w:tcW w:w="948" w:type="dxa"/>
            <w:vAlign w:val="center"/>
          </w:tcPr>
          <w:p w14:paraId="41CD4605" w14:textId="77777777" w:rsidR="00414BAC" w:rsidRPr="009C1418" w:rsidRDefault="00414BAC" w:rsidP="00FB5DF2">
            <w:pPr>
              <w:spacing w:after="0"/>
              <w:ind w:left="0" w:firstLine="0"/>
              <w:jc w:val="left"/>
              <w:rPr>
                <w:sz w:val="20"/>
                <w:lang w:eastAsia="en-US"/>
              </w:rPr>
            </w:pPr>
            <w:proofErr w:type="spellStart"/>
            <w:r w:rsidRPr="009C1418">
              <w:rPr>
                <w:bCs/>
                <w:sz w:val="20"/>
              </w:rPr>
              <w:t>Qté</w:t>
            </w:r>
            <w:proofErr w:type="spellEnd"/>
          </w:p>
        </w:tc>
        <w:tc>
          <w:tcPr>
            <w:tcW w:w="968" w:type="dxa"/>
            <w:vAlign w:val="center"/>
          </w:tcPr>
          <w:p w14:paraId="7B040A0D" w14:textId="2F06DBF0" w:rsidR="00414BAC" w:rsidRPr="009C1418" w:rsidRDefault="00E228E6" w:rsidP="00FB5DF2">
            <w:pPr>
              <w:spacing w:after="0"/>
              <w:ind w:left="0" w:firstLine="0"/>
              <w:jc w:val="left"/>
              <w:rPr>
                <w:sz w:val="20"/>
                <w:lang w:eastAsia="en-US"/>
              </w:rPr>
            </w:pPr>
            <w:r w:rsidRPr="009C1418">
              <w:rPr>
                <w:bCs/>
                <w:sz w:val="20"/>
              </w:rPr>
              <w:t>P. Unit HTVA</w:t>
            </w:r>
          </w:p>
        </w:tc>
        <w:tc>
          <w:tcPr>
            <w:tcW w:w="1114" w:type="dxa"/>
            <w:vAlign w:val="center"/>
          </w:tcPr>
          <w:p w14:paraId="65028590" w14:textId="2FDAB6AF" w:rsidR="00414BAC" w:rsidRPr="009C1418" w:rsidRDefault="00E228E6" w:rsidP="00FB5DF2">
            <w:pPr>
              <w:spacing w:after="0"/>
              <w:ind w:left="0" w:firstLine="0"/>
              <w:jc w:val="left"/>
              <w:rPr>
                <w:sz w:val="20"/>
                <w:lang w:eastAsia="en-US"/>
              </w:rPr>
            </w:pPr>
            <w:r w:rsidRPr="009C1418">
              <w:rPr>
                <w:bCs/>
                <w:sz w:val="20"/>
              </w:rPr>
              <w:t>Montant H</w:t>
            </w:r>
            <w:r w:rsidR="00414BAC" w:rsidRPr="009C1418">
              <w:rPr>
                <w:bCs/>
                <w:sz w:val="20"/>
              </w:rPr>
              <w:t xml:space="preserve"> TVA FCFA</w:t>
            </w:r>
          </w:p>
        </w:tc>
      </w:tr>
      <w:tr w:rsidR="009C1418" w:rsidRPr="009C1418" w14:paraId="576C2180" w14:textId="77777777" w:rsidTr="006672E4">
        <w:tc>
          <w:tcPr>
            <w:tcW w:w="616" w:type="dxa"/>
            <w:shd w:val="clear" w:color="auto" w:fill="FFFFFF" w:themeFill="background1"/>
            <w:vAlign w:val="center"/>
          </w:tcPr>
          <w:p w14:paraId="7C44681C" w14:textId="1C83B315" w:rsidR="00414BAC" w:rsidRPr="009C1418" w:rsidRDefault="00E228E6" w:rsidP="00FB5DF2">
            <w:pPr>
              <w:spacing w:after="0"/>
              <w:ind w:left="0" w:firstLine="0"/>
              <w:jc w:val="left"/>
              <w:rPr>
                <w:bCs/>
                <w:sz w:val="20"/>
              </w:rPr>
            </w:pPr>
            <w:r>
              <w:rPr>
                <w:bCs/>
                <w:sz w:val="20"/>
              </w:rPr>
              <w:t>1</w:t>
            </w:r>
          </w:p>
        </w:tc>
        <w:tc>
          <w:tcPr>
            <w:tcW w:w="4118" w:type="dxa"/>
            <w:shd w:val="clear" w:color="auto" w:fill="FFFFFF" w:themeFill="background1"/>
            <w:vAlign w:val="center"/>
          </w:tcPr>
          <w:p w14:paraId="4CAA336E" w14:textId="512A7223" w:rsidR="00414BAC" w:rsidRPr="00E228E6" w:rsidRDefault="00E228E6" w:rsidP="00E228E6">
            <w:pPr>
              <w:spacing w:after="0"/>
              <w:jc w:val="left"/>
              <w:rPr>
                <w:bCs/>
                <w:sz w:val="20"/>
              </w:rPr>
            </w:pPr>
            <w:r>
              <w:rPr>
                <w:bCs/>
                <w:sz w:val="20"/>
              </w:rPr>
              <w:t>Air</w:t>
            </w:r>
          </w:p>
        </w:tc>
        <w:tc>
          <w:tcPr>
            <w:tcW w:w="1020" w:type="dxa"/>
            <w:shd w:val="clear" w:color="auto" w:fill="FFFFFF" w:themeFill="background1"/>
            <w:vAlign w:val="center"/>
          </w:tcPr>
          <w:p w14:paraId="3883DF20" w14:textId="77777777" w:rsidR="00414BAC" w:rsidRPr="009C1418" w:rsidRDefault="00414BAC" w:rsidP="00FB5DF2">
            <w:pPr>
              <w:spacing w:after="0"/>
              <w:ind w:left="0" w:firstLine="0"/>
              <w:jc w:val="left"/>
              <w:rPr>
                <w:bCs/>
                <w:sz w:val="20"/>
                <w:highlight w:val="yellow"/>
              </w:rPr>
            </w:pPr>
          </w:p>
        </w:tc>
        <w:tc>
          <w:tcPr>
            <w:tcW w:w="948" w:type="dxa"/>
            <w:shd w:val="clear" w:color="auto" w:fill="FFFFFF" w:themeFill="background1"/>
            <w:vAlign w:val="center"/>
          </w:tcPr>
          <w:p w14:paraId="36139223" w14:textId="77777777" w:rsidR="00414BAC" w:rsidRPr="009C1418" w:rsidRDefault="00414BAC" w:rsidP="00FB5DF2">
            <w:pPr>
              <w:spacing w:after="0"/>
              <w:ind w:left="0" w:firstLine="0"/>
              <w:jc w:val="left"/>
              <w:rPr>
                <w:bCs/>
                <w:sz w:val="20"/>
              </w:rPr>
            </w:pPr>
          </w:p>
        </w:tc>
        <w:tc>
          <w:tcPr>
            <w:tcW w:w="968" w:type="dxa"/>
            <w:vAlign w:val="center"/>
          </w:tcPr>
          <w:p w14:paraId="27DA1571" w14:textId="77777777" w:rsidR="00414BAC" w:rsidRPr="009C1418" w:rsidRDefault="00414BAC" w:rsidP="00FB5DF2">
            <w:pPr>
              <w:spacing w:after="0"/>
              <w:ind w:left="0" w:firstLine="0"/>
              <w:jc w:val="left"/>
              <w:rPr>
                <w:bCs/>
                <w:sz w:val="20"/>
              </w:rPr>
            </w:pPr>
          </w:p>
        </w:tc>
        <w:tc>
          <w:tcPr>
            <w:tcW w:w="1114" w:type="dxa"/>
            <w:vAlign w:val="center"/>
          </w:tcPr>
          <w:p w14:paraId="747569E3" w14:textId="77777777" w:rsidR="00414BAC" w:rsidRPr="009C1418" w:rsidRDefault="00414BAC" w:rsidP="00FB5DF2">
            <w:pPr>
              <w:spacing w:after="0"/>
              <w:ind w:left="0" w:firstLine="0"/>
              <w:jc w:val="left"/>
              <w:rPr>
                <w:bCs/>
                <w:sz w:val="20"/>
              </w:rPr>
            </w:pPr>
          </w:p>
        </w:tc>
      </w:tr>
      <w:tr w:rsidR="00E228E6" w:rsidRPr="009C1418" w14:paraId="2315F5CE" w14:textId="77777777" w:rsidTr="006672E4">
        <w:tc>
          <w:tcPr>
            <w:tcW w:w="616" w:type="dxa"/>
            <w:shd w:val="clear" w:color="auto" w:fill="FFFFFF" w:themeFill="background1"/>
            <w:vAlign w:val="center"/>
          </w:tcPr>
          <w:p w14:paraId="79657109" w14:textId="7B85270B" w:rsidR="00E228E6" w:rsidRPr="00E228E6" w:rsidRDefault="00E228E6" w:rsidP="00E228E6">
            <w:pPr>
              <w:spacing w:after="0"/>
              <w:ind w:left="0" w:firstLine="0"/>
              <w:jc w:val="left"/>
              <w:rPr>
                <w:bCs/>
                <w:sz w:val="20"/>
              </w:rPr>
            </w:pPr>
            <w:r w:rsidRPr="00E228E6">
              <w:rPr>
                <w:bCs/>
                <w:sz w:val="20"/>
              </w:rPr>
              <w:t>1.1</w:t>
            </w:r>
          </w:p>
        </w:tc>
        <w:tc>
          <w:tcPr>
            <w:tcW w:w="4118" w:type="dxa"/>
            <w:shd w:val="clear" w:color="auto" w:fill="FFFFFF" w:themeFill="background1"/>
            <w:vAlign w:val="center"/>
          </w:tcPr>
          <w:p w14:paraId="2225E392" w14:textId="77777777" w:rsidR="00E228E6" w:rsidRDefault="00E228E6" w:rsidP="00E228E6">
            <w:pPr>
              <w:spacing w:after="0"/>
              <w:ind w:left="578" w:hanging="578"/>
              <w:jc w:val="left"/>
              <w:rPr>
                <w:rFonts w:cs="Arial"/>
                <w:sz w:val="20"/>
              </w:rPr>
            </w:pPr>
            <w:r w:rsidRPr="00E228E6">
              <w:rPr>
                <w:rFonts w:cs="Arial"/>
                <w:sz w:val="20"/>
              </w:rPr>
              <w:t>Arrosage régulier des routes et pistes, le chantier</w:t>
            </w:r>
            <w:r>
              <w:rPr>
                <w:rFonts w:cs="Arial"/>
                <w:sz w:val="20"/>
              </w:rPr>
              <w:t xml:space="preserve"> </w:t>
            </w:r>
            <w:r w:rsidRPr="00E228E6">
              <w:rPr>
                <w:rFonts w:cs="Arial"/>
                <w:sz w:val="20"/>
              </w:rPr>
              <w:t>et déviation temporaire</w:t>
            </w:r>
          </w:p>
          <w:p w14:paraId="43AE523E" w14:textId="262CDCF8" w:rsidR="00E228E6" w:rsidRPr="00E228E6" w:rsidRDefault="00E228E6" w:rsidP="00E228E6">
            <w:pPr>
              <w:jc w:val="left"/>
              <w:rPr>
                <w:rFonts w:cs="Arial"/>
                <w:sz w:val="20"/>
              </w:rPr>
            </w:pPr>
            <w:r w:rsidRPr="00E228E6">
              <w:rPr>
                <w:rFonts w:cs="Arial"/>
                <w:sz w:val="20"/>
              </w:rPr>
              <w:t>Vérification et réglage régulier des moteurs des véhicules et des engins</w:t>
            </w:r>
          </w:p>
        </w:tc>
        <w:tc>
          <w:tcPr>
            <w:tcW w:w="1020" w:type="dxa"/>
            <w:shd w:val="clear" w:color="auto" w:fill="FFFFFF" w:themeFill="background1"/>
            <w:vAlign w:val="center"/>
          </w:tcPr>
          <w:p w14:paraId="1195E4A0" w14:textId="0158297C" w:rsidR="00E228E6" w:rsidRPr="009C1418" w:rsidRDefault="00E228E6" w:rsidP="00B025CC">
            <w:pPr>
              <w:spacing w:after="0"/>
              <w:ind w:left="0" w:firstLine="0"/>
              <w:rPr>
                <w:bCs/>
                <w:sz w:val="20"/>
                <w:highlight w:val="yellow"/>
              </w:rPr>
            </w:pPr>
            <w:r>
              <w:rPr>
                <w:bCs/>
                <w:sz w:val="20"/>
              </w:rPr>
              <w:t>FF</w:t>
            </w:r>
          </w:p>
        </w:tc>
        <w:tc>
          <w:tcPr>
            <w:tcW w:w="948" w:type="dxa"/>
            <w:shd w:val="clear" w:color="auto" w:fill="FFFFFF" w:themeFill="background1"/>
            <w:vAlign w:val="center"/>
          </w:tcPr>
          <w:p w14:paraId="3E708845" w14:textId="5498E9FA" w:rsidR="00E228E6" w:rsidRPr="009C1418" w:rsidRDefault="00A7320B" w:rsidP="00B025CC">
            <w:pPr>
              <w:spacing w:after="0"/>
              <w:ind w:left="0" w:firstLine="0"/>
              <w:rPr>
                <w:bCs/>
                <w:sz w:val="20"/>
              </w:rPr>
            </w:pPr>
            <w:r>
              <w:rPr>
                <w:bCs/>
                <w:sz w:val="20"/>
              </w:rPr>
              <w:t>1</w:t>
            </w:r>
          </w:p>
        </w:tc>
        <w:tc>
          <w:tcPr>
            <w:tcW w:w="968" w:type="dxa"/>
            <w:vAlign w:val="center"/>
          </w:tcPr>
          <w:p w14:paraId="7E28971B" w14:textId="77777777" w:rsidR="00E228E6" w:rsidRPr="009C1418" w:rsidRDefault="00E228E6" w:rsidP="00E228E6">
            <w:pPr>
              <w:spacing w:after="0"/>
              <w:ind w:left="0" w:firstLine="0"/>
              <w:jc w:val="left"/>
              <w:rPr>
                <w:bCs/>
                <w:sz w:val="20"/>
              </w:rPr>
            </w:pPr>
          </w:p>
        </w:tc>
        <w:tc>
          <w:tcPr>
            <w:tcW w:w="1114" w:type="dxa"/>
            <w:vAlign w:val="center"/>
          </w:tcPr>
          <w:p w14:paraId="7639D10E" w14:textId="77777777" w:rsidR="00E228E6" w:rsidRPr="009C1418" w:rsidRDefault="00E228E6" w:rsidP="00E228E6">
            <w:pPr>
              <w:spacing w:after="0"/>
              <w:ind w:left="0" w:firstLine="0"/>
              <w:jc w:val="left"/>
              <w:rPr>
                <w:bCs/>
                <w:sz w:val="20"/>
              </w:rPr>
            </w:pPr>
          </w:p>
        </w:tc>
      </w:tr>
      <w:tr w:rsidR="00E228E6" w:rsidRPr="009C1418" w14:paraId="13A83DC7" w14:textId="77777777" w:rsidTr="006672E4">
        <w:tc>
          <w:tcPr>
            <w:tcW w:w="616" w:type="dxa"/>
            <w:shd w:val="clear" w:color="auto" w:fill="FFFFFF" w:themeFill="background1"/>
            <w:vAlign w:val="center"/>
          </w:tcPr>
          <w:p w14:paraId="186BBDCE" w14:textId="04A5A31F" w:rsidR="00E228E6" w:rsidRPr="009C1418" w:rsidRDefault="00E228E6" w:rsidP="00E228E6">
            <w:pPr>
              <w:spacing w:after="0"/>
              <w:ind w:left="0" w:firstLine="0"/>
              <w:jc w:val="left"/>
              <w:rPr>
                <w:bCs/>
                <w:sz w:val="20"/>
              </w:rPr>
            </w:pPr>
            <w:r>
              <w:rPr>
                <w:bCs/>
                <w:sz w:val="20"/>
              </w:rPr>
              <w:t>2</w:t>
            </w:r>
          </w:p>
        </w:tc>
        <w:tc>
          <w:tcPr>
            <w:tcW w:w="4118" w:type="dxa"/>
            <w:shd w:val="clear" w:color="auto" w:fill="FFFFFF" w:themeFill="background1"/>
            <w:vAlign w:val="center"/>
          </w:tcPr>
          <w:p w14:paraId="785D4F17" w14:textId="35A7EBE0" w:rsidR="00E228E6" w:rsidRPr="00E228E6" w:rsidRDefault="00E228E6" w:rsidP="00E228E6">
            <w:pPr>
              <w:spacing w:after="0"/>
              <w:jc w:val="left"/>
              <w:rPr>
                <w:bCs/>
                <w:sz w:val="20"/>
              </w:rPr>
            </w:pPr>
            <w:r>
              <w:rPr>
                <w:bCs/>
                <w:sz w:val="20"/>
              </w:rPr>
              <w:t>Ambiance sonore</w:t>
            </w:r>
          </w:p>
        </w:tc>
        <w:tc>
          <w:tcPr>
            <w:tcW w:w="1020" w:type="dxa"/>
            <w:shd w:val="clear" w:color="auto" w:fill="FFFFFF" w:themeFill="background1"/>
            <w:vAlign w:val="center"/>
          </w:tcPr>
          <w:p w14:paraId="2EB01B98" w14:textId="77777777" w:rsidR="00E228E6" w:rsidRPr="009C1418" w:rsidRDefault="00E228E6" w:rsidP="00B025CC">
            <w:pPr>
              <w:spacing w:after="0"/>
              <w:ind w:left="0" w:firstLine="0"/>
              <w:rPr>
                <w:bCs/>
                <w:sz w:val="20"/>
                <w:highlight w:val="yellow"/>
              </w:rPr>
            </w:pPr>
          </w:p>
        </w:tc>
        <w:tc>
          <w:tcPr>
            <w:tcW w:w="948" w:type="dxa"/>
            <w:shd w:val="clear" w:color="auto" w:fill="FFFFFF" w:themeFill="background1"/>
            <w:vAlign w:val="center"/>
          </w:tcPr>
          <w:p w14:paraId="351F61F9" w14:textId="77777777" w:rsidR="00E228E6" w:rsidRPr="009C1418" w:rsidRDefault="00E228E6" w:rsidP="00B025CC">
            <w:pPr>
              <w:spacing w:after="0"/>
              <w:ind w:left="0" w:firstLine="0"/>
              <w:rPr>
                <w:bCs/>
                <w:sz w:val="20"/>
              </w:rPr>
            </w:pPr>
          </w:p>
        </w:tc>
        <w:tc>
          <w:tcPr>
            <w:tcW w:w="968" w:type="dxa"/>
            <w:vAlign w:val="center"/>
          </w:tcPr>
          <w:p w14:paraId="0FFE5970" w14:textId="77777777" w:rsidR="00E228E6" w:rsidRPr="009C1418" w:rsidRDefault="00E228E6" w:rsidP="00E228E6">
            <w:pPr>
              <w:spacing w:after="0"/>
              <w:ind w:left="0" w:firstLine="0"/>
              <w:jc w:val="left"/>
              <w:rPr>
                <w:bCs/>
                <w:sz w:val="20"/>
              </w:rPr>
            </w:pPr>
          </w:p>
        </w:tc>
        <w:tc>
          <w:tcPr>
            <w:tcW w:w="1114" w:type="dxa"/>
            <w:vAlign w:val="center"/>
          </w:tcPr>
          <w:p w14:paraId="2BB9D835" w14:textId="77777777" w:rsidR="00E228E6" w:rsidRPr="009C1418" w:rsidRDefault="00E228E6" w:rsidP="00E228E6">
            <w:pPr>
              <w:spacing w:after="0"/>
              <w:ind w:left="0" w:firstLine="0"/>
              <w:jc w:val="left"/>
              <w:rPr>
                <w:bCs/>
                <w:sz w:val="20"/>
              </w:rPr>
            </w:pPr>
          </w:p>
        </w:tc>
      </w:tr>
      <w:tr w:rsidR="00E228E6" w:rsidRPr="009C1418" w14:paraId="19AF4FBA" w14:textId="77777777" w:rsidTr="006672E4">
        <w:tc>
          <w:tcPr>
            <w:tcW w:w="616" w:type="dxa"/>
            <w:shd w:val="clear" w:color="auto" w:fill="FFFFFF" w:themeFill="background1"/>
            <w:vAlign w:val="center"/>
          </w:tcPr>
          <w:p w14:paraId="35AE0F2F" w14:textId="4D21FB0D" w:rsidR="00E228E6" w:rsidRPr="00E228E6" w:rsidRDefault="00E228E6" w:rsidP="00E228E6">
            <w:pPr>
              <w:spacing w:after="0"/>
              <w:ind w:left="0" w:firstLine="0"/>
              <w:jc w:val="left"/>
              <w:rPr>
                <w:sz w:val="20"/>
              </w:rPr>
            </w:pPr>
            <w:r w:rsidRPr="00E228E6">
              <w:rPr>
                <w:sz w:val="20"/>
              </w:rPr>
              <w:t>2.1</w:t>
            </w:r>
          </w:p>
        </w:tc>
        <w:tc>
          <w:tcPr>
            <w:tcW w:w="4118" w:type="dxa"/>
            <w:shd w:val="clear" w:color="auto" w:fill="FFFFFF" w:themeFill="background1"/>
            <w:vAlign w:val="center"/>
          </w:tcPr>
          <w:p w14:paraId="0A2AC74F" w14:textId="77777777" w:rsidR="00E228E6" w:rsidRDefault="00E228E6" w:rsidP="00E228E6">
            <w:pPr>
              <w:spacing w:after="0"/>
              <w:ind w:left="578" w:hanging="578"/>
              <w:jc w:val="left"/>
              <w:rPr>
                <w:rFonts w:cs="Arial"/>
                <w:sz w:val="20"/>
              </w:rPr>
            </w:pPr>
            <w:r w:rsidRPr="00E228E6">
              <w:rPr>
                <w:rFonts w:cs="Arial"/>
                <w:sz w:val="20"/>
              </w:rPr>
              <w:t>Vérification et réglage régulier des moteurs des véhicules et des engins</w:t>
            </w:r>
          </w:p>
          <w:p w14:paraId="71894E65" w14:textId="73CC92DB" w:rsidR="00E228E6" w:rsidRPr="00E228E6" w:rsidRDefault="00E228E6" w:rsidP="00E228E6">
            <w:pPr>
              <w:jc w:val="left"/>
              <w:rPr>
                <w:rFonts w:cs="Arial"/>
                <w:sz w:val="20"/>
              </w:rPr>
            </w:pPr>
            <w:r w:rsidRPr="00E228E6">
              <w:rPr>
                <w:rFonts w:cs="Arial"/>
                <w:sz w:val="20"/>
              </w:rPr>
              <w:t>Eviter les travaux de nuit et informer la population au cas</w:t>
            </w:r>
          </w:p>
        </w:tc>
        <w:tc>
          <w:tcPr>
            <w:tcW w:w="1020" w:type="dxa"/>
            <w:shd w:val="clear" w:color="auto" w:fill="FFFFFF" w:themeFill="background1"/>
            <w:vAlign w:val="center"/>
          </w:tcPr>
          <w:p w14:paraId="3B916E1B" w14:textId="597DF8A5" w:rsidR="00E228E6" w:rsidRPr="009C1418" w:rsidRDefault="00E228E6" w:rsidP="00B025CC">
            <w:pPr>
              <w:spacing w:after="0"/>
              <w:ind w:left="0" w:firstLine="0"/>
              <w:rPr>
                <w:bCs/>
                <w:sz w:val="20"/>
                <w:highlight w:val="yellow"/>
              </w:rPr>
            </w:pPr>
            <w:r>
              <w:rPr>
                <w:bCs/>
                <w:sz w:val="20"/>
              </w:rPr>
              <w:t>FF</w:t>
            </w:r>
          </w:p>
        </w:tc>
        <w:tc>
          <w:tcPr>
            <w:tcW w:w="948" w:type="dxa"/>
            <w:shd w:val="clear" w:color="auto" w:fill="FFFFFF" w:themeFill="background1"/>
            <w:vAlign w:val="center"/>
          </w:tcPr>
          <w:p w14:paraId="5539CD8F" w14:textId="1AA84510" w:rsidR="00E228E6" w:rsidRPr="009C1418" w:rsidRDefault="002260EA" w:rsidP="00B025CC">
            <w:pPr>
              <w:spacing w:after="0"/>
              <w:ind w:left="0" w:firstLine="0"/>
              <w:rPr>
                <w:bCs/>
                <w:sz w:val="20"/>
              </w:rPr>
            </w:pPr>
            <w:r>
              <w:rPr>
                <w:bCs/>
                <w:sz w:val="20"/>
              </w:rPr>
              <w:t>1</w:t>
            </w:r>
          </w:p>
        </w:tc>
        <w:tc>
          <w:tcPr>
            <w:tcW w:w="968" w:type="dxa"/>
            <w:vAlign w:val="center"/>
          </w:tcPr>
          <w:p w14:paraId="258FD94B" w14:textId="77777777" w:rsidR="00E228E6" w:rsidRPr="009C1418" w:rsidRDefault="00E228E6" w:rsidP="00E228E6">
            <w:pPr>
              <w:spacing w:after="0"/>
              <w:ind w:left="0" w:firstLine="0"/>
              <w:jc w:val="left"/>
              <w:rPr>
                <w:bCs/>
                <w:sz w:val="20"/>
              </w:rPr>
            </w:pPr>
          </w:p>
        </w:tc>
        <w:tc>
          <w:tcPr>
            <w:tcW w:w="1114" w:type="dxa"/>
            <w:vAlign w:val="center"/>
          </w:tcPr>
          <w:p w14:paraId="1A8FCCC5" w14:textId="77777777" w:rsidR="00E228E6" w:rsidRPr="009C1418" w:rsidRDefault="00E228E6" w:rsidP="00E228E6">
            <w:pPr>
              <w:spacing w:after="0"/>
              <w:ind w:left="0" w:firstLine="0"/>
              <w:jc w:val="left"/>
              <w:rPr>
                <w:bCs/>
                <w:sz w:val="20"/>
              </w:rPr>
            </w:pPr>
          </w:p>
        </w:tc>
      </w:tr>
      <w:tr w:rsidR="00E228E6" w:rsidRPr="009C1418" w14:paraId="3BAC9F41" w14:textId="77777777" w:rsidTr="006672E4">
        <w:tc>
          <w:tcPr>
            <w:tcW w:w="616" w:type="dxa"/>
            <w:shd w:val="clear" w:color="auto" w:fill="FFFFFF" w:themeFill="background1"/>
            <w:vAlign w:val="center"/>
          </w:tcPr>
          <w:p w14:paraId="21C902DC" w14:textId="223E37EE" w:rsidR="00E228E6" w:rsidRPr="003E6023" w:rsidRDefault="00E228E6" w:rsidP="00E228E6">
            <w:pPr>
              <w:spacing w:after="0"/>
              <w:ind w:left="0" w:firstLine="0"/>
              <w:jc w:val="left"/>
              <w:rPr>
                <w:bCs/>
                <w:sz w:val="20"/>
              </w:rPr>
            </w:pPr>
            <w:r w:rsidRPr="003E6023">
              <w:rPr>
                <w:bCs/>
                <w:sz w:val="20"/>
              </w:rPr>
              <w:t>3</w:t>
            </w:r>
          </w:p>
        </w:tc>
        <w:tc>
          <w:tcPr>
            <w:tcW w:w="4118" w:type="dxa"/>
            <w:shd w:val="clear" w:color="auto" w:fill="FFFFFF" w:themeFill="background1"/>
            <w:vAlign w:val="center"/>
          </w:tcPr>
          <w:p w14:paraId="377F67F2" w14:textId="2B1BA8FC" w:rsidR="00E228E6" w:rsidRPr="003E6023" w:rsidRDefault="00E228E6" w:rsidP="00E228E6">
            <w:pPr>
              <w:spacing w:after="0"/>
              <w:ind w:left="578" w:hanging="578"/>
              <w:jc w:val="left"/>
              <w:rPr>
                <w:rFonts w:cs="Arial"/>
                <w:bCs/>
                <w:sz w:val="20"/>
              </w:rPr>
            </w:pPr>
            <w:r w:rsidRPr="003E6023">
              <w:rPr>
                <w:bCs/>
                <w:sz w:val="20"/>
              </w:rPr>
              <w:t>Sols</w:t>
            </w:r>
          </w:p>
        </w:tc>
        <w:tc>
          <w:tcPr>
            <w:tcW w:w="1020" w:type="dxa"/>
            <w:shd w:val="clear" w:color="auto" w:fill="FFFFFF" w:themeFill="background1"/>
            <w:vAlign w:val="center"/>
          </w:tcPr>
          <w:p w14:paraId="2DC38755" w14:textId="77777777" w:rsidR="00E228E6" w:rsidRDefault="00E228E6" w:rsidP="00B025CC">
            <w:pPr>
              <w:spacing w:after="0"/>
              <w:ind w:left="0" w:firstLine="0"/>
              <w:rPr>
                <w:bCs/>
                <w:sz w:val="20"/>
              </w:rPr>
            </w:pPr>
          </w:p>
        </w:tc>
        <w:tc>
          <w:tcPr>
            <w:tcW w:w="948" w:type="dxa"/>
            <w:shd w:val="clear" w:color="auto" w:fill="FFFFFF" w:themeFill="background1"/>
            <w:vAlign w:val="center"/>
          </w:tcPr>
          <w:p w14:paraId="412B883E" w14:textId="77777777" w:rsidR="00E228E6" w:rsidRDefault="00E228E6" w:rsidP="00B025CC">
            <w:pPr>
              <w:spacing w:after="0"/>
              <w:ind w:left="0" w:firstLine="0"/>
              <w:rPr>
                <w:bCs/>
                <w:sz w:val="20"/>
              </w:rPr>
            </w:pPr>
          </w:p>
        </w:tc>
        <w:tc>
          <w:tcPr>
            <w:tcW w:w="968" w:type="dxa"/>
            <w:vAlign w:val="center"/>
          </w:tcPr>
          <w:p w14:paraId="3E168D7D" w14:textId="77777777" w:rsidR="00E228E6" w:rsidRPr="009C1418" w:rsidRDefault="00E228E6" w:rsidP="00E228E6">
            <w:pPr>
              <w:spacing w:after="0"/>
              <w:ind w:left="0" w:firstLine="0"/>
              <w:jc w:val="left"/>
              <w:rPr>
                <w:bCs/>
                <w:sz w:val="20"/>
              </w:rPr>
            </w:pPr>
          </w:p>
        </w:tc>
        <w:tc>
          <w:tcPr>
            <w:tcW w:w="1114" w:type="dxa"/>
            <w:vAlign w:val="center"/>
          </w:tcPr>
          <w:p w14:paraId="023EBB85" w14:textId="77777777" w:rsidR="00E228E6" w:rsidRPr="009C1418" w:rsidRDefault="00E228E6" w:rsidP="00E228E6">
            <w:pPr>
              <w:spacing w:after="0"/>
              <w:ind w:left="0" w:firstLine="0"/>
              <w:jc w:val="left"/>
              <w:rPr>
                <w:bCs/>
                <w:sz w:val="20"/>
              </w:rPr>
            </w:pPr>
          </w:p>
        </w:tc>
      </w:tr>
      <w:tr w:rsidR="00E228E6" w:rsidRPr="009C1418" w14:paraId="3518A65A" w14:textId="77777777" w:rsidTr="006672E4">
        <w:trPr>
          <w:trHeight w:val="513"/>
        </w:trPr>
        <w:tc>
          <w:tcPr>
            <w:tcW w:w="616" w:type="dxa"/>
            <w:shd w:val="clear" w:color="auto" w:fill="FFFFFF" w:themeFill="background1"/>
            <w:vAlign w:val="center"/>
          </w:tcPr>
          <w:p w14:paraId="399FBD0D" w14:textId="0134E9B9" w:rsidR="00E228E6" w:rsidRPr="00E228E6" w:rsidRDefault="00E228E6" w:rsidP="00E228E6">
            <w:pPr>
              <w:spacing w:after="0"/>
              <w:ind w:left="578" w:hanging="578"/>
              <w:jc w:val="left"/>
              <w:rPr>
                <w:rFonts w:cs="Arial"/>
                <w:sz w:val="20"/>
              </w:rPr>
            </w:pPr>
            <w:r w:rsidRPr="00E228E6">
              <w:rPr>
                <w:rFonts w:cs="Arial"/>
                <w:sz w:val="20"/>
              </w:rPr>
              <w:t>3.1</w:t>
            </w:r>
          </w:p>
        </w:tc>
        <w:tc>
          <w:tcPr>
            <w:tcW w:w="4118" w:type="dxa"/>
            <w:shd w:val="clear" w:color="auto" w:fill="FFFFFF" w:themeFill="background1"/>
            <w:vAlign w:val="center"/>
          </w:tcPr>
          <w:p w14:paraId="40245D83" w14:textId="5A0D5046" w:rsidR="00E228E6" w:rsidRPr="00E228E6" w:rsidRDefault="00E228E6" w:rsidP="00E228E6">
            <w:pPr>
              <w:spacing w:after="0"/>
              <w:ind w:left="578" w:hanging="578"/>
              <w:jc w:val="left"/>
              <w:rPr>
                <w:rFonts w:cs="Arial"/>
                <w:sz w:val="20"/>
              </w:rPr>
            </w:pPr>
            <w:r w:rsidRPr="00E228E6">
              <w:rPr>
                <w:rFonts w:cs="Arial"/>
                <w:sz w:val="20"/>
              </w:rPr>
              <w:t>Gestion des déchets solides, effluents liquides et huiles usées</w:t>
            </w:r>
          </w:p>
        </w:tc>
        <w:tc>
          <w:tcPr>
            <w:tcW w:w="1020" w:type="dxa"/>
            <w:shd w:val="clear" w:color="auto" w:fill="FFFFFF" w:themeFill="background1"/>
            <w:vAlign w:val="center"/>
          </w:tcPr>
          <w:p w14:paraId="4E24307F" w14:textId="7D55DE93" w:rsidR="00E228E6" w:rsidRDefault="00E228E6" w:rsidP="00B025CC">
            <w:pPr>
              <w:spacing w:after="0"/>
              <w:ind w:left="0" w:firstLine="0"/>
              <w:rPr>
                <w:bCs/>
                <w:sz w:val="20"/>
              </w:rPr>
            </w:pPr>
            <w:r>
              <w:rPr>
                <w:bCs/>
                <w:sz w:val="20"/>
              </w:rPr>
              <w:t>FF</w:t>
            </w:r>
          </w:p>
        </w:tc>
        <w:tc>
          <w:tcPr>
            <w:tcW w:w="948" w:type="dxa"/>
            <w:shd w:val="clear" w:color="auto" w:fill="FFFFFF" w:themeFill="background1"/>
            <w:vAlign w:val="center"/>
          </w:tcPr>
          <w:p w14:paraId="5D656408" w14:textId="1F1E5B01" w:rsidR="00E228E6" w:rsidRDefault="00A7320B" w:rsidP="00B025CC">
            <w:pPr>
              <w:spacing w:after="0"/>
              <w:ind w:left="0" w:firstLine="0"/>
              <w:rPr>
                <w:bCs/>
                <w:sz w:val="20"/>
              </w:rPr>
            </w:pPr>
            <w:r>
              <w:rPr>
                <w:bCs/>
                <w:sz w:val="20"/>
              </w:rPr>
              <w:t>1</w:t>
            </w:r>
          </w:p>
        </w:tc>
        <w:tc>
          <w:tcPr>
            <w:tcW w:w="968" w:type="dxa"/>
            <w:vAlign w:val="center"/>
          </w:tcPr>
          <w:p w14:paraId="15BB7654" w14:textId="77777777" w:rsidR="00E228E6" w:rsidRPr="009C1418" w:rsidRDefault="00E228E6" w:rsidP="00E228E6">
            <w:pPr>
              <w:spacing w:after="0"/>
              <w:ind w:left="0" w:firstLine="0"/>
              <w:jc w:val="left"/>
              <w:rPr>
                <w:bCs/>
                <w:sz w:val="20"/>
              </w:rPr>
            </w:pPr>
          </w:p>
        </w:tc>
        <w:tc>
          <w:tcPr>
            <w:tcW w:w="1114" w:type="dxa"/>
            <w:vAlign w:val="center"/>
          </w:tcPr>
          <w:p w14:paraId="53B72BD0" w14:textId="77777777" w:rsidR="00E228E6" w:rsidRPr="009C1418" w:rsidRDefault="00E228E6" w:rsidP="00E228E6">
            <w:pPr>
              <w:spacing w:after="0"/>
              <w:ind w:left="0" w:firstLine="0"/>
              <w:jc w:val="left"/>
              <w:rPr>
                <w:bCs/>
                <w:sz w:val="20"/>
              </w:rPr>
            </w:pPr>
          </w:p>
        </w:tc>
      </w:tr>
      <w:tr w:rsidR="00E228E6" w:rsidRPr="009C1418" w14:paraId="2F6FD7E1" w14:textId="77777777" w:rsidTr="006672E4">
        <w:tc>
          <w:tcPr>
            <w:tcW w:w="616" w:type="dxa"/>
            <w:shd w:val="clear" w:color="auto" w:fill="FFFFFF" w:themeFill="background1"/>
            <w:vAlign w:val="center"/>
          </w:tcPr>
          <w:p w14:paraId="3070D0C9" w14:textId="26390053" w:rsidR="00E228E6" w:rsidRPr="00E228E6" w:rsidRDefault="00E228E6" w:rsidP="00E228E6">
            <w:pPr>
              <w:spacing w:after="0"/>
              <w:ind w:left="578" w:hanging="578"/>
              <w:jc w:val="left"/>
              <w:rPr>
                <w:rFonts w:cs="Arial"/>
                <w:sz w:val="20"/>
              </w:rPr>
            </w:pPr>
            <w:r w:rsidRPr="00E228E6">
              <w:rPr>
                <w:rFonts w:cs="Arial"/>
                <w:sz w:val="20"/>
              </w:rPr>
              <w:t>3.2</w:t>
            </w:r>
          </w:p>
        </w:tc>
        <w:tc>
          <w:tcPr>
            <w:tcW w:w="4118" w:type="dxa"/>
            <w:shd w:val="clear" w:color="auto" w:fill="FFFFFF" w:themeFill="background1"/>
            <w:vAlign w:val="center"/>
          </w:tcPr>
          <w:p w14:paraId="73067C0B" w14:textId="0BF496AF" w:rsidR="00E228E6" w:rsidRPr="00E228E6" w:rsidRDefault="00E228E6" w:rsidP="00E228E6">
            <w:pPr>
              <w:spacing w:after="0"/>
              <w:ind w:left="578" w:hanging="578"/>
              <w:jc w:val="left"/>
              <w:rPr>
                <w:rFonts w:cs="Arial"/>
                <w:sz w:val="20"/>
              </w:rPr>
            </w:pPr>
            <w:r w:rsidRPr="00E228E6">
              <w:rPr>
                <w:rFonts w:cs="Arial"/>
                <w:sz w:val="20"/>
              </w:rPr>
              <w:t>Transformation des emprunts en point d’eau</w:t>
            </w:r>
          </w:p>
        </w:tc>
        <w:tc>
          <w:tcPr>
            <w:tcW w:w="1020" w:type="dxa"/>
            <w:shd w:val="clear" w:color="auto" w:fill="FFFFFF" w:themeFill="background1"/>
            <w:vAlign w:val="center"/>
          </w:tcPr>
          <w:p w14:paraId="5AD1A7B5" w14:textId="22EE3317" w:rsidR="00E228E6" w:rsidRDefault="00E228E6" w:rsidP="00B025CC">
            <w:pPr>
              <w:spacing w:after="0"/>
              <w:ind w:left="0" w:firstLine="0"/>
              <w:rPr>
                <w:bCs/>
                <w:sz w:val="20"/>
              </w:rPr>
            </w:pPr>
            <w:r>
              <w:rPr>
                <w:bCs/>
                <w:sz w:val="20"/>
              </w:rPr>
              <w:t>U</w:t>
            </w:r>
          </w:p>
        </w:tc>
        <w:tc>
          <w:tcPr>
            <w:tcW w:w="948" w:type="dxa"/>
            <w:shd w:val="clear" w:color="auto" w:fill="FFFFFF" w:themeFill="background1"/>
            <w:vAlign w:val="center"/>
          </w:tcPr>
          <w:p w14:paraId="381BB261" w14:textId="2C8B49AA" w:rsidR="00E228E6" w:rsidRDefault="00E228E6" w:rsidP="00B025CC">
            <w:pPr>
              <w:spacing w:after="0"/>
              <w:ind w:left="0" w:firstLine="0"/>
              <w:rPr>
                <w:bCs/>
                <w:sz w:val="20"/>
              </w:rPr>
            </w:pPr>
            <w:r>
              <w:rPr>
                <w:bCs/>
                <w:sz w:val="20"/>
              </w:rPr>
              <w:t>2</w:t>
            </w:r>
          </w:p>
        </w:tc>
        <w:tc>
          <w:tcPr>
            <w:tcW w:w="968" w:type="dxa"/>
            <w:vAlign w:val="center"/>
          </w:tcPr>
          <w:p w14:paraId="19971519" w14:textId="77777777" w:rsidR="00E228E6" w:rsidRPr="009C1418" w:rsidRDefault="00E228E6" w:rsidP="00E228E6">
            <w:pPr>
              <w:spacing w:after="0"/>
              <w:ind w:left="0" w:firstLine="0"/>
              <w:jc w:val="left"/>
              <w:rPr>
                <w:bCs/>
                <w:sz w:val="20"/>
              </w:rPr>
            </w:pPr>
          </w:p>
        </w:tc>
        <w:tc>
          <w:tcPr>
            <w:tcW w:w="1114" w:type="dxa"/>
            <w:vAlign w:val="center"/>
          </w:tcPr>
          <w:p w14:paraId="54111C19" w14:textId="77777777" w:rsidR="00E228E6" w:rsidRPr="009C1418" w:rsidRDefault="00E228E6" w:rsidP="00E228E6">
            <w:pPr>
              <w:spacing w:after="0"/>
              <w:ind w:left="0" w:firstLine="0"/>
              <w:jc w:val="left"/>
              <w:rPr>
                <w:bCs/>
                <w:sz w:val="20"/>
              </w:rPr>
            </w:pPr>
          </w:p>
        </w:tc>
      </w:tr>
      <w:tr w:rsidR="00E228E6" w:rsidRPr="009C1418" w14:paraId="413D770D" w14:textId="77777777" w:rsidTr="006672E4">
        <w:tc>
          <w:tcPr>
            <w:tcW w:w="616" w:type="dxa"/>
            <w:shd w:val="clear" w:color="auto" w:fill="FFFFFF" w:themeFill="background1"/>
            <w:vAlign w:val="center"/>
          </w:tcPr>
          <w:p w14:paraId="717E3959" w14:textId="507DC4F7" w:rsidR="00E228E6" w:rsidRPr="003E6023" w:rsidRDefault="00E228E6" w:rsidP="00E228E6">
            <w:pPr>
              <w:spacing w:after="0"/>
              <w:ind w:left="0" w:firstLine="0"/>
              <w:jc w:val="left"/>
              <w:rPr>
                <w:bCs/>
                <w:sz w:val="20"/>
              </w:rPr>
            </w:pPr>
            <w:r w:rsidRPr="003E6023">
              <w:rPr>
                <w:bCs/>
                <w:sz w:val="20"/>
              </w:rPr>
              <w:t>4</w:t>
            </w:r>
          </w:p>
        </w:tc>
        <w:tc>
          <w:tcPr>
            <w:tcW w:w="4118" w:type="dxa"/>
            <w:shd w:val="clear" w:color="auto" w:fill="FFFFFF" w:themeFill="background1"/>
            <w:vAlign w:val="center"/>
          </w:tcPr>
          <w:p w14:paraId="126AF0F0" w14:textId="5A2F167A" w:rsidR="00E228E6" w:rsidRPr="003E6023" w:rsidRDefault="00E228E6" w:rsidP="00E228E6">
            <w:pPr>
              <w:spacing w:after="0"/>
              <w:ind w:left="578" w:hanging="578"/>
              <w:jc w:val="left"/>
              <w:rPr>
                <w:rFonts w:cs="Arial"/>
                <w:bCs/>
                <w:sz w:val="20"/>
              </w:rPr>
            </w:pPr>
            <w:r w:rsidRPr="003E6023">
              <w:rPr>
                <w:bCs/>
                <w:sz w:val="20"/>
              </w:rPr>
              <w:t>Ressources en eau</w:t>
            </w:r>
          </w:p>
        </w:tc>
        <w:tc>
          <w:tcPr>
            <w:tcW w:w="1020" w:type="dxa"/>
            <w:shd w:val="clear" w:color="auto" w:fill="FFFFFF" w:themeFill="background1"/>
            <w:vAlign w:val="center"/>
          </w:tcPr>
          <w:p w14:paraId="2BA9E65B" w14:textId="77777777" w:rsidR="00E228E6" w:rsidRDefault="00E228E6" w:rsidP="00B025CC">
            <w:pPr>
              <w:spacing w:after="0"/>
              <w:ind w:left="0" w:firstLine="0"/>
              <w:rPr>
                <w:bCs/>
                <w:sz w:val="20"/>
              </w:rPr>
            </w:pPr>
          </w:p>
        </w:tc>
        <w:tc>
          <w:tcPr>
            <w:tcW w:w="948" w:type="dxa"/>
            <w:shd w:val="clear" w:color="auto" w:fill="FFFFFF" w:themeFill="background1"/>
            <w:vAlign w:val="center"/>
          </w:tcPr>
          <w:p w14:paraId="2FF6E942" w14:textId="77777777" w:rsidR="00E228E6" w:rsidRDefault="00E228E6" w:rsidP="00B025CC">
            <w:pPr>
              <w:spacing w:after="0"/>
              <w:ind w:left="0" w:firstLine="0"/>
              <w:rPr>
                <w:bCs/>
                <w:sz w:val="20"/>
              </w:rPr>
            </w:pPr>
          </w:p>
        </w:tc>
        <w:tc>
          <w:tcPr>
            <w:tcW w:w="968" w:type="dxa"/>
            <w:vAlign w:val="center"/>
          </w:tcPr>
          <w:p w14:paraId="2E5F454C" w14:textId="77777777" w:rsidR="00E228E6" w:rsidRPr="009C1418" w:rsidRDefault="00E228E6" w:rsidP="00E228E6">
            <w:pPr>
              <w:spacing w:after="0"/>
              <w:ind w:left="0" w:firstLine="0"/>
              <w:jc w:val="left"/>
              <w:rPr>
                <w:bCs/>
                <w:sz w:val="20"/>
              </w:rPr>
            </w:pPr>
          </w:p>
        </w:tc>
        <w:tc>
          <w:tcPr>
            <w:tcW w:w="1114" w:type="dxa"/>
            <w:vAlign w:val="center"/>
          </w:tcPr>
          <w:p w14:paraId="17F2308E" w14:textId="77777777" w:rsidR="00E228E6" w:rsidRPr="009C1418" w:rsidRDefault="00E228E6" w:rsidP="00E228E6">
            <w:pPr>
              <w:spacing w:after="0"/>
              <w:ind w:left="0" w:firstLine="0"/>
              <w:jc w:val="left"/>
              <w:rPr>
                <w:bCs/>
                <w:sz w:val="20"/>
              </w:rPr>
            </w:pPr>
          </w:p>
        </w:tc>
      </w:tr>
      <w:tr w:rsidR="00E228E6" w:rsidRPr="009C1418" w14:paraId="7C0F9C9D" w14:textId="77777777" w:rsidTr="006672E4">
        <w:tc>
          <w:tcPr>
            <w:tcW w:w="616" w:type="dxa"/>
            <w:shd w:val="clear" w:color="auto" w:fill="FFFFFF" w:themeFill="background1"/>
            <w:vAlign w:val="center"/>
          </w:tcPr>
          <w:p w14:paraId="7FE2C924" w14:textId="73EE3657" w:rsidR="00E228E6" w:rsidRPr="00E228E6" w:rsidRDefault="00E228E6" w:rsidP="00E228E6">
            <w:pPr>
              <w:spacing w:after="0"/>
              <w:ind w:left="0" w:firstLine="0"/>
              <w:jc w:val="left"/>
              <w:rPr>
                <w:sz w:val="20"/>
              </w:rPr>
            </w:pPr>
            <w:r>
              <w:rPr>
                <w:rFonts w:cs="Arial"/>
                <w:sz w:val="20"/>
              </w:rPr>
              <w:t>4</w:t>
            </w:r>
            <w:r w:rsidRPr="00E228E6">
              <w:rPr>
                <w:rFonts w:cs="Arial"/>
                <w:sz w:val="20"/>
              </w:rPr>
              <w:t>.1</w:t>
            </w:r>
          </w:p>
        </w:tc>
        <w:tc>
          <w:tcPr>
            <w:tcW w:w="4118" w:type="dxa"/>
            <w:shd w:val="clear" w:color="auto" w:fill="FFFFFF" w:themeFill="background1"/>
            <w:vAlign w:val="center"/>
          </w:tcPr>
          <w:p w14:paraId="3A4B5DEB" w14:textId="5AD9905A" w:rsidR="00E228E6" w:rsidRPr="00E228E6" w:rsidRDefault="00E228E6" w:rsidP="00E228E6">
            <w:pPr>
              <w:spacing w:after="0"/>
              <w:ind w:left="578" w:hanging="578"/>
              <w:jc w:val="left"/>
              <w:rPr>
                <w:rFonts w:cs="Arial"/>
                <w:sz w:val="20"/>
              </w:rPr>
            </w:pPr>
            <w:r w:rsidRPr="00E228E6">
              <w:rPr>
                <w:rFonts w:cs="Arial"/>
                <w:sz w:val="20"/>
              </w:rPr>
              <w:t xml:space="preserve">Réalisation de forage équipés et aménagés </w:t>
            </w:r>
            <w:r w:rsidRPr="00E228E6">
              <w:rPr>
                <w:rFonts w:cs="Arial"/>
                <w:sz w:val="20"/>
              </w:rPr>
              <w:lastRenderedPageBreak/>
              <w:t>(margelle, abreuvoir) pour les besoins complémentaires en eau de chantier</w:t>
            </w:r>
          </w:p>
        </w:tc>
        <w:tc>
          <w:tcPr>
            <w:tcW w:w="1020" w:type="dxa"/>
            <w:shd w:val="clear" w:color="auto" w:fill="FFFFFF" w:themeFill="background1"/>
            <w:vAlign w:val="center"/>
          </w:tcPr>
          <w:p w14:paraId="785ED350" w14:textId="1C14B9F7" w:rsidR="00E228E6" w:rsidRDefault="00495012" w:rsidP="00B025CC">
            <w:pPr>
              <w:spacing w:after="0"/>
              <w:ind w:left="0" w:firstLine="0"/>
              <w:rPr>
                <w:bCs/>
                <w:sz w:val="20"/>
              </w:rPr>
            </w:pPr>
            <w:r>
              <w:rPr>
                <w:bCs/>
                <w:sz w:val="20"/>
              </w:rPr>
              <w:lastRenderedPageBreak/>
              <w:t>U</w:t>
            </w:r>
          </w:p>
        </w:tc>
        <w:tc>
          <w:tcPr>
            <w:tcW w:w="948" w:type="dxa"/>
            <w:shd w:val="clear" w:color="auto" w:fill="FFFFFF" w:themeFill="background1"/>
            <w:vAlign w:val="center"/>
          </w:tcPr>
          <w:p w14:paraId="68DDA72F" w14:textId="3CAFC45C" w:rsidR="00E228E6" w:rsidRDefault="00495012" w:rsidP="00B025CC">
            <w:pPr>
              <w:spacing w:after="0"/>
              <w:ind w:left="0" w:firstLine="0"/>
              <w:rPr>
                <w:bCs/>
                <w:sz w:val="20"/>
              </w:rPr>
            </w:pPr>
            <w:r>
              <w:rPr>
                <w:bCs/>
                <w:sz w:val="20"/>
              </w:rPr>
              <w:t>1</w:t>
            </w:r>
          </w:p>
        </w:tc>
        <w:tc>
          <w:tcPr>
            <w:tcW w:w="968" w:type="dxa"/>
            <w:vAlign w:val="center"/>
          </w:tcPr>
          <w:p w14:paraId="1A63B17C" w14:textId="77777777" w:rsidR="00E228E6" w:rsidRPr="009C1418" w:rsidRDefault="00E228E6" w:rsidP="00E228E6">
            <w:pPr>
              <w:spacing w:after="0"/>
              <w:ind w:left="0" w:firstLine="0"/>
              <w:jc w:val="left"/>
              <w:rPr>
                <w:bCs/>
                <w:sz w:val="20"/>
              </w:rPr>
            </w:pPr>
          </w:p>
        </w:tc>
        <w:tc>
          <w:tcPr>
            <w:tcW w:w="1114" w:type="dxa"/>
            <w:vAlign w:val="center"/>
          </w:tcPr>
          <w:p w14:paraId="7D9C9BBD" w14:textId="77777777" w:rsidR="00E228E6" w:rsidRPr="009C1418" w:rsidRDefault="00E228E6" w:rsidP="00E228E6">
            <w:pPr>
              <w:spacing w:after="0"/>
              <w:ind w:left="0" w:firstLine="0"/>
              <w:jc w:val="left"/>
              <w:rPr>
                <w:bCs/>
                <w:sz w:val="20"/>
              </w:rPr>
            </w:pPr>
          </w:p>
        </w:tc>
      </w:tr>
      <w:tr w:rsidR="003E6023" w:rsidRPr="009C1418" w14:paraId="4EABDA08" w14:textId="77777777" w:rsidTr="006672E4">
        <w:tc>
          <w:tcPr>
            <w:tcW w:w="616" w:type="dxa"/>
            <w:shd w:val="clear" w:color="auto" w:fill="FFFFFF" w:themeFill="background1"/>
            <w:vAlign w:val="center"/>
          </w:tcPr>
          <w:p w14:paraId="04F0EEB5" w14:textId="376C5A06" w:rsidR="003E6023" w:rsidRPr="00E228E6" w:rsidRDefault="003E6023" w:rsidP="003E6023">
            <w:pPr>
              <w:spacing w:after="0"/>
              <w:ind w:left="0" w:firstLine="0"/>
              <w:jc w:val="left"/>
              <w:rPr>
                <w:sz w:val="20"/>
              </w:rPr>
            </w:pPr>
            <w:r>
              <w:rPr>
                <w:sz w:val="20"/>
              </w:rPr>
              <w:lastRenderedPageBreak/>
              <w:t>5</w:t>
            </w:r>
          </w:p>
        </w:tc>
        <w:tc>
          <w:tcPr>
            <w:tcW w:w="4118" w:type="dxa"/>
            <w:shd w:val="clear" w:color="auto" w:fill="FFFFFF" w:themeFill="background1"/>
            <w:vAlign w:val="center"/>
          </w:tcPr>
          <w:p w14:paraId="2A0254EC" w14:textId="060D7E67" w:rsidR="003E6023" w:rsidRPr="00E228E6" w:rsidRDefault="003E6023" w:rsidP="003E6023">
            <w:pPr>
              <w:spacing w:after="0"/>
              <w:ind w:left="578" w:hanging="578"/>
              <w:jc w:val="left"/>
              <w:rPr>
                <w:rFonts w:cs="Arial"/>
                <w:sz w:val="20"/>
              </w:rPr>
            </w:pPr>
            <w:r>
              <w:rPr>
                <w:bCs/>
                <w:sz w:val="20"/>
              </w:rPr>
              <w:t>Flore</w:t>
            </w:r>
          </w:p>
        </w:tc>
        <w:tc>
          <w:tcPr>
            <w:tcW w:w="1020" w:type="dxa"/>
            <w:shd w:val="clear" w:color="auto" w:fill="FFFFFF" w:themeFill="background1"/>
            <w:vAlign w:val="center"/>
          </w:tcPr>
          <w:p w14:paraId="368099EE" w14:textId="77777777" w:rsidR="003E6023" w:rsidRDefault="003E6023" w:rsidP="003E6023">
            <w:pPr>
              <w:spacing w:after="0"/>
              <w:ind w:left="0" w:firstLine="0"/>
              <w:jc w:val="left"/>
              <w:rPr>
                <w:bCs/>
                <w:sz w:val="20"/>
              </w:rPr>
            </w:pPr>
          </w:p>
        </w:tc>
        <w:tc>
          <w:tcPr>
            <w:tcW w:w="948" w:type="dxa"/>
            <w:shd w:val="clear" w:color="auto" w:fill="FFFFFF" w:themeFill="background1"/>
            <w:vAlign w:val="center"/>
          </w:tcPr>
          <w:p w14:paraId="7E9E2223" w14:textId="77777777" w:rsidR="003E6023" w:rsidRDefault="003E6023" w:rsidP="003E6023">
            <w:pPr>
              <w:spacing w:after="0"/>
              <w:ind w:left="0" w:firstLine="0"/>
              <w:jc w:val="left"/>
              <w:rPr>
                <w:bCs/>
                <w:sz w:val="20"/>
              </w:rPr>
            </w:pPr>
          </w:p>
        </w:tc>
        <w:tc>
          <w:tcPr>
            <w:tcW w:w="968" w:type="dxa"/>
            <w:vAlign w:val="center"/>
          </w:tcPr>
          <w:p w14:paraId="1390A163" w14:textId="77777777" w:rsidR="003E6023" w:rsidRPr="009C1418" w:rsidRDefault="003E6023" w:rsidP="003E6023">
            <w:pPr>
              <w:spacing w:after="0"/>
              <w:ind w:left="0" w:firstLine="0"/>
              <w:jc w:val="left"/>
              <w:rPr>
                <w:bCs/>
                <w:sz w:val="20"/>
              </w:rPr>
            </w:pPr>
          </w:p>
        </w:tc>
        <w:tc>
          <w:tcPr>
            <w:tcW w:w="1114" w:type="dxa"/>
            <w:vAlign w:val="center"/>
          </w:tcPr>
          <w:p w14:paraId="2E8C126E" w14:textId="77777777" w:rsidR="003E6023" w:rsidRPr="009C1418" w:rsidRDefault="003E6023" w:rsidP="003E6023">
            <w:pPr>
              <w:spacing w:after="0"/>
              <w:ind w:left="0" w:firstLine="0"/>
              <w:jc w:val="left"/>
              <w:rPr>
                <w:bCs/>
                <w:sz w:val="20"/>
              </w:rPr>
            </w:pPr>
          </w:p>
        </w:tc>
      </w:tr>
      <w:tr w:rsidR="003E6023" w:rsidRPr="009C1418" w14:paraId="7A69C8D0" w14:textId="77777777" w:rsidTr="006672E4">
        <w:tc>
          <w:tcPr>
            <w:tcW w:w="616" w:type="dxa"/>
            <w:shd w:val="clear" w:color="auto" w:fill="FFFFFF" w:themeFill="background1"/>
            <w:vAlign w:val="center"/>
          </w:tcPr>
          <w:p w14:paraId="56EA4896" w14:textId="7FDC33B4" w:rsidR="003E6023" w:rsidRPr="00E228E6" w:rsidRDefault="003E6023" w:rsidP="003E6023">
            <w:pPr>
              <w:spacing w:after="0"/>
              <w:ind w:left="0" w:firstLine="0"/>
              <w:jc w:val="left"/>
              <w:rPr>
                <w:sz w:val="20"/>
              </w:rPr>
            </w:pPr>
            <w:r>
              <w:rPr>
                <w:rFonts w:cs="Arial"/>
                <w:sz w:val="20"/>
              </w:rPr>
              <w:t>5</w:t>
            </w:r>
            <w:r w:rsidRPr="00E228E6">
              <w:rPr>
                <w:rFonts w:cs="Arial"/>
                <w:sz w:val="20"/>
              </w:rPr>
              <w:t>.1</w:t>
            </w:r>
          </w:p>
        </w:tc>
        <w:tc>
          <w:tcPr>
            <w:tcW w:w="4118" w:type="dxa"/>
            <w:shd w:val="clear" w:color="auto" w:fill="FFFFFF" w:themeFill="background1"/>
            <w:vAlign w:val="center"/>
          </w:tcPr>
          <w:p w14:paraId="74EF8133" w14:textId="19F1ECC1" w:rsidR="003E6023" w:rsidRPr="00E228E6" w:rsidRDefault="003E6023" w:rsidP="003E6023">
            <w:pPr>
              <w:spacing w:after="0"/>
              <w:ind w:left="578" w:hanging="578"/>
              <w:jc w:val="left"/>
              <w:rPr>
                <w:rFonts w:cs="Arial"/>
                <w:sz w:val="20"/>
              </w:rPr>
            </w:pPr>
            <w:r w:rsidRPr="003E6023">
              <w:rPr>
                <w:rFonts w:cs="Arial"/>
                <w:sz w:val="20"/>
              </w:rPr>
              <w:t xml:space="preserve">Etalage de la terre végétale stockée en vue d’une </w:t>
            </w:r>
            <w:proofErr w:type="spellStart"/>
            <w:r w:rsidRPr="003E6023">
              <w:rPr>
                <w:rFonts w:cs="Arial"/>
                <w:sz w:val="20"/>
              </w:rPr>
              <w:t>revégétalisation</w:t>
            </w:r>
            <w:proofErr w:type="spellEnd"/>
            <w:r w:rsidRPr="003E6023">
              <w:rPr>
                <w:rFonts w:cs="Arial"/>
                <w:sz w:val="20"/>
              </w:rPr>
              <w:t xml:space="preserve"> des emprunts ayant une découverte de moins de 20 cm, après l’écrêtage des berges à une pente de 30%</w:t>
            </w:r>
          </w:p>
        </w:tc>
        <w:tc>
          <w:tcPr>
            <w:tcW w:w="1020" w:type="dxa"/>
            <w:shd w:val="clear" w:color="auto" w:fill="FFFFFF" w:themeFill="background1"/>
            <w:vAlign w:val="center"/>
          </w:tcPr>
          <w:p w14:paraId="233C7226" w14:textId="71147044" w:rsidR="003E6023" w:rsidRDefault="003E6023" w:rsidP="00B025CC">
            <w:pPr>
              <w:spacing w:after="0"/>
              <w:ind w:left="0" w:firstLine="0"/>
              <w:rPr>
                <w:bCs/>
                <w:sz w:val="20"/>
              </w:rPr>
            </w:pPr>
            <w:r>
              <w:rPr>
                <w:bCs/>
                <w:sz w:val="20"/>
              </w:rPr>
              <w:t>U</w:t>
            </w:r>
          </w:p>
        </w:tc>
        <w:tc>
          <w:tcPr>
            <w:tcW w:w="948" w:type="dxa"/>
            <w:shd w:val="clear" w:color="auto" w:fill="FFFFFF" w:themeFill="background1"/>
            <w:vAlign w:val="center"/>
          </w:tcPr>
          <w:p w14:paraId="60F3CF94" w14:textId="3823DDD6" w:rsidR="003E6023" w:rsidRDefault="003E6023" w:rsidP="00B025CC">
            <w:pPr>
              <w:spacing w:after="0"/>
              <w:ind w:left="0" w:firstLine="0"/>
              <w:rPr>
                <w:bCs/>
                <w:sz w:val="20"/>
              </w:rPr>
            </w:pPr>
            <w:r>
              <w:rPr>
                <w:bCs/>
                <w:sz w:val="20"/>
              </w:rPr>
              <w:t>2</w:t>
            </w:r>
          </w:p>
        </w:tc>
        <w:tc>
          <w:tcPr>
            <w:tcW w:w="968" w:type="dxa"/>
            <w:vAlign w:val="center"/>
          </w:tcPr>
          <w:p w14:paraId="046F4E51" w14:textId="77777777" w:rsidR="003E6023" w:rsidRPr="009C1418" w:rsidRDefault="003E6023" w:rsidP="003E6023">
            <w:pPr>
              <w:spacing w:after="0"/>
              <w:ind w:left="0" w:firstLine="0"/>
              <w:jc w:val="left"/>
              <w:rPr>
                <w:bCs/>
                <w:sz w:val="20"/>
              </w:rPr>
            </w:pPr>
          </w:p>
        </w:tc>
        <w:tc>
          <w:tcPr>
            <w:tcW w:w="1114" w:type="dxa"/>
            <w:vAlign w:val="center"/>
          </w:tcPr>
          <w:p w14:paraId="3D1C1BF8" w14:textId="77777777" w:rsidR="003E6023" w:rsidRPr="009C1418" w:rsidRDefault="003E6023" w:rsidP="003E6023">
            <w:pPr>
              <w:spacing w:after="0"/>
              <w:ind w:left="0" w:firstLine="0"/>
              <w:jc w:val="left"/>
              <w:rPr>
                <w:bCs/>
                <w:sz w:val="20"/>
              </w:rPr>
            </w:pPr>
          </w:p>
        </w:tc>
      </w:tr>
      <w:tr w:rsidR="003E6023" w:rsidRPr="009C1418" w14:paraId="1CF22329" w14:textId="77777777" w:rsidTr="006672E4">
        <w:tc>
          <w:tcPr>
            <w:tcW w:w="616" w:type="dxa"/>
            <w:shd w:val="clear" w:color="auto" w:fill="FFFFFF" w:themeFill="background1"/>
            <w:vAlign w:val="center"/>
          </w:tcPr>
          <w:p w14:paraId="39B234AD" w14:textId="5D3B7237" w:rsidR="003E6023" w:rsidRPr="00E228E6" w:rsidRDefault="003E6023" w:rsidP="003E6023">
            <w:pPr>
              <w:spacing w:after="0"/>
              <w:ind w:left="0" w:firstLine="0"/>
              <w:jc w:val="left"/>
              <w:rPr>
                <w:sz w:val="20"/>
              </w:rPr>
            </w:pPr>
            <w:r>
              <w:rPr>
                <w:rFonts w:cs="Arial"/>
                <w:sz w:val="20"/>
              </w:rPr>
              <w:t>5</w:t>
            </w:r>
            <w:r w:rsidRPr="00E228E6">
              <w:rPr>
                <w:rFonts w:cs="Arial"/>
                <w:sz w:val="20"/>
              </w:rPr>
              <w:t>.</w:t>
            </w:r>
            <w:r>
              <w:rPr>
                <w:rFonts w:cs="Arial"/>
                <w:sz w:val="20"/>
              </w:rPr>
              <w:t>2</w:t>
            </w:r>
          </w:p>
        </w:tc>
        <w:tc>
          <w:tcPr>
            <w:tcW w:w="4118" w:type="dxa"/>
            <w:shd w:val="clear" w:color="auto" w:fill="FFFFFF" w:themeFill="background1"/>
            <w:vAlign w:val="center"/>
          </w:tcPr>
          <w:p w14:paraId="049B9CE7" w14:textId="5C118CD8" w:rsidR="003E6023" w:rsidRPr="00E228E6" w:rsidRDefault="003E6023" w:rsidP="003E6023">
            <w:pPr>
              <w:spacing w:after="0"/>
              <w:ind w:left="578" w:hanging="578"/>
              <w:jc w:val="left"/>
              <w:rPr>
                <w:rFonts w:cs="Arial"/>
                <w:sz w:val="20"/>
              </w:rPr>
            </w:pPr>
            <w:r w:rsidRPr="003E6023">
              <w:rPr>
                <w:rFonts w:cs="Arial"/>
                <w:sz w:val="20"/>
              </w:rPr>
              <w:t>Plantations d’alignement et de compensation</w:t>
            </w:r>
          </w:p>
        </w:tc>
        <w:tc>
          <w:tcPr>
            <w:tcW w:w="1020" w:type="dxa"/>
            <w:shd w:val="clear" w:color="auto" w:fill="FFFFFF" w:themeFill="background1"/>
            <w:vAlign w:val="center"/>
          </w:tcPr>
          <w:p w14:paraId="60DF0B67" w14:textId="5E5288C1" w:rsidR="003E6023" w:rsidRDefault="003E6023" w:rsidP="00B025CC">
            <w:pPr>
              <w:spacing w:after="0"/>
              <w:ind w:left="0" w:firstLine="0"/>
              <w:rPr>
                <w:bCs/>
                <w:sz w:val="20"/>
              </w:rPr>
            </w:pPr>
            <w:r>
              <w:rPr>
                <w:bCs/>
                <w:sz w:val="20"/>
              </w:rPr>
              <w:t>U</w:t>
            </w:r>
          </w:p>
        </w:tc>
        <w:tc>
          <w:tcPr>
            <w:tcW w:w="948" w:type="dxa"/>
            <w:shd w:val="clear" w:color="auto" w:fill="FFFFFF" w:themeFill="background1"/>
            <w:vAlign w:val="center"/>
          </w:tcPr>
          <w:p w14:paraId="67C5652D" w14:textId="1F55372C" w:rsidR="003E6023" w:rsidRDefault="003E6023" w:rsidP="00B025CC">
            <w:pPr>
              <w:spacing w:after="0"/>
              <w:ind w:left="0" w:firstLine="0"/>
              <w:rPr>
                <w:bCs/>
                <w:sz w:val="20"/>
              </w:rPr>
            </w:pPr>
            <w:r>
              <w:rPr>
                <w:bCs/>
                <w:sz w:val="20"/>
              </w:rPr>
              <w:t>2</w:t>
            </w:r>
          </w:p>
        </w:tc>
        <w:tc>
          <w:tcPr>
            <w:tcW w:w="968" w:type="dxa"/>
            <w:vAlign w:val="center"/>
          </w:tcPr>
          <w:p w14:paraId="1AC76BBB" w14:textId="77777777" w:rsidR="003E6023" w:rsidRPr="009C1418" w:rsidRDefault="003E6023" w:rsidP="003E6023">
            <w:pPr>
              <w:spacing w:after="0"/>
              <w:ind w:left="0" w:firstLine="0"/>
              <w:jc w:val="left"/>
              <w:rPr>
                <w:bCs/>
                <w:sz w:val="20"/>
              </w:rPr>
            </w:pPr>
          </w:p>
        </w:tc>
        <w:tc>
          <w:tcPr>
            <w:tcW w:w="1114" w:type="dxa"/>
            <w:vAlign w:val="center"/>
          </w:tcPr>
          <w:p w14:paraId="6F7CAC7D" w14:textId="77777777" w:rsidR="003E6023" w:rsidRPr="009C1418" w:rsidRDefault="003E6023" w:rsidP="003E6023">
            <w:pPr>
              <w:spacing w:after="0"/>
              <w:ind w:left="0" w:firstLine="0"/>
              <w:jc w:val="left"/>
              <w:rPr>
                <w:bCs/>
                <w:sz w:val="20"/>
              </w:rPr>
            </w:pPr>
          </w:p>
        </w:tc>
      </w:tr>
      <w:tr w:rsidR="003E6023" w:rsidRPr="009C1418" w14:paraId="1F11C162" w14:textId="77777777" w:rsidTr="006672E4">
        <w:tc>
          <w:tcPr>
            <w:tcW w:w="616" w:type="dxa"/>
            <w:shd w:val="clear" w:color="auto" w:fill="FFFFFF" w:themeFill="background1"/>
            <w:vAlign w:val="center"/>
          </w:tcPr>
          <w:p w14:paraId="56FF06A9" w14:textId="089A01BB" w:rsidR="003E6023" w:rsidRPr="00E228E6" w:rsidRDefault="003E6023" w:rsidP="003E6023">
            <w:pPr>
              <w:spacing w:after="0"/>
              <w:ind w:left="0" w:firstLine="0"/>
              <w:jc w:val="left"/>
              <w:rPr>
                <w:sz w:val="20"/>
              </w:rPr>
            </w:pPr>
            <w:r>
              <w:rPr>
                <w:sz w:val="20"/>
              </w:rPr>
              <w:t>5</w:t>
            </w:r>
          </w:p>
        </w:tc>
        <w:tc>
          <w:tcPr>
            <w:tcW w:w="4118" w:type="dxa"/>
            <w:shd w:val="clear" w:color="auto" w:fill="FFFFFF" w:themeFill="background1"/>
            <w:vAlign w:val="center"/>
          </w:tcPr>
          <w:p w14:paraId="10AF5D09" w14:textId="6E2B15F5" w:rsidR="003E6023" w:rsidRPr="00E228E6" w:rsidRDefault="003E6023" w:rsidP="003E6023">
            <w:pPr>
              <w:spacing w:after="0"/>
              <w:ind w:left="578" w:hanging="578"/>
              <w:jc w:val="left"/>
              <w:rPr>
                <w:rFonts w:cs="Arial"/>
                <w:sz w:val="20"/>
              </w:rPr>
            </w:pPr>
            <w:r>
              <w:rPr>
                <w:bCs/>
                <w:sz w:val="20"/>
              </w:rPr>
              <w:t>Faune</w:t>
            </w:r>
          </w:p>
        </w:tc>
        <w:tc>
          <w:tcPr>
            <w:tcW w:w="1020" w:type="dxa"/>
            <w:shd w:val="clear" w:color="auto" w:fill="FFFFFF" w:themeFill="background1"/>
            <w:vAlign w:val="center"/>
          </w:tcPr>
          <w:p w14:paraId="3290DB5E" w14:textId="77777777" w:rsidR="003E6023" w:rsidRDefault="003E6023" w:rsidP="00B025CC">
            <w:pPr>
              <w:spacing w:after="0"/>
              <w:ind w:left="0" w:firstLine="0"/>
              <w:rPr>
                <w:bCs/>
                <w:sz w:val="20"/>
              </w:rPr>
            </w:pPr>
          </w:p>
        </w:tc>
        <w:tc>
          <w:tcPr>
            <w:tcW w:w="948" w:type="dxa"/>
            <w:shd w:val="clear" w:color="auto" w:fill="FFFFFF" w:themeFill="background1"/>
            <w:vAlign w:val="center"/>
          </w:tcPr>
          <w:p w14:paraId="7A3C685B" w14:textId="77777777" w:rsidR="003E6023" w:rsidRDefault="003E6023" w:rsidP="00B025CC">
            <w:pPr>
              <w:spacing w:after="0"/>
              <w:ind w:left="0" w:firstLine="0"/>
              <w:rPr>
                <w:bCs/>
                <w:sz w:val="20"/>
              </w:rPr>
            </w:pPr>
          </w:p>
        </w:tc>
        <w:tc>
          <w:tcPr>
            <w:tcW w:w="968" w:type="dxa"/>
            <w:vAlign w:val="center"/>
          </w:tcPr>
          <w:p w14:paraId="7A7C68A3" w14:textId="77777777" w:rsidR="003E6023" w:rsidRPr="009C1418" w:rsidRDefault="003E6023" w:rsidP="003E6023">
            <w:pPr>
              <w:spacing w:after="0"/>
              <w:ind w:left="0" w:firstLine="0"/>
              <w:jc w:val="left"/>
              <w:rPr>
                <w:bCs/>
                <w:sz w:val="20"/>
              </w:rPr>
            </w:pPr>
          </w:p>
        </w:tc>
        <w:tc>
          <w:tcPr>
            <w:tcW w:w="1114" w:type="dxa"/>
            <w:vAlign w:val="center"/>
          </w:tcPr>
          <w:p w14:paraId="11C71F8B" w14:textId="77777777" w:rsidR="003E6023" w:rsidRPr="009C1418" w:rsidRDefault="003E6023" w:rsidP="003E6023">
            <w:pPr>
              <w:spacing w:after="0"/>
              <w:ind w:left="0" w:firstLine="0"/>
              <w:jc w:val="left"/>
              <w:rPr>
                <w:bCs/>
                <w:sz w:val="20"/>
              </w:rPr>
            </w:pPr>
          </w:p>
        </w:tc>
      </w:tr>
      <w:tr w:rsidR="00E228E6" w:rsidRPr="009C1418" w14:paraId="1FA83D20" w14:textId="77777777" w:rsidTr="006672E4">
        <w:tc>
          <w:tcPr>
            <w:tcW w:w="616" w:type="dxa"/>
            <w:shd w:val="clear" w:color="auto" w:fill="FFFFFF" w:themeFill="background1"/>
            <w:vAlign w:val="center"/>
          </w:tcPr>
          <w:p w14:paraId="6A4E0509" w14:textId="76B67620" w:rsidR="00E228E6" w:rsidRPr="009C1418" w:rsidRDefault="008867A6" w:rsidP="00E228E6">
            <w:pPr>
              <w:spacing w:after="0"/>
              <w:ind w:left="0" w:firstLine="0"/>
              <w:jc w:val="left"/>
              <w:rPr>
                <w:bCs/>
                <w:sz w:val="20"/>
              </w:rPr>
            </w:pPr>
            <w:r>
              <w:rPr>
                <w:bCs/>
                <w:sz w:val="20"/>
              </w:rPr>
              <w:t>5.1</w:t>
            </w:r>
          </w:p>
        </w:tc>
        <w:tc>
          <w:tcPr>
            <w:tcW w:w="4118" w:type="dxa"/>
            <w:shd w:val="clear" w:color="auto" w:fill="FFFFFF" w:themeFill="background1"/>
            <w:vAlign w:val="center"/>
          </w:tcPr>
          <w:p w14:paraId="4E242CCB" w14:textId="24EAFCE1" w:rsidR="00E228E6" w:rsidRPr="009C1418" w:rsidRDefault="008867A6" w:rsidP="00E228E6">
            <w:pPr>
              <w:spacing w:after="0"/>
              <w:jc w:val="left"/>
              <w:rPr>
                <w:rFonts w:eastAsiaTheme="minorEastAsia"/>
                <w:sz w:val="20"/>
                <w:szCs w:val="22"/>
              </w:rPr>
            </w:pPr>
            <w:r w:rsidRPr="008867A6">
              <w:rPr>
                <w:sz w:val="20"/>
              </w:rPr>
              <w:t>Indemnisation des pertes d’animaux domestiques en cas de collision</w:t>
            </w:r>
          </w:p>
        </w:tc>
        <w:tc>
          <w:tcPr>
            <w:tcW w:w="1020" w:type="dxa"/>
            <w:shd w:val="clear" w:color="auto" w:fill="FFFFFF" w:themeFill="background1"/>
            <w:vAlign w:val="center"/>
          </w:tcPr>
          <w:p w14:paraId="5CD7519E" w14:textId="7A9201FD" w:rsidR="00E228E6" w:rsidRPr="009C1418" w:rsidRDefault="008867A6" w:rsidP="00B025CC">
            <w:pPr>
              <w:spacing w:after="0"/>
              <w:ind w:left="0" w:firstLine="0"/>
              <w:rPr>
                <w:bCs/>
                <w:sz w:val="20"/>
              </w:rPr>
            </w:pPr>
            <w:r>
              <w:rPr>
                <w:bCs/>
                <w:sz w:val="20"/>
              </w:rPr>
              <w:t>FF</w:t>
            </w:r>
          </w:p>
        </w:tc>
        <w:tc>
          <w:tcPr>
            <w:tcW w:w="948" w:type="dxa"/>
            <w:shd w:val="clear" w:color="auto" w:fill="FFFFFF" w:themeFill="background1"/>
            <w:vAlign w:val="center"/>
          </w:tcPr>
          <w:p w14:paraId="4B630D7D" w14:textId="42A6B0FC" w:rsidR="00E228E6" w:rsidRPr="009C1418" w:rsidRDefault="008867A6" w:rsidP="00B025CC">
            <w:pPr>
              <w:spacing w:after="0"/>
              <w:ind w:left="0" w:firstLine="0"/>
              <w:rPr>
                <w:bCs/>
                <w:sz w:val="20"/>
              </w:rPr>
            </w:pPr>
            <w:r>
              <w:rPr>
                <w:bCs/>
                <w:sz w:val="20"/>
              </w:rPr>
              <w:t>P.M</w:t>
            </w:r>
          </w:p>
        </w:tc>
        <w:tc>
          <w:tcPr>
            <w:tcW w:w="968" w:type="dxa"/>
            <w:vAlign w:val="center"/>
          </w:tcPr>
          <w:p w14:paraId="32094E40" w14:textId="77777777" w:rsidR="00E228E6" w:rsidRPr="009C1418" w:rsidRDefault="00E228E6" w:rsidP="00E228E6">
            <w:pPr>
              <w:spacing w:after="0"/>
              <w:ind w:left="0" w:firstLine="0"/>
              <w:jc w:val="left"/>
              <w:rPr>
                <w:bCs/>
                <w:sz w:val="20"/>
              </w:rPr>
            </w:pPr>
          </w:p>
        </w:tc>
        <w:tc>
          <w:tcPr>
            <w:tcW w:w="1114" w:type="dxa"/>
            <w:vAlign w:val="center"/>
          </w:tcPr>
          <w:p w14:paraId="2A0BBEEC" w14:textId="77777777" w:rsidR="00E228E6" w:rsidRPr="009C1418" w:rsidRDefault="00E228E6" w:rsidP="00E228E6">
            <w:pPr>
              <w:spacing w:after="0"/>
              <w:ind w:left="0" w:firstLine="0"/>
              <w:jc w:val="left"/>
              <w:rPr>
                <w:bCs/>
                <w:sz w:val="20"/>
              </w:rPr>
            </w:pPr>
          </w:p>
        </w:tc>
      </w:tr>
      <w:tr w:rsidR="00736656" w:rsidRPr="009C1418" w14:paraId="431C2502" w14:textId="77777777" w:rsidTr="006672E4">
        <w:tc>
          <w:tcPr>
            <w:tcW w:w="616" w:type="dxa"/>
            <w:shd w:val="clear" w:color="auto" w:fill="FFFFFF" w:themeFill="background1"/>
            <w:vAlign w:val="center"/>
          </w:tcPr>
          <w:p w14:paraId="65B1BD51" w14:textId="3906AD62" w:rsidR="00736656" w:rsidRDefault="00736656" w:rsidP="00736656">
            <w:pPr>
              <w:spacing w:after="0"/>
              <w:ind w:left="0" w:firstLine="0"/>
              <w:jc w:val="left"/>
              <w:rPr>
                <w:bCs/>
                <w:sz w:val="20"/>
              </w:rPr>
            </w:pPr>
            <w:r>
              <w:rPr>
                <w:bCs/>
                <w:sz w:val="20"/>
              </w:rPr>
              <w:t>6</w:t>
            </w:r>
          </w:p>
        </w:tc>
        <w:tc>
          <w:tcPr>
            <w:tcW w:w="4118" w:type="dxa"/>
            <w:shd w:val="clear" w:color="auto" w:fill="FFFFFF" w:themeFill="background1"/>
            <w:vAlign w:val="center"/>
          </w:tcPr>
          <w:p w14:paraId="6EB8A7FC" w14:textId="5ABBFCEE" w:rsidR="00736656" w:rsidRPr="008867A6" w:rsidRDefault="00736656" w:rsidP="00736656">
            <w:pPr>
              <w:spacing w:after="0"/>
              <w:jc w:val="left"/>
              <w:rPr>
                <w:sz w:val="20"/>
              </w:rPr>
            </w:pPr>
            <w:r>
              <w:rPr>
                <w:bCs/>
                <w:sz w:val="20"/>
              </w:rPr>
              <w:t>Santé – sécurité - hygiène</w:t>
            </w:r>
          </w:p>
        </w:tc>
        <w:tc>
          <w:tcPr>
            <w:tcW w:w="1020" w:type="dxa"/>
            <w:shd w:val="clear" w:color="auto" w:fill="FFFFFF" w:themeFill="background1"/>
            <w:vAlign w:val="center"/>
          </w:tcPr>
          <w:p w14:paraId="3D116D67" w14:textId="77777777" w:rsidR="00736656" w:rsidRDefault="00736656" w:rsidP="00B025CC">
            <w:pPr>
              <w:spacing w:after="0"/>
              <w:ind w:left="0" w:firstLine="0"/>
              <w:rPr>
                <w:bCs/>
                <w:sz w:val="20"/>
              </w:rPr>
            </w:pPr>
          </w:p>
        </w:tc>
        <w:tc>
          <w:tcPr>
            <w:tcW w:w="948" w:type="dxa"/>
            <w:shd w:val="clear" w:color="auto" w:fill="FFFFFF" w:themeFill="background1"/>
            <w:vAlign w:val="center"/>
          </w:tcPr>
          <w:p w14:paraId="609ECFD3" w14:textId="77777777" w:rsidR="00736656" w:rsidRDefault="00736656" w:rsidP="00B025CC">
            <w:pPr>
              <w:spacing w:after="0"/>
              <w:ind w:left="0" w:firstLine="0"/>
              <w:rPr>
                <w:bCs/>
                <w:sz w:val="20"/>
              </w:rPr>
            </w:pPr>
          </w:p>
        </w:tc>
        <w:tc>
          <w:tcPr>
            <w:tcW w:w="968" w:type="dxa"/>
            <w:vAlign w:val="center"/>
          </w:tcPr>
          <w:p w14:paraId="4797AF76" w14:textId="77777777" w:rsidR="00736656" w:rsidRPr="009C1418" w:rsidRDefault="00736656" w:rsidP="00736656">
            <w:pPr>
              <w:spacing w:after="0"/>
              <w:ind w:left="0" w:firstLine="0"/>
              <w:jc w:val="left"/>
              <w:rPr>
                <w:bCs/>
                <w:sz w:val="20"/>
              </w:rPr>
            </w:pPr>
          </w:p>
        </w:tc>
        <w:tc>
          <w:tcPr>
            <w:tcW w:w="1114" w:type="dxa"/>
            <w:vAlign w:val="center"/>
          </w:tcPr>
          <w:p w14:paraId="21332B98" w14:textId="77777777" w:rsidR="00736656" w:rsidRPr="009C1418" w:rsidRDefault="00736656" w:rsidP="00736656">
            <w:pPr>
              <w:spacing w:after="0"/>
              <w:ind w:left="0" w:firstLine="0"/>
              <w:jc w:val="left"/>
              <w:rPr>
                <w:bCs/>
                <w:sz w:val="20"/>
              </w:rPr>
            </w:pPr>
          </w:p>
        </w:tc>
      </w:tr>
      <w:tr w:rsidR="00B025CC" w:rsidRPr="009C1418" w14:paraId="371DD68A" w14:textId="77777777" w:rsidTr="006672E4">
        <w:tc>
          <w:tcPr>
            <w:tcW w:w="616" w:type="dxa"/>
            <w:shd w:val="clear" w:color="auto" w:fill="FFFFFF" w:themeFill="background1"/>
            <w:vAlign w:val="center"/>
          </w:tcPr>
          <w:p w14:paraId="549305B6" w14:textId="41A90362" w:rsidR="00B025CC" w:rsidRDefault="00B025CC" w:rsidP="00B025CC">
            <w:pPr>
              <w:spacing w:after="0"/>
              <w:ind w:left="0" w:firstLine="0"/>
              <w:jc w:val="left"/>
              <w:rPr>
                <w:bCs/>
                <w:sz w:val="20"/>
              </w:rPr>
            </w:pPr>
            <w:r>
              <w:rPr>
                <w:bCs/>
                <w:sz w:val="20"/>
              </w:rPr>
              <w:t>6.1</w:t>
            </w:r>
          </w:p>
        </w:tc>
        <w:tc>
          <w:tcPr>
            <w:tcW w:w="4118" w:type="dxa"/>
            <w:shd w:val="clear" w:color="auto" w:fill="FFFFFF" w:themeFill="background1"/>
          </w:tcPr>
          <w:p w14:paraId="34F721AB" w14:textId="77777777" w:rsidR="00B025CC" w:rsidRDefault="00B025CC" w:rsidP="00B025CC">
            <w:pPr>
              <w:spacing w:after="0"/>
              <w:jc w:val="left"/>
              <w:rPr>
                <w:sz w:val="20"/>
              </w:rPr>
            </w:pPr>
            <w:r w:rsidRPr="00B025CC">
              <w:rPr>
                <w:sz w:val="20"/>
              </w:rPr>
              <w:t>Sensibilisation sur les IST et le VIH/SIDA</w:t>
            </w:r>
          </w:p>
          <w:p w14:paraId="274EF2AE" w14:textId="52433E2F" w:rsidR="00470F7C" w:rsidRPr="008867A6" w:rsidRDefault="00470F7C" w:rsidP="00B025CC">
            <w:pPr>
              <w:spacing w:after="0"/>
              <w:jc w:val="left"/>
              <w:rPr>
                <w:sz w:val="20"/>
              </w:rPr>
            </w:pPr>
          </w:p>
        </w:tc>
        <w:tc>
          <w:tcPr>
            <w:tcW w:w="1020" w:type="dxa"/>
            <w:shd w:val="clear" w:color="auto" w:fill="FFFFFF" w:themeFill="background1"/>
            <w:vAlign w:val="center"/>
          </w:tcPr>
          <w:p w14:paraId="1AC0D5B4" w14:textId="2121F323" w:rsidR="00B025CC" w:rsidRDefault="00B025CC" w:rsidP="00B025CC">
            <w:pPr>
              <w:spacing w:after="0"/>
              <w:ind w:left="0" w:firstLine="0"/>
              <w:rPr>
                <w:bCs/>
                <w:sz w:val="20"/>
              </w:rPr>
            </w:pPr>
            <w:r>
              <w:rPr>
                <w:bCs/>
                <w:sz w:val="20"/>
              </w:rPr>
              <w:t>FF</w:t>
            </w:r>
          </w:p>
        </w:tc>
        <w:tc>
          <w:tcPr>
            <w:tcW w:w="948" w:type="dxa"/>
            <w:shd w:val="clear" w:color="auto" w:fill="FFFFFF" w:themeFill="background1"/>
            <w:vAlign w:val="center"/>
          </w:tcPr>
          <w:p w14:paraId="72D321B8" w14:textId="2E794B8D" w:rsidR="00B025CC" w:rsidRDefault="00B025CC" w:rsidP="00B025CC">
            <w:pPr>
              <w:spacing w:after="0"/>
              <w:ind w:left="0" w:firstLine="0"/>
              <w:rPr>
                <w:bCs/>
                <w:sz w:val="20"/>
              </w:rPr>
            </w:pPr>
            <w:r>
              <w:rPr>
                <w:bCs/>
                <w:sz w:val="20"/>
              </w:rPr>
              <w:t>5</w:t>
            </w:r>
          </w:p>
        </w:tc>
        <w:tc>
          <w:tcPr>
            <w:tcW w:w="968" w:type="dxa"/>
            <w:vAlign w:val="center"/>
          </w:tcPr>
          <w:p w14:paraId="28C18D0D" w14:textId="77777777" w:rsidR="00B025CC" w:rsidRPr="009C1418" w:rsidRDefault="00B025CC" w:rsidP="00B025CC">
            <w:pPr>
              <w:spacing w:after="0"/>
              <w:ind w:left="0" w:firstLine="0"/>
              <w:jc w:val="left"/>
              <w:rPr>
                <w:bCs/>
                <w:sz w:val="20"/>
              </w:rPr>
            </w:pPr>
          </w:p>
        </w:tc>
        <w:tc>
          <w:tcPr>
            <w:tcW w:w="1114" w:type="dxa"/>
            <w:vAlign w:val="center"/>
          </w:tcPr>
          <w:p w14:paraId="244CF348" w14:textId="77777777" w:rsidR="00B025CC" w:rsidRPr="009C1418" w:rsidRDefault="00B025CC" w:rsidP="00B025CC">
            <w:pPr>
              <w:spacing w:after="0"/>
              <w:ind w:left="0" w:firstLine="0"/>
              <w:jc w:val="left"/>
              <w:rPr>
                <w:bCs/>
                <w:sz w:val="20"/>
              </w:rPr>
            </w:pPr>
          </w:p>
        </w:tc>
      </w:tr>
      <w:tr w:rsidR="00D96D1B" w:rsidRPr="009C1418" w14:paraId="144A9DBA" w14:textId="77777777" w:rsidTr="006672E4">
        <w:tc>
          <w:tcPr>
            <w:tcW w:w="616" w:type="dxa"/>
            <w:shd w:val="clear" w:color="auto" w:fill="FFFFFF" w:themeFill="background1"/>
            <w:vAlign w:val="center"/>
          </w:tcPr>
          <w:p w14:paraId="250CF599" w14:textId="759B21B5" w:rsidR="00D96D1B" w:rsidRDefault="00D96D1B" w:rsidP="00D96D1B">
            <w:pPr>
              <w:spacing w:after="0"/>
              <w:ind w:left="0" w:firstLine="0"/>
              <w:jc w:val="left"/>
              <w:rPr>
                <w:bCs/>
                <w:sz w:val="20"/>
              </w:rPr>
            </w:pPr>
            <w:r>
              <w:rPr>
                <w:bCs/>
                <w:sz w:val="20"/>
              </w:rPr>
              <w:t>6.2</w:t>
            </w:r>
          </w:p>
        </w:tc>
        <w:tc>
          <w:tcPr>
            <w:tcW w:w="4118" w:type="dxa"/>
            <w:shd w:val="clear" w:color="auto" w:fill="FFFFFF" w:themeFill="background1"/>
            <w:vAlign w:val="center"/>
          </w:tcPr>
          <w:p w14:paraId="7D36A966" w14:textId="3BA386C0" w:rsidR="00D96D1B" w:rsidRPr="008867A6" w:rsidRDefault="00D96D1B" w:rsidP="00D96D1B">
            <w:pPr>
              <w:spacing w:after="0"/>
              <w:jc w:val="left"/>
              <w:rPr>
                <w:sz w:val="20"/>
              </w:rPr>
            </w:pPr>
            <w:r w:rsidRPr="000809BA">
              <w:rPr>
                <w:sz w:val="20"/>
              </w:rPr>
              <w:t>Elaboration d’une notice Hygiène, sécurité et</w:t>
            </w:r>
            <w:r>
              <w:rPr>
                <w:sz w:val="20"/>
              </w:rPr>
              <w:t xml:space="preserve"> </w:t>
            </w:r>
            <w:r w:rsidRPr="000809BA">
              <w:rPr>
                <w:sz w:val="20"/>
              </w:rPr>
              <w:t>Santé</w:t>
            </w:r>
            <w:r>
              <w:rPr>
                <w:sz w:val="20"/>
              </w:rPr>
              <w:t xml:space="preserve"> </w:t>
            </w:r>
            <w:r w:rsidRPr="000809BA">
              <w:rPr>
                <w:sz w:val="20"/>
              </w:rPr>
              <w:t>Couverture sanitaire</w:t>
            </w:r>
          </w:p>
        </w:tc>
        <w:tc>
          <w:tcPr>
            <w:tcW w:w="1020" w:type="dxa"/>
            <w:shd w:val="clear" w:color="auto" w:fill="FFFFFF" w:themeFill="background1"/>
            <w:vAlign w:val="center"/>
          </w:tcPr>
          <w:p w14:paraId="350D9E73" w14:textId="4083804A" w:rsidR="00D96D1B" w:rsidRDefault="00D96D1B" w:rsidP="00D96D1B">
            <w:pPr>
              <w:spacing w:after="0"/>
              <w:ind w:left="0" w:firstLine="0"/>
              <w:jc w:val="left"/>
              <w:rPr>
                <w:bCs/>
                <w:sz w:val="20"/>
              </w:rPr>
            </w:pPr>
            <w:r>
              <w:rPr>
                <w:bCs/>
                <w:sz w:val="20"/>
              </w:rPr>
              <w:t>FF</w:t>
            </w:r>
          </w:p>
        </w:tc>
        <w:tc>
          <w:tcPr>
            <w:tcW w:w="948" w:type="dxa"/>
            <w:shd w:val="clear" w:color="auto" w:fill="FFFFFF" w:themeFill="background1"/>
            <w:vAlign w:val="center"/>
          </w:tcPr>
          <w:p w14:paraId="668466EF" w14:textId="1551636D" w:rsidR="00D96D1B" w:rsidRDefault="00A7320B" w:rsidP="00D96D1B">
            <w:pPr>
              <w:spacing w:after="0"/>
              <w:ind w:left="0" w:firstLine="0"/>
              <w:rPr>
                <w:bCs/>
                <w:sz w:val="20"/>
              </w:rPr>
            </w:pPr>
            <w:r>
              <w:rPr>
                <w:bCs/>
                <w:sz w:val="20"/>
              </w:rPr>
              <w:t>1</w:t>
            </w:r>
          </w:p>
        </w:tc>
        <w:tc>
          <w:tcPr>
            <w:tcW w:w="968" w:type="dxa"/>
            <w:vAlign w:val="center"/>
          </w:tcPr>
          <w:p w14:paraId="006DD1C5" w14:textId="77777777" w:rsidR="00D96D1B" w:rsidRPr="009C1418" w:rsidRDefault="00D96D1B" w:rsidP="00D96D1B">
            <w:pPr>
              <w:spacing w:after="0"/>
              <w:ind w:left="0" w:firstLine="0"/>
              <w:jc w:val="left"/>
              <w:rPr>
                <w:bCs/>
                <w:sz w:val="20"/>
              </w:rPr>
            </w:pPr>
          </w:p>
        </w:tc>
        <w:tc>
          <w:tcPr>
            <w:tcW w:w="1114" w:type="dxa"/>
            <w:vAlign w:val="center"/>
          </w:tcPr>
          <w:p w14:paraId="1015181C" w14:textId="77777777" w:rsidR="00D96D1B" w:rsidRPr="009C1418" w:rsidRDefault="00D96D1B" w:rsidP="00D96D1B">
            <w:pPr>
              <w:spacing w:after="0"/>
              <w:ind w:left="0" w:firstLine="0"/>
              <w:jc w:val="left"/>
              <w:rPr>
                <w:bCs/>
                <w:sz w:val="20"/>
              </w:rPr>
            </w:pPr>
          </w:p>
        </w:tc>
      </w:tr>
      <w:tr w:rsidR="00D96D1B" w:rsidRPr="009C1418" w14:paraId="21DC36B7" w14:textId="77777777" w:rsidTr="006672E4">
        <w:tc>
          <w:tcPr>
            <w:tcW w:w="616" w:type="dxa"/>
            <w:shd w:val="clear" w:color="auto" w:fill="FFFFFF" w:themeFill="background1"/>
            <w:vAlign w:val="center"/>
          </w:tcPr>
          <w:p w14:paraId="3ABD3599" w14:textId="2663B69B" w:rsidR="00D96D1B" w:rsidRDefault="00D96D1B" w:rsidP="00D96D1B">
            <w:pPr>
              <w:spacing w:after="0"/>
              <w:ind w:left="0" w:firstLine="0"/>
              <w:jc w:val="left"/>
              <w:rPr>
                <w:bCs/>
                <w:sz w:val="20"/>
              </w:rPr>
            </w:pPr>
            <w:r>
              <w:rPr>
                <w:bCs/>
                <w:sz w:val="20"/>
              </w:rPr>
              <w:t>6.3</w:t>
            </w:r>
          </w:p>
        </w:tc>
        <w:tc>
          <w:tcPr>
            <w:tcW w:w="4118" w:type="dxa"/>
            <w:shd w:val="clear" w:color="auto" w:fill="FFFFFF" w:themeFill="background1"/>
            <w:vAlign w:val="center"/>
          </w:tcPr>
          <w:p w14:paraId="07BE0B0C" w14:textId="7E2601C9" w:rsidR="00D96D1B" w:rsidRPr="008867A6" w:rsidRDefault="00D96D1B" w:rsidP="00D96D1B">
            <w:pPr>
              <w:spacing w:after="0"/>
              <w:jc w:val="left"/>
              <w:rPr>
                <w:sz w:val="20"/>
              </w:rPr>
            </w:pPr>
            <w:r w:rsidRPr="00D96D1B">
              <w:rPr>
                <w:sz w:val="20"/>
              </w:rPr>
              <w:t>Dotation du personnel d’Equipement de Protection Individuelle</w:t>
            </w:r>
          </w:p>
        </w:tc>
        <w:tc>
          <w:tcPr>
            <w:tcW w:w="1020" w:type="dxa"/>
            <w:shd w:val="clear" w:color="auto" w:fill="FFFFFF" w:themeFill="background1"/>
            <w:vAlign w:val="center"/>
          </w:tcPr>
          <w:p w14:paraId="20BA8462" w14:textId="3CC18050" w:rsidR="00D96D1B" w:rsidRDefault="00D96D1B" w:rsidP="00D96D1B">
            <w:pPr>
              <w:spacing w:after="0"/>
              <w:ind w:left="0" w:firstLine="0"/>
              <w:jc w:val="left"/>
              <w:rPr>
                <w:bCs/>
                <w:sz w:val="20"/>
              </w:rPr>
            </w:pPr>
            <w:r>
              <w:rPr>
                <w:bCs/>
                <w:sz w:val="20"/>
              </w:rPr>
              <w:t>FF</w:t>
            </w:r>
          </w:p>
        </w:tc>
        <w:tc>
          <w:tcPr>
            <w:tcW w:w="948" w:type="dxa"/>
            <w:shd w:val="clear" w:color="auto" w:fill="FFFFFF" w:themeFill="background1"/>
            <w:vAlign w:val="center"/>
          </w:tcPr>
          <w:p w14:paraId="2E755FD8" w14:textId="744E864E" w:rsidR="00D96D1B" w:rsidRDefault="00A7320B" w:rsidP="00D96D1B">
            <w:pPr>
              <w:spacing w:after="0"/>
              <w:ind w:left="0" w:firstLine="0"/>
              <w:rPr>
                <w:bCs/>
                <w:sz w:val="20"/>
              </w:rPr>
            </w:pPr>
            <w:r>
              <w:rPr>
                <w:bCs/>
                <w:sz w:val="20"/>
              </w:rPr>
              <w:t>1</w:t>
            </w:r>
          </w:p>
        </w:tc>
        <w:tc>
          <w:tcPr>
            <w:tcW w:w="968" w:type="dxa"/>
            <w:vAlign w:val="center"/>
          </w:tcPr>
          <w:p w14:paraId="67EABCCE" w14:textId="77777777" w:rsidR="00D96D1B" w:rsidRPr="009C1418" w:rsidRDefault="00D96D1B" w:rsidP="00D96D1B">
            <w:pPr>
              <w:spacing w:after="0"/>
              <w:ind w:left="0" w:firstLine="0"/>
              <w:jc w:val="left"/>
              <w:rPr>
                <w:bCs/>
                <w:sz w:val="20"/>
              </w:rPr>
            </w:pPr>
          </w:p>
        </w:tc>
        <w:tc>
          <w:tcPr>
            <w:tcW w:w="1114" w:type="dxa"/>
            <w:vAlign w:val="center"/>
          </w:tcPr>
          <w:p w14:paraId="335A14C9" w14:textId="77777777" w:rsidR="00D96D1B" w:rsidRPr="009C1418" w:rsidRDefault="00D96D1B" w:rsidP="00D96D1B">
            <w:pPr>
              <w:spacing w:after="0"/>
              <w:ind w:left="0" w:firstLine="0"/>
              <w:jc w:val="left"/>
              <w:rPr>
                <w:bCs/>
                <w:sz w:val="20"/>
              </w:rPr>
            </w:pPr>
          </w:p>
        </w:tc>
      </w:tr>
      <w:tr w:rsidR="00B025CC" w:rsidRPr="009C1418" w14:paraId="6D8B0797" w14:textId="77777777" w:rsidTr="006672E4">
        <w:tc>
          <w:tcPr>
            <w:tcW w:w="616" w:type="dxa"/>
          </w:tcPr>
          <w:p w14:paraId="6C9EE1AC" w14:textId="77777777" w:rsidR="00B025CC" w:rsidRPr="009C1418" w:rsidRDefault="00B025CC" w:rsidP="00B025CC">
            <w:pPr>
              <w:spacing w:after="0"/>
              <w:ind w:left="0" w:firstLine="0"/>
              <w:jc w:val="left"/>
              <w:rPr>
                <w:sz w:val="20"/>
                <w:lang w:eastAsia="en-US"/>
              </w:rPr>
            </w:pPr>
          </w:p>
        </w:tc>
        <w:tc>
          <w:tcPr>
            <w:tcW w:w="4118" w:type="dxa"/>
            <w:vAlign w:val="center"/>
          </w:tcPr>
          <w:p w14:paraId="26448244" w14:textId="001D7E23" w:rsidR="00B025CC" w:rsidRPr="009C1418" w:rsidRDefault="00B025CC" w:rsidP="00B025CC">
            <w:pPr>
              <w:spacing w:after="0"/>
              <w:ind w:left="0" w:firstLine="0"/>
              <w:jc w:val="left"/>
              <w:rPr>
                <w:sz w:val="20"/>
                <w:lang w:eastAsia="en-US"/>
              </w:rPr>
            </w:pPr>
            <w:r w:rsidRPr="009C1418">
              <w:rPr>
                <w:bCs/>
                <w:sz w:val="20"/>
              </w:rPr>
              <w:t xml:space="preserve">MONTANT </w:t>
            </w:r>
            <w:r w:rsidR="00D96D1B" w:rsidRPr="009C1418">
              <w:rPr>
                <w:bCs/>
                <w:sz w:val="20"/>
              </w:rPr>
              <w:t>TOTAL HTVA</w:t>
            </w:r>
          </w:p>
        </w:tc>
        <w:tc>
          <w:tcPr>
            <w:tcW w:w="1020" w:type="dxa"/>
          </w:tcPr>
          <w:p w14:paraId="2D462B11" w14:textId="77777777" w:rsidR="00B025CC" w:rsidRPr="009C1418" w:rsidRDefault="00B025CC" w:rsidP="00B025CC">
            <w:pPr>
              <w:spacing w:after="0"/>
              <w:ind w:left="0" w:firstLine="0"/>
              <w:jc w:val="left"/>
              <w:rPr>
                <w:sz w:val="20"/>
                <w:lang w:eastAsia="en-US"/>
              </w:rPr>
            </w:pPr>
          </w:p>
        </w:tc>
        <w:tc>
          <w:tcPr>
            <w:tcW w:w="948" w:type="dxa"/>
          </w:tcPr>
          <w:p w14:paraId="77EF0623" w14:textId="77777777" w:rsidR="00B025CC" w:rsidRPr="009C1418" w:rsidRDefault="00B025CC" w:rsidP="00B025CC">
            <w:pPr>
              <w:spacing w:after="0"/>
              <w:ind w:left="0" w:firstLine="0"/>
              <w:jc w:val="left"/>
              <w:rPr>
                <w:sz w:val="20"/>
                <w:lang w:eastAsia="en-US"/>
              </w:rPr>
            </w:pPr>
          </w:p>
        </w:tc>
        <w:tc>
          <w:tcPr>
            <w:tcW w:w="968" w:type="dxa"/>
          </w:tcPr>
          <w:p w14:paraId="27CB5A30" w14:textId="77777777" w:rsidR="00B025CC" w:rsidRPr="009C1418" w:rsidRDefault="00B025CC" w:rsidP="00B025CC">
            <w:pPr>
              <w:spacing w:after="0"/>
              <w:ind w:left="0" w:firstLine="0"/>
              <w:jc w:val="left"/>
              <w:rPr>
                <w:sz w:val="20"/>
                <w:lang w:eastAsia="en-US"/>
              </w:rPr>
            </w:pPr>
          </w:p>
        </w:tc>
        <w:tc>
          <w:tcPr>
            <w:tcW w:w="1114" w:type="dxa"/>
          </w:tcPr>
          <w:p w14:paraId="3F4FA573" w14:textId="77777777" w:rsidR="00B025CC" w:rsidRPr="009C1418" w:rsidRDefault="00B025CC" w:rsidP="00B025CC">
            <w:pPr>
              <w:spacing w:after="0"/>
              <w:ind w:left="0" w:firstLine="0"/>
              <w:jc w:val="left"/>
              <w:rPr>
                <w:sz w:val="20"/>
                <w:lang w:eastAsia="en-US"/>
              </w:rPr>
            </w:pPr>
          </w:p>
        </w:tc>
      </w:tr>
      <w:tr w:rsidR="00B025CC" w:rsidRPr="009C1418" w14:paraId="72948545" w14:textId="77777777" w:rsidTr="006672E4">
        <w:tc>
          <w:tcPr>
            <w:tcW w:w="616" w:type="dxa"/>
          </w:tcPr>
          <w:p w14:paraId="09AF0B65" w14:textId="77777777" w:rsidR="00B025CC" w:rsidRPr="009C1418" w:rsidRDefault="00B025CC" w:rsidP="00B025CC">
            <w:pPr>
              <w:spacing w:after="0"/>
              <w:ind w:left="0" w:firstLine="0"/>
              <w:jc w:val="left"/>
              <w:rPr>
                <w:sz w:val="20"/>
                <w:lang w:eastAsia="en-US"/>
              </w:rPr>
            </w:pPr>
          </w:p>
        </w:tc>
        <w:tc>
          <w:tcPr>
            <w:tcW w:w="4118" w:type="dxa"/>
            <w:vAlign w:val="center"/>
          </w:tcPr>
          <w:p w14:paraId="1B54C596" w14:textId="77777777" w:rsidR="00B025CC" w:rsidRPr="009C1418" w:rsidRDefault="00B025CC" w:rsidP="00B025CC">
            <w:pPr>
              <w:spacing w:after="0"/>
              <w:ind w:left="0" w:firstLine="0"/>
              <w:jc w:val="left"/>
              <w:rPr>
                <w:bCs/>
                <w:sz w:val="20"/>
              </w:rPr>
            </w:pPr>
            <w:r w:rsidRPr="009C1418">
              <w:rPr>
                <w:bCs/>
                <w:sz w:val="20"/>
              </w:rPr>
              <w:t>TVA</w:t>
            </w:r>
          </w:p>
        </w:tc>
        <w:tc>
          <w:tcPr>
            <w:tcW w:w="1020" w:type="dxa"/>
          </w:tcPr>
          <w:p w14:paraId="1E2CBF32" w14:textId="77777777" w:rsidR="00B025CC" w:rsidRPr="009C1418" w:rsidRDefault="00B025CC" w:rsidP="00B025CC">
            <w:pPr>
              <w:spacing w:after="0"/>
              <w:ind w:left="0" w:firstLine="0"/>
              <w:jc w:val="left"/>
              <w:rPr>
                <w:sz w:val="20"/>
                <w:lang w:eastAsia="en-US"/>
              </w:rPr>
            </w:pPr>
          </w:p>
        </w:tc>
        <w:tc>
          <w:tcPr>
            <w:tcW w:w="948" w:type="dxa"/>
          </w:tcPr>
          <w:p w14:paraId="35AFA161" w14:textId="77777777" w:rsidR="00B025CC" w:rsidRPr="009C1418" w:rsidRDefault="00B025CC" w:rsidP="00B025CC">
            <w:pPr>
              <w:spacing w:after="0"/>
              <w:ind w:left="0" w:firstLine="0"/>
              <w:jc w:val="left"/>
              <w:rPr>
                <w:sz w:val="20"/>
                <w:lang w:eastAsia="en-US"/>
              </w:rPr>
            </w:pPr>
          </w:p>
        </w:tc>
        <w:tc>
          <w:tcPr>
            <w:tcW w:w="968" w:type="dxa"/>
          </w:tcPr>
          <w:p w14:paraId="2DCED344" w14:textId="77777777" w:rsidR="00B025CC" w:rsidRPr="009C1418" w:rsidRDefault="00B025CC" w:rsidP="00B025CC">
            <w:pPr>
              <w:spacing w:after="0"/>
              <w:ind w:left="0" w:firstLine="0"/>
              <w:jc w:val="left"/>
              <w:rPr>
                <w:sz w:val="20"/>
                <w:lang w:eastAsia="en-US"/>
              </w:rPr>
            </w:pPr>
          </w:p>
        </w:tc>
        <w:tc>
          <w:tcPr>
            <w:tcW w:w="1114" w:type="dxa"/>
          </w:tcPr>
          <w:p w14:paraId="728BA70D" w14:textId="77777777" w:rsidR="00B025CC" w:rsidRPr="009C1418" w:rsidRDefault="00B025CC" w:rsidP="00B025CC">
            <w:pPr>
              <w:spacing w:after="0"/>
              <w:ind w:left="0" w:firstLine="0"/>
              <w:jc w:val="left"/>
              <w:rPr>
                <w:sz w:val="20"/>
                <w:lang w:eastAsia="en-US"/>
              </w:rPr>
            </w:pPr>
          </w:p>
        </w:tc>
      </w:tr>
      <w:tr w:rsidR="00B025CC" w:rsidRPr="009C1418" w14:paraId="4FC7CC5C" w14:textId="77777777" w:rsidTr="006672E4">
        <w:tc>
          <w:tcPr>
            <w:tcW w:w="616" w:type="dxa"/>
          </w:tcPr>
          <w:p w14:paraId="46C9A978" w14:textId="77777777" w:rsidR="00B025CC" w:rsidRPr="009C1418" w:rsidRDefault="00B025CC" w:rsidP="00B025CC">
            <w:pPr>
              <w:spacing w:after="0"/>
              <w:ind w:left="0" w:firstLine="0"/>
              <w:jc w:val="left"/>
              <w:rPr>
                <w:sz w:val="20"/>
                <w:lang w:eastAsia="en-US"/>
              </w:rPr>
            </w:pPr>
          </w:p>
        </w:tc>
        <w:tc>
          <w:tcPr>
            <w:tcW w:w="4118" w:type="dxa"/>
            <w:vAlign w:val="center"/>
          </w:tcPr>
          <w:p w14:paraId="41772EBF" w14:textId="77777777" w:rsidR="00B025CC" w:rsidRPr="009C1418" w:rsidRDefault="00B025CC" w:rsidP="00B025CC">
            <w:pPr>
              <w:spacing w:after="0"/>
              <w:ind w:left="0" w:firstLine="0"/>
              <w:jc w:val="left"/>
              <w:rPr>
                <w:bCs/>
                <w:sz w:val="20"/>
              </w:rPr>
            </w:pPr>
            <w:r w:rsidRPr="009C1418">
              <w:rPr>
                <w:bCs/>
                <w:sz w:val="20"/>
              </w:rPr>
              <w:t>Total Général TTC</w:t>
            </w:r>
          </w:p>
        </w:tc>
        <w:tc>
          <w:tcPr>
            <w:tcW w:w="1020" w:type="dxa"/>
          </w:tcPr>
          <w:p w14:paraId="14491A2D" w14:textId="77777777" w:rsidR="00B025CC" w:rsidRPr="009C1418" w:rsidRDefault="00B025CC" w:rsidP="00B025CC">
            <w:pPr>
              <w:spacing w:after="0"/>
              <w:ind w:left="0" w:firstLine="0"/>
              <w:jc w:val="left"/>
              <w:rPr>
                <w:sz w:val="20"/>
                <w:lang w:eastAsia="en-US"/>
              </w:rPr>
            </w:pPr>
          </w:p>
        </w:tc>
        <w:tc>
          <w:tcPr>
            <w:tcW w:w="948" w:type="dxa"/>
          </w:tcPr>
          <w:p w14:paraId="537DDA15" w14:textId="77777777" w:rsidR="00B025CC" w:rsidRPr="009C1418" w:rsidRDefault="00B025CC" w:rsidP="00B025CC">
            <w:pPr>
              <w:spacing w:after="0"/>
              <w:ind w:left="0" w:firstLine="0"/>
              <w:jc w:val="left"/>
              <w:rPr>
                <w:sz w:val="20"/>
                <w:lang w:eastAsia="en-US"/>
              </w:rPr>
            </w:pPr>
          </w:p>
        </w:tc>
        <w:tc>
          <w:tcPr>
            <w:tcW w:w="968" w:type="dxa"/>
          </w:tcPr>
          <w:p w14:paraId="1E243824" w14:textId="77777777" w:rsidR="00B025CC" w:rsidRPr="009C1418" w:rsidRDefault="00B025CC" w:rsidP="00B025CC">
            <w:pPr>
              <w:spacing w:after="0"/>
              <w:ind w:left="0" w:firstLine="0"/>
              <w:jc w:val="left"/>
              <w:rPr>
                <w:sz w:val="20"/>
                <w:lang w:eastAsia="en-US"/>
              </w:rPr>
            </w:pPr>
          </w:p>
        </w:tc>
        <w:tc>
          <w:tcPr>
            <w:tcW w:w="1114" w:type="dxa"/>
          </w:tcPr>
          <w:p w14:paraId="6E8A6EC1" w14:textId="77777777" w:rsidR="00B025CC" w:rsidRPr="009C1418" w:rsidRDefault="00B025CC" w:rsidP="00B025CC">
            <w:pPr>
              <w:spacing w:after="0"/>
              <w:ind w:left="0" w:firstLine="0"/>
              <w:jc w:val="left"/>
              <w:rPr>
                <w:sz w:val="20"/>
                <w:lang w:eastAsia="en-US"/>
              </w:rPr>
            </w:pPr>
          </w:p>
        </w:tc>
      </w:tr>
    </w:tbl>
    <w:p w14:paraId="3EF7D524" w14:textId="77777777" w:rsidR="00414BAC" w:rsidRDefault="00414BAC" w:rsidP="00414BAC">
      <w:pPr>
        <w:spacing w:after="0"/>
        <w:ind w:left="0" w:firstLine="0"/>
        <w:jc w:val="left"/>
        <w:rPr>
          <w:b/>
          <w:szCs w:val="24"/>
          <w:lang w:eastAsia="en-US"/>
        </w:rPr>
      </w:pPr>
    </w:p>
    <w:p w14:paraId="28DFECC5" w14:textId="77777777" w:rsidR="00D96D1B" w:rsidRPr="00A7320B" w:rsidRDefault="00D96D1B" w:rsidP="00D96D1B">
      <w:pPr>
        <w:pStyle w:val="S1-Header2"/>
        <w:numPr>
          <w:ilvl w:val="0"/>
          <w:numId w:val="0"/>
        </w:numPr>
        <w:ind w:left="720" w:hanging="720"/>
        <w:rPr>
          <w:b w:val="0"/>
          <w:lang w:val="fr-FR"/>
        </w:rPr>
      </w:pPr>
      <w:r w:rsidRPr="00A7320B">
        <w:rPr>
          <w:b w:val="0"/>
          <w:lang w:val="fr-FR"/>
        </w:rPr>
        <w:t>Fait à……………………, le ……………………2021.</w:t>
      </w:r>
    </w:p>
    <w:p w14:paraId="7C8DF849" w14:textId="457B8A4A" w:rsidR="00414BAC" w:rsidRDefault="00414BAC" w:rsidP="006B66E4">
      <w:pPr>
        <w:shd w:val="clear" w:color="auto" w:fill="FFFFFF" w:themeFill="background1"/>
        <w:spacing w:after="0"/>
        <w:ind w:left="0" w:firstLine="0"/>
        <w:jc w:val="center"/>
        <w:rPr>
          <w:b/>
          <w:color w:val="00B050"/>
          <w:sz w:val="28"/>
          <w:szCs w:val="28"/>
          <w:lang w:eastAsia="en-US"/>
        </w:rPr>
      </w:pPr>
    </w:p>
    <w:p w14:paraId="3664B627" w14:textId="77777777" w:rsidR="006B66E4" w:rsidRPr="001124FC" w:rsidRDefault="006B66E4" w:rsidP="006B66E4">
      <w:pPr>
        <w:pStyle w:val="S1-Header2"/>
        <w:numPr>
          <w:ilvl w:val="0"/>
          <w:numId w:val="0"/>
        </w:numPr>
        <w:ind w:left="142" w:hanging="11"/>
        <w:rPr>
          <w:b w:val="0"/>
          <w:lang w:val="fr-FR"/>
        </w:rPr>
      </w:pPr>
      <w:r w:rsidRPr="001124FC">
        <w:rPr>
          <w:b w:val="0"/>
          <w:lang w:val="fr-FR"/>
        </w:rPr>
        <w:t>Arrêter le présent devis à la somme de ………………………francs CFA toutes taxes comprises</w:t>
      </w:r>
    </w:p>
    <w:p w14:paraId="50ACC3DE" w14:textId="77777777" w:rsidR="006B66E4" w:rsidRPr="001124FC" w:rsidRDefault="006B66E4" w:rsidP="006B66E4">
      <w:pPr>
        <w:spacing w:after="0"/>
        <w:ind w:left="426" w:hanging="426"/>
        <w:jc w:val="left"/>
        <w:rPr>
          <w:b/>
          <w:szCs w:val="24"/>
          <w:lang w:eastAsia="en-US"/>
        </w:rPr>
      </w:pPr>
      <w:r w:rsidRPr="001124FC">
        <w:rPr>
          <w:b/>
          <w:szCs w:val="24"/>
          <w:lang w:eastAsia="en-US"/>
        </w:rPr>
        <w:t xml:space="preserve">                         </w:t>
      </w:r>
    </w:p>
    <w:p w14:paraId="0EE3035A" w14:textId="77777777" w:rsidR="006B66E4" w:rsidRPr="001124FC" w:rsidRDefault="006B66E4" w:rsidP="006B66E4">
      <w:pPr>
        <w:spacing w:after="0"/>
        <w:ind w:left="426" w:hanging="426"/>
        <w:jc w:val="left"/>
        <w:rPr>
          <w:b/>
          <w:szCs w:val="24"/>
          <w:lang w:eastAsia="en-US"/>
        </w:rPr>
      </w:pPr>
      <w:r w:rsidRPr="001124FC">
        <w:rPr>
          <w:b/>
          <w:szCs w:val="24"/>
          <w:lang w:eastAsia="en-US"/>
        </w:rPr>
        <w:t xml:space="preserve">                                                                                                    Le Soumissionnaire</w:t>
      </w:r>
    </w:p>
    <w:p w14:paraId="5D26182E" w14:textId="0D54F24C" w:rsidR="000F38EC" w:rsidRDefault="000F38EC" w:rsidP="002D0933">
      <w:pPr>
        <w:shd w:val="clear" w:color="auto" w:fill="FFFFFF" w:themeFill="background1"/>
        <w:rPr>
          <w:b/>
          <w:color w:val="000000" w:themeColor="text1"/>
          <w:sz w:val="28"/>
          <w:szCs w:val="28"/>
          <w:lang w:eastAsia="en-US"/>
        </w:rPr>
      </w:pPr>
    </w:p>
    <w:p w14:paraId="1F661FBD" w14:textId="77777777" w:rsidR="000F38EC" w:rsidRDefault="000F38EC" w:rsidP="002D0933">
      <w:pPr>
        <w:shd w:val="clear" w:color="auto" w:fill="FFFFFF" w:themeFill="background1"/>
        <w:rPr>
          <w:b/>
          <w:color w:val="000000" w:themeColor="text1"/>
          <w:sz w:val="28"/>
          <w:szCs w:val="28"/>
          <w:lang w:eastAsia="en-US"/>
        </w:rPr>
      </w:pPr>
    </w:p>
    <w:p w14:paraId="06662DC9" w14:textId="3CD484F2" w:rsidR="006B66E4" w:rsidRPr="002D0933" w:rsidRDefault="006B66E4" w:rsidP="002D0933">
      <w:pPr>
        <w:shd w:val="clear" w:color="auto" w:fill="FFFFFF" w:themeFill="background1"/>
        <w:rPr>
          <w:b/>
          <w:color w:val="000000" w:themeColor="text1"/>
          <w:sz w:val="28"/>
          <w:szCs w:val="28"/>
          <w:lang w:eastAsia="en-US"/>
        </w:rPr>
      </w:pPr>
      <w:r w:rsidRPr="00300AC8">
        <w:rPr>
          <w:b/>
          <w:color w:val="000000" w:themeColor="text1"/>
          <w:sz w:val="28"/>
          <w:szCs w:val="28"/>
          <w:lang w:eastAsia="en-US"/>
        </w:rPr>
        <w:br w:type="page"/>
      </w:r>
    </w:p>
    <w:p w14:paraId="18F73696" w14:textId="5AF2ED0C" w:rsidR="006B66E4" w:rsidRPr="00ED3B37" w:rsidRDefault="006B66E4" w:rsidP="006B66E4">
      <w:pPr>
        <w:pStyle w:val="S1-Header2"/>
        <w:numPr>
          <w:ilvl w:val="0"/>
          <w:numId w:val="0"/>
        </w:numPr>
        <w:shd w:val="clear" w:color="auto" w:fill="BFBFBF" w:themeFill="background1" w:themeFillShade="BF"/>
        <w:spacing w:after="0"/>
        <w:jc w:val="center"/>
        <w:rPr>
          <w:rFonts w:ascii="Arial Narrow" w:hAnsi="Arial Narrow"/>
          <w:sz w:val="28"/>
          <w:szCs w:val="28"/>
          <w:lang w:val="fr-FR" w:eastAsia="fr-FR"/>
        </w:rPr>
      </w:pPr>
      <w:r w:rsidRPr="00ED3B37">
        <w:rPr>
          <w:rFonts w:ascii="Arial Narrow" w:hAnsi="Arial Narrow"/>
          <w:sz w:val="28"/>
          <w:szCs w:val="28"/>
          <w:lang w:val="fr-FR" w:eastAsia="fr-FR"/>
        </w:rPr>
        <w:lastRenderedPageBreak/>
        <w:t>Travaux d’</w:t>
      </w:r>
      <w:proofErr w:type="spellStart"/>
      <w:r w:rsidRPr="00ED3B37">
        <w:rPr>
          <w:rFonts w:ascii="Arial Narrow" w:hAnsi="Arial Narrow"/>
          <w:sz w:val="28"/>
          <w:szCs w:val="28"/>
          <w:lang w:val="fr-FR" w:eastAsia="fr-FR"/>
        </w:rPr>
        <w:t>amenagement</w:t>
      </w:r>
      <w:proofErr w:type="spellEnd"/>
      <w:r w:rsidRPr="00ED3B37">
        <w:rPr>
          <w:rFonts w:ascii="Arial Narrow" w:hAnsi="Arial Narrow"/>
          <w:sz w:val="28"/>
          <w:szCs w:val="28"/>
          <w:lang w:val="fr-FR" w:eastAsia="fr-FR"/>
        </w:rPr>
        <w:t xml:space="preserve"> hydro agricole du bas fond de </w:t>
      </w:r>
      <w:proofErr w:type="spellStart"/>
      <w:r w:rsidRPr="00ED3B37">
        <w:rPr>
          <w:rFonts w:ascii="Arial Narrow" w:hAnsi="Arial Narrow"/>
          <w:sz w:val="28"/>
          <w:szCs w:val="28"/>
          <w:lang w:val="fr-FR" w:eastAsia="fr-FR"/>
        </w:rPr>
        <w:t>Kissakoro</w:t>
      </w:r>
      <w:proofErr w:type="spellEnd"/>
      <w:r w:rsidRPr="00ED3B37">
        <w:rPr>
          <w:rFonts w:ascii="Arial Narrow" w:hAnsi="Arial Narrow"/>
          <w:sz w:val="28"/>
          <w:szCs w:val="28"/>
          <w:lang w:val="fr-FR" w:eastAsia="fr-FR"/>
        </w:rPr>
        <w:t xml:space="preserve"> (212 ha) et construction d’un magasin de stockage et de conservation d’échalote - commune de </w:t>
      </w:r>
      <w:proofErr w:type="spellStart"/>
      <w:r w:rsidRPr="00ED3B37">
        <w:rPr>
          <w:rFonts w:ascii="Arial Narrow" w:hAnsi="Arial Narrow"/>
          <w:sz w:val="28"/>
          <w:szCs w:val="28"/>
          <w:lang w:val="fr-FR" w:eastAsia="fr-FR"/>
        </w:rPr>
        <w:t>Benkadi</w:t>
      </w:r>
      <w:proofErr w:type="spellEnd"/>
      <w:r w:rsidRPr="00ED3B37">
        <w:rPr>
          <w:rFonts w:ascii="Arial Narrow" w:hAnsi="Arial Narrow"/>
          <w:sz w:val="28"/>
          <w:szCs w:val="28"/>
          <w:lang w:val="fr-FR" w:eastAsia="fr-FR"/>
        </w:rPr>
        <w:t xml:space="preserve"> - Région de Koulikoro</w:t>
      </w:r>
    </w:p>
    <w:p w14:paraId="5EF5E5AB" w14:textId="77777777" w:rsidR="006B66E4" w:rsidRPr="00300AC8" w:rsidRDefault="006B66E4" w:rsidP="006B66E4">
      <w:pPr>
        <w:rPr>
          <w:rFonts w:ascii="Arial Narrow" w:hAnsi="Arial Narrow"/>
          <w:b/>
          <w:bCs/>
        </w:rPr>
      </w:pPr>
    </w:p>
    <w:p w14:paraId="1A78AE69" w14:textId="77777777" w:rsidR="006B66E4" w:rsidRPr="00300AC8" w:rsidRDefault="006B66E4" w:rsidP="006B66E4">
      <w:pPr>
        <w:jc w:val="center"/>
        <w:rPr>
          <w:rFonts w:ascii="Arial Narrow" w:hAnsi="Arial Narrow"/>
          <w:b/>
          <w:bCs/>
        </w:rPr>
      </w:pPr>
      <w:r w:rsidRPr="00300AC8">
        <w:rPr>
          <w:rFonts w:ascii="Arial Narrow" w:hAnsi="Arial Narrow"/>
          <w:b/>
          <w:bCs/>
        </w:rPr>
        <w:t>CADRE DU DEVIS QUANTITATIF ET ESTIMATIF – RECAPITULATI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5140"/>
        <w:gridCol w:w="3024"/>
      </w:tblGrid>
      <w:tr w:rsidR="006B66E4" w:rsidRPr="00300AC8" w14:paraId="64478E81" w14:textId="77777777" w:rsidTr="00D9767A">
        <w:trPr>
          <w:trHeight w:val="533"/>
        </w:trPr>
        <w:tc>
          <w:tcPr>
            <w:tcW w:w="467" w:type="pct"/>
            <w:shd w:val="clear" w:color="auto" w:fill="BFBFBF" w:themeFill="background1" w:themeFillShade="BF"/>
            <w:vAlign w:val="center"/>
          </w:tcPr>
          <w:p w14:paraId="22C7AB18" w14:textId="77777777" w:rsidR="006B66E4" w:rsidRPr="00300AC8" w:rsidRDefault="006B66E4" w:rsidP="006B66E4">
            <w:pPr>
              <w:spacing w:after="0"/>
              <w:ind w:left="0" w:firstLine="0"/>
              <w:rPr>
                <w:rFonts w:ascii="Arial Narrow" w:hAnsi="Arial Narrow"/>
                <w:bCs/>
              </w:rPr>
            </w:pPr>
            <w:r w:rsidRPr="00300AC8">
              <w:rPr>
                <w:rFonts w:ascii="Arial Narrow" w:hAnsi="Arial Narrow"/>
                <w:bCs/>
              </w:rPr>
              <w:t>N°</w:t>
            </w:r>
          </w:p>
        </w:tc>
        <w:tc>
          <w:tcPr>
            <w:tcW w:w="2854" w:type="pct"/>
            <w:shd w:val="clear" w:color="auto" w:fill="BFBFBF" w:themeFill="background1" w:themeFillShade="BF"/>
            <w:vAlign w:val="center"/>
          </w:tcPr>
          <w:p w14:paraId="60FB6CFE" w14:textId="77777777" w:rsidR="006B66E4" w:rsidRPr="00300AC8" w:rsidRDefault="006B66E4" w:rsidP="006B66E4">
            <w:pPr>
              <w:spacing w:after="0"/>
              <w:ind w:left="0" w:firstLine="0"/>
              <w:rPr>
                <w:rFonts w:ascii="Arial Narrow" w:hAnsi="Arial Narrow"/>
                <w:bCs/>
              </w:rPr>
            </w:pPr>
            <w:r w:rsidRPr="00300AC8">
              <w:rPr>
                <w:rFonts w:ascii="Arial Narrow" w:hAnsi="Arial Narrow"/>
                <w:bCs/>
              </w:rPr>
              <w:t>DESIGANTION OUVRAGE</w:t>
            </w:r>
          </w:p>
        </w:tc>
        <w:tc>
          <w:tcPr>
            <w:tcW w:w="1679" w:type="pct"/>
            <w:shd w:val="clear" w:color="auto" w:fill="BFBFBF" w:themeFill="background1" w:themeFillShade="BF"/>
            <w:vAlign w:val="center"/>
          </w:tcPr>
          <w:p w14:paraId="28912BBC" w14:textId="77777777" w:rsidR="006B66E4" w:rsidRPr="00300AC8" w:rsidRDefault="006B66E4" w:rsidP="006B66E4">
            <w:pPr>
              <w:spacing w:after="0"/>
              <w:ind w:left="0" w:firstLine="0"/>
              <w:rPr>
                <w:rFonts w:ascii="Arial Narrow" w:hAnsi="Arial Narrow"/>
                <w:bCs/>
              </w:rPr>
            </w:pPr>
            <w:r w:rsidRPr="00300AC8">
              <w:rPr>
                <w:rFonts w:ascii="Arial Narrow" w:hAnsi="Arial Narrow"/>
                <w:bCs/>
              </w:rPr>
              <w:t>MONTANT EN FCFA TTC</w:t>
            </w:r>
          </w:p>
        </w:tc>
      </w:tr>
      <w:tr w:rsidR="006B66E4" w:rsidRPr="00300AC8" w14:paraId="7E6523D5" w14:textId="77777777" w:rsidTr="00D9767A">
        <w:trPr>
          <w:trHeight w:val="806"/>
        </w:trPr>
        <w:tc>
          <w:tcPr>
            <w:tcW w:w="467" w:type="pct"/>
            <w:vAlign w:val="center"/>
          </w:tcPr>
          <w:p w14:paraId="2832E872" w14:textId="77777777" w:rsidR="006B66E4" w:rsidRPr="00300AC8" w:rsidRDefault="006B66E4" w:rsidP="006B66E4">
            <w:pPr>
              <w:spacing w:after="0"/>
              <w:ind w:left="0" w:firstLine="0"/>
              <w:rPr>
                <w:rFonts w:ascii="Arial Narrow" w:hAnsi="Arial Narrow"/>
                <w:bCs/>
              </w:rPr>
            </w:pPr>
            <w:r w:rsidRPr="00300AC8">
              <w:rPr>
                <w:rFonts w:ascii="Arial Narrow" w:hAnsi="Arial Narrow"/>
                <w:bCs/>
              </w:rPr>
              <w:t>01</w:t>
            </w:r>
          </w:p>
        </w:tc>
        <w:tc>
          <w:tcPr>
            <w:tcW w:w="2854" w:type="pct"/>
            <w:vAlign w:val="center"/>
          </w:tcPr>
          <w:p w14:paraId="440C2160" w14:textId="77777777" w:rsidR="006B66E4" w:rsidRPr="00300AC8" w:rsidRDefault="006B66E4" w:rsidP="006B66E4">
            <w:pPr>
              <w:spacing w:after="0"/>
              <w:ind w:left="0" w:firstLine="0"/>
              <w:rPr>
                <w:rFonts w:ascii="Arial Narrow" w:hAnsi="Arial Narrow"/>
                <w:bCs/>
              </w:rPr>
            </w:pPr>
            <w:r w:rsidRPr="00300AC8">
              <w:rPr>
                <w:rFonts w:ascii="Arial Narrow" w:hAnsi="Arial Narrow"/>
                <w:bCs/>
              </w:rPr>
              <w:t>DIGUE N°01</w:t>
            </w:r>
          </w:p>
        </w:tc>
        <w:tc>
          <w:tcPr>
            <w:tcW w:w="1679" w:type="pct"/>
            <w:vAlign w:val="center"/>
          </w:tcPr>
          <w:p w14:paraId="2069300D" w14:textId="77777777" w:rsidR="006B66E4" w:rsidRPr="00300AC8" w:rsidRDefault="006B66E4" w:rsidP="006B66E4">
            <w:pPr>
              <w:spacing w:after="0"/>
              <w:ind w:left="0" w:firstLine="0"/>
              <w:rPr>
                <w:rFonts w:ascii="Arial Narrow" w:hAnsi="Arial Narrow"/>
                <w:bCs/>
              </w:rPr>
            </w:pPr>
          </w:p>
        </w:tc>
      </w:tr>
      <w:tr w:rsidR="006B66E4" w:rsidRPr="00300AC8" w14:paraId="5B03107E" w14:textId="77777777" w:rsidTr="00D9767A">
        <w:trPr>
          <w:trHeight w:val="846"/>
        </w:trPr>
        <w:tc>
          <w:tcPr>
            <w:tcW w:w="467" w:type="pct"/>
            <w:vAlign w:val="center"/>
          </w:tcPr>
          <w:p w14:paraId="091C9CAA" w14:textId="77777777" w:rsidR="006B66E4" w:rsidRPr="00300AC8" w:rsidRDefault="006B66E4" w:rsidP="006B66E4">
            <w:pPr>
              <w:spacing w:after="0"/>
              <w:ind w:left="0" w:firstLine="0"/>
              <w:rPr>
                <w:rFonts w:ascii="Arial Narrow" w:hAnsi="Arial Narrow"/>
                <w:bCs/>
              </w:rPr>
            </w:pPr>
            <w:r w:rsidRPr="00300AC8">
              <w:rPr>
                <w:rFonts w:ascii="Arial Narrow" w:hAnsi="Arial Narrow"/>
                <w:bCs/>
              </w:rPr>
              <w:t>02</w:t>
            </w:r>
          </w:p>
        </w:tc>
        <w:tc>
          <w:tcPr>
            <w:tcW w:w="2854" w:type="pct"/>
            <w:vAlign w:val="center"/>
          </w:tcPr>
          <w:p w14:paraId="29B2EA05" w14:textId="77777777" w:rsidR="006B66E4" w:rsidRPr="00300AC8" w:rsidRDefault="006B66E4" w:rsidP="006B66E4">
            <w:pPr>
              <w:spacing w:after="0"/>
              <w:ind w:left="0" w:firstLine="0"/>
              <w:rPr>
                <w:rFonts w:ascii="Arial Narrow" w:hAnsi="Arial Narrow"/>
                <w:bCs/>
              </w:rPr>
            </w:pPr>
            <w:r w:rsidRPr="00300AC8">
              <w:rPr>
                <w:rFonts w:ascii="Arial Narrow" w:hAnsi="Arial Narrow"/>
                <w:bCs/>
              </w:rPr>
              <w:t>DIGUE N°02</w:t>
            </w:r>
          </w:p>
        </w:tc>
        <w:tc>
          <w:tcPr>
            <w:tcW w:w="1679" w:type="pct"/>
            <w:vAlign w:val="center"/>
          </w:tcPr>
          <w:p w14:paraId="4FC88780" w14:textId="77777777" w:rsidR="006B66E4" w:rsidRPr="00300AC8" w:rsidRDefault="006B66E4" w:rsidP="006B66E4">
            <w:pPr>
              <w:spacing w:after="0"/>
              <w:ind w:left="0" w:firstLine="0"/>
              <w:rPr>
                <w:rFonts w:ascii="Arial Narrow" w:hAnsi="Arial Narrow"/>
                <w:bCs/>
              </w:rPr>
            </w:pPr>
          </w:p>
        </w:tc>
      </w:tr>
      <w:tr w:rsidR="006B66E4" w:rsidRPr="00300AC8" w14:paraId="6D1F21B3" w14:textId="77777777" w:rsidTr="00D9767A">
        <w:trPr>
          <w:trHeight w:val="844"/>
        </w:trPr>
        <w:tc>
          <w:tcPr>
            <w:tcW w:w="467" w:type="pct"/>
            <w:vAlign w:val="center"/>
          </w:tcPr>
          <w:p w14:paraId="1F9C8732" w14:textId="77777777" w:rsidR="006B66E4" w:rsidRPr="00300AC8" w:rsidRDefault="006B66E4" w:rsidP="006B66E4">
            <w:pPr>
              <w:spacing w:after="0"/>
              <w:ind w:left="0" w:firstLine="0"/>
              <w:rPr>
                <w:rFonts w:ascii="Arial Narrow" w:hAnsi="Arial Narrow"/>
                <w:bCs/>
              </w:rPr>
            </w:pPr>
            <w:r w:rsidRPr="00300AC8">
              <w:rPr>
                <w:rFonts w:ascii="Arial Narrow" w:hAnsi="Arial Narrow"/>
                <w:bCs/>
              </w:rPr>
              <w:t>03</w:t>
            </w:r>
          </w:p>
        </w:tc>
        <w:tc>
          <w:tcPr>
            <w:tcW w:w="2854" w:type="pct"/>
            <w:vAlign w:val="center"/>
          </w:tcPr>
          <w:p w14:paraId="52FB3F56" w14:textId="77777777" w:rsidR="006B66E4" w:rsidRPr="00300AC8" w:rsidRDefault="006B66E4" w:rsidP="006B66E4">
            <w:pPr>
              <w:spacing w:after="0"/>
              <w:ind w:left="0" w:firstLine="0"/>
              <w:rPr>
                <w:rFonts w:ascii="Arial Narrow" w:hAnsi="Arial Narrow"/>
                <w:bCs/>
              </w:rPr>
            </w:pPr>
            <w:r w:rsidRPr="00300AC8">
              <w:rPr>
                <w:rFonts w:ascii="Arial Narrow" w:hAnsi="Arial Narrow"/>
                <w:bCs/>
              </w:rPr>
              <w:t>MAGASIN DE CONSERVATION DE 30T</w:t>
            </w:r>
          </w:p>
        </w:tc>
        <w:tc>
          <w:tcPr>
            <w:tcW w:w="1679" w:type="pct"/>
            <w:vAlign w:val="center"/>
          </w:tcPr>
          <w:p w14:paraId="0BB9AC99" w14:textId="77777777" w:rsidR="006B66E4" w:rsidRPr="00300AC8" w:rsidRDefault="006B66E4" w:rsidP="006B66E4">
            <w:pPr>
              <w:spacing w:after="0"/>
              <w:ind w:left="0" w:firstLine="0"/>
              <w:rPr>
                <w:rFonts w:ascii="Arial Narrow" w:hAnsi="Arial Narrow"/>
                <w:bCs/>
              </w:rPr>
            </w:pPr>
          </w:p>
        </w:tc>
      </w:tr>
      <w:tr w:rsidR="006B66E4" w:rsidRPr="00300AC8" w14:paraId="02839E81" w14:textId="77777777" w:rsidTr="00D9767A">
        <w:trPr>
          <w:trHeight w:val="844"/>
        </w:trPr>
        <w:tc>
          <w:tcPr>
            <w:tcW w:w="467" w:type="pct"/>
            <w:vAlign w:val="center"/>
          </w:tcPr>
          <w:p w14:paraId="76BE6071" w14:textId="1A02B388" w:rsidR="006B66E4" w:rsidRPr="00300AC8" w:rsidRDefault="006B66E4" w:rsidP="006B66E4">
            <w:pPr>
              <w:spacing w:after="0"/>
              <w:ind w:left="0" w:firstLine="0"/>
              <w:rPr>
                <w:rFonts w:ascii="Arial Narrow" w:hAnsi="Arial Narrow"/>
                <w:bCs/>
              </w:rPr>
            </w:pPr>
            <w:r>
              <w:rPr>
                <w:rFonts w:ascii="Arial Narrow" w:hAnsi="Arial Narrow"/>
                <w:bCs/>
              </w:rPr>
              <w:t>04</w:t>
            </w:r>
          </w:p>
        </w:tc>
        <w:tc>
          <w:tcPr>
            <w:tcW w:w="2854" w:type="pct"/>
            <w:vAlign w:val="center"/>
          </w:tcPr>
          <w:p w14:paraId="0086B602" w14:textId="4A3B018C" w:rsidR="006B66E4" w:rsidRPr="00300AC8" w:rsidRDefault="006B66E4" w:rsidP="006B66E4">
            <w:pPr>
              <w:spacing w:after="0"/>
              <w:ind w:left="0" w:firstLine="0"/>
              <w:rPr>
                <w:rFonts w:ascii="Arial Narrow" w:hAnsi="Arial Narrow"/>
                <w:bCs/>
              </w:rPr>
            </w:pPr>
            <w:r>
              <w:rPr>
                <w:rFonts w:ascii="Arial Narrow" w:hAnsi="Arial Narrow"/>
                <w:bCs/>
              </w:rPr>
              <w:t>PGES</w:t>
            </w:r>
          </w:p>
        </w:tc>
        <w:tc>
          <w:tcPr>
            <w:tcW w:w="1679" w:type="pct"/>
            <w:vAlign w:val="center"/>
          </w:tcPr>
          <w:p w14:paraId="4B010E04" w14:textId="77777777" w:rsidR="006B66E4" w:rsidRPr="00300AC8" w:rsidRDefault="006B66E4" w:rsidP="006B66E4">
            <w:pPr>
              <w:spacing w:after="0"/>
              <w:ind w:left="0" w:firstLine="0"/>
              <w:rPr>
                <w:rFonts w:ascii="Arial Narrow" w:hAnsi="Arial Narrow"/>
                <w:bCs/>
              </w:rPr>
            </w:pPr>
          </w:p>
        </w:tc>
      </w:tr>
      <w:tr w:rsidR="006B66E4" w:rsidRPr="00300AC8" w14:paraId="67C039D2" w14:textId="77777777" w:rsidTr="00D9767A">
        <w:trPr>
          <w:trHeight w:val="829"/>
        </w:trPr>
        <w:tc>
          <w:tcPr>
            <w:tcW w:w="467" w:type="pct"/>
            <w:shd w:val="clear" w:color="auto" w:fill="BFBFBF" w:themeFill="background1" w:themeFillShade="BF"/>
            <w:vAlign w:val="center"/>
          </w:tcPr>
          <w:p w14:paraId="5E5CD21A" w14:textId="77777777" w:rsidR="006B66E4" w:rsidRPr="00300AC8" w:rsidRDefault="006B66E4" w:rsidP="006B66E4">
            <w:pPr>
              <w:spacing w:after="0"/>
              <w:ind w:left="0" w:firstLine="0"/>
              <w:rPr>
                <w:rFonts w:ascii="Arial Narrow" w:hAnsi="Arial Narrow"/>
                <w:bCs/>
              </w:rPr>
            </w:pPr>
          </w:p>
        </w:tc>
        <w:tc>
          <w:tcPr>
            <w:tcW w:w="2854" w:type="pct"/>
            <w:shd w:val="clear" w:color="auto" w:fill="BFBFBF" w:themeFill="background1" w:themeFillShade="BF"/>
            <w:vAlign w:val="center"/>
          </w:tcPr>
          <w:p w14:paraId="29F515E0" w14:textId="4A7186E2" w:rsidR="006B66E4" w:rsidRPr="00300AC8" w:rsidRDefault="006B66E4" w:rsidP="006B66E4">
            <w:pPr>
              <w:spacing w:after="0"/>
              <w:ind w:left="0" w:firstLine="0"/>
              <w:rPr>
                <w:rFonts w:ascii="Arial Narrow" w:hAnsi="Arial Narrow"/>
                <w:bCs/>
              </w:rPr>
            </w:pPr>
            <w:r w:rsidRPr="00300AC8">
              <w:rPr>
                <w:rFonts w:ascii="Arial Narrow" w:hAnsi="Arial Narrow"/>
                <w:bCs/>
              </w:rPr>
              <w:t>TOTAL GENERAL</w:t>
            </w:r>
            <w:r w:rsidR="00D77BC6">
              <w:rPr>
                <w:rFonts w:ascii="Arial Narrow" w:hAnsi="Arial Narrow"/>
                <w:bCs/>
              </w:rPr>
              <w:t xml:space="preserve"> TTC</w:t>
            </w:r>
          </w:p>
        </w:tc>
        <w:tc>
          <w:tcPr>
            <w:tcW w:w="1679" w:type="pct"/>
            <w:shd w:val="clear" w:color="auto" w:fill="BFBFBF" w:themeFill="background1" w:themeFillShade="BF"/>
            <w:vAlign w:val="center"/>
          </w:tcPr>
          <w:p w14:paraId="3A54F177" w14:textId="77777777" w:rsidR="006B66E4" w:rsidRPr="00300AC8" w:rsidRDefault="006B66E4" w:rsidP="006B66E4">
            <w:pPr>
              <w:spacing w:after="0"/>
              <w:ind w:left="0" w:firstLine="0"/>
              <w:rPr>
                <w:rFonts w:ascii="Arial Narrow" w:hAnsi="Arial Narrow"/>
                <w:bCs/>
              </w:rPr>
            </w:pPr>
          </w:p>
        </w:tc>
      </w:tr>
    </w:tbl>
    <w:p w14:paraId="54771417" w14:textId="77777777" w:rsidR="006B66E4" w:rsidRDefault="006B66E4" w:rsidP="006B66E4">
      <w:pPr>
        <w:pStyle w:val="S1-Header2"/>
        <w:numPr>
          <w:ilvl w:val="0"/>
          <w:numId w:val="0"/>
        </w:numPr>
        <w:ind w:left="720" w:hanging="720"/>
        <w:rPr>
          <w:b w:val="0"/>
          <w:lang w:val="fr-FR"/>
        </w:rPr>
      </w:pPr>
    </w:p>
    <w:p w14:paraId="774A9849" w14:textId="4BA671DB" w:rsidR="006B66E4" w:rsidRPr="00470F7C" w:rsidRDefault="006B66E4" w:rsidP="006B66E4">
      <w:pPr>
        <w:pStyle w:val="S1-Header2"/>
        <w:numPr>
          <w:ilvl w:val="0"/>
          <w:numId w:val="0"/>
        </w:numPr>
        <w:ind w:left="720" w:hanging="720"/>
        <w:rPr>
          <w:b w:val="0"/>
          <w:lang w:val="fr-FR"/>
        </w:rPr>
      </w:pPr>
      <w:r w:rsidRPr="00470F7C">
        <w:rPr>
          <w:b w:val="0"/>
          <w:lang w:val="fr-FR"/>
        </w:rPr>
        <w:t>Fait à……………………, le ……………………202</w:t>
      </w:r>
      <w:r w:rsidR="00606A49" w:rsidRPr="00470F7C">
        <w:rPr>
          <w:b w:val="0"/>
          <w:lang w:val="fr-FR"/>
        </w:rPr>
        <w:t>1</w:t>
      </w:r>
      <w:r w:rsidRPr="00470F7C">
        <w:rPr>
          <w:b w:val="0"/>
          <w:lang w:val="fr-FR"/>
        </w:rPr>
        <w:t>.</w:t>
      </w:r>
    </w:p>
    <w:p w14:paraId="03C111DF" w14:textId="77777777" w:rsidR="006B66E4" w:rsidRDefault="006B66E4" w:rsidP="006B66E4">
      <w:pPr>
        <w:pStyle w:val="S1-Header2"/>
        <w:numPr>
          <w:ilvl w:val="0"/>
          <w:numId w:val="0"/>
        </w:numPr>
        <w:ind w:left="142" w:hanging="11"/>
        <w:rPr>
          <w:b w:val="0"/>
          <w:lang w:val="fr-FR"/>
        </w:rPr>
      </w:pPr>
      <w:r w:rsidRPr="001124FC">
        <w:rPr>
          <w:b w:val="0"/>
          <w:lang w:val="fr-FR"/>
        </w:rPr>
        <w:t>Arrêter le présent devis à la somme de ………………………francs CFA toutes taxes comprises</w:t>
      </w:r>
      <w:r>
        <w:rPr>
          <w:b w:val="0"/>
          <w:lang w:val="fr-FR"/>
        </w:rPr>
        <w:t>.</w:t>
      </w:r>
    </w:p>
    <w:p w14:paraId="20D75A7A" w14:textId="77777777" w:rsidR="006B66E4" w:rsidRDefault="006B66E4" w:rsidP="006B66E4">
      <w:pPr>
        <w:pStyle w:val="S1-Header2"/>
        <w:numPr>
          <w:ilvl w:val="0"/>
          <w:numId w:val="0"/>
        </w:numPr>
        <w:ind w:left="142" w:hanging="11"/>
        <w:rPr>
          <w:b w:val="0"/>
          <w:lang w:val="fr-FR"/>
        </w:rPr>
      </w:pPr>
    </w:p>
    <w:p w14:paraId="00B6B239" w14:textId="77777777" w:rsidR="006B66E4" w:rsidRPr="00300AC8" w:rsidRDefault="006B66E4" w:rsidP="006B66E4">
      <w:pPr>
        <w:pStyle w:val="S1-Header2"/>
        <w:numPr>
          <w:ilvl w:val="0"/>
          <w:numId w:val="0"/>
        </w:numPr>
        <w:ind w:left="142" w:hanging="11"/>
        <w:jc w:val="right"/>
        <w:rPr>
          <w:lang w:val="fr-FR"/>
        </w:rPr>
      </w:pPr>
      <w:r w:rsidRPr="00300AC8">
        <w:rPr>
          <w:lang w:val="fr-FR"/>
        </w:rPr>
        <w:t>Le Soumissionnaire</w:t>
      </w:r>
    </w:p>
    <w:p w14:paraId="7BDFD526" w14:textId="77777777" w:rsidR="006B66E4" w:rsidRDefault="006B66E4" w:rsidP="006B66E4">
      <w:pPr>
        <w:rPr>
          <w:b/>
          <w:bCs/>
          <w:color w:val="00B050"/>
        </w:rPr>
      </w:pPr>
      <w:r>
        <w:rPr>
          <w:b/>
          <w:bCs/>
          <w:color w:val="00B050"/>
        </w:rPr>
        <w:br w:type="page"/>
      </w:r>
    </w:p>
    <w:p w14:paraId="722BDE68" w14:textId="7A06C2C7" w:rsidR="000359E2" w:rsidRPr="0084432F" w:rsidRDefault="000359E2" w:rsidP="00A53835">
      <w:pPr>
        <w:spacing w:after="0"/>
        <w:ind w:left="0" w:firstLine="0"/>
        <w:jc w:val="center"/>
        <w:rPr>
          <w:b/>
          <w:color w:val="FF0000"/>
          <w:sz w:val="28"/>
          <w:szCs w:val="28"/>
          <w:highlight w:val="yellow"/>
          <w:lang w:eastAsia="en-US"/>
        </w:rPr>
      </w:pPr>
    </w:p>
    <w:p w14:paraId="706B37D0" w14:textId="64A88923" w:rsidR="000359E2" w:rsidRDefault="000359E2" w:rsidP="00A53835">
      <w:pPr>
        <w:spacing w:after="0"/>
        <w:ind w:left="0" w:firstLine="0"/>
        <w:jc w:val="center"/>
        <w:rPr>
          <w:b/>
          <w:color w:val="FF0000"/>
          <w:sz w:val="28"/>
          <w:szCs w:val="28"/>
          <w:highlight w:val="yellow"/>
          <w:lang w:eastAsia="en-US"/>
        </w:rPr>
      </w:pPr>
    </w:p>
    <w:p w14:paraId="30A1ECFE" w14:textId="312C5CF3" w:rsidR="00505189" w:rsidRDefault="00505189" w:rsidP="00A53835">
      <w:pPr>
        <w:spacing w:after="0"/>
        <w:ind w:left="0" w:firstLine="0"/>
        <w:jc w:val="center"/>
        <w:rPr>
          <w:b/>
          <w:color w:val="FF0000"/>
          <w:sz w:val="28"/>
          <w:szCs w:val="28"/>
          <w:highlight w:val="yellow"/>
          <w:lang w:eastAsia="en-US"/>
        </w:rPr>
      </w:pPr>
    </w:p>
    <w:p w14:paraId="0DF69359" w14:textId="5348E949" w:rsidR="00505189" w:rsidRDefault="00505189" w:rsidP="00A53835">
      <w:pPr>
        <w:spacing w:after="0"/>
        <w:ind w:left="0" w:firstLine="0"/>
        <w:jc w:val="center"/>
        <w:rPr>
          <w:b/>
          <w:color w:val="FF0000"/>
          <w:sz w:val="28"/>
          <w:szCs w:val="28"/>
          <w:highlight w:val="yellow"/>
          <w:lang w:eastAsia="en-US"/>
        </w:rPr>
      </w:pPr>
    </w:p>
    <w:p w14:paraId="2F2A7521" w14:textId="4E8296E7" w:rsidR="00505189" w:rsidRDefault="00505189" w:rsidP="00A53835">
      <w:pPr>
        <w:spacing w:after="0"/>
        <w:ind w:left="0" w:firstLine="0"/>
        <w:jc w:val="center"/>
        <w:rPr>
          <w:b/>
          <w:color w:val="FF0000"/>
          <w:sz w:val="28"/>
          <w:szCs w:val="28"/>
          <w:highlight w:val="yellow"/>
          <w:lang w:eastAsia="en-US"/>
        </w:rPr>
      </w:pPr>
    </w:p>
    <w:p w14:paraId="02E3F5C3" w14:textId="555C8624" w:rsidR="00505189" w:rsidRDefault="00505189" w:rsidP="00A53835">
      <w:pPr>
        <w:spacing w:after="0"/>
        <w:ind w:left="0" w:firstLine="0"/>
        <w:jc w:val="center"/>
        <w:rPr>
          <w:b/>
          <w:color w:val="FF0000"/>
          <w:sz w:val="28"/>
          <w:szCs w:val="28"/>
          <w:highlight w:val="yellow"/>
          <w:lang w:eastAsia="en-US"/>
        </w:rPr>
      </w:pPr>
    </w:p>
    <w:p w14:paraId="5992EBCB" w14:textId="267D825C" w:rsidR="00505189" w:rsidRDefault="00505189" w:rsidP="00A53835">
      <w:pPr>
        <w:spacing w:after="0"/>
        <w:ind w:left="0" w:firstLine="0"/>
        <w:jc w:val="center"/>
        <w:rPr>
          <w:b/>
          <w:color w:val="FF0000"/>
          <w:sz w:val="28"/>
          <w:szCs w:val="28"/>
          <w:highlight w:val="yellow"/>
          <w:lang w:eastAsia="en-US"/>
        </w:rPr>
      </w:pPr>
    </w:p>
    <w:p w14:paraId="37FEC715" w14:textId="2A800FAA" w:rsidR="00505189" w:rsidRDefault="00505189" w:rsidP="00A53835">
      <w:pPr>
        <w:spacing w:after="0"/>
        <w:ind w:left="0" w:firstLine="0"/>
        <w:jc w:val="center"/>
        <w:rPr>
          <w:b/>
          <w:color w:val="FF0000"/>
          <w:sz w:val="28"/>
          <w:szCs w:val="28"/>
          <w:highlight w:val="yellow"/>
          <w:lang w:eastAsia="en-US"/>
        </w:rPr>
      </w:pPr>
    </w:p>
    <w:p w14:paraId="0DE5BF68" w14:textId="0DB1D658" w:rsidR="00505189" w:rsidRDefault="00505189" w:rsidP="00A53835">
      <w:pPr>
        <w:spacing w:after="0"/>
        <w:ind w:left="0" w:firstLine="0"/>
        <w:jc w:val="center"/>
        <w:rPr>
          <w:b/>
          <w:color w:val="FF0000"/>
          <w:sz w:val="28"/>
          <w:szCs w:val="28"/>
          <w:highlight w:val="yellow"/>
          <w:lang w:eastAsia="en-US"/>
        </w:rPr>
      </w:pPr>
    </w:p>
    <w:p w14:paraId="7A78960D" w14:textId="77777777" w:rsidR="00505189" w:rsidRPr="0084432F" w:rsidRDefault="00505189" w:rsidP="00A53835">
      <w:pPr>
        <w:spacing w:after="0"/>
        <w:ind w:left="0" w:firstLine="0"/>
        <w:jc w:val="center"/>
        <w:rPr>
          <w:b/>
          <w:color w:val="FF0000"/>
          <w:sz w:val="28"/>
          <w:szCs w:val="28"/>
          <w:highlight w:val="yellow"/>
          <w:lang w:eastAsia="en-US"/>
        </w:rPr>
      </w:pPr>
    </w:p>
    <w:p w14:paraId="585846CC" w14:textId="77777777" w:rsidR="00975066" w:rsidRPr="0084432F" w:rsidRDefault="00975066" w:rsidP="00A53835">
      <w:pPr>
        <w:spacing w:after="0"/>
        <w:ind w:left="0" w:firstLine="0"/>
        <w:jc w:val="center"/>
        <w:rPr>
          <w:b/>
          <w:color w:val="FF0000"/>
          <w:sz w:val="28"/>
          <w:szCs w:val="28"/>
          <w:highlight w:val="yellow"/>
          <w:lang w:eastAsia="en-US"/>
        </w:rPr>
      </w:pPr>
    </w:p>
    <w:p w14:paraId="1267885C" w14:textId="65A12CC7" w:rsidR="00B011F0" w:rsidRPr="002A3661" w:rsidRDefault="00533B04" w:rsidP="00A53835">
      <w:pPr>
        <w:pStyle w:val="00SectionIVSubtitle"/>
        <w:rPr>
          <w:lang w:val="fr-FR"/>
        </w:rPr>
      </w:pPr>
      <w:r w:rsidRPr="002A3661">
        <w:rPr>
          <w:lang w:val="fr-FR"/>
        </w:rPr>
        <w:t xml:space="preserve">2. </w:t>
      </w:r>
      <w:r w:rsidR="000B52DA" w:rsidRPr="002A3661">
        <w:rPr>
          <w:lang w:val="fr-FR"/>
        </w:rPr>
        <w:t>CADRE D</w:t>
      </w:r>
      <w:r w:rsidRPr="002A3661">
        <w:rPr>
          <w:lang w:val="fr-FR"/>
        </w:rPr>
        <w:t>U</w:t>
      </w:r>
      <w:r w:rsidR="000B52DA" w:rsidRPr="002A3661">
        <w:rPr>
          <w:lang w:val="fr-FR"/>
        </w:rPr>
        <w:t xml:space="preserve"> BORDEREAU DES PRIX UNITAIRES</w:t>
      </w:r>
    </w:p>
    <w:p w14:paraId="4B95198C" w14:textId="385E4DEE" w:rsidR="008620EC" w:rsidRPr="0084432F" w:rsidRDefault="008620EC" w:rsidP="00A53835">
      <w:pPr>
        <w:rPr>
          <w:b/>
          <w:color w:val="FF0000"/>
          <w:sz w:val="28"/>
          <w:szCs w:val="28"/>
          <w:lang w:eastAsia="en-US"/>
        </w:rPr>
      </w:pPr>
      <w:r w:rsidRPr="0084432F">
        <w:rPr>
          <w:b/>
          <w:color w:val="FF0000"/>
          <w:sz w:val="28"/>
          <w:szCs w:val="28"/>
          <w:lang w:eastAsia="en-US"/>
        </w:rPr>
        <w:br w:type="page"/>
      </w:r>
    </w:p>
    <w:p w14:paraId="26AADD3B" w14:textId="347CD155" w:rsidR="00C312F3" w:rsidRPr="00C312F3" w:rsidRDefault="00C312F3" w:rsidP="00C312F3">
      <w:pPr>
        <w:pStyle w:val="S1-Header2"/>
        <w:numPr>
          <w:ilvl w:val="0"/>
          <w:numId w:val="0"/>
        </w:numPr>
        <w:shd w:val="clear" w:color="auto" w:fill="D9D9D9" w:themeFill="background1" w:themeFillShade="D9"/>
        <w:jc w:val="center"/>
        <w:rPr>
          <w:lang w:val="fr-FR" w:eastAsia="fr-FR"/>
        </w:rPr>
      </w:pPr>
      <w:r w:rsidRPr="00C312F3">
        <w:rPr>
          <w:lang w:val="fr-FR" w:eastAsia="fr-FR"/>
        </w:rPr>
        <w:lastRenderedPageBreak/>
        <w:t>Travaux d’</w:t>
      </w:r>
      <w:proofErr w:type="spellStart"/>
      <w:r w:rsidRPr="00C312F3">
        <w:rPr>
          <w:lang w:val="fr-FR" w:eastAsia="fr-FR"/>
        </w:rPr>
        <w:t>amenagement</w:t>
      </w:r>
      <w:proofErr w:type="spellEnd"/>
      <w:r w:rsidRPr="00C312F3">
        <w:rPr>
          <w:lang w:val="fr-FR" w:eastAsia="fr-FR"/>
        </w:rPr>
        <w:t xml:space="preserve"> hydro agricole du bas fond de </w:t>
      </w:r>
      <w:proofErr w:type="spellStart"/>
      <w:r w:rsidRPr="00C312F3">
        <w:rPr>
          <w:lang w:val="fr-FR" w:eastAsia="fr-FR"/>
        </w:rPr>
        <w:t>Kissakoro</w:t>
      </w:r>
      <w:proofErr w:type="spellEnd"/>
      <w:r w:rsidRPr="00C312F3">
        <w:rPr>
          <w:lang w:val="fr-FR" w:eastAsia="fr-FR"/>
        </w:rPr>
        <w:t xml:space="preserve"> (212 ha) et construction d’un magasin de stockage et de conservation d’échalote - commune de </w:t>
      </w:r>
      <w:proofErr w:type="spellStart"/>
      <w:r w:rsidRPr="00C312F3">
        <w:rPr>
          <w:lang w:val="fr-FR" w:eastAsia="fr-FR"/>
        </w:rPr>
        <w:t>Benkadi</w:t>
      </w:r>
      <w:proofErr w:type="spellEnd"/>
      <w:r w:rsidRPr="00C312F3">
        <w:rPr>
          <w:lang w:val="fr-FR" w:eastAsia="fr-FR"/>
        </w:rPr>
        <w:t xml:space="preserve"> - Région de Koulikoro.</w:t>
      </w:r>
    </w:p>
    <w:p w14:paraId="03F5DD21" w14:textId="77777777" w:rsidR="00C312F3" w:rsidRPr="00156EEF" w:rsidRDefault="00C312F3" w:rsidP="00C312F3">
      <w:pPr>
        <w:pStyle w:val="Style8"/>
        <w:ind w:left="0" w:firstLine="0"/>
        <w:rPr>
          <w:szCs w:val="28"/>
        </w:rPr>
      </w:pPr>
      <w:r w:rsidRPr="00156EEF">
        <w:rPr>
          <w:szCs w:val="28"/>
        </w:rPr>
        <w:t>OUVRAGE : DIGUE N°01 MUNI DE DEUX DEVERSOIRS</w:t>
      </w:r>
    </w:p>
    <w:tbl>
      <w:tblPr>
        <w:tblW w:w="5000" w:type="pct"/>
        <w:jc w:val="center"/>
        <w:tblCellMar>
          <w:left w:w="70" w:type="dxa"/>
          <w:right w:w="70" w:type="dxa"/>
        </w:tblCellMar>
        <w:tblLook w:val="04A0" w:firstRow="1" w:lastRow="0" w:firstColumn="1" w:lastColumn="0" w:noHBand="0" w:noVBand="1"/>
      </w:tblPr>
      <w:tblGrid>
        <w:gridCol w:w="539"/>
        <w:gridCol w:w="5588"/>
        <w:gridCol w:w="766"/>
        <w:gridCol w:w="1086"/>
        <w:gridCol w:w="950"/>
      </w:tblGrid>
      <w:tr w:rsidR="00C312F3" w:rsidRPr="00156EEF" w14:paraId="0A106535" w14:textId="77777777" w:rsidTr="00713378">
        <w:trPr>
          <w:trHeight w:val="254"/>
          <w:jc w:val="center"/>
        </w:trPr>
        <w:tc>
          <w:tcPr>
            <w:tcW w:w="302" w:type="pct"/>
            <w:tcBorders>
              <w:top w:val="double" w:sz="6" w:space="0" w:color="auto"/>
              <w:left w:val="double" w:sz="6" w:space="0" w:color="auto"/>
              <w:bottom w:val="single" w:sz="8" w:space="0" w:color="auto"/>
              <w:right w:val="single" w:sz="8" w:space="0" w:color="auto"/>
            </w:tcBorders>
            <w:shd w:val="clear" w:color="000000" w:fill="C0C0C0"/>
            <w:vAlign w:val="center"/>
            <w:hideMark/>
          </w:tcPr>
          <w:p w14:paraId="0A30F36A" w14:textId="77777777" w:rsidR="00C312F3" w:rsidRPr="00156EEF" w:rsidRDefault="00C312F3" w:rsidP="009460FF">
            <w:pPr>
              <w:spacing w:after="0"/>
              <w:ind w:left="0" w:firstLine="0"/>
              <w:jc w:val="center"/>
              <w:rPr>
                <w:rFonts w:ascii="Arial" w:hAnsi="Arial" w:cs="Arial"/>
                <w:b/>
                <w:bCs/>
                <w:sz w:val="20"/>
              </w:rPr>
            </w:pPr>
            <w:r w:rsidRPr="00156EEF">
              <w:rPr>
                <w:rFonts w:ascii="Arial" w:hAnsi="Arial" w:cs="Arial"/>
                <w:b/>
                <w:bCs/>
                <w:sz w:val="20"/>
              </w:rPr>
              <w:t>N°</w:t>
            </w:r>
          </w:p>
        </w:tc>
        <w:tc>
          <w:tcPr>
            <w:tcW w:w="3129" w:type="pct"/>
            <w:tcBorders>
              <w:top w:val="double" w:sz="6" w:space="0" w:color="auto"/>
              <w:left w:val="nil"/>
              <w:bottom w:val="single" w:sz="8" w:space="0" w:color="auto"/>
              <w:right w:val="single" w:sz="8" w:space="0" w:color="auto"/>
            </w:tcBorders>
            <w:shd w:val="clear" w:color="000000" w:fill="C0C0C0"/>
            <w:vAlign w:val="center"/>
            <w:hideMark/>
          </w:tcPr>
          <w:p w14:paraId="12F6D45F" w14:textId="77777777" w:rsidR="00C312F3" w:rsidRPr="00156EEF" w:rsidRDefault="00C312F3" w:rsidP="009460FF">
            <w:pPr>
              <w:spacing w:after="0"/>
              <w:ind w:left="0" w:firstLine="0"/>
              <w:jc w:val="center"/>
              <w:rPr>
                <w:rFonts w:ascii="Arial" w:hAnsi="Arial" w:cs="Arial"/>
                <w:b/>
                <w:bCs/>
                <w:sz w:val="20"/>
              </w:rPr>
            </w:pPr>
            <w:r w:rsidRPr="00156EEF">
              <w:rPr>
                <w:rFonts w:ascii="Arial" w:hAnsi="Arial" w:cs="Arial"/>
                <w:b/>
                <w:bCs/>
                <w:sz w:val="20"/>
              </w:rPr>
              <w:t>Désignation des travaux</w:t>
            </w:r>
          </w:p>
        </w:tc>
        <w:tc>
          <w:tcPr>
            <w:tcW w:w="429" w:type="pct"/>
            <w:tcBorders>
              <w:top w:val="double" w:sz="6" w:space="0" w:color="auto"/>
              <w:left w:val="nil"/>
              <w:bottom w:val="single" w:sz="8" w:space="0" w:color="auto"/>
              <w:right w:val="single" w:sz="8" w:space="0" w:color="auto"/>
            </w:tcBorders>
            <w:shd w:val="clear" w:color="000000" w:fill="C0C0C0"/>
            <w:vAlign w:val="center"/>
            <w:hideMark/>
          </w:tcPr>
          <w:p w14:paraId="223DF018" w14:textId="77777777" w:rsidR="00C312F3" w:rsidRPr="00156EEF" w:rsidRDefault="00C312F3" w:rsidP="009460FF">
            <w:pPr>
              <w:spacing w:after="0"/>
              <w:ind w:left="0" w:firstLine="0"/>
              <w:jc w:val="center"/>
              <w:rPr>
                <w:b/>
                <w:bCs/>
                <w:sz w:val="20"/>
              </w:rPr>
            </w:pPr>
            <w:r w:rsidRPr="00156EEF">
              <w:rPr>
                <w:b/>
                <w:bCs/>
                <w:sz w:val="20"/>
              </w:rPr>
              <w:t>Unités</w:t>
            </w:r>
          </w:p>
        </w:tc>
        <w:tc>
          <w:tcPr>
            <w:tcW w:w="1140" w:type="pct"/>
            <w:gridSpan w:val="2"/>
            <w:tcBorders>
              <w:top w:val="double" w:sz="6" w:space="0" w:color="auto"/>
              <w:left w:val="nil"/>
              <w:bottom w:val="single" w:sz="8" w:space="0" w:color="auto"/>
              <w:right w:val="single" w:sz="4" w:space="0" w:color="auto"/>
            </w:tcBorders>
            <w:shd w:val="clear" w:color="000000" w:fill="C0C0C0"/>
            <w:vAlign w:val="center"/>
            <w:hideMark/>
          </w:tcPr>
          <w:p w14:paraId="3D30894F" w14:textId="2FEB8A6A" w:rsidR="00C312F3" w:rsidRPr="00156EEF" w:rsidRDefault="00C312F3" w:rsidP="009460FF">
            <w:pPr>
              <w:spacing w:after="0"/>
              <w:ind w:left="0" w:firstLine="0"/>
              <w:jc w:val="center"/>
              <w:rPr>
                <w:b/>
                <w:bCs/>
                <w:sz w:val="20"/>
              </w:rPr>
            </w:pPr>
            <w:r w:rsidRPr="00156EEF">
              <w:rPr>
                <w:b/>
                <w:bCs/>
                <w:sz w:val="20"/>
              </w:rPr>
              <w:t>Prix unitaires en FCFA TTC</w:t>
            </w:r>
          </w:p>
        </w:tc>
      </w:tr>
      <w:tr w:rsidR="00C312F3" w:rsidRPr="00156EEF" w14:paraId="3FF7E0EC" w14:textId="77777777" w:rsidTr="00713378">
        <w:trPr>
          <w:trHeight w:val="49"/>
          <w:jc w:val="center"/>
        </w:trPr>
        <w:tc>
          <w:tcPr>
            <w:tcW w:w="302" w:type="pct"/>
            <w:tcBorders>
              <w:top w:val="nil"/>
              <w:left w:val="double" w:sz="6" w:space="0" w:color="auto"/>
              <w:bottom w:val="single" w:sz="8" w:space="0" w:color="auto"/>
              <w:right w:val="single" w:sz="8" w:space="0" w:color="auto"/>
            </w:tcBorders>
            <w:shd w:val="clear" w:color="auto" w:fill="auto"/>
            <w:vAlign w:val="center"/>
            <w:hideMark/>
          </w:tcPr>
          <w:p w14:paraId="32075D00" w14:textId="77777777" w:rsidR="00C312F3" w:rsidRPr="00156EEF" w:rsidRDefault="00C312F3" w:rsidP="009460FF">
            <w:pPr>
              <w:spacing w:after="0"/>
              <w:ind w:left="0" w:firstLine="0"/>
              <w:jc w:val="center"/>
              <w:rPr>
                <w:rFonts w:ascii="Arial" w:hAnsi="Arial" w:cs="Arial"/>
                <w:sz w:val="20"/>
              </w:rPr>
            </w:pPr>
            <w:r w:rsidRPr="00156EEF">
              <w:rPr>
                <w:rFonts w:ascii="Arial" w:hAnsi="Arial" w:cs="Arial"/>
                <w:sz w:val="20"/>
              </w:rPr>
              <w:t>I</w:t>
            </w:r>
          </w:p>
        </w:tc>
        <w:tc>
          <w:tcPr>
            <w:tcW w:w="3129" w:type="pct"/>
            <w:tcBorders>
              <w:top w:val="nil"/>
              <w:left w:val="nil"/>
              <w:bottom w:val="single" w:sz="8" w:space="0" w:color="auto"/>
              <w:right w:val="single" w:sz="8" w:space="0" w:color="auto"/>
            </w:tcBorders>
            <w:shd w:val="clear" w:color="auto" w:fill="auto"/>
            <w:vAlign w:val="center"/>
            <w:hideMark/>
          </w:tcPr>
          <w:p w14:paraId="5F878C0F" w14:textId="77777777" w:rsidR="00C312F3" w:rsidRPr="00156EEF" w:rsidRDefault="00C312F3" w:rsidP="009460FF">
            <w:pPr>
              <w:spacing w:after="0"/>
              <w:ind w:left="0" w:firstLine="0"/>
              <w:jc w:val="left"/>
              <w:rPr>
                <w:b/>
                <w:bCs/>
                <w:sz w:val="20"/>
              </w:rPr>
            </w:pPr>
            <w:r w:rsidRPr="00156EEF">
              <w:rPr>
                <w:b/>
                <w:bCs/>
                <w:sz w:val="20"/>
              </w:rPr>
              <w:t>Série I - TRAVAUX PRELIMINAIRES</w:t>
            </w:r>
          </w:p>
        </w:tc>
        <w:tc>
          <w:tcPr>
            <w:tcW w:w="429" w:type="pct"/>
            <w:tcBorders>
              <w:top w:val="nil"/>
              <w:left w:val="nil"/>
              <w:bottom w:val="single" w:sz="8" w:space="0" w:color="auto"/>
              <w:right w:val="single" w:sz="8" w:space="0" w:color="auto"/>
            </w:tcBorders>
            <w:shd w:val="clear" w:color="auto" w:fill="auto"/>
            <w:vAlign w:val="center"/>
            <w:hideMark/>
          </w:tcPr>
          <w:p w14:paraId="6E150B17" w14:textId="77777777" w:rsidR="00C312F3" w:rsidRPr="00156EEF" w:rsidRDefault="00C312F3" w:rsidP="009460FF">
            <w:pPr>
              <w:spacing w:after="0"/>
              <w:ind w:left="0" w:firstLine="0"/>
              <w:jc w:val="center"/>
              <w:rPr>
                <w:sz w:val="20"/>
              </w:rPr>
            </w:pPr>
            <w:r w:rsidRPr="00156EEF">
              <w:rPr>
                <w:sz w:val="20"/>
              </w:rPr>
              <w:t> </w:t>
            </w:r>
          </w:p>
        </w:tc>
        <w:tc>
          <w:tcPr>
            <w:tcW w:w="608" w:type="pct"/>
            <w:tcBorders>
              <w:top w:val="nil"/>
              <w:left w:val="nil"/>
              <w:bottom w:val="single" w:sz="8" w:space="0" w:color="auto"/>
              <w:right w:val="nil"/>
            </w:tcBorders>
            <w:shd w:val="clear" w:color="auto" w:fill="auto"/>
            <w:vAlign w:val="center"/>
            <w:hideMark/>
          </w:tcPr>
          <w:p w14:paraId="385763EC" w14:textId="77777777" w:rsidR="00C312F3" w:rsidRPr="00156EEF" w:rsidRDefault="00C312F3" w:rsidP="009460FF">
            <w:pPr>
              <w:spacing w:after="0"/>
              <w:ind w:left="0" w:firstLine="0"/>
              <w:jc w:val="center"/>
              <w:rPr>
                <w:sz w:val="20"/>
              </w:rPr>
            </w:pPr>
            <w:r w:rsidRPr="00156EEF">
              <w:rPr>
                <w:sz w:val="20"/>
              </w:rPr>
              <w:t>En chiffre </w:t>
            </w:r>
          </w:p>
        </w:tc>
        <w:tc>
          <w:tcPr>
            <w:tcW w:w="53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A1243D" w14:textId="77777777" w:rsidR="00C312F3" w:rsidRPr="00156EEF" w:rsidRDefault="00C312F3" w:rsidP="009460FF">
            <w:pPr>
              <w:spacing w:after="0"/>
              <w:ind w:left="0" w:firstLine="0"/>
              <w:jc w:val="center"/>
              <w:rPr>
                <w:sz w:val="20"/>
              </w:rPr>
            </w:pPr>
            <w:r w:rsidRPr="00156EEF">
              <w:rPr>
                <w:sz w:val="20"/>
              </w:rPr>
              <w:t> En lettre</w:t>
            </w:r>
          </w:p>
        </w:tc>
      </w:tr>
      <w:tr w:rsidR="00C312F3" w:rsidRPr="00156EEF" w14:paraId="6B2EF837" w14:textId="77777777" w:rsidTr="009460FF">
        <w:trPr>
          <w:trHeight w:val="4230"/>
          <w:jc w:val="center"/>
        </w:trPr>
        <w:tc>
          <w:tcPr>
            <w:tcW w:w="302" w:type="pct"/>
            <w:tcBorders>
              <w:top w:val="nil"/>
              <w:left w:val="double" w:sz="6" w:space="0" w:color="auto"/>
              <w:bottom w:val="single" w:sz="8" w:space="0" w:color="auto"/>
              <w:right w:val="single" w:sz="8" w:space="0" w:color="auto"/>
            </w:tcBorders>
            <w:shd w:val="clear" w:color="auto" w:fill="auto"/>
            <w:vAlign w:val="center"/>
            <w:hideMark/>
          </w:tcPr>
          <w:p w14:paraId="237C9062" w14:textId="77777777" w:rsidR="00C312F3" w:rsidRPr="00156EEF" w:rsidRDefault="00C312F3" w:rsidP="009460FF">
            <w:pPr>
              <w:spacing w:after="0"/>
              <w:ind w:left="0" w:firstLine="0"/>
              <w:jc w:val="center"/>
              <w:rPr>
                <w:rFonts w:ascii="Arial" w:hAnsi="Arial" w:cs="Arial"/>
                <w:sz w:val="20"/>
              </w:rPr>
            </w:pPr>
            <w:r w:rsidRPr="00156EEF">
              <w:rPr>
                <w:rFonts w:ascii="Arial" w:hAnsi="Arial" w:cs="Arial"/>
                <w:sz w:val="20"/>
              </w:rPr>
              <w:t>1.1</w:t>
            </w:r>
          </w:p>
        </w:tc>
        <w:tc>
          <w:tcPr>
            <w:tcW w:w="3129" w:type="pct"/>
            <w:tcBorders>
              <w:top w:val="nil"/>
              <w:left w:val="nil"/>
              <w:bottom w:val="single" w:sz="8" w:space="0" w:color="auto"/>
              <w:right w:val="single" w:sz="8" w:space="0" w:color="auto"/>
            </w:tcBorders>
            <w:shd w:val="clear" w:color="auto" w:fill="auto"/>
            <w:hideMark/>
          </w:tcPr>
          <w:p w14:paraId="7CBBC07C" w14:textId="77777777" w:rsidR="00C312F3" w:rsidRPr="00156EEF" w:rsidRDefault="00C312F3" w:rsidP="009460FF">
            <w:pPr>
              <w:spacing w:after="0"/>
              <w:ind w:left="0" w:firstLine="0"/>
              <w:jc w:val="left"/>
              <w:rPr>
                <w:sz w:val="18"/>
                <w:szCs w:val="18"/>
              </w:rPr>
            </w:pPr>
            <w:r w:rsidRPr="00156EEF">
              <w:rPr>
                <w:b/>
                <w:bCs/>
                <w:sz w:val="20"/>
              </w:rPr>
              <w:t xml:space="preserve">Installation et replis du chantier                                                                                                                                                   </w:t>
            </w:r>
            <w:r w:rsidRPr="00156EEF">
              <w:rPr>
                <w:sz w:val="18"/>
                <w:szCs w:val="18"/>
              </w:rPr>
              <w:t>Le prix rémunère les frais d'amené et de repli des matériels, matériaux et personnel qualifié. Ce prix comprend aussi :</w:t>
            </w:r>
            <w:r w:rsidRPr="00156EEF">
              <w:rPr>
                <w:sz w:val="18"/>
                <w:szCs w:val="18"/>
              </w:rPr>
              <w:br/>
              <w:t>- La fourniture des assurances nécessaires à l’exécution des travaux,</w:t>
            </w:r>
            <w:r w:rsidRPr="00156EEF">
              <w:rPr>
                <w:sz w:val="18"/>
                <w:szCs w:val="18"/>
              </w:rPr>
              <w:br/>
              <w:t>- L’élaboration des plans d’exécution des ouvrages,</w:t>
            </w:r>
            <w:r w:rsidRPr="00156EEF">
              <w:rPr>
                <w:sz w:val="18"/>
                <w:szCs w:val="18"/>
              </w:rPr>
              <w:br/>
              <w:t>- L’établissement des plans de recollement partiels,</w:t>
            </w:r>
            <w:r w:rsidRPr="00156EEF">
              <w:rPr>
                <w:sz w:val="18"/>
                <w:szCs w:val="18"/>
              </w:rPr>
              <w:br/>
              <w:t>- La fourniture des plans de recollement définitifs,</w:t>
            </w:r>
            <w:r w:rsidRPr="00156EEF">
              <w:rPr>
                <w:sz w:val="18"/>
                <w:szCs w:val="18"/>
              </w:rPr>
              <w:br/>
              <w:t>- La réalisation des essais de formulation sur les matériaux de construction et des essais en cours d’exécution des travaux ;</w:t>
            </w:r>
            <w:r w:rsidRPr="00156EEF">
              <w:rPr>
                <w:sz w:val="18"/>
                <w:szCs w:val="18"/>
              </w:rPr>
              <w:br/>
              <w:t>- La fourniture et la pose des panneaux de chantier et d’identification des ouvrages,</w:t>
            </w:r>
            <w:r w:rsidRPr="00156EEF">
              <w:rPr>
                <w:sz w:val="18"/>
                <w:szCs w:val="18"/>
              </w:rPr>
              <w:br/>
              <w:t>- Et toutes sujétions d'exécution et de main-d'œuvre qualifié et non qualifié.</w:t>
            </w:r>
            <w:r w:rsidRPr="00156EEF">
              <w:rPr>
                <w:sz w:val="18"/>
                <w:szCs w:val="18"/>
              </w:rPr>
              <w:br/>
              <w:t>- La construction aux abords du site d’un magasin de stockage de ciment et petit matériel,</w:t>
            </w:r>
          </w:p>
          <w:p w14:paraId="416E3895" w14:textId="77777777" w:rsidR="002260EA" w:rsidRDefault="00C312F3" w:rsidP="009460FF">
            <w:pPr>
              <w:spacing w:after="0"/>
              <w:ind w:left="0" w:firstLine="0"/>
              <w:jc w:val="left"/>
              <w:rPr>
                <w:sz w:val="18"/>
                <w:szCs w:val="18"/>
              </w:rPr>
            </w:pPr>
            <w:r w:rsidRPr="00156EEF">
              <w:rPr>
                <w:sz w:val="18"/>
                <w:szCs w:val="18"/>
              </w:rPr>
              <w:t xml:space="preserve">- La mise à disposition d’un bureau équipé </w:t>
            </w:r>
            <w:r w:rsidR="00975638">
              <w:rPr>
                <w:sz w:val="18"/>
                <w:szCs w:val="18"/>
              </w:rPr>
              <w:t>p</w:t>
            </w:r>
            <w:r w:rsidRPr="00156EEF">
              <w:rPr>
                <w:sz w:val="18"/>
                <w:szCs w:val="18"/>
              </w:rPr>
              <w:t>our la mission de contrôle ;</w:t>
            </w:r>
          </w:p>
          <w:p w14:paraId="49D460CA" w14:textId="4036712F" w:rsidR="00C312F3" w:rsidRPr="00156EEF" w:rsidRDefault="00C312F3" w:rsidP="009460FF">
            <w:pPr>
              <w:spacing w:after="0"/>
              <w:ind w:left="0" w:firstLine="0"/>
              <w:jc w:val="left"/>
              <w:rPr>
                <w:sz w:val="18"/>
                <w:szCs w:val="18"/>
              </w:rPr>
            </w:pPr>
            <w:r w:rsidRPr="00156EEF">
              <w:rPr>
                <w:sz w:val="18"/>
                <w:szCs w:val="18"/>
              </w:rPr>
              <w:t>- L’amélioration de la piste d’accès du village au site,</w:t>
            </w:r>
            <w:r w:rsidRPr="00156EEF">
              <w:rPr>
                <w:sz w:val="18"/>
                <w:szCs w:val="18"/>
              </w:rPr>
              <w:br/>
              <w:t>- L’ouverture et l’amélioration des pistes d’accès aux emprunts des pierres et graviers,</w:t>
            </w:r>
            <w:r w:rsidRPr="00156EEF">
              <w:rPr>
                <w:sz w:val="18"/>
                <w:szCs w:val="18"/>
              </w:rPr>
              <w:br/>
              <w:t>- Le nettoyage des abords du chantier sur toute la longueur après construction.</w:t>
            </w:r>
          </w:p>
          <w:p w14:paraId="562662B6" w14:textId="42F69987" w:rsidR="00975638" w:rsidRPr="00975638" w:rsidRDefault="00975638" w:rsidP="00975638">
            <w:pPr>
              <w:spacing w:after="0"/>
              <w:ind w:left="0" w:firstLine="0"/>
              <w:jc w:val="left"/>
              <w:rPr>
                <w:sz w:val="18"/>
                <w:szCs w:val="18"/>
              </w:rPr>
            </w:pPr>
            <w:r>
              <w:rPr>
                <w:sz w:val="18"/>
                <w:szCs w:val="18"/>
              </w:rPr>
              <w:t xml:space="preserve">-Le </w:t>
            </w:r>
            <w:r w:rsidRPr="00975638">
              <w:rPr>
                <w:sz w:val="18"/>
                <w:szCs w:val="18"/>
              </w:rPr>
              <w:t xml:space="preserve">Repli chantier et réaménagement </w:t>
            </w:r>
          </w:p>
          <w:p w14:paraId="19A5BE3B" w14:textId="353C138F" w:rsidR="00975638" w:rsidRPr="00975638" w:rsidRDefault="00975638" w:rsidP="00975638">
            <w:pPr>
              <w:spacing w:after="0"/>
              <w:ind w:left="0" w:firstLine="0"/>
              <w:jc w:val="left"/>
              <w:rPr>
                <w:sz w:val="18"/>
                <w:szCs w:val="18"/>
              </w:rPr>
            </w:pPr>
            <w:r>
              <w:rPr>
                <w:sz w:val="18"/>
                <w:szCs w:val="18"/>
              </w:rPr>
              <w:t xml:space="preserve">-La </w:t>
            </w:r>
            <w:r w:rsidRPr="00975638">
              <w:rPr>
                <w:sz w:val="18"/>
                <w:szCs w:val="18"/>
              </w:rPr>
              <w:t xml:space="preserve">Remise en état des lieux </w:t>
            </w:r>
          </w:p>
          <w:p w14:paraId="067FA1C6" w14:textId="148C27DE" w:rsidR="00975638" w:rsidRPr="00975638" w:rsidRDefault="00975638" w:rsidP="00975638">
            <w:pPr>
              <w:spacing w:after="0"/>
              <w:ind w:left="0" w:firstLine="0"/>
              <w:jc w:val="left"/>
              <w:rPr>
                <w:sz w:val="18"/>
                <w:szCs w:val="18"/>
              </w:rPr>
            </w:pPr>
            <w:r>
              <w:rPr>
                <w:sz w:val="18"/>
                <w:szCs w:val="18"/>
              </w:rPr>
              <w:t>-le Retrait d</w:t>
            </w:r>
            <w:r w:rsidRPr="00975638">
              <w:rPr>
                <w:sz w:val="18"/>
                <w:szCs w:val="18"/>
              </w:rPr>
              <w:t xml:space="preserve">es battements temporaires, le matériel, les matériaux et autres infrastructures connexes </w:t>
            </w:r>
          </w:p>
          <w:p w14:paraId="696DCF37" w14:textId="6F1BE0B0" w:rsidR="00975638" w:rsidRPr="00975638" w:rsidRDefault="00975638" w:rsidP="00975638">
            <w:pPr>
              <w:spacing w:after="0"/>
              <w:ind w:left="0" w:firstLine="0"/>
              <w:jc w:val="left"/>
              <w:rPr>
                <w:sz w:val="18"/>
                <w:szCs w:val="18"/>
              </w:rPr>
            </w:pPr>
            <w:r>
              <w:rPr>
                <w:sz w:val="18"/>
                <w:szCs w:val="18"/>
              </w:rPr>
              <w:t>-La rec</w:t>
            </w:r>
            <w:r w:rsidRPr="00975638">
              <w:rPr>
                <w:sz w:val="18"/>
                <w:szCs w:val="18"/>
              </w:rPr>
              <w:t>tif</w:t>
            </w:r>
            <w:r>
              <w:rPr>
                <w:sz w:val="18"/>
                <w:szCs w:val="18"/>
              </w:rPr>
              <w:t>ication d</w:t>
            </w:r>
            <w:r w:rsidRPr="00975638">
              <w:rPr>
                <w:sz w:val="18"/>
                <w:szCs w:val="18"/>
              </w:rPr>
              <w:t xml:space="preserve">es défauts de drainage </w:t>
            </w:r>
          </w:p>
          <w:p w14:paraId="7391F614" w14:textId="7DCE89F1" w:rsidR="00C312F3" w:rsidRPr="00156EEF" w:rsidRDefault="00975638" w:rsidP="00975638">
            <w:pPr>
              <w:spacing w:after="0"/>
              <w:ind w:left="0" w:firstLine="0"/>
              <w:jc w:val="left"/>
              <w:rPr>
                <w:sz w:val="20"/>
              </w:rPr>
            </w:pPr>
            <w:r>
              <w:rPr>
                <w:sz w:val="18"/>
                <w:szCs w:val="18"/>
              </w:rPr>
              <w:t>-Le nettoyage et élimination</w:t>
            </w:r>
            <w:r w:rsidRPr="00975638">
              <w:rPr>
                <w:sz w:val="18"/>
                <w:szCs w:val="18"/>
              </w:rPr>
              <w:t xml:space="preserve"> toutes formes de pollution</w:t>
            </w:r>
            <w:r w:rsidR="00C312F3" w:rsidRPr="00975638">
              <w:rPr>
                <w:sz w:val="18"/>
                <w:szCs w:val="18"/>
              </w:rPr>
              <w:br/>
            </w:r>
            <w:r w:rsidR="00C312F3" w:rsidRPr="00156EEF">
              <w:rPr>
                <w:i/>
                <w:sz w:val="18"/>
                <w:szCs w:val="18"/>
              </w:rPr>
              <w:t>Le prix est payé forfaitairement à 50% avec le premier décompte des travaux réalisés y compris l’installation et 50% après replis de chantier.</w:t>
            </w:r>
          </w:p>
        </w:tc>
        <w:tc>
          <w:tcPr>
            <w:tcW w:w="429" w:type="pct"/>
            <w:tcBorders>
              <w:top w:val="nil"/>
              <w:left w:val="nil"/>
              <w:bottom w:val="single" w:sz="8" w:space="0" w:color="auto"/>
              <w:right w:val="single" w:sz="8" w:space="0" w:color="auto"/>
            </w:tcBorders>
            <w:shd w:val="clear" w:color="auto" w:fill="auto"/>
            <w:noWrap/>
            <w:vAlign w:val="center"/>
            <w:hideMark/>
          </w:tcPr>
          <w:p w14:paraId="419A4F28" w14:textId="77777777" w:rsidR="00C312F3" w:rsidRPr="00156EEF" w:rsidRDefault="00C312F3" w:rsidP="009460FF">
            <w:pPr>
              <w:spacing w:after="0"/>
              <w:ind w:left="0" w:firstLine="0"/>
              <w:jc w:val="center"/>
              <w:rPr>
                <w:sz w:val="20"/>
              </w:rPr>
            </w:pPr>
            <w:proofErr w:type="spellStart"/>
            <w:r w:rsidRPr="00156EEF">
              <w:rPr>
                <w:sz w:val="20"/>
              </w:rPr>
              <w:t>ff</w:t>
            </w:r>
            <w:proofErr w:type="spellEnd"/>
          </w:p>
        </w:tc>
        <w:tc>
          <w:tcPr>
            <w:tcW w:w="608" w:type="pct"/>
            <w:tcBorders>
              <w:top w:val="nil"/>
              <w:left w:val="nil"/>
              <w:bottom w:val="single" w:sz="8" w:space="0" w:color="auto"/>
              <w:right w:val="nil"/>
            </w:tcBorders>
            <w:shd w:val="clear" w:color="auto" w:fill="auto"/>
            <w:noWrap/>
            <w:vAlign w:val="center"/>
            <w:hideMark/>
          </w:tcPr>
          <w:p w14:paraId="57DB8EF7" w14:textId="77777777" w:rsidR="00C312F3" w:rsidRPr="00156EEF" w:rsidRDefault="00C312F3" w:rsidP="009460FF">
            <w:pPr>
              <w:spacing w:after="0"/>
              <w:ind w:left="0" w:firstLine="0"/>
              <w:jc w:val="center"/>
              <w:rPr>
                <w:rFonts w:ascii="Arial" w:hAnsi="Arial" w:cs="Arial"/>
                <w:sz w:val="20"/>
              </w:rPr>
            </w:pPr>
            <w:r w:rsidRPr="00156EEF">
              <w:rPr>
                <w:rFonts w:ascii="Arial" w:hAnsi="Arial" w:cs="Arial"/>
                <w:sz w:val="20"/>
              </w:rPr>
              <w:t> </w:t>
            </w:r>
          </w:p>
        </w:tc>
        <w:tc>
          <w:tcPr>
            <w:tcW w:w="532" w:type="pct"/>
            <w:tcBorders>
              <w:top w:val="nil"/>
              <w:left w:val="single" w:sz="4" w:space="0" w:color="auto"/>
              <w:bottom w:val="single" w:sz="4" w:space="0" w:color="auto"/>
              <w:right w:val="single" w:sz="4" w:space="0" w:color="auto"/>
            </w:tcBorders>
            <w:shd w:val="clear" w:color="auto" w:fill="auto"/>
            <w:noWrap/>
            <w:vAlign w:val="bottom"/>
            <w:hideMark/>
          </w:tcPr>
          <w:p w14:paraId="1D0886FA" w14:textId="77777777" w:rsidR="00C312F3" w:rsidRPr="00156EEF" w:rsidRDefault="00C312F3" w:rsidP="009460FF">
            <w:pPr>
              <w:spacing w:after="0"/>
              <w:ind w:left="0" w:firstLine="0"/>
              <w:jc w:val="left"/>
              <w:rPr>
                <w:rFonts w:ascii="Calibri" w:hAnsi="Calibri"/>
                <w:sz w:val="20"/>
              </w:rPr>
            </w:pPr>
            <w:r w:rsidRPr="00156EEF">
              <w:rPr>
                <w:rFonts w:ascii="Calibri" w:hAnsi="Calibri"/>
                <w:sz w:val="20"/>
              </w:rPr>
              <w:t> </w:t>
            </w:r>
          </w:p>
        </w:tc>
      </w:tr>
      <w:tr w:rsidR="00C312F3" w:rsidRPr="00156EEF" w14:paraId="5A35C149" w14:textId="77777777" w:rsidTr="009460FF">
        <w:trPr>
          <w:trHeight w:val="2811"/>
          <w:jc w:val="center"/>
        </w:trPr>
        <w:tc>
          <w:tcPr>
            <w:tcW w:w="302" w:type="pct"/>
            <w:tcBorders>
              <w:top w:val="nil"/>
              <w:left w:val="double" w:sz="6" w:space="0" w:color="auto"/>
              <w:bottom w:val="single" w:sz="8" w:space="0" w:color="auto"/>
              <w:right w:val="single" w:sz="8" w:space="0" w:color="auto"/>
            </w:tcBorders>
            <w:shd w:val="clear" w:color="auto" w:fill="auto"/>
            <w:vAlign w:val="center"/>
            <w:hideMark/>
          </w:tcPr>
          <w:p w14:paraId="03F53631" w14:textId="77777777" w:rsidR="00C312F3" w:rsidRPr="00156EEF" w:rsidRDefault="00C312F3" w:rsidP="009460FF">
            <w:pPr>
              <w:spacing w:after="0"/>
              <w:ind w:left="0" w:firstLine="0"/>
              <w:jc w:val="center"/>
              <w:rPr>
                <w:rFonts w:ascii="Arial" w:hAnsi="Arial" w:cs="Arial"/>
                <w:sz w:val="20"/>
              </w:rPr>
            </w:pPr>
            <w:r w:rsidRPr="00156EEF">
              <w:rPr>
                <w:rFonts w:ascii="Arial" w:hAnsi="Arial" w:cs="Arial"/>
                <w:sz w:val="20"/>
              </w:rPr>
              <w:t>1.2</w:t>
            </w:r>
          </w:p>
        </w:tc>
        <w:tc>
          <w:tcPr>
            <w:tcW w:w="3129" w:type="pct"/>
            <w:tcBorders>
              <w:top w:val="nil"/>
              <w:left w:val="nil"/>
              <w:bottom w:val="single" w:sz="8" w:space="0" w:color="auto"/>
              <w:right w:val="single" w:sz="8" w:space="0" w:color="auto"/>
            </w:tcBorders>
            <w:shd w:val="clear" w:color="auto" w:fill="auto"/>
            <w:hideMark/>
          </w:tcPr>
          <w:p w14:paraId="712CB1F7" w14:textId="77777777" w:rsidR="00C312F3" w:rsidRPr="00156EEF" w:rsidRDefault="00C312F3" w:rsidP="009460FF">
            <w:pPr>
              <w:spacing w:after="0"/>
              <w:ind w:left="0" w:firstLine="0"/>
              <w:jc w:val="left"/>
              <w:rPr>
                <w:sz w:val="18"/>
                <w:szCs w:val="18"/>
              </w:rPr>
            </w:pPr>
            <w:r w:rsidRPr="00156EEF">
              <w:rPr>
                <w:b/>
                <w:bCs/>
                <w:sz w:val="20"/>
              </w:rPr>
              <w:t xml:space="preserve">Préparation du terrain et implantation des ouvrages y compris abattage des arbres et </w:t>
            </w:r>
            <w:proofErr w:type="spellStart"/>
            <w:r w:rsidRPr="00156EEF">
              <w:rPr>
                <w:b/>
                <w:bCs/>
                <w:sz w:val="20"/>
              </w:rPr>
              <w:t>debroussayage</w:t>
            </w:r>
            <w:proofErr w:type="spellEnd"/>
            <w:r w:rsidRPr="00156EEF">
              <w:rPr>
                <w:b/>
                <w:bCs/>
                <w:sz w:val="20"/>
              </w:rPr>
              <w:t xml:space="preserve"> sur l'emprise des ouvrages et élaboration des plans d'exécutions                                               </w:t>
            </w:r>
            <w:r w:rsidRPr="00156EEF">
              <w:rPr>
                <w:sz w:val="20"/>
              </w:rPr>
              <w:t xml:space="preserve">                                                                                        </w:t>
            </w:r>
            <w:r w:rsidRPr="00AA5966">
              <w:rPr>
                <w:sz w:val="18"/>
                <w:szCs w:val="18"/>
              </w:rPr>
              <w:t>Le prix rémunère l’amortissement du matériel pour le défrichage et le nettoyage de la surface d’emprise nécessaire à une bonne organisation des travaux. Cette surface correspond à la longueur des fouilles sur une largeur de 10 m en amont et 10 m en aval de l’ouvrage. Le prix rémunère aussi le temps d’implantation topographique de l’ensemble des ouvrages par le technicien de l’entreprise et la main d’œuvre qualifiée et non qualifiée (équipe topographiques, maçon, mineur, manœuvre), l’abattage et le dessouchage des arbres sur l’emprise des ouvrages</w:t>
            </w:r>
            <w:r w:rsidRPr="00156EEF">
              <w:rPr>
                <w:sz w:val="18"/>
                <w:szCs w:val="18"/>
              </w:rPr>
              <w:t>.</w:t>
            </w:r>
          </w:p>
          <w:p w14:paraId="5AB44B76" w14:textId="77777777" w:rsidR="00C312F3" w:rsidRPr="00156EEF" w:rsidRDefault="00C312F3" w:rsidP="009460FF">
            <w:pPr>
              <w:spacing w:after="0"/>
              <w:ind w:left="0" w:firstLine="0"/>
              <w:jc w:val="left"/>
              <w:rPr>
                <w:b/>
                <w:bCs/>
                <w:sz w:val="20"/>
              </w:rPr>
            </w:pPr>
            <w:r w:rsidRPr="00156EEF">
              <w:rPr>
                <w:sz w:val="20"/>
              </w:rPr>
              <w:br/>
            </w:r>
            <w:r w:rsidRPr="00156EEF">
              <w:rPr>
                <w:i/>
                <w:sz w:val="18"/>
                <w:szCs w:val="18"/>
              </w:rPr>
              <w:t>Le prix s'applique au forfait (</w:t>
            </w:r>
            <w:proofErr w:type="spellStart"/>
            <w:r w:rsidRPr="00156EEF">
              <w:rPr>
                <w:i/>
                <w:sz w:val="18"/>
                <w:szCs w:val="18"/>
              </w:rPr>
              <w:t>ff</w:t>
            </w:r>
            <w:proofErr w:type="spellEnd"/>
            <w:r w:rsidRPr="00156EEF">
              <w:rPr>
                <w:i/>
                <w:sz w:val="18"/>
                <w:szCs w:val="18"/>
              </w:rPr>
              <w:t>), du nettoyage et de l’implantation de terrain.</w:t>
            </w:r>
          </w:p>
        </w:tc>
        <w:tc>
          <w:tcPr>
            <w:tcW w:w="429" w:type="pct"/>
            <w:tcBorders>
              <w:top w:val="nil"/>
              <w:left w:val="nil"/>
              <w:bottom w:val="single" w:sz="8" w:space="0" w:color="auto"/>
              <w:right w:val="single" w:sz="8" w:space="0" w:color="auto"/>
            </w:tcBorders>
            <w:shd w:val="clear" w:color="auto" w:fill="auto"/>
            <w:noWrap/>
            <w:vAlign w:val="center"/>
            <w:hideMark/>
          </w:tcPr>
          <w:p w14:paraId="51BFDC16" w14:textId="77777777" w:rsidR="00C312F3" w:rsidRPr="00156EEF" w:rsidRDefault="00C312F3" w:rsidP="009460FF">
            <w:pPr>
              <w:spacing w:after="0"/>
              <w:ind w:left="0" w:firstLine="0"/>
              <w:jc w:val="center"/>
              <w:rPr>
                <w:sz w:val="20"/>
              </w:rPr>
            </w:pPr>
            <w:proofErr w:type="spellStart"/>
            <w:r w:rsidRPr="00156EEF">
              <w:rPr>
                <w:sz w:val="20"/>
              </w:rPr>
              <w:t>ff</w:t>
            </w:r>
            <w:proofErr w:type="spellEnd"/>
          </w:p>
        </w:tc>
        <w:tc>
          <w:tcPr>
            <w:tcW w:w="608" w:type="pct"/>
            <w:tcBorders>
              <w:top w:val="nil"/>
              <w:left w:val="nil"/>
              <w:bottom w:val="single" w:sz="8" w:space="0" w:color="auto"/>
              <w:right w:val="nil"/>
            </w:tcBorders>
            <w:shd w:val="clear" w:color="auto" w:fill="auto"/>
            <w:noWrap/>
            <w:vAlign w:val="center"/>
            <w:hideMark/>
          </w:tcPr>
          <w:p w14:paraId="486B1940" w14:textId="77777777" w:rsidR="00C312F3" w:rsidRPr="00156EEF" w:rsidRDefault="00C312F3" w:rsidP="009460FF">
            <w:pPr>
              <w:spacing w:after="0"/>
              <w:ind w:left="0" w:firstLine="0"/>
              <w:jc w:val="center"/>
              <w:rPr>
                <w:rFonts w:ascii="Arial" w:hAnsi="Arial" w:cs="Arial"/>
                <w:sz w:val="20"/>
              </w:rPr>
            </w:pPr>
          </w:p>
        </w:tc>
        <w:tc>
          <w:tcPr>
            <w:tcW w:w="532" w:type="pct"/>
            <w:tcBorders>
              <w:top w:val="nil"/>
              <w:left w:val="single" w:sz="4" w:space="0" w:color="auto"/>
              <w:bottom w:val="single" w:sz="4" w:space="0" w:color="auto"/>
              <w:right w:val="single" w:sz="4" w:space="0" w:color="auto"/>
            </w:tcBorders>
            <w:shd w:val="clear" w:color="auto" w:fill="auto"/>
            <w:noWrap/>
            <w:vAlign w:val="bottom"/>
            <w:hideMark/>
          </w:tcPr>
          <w:p w14:paraId="4FB47D3F" w14:textId="77777777" w:rsidR="00C312F3" w:rsidRPr="00156EEF" w:rsidRDefault="00C312F3" w:rsidP="009460FF">
            <w:pPr>
              <w:spacing w:after="0"/>
              <w:ind w:left="0" w:firstLine="0"/>
              <w:jc w:val="left"/>
              <w:rPr>
                <w:rFonts w:ascii="Calibri" w:hAnsi="Calibri"/>
                <w:sz w:val="20"/>
              </w:rPr>
            </w:pPr>
            <w:r w:rsidRPr="00156EEF">
              <w:rPr>
                <w:rFonts w:ascii="Calibri" w:hAnsi="Calibri"/>
                <w:sz w:val="20"/>
              </w:rPr>
              <w:t> </w:t>
            </w:r>
          </w:p>
        </w:tc>
      </w:tr>
      <w:tr w:rsidR="00C312F3" w:rsidRPr="00156EEF" w14:paraId="73F8DE04" w14:textId="77777777" w:rsidTr="009460FF">
        <w:trPr>
          <w:trHeight w:val="400"/>
          <w:jc w:val="center"/>
        </w:trPr>
        <w:tc>
          <w:tcPr>
            <w:tcW w:w="302" w:type="pct"/>
            <w:tcBorders>
              <w:top w:val="nil"/>
              <w:left w:val="double" w:sz="6" w:space="0" w:color="auto"/>
              <w:bottom w:val="single" w:sz="8" w:space="0" w:color="auto"/>
              <w:right w:val="single" w:sz="8" w:space="0" w:color="auto"/>
            </w:tcBorders>
            <w:shd w:val="clear" w:color="auto" w:fill="auto"/>
            <w:vAlign w:val="center"/>
            <w:hideMark/>
          </w:tcPr>
          <w:p w14:paraId="5B4500D5" w14:textId="77777777" w:rsidR="00C312F3" w:rsidRPr="00156EEF" w:rsidRDefault="00C312F3" w:rsidP="009460FF">
            <w:pPr>
              <w:spacing w:after="0"/>
              <w:ind w:left="0" w:firstLine="0"/>
              <w:jc w:val="center"/>
              <w:rPr>
                <w:rFonts w:ascii="Arial" w:hAnsi="Arial" w:cs="Arial"/>
                <w:sz w:val="20"/>
              </w:rPr>
            </w:pPr>
            <w:r w:rsidRPr="00156EEF">
              <w:rPr>
                <w:rFonts w:ascii="Arial" w:hAnsi="Arial" w:cs="Arial"/>
                <w:sz w:val="20"/>
              </w:rPr>
              <w:t>1.3</w:t>
            </w:r>
          </w:p>
        </w:tc>
        <w:tc>
          <w:tcPr>
            <w:tcW w:w="3129" w:type="pct"/>
            <w:tcBorders>
              <w:top w:val="nil"/>
              <w:left w:val="nil"/>
              <w:bottom w:val="single" w:sz="8" w:space="0" w:color="auto"/>
              <w:right w:val="single" w:sz="8" w:space="0" w:color="auto"/>
            </w:tcBorders>
            <w:shd w:val="clear" w:color="auto" w:fill="auto"/>
            <w:hideMark/>
          </w:tcPr>
          <w:p w14:paraId="013DDA21" w14:textId="77777777" w:rsidR="00C312F3" w:rsidRPr="00156EEF" w:rsidRDefault="00C312F3" w:rsidP="009460FF">
            <w:pPr>
              <w:spacing w:after="0"/>
              <w:ind w:left="0" w:firstLine="0"/>
              <w:jc w:val="left"/>
              <w:rPr>
                <w:sz w:val="18"/>
                <w:szCs w:val="18"/>
              </w:rPr>
            </w:pPr>
            <w:r w:rsidRPr="00156EEF">
              <w:rPr>
                <w:b/>
                <w:bCs/>
                <w:sz w:val="20"/>
              </w:rPr>
              <w:t xml:space="preserve">Décapage de la terre végétale sur l'emprise des ouvrages (20cm)                                                                                             </w:t>
            </w:r>
            <w:r w:rsidRPr="00156EEF">
              <w:rPr>
                <w:sz w:val="18"/>
                <w:szCs w:val="18"/>
              </w:rPr>
              <w:t>Ce prix rémunère l'enlèvement du sol superficiel, des herbes et des souches d’arbres de la surface de l'assiette, tant en remblai qu'en déblai sur une profondeur de 0,20 m y compris les purges ponctuelles nécessaires sur une profondeur inférieure ou égale à 1,5 m. ce poste prend en compte le décapage nécessaire au blocage des enrochements.</w:t>
            </w:r>
            <w:r w:rsidRPr="00156EEF">
              <w:rPr>
                <w:sz w:val="18"/>
                <w:szCs w:val="18"/>
              </w:rPr>
              <w:br/>
              <w:t xml:space="preserve">Ce prix rémunère également le transport et la mise en dépôt des terres hors de la limite de l'emprise des ouvrages, le régalage de ses terres selon les </w:t>
            </w:r>
            <w:r w:rsidRPr="00156EEF">
              <w:rPr>
                <w:sz w:val="18"/>
                <w:szCs w:val="18"/>
              </w:rPr>
              <w:lastRenderedPageBreak/>
              <w:t>instructions du Maître d’Œuvre, et toutes sujétions d'exécution et de main d’œuvre qualifié et non qualifiée.</w:t>
            </w:r>
          </w:p>
          <w:p w14:paraId="3CE5C2EF" w14:textId="77777777" w:rsidR="00C312F3" w:rsidRPr="00156EEF" w:rsidRDefault="00C312F3" w:rsidP="009460FF">
            <w:pPr>
              <w:spacing w:after="0"/>
              <w:ind w:left="0" w:firstLine="0"/>
              <w:jc w:val="left"/>
              <w:rPr>
                <w:b/>
                <w:bCs/>
                <w:sz w:val="20"/>
              </w:rPr>
            </w:pPr>
            <w:r w:rsidRPr="00156EEF">
              <w:rPr>
                <w:sz w:val="20"/>
              </w:rPr>
              <w:br/>
            </w:r>
            <w:r w:rsidRPr="00156EEF">
              <w:rPr>
                <w:i/>
                <w:sz w:val="18"/>
                <w:szCs w:val="18"/>
              </w:rPr>
              <w:t>Ce prix s'applique au mètre carré (m²) de sol végétal enlevé mesuré selon la surface de l'assiette du débroussaillage et décapée, déduction faite de la surface des ouvrages.</w:t>
            </w:r>
          </w:p>
        </w:tc>
        <w:tc>
          <w:tcPr>
            <w:tcW w:w="429" w:type="pct"/>
            <w:tcBorders>
              <w:top w:val="nil"/>
              <w:left w:val="nil"/>
              <w:bottom w:val="single" w:sz="8" w:space="0" w:color="auto"/>
              <w:right w:val="single" w:sz="8" w:space="0" w:color="auto"/>
            </w:tcBorders>
            <w:shd w:val="clear" w:color="auto" w:fill="auto"/>
            <w:vAlign w:val="center"/>
            <w:hideMark/>
          </w:tcPr>
          <w:p w14:paraId="55742556" w14:textId="77777777" w:rsidR="00C312F3" w:rsidRPr="00156EEF" w:rsidRDefault="00C312F3" w:rsidP="009460FF">
            <w:pPr>
              <w:spacing w:after="0"/>
              <w:ind w:left="0" w:firstLine="0"/>
              <w:jc w:val="center"/>
              <w:rPr>
                <w:sz w:val="20"/>
              </w:rPr>
            </w:pPr>
            <w:r w:rsidRPr="00156EEF">
              <w:rPr>
                <w:sz w:val="20"/>
              </w:rPr>
              <w:lastRenderedPageBreak/>
              <w:t>m²</w:t>
            </w:r>
          </w:p>
        </w:tc>
        <w:tc>
          <w:tcPr>
            <w:tcW w:w="608" w:type="pct"/>
            <w:tcBorders>
              <w:top w:val="nil"/>
              <w:left w:val="nil"/>
              <w:bottom w:val="single" w:sz="8" w:space="0" w:color="auto"/>
              <w:right w:val="nil"/>
            </w:tcBorders>
            <w:shd w:val="clear" w:color="auto" w:fill="auto"/>
            <w:vAlign w:val="center"/>
            <w:hideMark/>
          </w:tcPr>
          <w:p w14:paraId="63C949BA" w14:textId="77777777" w:rsidR="00C312F3" w:rsidRPr="00156EEF" w:rsidRDefault="00C312F3" w:rsidP="009460FF">
            <w:pPr>
              <w:spacing w:after="0"/>
              <w:ind w:left="0" w:firstLine="0"/>
              <w:jc w:val="center"/>
              <w:rPr>
                <w:rFonts w:ascii="Arial" w:hAnsi="Arial" w:cs="Arial"/>
                <w:sz w:val="20"/>
              </w:rPr>
            </w:pPr>
            <w:r w:rsidRPr="00156EEF">
              <w:rPr>
                <w:rFonts w:ascii="Arial" w:hAnsi="Arial" w:cs="Arial"/>
                <w:sz w:val="20"/>
              </w:rPr>
              <w:t> </w:t>
            </w:r>
          </w:p>
        </w:tc>
        <w:tc>
          <w:tcPr>
            <w:tcW w:w="532" w:type="pct"/>
            <w:tcBorders>
              <w:top w:val="nil"/>
              <w:left w:val="single" w:sz="4" w:space="0" w:color="auto"/>
              <w:bottom w:val="single" w:sz="4" w:space="0" w:color="auto"/>
              <w:right w:val="single" w:sz="4" w:space="0" w:color="auto"/>
            </w:tcBorders>
            <w:shd w:val="clear" w:color="auto" w:fill="auto"/>
            <w:noWrap/>
            <w:vAlign w:val="bottom"/>
            <w:hideMark/>
          </w:tcPr>
          <w:p w14:paraId="3C1E5D94" w14:textId="77777777" w:rsidR="00C312F3" w:rsidRPr="00156EEF" w:rsidRDefault="00C312F3" w:rsidP="009460FF">
            <w:pPr>
              <w:spacing w:after="0"/>
              <w:ind w:left="0" w:firstLine="0"/>
              <w:jc w:val="left"/>
              <w:rPr>
                <w:rFonts w:ascii="Calibri" w:hAnsi="Calibri"/>
                <w:sz w:val="20"/>
              </w:rPr>
            </w:pPr>
            <w:r w:rsidRPr="00156EEF">
              <w:rPr>
                <w:rFonts w:ascii="Calibri" w:hAnsi="Calibri"/>
                <w:sz w:val="20"/>
              </w:rPr>
              <w:t> </w:t>
            </w:r>
          </w:p>
        </w:tc>
      </w:tr>
      <w:tr w:rsidR="00C312F3" w:rsidRPr="00156EEF" w14:paraId="234A6A46" w14:textId="77777777" w:rsidTr="00713378">
        <w:trPr>
          <w:trHeight w:val="49"/>
          <w:jc w:val="center"/>
        </w:trPr>
        <w:tc>
          <w:tcPr>
            <w:tcW w:w="302" w:type="pct"/>
            <w:tcBorders>
              <w:top w:val="nil"/>
              <w:left w:val="double" w:sz="6" w:space="0" w:color="auto"/>
              <w:bottom w:val="single" w:sz="8" w:space="0" w:color="auto"/>
              <w:right w:val="single" w:sz="8" w:space="0" w:color="auto"/>
            </w:tcBorders>
            <w:shd w:val="clear" w:color="auto" w:fill="auto"/>
            <w:vAlign w:val="center"/>
            <w:hideMark/>
          </w:tcPr>
          <w:p w14:paraId="2D6A24D5" w14:textId="77777777" w:rsidR="00C312F3" w:rsidRPr="00156EEF" w:rsidRDefault="00C312F3" w:rsidP="009460FF">
            <w:pPr>
              <w:spacing w:after="0"/>
              <w:ind w:left="0" w:firstLine="0"/>
              <w:jc w:val="center"/>
              <w:rPr>
                <w:rFonts w:ascii="Arial" w:hAnsi="Arial" w:cs="Arial"/>
                <w:sz w:val="20"/>
              </w:rPr>
            </w:pPr>
            <w:r w:rsidRPr="00156EEF">
              <w:rPr>
                <w:rFonts w:ascii="Arial" w:hAnsi="Arial" w:cs="Arial"/>
                <w:sz w:val="20"/>
              </w:rPr>
              <w:lastRenderedPageBreak/>
              <w:t> </w:t>
            </w:r>
          </w:p>
        </w:tc>
        <w:tc>
          <w:tcPr>
            <w:tcW w:w="3129" w:type="pct"/>
            <w:tcBorders>
              <w:top w:val="nil"/>
              <w:left w:val="nil"/>
              <w:bottom w:val="single" w:sz="8" w:space="0" w:color="auto"/>
              <w:right w:val="single" w:sz="8" w:space="0" w:color="auto"/>
            </w:tcBorders>
            <w:shd w:val="clear" w:color="auto" w:fill="auto"/>
            <w:vAlign w:val="center"/>
            <w:hideMark/>
          </w:tcPr>
          <w:p w14:paraId="5C13D013" w14:textId="77777777" w:rsidR="00C312F3" w:rsidRPr="00156EEF" w:rsidRDefault="00C312F3" w:rsidP="009460FF">
            <w:pPr>
              <w:spacing w:after="0"/>
              <w:ind w:left="0" w:firstLine="0"/>
              <w:jc w:val="right"/>
              <w:rPr>
                <w:rFonts w:ascii="Arial" w:hAnsi="Arial" w:cs="Arial"/>
                <w:b/>
                <w:bCs/>
                <w:sz w:val="20"/>
              </w:rPr>
            </w:pPr>
            <w:r w:rsidRPr="00156EEF">
              <w:rPr>
                <w:rFonts w:ascii="Arial" w:hAnsi="Arial" w:cs="Arial"/>
                <w:b/>
                <w:bCs/>
                <w:sz w:val="20"/>
              </w:rPr>
              <w:t>Total Série 1</w:t>
            </w:r>
          </w:p>
        </w:tc>
        <w:tc>
          <w:tcPr>
            <w:tcW w:w="429" w:type="pct"/>
            <w:tcBorders>
              <w:top w:val="nil"/>
              <w:left w:val="nil"/>
              <w:bottom w:val="single" w:sz="8" w:space="0" w:color="auto"/>
              <w:right w:val="single" w:sz="8" w:space="0" w:color="auto"/>
            </w:tcBorders>
            <w:shd w:val="clear" w:color="auto" w:fill="auto"/>
            <w:vAlign w:val="center"/>
            <w:hideMark/>
          </w:tcPr>
          <w:p w14:paraId="7F225ACA" w14:textId="77777777" w:rsidR="00C312F3" w:rsidRPr="00156EEF" w:rsidRDefault="00C312F3" w:rsidP="009460FF">
            <w:pPr>
              <w:spacing w:after="0"/>
              <w:ind w:left="0" w:firstLine="0"/>
              <w:jc w:val="center"/>
              <w:rPr>
                <w:b/>
                <w:bCs/>
                <w:i/>
                <w:iCs/>
                <w:sz w:val="20"/>
              </w:rPr>
            </w:pPr>
            <w:r w:rsidRPr="00156EEF">
              <w:rPr>
                <w:b/>
                <w:bCs/>
                <w:i/>
                <w:iCs/>
                <w:sz w:val="20"/>
              </w:rPr>
              <w:t> </w:t>
            </w:r>
          </w:p>
        </w:tc>
        <w:tc>
          <w:tcPr>
            <w:tcW w:w="608" w:type="pct"/>
            <w:tcBorders>
              <w:top w:val="nil"/>
              <w:left w:val="nil"/>
              <w:bottom w:val="single" w:sz="8" w:space="0" w:color="auto"/>
              <w:right w:val="nil"/>
            </w:tcBorders>
            <w:shd w:val="clear" w:color="auto" w:fill="auto"/>
            <w:vAlign w:val="center"/>
            <w:hideMark/>
          </w:tcPr>
          <w:p w14:paraId="6401FB2E" w14:textId="77777777" w:rsidR="00C312F3" w:rsidRPr="00156EEF" w:rsidRDefault="00C312F3" w:rsidP="009460FF">
            <w:pPr>
              <w:spacing w:after="0"/>
              <w:ind w:left="0" w:firstLine="0"/>
              <w:jc w:val="center"/>
              <w:rPr>
                <w:rFonts w:ascii="Arial" w:hAnsi="Arial" w:cs="Arial"/>
                <w:b/>
                <w:bCs/>
                <w:i/>
                <w:iCs/>
                <w:sz w:val="20"/>
              </w:rPr>
            </w:pPr>
            <w:r w:rsidRPr="00156EEF">
              <w:rPr>
                <w:rFonts w:ascii="Arial" w:hAnsi="Arial" w:cs="Arial"/>
                <w:b/>
                <w:bCs/>
                <w:i/>
                <w:iCs/>
                <w:sz w:val="20"/>
              </w:rPr>
              <w:t> </w:t>
            </w:r>
          </w:p>
        </w:tc>
        <w:tc>
          <w:tcPr>
            <w:tcW w:w="532" w:type="pct"/>
            <w:tcBorders>
              <w:top w:val="nil"/>
              <w:left w:val="single" w:sz="4" w:space="0" w:color="auto"/>
              <w:bottom w:val="single" w:sz="4" w:space="0" w:color="auto"/>
              <w:right w:val="single" w:sz="4" w:space="0" w:color="auto"/>
            </w:tcBorders>
            <w:shd w:val="clear" w:color="auto" w:fill="auto"/>
            <w:noWrap/>
            <w:vAlign w:val="bottom"/>
            <w:hideMark/>
          </w:tcPr>
          <w:p w14:paraId="3B0E0108" w14:textId="77777777" w:rsidR="00C312F3" w:rsidRPr="00156EEF" w:rsidRDefault="00C312F3" w:rsidP="009460FF">
            <w:pPr>
              <w:spacing w:after="0"/>
              <w:ind w:left="0" w:firstLine="0"/>
              <w:jc w:val="left"/>
              <w:rPr>
                <w:rFonts w:ascii="Calibri" w:hAnsi="Calibri"/>
                <w:sz w:val="20"/>
              </w:rPr>
            </w:pPr>
            <w:r w:rsidRPr="00156EEF">
              <w:rPr>
                <w:rFonts w:ascii="Calibri" w:hAnsi="Calibri"/>
                <w:sz w:val="20"/>
              </w:rPr>
              <w:t> </w:t>
            </w:r>
          </w:p>
        </w:tc>
      </w:tr>
      <w:tr w:rsidR="00C312F3" w:rsidRPr="00156EEF" w14:paraId="15CECCFB" w14:textId="77777777" w:rsidTr="00713378">
        <w:trPr>
          <w:trHeight w:val="49"/>
          <w:jc w:val="center"/>
        </w:trPr>
        <w:tc>
          <w:tcPr>
            <w:tcW w:w="302" w:type="pct"/>
            <w:tcBorders>
              <w:top w:val="nil"/>
              <w:left w:val="double" w:sz="6" w:space="0" w:color="auto"/>
              <w:bottom w:val="single" w:sz="8" w:space="0" w:color="auto"/>
              <w:right w:val="single" w:sz="8" w:space="0" w:color="auto"/>
            </w:tcBorders>
            <w:shd w:val="clear" w:color="auto" w:fill="auto"/>
            <w:vAlign w:val="center"/>
            <w:hideMark/>
          </w:tcPr>
          <w:p w14:paraId="78DBB526" w14:textId="77777777" w:rsidR="00C312F3" w:rsidRPr="00156EEF" w:rsidRDefault="00C312F3" w:rsidP="009460FF">
            <w:pPr>
              <w:spacing w:after="0"/>
              <w:ind w:left="0" w:firstLine="0"/>
              <w:jc w:val="center"/>
              <w:rPr>
                <w:rFonts w:ascii="Arial" w:hAnsi="Arial" w:cs="Arial"/>
                <w:sz w:val="20"/>
              </w:rPr>
            </w:pPr>
            <w:r w:rsidRPr="00156EEF">
              <w:rPr>
                <w:rFonts w:ascii="Arial" w:hAnsi="Arial" w:cs="Arial"/>
                <w:sz w:val="20"/>
              </w:rPr>
              <w:t> </w:t>
            </w:r>
          </w:p>
        </w:tc>
        <w:tc>
          <w:tcPr>
            <w:tcW w:w="3129" w:type="pct"/>
            <w:tcBorders>
              <w:top w:val="nil"/>
              <w:left w:val="nil"/>
              <w:bottom w:val="single" w:sz="8" w:space="0" w:color="auto"/>
              <w:right w:val="single" w:sz="8" w:space="0" w:color="auto"/>
            </w:tcBorders>
            <w:shd w:val="clear" w:color="auto" w:fill="auto"/>
            <w:vAlign w:val="center"/>
            <w:hideMark/>
          </w:tcPr>
          <w:p w14:paraId="1FC17C13" w14:textId="77777777" w:rsidR="00C312F3" w:rsidRPr="00156EEF" w:rsidRDefault="00C312F3" w:rsidP="009460FF">
            <w:pPr>
              <w:spacing w:after="0"/>
              <w:ind w:left="0" w:firstLine="0"/>
              <w:jc w:val="left"/>
              <w:rPr>
                <w:rFonts w:ascii="Arial" w:hAnsi="Arial" w:cs="Arial"/>
                <w:b/>
                <w:bCs/>
                <w:sz w:val="20"/>
              </w:rPr>
            </w:pPr>
            <w:r w:rsidRPr="00156EEF">
              <w:rPr>
                <w:rFonts w:ascii="Arial" w:hAnsi="Arial" w:cs="Arial"/>
                <w:b/>
                <w:bCs/>
                <w:sz w:val="20"/>
              </w:rPr>
              <w:t>Série II - DEVERSOIR</w:t>
            </w:r>
          </w:p>
        </w:tc>
        <w:tc>
          <w:tcPr>
            <w:tcW w:w="429" w:type="pct"/>
            <w:tcBorders>
              <w:top w:val="nil"/>
              <w:left w:val="nil"/>
              <w:bottom w:val="single" w:sz="8" w:space="0" w:color="auto"/>
              <w:right w:val="single" w:sz="8" w:space="0" w:color="auto"/>
            </w:tcBorders>
            <w:shd w:val="clear" w:color="auto" w:fill="auto"/>
            <w:vAlign w:val="center"/>
            <w:hideMark/>
          </w:tcPr>
          <w:p w14:paraId="5CC1B5C0" w14:textId="77777777" w:rsidR="00C312F3" w:rsidRPr="00156EEF" w:rsidRDefault="00C312F3" w:rsidP="009460FF">
            <w:pPr>
              <w:spacing w:after="0"/>
              <w:ind w:left="0" w:firstLine="0"/>
              <w:jc w:val="center"/>
              <w:rPr>
                <w:b/>
                <w:bCs/>
                <w:i/>
                <w:iCs/>
                <w:sz w:val="20"/>
              </w:rPr>
            </w:pPr>
            <w:r w:rsidRPr="00156EEF">
              <w:rPr>
                <w:b/>
                <w:bCs/>
                <w:i/>
                <w:iCs/>
                <w:sz w:val="20"/>
              </w:rPr>
              <w:t> </w:t>
            </w:r>
          </w:p>
        </w:tc>
        <w:tc>
          <w:tcPr>
            <w:tcW w:w="608" w:type="pct"/>
            <w:tcBorders>
              <w:top w:val="nil"/>
              <w:left w:val="nil"/>
              <w:bottom w:val="single" w:sz="8" w:space="0" w:color="auto"/>
              <w:right w:val="nil"/>
            </w:tcBorders>
            <w:shd w:val="clear" w:color="auto" w:fill="auto"/>
            <w:vAlign w:val="center"/>
            <w:hideMark/>
          </w:tcPr>
          <w:p w14:paraId="0E666038" w14:textId="77777777" w:rsidR="00C312F3" w:rsidRPr="00156EEF" w:rsidRDefault="00C312F3" w:rsidP="009460FF">
            <w:pPr>
              <w:spacing w:after="0"/>
              <w:ind w:left="0" w:firstLine="0"/>
              <w:jc w:val="center"/>
              <w:rPr>
                <w:rFonts w:ascii="Arial" w:hAnsi="Arial" w:cs="Arial"/>
                <w:b/>
                <w:bCs/>
                <w:i/>
                <w:iCs/>
                <w:sz w:val="20"/>
              </w:rPr>
            </w:pPr>
            <w:r w:rsidRPr="00156EEF">
              <w:rPr>
                <w:rFonts w:ascii="Arial" w:hAnsi="Arial" w:cs="Arial"/>
                <w:b/>
                <w:bCs/>
                <w:i/>
                <w:iCs/>
                <w:sz w:val="20"/>
              </w:rPr>
              <w:t> </w:t>
            </w:r>
          </w:p>
        </w:tc>
        <w:tc>
          <w:tcPr>
            <w:tcW w:w="532" w:type="pct"/>
            <w:tcBorders>
              <w:top w:val="nil"/>
              <w:left w:val="single" w:sz="4" w:space="0" w:color="auto"/>
              <w:bottom w:val="single" w:sz="4" w:space="0" w:color="auto"/>
              <w:right w:val="single" w:sz="4" w:space="0" w:color="auto"/>
            </w:tcBorders>
            <w:shd w:val="clear" w:color="auto" w:fill="auto"/>
            <w:noWrap/>
            <w:vAlign w:val="bottom"/>
            <w:hideMark/>
          </w:tcPr>
          <w:p w14:paraId="0885F32D" w14:textId="77777777" w:rsidR="00C312F3" w:rsidRPr="00156EEF" w:rsidRDefault="00C312F3" w:rsidP="009460FF">
            <w:pPr>
              <w:spacing w:after="0"/>
              <w:ind w:left="0" w:firstLine="0"/>
              <w:jc w:val="left"/>
              <w:rPr>
                <w:rFonts w:ascii="Calibri" w:hAnsi="Calibri"/>
                <w:sz w:val="20"/>
              </w:rPr>
            </w:pPr>
            <w:r w:rsidRPr="00156EEF">
              <w:rPr>
                <w:rFonts w:ascii="Calibri" w:hAnsi="Calibri"/>
                <w:sz w:val="20"/>
              </w:rPr>
              <w:t> </w:t>
            </w:r>
          </w:p>
        </w:tc>
      </w:tr>
      <w:tr w:rsidR="00C312F3" w:rsidRPr="00156EEF" w14:paraId="2FE4B82A" w14:textId="77777777" w:rsidTr="009460FF">
        <w:trPr>
          <w:trHeight w:val="5235"/>
          <w:jc w:val="center"/>
        </w:trPr>
        <w:tc>
          <w:tcPr>
            <w:tcW w:w="302" w:type="pct"/>
            <w:tcBorders>
              <w:top w:val="single" w:sz="4" w:space="0" w:color="auto"/>
              <w:left w:val="double" w:sz="6" w:space="0" w:color="auto"/>
              <w:bottom w:val="single" w:sz="8" w:space="0" w:color="auto"/>
              <w:right w:val="single" w:sz="8" w:space="0" w:color="auto"/>
            </w:tcBorders>
            <w:shd w:val="clear" w:color="auto" w:fill="auto"/>
            <w:vAlign w:val="center"/>
            <w:hideMark/>
          </w:tcPr>
          <w:p w14:paraId="399A8589" w14:textId="77777777" w:rsidR="00C312F3" w:rsidRPr="00156EEF" w:rsidRDefault="00C312F3" w:rsidP="009460FF">
            <w:pPr>
              <w:spacing w:after="0"/>
              <w:ind w:left="0" w:firstLine="0"/>
              <w:jc w:val="center"/>
              <w:rPr>
                <w:rFonts w:ascii="Arial" w:hAnsi="Arial" w:cs="Arial"/>
                <w:sz w:val="20"/>
              </w:rPr>
            </w:pPr>
            <w:r w:rsidRPr="00156EEF">
              <w:rPr>
                <w:rFonts w:ascii="Arial" w:hAnsi="Arial" w:cs="Arial"/>
                <w:sz w:val="20"/>
              </w:rPr>
              <w:t>2.1</w:t>
            </w:r>
          </w:p>
        </w:tc>
        <w:tc>
          <w:tcPr>
            <w:tcW w:w="3129" w:type="pct"/>
            <w:tcBorders>
              <w:top w:val="single" w:sz="4" w:space="0" w:color="auto"/>
              <w:left w:val="nil"/>
              <w:bottom w:val="single" w:sz="8" w:space="0" w:color="auto"/>
              <w:right w:val="single" w:sz="8" w:space="0" w:color="auto"/>
            </w:tcBorders>
            <w:shd w:val="clear" w:color="auto" w:fill="auto"/>
            <w:hideMark/>
          </w:tcPr>
          <w:p w14:paraId="7801B621" w14:textId="77777777" w:rsidR="00C312F3" w:rsidRPr="00156EEF" w:rsidRDefault="00C312F3" w:rsidP="009460FF">
            <w:pPr>
              <w:spacing w:after="0"/>
              <w:ind w:left="0" w:firstLine="0"/>
              <w:jc w:val="left"/>
              <w:rPr>
                <w:b/>
                <w:bCs/>
                <w:sz w:val="20"/>
              </w:rPr>
            </w:pPr>
            <w:r w:rsidRPr="00156EEF">
              <w:rPr>
                <w:b/>
                <w:bCs/>
                <w:sz w:val="20"/>
              </w:rPr>
              <w:t xml:space="preserve">Déblai en terrain ordinaire pour tranchée d'ancrage du mur d'étanchéité y compris fouilles éventuelles sous eau et blindage des parois                                                                                                                 </w:t>
            </w:r>
            <w:r w:rsidRPr="00156EEF">
              <w:rPr>
                <w:sz w:val="18"/>
                <w:szCs w:val="18"/>
              </w:rPr>
              <w:t>Le prix rémunère le matériel (engins de terrassement telle une pelle mécanique) et le personnel qualifié nécessaire pour l'exécution correcte des fouilles de la tranchée d’ancrage de l’ouvrage.</w:t>
            </w:r>
            <w:r w:rsidRPr="00156EEF">
              <w:rPr>
                <w:sz w:val="18"/>
                <w:szCs w:val="18"/>
              </w:rPr>
              <w:br/>
              <w:t>Ce prix comprend :</w:t>
            </w:r>
            <w:r w:rsidRPr="00156EEF">
              <w:rPr>
                <w:sz w:val="18"/>
                <w:szCs w:val="18"/>
              </w:rPr>
              <w:br/>
              <w:t>- Tous les travaux d'accomplissement des profils de déblais ;</w:t>
            </w:r>
            <w:r w:rsidRPr="00156EEF">
              <w:rPr>
                <w:sz w:val="18"/>
                <w:szCs w:val="18"/>
              </w:rPr>
              <w:br/>
              <w:t>- Les coûts liés à l’emploi des engins lourds (locations, carburants, mains d’œuvre qualifié);</w:t>
            </w:r>
            <w:r w:rsidRPr="00156EEF">
              <w:rPr>
                <w:sz w:val="18"/>
                <w:szCs w:val="18"/>
              </w:rPr>
              <w:br/>
              <w:t>- Les coûts liés à l’emploi d’un compresseur ou des explosifs ;</w:t>
            </w:r>
            <w:r w:rsidRPr="00156EEF">
              <w:rPr>
                <w:sz w:val="18"/>
                <w:szCs w:val="18"/>
              </w:rPr>
              <w:br/>
              <w:t>- La réalisation des déblais de finition éventuelle ;</w:t>
            </w:r>
            <w:r w:rsidRPr="00156EEF">
              <w:rPr>
                <w:sz w:val="18"/>
                <w:szCs w:val="18"/>
              </w:rPr>
              <w:br/>
              <w:t>- Les sur largeurs provisoires des déblais puis le taillage de ces talus ;</w:t>
            </w:r>
            <w:r w:rsidRPr="00156EEF">
              <w:rPr>
                <w:sz w:val="18"/>
                <w:szCs w:val="18"/>
              </w:rPr>
              <w:br/>
              <w:t>- Le chargement des déblais et leur dépôt hors emprise des ouvrages ;</w:t>
            </w:r>
            <w:r w:rsidRPr="00156EEF">
              <w:rPr>
                <w:sz w:val="18"/>
                <w:szCs w:val="18"/>
              </w:rPr>
              <w:br/>
              <w:t>- Le réglage, le compactage et la finition du fond de forme ;</w:t>
            </w:r>
            <w:r w:rsidRPr="00156EEF">
              <w:rPr>
                <w:sz w:val="18"/>
                <w:szCs w:val="18"/>
              </w:rPr>
              <w:br/>
              <w:t>- Le dressage des talus du déblai ;</w:t>
            </w:r>
            <w:r w:rsidRPr="00156EEF">
              <w:rPr>
                <w:sz w:val="18"/>
                <w:szCs w:val="18"/>
              </w:rPr>
              <w:br/>
              <w:t>- Toutes les sujétions d’extraction des matériaux et l’extraction elle-même ;</w:t>
            </w:r>
            <w:r w:rsidRPr="00156EEF">
              <w:rPr>
                <w:sz w:val="18"/>
                <w:szCs w:val="18"/>
              </w:rPr>
              <w:br/>
              <w:t>- La mise en dépôt provisoire du stock qui en découlerait ;</w:t>
            </w:r>
            <w:r w:rsidRPr="00156EEF">
              <w:rPr>
                <w:sz w:val="18"/>
                <w:szCs w:val="18"/>
              </w:rPr>
              <w:br/>
              <w:t>- La finition des dépôts ;</w:t>
            </w:r>
            <w:r w:rsidRPr="00156EEF">
              <w:rPr>
                <w:sz w:val="18"/>
                <w:szCs w:val="18"/>
              </w:rPr>
              <w:br/>
              <w:t>- Et toutes sujétions d’exécution et de main d’œuvre qualifié et non qualifiée.</w:t>
            </w:r>
            <w:r w:rsidRPr="00156EEF">
              <w:rPr>
                <w:sz w:val="18"/>
                <w:szCs w:val="18"/>
              </w:rPr>
              <w:br/>
            </w:r>
            <w:r w:rsidRPr="00156EEF">
              <w:rPr>
                <w:sz w:val="18"/>
                <w:szCs w:val="18"/>
              </w:rPr>
              <w:br/>
            </w:r>
            <w:r w:rsidRPr="00156EEF">
              <w:rPr>
                <w:i/>
                <w:sz w:val="18"/>
                <w:szCs w:val="18"/>
              </w:rPr>
              <w:t>Ce prix s’applique au mètre cube (m3) théorique de déblai, les côtes du terrain naturel étant celles obtenues par levés contradictoires des profils en travers minorés de l'épaisseur du décapage éventuel.</w:t>
            </w:r>
          </w:p>
        </w:tc>
        <w:tc>
          <w:tcPr>
            <w:tcW w:w="429" w:type="pct"/>
            <w:tcBorders>
              <w:top w:val="single" w:sz="4" w:space="0" w:color="auto"/>
              <w:left w:val="nil"/>
              <w:bottom w:val="single" w:sz="8" w:space="0" w:color="auto"/>
              <w:right w:val="single" w:sz="8" w:space="0" w:color="auto"/>
            </w:tcBorders>
            <w:shd w:val="clear" w:color="auto" w:fill="auto"/>
            <w:vAlign w:val="center"/>
            <w:hideMark/>
          </w:tcPr>
          <w:p w14:paraId="74B4F643" w14:textId="77777777" w:rsidR="00C312F3" w:rsidRPr="00156EEF" w:rsidRDefault="00C312F3" w:rsidP="009460FF">
            <w:pPr>
              <w:spacing w:after="0"/>
              <w:ind w:left="0" w:firstLine="0"/>
              <w:jc w:val="center"/>
              <w:rPr>
                <w:sz w:val="20"/>
              </w:rPr>
            </w:pPr>
            <w:r w:rsidRPr="00156EEF">
              <w:rPr>
                <w:sz w:val="20"/>
              </w:rPr>
              <w:t>m</w:t>
            </w:r>
            <w:r w:rsidRPr="00156EEF">
              <w:rPr>
                <w:sz w:val="20"/>
                <w:vertAlign w:val="superscript"/>
              </w:rPr>
              <w:t>3</w:t>
            </w:r>
          </w:p>
        </w:tc>
        <w:tc>
          <w:tcPr>
            <w:tcW w:w="608" w:type="pct"/>
            <w:tcBorders>
              <w:top w:val="single" w:sz="4" w:space="0" w:color="auto"/>
              <w:left w:val="nil"/>
              <w:bottom w:val="single" w:sz="8" w:space="0" w:color="auto"/>
              <w:right w:val="nil"/>
            </w:tcBorders>
            <w:shd w:val="clear" w:color="auto" w:fill="auto"/>
            <w:vAlign w:val="center"/>
            <w:hideMark/>
          </w:tcPr>
          <w:p w14:paraId="5D58664B" w14:textId="77777777" w:rsidR="00C312F3" w:rsidRPr="00156EEF" w:rsidRDefault="00C312F3" w:rsidP="009460FF">
            <w:pPr>
              <w:spacing w:after="0"/>
              <w:ind w:left="0" w:firstLine="0"/>
              <w:jc w:val="center"/>
              <w:rPr>
                <w:rFonts w:ascii="Arial" w:hAnsi="Arial" w:cs="Arial"/>
                <w:sz w:val="20"/>
              </w:rPr>
            </w:pPr>
            <w:r w:rsidRPr="00156EEF">
              <w:rPr>
                <w:rFonts w:ascii="Arial" w:hAnsi="Arial" w:cs="Arial"/>
                <w:sz w:val="20"/>
              </w:rPr>
              <w:t> </w:t>
            </w:r>
          </w:p>
        </w:tc>
        <w:tc>
          <w:tcPr>
            <w:tcW w:w="53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593220" w14:textId="77777777" w:rsidR="00C312F3" w:rsidRPr="00156EEF" w:rsidRDefault="00C312F3" w:rsidP="009460FF">
            <w:pPr>
              <w:spacing w:after="0"/>
              <w:ind w:left="0" w:firstLine="0"/>
              <w:jc w:val="left"/>
              <w:rPr>
                <w:rFonts w:ascii="Calibri" w:hAnsi="Calibri"/>
                <w:sz w:val="20"/>
              </w:rPr>
            </w:pPr>
            <w:r w:rsidRPr="00156EEF">
              <w:rPr>
                <w:rFonts w:ascii="Calibri" w:hAnsi="Calibri"/>
                <w:sz w:val="20"/>
              </w:rPr>
              <w:t> </w:t>
            </w:r>
          </w:p>
        </w:tc>
      </w:tr>
      <w:tr w:rsidR="00C312F3" w:rsidRPr="00156EEF" w14:paraId="49E28341" w14:textId="77777777" w:rsidTr="009460FF">
        <w:trPr>
          <w:trHeight w:val="4935"/>
          <w:jc w:val="center"/>
        </w:trPr>
        <w:tc>
          <w:tcPr>
            <w:tcW w:w="302" w:type="pct"/>
            <w:tcBorders>
              <w:top w:val="nil"/>
              <w:left w:val="double" w:sz="6" w:space="0" w:color="auto"/>
              <w:bottom w:val="single" w:sz="8" w:space="0" w:color="auto"/>
              <w:right w:val="single" w:sz="8" w:space="0" w:color="auto"/>
            </w:tcBorders>
            <w:shd w:val="clear" w:color="auto" w:fill="auto"/>
            <w:vAlign w:val="center"/>
            <w:hideMark/>
          </w:tcPr>
          <w:p w14:paraId="7479E21F" w14:textId="77777777" w:rsidR="00C312F3" w:rsidRPr="00156EEF" w:rsidRDefault="00C312F3" w:rsidP="009460FF">
            <w:pPr>
              <w:spacing w:after="0"/>
              <w:ind w:left="0" w:firstLine="0"/>
              <w:jc w:val="center"/>
              <w:rPr>
                <w:rFonts w:ascii="Arial" w:hAnsi="Arial" w:cs="Arial"/>
                <w:sz w:val="20"/>
              </w:rPr>
            </w:pPr>
            <w:r w:rsidRPr="00156EEF">
              <w:rPr>
                <w:rFonts w:ascii="Arial" w:hAnsi="Arial" w:cs="Arial"/>
                <w:sz w:val="20"/>
              </w:rPr>
              <w:t>2.2</w:t>
            </w:r>
          </w:p>
        </w:tc>
        <w:tc>
          <w:tcPr>
            <w:tcW w:w="3129" w:type="pct"/>
            <w:tcBorders>
              <w:top w:val="nil"/>
              <w:left w:val="nil"/>
              <w:bottom w:val="single" w:sz="8" w:space="0" w:color="auto"/>
              <w:right w:val="single" w:sz="8" w:space="0" w:color="auto"/>
            </w:tcBorders>
            <w:shd w:val="clear" w:color="auto" w:fill="auto"/>
            <w:hideMark/>
          </w:tcPr>
          <w:p w14:paraId="02E4A851" w14:textId="77777777" w:rsidR="00C312F3" w:rsidRPr="00156EEF" w:rsidRDefault="00C312F3" w:rsidP="009460FF">
            <w:pPr>
              <w:spacing w:after="0"/>
              <w:ind w:left="0" w:firstLine="0"/>
              <w:jc w:val="left"/>
              <w:rPr>
                <w:sz w:val="18"/>
                <w:szCs w:val="18"/>
              </w:rPr>
            </w:pPr>
            <w:r w:rsidRPr="00156EEF">
              <w:rPr>
                <w:b/>
                <w:bCs/>
                <w:sz w:val="20"/>
              </w:rPr>
              <w:t xml:space="preserve">Déblai en terrain ordinaire pour fondation du contrefort                                          </w:t>
            </w:r>
            <w:r w:rsidRPr="00156EEF">
              <w:rPr>
                <w:sz w:val="18"/>
                <w:szCs w:val="18"/>
              </w:rPr>
              <w:t>Le prix rémunère le matériel (engins de terrassement telle une pelle mécanique) et le personnel qualifié nécessaire pour l'exécution correcte des fouilles de la tranchée d’ancrage de du contrefort et buté.</w:t>
            </w:r>
            <w:r w:rsidRPr="00156EEF">
              <w:rPr>
                <w:sz w:val="18"/>
                <w:szCs w:val="18"/>
              </w:rPr>
              <w:br/>
              <w:t>Ce prix comprend :</w:t>
            </w:r>
            <w:r w:rsidRPr="00156EEF">
              <w:rPr>
                <w:sz w:val="18"/>
                <w:szCs w:val="18"/>
              </w:rPr>
              <w:br/>
              <w:t>- tous les travaux d'accomplissement des profils de déblais;</w:t>
            </w:r>
            <w:r w:rsidRPr="00156EEF">
              <w:rPr>
                <w:sz w:val="18"/>
                <w:szCs w:val="18"/>
              </w:rPr>
              <w:br/>
              <w:t>- les coûts liés à l’emploi des engins lourds (locations, carburants, mains d’œuvre qualifié);</w:t>
            </w:r>
            <w:r w:rsidRPr="00156EEF">
              <w:rPr>
                <w:sz w:val="18"/>
                <w:szCs w:val="18"/>
              </w:rPr>
              <w:br/>
              <w:t>- les coûts liés à l’emploi d’un compresseur ou des explosifs;</w:t>
            </w:r>
            <w:r w:rsidRPr="00156EEF">
              <w:rPr>
                <w:sz w:val="18"/>
                <w:szCs w:val="18"/>
              </w:rPr>
              <w:br/>
              <w:t>- la réalisation des déblais de finition éventuelle;</w:t>
            </w:r>
            <w:r w:rsidRPr="00156EEF">
              <w:rPr>
                <w:sz w:val="18"/>
                <w:szCs w:val="18"/>
              </w:rPr>
              <w:br/>
              <w:t>- les sur largeurs provisoires des déblais puis le taillage de ces talus;</w:t>
            </w:r>
            <w:r w:rsidRPr="00156EEF">
              <w:rPr>
                <w:sz w:val="18"/>
                <w:szCs w:val="18"/>
              </w:rPr>
              <w:br/>
              <w:t>- le chargement des déblais et leur dépôt hors emprise des ouvrages;</w:t>
            </w:r>
            <w:r w:rsidRPr="00156EEF">
              <w:rPr>
                <w:sz w:val="18"/>
                <w:szCs w:val="18"/>
              </w:rPr>
              <w:br/>
              <w:t>- le réglage, le compactage et la finition du fond de forme;</w:t>
            </w:r>
            <w:r w:rsidRPr="00156EEF">
              <w:rPr>
                <w:sz w:val="18"/>
                <w:szCs w:val="18"/>
              </w:rPr>
              <w:br/>
              <w:t>- le dressage des talus du déblai;</w:t>
            </w:r>
            <w:r w:rsidRPr="00156EEF">
              <w:rPr>
                <w:sz w:val="18"/>
                <w:szCs w:val="18"/>
              </w:rPr>
              <w:br/>
              <w:t>- toutes les sujétions d’extraction des matériaux et l’extraction elle-même;</w:t>
            </w:r>
            <w:r w:rsidRPr="00156EEF">
              <w:rPr>
                <w:sz w:val="18"/>
                <w:szCs w:val="18"/>
              </w:rPr>
              <w:br/>
              <w:t>- la mise en dépôt provisoire du stock qui en découlerait;</w:t>
            </w:r>
            <w:r w:rsidRPr="00156EEF">
              <w:rPr>
                <w:sz w:val="18"/>
                <w:szCs w:val="18"/>
              </w:rPr>
              <w:br/>
              <w:t>- la finition des dépôts;</w:t>
            </w:r>
            <w:r w:rsidRPr="00156EEF">
              <w:rPr>
                <w:sz w:val="18"/>
                <w:szCs w:val="18"/>
              </w:rPr>
              <w:br/>
              <w:t>- et toutes sujétions d’exécution et de main d’œuvre qualifié et non qualifiée.</w:t>
            </w:r>
          </w:p>
          <w:p w14:paraId="1919D204" w14:textId="77777777" w:rsidR="00C312F3" w:rsidRPr="00156EEF" w:rsidRDefault="00C312F3" w:rsidP="009460FF">
            <w:pPr>
              <w:spacing w:after="0"/>
              <w:ind w:left="0" w:firstLine="0"/>
              <w:jc w:val="left"/>
              <w:rPr>
                <w:b/>
                <w:bCs/>
                <w:sz w:val="20"/>
              </w:rPr>
            </w:pPr>
            <w:r w:rsidRPr="00156EEF">
              <w:rPr>
                <w:sz w:val="18"/>
                <w:szCs w:val="18"/>
              </w:rPr>
              <w:br/>
            </w:r>
            <w:r w:rsidRPr="00156EEF">
              <w:rPr>
                <w:i/>
                <w:sz w:val="18"/>
                <w:szCs w:val="18"/>
              </w:rPr>
              <w:t>Ce prix s’applique au mètre cube (m3) théorique de déblai en terrain dur, les côtes du terrain naturel étant celles obtenues par levés contradictoires des profils en travers minorés de l'épaisseur du décapage éventuel.</w:t>
            </w:r>
          </w:p>
        </w:tc>
        <w:tc>
          <w:tcPr>
            <w:tcW w:w="429" w:type="pct"/>
            <w:tcBorders>
              <w:top w:val="nil"/>
              <w:left w:val="nil"/>
              <w:bottom w:val="single" w:sz="8" w:space="0" w:color="auto"/>
              <w:right w:val="single" w:sz="8" w:space="0" w:color="auto"/>
            </w:tcBorders>
            <w:shd w:val="clear" w:color="auto" w:fill="auto"/>
            <w:vAlign w:val="center"/>
            <w:hideMark/>
          </w:tcPr>
          <w:p w14:paraId="0E9AABD7" w14:textId="77777777" w:rsidR="00C312F3" w:rsidRPr="00156EEF" w:rsidRDefault="00C312F3" w:rsidP="009460FF">
            <w:pPr>
              <w:spacing w:after="0"/>
              <w:ind w:left="0" w:firstLine="0"/>
              <w:jc w:val="center"/>
              <w:rPr>
                <w:sz w:val="20"/>
              </w:rPr>
            </w:pPr>
            <w:r w:rsidRPr="00156EEF">
              <w:rPr>
                <w:sz w:val="20"/>
              </w:rPr>
              <w:t>m</w:t>
            </w:r>
            <w:r w:rsidRPr="00156EEF">
              <w:rPr>
                <w:sz w:val="20"/>
                <w:vertAlign w:val="superscript"/>
              </w:rPr>
              <w:t>3</w:t>
            </w:r>
          </w:p>
        </w:tc>
        <w:tc>
          <w:tcPr>
            <w:tcW w:w="608" w:type="pct"/>
            <w:tcBorders>
              <w:top w:val="nil"/>
              <w:left w:val="nil"/>
              <w:bottom w:val="single" w:sz="8" w:space="0" w:color="auto"/>
              <w:right w:val="nil"/>
            </w:tcBorders>
            <w:shd w:val="clear" w:color="auto" w:fill="auto"/>
            <w:vAlign w:val="center"/>
            <w:hideMark/>
          </w:tcPr>
          <w:p w14:paraId="5EBF0D0D" w14:textId="77777777" w:rsidR="00C312F3" w:rsidRPr="00156EEF" w:rsidRDefault="00C312F3" w:rsidP="009460FF">
            <w:pPr>
              <w:spacing w:after="0"/>
              <w:ind w:left="0" w:firstLine="0"/>
              <w:jc w:val="center"/>
              <w:rPr>
                <w:rFonts w:ascii="Arial" w:hAnsi="Arial" w:cs="Arial"/>
                <w:sz w:val="20"/>
              </w:rPr>
            </w:pPr>
          </w:p>
        </w:tc>
        <w:tc>
          <w:tcPr>
            <w:tcW w:w="532" w:type="pct"/>
            <w:tcBorders>
              <w:top w:val="nil"/>
              <w:left w:val="single" w:sz="4" w:space="0" w:color="auto"/>
              <w:bottom w:val="single" w:sz="4" w:space="0" w:color="auto"/>
              <w:right w:val="single" w:sz="4" w:space="0" w:color="auto"/>
            </w:tcBorders>
            <w:shd w:val="clear" w:color="auto" w:fill="auto"/>
            <w:noWrap/>
            <w:vAlign w:val="bottom"/>
            <w:hideMark/>
          </w:tcPr>
          <w:p w14:paraId="6264A388" w14:textId="77777777" w:rsidR="00C312F3" w:rsidRPr="00156EEF" w:rsidRDefault="00C312F3" w:rsidP="009460FF">
            <w:pPr>
              <w:spacing w:after="0"/>
              <w:ind w:left="0" w:firstLine="0"/>
              <w:jc w:val="left"/>
              <w:rPr>
                <w:rFonts w:ascii="Calibri" w:hAnsi="Calibri"/>
                <w:sz w:val="20"/>
              </w:rPr>
            </w:pPr>
            <w:r w:rsidRPr="00156EEF">
              <w:rPr>
                <w:rFonts w:ascii="Calibri" w:hAnsi="Calibri"/>
                <w:sz w:val="20"/>
              </w:rPr>
              <w:t> </w:t>
            </w:r>
          </w:p>
        </w:tc>
      </w:tr>
      <w:tr w:rsidR="00C312F3" w:rsidRPr="00156EEF" w14:paraId="102B531F" w14:textId="77777777" w:rsidTr="009460FF">
        <w:trPr>
          <w:trHeight w:val="3195"/>
          <w:jc w:val="center"/>
        </w:trPr>
        <w:tc>
          <w:tcPr>
            <w:tcW w:w="302" w:type="pct"/>
            <w:tcBorders>
              <w:top w:val="single" w:sz="4" w:space="0" w:color="auto"/>
              <w:left w:val="double" w:sz="6" w:space="0" w:color="auto"/>
              <w:bottom w:val="single" w:sz="8" w:space="0" w:color="auto"/>
              <w:right w:val="single" w:sz="8" w:space="0" w:color="auto"/>
            </w:tcBorders>
            <w:shd w:val="clear" w:color="auto" w:fill="auto"/>
            <w:vAlign w:val="center"/>
            <w:hideMark/>
          </w:tcPr>
          <w:p w14:paraId="11D22F34" w14:textId="77777777" w:rsidR="00C312F3" w:rsidRPr="00156EEF" w:rsidRDefault="00C312F3" w:rsidP="009460FF">
            <w:pPr>
              <w:spacing w:after="0"/>
              <w:ind w:left="0" w:firstLine="0"/>
              <w:jc w:val="center"/>
              <w:rPr>
                <w:rFonts w:ascii="Arial" w:hAnsi="Arial" w:cs="Arial"/>
                <w:sz w:val="20"/>
              </w:rPr>
            </w:pPr>
            <w:r w:rsidRPr="00156EEF">
              <w:rPr>
                <w:rFonts w:ascii="Arial" w:hAnsi="Arial" w:cs="Arial"/>
                <w:sz w:val="20"/>
              </w:rPr>
              <w:lastRenderedPageBreak/>
              <w:t>2.3</w:t>
            </w:r>
          </w:p>
        </w:tc>
        <w:tc>
          <w:tcPr>
            <w:tcW w:w="3129" w:type="pct"/>
            <w:tcBorders>
              <w:top w:val="single" w:sz="4" w:space="0" w:color="auto"/>
              <w:left w:val="nil"/>
              <w:bottom w:val="single" w:sz="8" w:space="0" w:color="auto"/>
              <w:right w:val="single" w:sz="8" w:space="0" w:color="auto"/>
            </w:tcBorders>
            <w:shd w:val="clear" w:color="auto" w:fill="auto"/>
            <w:hideMark/>
          </w:tcPr>
          <w:p w14:paraId="4769A885" w14:textId="77777777" w:rsidR="00C312F3" w:rsidRPr="00156EEF" w:rsidRDefault="00C312F3" w:rsidP="009460FF">
            <w:pPr>
              <w:spacing w:after="0"/>
              <w:ind w:left="0" w:firstLine="0"/>
              <w:jc w:val="left"/>
              <w:rPr>
                <w:sz w:val="18"/>
                <w:szCs w:val="18"/>
              </w:rPr>
            </w:pPr>
            <w:r w:rsidRPr="00156EEF">
              <w:rPr>
                <w:b/>
                <w:bCs/>
                <w:sz w:val="20"/>
              </w:rPr>
              <w:t>Béton de propreté dosé à 150kg/m</w:t>
            </w:r>
            <w:r w:rsidRPr="00156EEF">
              <w:rPr>
                <w:b/>
                <w:bCs/>
                <w:sz w:val="20"/>
                <w:vertAlign w:val="superscript"/>
              </w:rPr>
              <w:t>3</w:t>
            </w:r>
            <w:r w:rsidRPr="00156EEF">
              <w:rPr>
                <w:b/>
                <w:bCs/>
                <w:sz w:val="20"/>
              </w:rPr>
              <w:t xml:space="preserve"> e=10cm pour mur étanche et contrefort                                                                                                    </w:t>
            </w:r>
            <w:r w:rsidRPr="00156EEF">
              <w:rPr>
                <w:sz w:val="18"/>
                <w:szCs w:val="18"/>
              </w:rPr>
              <w:t>Ce prix rémunère la fourniture et la mise en œuvre du béton de propreté dosé à 150 kg de ciment par mètre cube sur une épaisseur de 10cm sous l’assise du seuil et du contrefort.</w:t>
            </w:r>
            <w:r w:rsidRPr="00156EEF">
              <w:rPr>
                <w:sz w:val="18"/>
                <w:szCs w:val="18"/>
              </w:rPr>
              <w:br/>
              <w:t>Ce prix comprend conformément aux spécifications des prescriptions techniques :</w:t>
            </w:r>
            <w:r w:rsidRPr="00156EEF">
              <w:rPr>
                <w:sz w:val="18"/>
                <w:szCs w:val="18"/>
              </w:rPr>
              <w:br/>
              <w:t>- la fourniture et le transport sur le lieu d’emploi de tous les matériaux nécessaires à la fabrication du béton, et aux coffrages éventuels;</w:t>
            </w:r>
            <w:r w:rsidRPr="00156EEF">
              <w:rPr>
                <w:sz w:val="18"/>
                <w:szCs w:val="18"/>
              </w:rPr>
              <w:br/>
              <w:t>- le stockage de ces matériaux;</w:t>
            </w:r>
            <w:r w:rsidRPr="00156EEF">
              <w:rPr>
                <w:sz w:val="18"/>
                <w:szCs w:val="18"/>
              </w:rPr>
              <w:br/>
              <w:t>- la fabrication, la mise en œuvre, le serrage et la cure du béton;</w:t>
            </w:r>
            <w:r w:rsidRPr="00156EEF">
              <w:rPr>
                <w:sz w:val="18"/>
                <w:szCs w:val="18"/>
              </w:rPr>
              <w:br/>
              <w:t>- le décoffrage éventuel;</w:t>
            </w:r>
            <w:r w:rsidRPr="00156EEF">
              <w:rPr>
                <w:sz w:val="18"/>
                <w:szCs w:val="18"/>
              </w:rPr>
              <w:br/>
              <w:t>- et toutes sujétions d'exécution et de main d’œuvre qualifié et non qualifiée.</w:t>
            </w:r>
          </w:p>
          <w:p w14:paraId="3B72CCDC" w14:textId="77777777" w:rsidR="00C312F3" w:rsidRPr="00156EEF" w:rsidRDefault="00C312F3" w:rsidP="009460FF">
            <w:pPr>
              <w:spacing w:after="0"/>
              <w:ind w:left="0" w:firstLine="0"/>
              <w:jc w:val="left"/>
              <w:rPr>
                <w:b/>
                <w:bCs/>
                <w:sz w:val="20"/>
              </w:rPr>
            </w:pPr>
            <w:r w:rsidRPr="00156EEF">
              <w:rPr>
                <w:sz w:val="18"/>
                <w:szCs w:val="18"/>
              </w:rPr>
              <w:br/>
            </w:r>
            <w:r w:rsidRPr="00156EEF">
              <w:rPr>
                <w:i/>
                <w:sz w:val="18"/>
                <w:szCs w:val="18"/>
              </w:rPr>
              <w:t>Ce prix s’applique au volume, en mètre cube (m3), de béton de propreté dosé à 150 kg/m3 coulé, avec comme valeur maximale celle obtenue à partir des plans d’exécution des ouvrages.</w:t>
            </w:r>
          </w:p>
        </w:tc>
        <w:tc>
          <w:tcPr>
            <w:tcW w:w="429" w:type="pct"/>
            <w:tcBorders>
              <w:top w:val="single" w:sz="4" w:space="0" w:color="auto"/>
              <w:left w:val="nil"/>
              <w:bottom w:val="single" w:sz="8" w:space="0" w:color="auto"/>
              <w:right w:val="single" w:sz="8" w:space="0" w:color="auto"/>
            </w:tcBorders>
            <w:shd w:val="clear" w:color="auto" w:fill="auto"/>
            <w:vAlign w:val="center"/>
            <w:hideMark/>
          </w:tcPr>
          <w:p w14:paraId="3E29E5E5" w14:textId="77777777" w:rsidR="00C312F3" w:rsidRPr="00156EEF" w:rsidRDefault="00C312F3" w:rsidP="009460FF">
            <w:pPr>
              <w:spacing w:after="0"/>
              <w:ind w:left="0" w:firstLine="0"/>
              <w:jc w:val="center"/>
              <w:rPr>
                <w:sz w:val="20"/>
              </w:rPr>
            </w:pPr>
            <w:r w:rsidRPr="00156EEF">
              <w:rPr>
                <w:sz w:val="20"/>
              </w:rPr>
              <w:t>m</w:t>
            </w:r>
            <w:r w:rsidRPr="00156EEF">
              <w:rPr>
                <w:sz w:val="20"/>
                <w:vertAlign w:val="superscript"/>
              </w:rPr>
              <w:t>3</w:t>
            </w:r>
          </w:p>
        </w:tc>
        <w:tc>
          <w:tcPr>
            <w:tcW w:w="608" w:type="pct"/>
            <w:tcBorders>
              <w:top w:val="single" w:sz="4" w:space="0" w:color="auto"/>
              <w:left w:val="nil"/>
              <w:bottom w:val="single" w:sz="8" w:space="0" w:color="auto"/>
              <w:right w:val="nil"/>
            </w:tcBorders>
            <w:shd w:val="clear" w:color="auto" w:fill="auto"/>
            <w:vAlign w:val="center"/>
            <w:hideMark/>
          </w:tcPr>
          <w:p w14:paraId="68655117" w14:textId="77777777" w:rsidR="00C312F3" w:rsidRPr="00156EEF" w:rsidRDefault="00C312F3" w:rsidP="009460FF">
            <w:pPr>
              <w:spacing w:after="0"/>
              <w:ind w:left="0" w:firstLine="0"/>
              <w:jc w:val="center"/>
              <w:rPr>
                <w:rFonts w:ascii="Arial" w:hAnsi="Arial" w:cs="Arial"/>
                <w:sz w:val="20"/>
              </w:rPr>
            </w:pPr>
          </w:p>
        </w:tc>
        <w:tc>
          <w:tcPr>
            <w:tcW w:w="53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E4C376" w14:textId="77777777" w:rsidR="00C312F3" w:rsidRPr="00156EEF" w:rsidRDefault="00C312F3" w:rsidP="009460FF">
            <w:pPr>
              <w:spacing w:after="0"/>
              <w:ind w:left="0" w:firstLine="0"/>
              <w:jc w:val="left"/>
              <w:rPr>
                <w:rFonts w:ascii="Calibri" w:hAnsi="Calibri"/>
                <w:sz w:val="20"/>
              </w:rPr>
            </w:pPr>
            <w:r w:rsidRPr="00156EEF">
              <w:rPr>
                <w:rFonts w:ascii="Calibri" w:hAnsi="Calibri"/>
                <w:sz w:val="20"/>
              </w:rPr>
              <w:t> </w:t>
            </w:r>
          </w:p>
        </w:tc>
      </w:tr>
      <w:tr w:rsidR="00C312F3" w:rsidRPr="00156EEF" w14:paraId="2D3D56F9" w14:textId="77777777" w:rsidTr="009460FF">
        <w:trPr>
          <w:trHeight w:val="8192"/>
          <w:jc w:val="center"/>
        </w:trPr>
        <w:tc>
          <w:tcPr>
            <w:tcW w:w="302" w:type="pct"/>
            <w:tcBorders>
              <w:top w:val="nil"/>
              <w:left w:val="double" w:sz="6" w:space="0" w:color="auto"/>
              <w:bottom w:val="single" w:sz="8" w:space="0" w:color="auto"/>
              <w:right w:val="single" w:sz="8" w:space="0" w:color="auto"/>
            </w:tcBorders>
            <w:shd w:val="clear" w:color="auto" w:fill="auto"/>
            <w:vAlign w:val="center"/>
            <w:hideMark/>
          </w:tcPr>
          <w:p w14:paraId="69208A26" w14:textId="77777777" w:rsidR="00C312F3" w:rsidRPr="00156EEF" w:rsidRDefault="00C312F3" w:rsidP="009460FF">
            <w:pPr>
              <w:spacing w:after="0"/>
              <w:ind w:left="0" w:firstLine="0"/>
              <w:jc w:val="center"/>
              <w:rPr>
                <w:rFonts w:ascii="Arial" w:hAnsi="Arial" w:cs="Arial"/>
                <w:sz w:val="20"/>
              </w:rPr>
            </w:pPr>
            <w:r w:rsidRPr="00156EEF">
              <w:rPr>
                <w:rFonts w:ascii="Arial" w:hAnsi="Arial" w:cs="Arial"/>
                <w:sz w:val="20"/>
              </w:rPr>
              <w:t>2.4</w:t>
            </w:r>
          </w:p>
        </w:tc>
        <w:tc>
          <w:tcPr>
            <w:tcW w:w="3129" w:type="pct"/>
            <w:tcBorders>
              <w:top w:val="nil"/>
              <w:left w:val="nil"/>
              <w:bottom w:val="single" w:sz="8" w:space="0" w:color="auto"/>
              <w:right w:val="single" w:sz="8" w:space="0" w:color="auto"/>
            </w:tcBorders>
            <w:shd w:val="clear" w:color="auto" w:fill="auto"/>
            <w:hideMark/>
          </w:tcPr>
          <w:p w14:paraId="2060D55C" w14:textId="77777777" w:rsidR="00C312F3" w:rsidRPr="00156EEF" w:rsidRDefault="00C312F3" w:rsidP="009460FF">
            <w:pPr>
              <w:spacing w:after="0"/>
              <w:ind w:left="0" w:firstLine="0"/>
              <w:jc w:val="left"/>
              <w:rPr>
                <w:b/>
                <w:bCs/>
                <w:sz w:val="20"/>
              </w:rPr>
            </w:pPr>
            <w:r w:rsidRPr="00156EEF">
              <w:rPr>
                <w:b/>
                <w:bCs/>
                <w:sz w:val="20"/>
              </w:rPr>
              <w:t>Blocage de la fouille en béton cyclopéen dosé à 350 kg/m</w:t>
            </w:r>
            <w:r w:rsidRPr="00156EEF">
              <w:rPr>
                <w:b/>
                <w:bCs/>
                <w:sz w:val="20"/>
                <w:vertAlign w:val="superscript"/>
              </w:rPr>
              <w:t>3</w:t>
            </w:r>
            <w:r w:rsidRPr="00156EEF">
              <w:rPr>
                <w:b/>
                <w:bCs/>
                <w:sz w:val="20"/>
              </w:rPr>
              <w:t xml:space="preserve"> sur le long du mur étanche et contrefort avec ajout du </w:t>
            </w:r>
            <w:proofErr w:type="spellStart"/>
            <w:r w:rsidRPr="00156EEF">
              <w:rPr>
                <w:b/>
                <w:bCs/>
                <w:sz w:val="20"/>
              </w:rPr>
              <w:t>sikhalite</w:t>
            </w:r>
            <w:proofErr w:type="spellEnd"/>
            <w:r w:rsidRPr="00156EEF">
              <w:rPr>
                <w:b/>
                <w:bCs/>
                <w:sz w:val="20"/>
              </w:rPr>
              <w:t xml:space="preserve">   </w:t>
            </w:r>
            <w:r w:rsidRPr="00156EEF">
              <w:rPr>
                <w:sz w:val="18"/>
                <w:szCs w:val="18"/>
              </w:rPr>
              <w:t xml:space="preserve">Le prix rémunère l’exécution du béton cyclopéen de l’écran d’étanchéité sur toute la longueur de l’ouvrage. Les couches de maçonnerie doivent être horizontales. </w:t>
            </w:r>
            <w:r w:rsidRPr="00156EEF">
              <w:rPr>
                <w:sz w:val="18"/>
                <w:szCs w:val="18"/>
              </w:rPr>
              <w:br/>
              <w:t xml:space="preserve">Pour les maçonneries utilisant des pierres taillées, elles doivent avoir les dimensions minimales suivantes : 300x150x200 </w:t>
            </w:r>
            <w:proofErr w:type="spellStart"/>
            <w:r w:rsidRPr="00156EEF">
              <w:rPr>
                <w:sz w:val="18"/>
                <w:szCs w:val="18"/>
              </w:rPr>
              <w:t>mm.</w:t>
            </w:r>
            <w:proofErr w:type="spellEnd"/>
            <w:r w:rsidRPr="00156EEF">
              <w:rPr>
                <w:sz w:val="18"/>
                <w:szCs w:val="18"/>
              </w:rPr>
              <w:t xml:space="preserve"> Le rapport pierres / mortier à respecter est de 50% de pierres et 50% de béton dans tous les cas. Les pierres devront être parfaitement noyées dans du béton.</w:t>
            </w:r>
            <w:r w:rsidRPr="00156EEF">
              <w:rPr>
                <w:sz w:val="18"/>
                <w:szCs w:val="18"/>
              </w:rPr>
              <w:br/>
              <w:t xml:space="preserve">Les bétons seront effectués selon le dosage du CCTP, le mètre cube de béton consiste de 0.8 m3 de gravier et 0,4 m3 de sable quoi qu'il en soit le dosage du ciment. Les graviers à utiliser doivent être propres et avoir des dimensions de 5 à 20 </w:t>
            </w:r>
            <w:proofErr w:type="spellStart"/>
            <w:r w:rsidRPr="00156EEF">
              <w:rPr>
                <w:sz w:val="18"/>
                <w:szCs w:val="18"/>
              </w:rPr>
              <w:t>mm.</w:t>
            </w:r>
            <w:proofErr w:type="spellEnd"/>
            <w:r w:rsidRPr="00156EEF">
              <w:rPr>
                <w:sz w:val="18"/>
                <w:szCs w:val="18"/>
              </w:rPr>
              <w:t xml:space="preserve"> Le béton sera dosé dans sa masse avec du </w:t>
            </w:r>
            <w:proofErr w:type="spellStart"/>
            <w:r w:rsidRPr="00156EEF">
              <w:rPr>
                <w:sz w:val="18"/>
                <w:szCs w:val="18"/>
              </w:rPr>
              <w:t>sikhalite</w:t>
            </w:r>
            <w:proofErr w:type="spellEnd"/>
            <w:r w:rsidRPr="00156EEF">
              <w:rPr>
                <w:sz w:val="18"/>
                <w:szCs w:val="18"/>
              </w:rPr>
              <w:t xml:space="preserve"> en respectant les prescriptions techniques d’emploi (soit 1 kg de </w:t>
            </w:r>
            <w:proofErr w:type="spellStart"/>
            <w:r w:rsidRPr="00156EEF">
              <w:rPr>
                <w:sz w:val="18"/>
                <w:szCs w:val="18"/>
              </w:rPr>
              <w:t>sikalite</w:t>
            </w:r>
            <w:proofErr w:type="spellEnd"/>
            <w:r w:rsidRPr="00156EEF">
              <w:rPr>
                <w:sz w:val="18"/>
                <w:szCs w:val="18"/>
              </w:rPr>
              <w:t xml:space="preserve"> par sac de ciment).</w:t>
            </w:r>
            <w:r w:rsidRPr="00156EEF">
              <w:rPr>
                <w:sz w:val="18"/>
                <w:szCs w:val="18"/>
              </w:rPr>
              <w:br/>
              <w:t>Le béton est dosé à 350 kg de ciment CPJ 35 / m3 de béton et est composée d’une maçonnerie de pierre taillée de part et d’autre et d’une maçonnerie en bourrage à l’intérieur. L’épaisseur des joints entre les pierres ne doit pas être inférieure à 3 cm. Après construction la maçonnerie sera tenu humide pendant 21 jours par un arrosage biquotidien (matin et soir).</w:t>
            </w:r>
            <w:r w:rsidRPr="00156EEF">
              <w:rPr>
                <w:sz w:val="18"/>
                <w:szCs w:val="18"/>
              </w:rPr>
              <w:br/>
              <w:t xml:space="preserve">Les joints de dilatation avec </w:t>
            </w:r>
            <w:proofErr w:type="spellStart"/>
            <w:r w:rsidRPr="00156EEF">
              <w:rPr>
                <w:sz w:val="18"/>
                <w:szCs w:val="18"/>
              </w:rPr>
              <w:t>waterstop</w:t>
            </w:r>
            <w:proofErr w:type="spellEnd"/>
            <w:r w:rsidRPr="00156EEF">
              <w:rPr>
                <w:sz w:val="18"/>
                <w:szCs w:val="18"/>
              </w:rPr>
              <w:t xml:space="preserve"> prévus à tous les 10m seront scellés avec un béton ordinaire </w:t>
            </w:r>
            <w:proofErr w:type="spellStart"/>
            <w:r w:rsidRPr="00156EEF">
              <w:rPr>
                <w:sz w:val="18"/>
                <w:szCs w:val="18"/>
              </w:rPr>
              <w:t>surdosé</w:t>
            </w:r>
            <w:proofErr w:type="spellEnd"/>
            <w:r w:rsidRPr="00156EEF">
              <w:rPr>
                <w:sz w:val="18"/>
                <w:szCs w:val="18"/>
              </w:rPr>
              <w:t xml:space="preserve"> à 400 kg/m3 de béton.</w:t>
            </w:r>
            <w:r w:rsidRPr="00156EEF">
              <w:rPr>
                <w:sz w:val="18"/>
                <w:szCs w:val="18"/>
              </w:rPr>
              <w:br/>
              <w:t>Le prix rémunère le matériel (bétonnière et vibreur obligatoires), le personnel qualifié et non qualifié (technicien, équipes maçons et manœuvres) et les matériaux nécessaires.</w:t>
            </w:r>
            <w:r w:rsidRPr="00156EEF">
              <w:rPr>
                <w:sz w:val="18"/>
                <w:szCs w:val="18"/>
              </w:rPr>
              <w:br/>
              <w:t>Ce prix comprend conformément aux spécifications des prescriptions techniques :</w:t>
            </w:r>
            <w:r w:rsidRPr="00156EEF">
              <w:rPr>
                <w:sz w:val="18"/>
                <w:szCs w:val="18"/>
              </w:rPr>
              <w:br/>
              <w:t>- la fourniture et le transport sur le lieu d’emploi de tous les matériaux nécessaires à la fabrication du béton cyclopéen avec pierre, et aux coffrages ;</w:t>
            </w:r>
            <w:r w:rsidRPr="00156EEF">
              <w:rPr>
                <w:sz w:val="18"/>
                <w:szCs w:val="18"/>
              </w:rPr>
              <w:br/>
              <w:t>- le stockage de ces matériaux;</w:t>
            </w:r>
            <w:r w:rsidRPr="00156EEF">
              <w:rPr>
                <w:sz w:val="18"/>
                <w:szCs w:val="18"/>
              </w:rPr>
              <w:br/>
              <w:t>- la fabrication (avec une bétonnière), la mise en œuvre, le serrage (vibreur) et la cure de la maçonnerie de moellon;</w:t>
            </w:r>
            <w:r w:rsidRPr="00156EEF">
              <w:rPr>
                <w:sz w:val="18"/>
                <w:szCs w:val="18"/>
              </w:rPr>
              <w:br/>
              <w:t>- le décoffrage;</w:t>
            </w:r>
            <w:r w:rsidRPr="00156EEF">
              <w:rPr>
                <w:sz w:val="18"/>
                <w:szCs w:val="18"/>
              </w:rPr>
              <w:br/>
              <w:t>- et toutes sujétions d'exécution et de main d’œuvre qualifié et non qualifiée.</w:t>
            </w:r>
            <w:r w:rsidRPr="00156EEF">
              <w:rPr>
                <w:sz w:val="20"/>
              </w:rPr>
              <w:br/>
            </w:r>
            <w:r w:rsidRPr="00156EEF">
              <w:rPr>
                <w:sz w:val="20"/>
              </w:rPr>
              <w:br/>
            </w:r>
            <w:r w:rsidRPr="00156EEF">
              <w:rPr>
                <w:i/>
                <w:sz w:val="18"/>
                <w:szCs w:val="18"/>
              </w:rPr>
              <w:t>Ce prix s’applique au volume, en mètre cube (m3), de béton cyclopéen, avec comme valeur maximale celle obtenue à partir des plans d’exécution des ouvrages.</w:t>
            </w:r>
          </w:p>
        </w:tc>
        <w:tc>
          <w:tcPr>
            <w:tcW w:w="429" w:type="pct"/>
            <w:tcBorders>
              <w:top w:val="nil"/>
              <w:left w:val="nil"/>
              <w:bottom w:val="single" w:sz="8" w:space="0" w:color="auto"/>
              <w:right w:val="single" w:sz="8" w:space="0" w:color="auto"/>
            </w:tcBorders>
            <w:shd w:val="clear" w:color="auto" w:fill="auto"/>
            <w:vAlign w:val="center"/>
            <w:hideMark/>
          </w:tcPr>
          <w:p w14:paraId="3DE5E012" w14:textId="77777777" w:rsidR="00C312F3" w:rsidRPr="00156EEF" w:rsidRDefault="00C312F3" w:rsidP="009460FF">
            <w:pPr>
              <w:spacing w:after="0"/>
              <w:ind w:left="0" w:firstLine="0"/>
              <w:jc w:val="center"/>
              <w:rPr>
                <w:sz w:val="20"/>
              </w:rPr>
            </w:pPr>
            <w:r w:rsidRPr="00156EEF">
              <w:rPr>
                <w:sz w:val="20"/>
              </w:rPr>
              <w:t>m</w:t>
            </w:r>
            <w:r w:rsidRPr="00156EEF">
              <w:rPr>
                <w:sz w:val="20"/>
                <w:vertAlign w:val="superscript"/>
              </w:rPr>
              <w:t>3</w:t>
            </w:r>
          </w:p>
        </w:tc>
        <w:tc>
          <w:tcPr>
            <w:tcW w:w="608" w:type="pct"/>
            <w:tcBorders>
              <w:top w:val="nil"/>
              <w:left w:val="nil"/>
              <w:bottom w:val="single" w:sz="8" w:space="0" w:color="auto"/>
              <w:right w:val="nil"/>
            </w:tcBorders>
            <w:shd w:val="clear" w:color="auto" w:fill="auto"/>
            <w:vAlign w:val="center"/>
            <w:hideMark/>
          </w:tcPr>
          <w:p w14:paraId="36D1EE7A" w14:textId="77777777" w:rsidR="00C312F3" w:rsidRPr="00156EEF" w:rsidRDefault="00C312F3" w:rsidP="009460FF">
            <w:pPr>
              <w:spacing w:after="0"/>
              <w:ind w:left="0" w:firstLine="0"/>
              <w:jc w:val="center"/>
              <w:rPr>
                <w:rFonts w:ascii="Arial" w:hAnsi="Arial" w:cs="Arial"/>
                <w:sz w:val="20"/>
              </w:rPr>
            </w:pPr>
          </w:p>
        </w:tc>
        <w:tc>
          <w:tcPr>
            <w:tcW w:w="532" w:type="pct"/>
            <w:tcBorders>
              <w:top w:val="nil"/>
              <w:left w:val="single" w:sz="4" w:space="0" w:color="auto"/>
              <w:bottom w:val="single" w:sz="4" w:space="0" w:color="auto"/>
              <w:right w:val="single" w:sz="4" w:space="0" w:color="auto"/>
            </w:tcBorders>
            <w:shd w:val="clear" w:color="auto" w:fill="auto"/>
            <w:noWrap/>
            <w:vAlign w:val="bottom"/>
            <w:hideMark/>
          </w:tcPr>
          <w:p w14:paraId="2EB6934A" w14:textId="77777777" w:rsidR="00C312F3" w:rsidRPr="00156EEF" w:rsidRDefault="00C312F3" w:rsidP="009460FF">
            <w:pPr>
              <w:spacing w:after="0"/>
              <w:ind w:left="0" w:firstLine="0"/>
              <w:jc w:val="left"/>
              <w:rPr>
                <w:rFonts w:ascii="Calibri" w:hAnsi="Calibri"/>
                <w:sz w:val="20"/>
              </w:rPr>
            </w:pPr>
            <w:r w:rsidRPr="00156EEF">
              <w:rPr>
                <w:rFonts w:ascii="Calibri" w:hAnsi="Calibri"/>
                <w:sz w:val="20"/>
              </w:rPr>
              <w:t> </w:t>
            </w:r>
          </w:p>
        </w:tc>
      </w:tr>
      <w:tr w:rsidR="00C312F3" w:rsidRPr="00156EEF" w14:paraId="1E6747A4" w14:textId="77777777" w:rsidTr="009460FF">
        <w:trPr>
          <w:trHeight w:val="7771"/>
          <w:jc w:val="center"/>
        </w:trPr>
        <w:tc>
          <w:tcPr>
            <w:tcW w:w="302" w:type="pct"/>
            <w:tcBorders>
              <w:top w:val="single" w:sz="4" w:space="0" w:color="auto"/>
              <w:left w:val="double" w:sz="6" w:space="0" w:color="auto"/>
              <w:bottom w:val="single" w:sz="8" w:space="0" w:color="auto"/>
              <w:right w:val="single" w:sz="8" w:space="0" w:color="auto"/>
            </w:tcBorders>
            <w:shd w:val="clear" w:color="auto" w:fill="auto"/>
            <w:vAlign w:val="center"/>
            <w:hideMark/>
          </w:tcPr>
          <w:p w14:paraId="253E672D" w14:textId="77777777" w:rsidR="00C312F3" w:rsidRPr="00156EEF" w:rsidRDefault="00C312F3" w:rsidP="009460FF">
            <w:pPr>
              <w:spacing w:after="0"/>
              <w:ind w:left="0" w:firstLine="0"/>
              <w:jc w:val="center"/>
              <w:rPr>
                <w:rFonts w:ascii="Arial" w:hAnsi="Arial" w:cs="Arial"/>
                <w:sz w:val="20"/>
              </w:rPr>
            </w:pPr>
            <w:r w:rsidRPr="00156EEF">
              <w:rPr>
                <w:rFonts w:ascii="Arial" w:hAnsi="Arial" w:cs="Arial"/>
                <w:sz w:val="20"/>
              </w:rPr>
              <w:lastRenderedPageBreak/>
              <w:t>2.5</w:t>
            </w:r>
          </w:p>
        </w:tc>
        <w:tc>
          <w:tcPr>
            <w:tcW w:w="3129" w:type="pct"/>
            <w:tcBorders>
              <w:top w:val="single" w:sz="4" w:space="0" w:color="auto"/>
              <w:left w:val="nil"/>
              <w:bottom w:val="single" w:sz="8" w:space="0" w:color="auto"/>
              <w:right w:val="single" w:sz="8" w:space="0" w:color="auto"/>
            </w:tcBorders>
            <w:shd w:val="clear" w:color="auto" w:fill="auto"/>
            <w:vAlign w:val="center"/>
            <w:hideMark/>
          </w:tcPr>
          <w:p w14:paraId="6608DF38" w14:textId="77777777" w:rsidR="00C312F3" w:rsidRPr="00156EEF" w:rsidRDefault="00C312F3" w:rsidP="009460FF">
            <w:pPr>
              <w:spacing w:after="0"/>
              <w:ind w:left="0" w:firstLine="0"/>
              <w:jc w:val="left"/>
              <w:rPr>
                <w:b/>
                <w:bCs/>
                <w:sz w:val="20"/>
              </w:rPr>
            </w:pPr>
            <w:r w:rsidRPr="00156EEF">
              <w:rPr>
                <w:b/>
                <w:bCs/>
                <w:sz w:val="20"/>
              </w:rPr>
              <w:t>Béton cyclopéen en élévation dosé à 350kg/m</w:t>
            </w:r>
            <w:r w:rsidRPr="00156EEF">
              <w:rPr>
                <w:b/>
                <w:bCs/>
                <w:sz w:val="20"/>
                <w:vertAlign w:val="superscript"/>
              </w:rPr>
              <w:t xml:space="preserve">3 </w:t>
            </w:r>
            <w:r w:rsidRPr="00156EEF">
              <w:rPr>
                <w:b/>
                <w:bCs/>
                <w:sz w:val="20"/>
              </w:rPr>
              <w:t xml:space="preserve">pour mur étanche avec ajout du </w:t>
            </w:r>
            <w:proofErr w:type="spellStart"/>
            <w:r w:rsidRPr="00156EEF">
              <w:rPr>
                <w:b/>
                <w:bCs/>
                <w:sz w:val="20"/>
              </w:rPr>
              <w:t>sikhalite</w:t>
            </w:r>
            <w:proofErr w:type="spellEnd"/>
            <w:r w:rsidRPr="00156EEF">
              <w:rPr>
                <w:b/>
                <w:bCs/>
                <w:sz w:val="20"/>
              </w:rPr>
              <w:t xml:space="preserve">                                                                                  </w:t>
            </w:r>
            <w:r w:rsidRPr="00156EEF">
              <w:rPr>
                <w:sz w:val="18"/>
                <w:szCs w:val="18"/>
              </w:rPr>
              <w:t xml:space="preserve">Le prix rémunère l’exécution du béton cyclopéen du mur d’étanchéité jusqu’à la crête y compris les murs pertuis) et de mise à niveau de la crête à la côte demandée au niveau d’ingénieur (350,75 m). La verticalité du mur d’étanchéité sur toute la longueur de l’ouvrage est de rigueur. Les couches de maçonnerie doivent être horizontales. </w:t>
            </w:r>
            <w:r w:rsidRPr="00156EEF">
              <w:rPr>
                <w:sz w:val="18"/>
                <w:szCs w:val="18"/>
              </w:rPr>
              <w:br/>
              <w:t xml:space="preserve">Pour les maçonneries utilisant des pierres taillées, elles doivent avoir les dimensions minimales suivantes : 300x150x200 </w:t>
            </w:r>
            <w:proofErr w:type="spellStart"/>
            <w:r w:rsidRPr="00156EEF">
              <w:rPr>
                <w:sz w:val="18"/>
                <w:szCs w:val="18"/>
              </w:rPr>
              <w:t>mm.</w:t>
            </w:r>
            <w:proofErr w:type="spellEnd"/>
            <w:r w:rsidRPr="00156EEF">
              <w:rPr>
                <w:sz w:val="18"/>
                <w:szCs w:val="18"/>
              </w:rPr>
              <w:t xml:space="preserve"> Le rapport pierres / mortier à respecter est de 50% de pierres et 50% de béton dans tous les cas. Les pierres devront être parfaitement noyées dans du béton.</w:t>
            </w:r>
            <w:r w:rsidRPr="00156EEF">
              <w:rPr>
                <w:sz w:val="18"/>
                <w:szCs w:val="18"/>
              </w:rPr>
              <w:br/>
              <w:t xml:space="preserve">Les bétons seront effectués selon le dosage du CCTP, le mètre cube de béton consiste de 0.8 m3 de gravier et 0,4 m3 de sable quoi qu'il en soit le dosage du ciment. Les graviers à utiliser doivent être propres et avoir des dimensions de 5 à 20 </w:t>
            </w:r>
            <w:proofErr w:type="spellStart"/>
            <w:r w:rsidRPr="00156EEF">
              <w:rPr>
                <w:sz w:val="18"/>
                <w:szCs w:val="18"/>
              </w:rPr>
              <w:t>mm.</w:t>
            </w:r>
            <w:proofErr w:type="spellEnd"/>
            <w:r w:rsidRPr="00156EEF">
              <w:rPr>
                <w:sz w:val="18"/>
                <w:szCs w:val="18"/>
              </w:rPr>
              <w:t xml:space="preserve"> Le béton sera dosé dans sa masse avec du </w:t>
            </w:r>
            <w:proofErr w:type="spellStart"/>
            <w:r w:rsidRPr="00156EEF">
              <w:rPr>
                <w:sz w:val="18"/>
                <w:szCs w:val="18"/>
              </w:rPr>
              <w:t>sikhalite</w:t>
            </w:r>
            <w:proofErr w:type="spellEnd"/>
            <w:r w:rsidRPr="00156EEF">
              <w:rPr>
                <w:sz w:val="18"/>
                <w:szCs w:val="18"/>
              </w:rPr>
              <w:t xml:space="preserve"> en respectant les prescriptions techniques d’emploi (soit 1 kg de </w:t>
            </w:r>
            <w:proofErr w:type="spellStart"/>
            <w:r w:rsidRPr="00156EEF">
              <w:rPr>
                <w:sz w:val="18"/>
                <w:szCs w:val="18"/>
              </w:rPr>
              <w:t>sikalite</w:t>
            </w:r>
            <w:proofErr w:type="spellEnd"/>
            <w:r w:rsidRPr="00156EEF">
              <w:rPr>
                <w:sz w:val="18"/>
                <w:szCs w:val="18"/>
              </w:rPr>
              <w:t xml:space="preserve"> par sac de ciment)</w:t>
            </w:r>
            <w:proofErr w:type="gramStart"/>
            <w:r w:rsidRPr="00156EEF">
              <w:rPr>
                <w:sz w:val="18"/>
                <w:szCs w:val="18"/>
              </w:rPr>
              <w:t>..</w:t>
            </w:r>
            <w:proofErr w:type="gramEnd"/>
            <w:r w:rsidRPr="00156EEF">
              <w:rPr>
                <w:sz w:val="18"/>
                <w:szCs w:val="18"/>
              </w:rPr>
              <w:br/>
              <w:t>Le béton est dosé à 350 kg de ciment CPJ 35 / m3 de béton et est composée d’une maçonnerie de pierre taillée de part et d’autre et d’une maçonnerie en bourrage à l’intérieur. L’épaisseur des joints entre les pierres ne doit pas inférieure à 3 cm. Après construction la maçonnerie sera tenu humide pendant 21 jours par un arrosage biquotidien (matin et soir).</w:t>
            </w:r>
            <w:r w:rsidRPr="00156EEF">
              <w:rPr>
                <w:sz w:val="18"/>
                <w:szCs w:val="18"/>
              </w:rPr>
              <w:br/>
              <w:t>Le prix rémunère le matériel (bétonnière et vibreur obligatoires), le personnel qualifié et non qualifié (technicien, équipes maçons et manœuvres) et les matériaux nécessaires.</w:t>
            </w:r>
            <w:r w:rsidRPr="00156EEF">
              <w:rPr>
                <w:sz w:val="18"/>
                <w:szCs w:val="18"/>
              </w:rPr>
              <w:br/>
              <w:t>Ce prix comprend conformément aux spécifications des prescriptions techniques :</w:t>
            </w:r>
            <w:r w:rsidRPr="00156EEF">
              <w:rPr>
                <w:sz w:val="18"/>
                <w:szCs w:val="18"/>
              </w:rPr>
              <w:br/>
              <w:t>- la fourniture et le transport sur le lieu d’emploi de tous les matériaux nécessaires à la fabrication du béton cyclopéen avec pierre, et aux coffrages;</w:t>
            </w:r>
            <w:r w:rsidRPr="00156EEF">
              <w:rPr>
                <w:sz w:val="18"/>
                <w:szCs w:val="18"/>
              </w:rPr>
              <w:br/>
              <w:t>- le stockage de ces matériaux;</w:t>
            </w:r>
            <w:r w:rsidRPr="00156EEF">
              <w:rPr>
                <w:sz w:val="18"/>
                <w:szCs w:val="18"/>
              </w:rPr>
              <w:br/>
              <w:t>- la fabrication (avec une bétonnière), la mise en œuvre, le serrage (vibreur) et la cure de la maçonnerie de moellon;</w:t>
            </w:r>
            <w:r w:rsidRPr="00156EEF">
              <w:rPr>
                <w:sz w:val="18"/>
                <w:szCs w:val="18"/>
              </w:rPr>
              <w:br/>
              <w:t>- le décoffrage;</w:t>
            </w:r>
            <w:r w:rsidRPr="00156EEF">
              <w:rPr>
                <w:b/>
                <w:bCs/>
                <w:sz w:val="18"/>
                <w:szCs w:val="18"/>
              </w:rPr>
              <w:br/>
            </w:r>
            <w:r w:rsidRPr="00156EEF">
              <w:rPr>
                <w:sz w:val="18"/>
                <w:szCs w:val="18"/>
              </w:rPr>
              <w:t>- et toutes sujétions d'exécution et de main d’œuvre qualifié et non qualifiée.</w:t>
            </w:r>
            <w:r w:rsidRPr="00156EEF">
              <w:rPr>
                <w:sz w:val="18"/>
                <w:szCs w:val="18"/>
              </w:rPr>
              <w:br/>
            </w:r>
            <w:r w:rsidRPr="00156EEF">
              <w:rPr>
                <w:sz w:val="20"/>
              </w:rPr>
              <w:br/>
            </w:r>
            <w:r w:rsidRPr="00156EEF">
              <w:rPr>
                <w:i/>
                <w:sz w:val="18"/>
                <w:szCs w:val="18"/>
              </w:rPr>
              <w:t>Ce prix s’applique au volume, en mètre cube (m3), de béton cyclopéen, avec comme valeur maximale celle obtenue à partir des plans d’exécution des ouvrages.</w:t>
            </w:r>
          </w:p>
        </w:tc>
        <w:tc>
          <w:tcPr>
            <w:tcW w:w="429" w:type="pct"/>
            <w:tcBorders>
              <w:top w:val="single" w:sz="4" w:space="0" w:color="auto"/>
              <w:left w:val="nil"/>
              <w:bottom w:val="single" w:sz="8" w:space="0" w:color="auto"/>
              <w:right w:val="single" w:sz="8" w:space="0" w:color="auto"/>
            </w:tcBorders>
            <w:shd w:val="clear" w:color="auto" w:fill="auto"/>
            <w:vAlign w:val="center"/>
            <w:hideMark/>
          </w:tcPr>
          <w:p w14:paraId="7D68582F" w14:textId="77777777" w:rsidR="00C312F3" w:rsidRPr="00156EEF" w:rsidRDefault="00C312F3" w:rsidP="009460FF">
            <w:pPr>
              <w:spacing w:after="0"/>
              <w:ind w:left="0" w:firstLine="0"/>
              <w:jc w:val="center"/>
              <w:rPr>
                <w:sz w:val="20"/>
              </w:rPr>
            </w:pPr>
            <w:r w:rsidRPr="00156EEF">
              <w:rPr>
                <w:sz w:val="20"/>
              </w:rPr>
              <w:t>m</w:t>
            </w:r>
            <w:r w:rsidRPr="00156EEF">
              <w:rPr>
                <w:sz w:val="20"/>
                <w:vertAlign w:val="superscript"/>
              </w:rPr>
              <w:t>3</w:t>
            </w:r>
          </w:p>
        </w:tc>
        <w:tc>
          <w:tcPr>
            <w:tcW w:w="608" w:type="pct"/>
            <w:tcBorders>
              <w:top w:val="single" w:sz="4" w:space="0" w:color="auto"/>
              <w:left w:val="nil"/>
              <w:bottom w:val="single" w:sz="8" w:space="0" w:color="auto"/>
              <w:right w:val="nil"/>
            </w:tcBorders>
            <w:shd w:val="clear" w:color="auto" w:fill="auto"/>
            <w:vAlign w:val="center"/>
            <w:hideMark/>
          </w:tcPr>
          <w:p w14:paraId="270BF20B" w14:textId="77777777" w:rsidR="00C312F3" w:rsidRPr="00156EEF" w:rsidRDefault="00C312F3" w:rsidP="009460FF">
            <w:pPr>
              <w:spacing w:after="0"/>
              <w:ind w:left="0" w:firstLine="0"/>
              <w:jc w:val="center"/>
              <w:rPr>
                <w:rFonts w:ascii="Arial" w:hAnsi="Arial" w:cs="Arial"/>
                <w:sz w:val="20"/>
              </w:rPr>
            </w:pPr>
          </w:p>
        </w:tc>
        <w:tc>
          <w:tcPr>
            <w:tcW w:w="53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516A4A" w14:textId="77777777" w:rsidR="00C312F3" w:rsidRPr="00156EEF" w:rsidRDefault="00C312F3" w:rsidP="009460FF">
            <w:pPr>
              <w:spacing w:after="0"/>
              <w:ind w:left="0" w:firstLine="0"/>
              <w:jc w:val="left"/>
              <w:rPr>
                <w:rFonts w:ascii="Calibri" w:hAnsi="Calibri"/>
                <w:sz w:val="20"/>
              </w:rPr>
            </w:pPr>
            <w:r w:rsidRPr="00156EEF">
              <w:rPr>
                <w:rFonts w:ascii="Calibri" w:hAnsi="Calibri"/>
                <w:sz w:val="20"/>
              </w:rPr>
              <w:t> </w:t>
            </w:r>
          </w:p>
        </w:tc>
      </w:tr>
      <w:tr w:rsidR="00C312F3" w:rsidRPr="00156EEF" w14:paraId="4A3D93E8" w14:textId="77777777" w:rsidTr="009460FF">
        <w:trPr>
          <w:trHeight w:val="2160"/>
          <w:jc w:val="center"/>
        </w:trPr>
        <w:tc>
          <w:tcPr>
            <w:tcW w:w="302" w:type="pct"/>
            <w:tcBorders>
              <w:top w:val="nil"/>
              <w:left w:val="double" w:sz="6" w:space="0" w:color="auto"/>
              <w:bottom w:val="single" w:sz="8" w:space="0" w:color="auto"/>
              <w:right w:val="single" w:sz="8" w:space="0" w:color="auto"/>
            </w:tcBorders>
            <w:shd w:val="clear" w:color="auto" w:fill="auto"/>
            <w:vAlign w:val="center"/>
            <w:hideMark/>
          </w:tcPr>
          <w:p w14:paraId="7B341F3D" w14:textId="77777777" w:rsidR="00C312F3" w:rsidRPr="00156EEF" w:rsidRDefault="00C312F3" w:rsidP="009460FF">
            <w:pPr>
              <w:spacing w:after="0"/>
              <w:ind w:left="0" w:firstLine="0"/>
              <w:jc w:val="center"/>
              <w:rPr>
                <w:rFonts w:ascii="Arial" w:hAnsi="Arial" w:cs="Arial"/>
                <w:sz w:val="20"/>
              </w:rPr>
            </w:pPr>
            <w:r w:rsidRPr="00156EEF">
              <w:rPr>
                <w:rFonts w:ascii="Arial" w:hAnsi="Arial" w:cs="Arial"/>
                <w:sz w:val="20"/>
              </w:rPr>
              <w:t>2.6</w:t>
            </w:r>
          </w:p>
        </w:tc>
        <w:tc>
          <w:tcPr>
            <w:tcW w:w="3129" w:type="pct"/>
            <w:tcBorders>
              <w:top w:val="nil"/>
              <w:left w:val="nil"/>
              <w:bottom w:val="single" w:sz="8" w:space="0" w:color="auto"/>
              <w:right w:val="single" w:sz="8" w:space="0" w:color="auto"/>
            </w:tcBorders>
            <w:shd w:val="clear" w:color="auto" w:fill="auto"/>
            <w:vAlign w:val="center"/>
            <w:hideMark/>
          </w:tcPr>
          <w:p w14:paraId="199F5E00" w14:textId="77777777" w:rsidR="00C312F3" w:rsidRPr="00156EEF" w:rsidRDefault="00C312F3" w:rsidP="009460FF">
            <w:pPr>
              <w:spacing w:after="0"/>
              <w:ind w:left="0" w:firstLine="0"/>
              <w:jc w:val="left"/>
              <w:rPr>
                <w:rFonts w:ascii="Arial" w:hAnsi="Arial" w:cs="Arial"/>
                <w:sz w:val="20"/>
              </w:rPr>
            </w:pPr>
            <w:r w:rsidRPr="00156EEF">
              <w:rPr>
                <w:b/>
                <w:bCs/>
                <w:sz w:val="20"/>
              </w:rPr>
              <w:t>Béton cyclopéen pour contrefort dosé à 350kg/m</w:t>
            </w:r>
            <w:r w:rsidRPr="00156EEF">
              <w:rPr>
                <w:b/>
                <w:bCs/>
                <w:sz w:val="20"/>
                <w:vertAlign w:val="superscript"/>
              </w:rPr>
              <w:t>3</w:t>
            </w:r>
            <w:r w:rsidRPr="00156EEF">
              <w:rPr>
                <w:b/>
                <w:bCs/>
                <w:sz w:val="20"/>
              </w:rPr>
              <w:t xml:space="preserve"> avec ajout du </w:t>
            </w:r>
            <w:proofErr w:type="spellStart"/>
            <w:r w:rsidRPr="00156EEF">
              <w:rPr>
                <w:b/>
                <w:bCs/>
                <w:sz w:val="20"/>
              </w:rPr>
              <w:t>sikhalite</w:t>
            </w:r>
            <w:proofErr w:type="spellEnd"/>
            <w:r w:rsidRPr="00156EEF">
              <w:rPr>
                <w:b/>
                <w:bCs/>
                <w:sz w:val="20"/>
              </w:rPr>
              <w:t xml:space="preserve">    </w:t>
            </w:r>
            <w:r w:rsidRPr="00156EEF">
              <w:rPr>
                <w:rFonts w:ascii="Arial" w:hAnsi="Arial" w:cs="Arial"/>
                <w:sz w:val="20"/>
              </w:rPr>
              <w:t xml:space="preserve">                                                                        </w:t>
            </w:r>
            <w:r w:rsidRPr="00156EEF">
              <w:rPr>
                <w:sz w:val="18"/>
                <w:szCs w:val="18"/>
              </w:rPr>
              <w:t xml:space="preserve">Ce prix est identique au prix 2.5 appliqué au contrefort. Un respect scrupuleux du talus est de rigueur. Les couches de maçonnerie doivent être horizontales. </w:t>
            </w:r>
            <w:r w:rsidRPr="00156EEF">
              <w:rPr>
                <w:sz w:val="18"/>
                <w:szCs w:val="18"/>
              </w:rPr>
              <w:br/>
            </w:r>
            <w:r w:rsidRPr="00156EEF">
              <w:rPr>
                <w:sz w:val="18"/>
                <w:szCs w:val="18"/>
              </w:rPr>
              <w:br/>
            </w:r>
            <w:r w:rsidRPr="00156EEF">
              <w:rPr>
                <w:i/>
                <w:sz w:val="18"/>
                <w:szCs w:val="18"/>
              </w:rPr>
              <w:t>Ce prix s’applique au volume, en mètre cube (m3), de béton cyclopéen, avec comme valeur maximale celle obtenue à partir des plans d’exécution des ouvrages.</w:t>
            </w:r>
          </w:p>
        </w:tc>
        <w:tc>
          <w:tcPr>
            <w:tcW w:w="429" w:type="pct"/>
            <w:tcBorders>
              <w:top w:val="nil"/>
              <w:left w:val="nil"/>
              <w:bottom w:val="single" w:sz="8" w:space="0" w:color="auto"/>
              <w:right w:val="single" w:sz="8" w:space="0" w:color="auto"/>
            </w:tcBorders>
            <w:shd w:val="clear" w:color="auto" w:fill="auto"/>
            <w:vAlign w:val="center"/>
            <w:hideMark/>
          </w:tcPr>
          <w:p w14:paraId="11E5DCC7" w14:textId="77777777" w:rsidR="00C312F3" w:rsidRPr="00156EEF" w:rsidRDefault="00C312F3" w:rsidP="009460FF">
            <w:pPr>
              <w:spacing w:after="0"/>
              <w:ind w:left="0" w:firstLine="0"/>
              <w:jc w:val="center"/>
              <w:rPr>
                <w:sz w:val="20"/>
              </w:rPr>
            </w:pPr>
            <w:r w:rsidRPr="00156EEF">
              <w:rPr>
                <w:sz w:val="20"/>
              </w:rPr>
              <w:t>m</w:t>
            </w:r>
            <w:r w:rsidRPr="00156EEF">
              <w:rPr>
                <w:sz w:val="20"/>
                <w:vertAlign w:val="superscript"/>
              </w:rPr>
              <w:t>3</w:t>
            </w:r>
          </w:p>
        </w:tc>
        <w:tc>
          <w:tcPr>
            <w:tcW w:w="608" w:type="pct"/>
            <w:tcBorders>
              <w:top w:val="nil"/>
              <w:left w:val="nil"/>
              <w:bottom w:val="single" w:sz="8" w:space="0" w:color="auto"/>
              <w:right w:val="nil"/>
            </w:tcBorders>
            <w:shd w:val="clear" w:color="auto" w:fill="auto"/>
            <w:vAlign w:val="center"/>
            <w:hideMark/>
          </w:tcPr>
          <w:p w14:paraId="3A53694D" w14:textId="77777777" w:rsidR="00C312F3" w:rsidRPr="00156EEF" w:rsidRDefault="00C312F3" w:rsidP="009460FF">
            <w:pPr>
              <w:spacing w:after="0"/>
              <w:ind w:left="0" w:firstLine="0"/>
              <w:jc w:val="center"/>
              <w:rPr>
                <w:rFonts w:ascii="Arial" w:hAnsi="Arial" w:cs="Arial"/>
                <w:sz w:val="20"/>
              </w:rPr>
            </w:pPr>
          </w:p>
        </w:tc>
        <w:tc>
          <w:tcPr>
            <w:tcW w:w="532" w:type="pct"/>
            <w:tcBorders>
              <w:top w:val="nil"/>
              <w:left w:val="single" w:sz="4" w:space="0" w:color="auto"/>
              <w:bottom w:val="single" w:sz="4" w:space="0" w:color="auto"/>
              <w:right w:val="single" w:sz="4" w:space="0" w:color="auto"/>
            </w:tcBorders>
            <w:shd w:val="clear" w:color="auto" w:fill="auto"/>
            <w:noWrap/>
            <w:vAlign w:val="bottom"/>
            <w:hideMark/>
          </w:tcPr>
          <w:p w14:paraId="2CFB92DB" w14:textId="77777777" w:rsidR="00C312F3" w:rsidRPr="00156EEF" w:rsidRDefault="00C312F3" w:rsidP="009460FF">
            <w:pPr>
              <w:spacing w:after="0"/>
              <w:ind w:left="0" w:firstLine="0"/>
              <w:jc w:val="left"/>
              <w:rPr>
                <w:rFonts w:ascii="Calibri" w:hAnsi="Calibri"/>
                <w:sz w:val="20"/>
              </w:rPr>
            </w:pPr>
            <w:r w:rsidRPr="00156EEF">
              <w:rPr>
                <w:rFonts w:ascii="Calibri" w:hAnsi="Calibri"/>
                <w:sz w:val="20"/>
              </w:rPr>
              <w:t> </w:t>
            </w:r>
          </w:p>
        </w:tc>
      </w:tr>
      <w:tr w:rsidR="00C312F3" w:rsidRPr="00156EEF" w14:paraId="1A45840F" w14:textId="77777777" w:rsidTr="009460FF">
        <w:trPr>
          <w:trHeight w:val="6240"/>
          <w:jc w:val="center"/>
        </w:trPr>
        <w:tc>
          <w:tcPr>
            <w:tcW w:w="302" w:type="pct"/>
            <w:tcBorders>
              <w:top w:val="single" w:sz="4" w:space="0" w:color="auto"/>
              <w:left w:val="double" w:sz="6" w:space="0" w:color="auto"/>
              <w:bottom w:val="single" w:sz="8" w:space="0" w:color="auto"/>
              <w:right w:val="single" w:sz="8" w:space="0" w:color="auto"/>
            </w:tcBorders>
            <w:shd w:val="clear" w:color="auto" w:fill="auto"/>
            <w:vAlign w:val="center"/>
            <w:hideMark/>
          </w:tcPr>
          <w:p w14:paraId="375FF589" w14:textId="77777777" w:rsidR="00C312F3" w:rsidRPr="00156EEF" w:rsidRDefault="00C312F3" w:rsidP="009460FF">
            <w:pPr>
              <w:spacing w:after="0"/>
              <w:ind w:left="0" w:firstLine="0"/>
              <w:jc w:val="center"/>
              <w:rPr>
                <w:rFonts w:ascii="Arial" w:hAnsi="Arial" w:cs="Arial"/>
                <w:sz w:val="20"/>
              </w:rPr>
            </w:pPr>
            <w:r w:rsidRPr="00156EEF">
              <w:rPr>
                <w:rFonts w:ascii="Arial" w:hAnsi="Arial" w:cs="Arial"/>
                <w:sz w:val="20"/>
              </w:rPr>
              <w:lastRenderedPageBreak/>
              <w:t>2.7</w:t>
            </w:r>
          </w:p>
        </w:tc>
        <w:tc>
          <w:tcPr>
            <w:tcW w:w="3129" w:type="pct"/>
            <w:tcBorders>
              <w:top w:val="single" w:sz="4" w:space="0" w:color="auto"/>
              <w:left w:val="nil"/>
              <w:bottom w:val="single" w:sz="8" w:space="0" w:color="auto"/>
              <w:right w:val="single" w:sz="8" w:space="0" w:color="auto"/>
            </w:tcBorders>
            <w:shd w:val="clear" w:color="auto" w:fill="auto"/>
            <w:hideMark/>
          </w:tcPr>
          <w:p w14:paraId="775B62D5" w14:textId="77777777" w:rsidR="00C312F3" w:rsidRPr="00156EEF" w:rsidRDefault="00C312F3" w:rsidP="009460FF">
            <w:pPr>
              <w:spacing w:after="0"/>
              <w:ind w:left="0" w:firstLine="0"/>
              <w:jc w:val="left"/>
              <w:rPr>
                <w:sz w:val="20"/>
              </w:rPr>
            </w:pPr>
            <w:r w:rsidRPr="00156EEF">
              <w:rPr>
                <w:b/>
                <w:bCs/>
                <w:sz w:val="20"/>
              </w:rPr>
              <w:t xml:space="preserve">Enduit dosé à 400kg/m3 pour mur étanche et contrefort avec ajout du </w:t>
            </w:r>
            <w:proofErr w:type="spellStart"/>
            <w:r w:rsidRPr="00156EEF">
              <w:rPr>
                <w:b/>
                <w:bCs/>
                <w:sz w:val="20"/>
              </w:rPr>
              <w:t>sikhalite</w:t>
            </w:r>
            <w:proofErr w:type="spellEnd"/>
            <w:r w:rsidRPr="00156EEF">
              <w:rPr>
                <w:b/>
                <w:bCs/>
                <w:sz w:val="20"/>
              </w:rPr>
              <w:t xml:space="preserve"> y compris joint polystyrène à tous les 10m                                                            </w:t>
            </w:r>
            <w:r w:rsidRPr="00156EEF">
              <w:rPr>
                <w:sz w:val="20"/>
              </w:rPr>
              <w:t xml:space="preserve"> </w:t>
            </w:r>
            <w:r w:rsidRPr="00156EEF">
              <w:rPr>
                <w:sz w:val="18"/>
                <w:szCs w:val="18"/>
              </w:rPr>
              <w:t xml:space="preserve">Ce prix rémunère la fourniture et la mise en œuvre d’enduit gras dosé à 400 kg/m3 avec dosage en produits d’étanchéité type </w:t>
            </w:r>
            <w:proofErr w:type="spellStart"/>
            <w:r w:rsidRPr="00156EEF">
              <w:rPr>
                <w:sz w:val="18"/>
                <w:szCs w:val="18"/>
              </w:rPr>
              <w:t>sykhalite</w:t>
            </w:r>
            <w:proofErr w:type="spellEnd"/>
            <w:r w:rsidRPr="00156EEF">
              <w:rPr>
                <w:sz w:val="18"/>
                <w:szCs w:val="18"/>
              </w:rPr>
              <w:t xml:space="preserve"> pour la réalisation de l’étanchéité des ouvrages spécifiés conformément aux indications de l’ingénieur.</w:t>
            </w:r>
            <w:r w:rsidRPr="00156EEF">
              <w:rPr>
                <w:sz w:val="18"/>
                <w:szCs w:val="18"/>
              </w:rPr>
              <w:br/>
              <w:t xml:space="preserve">Le mortier est dosé à 400 kg de ciment CPJ 35 / m3 de mortier et avec du </w:t>
            </w:r>
            <w:proofErr w:type="spellStart"/>
            <w:r w:rsidRPr="00156EEF">
              <w:rPr>
                <w:sz w:val="18"/>
                <w:szCs w:val="18"/>
              </w:rPr>
              <w:t>sikalite</w:t>
            </w:r>
            <w:proofErr w:type="spellEnd"/>
            <w:r w:rsidRPr="00156EEF">
              <w:rPr>
                <w:sz w:val="18"/>
                <w:szCs w:val="18"/>
              </w:rPr>
              <w:t xml:space="preserve"> dosé à 8 kg / m3 de mortier (1kg de </w:t>
            </w:r>
            <w:proofErr w:type="spellStart"/>
            <w:r w:rsidRPr="00156EEF">
              <w:rPr>
                <w:sz w:val="18"/>
                <w:szCs w:val="18"/>
              </w:rPr>
              <w:t>sikalite</w:t>
            </w:r>
            <w:proofErr w:type="spellEnd"/>
            <w:r w:rsidRPr="00156EEF">
              <w:rPr>
                <w:sz w:val="18"/>
                <w:szCs w:val="18"/>
              </w:rPr>
              <w:t xml:space="preserve"> par sac de ciment). </w:t>
            </w:r>
            <w:r w:rsidRPr="00156EEF">
              <w:rPr>
                <w:sz w:val="18"/>
                <w:szCs w:val="18"/>
              </w:rPr>
              <w:br/>
              <w:t xml:space="preserve">Le </w:t>
            </w:r>
            <w:proofErr w:type="spellStart"/>
            <w:r w:rsidRPr="00156EEF">
              <w:rPr>
                <w:sz w:val="18"/>
                <w:szCs w:val="18"/>
              </w:rPr>
              <w:t>sikalite</w:t>
            </w:r>
            <w:proofErr w:type="spellEnd"/>
            <w:r w:rsidRPr="00156EEF">
              <w:rPr>
                <w:sz w:val="18"/>
                <w:szCs w:val="18"/>
              </w:rPr>
              <w:t xml:space="preserve"> est un hydrofuge en poudre que l’on incorpore dans le mortier pour l’imperméabiliser par son action de feutrage dans les capillaires. Il est facile à mettre en œuvre, il n’a aucune influence sur la vitesse de prise et le durcissement, ne diminue pas la résistance.</w:t>
            </w:r>
            <w:r w:rsidRPr="00156EEF">
              <w:rPr>
                <w:sz w:val="18"/>
                <w:szCs w:val="18"/>
              </w:rPr>
              <w:br/>
              <w:t>Le prix rémunère aussi la fourniture et la mise en place de polystyrène de remplissage des joints.</w:t>
            </w:r>
            <w:r w:rsidRPr="00156EEF">
              <w:rPr>
                <w:sz w:val="18"/>
                <w:szCs w:val="18"/>
              </w:rPr>
              <w:br/>
              <w:t>Ce prix comprend conformément aux spécifications des prescriptions techniques :</w:t>
            </w:r>
            <w:r w:rsidRPr="00156EEF">
              <w:rPr>
                <w:sz w:val="18"/>
                <w:szCs w:val="18"/>
              </w:rPr>
              <w:br/>
              <w:t>- La fourniture et le transport sur le lieu d’emploi de tous les matériaux nécessaires à la fabrication des enduits y compris les adjuvants, et aux coffrages;</w:t>
            </w:r>
            <w:r w:rsidRPr="00156EEF">
              <w:rPr>
                <w:sz w:val="18"/>
                <w:szCs w:val="18"/>
              </w:rPr>
              <w:br/>
              <w:t>- Le stockage de ces matériaux;</w:t>
            </w:r>
            <w:r w:rsidRPr="00156EEF">
              <w:rPr>
                <w:sz w:val="18"/>
                <w:szCs w:val="18"/>
              </w:rPr>
              <w:br/>
              <w:t>- La fabrication, les dosages  nécessaires et la mise en œuvre des enduits;</w:t>
            </w:r>
            <w:r w:rsidRPr="00156EEF">
              <w:rPr>
                <w:sz w:val="18"/>
                <w:szCs w:val="18"/>
              </w:rPr>
              <w:br/>
              <w:t>- La mise en place du polystyrène de bourrage de joints et les traitements de finition nécessaires;</w:t>
            </w:r>
            <w:r w:rsidRPr="00156EEF">
              <w:rPr>
                <w:sz w:val="18"/>
                <w:szCs w:val="18"/>
              </w:rPr>
              <w:br/>
              <w:t>- La cure des enduits;</w:t>
            </w:r>
            <w:r w:rsidRPr="00156EEF">
              <w:rPr>
                <w:sz w:val="18"/>
                <w:szCs w:val="18"/>
              </w:rPr>
              <w:br/>
              <w:t>- Et toutes sujétions d'exécution et de main d’œuvre qualifié et non qualifiée.</w:t>
            </w:r>
            <w:r w:rsidRPr="00156EEF">
              <w:rPr>
                <w:sz w:val="18"/>
                <w:szCs w:val="18"/>
              </w:rPr>
              <w:br/>
              <w:t>Le prix rémunère le matériel, le personnel qualifié et non qualifié (technicien, équipes maçons et manœuvres) et les matériaux nécessaires</w:t>
            </w:r>
            <w:r w:rsidRPr="00156EEF">
              <w:rPr>
                <w:sz w:val="18"/>
                <w:szCs w:val="18"/>
              </w:rPr>
              <w:br/>
            </w:r>
            <w:r w:rsidRPr="00156EEF">
              <w:rPr>
                <w:sz w:val="20"/>
              </w:rPr>
              <w:br/>
            </w:r>
            <w:r w:rsidRPr="00156EEF">
              <w:rPr>
                <w:i/>
                <w:sz w:val="18"/>
                <w:szCs w:val="18"/>
              </w:rPr>
              <w:t>Ce prix s’applique à la surface, en mètre carré (m2), d’enduit réalisé, avec comme valeur maximale celle obtenue à partir des plans d’exécution des ouvrages.</w:t>
            </w:r>
          </w:p>
        </w:tc>
        <w:tc>
          <w:tcPr>
            <w:tcW w:w="429" w:type="pct"/>
            <w:tcBorders>
              <w:top w:val="single" w:sz="4" w:space="0" w:color="auto"/>
              <w:left w:val="nil"/>
              <w:bottom w:val="single" w:sz="8" w:space="0" w:color="auto"/>
              <w:right w:val="single" w:sz="8" w:space="0" w:color="auto"/>
            </w:tcBorders>
            <w:shd w:val="clear" w:color="auto" w:fill="auto"/>
            <w:vAlign w:val="center"/>
            <w:hideMark/>
          </w:tcPr>
          <w:p w14:paraId="07EB6BF6" w14:textId="77777777" w:rsidR="00C312F3" w:rsidRPr="00156EEF" w:rsidRDefault="00C312F3" w:rsidP="009460FF">
            <w:pPr>
              <w:spacing w:after="0"/>
              <w:ind w:left="0" w:firstLine="0"/>
              <w:jc w:val="center"/>
              <w:rPr>
                <w:sz w:val="20"/>
              </w:rPr>
            </w:pPr>
            <w:r w:rsidRPr="00156EEF">
              <w:rPr>
                <w:sz w:val="20"/>
              </w:rPr>
              <w:t>m</w:t>
            </w:r>
            <w:r w:rsidRPr="00156EEF">
              <w:rPr>
                <w:sz w:val="20"/>
                <w:vertAlign w:val="superscript"/>
              </w:rPr>
              <w:t>2</w:t>
            </w:r>
          </w:p>
        </w:tc>
        <w:tc>
          <w:tcPr>
            <w:tcW w:w="608" w:type="pct"/>
            <w:tcBorders>
              <w:top w:val="single" w:sz="4" w:space="0" w:color="auto"/>
              <w:left w:val="nil"/>
              <w:bottom w:val="single" w:sz="8" w:space="0" w:color="auto"/>
              <w:right w:val="nil"/>
            </w:tcBorders>
            <w:shd w:val="clear" w:color="auto" w:fill="auto"/>
            <w:vAlign w:val="center"/>
            <w:hideMark/>
          </w:tcPr>
          <w:p w14:paraId="6D99631A" w14:textId="77777777" w:rsidR="00C312F3" w:rsidRPr="00156EEF" w:rsidRDefault="00C312F3" w:rsidP="009460FF">
            <w:pPr>
              <w:spacing w:after="0"/>
              <w:ind w:left="0" w:firstLine="0"/>
              <w:jc w:val="center"/>
              <w:rPr>
                <w:rFonts w:ascii="Arial" w:hAnsi="Arial" w:cs="Arial"/>
                <w:sz w:val="20"/>
              </w:rPr>
            </w:pPr>
          </w:p>
        </w:tc>
        <w:tc>
          <w:tcPr>
            <w:tcW w:w="53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7BD921" w14:textId="77777777" w:rsidR="00C312F3" w:rsidRPr="00156EEF" w:rsidRDefault="00C312F3" w:rsidP="009460FF">
            <w:pPr>
              <w:spacing w:after="0"/>
              <w:ind w:left="0" w:firstLine="0"/>
              <w:jc w:val="left"/>
              <w:rPr>
                <w:rFonts w:ascii="Calibri" w:hAnsi="Calibri"/>
                <w:sz w:val="20"/>
              </w:rPr>
            </w:pPr>
            <w:r w:rsidRPr="00156EEF">
              <w:rPr>
                <w:rFonts w:ascii="Calibri" w:hAnsi="Calibri"/>
                <w:sz w:val="20"/>
              </w:rPr>
              <w:t> </w:t>
            </w:r>
          </w:p>
        </w:tc>
      </w:tr>
      <w:tr w:rsidR="00C312F3" w:rsidRPr="00156EEF" w14:paraId="319C11D7" w14:textId="77777777" w:rsidTr="009460FF">
        <w:trPr>
          <w:trHeight w:val="2505"/>
          <w:jc w:val="center"/>
        </w:trPr>
        <w:tc>
          <w:tcPr>
            <w:tcW w:w="302" w:type="pct"/>
            <w:tcBorders>
              <w:top w:val="nil"/>
              <w:left w:val="double" w:sz="6" w:space="0" w:color="auto"/>
              <w:bottom w:val="single" w:sz="8" w:space="0" w:color="auto"/>
              <w:right w:val="single" w:sz="8" w:space="0" w:color="auto"/>
            </w:tcBorders>
            <w:shd w:val="clear" w:color="auto" w:fill="auto"/>
            <w:vAlign w:val="center"/>
            <w:hideMark/>
          </w:tcPr>
          <w:p w14:paraId="77E7E858" w14:textId="77777777" w:rsidR="00C312F3" w:rsidRPr="00156EEF" w:rsidRDefault="00C312F3" w:rsidP="009460FF">
            <w:pPr>
              <w:spacing w:after="0"/>
              <w:ind w:left="0" w:firstLine="0"/>
              <w:jc w:val="center"/>
              <w:rPr>
                <w:rFonts w:ascii="Arial" w:hAnsi="Arial" w:cs="Arial"/>
                <w:sz w:val="20"/>
              </w:rPr>
            </w:pPr>
            <w:r w:rsidRPr="00156EEF">
              <w:rPr>
                <w:rFonts w:ascii="Arial" w:hAnsi="Arial" w:cs="Arial"/>
                <w:sz w:val="20"/>
              </w:rPr>
              <w:t>2.8</w:t>
            </w:r>
          </w:p>
        </w:tc>
        <w:tc>
          <w:tcPr>
            <w:tcW w:w="3129" w:type="pct"/>
            <w:tcBorders>
              <w:top w:val="nil"/>
              <w:left w:val="nil"/>
              <w:bottom w:val="single" w:sz="8" w:space="0" w:color="auto"/>
              <w:right w:val="single" w:sz="8" w:space="0" w:color="auto"/>
            </w:tcBorders>
            <w:shd w:val="clear" w:color="auto" w:fill="auto"/>
            <w:hideMark/>
          </w:tcPr>
          <w:p w14:paraId="16C98151" w14:textId="22DEC1A5" w:rsidR="00C312F3" w:rsidRPr="00156EEF" w:rsidRDefault="00C312F3" w:rsidP="009460FF">
            <w:pPr>
              <w:spacing w:after="0"/>
              <w:ind w:left="0" w:firstLine="0"/>
              <w:jc w:val="left"/>
              <w:rPr>
                <w:b/>
                <w:bCs/>
                <w:sz w:val="20"/>
              </w:rPr>
            </w:pPr>
            <w:r w:rsidRPr="00156EEF">
              <w:rPr>
                <w:b/>
                <w:bCs/>
                <w:sz w:val="20"/>
              </w:rPr>
              <w:t xml:space="preserve">Fourniture de joint water stop </w:t>
            </w:r>
            <w:proofErr w:type="spellStart"/>
            <w:r w:rsidRPr="00156EEF">
              <w:rPr>
                <w:b/>
                <w:bCs/>
                <w:sz w:val="20"/>
              </w:rPr>
              <w:t>scéller</w:t>
            </w:r>
            <w:proofErr w:type="spellEnd"/>
            <w:r w:rsidRPr="00156EEF">
              <w:rPr>
                <w:b/>
                <w:bCs/>
                <w:sz w:val="20"/>
              </w:rPr>
              <w:t xml:space="preserve"> dans un élément de béton à tous les 10 mètres y compris toutes sujétions                                                                                        </w:t>
            </w:r>
            <w:r w:rsidRPr="00156EEF">
              <w:rPr>
                <w:sz w:val="20"/>
              </w:rPr>
              <w:t xml:space="preserve"> </w:t>
            </w:r>
            <w:r w:rsidRPr="00156EEF">
              <w:rPr>
                <w:sz w:val="18"/>
                <w:szCs w:val="18"/>
              </w:rPr>
              <w:t xml:space="preserve">Les travaux consistent à la fourniture de joint </w:t>
            </w:r>
            <w:proofErr w:type="spellStart"/>
            <w:r w:rsidRPr="00156EEF">
              <w:rPr>
                <w:sz w:val="18"/>
                <w:szCs w:val="18"/>
              </w:rPr>
              <w:t>waterstop</w:t>
            </w:r>
            <w:proofErr w:type="spellEnd"/>
            <w:r w:rsidRPr="00156EEF">
              <w:rPr>
                <w:sz w:val="18"/>
                <w:szCs w:val="18"/>
              </w:rPr>
              <w:t xml:space="preserve"> standard de largeur ≥ 20 cm. </w:t>
            </w:r>
            <w:r w:rsidR="009460FF" w:rsidRPr="00156EEF">
              <w:rPr>
                <w:sz w:val="18"/>
                <w:szCs w:val="18"/>
              </w:rPr>
              <w:t>Les joints</w:t>
            </w:r>
            <w:r w:rsidRPr="00156EEF">
              <w:rPr>
                <w:sz w:val="18"/>
                <w:szCs w:val="18"/>
              </w:rPr>
              <w:t xml:space="preserve"> seront de préférence de marque </w:t>
            </w:r>
            <w:proofErr w:type="spellStart"/>
            <w:r w:rsidRPr="00156EEF">
              <w:rPr>
                <w:sz w:val="18"/>
                <w:szCs w:val="18"/>
              </w:rPr>
              <w:t>Sikha</w:t>
            </w:r>
            <w:proofErr w:type="spellEnd"/>
            <w:r w:rsidRPr="00156EEF">
              <w:rPr>
                <w:sz w:val="18"/>
                <w:szCs w:val="18"/>
              </w:rPr>
              <w:t xml:space="preserve"> ou similaires agrées par le projet.</w:t>
            </w:r>
            <w:r w:rsidRPr="00156EEF">
              <w:rPr>
                <w:sz w:val="18"/>
                <w:szCs w:val="18"/>
              </w:rPr>
              <w:br/>
            </w:r>
            <w:r w:rsidRPr="00156EEF">
              <w:rPr>
                <w:sz w:val="18"/>
                <w:szCs w:val="18"/>
              </w:rPr>
              <w:br/>
              <w:t>Les joints pourront être fournis par le Projet et mis à la disposition de l’entreprise.</w:t>
            </w:r>
            <w:r w:rsidRPr="00156EEF">
              <w:rPr>
                <w:sz w:val="18"/>
                <w:szCs w:val="18"/>
              </w:rPr>
              <w:br/>
            </w:r>
            <w:r w:rsidRPr="00156EEF">
              <w:rPr>
                <w:sz w:val="18"/>
                <w:szCs w:val="18"/>
              </w:rPr>
              <w:br/>
              <w:t>Le prix rémunère les opérations de commandes nécessaires, la fourniture et la livraison du joint sur le site.</w:t>
            </w:r>
            <w:r w:rsidRPr="00156EEF">
              <w:rPr>
                <w:sz w:val="20"/>
              </w:rPr>
              <w:br/>
            </w:r>
            <w:r w:rsidRPr="00156EEF">
              <w:rPr>
                <w:i/>
                <w:sz w:val="18"/>
                <w:szCs w:val="18"/>
              </w:rPr>
              <w:br/>
              <w:t>Le prix s'applique au mètre linéaire de joint livré sur le site avec comme valeur prise en compte celle réellement utilisée dans les travaux.</w:t>
            </w:r>
          </w:p>
        </w:tc>
        <w:tc>
          <w:tcPr>
            <w:tcW w:w="429" w:type="pct"/>
            <w:tcBorders>
              <w:top w:val="nil"/>
              <w:left w:val="nil"/>
              <w:bottom w:val="single" w:sz="8" w:space="0" w:color="auto"/>
              <w:right w:val="single" w:sz="8" w:space="0" w:color="auto"/>
            </w:tcBorders>
            <w:shd w:val="clear" w:color="auto" w:fill="auto"/>
            <w:vAlign w:val="center"/>
            <w:hideMark/>
          </w:tcPr>
          <w:p w14:paraId="4B72B1F4" w14:textId="77777777" w:rsidR="00C312F3" w:rsidRPr="00156EEF" w:rsidRDefault="00C312F3" w:rsidP="009460FF">
            <w:pPr>
              <w:spacing w:after="0"/>
              <w:ind w:left="0" w:firstLine="0"/>
              <w:jc w:val="center"/>
              <w:rPr>
                <w:sz w:val="20"/>
              </w:rPr>
            </w:pPr>
            <w:r w:rsidRPr="00156EEF">
              <w:rPr>
                <w:sz w:val="20"/>
              </w:rPr>
              <w:t>ml</w:t>
            </w:r>
          </w:p>
        </w:tc>
        <w:tc>
          <w:tcPr>
            <w:tcW w:w="608" w:type="pct"/>
            <w:tcBorders>
              <w:top w:val="nil"/>
              <w:left w:val="nil"/>
              <w:bottom w:val="single" w:sz="8" w:space="0" w:color="auto"/>
              <w:right w:val="nil"/>
            </w:tcBorders>
            <w:shd w:val="clear" w:color="auto" w:fill="auto"/>
            <w:vAlign w:val="center"/>
            <w:hideMark/>
          </w:tcPr>
          <w:p w14:paraId="0A21B9F5" w14:textId="77777777" w:rsidR="00C312F3" w:rsidRPr="00156EEF" w:rsidRDefault="00C312F3" w:rsidP="009460FF">
            <w:pPr>
              <w:spacing w:after="0"/>
              <w:ind w:left="0" w:firstLine="0"/>
              <w:jc w:val="center"/>
              <w:rPr>
                <w:rFonts w:ascii="Arial" w:hAnsi="Arial" w:cs="Arial"/>
                <w:sz w:val="20"/>
              </w:rPr>
            </w:pPr>
          </w:p>
        </w:tc>
        <w:tc>
          <w:tcPr>
            <w:tcW w:w="532" w:type="pct"/>
            <w:tcBorders>
              <w:top w:val="nil"/>
              <w:left w:val="single" w:sz="4" w:space="0" w:color="auto"/>
              <w:bottom w:val="single" w:sz="4" w:space="0" w:color="auto"/>
              <w:right w:val="single" w:sz="4" w:space="0" w:color="auto"/>
            </w:tcBorders>
            <w:shd w:val="clear" w:color="auto" w:fill="auto"/>
            <w:noWrap/>
            <w:vAlign w:val="bottom"/>
            <w:hideMark/>
          </w:tcPr>
          <w:p w14:paraId="4AE79716" w14:textId="77777777" w:rsidR="00C312F3" w:rsidRPr="00156EEF" w:rsidRDefault="00C312F3" w:rsidP="009460FF">
            <w:pPr>
              <w:spacing w:after="0"/>
              <w:ind w:left="0" w:firstLine="0"/>
              <w:jc w:val="left"/>
              <w:rPr>
                <w:rFonts w:ascii="Calibri" w:hAnsi="Calibri"/>
                <w:sz w:val="20"/>
              </w:rPr>
            </w:pPr>
            <w:r w:rsidRPr="00156EEF">
              <w:rPr>
                <w:rFonts w:ascii="Calibri" w:hAnsi="Calibri"/>
                <w:sz w:val="20"/>
              </w:rPr>
              <w:t> </w:t>
            </w:r>
          </w:p>
        </w:tc>
      </w:tr>
      <w:tr w:rsidR="00C312F3" w:rsidRPr="00156EEF" w14:paraId="7147C67C" w14:textId="77777777" w:rsidTr="009460FF">
        <w:trPr>
          <w:trHeight w:val="1123"/>
          <w:jc w:val="center"/>
        </w:trPr>
        <w:tc>
          <w:tcPr>
            <w:tcW w:w="302" w:type="pct"/>
            <w:tcBorders>
              <w:top w:val="single" w:sz="4" w:space="0" w:color="auto"/>
              <w:left w:val="double" w:sz="6" w:space="0" w:color="auto"/>
              <w:bottom w:val="single" w:sz="8" w:space="0" w:color="auto"/>
              <w:right w:val="single" w:sz="8" w:space="0" w:color="auto"/>
            </w:tcBorders>
            <w:shd w:val="clear" w:color="auto" w:fill="auto"/>
            <w:vAlign w:val="center"/>
            <w:hideMark/>
          </w:tcPr>
          <w:p w14:paraId="4B653FB2" w14:textId="77777777" w:rsidR="00C312F3" w:rsidRPr="00156EEF" w:rsidRDefault="00C312F3" w:rsidP="009460FF">
            <w:pPr>
              <w:spacing w:after="0"/>
              <w:ind w:left="0" w:firstLine="0"/>
              <w:jc w:val="center"/>
              <w:rPr>
                <w:rFonts w:ascii="Arial" w:hAnsi="Arial" w:cs="Arial"/>
                <w:sz w:val="20"/>
              </w:rPr>
            </w:pPr>
            <w:r w:rsidRPr="00156EEF">
              <w:rPr>
                <w:rFonts w:ascii="Arial" w:hAnsi="Arial" w:cs="Arial"/>
                <w:sz w:val="20"/>
              </w:rPr>
              <w:t>2.9</w:t>
            </w:r>
          </w:p>
        </w:tc>
        <w:tc>
          <w:tcPr>
            <w:tcW w:w="3129" w:type="pct"/>
            <w:tcBorders>
              <w:top w:val="single" w:sz="4" w:space="0" w:color="auto"/>
              <w:left w:val="nil"/>
              <w:bottom w:val="single" w:sz="8" w:space="0" w:color="auto"/>
              <w:right w:val="single" w:sz="8" w:space="0" w:color="auto"/>
            </w:tcBorders>
            <w:shd w:val="clear" w:color="auto" w:fill="auto"/>
            <w:hideMark/>
          </w:tcPr>
          <w:p w14:paraId="06495A4C" w14:textId="0837925B" w:rsidR="00C312F3" w:rsidRPr="00156EEF" w:rsidRDefault="00C312F3" w:rsidP="009460FF">
            <w:pPr>
              <w:spacing w:after="0"/>
              <w:ind w:left="0" w:firstLine="0"/>
              <w:jc w:val="left"/>
              <w:rPr>
                <w:sz w:val="16"/>
                <w:szCs w:val="18"/>
              </w:rPr>
            </w:pPr>
            <w:r w:rsidRPr="00156EEF">
              <w:rPr>
                <w:b/>
                <w:bCs/>
                <w:sz w:val="20"/>
              </w:rPr>
              <w:t xml:space="preserve">Béton ordinaire dosé à 400kg/m3 avec ajout du </w:t>
            </w:r>
            <w:proofErr w:type="spellStart"/>
            <w:r w:rsidRPr="00156EEF">
              <w:rPr>
                <w:b/>
                <w:bCs/>
                <w:sz w:val="20"/>
              </w:rPr>
              <w:t>sikhalite</w:t>
            </w:r>
            <w:proofErr w:type="spellEnd"/>
            <w:r w:rsidRPr="00156EEF">
              <w:rPr>
                <w:b/>
                <w:bCs/>
                <w:sz w:val="20"/>
              </w:rPr>
              <w:t xml:space="preserve"> dans la masse pour scellement des joints waters stop y compris pose de joint et polystyrène          </w:t>
            </w:r>
            <w:r w:rsidRPr="00156EEF">
              <w:rPr>
                <w:b/>
                <w:bCs/>
                <w:sz w:val="20"/>
              </w:rPr>
              <w:br/>
            </w:r>
            <w:r w:rsidRPr="00156EEF">
              <w:rPr>
                <w:sz w:val="16"/>
                <w:szCs w:val="18"/>
              </w:rPr>
              <w:t xml:space="preserve">Pour le scellement des joints </w:t>
            </w:r>
            <w:proofErr w:type="spellStart"/>
            <w:r w:rsidRPr="00156EEF">
              <w:rPr>
                <w:sz w:val="16"/>
                <w:szCs w:val="18"/>
              </w:rPr>
              <w:t>Waterstop</w:t>
            </w:r>
            <w:proofErr w:type="spellEnd"/>
            <w:r w:rsidRPr="00156EEF">
              <w:rPr>
                <w:sz w:val="16"/>
                <w:szCs w:val="18"/>
              </w:rPr>
              <w:t xml:space="preserve">, il est prévu </w:t>
            </w:r>
            <w:r w:rsidR="00EA602D">
              <w:rPr>
                <w:sz w:val="16"/>
                <w:szCs w:val="18"/>
              </w:rPr>
              <w:t>du béton ordinaire</w:t>
            </w:r>
            <w:r w:rsidRPr="00156EEF">
              <w:rPr>
                <w:sz w:val="16"/>
                <w:szCs w:val="18"/>
              </w:rPr>
              <w:t xml:space="preserve">. Le béton est dosé à 400 kg de ciment CPJ 35 / m3 et </w:t>
            </w:r>
            <w:proofErr w:type="spellStart"/>
            <w:r w:rsidRPr="00156EEF">
              <w:rPr>
                <w:sz w:val="16"/>
                <w:szCs w:val="18"/>
              </w:rPr>
              <w:t>et</w:t>
            </w:r>
            <w:proofErr w:type="spellEnd"/>
            <w:r w:rsidRPr="00156EEF">
              <w:rPr>
                <w:sz w:val="16"/>
                <w:szCs w:val="18"/>
              </w:rPr>
              <w:t xml:space="preserve"> avec du </w:t>
            </w:r>
            <w:proofErr w:type="spellStart"/>
            <w:r w:rsidRPr="00156EEF">
              <w:rPr>
                <w:sz w:val="16"/>
                <w:szCs w:val="18"/>
              </w:rPr>
              <w:t>sikalite</w:t>
            </w:r>
            <w:proofErr w:type="spellEnd"/>
            <w:r w:rsidRPr="00156EEF">
              <w:rPr>
                <w:sz w:val="16"/>
                <w:szCs w:val="18"/>
              </w:rPr>
              <w:t xml:space="preserve"> dosé à 8 kg / m3 de mortier (1kg de </w:t>
            </w:r>
            <w:proofErr w:type="spellStart"/>
            <w:r w:rsidRPr="00156EEF">
              <w:rPr>
                <w:sz w:val="16"/>
                <w:szCs w:val="18"/>
              </w:rPr>
              <w:t>sikalite</w:t>
            </w:r>
            <w:proofErr w:type="spellEnd"/>
            <w:r w:rsidRPr="00156EEF">
              <w:rPr>
                <w:sz w:val="16"/>
                <w:szCs w:val="18"/>
              </w:rPr>
              <w:t xml:space="preserve"> par sac de ciment). Il est coulé par vibration depuis la fondation jusqu’à la crête de l’ouvrage. Les joints </w:t>
            </w:r>
            <w:proofErr w:type="spellStart"/>
            <w:r w:rsidRPr="00156EEF">
              <w:rPr>
                <w:sz w:val="16"/>
                <w:szCs w:val="18"/>
              </w:rPr>
              <w:t>waterstop</w:t>
            </w:r>
            <w:proofErr w:type="spellEnd"/>
            <w:r w:rsidRPr="00156EEF">
              <w:rPr>
                <w:sz w:val="16"/>
                <w:szCs w:val="18"/>
              </w:rPr>
              <w:t xml:space="preserve"> devront être maintenus parfaitement verticaux lors du coulage. Pour plus de détail se référer au plan de l’ouvrage.</w:t>
            </w:r>
            <w:r w:rsidRPr="00156EEF">
              <w:rPr>
                <w:sz w:val="16"/>
                <w:szCs w:val="18"/>
              </w:rPr>
              <w:br/>
              <w:t>Le prix rémunère le matériel (bétonnière et vibreur obligatoires), le personnel qualifié (technicien et équipes maçons) et les matériaux nécessaires.</w:t>
            </w:r>
          </w:p>
          <w:p w14:paraId="4719C5CA" w14:textId="1265D9BC" w:rsidR="00C312F3" w:rsidRPr="00156EEF" w:rsidRDefault="00C312F3" w:rsidP="009460FF">
            <w:pPr>
              <w:spacing w:after="0"/>
              <w:ind w:left="0" w:firstLine="0"/>
              <w:jc w:val="left"/>
              <w:rPr>
                <w:sz w:val="16"/>
                <w:szCs w:val="18"/>
              </w:rPr>
            </w:pPr>
            <w:r w:rsidRPr="00156EEF">
              <w:rPr>
                <w:sz w:val="16"/>
                <w:szCs w:val="18"/>
              </w:rPr>
              <w:t>Ce prix comprend conformément aux spécifications des prescriptions techniques :</w:t>
            </w:r>
            <w:r w:rsidRPr="00156EEF">
              <w:rPr>
                <w:sz w:val="16"/>
                <w:szCs w:val="18"/>
              </w:rPr>
              <w:br/>
              <w:t xml:space="preserve">- La fourniture et le transport sur le lieu d’emploi de tous les matériaux nécessaires à la fabrication du béton, et aux </w:t>
            </w:r>
            <w:r w:rsidR="009460FF" w:rsidRPr="00156EEF">
              <w:rPr>
                <w:sz w:val="16"/>
                <w:szCs w:val="18"/>
              </w:rPr>
              <w:t>coffrages ;</w:t>
            </w:r>
            <w:r w:rsidRPr="00156EEF">
              <w:rPr>
                <w:sz w:val="16"/>
                <w:szCs w:val="18"/>
              </w:rPr>
              <w:br/>
              <w:t xml:space="preserve">- La fabrication, la mise en œuvre, le serrage (bétonnière et vibrateur obligatoire) et la cure du </w:t>
            </w:r>
            <w:r w:rsidR="009460FF" w:rsidRPr="00156EEF">
              <w:rPr>
                <w:sz w:val="16"/>
                <w:szCs w:val="18"/>
              </w:rPr>
              <w:t>béton ;</w:t>
            </w:r>
            <w:r w:rsidRPr="00156EEF">
              <w:rPr>
                <w:sz w:val="16"/>
                <w:szCs w:val="18"/>
              </w:rPr>
              <w:br/>
              <w:t xml:space="preserve">- La mise en place et le maintien du joint </w:t>
            </w:r>
            <w:proofErr w:type="spellStart"/>
            <w:r w:rsidRPr="00156EEF">
              <w:rPr>
                <w:sz w:val="16"/>
                <w:szCs w:val="18"/>
              </w:rPr>
              <w:t>waterstop</w:t>
            </w:r>
            <w:proofErr w:type="spellEnd"/>
            <w:r w:rsidRPr="00156EEF">
              <w:rPr>
                <w:sz w:val="16"/>
                <w:szCs w:val="18"/>
              </w:rPr>
              <w:t xml:space="preserve"> ;</w:t>
            </w:r>
            <w:r w:rsidRPr="00156EEF">
              <w:rPr>
                <w:sz w:val="16"/>
                <w:szCs w:val="18"/>
              </w:rPr>
              <w:br/>
            </w:r>
            <w:r w:rsidRPr="00156EEF">
              <w:rPr>
                <w:sz w:val="16"/>
                <w:szCs w:val="18"/>
              </w:rPr>
              <w:lastRenderedPageBreak/>
              <w:t>- Le décoffrage et la cure du béton ;</w:t>
            </w:r>
            <w:r w:rsidRPr="00156EEF">
              <w:rPr>
                <w:sz w:val="16"/>
                <w:szCs w:val="18"/>
              </w:rPr>
              <w:br/>
              <w:t>- Toutes sujétions d'exécution et de main d’œuvre qualifié et non qualifiée.</w:t>
            </w:r>
            <w:r w:rsidRPr="00156EEF">
              <w:rPr>
                <w:sz w:val="16"/>
                <w:szCs w:val="18"/>
              </w:rPr>
              <w:br/>
            </w:r>
          </w:p>
          <w:p w14:paraId="42C5A85B" w14:textId="77777777" w:rsidR="00C312F3" w:rsidRPr="00156EEF" w:rsidRDefault="00C312F3" w:rsidP="009460FF">
            <w:pPr>
              <w:spacing w:after="0"/>
              <w:ind w:left="0" w:firstLine="0"/>
              <w:jc w:val="left"/>
              <w:rPr>
                <w:b/>
                <w:bCs/>
                <w:sz w:val="20"/>
              </w:rPr>
            </w:pPr>
            <w:r w:rsidRPr="00156EEF">
              <w:rPr>
                <w:i/>
                <w:sz w:val="16"/>
                <w:szCs w:val="18"/>
              </w:rPr>
              <w:t xml:space="preserve">Ce prix s’applique au volume, en mètre cube (m3), de béton ordinaire dosé à 400 kg/m3 mise en place pour le scellement des joints </w:t>
            </w:r>
            <w:proofErr w:type="spellStart"/>
            <w:r w:rsidRPr="00156EEF">
              <w:rPr>
                <w:i/>
                <w:sz w:val="16"/>
                <w:szCs w:val="18"/>
              </w:rPr>
              <w:t>waterstop</w:t>
            </w:r>
            <w:proofErr w:type="spellEnd"/>
            <w:r w:rsidRPr="00156EEF">
              <w:rPr>
                <w:i/>
                <w:sz w:val="16"/>
                <w:szCs w:val="18"/>
              </w:rPr>
              <w:t xml:space="preserve"> avec comme valeur maximale celle obtenue à partir des plans d’exécution</w:t>
            </w:r>
            <w:r w:rsidRPr="00156EEF">
              <w:rPr>
                <w:sz w:val="16"/>
                <w:szCs w:val="18"/>
              </w:rPr>
              <w:t>.</w:t>
            </w:r>
          </w:p>
        </w:tc>
        <w:tc>
          <w:tcPr>
            <w:tcW w:w="429" w:type="pct"/>
            <w:tcBorders>
              <w:top w:val="single" w:sz="4" w:space="0" w:color="auto"/>
              <w:left w:val="nil"/>
              <w:bottom w:val="single" w:sz="8" w:space="0" w:color="auto"/>
              <w:right w:val="single" w:sz="8" w:space="0" w:color="auto"/>
            </w:tcBorders>
            <w:shd w:val="clear" w:color="auto" w:fill="auto"/>
            <w:vAlign w:val="center"/>
            <w:hideMark/>
          </w:tcPr>
          <w:p w14:paraId="33D879F6" w14:textId="77777777" w:rsidR="00C312F3" w:rsidRPr="00156EEF" w:rsidRDefault="00C312F3" w:rsidP="009460FF">
            <w:pPr>
              <w:spacing w:after="0"/>
              <w:ind w:left="0" w:firstLine="0"/>
              <w:jc w:val="center"/>
              <w:rPr>
                <w:sz w:val="20"/>
              </w:rPr>
            </w:pPr>
            <w:r w:rsidRPr="00156EEF">
              <w:rPr>
                <w:sz w:val="20"/>
              </w:rPr>
              <w:lastRenderedPageBreak/>
              <w:t>m</w:t>
            </w:r>
            <w:r w:rsidRPr="00156EEF">
              <w:rPr>
                <w:sz w:val="20"/>
                <w:vertAlign w:val="superscript"/>
              </w:rPr>
              <w:t>3</w:t>
            </w:r>
          </w:p>
        </w:tc>
        <w:tc>
          <w:tcPr>
            <w:tcW w:w="608" w:type="pct"/>
            <w:tcBorders>
              <w:top w:val="single" w:sz="4" w:space="0" w:color="auto"/>
              <w:left w:val="nil"/>
              <w:bottom w:val="single" w:sz="8" w:space="0" w:color="auto"/>
              <w:right w:val="nil"/>
            </w:tcBorders>
            <w:shd w:val="clear" w:color="auto" w:fill="auto"/>
            <w:vAlign w:val="center"/>
            <w:hideMark/>
          </w:tcPr>
          <w:p w14:paraId="12CB901C" w14:textId="77777777" w:rsidR="00C312F3" w:rsidRPr="00156EEF" w:rsidRDefault="00C312F3" w:rsidP="009460FF">
            <w:pPr>
              <w:spacing w:after="0"/>
              <w:ind w:left="0" w:firstLine="0"/>
              <w:jc w:val="center"/>
              <w:rPr>
                <w:rFonts w:ascii="Arial" w:hAnsi="Arial" w:cs="Arial"/>
                <w:sz w:val="20"/>
              </w:rPr>
            </w:pPr>
          </w:p>
        </w:tc>
        <w:tc>
          <w:tcPr>
            <w:tcW w:w="53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644F6D" w14:textId="77777777" w:rsidR="00C312F3" w:rsidRPr="00156EEF" w:rsidRDefault="00C312F3" w:rsidP="009460FF">
            <w:pPr>
              <w:spacing w:after="0"/>
              <w:ind w:left="0" w:firstLine="0"/>
              <w:jc w:val="left"/>
              <w:rPr>
                <w:rFonts w:ascii="Calibri" w:hAnsi="Calibri"/>
                <w:sz w:val="20"/>
              </w:rPr>
            </w:pPr>
            <w:r w:rsidRPr="00156EEF">
              <w:rPr>
                <w:rFonts w:ascii="Calibri" w:hAnsi="Calibri"/>
                <w:sz w:val="20"/>
              </w:rPr>
              <w:t> </w:t>
            </w:r>
          </w:p>
        </w:tc>
      </w:tr>
      <w:tr w:rsidR="00C312F3" w:rsidRPr="00156EEF" w14:paraId="396802F1" w14:textId="77777777" w:rsidTr="00713378">
        <w:trPr>
          <w:trHeight w:val="49"/>
          <w:jc w:val="center"/>
        </w:trPr>
        <w:tc>
          <w:tcPr>
            <w:tcW w:w="302" w:type="pct"/>
            <w:tcBorders>
              <w:top w:val="nil"/>
              <w:left w:val="double" w:sz="6" w:space="0" w:color="auto"/>
              <w:bottom w:val="single" w:sz="8" w:space="0" w:color="auto"/>
              <w:right w:val="single" w:sz="8" w:space="0" w:color="auto"/>
            </w:tcBorders>
            <w:shd w:val="clear" w:color="auto" w:fill="auto"/>
            <w:vAlign w:val="center"/>
            <w:hideMark/>
          </w:tcPr>
          <w:p w14:paraId="69968498" w14:textId="77777777" w:rsidR="00C312F3" w:rsidRPr="00156EEF" w:rsidRDefault="00C312F3" w:rsidP="009460FF">
            <w:pPr>
              <w:spacing w:after="0"/>
              <w:ind w:left="0" w:firstLine="0"/>
              <w:jc w:val="center"/>
              <w:rPr>
                <w:rFonts w:ascii="Arial" w:hAnsi="Arial" w:cs="Arial"/>
                <w:sz w:val="20"/>
              </w:rPr>
            </w:pPr>
            <w:r w:rsidRPr="00156EEF">
              <w:rPr>
                <w:rFonts w:ascii="Arial" w:hAnsi="Arial" w:cs="Arial"/>
                <w:sz w:val="20"/>
              </w:rPr>
              <w:lastRenderedPageBreak/>
              <w:t> </w:t>
            </w:r>
          </w:p>
        </w:tc>
        <w:tc>
          <w:tcPr>
            <w:tcW w:w="3129" w:type="pct"/>
            <w:tcBorders>
              <w:top w:val="nil"/>
              <w:left w:val="nil"/>
              <w:bottom w:val="single" w:sz="8" w:space="0" w:color="auto"/>
              <w:right w:val="single" w:sz="8" w:space="0" w:color="auto"/>
            </w:tcBorders>
            <w:shd w:val="clear" w:color="auto" w:fill="auto"/>
            <w:vAlign w:val="center"/>
            <w:hideMark/>
          </w:tcPr>
          <w:p w14:paraId="4E69BDAB" w14:textId="77777777" w:rsidR="00C312F3" w:rsidRPr="00156EEF" w:rsidRDefault="00C312F3" w:rsidP="009460FF">
            <w:pPr>
              <w:spacing w:after="0"/>
              <w:ind w:left="0" w:firstLine="0"/>
              <w:jc w:val="right"/>
              <w:rPr>
                <w:rFonts w:ascii="Arial" w:hAnsi="Arial" w:cs="Arial"/>
                <w:b/>
                <w:bCs/>
                <w:sz w:val="20"/>
              </w:rPr>
            </w:pPr>
            <w:r w:rsidRPr="00156EEF">
              <w:rPr>
                <w:rFonts w:ascii="Arial" w:hAnsi="Arial" w:cs="Arial"/>
                <w:b/>
                <w:bCs/>
                <w:sz w:val="20"/>
              </w:rPr>
              <w:t>Total Série 2</w:t>
            </w:r>
          </w:p>
        </w:tc>
        <w:tc>
          <w:tcPr>
            <w:tcW w:w="429" w:type="pct"/>
            <w:tcBorders>
              <w:top w:val="nil"/>
              <w:left w:val="nil"/>
              <w:bottom w:val="single" w:sz="8" w:space="0" w:color="auto"/>
              <w:right w:val="single" w:sz="8" w:space="0" w:color="auto"/>
            </w:tcBorders>
            <w:shd w:val="clear" w:color="auto" w:fill="auto"/>
            <w:vAlign w:val="center"/>
            <w:hideMark/>
          </w:tcPr>
          <w:p w14:paraId="499E2C07" w14:textId="77777777" w:rsidR="00C312F3" w:rsidRPr="00156EEF" w:rsidRDefault="00C312F3" w:rsidP="009460FF">
            <w:pPr>
              <w:spacing w:after="0"/>
              <w:ind w:left="0" w:firstLine="0"/>
              <w:jc w:val="center"/>
              <w:rPr>
                <w:sz w:val="20"/>
              </w:rPr>
            </w:pPr>
            <w:r w:rsidRPr="00156EEF">
              <w:rPr>
                <w:sz w:val="20"/>
              </w:rPr>
              <w:t> </w:t>
            </w:r>
          </w:p>
        </w:tc>
        <w:tc>
          <w:tcPr>
            <w:tcW w:w="608" w:type="pct"/>
            <w:tcBorders>
              <w:top w:val="nil"/>
              <w:left w:val="nil"/>
              <w:bottom w:val="single" w:sz="8" w:space="0" w:color="auto"/>
              <w:right w:val="nil"/>
            </w:tcBorders>
            <w:shd w:val="clear" w:color="auto" w:fill="auto"/>
            <w:vAlign w:val="center"/>
            <w:hideMark/>
          </w:tcPr>
          <w:p w14:paraId="540BD964" w14:textId="77777777" w:rsidR="00C312F3" w:rsidRPr="00156EEF" w:rsidRDefault="00C312F3" w:rsidP="009460FF">
            <w:pPr>
              <w:spacing w:after="0"/>
              <w:ind w:left="0" w:firstLine="0"/>
              <w:jc w:val="center"/>
              <w:rPr>
                <w:rFonts w:ascii="Arial" w:hAnsi="Arial" w:cs="Arial"/>
                <w:sz w:val="20"/>
              </w:rPr>
            </w:pPr>
            <w:r w:rsidRPr="00156EEF">
              <w:rPr>
                <w:rFonts w:ascii="Arial" w:hAnsi="Arial" w:cs="Arial"/>
                <w:sz w:val="20"/>
              </w:rPr>
              <w:t> </w:t>
            </w:r>
          </w:p>
        </w:tc>
        <w:tc>
          <w:tcPr>
            <w:tcW w:w="532" w:type="pct"/>
            <w:tcBorders>
              <w:top w:val="nil"/>
              <w:left w:val="single" w:sz="4" w:space="0" w:color="auto"/>
              <w:bottom w:val="single" w:sz="4" w:space="0" w:color="auto"/>
              <w:right w:val="single" w:sz="4" w:space="0" w:color="auto"/>
            </w:tcBorders>
            <w:shd w:val="clear" w:color="auto" w:fill="auto"/>
            <w:noWrap/>
            <w:vAlign w:val="bottom"/>
            <w:hideMark/>
          </w:tcPr>
          <w:p w14:paraId="659FAACA" w14:textId="77777777" w:rsidR="00C312F3" w:rsidRPr="00156EEF" w:rsidRDefault="00C312F3" w:rsidP="009460FF">
            <w:pPr>
              <w:spacing w:after="0"/>
              <w:ind w:left="0" w:firstLine="0"/>
              <w:jc w:val="left"/>
              <w:rPr>
                <w:rFonts w:ascii="Calibri" w:hAnsi="Calibri"/>
                <w:sz w:val="20"/>
              </w:rPr>
            </w:pPr>
            <w:r w:rsidRPr="00156EEF">
              <w:rPr>
                <w:rFonts w:ascii="Calibri" w:hAnsi="Calibri"/>
                <w:sz w:val="20"/>
              </w:rPr>
              <w:t> </w:t>
            </w:r>
          </w:p>
        </w:tc>
      </w:tr>
      <w:tr w:rsidR="00C312F3" w:rsidRPr="00156EEF" w14:paraId="770D1C51" w14:textId="77777777" w:rsidTr="00713378">
        <w:trPr>
          <w:trHeight w:val="49"/>
          <w:jc w:val="center"/>
        </w:trPr>
        <w:tc>
          <w:tcPr>
            <w:tcW w:w="302" w:type="pct"/>
            <w:tcBorders>
              <w:top w:val="nil"/>
              <w:left w:val="double" w:sz="6" w:space="0" w:color="auto"/>
              <w:bottom w:val="single" w:sz="8" w:space="0" w:color="auto"/>
              <w:right w:val="single" w:sz="8" w:space="0" w:color="auto"/>
            </w:tcBorders>
            <w:shd w:val="clear" w:color="auto" w:fill="auto"/>
            <w:vAlign w:val="center"/>
            <w:hideMark/>
          </w:tcPr>
          <w:p w14:paraId="66459F2E" w14:textId="77777777" w:rsidR="00C312F3" w:rsidRPr="00156EEF" w:rsidRDefault="00C312F3" w:rsidP="009460FF">
            <w:pPr>
              <w:spacing w:after="0"/>
              <w:ind w:left="0" w:firstLine="0"/>
              <w:jc w:val="center"/>
              <w:rPr>
                <w:rFonts w:ascii="Arial" w:hAnsi="Arial" w:cs="Arial"/>
                <w:sz w:val="20"/>
              </w:rPr>
            </w:pPr>
            <w:r w:rsidRPr="00156EEF">
              <w:rPr>
                <w:rFonts w:ascii="Arial" w:hAnsi="Arial" w:cs="Arial"/>
                <w:sz w:val="20"/>
              </w:rPr>
              <w:t> </w:t>
            </w:r>
          </w:p>
        </w:tc>
        <w:tc>
          <w:tcPr>
            <w:tcW w:w="3129" w:type="pct"/>
            <w:tcBorders>
              <w:top w:val="nil"/>
              <w:left w:val="nil"/>
              <w:bottom w:val="single" w:sz="8" w:space="0" w:color="auto"/>
              <w:right w:val="single" w:sz="8" w:space="0" w:color="auto"/>
            </w:tcBorders>
            <w:shd w:val="clear" w:color="auto" w:fill="auto"/>
            <w:vAlign w:val="center"/>
            <w:hideMark/>
          </w:tcPr>
          <w:p w14:paraId="17F89A6E" w14:textId="77777777" w:rsidR="00C312F3" w:rsidRPr="00156EEF" w:rsidRDefault="00C312F3" w:rsidP="009460FF">
            <w:pPr>
              <w:spacing w:after="0"/>
              <w:ind w:left="0" w:firstLine="0"/>
              <w:jc w:val="left"/>
              <w:rPr>
                <w:rFonts w:ascii="Arial" w:hAnsi="Arial" w:cs="Arial"/>
                <w:b/>
                <w:bCs/>
                <w:sz w:val="20"/>
              </w:rPr>
            </w:pPr>
            <w:r w:rsidRPr="00156EEF">
              <w:rPr>
                <w:rFonts w:ascii="Arial" w:hAnsi="Arial" w:cs="Arial"/>
                <w:b/>
                <w:bCs/>
                <w:sz w:val="20"/>
              </w:rPr>
              <w:t xml:space="preserve">Série III- PERTUIS DE VIDANGE </w:t>
            </w:r>
          </w:p>
        </w:tc>
        <w:tc>
          <w:tcPr>
            <w:tcW w:w="429" w:type="pct"/>
            <w:tcBorders>
              <w:top w:val="nil"/>
              <w:left w:val="nil"/>
              <w:bottom w:val="single" w:sz="8" w:space="0" w:color="auto"/>
              <w:right w:val="single" w:sz="8" w:space="0" w:color="auto"/>
            </w:tcBorders>
            <w:shd w:val="clear" w:color="auto" w:fill="auto"/>
            <w:vAlign w:val="center"/>
            <w:hideMark/>
          </w:tcPr>
          <w:p w14:paraId="374924F6" w14:textId="77777777" w:rsidR="00C312F3" w:rsidRPr="00156EEF" w:rsidRDefault="00C312F3" w:rsidP="009460FF">
            <w:pPr>
              <w:spacing w:after="0"/>
              <w:ind w:left="0" w:firstLine="0"/>
              <w:jc w:val="center"/>
              <w:rPr>
                <w:sz w:val="20"/>
              </w:rPr>
            </w:pPr>
            <w:r w:rsidRPr="00156EEF">
              <w:rPr>
                <w:sz w:val="20"/>
              </w:rPr>
              <w:t> </w:t>
            </w:r>
          </w:p>
        </w:tc>
        <w:tc>
          <w:tcPr>
            <w:tcW w:w="608" w:type="pct"/>
            <w:tcBorders>
              <w:top w:val="nil"/>
              <w:left w:val="nil"/>
              <w:bottom w:val="single" w:sz="8" w:space="0" w:color="auto"/>
              <w:right w:val="nil"/>
            </w:tcBorders>
            <w:shd w:val="clear" w:color="auto" w:fill="auto"/>
            <w:vAlign w:val="center"/>
            <w:hideMark/>
          </w:tcPr>
          <w:p w14:paraId="0C1BB149" w14:textId="77777777" w:rsidR="00C312F3" w:rsidRPr="00156EEF" w:rsidRDefault="00C312F3" w:rsidP="009460FF">
            <w:pPr>
              <w:spacing w:after="0"/>
              <w:ind w:left="0" w:firstLine="0"/>
              <w:jc w:val="center"/>
              <w:rPr>
                <w:rFonts w:ascii="Arial" w:hAnsi="Arial" w:cs="Arial"/>
                <w:sz w:val="20"/>
              </w:rPr>
            </w:pPr>
            <w:r w:rsidRPr="00156EEF">
              <w:rPr>
                <w:rFonts w:ascii="Arial" w:hAnsi="Arial" w:cs="Arial"/>
                <w:sz w:val="20"/>
              </w:rPr>
              <w:t> </w:t>
            </w:r>
          </w:p>
        </w:tc>
        <w:tc>
          <w:tcPr>
            <w:tcW w:w="532" w:type="pct"/>
            <w:tcBorders>
              <w:top w:val="nil"/>
              <w:left w:val="single" w:sz="4" w:space="0" w:color="auto"/>
              <w:bottom w:val="single" w:sz="4" w:space="0" w:color="auto"/>
              <w:right w:val="single" w:sz="4" w:space="0" w:color="auto"/>
            </w:tcBorders>
            <w:shd w:val="clear" w:color="auto" w:fill="auto"/>
            <w:noWrap/>
            <w:vAlign w:val="bottom"/>
            <w:hideMark/>
          </w:tcPr>
          <w:p w14:paraId="1D6CEEAD" w14:textId="77777777" w:rsidR="00C312F3" w:rsidRPr="00156EEF" w:rsidRDefault="00C312F3" w:rsidP="009460FF">
            <w:pPr>
              <w:spacing w:after="0"/>
              <w:ind w:left="0" w:firstLine="0"/>
              <w:jc w:val="left"/>
              <w:rPr>
                <w:rFonts w:ascii="Calibri" w:hAnsi="Calibri"/>
                <w:sz w:val="20"/>
              </w:rPr>
            </w:pPr>
            <w:r w:rsidRPr="00156EEF">
              <w:rPr>
                <w:rFonts w:ascii="Calibri" w:hAnsi="Calibri"/>
                <w:sz w:val="20"/>
              </w:rPr>
              <w:t> </w:t>
            </w:r>
          </w:p>
        </w:tc>
      </w:tr>
      <w:tr w:rsidR="00C312F3" w:rsidRPr="00156EEF" w14:paraId="22192EE1" w14:textId="77777777" w:rsidTr="009460FF">
        <w:trPr>
          <w:trHeight w:val="1633"/>
          <w:jc w:val="center"/>
        </w:trPr>
        <w:tc>
          <w:tcPr>
            <w:tcW w:w="302" w:type="pct"/>
            <w:tcBorders>
              <w:top w:val="nil"/>
              <w:left w:val="double" w:sz="6" w:space="0" w:color="auto"/>
              <w:bottom w:val="single" w:sz="8" w:space="0" w:color="auto"/>
              <w:right w:val="single" w:sz="8" w:space="0" w:color="auto"/>
            </w:tcBorders>
            <w:shd w:val="clear" w:color="auto" w:fill="auto"/>
            <w:vAlign w:val="center"/>
            <w:hideMark/>
          </w:tcPr>
          <w:p w14:paraId="4D04357A" w14:textId="77777777" w:rsidR="00C312F3" w:rsidRPr="00156EEF" w:rsidRDefault="00C312F3" w:rsidP="009460FF">
            <w:pPr>
              <w:spacing w:after="0"/>
              <w:ind w:left="0" w:firstLine="0"/>
              <w:jc w:val="center"/>
              <w:rPr>
                <w:rFonts w:ascii="Arial" w:hAnsi="Arial" w:cs="Arial"/>
                <w:sz w:val="20"/>
              </w:rPr>
            </w:pPr>
            <w:r w:rsidRPr="00156EEF">
              <w:rPr>
                <w:rFonts w:ascii="Arial" w:hAnsi="Arial" w:cs="Arial"/>
                <w:sz w:val="20"/>
              </w:rPr>
              <w:t>3.1</w:t>
            </w:r>
          </w:p>
        </w:tc>
        <w:tc>
          <w:tcPr>
            <w:tcW w:w="3129" w:type="pct"/>
            <w:tcBorders>
              <w:top w:val="nil"/>
              <w:left w:val="nil"/>
              <w:bottom w:val="single" w:sz="8" w:space="0" w:color="auto"/>
              <w:right w:val="single" w:sz="8" w:space="0" w:color="auto"/>
            </w:tcBorders>
            <w:shd w:val="clear" w:color="auto" w:fill="auto"/>
            <w:hideMark/>
          </w:tcPr>
          <w:p w14:paraId="35847272" w14:textId="77777777" w:rsidR="00C312F3" w:rsidRPr="00156EEF" w:rsidRDefault="00C312F3" w:rsidP="009460FF">
            <w:pPr>
              <w:spacing w:after="0"/>
              <w:ind w:left="0" w:firstLine="0"/>
              <w:jc w:val="left"/>
              <w:rPr>
                <w:sz w:val="18"/>
                <w:szCs w:val="18"/>
              </w:rPr>
            </w:pPr>
            <w:r w:rsidRPr="00156EEF">
              <w:rPr>
                <w:b/>
                <w:bCs/>
                <w:sz w:val="20"/>
              </w:rPr>
              <w:t xml:space="preserve">Fouille pour murs pertuis </w:t>
            </w:r>
            <w:r w:rsidRPr="00156EEF">
              <w:rPr>
                <w:sz w:val="20"/>
              </w:rPr>
              <w:t xml:space="preserve">                                                                                                                     </w:t>
            </w:r>
            <w:r w:rsidRPr="00156EEF">
              <w:rPr>
                <w:sz w:val="18"/>
                <w:szCs w:val="18"/>
              </w:rPr>
              <w:t>Ce prix est identique au prix 2.1 appliqué aux murs et seuil pertuis.</w:t>
            </w:r>
            <w:r w:rsidRPr="00156EEF">
              <w:rPr>
                <w:sz w:val="18"/>
                <w:szCs w:val="18"/>
              </w:rPr>
              <w:br/>
              <w:t>Le prix rémunère le matériel (engins de terrassement telle une pelle mécanique) et le personnel qualifié nécessaire pour l'exécution correcte des fouilles de la tranchée d’ancrage de l’ouvrage.</w:t>
            </w:r>
          </w:p>
          <w:p w14:paraId="3527532F" w14:textId="77777777" w:rsidR="00C312F3" w:rsidRPr="00156EEF" w:rsidRDefault="00C312F3" w:rsidP="009460FF">
            <w:pPr>
              <w:spacing w:after="0"/>
              <w:ind w:left="0" w:firstLine="0"/>
              <w:jc w:val="left"/>
              <w:rPr>
                <w:b/>
                <w:bCs/>
                <w:sz w:val="20"/>
              </w:rPr>
            </w:pPr>
            <w:r w:rsidRPr="00156EEF">
              <w:rPr>
                <w:sz w:val="20"/>
              </w:rPr>
              <w:br/>
            </w:r>
            <w:r w:rsidRPr="00156EEF">
              <w:rPr>
                <w:i/>
                <w:sz w:val="18"/>
                <w:szCs w:val="18"/>
              </w:rPr>
              <w:t>Ce prix s’applique au mètre cube (m3) théorique de déblai, les côtes du terrain naturel étant celles obtenues par levés contradictoires des profils en travers minorés de l'épaisseur du décapage éventuel.</w:t>
            </w:r>
          </w:p>
        </w:tc>
        <w:tc>
          <w:tcPr>
            <w:tcW w:w="429" w:type="pct"/>
            <w:tcBorders>
              <w:top w:val="nil"/>
              <w:left w:val="nil"/>
              <w:bottom w:val="single" w:sz="8" w:space="0" w:color="auto"/>
              <w:right w:val="single" w:sz="8" w:space="0" w:color="auto"/>
            </w:tcBorders>
            <w:shd w:val="clear" w:color="auto" w:fill="auto"/>
            <w:vAlign w:val="center"/>
            <w:hideMark/>
          </w:tcPr>
          <w:p w14:paraId="40AF0EC3" w14:textId="77777777" w:rsidR="00C312F3" w:rsidRPr="00156EEF" w:rsidRDefault="00C312F3" w:rsidP="009460FF">
            <w:pPr>
              <w:spacing w:after="0"/>
              <w:ind w:left="0" w:firstLine="0"/>
              <w:jc w:val="center"/>
              <w:rPr>
                <w:sz w:val="20"/>
              </w:rPr>
            </w:pPr>
            <w:r w:rsidRPr="00156EEF">
              <w:rPr>
                <w:sz w:val="20"/>
              </w:rPr>
              <w:t>m</w:t>
            </w:r>
            <w:r w:rsidRPr="00156EEF">
              <w:rPr>
                <w:sz w:val="20"/>
                <w:vertAlign w:val="superscript"/>
              </w:rPr>
              <w:t>3</w:t>
            </w:r>
          </w:p>
        </w:tc>
        <w:tc>
          <w:tcPr>
            <w:tcW w:w="608" w:type="pct"/>
            <w:tcBorders>
              <w:top w:val="nil"/>
              <w:left w:val="nil"/>
              <w:bottom w:val="single" w:sz="8" w:space="0" w:color="auto"/>
              <w:right w:val="nil"/>
            </w:tcBorders>
            <w:shd w:val="clear" w:color="auto" w:fill="auto"/>
            <w:vAlign w:val="center"/>
            <w:hideMark/>
          </w:tcPr>
          <w:p w14:paraId="16D61CC5" w14:textId="77777777" w:rsidR="00C312F3" w:rsidRPr="00156EEF" w:rsidRDefault="00C312F3" w:rsidP="009460FF">
            <w:pPr>
              <w:spacing w:after="0"/>
              <w:ind w:left="0" w:firstLine="0"/>
              <w:jc w:val="center"/>
              <w:rPr>
                <w:rFonts w:ascii="Arial" w:hAnsi="Arial" w:cs="Arial"/>
                <w:sz w:val="20"/>
              </w:rPr>
            </w:pPr>
          </w:p>
        </w:tc>
        <w:tc>
          <w:tcPr>
            <w:tcW w:w="532" w:type="pct"/>
            <w:tcBorders>
              <w:top w:val="nil"/>
              <w:left w:val="single" w:sz="4" w:space="0" w:color="auto"/>
              <w:bottom w:val="single" w:sz="4" w:space="0" w:color="auto"/>
              <w:right w:val="single" w:sz="4" w:space="0" w:color="auto"/>
            </w:tcBorders>
            <w:shd w:val="clear" w:color="auto" w:fill="auto"/>
            <w:noWrap/>
            <w:vAlign w:val="bottom"/>
            <w:hideMark/>
          </w:tcPr>
          <w:p w14:paraId="2F1A6172" w14:textId="77777777" w:rsidR="00C312F3" w:rsidRPr="00156EEF" w:rsidRDefault="00C312F3" w:rsidP="009460FF">
            <w:pPr>
              <w:spacing w:after="0"/>
              <w:ind w:left="0" w:firstLine="0"/>
              <w:jc w:val="left"/>
              <w:rPr>
                <w:rFonts w:ascii="Calibri" w:hAnsi="Calibri"/>
                <w:sz w:val="20"/>
              </w:rPr>
            </w:pPr>
            <w:r w:rsidRPr="00156EEF">
              <w:rPr>
                <w:rFonts w:ascii="Calibri" w:hAnsi="Calibri"/>
                <w:sz w:val="20"/>
              </w:rPr>
              <w:t> </w:t>
            </w:r>
          </w:p>
        </w:tc>
      </w:tr>
      <w:tr w:rsidR="00C312F3" w:rsidRPr="00156EEF" w14:paraId="11D87001" w14:textId="77777777" w:rsidTr="009460FF">
        <w:trPr>
          <w:trHeight w:val="1245"/>
          <w:jc w:val="center"/>
        </w:trPr>
        <w:tc>
          <w:tcPr>
            <w:tcW w:w="302" w:type="pct"/>
            <w:tcBorders>
              <w:top w:val="nil"/>
              <w:left w:val="double" w:sz="6" w:space="0" w:color="auto"/>
              <w:bottom w:val="single" w:sz="8" w:space="0" w:color="auto"/>
              <w:right w:val="single" w:sz="8" w:space="0" w:color="auto"/>
            </w:tcBorders>
            <w:shd w:val="clear" w:color="auto" w:fill="auto"/>
            <w:vAlign w:val="center"/>
            <w:hideMark/>
          </w:tcPr>
          <w:p w14:paraId="3B2826C2" w14:textId="77777777" w:rsidR="00C312F3" w:rsidRPr="00156EEF" w:rsidRDefault="00C312F3" w:rsidP="009460FF">
            <w:pPr>
              <w:spacing w:after="0"/>
              <w:ind w:left="0" w:firstLine="0"/>
              <w:jc w:val="center"/>
              <w:rPr>
                <w:rFonts w:ascii="Arial" w:hAnsi="Arial" w:cs="Arial"/>
                <w:sz w:val="20"/>
              </w:rPr>
            </w:pPr>
            <w:r w:rsidRPr="00156EEF">
              <w:rPr>
                <w:rFonts w:ascii="Arial" w:hAnsi="Arial" w:cs="Arial"/>
                <w:sz w:val="20"/>
              </w:rPr>
              <w:t>3.2</w:t>
            </w:r>
          </w:p>
        </w:tc>
        <w:tc>
          <w:tcPr>
            <w:tcW w:w="3129" w:type="pct"/>
            <w:tcBorders>
              <w:top w:val="nil"/>
              <w:left w:val="nil"/>
              <w:bottom w:val="single" w:sz="8" w:space="0" w:color="auto"/>
              <w:right w:val="single" w:sz="8" w:space="0" w:color="auto"/>
            </w:tcBorders>
            <w:shd w:val="clear" w:color="auto" w:fill="auto"/>
            <w:hideMark/>
          </w:tcPr>
          <w:p w14:paraId="0E63C316" w14:textId="77777777" w:rsidR="00C312F3" w:rsidRPr="00156EEF" w:rsidRDefault="00C312F3" w:rsidP="009460FF">
            <w:pPr>
              <w:spacing w:after="0"/>
              <w:ind w:left="0" w:firstLine="0"/>
              <w:jc w:val="left"/>
              <w:rPr>
                <w:b/>
                <w:bCs/>
                <w:sz w:val="20"/>
              </w:rPr>
            </w:pPr>
            <w:r w:rsidRPr="00156EEF">
              <w:rPr>
                <w:b/>
                <w:bCs/>
                <w:sz w:val="20"/>
              </w:rPr>
              <w:t>Béton de propreté dosé à 150kg/m</w:t>
            </w:r>
            <w:r w:rsidRPr="00156EEF">
              <w:rPr>
                <w:b/>
                <w:bCs/>
                <w:sz w:val="20"/>
                <w:vertAlign w:val="superscript"/>
              </w:rPr>
              <w:t>3</w:t>
            </w:r>
            <w:r w:rsidRPr="00156EEF">
              <w:rPr>
                <w:b/>
                <w:bCs/>
                <w:sz w:val="20"/>
              </w:rPr>
              <w:t xml:space="preserve"> </w:t>
            </w:r>
            <w:proofErr w:type="spellStart"/>
            <w:r w:rsidRPr="00156EEF">
              <w:rPr>
                <w:b/>
                <w:bCs/>
                <w:sz w:val="20"/>
              </w:rPr>
              <w:t>ep</w:t>
            </w:r>
            <w:proofErr w:type="spellEnd"/>
            <w:r w:rsidRPr="00156EEF">
              <w:rPr>
                <w:b/>
                <w:bCs/>
                <w:sz w:val="20"/>
              </w:rPr>
              <w:t xml:space="preserve"> =10cm                                                            </w:t>
            </w:r>
            <w:r w:rsidRPr="00156EEF">
              <w:rPr>
                <w:sz w:val="18"/>
                <w:szCs w:val="18"/>
              </w:rPr>
              <w:t>Ce prix est identique au prix 2.3 appliqué aux ouvrages spécifiés.</w:t>
            </w:r>
            <w:r w:rsidRPr="00156EEF">
              <w:rPr>
                <w:sz w:val="20"/>
              </w:rPr>
              <w:br/>
            </w:r>
            <w:r w:rsidRPr="00156EEF">
              <w:rPr>
                <w:sz w:val="20"/>
              </w:rPr>
              <w:br/>
            </w:r>
            <w:r w:rsidRPr="00156EEF">
              <w:rPr>
                <w:i/>
                <w:sz w:val="18"/>
                <w:szCs w:val="18"/>
              </w:rPr>
              <w:t>Ce prix s’applique au volume, en mètre cube (m3), de béton de propreté dosé à 150 kg/m3 coulé, avec comme valeur maximale celle obtenue à partir des plans d’exécution des ouvrages.</w:t>
            </w:r>
          </w:p>
        </w:tc>
        <w:tc>
          <w:tcPr>
            <w:tcW w:w="429" w:type="pct"/>
            <w:tcBorders>
              <w:top w:val="nil"/>
              <w:left w:val="nil"/>
              <w:bottom w:val="single" w:sz="8" w:space="0" w:color="auto"/>
              <w:right w:val="single" w:sz="8" w:space="0" w:color="auto"/>
            </w:tcBorders>
            <w:shd w:val="clear" w:color="auto" w:fill="auto"/>
            <w:vAlign w:val="center"/>
            <w:hideMark/>
          </w:tcPr>
          <w:p w14:paraId="243FD7F8" w14:textId="77777777" w:rsidR="00C312F3" w:rsidRPr="00156EEF" w:rsidRDefault="00C312F3" w:rsidP="009460FF">
            <w:pPr>
              <w:spacing w:after="0"/>
              <w:ind w:left="0" w:firstLine="0"/>
              <w:jc w:val="center"/>
              <w:rPr>
                <w:sz w:val="20"/>
              </w:rPr>
            </w:pPr>
            <w:r w:rsidRPr="00156EEF">
              <w:rPr>
                <w:sz w:val="20"/>
              </w:rPr>
              <w:t>m</w:t>
            </w:r>
            <w:r w:rsidRPr="00156EEF">
              <w:rPr>
                <w:sz w:val="20"/>
                <w:vertAlign w:val="superscript"/>
              </w:rPr>
              <w:t>3</w:t>
            </w:r>
          </w:p>
        </w:tc>
        <w:tc>
          <w:tcPr>
            <w:tcW w:w="608" w:type="pct"/>
            <w:tcBorders>
              <w:top w:val="nil"/>
              <w:left w:val="nil"/>
              <w:bottom w:val="single" w:sz="8" w:space="0" w:color="auto"/>
              <w:right w:val="nil"/>
            </w:tcBorders>
            <w:shd w:val="clear" w:color="auto" w:fill="auto"/>
            <w:vAlign w:val="center"/>
            <w:hideMark/>
          </w:tcPr>
          <w:p w14:paraId="404D08AE" w14:textId="77777777" w:rsidR="00C312F3" w:rsidRPr="00156EEF" w:rsidRDefault="00C312F3" w:rsidP="009460FF">
            <w:pPr>
              <w:spacing w:after="0"/>
              <w:ind w:left="0" w:firstLine="0"/>
              <w:jc w:val="center"/>
              <w:rPr>
                <w:rFonts w:ascii="Arial" w:hAnsi="Arial" w:cs="Arial"/>
                <w:sz w:val="20"/>
              </w:rPr>
            </w:pPr>
          </w:p>
        </w:tc>
        <w:tc>
          <w:tcPr>
            <w:tcW w:w="532" w:type="pct"/>
            <w:tcBorders>
              <w:top w:val="nil"/>
              <w:left w:val="single" w:sz="4" w:space="0" w:color="auto"/>
              <w:bottom w:val="single" w:sz="4" w:space="0" w:color="auto"/>
              <w:right w:val="single" w:sz="4" w:space="0" w:color="auto"/>
            </w:tcBorders>
            <w:shd w:val="clear" w:color="auto" w:fill="auto"/>
            <w:noWrap/>
            <w:vAlign w:val="bottom"/>
            <w:hideMark/>
          </w:tcPr>
          <w:p w14:paraId="6652CEE7" w14:textId="77777777" w:rsidR="00C312F3" w:rsidRPr="00156EEF" w:rsidRDefault="00C312F3" w:rsidP="009460FF">
            <w:pPr>
              <w:spacing w:after="0"/>
              <w:ind w:left="0" w:firstLine="0"/>
              <w:jc w:val="left"/>
              <w:rPr>
                <w:rFonts w:ascii="Calibri" w:hAnsi="Calibri"/>
                <w:sz w:val="20"/>
              </w:rPr>
            </w:pPr>
            <w:r w:rsidRPr="00156EEF">
              <w:rPr>
                <w:rFonts w:ascii="Calibri" w:hAnsi="Calibri"/>
                <w:sz w:val="20"/>
              </w:rPr>
              <w:t> </w:t>
            </w:r>
          </w:p>
        </w:tc>
      </w:tr>
      <w:tr w:rsidR="00C312F3" w:rsidRPr="00156EEF" w14:paraId="5EF546C7" w14:textId="77777777" w:rsidTr="009460FF">
        <w:trPr>
          <w:trHeight w:val="1455"/>
          <w:jc w:val="center"/>
        </w:trPr>
        <w:tc>
          <w:tcPr>
            <w:tcW w:w="302" w:type="pct"/>
            <w:tcBorders>
              <w:top w:val="nil"/>
              <w:left w:val="double" w:sz="6" w:space="0" w:color="auto"/>
              <w:bottom w:val="single" w:sz="8" w:space="0" w:color="auto"/>
              <w:right w:val="single" w:sz="8" w:space="0" w:color="auto"/>
            </w:tcBorders>
            <w:shd w:val="clear" w:color="auto" w:fill="auto"/>
            <w:vAlign w:val="center"/>
            <w:hideMark/>
          </w:tcPr>
          <w:p w14:paraId="374D820C" w14:textId="77777777" w:rsidR="00C312F3" w:rsidRPr="00156EEF" w:rsidRDefault="00C312F3" w:rsidP="009460FF">
            <w:pPr>
              <w:spacing w:after="0"/>
              <w:ind w:left="0" w:firstLine="0"/>
              <w:jc w:val="center"/>
              <w:rPr>
                <w:rFonts w:ascii="Arial" w:hAnsi="Arial" w:cs="Arial"/>
                <w:sz w:val="20"/>
              </w:rPr>
            </w:pPr>
            <w:r w:rsidRPr="00156EEF">
              <w:rPr>
                <w:rFonts w:ascii="Arial" w:hAnsi="Arial" w:cs="Arial"/>
                <w:sz w:val="20"/>
              </w:rPr>
              <w:t>3.3</w:t>
            </w:r>
          </w:p>
        </w:tc>
        <w:tc>
          <w:tcPr>
            <w:tcW w:w="3129" w:type="pct"/>
            <w:tcBorders>
              <w:top w:val="nil"/>
              <w:left w:val="nil"/>
              <w:bottom w:val="single" w:sz="8" w:space="0" w:color="auto"/>
              <w:right w:val="single" w:sz="8" w:space="0" w:color="auto"/>
            </w:tcBorders>
            <w:shd w:val="clear" w:color="auto" w:fill="auto"/>
            <w:hideMark/>
          </w:tcPr>
          <w:p w14:paraId="3382DC3A" w14:textId="77777777" w:rsidR="00C312F3" w:rsidRPr="00156EEF" w:rsidRDefault="00C312F3" w:rsidP="009460FF">
            <w:pPr>
              <w:spacing w:after="0"/>
              <w:ind w:left="0" w:firstLine="0"/>
              <w:jc w:val="left"/>
              <w:rPr>
                <w:b/>
                <w:bCs/>
                <w:sz w:val="20"/>
              </w:rPr>
            </w:pPr>
            <w:r w:rsidRPr="00156EEF">
              <w:rPr>
                <w:b/>
                <w:bCs/>
                <w:sz w:val="20"/>
              </w:rPr>
              <w:t xml:space="preserve">Blocage de la fouille en béton cyclopéen dosé à 350 kg/m3 pour murs y compris ajout du </w:t>
            </w:r>
            <w:proofErr w:type="spellStart"/>
            <w:r w:rsidRPr="00156EEF">
              <w:rPr>
                <w:b/>
                <w:bCs/>
                <w:sz w:val="20"/>
              </w:rPr>
              <w:t>sikhalite</w:t>
            </w:r>
            <w:proofErr w:type="spellEnd"/>
            <w:r w:rsidRPr="00156EEF">
              <w:rPr>
                <w:b/>
                <w:bCs/>
                <w:sz w:val="20"/>
              </w:rPr>
              <w:t xml:space="preserve">  </w:t>
            </w:r>
            <w:r w:rsidRPr="00156EEF">
              <w:rPr>
                <w:b/>
                <w:bCs/>
                <w:sz w:val="20"/>
              </w:rPr>
              <w:br/>
            </w:r>
            <w:r w:rsidRPr="00156EEF">
              <w:rPr>
                <w:bCs/>
                <w:sz w:val="18"/>
                <w:szCs w:val="18"/>
              </w:rPr>
              <w:t>Ce prix est identique au prix 2.4 appliqué au seuil et mur pertuis.</w:t>
            </w:r>
            <w:r w:rsidRPr="00156EEF">
              <w:rPr>
                <w:bCs/>
                <w:sz w:val="18"/>
                <w:szCs w:val="18"/>
              </w:rPr>
              <w:br/>
            </w:r>
            <w:r w:rsidRPr="00156EEF">
              <w:rPr>
                <w:sz w:val="20"/>
              </w:rPr>
              <w:br/>
            </w:r>
            <w:r w:rsidRPr="00156EEF">
              <w:rPr>
                <w:i/>
                <w:sz w:val="18"/>
                <w:szCs w:val="18"/>
              </w:rPr>
              <w:t>Ce prix s’applique au volume, en mètre cube (m3), de béton cyclopéen, avec comme valeur maximale celle obtenue à partir des plans d’exécution des ouvrages.</w:t>
            </w:r>
          </w:p>
        </w:tc>
        <w:tc>
          <w:tcPr>
            <w:tcW w:w="429" w:type="pct"/>
            <w:tcBorders>
              <w:top w:val="nil"/>
              <w:left w:val="nil"/>
              <w:bottom w:val="single" w:sz="8" w:space="0" w:color="auto"/>
              <w:right w:val="single" w:sz="8" w:space="0" w:color="auto"/>
            </w:tcBorders>
            <w:shd w:val="clear" w:color="auto" w:fill="auto"/>
            <w:vAlign w:val="center"/>
            <w:hideMark/>
          </w:tcPr>
          <w:p w14:paraId="3E477D0E" w14:textId="77777777" w:rsidR="00C312F3" w:rsidRPr="00156EEF" w:rsidRDefault="00C312F3" w:rsidP="009460FF">
            <w:pPr>
              <w:spacing w:after="0"/>
              <w:ind w:left="0" w:firstLine="0"/>
              <w:jc w:val="center"/>
              <w:rPr>
                <w:sz w:val="20"/>
              </w:rPr>
            </w:pPr>
            <w:r w:rsidRPr="00156EEF">
              <w:rPr>
                <w:sz w:val="20"/>
              </w:rPr>
              <w:t>m</w:t>
            </w:r>
            <w:r w:rsidRPr="00156EEF">
              <w:rPr>
                <w:sz w:val="20"/>
                <w:vertAlign w:val="superscript"/>
              </w:rPr>
              <w:t>3</w:t>
            </w:r>
          </w:p>
        </w:tc>
        <w:tc>
          <w:tcPr>
            <w:tcW w:w="608" w:type="pct"/>
            <w:tcBorders>
              <w:top w:val="nil"/>
              <w:left w:val="nil"/>
              <w:bottom w:val="single" w:sz="8" w:space="0" w:color="auto"/>
              <w:right w:val="nil"/>
            </w:tcBorders>
            <w:shd w:val="clear" w:color="auto" w:fill="auto"/>
            <w:vAlign w:val="center"/>
            <w:hideMark/>
          </w:tcPr>
          <w:p w14:paraId="57954FB6" w14:textId="77777777" w:rsidR="00C312F3" w:rsidRPr="00156EEF" w:rsidRDefault="00C312F3" w:rsidP="009460FF">
            <w:pPr>
              <w:spacing w:after="0"/>
              <w:ind w:left="0" w:firstLine="0"/>
              <w:jc w:val="center"/>
              <w:rPr>
                <w:rFonts w:ascii="Arial" w:hAnsi="Arial" w:cs="Arial"/>
                <w:sz w:val="20"/>
              </w:rPr>
            </w:pPr>
          </w:p>
        </w:tc>
        <w:tc>
          <w:tcPr>
            <w:tcW w:w="532" w:type="pct"/>
            <w:tcBorders>
              <w:top w:val="nil"/>
              <w:left w:val="single" w:sz="4" w:space="0" w:color="auto"/>
              <w:bottom w:val="single" w:sz="4" w:space="0" w:color="auto"/>
              <w:right w:val="single" w:sz="4" w:space="0" w:color="auto"/>
            </w:tcBorders>
            <w:shd w:val="clear" w:color="auto" w:fill="auto"/>
            <w:noWrap/>
            <w:vAlign w:val="bottom"/>
            <w:hideMark/>
          </w:tcPr>
          <w:p w14:paraId="161FD9DA" w14:textId="77777777" w:rsidR="00C312F3" w:rsidRPr="00156EEF" w:rsidRDefault="00C312F3" w:rsidP="009460FF">
            <w:pPr>
              <w:spacing w:after="0"/>
              <w:ind w:left="0" w:firstLine="0"/>
              <w:jc w:val="left"/>
              <w:rPr>
                <w:rFonts w:ascii="Calibri" w:hAnsi="Calibri"/>
                <w:sz w:val="20"/>
              </w:rPr>
            </w:pPr>
            <w:r w:rsidRPr="00156EEF">
              <w:rPr>
                <w:rFonts w:ascii="Calibri" w:hAnsi="Calibri"/>
                <w:sz w:val="20"/>
              </w:rPr>
              <w:t> </w:t>
            </w:r>
          </w:p>
        </w:tc>
      </w:tr>
      <w:tr w:rsidR="00C312F3" w:rsidRPr="00156EEF" w14:paraId="6A20EC27" w14:textId="77777777" w:rsidTr="009460FF">
        <w:trPr>
          <w:trHeight w:val="1534"/>
          <w:jc w:val="center"/>
        </w:trPr>
        <w:tc>
          <w:tcPr>
            <w:tcW w:w="302" w:type="pct"/>
            <w:tcBorders>
              <w:top w:val="single" w:sz="4" w:space="0" w:color="auto"/>
              <w:left w:val="double" w:sz="6" w:space="0" w:color="auto"/>
              <w:bottom w:val="single" w:sz="8" w:space="0" w:color="auto"/>
              <w:right w:val="single" w:sz="8" w:space="0" w:color="auto"/>
            </w:tcBorders>
            <w:shd w:val="clear" w:color="auto" w:fill="auto"/>
            <w:vAlign w:val="center"/>
            <w:hideMark/>
          </w:tcPr>
          <w:p w14:paraId="02A91E2F" w14:textId="77777777" w:rsidR="00C312F3" w:rsidRPr="00156EEF" w:rsidRDefault="00C312F3" w:rsidP="009460FF">
            <w:pPr>
              <w:spacing w:after="0"/>
              <w:ind w:left="0" w:firstLine="0"/>
              <w:jc w:val="center"/>
              <w:rPr>
                <w:rFonts w:ascii="Arial" w:hAnsi="Arial" w:cs="Arial"/>
                <w:sz w:val="20"/>
              </w:rPr>
            </w:pPr>
            <w:r w:rsidRPr="00156EEF">
              <w:rPr>
                <w:rFonts w:ascii="Arial" w:hAnsi="Arial" w:cs="Arial"/>
                <w:sz w:val="20"/>
              </w:rPr>
              <w:t>3.4</w:t>
            </w:r>
          </w:p>
        </w:tc>
        <w:tc>
          <w:tcPr>
            <w:tcW w:w="3129" w:type="pct"/>
            <w:tcBorders>
              <w:top w:val="single" w:sz="4" w:space="0" w:color="auto"/>
              <w:left w:val="nil"/>
              <w:bottom w:val="single" w:sz="8" w:space="0" w:color="auto"/>
              <w:right w:val="single" w:sz="8" w:space="0" w:color="auto"/>
            </w:tcBorders>
            <w:shd w:val="clear" w:color="auto" w:fill="auto"/>
            <w:hideMark/>
          </w:tcPr>
          <w:p w14:paraId="2CF7950B" w14:textId="77777777" w:rsidR="00C312F3" w:rsidRPr="00156EEF" w:rsidRDefault="00C312F3" w:rsidP="009460FF">
            <w:pPr>
              <w:spacing w:after="0"/>
              <w:ind w:left="0" w:firstLine="0"/>
              <w:jc w:val="left"/>
              <w:rPr>
                <w:sz w:val="18"/>
                <w:szCs w:val="18"/>
              </w:rPr>
            </w:pPr>
            <w:r w:rsidRPr="00156EEF">
              <w:rPr>
                <w:b/>
                <w:bCs/>
                <w:sz w:val="20"/>
              </w:rPr>
              <w:t xml:space="preserve"> Béton cyclopéen en élévation dosé à 350 kg/m</w:t>
            </w:r>
            <w:r w:rsidRPr="00156EEF">
              <w:rPr>
                <w:b/>
                <w:bCs/>
                <w:sz w:val="20"/>
                <w:vertAlign w:val="superscript"/>
              </w:rPr>
              <w:t>3</w:t>
            </w:r>
            <w:r w:rsidRPr="00156EEF">
              <w:rPr>
                <w:b/>
                <w:bCs/>
                <w:sz w:val="20"/>
              </w:rPr>
              <w:t xml:space="preserve"> avec ajout du </w:t>
            </w:r>
            <w:proofErr w:type="spellStart"/>
            <w:r w:rsidRPr="00156EEF">
              <w:rPr>
                <w:b/>
                <w:bCs/>
                <w:sz w:val="20"/>
              </w:rPr>
              <w:t>sikhalite</w:t>
            </w:r>
            <w:proofErr w:type="spellEnd"/>
            <w:r w:rsidRPr="00156EEF">
              <w:rPr>
                <w:b/>
                <w:bCs/>
                <w:sz w:val="20"/>
              </w:rPr>
              <w:t xml:space="preserve"> pour murs pertuis y compris ajout du </w:t>
            </w:r>
            <w:proofErr w:type="spellStart"/>
            <w:r w:rsidRPr="00156EEF">
              <w:rPr>
                <w:b/>
                <w:bCs/>
                <w:sz w:val="20"/>
              </w:rPr>
              <w:t>sikhalite</w:t>
            </w:r>
            <w:proofErr w:type="spellEnd"/>
            <w:r w:rsidRPr="00156EEF">
              <w:rPr>
                <w:b/>
                <w:bCs/>
                <w:sz w:val="20"/>
              </w:rPr>
              <w:t xml:space="preserve">          </w:t>
            </w:r>
            <w:r w:rsidRPr="00156EEF">
              <w:rPr>
                <w:sz w:val="20"/>
              </w:rPr>
              <w:t xml:space="preserve">                                                                                    </w:t>
            </w:r>
            <w:r w:rsidRPr="00156EEF">
              <w:rPr>
                <w:sz w:val="18"/>
                <w:szCs w:val="18"/>
              </w:rPr>
              <w:t>Ce prix est identique au prix 2.5 appliqué au seuil et mur pertuis.</w:t>
            </w:r>
          </w:p>
          <w:p w14:paraId="311D81AB" w14:textId="77777777" w:rsidR="00C312F3" w:rsidRPr="00156EEF" w:rsidRDefault="00C312F3" w:rsidP="009460FF">
            <w:pPr>
              <w:spacing w:after="0"/>
              <w:ind w:left="0" w:firstLine="0"/>
              <w:jc w:val="left"/>
              <w:rPr>
                <w:b/>
                <w:bCs/>
                <w:sz w:val="20"/>
              </w:rPr>
            </w:pPr>
            <w:r w:rsidRPr="00156EEF">
              <w:rPr>
                <w:sz w:val="18"/>
                <w:szCs w:val="18"/>
              </w:rPr>
              <w:br/>
            </w:r>
            <w:r w:rsidRPr="00156EEF">
              <w:rPr>
                <w:i/>
                <w:sz w:val="18"/>
                <w:szCs w:val="18"/>
              </w:rPr>
              <w:t>Ce prix s’applique au volume, en mètre cube (m3), de béton cyclopéen, avec comme valeur maximale celle obtenue à partir des plans d’exécution des ouvrages.</w:t>
            </w:r>
          </w:p>
        </w:tc>
        <w:tc>
          <w:tcPr>
            <w:tcW w:w="429" w:type="pct"/>
            <w:tcBorders>
              <w:top w:val="single" w:sz="4" w:space="0" w:color="auto"/>
              <w:left w:val="nil"/>
              <w:bottom w:val="single" w:sz="8" w:space="0" w:color="auto"/>
              <w:right w:val="single" w:sz="8" w:space="0" w:color="auto"/>
            </w:tcBorders>
            <w:shd w:val="clear" w:color="auto" w:fill="auto"/>
            <w:vAlign w:val="center"/>
            <w:hideMark/>
          </w:tcPr>
          <w:p w14:paraId="54045037" w14:textId="77777777" w:rsidR="00C312F3" w:rsidRPr="00156EEF" w:rsidRDefault="00C312F3" w:rsidP="009460FF">
            <w:pPr>
              <w:spacing w:after="0"/>
              <w:ind w:left="0" w:firstLine="0"/>
              <w:jc w:val="center"/>
              <w:rPr>
                <w:sz w:val="20"/>
              </w:rPr>
            </w:pPr>
            <w:r w:rsidRPr="00156EEF">
              <w:rPr>
                <w:sz w:val="20"/>
              </w:rPr>
              <w:t>m</w:t>
            </w:r>
            <w:r w:rsidRPr="00156EEF">
              <w:rPr>
                <w:sz w:val="20"/>
                <w:vertAlign w:val="superscript"/>
              </w:rPr>
              <w:t>3</w:t>
            </w:r>
          </w:p>
        </w:tc>
        <w:tc>
          <w:tcPr>
            <w:tcW w:w="608" w:type="pct"/>
            <w:tcBorders>
              <w:top w:val="single" w:sz="4" w:space="0" w:color="auto"/>
              <w:left w:val="nil"/>
              <w:bottom w:val="single" w:sz="8" w:space="0" w:color="auto"/>
              <w:right w:val="nil"/>
            </w:tcBorders>
            <w:shd w:val="clear" w:color="auto" w:fill="auto"/>
            <w:vAlign w:val="center"/>
            <w:hideMark/>
          </w:tcPr>
          <w:p w14:paraId="448638AE" w14:textId="77777777" w:rsidR="00C312F3" w:rsidRPr="00156EEF" w:rsidRDefault="00C312F3" w:rsidP="009460FF">
            <w:pPr>
              <w:spacing w:after="0"/>
              <w:ind w:left="0" w:firstLine="0"/>
              <w:jc w:val="center"/>
              <w:rPr>
                <w:rFonts w:ascii="Arial" w:hAnsi="Arial" w:cs="Arial"/>
                <w:sz w:val="20"/>
              </w:rPr>
            </w:pPr>
            <w:r w:rsidRPr="00156EEF">
              <w:rPr>
                <w:rFonts w:ascii="Arial" w:hAnsi="Arial" w:cs="Arial"/>
                <w:sz w:val="20"/>
              </w:rPr>
              <w:t> </w:t>
            </w:r>
          </w:p>
        </w:tc>
        <w:tc>
          <w:tcPr>
            <w:tcW w:w="53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3937DC" w14:textId="77777777" w:rsidR="00C312F3" w:rsidRPr="00156EEF" w:rsidRDefault="00C312F3" w:rsidP="009460FF">
            <w:pPr>
              <w:spacing w:after="0"/>
              <w:ind w:left="0" w:firstLine="0"/>
              <w:jc w:val="left"/>
              <w:rPr>
                <w:rFonts w:ascii="Calibri" w:hAnsi="Calibri"/>
                <w:sz w:val="20"/>
              </w:rPr>
            </w:pPr>
            <w:r w:rsidRPr="00156EEF">
              <w:rPr>
                <w:rFonts w:ascii="Calibri" w:hAnsi="Calibri"/>
                <w:sz w:val="20"/>
              </w:rPr>
              <w:t> </w:t>
            </w:r>
          </w:p>
        </w:tc>
      </w:tr>
      <w:tr w:rsidR="00C312F3" w:rsidRPr="00156EEF" w14:paraId="1E6EFDC5" w14:textId="77777777" w:rsidTr="009460FF">
        <w:trPr>
          <w:trHeight w:val="4227"/>
          <w:jc w:val="center"/>
        </w:trPr>
        <w:tc>
          <w:tcPr>
            <w:tcW w:w="302" w:type="pct"/>
            <w:tcBorders>
              <w:top w:val="nil"/>
              <w:left w:val="double" w:sz="6" w:space="0" w:color="auto"/>
              <w:bottom w:val="single" w:sz="8" w:space="0" w:color="auto"/>
              <w:right w:val="single" w:sz="8" w:space="0" w:color="auto"/>
            </w:tcBorders>
            <w:shd w:val="clear" w:color="auto" w:fill="auto"/>
            <w:vAlign w:val="center"/>
            <w:hideMark/>
          </w:tcPr>
          <w:p w14:paraId="0C10907A" w14:textId="77777777" w:rsidR="00C312F3" w:rsidRPr="00156EEF" w:rsidRDefault="00C312F3" w:rsidP="009460FF">
            <w:pPr>
              <w:spacing w:after="0"/>
              <w:ind w:left="0" w:firstLine="0"/>
              <w:jc w:val="center"/>
              <w:rPr>
                <w:rFonts w:ascii="Arial" w:hAnsi="Arial" w:cs="Arial"/>
                <w:sz w:val="20"/>
              </w:rPr>
            </w:pPr>
            <w:r w:rsidRPr="00156EEF">
              <w:rPr>
                <w:rFonts w:ascii="Arial" w:hAnsi="Arial" w:cs="Arial"/>
                <w:sz w:val="20"/>
              </w:rPr>
              <w:t>3.5</w:t>
            </w:r>
          </w:p>
        </w:tc>
        <w:tc>
          <w:tcPr>
            <w:tcW w:w="3129" w:type="pct"/>
            <w:tcBorders>
              <w:top w:val="nil"/>
              <w:left w:val="nil"/>
              <w:bottom w:val="single" w:sz="8" w:space="0" w:color="auto"/>
              <w:right w:val="single" w:sz="8" w:space="0" w:color="auto"/>
            </w:tcBorders>
            <w:shd w:val="clear" w:color="auto" w:fill="auto"/>
            <w:hideMark/>
          </w:tcPr>
          <w:p w14:paraId="728358E8" w14:textId="77777777" w:rsidR="00C312F3" w:rsidRPr="00156EEF" w:rsidRDefault="00C312F3" w:rsidP="009460FF">
            <w:pPr>
              <w:spacing w:after="0"/>
              <w:ind w:left="0" w:firstLine="0"/>
              <w:jc w:val="left"/>
              <w:rPr>
                <w:b/>
                <w:bCs/>
                <w:sz w:val="20"/>
              </w:rPr>
            </w:pPr>
            <w:r w:rsidRPr="00156EEF">
              <w:rPr>
                <w:b/>
                <w:bCs/>
                <w:sz w:val="20"/>
              </w:rPr>
              <w:t>Dallage pour passerelle pertuis en béton armé dosé à 350kg/m</w:t>
            </w:r>
            <w:r w:rsidRPr="00156EEF">
              <w:rPr>
                <w:b/>
                <w:bCs/>
                <w:sz w:val="20"/>
                <w:vertAlign w:val="superscript"/>
              </w:rPr>
              <w:t>3</w:t>
            </w:r>
            <w:r w:rsidRPr="00156EEF">
              <w:rPr>
                <w:b/>
                <w:bCs/>
                <w:sz w:val="20"/>
              </w:rPr>
              <w:t xml:space="preserve"> </w:t>
            </w:r>
          </w:p>
          <w:p w14:paraId="33F6AC26" w14:textId="48A6372F" w:rsidR="00C312F3" w:rsidRPr="00156EEF" w:rsidRDefault="00C312F3" w:rsidP="009460FF">
            <w:pPr>
              <w:spacing w:after="0"/>
              <w:ind w:left="0" w:firstLine="0"/>
              <w:jc w:val="left"/>
              <w:rPr>
                <w:b/>
                <w:bCs/>
                <w:sz w:val="20"/>
              </w:rPr>
            </w:pPr>
            <w:r w:rsidRPr="00156EEF">
              <w:rPr>
                <w:sz w:val="18"/>
                <w:szCs w:val="18"/>
              </w:rPr>
              <w:t>Ce prix rémunère la réalisation d’une passerelle en béton armé conformément aux indications des plans.</w:t>
            </w:r>
            <w:r w:rsidRPr="00156EEF">
              <w:rPr>
                <w:sz w:val="18"/>
                <w:szCs w:val="18"/>
              </w:rPr>
              <w:br/>
              <w:t>La dalle sera encastrée sur chaque mur pertuis et affleurera à la côte du déversoir, dans son prolongement. La passerelle pertuis est placée sur l’axe du barrage.</w:t>
            </w:r>
            <w:r w:rsidRPr="00156EEF">
              <w:rPr>
                <w:sz w:val="18"/>
                <w:szCs w:val="18"/>
              </w:rPr>
              <w:br/>
              <w:t>Le béton sera dosé à 350 kg de ciment CPJ 35 / m3. L’enrobage est de 20 mm au moins de part et d’autre. La dalle sera coffrée directement sur le barrage. La surface sera couverte de sable maintenu humide pendant 15 jours au moins.</w:t>
            </w:r>
            <w:r w:rsidRPr="00156EEF">
              <w:rPr>
                <w:sz w:val="18"/>
                <w:szCs w:val="18"/>
              </w:rPr>
              <w:br/>
              <w:t>Ce prix comprend conformément aux spécifications des prescriptions techniques :</w:t>
            </w:r>
            <w:r w:rsidRPr="00156EEF">
              <w:rPr>
                <w:sz w:val="18"/>
                <w:szCs w:val="18"/>
              </w:rPr>
              <w:br/>
              <w:t>- La fourniture à pied d’œuvre de tous les matériels et matériaux ;</w:t>
            </w:r>
            <w:r w:rsidRPr="00156EEF">
              <w:rPr>
                <w:sz w:val="18"/>
                <w:szCs w:val="18"/>
              </w:rPr>
              <w:br/>
              <w:t xml:space="preserve">- La réalisation du ferraillage et du coffrage suivant les indications des plans </w:t>
            </w:r>
            <w:r w:rsidRPr="00156EEF">
              <w:rPr>
                <w:sz w:val="18"/>
                <w:szCs w:val="18"/>
              </w:rPr>
              <w:br/>
              <w:t>- Le coulage, la vibration du béton ;</w:t>
            </w:r>
            <w:r w:rsidRPr="00156EEF">
              <w:rPr>
                <w:sz w:val="18"/>
                <w:szCs w:val="18"/>
              </w:rPr>
              <w:br/>
              <w:t>- La protection et la cure du béton pendant 21 jours ;</w:t>
            </w:r>
            <w:r w:rsidRPr="00156EEF">
              <w:rPr>
                <w:sz w:val="18"/>
                <w:szCs w:val="18"/>
              </w:rPr>
              <w:br/>
              <w:t>- Le décoffrage ;</w:t>
            </w:r>
            <w:r w:rsidRPr="00156EEF">
              <w:rPr>
                <w:sz w:val="18"/>
                <w:szCs w:val="18"/>
              </w:rPr>
              <w:br/>
              <w:t>- Et toutes sujétions et de main d’œuvre qualifié et non qualifiée.</w:t>
            </w:r>
            <w:r w:rsidRPr="00156EEF">
              <w:rPr>
                <w:sz w:val="20"/>
              </w:rPr>
              <w:t xml:space="preserve"> </w:t>
            </w:r>
            <w:r w:rsidRPr="00156EEF">
              <w:rPr>
                <w:sz w:val="20"/>
              </w:rPr>
              <w:br/>
            </w:r>
            <w:r w:rsidRPr="00156EEF">
              <w:rPr>
                <w:sz w:val="20"/>
              </w:rPr>
              <w:br/>
            </w:r>
            <w:r w:rsidRPr="00156EEF">
              <w:rPr>
                <w:i/>
                <w:sz w:val="18"/>
                <w:szCs w:val="18"/>
              </w:rPr>
              <w:t>Ce prix s’applique au volume en mètre cube (m3) de béton armé mis en œuvre pour la dalle de traversée.</w:t>
            </w:r>
            <w:r w:rsidRPr="00156EEF">
              <w:rPr>
                <w:b/>
                <w:bCs/>
                <w:sz w:val="20"/>
              </w:rPr>
              <w:t xml:space="preserve">                                           </w:t>
            </w:r>
          </w:p>
        </w:tc>
        <w:tc>
          <w:tcPr>
            <w:tcW w:w="429" w:type="pct"/>
            <w:tcBorders>
              <w:top w:val="nil"/>
              <w:left w:val="nil"/>
              <w:bottom w:val="single" w:sz="8" w:space="0" w:color="auto"/>
              <w:right w:val="single" w:sz="8" w:space="0" w:color="auto"/>
            </w:tcBorders>
            <w:shd w:val="clear" w:color="auto" w:fill="auto"/>
            <w:vAlign w:val="center"/>
            <w:hideMark/>
          </w:tcPr>
          <w:p w14:paraId="19370EFD" w14:textId="77777777" w:rsidR="00C312F3" w:rsidRPr="00156EEF" w:rsidRDefault="00C312F3" w:rsidP="009460FF">
            <w:pPr>
              <w:spacing w:after="0"/>
              <w:ind w:left="0" w:firstLine="0"/>
              <w:jc w:val="center"/>
              <w:rPr>
                <w:sz w:val="20"/>
              </w:rPr>
            </w:pPr>
            <w:r w:rsidRPr="00156EEF">
              <w:rPr>
                <w:sz w:val="20"/>
              </w:rPr>
              <w:t>m</w:t>
            </w:r>
            <w:r w:rsidRPr="00156EEF">
              <w:rPr>
                <w:sz w:val="20"/>
                <w:vertAlign w:val="superscript"/>
              </w:rPr>
              <w:t>3</w:t>
            </w:r>
          </w:p>
        </w:tc>
        <w:tc>
          <w:tcPr>
            <w:tcW w:w="608" w:type="pct"/>
            <w:tcBorders>
              <w:top w:val="nil"/>
              <w:left w:val="nil"/>
              <w:bottom w:val="single" w:sz="8" w:space="0" w:color="auto"/>
              <w:right w:val="nil"/>
            </w:tcBorders>
            <w:shd w:val="clear" w:color="auto" w:fill="auto"/>
            <w:vAlign w:val="center"/>
            <w:hideMark/>
          </w:tcPr>
          <w:p w14:paraId="7046C9F0" w14:textId="77777777" w:rsidR="00C312F3" w:rsidRPr="00156EEF" w:rsidRDefault="00C312F3" w:rsidP="009460FF">
            <w:pPr>
              <w:spacing w:after="0"/>
              <w:ind w:left="0" w:firstLine="0"/>
              <w:jc w:val="center"/>
              <w:rPr>
                <w:rFonts w:ascii="Arial" w:hAnsi="Arial" w:cs="Arial"/>
                <w:sz w:val="20"/>
              </w:rPr>
            </w:pPr>
            <w:r w:rsidRPr="00156EEF">
              <w:rPr>
                <w:rFonts w:ascii="Arial" w:hAnsi="Arial" w:cs="Arial"/>
                <w:sz w:val="20"/>
              </w:rPr>
              <w:t> </w:t>
            </w:r>
          </w:p>
        </w:tc>
        <w:tc>
          <w:tcPr>
            <w:tcW w:w="532" w:type="pct"/>
            <w:tcBorders>
              <w:top w:val="nil"/>
              <w:left w:val="single" w:sz="4" w:space="0" w:color="auto"/>
              <w:bottom w:val="single" w:sz="4" w:space="0" w:color="auto"/>
              <w:right w:val="single" w:sz="4" w:space="0" w:color="auto"/>
            </w:tcBorders>
            <w:shd w:val="clear" w:color="auto" w:fill="auto"/>
            <w:noWrap/>
            <w:vAlign w:val="bottom"/>
            <w:hideMark/>
          </w:tcPr>
          <w:p w14:paraId="66BDE7B5" w14:textId="77777777" w:rsidR="00C312F3" w:rsidRPr="00156EEF" w:rsidRDefault="00C312F3" w:rsidP="009460FF">
            <w:pPr>
              <w:spacing w:after="0"/>
              <w:ind w:left="0" w:firstLine="0"/>
              <w:jc w:val="left"/>
              <w:rPr>
                <w:rFonts w:ascii="Calibri" w:hAnsi="Calibri"/>
                <w:sz w:val="20"/>
              </w:rPr>
            </w:pPr>
            <w:r w:rsidRPr="00156EEF">
              <w:rPr>
                <w:rFonts w:ascii="Calibri" w:hAnsi="Calibri"/>
                <w:sz w:val="20"/>
              </w:rPr>
              <w:t> </w:t>
            </w:r>
          </w:p>
        </w:tc>
      </w:tr>
      <w:tr w:rsidR="00C312F3" w:rsidRPr="00156EEF" w14:paraId="2C99EEDC" w14:textId="77777777" w:rsidTr="009460FF">
        <w:trPr>
          <w:trHeight w:val="1964"/>
          <w:jc w:val="center"/>
        </w:trPr>
        <w:tc>
          <w:tcPr>
            <w:tcW w:w="302" w:type="pct"/>
            <w:tcBorders>
              <w:top w:val="nil"/>
              <w:left w:val="double" w:sz="6" w:space="0" w:color="auto"/>
              <w:bottom w:val="single" w:sz="8" w:space="0" w:color="auto"/>
              <w:right w:val="single" w:sz="8" w:space="0" w:color="auto"/>
            </w:tcBorders>
            <w:shd w:val="clear" w:color="auto" w:fill="auto"/>
            <w:vAlign w:val="center"/>
            <w:hideMark/>
          </w:tcPr>
          <w:p w14:paraId="230A4170" w14:textId="77777777" w:rsidR="00C312F3" w:rsidRPr="00156EEF" w:rsidRDefault="00C312F3" w:rsidP="009460FF">
            <w:pPr>
              <w:spacing w:after="0"/>
              <w:ind w:left="0" w:firstLine="0"/>
              <w:jc w:val="center"/>
              <w:rPr>
                <w:rFonts w:ascii="Arial" w:hAnsi="Arial" w:cs="Arial"/>
                <w:sz w:val="20"/>
              </w:rPr>
            </w:pPr>
            <w:r w:rsidRPr="00156EEF">
              <w:rPr>
                <w:rFonts w:ascii="Arial" w:hAnsi="Arial" w:cs="Arial"/>
                <w:sz w:val="20"/>
              </w:rPr>
              <w:lastRenderedPageBreak/>
              <w:t>3.6</w:t>
            </w:r>
          </w:p>
        </w:tc>
        <w:tc>
          <w:tcPr>
            <w:tcW w:w="3129" w:type="pct"/>
            <w:tcBorders>
              <w:top w:val="nil"/>
              <w:left w:val="nil"/>
              <w:bottom w:val="single" w:sz="8" w:space="0" w:color="auto"/>
              <w:right w:val="single" w:sz="8" w:space="0" w:color="auto"/>
            </w:tcBorders>
            <w:shd w:val="clear" w:color="auto" w:fill="auto"/>
            <w:hideMark/>
          </w:tcPr>
          <w:p w14:paraId="5B7D3B7B" w14:textId="77777777" w:rsidR="00C312F3" w:rsidRPr="00156EEF" w:rsidRDefault="00C312F3" w:rsidP="009460FF">
            <w:pPr>
              <w:spacing w:after="0"/>
              <w:ind w:left="0" w:firstLine="0"/>
              <w:jc w:val="left"/>
              <w:rPr>
                <w:b/>
                <w:bCs/>
                <w:sz w:val="20"/>
              </w:rPr>
            </w:pPr>
            <w:r w:rsidRPr="00156EEF">
              <w:rPr>
                <w:b/>
                <w:bCs/>
                <w:sz w:val="20"/>
              </w:rPr>
              <w:t>Enduit gras dosé à 400 kg/m</w:t>
            </w:r>
            <w:r w:rsidRPr="00156EEF">
              <w:rPr>
                <w:b/>
                <w:bCs/>
                <w:sz w:val="20"/>
                <w:vertAlign w:val="superscript"/>
              </w:rPr>
              <w:t>3</w:t>
            </w:r>
            <w:r w:rsidRPr="00156EEF">
              <w:rPr>
                <w:b/>
                <w:bCs/>
                <w:sz w:val="20"/>
              </w:rPr>
              <w:t xml:space="preserve"> pour les murs pertuis avec ajout du </w:t>
            </w:r>
            <w:proofErr w:type="spellStart"/>
            <w:r w:rsidRPr="00156EEF">
              <w:rPr>
                <w:b/>
                <w:bCs/>
                <w:sz w:val="20"/>
              </w:rPr>
              <w:t>sikhalite</w:t>
            </w:r>
            <w:proofErr w:type="spellEnd"/>
            <w:r w:rsidRPr="00156EEF">
              <w:rPr>
                <w:b/>
                <w:bCs/>
                <w:sz w:val="20"/>
              </w:rPr>
              <w:t xml:space="preserve">                                                                                                     </w:t>
            </w:r>
            <w:r w:rsidRPr="00156EEF">
              <w:rPr>
                <w:sz w:val="18"/>
                <w:szCs w:val="18"/>
              </w:rPr>
              <w:t>Ce prix est identique au prix 2.7 appliqué aux murs et seuils pertuis.</w:t>
            </w:r>
            <w:r w:rsidRPr="00156EEF">
              <w:rPr>
                <w:sz w:val="18"/>
                <w:szCs w:val="18"/>
              </w:rPr>
              <w:br/>
              <w:t>Le prix rémunère le matériel, le personnel qualifié et non qualifié (technicien, équipes maçons et manœuvres) et les matériaux nécessaires</w:t>
            </w:r>
            <w:r w:rsidRPr="00156EEF">
              <w:rPr>
                <w:sz w:val="20"/>
              </w:rPr>
              <w:br/>
            </w:r>
            <w:r w:rsidRPr="00156EEF">
              <w:rPr>
                <w:sz w:val="20"/>
              </w:rPr>
              <w:br/>
            </w:r>
            <w:r w:rsidRPr="00156EEF">
              <w:rPr>
                <w:i/>
                <w:sz w:val="18"/>
                <w:szCs w:val="18"/>
              </w:rPr>
              <w:t>Ce prix s’applique à la surface, en mètre carré (m2), d’enduit réalisé, avec comme valeur maximale celle obtenue à partir des plans d’exécution des ouvrages.</w:t>
            </w:r>
          </w:p>
        </w:tc>
        <w:tc>
          <w:tcPr>
            <w:tcW w:w="429" w:type="pct"/>
            <w:tcBorders>
              <w:top w:val="nil"/>
              <w:left w:val="nil"/>
              <w:bottom w:val="single" w:sz="8" w:space="0" w:color="auto"/>
              <w:right w:val="single" w:sz="8" w:space="0" w:color="auto"/>
            </w:tcBorders>
            <w:shd w:val="clear" w:color="auto" w:fill="auto"/>
            <w:vAlign w:val="center"/>
            <w:hideMark/>
          </w:tcPr>
          <w:p w14:paraId="6E5FB6B2" w14:textId="77777777" w:rsidR="00C312F3" w:rsidRPr="00156EEF" w:rsidRDefault="00C312F3" w:rsidP="009460FF">
            <w:pPr>
              <w:spacing w:after="0"/>
              <w:ind w:left="0" w:firstLine="0"/>
              <w:jc w:val="center"/>
              <w:rPr>
                <w:sz w:val="20"/>
              </w:rPr>
            </w:pPr>
            <w:r w:rsidRPr="00156EEF">
              <w:rPr>
                <w:sz w:val="20"/>
              </w:rPr>
              <w:t>m</w:t>
            </w:r>
            <w:r w:rsidRPr="00156EEF">
              <w:rPr>
                <w:sz w:val="20"/>
                <w:vertAlign w:val="superscript"/>
              </w:rPr>
              <w:t>2</w:t>
            </w:r>
          </w:p>
        </w:tc>
        <w:tc>
          <w:tcPr>
            <w:tcW w:w="608" w:type="pct"/>
            <w:tcBorders>
              <w:top w:val="nil"/>
              <w:left w:val="nil"/>
              <w:bottom w:val="single" w:sz="8" w:space="0" w:color="auto"/>
              <w:right w:val="nil"/>
            </w:tcBorders>
            <w:shd w:val="clear" w:color="auto" w:fill="auto"/>
            <w:vAlign w:val="center"/>
            <w:hideMark/>
          </w:tcPr>
          <w:p w14:paraId="68F0C2C6" w14:textId="77777777" w:rsidR="00C312F3" w:rsidRPr="00156EEF" w:rsidRDefault="00C312F3" w:rsidP="009460FF">
            <w:pPr>
              <w:spacing w:after="0"/>
              <w:ind w:left="0" w:firstLine="0"/>
              <w:jc w:val="center"/>
              <w:rPr>
                <w:rFonts w:ascii="Arial" w:hAnsi="Arial" w:cs="Arial"/>
                <w:sz w:val="20"/>
              </w:rPr>
            </w:pPr>
          </w:p>
        </w:tc>
        <w:tc>
          <w:tcPr>
            <w:tcW w:w="532" w:type="pct"/>
            <w:tcBorders>
              <w:top w:val="nil"/>
              <w:left w:val="single" w:sz="4" w:space="0" w:color="auto"/>
              <w:bottom w:val="single" w:sz="4" w:space="0" w:color="auto"/>
              <w:right w:val="single" w:sz="4" w:space="0" w:color="auto"/>
            </w:tcBorders>
            <w:shd w:val="clear" w:color="auto" w:fill="auto"/>
            <w:noWrap/>
            <w:vAlign w:val="bottom"/>
            <w:hideMark/>
          </w:tcPr>
          <w:p w14:paraId="776D065C" w14:textId="77777777" w:rsidR="00C312F3" w:rsidRPr="00156EEF" w:rsidRDefault="00C312F3" w:rsidP="009460FF">
            <w:pPr>
              <w:spacing w:after="0"/>
              <w:ind w:left="0" w:firstLine="0"/>
              <w:jc w:val="left"/>
              <w:rPr>
                <w:rFonts w:ascii="Calibri" w:hAnsi="Calibri"/>
                <w:sz w:val="20"/>
              </w:rPr>
            </w:pPr>
            <w:r w:rsidRPr="00156EEF">
              <w:rPr>
                <w:rFonts w:ascii="Calibri" w:hAnsi="Calibri"/>
                <w:sz w:val="20"/>
              </w:rPr>
              <w:t> </w:t>
            </w:r>
          </w:p>
        </w:tc>
      </w:tr>
      <w:tr w:rsidR="00C312F3" w:rsidRPr="00156EEF" w14:paraId="183996B3" w14:textId="77777777" w:rsidTr="009460FF">
        <w:trPr>
          <w:trHeight w:val="258"/>
          <w:jc w:val="center"/>
        </w:trPr>
        <w:tc>
          <w:tcPr>
            <w:tcW w:w="302" w:type="pct"/>
            <w:tcBorders>
              <w:top w:val="nil"/>
              <w:left w:val="double" w:sz="6" w:space="0" w:color="auto"/>
              <w:bottom w:val="single" w:sz="8" w:space="0" w:color="auto"/>
              <w:right w:val="single" w:sz="8" w:space="0" w:color="auto"/>
            </w:tcBorders>
            <w:shd w:val="clear" w:color="auto" w:fill="auto"/>
            <w:vAlign w:val="center"/>
            <w:hideMark/>
          </w:tcPr>
          <w:p w14:paraId="286D3614" w14:textId="77777777" w:rsidR="00C312F3" w:rsidRPr="00156EEF" w:rsidRDefault="00C312F3" w:rsidP="009460FF">
            <w:pPr>
              <w:spacing w:after="0"/>
              <w:ind w:left="0" w:firstLine="0"/>
              <w:jc w:val="center"/>
              <w:rPr>
                <w:rFonts w:ascii="Arial" w:hAnsi="Arial" w:cs="Arial"/>
                <w:sz w:val="20"/>
              </w:rPr>
            </w:pPr>
            <w:r w:rsidRPr="00156EEF">
              <w:rPr>
                <w:rFonts w:ascii="Arial" w:hAnsi="Arial" w:cs="Arial"/>
                <w:sz w:val="20"/>
              </w:rPr>
              <w:t>3.7</w:t>
            </w:r>
          </w:p>
        </w:tc>
        <w:tc>
          <w:tcPr>
            <w:tcW w:w="3129" w:type="pct"/>
            <w:tcBorders>
              <w:top w:val="nil"/>
              <w:left w:val="nil"/>
              <w:bottom w:val="single" w:sz="8" w:space="0" w:color="auto"/>
              <w:right w:val="single" w:sz="8" w:space="0" w:color="auto"/>
            </w:tcBorders>
            <w:shd w:val="clear" w:color="auto" w:fill="auto"/>
            <w:hideMark/>
          </w:tcPr>
          <w:p w14:paraId="053BFCD3" w14:textId="77777777" w:rsidR="00C312F3" w:rsidRDefault="00C312F3" w:rsidP="00C312F3">
            <w:pPr>
              <w:spacing w:after="0" w:line="276" w:lineRule="auto"/>
              <w:ind w:left="0" w:firstLine="0"/>
              <w:jc w:val="left"/>
              <w:rPr>
                <w:i/>
                <w:sz w:val="18"/>
                <w:szCs w:val="18"/>
              </w:rPr>
            </w:pPr>
            <w:r w:rsidRPr="00156EEF">
              <w:rPr>
                <w:b/>
                <w:bCs/>
                <w:sz w:val="20"/>
              </w:rPr>
              <w:t xml:space="preserve">Fourniture et pose de profilé UPN100 pour rainure des batardeaux façonné en cadre U (1,70 m x0,85m)                                                                                                    </w:t>
            </w:r>
            <w:r w:rsidRPr="00156EEF">
              <w:rPr>
                <w:sz w:val="18"/>
                <w:szCs w:val="18"/>
              </w:rPr>
              <w:t xml:space="preserve">Les travaux consistent à confectionner deux cadres pour rainure en UPN 100 composé de trois parties : </w:t>
            </w:r>
            <w:r w:rsidRPr="00156EEF">
              <w:rPr>
                <w:sz w:val="18"/>
                <w:szCs w:val="18"/>
              </w:rPr>
              <w:br/>
              <w:t xml:space="preserve">- un U horizontal de dimension 1700x100x100 mm </w:t>
            </w:r>
            <w:r w:rsidRPr="00156EEF">
              <w:rPr>
                <w:sz w:val="18"/>
                <w:szCs w:val="18"/>
              </w:rPr>
              <w:br/>
              <w:t>- deux U verticaux de dimension 850x100x100 mm</w:t>
            </w:r>
            <w:r w:rsidRPr="00156EEF">
              <w:rPr>
                <w:sz w:val="18"/>
                <w:szCs w:val="18"/>
              </w:rPr>
              <w:br/>
              <w:t>La qualité des éléments et leur cadre est strictement exigé. Les batardeaux doivent coulisser librement dans leur cadre scellé dans la maçonnerie des murs pertuis. Les cadres doivent recevoir chacun trois couches de peinture antirouille. Deux pattes d’ancrage soudées au 1/3 et 2/3 de chaque fer U horizontal et</w:t>
            </w:r>
            <w:r w:rsidRPr="00156EEF">
              <w:rPr>
                <w:sz w:val="20"/>
              </w:rPr>
              <w:t xml:space="preserve"> </w:t>
            </w:r>
            <w:r w:rsidRPr="00156EEF">
              <w:rPr>
                <w:sz w:val="18"/>
                <w:szCs w:val="18"/>
              </w:rPr>
              <w:t xml:space="preserve">vertical confectionnés en tôle de 3 mm, auront une largeur égale à celle du cadre et une longueur égale à 250 </w:t>
            </w:r>
            <w:proofErr w:type="spellStart"/>
            <w:r w:rsidRPr="00156EEF">
              <w:rPr>
                <w:sz w:val="18"/>
                <w:szCs w:val="18"/>
              </w:rPr>
              <w:t>mm.</w:t>
            </w:r>
            <w:proofErr w:type="spellEnd"/>
            <w:r w:rsidRPr="00156EEF">
              <w:rPr>
                <w:sz w:val="18"/>
                <w:szCs w:val="18"/>
              </w:rPr>
              <w:t xml:space="preserve"> Des joints plastiques seront placés à l’intérieur des cadres U point assurer une étanchéité parfaite des pertuis.</w:t>
            </w:r>
            <w:r w:rsidRPr="00156EEF">
              <w:rPr>
                <w:sz w:val="18"/>
                <w:szCs w:val="18"/>
              </w:rPr>
              <w:br/>
              <w:t>Le prix rémunère le matériel, le personnel qualifié et non qualifié ainsi que les matériaux nécessaires pour la confection et la pose des cadres pour rainures.</w:t>
            </w:r>
            <w:r w:rsidRPr="00156EEF">
              <w:rPr>
                <w:sz w:val="20"/>
              </w:rPr>
              <w:br/>
            </w:r>
          </w:p>
          <w:p w14:paraId="00C07409" w14:textId="64B4C023" w:rsidR="00C312F3" w:rsidRPr="00156EEF" w:rsidRDefault="00C312F3" w:rsidP="00C312F3">
            <w:pPr>
              <w:spacing w:after="0" w:line="276" w:lineRule="auto"/>
              <w:ind w:left="0" w:firstLine="0"/>
              <w:jc w:val="left"/>
              <w:rPr>
                <w:sz w:val="20"/>
              </w:rPr>
            </w:pPr>
            <w:r w:rsidRPr="00156EEF">
              <w:rPr>
                <w:i/>
                <w:sz w:val="18"/>
                <w:szCs w:val="18"/>
              </w:rPr>
              <w:t>Le prix s'applique à l’Unité de cadre pour rainure fourni et mise en place</w:t>
            </w:r>
          </w:p>
        </w:tc>
        <w:tc>
          <w:tcPr>
            <w:tcW w:w="429" w:type="pct"/>
            <w:tcBorders>
              <w:top w:val="nil"/>
              <w:left w:val="nil"/>
              <w:bottom w:val="single" w:sz="8" w:space="0" w:color="auto"/>
              <w:right w:val="single" w:sz="8" w:space="0" w:color="auto"/>
            </w:tcBorders>
            <w:shd w:val="clear" w:color="auto" w:fill="auto"/>
            <w:vAlign w:val="center"/>
            <w:hideMark/>
          </w:tcPr>
          <w:p w14:paraId="72303DC8" w14:textId="77777777" w:rsidR="00C312F3" w:rsidRPr="00156EEF" w:rsidRDefault="00C312F3" w:rsidP="009460FF">
            <w:pPr>
              <w:spacing w:after="0"/>
              <w:ind w:left="0" w:firstLine="0"/>
              <w:jc w:val="center"/>
              <w:rPr>
                <w:sz w:val="20"/>
              </w:rPr>
            </w:pPr>
            <w:r w:rsidRPr="00156EEF">
              <w:rPr>
                <w:sz w:val="20"/>
              </w:rPr>
              <w:t>U</w:t>
            </w:r>
          </w:p>
        </w:tc>
        <w:tc>
          <w:tcPr>
            <w:tcW w:w="608" w:type="pct"/>
            <w:tcBorders>
              <w:top w:val="nil"/>
              <w:left w:val="nil"/>
              <w:bottom w:val="single" w:sz="8" w:space="0" w:color="auto"/>
              <w:right w:val="nil"/>
            </w:tcBorders>
            <w:shd w:val="clear" w:color="auto" w:fill="auto"/>
            <w:vAlign w:val="center"/>
            <w:hideMark/>
          </w:tcPr>
          <w:p w14:paraId="3FBF0A8F" w14:textId="77777777" w:rsidR="00C312F3" w:rsidRPr="00156EEF" w:rsidRDefault="00C312F3" w:rsidP="009460FF">
            <w:pPr>
              <w:spacing w:after="0"/>
              <w:ind w:left="0" w:firstLine="0"/>
              <w:jc w:val="center"/>
              <w:rPr>
                <w:rFonts w:ascii="Arial" w:hAnsi="Arial" w:cs="Arial"/>
                <w:sz w:val="20"/>
              </w:rPr>
            </w:pPr>
          </w:p>
        </w:tc>
        <w:tc>
          <w:tcPr>
            <w:tcW w:w="532" w:type="pct"/>
            <w:tcBorders>
              <w:top w:val="nil"/>
              <w:left w:val="single" w:sz="4" w:space="0" w:color="auto"/>
              <w:bottom w:val="single" w:sz="4" w:space="0" w:color="auto"/>
              <w:right w:val="single" w:sz="4" w:space="0" w:color="auto"/>
            </w:tcBorders>
            <w:shd w:val="clear" w:color="auto" w:fill="auto"/>
            <w:noWrap/>
            <w:vAlign w:val="bottom"/>
            <w:hideMark/>
          </w:tcPr>
          <w:p w14:paraId="1F04DA5B" w14:textId="77777777" w:rsidR="00C312F3" w:rsidRPr="00156EEF" w:rsidRDefault="00C312F3" w:rsidP="009460FF">
            <w:pPr>
              <w:spacing w:after="0"/>
              <w:ind w:left="0" w:firstLine="0"/>
              <w:jc w:val="left"/>
              <w:rPr>
                <w:rFonts w:ascii="Calibri" w:hAnsi="Calibri"/>
                <w:sz w:val="20"/>
              </w:rPr>
            </w:pPr>
            <w:r w:rsidRPr="00156EEF">
              <w:rPr>
                <w:rFonts w:ascii="Calibri" w:hAnsi="Calibri"/>
                <w:sz w:val="20"/>
              </w:rPr>
              <w:t> </w:t>
            </w:r>
          </w:p>
        </w:tc>
      </w:tr>
      <w:tr w:rsidR="00C312F3" w:rsidRPr="00156EEF" w14:paraId="48782B39" w14:textId="77777777" w:rsidTr="009460FF">
        <w:trPr>
          <w:trHeight w:val="3090"/>
          <w:jc w:val="center"/>
        </w:trPr>
        <w:tc>
          <w:tcPr>
            <w:tcW w:w="302" w:type="pct"/>
            <w:tcBorders>
              <w:top w:val="nil"/>
              <w:left w:val="double" w:sz="6" w:space="0" w:color="auto"/>
              <w:bottom w:val="single" w:sz="8" w:space="0" w:color="auto"/>
              <w:right w:val="single" w:sz="8" w:space="0" w:color="auto"/>
            </w:tcBorders>
            <w:shd w:val="clear" w:color="auto" w:fill="auto"/>
            <w:vAlign w:val="center"/>
            <w:hideMark/>
          </w:tcPr>
          <w:p w14:paraId="745708FF" w14:textId="77777777" w:rsidR="00C312F3" w:rsidRPr="00156EEF" w:rsidRDefault="00C312F3" w:rsidP="009460FF">
            <w:pPr>
              <w:spacing w:after="0"/>
              <w:ind w:left="0" w:firstLine="0"/>
              <w:jc w:val="center"/>
              <w:rPr>
                <w:rFonts w:ascii="Arial" w:hAnsi="Arial" w:cs="Arial"/>
                <w:sz w:val="20"/>
              </w:rPr>
            </w:pPr>
            <w:r w:rsidRPr="00156EEF">
              <w:rPr>
                <w:rFonts w:ascii="Arial" w:hAnsi="Arial" w:cs="Arial"/>
                <w:sz w:val="20"/>
              </w:rPr>
              <w:t>3.8</w:t>
            </w:r>
          </w:p>
        </w:tc>
        <w:tc>
          <w:tcPr>
            <w:tcW w:w="3129" w:type="pct"/>
            <w:tcBorders>
              <w:top w:val="nil"/>
              <w:left w:val="nil"/>
              <w:bottom w:val="single" w:sz="8" w:space="0" w:color="auto"/>
              <w:right w:val="single" w:sz="8" w:space="0" w:color="auto"/>
            </w:tcBorders>
            <w:shd w:val="clear" w:color="auto" w:fill="auto"/>
            <w:hideMark/>
          </w:tcPr>
          <w:p w14:paraId="4A0112C6" w14:textId="77777777" w:rsidR="00C312F3" w:rsidRPr="00156EEF" w:rsidRDefault="00C312F3" w:rsidP="009460FF">
            <w:pPr>
              <w:spacing w:after="0"/>
              <w:ind w:left="0" w:firstLine="0"/>
              <w:jc w:val="left"/>
              <w:rPr>
                <w:b/>
                <w:bCs/>
                <w:sz w:val="20"/>
              </w:rPr>
            </w:pPr>
            <w:r w:rsidRPr="00156EEF">
              <w:rPr>
                <w:b/>
                <w:bCs/>
                <w:sz w:val="20"/>
              </w:rPr>
              <w:t xml:space="preserve">F/P Batardeaux 170 x25 y compris protection </w:t>
            </w:r>
            <w:proofErr w:type="spellStart"/>
            <w:r w:rsidRPr="00156EEF">
              <w:rPr>
                <w:b/>
                <w:bCs/>
                <w:sz w:val="20"/>
              </w:rPr>
              <w:t>anti-rouille</w:t>
            </w:r>
            <w:proofErr w:type="spellEnd"/>
            <w:r w:rsidRPr="00156EEF">
              <w:rPr>
                <w:b/>
                <w:bCs/>
                <w:sz w:val="20"/>
              </w:rPr>
              <w:t xml:space="preserve">                                         </w:t>
            </w:r>
            <w:r w:rsidRPr="00156EEF">
              <w:rPr>
                <w:sz w:val="18"/>
                <w:szCs w:val="18"/>
              </w:rPr>
              <w:t>Les travaux consistent à confectionner un ensemble de batardeaux de dimensions 25x170x10cm avec deux (02) tiges de démontage en diam16mm.</w:t>
            </w:r>
            <w:r w:rsidRPr="00156EEF">
              <w:rPr>
                <w:sz w:val="18"/>
                <w:szCs w:val="18"/>
              </w:rPr>
              <w:br/>
              <w:t xml:space="preserve">Les batardeaux et cadres devront être confectionnés conformément aux plans fournis. L’épaisseur des tôles métalliques sera de 3 </w:t>
            </w:r>
            <w:proofErr w:type="spellStart"/>
            <w:r w:rsidRPr="00156EEF">
              <w:rPr>
                <w:sz w:val="18"/>
                <w:szCs w:val="18"/>
              </w:rPr>
              <w:t>mm.</w:t>
            </w:r>
            <w:proofErr w:type="spellEnd"/>
            <w:r w:rsidRPr="00156EEF">
              <w:rPr>
                <w:sz w:val="18"/>
                <w:szCs w:val="18"/>
              </w:rPr>
              <w:br/>
              <w:t>La qualité des éléments et leur cadre est strictement exigé. Les batardeaux doivent coulisser librement dans leur cadre scellé dans la maçonnerie des murs pertuis. L’homogénéité de la surface des batardeaux est également demandée. Les batardeaux doivent recevoir chacun trois couches de peinture antirouille. Ce compris également la fourniture de deux (02) tiges de démontage des batardeaux en fer forgé diam 16 mm avec crochets d’embouts.</w:t>
            </w:r>
            <w:r w:rsidRPr="00156EEF">
              <w:rPr>
                <w:sz w:val="18"/>
                <w:szCs w:val="18"/>
              </w:rPr>
              <w:br/>
              <w:t>Le prix rémunère le matériel, le personnel qualifié et non qualifié ainsi que les matériaux nécessaires pour la confection.</w:t>
            </w:r>
            <w:r w:rsidRPr="00156EEF">
              <w:rPr>
                <w:sz w:val="20"/>
              </w:rPr>
              <w:br/>
            </w:r>
            <w:r w:rsidRPr="00156EEF">
              <w:rPr>
                <w:sz w:val="20"/>
              </w:rPr>
              <w:br/>
            </w:r>
            <w:r w:rsidRPr="00156EEF">
              <w:rPr>
                <w:i/>
                <w:sz w:val="18"/>
                <w:szCs w:val="18"/>
              </w:rPr>
              <w:t>Le prix s'applique à l’Unité de batardeau fourni et mise en place dans le cadre.</w:t>
            </w:r>
          </w:p>
        </w:tc>
        <w:tc>
          <w:tcPr>
            <w:tcW w:w="429" w:type="pct"/>
            <w:tcBorders>
              <w:top w:val="nil"/>
              <w:left w:val="nil"/>
              <w:bottom w:val="single" w:sz="8" w:space="0" w:color="auto"/>
              <w:right w:val="single" w:sz="8" w:space="0" w:color="auto"/>
            </w:tcBorders>
            <w:shd w:val="clear" w:color="auto" w:fill="auto"/>
            <w:vAlign w:val="center"/>
            <w:hideMark/>
          </w:tcPr>
          <w:p w14:paraId="263A24C0" w14:textId="77777777" w:rsidR="00C312F3" w:rsidRPr="00156EEF" w:rsidRDefault="00C312F3" w:rsidP="009460FF">
            <w:pPr>
              <w:spacing w:after="0"/>
              <w:ind w:left="0" w:firstLine="0"/>
              <w:jc w:val="center"/>
              <w:rPr>
                <w:sz w:val="20"/>
              </w:rPr>
            </w:pPr>
            <w:r w:rsidRPr="00156EEF">
              <w:rPr>
                <w:sz w:val="20"/>
              </w:rPr>
              <w:t>U</w:t>
            </w:r>
          </w:p>
        </w:tc>
        <w:tc>
          <w:tcPr>
            <w:tcW w:w="608" w:type="pct"/>
            <w:tcBorders>
              <w:top w:val="nil"/>
              <w:left w:val="nil"/>
              <w:bottom w:val="single" w:sz="8" w:space="0" w:color="auto"/>
              <w:right w:val="nil"/>
            </w:tcBorders>
            <w:shd w:val="clear" w:color="auto" w:fill="auto"/>
            <w:vAlign w:val="center"/>
            <w:hideMark/>
          </w:tcPr>
          <w:p w14:paraId="1FA0A608" w14:textId="77777777" w:rsidR="00C312F3" w:rsidRPr="00156EEF" w:rsidRDefault="00C312F3" w:rsidP="009460FF">
            <w:pPr>
              <w:spacing w:after="0"/>
              <w:ind w:left="0" w:firstLine="0"/>
              <w:jc w:val="center"/>
              <w:rPr>
                <w:rFonts w:ascii="Arial" w:hAnsi="Arial" w:cs="Arial"/>
                <w:sz w:val="20"/>
              </w:rPr>
            </w:pPr>
          </w:p>
        </w:tc>
        <w:tc>
          <w:tcPr>
            <w:tcW w:w="532" w:type="pct"/>
            <w:tcBorders>
              <w:top w:val="nil"/>
              <w:left w:val="single" w:sz="4" w:space="0" w:color="auto"/>
              <w:bottom w:val="single" w:sz="4" w:space="0" w:color="auto"/>
              <w:right w:val="single" w:sz="4" w:space="0" w:color="auto"/>
            </w:tcBorders>
            <w:shd w:val="clear" w:color="auto" w:fill="auto"/>
            <w:noWrap/>
            <w:vAlign w:val="bottom"/>
            <w:hideMark/>
          </w:tcPr>
          <w:p w14:paraId="710E30EF" w14:textId="77777777" w:rsidR="00C312F3" w:rsidRPr="00156EEF" w:rsidRDefault="00C312F3" w:rsidP="009460FF">
            <w:pPr>
              <w:spacing w:after="0"/>
              <w:ind w:left="0" w:firstLine="0"/>
              <w:jc w:val="left"/>
              <w:rPr>
                <w:rFonts w:ascii="Calibri" w:hAnsi="Calibri"/>
                <w:sz w:val="20"/>
              </w:rPr>
            </w:pPr>
            <w:r w:rsidRPr="00156EEF">
              <w:rPr>
                <w:rFonts w:ascii="Calibri" w:hAnsi="Calibri"/>
                <w:sz w:val="20"/>
              </w:rPr>
              <w:t> </w:t>
            </w:r>
          </w:p>
        </w:tc>
      </w:tr>
      <w:tr w:rsidR="00C312F3" w:rsidRPr="00156EEF" w14:paraId="6873A50E" w14:textId="77777777" w:rsidTr="009460FF">
        <w:trPr>
          <w:trHeight w:val="3586"/>
          <w:jc w:val="center"/>
        </w:trPr>
        <w:tc>
          <w:tcPr>
            <w:tcW w:w="302" w:type="pct"/>
            <w:tcBorders>
              <w:top w:val="nil"/>
              <w:left w:val="double" w:sz="6" w:space="0" w:color="auto"/>
              <w:bottom w:val="single" w:sz="8" w:space="0" w:color="auto"/>
              <w:right w:val="single" w:sz="8" w:space="0" w:color="auto"/>
            </w:tcBorders>
            <w:shd w:val="clear" w:color="auto" w:fill="auto"/>
            <w:vAlign w:val="center"/>
            <w:hideMark/>
          </w:tcPr>
          <w:p w14:paraId="451F00D9" w14:textId="77777777" w:rsidR="00C312F3" w:rsidRPr="00156EEF" w:rsidRDefault="00C312F3" w:rsidP="009460FF">
            <w:pPr>
              <w:spacing w:after="0"/>
              <w:ind w:left="0" w:firstLine="0"/>
              <w:jc w:val="center"/>
              <w:rPr>
                <w:rFonts w:ascii="Arial" w:hAnsi="Arial" w:cs="Arial"/>
                <w:sz w:val="20"/>
              </w:rPr>
            </w:pPr>
            <w:r w:rsidRPr="00156EEF">
              <w:rPr>
                <w:rFonts w:ascii="Arial" w:hAnsi="Arial" w:cs="Arial"/>
                <w:sz w:val="20"/>
              </w:rPr>
              <w:lastRenderedPageBreak/>
              <w:t>3.9</w:t>
            </w:r>
          </w:p>
        </w:tc>
        <w:tc>
          <w:tcPr>
            <w:tcW w:w="3129" w:type="pct"/>
            <w:tcBorders>
              <w:top w:val="nil"/>
              <w:left w:val="nil"/>
              <w:bottom w:val="single" w:sz="8" w:space="0" w:color="auto"/>
              <w:right w:val="single" w:sz="8" w:space="0" w:color="auto"/>
            </w:tcBorders>
            <w:shd w:val="clear" w:color="auto" w:fill="auto"/>
            <w:hideMark/>
          </w:tcPr>
          <w:p w14:paraId="51706830" w14:textId="77777777" w:rsidR="00C312F3" w:rsidRPr="00156EEF" w:rsidRDefault="00C312F3" w:rsidP="009460FF">
            <w:pPr>
              <w:spacing w:after="0"/>
              <w:ind w:left="0" w:firstLine="0"/>
              <w:jc w:val="left"/>
              <w:rPr>
                <w:b/>
                <w:bCs/>
                <w:sz w:val="20"/>
              </w:rPr>
            </w:pPr>
            <w:r w:rsidRPr="00156EEF">
              <w:rPr>
                <w:b/>
                <w:bCs/>
                <w:sz w:val="20"/>
              </w:rPr>
              <w:t xml:space="preserve">Echelle </w:t>
            </w:r>
            <w:proofErr w:type="spellStart"/>
            <w:r w:rsidRPr="00156EEF">
              <w:rPr>
                <w:b/>
                <w:bCs/>
                <w:sz w:val="20"/>
              </w:rPr>
              <w:t>limnimétrique</w:t>
            </w:r>
            <w:proofErr w:type="spellEnd"/>
            <w:r w:rsidRPr="00156EEF">
              <w:rPr>
                <w:b/>
                <w:bCs/>
                <w:sz w:val="20"/>
              </w:rPr>
              <w:t xml:space="preserve"> à sceller dans un ouvrage en béton y compris et toutes sujétions comprises                                                                                                   </w:t>
            </w:r>
            <w:r w:rsidRPr="00156EEF">
              <w:rPr>
                <w:sz w:val="18"/>
                <w:szCs w:val="18"/>
              </w:rPr>
              <w:t xml:space="preserve">Ce prix rémunère la fourniture et la mise en place d’une échelle </w:t>
            </w:r>
            <w:proofErr w:type="spellStart"/>
            <w:r w:rsidRPr="00156EEF">
              <w:rPr>
                <w:sz w:val="18"/>
                <w:szCs w:val="18"/>
              </w:rPr>
              <w:t>limnimétrique</w:t>
            </w:r>
            <w:proofErr w:type="spellEnd"/>
            <w:r w:rsidRPr="00156EEF">
              <w:rPr>
                <w:sz w:val="18"/>
                <w:szCs w:val="18"/>
              </w:rPr>
              <w:t xml:space="preserve"> selon les spécifications de l’ingénieur. </w:t>
            </w:r>
            <w:r w:rsidRPr="00156EEF">
              <w:rPr>
                <w:sz w:val="18"/>
                <w:szCs w:val="18"/>
              </w:rPr>
              <w:br/>
              <w:t>Ce prix comprend conformément aux spécifications des prescriptions techniques :</w:t>
            </w:r>
            <w:r w:rsidRPr="00156EEF">
              <w:rPr>
                <w:sz w:val="18"/>
                <w:szCs w:val="18"/>
              </w:rPr>
              <w:br/>
              <w:t>- La fourniture de l’échelle graduée conformément aux spécifications de l’ingénieur. La qualité et le type de fer employé seront soumis à l’appréciation de l’ingénieur ;</w:t>
            </w:r>
            <w:r w:rsidRPr="00156EEF">
              <w:rPr>
                <w:sz w:val="18"/>
                <w:szCs w:val="18"/>
              </w:rPr>
              <w:br/>
              <w:t xml:space="preserve">- La fourniture des matériaux (ciment, agrégats etc.) et accessoires de pose </w:t>
            </w:r>
            <w:r w:rsidRPr="00156EEF">
              <w:rPr>
                <w:sz w:val="18"/>
                <w:szCs w:val="18"/>
              </w:rPr>
              <w:br/>
              <w:t>- La réalisation des fouilles nécessaires ;</w:t>
            </w:r>
            <w:r w:rsidRPr="00156EEF">
              <w:rPr>
                <w:sz w:val="18"/>
                <w:szCs w:val="18"/>
              </w:rPr>
              <w:br/>
              <w:t>- La pose de l’échelle ;</w:t>
            </w:r>
            <w:r w:rsidRPr="00156EEF">
              <w:rPr>
                <w:sz w:val="18"/>
                <w:szCs w:val="18"/>
              </w:rPr>
              <w:br/>
              <w:t>- L’exécution des différents raccordements au niveau des ouvrages ;</w:t>
            </w:r>
            <w:r w:rsidRPr="00156EEF">
              <w:rPr>
                <w:sz w:val="18"/>
                <w:szCs w:val="18"/>
              </w:rPr>
              <w:br/>
              <w:t>- Et toutes sujétions d'exécution et de main d’œuvre qualifié et non qualifiée.</w:t>
            </w:r>
            <w:r w:rsidRPr="00156EEF">
              <w:rPr>
                <w:sz w:val="20"/>
              </w:rPr>
              <w:br/>
            </w:r>
            <w:r w:rsidRPr="00156EEF">
              <w:rPr>
                <w:sz w:val="20"/>
              </w:rPr>
              <w:br/>
            </w:r>
            <w:r w:rsidRPr="00156EEF">
              <w:rPr>
                <w:i/>
                <w:sz w:val="18"/>
                <w:szCs w:val="18"/>
              </w:rPr>
              <w:t>Ce prix s’applique à l’unité d’Échelle, fournis et mis en place constatée par l’ingénieur.</w:t>
            </w:r>
          </w:p>
        </w:tc>
        <w:tc>
          <w:tcPr>
            <w:tcW w:w="429" w:type="pct"/>
            <w:tcBorders>
              <w:top w:val="nil"/>
              <w:left w:val="nil"/>
              <w:bottom w:val="single" w:sz="8" w:space="0" w:color="auto"/>
              <w:right w:val="single" w:sz="8" w:space="0" w:color="auto"/>
            </w:tcBorders>
            <w:shd w:val="clear" w:color="auto" w:fill="auto"/>
            <w:vAlign w:val="center"/>
            <w:hideMark/>
          </w:tcPr>
          <w:p w14:paraId="6059CDBB" w14:textId="77777777" w:rsidR="00C312F3" w:rsidRPr="00156EEF" w:rsidRDefault="00C312F3" w:rsidP="009460FF">
            <w:pPr>
              <w:spacing w:after="0"/>
              <w:ind w:left="0" w:firstLine="0"/>
              <w:jc w:val="center"/>
              <w:rPr>
                <w:sz w:val="20"/>
              </w:rPr>
            </w:pPr>
            <w:r w:rsidRPr="00156EEF">
              <w:rPr>
                <w:sz w:val="20"/>
              </w:rPr>
              <w:t>U</w:t>
            </w:r>
          </w:p>
        </w:tc>
        <w:tc>
          <w:tcPr>
            <w:tcW w:w="608" w:type="pct"/>
            <w:tcBorders>
              <w:top w:val="nil"/>
              <w:left w:val="nil"/>
              <w:bottom w:val="single" w:sz="8" w:space="0" w:color="auto"/>
              <w:right w:val="nil"/>
            </w:tcBorders>
            <w:shd w:val="clear" w:color="auto" w:fill="auto"/>
            <w:vAlign w:val="center"/>
            <w:hideMark/>
          </w:tcPr>
          <w:p w14:paraId="70366608" w14:textId="77777777" w:rsidR="00C312F3" w:rsidRPr="00156EEF" w:rsidRDefault="00C312F3" w:rsidP="009460FF">
            <w:pPr>
              <w:spacing w:after="0"/>
              <w:ind w:left="0" w:firstLine="0"/>
              <w:jc w:val="center"/>
              <w:rPr>
                <w:rFonts w:ascii="Arial" w:hAnsi="Arial" w:cs="Arial"/>
                <w:sz w:val="20"/>
              </w:rPr>
            </w:pPr>
          </w:p>
        </w:tc>
        <w:tc>
          <w:tcPr>
            <w:tcW w:w="532" w:type="pct"/>
            <w:tcBorders>
              <w:top w:val="nil"/>
              <w:left w:val="single" w:sz="4" w:space="0" w:color="auto"/>
              <w:bottom w:val="single" w:sz="4" w:space="0" w:color="auto"/>
              <w:right w:val="single" w:sz="4" w:space="0" w:color="auto"/>
            </w:tcBorders>
            <w:shd w:val="clear" w:color="auto" w:fill="auto"/>
            <w:noWrap/>
            <w:vAlign w:val="bottom"/>
            <w:hideMark/>
          </w:tcPr>
          <w:p w14:paraId="71F53EB5" w14:textId="77777777" w:rsidR="00C312F3" w:rsidRPr="00156EEF" w:rsidRDefault="00C312F3" w:rsidP="009460FF">
            <w:pPr>
              <w:spacing w:after="0"/>
              <w:ind w:left="0" w:firstLine="0"/>
              <w:jc w:val="left"/>
              <w:rPr>
                <w:rFonts w:ascii="Calibri" w:hAnsi="Calibri"/>
                <w:sz w:val="20"/>
              </w:rPr>
            </w:pPr>
            <w:r w:rsidRPr="00156EEF">
              <w:rPr>
                <w:rFonts w:ascii="Calibri" w:hAnsi="Calibri"/>
                <w:sz w:val="20"/>
              </w:rPr>
              <w:t> </w:t>
            </w:r>
          </w:p>
        </w:tc>
      </w:tr>
      <w:tr w:rsidR="00C312F3" w:rsidRPr="00156EEF" w14:paraId="4DAB8E39" w14:textId="77777777" w:rsidTr="009460FF">
        <w:trPr>
          <w:trHeight w:val="195"/>
          <w:jc w:val="center"/>
        </w:trPr>
        <w:tc>
          <w:tcPr>
            <w:tcW w:w="302" w:type="pct"/>
            <w:tcBorders>
              <w:top w:val="nil"/>
              <w:left w:val="double" w:sz="6" w:space="0" w:color="auto"/>
              <w:bottom w:val="single" w:sz="8" w:space="0" w:color="auto"/>
              <w:right w:val="single" w:sz="8" w:space="0" w:color="auto"/>
            </w:tcBorders>
            <w:shd w:val="clear" w:color="auto" w:fill="auto"/>
            <w:vAlign w:val="center"/>
            <w:hideMark/>
          </w:tcPr>
          <w:p w14:paraId="378FFB4E" w14:textId="77777777" w:rsidR="00C312F3" w:rsidRPr="00156EEF" w:rsidRDefault="00C312F3" w:rsidP="009460FF">
            <w:pPr>
              <w:spacing w:after="0"/>
              <w:ind w:left="0" w:firstLine="0"/>
              <w:jc w:val="center"/>
              <w:rPr>
                <w:rFonts w:ascii="Arial" w:hAnsi="Arial" w:cs="Arial"/>
                <w:sz w:val="20"/>
              </w:rPr>
            </w:pPr>
            <w:r w:rsidRPr="00156EEF">
              <w:rPr>
                <w:rFonts w:ascii="Arial" w:hAnsi="Arial" w:cs="Arial"/>
                <w:sz w:val="20"/>
              </w:rPr>
              <w:t> </w:t>
            </w:r>
          </w:p>
        </w:tc>
        <w:tc>
          <w:tcPr>
            <w:tcW w:w="3129" w:type="pct"/>
            <w:tcBorders>
              <w:top w:val="nil"/>
              <w:left w:val="nil"/>
              <w:bottom w:val="single" w:sz="8" w:space="0" w:color="auto"/>
              <w:right w:val="single" w:sz="8" w:space="0" w:color="auto"/>
            </w:tcBorders>
            <w:shd w:val="clear" w:color="auto" w:fill="auto"/>
            <w:vAlign w:val="center"/>
            <w:hideMark/>
          </w:tcPr>
          <w:p w14:paraId="29A8A46C" w14:textId="77777777" w:rsidR="00C312F3" w:rsidRPr="00156EEF" w:rsidRDefault="00C312F3" w:rsidP="009460FF">
            <w:pPr>
              <w:spacing w:after="0"/>
              <w:ind w:left="0" w:firstLine="0"/>
              <w:jc w:val="right"/>
              <w:rPr>
                <w:rFonts w:ascii="Arial" w:hAnsi="Arial" w:cs="Arial"/>
                <w:b/>
                <w:bCs/>
                <w:sz w:val="20"/>
              </w:rPr>
            </w:pPr>
            <w:r w:rsidRPr="00156EEF">
              <w:rPr>
                <w:rFonts w:ascii="Arial" w:hAnsi="Arial" w:cs="Arial"/>
                <w:b/>
                <w:bCs/>
                <w:sz w:val="20"/>
              </w:rPr>
              <w:t>Total Série 3</w:t>
            </w:r>
          </w:p>
        </w:tc>
        <w:tc>
          <w:tcPr>
            <w:tcW w:w="429" w:type="pct"/>
            <w:tcBorders>
              <w:top w:val="nil"/>
              <w:left w:val="nil"/>
              <w:bottom w:val="single" w:sz="8" w:space="0" w:color="auto"/>
              <w:right w:val="single" w:sz="8" w:space="0" w:color="auto"/>
            </w:tcBorders>
            <w:shd w:val="clear" w:color="auto" w:fill="auto"/>
            <w:vAlign w:val="center"/>
            <w:hideMark/>
          </w:tcPr>
          <w:p w14:paraId="45B888D8" w14:textId="77777777" w:rsidR="00C312F3" w:rsidRPr="00156EEF" w:rsidRDefault="00C312F3" w:rsidP="009460FF">
            <w:pPr>
              <w:spacing w:after="0"/>
              <w:ind w:left="0" w:firstLine="0"/>
              <w:jc w:val="center"/>
              <w:rPr>
                <w:b/>
                <w:bCs/>
                <w:sz w:val="20"/>
              </w:rPr>
            </w:pPr>
            <w:r w:rsidRPr="00156EEF">
              <w:rPr>
                <w:b/>
                <w:bCs/>
                <w:sz w:val="20"/>
              </w:rPr>
              <w:t> </w:t>
            </w:r>
          </w:p>
        </w:tc>
        <w:tc>
          <w:tcPr>
            <w:tcW w:w="608" w:type="pct"/>
            <w:tcBorders>
              <w:top w:val="nil"/>
              <w:left w:val="nil"/>
              <w:bottom w:val="single" w:sz="8" w:space="0" w:color="auto"/>
              <w:right w:val="nil"/>
            </w:tcBorders>
            <w:shd w:val="clear" w:color="auto" w:fill="auto"/>
            <w:vAlign w:val="center"/>
            <w:hideMark/>
          </w:tcPr>
          <w:p w14:paraId="5366967E" w14:textId="77777777" w:rsidR="00C312F3" w:rsidRPr="00156EEF" w:rsidRDefault="00C312F3" w:rsidP="009460FF">
            <w:pPr>
              <w:spacing w:after="0"/>
              <w:ind w:left="0" w:firstLine="0"/>
              <w:jc w:val="center"/>
              <w:rPr>
                <w:rFonts w:ascii="Arial" w:hAnsi="Arial" w:cs="Arial"/>
                <w:b/>
                <w:bCs/>
                <w:sz w:val="20"/>
              </w:rPr>
            </w:pPr>
            <w:r w:rsidRPr="00156EEF">
              <w:rPr>
                <w:rFonts w:ascii="Arial" w:hAnsi="Arial" w:cs="Arial"/>
                <w:b/>
                <w:bCs/>
                <w:sz w:val="20"/>
              </w:rPr>
              <w:t> </w:t>
            </w:r>
          </w:p>
        </w:tc>
        <w:tc>
          <w:tcPr>
            <w:tcW w:w="532" w:type="pct"/>
            <w:tcBorders>
              <w:top w:val="nil"/>
              <w:left w:val="single" w:sz="4" w:space="0" w:color="auto"/>
              <w:bottom w:val="single" w:sz="4" w:space="0" w:color="auto"/>
              <w:right w:val="single" w:sz="4" w:space="0" w:color="auto"/>
            </w:tcBorders>
            <w:shd w:val="clear" w:color="auto" w:fill="auto"/>
            <w:noWrap/>
            <w:vAlign w:val="bottom"/>
            <w:hideMark/>
          </w:tcPr>
          <w:p w14:paraId="21A83951" w14:textId="77777777" w:rsidR="00C312F3" w:rsidRPr="00156EEF" w:rsidRDefault="00C312F3" w:rsidP="009460FF">
            <w:pPr>
              <w:spacing w:after="0"/>
              <w:ind w:left="0" w:firstLine="0"/>
              <w:jc w:val="left"/>
              <w:rPr>
                <w:rFonts w:ascii="Calibri" w:hAnsi="Calibri"/>
                <w:sz w:val="20"/>
              </w:rPr>
            </w:pPr>
            <w:r w:rsidRPr="00156EEF">
              <w:rPr>
                <w:rFonts w:ascii="Calibri" w:hAnsi="Calibri"/>
                <w:sz w:val="20"/>
              </w:rPr>
              <w:t> </w:t>
            </w:r>
          </w:p>
        </w:tc>
      </w:tr>
      <w:tr w:rsidR="00C312F3" w:rsidRPr="00156EEF" w14:paraId="4DC5A6AB" w14:textId="77777777" w:rsidTr="009460FF">
        <w:trPr>
          <w:trHeight w:val="330"/>
          <w:jc w:val="center"/>
        </w:trPr>
        <w:tc>
          <w:tcPr>
            <w:tcW w:w="302" w:type="pct"/>
            <w:tcBorders>
              <w:top w:val="nil"/>
              <w:left w:val="double" w:sz="6" w:space="0" w:color="auto"/>
              <w:bottom w:val="single" w:sz="8" w:space="0" w:color="auto"/>
              <w:right w:val="single" w:sz="8" w:space="0" w:color="auto"/>
            </w:tcBorders>
            <w:shd w:val="clear" w:color="auto" w:fill="auto"/>
            <w:vAlign w:val="center"/>
            <w:hideMark/>
          </w:tcPr>
          <w:p w14:paraId="497C0A95" w14:textId="77777777" w:rsidR="00C312F3" w:rsidRPr="00156EEF" w:rsidRDefault="00C312F3" w:rsidP="009460FF">
            <w:pPr>
              <w:spacing w:after="0"/>
              <w:ind w:left="0" w:firstLine="0"/>
              <w:jc w:val="center"/>
              <w:rPr>
                <w:rFonts w:ascii="Arial" w:hAnsi="Arial" w:cs="Arial"/>
                <w:sz w:val="20"/>
              </w:rPr>
            </w:pPr>
            <w:r w:rsidRPr="00156EEF">
              <w:rPr>
                <w:rFonts w:ascii="Arial" w:hAnsi="Arial" w:cs="Arial"/>
                <w:sz w:val="20"/>
              </w:rPr>
              <w:t> </w:t>
            </w:r>
          </w:p>
        </w:tc>
        <w:tc>
          <w:tcPr>
            <w:tcW w:w="3129" w:type="pct"/>
            <w:tcBorders>
              <w:top w:val="nil"/>
              <w:left w:val="nil"/>
              <w:bottom w:val="single" w:sz="8" w:space="0" w:color="auto"/>
              <w:right w:val="single" w:sz="8" w:space="0" w:color="auto"/>
            </w:tcBorders>
            <w:shd w:val="clear" w:color="auto" w:fill="auto"/>
            <w:vAlign w:val="center"/>
            <w:hideMark/>
          </w:tcPr>
          <w:p w14:paraId="36AEC2DB" w14:textId="77777777" w:rsidR="00C312F3" w:rsidRPr="00156EEF" w:rsidRDefault="00C312F3" w:rsidP="009460FF">
            <w:pPr>
              <w:spacing w:after="0"/>
              <w:ind w:left="0" w:firstLine="0"/>
              <w:jc w:val="left"/>
              <w:rPr>
                <w:b/>
                <w:bCs/>
                <w:sz w:val="20"/>
              </w:rPr>
            </w:pPr>
            <w:r w:rsidRPr="00156EEF">
              <w:rPr>
                <w:b/>
                <w:bCs/>
                <w:sz w:val="20"/>
              </w:rPr>
              <w:t>Série IV - BASSIN DE DISSIPATION ET PROTECTION AVALE</w:t>
            </w:r>
          </w:p>
        </w:tc>
        <w:tc>
          <w:tcPr>
            <w:tcW w:w="429" w:type="pct"/>
            <w:tcBorders>
              <w:top w:val="nil"/>
              <w:left w:val="nil"/>
              <w:bottom w:val="single" w:sz="8" w:space="0" w:color="auto"/>
              <w:right w:val="single" w:sz="8" w:space="0" w:color="auto"/>
            </w:tcBorders>
            <w:shd w:val="clear" w:color="auto" w:fill="auto"/>
            <w:vAlign w:val="center"/>
            <w:hideMark/>
          </w:tcPr>
          <w:p w14:paraId="69762565" w14:textId="77777777" w:rsidR="00C312F3" w:rsidRPr="00156EEF" w:rsidRDefault="00C312F3" w:rsidP="009460FF">
            <w:pPr>
              <w:spacing w:after="0"/>
              <w:ind w:left="0" w:firstLine="0"/>
              <w:jc w:val="center"/>
              <w:rPr>
                <w:sz w:val="20"/>
              </w:rPr>
            </w:pPr>
            <w:r w:rsidRPr="00156EEF">
              <w:rPr>
                <w:sz w:val="20"/>
              </w:rPr>
              <w:t> </w:t>
            </w:r>
          </w:p>
        </w:tc>
        <w:tc>
          <w:tcPr>
            <w:tcW w:w="608" w:type="pct"/>
            <w:tcBorders>
              <w:top w:val="nil"/>
              <w:left w:val="nil"/>
              <w:bottom w:val="single" w:sz="8" w:space="0" w:color="auto"/>
              <w:right w:val="nil"/>
            </w:tcBorders>
            <w:shd w:val="clear" w:color="auto" w:fill="auto"/>
            <w:vAlign w:val="center"/>
            <w:hideMark/>
          </w:tcPr>
          <w:p w14:paraId="74858BB9" w14:textId="77777777" w:rsidR="00C312F3" w:rsidRPr="00156EEF" w:rsidRDefault="00C312F3" w:rsidP="009460FF">
            <w:pPr>
              <w:spacing w:after="0"/>
              <w:ind w:left="0" w:firstLine="0"/>
              <w:jc w:val="center"/>
              <w:rPr>
                <w:rFonts w:ascii="Arial" w:hAnsi="Arial" w:cs="Arial"/>
                <w:sz w:val="20"/>
              </w:rPr>
            </w:pPr>
            <w:r w:rsidRPr="00156EEF">
              <w:rPr>
                <w:rFonts w:ascii="Arial" w:hAnsi="Arial" w:cs="Arial"/>
                <w:sz w:val="20"/>
              </w:rPr>
              <w:t> </w:t>
            </w:r>
          </w:p>
        </w:tc>
        <w:tc>
          <w:tcPr>
            <w:tcW w:w="532" w:type="pct"/>
            <w:tcBorders>
              <w:top w:val="nil"/>
              <w:left w:val="single" w:sz="4" w:space="0" w:color="auto"/>
              <w:bottom w:val="single" w:sz="4" w:space="0" w:color="auto"/>
              <w:right w:val="single" w:sz="4" w:space="0" w:color="auto"/>
            </w:tcBorders>
            <w:shd w:val="clear" w:color="auto" w:fill="auto"/>
            <w:noWrap/>
            <w:vAlign w:val="bottom"/>
            <w:hideMark/>
          </w:tcPr>
          <w:p w14:paraId="424E37F6" w14:textId="77777777" w:rsidR="00C312F3" w:rsidRPr="00156EEF" w:rsidRDefault="00C312F3" w:rsidP="009460FF">
            <w:pPr>
              <w:spacing w:after="0"/>
              <w:ind w:left="0" w:firstLine="0"/>
              <w:jc w:val="left"/>
              <w:rPr>
                <w:rFonts w:ascii="Calibri" w:hAnsi="Calibri"/>
                <w:sz w:val="20"/>
              </w:rPr>
            </w:pPr>
            <w:r w:rsidRPr="00156EEF">
              <w:rPr>
                <w:rFonts w:ascii="Calibri" w:hAnsi="Calibri"/>
                <w:sz w:val="20"/>
              </w:rPr>
              <w:t> </w:t>
            </w:r>
          </w:p>
        </w:tc>
      </w:tr>
      <w:tr w:rsidR="00C312F3" w:rsidRPr="00156EEF" w14:paraId="2F6C5FEF" w14:textId="77777777" w:rsidTr="009460FF">
        <w:trPr>
          <w:trHeight w:val="4510"/>
          <w:jc w:val="center"/>
        </w:trPr>
        <w:tc>
          <w:tcPr>
            <w:tcW w:w="302" w:type="pct"/>
            <w:tcBorders>
              <w:top w:val="single" w:sz="4" w:space="0" w:color="auto"/>
              <w:left w:val="double" w:sz="6" w:space="0" w:color="auto"/>
              <w:bottom w:val="single" w:sz="8" w:space="0" w:color="auto"/>
              <w:right w:val="single" w:sz="8" w:space="0" w:color="auto"/>
            </w:tcBorders>
            <w:shd w:val="clear" w:color="auto" w:fill="auto"/>
            <w:vAlign w:val="center"/>
            <w:hideMark/>
          </w:tcPr>
          <w:p w14:paraId="3297C0D8" w14:textId="77777777" w:rsidR="00C312F3" w:rsidRPr="00156EEF" w:rsidRDefault="00C312F3" w:rsidP="009460FF">
            <w:pPr>
              <w:spacing w:after="0"/>
              <w:ind w:left="0" w:firstLine="0"/>
              <w:jc w:val="center"/>
              <w:rPr>
                <w:rFonts w:ascii="Arial" w:hAnsi="Arial" w:cs="Arial"/>
                <w:sz w:val="20"/>
              </w:rPr>
            </w:pPr>
            <w:r w:rsidRPr="00156EEF">
              <w:rPr>
                <w:rFonts w:ascii="Arial" w:hAnsi="Arial" w:cs="Arial"/>
                <w:sz w:val="20"/>
              </w:rPr>
              <w:t>4.1</w:t>
            </w:r>
          </w:p>
        </w:tc>
        <w:tc>
          <w:tcPr>
            <w:tcW w:w="3129" w:type="pct"/>
            <w:tcBorders>
              <w:top w:val="single" w:sz="4" w:space="0" w:color="auto"/>
              <w:left w:val="nil"/>
              <w:bottom w:val="single" w:sz="8" w:space="0" w:color="auto"/>
              <w:right w:val="single" w:sz="8" w:space="0" w:color="auto"/>
            </w:tcBorders>
            <w:shd w:val="clear" w:color="auto" w:fill="auto"/>
            <w:hideMark/>
          </w:tcPr>
          <w:p w14:paraId="02CDE654" w14:textId="77777777" w:rsidR="00C312F3" w:rsidRPr="00156EEF" w:rsidRDefault="00C312F3" w:rsidP="009460FF">
            <w:pPr>
              <w:spacing w:after="0"/>
              <w:ind w:left="0" w:firstLine="0"/>
              <w:jc w:val="left"/>
              <w:rPr>
                <w:b/>
                <w:bCs/>
                <w:sz w:val="20"/>
              </w:rPr>
            </w:pPr>
            <w:r w:rsidRPr="00156EEF">
              <w:rPr>
                <w:b/>
                <w:bCs/>
                <w:sz w:val="20"/>
              </w:rPr>
              <w:t xml:space="preserve">Fouille pour bassin, murs de séparation et butées                                                                          </w:t>
            </w:r>
            <w:r w:rsidRPr="00156EEF">
              <w:rPr>
                <w:sz w:val="18"/>
                <w:szCs w:val="18"/>
              </w:rPr>
              <w:t xml:space="preserve">Ce prix rémunère la réalisation des déblais en terrain tendre du bassin de dissipation, des murets et des butées, constaté contradictoirement par le Maître d’Œuvre et comprend le déblayage, le chargement, le transport, le dépôt en dehors de la limite de l'emprise des ouvrages et le régalage des terres sur les lieux de dépôt. </w:t>
            </w:r>
            <w:r w:rsidRPr="00156EEF">
              <w:rPr>
                <w:sz w:val="18"/>
                <w:szCs w:val="18"/>
              </w:rPr>
              <w:br/>
              <w:t>Ce prix comprend :</w:t>
            </w:r>
            <w:r w:rsidRPr="00156EEF">
              <w:rPr>
                <w:sz w:val="18"/>
                <w:szCs w:val="18"/>
              </w:rPr>
              <w:br/>
              <w:t>- Tous les travaux d'accomplissement des profils de déblais;</w:t>
            </w:r>
            <w:r w:rsidRPr="00156EEF">
              <w:rPr>
                <w:sz w:val="18"/>
                <w:szCs w:val="18"/>
              </w:rPr>
              <w:br/>
              <w:t>- Les coûts liés à l’emploi éventuel des engins lourds ;</w:t>
            </w:r>
            <w:r w:rsidRPr="00156EEF">
              <w:rPr>
                <w:sz w:val="18"/>
                <w:szCs w:val="18"/>
              </w:rPr>
              <w:br/>
              <w:t>- La réalisation des déblais de finition éventuelle;</w:t>
            </w:r>
            <w:r w:rsidRPr="00156EEF">
              <w:rPr>
                <w:sz w:val="18"/>
                <w:szCs w:val="18"/>
              </w:rPr>
              <w:br/>
              <w:t>- Les sur largeurs provisoires des déblais puis le taillage de ces talus;</w:t>
            </w:r>
            <w:r w:rsidRPr="00156EEF">
              <w:rPr>
                <w:sz w:val="18"/>
                <w:szCs w:val="18"/>
              </w:rPr>
              <w:br/>
              <w:t>- Le chargement des déblais et leur dépôt hors emprise des ouvrages;</w:t>
            </w:r>
            <w:r w:rsidRPr="00156EEF">
              <w:rPr>
                <w:sz w:val="18"/>
                <w:szCs w:val="18"/>
              </w:rPr>
              <w:br/>
              <w:t>- Le réglage, le compactage et la finition du fond de forme;</w:t>
            </w:r>
            <w:r w:rsidRPr="00156EEF">
              <w:rPr>
                <w:sz w:val="18"/>
                <w:szCs w:val="18"/>
              </w:rPr>
              <w:br/>
              <w:t>- Le dressage des talus du déblai;</w:t>
            </w:r>
            <w:r w:rsidRPr="00156EEF">
              <w:rPr>
                <w:sz w:val="18"/>
                <w:szCs w:val="18"/>
              </w:rPr>
              <w:br/>
              <w:t>- Toutes les sujétions d’extraction des matériaux et l’extraction elle-même;</w:t>
            </w:r>
            <w:r w:rsidRPr="00156EEF">
              <w:rPr>
                <w:sz w:val="18"/>
                <w:szCs w:val="18"/>
              </w:rPr>
              <w:br/>
              <w:t>- La mise en dépôt provisoire du stock qui en découlerait;</w:t>
            </w:r>
            <w:r w:rsidRPr="00156EEF">
              <w:rPr>
                <w:sz w:val="18"/>
                <w:szCs w:val="18"/>
              </w:rPr>
              <w:br/>
              <w:t>- La finition des dépôts;</w:t>
            </w:r>
            <w:r w:rsidRPr="00156EEF">
              <w:rPr>
                <w:sz w:val="18"/>
                <w:szCs w:val="18"/>
              </w:rPr>
              <w:br/>
              <w:t>- Et toutes sujétions d'exécution et de main d’œuvre qualifié et non qualifiée.</w:t>
            </w:r>
            <w:r w:rsidRPr="00156EEF">
              <w:rPr>
                <w:sz w:val="18"/>
                <w:szCs w:val="18"/>
              </w:rPr>
              <w:br/>
            </w:r>
            <w:r w:rsidRPr="00156EEF">
              <w:rPr>
                <w:sz w:val="20"/>
              </w:rPr>
              <w:br/>
            </w:r>
            <w:r w:rsidRPr="00156EEF">
              <w:rPr>
                <w:i/>
                <w:sz w:val="18"/>
                <w:szCs w:val="18"/>
              </w:rPr>
              <w:t>Ce prix s’applique au mètre cube (m3) théorique de déblai, les côtes du terrain naturel étant celles obtenues par levés contradictoires des profils en travers minorés de l'épaisseur du décapage éventuel.</w:t>
            </w:r>
          </w:p>
        </w:tc>
        <w:tc>
          <w:tcPr>
            <w:tcW w:w="429" w:type="pct"/>
            <w:tcBorders>
              <w:top w:val="single" w:sz="4" w:space="0" w:color="auto"/>
              <w:left w:val="nil"/>
              <w:bottom w:val="single" w:sz="8" w:space="0" w:color="auto"/>
              <w:right w:val="single" w:sz="8" w:space="0" w:color="auto"/>
            </w:tcBorders>
            <w:shd w:val="clear" w:color="auto" w:fill="auto"/>
            <w:vAlign w:val="center"/>
            <w:hideMark/>
          </w:tcPr>
          <w:p w14:paraId="3009DF69" w14:textId="77777777" w:rsidR="00C312F3" w:rsidRPr="00156EEF" w:rsidRDefault="00C312F3" w:rsidP="009460FF">
            <w:pPr>
              <w:spacing w:after="0"/>
              <w:ind w:left="0" w:firstLine="0"/>
              <w:jc w:val="center"/>
              <w:rPr>
                <w:sz w:val="20"/>
              </w:rPr>
            </w:pPr>
            <w:r w:rsidRPr="00156EEF">
              <w:rPr>
                <w:sz w:val="20"/>
              </w:rPr>
              <w:t>m</w:t>
            </w:r>
            <w:r w:rsidRPr="00156EEF">
              <w:rPr>
                <w:sz w:val="20"/>
                <w:vertAlign w:val="superscript"/>
              </w:rPr>
              <w:t>3</w:t>
            </w:r>
          </w:p>
        </w:tc>
        <w:tc>
          <w:tcPr>
            <w:tcW w:w="608" w:type="pct"/>
            <w:tcBorders>
              <w:top w:val="single" w:sz="4" w:space="0" w:color="auto"/>
              <w:left w:val="nil"/>
              <w:bottom w:val="single" w:sz="8" w:space="0" w:color="auto"/>
              <w:right w:val="nil"/>
            </w:tcBorders>
            <w:shd w:val="clear" w:color="auto" w:fill="auto"/>
            <w:vAlign w:val="center"/>
            <w:hideMark/>
          </w:tcPr>
          <w:p w14:paraId="05CC9026" w14:textId="77777777" w:rsidR="00C312F3" w:rsidRPr="00156EEF" w:rsidRDefault="00C312F3" w:rsidP="009460FF">
            <w:pPr>
              <w:spacing w:after="0"/>
              <w:ind w:left="0" w:firstLine="0"/>
              <w:jc w:val="center"/>
              <w:rPr>
                <w:rFonts w:ascii="Arial" w:hAnsi="Arial" w:cs="Arial"/>
                <w:sz w:val="20"/>
              </w:rPr>
            </w:pPr>
            <w:r w:rsidRPr="00156EEF">
              <w:rPr>
                <w:rFonts w:ascii="Arial" w:hAnsi="Arial" w:cs="Arial"/>
                <w:sz w:val="20"/>
              </w:rPr>
              <w:t> </w:t>
            </w:r>
          </w:p>
        </w:tc>
        <w:tc>
          <w:tcPr>
            <w:tcW w:w="53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C2B37C" w14:textId="77777777" w:rsidR="00C312F3" w:rsidRPr="00156EEF" w:rsidRDefault="00C312F3" w:rsidP="009460FF">
            <w:pPr>
              <w:spacing w:after="0"/>
              <w:ind w:left="0" w:firstLine="0"/>
              <w:jc w:val="left"/>
              <w:rPr>
                <w:rFonts w:ascii="Calibri" w:hAnsi="Calibri"/>
                <w:sz w:val="20"/>
              </w:rPr>
            </w:pPr>
            <w:r w:rsidRPr="00156EEF">
              <w:rPr>
                <w:rFonts w:ascii="Calibri" w:hAnsi="Calibri"/>
                <w:sz w:val="20"/>
              </w:rPr>
              <w:t> </w:t>
            </w:r>
          </w:p>
        </w:tc>
      </w:tr>
      <w:tr w:rsidR="00C312F3" w:rsidRPr="00156EEF" w14:paraId="19C5FB8F" w14:textId="77777777" w:rsidTr="009460FF">
        <w:trPr>
          <w:trHeight w:val="1183"/>
          <w:jc w:val="center"/>
        </w:trPr>
        <w:tc>
          <w:tcPr>
            <w:tcW w:w="302" w:type="pct"/>
            <w:tcBorders>
              <w:top w:val="nil"/>
              <w:left w:val="double" w:sz="6" w:space="0" w:color="auto"/>
              <w:bottom w:val="single" w:sz="8" w:space="0" w:color="auto"/>
              <w:right w:val="single" w:sz="8" w:space="0" w:color="auto"/>
            </w:tcBorders>
            <w:shd w:val="clear" w:color="auto" w:fill="auto"/>
            <w:vAlign w:val="center"/>
            <w:hideMark/>
          </w:tcPr>
          <w:p w14:paraId="6BA91D07" w14:textId="77777777" w:rsidR="00C312F3" w:rsidRPr="00156EEF" w:rsidRDefault="00C312F3" w:rsidP="009460FF">
            <w:pPr>
              <w:spacing w:after="0"/>
              <w:ind w:left="0" w:firstLine="0"/>
              <w:jc w:val="center"/>
              <w:rPr>
                <w:rFonts w:ascii="Arial" w:hAnsi="Arial" w:cs="Arial"/>
                <w:sz w:val="20"/>
              </w:rPr>
            </w:pPr>
            <w:r w:rsidRPr="00156EEF">
              <w:rPr>
                <w:rFonts w:ascii="Arial" w:hAnsi="Arial" w:cs="Arial"/>
                <w:sz w:val="20"/>
              </w:rPr>
              <w:t>4.2</w:t>
            </w:r>
          </w:p>
        </w:tc>
        <w:tc>
          <w:tcPr>
            <w:tcW w:w="3129" w:type="pct"/>
            <w:tcBorders>
              <w:top w:val="nil"/>
              <w:left w:val="nil"/>
              <w:bottom w:val="single" w:sz="8" w:space="0" w:color="auto"/>
              <w:right w:val="single" w:sz="8" w:space="0" w:color="auto"/>
            </w:tcBorders>
            <w:shd w:val="clear" w:color="auto" w:fill="auto"/>
            <w:hideMark/>
          </w:tcPr>
          <w:p w14:paraId="51CB8124" w14:textId="77777777" w:rsidR="00C312F3" w:rsidRPr="00156EEF" w:rsidRDefault="00C312F3" w:rsidP="009460FF">
            <w:pPr>
              <w:spacing w:after="0"/>
              <w:ind w:left="0" w:firstLine="0"/>
              <w:jc w:val="left"/>
              <w:rPr>
                <w:sz w:val="18"/>
                <w:szCs w:val="18"/>
              </w:rPr>
            </w:pPr>
            <w:r w:rsidRPr="00156EEF">
              <w:rPr>
                <w:b/>
                <w:bCs/>
                <w:sz w:val="20"/>
              </w:rPr>
              <w:t>Béton de propreté dosé à 150kg/m</w:t>
            </w:r>
            <w:r w:rsidRPr="00156EEF">
              <w:rPr>
                <w:b/>
                <w:bCs/>
                <w:sz w:val="20"/>
                <w:vertAlign w:val="superscript"/>
              </w:rPr>
              <w:t>3</w:t>
            </w:r>
            <w:r w:rsidRPr="00156EEF">
              <w:rPr>
                <w:b/>
                <w:bCs/>
                <w:sz w:val="20"/>
              </w:rPr>
              <w:t xml:space="preserve"> pour butées                                                                      </w:t>
            </w:r>
            <w:r w:rsidRPr="00156EEF">
              <w:rPr>
                <w:sz w:val="18"/>
                <w:szCs w:val="18"/>
              </w:rPr>
              <w:t>Ce prix est identique au prix 2.3 appliqué aux ouvrages spécifiés.</w:t>
            </w:r>
          </w:p>
          <w:p w14:paraId="072615A1" w14:textId="77777777" w:rsidR="00C312F3" w:rsidRPr="00156EEF" w:rsidRDefault="00C312F3" w:rsidP="009460FF">
            <w:pPr>
              <w:spacing w:after="0"/>
              <w:ind w:left="0" w:firstLine="0"/>
              <w:jc w:val="left"/>
              <w:rPr>
                <w:b/>
                <w:bCs/>
                <w:sz w:val="20"/>
              </w:rPr>
            </w:pPr>
            <w:r w:rsidRPr="00156EEF">
              <w:rPr>
                <w:sz w:val="18"/>
                <w:szCs w:val="18"/>
              </w:rPr>
              <w:br/>
            </w:r>
            <w:r w:rsidRPr="00156EEF">
              <w:rPr>
                <w:i/>
                <w:sz w:val="18"/>
                <w:szCs w:val="18"/>
              </w:rPr>
              <w:t>Ce prix s’applique au volume, en mètre cube (m3), de béton de propreté dosé à 150 kg/m3 coulé, avec comme valeur maximale celle obtenue à partir des plans d’exécution des ouvrages.</w:t>
            </w:r>
          </w:p>
        </w:tc>
        <w:tc>
          <w:tcPr>
            <w:tcW w:w="429" w:type="pct"/>
            <w:tcBorders>
              <w:top w:val="nil"/>
              <w:left w:val="nil"/>
              <w:bottom w:val="single" w:sz="8" w:space="0" w:color="auto"/>
              <w:right w:val="single" w:sz="8" w:space="0" w:color="auto"/>
            </w:tcBorders>
            <w:shd w:val="clear" w:color="auto" w:fill="auto"/>
            <w:vAlign w:val="center"/>
            <w:hideMark/>
          </w:tcPr>
          <w:p w14:paraId="5B1862E8" w14:textId="77777777" w:rsidR="00C312F3" w:rsidRPr="00156EEF" w:rsidRDefault="00C312F3" w:rsidP="009460FF">
            <w:pPr>
              <w:spacing w:after="0"/>
              <w:ind w:left="0" w:firstLine="0"/>
              <w:jc w:val="center"/>
              <w:rPr>
                <w:sz w:val="20"/>
              </w:rPr>
            </w:pPr>
            <w:r w:rsidRPr="00156EEF">
              <w:rPr>
                <w:sz w:val="20"/>
              </w:rPr>
              <w:t>m</w:t>
            </w:r>
            <w:r w:rsidRPr="00156EEF">
              <w:rPr>
                <w:sz w:val="20"/>
                <w:vertAlign w:val="superscript"/>
              </w:rPr>
              <w:t>3</w:t>
            </w:r>
          </w:p>
        </w:tc>
        <w:tc>
          <w:tcPr>
            <w:tcW w:w="608" w:type="pct"/>
            <w:tcBorders>
              <w:top w:val="nil"/>
              <w:left w:val="nil"/>
              <w:bottom w:val="single" w:sz="8" w:space="0" w:color="auto"/>
              <w:right w:val="nil"/>
            </w:tcBorders>
            <w:shd w:val="clear" w:color="auto" w:fill="auto"/>
            <w:vAlign w:val="center"/>
            <w:hideMark/>
          </w:tcPr>
          <w:p w14:paraId="51973892" w14:textId="77777777" w:rsidR="00C312F3" w:rsidRPr="00156EEF" w:rsidRDefault="00C312F3" w:rsidP="009460FF">
            <w:pPr>
              <w:spacing w:after="0"/>
              <w:ind w:left="0" w:firstLine="0"/>
              <w:jc w:val="center"/>
              <w:rPr>
                <w:rFonts w:ascii="Arial" w:hAnsi="Arial" w:cs="Arial"/>
                <w:sz w:val="20"/>
              </w:rPr>
            </w:pPr>
            <w:r w:rsidRPr="00156EEF">
              <w:rPr>
                <w:rFonts w:ascii="Arial" w:hAnsi="Arial" w:cs="Arial"/>
                <w:sz w:val="20"/>
              </w:rPr>
              <w:t> </w:t>
            </w:r>
          </w:p>
        </w:tc>
        <w:tc>
          <w:tcPr>
            <w:tcW w:w="532" w:type="pct"/>
            <w:tcBorders>
              <w:top w:val="nil"/>
              <w:left w:val="single" w:sz="4" w:space="0" w:color="auto"/>
              <w:bottom w:val="single" w:sz="4" w:space="0" w:color="auto"/>
              <w:right w:val="single" w:sz="4" w:space="0" w:color="auto"/>
            </w:tcBorders>
            <w:shd w:val="clear" w:color="auto" w:fill="auto"/>
            <w:noWrap/>
            <w:vAlign w:val="bottom"/>
            <w:hideMark/>
          </w:tcPr>
          <w:p w14:paraId="31620E29" w14:textId="77777777" w:rsidR="00C312F3" w:rsidRPr="00156EEF" w:rsidRDefault="00C312F3" w:rsidP="009460FF">
            <w:pPr>
              <w:spacing w:after="0"/>
              <w:ind w:left="0" w:firstLine="0"/>
              <w:jc w:val="left"/>
              <w:rPr>
                <w:rFonts w:ascii="Calibri" w:hAnsi="Calibri"/>
                <w:sz w:val="20"/>
              </w:rPr>
            </w:pPr>
            <w:r w:rsidRPr="00156EEF">
              <w:rPr>
                <w:rFonts w:ascii="Calibri" w:hAnsi="Calibri"/>
                <w:sz w:val="20"/>
              </w:rPr>
              <w:t> </w:t>
            </w:r>
          </w:p>
        </w:tc>
      </w:tr>
      <w:tr w:rsidR="00C312F3" w:rsidRPr="00156EEF" w14:paraId="0D02EEBE" w14:textId="77777777" w:rsidTr="009460FF">
        <w:trPr>
          <w:trHeight w:val="1245"/>
          <w:jc w:val="center"/>
        </w:trPr>
        <w:tc>
          <w:tcPr>
            <w:tcW w:w="302" w:type="pct"/>
            <w:tcBorders>
              <w:top w:val="nil"/>
              <w:left w:val="double" w:sz="6" w:space="0" w:color="auto"/>
              <w:bottom w:val="single" w:sz="8" w:space="0" w:color="auto"/>
              <w:right w:val="single" w:sz="8" w:space="0" w:color="auto"/>
            </w:tcBorders>
            <w:shd w:val="clear" w:color="auto" w:fill="auto"/>
            <w:vAlign w:val="center"/>
            <w:hideMark/>
          </w:tcPr>
          <w:p w14:paraId="5B506D6C" w14:textId="77777777" w:rsidR="00C312F3" w:rsidRPr="00156EEF" w:rsidRDefault="00C312F3" w:rsidP="009460FF">
            <w:pPr>
              <w:spacing w:after="0"/>
              <w:ind w:left="0" w:firstLine="0"/>
              <w:jc w:val="center"/>
              <w:rPr>
                <w:rFonts w:ascii="Arial" w:hAnsi="Arial" w:cs="Arial"/>
                <w:sz w:val="20"/>
              </w:rPr>
            </w:pPr>
            <w:r w:rsidRPr="00156EEF">
              <w:rPr>
                <w:rFonts w:ascii="Arial" w:hAnsi="Arial" w:cs="Arial"/>
                <w:sz w:val="20"/>
              </w:rPr>
              <w:t>4.3</w:t>
            </w:r>
          </w:p>
        </w:tc>
        <w:tc>
          <w:tcPr>
            <w:tcW w:w="3129" w:type="pct"/>
            <w:tcBorders>
              <w:top w:val="nil"/>
              <w:left w:val="nil"/>
              <w:bottom w:val="single" w:sz="8" w:space="0" w:color="auto"/>
              <w:right w:val="single" w:sz="8" w:space="0" w:color="auto"/>
            </w:tcBorders>
            <w:shd w:val="clear" w:color="auto" w:fill="auto"/>
            <w:hideMark/>
          </w:tcPr>
          <w:p w14:paraId="3782A539" w14:textId="77777777" w:rsidR="00C312F3" w:rsidRPr="00156EEF" w:rsidRDefault="00C312F3" w:rsidP="009460FF">
            <w:pPr>
              <w:spacing w:after="0"/>
              <w:ind w:left="0" w:firstLine="0"/>
              <w:jc w:val="left"/>
              <w:rPr>
                <w:sz w:val="18"/>
                <w:szCs w:val="18"/>
              </w:rPr>
            </w:pPr>
            <w:r w:rsidRPr="00156EEF">
              <w:rPr>
                <w:b/>
                <w:bCs/>
                <w:sz w:val="20"/>
              </w:rPr>
              <w:t>Béton cyclopéen en fondation dosé à 300kg/m</w:t>
            </w:r>
            <w:r w:rsidRPr="00156EEF">
              <w:rPr>
                <w:b/>
                <w:bCs/>
                <w:sz w:val="20"/>
                <w:vertAlign w:val="superscript"/>
              </w:rPr>
              <w:t>3</w:t>
            </w:r>
            <w:r w:rsidRPr="00156EEF">
              <w:rPr>
                <w:b/>
                <w:bCs/>
                <w:sz w:val="20"/>
              </w:rPr>
              <w:t xml:space="preserve"> pour butées                                                      </w:t>
            </w:r>
            <w:r w:rsidRPr="00156EEF">
              <w:rPr>
                <w:sz w:val="18"/>
                <w:szCs w:val="18"/>
              </w:rPr>
              <w:t>Ce prix est identique au prix 2.4 appliqué aux butées.</w:t>
            </w:r>
          </w:p>
          <w:p w14:paraId="2A093F25" w14:textId="77777777" w:rsidR="00C312F3" w:rsidRPr="00156EEF" w:rsidRDefault="00C312F3" w:rsidP="009460FF">
            <w:pPr>
              <w:spacing w:after="0"/>
              <w:ind w:left="0" w:firstLine="0"/>
              <w:jc w:val="left"/>
              <w:rPr>
                <w:sz w:val="18"/>
                <w:szCs w:val="18"/>
              </w:rPr>
            </w:pPr>
            <w:r w:rsidRPr="00156EEF">
              <w:rPr>
                <w:sz w:val="20"/>
              </w:rPr>
              <w:br/>
            </w:r>
            <w:r w:rsidRPr="00156EEF">
              <w:rPr>
                <w:i/>
                <w:sz w:val="18"/>
                <w:szCs w:val="18"/>
              </w:rPr>
              <w:t>Ce prix s’applique au volume, en mètre cube (m3), de béton cyclopéen, avec comme valeur maximale celle obtenue à partir des plans d’exécution des ouvrages.</w:t>
            </w:r>
          </w:p>
        </w:tc>
        <w:tc>
          <w:tcPr>
            <w:tcW w:w="429" w:type="pct"/>
            <w:tcBorders>
              <w:top w:val="nil"/>
              <w:left w:val="nil"/>
              <w:bottom w:val="single" w:sz="8" w:space="0" w:color="auto"/>
              <w:right w:val="single" w:sz="8" w:space="0" w:color="auto"/>
            </w:tcBorders>
            <w:shd w:val="clear" w:color="auto" w:fill="auto"/>
            <w:vAlign w:val="center"/>
            <w:hideMark/>
          </w:tcPr>
          <w:p w14:paraId="3FC83433" w14:textId="77777777" w:rsidR="00C312F3" w:rsidRPr="00156EEF" w:rsidRDefault="00C312F3" w:rsidP="009460FF">
            <w:pPr>
              <w:spacing w:after="0"/>
              <w:ind w:left="0" w:firstLine="0"/>
              <w:jc w:val="center"/>
              <w:rPr>
                <w:sz w:val="20"/>
              </w:rPr>
            </w:pPr>
            <w:r w:rsidRPr="00156EEF">
              <w:rPr>
                <w:sz w:val="20"/>
              </w:rPr>
              <w:t>m</w:t>
            </w:r>
            <w:r w:rsidRPr="00156EEF">
              <w:rPr>
                <w:sz w:val="20"/>
                <w:vertAlign w:val="superscript"/>
              </w:rPr>
              <w:t>3</w:t>
            </w:r>
          </w:p>
        </w:tc>
        <w:tc>
          <w:tcPr>
            <w:tcW w:w="608" w:type="pct"/>
            <w:tcBorders>
              <w:top w:val="nil"/>
              <w:left w:val="nil"/>
              <w:bottom w:val="single" w:sz="8" w:space="0" w:color="auto"/>
              <w:right w:val="nil"/>
            </w:tcBorders>
            <w:shd w:val="clear" w:color="auto" w:fill="auto"/>
            <w:vAlign w:val="center"/>
            <w:hideMark/>
          </w:tcPr>
          <w:p w14:paraId="7E87667C" w14:textId="77777777" w:rsidR="00C312F3" w:rsidRPr="00156EEF" w:rsidRDefault="00C312F3" w:rsidP="009460FF">
            <w:pPr>
              <w:spacing w:after="0"/>
              <w:ind w:left="0" w:firstLine="0"/>
              <w:jc w:val="center"/>
              <w:rPr>
                <w:rFonts w:ascii="Arial" w:hAnsi="Arial" w:cs="Arial"/>
                <w:sz w:val="20"/>
              </w:rPr>
            </w:pPr>
            <w:r w:rsidRPr="00156EEF">
              <w:rPr>
                <w:rFonts w:ascii="Arial" w:hAnsi="Arial" w:cs="Arial"/>
                <w:sz w:val="20"/>
              </w:rPr>
              <w:t xml:space="preserve"> </w:t>
            </w:r>
          </w:p>
        </w:tc>
        <w:tc>
          <w:tcPr>
            <w:tcW w:w="532" w:type="pct"/>
            <w:tcBorders>
              <w:top w:val="nil"/>
              <w:left w:val="single" w:sz="4" w:space="0" w:color="auto"/>
              <w:bottom w:val="single" w:sz="4" w:space="0" w:color="auto"/>
              <w:right w:val="single" w:sz="4" w:space="0" w:color="auto"/>
            </w:tcBorders>
            <w:shd w:val="clear" w:color="auto" w:fill="auto"/>
            <w:noWrap/>
            <w:vAlign w:val="bottom"/>
            <w:hideMark/>
          </w:tcPr>
          <w:p w14:paraId="2B739AB5" w14:textId="77777777" w:rsidR="00C312F3" w:rsidRPr="00156EEF" w:rsidRDefault="00C312F3" w:rsidP="009460FF">
            <w:pPr>
              <w:spacing w:after="0"/>
              <w:ind w:left="0" w:firstLine="0"/>
              <w:jc w:val="left"/>
              <w:rPr>
                <w:rFonts w:ascii="Calibri" w:hAnsi="Calibri"/>
                <w:sz w:val="20"/>
              </w:rPr>
            </w:pPr>
            <w:r w:rsidRPr="00156EEF">
              <w:rPr>
                <w:rFonts w:ascii="Calibri" w:hAnsi="Calibri"/>
                <w:sz w:val="20"/>
              </w:rPr>
              <w:t> </w:t>
            </w:r>
          </w:p>
        </w:tc>
      </w:tr>
      <w:tr w:rsidR="00C312F3" w:rsidRPr="00156EEF" w14:paraId="07E71095" w14:textId="77777777" w:rsidTr="009460FF">
        <w:trPr>
          <w:trHeight w:val="1845"/>
          <w:jc w:val="center"/>
        </w:trPr>
        <w:tc>
          <w:tcPr>
            <w:tcW w:w="302" w:type="pct"/>
            <w:tcBorders>
              <w:top w:val="nil"/>
              <w:left w:val="double" w:sz="6" w:space="0" w:color="auto"/>
              <w:bottom w:val="single" w:sz="8" w:space="0" w:color="auto"/>
              <w:right w:val="single" w:sz="8" w:space="0" w:color="auto"/>
            </w:tcBorders>
            <w:shd w:val="clear" w:color="auto" w:fill="auto"/>
            <w:vAlign w:val="center"/>
            <w:hideMark/>
          </w:tcPr>
          <w:p w14:paraId="448DB275" w14:textId="77777777" w:rsidR="00C312F3" w:rsidRPr="00156EEF" w:rsidRDefault="00C312F3" w:rsidP="009460FF">
            <w:pPr>
              <w:spacing w:after="0"/>
              <w:ind w:left="0" w:firstLine="0"/>
              <w:jc w:val="center"/>
              <w:rPr>
                <w:rFonts w:ascii="Arial" w:hAnsi="Arial" w:cs="Arial"/>
                <w:sz w:val="20"/>
              </w:rPr>
            </w:pPr>
            <w:r w:rsidRPr="00156EEF">
              <w:rPr>
                <w:rFonts w:ascii="Arial" w:hAnsi="Arial" w:cs="Arial"/>
                <w:sz w:val="20"/>
              </w:rPr>
              <w:lastRenderedPageBreak/>
              <w:t>4.4</w:t>
            </w:r>
          </w:p>
        </w:tc>
        <w:tc>
          <w:tcPr>
            <w:tcW w:w="3129" w:type="pct"/>
            <w:tcBorders>
              <w:top w:val="nil"/>
              <w:left w:val="nil"/>
              <w:bottom w:val="single" w:sz="8" w:space="0" w:color="auto"/>
              <w:right w:val="single" w:sz="8" w:space="0" w:color="auto"/>
            </w:tcBorders>
            <w:shd w:val="clear" w:color="auto" w:fill="auto"/>
            <w:hideMark/>
          </w:tcPr>
          <w:p w14:paraId="0B041EA1" w14:textId="77777777" w:rsidR="00C312F3" w:rsidRPr="00156EEF" w:rsidRDefault="00C312F3" w:rsidP="009460FF">
            <w:pPr>
              <w:spacing w:after="0"/>
              <w:ind w:left="0" w:firstLine="0"/>
              <w:jc w:val="left"/>
              <w:rPr>
                <w:b/>
                <w:bCs/>
                <w:sz w:val="20"/>
              </w:rPr>
            </w:pPr>
            <w:r w:rsidRPr="00156EEF">
              <w:rPr>
                <w:b/>
                <w:bCs/>
                <w:sz w:val="20"/>
              </w:rPr>
              <w:t>Béton cyclopéen en élévation dosé à 300kg/m</w:t>
            </w:r>
            <w:r w:rsidRPr="00156EEF">
              <w:rPr>
                <w:b/>
                <w:bCs/>
                <w:sz w:val="20"/>
                <w:vertAlign w:val="superscript"/>
              </w:rPr>
              <w:t>3</w:t>
            </w:r>
            <w:r w:rsidRPr="00156EEF">
              <w:rPr>
                <w:b/>
                <w:bCs/>
                <w:sz w:val="20"/>
              </w:rPr>
              <w:t xml:space="preserve"> pour butées y compris enduits gras                                                                                              </w:t>
            </w:r>
            <w:r w:rsidRPr="00156EEF">
              <w:rPr>
                <w:sz w:val="18"/>
                <w:szCs w:val="18"/>
              </w:rPr>
              <w:t xml:space="preserve">Ce prix est identique au prix 2.5 avec un dosage de 300 kg/m3 appliqué aux butées avec prise en compte de l’enduit de protection. Il n’est pas prévu d’utilisation du </w:t>
            </w:r>
            <w:proofErr w:type="spellStart"/>
            <w:r w:rsidRPr="00156EEF">
              <w:rPr>
                <w:sz w:val="18"/>
                <w:szCs w:val="18"/>
              </w:rPr>
              <w:t>sikhalite</w:t>
            </w:r>
            <w:proofErr w:type="spellEnd"/>
            <w:r w:rsidRPr="00156EEF">
              <w:rPr>
                <w:sz w:val="18"/>
                <w:szCs w:val="18"/>
              </w:rPr>
              <w:t>.</w:t>
            </w:r>
            <w:r w:rsidRPr="00156EEF">
              <w:rPr>
                <w:sz w:val="20"/>
              </w:rPr>
              <w:br/>
            </w:r>
            <w:r w:rsidRPr="00156EEF">
              <w:rPr>
                <w:sz w:val="20"/>
              </w:rPr>
              <w:br/>
            </w:r>
            <w:r w:rsidRPr="00156EEF">
              <w:rPr>
                <w:i/>
                <w:sz w:val="18"/>
                <w:szCs w:val="18"/>
              </w:rPr>
              <w:t>Ce prix s’applique au volume, en mètre cube (m3), de béton cyclopéen, avec comme valeur maximale celle obtenue à partir des plans d’exécution des ouvrages.</w:t>
            </w:r>
          </w:p>
        </w:tc>
        <w:tc>
          <w:tcPr>
            <w:tcW w:w="429" w:type="pct"/>
            <w:tcBorders>
              <w:top w:val="nil"/>
              <w:left w:val="nil"/>
              <w:bottom w:val="single" w:sz="8" w:space="0" w:color="auto"/>
              <w:right w:val="single" w:sz="8" w:space="0" w:color="auto"/>
            </w:tcBorders>
            <w:shd w:val="clear" w:color="auto" w:fill="auto"/>
            <w:vAlign w:val="center"/>
            <w:hideMark/>
          </w:tcPr>
          <w:p w14:paraId="3817BE16" w14:textId="77777777" w:rsidR="00C312F3" w:rsidRPr="00156EEF" w:rsidRDefault="00C312F3" w:rsidP="009460FF">
            <w:pPr>
              <w:spacing w:after="0"/>
              <w:ind w:left="0" w:firstLine="0"/>
              <w:jc w:val="center"/>
              <w:rPr>
                <w:sz w:val="20"/>
              </w:rPr>
            </w:pPr>
            <w:r w:rsidRPr="00156EEF">
              <w:rPr>
                <w:sz w:val="20"/>
              </w:rPr>
              <w:t>m</w:t>
            </w:r>
            <w:r w:rsidRPr="00156EEF">
              <w:rPr>
                <w:sz w:val="20"/>
                <w:vertAlign w:val="superscript"/>
              </w:rPr>
              <w:t>3</w:t>
            </w:r>
          </w:p>
        </w:tc>
        <w:tc>
          <w:tcPr>
            <w:tcW w:w="608" w:type="pct"/>
            <w:tcBorders>
              <w:top w:val="nil"/>
              <w:left w:val="nil"/>
              <w:bottom w:val="single" w:sz="8" w:space="0" w:color="auto"/>
              <w:right w:val="nil"/>
            </w:tcBorders>
            <w:shd w:val="clear" w:color="auto" w:fill="auto"/>
            <w:vAlign w:val="center"/>
            <w:hideMark/>
          </w:tcPr>
          <w:p w14:paraId="01E4234B" w14:textId="77777777" w:rsidR="00C312F3" w:rsidRPr="00156EEF" w:rsidRDefault="00C312F3" w:rsidP="009460FF">
            <w:pPr>
              <w:spacing w:after="0"/>
              <w:ind w:left="0" w:firstLine="0"/>
              <w:jc w:val="center"/>
              <w:rPr>
                <w:rFonts w:ascii="Arial" w:hAnsi="Arial" w:cs="Arial"/>
                <w:sz w:val="20"/>
              </w:rPr>
            </w:pPr>
            <w:r w:rsidRPr="00156EEF">
              <w:rPr>
                <w:rFonts w:ascii="Arial" w:hAnsi="Arial" w:cs="Arial"/>
                <w:sz w:val="20"/>
              </w:rPr>
              <w:t xml:space="preserve"> </w:t>
            </w:r>
          </w:p>
        </w:tc>
        <w:tc>
          <w:tcPr>
            <w:tcW w:w="532" w:type="pct"/>
            <w:tcBorders>
              <w:top w:val="nil"/>
              <w:left w:val="single" w:sz="4" w:space="0" w:color="auto"/>
              <w:bottom w:val="single" w:sz="4" w:space="0" w:color="auto"/>
              <w:right w:val="single" w:sz="4" w:space="0" w:color="auto"/>
            </w:tcBorders>
            <w:shd w:val="clear" w:color="auto" w:fill="auto"/>
            <w:noWrap/>
            <w:vAlign w:val="bottom"/>
            <w:hideMark/>
          </w:tcPr>
          <w:p w14:paraId="282AAACC" w14:textId="77777777" w:rsidR="00C312F3" w:rsidRPr="00156EEF" w:rsidRDefault="00C312F3" w:rsidP="009460FF">
            <w:pPr>
              <w:spacing w:after="0"/>
              <w:ind w:left="0" w:firstLine="0"/>
              <w:jc w:val="left"/>
              <w:rPr>
                <w:rFonts w:ascii="Calibri" w:hAnsi="Calibri"/>
                <w:sz w:val="20"/>
              </w:rPr>
            </w:pPr>
            <w:r w:rsidRPr="00156EEF">
              <w:rPr>
                <w:rFonts w:ascii="Calibri" w:hAnsi="Calibri"/>
                <w:sz w:val="20"/>
              </w:rPr>
              <w:t> </w:t>
            </w:r>
          </w:p>
        </w:tc>
      </w:tr>
      <w:tr w:rsidR="00C312F3" w:rsidRPr="00156EEF" w14:paraId="24D6F4B5" w14:textId="77777777" w:rsidTr="009460FF">
        <w:trPr>
          <w:trHeight w:val="8196"/>
          <w:jc w:val="center"/>
        </w:trPr>
        <w:tc>
          <w:tcPr>
            <w:tcW w:w="302" w:type="pct"/>
            <w:tcBorders>
              <w:top w:val="single" w:sz="4" w:space="0" w:color="auto"/>
              <w:left w:val="double" w:sz="6" w:space="0" w:color="auto"/>
              <w:bottom w:val="single" w:sz="8" w:space="0" w:color="auto"/>
              <w:right w:val="single" w:sz="8" w:space="0" w:color="auto"/>
            </w:tcBorders>
            <w:shd w:val="clear" w:color="auto" w:fill="auto"/>
            <w:vAlign w:val="center"/>
            <w:hideMark/>
          </w:tcPr>
          <w:p w14:paraId="4673DEA6" w14:textId="77777777" w:rsidR="00C312F3" w:rsidRPr="00156EEF" w:rsidRDefault="00C312F3" w:rsidP="009460FF">
            <w:pPr>
              <w:spacing w:after="0"/>
              <w:ind w:left="0" w:firstLine="0"/>
              <w:jc w:val="center"/>
              <w:rPr>
                <w:rFonts w:ascii="Arial" w:hAnsi="Arial" w:cs="Arial"/>
                <w:sz w:val="20"/>
              </w:rPr>
            </w:pPr>
            <w:r w:rsidRPr="00156EEF">
              <w:rPr>
                <w:rFonts w:ascii="Arial" w:hAnsi="Arial" w:cs="Arial"/>
                <w:sz w:val="20"/>
              </w:rPr>
              <w:t>4.5</w:t>
            </w:r>
          </w:p>
        </w:tc>
        <w:tc>
          <w:tcPr>
            <w:tcW w:w="3129" w:type="pct"/>
            <w:tcBorders>
              <w:top w:val="single" w:sz="4" w:space="0" w:color="auto"/>
              <w:left w:val="nil"/>
              <w:bottom w:val="single" w:sz="8" w:space="0" w:color="auto"/>
              <w:right w:val="single" w:sz="8" w:space="0" w:color="auto"/>
            </w:tcBorders>
            <w:shd w:val="clear" w:color="auto" w:fill="auto"/>
            <w:hideMark/>
          </w:tcPr>
          <w:p w14:paraId="66315AD2" w14:textId="6D7DC4EA" w:rsidR="00713378" w:rsidRPr="00713378" w:rsidRDefault="00C312F3" w:rsidP="00713378">
            <w:pPr>
              <w:spacing w:after="0"/>
              <w:ind w:left="0" w:firstLine="0"/>
              <w:jc w:val="left"/>
              <w:rPr>
                <w:i/>
                <w:sz w:val="18"/>
                <w:szCs w:val="18"/>
              </w:rPr>
            </w:pPr>
            <w:r w:rsidRPr="00156EEF">
              <w:rPr>
                <w:b/>
                <w:bCs/>
                <w:sz w:val="20"/>
              </w:rPr>
              <w:t xml:space="preserve">Béton cyclopéen dosé à 350kg/m3 pour bassin et murs de séparation et enduits y compris toutes sujétions                                                                                           </w:t>
            </w:r>
            <w:r w:rsidRPr="00156EEF">
              <w:rPr>
                <w:sz w:val="18"/>
                <w:szCs w:val="18"/>
              </w:rPr>
              <w:t xml:space="preserve">Ce prix rémunère la fourniture et la mise en œuvre du béton cyclopéen avec pierre dosé à 350 kg/m3 pour le bassin de dissipation et des murets de séparation conformément aux indications des plans. </w:t>
            </w:r>
            <w:r w:rsidRPr="00156EEF">
              <w:rPr>
                <w:sz w:val="18"/>
                <w:szCs w:val="18"/>
              </w:rPr>
              <w:br/>
              <w:t>L’épaisseur de la maçonnerie sera de 0,40 m (pierre taillée + béton) au droit des pertuis et 0,30 m (pierre taillée + béton) dans les sections courantes et sera exécuté avec les pierres ayant les caractéristiques suivantes : longueur ≥30cm, épaisseur ≥15 cm et hauteur≥20 cm. Les pierres seront posées dans un lit de béton d’une épaisseur moyenne de 5 cm dosé à 350 kg de ciment CPJ 35 / m3. Les joints de la maçonnerie auront une épaisseur moyenne de 2,5 cm et seront exécutés avec un béton dosé à 350 kg de ciment CPJ 35 / m3. Les pierres devront être noyées dans du béton avec une finition nette de béton talochée et tirée à la règle.</w:t>
            </w:r>
            <w:r w:rsidRPr="00156EEF">
              <w:rPr>
                <w:sz w:val="18"/>
                <w:szCs w:val="18"/>
              </w:rPr>
              <w:br/>
              <w:t>Après construction le bassin sera tenu humide pendant 21 jours par un arrosage biquotidien (matin et soir). Les ouvrages réalisés seront couverts par un film plastique pour lutter contre la dessiccation rapide. Les murets de séparation devront recevoir un enduit de finition dosé à 400 kg/m3.</w:t>
            </w:r>
            <w:r w:rsidRPr="00156EEF">
              <w:rPr>
                <w:sz w:val="18"/>
                <w:szCs w:val="18"/>
              </w:rPr>
              <w:br/>
              <w:t>Ce prix comprend conformément aux spécifications des prescriptions techniques :</w:t>
            </w:r>
            <w:r w:rsidRPr="00156EEF">
              <w:rPr>
                <w:sz w:val="18"/>
                <w:szCs w:val="18"/>
              </w:rPr>
              <w:br/>
              <w:t>- La fourniture et le transport sur le lieu d’emploi de tous les matériaux nécessaires à la réalisation de la maçonnerie, et aux coffrages ;</w:t>
            </w:r>
            <w:r w:rsidRPr="00156EEF">
              <w:rPr>
                <w:sz w:val="18"/>
                <w:szCs w:val="18"/>
              </w:rPr>
              <w:br/>
              <w:t>- Le stockage de ces matériaux ;</w:t>
            </w:r>
            <w:r w:rsidRPr="00156EEF">
              <w:rPr>
                <w:sz w:val="18"/>
                <w:szCs w:val="18"/>
              </w:rPr>
              <w:br/>
              <w:t>- La fabrication (bétonnière obligatoire), la mise en œuvre, le serrage et la cure du béton cyclopéen ;</w:t>
            </w:r>
            <w:r w:rsidRPr="00156EEF">
              <w:rPr>
                <w:sz w:val="18"/>
                <w:szCs w:val="18"/>
              </w:rPr>
              <w:br/>
              <w:t>- La mise en place des barbacanes en PVC40mm;</w:t>
            </w:r>
            <w:r w:rsidRPr="00156EEF">
              <w:rPr>
                <w:sz w:val="18"/>
                <w:szCs w:val="18"/>
              </w:rPr>
              <w:br/>
              <w:t>- Le décoffrage ;</w:t>
            </w:r>
            <w:r w:rsidRPr="00156EEF">
              <w:rPr>
                <w:sz w:val="18"/>
                <w:szCs w:val="18"/>
              </w:rPr>
              <w:br/>
              <w:t>- La réalisation des enduits de finition ;</w:t>
            </w:r>
            <w:r w:rsidRPr="00156EEF">
              <w:rPr>
                <w:sz w:val="18"/>
                <w:szCs w:val="18"/>
              </w:rPr>
              <w:br/>
              <w:t>- Et toutes sujétions d'exécution et de main d’œuvre qualifié et non qualifiée.</w:t>
            </w:r>
            <w:r w:rsidRPr="00156EEF">
              <w:rPr>
                <w:sz w:val="18"/>
                <w:szCs w:val="18"/>
              </w:rPr>
              <w:br/>
              <w:t>Le prix rémunère le matériel, le personnel qualifié et non qualifié (technicien, équipes maçons, manœuvres) et les matériaux nécessaires.</w:t>
            </w:r>
            <w:r w:rsidRPr="00156EEF">
              <w:rPr>
                <w:sz w:val="18"/>
                <w:szCs w:val="18"/>
              </w:rPr>
              <w:br/>
            </w:r>
            <w:r w:rsidRPr="00156EEF">
              <w:rPr>
                <w:sz w:val="18"/>
                <w:szCs w:val="18"/>
              </w:rPr>
              <w:br/>
            </w:r>
            <w:r w:rsidRPr="00156EEF">
              <w:rPr>
                <w:i/>
                <w:sz w:val="18"/>
                <w:szCs w:val="18"/>
              </w:rPr>
              <w:t>Ce prix s’applique au volume, en mètre cube (m3), de béton cyclopéen, avec comme valeur maximale celle obtenue à partir des plans d’exécution des ouvrages</w:t>
            </w:r>
            <w:r w:rsidR="00713378">
              <w:rPr>
                <w:i/>
                <w:sz w:val="18"/>
                <w:szCs w:val="18"/>
              </w:rPr>
              <w:t>.</w:t>
            </w:r>
          </w:p>
        </w:tc>
        <w:tc>
          <w:tcPr>
            <w:tcW w:w="429" w:type="pct"/>
            <w:tcBorders>
              <w:top w:val="single" w:sz="4" w:space="0" w:color="auto"/>
              <w:left w:val="nil"/>
              <w:bottom w:val="single" w:sz="8" w:space="0" w:color="auto"/>
              <w:right w:val="single" w:sz="8" w:space="0" w:color="auto"/>
            </w:tcBorders>
            <w:shd w:val="clear" w:color="auto" w:fill="auto"/>
            <w:vAlign w:val="center"/>
            <w:hideMark/>
          </w:tcPr>
          <w:p w14:paraId="0E76264C" w14:textId="77777777" w:rsidR="00C312F3" w:rsidRPr="00156EEF" w:rsidRDefault="00C312F3" w:rsidP="009460FF">
            <w:pPr>
              <w:spacing w:after="0"/>
              <w:ind w:left="0" w:firstLine="0"/>
              <w:jc w:val="center"/>
              <w:rPr>
                <w:sz w:val="20"/>
              </w:rPr>
            </w:pPr>
            <w:r w:rsidRPr="00156EEF">
              <w:rPr>
                <w:sz w:val="20"/>
              </w:rPr>
              <w:t>m</w:t>
            </w:r>
            <w:r w:rsidRPr="00156EEF">
              <w:rPr>
                <w:sz w:val="20"/>
                <w:vertAlign w:val="superscript"/>
              </w:rPr>
              <w:t>3</w:t>
            </w:r>
          </w:p>
        </w:tc>
        <w:tc>
          <w:tcPr>
            <w:tcW w:w="608" w:type="pct"/>
            <w:tcBorders>
              <w:top w:val="single" w:sz="4" w:space="0" w:color="auto"/>
              <w:left w:val="nil"/>
              <w:bottom w:val="single" w:sz="8" w:space="0" w:color="auto"/>
              <w:right w:val="nil"/>
            </w:tcBorders>
            <w:shd w:val="clear" w:color="auto" w:fill="auto"/>
            <w:vAlign w:val="center"/>
            <w:hideMark/>
          </w:tcPr>
          <w:p w14:paraId="65A7FCB0" w14:textId="0EB3529D" w:rsidR="00C312F3" w:rsidRPr="00156EEF" w:rsidRDefault="00C312F3" w:rsidP="00713378">
            <w:pPr>
              <w:spacing w:after="0"/>
              <w:ind w:left="0" w:firstLine="0"/>
              <w:rPr>
                <w:rFonts w:ascii="Arial" w:hAnsi="Arial" w:cs="Arial"/>
                <w:sz w:val="20"/>
              </w:rPr>
            </w:pPr>
          </w:p>
        </w:tc>
        <w:tc>
          <w:tcPr>
            <w:tcW w:w="53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95C5EC" w14:textId="6450D467" w:rsidR="00C312F3" w:rsidRPr="00156EEF" w:rsidRDefault="00C312F3" w:rsidP="009460FF">
            <w:pPr>
              <w:spacing w:after="0"/>
              <w:ind w:left="0" w:firstLine="0"/>
              <w:jc w:val="left"/>
              <w:rPr>
                <w:rFonts w:ascii="Calibri" w:hAnsi="Calibri"/>
                <w:sz w:val="20"/>
              </w:rPr>
            </w:pPr>
          </w:p>
        </w:tc>
      </w:tr>
      <w:tr w:rsidR="00C312F3" w:rsidRPr="00156EEF" w14:paraId="4EE12994" w14:textId="77777777" w:rsidTr="009460FF">
        <w:trPr>
          <w:trHeight w:val="400"/>
          <w:jc w:val="center"/>
        </w:trPr>
        <w:tc>
          <w:tcPr>
            <w:tcW w:w="302" w:type="pct"/>
            <w:tcBorders>
              <w:top w:val="nil"/>
              <w:left w:val="double" w:sz="6" w:space="0" w:color="auto"/>
              <w:bottom w:val="single" w:sz="8" w:space="0" w:color="auto"/>
              <w:right w:val="single" w:sz="8" w:space="0" w:color="auto"/>
            </w:tcBorders>
            <w:shd w:val="clear" w:color="auto" w:fill="auto"/>
            <w:vAlign w:val="center"/>
            <w:hideMark/>
          </w:tcPr>
          <w:p w14:paraId="657694E6" w14:textId="77777777" w:rsidR="00C312F3" w:rsidRPr="00156EEF" w:rsidRDefault="00C312F3" w:rsidP="009460FF">
            <w:pPr>
              <w:spacing w:after="0"/>
              <w:ind w:left="0" w:firstLine="0"/>
              <w:jc w:val="center"/>
              <w:rPr>
                <w:rFonts w:ascii="Arial" w:hAnsi="Arial" w:cs="Arial"/>
                <w:sz w:val="20"/>
              </w:rPr>
            </w:pPr>
            <w:r w:rsidRPr="00156EEF">
              <w:rPr>
                <w:rFonts w:ascii="Arial" w:hAnsi="Arial" w:cs="Arial"/>
                <w:sz w:val="20"/>
              </w:rPr>
              <w:t>4.6</w:t>
            </w:r>
          </w:p>
        </w:tc>
        <w:tc>
          <w:tcPr>
            <w:tcW w:w="3129" w:type="pct"/>
            <w:tcBorders>
              <w:top w:val="nil"/>
              <w:left w:val="nil"/>
              <w:bottom w:val="single" w:sz="8" w:space="0" w:color="auto"/>
              <w:right w:val="single" w:sz="8" w:space="0" w:color="auto"/>
            </w:tcBorders>
            <w:shd w:val="clear" w:color="000000" w:fill="FFFFFF"/>
            <w:hideMark/>
          </w:tcPr>
          <w:p w14:paraId="113B30E5" w14:textId="77777777" w:rsidR="00C312F3" w:rsidRPr="00156EEF" w:rsidRDefault="00C312F3" w:rsidP="009460FF">
            <w:pPr>
              <w:spacing w:after="0"/>
              <w:ind w:left="0" w:firstLine="0"/>
              <w:jc w:val="left"/>
              <w:rPr>
                <w:b/>
                <w:bCs/>
                <w:sz w:val="20"/>
              </w:rPr>
            </w:pPr>
            <w:r w:rsidRPr="00156EEF">
              <w:rPr>
                <w:b/>
                <w:bCs/>
                <w:sz w:val="20"/>
              </w:rPr>
              <w:t xml:space="preserve">Béton ordinaire dosé à 350 kg/m3 pour blocs de chutes y compris enduits    </w:t>
            </w:r>
            <w:r w:rsidRPr="00156EEF">
              <w:rPr>
                <w:sz w:val="20"/>
              </w:rPr>
              <w:t xml:space="preserve">                                                                                                                      </w:t>
            </w:r>
            <w:r w:rsidRPr="00156EEF">
              <w:rPr>
                <w:sz w:val="18"/>
                <w:szCs w:val="18"/>
              </w:rPr>
              <w:t xml:space="preserve">Ce prix rémunère la fourniture et la mise en œuvre de béton ordinaire dosé à 350 kg/m3 pour la réalisation des blocs de chutes et des blocs chicanes conformément aux indications de l’ingénieur et aux plans. Les blocs sont de dimensions (20cm de large, 26 cm de hauteur, talus aval de 1/1, espacement 25cm). Les blocs sont solidarisés au bassin de dissipation au moyen d’épingle en fer HA6mm. Les blocs devront recevoir un enduit de finition dosé à 350 kg/m3 sans emploi de </w:t>
            </w:r>
            <w:proofErr w:type="spellStart"/>
            <w:r w:rsidRPr="00156EEF">
              <w:rPr>
                <w:sz w:val="18"/>
                <w:szCs w:val="18"/>
              </w:rPr>
              <w:t>sikhalite</w:t>
            </w:r>
            <w:proofErr w:type="spellEnd"/>
            <w:r w:rsidRPr="00156EEF">
              <w:rPr>
                <w:sz w:val="18"/>
                <w:szCs w:val="18"/>
              </w:rPr>
              <w:t>.</w:t>
            </w:r>
            <w:r w:rsidRPr="00156EEF">
              <w:rPr>
                <w:sz w:val="18"/>
                <w:szCs w:val="18"/>
              </w:rPr>
              <w:br/>
              <w:t>Le prix rémunère le matériel (bétonnière obligatoire), le personnel qualifié (technicien et équipes maçons) et les matériaux nécessaires.</w:t>
            </w:r>
            <w:r w:rsidRPr="00156EEF">
              <w:rPr>
                <w:sz w:val="18"/>
                <w:szCs w:val="18"/>
              </w:rPr>
              <w:br/>
              <w:t>Ce prix comprend conformément aux spécifications des prescriptions techniques :</w:t>
            </w:r>
            <w:r w:rsidRPr="00156EEF">
              <w:rPr>
                <w:sz w:val="18"/>
                <w:szCs w:val="18"/>
              </w:rPr>
              <w:br/>
            </w:r>
            <w:r w:rsidRPr="00156EEF">
              <w:rPr>
                <w:sz w:val="18"/>
                <w:szCs w:val="18"/>
              </w:rPr>
              <w:lastRenderedPageBreak/>
              <w:t>- La fourniture et le transport sur le lieu d’emploi de tous les matériaux nécessaires à la fabrication du béton, et aux coffrages;</w:t>
            </w:r>
            <w:r w:rsidRPr="00156EEF">
              <w:rPr>
                <w:sz w:val="18"/>
                <w:szCs w:val="18"/>
              </w:rPr>
              <w:br/>
              <w:t>- La fabrication, la mise en œuvre, le serrage (bétonnière et vibrateur obligatoire) et la cure du béton;</w:t>
            </w:r>
            <w:r w:rsidRPr="00156EEF">
              <w:rPr>
                <w:sz w:val="18"/>
                <w:szCs w:val="18"/>
              </w:rPr>
              <w:br/>
              <w:t>- Le décoffrage;</w:t>
            </w:r>
            <w:r w:rsidRPr="00156EEF">
              <w:rPr>
                <w:sz w:val="18"/>
                <w:szCs w:val="18"/>
              </w:rPr>
              <w:br/>
              <w:t>- La réalisation des enduits de finition ;</w:t>
            </w:r>
            <w:r w:rsidRPr="00156EEF">
              <w:rPr>
                <w:sz w:val="20"/>
              </w:rPr>
              <w:br/>
            </w:r>
            <w:r w:rsidRPr="00156EEF">
              <w:rPr>
                <w:sz w:val="18"/>
                <w:szCs w:val="18"/>
              </w:rPr>
              <w:t>- Toutes sujétions d'exécution et de main d’œuvre qualifié et non qualifiée.</w:t>
            </w:r>
            <w:r w:rsidRPr="00156EEF">
              <w:rPr>
                <w:sz w:val="20"/>
              </w:rPr>
              <w:br/>
            </w:r>
            <w:r w:rsidRPr="00156EEF">
              <w:rPr>
                <w:sz w:val="20"/>
              </w:rPr>
              <w:br/>
            </w:r>
            <w:r w:rsidRPr="00156EEF">
              <w:rPr>
                <w:i/>
                <w:sz w:val="18"/>
                <w:szCs w:val="18"/>
              </w:rPr>
              <w:t>Ce prix s’applique au volume, en mètre cube (m3), de béton ordinaire dosé à 350 kg/m3 coulé avec comme valeur maximale celle obtenue à partir des plans d’exécution.</w:t>
            </w:r>
          </w:p>
        </w:tc>
        <w:tc>
          <w:tcPr>
            <w:tcW w:w="429" w:type="pct"/>
            <w:tcBorders>
              <w:top w:val="nil"/>
              <w:left w:val="nil"/>
              <w:bottom w:val="single" w:sz="8" w:space="0" w:color="auto"/>
              <w:right w:val="single" w:sz="8" w:space="0" w:color="auto"/>
            </w:tcBorders>
            <w:shd w:val="clear" w:color="auto" w:fill="auto"/>
            <w:vAlign w:val="center"/>
            <w:hideMark/>
          </w:tcPr>
          <w:p w14:paraId="26CF85E7" w14:textId="77777777" w:rsidR="00C312F3" w:rsidRPr="00156EEF" w:rsidRDefault="00C312F3" w:rsidP="009460FF">
            <w:pPr>
              <w:spacing w:after="0"/>
              <w:ind w:left="0" w:firstLine="0"/>
              <w:jc w:val="center"/>
              <w:rPr>
                <w:sz w:val="20"/>
              </w:rPr>
            </w:pPr>
            <w:r w:rsidRPr="00156EEF">
              <w:rPr>
                <w:sz w:val="20"/>
              </w:rPr>
              <w:lastRenderedPageBreak/>
              <w:t>m</w:t>
            </w:r>
            <w:r w:rsidRPr="00156EEF">
              <w:rPr>
                <w:sz w:val="20"/>
                <w:vertAlign w:val="superscript"/>
              </w:rPr>
              <w:t>3</w:t>
            </w:r>
          </w:p>
        </w:tc>
        <w:tc>
          <w:tcPr>
            <w:tcW w:w="608" w:type="pct"/>
            <w:tcBorders>
              <w:top w:val="nil"/>
              <w:left w:val="nil"/>
              <w:bottom w:val="single" w:sz="8" w:space="0" w:color="auto"/>
              <w:right w:val="nil"/>
            </w:tcBorders>
            <w:shd w:val="clear" w:color="auto" w:fill="auto"/>
            <w:vAlign w:val="center"/>
            <w:hideMark/>
          </w:tcPr>
          <w:p w14:paraId="0250B80D" w14:textId="77777777" w:rsidR="00C312F3" w:rsidRPr="00156EEF" w:rsidRDefault="00C312F3" w:rsidP="009460FF">
            <w:pPr>
              <w:spacing w:after="0"/>
              <w:ind w:left="0" w:firstLine="0"/>
              <w:jc w:val="center"/>
              <w:rPr>
                <w:rFonts w:ascii="Arial" w:hAnsi="Arial" w:cs="Arial"/>
                <w:sz w:val="20"/>
              </w:rPr>
            </w:pPr>
            <w:r w:rsidRPr="00156EEF">
              <w:rPr>
                <w:rFonts w:ascii="Arial" w:hAnsi="Arial" w:cs="Arial"/>
                <w:sz w:val="20"/>
              </w:rPr>
              <w:t xml:space="preserve"> </w:t>
            </w:r>
          </w:p>
        </w:tc>
        <w:tc>
          <w:tcPr>
            <w:tcW w:w="532" w:type="pct"/>
            <w:tcBorders>
              <w:top w:val="nil"/>
              <w:left w:val="single" w:sz="4" w:space="0" w:color="auto"/>
              <w:bottom w:val="single" w:sz="4" w:space="0" w:color="auto"/>
              <w:right w:val="single" w:sz="4" w:space="0" w:color="auto"/>
            </w:tcBorders>
            <w:shd w:val="clear" w:color="auto" w:fill="auto"/>
            <w:noWrap/>
            <w:vAlign w:val="bottom"/>
            <w:hideMark/>
          </w:tcPr>
          <w:p w14:paraId="6DB188FC" w14:textId="77777777" w:rsidR="00C312F3" w:rsidRPr="00156EEF" w:rsidRDefault="00C312F3" w:rsidP="009460FF">
            <w:pPr>
              <w:spacing w:after="0"/>
              <w:ind w:left="0" w:firstLine="0"/>
              <w:jc w:val="left"/>
              <w:rPr>
                <w:rFonts w:ascii="Calibri" w:hAnsi="Calibri"/>
                <w:sz w:val="20"/>
              </w:rPr>
            </w:pPr>
            <w:r w:rsidRPr="00156EEF">
              <w:rPr>
                <w:rFonts w:ascii="Calibri" w:hAnsi="Calibri"/>
                <w:sz w:val="20"/>
              </w:rPr>
              <w:t> </w:t>
            </w:r>
          </w:p>
        </w:tc>
      </w:tr>
      <w:tr w:rsidR="00C312F3" w:rsidRPr="00156EEF" w14:paraId="26117298" w14:textId="77777777" w:rsidTr="009460FF">
        <w:trPr>
          <w:trHeight w:val="2745"/>
          <w:jc w:val="center"/>
        </w:trPr>
        <w:tc>
          <w:tcPr>
            <w:tcW w:w="302" w:type="pct"/>
            <w:tcBorders>
              <w:top w:val="nil"/>
              <w:left w:val="double" w:sz="6" w:space="0" w:color="auto"/>
              <w:bottom w:val="single" w:sz="8" w:space="0" w:color="auto"/>
              <w:right w:val="single" w:sz="8" w:space="0" w:color="auto"/>
            </w:tcBorders>
            <w:shd w:val="clear" w:color="auto" w:fill="auto"/>
            <w:vAlign w:val="center"/>
            <w:hideMark/>
          </w:tcPr>
          <w:p w14:paraId="2F04F140" w14:textId="77777777" w:rsidR="00C312F3" w:rsidRPr="00156EEF" w:rsidRDefault="00C312F3" w:rsidP="009460FF">
            <w:pPr>
              <w:spacing w:after="0"/>
              <w:ind w:left="0" w:firstLine="0"/>
              <w:jc w:val="center"/>
              <w:rPr>
                <w:rFonts w:ascii="Arial" w:hAnsi="Arial" w:cs="Arial"/>
                <w:sz w:val="20"/>
              </w:rPr>
            </w:pPr>
            <w:r w:rsidRPr="00156EEF">
              <w:rPr>
                <w:rFonts w:ascii="Arial" w:hAnsi="Arial" w:cs="Arial"/>
                <w:sz w:val="20"/>
              </w:rPr>
              <w:lastRenderedPageBreak/>
              <w:t>4.7</w:t>
            </w:r>
          </w:p>
        </w:tc>
        <w:tc>
          <w:tcPr>
            <w:tcW w:w="3129" w:type="pct"/>
            <w:tcBorders>
              <w:top w:val="nil"/>
              <w:left w:val="nil"/>
              <w:bottom w:val="single" w:sz="8" w:space="0" w:color="auto"/>
              <w:right w:val="single" w:sz="8" w:space="0" w:color="auto"/>
            </w:tcBorders>
            <w:shd w:val="clear" w:color="auto" w:fill="auto"/>
            <w:hideMark/>
          </w:tcPr>
          <w:p w14:paraId="7D003879" w14:textId="77777777" w:rsidR="00C312F3" w:rsidRDefault="00C312F3" w:rsidP="009460FF">
            <w:pPr>
              <w:spacing w:after="0"/>
              <w:ind w:left="0" w:firstLine="0"/>
              <w:jc w:val="left"/>
              <w:rPr>
                <w:i/>
                <w:sz w:val="18"/>
                <w:szCs w:val="18"/>
              </w:rPr>
            </w:pPr>
            <w:r w:rsidRPr="00156EEF">
              <w:rPr>
                <w:b/>
                <w:bCs/>
                <w:sz w:val="20"/>
              </w:rPr>
              <w:t xml:space="preserve">Lit de sable </w:t>
            </w:r>
            <w:proofErr w:type="spellStart"/>
            <w:r w:rsidRPr="00156EEF">
              <w:rPr>
                <w:b/>
                <w:bCs/>
                <w:sz w:val="20"/>
              </w:rPr>
              <w:t>ep</w:t>
            </w:r>
            <w:proofErr w:type="spellEnd"/>
            <w:r w:rsidRPr="00156EEF">
              <w:rPr>
                <w:b/>
                <w:bCs/>
                <w:sz w:val="20"/>
              </w:rPr>
              <w:t xml:space="preserve"> = 0,05 m                                                                                                                                                                                                                                                                                                                                   </w:t>
            </w:r>
            <w:r w:rsidRPr="00156EEF">
              <w:rPr>
                <w:sz w:val="18"/>
                <w:szCs w:val="18"/>
              </w:rPr>
              <w:t>Ce prix rémunère la fourniture et la mise en œuvre de sable calibre pour filtre sous le corps de l’ouvrage et du bassin de dissipation.</w:t>
            </w:r>
            <w:r w:rsidRPr="00156EEF">
              <w:rPr>
                <w:sz w:val="18"/>
                <w:szCs w:val="18"/>
              </w:rPr>
              <w:br/>
              <w:t>Ce prix comprend conformément aux spécifications des prescriptions techniques :</w:t>
            </w:r>
            <w:r w:rsidRPr="00156EEF">
              <w:rPr>
                <w:sz w:val="18"/>
                <w:szCs w:val="18"/>
              </w:rPr>
              <w:br/>
              <w:t>- Le chargement et le transport des matériaux;</w:t>
            </w:r>
            <w:r w:rsidRPr="00156EEF">
              <w:rPr>
                <w:sz w:val="18"/>
                <w:szCs w:val="18"/>
              </w:rPr>
              <w:br/>
              <w:t xml:space="preserve">- Le déchargement, le </w:t>
            </w:r>
            <w:proofErr w:type="spellStart"/>
            <w:r w:rsidRPr="00156EEF">
              <w:rPr>
                <w:sz w:val="18"/>
                <w:szCs w:val="18"/>
              </w:rPr>
              <w:t>répandage</w:t>
            </w:r>
            <w:proofErr w:type="spellEnd"/>
            <w:r w:rsidRPr="00156EEF">
              <w:rPr>
                <w:sz w:val="18"/>
                <w:szCs w:val="18"/>
              </w:rPr>
              <w:t xml:space="preserve"> du matériau, le recalibrage;</w:t>
            </w:r>
            <w:r w:rsidRPr="00156EEF">
              <w:rPr>
                <w:sz w:val="18"/>
                <w:szCs w:val="18"/>
              </w:rPr>
              <w:br/>
              <w:t>- La mise en place du filtre suivant les indications des plans ;</w:t>
            </w:r>
            <w:r w:rsidRPr="00156EEF">
              <w:rPr>
                <w:sz w:val="18"/>
                <w:szCs w:val="18"/>
              </w:rPr>
              <w:br/>
              <w:t>- Et toutes sujétions d'exécution et de main d’œuvre qualifié et non qualifiée.</w:t>
            </w:r>
            <w:r w:rsidRPr="00156EEF">
              <w:rPr>
                <w:sz w:val="18"/>
                <w:szCs w:val="18"/>
              </w:rPr>
              <w:br/>
            </w:r>
          </w:p>
          <w:p w14:paraId="6BA7FFF6" w14:textId="15306786" w:rsidR="00C312F3" w:rsidRPr="00156EEF" w:rsidRDefault="00C312F3" w:rsidP="009460FF">
            <w:pPr>
              <w:spacing w:after="0"/>
              <w:ind w:left="0" w:firstLine="0"/>
              <w:jc w:val="left"/>
              <w:rPr>
                <w:b/>
                <w:bCs/>
                <w:sz w:val="20"/>
              </w:rPr>
            </w:pPr>
            <w:r w:rsidRPr="00156EEF">
              <w:rPr>
                <w:i/>
                <w:sz w:val="18"/>
                <w:szCs w:val="18"/>
              </w:rPr>
              <w:t>Ce prix s’applique au volume, en mètre cube (m3), de sable calibré, mis en œuvre, calculé géométriquement à partir des profils en travers et des longueurs réalisées, avec comme valeur maximale celle obtenue à partir des dimensions des profils en travers types.</w:t>
            </w:r>
          </w:p>
        </w:tc>
        <w:tc>
          <w:tcPr>
            <w:tcW w:w="429" w:type="pct"/>
            <w:tcBorders>
              <w:top w:val="nil"/>
              <w:left w:val="nil"/>
              <w:bottom w:val="single" w:sz="8" w:space="0" w:color="auto"/>
              <w:right w:val="single" w:sz="8" w:space="0" w:color="auto"/>
            </w:tcBorders>
            <w:shd w:val="clear" w:color="auto" w:fill="auto"/>
            <w:vAlign w:val="center"/>
            <w:hideMark/>
          </w:tcPr>
          <w:p w14:paraId="271366CC" w14:textId="77777777" w:rsidR="00C312F3" w:rsidRPr="00156EEF" w:rsidRDefault="00C312F3" w:rsidP="009460FF">
            <w:pPr>
              <w:spacing w:after="0"/>
              <w:ind w:left="0" w:firstLine="0"/>
              <w:jc w:val="center"/>
              <w:rPr>
                <w:sz w:val="20"/>
              </w:rPr>
            </w:pPr>
            <w:r w:rsidRPr="00156EEF">
              <w:rPr>
                <w:sz w:val="20"/>
              </w:rPr>
              <w:t>m</w:t>
            </w:r>
            <w:r w:rsidRPr="00156EEF">
              <w:rPr>
                <w:sz w:val="20"/>
                <w:vertAlign w:val="superscript"/>
              </w:rPr>
              <w:t>3</w:t>
            </w:r>
          </w:p>
        </w:tc>
        <w:tc>
          <w:tcPr>
            <w:tcW w:w="608" w:type="pct"/>
            <w:tcBorders>
              <w:top w:val="nil"/>
              <w:left w:val="nil"/>
              <w:bottom w:val="single" w:sz="8" w:space="0" w:color="auto"/>
              <w:right w:val="nil"/>
            </w:tcBorders>
            <w:shd w:val="clear" w:color="auto" w:fill="auto"/>
            <w:vAlign w:val="center"/>
            <w:hideMark/>
          </w:tcPr>
          <w:p w14:paraId="2E5B5F46" w14:textId="77777777" w:rsidR="00C312F3" w:rsidRPr="00156EEF" w:rsidRDefault="00C312F3" w:rsidP="009460FF">
            <w:pPr>
              <w:spacing w:after="0"/>
              <w:ind w:left="0" w:firstLine="0"/>
              <w:jc w:val="center"/>
              <w:rPr>
                <w:rFonts w:ascii="Arial" w:hAnsi="Arial" w:cs="Arial"/>
                <w:sz w:val="20"/>
              </w:rPr>
            </w:pPr>
            <w:r w:rsidRPr="00156EEF">
              <w:rPr>
                <w:rFonts w:ascii="Arial" w:hAnsi="Arial" w:cs="Arial"/>
                <w:sz w:val="20"/>
              </w:rPr>
              <w:t xml:space="preserve"> </w:t>
            </w:r>
          </w:p>
        </w:tc>
        <w:tc>
          <w:tcPr>
            <w:tcW w:w="532" w:type="pct"/>
            <w:tcBorders>
              <w:top w:val="nil"/>
              <w:left w:val="single" w:sz="4" w:space="0" w:color="auto"/>
              <w:bottom w:val="single" w:sz="4" w:space="0" w:color="auto"/>
              <w:right w:val="single" w:sz="4" w:space="0" w:color="auto"/>
            </w:tcBorders>
            <w:shd w:val="clear" w:color="auto" w:fill="auto"/>
            <w:noWrap/>
            <w:vAlign w:val="bottom"/>
            <w:hideMark/>
          </w:tcPr>
          <w:p w14:paraId="0262DEFE" w14:textId="77777777" w:rsidR="00C312F3" w:rsidRPr="00156EEF" w:rsidRDefault="00C312F3" w:rsidP="009460FF">
            <w:pPr>
              <w:spacing w:after="0"/>
              <w:ind w:left="0" w:firstLine="0"/>
              <w:jc w:val="left"/>
              <w:rPr>
                <w:rFonts w:ascii="Calibri" w:hAnsi="Calibri"/>
                <w:sz w:val="20"/>
              </w:rPr>
            </w:pPr>
            <w:r w:rsidRPr="00156EEF">
              <w:rPr>
                <w:rFonts w:ascii="Calibri" w:hAnsi="Calibri"/>
                <w:sz w:val="20"/>
              </w:rPr>
              <w:t> </w:t>
            </w:r>
          </w:p>
        </w:tc>
      </w:tr>
      <w:tr w:rsidR="00C312F3" w:rsidRPr="00156EEF" w14:paraId="28A53481" w14:textId="77777777" w:rsidTr="009460FF">
        <w:trPr>
          <w:trHeight w:val="2670"/>
          <w:jc w:val="center"/>
        </w:trPr>
        <w:tc>
          <w:tcPr>
            <w:tcW w:w="302" w:type="pct"/>
            <w:tcBorders>
              <w:top w:val="nil"/>
              <w:left w:val="double" w:sz="6" w:space="0" w:color="auto"/>
              <w:bottom w:val="single" w:sz="8" w:space="0" w:color="auto"/>
              <w:right w:val="single" w:sz="8" w:space="0" w:color="auto"/>
            </w:tcBorders>
            <w:shd w:val="clear" w:color="auto" w:fill="auto"/>
            <w:vAlign w:val="center"/>
            <w:hideMark/>
          </w:tcPr>
          <w:p w14:paraId="0665ED2B" w14:textId="77777777" w:rsidR="00C312F3" w:rsidRPr="00156EEF" w:rsidRDefault="00C312F3" w:rsidP="009460FF">
            <w:pPr>
              <w:spacing w:after="0"/>
              <w:ind w:left="0" w:firstLine="0"/>
              <w:jc w:val="center"/>
              <w:rPr>
                <w:rFonts w:ascii="Arial" w:hAnsi="Arial" w:cs="Arial"/>
                <w:sz w:val="20"/>
              </w:rPr>
            </w:pPr>
            <w:r w:rsidRPr="00156EEF">
              <w:rPr>
                <w:rFonts w:ascii="Arial" w:hAnsi="Arial" w:cs="Arial"/>
                <w:sz w:val="20"/>
              </w:rPr>
              <w:t>4.8</w:t>
            </w:r>
          </w:p>
        </w:tc>
        <w:tc>
          <w:tcPr>
            <w:tcW w:w="3129" w:type="pct"/>
            <w:tcBorders>
              <w:top w:val="nil"/>
              <w:left w:val="nil"/>
              <w:bottom w:val="single" w:sz="8" w:space="0" w:color="auto"/>
              <w:right w:val="single" w:sz="8" w:space="0" w:color="auto"/>
            </w:tcBorders>
            <w:shd w:val="clear" w:color="auto" w:fill="auto"/>
            <w:hideMark/>
          </w:tcPr>
          <w:p w14:paraId="0F483ABA" w14:textId="77777777" w:rsidR="00C312F3" w:rsidRPr="00156EEF" w:rsidRDefault="00C312F3" w:rsidP="009460FF">
            <w:pPr>
              <w:spacing w:after="0"/>
              <w:ind w:left="0" w:firstLine="0"/>
              <w:jc w:val="left"/>
              <w:rPr>
                <w:b/>
                <w:bCs/>
                <w:sz w:val="20"/>
              </w:rPr>
            </w:pPr>
            <w:r w:rsidRPr="00156EEF">
              <w:rPr>
                <w:b/>
                <w:bCs/>
                <w:sz w:val="20"/>
              </w:rPr>
              <w:t xml:space="preserve">Lit de gravier </w:t>
            </w:r>
            <w:proofErr w:type="spellStart"/>
            <w:r w:rsidRPr="00156EEF">
              <w:rPr>
                <w:b/>
                <w:bCs/>
                <w:sz w:val="20"/>
              </w:rPr>
              <w:t>ep</w:t>
            </w:r>
            <w:proofErr w:type="spellEnd"/>
            <w:r w:rsidRPr="00156EEF">
              <w:rPr>
                <w:b/>
                <w:bCs/>
                <w:sz w:val="20"/>
              </w:rPr>
              <w:t xml:space="preserve"> = 0,05 m              </w:t>
            </w:r>
            <w:r w:rsidRPr="00156EEF">
              <w:rPr>
                <w:sz w:val="20"/>
              </w:rPr>
              <w:t xml:space="preserve">                                                                                                                   </w:t>
            </w:r>
            <w:r w:rsidRPr="00156EEF">
              <w:rPr>
                <w:sz w:val="18"/>
                <w:szCs w:val="18"/>
              </w:rPr>
              <w:t>Ce prix rémunère la fourniture et la mise en œuvre de gravier calibre pour filtre sous le corps de l’ouvrage et du bassin de dissipation.</w:t>
            </w:r>
            <w:r w:rsidRPr="00156EEF">
              <w:rPr>
                <w:sz w:val="18"/>
                <w:szCs w:val="18"/>
              </w:rPr>
              <w:br/>
              <w:t>Ce prix comprend conformément aux spécifications des prescriptions techniques :</w:t>
            </w:r>
            <w:r w:rsidRPr="00156EEF">
              <w:rPr>
                <w:sz w:val="18"/>
                <w:szCs w:val="18"/>
              </w:rPr>
              <w:br/>
              <w:t>- Le transport des matériaux ;</w:t>
            </w:r>
            <w:r w:rsidRPr="00156EEF">
              <w:rPr>
                <w:sz w:val="18"/>
                <w:szCs w:val="18"/>
              </w:rPr>
              <w:br/>
              <w:t xml:space="preserve">- Le déchargement, le </w:t>
            </w:r>
            <w:proofErr w:type="spellStart"/>
            <w:r w:rsidRPr="00156EEF">
              <w:rPr>
                <w:sz w:val="18"/>
                <w:szCs w:val="18"/>
              </w:rPr>
              <w:t>répandage</w:t>
            </w:r>
            <w:proofErr w:type="spellEnd"/>
            <w:r w:rsidRPr="00156EEF">
              <w:rPr>
                <w:sz w:val="18"/>
                <w:szCs w:val="18"/>
              </w:rPr>
              <w:t xml:space="preserve"> du matériau, le recalibrage ;</w:t>
            </w:r>
            <w:r w:rsidRPr="00156EEF">
              <w:rPr>
                <w:sz w:val="18"/>
                <w:szCs w:val="18"/>
              </w:rPr>
              <w:br/>
              <w:t>- La mise en place du filtre suivant les indications des plans ;</w:t>
            </w:r>
            <w:r w:rsidRPr="00156EEF">
              <w:rPr>
                <w:sz w:val="18"/>
                <w:szCs w:val="18"/>
              </w:rPr>
              <w:br/>
              <w:t>- Et toutes sujétions d'exécution et de main d’œuvre qualifié et non qualifiée.</w:t>
            </w:r>
            <w:r w:rsidRPr="00156EEF">
              <w:rPr>
                <w:sz w:val="18"/>
                <w:szCs w:val="18"/>
              </w:rPr>
              <w:br/>
            </w:r>
            <w:r w:rsidRPr="00156EEF">
              <w:rPr>
                <w:sz w:val="20"/>
              </w:rPr>
              <w:br/>
            </w:r>
            <w:r w:rsidRPr="00156EEF">
              <w:rPr>
                <w:i/>
                <w:sz w:val="18"/>
                <w:szCs w:val="18"/>
              </w:rPr>
              <w:t>Ce prix s’applique au volume, en mètre cube (m3), de gravier calibré, mis en œuvre, calculé géométriquement à partir des profils en travers et des longueurs réalisées, avec comme valeur maximale celle obtenue à partir des dimensions des profils en travers types.</w:t>
            </w:r>
          </w:p>
        </w:tc>
        <w:tc>
          <w:tcPr>
            <w:tcW w:w="429" w:type="pct"/>
            <w:tcBorders>
              <w:top w:val="nil"/>
              <w:left w:val="nil"/>
              <w:bottom w:val="single" w:sz="8" w:space="0" w:color="auto"/>
              <w:right w:val="single" w:sz="8" w:space="0" w:color="auto"/>
            </w:tcBorders>
            <w:shd w:val="clear" w:color="auto" w:fill="auto"/>
            <w:vAlign w:val="center"/>
            <w:hideMark/>
          </w:tcPr>
          <w:p w14:paraId="6101BC92" w14:textId="77777777" w:rsidR="00C312F3" w:rsidRPr="00156EEF" w:rsidRDefault="00C312F3" w:rsidP="009460FF">
            <w:pPr>
              <w:spacing w:after="0"/>
              <w:ind w:left="0" w:firstLine="0"/>
              <w:jc w:val="center"/>
              <w:rPr>
                <w:sz w:val="20"/>
              </w:rPr>
            </w:pPr>
            <w:r w:rsidRPr="00156EEF">
              <w:rPr>
                <w:sz w:val="20"/>
              </w:rPr>
              <w:t>m</w:t>
            </w:r>
            <w:r w:rsidRPr="00156EEF">
              <w:rPr>
                <w:sz w:val="20"/>
                <w:vertAlign w:val="superscript"/>
              </w:rPr>
              <w:t>3</w:t>
            </w:r>
          </w:p>
        </w:tc>
        <w:tc>
          <w:tcPr>
            <w:tcW w:w="608" w:type="pct"/>
            <w:tcBorders>
              <w:top w:val="nil"/>
              <w:left w:val="nil"/>
              <w:bottom w:val="single" w:sz="8" w:space="0" w:color="auto"/>
              <w:right w:val="nil"/>
            </w:tcBorders>
            <w:shd w:val="clear" w:color="auto" w:fill="auto"/>
            <w:vAlign w:val="center"/>
            <w:hideMark/>
          </w:tcPr>
          <w:p w14:paraId="1AAC266D" w14:textId="77777777" w:rsidR="00C312F3" w:rsidRPr="00156EEF" w:rsidRDefault="00C312F3" w:rsidP="009460FF">
            <w:pPr>
              <w:spacing w:after="0"/>
              <w:ind w:left="0" w:firstLine="0"/>
              <w:jc w:val="center"/>
              <w:rPr>
                <w:rFonts w:ascii="Arial" w:hAnsi="Arial" w:cs="Arial"/>
                <w:sz w:val="20"/>
              </w:rPr>
            </w:pPr>
            <w:r w:rsidRPr="00156EEF">
              <w:rPr>
                <w:rFonts w:ascii="Arial" w:hAnsi="Arial" w:cs="Arial"/>
                <w:sz w:val="20"/>
              </w:rPr>
              <w:t xml:space="preserve"> </w:t>
            </w:r>
          </w:p>
        </w:tc>
        <w:tc>
          <w:tcPr>
            <w:tcW w:w="532" w:type="pct"/>
            <w:tcBorders>
              <w:top w:val="nil"/>
              <w:left w:val="single" w:sz="4" w:space="0" w:color="auto"/>
              <w:bottom w:val="single" w:sz="4" w:space="0" w:color="auto"/>
              <w:right w:val="single" w:sz="4" w:space="0" w:color="auto"/>
            </w:tcBorders>
            <w:shd w:val="clear" w:color="auto" w:fill="auto"/>
            <w:noWrap/>
            <w:vAlign w:val="bottom"/>
            <w:hideMark/>
          </w:tcPr>
          <w:p w14:paraId="594AE0F6" w14:textId="77777777" w:rsidR="00C312F3" w:rsidRPr="00156EEF" w:rsidRDefault="00C312F3" w:rsidP="009460FF">
            <w:pPr>
              <w:spacing w:after="0"/>
              <w:ind w:left="0" w:firstLine="0"/>
              <w:jc w:val="left"/>
              <w:rPr>
                <w:rFonts w:ascii="Calibri" w:hAnsi="Calibri"/>
                <w:sz w:val="20"/>
              </w:rPr>
            </w:pPr>
            <w:r w:rsidRPr="00156EEF">
              <w:rPr>
                <w:rFonts w:ascii="Calibri" w:hAnsi="Calibri"/>
                <w:sz w:val="20"/>
              </w:rPr>
              <w:t> </w:t>
            </w:r>
          </w:p>
        </w:tc>
      </w:tr>
      <w:tr w:rsidR="00C312F3" w:rsidRPr="00156EEF" w14:paraId="0E07D8D1" w14:textId="77777777" w:rsidTr="009460FF">
        <w:trPr>
          <w:trHeight w:val="116"/>
          <w:jc w:val="center"/>
        </w:trPr>
        <w:tc>
          <w:tcPr>
            <w:tcW w:w="302" w:type="pct"/>
            <w:tcBorders>
              <w:top w:val="nil"/>
              <w:left w:val="double" w:sz="6" w:space="0" w:color="auto"/>
              <w:bottom w:val="single" w:sz="8" w:space="0" w:color="auto"/>
              <w:right w:val="single" w:sz="8" w:space="0" w:color="auto"/>
            </w:tcBorders>
            <w:shd w:val="clear" w:color="auto" w:fill="auto"/>
            <w:vAlign w:val="center"/>
            <w:hideMark/>
          </w:tcPr>
          <w:p w14:paraId="64DC0B5B" w14:textId="77777777" w:rsidR="00C312F3" w:rsidRPr="00156EEF" w:rsidRDefault="00C312F3" w:rsidP="009460FF">
            <w:pPr>
              <w:spacing w:after="0"/>
              <w:ind w:left="0" w:firstLine="0"/>
              <w:jc w:val="center"/>
              <w:rPr>
                <w:rFonts w:ascii="Arial" w:hAnsi="Arial" w:cs="Arial"/>
                <w:sz w:val="20"/>
              </w:rPr>
            </w:pPr>
            <w:r w:rsidRPr="00156EEF">
              <w:rPr>
                <w:rFonts w:ascii="Arial" w:hAnsi="Arial" w:cs="Arial"/>
                <w:sz w:val="20"/>
              </w:rPr>
              <w:t>4.9</w:t>
            </w:r>
          </w:p>
        </w:tc>
        <w:tc>
          <w:tcPr>
            <w:tcW w:w="3129" w:type="pct"/>
            <w:tcBorders>
              <w:top w:val="nil"/>
              <w:left w:val="nil"/>
              <w:bottom w:val="single" w:sz="8" w:space="0" w:color="auto"/>
              <w:right w:val="single" w:sz="8" w:space="0" w:color="auto"/>
            </w:tcBorders>
            <w:shd w:val="clear" w:color="000000" w:fill="FFFFFF"/>
            <w:hideMark/>
          </w:tcPr>
          <w:p w14:paraId="68ACA1BC" w14:textId="77777777" w:rsidR="00C312F3" w:rsidRPr="00156EEF" w:rsidRDefault="00C312F3" w:rsidP="009460FF">
            <w:pPr>
              <w:spacing w:after="0"/>
              <w:ind w:left="0" w:firstLine="0"/>
              <w:jc w:val="left"/>
              <w:rPr>
                <w:b/>
                <w:bCs/>
                <w:sz w:val="20"/>
              </w:rPr>
            </w:pPr>
            <w:r w:rsidRPr="00156EEF">
              <w:rPr>
                <w:b/>
                <w:bCs/>
                <w:sz w:val="20"/>
              </w:rPr>
              <w:t xml:space="preserve">F/P de barbacane en PVC40mm y compris grillage d'embout et toutes sujétions                                                                                        </w:t>
            </w:r>
            <w:r w:rsidRPr="00156EEF">
              <w:rPr>
                <w:sz w:val="18"/>
                <w:szCs w:val="18"/>
              </w:rPr>
              <w:t xml:space="preserve">Ce prix rémunère la fourniture et la mise en place de barbacane en tuyau PVC40 mm au niveau du bassin de dissipation selon les spécifications de l’ingénieur. </w:t>
            </w:r>
            <w:r w:rsidRPr="00156EEF">
              <w:rPr>
                <w:sz w:val="18"/>
                <w:szCs w:val="18"/>
              </w:rPr>
              <w:br/>
              <w:t>Au niveau du bassin de dissipation le dispositif a pour effet d’atténuer les forces de sous pression de l’eau à travers des barbacanes (PVC 40 mm). Ces barbacanes sont implantées à chaque 2 mètres sur le long du bassin de dissipation et à chaque 1,20 mètre sur la largeur.</w:t>
            </w:r>
            <w:r w:rsidRPr="00156EEF">
              <w:rPr>
                <w:sz w:val="18"/>
                <w:szCs w:val="18"/>
              </w:rPr>
              <w:br/>
              <w:t>Le prix rémunère le matériel, le personnel qualifié et non qualifié (technicien, ouvriers et des manœuvres) et les matériaux nécessaires.</w:t>
            </w:r>
            <w:r w:rsidRPr="00156EEF">
              <w:rPr>
                <w:sz w:val="18"/>
                <w:szCs w:val="18"/>
              </w:rPr>
              <w:br/>
              <w:t>Ce prix comprend :</w:t>
            </w:r>
            <w:r w:rsidRPr="00156EEF">
              <w:rPr>
                <w:sz w:val="18"/>
                <w:szCs w:val="18"/>
              </w:rPr>
              <w:br/>
              <w:t xml:space="preserve">- La fourniture des PVC 40 </w:t>
            </w:r>
            <w:proofErr w:type="spellStart"/>
            <w:r w:rsidRPr="00156EEF">
              <w:rPr>
                <w:sz w:val="18"/>
                <w:szCs w:val="18"/>
              </w:rPr>
              <w:t>mm.</w:t>
            </w:r>
            <w:proofErr w:type="spellEnd"/>
            <w:r w:rsidRPr="00156EEF">
              <w:rPr>
                <w:sz w:val="18"/>
                <w:szCs w:val="18"/>
              </w:rPr>
              <w:t xml:space="preserve"> La qualité et la marque de PVC employé seront soumises à l’appréciation de l’ingénieur ;</w:t>
            </w:r>
            <w:r w:rsidRPr="00156EEF">
              <w:rPr>
                <w:sz w:val="18"/>
                <w:szCs w:val="18"/>
              </w:rPr>
              <w:br/>
              <w:t>- La fourniture des accessoires de pose (tamis ou filtre d’extrémité etc.);</w:t>
            </w:r>
            <w:r w:rsidRPr="00156EEF">
              <w:rPr>
                <w:sz w:val="18"/>
                <w:szCs w:val="18"/>
              </w:rPr>
              <w:br/>
              <w:t>- La pose des barbacanes ;</w:t>
            </w:r>
            <w:r w:rsidRPr="00156EEF">
              <w:rPr>
                <w:sz w:val="18"/>
                <w:szCs w:val="18"/>
              </w:rPr>
              <w:br/>
              <w:t>- L’exécution des différents raccordements au niveau des ouvrages ponctuels;</w:t>
            </w:r>
            <w:r w:rsidRPr="00156EEF">
              <w:rPr>
                <w:sz w:val="20"/>
              </w:rPr>
              <w:br/>
            </w:r>
            <w:r w:rsidRPr="00156EEF">
              <w:rPr>
                <w:sz w:val="18"/>
                <w:szCs w:val="18"/>
              </w:rPr>
              <w:t>- Et toutes sujétions d'exécution et de main d’œuvre qualifié et non qualifiée.</w:t>
            </w:r>
            <w:r w:rsidRPr="00156EEF">
              <w:rPr>
                <w:sz w:val="20"/>
              </w:rPr>
              <w:br/>
            </w:r>
            <w:r w:rsidRPr="00156EEF">
              <w:rPr>
                <w:i/>
                <w:sz w:val="18"/>
                <w:szCs w:val="18"/>
              </w:rPr>
              <w:lastRenderedPageBreak/>
              <w:t>Ce prix s’applique au mètre linéaire (ml), de tuyau PVC 40mm, mis en place, calculé géométriquement à partir des longueurs réalisées, avec comme valeur maximale celle obtenue à partir des dimensions des profils en long.</w:t>
            </w:r>
          </w:p>
        </w:tc>
        <w:tc>
          <w:tcPr>
            <w:tcW w:w="429" w:type="pct"/>
            <w:tcBorders>
              <w:top w:val="nil"/>
              <w:left w:val="nil"/>
              <w:bottom w:val="single" w:sz="8" w:space="0" w:color="auto"/>
              <w:right w:val="single" w:sz="8" w:space="0" w:color="auto"/>
            </w:tcBorders>
            <w:shd w:val="clear" w:color="auto" w:fill="auto"/>
            <w:vAlign w:val="center"/>
            <w:hideMark/>
          </w:tcPr>
          <w:p w14:paraId="41C596EB" w14:textId="77777777" w:rsidR="00C312F3" w:rsidRPr="00156EEF" w:rsidRDefault="00C312F3" w:rsidP="009460FF">
            <w:pPr>
              <w:spacing w:after="0"/>
              <w:ind w:left="0" w:firstLine="0"/>
              <w:jc w:val="center"/>
              <w:rPr>
                <w:sz w:val="20"/>
              </w:rPr>
            </w:pPr>
            <w:r w:rsidRPr="00156EEF">
              <w:rPr>
                <w:sz w:val="20"/>
              </w:rPr>
              <w:lastRenderedPageBreak/>
              <w:t>ml</w:t>
            </w:r>
          </w:p>
        </w:tc>
        <w:tc>
          <w:tcPr>
            <w:tcW w:w="608" w:type="pct"/>
            <w:tcBorders>
              <w:top w:val="nil"/>
              <w:left w:val="nil"/>
              <w:bottom w:val="single" w:sz="8" w:space="0" w:color="auto"/>
              <w:right w:val="nil"/>
            </w:tcBorders>
            <w:shd w:val="clear" w:color="auto" w:fill="auto"/>
            <w:vAlign w:val="center"/>
            <w:hideMark/>
          </w:tcPr>
          <w:p w14:paraId="543B853E" w14:textId="77777777" w:rsidR="00C312F3" w:rsidRPr="00156EEF" w:rsidRDefault="00C312F3" w:rsidP="009460FF">
            <w:pPr>
              <w:spacing w:after="0"/>
              <w:ind w:left="0" w:firstLine="0"/>
              <w:jc w:val="center"/>
              <w:rPr>
                <w:rFonts w:ascii="Arial" w:hAnsi="Arial" w:cs="Arial"/>
                <w:sz w:val="20"/>
              </w:rPr>
            </w:pPr>
            <w:r w:rsidRPr="00156EEF">
              <w:rPr>
                <w:rFonts w:ascii="Arial" w:hAnsi="Arial" w:cs="Arial"/>
                <w:sz w:val="20"/>
              </w:rPr>
              <w:t xml:space="preserve"> </w:t>
            </w:r>
          </w:p>
        </w:tc>
        <w:tc>
          <w:tcPr>
            <w:tcW w:w="532" w:type="pct"/>
            <w:tcBorders>
              <w:top w:val="nil"/>
              <w:left w:val="single" w:sz="4" w:space="0" w:color="auto"/>
              <w:bottom w:val="single" w:sz="4" w:space="0" w:color="auto"/>
              <w:right w:val="single" w:sz="4" w:space="0" w:color="auto"/>
            </w:tcBorders>
            <w:shd w:val="clear" w:color="auto" w:fill="auto"/>
            <w:noWrap/>
            <w:vAlign w:val="bottom"/>
            <w:hideMark/>
          </w:tcPr>
          <w:p w14:paraId="0A738D7E" w14:textId="77777777" w:rsidR="00C312F3" w:rsidRPr="00156EEF" w:rsidRDefault="00C312F3" w:rsidP="009460FF">
            <w:pPr>
              <w:spacing w:after="0"/>
              <w:ind w:left="0" w:firstLine="0"/>
              <w:jc w:val="left"/>
              <w:rPr>
                <w:rFonts w:ascii="Calibri" w:hAnsi="Calibri"/>
                <w:sz w:val="20"/>
              </w:rPr>
            </w:pPr>
            <w:r w:rsidRPr="00156EEF">
              <w:rPr>
                <w:rFonts w:ascii="Calibri" w:hAnsi="Calibri"/>
                <w:sz w:val="20"/>
              </w:rPr>
              <w:t> </w:t>
            </w:r>
          </w:p>
        </w:tc>
      </w:tr>
      <w:tr w:rsidR="00C312F3" w:rsidRPr="00156EEF" w14:paraId="421E6C2A" w14:textId="77777777" w:rsidTr="009460FF">
        <w:trPr>
          <w:trHeight w:val="5226"/>
          <w:jc w:val="center"/>
        </w:trPr>
        <w:tc>
          <w:tcPr>
            <w:tcW w:w="302" w:type="pct"/>
            <w:tcBorders>
              <w:top w:val="single" w:sz="4" w:space="0" w:color="auto"/>
              <w:left w:val="double" w:sz="6" w:space="0" w:color="auto"/>
              <w:bottom w:val="single" w:sz="8" w:space="0" w:color="auto"/>
              <w:right w:val="single" w:sz="8" w:space="0" w:color="auto"/>
            </w:tcBorders>
            <w:shd w:val="clear" w:color="auto" w:fill="auto"/>
            <w:vAlign w:val="center"/>
            <w:hideMark/>
          </w:tcPr>
          <w:p w14:paraId="5E158CAF" w14:textId="77777777" w:rsidR="00C312F3" w:rsidRPr="00156EEF" w:rsidRDefault="00C312F3" w:rsidP="009460FF">
            <w:pPr>
              <w:spacing w:after="0"/>
              <w:ind w:left="0" w:firstLine="0"/>
              <w:jc w:val="center"/>
              <w:rPr>
                <w:rFonts w:ascii="Arial" w:hAnsi="Arial" w:cs="Arial"/>
                <w:sz w:val="20"/>
              </w:rPr>
            </w:pPr>
            <w:r w:rsidRPr="00156EEF">
              <w:rPr>
                <w:rFonts w:ascii="Arial" w:hAnsi="Arial" w:cs="Arial"/>
                <w:sz w:val="20"/>
              </w:rPr>
              <w:lastRenderedPageBreak/>
              <w:t>4.10</w:t>
            </w:r>
          </w:p>
        </w:tc>
        <w:tc>
          <w:tcPr>
            <w:tcW w:w="3129" w:type="pct"/>
            <w:tcBorders>
              <w:top w:val="single" w:sz="4" w:space="0" w:color="auto"/>
              <w:left w:val="nil"/>
              <w:bottom w:val="single" w:sz="8" w:space="0" w:color="auto"/>
              <w:right w:val="single" w:sz="8" w:space="0" w:color="auto"/>
            </w:tcBorders>
            <w:shd w:val="clear" w:color="000000" w:fill="FFFFFF"/>
            <w:hideMark/>
          </w:tcPr>
          <w:p w14:paraId="7BC30FB4" w14:textId="77777777" w:rsidR="00C312F3" w:rsidRPr="00156EEF" w:rsidRDefault="00C312F3" w:rsidP="009460FF">
            <w:pPr>
              <w:spacing w:after="0"/>
              <w:ind w:left="0" w:firstLine="0"/>
              <w:jc w:val="left"/>
              <w:rPr>
                <w:b/>
                <w:bCs/>
                <w:sz w:val="20"/>
              </w:rPr>
            </w:pPr>
            <w:r w:rsidRPr="00156EEF">
              <w:rPr>
                <w:b/>
                <w:bCs/>
                <w:sz w:val="20"/>
              </w:rPr>
              <w:t xml:space="preserve">F/P de gabion de protection avale y compris fouilles complémentaires                                </w:t>
            </w:r>
            <w:r w:rsidRPr="00156EEF">
              <w:rPr>
                <w:sz w:val="20"/>
              </w:rPr>
              <w:t xml:space="preserve">                                         </w:t>
            </w:r>
            <w:r w:rsidRPr="00156EEF">
              <w:rPr>
                <w:sz w:val="18"/>
                <w:szCs w:val="18"/>
              </w:rPr>
              <w:t>Les travaux consistent à une protection avale du bassin de dissipation ainsi que le prolongement du chenal sous forme de gradin en vue de lutter contre les affouillements. Pour l’exécution des travaux se référer au plan de détail.</w:t>
            </w:r>
            <w:r w:rsidRPr="00156EEF">
              <w:rPr>
                <w:sz w:val="18"/>
                <w:szCs w:val="18"/>
              </w:rPr>
              <w:br/>
              <w:t>Les gabions sont des structures métalliques parallélépipédiques fabriquées en grillages galvanisés de minimum 2.7 mm de diamètre hexagonal double torsion avec 100 mm entre les torsades et 120 mm entre les sommets. La ligature est faite avec du fil galvanisé 2.4 mm minimum. Les gabions ont une hauteur de 0.5m, une longueur maximum de 2.0m et une largeur de 1.0m. Ils devront présenter une forme cubique après la pose. La bonne exécution du gabionnage exige l’emploi de pierres homogènes et un bon remplissage des cages.</w:t>
            </w:r>
            <w:r w:rsidRPr="00156EEF">
              <w:rPr>
                <w:sz w:val="18"/>
                <w:szCs w:val="18"/>
              </w:rPr>
              <w:br/>
              <w:t>Ce prix comprend conformément aux spécifications des prescriptions techniques :</w:t>
            </w:r>
            <w:r w:rsidRPr="00156EEF">
              <w:rPr>
                <w:sz w:val="18"/>
                <w:szCs w:val="18"/>
              </w:rPr>
              <w:br/>
              <w:t>- La fourniture et le transport sur le lieu d’emploi de tous les matériaux nécessaires à la fabrication des gabions (moellons, cages de gabions);</w:t>
            </w:r>
            <w:r w:rsidRPr="00156EEF">
              <w:rPr>
                <w:sz w:val="18"/>
                <w:szCs w:val="18"/>
              </w:rPr>
              <w:br/>
              <w:t>- Le stockage de ces matériaux ;</w:t>
            </w:r>
            <w:r w:rsidRPr="00156EEF">
              <w:rPr>
                <w:sz w:val="18"/>
                <w:szCs w:val="18"/>
              </w:rPr>
              <w:br/>
              <w:t>- La réalisation de sur largeurs éventuelles de fouille ;</w:t>
            </w:r>
            <w:r w:rsidRPr="00156EEF">
              <w:rPr>
                <w:sz w:val="18"/>
                <w:szCs w:val="18"/>
              </w:rPr>
              <w:br/>
              <w:t>- La mise en place et le remplissage des cages ;</w:t>
            </w:r>
            <w:r w:rsidRPr="00156EEF">
              <w:rPr>
                <w:sz w:val="18"/>
                <w:szCs w:val="18"/>
              </w:rPr>
              <w:br/>
              <w:t>- Les ligatures et les ajustements nécessaires :</w:t>
            </w:r>
            <w:r w:rsidRPr="00156EEF">
              <w:rPr>
                <w:sz w:val="18"/>
                <w:szCs w:val="18"/>
              </w:rPr>
              <w:br/>
              <w:t>- Et toutes sujétions d'exécution et de main d’œuvre qualifié et non qualifiée.</w:t>
            </w:r>
            <w:r w:rsidRPr="00156EEF">
              <w:rPr>
                <w:sz w:val="20"/>
              </w:rPr>
              <w:br/>
            </w:r>
            <w:r w:rsidRPr="00156EEF">
              <w:rPr>
                <w:sz w:val="20"/>
              </w:rPr>
              <w:br/>
            </w:r>
            <w:r w:rsidRPr="00156EEF">
              <w:rPr>
                <w:i/>
                <w:sz w:val="18"/>
                <w:szCs w:val="18"/>
              </w:rPr>
              <w:t>Ce prix s’applique au volume, en mètre cube (m3), de gabion de protection réalisé, avec comme valeur maximale celle obtenue à partir des plans d’exécution des ouvrages.</w:t>
            </w:r>
          </w:p>
        </w:tc>
        <w:tc>
          <w:tcPr>
            <w:tcW w:w="429" w:type="pct"/>
            <w:tcBorders>
              <w:top w:val="single" w:sz="4" w:space="0" w:color="auto"/>
              <w:left w:val="nil"/>
              <w:bottom w:val="single" w:sz="8" w:space="0" w:color="auto"/>
              <w:right w:val="single" w:sz="8" w:space="0" w:color="auto"/>
            </w:tcBorders>
            <w:shd w:val="clear" w:color="auto" w:fill="auto"/>
            <w:vAlign w:val="center"/>
            <w:hideMark/>
          </w:tcPr>
          <w:p w14:paraId="053E6F72" w14:textId="77777777" w:rsidR="00C312F3" w:rsidRPr="00156EEF" w:rsidRDefault="00C312F3" w:rsidP="009460FF">
            <w:pPr>
              <w:spacing w:after="0"/>
              <w:ind w:left="0" w:firstLine="0"/>
              <w:jc w:val="center"/>
              <w:rPr>
                <w:sz w:val="20"/>
              </w:rPr>
            </w:pPr>
            <w:r w:rsidRPr="00156EEF">
              <w:rPr>
                <w:sz w:val="20"/>
              </w:rPr>
              <w:t>m</w:t>
            </w:r>
            <w:r w:rsidRPr="00156EEF">
              <w:rPr>
                <w:sz w:val="20"/>
                <w:vertAlign w:val="superscript"/>
              </w:rPr>
              <w:t>3</w:t>
            </w:r>
          </w:p>
        </w:tc>
        <w:tc>
          <w:tcPr>
            <w:tcW w:w="608" w:type="pct"/>
            <w:tcBorders>
              <w:top w:val="single" w:sz="4" w:space="0" w:color="auto"/>
              <w:left w:val="nil"/>
              <w:bottom w:val="single" w:sz="8" w:space="0" w:color="auto"/>
              <w:right w:val="nil"/>
            </w:tcBorders>
            <w:shd w:val="clear" w:color="auto" w:fill="auto"/>
            <w:vAlign w:val="center"/>
            <w:hideMark/>
          </w:tcPr>
          <w:p w14:paraId="4746100D" w14:textId="77777777" w:rsidR="00C312F3" w:rsidRPr="00156EEF" w:rsidRDefault="00C312F3" w:rsidP="009460FF">
            <w:pPr>
              <w:spacing w:after="0"/>
              <w:ind w:left="0" w:firstLine="0"/>
              <w:jc w:val="center"/>
              <w:rPr>
                <w:rFonts w:ascii="Arial" w:hAnsi="Arial" w:cs="Arial"/>
                <w:sz w:val="20"/>
              </w:rPr>
            </w:pPr>
            <w:r w:rsidRPr="00156EEF">
              <w:rPr>
                <w:rFonts w:ascii="Arial" w:hAnsi="Arial" w:cs="Arial"/>
                <w:sz w:val="20"/>
              </w:rPr>
              <w:t xml:space="preserve"> </w:t>
            </w:r>
          </w:p>
        </w:tc>
        <w:tc>
          <w:tcPr>
            <w:tcW w:w="53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E29FEE" w14:textId="77777777" w:rsidR="00C312F3" w:rsidRPr="00156EEF" w:rsidRDefault="00C312F3" w:rsidP="009460FF">
            <w:pPr>
              <w:spacing w:after="0"/>
              <w:ind w:left="0" w:firstLine="0"/>
              <w:jc w:val="left"/>
              <w:rPr>
                <w:rFonts w:ascii="Calibri" w:hAnsi="Calibri"/>
                <w:sz w:val="20"/>
              </w:rPr>
            </w:pPr>
            <w:r w:rsidRPr="00156EEF">
              <w:rPr>
                <w:rFonts w:ascii="Calibri" w:hAnsi="Calibri"/>
                <w:sz w:val="20"/>
              </w:rPr>
              <w:t> </w:t>
            </w:r>
          </w:p>
        </w:tc>
      </w:tr>
      <w:tr w:rsidR="00C312F3" w:rsidRPr="00156EEF" w14:paraId="2D9BBAA1" w14:textId="77777777" w:rsidTr="009460FF">
        <w:trPr>
          <w:trHeight w:val="2952"/>
          <w:jc w:val="center"/>
        </w:trPr>
        <w:tc>
          <w:tcPr>
            <w:tcW w:w="302" w:type="pct"/>
            <w:tcBorders>
              <w:top w:val="nil"/>
              <w:left w:val="double" w:sz="6" w:space="0" w:color="auto"/>
              <w:bottom w:val="single" w:sz="8" w:space="0" w:color="auto"/>
              <w:right w:val="single" w:sz="8" w:space="0" w:color="auto"/>
            </w:tcBorders>
            <w:shd w:val="clear" w:color="auto" w:fill="auto"/>
            <w:vAlign w:val="center"/>
            <w:hideMark/>
          </w:tcPr>
          <w:p w14:paraId="24286705" w14:textId="77777777" w:rsidR="00C312F3" w:rsidRPr="00156EEF" w:rsidRDefault="00C312F3" w:rsidP="009460FF">
            <w:pPr>
              <w:spacing w:after="0"/>
              <w:ind w:left="0" w:firstLine="0"/>
              <w:jc w:val="center"/>
              <w:rPr>
                <w:rFonts w:ascii="Arial" w:hAnsi="Arial" w:cs="Arial"/>
                <w:sz w:val="20"/>
              </w:rPr>
            </w:pPr>
            <w:r w:rsidRPr="00156EEF">
              <w:rPr>
                <w:rFonts w:ascii="Arial" w:hAnsi="Arial" w:cs="Arial"/>
                <w:sz w:val="20"/>
              </w:rPr>
              <w:t>4.11</w:t>
            </w:r>
          </w:p>
        </w:tc>
        <w:tc>
          <w:tcPr>
            <w:tcW w:w="3129" w:type="pct"/>
            <w:tcBorders>
              <w:top w:val="nil"/>
              <w:left w:val="nil"/>
              <w:bottom w:val="single" w:sz="8" w:space="0" w:color="auto"/>
              <w:right w:val="single" w:sz="8" w:space="0" w:color="auto"/>
            </w:tcBorders>
            <w:shd w:val="clear" w:color="auto" w:fill="auto"/>
            <w:hideMark/>
          </w:tcPr>
          <w:p w14:paraId="3D04E38A" w14:textId="77777777" w:rsidR="00C312F3" w:rsidRPr="00156EEF" w:rsidRDefault="00C312F3" w:rsidP="009460FF">
            <w:pPr>
              <w:spacing w:after="0"/>
              <w:ind w:left="0" w:firstLine="0"/>
              <w:jc w:val="left"/>
              <w:rPr>
                <w:sz w:val="20"/>
              </w:rPr>
            </w:pPr>
            <w:r w:rsidRPr="00156EEF">
              <w:rPr>
                <w:b/>
                <w:bCs/>
                <w:sz w:val="20"/>
              </w:rPr>
              <w:t xml:space="preserve">Empierrement libre pour la protection avale                                                                       </w:t>
            </w:r>
            <w:r w:rsidRPr="00156EEF">
              <w:rPr>
                <w:sz w:val="20"/>
              </w:rPr>
              <w:t xml:space="preserve">  </w:t>
            </w:r>
            <w:r w:rsidRPr="00156EEF">
              <w:rPr>
                <w:sz w:val="18"/>
                <w:szCs w:val="18"/>
              </w:rPr>
              <w:t xml:space="preserve">Ce prix rémunère l’exécution de la protection avale des ouvrages spécifiés conformément aux indications des plans   </w:t>
            </w:r>
            <w:r w:rsidRPr="00156EEF">
              <w:rPr>
                <w:sz w:val="18"/>
                <w:szCs w:val="18"/>
              </w:rPr>
              <w:br/>
              <w:t>L’épaisseur de l’enrochement varie de 30 à 40 cm au minimum.</w:t>
            </w:r>
            <w:r w:rsidRPr="00156EEF">
              <w:rPr>
                <w:sz w:val="18"/>
                <w:szCs w:val="18"/>
              </w:rPr>
              <w:br/>
              <w:t>Ce prix comprend conformément aux spécifications des prescriptions techniques :</w:t>
            </w:r>
            <w:r w:rsidRPr="00156EEF">
              <w:rPr>
                <w:sz w:val="18"/>
                <w:szCs w:val="18"/>
              </w:rPr>
              <w:br/>
              <w:t>- La fourniture et le transport sur le lieu d’emploi de tous les matériaux nécessaires à la réalisation de l’enrochement ;</w:t>
            </w:r>
            <w:r w:rsidRPr="00156EEF">
              <w:rPr>
                <w:sz w:val="18"/>
                <w:szCs w:val="18"/>
              </w:rPr>
              <w:br/>
              <w:t>- Le stockage de ces matériaux ;</w:t>
            </w:r>
            <w:r w:rsidRPr="00156EEF">
              <w:rPr>
                <w:sz w:val="18"/>
                <w:szCs w:val="18"/>
              </w:rPr>
              <w:br/>
              <w:t>- La mise en place, l’enragement des moellons de talus à la main et le jointoiement avec du gravillon et des éclats de pierre ;</w:t>
            </w:r>
            <w:r w:rsidRPr="00156EEF">
              <w:rPr>
                <w:sz w:val="18"/>
                <w:szCs w:val="18"/>
              </w:rPr>
              <w:br/>
              <w:t>- et toutes sujétions d'exécution et de main d’œuvre qualifié et non qualifiée.</w:t>
            </w:r>
            <w:r w:rsidRPr="00156EEF">
              <w:rPr>
                <w:sz w:val="20"/>
              </w:rPr>
              <w:br/>
            </w:r>
            <w:r w:rsidRPr="00156EEF">
              <w:rPr>
                <w:sz w:val="20"/>
              </w:rPr>
              <w:br/>
            </w:r>
            <w:r w:rsidRPr="00156EEF">
              <w:rPr>
                <w:i/>
                <w:sz w:val="18"/>
                <w:szCs w:val="18"/>
              </w:rPr>
              <w:t>Ce prix s’applique au volume, en mètre cube (m3), d’enrochement libre réalisé, avec comme valeur maximale celle obtenue à partir des plans d’exécution des ouvrages.</w:t>
            </w:r>
          </w:p>
        </w:tc>
        <w:tc>
          <w:tcPr>
            <w:tcW w:w="429" w:type="pct"/>
            <w:tcBorders>
              <w:top w:val="nil"/>
              <w:left w:val="nil"/>
              <w:bottom w:val="single" w:sz="8" w:space="0" w:color="auto"/>
              <w:right w:val="single" w:sz="8" w:space="0" w:color="auto"/>
            </w:tcBorders>
            <w:shd w:val="clear" w:color="auto" w:fill="auto"/>
            <w:vAlign w:val="center"/>
            <w:hideMark/>
          </w:tcPr>
          <w:p w14:paraId="7F99EBDD" w14:textId="77777777" w:rsidR="00C312F3" w:rsidRPr="00156EEF" w:rsidRDefault="00C312F3" w:rsidP="009460FF">
            <w:pPr>
              <w:spacing w:after="0"/>
              <w:ind w:left="0" w:firstLine="0"/>
              <w:jc w:val="center"/>
              <w:rPr>
                <w:sz w:val="20"/>
              </w:rPr>
            </w:pPr>
            <w:r w:rsidRPr="00156EEF">
              <w:rPr>
                <w:sz w:val="20"/>
              </w:rPr>
              <w:t>m</w:t>
            </w:r>
            <w:r w:rsidRPr="00156EEF">
              <w:rPr>
                <w:sz w:val="20"/>
                <w:vertAlign w:val="superscript"/>
              </w:rPr>
              <w:t>3</w:t>
            </w:r>
          </w:p>
        </w:tc>
        <w:tc>
          <w:tcPr>
            <w:tcW w:w="608" w:type="pct"/>
            <w:tcBorders>
              <w:top w:val="nil"/>
              <w:left w:val="nil"/>
              <w:bottom w:val="single" w:sz="8" w:space="0" w:color="auto"/>
              <w:right w:val="nil"/>
            </w:tcBorders>
            <w:shd w:val="clear" w:color="auto" w:fill="auto"/>
            <w:vAlign w:val="center"/>
            <w:hideMark/>
          </w:tcPr>
          <w:p w14:paraId="4EFA691B" w14:textId="77777777" w:rsidR="00C312F3" w:rsidRPr="00156EEF" w:rsidRDefault="00C312F3" w:rsidP="009460FF">
            <w:pPr>
              <w:spacing w:after="0"/>
              <w:ind w:left="0" w:firstLine="0"/>
              <w:jc w:val="center"/>
              <w:rPr>
                <w:rFonts w:ascii="Arial" w:hAnsi="Arial" w:cs="Arial"/>
                <w:sz w:val="20"/>
              </w:rPr>
            </w:pPr>
            <w:r w:rsidRPr="00156EEF">
              <w:rPr>
                <w:rFonts w:ascii="Arial" w:hAnsi="Arial" w:cs="Arial"/>
                <w:sz w:val="20"/>
              </w:rPr>
              <w:t xml:space="preserve"> </w:t>
            </w:r>
          </w:p>
        </w:tc>
        <w:tc>
          <w:tcPr>
            <w:tcW w:w="532" w:type="pct"/>
            <w:tcBorders>
              <w:top w:val="nil"/>
              <w:left w:val="single" w:sz="4" w:space="0" w:color="auto"/>
              <w:bottom w:val="single" w:sz="4" w:space="0" w:color="auto"/>
              <w:right w:val="single" w:sz="4" w:space="0" w:color="auto"/>
            </w:tcBorders>
            <w:shd w:val="clear" w:color="auto" w:fill="auto"/>
            <w:noWrap/>
            <w:vAlign w:val="bottom"/>
            <w:hideMark/>
          </w:tcPr>
          <w:p w14:paraId="779F1955" w14:textId="77777777" w:rsidR="00C312F3" w:rsidRPr="00156EEF" w:rsidRDefault="00C312F3" w:rsidP="009460FF">
            <w:pPr>
              <w:spacing w:after="0"/>
              <w:ind w:left="0" w:firstLine="0"/>
              <w:jc w:val="left"/>
              <w:rPr>
                <w:rFonts w:ascii="Calibri" w:hAnsi="Calibri"/>
                <w:sz w:val="20"/>
              </w:rPr>
            </w:pPr>
            <w:r w:rsidRPr="00156EEF">
              <w:rPr>
                <w:rFonts w:ascii="Calibri" w:hAnsi="Calibri"/>
                <w:sz w:val="20"/>
              </w:rPr>
              <w:t> </w:t>
            </w:r>
          </w:p>
        </w:tc>
      </w:tr>
      <w:tr w:rsidR="00C312F3" w:rsidRPr="00156EEF" w14:paraId="338789EF" w14:textId="77777777" w:rsidTr="00C312F3">
        <w:trPr>
          <w:trHeight w:val="49"/>
          <w:jc w:val="center"/>
        </w:trPr>
        <w:tc>
          <w:tcPr>
            <w:tcW w:w="302" w:type="pct"/>
            <w:tcBorders>
              <w:top w:val="nil"/>
              <w:left w:val="double" w:sz="6" w:space="0" w:color="auto"/>
              <w:bottom w:val="single" w:sz="8" w:space="0" w:color="auto"/>
              <w:right w:val="single" w:sz="8" w:space="0" w:color="auto"/>
            </w:tcBorders>
            <w:shd w:val="clear" w:color="auto" w:fill="auto"/>
            <w:vAlign w:val="center"/>
            <w:hideMark/>
          </w:tcPr>
          <w:p w14:paraId="4A5389EE" w14:textId="77777777" w:rsidR="00C312F3" w:rsidRPr="00156EEF" w:rsidRDefault="00C312F3" w:rsidP="009460FF">
            <w:pPr>
              <w:spacing w:after="0"/>
              <w:ind w:left="0" w:firstLine="0"/>
              <w:jc w:val="center"/>
              <w:rPr>
                <w:rFonts w:ascii="Arial" w:hAnsi="Arial" w:cs="Arial"/>
                <w:sz w:val="20"/>
              </w:rPr>
            </w:pPr>
            <w:r w:rsidRPr="00156EEF">
              <w:rPr>
                <w:rFonts w:ascii="Arial" w:hAnsi="Arial" w:cs="Arial"/>
                <w:sz w:val="20"/>
              </w:rPr>
              <w:t> </w:t>
            </w:r>
          </w:p>
        </w:tc>
        <w:tc>
          <w:tcPr>
            <w:tcW w:w="3129" w:type="pct"/>
            <w:tcBorders>
              <w:top w:val="nil"/>
              <w:left w:val="nil"/>
              <w:bottom w:val="single" w:sz="8" w:space="0" w:color="auto"/>
              <w:right w:val="single" w:sz="8" w:space="0" w:color="auto"/>
            </w:tcBorders>
            <w:shd w:val="clear" w:color="auto" w:fill="auto"/>
            <w:vAlign w:val="center"/>
            <w:hideMark/>
          </w:tcPr>
          <w:p w14:paraId="01DF4854" w14:textId="77777777" w:rsidR="00C312F3" w:rsidRPr="00156EEF" w:rsidRDefault="00C312F3" w:rsidP="009460FF">
            <w:pPr>
              <w:spacing w:after="0"/>
              <w:ind w:left="0" w:firstLine="0"/>
              <w:jc w:val="right"/>
              <w:rPr>
                <w:rFonts w:ascii="Arial" w:hAnsi="Arial" w:cs="Arial"/>
                <w:b/>
                <w:bCs/>
                <w:sz w:val="20"/>
              </w:rPr>
            </w:pPr>
            <w:r w:rsidRPr="00156EEF">
              <w:rPr>
                <w:rFonts w:ascii="Arial" w:hAnsi="Arial" w:cs="Arial"/>
                <w:b/>
                <w:bCs/>
                <w:sz w:val="20"/>
              </w:rPr>
              <w:t>Total Série 4</w:t>
            </w:r>
          </w:p>
        </w:tc>
        <w:tc>
          <w:tcPr>
            <w:tcW w:w="429" w:type="pct"/>
            <w:tcBorders>
              <w:top w:val="nil"/>
              <w:left w:val="nil"/>
              <w:bottom w:val="single" w:sz="8" w:space="0" w:color="auto"/>
              <w:right w:val="single" w:sz="8" w:space="0" w:color="auto"/>
            </w:tcBorders>
            <w:shd w:val="clear" w:color="auto" w:fill="auto"/>
            <w:vAlign w:val="center"/>
            <w:hideMark/>
          </w:tcPr>
          <w:p w14:paraId="6DE68253" w14:textId="77777777" w:rsidR="00C312F3" w:rsidRPr="00156EEF" w:rsidRDefault="00C312F3" w:rsidP="009460FF">
            <w:pPr>
              <w:spacing w:after="0"/>
              <w:ind w:left="0" w:firstLine="0"/>
              <w:jc w:val="center"/>
              <w:rPr>
                <w:sz w:val="20"/>
              </w:rPr>
            </w:pPr>
            <w:r w:rsidRPr="00156EEF">
              <w:rPr>
                <w:sz w:val="20"/>
              </w:rPr>
              <w:t> </w:t>
            </w:r>
          </w:p>
        </w:tc>
        <w:tc>
          <w:tcPr>
            <w:tcW w:w="608" w:type="pct"/>
            <w:tcBorders>
              <w:top w:val="nil"/>
              <w:left w:val="nil"/>
              <w:bottom w:val="single" w:sz="8" w:space="0" w:color="auto"/>
              <w:right w:val="nil"/>
            </w:tcBorders>
            <w:shd w:val="clear" w:color="auto" w:fill="auto"/>
            <w:vAlign w:val="center"/>
            <w:hideMark/>
          </w:tcPr>
          <w:p w14:paraId="3F2292C1" w14:textId="77777777" w:rsidR="00C312F3" w:rsidRPr="00156EEF" w:rsidRDefault="00C312F3" w:rsidP="009460FF">
            <w:pPr>
              <w:spacing w:after="0"/>
              <w:ind w:left="0" w:firstLine="0"/>
              <w:jc w:val="center"/>
              <w:rPr>
                <w:rFonts w:ascii="Arial" w:hAnsi="Arial" w:cs="Arial"/>
                <w:sz w:val="20"/>
              </w:rPr>
            </w:pPr>
            <w:r w:rsidRPr="00156EEF">
              <w:rPr>
                <w:rFonts w:ascii="Arial" w:hAnsi="Arial" w:cs="Arial"/>
                <w:sz w:val="20"/>
              </w:rPr>
              <w:t xml:space="preserve"> </w:t>
            </w:r>
          </w:p>
        </w:tc>
        <w:tc>
          <w:tcPr>
            <w:tcW w:w="532" w:type="pct"/>
            <w:tcBorders>
              <w:top w:val="nil"/>
              <w:left w:val="single" w:sz="4" w:space="0" w:color="auto"/>
              <w:bottom w:val="single" w:sz="4" w:space="0" w:color="auto"/>
              <w:right w:val="single" w:sz="4" w:space="0" w:color="auto"/>
            </w:tcBorders>
            <w:shd w:val="clear" w:color="auto" w:fill="auto"/>
            <w:noWrap/>
            <w:vAlign w:val="bottom"/>
            <w:hideMark/>
          </w:tcPr>
          <w:p w14:paraId="2C64D68C" w14:textId="77777777" w:rsidR="00C312F3" w:rsidRPr="00156EEF" w:rsidRDefault="00C312F3" w:rsidP="009460FF">
            <w:pPr>
              <w:spacing w:after="0"/>
              <w:ind w:left="0" w:firstLine="0"/>
              <w:jc w:val="left"/>
              <w:rPr>
                <w:rFonts w:ascii="Calibri" w:hAnsi="Calibri"/>
                <w:sz w:val="20"/>
              </w:rPr>
            </w:pPr>
            <w:r w:rsidRPr="00156EEF">
              <w:rPr>
                <w:rFonts w:ascii="Calibri" w:hAnsi="Calibri"/>
                <w:sz w:val="20"/>
              </w:rPr>
              <w:t> </w:t>
            </w:r>
          </w:p>
        </w:tc>
      </w:tr>
      <w:tr w:rsidR="00C312F3" w:rsidRPr="00156EEF" w14:paraId="640B638B" w14:textId="77777777" w:rsidTr="009460FF">
        <w:trPr>
          <w:trHeight w:val="675"/>
          <w:jc w:val="center"/>
        </w:trPr>
        <w:tc>
          <w:tcPr>
            <w:tcW w:w="302" w:type="pct"/>
            <w:tcBorders>
              <w:top w:val="nil"/>
              <w:left w:val="double" w:sz="6" w:space="0" w:color="auto"/>
              <w:bottom w:val="single" w:sz="8" w:space="0" w:color="auto"/>
              <w:right w:val="single" w:sz="8" w:space="0" w:color="auto"/>
            </w:tcBorders>
            <w:shd w:val="clear" w:color="auto" w:fill="auto"/>
            <w:vAlign w:val="center"/>
            <w:hideMark/>
          </w:tcPr>
          <w:p w14:paraId="71C35DD4" w14:textId="77777777" w:rsidR="00C312F3" w:rsidRPr="00156EEF" w:rsidRDefault="00C312F3" w:rsidP="009460FF">
            <w:pPr>
              <w:spacing w:after="0"/>
              <w:ind w:left="0" w:firstLine="0"/>
              <w:jc w:val="center"/>
              <w:rPr>
                <w:rFonts w:ascii="Arial" w:hAnsi="Arial" w:cs="Arial"/>
                <w:sz w:val="20"/>
              </w:rPr>
            </w:pPr>
            <w:r w:rsidRPr="00156EEF">
              <w:rPr>
                <w:rFonts w:ascii="Arial" w:hAnsi="Arial" w:cs="Arial"/>
                <w:sz w:val="20"/>
              </w:rPr>
              <w:t> </w:t>
            </w:r>
          </w:p>
        </w:tc>
        <w:tc>
          <w:tcPr>
            <w:tcW w:w="3129" w:type="pct"/>
            <w:tcBorders>
              <w:top w:val="nil"/>
              <w:left w:val="nil"/>
              <w:bottom w:val="single" w:sz="8" w:space="0" w:color="auto"/>
              <w:right w:val="single" w:sz="8" w:space="0" w:color="auto"/>
            </w:tcBorders>
            <w:shd w:val="clear" w:color="auto" w:fill="auto"/>
            <w:vAlign w:val="center"/>
            <w:hideMark/>
          </w:tcPr>
          <w:p w14:paraId="6EF37D35" w14:textId="77777777" w:rsidR="00C312F3" w:rsidRPr="00156EEF" w:rsidRDefault="00C312F3" w:rsidP="009460FF">
            <w:pPr>
              <w:spacing w:after="0"/>
              <w:ind w:left="0" w:firstLine="0"/>
              <w:jc w:val="left"/>
              <w:rPr>
                <w:rFonts w:ascii="Arial" w:hAnsi="Arial" w:cs="Arial"/>
                <w:b/>
                <w:bCs/>
                <w:sz w:val="20"/>
              </w:rPr>
            </w:pPr>
            <w:r w:rsidRPr="00156EEF">
              <w:rPr>
                <w:rFonts w:ascii="Arial" w:hAnsi="Arial" w:cs="Arial"/>
                <w:b/>
                <w:bCs/>
                <w:sz w:val="20"/>
              </w:rPr>
              <w:t xml:space="preserve">Série V-MURS BAJOYERS ET DIGUES DE RACCORDEMENT DE L'OUVRAGE </w:t>
            </w:r>
          </w:p>
        </w:tc>
        <w:tc>
          <w:tcPr>
            <w:tcW w:w="429" w:type="pct"/>
            <w:tcBorders>
              <w:top w:val="nil"/>
              <w:left w:val="nil"/>
              <w:bottom w:val="single" w:sz="8" w:space="0" w:color="auto"/>
              <w:right w:val="single" w:sz="8" w:space="0" w:color="auto"/>
            </w:tcBorders>
            <w:shd w:val="clear" w:color="auto" w:fill="auto"/>
            <w:vAlign w:val="center"/>
            <w:hideMark/>
          </w:tcPr>
          <w:p w14:paraId="0E174960" w14:textId="77777777" w:rsidR="00C312F3" w:rsidRPr="00156EEF" w:rsidRDefault="00C312F3" w:rsidP="009460FF">
            <w:pPr>
              <w:spacing w:after="0"/>
              <w:ind w:left="0" w:firstLine="0"/>
              <w:jc w:val="center"/>
              <w:rPr>
                <w:sz w:val="20"/>
              </w:rPr>
            </w:pPr>
            <w:r w:rsidRPr="00156EEF">
              <w:rPr>
                <w:sz w:val="20"/>
              </w:rPr>
              <w:t> </w:t>
            </w:r>
          </w:p>
        </w:tc>
        <w:tc>
          <w:tcPr>
            <w:tcW w:w="608" w:type="pct"/>
            <w:tcBorders>
              <w:top w:val="nil"/>
              <w:left w:val="nil"/>
              <w:bottom w:val="single" w:sz="8" w:space="0" w:color="auto"/>
              <w:right w:val="nil"/>
            </w:tcBorders>
            <w:shd w:val="clear" w:color="auto" w:fill="auto"/>
            <w:vAlign w:val="center"/>
            <w:hideMark/>
          </w:tcPr>
          <w:p w14:paraId="2E66A9BD" w14:textId="77777777" w:rsidR="00C312F3" w:rsidRPr="00156EEF" w:rsidRDefault="00C312F3" w:rsidP="009460FF">
            <w:pPr>
              <w:spacing w:after="0"/>
              <w:ind w:left="0" w:firstLine="0"/>
              <w:jc w:val="center"/>
              <w:rPr>
                <w:rFonts w:ascii="Arial" w:hAnsi="Arial" w:cs="Arial"/>
                <w:sz w:val="20"/>
              </w:rPr>
            </w:pPr>
            <w:r w:rsidRPr="00156EEF">
              <w:rPr>
                <w:rFonts w:ascii="Arial" w:hAnsi="Arial" w:cs="Arial"/>
                <w:sz w:val="20"/>
              </w:rPr>
              <w:t xml:space="preserve"> </w:t>
            </w:r>
          </w:p>
        </w:tc>
        <w:tc>
          <w:tcPr>
            <w:tcW w:w="532" w:type="pct"/>
            <w:tcBorders>
              <w:top w:val="nil"/>
              <w:left w:val="single" w:sz="4" w:space="0" w:color="auto"/>
              <w:bottom w:val="single" w:sz="4" w:space="0" w:color="auto"/>
              <w:right w:val="single" w:sz="4" w:space="0" w:color="auto"/>
            </w:tcBorders>
            <w:shd w:val="clear" w:color="auto" w:fill="auto"/>
            <w:noWrap/>
            <w:vAlign w:val="bottom"/>
            <w:hideMark/>
          </w:tcPr>
          <w:p w14:paraId="338A848A" w14:textId="77777777" w:rsidR="00C312F3" w:rsidRPr="00156EEF" w:rsidRDefault="00C312F3" w:rsidP="009460FF">
            <w:pPr>
              <w:spacing w:after="0"/>
              <w:ind w:left="0" w:firstLine="0"/>
              <w:jc w:val="left"/>
              <w:rPr>
                <w:rFonts w:ascii="Calibri" w:hAnsi="Calibri"/>
                <w:sz w:val="20"/>
              </w:rPr>
            </w:pPr>
            <w:r w:rsidRPr="00156EEF">
              <w:rPr>
                <w:rFonts w:ascii="Calibri" w:hAnsi="Calibri"/>
                <w:sz w:val="20"/>
              </w:rPr>
              <w:t> </w:t>
            </w:r>
          </w:p>
        </w:tc>
      </w:tr>
      <w:tr w:rsidR="00C312F3" w:rsidRPr="00156EEF" w14:paraId="5D9CC135" w14:textId="77777777" w:rsidTr="009460FF">
        <w:trPr>
          <w:trHeight w:val="5219"/>
          <w:jc w:val="center"/>
        </w:trPr>
        <w:tc>
          <w:tcPr>
            <w:tcW w:w="302" w:type="pct"/>
            <w:tcBorders>
              <w:top w:val="single" w:sz="4" w:space="0" w:color="auto"/>
              <w:left w:val="double" w:sz="6" w:space="0" w:color="auto"/>
              <w:bottom w:val="single" w:sz="8" w:space="0" w:color="auto"/>
              <w:right w:val="single" w:sz="8" w:space="0" w:color="auto"/>
            </w:tcBorders>
            <w:shd w:val="clear" w:color="auto" w:fill="auto"/>
            <w:vAlign w:val="center"/>
            <w:hideMark/>
          </w:tcPr>
          <w:p w14:paraId="23F6BB4B" w14:textId="77777777" w:rsidR="00C312F3" w:rsidRPr="00156EEF" w:rsidRDefault="00C312F3" w:rsidP="009460FF">
            <w:pPr>
              <w:spacing w:after="0"/>
              <w:ind w:left="0" w:firstLine="0"/>
              <w:jc w:val="center"/>
              <w:rPr>
                <w:rFonts w:ascii="Arial" w:hAnsi="Arial" w:cs="Arial"/>
                <w:sz w:val="20"/>
              </w:rPr>
            </w:pPr>
            <w:r w:rsidRPr="00156EEF">
              <w:rPr>
                <w:rFonts w:ascii="Arial" w:hAnsi="Arial" w:cs="Arial"/>
                <w:sz w:val="20"/>
              </w:rPr>
              <w:lastRenderedPageBreak/>
              <w:t>5.1</w:t>
            </w:r>
          </w:p>
        </w:tc>
        <w:tc>
          <w:tcPr>
            <w:tcW w:w="3129" w:type="pct"/>
            <w:tcBorders>
              <w:top w:val="single" w:sz="4" w:space="0" w:color="auto"/>
              <w:left w:val="nil"/>
              <w:bottom w:val="single" w:sz="8" w:space="0" w:color="auto"/>
              <w:right w:val="single" w:sz="8" w:space="0" w:color="auto"/>
            </w:tcBorders>
            <w:shd w:val="clear" w:color="auto" w:fill="auto"/>
            <w:hideMark/>
          </w:tcPr>
          <w:p w14:paraId="4B7BE005" w14:textId="77777777" w:rsidR="00C312F3" w:rsidRPr="00156EEF" w:rsidRDefault="00C312F3" w:rsidP="009460FF">
            <w:pPr>
              <w:spacing w:after="0"/>
              <w:ind w:left="0" w:firstLine="0"/>
              <w:jc w:val="left"/>
              <w:rPr>
                <w:b/>
                <w:bCs/>
                <w:sz w:val="20"/>
              </w:rPr>
            </w:pPr>
            <w:r w:rsidRPr="00156EEF">
              <w:rPr>
                <w:b/>
                <w:bCs/>
                <w:sz w:val="20"/>
              </w:rPr>
              <w:t xml:space="preserve">Déblai pour murs bajoyers et digue de raccordements dans les dimensions du plan   </w:t>
            </w:r>
            <w:r w:rsidRPr="00156EEF">
              <w:rPr>
                <w:sz w:val="20"/>
              </w:rPr>
              <w:t xml:space="preserve">                                                                                              </w:t>
            </w:r>
            <w:r w:rsidRPr="00156EEF">
              <w:rPr>
                <w:sz w:val="18"/>
                <w:szCs w:val="18"/>
              </w:rPr>
              <w:t xml:space="preserve">Ce prix rémunère la réalisation des déblais en terrain tendre ou semi dur pour les fondations   des murs bajoyers et de l’ancrage des digues constatés contradictoirement par le Maître d’Œuvre et comprend le déblayage, le chargement, le transport, le dépôt en dehors de la limite de l'emprise des ouvrages et le régalage des terres sur les lieux de dépôt. </w:t>
            </w:r>
            <w:r w:rsidRPr="00156EEF">
              <w:rPr>
                <w:sz w:val="18"/>
                <w:szCs w:val="18"/>
              </w:rPr>
              <w:br/>
              <w:t>Ce prix comprend :</w:t>
            </w:r>
            <w:r w:rsidRPr="00156EEF">
              <w:rPr>
                <w:sz w:val="18"/>
                <w:szCs w:val="18"/>
              </w:rPr>
              <w:br/>
              <w:t>- Tous les travaux d'accomplissement des profils de déblais ;</w:t>
            </w:r>
            <w:r w:rsidRPr="00156EEF">
              <w:rPr>
                <w:sz w:val="18"/>
                <w:szCs w:val="18"/>
              </w:rPr>
              <w:br/>
              <w:t>- Les coûts liés à l’emploi éventuel des engins lourds ;</w:t>
            </w:r>
            <w:r w:rsidRPr="00156EEF">
              <w:rPr>
                <w:sz w:val="18"/>
                <w:szCs w:val="18"/>
              </w:rPr>
              <w:br/>
              <w:t>- La réalisation des déblais de finition éventuelle ;</w:t>
            </w:r>
            <w:r w:rsidRPr="00156EEF">
              <w:rPr>
                <w:sz w:val="18"/>
                <w:szCs w:val="18"/>
              </w:rPr>
              <w:br/>
              <w:t>- Les sur largeurs provisoires des déblais puis le taillage de ces talus ;</w:t>
            </w:r>
            <w:r w:rsidRPr="00156EEF">
              <w:rPr>
                <w:sz w:val="18"/>
                <w:szCs w:val="18"/>
              </w:rPr>
              <w:br/>
              <w:t>- Le chargement des déblais et leur dépôt hors emprise des ouvrages ;</w:t>
            </w:r>
            <w:r w:rsidRPr="00156EEF">
              <w:rPr>
                <w:sz w:val="18"/>
                <w:szCs w:val="18"/>
              </w:rPr>
              <w:br/>
              <w:t>- Le réglage, le compactage et la finition du fond de forme ;</w:t>
            </w:r>
            <w:r w:rsidRPr="00156EEF">
              <w:rPr>
                <w:sz w:val="18"/>
                <w:szCs w:val="18"/>
              </w:rPr>
              <w:br/>
              <w:t>- Le dressage des talus du déblai ;</w:t>
            </w:r>
            <w:r w:rsidRPr="00156EEF">
              <w:rPr>
                <w:sz w:val="18"/>
                <w:szCs w:val="18"/>
              </w:rPr>
              <w:br/>
              <w:t>- Toutes les sujétions d’extraction des matériaux et l’extraction elle-même ;</w:t>
            </w:r>
            <w:r w:rsidRPr="00156EEF">
              <w:rPr>
                <w:sz w:val="18"/>
                <w:szCs w:val="18"/>
              </w:rPr>
              <w:br/>
              <w:t>- La mise en dépôt provisoire du stock qui en découlerait ;</w:t>
            </w:r>
            <w:r w:rsidRPr="00156EEF">
              <w:rPr>
                <w:sz w:val="18"/>
                <w:szCs w:val="18"/>
              </w:rPr>
              <w:br/>
              <w:t>- La finition des dépôts ;</w:t>
            </w:r>
            <w:r w:rsidRPr="00156EEF">
              <w:rPr>
                <w:sz w:val="18"/>
                <w:szCs w:val="18"/>
              </w:rPr>
              <w:br/>
              <w:t>- Et toutes sujétions d'exécution et de main d’œuvre qualifié et non qualifiée.</w:t>
            </w:r>
            <w:r w:rsidRPr="00156EEF">
              <w:rPr>
                <w:sz w:val="20"/>
              </w:rPr>
              <w:br/>
            </w:r>
            <w:r w:rsidRPr="00156EEF">
              <w:rPr>
                <w:sz w:val="20"/>
              </w:rPr>
              <w:br/>
            </w:r>
            <w:r w:rsidRPr="00156EEF">
              <w:rPr>
                <w:i/>
                <w:sz w:val="18"/>
                <w:szCs w:val="18"/>
              </w:rPr>
              <w:t>Ce prix s’applique au mètre cube (m3) théorique de déblai, les côtes du terrain naturel étant celles obtenues par levés contradictoires des profils en travers minorés de l'épaisseur du décapage éventuel.</w:t>
            </w:r>
          </w:p>
        </w:tc>
        <w:tc>
          <w:tcPr>
            <w:tcW w:w="429" w:type="pct"/>
            <w:tcBorders>
              <w:top w:val="single" w:sz="4" w:space="0" w:color="auto"/>
              <w:left w:val="nil"/>
              <w:bottom w:val="single" w:sz="8" w:space="0" w:color="auto"/>
              <w:right w:val="single" w:sz="8" w:space="0" w:color="auto"/>
            </w:tcBorders>
            <w:shd w:val="clear" w:color="auto" w:fill="auto"/>
            <w:vAlign w:val="center"/>
            <w:hideMark/>
          </w:tcPr>
          <w:p w14:paraId="6A4E0D5C" w14:textId="77777777" w:rsidR="00C312F3" w:rsidRPr="00156EEF" w:rsidRDefault="00C312F3" w:rsidP="009460FF">
            <w:pPr>
              <w:spacing w:after="0"/>
              <w:ind w:left="0" w:firstLine="0"/>
              <w:jc w:val="center"/>
              <w:rPr>
                <w:sz w:val="20"/>
              </w:rPr>
            </w:pPr>
            <w:r w:rsidRPr="00156EEF">
              <w:rPr>
                <w:sz w:val="20"/>
              </w:rPr>
              <w:t>m</w:t>
            </w:r>
            <w:r w:rsidRPr="00156EEF">
              <w:rPr>
                <w:sz w:val="20"/>
                <w:vertAlign w:val="superscript"/>
              </w:rPr>
              <w:t>3</w:t>
            </w:r>
          </w:p>
        </w:tc>
        <w:tc>
          <w:tcPr>
            <w:tcW w:w="608" w:type="pct"/>
            <w:tcBorders>
              <w:top w:val="single" w:sz="4" w:space="0" w:color="auto"/>
              <w:left w:val="nil"/>
              <w:bottom w:val="single" w:sz="8" w:space="0" w:color="auto"/>
              <w:right w:val="nil"/>
            </w:tcBorders>
            <w:shd w:val="clear" w:color="auto" w:fill="auto"/>
            <w:vAlign w:val="center"/>
            <w:hideMark/>
          </w:tcPr>
          <w:p w14:paraId="4F6371B1" w14:textId="77777777" w:rsidR="00C312F3" w:rsidRPr="00156EEF" w:rsidRDefault="00C312F3" w:rsidP="009460FF">
            <w:pPr>
              <w:spacing w:after="0"/>
              <w:ind w:left="0" w:firstLine="0"/>
              <w:jc w:val="center"/>
              <w:rPr>
                <w:rFonts w:ascii="Arial" w:hAnsi="Arial" w:cs="Arial"/>
                <w:sz w:val="20"/>
              </w:rPr>
            </w:pPr>
            <w:r w:rsidRPr="00156EEF">
              <w:rPr>
                <w:rFonts w:ascii="Arial" w:hAnsi="Arial" w:cs="Arial"/>
                <w:sz w:val="20"/>
              </w:rPr>
              <w:t xml:space="preserve"> </w:t>
            </w:r>
          </w:p>
        </w:tc>
        <w:tc>
          <w:tcPr>
            <w:tcW w:w="53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D6307" w14:textId="77777777" w:rsidR="00C312F3" w:rsidRPr="00156EEF" w:rsidRDefault="00C312F3" w:rsidP="009460FF">
            <w:pPr>
              <w:spacing w:after="0"/>
              <w:ind w:left="0" w:firstLine="0"/>
              <w:jc w:val="left"/>
              <w:rPr>
                <w:rFonts w:ascii="Calibri" w:hAnsi="Calibri"/>
                <w:sz w:val="20"/>
              </w:rPr>
            </w:pPr>
            <w:r w:rsidRPr="00156EEF">
              <w:rPr>
                <w:rFonts w:ascii="Calibri" w:hAnsi="Calibri"/>
                <w:sz w:val="20"/>
              </w:rPr>
              <w:t> </w:t>
            </w:r>
          </w:p>
        </w:tc>
      </w:tr>
      <w:tr w:rsidR="00C312F3" w:rsidRPr="00156EEF" w14:paraId="1976ECB0" w14:textId="77777777" w:rsidTr="009460FF">
        <w:trPr>
          <w:trHeight w:val="1359"/>
          <w:jc w:val="center"/>
        </w:trPr>
        <w:tc>
          <w:tcPr>
            <w:tcW w:w="302" w:type="pct"/>
            <w:tcBorders>
              <w:top w:val="nil"/>
              <w:left w:val="double" w:sz="6" w:space="0" w:color="auto"/>
              <w:bottom w:val="single" w:sz="8" w:space="0" w:color="auto"/>
              <w:right w:val="single" w:sz="8" w:space="0" w:color="auto"/>
            </w:tcBorders>
            <w:shd w:val="clear" w:color="auto" w:fill="auto"/>
            <w:vAlign w:val="center"/>
            <w:hideMark/>
          </w:tcPr>
          <w:p w14:paraId="61ACFAE6" w14:textId="77777777" w:rsidR="00C312F3" w:rsidRPr="00156EEF" w:rsidRDefault="00C312F3" w:rsidP="009460FF">
            <w:pPr>
              <w:spacing w:after="0"/>
              <w:ind w:left="0" w:firstLine="0"/>
              <w:jc w:val="center"/>
              <w:rPr>
                <w:rFonts w:ascii="Arial" w:hAnsi="Arial" w:cs="Arial"/>
                <w:sz w:val="20"/>
              </w:rPr>
            </w:pPr>
            <w:r w:rsidRPr="00156EEF">
              <w:rPr>
                <w:rFonts w:ascii="Arial" w:hAnsi="Arial" w:cs="Arial"/>
                <w:sz w:val="20"/>
              </w:rPr>
              <w:t>5.2</w:t>
            </w:r>
          </w:p>
        </w:tc>
        <w:tc>
          <w:tcPr>
            <w:tcW w:w="3129" w:type="pct"/>
            <w:tcBorders>
              <w:top w:val="nil"/>
              <w:left w:val="nil"/>
              <w:bottom w:val="single" w:sz="8" w:space="0" w:color="auto"/>
              <w:right w:val="single" w:sz="8" w:space="0" w:color="auto"/>
            </w:tcBorders>
            <w:shd w:val="clear" w:color="auto" w:fill="auto"/>
            <w:hideMark/>
          </w:tcPr>
          <w:p w14:paraId="442231EE" w14:textId="77777777" w:rsidR="00C312F3" w:rsidRPr="00156EEF" w:rsidRDefault="00C312F3" w:rsidP="009460FF">
            <w:pPr>
              <w:spacing w:after="0"/>
              <w:ind w:left="0" w:firstLine="0"/>
              <w:jc w:val="left"/>
              <w:rPr>
                <w:b/>
                <w:bCs/>
                <w:sz w:val="20"/>
              </w:rPr>
            </w:pPr>
            <w:r w:rsidRPr="00156EEF">
              <w:rPr>
                <w:b/>
                <w:bCs/>
                <w:sz w:val="20"/>
              </w:rPr>
              <w:t xml:space="preserve">Béton de propreté dosé à 150 kg/m3 </w:t>
            </w:r>
            <w:proofErr w:type="spellStart"/>
            <w:r w:rsidRPr="00156EEF">
              <w:rPr>
                <w:b/>
                <w:bCs/>
                <w:sz w:val="20"/>
              </w:rPr>
              <w:t>ép</w:t>
            </w:r>
            <w:proofErr w:type="spellEnd"/>
            <w:r w:rsidRPr="00156EEF">
              <w:rPr>
                <w:b/>
                <w:bCs/>
                <w:sz w:val="20"/>
              </w:rPr>
              <w:t xml:space="preserve">=10cm                                                                        </w:t>
            </w:r>
            <w:r w:rsidRPr="00156EEF">
              <w:rPr>
                <w:sz w:val="18"/>
                <w:szCs w:val="18"/>
              </w:rPr>
              <w:t>Ce prix est identique au prix 2.3 appliqué aux ouvrages spécifiés</w:t>
            </w:r>
            <w:r w:rsidRPr="00156EEF">
              <w:rPr>
                <w:sz w:val="20"/>
              </w:rPr>
              <w:t>.</w:t>
            </w:r>
            <w:r w:rsidRPr="00156EEF">
              <w:rPr>
                <w:sz w:val="20"/>
              </w:rPr>
              <w:br/>
            </w:r>
            <w:r w:rsidRPr="00156EEF">
              <w:rPr>
                <w:sz w:val="20"/>
              </w:rPr>
              <w:br/>
            </w:r>
            <w:r w:rsidRPr="00156EEF">
              <w:rPr>
                <w:i/>
                <w:sz w:val="18"/>
                <w:szCs w:val="18"/>
              </w:rPr>
              <w:t>Ce prix s’applique au volume, en mètre cube (m3), de béton de propreté dosé à 150 kg/m3 coulé, avec comme valeur maximale celle obtenue à partir des plans d’exécution des ouvrages.</w:t>
            </w:r>
          </w:p>
        </w:tc>
        <w:tc>
          <w:tcPr>
            <w:tcW w:w="429" w:type="pct"/>
            <w:tcBorders>
              <w:top w:val="nil"/>
              <w:left w:val="nil"/>
              <w:bottom w:val="single" w:sz="8" w:space="0" w:color="auto"/>
              <w:right w:val="single" w:sz="8" w:space="0" w:color="auto"/>
            </w:tcBorders>
            <w:shd w:val="clear" w:color="auto" w:fill="auto"/>
            <w:vAlign w:val="center"/>
            <w:hideMark/>
          </w:tcPr>
          <w:p w14:paraId="6EE25246" w14:textId="77777777" w:rsidR="00C312F3" w:rsidRPr="00156EEF" w:rsidRDefault="00C312F3" w:rsidP="009460FF">
            <w:pPr>
              <w:spacing w:after="0"/>
              <w:ind w:left="0" w:firstLine="0"/>
              <w:jc w:val="center"/>
              <w:rPr>
                <w:sz w:val="20"/>
              </w:rPr>
            </w:pPr>
            <w:r w:rsidRPr="00156EEF">
              <w:rPr>
                <w:sz w:val="20"/>
              </w:rPr>
              <w:t>m</w:t>
            </w:r>
            <w:r w:rsidRPr="00156EEF">
              <w:rPr>
                <w:sz w:val="20"/>
                <w:vertAlign w:val="superscript"/>
              </w:rPr>
              <w:t>3</w:t>
            </w:r>
          </w:p>
        </w:tc>
        <w:tc>
          <w:tcPr>
            <w:tcW w:w="608" w:type="pct"/>
            <w:tcBorders>
              <w:top w:val="nil"/>
              <w:left w:val="nil"/>
              <w:bottom w:val="single" w:sz="8" w:space="0" w:color="auto"/>
              <w:right w:val="nil"/>
            </w:tcBorders>
            <w:shd w:val="clear" w:color="auto" w:fill="auto"/>
            <w:vAlign w:val="center"/>
            <w:hideMark/>
          </w:tcPr>
          <w:p w14:paraId="7B7B26F6" w14:textId="77777777" w:rsidR="00C312F3" w:rsidRPr="00156EEF" w:rsidRDefault="00C312F3" w:rsidP="009460FF">
            <w:pPr>
              <w:spacing w:after="0"/>
              <w:ind w:left="0" w:firstLine="0"/>
              <w:jc w:val="center"/>
              <w:rPr>
                <w:rFonts w:ascii="Arial" w:hAnsi="Arial" w:cs="Arial"/>
                <w:sz w:val="20"/>
              </w:rPr>
            </w:pPr>
            <w:r w:rsidRPr="00156EEF">
              <w:rPr>
                <w:rFonts w:ascii="Arial" w:hAnsi="Arial" w:cs="Arial"/>
                <w:sz w:val="20"/>
              </w:rPr>
              <w:t xml:space="preserve"> </w:t>
            </w:r>
          </w:p>
        </w:tc>
        <w:tc>
          <w:tcPr>
            <w:tcW w:w="532" w:type="pct"/>
            <w:tcBorders>
              <w:top w:val="nil"/>
              <w:left w:val="single" w:sz="4" w:space="0" w:color="auto"/>
              <w:bottom w:val="single" w:sz="4" w:space="0" w:color="auto"/>
              <w:right w:val="single" w:sz="4" w:space="0" w:color="auto"/>
            </w:tcBorders>
            <w:shd w:val="clear" w:color="auto" w:fill="auto"/>
            <w:noWrap/>
            <w:vAlign w:val="bottom"/>
            <w:hideMark/>
          </w:tcPr>
          <w:p w14:paraId="3E929BFC" w14:textId="77777777" w:rsidR="00C312F3" w:rsidRPr="00156EEF" w:rsidRDefault="00C312F3" w:rsidP="009460FF">
            <w:pPr>
              <w:spacing w:after="0"/>
              <w:ind w:left="0" w:firstLine="0"/>
              <w:jc w:val="left"/>
              <w:rPr>
                <w:rFonts w:ascii="Calibri" w:hAnsi="Calibri"/>
                <w:sz w:val="20"/>
              </w:rPr>
            </w:pPr>
            <w:r w:rsidRPr="00156EEF">
              <w:rPr>
                <w:rFonts w:ascii="Calibri" w:hAnsi="Calibri"/>
                <w:sz w:val="20"/>
              </w:rPr>
              <w:t> </w:t>
            </w:r>
          </w:p>
        </w:tc>
      </w:tr>
      <w:tr w:rsidR="00C312F3" w:rsidRPr="00156EEF" w14:paraId="26B38AF8" w14:textId="77777777" w:rsidTr="009460FF">
        <w:trPr>
          <w:trHeight w:val="2025"/>
          <w:jc w:val="center"/>
        </w:trPr>
        <w:tc>
          <w:tcPr>
            <w:tcW w:w="302" w:type="pct"/>
            <w:tcBorders>
              <w:top w:val="nil"/>
              <w:left w:val="double" w:sz="6" w:space="0" w:color="auto"/>
              <w:bottom w:val="single" w:sz="8" w:space="0" w:color="auto"/>
              <w:right w:val="single" w:sz="8" w:space="0" w:color="auto"/>
            </w:tcBorders>
            <w:shd w:val="clear" w:color="auto" w:fill="auto"/>
            <w:vAlign w:val="center"/>
            <w:hideMark/>
          </w:tcPr>
          <w:p w14:paraId="0262E320" w14:textId="77777777" w:rsidR="00C312F3" w:rsidRPr="00156EEF" w:rsidRDefault="00C312F3" w:rsidP="009460FF">
            <w:pPr>
              <w:spacing w:after="0"/>
              <w:ind w:left="0" w:firstLine="0"/>
              <w:jc w:val="center"/>
              <w:rPr>
                <w:rFonts w:ascii="Arial" w:hAnsi="Arial" w:cs="Arial"/>
                <w:sz w:val="20"/>
              </w:rPr>
            </w:pPr>
            <w:r w:rsidRPr="00156EEF">
              <w:rPr>
                <w:rFonts w:ascii="Arial" w:hAnsi="Arial" w:cs="Arial"/>
                <w:sz w:val="20"/>
              </w:rPr>
              <w:t>5.3</w:t>
            </w:r>
          </w:p>
        </w:tc>
        <w:tc>
          <w:tcPr>
            <w:tcW w:w="3129" w:type="pct"/>
            <w:tcBorders>
              <w:top w:val="nil"/>
              <w:left w:val="nil"/>
              <w:bottom w:val="single" w:sz="8" w:space="0" w:color="auto"/>
              <w:right w:val="single" w:sz="8" w:space="0" w:color="auto"/>
            </w:tcBorders>
            <w:shd w:val="clear" w:color="auto" w:fill="auto"/>
            <w:hideMark/>
          </w:tcPr>
          <w:p w14:paraId="26AFE52B" w14:textId="77777777" w:rsidR="00C312F3" w:rsidRPr="00156EEF" w:rsidRDefault="00C312F3" w:rsidP="009460FF">
            <w:pPr>
              <w:spacing w:after="0"/>
              <w:ind w:left="0" w:firstLine="0"/>
              <w:jc w:val="left"/>
              <w:rPr>
                <w:b/>
                <w:bCs/>
                <w:sz w:val="20"/>
              </w:rPr>
            </w:pPr>
            <w:r w:rsidRPr="00156EEF">
              <w:rPr>
                <w:b/>
                <w:bCs/>
                <w:sz w:val="20"/>
              </w:rPr>
              <w:t xml:space="preserve">Béton cyclopéen de moellon de grés dosé à 350 kg/m3 pour bajoyers (blocage et élévation)                                                                                </w:t>
            </w:r>
            <w:r w:rsidRPr="00156EEF">
              <w:rPr>
                <w:sz w:val="18"/>
                <w:szCs w:val="18"/>
              </w:rPr>
              <w:t xml:space="preserve">Ce prix est identique au prix 2.5 sans ajout de </w:t>
            </w:r>
            <w:proofErr w:type="spellStart"/>
            <w:r w:rsidRPr="00156EEF">
              <w:rPr>
                <w:sz w:val="18"/>
                <w:szCs w:val="18"/>
              </w:rPr>
              <w:t>sikhalite</w:t>
            </w:r>
            <w:proofErr w:type="spellEnd"/>
            <w:r w:rsidRPr="00156EEF">
              <w:rPr>
                <w:sz w:val="18"/>
                <w:szCs w:val="18"/>
              </w:rPr>
              <w:t xml:space="preserve"> appliqué aux murs bajoyers.</w:t>
            </w:r>
            <w:r w:rsidRPr="00156EEF">
              <w:rPr>
                <w:sz w:val="18"/>
                <w:szCs w:val="18"/>
              </w:rPr>
              <w:br/>
              <w:t>Le prix rémunère le matériel, le personnel qualifié et non qualifié (technicien, équipes maçons, manœuvres) et les matériaux nécessaires.</w:t>
            </w:r>
            <w:r w:rsidRPr="00156EEF">
              <w:rPr>
                <w:sz w:val="20"/>
              </w:rPr>
              <w:br/>
            </w:r>
            <w:r w:rsidRPr="00156EEF">
              <w:rPr>
                <w:sz w:val="20"/>
              </w:rPr>
              <w:br/>
            </w:r>
            <w:r w:rsidRPr="00156EEF">
              <w:rPr>
                <w:i/>
                <w:sz w:val="18"/>
                <w:szCs w:val="18"/>
              </w:rPr>
              <w:t>Ce prix s’applique au volume, en mètre cube (m3), de béton cyclopéen, avec comme valeur maximale celle obtenue à partir des plans d’exécution des ouvrages.</w:t>
            </w:r>
          </w:p>
        </w:tc>
        <w:tc>
          <w:tcPr>
            <w:tcW w:w="429" w:type="pct"/>
            <w:tcBorders>
              <w:top w:val="nil"/>
              <w:left w:val="nil"/>
              <w:bottom w:val="single" w:sz="8" w:space="0" w:color="auto"/>
              <w:right w:val="single" w:sz="8" w:space="0" w:color="auto"/>
            </w:tcBorders>
            <w:shd w:val="clear" w:color="auto" w:fill="auto"/>
            <w:vAlign w:val="center"/>
            <w:hideMark/>
          </w:tcPr>
          <w:p w14:paraId="44F77259" w14:textId="77777777" w:rsidR="00C312F3" w:rsidRPr="00156EEF" w:rsidRDefault="00C312F3" w:rsidP="009460FF">
            <w:pPr>
              <w:spacing w:after="0"/>
              <w:ind w:left="0" w:firstLine="0"/>
              <w:jc w:val="center"/>
              <w:rPr>
                <w:sz w:val="20"/>
              </w:rPr>
            </w:pPr>
            <w:r w:rsidRPr="00156EEF">
              <w:rPr>
                <w:sz w:val="20"/>
              </w:rPr>
              <w:t>m</w:t>
            </w:r>
            <w:r w:rsidRPr="00156EEF">
              <w:rPr>
                <w:sz w:val="20"/>
                <w:vertAlign w:val="superscript"/>
              </w:rPr>
              <w:t>3</w:t>
            </w:r>
          </w:p>
        </w:tc>
        <w:tc>
          <w:tcPr>
            <w:tcW w:w="608" w:type="pct"/>
            <w:tcBorders>
              <w:top w:val="nil"/>
              <w:left w:val="nil"/>
              <w:bottom w:val="single" w:sz="8" w:space="0" w:color="auto"/>
              <w:right w:val="nil"/>
            </w:tcBorders>
            <w:shd w:val="clear" w:color="auto" w:fill="auto"/>
            <w:vAlign w:val="center"/>
            <w:hideMark/>
          </w:tcPr>
          <w:p w14:paraId="63EA9500" w14:textId="77777777" w:rsidR="00C312F3" w:rsidRPr="00156EEF" w:rsidRDefault="00C312F3" w:rsidP="009460FF">
            <w:pPr>
              <w:spacing w:after="0"/>
              <w:ind w:left="0" w:firstLine="0"/>
              <w:jc w:val="center"/>
              <w:rPr>
                <w:rFonts w:ascii="Arial" w:hAnsi="Arial" w:cs="Arial"/>
                <w:sz w:val="20"/>
              </w:rPr>
            </w:pPr>
            <w:r w:rsidRPr="00156EEF">
              <w:rPr>
                <w:rFonts w:ascii="Arial" w:hAnsi="Arial" w:cs="Arial"/>
                <w:sz w:val="20"/>
              </w:rPr>
              <w:t xml:space="preserve"> </w:t>
            </w:r>
          </w:p>
        </w:tc>
        <w:tc>
          <w:tcPr>
            <w:tcW w:w="532" w:type="pct"/>
            <w:tcBorders>
              <w:top w:val="nil"/>
              <w:left w:val="single" w:sz="4" w:space="0" w:color="auto"/>
              <w:bottom w:val="single" w:sz="4" w:space="0" w:color="auto"/>
              <w:right w:val="single" w:sz="4" w:space="0" w:color="auto"/>
            </w:tcBorders>
            <w:shd w:val="clear" w:color="auto" w:fill="auto"/>
            <w:noWrap/>
            <w:vAlign w:val="bottom"/>
            <w:hideMark/>
          </w:tcPr>
          <w:p w14:paraId="39630495" w14:textId="77777777" w:rsidR="00C312F3" w:rsidRPr="00156EEF" w:rsidRDefault="00C312F3" w:rsidP="009460FF">
            <w:pPr>
              <w:spacing w:after="0"/>
              <w:ind w:left="0" w:firstLine="0"/>
              <w:jc w:val="left"/>
              <w:rPr>
                <w:rFonts w:ascii="Calibri" w:hAnsi="Calibri"/>
                <w:sz w:val="20"/>
              </w:rPr>
            </w:pPr>
            <w:r w:rsidRPr="00156EEF">
              <w:rPr>
                <w:rFonts w:ascii="Calibri" w:hAnsi="Calibri"/>
                <w:sz w:val="20"/>
              </w:rPr>
              <w:t> </w:t>
            </w:r>
          </w:p>
        </w:tc>
      </w:tr>
      <w:tr w:rsidR="00C312F3" w:rsidRPr="00156EEF" w14:paraId="25DB9F5C" w14:textId="77777777" w:rsidTr="009460FF">
        <w:trPr>
          <w:trHeight w:val="5490"/>
          <w:jc w:val="center"/>
        </w:trPr>
        <w:tc>
          <w:tcPr>
            <w:tcW w:w="302" w:type="pct"/>
            <w:tcBorders>
              <w:top w:val="single" w:sz="4" w:space="0" w:color="auto"/>
              <w:left w:val="double" w:sz="6" w:space="0" w:color="auto"/>
              <w:bottom w:val="single" w:sz="8" w:space="0" w:color="auto"/>
              <w:right w:val="single" w:sz="8" w:space="0" w:color="auto"/>
            </w:tcBorders>
            <w:shd w:val="clear" w:color="auto" w:fill="auto"/>
            <w:vAlign w:val="center"/>
            <w:hideMark/>
          </w:tcPr>
          <w:p w14:paraId="50E70078" w14:textId="77777777" w:rsidR="00C312F3" w:rsidRPr="00156EEF" w:rsidRDefault="00C312F3" w:rsidP="009460FF">
            <w:pPr>
              <w:spacing w:after="0"/>
              <w:ind w:left="0" w:firstLine="0"/>
              <w:jc w:val="center"/>
              <w:rPr>
                <w:rFonts w:ascii="Arial" w:hAnsi="Arial" w:cs="Arial"/>
                <w:sz w:val="20"/>
              </w:rPr>
            </w:pPr>
            <w:r w:rsidRPr="00156EEF">
              <w:rPr>
                <w:rFonts w:ascii="Arial" w:hAnsi="Arial" w:cs="Arial"/>
                <w:sz w:val="20"/>
              </w:rPr>
              <w:lastRenderedPageBreak/>
              <w:t>5.4</w:t>
            </w:r>
          </w:p>
        </w:tc>
        <w:tc>
          <w:tcPr>
            <w:tcW w:w="3129" w:type="pct"/>
            <w:tcBorders>
              <w:top w:val="single" w:sz="4" w:space="0" w:color="auto"/>
              <w:left w:val="nil"/>
              <w:bottom w:val="single" w:sz="8" w:space="0" w:color="auto"/>
              <w:right w:val="single" w:sz="8" w:space="0" w:color="auto"/>
            </w:tcBorders>
            <w:shd w:val="clear" w:color="auto" w:fill="auto"/>
            <w:vAlign w:val="center"/>
            <w:hideMark/>
          </w:tcPr>
          <w:p w14:paraId="4909D429" w14:textId="77777777" w:rsidR="00C312F3" w:rsidRPr="00156EEF" w:rsidRDefault="00C312F3" w:rsidP="009460FF">
            <w:pPr>
              <w:spacing w:after="0"/>
              <w:ind w:left="0" w:firstLine="0"/>
              <w:jc w:val="left"/>
              <w:rPr>
                <w:sz w:val="18"/>
                <w:szCs w:val="18"/>
              </w:rPr>
            </w:pPr>
            <w:r w:rsidRPr="00156EEF">
              <w:rPr>
                <w:b/>
                <w:bCs/>
                <w:sz w:val="20"/>
              </w:rPr>
              <w:t xml:space="preserve">Enduit gras dosé à 400 kg/m3 pour les murs bajoyers avec ajout du </w:t>
            </w:r>
            <w:proofErr w:type="spellStart"/>
            <w:r w:rsidRPr="00156EEF">
              <w:rPr>
                <w:b/>
                <w:bCs/>
                <w:sz w:val="20"/>
              </w:rPr>
              <w:t>sikhalite</w:t>
            </w:r>
            <w:proofErr w:type="spellEnd"/>
            <w:r w:rsidRPr="00156EEF">
              <w:rPr>
                <w:b/>
                <w:bCs/>
                <w:sz w:val="20"/>
              </w:rPr>
              <w:t xml:space="preserve"> dans la masse                                                                             </w:t>
            </w:r>
            <w:r w:rsidRPr="00156EEF">
              <w:rPr>
                <w:sz w:val="18"/>
                <w:szCs w:val="18"/>
              </w:rPr>
              <w:t xml:space="preserve">Ce prix rémunère la fourniture et la mise en œuvre d’enduit gras dosé à 400 kg/m3 avec dosage en produits d’étanchéité type </w:t>
            </w:r>
            <w:proofErr w:type="spellStart"/>
            <w:r w:rsidRPr="00156EEF">
              <w:rPr>
                <w:sz w:val="18"/>
                <w:szCs w:val="18"/>
              </w:rPr>
              <w:t>sikalite</w:t>
            </w:r>
            <w:proofErr w:type="spellEnd"/>
            <w:r w:rsidRPr="00156EEF">
              <w:rPr>
                <w:sz w:val="18"/>
                <w:szCs w:val="18"/>
              </w:rPr>
              <w:t xml:space="preserve"> pour la réalisation de l’étanchéité des ouvrages spécifiés conformément aux indications de l’ingénieur.</w:t>
            </w:r>
            <w:r w:rsidRPr="00156EEF">
              <w:rPr>
                <w:sz w:val="18"/>
                <w:szCs w:val="18"/>
              </w:rPr>
              <w:br/>
              <w:t xml:space="preserve">Le mortier est dosé à 400 kg de ciment CPJ 35 / m3 de mortier et avec du </w:t>
            </w:r>
            <w:proofErr w:type="spellStart"/>
            <w:r w:rsidRPr="00156EEF">
              <w:rPr>
                <w:sz w:val="18"/>
                <w:szCs w:val="18"/>
              </w:rPr>
              <w:t>sikalite</w:t>
            </w:r>
            <w:proofErr w:type="spellEnd"/>
            <w:r w:rsidRPr="00156EEF">
              <w:rPr>
                <w:sz w:val="18"/>
                <w:szCs w:val="18"/>
              </w:rPr>
              <w:t xml:space="preserve"> dosé à 8 kg / m3 de mortier (1kg de </w:t>
            </w:r>
            <w:proofErr w:type="spellStart"/>
            <w:r w:rsidRPr="00156EEF">
              <w:rPr>
                <w:sz w:val="18"/>
                <w:szCs w:val="18"/>
              </w:rPr>
              <w:t>sikalite</w:t>
            </w:r>
            <w:proofErr w:type="spellEnd"/>
            <w:r w:rsidRPr="00156EEF">
              <w:rPr>
                <w:sz w:val="18"/>
                <w:szCs w:val="18"/>
              </w:rPr>
              <w:t xml:space="preserve"> par sac de ciment). </w:t>
            </w:r>
            <w:r w:rsidRPr="00156EEF">
              <w:rPr>
                <w:sz w:val="18"/>
                <w:szCs w:val="18"/>
              </w:rPr>
              <w:br/>
              <w:t xml:space="preserve">Le </w:t>
            </w:r>
            <w:proofErr w:type="spellStart"/>
            <w:r w:rsidRPr="00156EEF">
              <w:rPr>
                <w:sz w:val="18"/>
                <w:szCs w:val="18"/>
              </w:rPr>
              <w:t>sikalite</w:t>
            </w:r>
            <w:proofErr w:type="spellEnd"/>
            <w:r w:rsidRPr="00156EEF">
              <w:rPr>
                <w:sz w:val="18"/>
                <w:szCs w:val="18"/>
              </w:rPr>
              <w:t xml:space="preserve"> est un hydrofuge en poudre que l’on incorpore dans le mortier pour l’imperméabiliser par son action de feutrage dans les capillaires. Il est facile à mettre en œuvre, il n’a aucune influence sur la vitesse de prise et le durcissement, ne diminue pas la résistance.</w:t>
            </w:r>
            <w:r w:rsidRPr="00156EEF">
              <w:rPr>
                <w:sz w:val="18"/>
                <w:szCs w:val="18"/>
              </w:rPr>
              <w:br/>
              <w:t>Le prix rémunère aussi la fourniture et la mise en place de polystyrène de remplissage des joints.</w:t>
            </w:r>
            <w:r w:rsidRPr="00156EEF">
              <w:rPr>
                <w:sz w:val="18"/>
                <w:szCs w:val="18"/>
              </w:rPr>
              <w:br/>
              <w:t>Ce prix comprend conformément aux spécifications des prescriptions techniques :</w:t>
            </w:r>
            <w:r w:rsidRPr="00156EEF">
              <w:rPr>
                <w:sz w:val="18"/>
                <w:szCs w:val="18"/>
              </w:rPr>
              <w:br/>
              <w:t>- La fourniture et le transport sur le lieu d’emploi de tous les matériaux nécessaires à la fabrication des enduits y compris les adjuvants, et aux coffrages ;</w:t>
            </w:r>
            <w:r w:rsidRPr="00156EEF">
              <w:rPr>
                <w:sz w:val="18"/>
                <w:szCs w:val="18"/>
              </w:rPr>
              <w:br/>
              <w:t>- Le stockage de ces matériaux ;</w:t>
            </w:r>
            <w:r w:rsidRPr="00156EEF">
              <w:rPr>
                <w:sz w:val="18"/>
                <w:szCs w:val="18"/>
              </w:rPr>
              <w:br/>
              <w:t>- La fabrication, les dosages nécessaires et la mise en œuvre des enduits ;</w:t>
            </w:r>
            <w:r w:rsidRPr="00156EEF">
              <w:rPr>
                <w:sz w:val="18"/>
                <w:szCs w:val="18"/>
              </w:rPr>
              <w:br/>
              <w:t>- La mise en place du polystyrène de bourrage de joints et les traitements de finition nécessaires ;</w:t>
            </w:r>
            <w:r w:rsidRPr="00156EEF">
              <w:rPr>
                <w:sz w:val="18"/>
                <w:szCs w:val="18"/>
              </w:rPr>
              <w:br/>
              <w:t>- La cure des enduits ;</w:t>
            </w:r>
            <w:r w:rsidRPr="00156EEF">
              <w:rPr>
                <w:sz w:val="18"/>
                <w:szCs w:val="18"/>
              </w:rPr>
              <w:br/>
              <w:t>- Et toutes sujétions d'exécution et de main d’œuvre qualifié et non qualifiée.</w:t>
            </w:r>
            <w:r w:rsidRPr="00156EEF">
              <w:rPr>
                <w:sz w:val="18"/>
                <w:szCs w:val="18"/>
              </w:rPr>
              <w:br/>
              <w:t>Le prix rémunère le matériel, le personnel qualifié et non qualifié (technicien, équipes maçons et manœuvres) et les matériaux nécessaires</w:t>
            </w:r>
          </w:p>
          <w:p w14:paraId="191CF733" w14:textId="77777777" w:rsidR="00C312F3" w:rsidRPr="00156EEF" w:rsidRDefault="00C312F3" w:rsidP="009460FF">
            <w:pPr>
              <w:spacing w:after="0"/>
              <w:ind w:left="0" w:firstLine="0"/>
              <w:jc w:val="left"/>
              <w:rPr>
                <w:b/>
                <w:bCs/>
                <w:sz w:val="20"/>
              </w:rPr>
            </w:pPr>
            <w:r w:rsidRPr="00156EEF">
              <w:rPr>
                <w:sz w:val="20"/>
              </w:rPr>
              <w:br/>
            </w:r>
            <w:r w:rsidRPr="00156EEF">
              <w:rPr>
                <w:i/>
                <w:sz w:val="18"/>
                <w:szCs w:val="18"/>
              </w:rPr>
              <w:t>Ce prix s’applique à la surface, en mètre carré (m2), d’enduit réalisé, avec comme valeur maximale celle obtenue à partir des plans d’exécution des ouvrages.</w:t>
            </w:r>
          </w:p>
        </w:tc>
        <w:tc>
          <w:tcPr>
            <w:tcW w:w="429" w:type="pct"/>
            <w:tcBorders>
              <w:top w:val="single" w:sz="4" w:space="0" w:color="auto"/>
              <w:left w:val="nil"/>
              <w:bottom w:val="single" w:sz="8" w:space="0" w:color="auto"/>
              <w:right w:val="single" w:sz="8" w:space="0" w:color="auto"/>
            </w:tcBorders>
            <w:shd w:val="clear" w:color="auto" w:fill="auto"/>
            <w:vAlign w:val="center"/>
            <w:hideMark/>
          </w:tcPr>
          <w:p w14:paraId="07440BE4" w14:textId="77777777" w:rsidR="00C312F3" w:rsidRPr="00156EEF" w:rsidRDefault="00C312F3" w:rsidP="009460FF">
            <w:pPr>
              <w:spacing w:after="0"/>
              <w:ind w:left="0" w:firstLine="0"/>
              <w:jc w:val="center"/>
              <w:rPr>
                <w:sz w:val="20"/>
              </w:rPr>
            </w:pPr>
            <w:r w:rsidRPr="00156EEF">
              <w:rPr>
                <w:sz w:val="20"/>
              </w:rPr>
              <w:t>m</w:t>
            </w:r>
            <w:r w:rsidRPr="00156EEF">
              <w:rPr>
                <w:sz w:val="20"/>
                <w:vertAlign w:val="superscript"/>
              </w:rPr>
              <w:t>2</w:t>
            </w:r>
          </w:p>
        </w:tc>
        <w:tc>
          <w:tcPr>
            <w:tcW w:w="608" w:type="pct"/>
            <w:tcBorders>
              <w:top w:val="single" w:sz="4" w:space="0" w:color="auto"/>
              <w:left w:val="nil"/>
              <w:bottom w:val="single" w:sz="8" w:space="0" w:color="auto"/>
              <w:right w:val="nil"/>
            </w:tcBorders>
            <w:shd w:val="clear" w:color="auto" w:fill="auto"/>
            <w:vAlign w:val="center"/>
            <w:hideMark/>
          </w:tcPr>
          <w:p w14:paraId="5888CB52" w14:textId="77777777" w:rsidR="00C312F3" w:rsidRPr="00156EEF" w:rsidRDefault="00C312F3" w:rsidP="009460FF">
            <w:pPr>
              <w:spacing w:after="0"/>
              <w:ind w:left="0" w:firstLine="0"/>
              <w:jc w:val="center"/>
              <w:rPr>
                <w:rFonts w:ascii="Arial" w:hAnsi="Arial" w:cs="Arial"/>
                <w:sz w:val="20"/>
              </w:rPr>
            </w:pPr>
            <w:r w:rsidRPr="00156EEF">
              <w:rPr>
                <w:rFonts w:ascii="Arial" w:hAnsi="Arial" w:cs="Arial"/>
                <w:sz w:val="20"/>
              </w:rPr>
              <w:t xml:space="preserve"> </w:t>
            </w:r>
          </w:p>
        </w:tc>
        <w:tc>
          <w:tcPr>
            <w:tcW w:w="53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ECEA0D" w14:textId="77777777" w:rsidR="00C312F3" w:rsidRPr="00156EEF" w:rsidRDefault="00C312F3" w:rsidP="009460FF">
            <w:pPr>
              <w:spacing w:after="0"/>
              <w:ind w:left="0" w:firstLine="0"/>
              <w:jc w:val="left"/>
              <w:rPr>
                <w:rFonts w:ascii="Calibri" w:hAnsi="Calibri"/>
                <w:sz w:val="20"/>
              </w:rPr>
            </w:pPr>
            <w:r w:rsidRPr="00156EEF">
              <w:rPr>
                <w:rFonts w:ascii="Calibri" w:hAnsi="Calibri"/>
                <w:sz w:val="20"/>
              </w:rPr>
              <w:t> </w:t>
            </w:r>
          </w:p>
        </w:tc>
      </w:tr>
      <w:tr w:rsidR="00C312F3" w:rsidRPr="00156EEF" w14:paraId="6FC3D908" w14:textId="77777777" w:rsidTr="009460FF">
        <w:trPr>
          <w:trHeight w:val="400"/>
          <w:jc w:val="center"/>
        </w:trPr>
        <w:tc>
          <w:tcPr>
            <w:tcW w:w="302" w:type="pct"/>
            <w:tcBorders>
              <w:top w:val="nil"/>
              <w:left w:val="double" w:sz="6" w:space="0" w:color="auto"/>
              <w:bottom w:val="single" w:sz="8" w:space="0" w:color="auto"/>
              <w:right w:val="single" w:sz="8" w:space="0" w:color="auto"/>
            </w:tcBorders>
            <w:shd w:val="clear" w:color="auto" w:fill="auto"/>
            <w:vAlign w:val="center"/>
            <w:hideMark/>
          </w:tcPr>
          <w:p w14:paraId="757D4D75" w14:textId="77777777" w:rsidR="00C312F3" w:rsidRPr="00156EEF" w:rsidRDefault="00C312F3" w:rsidP="009460FF">
            <w:pPr>
              <w:spacing w:after="0"/>
              <w:ind w:left="0" w:firstLine="0"/>
              <w:jc w:val="center"/>
              <w:rPr>
                <w:rFonts w:ascii="Arial" w:hAnsi="Arial" w:cs="Arial"/>
                <w:sz w:val="20"/>
              </w:rPr>
            </w:pPr>
            <w:r w:rsidRPr="00156EEF">
              <w:rPr>
                <w:rFonts w:ascii="Arial" w:hAnsi="Arial" w:cs="Arial"/>
                <w:sz w:val="20"/>
              </w:rPr>
              <w:t>5.5</w:t>
            </w:r>
          </w:p>
        </w:tc>
        <w:tc>
          <w:tcPr>
            <w:tcW w:w="3129" w:type="pct"/>
            <w:tcBorders>
              <w:top w:val="nil"/>
              <w:left w:val="nil"/>
              <w:bottom w:val="single" w:sz="8" w:space="0" w:color="auto"/>
              <w:right w:val="single" w:sz="8" w:space="0" w:color="auto"/>
            </w:tcBorders>
            <w:shd w:val="clear" w:color="auto" w:fill="auto"/>
            <w:hideMark/>
          </w:tcPr>
          <w:p w14:paraId="631174D1" w14:textId="77777777" w:rsidR="00C312F3" w:rsidRPr="00156EEF" w:rsidRDefault="00C312F3" w:rsidP="009460FF">
            <w:pPr>
              <w:spacing w:after="0"/>
              <w:ind w:left="0" w:firstLine="0"/>
              <w:jc w:val="left"/>
              <w:rPr>
                <w:sz w:val="18"/>
                <w:szCs w:val="18"/>
              </w:rPr>
            </w:pPr>
            <w:r w:rsidRPr="00156EEF">
              <w:rPr>
                <w:b/>
                <w:bCs/>
                <w:sz w:val="20"/>
              </w:rPr>
              <w:t>Remblai en argile homogène compacté à l'OPM pour le corps de la digue</w:t>
            </w:r>
            <w:r w:rsidRPr="00156EEF">
              <w:rPr>
                <w:sz w:val="20"/>
              </w:rPr>
              <w:t xml:space="preserve">                                                                                                                                  </w:t>
            </w:r>
            <w:r w:rsidRPr="00156EEF">
              <w:rPr>
                <w:sz w:val="18"/>
                <w:szCs w:val="18"/>
              </w:rPr>
              <w:t xml:space="preserve">Ce prix rémunère la réalisation d’un remblai d’argile homogène compacté pour les raccordements jusqu’à la côte projet par compactage aux engins lourds (compacteur à Rouleaux Tandem vibrants articulé 3.0 t à 5.0 t ) par couches successives de 20 cm au maximum, constaté contradictoirement par le Maître d’Œuvre et comprend le chargement, le transport, et le régalage d’argile sur les lieux de dépôt. </w:t>
            </w:r>
            <w:r w:rsidRPr="00156EEF">
              <w:rPr>
                <w:sz w:val="18"/>
                <w:szCs w:val="18"/>
              </w:rPr>
              <w:br/>
              <w:t>Ce prix comprend :</w:t>
            </w:r>
            <w:r w:rsidRPr="00156EEF">
              <w:rPr>
                <w:sz w:val="18"/>
                <w:szCs w:val="18"/>
              </w:rPr>
              <w:br/>
              <w:t>- Le débroussaillement et le décapage des zones d’emprunt ;</w:t>
            </w:r>
            <w:r w:rsidRPr="00156EEF">
              <w:rPr>
                <w:sz w:val="18"/>
                <w:szCs w:val="18"/>
              </w:rPr>
              <w:br/>
              <w:t>- Toutes les sujétions d’extraction des matériaux et l’extraction elle-même ;</w:t>
            </w:r>
            <w:r w:rsidRPr="00156EEF">
              <w:rPr>
                <w:sz w:val="18"/>
                <w:szCs w:val="18"/>
              </w:rPr>
              <w:br/>
              <w:t xml:space="preserve">- Le chargement et le transport des matériaux de remblai ; </w:t>
            </w:r>
            <w:r w:rsidRPr="00156EEF">
              <w:rPr>
                <w:sz w:val="18"/>
                <w:szCs w:val="18"/>
              </w:rPr>
              <w:br/>
              <w:t>- Le déchargement, l’épandage du matériau par couches d’épaisseurs maximales 20 cm, puis la mise en forme du remblai suivant le profil prévu au moyen d’une Niveleuse de type 14H Grader ;</w:t>
            </w:r>
            <w:r w:rsidRPr="00156EEF">
              <w:rPr>
                <w:sz w:val="18"/>
                <w:szCs w:val="18"/>
              </w:rPr>
              <w:br/>
              <w:t xml:space="preserve">- Les </w:t>
            </w:r>
            <w:proofErr w:type="spellStart"/>
            <w:r w:rsidRPr="00156EEF">
              <w:rPr>
                <w:sz w:val="18"/>
                <w:szCs w:val="18"/>
              </w:rPr>
              <w:t>surlargeurs</w:t>
            </w:r>
            <w:proofErr w:type="spellEnd"/>
            <w:r w:rsidRPr="00156EEF">
              <w:rPr>
                <w:sz w:val="18"/>
                <w:szCs w:val="18"/>
              </w:rPr>
              <w:t xml:space="preserve"> provisoires des remblais puis le taillage de ces talus ;</w:t>
            </w:r>
            <w:r w:rsidRPr="00156EEF">
              <w:rPr>
                <w:sz w:val="18"/>
                <w:szCs w:val="18"/>
              </w:rPr>
              <w:br/>
              <w:t>- La fourniture, le transport et l’épandage de l’eau éventuellement nécessaire à l’humidification des matériaux pour leur mise en œuvre ;</w:t>
            </w:r>
            <w:r w:rsidRPr="00156EEF">
              <w:rPr>
                <w:sz w:val="18"/>
                <w:szCs w:val="18"/>
              </w:rPr>
              <w:br/>
              <w:t>- Le compactage des matériaux par couches, à 95 % de l’OPM avec un compacteur à Rouleau de type Tandem vibrants articulé 3.0 t à 5.0 t ;</w:t>
            </w:r>
            <w:r w:rsidRPr="00156EEF">
              <w:rPr>
                <w:sz w:val="18"/>
                <w:szCs w:val="18"/>
              </w:rPr>
              <w:br/>
              <w:t>- La réalisation des essais de compacité exigés par l’ingénieur ;</w:t>
            </w:r>
            <w:r w:rsidRPr="00156EEF">
              <w:rPr>
                <w:sz w:val="18"/>
                <w:szCs w:val="18"/>
              </w:rPr>
              <w:br/>
              <w:t>- Le réglage de la plate-forme des terrassements conformément aux profils en travers avec une Niveleuse de type 14H Grader ;</w:t>
            </w:r>
            <w:r w:rsidRPr="00156EEF">
              <w:rPr>
                <w:sz w:val="18"/>
                <w:szCs w:val="18"/>
              </w:rPr>
              <w:br/>
              <w:t>- L'arrosage éventuel y compris la fourniture et le transport de l'eau de compactage ;</w:t>
            </w:r>
            <w:r w:rsidRPr="00156EEF">
              <w:rPr>
                <w:sz w:val="18"/>
                <w:szCs w:val="18"/>
              </w:rPr>
              <w:br/>
              <w:t>- Toutes sujétions d'exécution.</w:t>
            </w:r>
          </w:p>
          <w:p w14:paraId="2FBB64BF" w14:textId="77777777" w:rsidR="00C312F3" w:rsidRPr="00156EEF" w:rsidRDefault="00C312F3" w:rsidP="009460FF">
            <w:pPr>
              <w:spacing w:after="0"/>
              <w:ind w:left="0" w:firstLine="0"/>
              <w:jc w:val="left"/>
              <w:rPr>
                <w:b/>
                <w:bCs/>
                <w:sz w:val="20"/>
              </w:rPr>
            </w:pPr>
            <w:r w:rsidRPr="00156EEF">
              <w:rPr>
                <w:sz w:val="20"/>
              </w:rPr>
              <w:br/>
            </w:r>
            <w:r w:rsidRPr="00156EEF">
              <w:rPr>
                <w:i/>
                <w:sz w:val="18"/>
                <w:szCs w:val="18"/>
              </w:rPr>
              <w:t xml:space="preserve">Ce prix s’applique au mètre cube (m3), de remblais d’argile homogène compacté à l’OPM mise en place, avec comme valeur maximale celle </w:t>
            </w:r>
            <w:r w:rsidRPr="00156EEF">
              <w:rPr>
                <w:i/>
                <w:sz w:val="18"/>
                <w:szCs w:val="18"/>
              </w:rPr>
              <w:lastRenderedPageBreak/>
              <w:t>obtenue à partir du plan d'exécution des ouvrages.</w:t>
            </w:r>
          </w:p>
        </w:tc>
        <w:tc>
          <w:tcPr>
            <w:tcW w:w="429" w:type="pct"/>
            <w:tcBorders>
              <w:top w:val="nil"/>
              <w:left w:val="nil"/>
              <w:bottom w:val="single" w:sz="8" w:space="0" w:color="auto"/>
              <w:right w:val="single" w:sz="8" w:space="0" w:color="auto"/>
            </w:tcBorders>
            <w:shd w:val="clear" w:color="auto" w:fill="auto"/>
            <w:vAlign w:val="center"/>
            <w:hideMark/>
          </w:tcPr>
          <w:p w14:paraId="4314BFAA" w14:textId="77777777" w:rsidR="00C312F3" w:rsidRPr="00156EEF" w:rsidRDefault="00C312F3" w:rsidP="009460FF">
            <w:pPr>
              <w:spacing w:after="0"/>
              <w:ind w:left="0" w:firstLine="0"/>
              <w:jc w:val="center"/>
              <w:rPr>
                <w:sz w:val="20"/>
              </w:rPr>
            </w:pPr>
            <w:r w:rsidRPr="00156EEF">
              <w:rPr>
                <w:sz w:val="20"/>
              </w:rPr>
              <w:lastRenderedPageBreak/>
              <w:t>m</w:t>
            </w:r>
            <w:r w:rsidRPr="00156EEF">
              <w:rPr>
                <w:sz w:val="20"/>
                <w:vertAlign w:val="superscript"/>
              </w:rPr>
              <w:t>3</w:t>
            </w:r>
          </w:p>
        </w:tc>
        <w:tc>
          <w:tcPr>
            <w:tcW w:w="608" w:type="pct"/>
            <w:tcBorders>
              <w:top w:val="nil"/>
              <w:left w:val="nil"/>
              <w:bottom w:val="single" w:sz="8" w:space="0" w:color="auto"/>
              <w:right w:val="nil"/>
            </w:tcBorders>
            <w:shd w:val="clear" w:color="auto" w:fill="auto"/>
            <w:vAlign w:val="center"/>
            <w:hideMark/>
          </w:tcPr>
          <w:p w14:paraId="0E09B327" w14:textId="77777777" w:rsidR="00C312F3" w:rsidRPr="00156EEF" w:rsidRDefault="00C312F3" w:rsidP="009460FF">
            <w:pPr>
              <w:spacing w:after="0"/>
              <w:ind w:left="0" w:firstLine="0"/>
              <w:jc w:val="center"/>
              <w:rPr>
                <w:rFonts w:ascii="Arial" w:hAnsi="Arial" w:cs="Arial"/>
                <w:sz w:val="20"/>
              </w:rPr>
            </w:pPr>
            <w:r w:rsidRPr="00156EEF">
              <w:rPr>
                <w:rFonts w:ascii="Arial" w:hAnsi="Arial" w:cs="Arial"/>
                <w:sz w:val="20"/>
              </w:rPr>
              <w:t xml:space="preserve"> </w:t>
            </w:r>
          </w:p>
        </w:tc>
        <w:tc>
          <w:tcPr>
            <w:tcW w:w="532" w:type="pct"/>
            <w:tcBorders>
              <w:top w:val="nil"/>
              <w:left w:val="single" w:sz="4" w:space="0" w:color="auto"/>
              <w:bottom w:val="single" w:sz="4" w:space="0" w:color="auto"/>
              <w:right w:val="single" w:sz="4" w:space="0" w:color="auto"/>
            </w:tcBorders>
            <w:shd w:val="clear" w:color="auto" w:fill="auto"/>
            <w:noWrap/>
            <w:vAlign w:val="bottom"/>
            <w:hideMark/>
          </w:tcPr>
          <w:p w14:paraId="252AA334" w14:textId="77777777" w:rsidR="00C312F3" w:rsidRPr="00156EEF" w:rsidRDefault="00C312F3" w:rsidP="009460FF">
            <w:pPr>
              <w:spacing w:after="0"/>
              <w:ind w:left="0" w:firstLine="0"/>
              <w:jc w:val="left"/>
              <w:rPr>
                <w:rFonts w:ascii="Calibri" w:hAnsi="Calibri"/>
                <w:sz w:val="20"/>
              </w:rPr>
            </w:pPr>
            <w:r w:rsidRPr="00156EEF">
              <w:rPr>
                <w:rFonts w:ascii="Calibri" w:hAnsi="Calibri"/>
                <w:sz w:val="20"/>
              </w:rPr>
              <w:t> </w:t>
            </w:r>
          </w:p>
        </w:tc>
      </w:tr>
      <w:tr w:rsidR="00C312F3" w:rsidRPr="00156EEF" w14:paraId="7D4CA6B5" w14:textId="77777777" w:rsidTr="009460FF">
        <w:trPr>
          <w:trHeight w:val="4522"/>
          <w:jc w:val="center"/>
        </w:trPr>
        <w:tc>
          <w:tcPr>
            <w:tcW w:w="302" w:type="pct"/>
            <w:tcBorders>
              <w:top w:val="single" w:sz="4" w:space="0" w:color="auto"/>
              <w:left w:val="double" w:sz="6" w:space="0" w:color="auto"/>
              <w:bottom w:val="single" w:sz="8" w:space="0" w:color="auto"/>
              <w:right w:val="single" w:sz="8" w:space="0" w:color="auto"/>
            </w:tcBorders>
            <w:shd w:val="clear" w:color="auto" w:fill="auto"/>
            <w:vAlign w:val="center"/>
            <w:hideMark/>
          </w:tcPr>
          <w:p w14:paraId="4769EB43" w14:textId="77777777" w:rsidR="00C312F3" w:rsidRPr="00156EEF" w:rsidRDefault="00C312F3" w:rsidP="009460FF">
            <w:pPr>
              <w:spacing w:after="0"/>
              <w:ind w:left="0" w:firstLine="0"/>
              <w:jc w:val="center"/>
              <w:rPr>
                <w:rFonts w:ascii="Arial" w:hAnsi="Arial" w:cs="Arial"/>
                <w:sz w:val="20"/>
              </w:rPr>
            </w:pPr>
            <w:r w:rsidRPr="00156EEF">
              <w:rPr>
                <w:rFonts w:ascii="Arial" w:hAnsi="Arial" w:cs="Arial"/>
                <w:sz w:val="20"/>
              </w:rPr>
              <w:lastRenderedPageBreak/>
              <w:t>5.6</w:t>
            </w:r>
          </w:p>
        </w:tc>
        <w:tc>
          <w:tcPr>
            <w:tcW w:w="3129" w:type="pct"/>
            <w:tcBorders>
              <w:top w:val="single" w:sz="4" w:space="0" w:color="auto"/>
              <w:left w:val="nil"/>
              <w:bottom w:val="single" w:sz="8" w:space="0" w:color="auto"/>
              <w:right w:val="single" w:sz="8" w:space="0" w:color="auto"/>
            </w:tcBorders>
            <w:shd w:val="clear" w:color="000000" w:fill="FFFFFF"/>
            <w:hideMark/>
          </w:tcPr>
          <w:p w14:paraId="45733DC9" w14:textId="77777777" w:rsidR="00C312F3" w:rsidRPr="00156EEF" w:rsidRDefault="00C312F3" w:rsidP="009460FF">
            <w:pPr>
              <w:spacing w:after="0"/>
              <w:ind w:left="0" w:firstLine="0"/>
              <w:jc w:val="left"/>
              <w:rPr>
                <w:sz w:val="18"/>
                <w:szCs w:val="18"/>
              </w:rPr>
            </w:pPr>
            <w:r w:rsidRPr="00156EEF">
              <w:rPr>
                <w:b/>
                <w:bCs/>
                <w:sz w:val="20"/>
              </w:rPr>
              <w:t xml:space="preserve">Couche de roulement en graveleux latéritique compacté aux engins lourds - e = 20 cm </w:t>
            </w:r>
            <w:r w:rsidRPr="00156EEF">
              <w:rPr>
                <w:sz w:val="20"/>
              </w:rPr>
              <w:t xml:space="preserve">                                                                                                    </w:t>
            </w:r>
            <w:r w:rsidRPr="00156EEF">
              <w:rPr>
                <w:sz w:val="18"/>
                <w:szCs w:val="18"/>
              </w:rPr>
              <w:t xml:space="preserve">Ce prix rémunère l’exécution de la couche de roulement en graveleux latéritique d’épaisseur 20cm compactée l’OPM aux engins lourds, (compacteur à Rouleaux Tandem vibrants articulé 3.0 t à 5.0 t ) par couches successives de 20 cm au maximum, </w:t>
            </w:r>
            <w:proofErr w:type="spellStart"/>
            <w:r w:rsidRPr="00156EEF">
              <w:rPr>
                <w:sz w:val="18"/>
                <w:szCs w:val="18"/>
              </w:rPr>
              <w:t>onstatés</w:t>
            </w:r>
            <w:proofErr w:type="spellEnd"/>
            <w:r w:rsidRPr="00156EEF">
              <w:rPr>
                <w:sz w:val="18"/>
                <w:szCs w:val="18"/>
              </w:rPr>
              <w:t xml:space="preserve"> contradictoirement par le Maître d’Œuvre et comprend la fourniture et le transport sur le lieu de mise en œuvre tous les matériaux et matériels nécessaire à la réalisation de la structure. </w:t>
            </w:r>
            <w:r w:rsidRPr="00156EEF">
              <w:rPr>
                <w:sz w:val="18"/>
                <w:szCs w:val="18"/>
              </w:rPr>
              <w:br/>
              <w:t>Ce prix comprend :</w:t>
            </w:r>
            <w:r w:rsidRPr="00156EEF">
              <w:rPr>
                <w:sz w:val="18"/>
                <w:szCs w:val="18"/>
              </w:rPr>
              <w:br/>
              <w:t>- La fourniture et le transport sur le lieu d’emploi de tous les matériaux et matériels nécessaires à la réalisation de l’ouvrage.</w:t>
            </w:r>
            <w:r w:rsidRPr="00156EEF">
              <w:rPr>
                <w:sz w:val="18"/>
                <w:szCs w:val="18"/>
              </w:rPr>
              <w:br/>
              <w:t>- Le stockage de ces matériaux ;</w:t>
            </w:r>
            <w:r w:rsidRPr="00156EEF">
              <w:rPr>
                <w:sz w:val="18"/>
                <w:szCs w:val="18"/>
              </w:rPr>
              <w:br/>
              <w:t>- La mise en place et toutes sujétions d'exécution et de main d’œuvre qualifié et non qualifiée.</w:t>
            </w:r>
            <w:r w:rsidRPr="00156EEF">
              <w:rPr>
                <w:sz w:val="20"/>
              </w:rPr>
              <w:br/>
            </w:r>
            <w:r w:rsidRPr="00156EEF">
              <w:rPr>
                <w:sz w:val="18"/>
                <w:szCs w:val="18"/>
              </w:rPr>
              <w:t>L’entreprise est tenue de réaliser au moins à chaque section de 100 mètres (1 point à l’axe et 1 point sur chaque talus).</w:t>
            </w:r>
          </w:p>
          <w:p w14:paraId="711616B1" w14:textId="77777777" w:rsidR="00C312F3" w:rsidRPr="00156EEF" w:rsidRDefault="00C312F3" w:rsidP="009460FF">
            <w:pPr>
              <w:spacing w:after="0"/>
              <w:ind w:left="0" w:firstLine="0"/>
              <w:jc w:val="left"/>
              <w:rPr>
                <w:sz w:val="18"/>
                <w:szCs w:val="18"/>
              </w:rPr>
            </w:pPr>
          </w:p>
          <w:p w14:paraId="777179DC" w14:textId="77777777" w:rsidR="00C312F3" w:rsidRPr="00156EEF" w:rsidRDefault="00C312F3" w:rsidP="009460FF">
            <w:pPr>
              <w:spacing w:after="0"/>
              <w:ind w:left="0" w:firstLine="0"/>
              <w:jc w:val="left"/>
              <w:rPr>
                <w:b/>
                <w:bCs/>
                <w:sz w:val="20"/>
              </w:rPr>
            </w:pPr>
            <w:r w:rsidRPr="00156EEF">
              <w:rPr>
                <w:i/>
                <w:sz w:val="18"/>
                <w:szCs w:val="18"/>
              </w:rPr>
              <w:t>Ce prix s’applique au mètre cube (m3), de couche de roulement en graveleux latéritique compacté aux engins lourds mise en place, avec comme valeur maximale celle obtenue à partir du plan d'exécution des ouvrages.</w:t>
            </w:r>
          </w:p>
        </w:tc>
        <w:tc>
          <w:tcPr>
            <w:tcW w:w="429" w:type="pct"/>
            <w:tcBorders>
              <w:top w:val="single" w:sz="4" w:space="0" w:color="auto"/>
              <w:left w:val="nil"/>
              <w:bottom w:val="single" w:sz="8" w:space="0" w:color="auto"/>
              <w:right w:val="single" w:sz="8" w:space="0" w:color="auto"/>
            </w:tcBorders>
            <w:shd w:val="clear" w:color="000000" w:fill="FFFFFF"/>
            <w:noWrap/>
            <w:vAlign w:val="center"/>
            <w:hideMark/>
          </w:tcPr>
          <w:p w14:paraId="575CECF9" w14:textId="77777777" w:rsidR="00C312F3" w:rsidRPr="00156EEF" w:rsidRDefault="00C312F3" w:rsidP="009460FF">
            <w:pPr>
              <w:spacing w:after="0"/>
              <w:ind w:left="0" w:firstLine="0"/>
              <w:jc w:val="center"/>
              <w:rPr>
                <w:sz w:val="20"/>
              </w:rPr>
            </w:pPr>
            <w:r w:rsidRPr="00156EEF">
              <w:rPr>
                <w:sz w:val="20"/>
              </w:rPr>
              <w:t>m</w:t>
            </w:r>
            <w:r w:rsidRPr="00156EEF">
              <w:rPr>
                <w:sz w:val="20"/>
                <w:vertAlign w:val="superscript"/>
              </w:rPr>
              <w:t>3</w:t>
            </w:r>
          </w:p>
        </w:tc>
        <w:tc>
          <w:tcPr>
            <w:tcW w:w="608" w:type="pct"/>
            <w:tcBorders>
              <w:top w:val="single" w:sz="4" w:space="0" w:color="auto"/>
              <w:left w:val="nil"/>
              <w:bottom w:val="single" w:sz="8" w:space="0" w:color="auto"/>
              <w:right w:val="nil"/>
            </w:tcBorders>
            <w:shd w:val="clear" w:color="auto" w:fill="auto"/>
            <w:noWrap/>
            <w:vAlign w:val="center"/>
            <w:hideMark/>
          </w:tcPr>
          <w:p w14:paraId="22FBF6A2" w14:textId="77777777" w:rsidR="00C312F3" w:rsidRPr="00156EEF" w:rsidRDefault="00C312F3" w:rsidP="009460FF">
            <w:pPr>
              <w:spacing w:after="0"/>
              <w:ind w:left="0" w:firstLine="0"/>
              <w:jc w:val="center"/>
              <w:rPr>
                <w:rFonts w:ascii="Arial" w:hAnsi="Arial" w:cs="Arial"/>
                <w:sz w:val="20"/>
              </w:rPr>
            </w:pPr>
            <w:r w:rsidRPr="00156EEF">
              <w:rPr>
                <w:rFonts w:ascii="Arial" w:hAnsi="Arial" w:cs="Arial"/>
                <w:sz w:val="20"/>
              </w:rPr>
              <w:t xml:space="preserve"> </w:t>
            </w:r>
          </w:p>
        </w:tc>
        <w:tc>
          <w:tcPr>
            <w:tcW w:w="53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316717" w14:textId="77777777" w:rsidR="00C312F3" w:rsidRPr="00156EEF" w:rsidRDefault="00C312F3" w:rsidP="009460FF">
            <w:pPr>
              <w:spacing w:after="0"/>
              <w:ind w:left="0" w:firstLine="0"/>
              <w:jc w:val="left"/>
              <w:rPr>
                <w:rFonts w:ascii="Calibri" w:hAnsi="Calibri"/>
                <w:sz w:val="20"/>
              </w:rPr>
            </w:pPr>
            <w:r w:rsidRPr="00156EEF">
              <w:rPr>
                <w:rFonts w:ascii="Calibri" w:hAnsi="Calibri"/>
                <w:sz w:val="20"/>
              </w:rPr>
              <w:t> </w:t>
            </w:r>
          </w:p>
        </w:tc>
      </w:tr>
      <w:tr w:rsidR="00C312F3" w:rsidRPr="00156EEF" w14:paraId="70B37C42" w14:textId="77777777" w:rsidTr="009460FF">
        <w:trPr>
          <w:trHeight w:val="2970"/>
          <w:jc w:val="center"/>
        </w:trPr>
        <w:tc>
          <w:tcPr>
            <w:tcW w:w="302" w:type="pct"/>
            <w:tcBorders>
              <w:top w:val="nil"/>
              <w:left w:val="double" w:sz="6" w:space="0" w:color="auto"/>
              <w:bottom w:val="single" w:sz="8" w:space="0" w:color="auto"/>
              <w:right w:val="single" w:sz="8" w:space="0" w:color="auto"/>
            </w:tcBorders>
            <w:shd w:val="clear" w:color="auto" w:fill="auto"/>
            <w:vAlign w:val="center"/>
            <w:hideMark/>
          </w:tcPr>
          <w:p w14:paraId="00A4674B" w14:textId="77777777" w:rsidR="00C312F3" w:rsidRPr="00156EEF" w:rsidRDefault="00C312F3" w:rsidP="009460FF">
            <w:pPr>
              <w:spacing w:after="0"/>
              <w:ind w:left="0" w:firstLine="0"/>
              <w:jc w:val="center"/>
              <w:rPr>
                <w:rFonts w:ascii="Arial" w:hAnsi="Arial" w:cs="Arial"/>
                <w:sz w:val="20"/>
              </w:rPr>
            </w:pPr>
            <w:r w:rsidRPr="00156EEF">
              <w:rPr>
                <w:rFonts w:ascii="Arial" w:hAnsi="Arial" w:cs="Arial"/>
                <w:sz w:val="20"/>
              </w:rPr>
              <w:t>5.7</w:t>
            </w:r>
          </w:p>
        </w:tc>
        <w:tc>
          <w:tcPr>
            <w:tcW w:w="3129" w:type="pct"/>
            <w:tcBorders>
              <w:top w:val="nil"/>
              <w:left w:val="nil"/>
              <w:bottom w:val="single" w:sz="8" w:space="0" w:color="auto"/>
              <w:right w:val="single" w:sz="8" w:space="0" w:color="auto"/>
            </w:tcBorders>
            <w:shd w:val="clear" w:color="auto" w:fill="auto"/>
            <w:hideMark/>
          </w:tcPr>
          <w:p w14:paraId="3E1B4D56" w14:textId="77777777" w:rsidR="00C312F3" w:rsidRPr="00156EEF" w:rsidRDefault="00C312F3" w:rsidP="009460FF">
            <w:pPr>
              <w:spacing w:after="0"/>
              <w:ind w:left="0" w:firstLine="0"/>
              <w:jc w:val="left"/>
              <w:rPr>
                <w:sz w:val="20"/>
              </w:rPr>
            </w:pPr>
            <w:r w:rsidRPr="00156EEF">
              <w:rPr>
                <w:b/>
                <w:bCs/>
                <w:sz w:val="20"/>
              </w:rPr>
              <w:t>Empierrement libre pour la protection de la digue</w:t>
            </w:r>
            <w:r w:rsidRPr="00156EEF">
              <w:rPr>
                <w:sz w:val="20"/>
              </w:rPr>
              <w:t xml:space="preserve">                                                                                                                </w:t>
            </w:r>
            <w:r w:rsidRPr="00156EEF">
              <w:rPr>
                <w:sz w:val="18"/>
                <w:szCs w:val="18"/>
              </w:rPr>
              <w:t>Ce prix rémunère l’exécution de la protection de la digue de raccordement en enrochement libre en respectant les talus imposés conformément aux indications des plans.</w:t>
            </w:r>
            <w:r w:rsidRPr="00156EEF">
              <w:rPr>
                <w:sz w:val="18"/>
                <w:szCs w:val="18"/>
              </w:rPr>
              <w:br/>
              <w:t>L’épaisseur de l’enrochement varie de 30 à 40 cm au minimum.</w:t>
            </w:r>
            <w:r w:rsidRPr="00156EEF">
              <w:rPr>
                <w:sz w:val="18"/>
                <w:szCs w:val="18"/>
              </w:rPr>
              <w:br/>
              <w:t xml:space="preserve">Ce prix comprend : </w:t>
            </w:r>
            <w:r w:rsidRPr="00156EEF">
              <w:rPr>
                <w:sz w:val="18"/>
                <w:szCs w:val="18"/>
              </w:rPr>
              <w:br/>
              <w:t>- La fourniture et le transport sur le lieu d’emploi de tous les matériaux nécessaires à la réalisation de l’enrochement ;</w:t>
            </w:r>
            <w:r w:rsidRPr="00156EEF">
              <w:rPr>
                <w:sz w:val="18"/>
                <w:szCs w:val="18"/>
              </w:rPr>
              <w:br/>
              <w:t>- Le stockage de ces matériaux ;</w:t>
            </w:r>
            <w:r w:rsidRPr="00156EEF">
              <w:rPr>
                <w:sz w:val="18"/>
                <w:szCs w:val="18"/>
              </w:rPr>
              <w:br/>
              <w:t>- La mise en place, l’enragement des moellons de talus à la main et le jointoiement avec du gravillon et des éclats de pierre ;</w:t>
            </w:r>
            <w:r w:rsidRPr="00156EEF">
              <w:rPr>
                <w:sz w:val="18"/>
                <w:szCs w:val="18"/>
              </w:rPr>
              <w:br/>
              <w:t>- Et toutes sujétions d'exécution et de main d’œuvre qualifié et non qualifiée</w:t>
            </w:r>
            <w:r w:rsidRPr="00156EEF">
              <w:rPr>
                <w:sz w:val="20"/>
              </w:rPr>
              <w:t>.</w:t>
            </w:r>
          </w:p>
          <w:p w14:paraId="3872B2B6" w14:textId="77777777" w:rsidR="00C312F3" w:rsidRPr="00156EEF" w:rsidRDefault="00C312F3" w:rsidP="009460FF">
            <w:pPr>
              <w:spacing w:after="0"/>
              <w:ind w:left="0" w:firstLine="0"/>
              <w:jc w:val="left"/>
              <w:rPr>
                <w:b/>
                <w:bCs/>
                <w:sz w:val="20"/>
              </w:rPr>
            </w:pPr>
            <w:r w:rsidRPr="00156EEF">
              <w:rPr>
                <w:sz w:val="20"/>
              </w:rPr>
              <w:br/>
            </w:r>
            <w:r w:rsidRPr="00156EEF">
              <w:rPr>
                <w:i/>
                <w:sz w:val="18"/>
                <w:szCs w:val="18"/>
              </w:rPr>
              <w:t>Ce prix s’applique au volume, en mètre cube (m3), d’enrochement libre réalisé, avec comme valeur maximale celle obtenue à partir des plans d’exécution des ouvrages.</w:t>
            </w:r>
          </w:p>
        </w:tc>
        <w:tc>
          <w:tcPr>
            <w:tcW w:w="429" w:type="pct"/>
            <w:tcBorders>
              <w:top w:val="nil"/>
              <w:left w:val="nil"/>
              <w:bottom w:val="single" w:sz="8" w:space="0" w:color="auto"/>
              <w:right w:val="single" w:sz="8" w:space="0" w:color="auto"/>
            </w:tcBorders>
            <w:shd w:val="clear" w:color="auto" w:fill="auto"/>
            <w:vAlign w:val="center"/>
            <w:hideMark/>
          </w:tcPr>
          <w:p w14:paraId="233EC696" w14:textId="77777777" w:rsidR="00C312F3" w:rsidRPr="00156EEF" w:rsidRDefault="00C312F3" w:rsidP="009460FF">
            <w:pPr>
              <w:spacing w:after="0"/>
              <w:ind w:left="0" w:firstLine="0"/>
              <w:jc w:val="center"/>
              <w:rPr>
                <w:sz w:val="20"/>
              </w:rPr>
            </w:pPr>
            <w:r w:rsidRPr="00156EEF">
              <w:rPr>
                <w:sz w:val="20"/>
              </w:rPr>
              <w:t>m</w:t>
            </w:r>
            <w:r w:rsidRPr="00156EEF">
              <w:rPr>
                <w:sz w:val="20"/>
                <w:vertAlign w:val="superscript"/>
              </w:rPr>
              <w:t>3</w:t>
            </w:r>
          </w:p>
        </w:tc>
        <w:tc>
          <w:tcPr>
            <w:tcW w:w="608" w:type="pct"/>
            <w:tcBorders>
              <w:top w:val="nil"/>
              <w:left w:val="nil"/>
              <w:bottom w:val="single" w:sz="8" w:space="0" w:color="auto"/>
              <w:right w:val="nil"/>
            </w:tcBorders>
            <w:shd w:val="clear" w:color="auto" w:fill="auto"/>
            <w:vAlign w:val="center"/>
            <w:hideMark/>
          </w:tcPr>
          <w:p w14:paraId="3A55337F" w14:textId="77777777" w:rsidR="00C312F3" w:rsidRPr="00156EEF" w:rsidRDefault="00C312F3" w:rsidP="009460FF">
            <w:pPr>
              <w:spacing w:after="0"/>
              <w:ind w:left="0" w:firstLine="0"/>
              <w:jc w:val="center"/>
              <w:rPr>
                <w:rFonts w:ascii="Arial" w:hAnsi="Arial" w:cs="Arial"/>
                <w:sz w:val="20"/>
              </w:rPr>
            </w:pPr>
            <w:r w:rsidRPr="00156EEF">
              <w:rPr>
                <w:rFonts w:ascii="Arial" w:hAnsi="Arial" w:cs="Arial"/>
                <w:sz w:val="20"/>
              </w:rPr>
              <w:t xml:space="preserve"> </w:t>
            </w:r>
          </w:p>
        </w:tc>
        <w:tc>
          <w:tcPr>
            <w:tcW w:w="532" w:type="pct"/>
            <w:tcBorders>
              <w:top w:val="nil"/>
              <w:left w:val="single" w:sz="4" w:space="0" w:color="auto"/>
              <w:bottom w:val="single" w:sz="4" w:space="0" w:color="auto"/>
              <w:right w:val="single" w:sz="4" w:space="0" w:color="auto"/>
            </w:tcBorders>
            <w:shd w:val="clear" w:color="auto" w:fill="auto"/>
            <w:noWrap/>
            <w:vAlign w:val="bottom"/>
            <w:hideMark/>
          </w:tcPr>
          <w:p w14:paraId="71A56228" w14:textId="77777777" w:rsidR="00C312F3" w:rsidRPr="00156EEF" w:rsidRDefault="00C312F3" w:rsidP="009460FF">
            <w:pPr>
              <w:spacing w:after="0"/>
              <w:ind w:left="0" w:firstLine="0"/>
              <w:jc w:val="left"/>
              <w:rPr>
                <w:rFonts w:ascii="Calibri" w:hAnsi="Calibri"/>
                <w:sz w:val="20"/>
              </w:rPr>
            </w:pPr>
            <w:r w:rsidRPr="00156EEF">
              <w:rPr>
                <w:rFonts w:ascii="Calibri" w:hAnsi="Calibri"/>
                <w:sz w:val="20"/>
              </w:rPr>
              <w:t> </w:t>
            </w:r>
          </w:p>
        </w:tc>
      </w:tr>
      <w:tr w:rsidR="00C312F3" w:rsidRPr="00156EEF" w14:paraId="5F5B922F" w14:textId="77777777" w:rsidTr="00713378">
        <w:trPr>
          <w:trHeight w:val="49"/>
          <w:jc w:val="center"/>
        </w:trPr>
        <w:tc>
          <w:tcPr>
            <w:tcW w:w="302" w:type="pct"/>
            <w:tcBorders>
              <w:top w:val="nil"/>
              <w:left w:val="double" w:sz="6" w:space="0" w:color="auto"/>
              <w:bottom w:val="single" w:sz="8" w:space="0" w:color="auto"/>
              <w:right w:val="single" w:sz="8" w:space="0" w:color="auto"/>
            </w:tcBorders>
            <w:shd w:val="clear" w:color="auto" w:fill="auto"/>
            <w:vAlign w:val="center"/>
            <w:hideMark/>
          </w:tcPr>
          <w:p w14:paraId="30B2E730" w14:textId="77777777" w:rsidR="00C312F3" w:rsidRPr="00156EEF" w:rsidRDefault="00C312F3" w:rsidP="009460FF">
            <w:pPr>
              <w:spacing w:after="0"/>
              <w:ind w:left="0" w:firstLine="0"/>
              <w:jc w:val="center"/>
              <w:rPr>
                <w:rFonts w:ascii="Arial" w:hAnsi="Arial" w:cs="Arial"/>
                <w:sz w:val="20"/>
              </w:rPr>
            </w:pPr>
          </w:p>
        </w:tc>
        <w:tc>
          <w:tcPr>
            <w:tcW w:w="3129" w:type="pct"/>
            <w:tcBorders>
              <w:top w:val="nil"/>
              <w:left w:val="nil"/>
              <w:bottom w:val="nil"/>
              <w:right w:val="single" w:sz="8" w:space="0" w:color="auto"/>
            </w:tcBorders>
            <w:shd w:val="clear" w:color="auto" w:fill="auto"/>
            <w:vAlign w:val="center"/>
            <w:hideMark/>
          </w:tcPr>
          <w:p w14:paraId="5A5BF5FA" w14:textId="77777777" w:rsidR="00C312F3" w:rsidRPr="00156EEF" w:rsidRDefault="00C312F3" w:rsidP="009460FF">
            <w:pPr>
              <w:spacing w:after="0"/>
              <w:ind w:left="0" w:firstLine="0"/>
              <w:jc w:val="right"/>
              <w:rPr>
                <w:b/>
                <w:bCs/>
                <w:sz w:val="20"/>
              </w:rPr>
            </w:pPr>
            <w:r w:rsidRPr="00156EEF">
              <w:rPr>
                <w:rFonts w:ascii="Arial" w:hAnsi="Arial" w:cs="Arial"/>
                <w:b/>
                <w:bCs/>
                <w:sz w:val="20"/>
              </w:rPr>
              <w:t>Total Série 5</w:t>
            </w:r>
          </w:p>
        </w:tc>
        <w:tc>
          <w:tcPr>
            <w:tcW w:w="429" w:type="pct"/>
            <w:tcBorders>
              <w:top w:val="nil"/>
              <w:left w:val="nil"/>
              <w:bottom w:val="nil"/>
              <w:right w:val="single" w:sz="8" w:space="0" w:color="auto"/>
            </w:tcBorders>
            <w:shd w:val="clear" w:color="auto" w:fill="auto"/>
            <w:vAlign w:val="center"/>
            <w:hideMark/>
          </w:tcPr>
          <w:p w14:paraId="14F853FC" w14:textId="77777777" w:rsidR="00C312F3" w:rsidRPr="00156EEF" w:rsidRDefault="00C312F3" w:rsidP="009460FF">
            <w:pPr>
              <w:spacing w:after="0"/>
              <w:ind w:left="0" w:firstLine="0"/>
              <w:rPr>
                <w:sz w:val="20"/>
              </w:rPr>
            </w:pPr>
          </w:p>
        </w:tc>
        <w:tc>
          <w:tcPr>
            <w:tcW w:w="608" w:type="pct"/>
            <w:tcBorders>
              <w:top w:val="nil"/>
              <w:left w:val="nil"/>
              <w:bottom w:val="nil"/>
              <w:right w:val="nil"/>
            </w:tcBorders>
            <w:shd w:val="clear" w:color="auto" w:fill="auto"/>
            <w:vAlign w:val="center"/>
            <w:hideMark/>
          </w:tcPr>
          <w:p w14:paraId="15BAAE0F" w14:textId="77777777" w:rsidR="00C312F3" w:rsidRPr="00156EEF" w:rsidRDefault="00C312F3" w:rsidP="009460FF">
            <w:pPr>
              <w:spacing w:after="0"/>
              <w:ind w:left="0" w:firstLine="0"/>
              <w:jc w:val="center"/>
              <w:rPr>
                <w:rFonts w:ascii="Arial" w:hAnsi="Arial" w:cs="Arial"/>
                <w:sz w:val="20"/>
              </w:rPr>
            </w:pPr>
            <w:r w:rsidRPr="00156EEF">
              <w:rPr>
                <w:rFonts w:ascii="Arial" w:hAnsi="Arial" w:cs="Arial"/>
                <w:sz w:val="20"/>
              </w:rPr>
              <w:t xml:space="preserve"> </w:t>
            </w:r>
          </w:p>
        </w:tc>
        <w:tc>
          <w:tcPr>
            <w:tcW w:w="532" w:type="pct"/>
            <w:tcBorders>
              <w:top w:val="nil"/>
              <w:left w:val="single" w:sz="4" w:space="0" w:color="auto"/>
              <w:bottom w:val="single" w:sz="4" w:space="0" w:color="auto"/>
              <w:right w:val="single" w:sz="4" w:space="0" w:color="auto"/>
            </w:tcBorders>
            <w:shd w:val="clear" w:color="auto" w:fill="auto"/>
            <w:noWrap/>
            <w:vAlign w:val="bottom"/>
            <w:hideMark/>
          </w:tcPr>
          <w:p w14:paraId="35B4422D" w14:textId="77777777" w:rsidR="00C312F3" w:rsidRPr="00156EEF" w:rsidRDefault="00C312F3" w:rsidP="009460FF">
            <w:pPr>
              <w:spacing w:after="0"/>
              <w:ind w:left="0" w:firstLine="0"/>
              <w:jc w:val="left"/>
              <w:rPr>
                <w:rFonts w:ascii="Calibri" w:hAnsi="Calibri"/>
                <w:sz w:val="20"/>
              </w:rPr>
            </w:pPr>
            <w:r w:rsidRPr="00156EEF">
              <w:rPr>
                <w:rFonts w:ascii="Calibri" w:hAnsi="Calibri"/>
                <w:sz w:val="20"/>
              </w:rPr>
              <w:t> </w:t>
            </w:r>
          </w:p>
        </w:tc>
      </w:tr>
      <w:tr w:rsidR="00C312F3" w:rsidRPr="00156EEF" w14:paraId="157E2ECF" w14:textId="77777777" w:rsidTr="00713378">
        <w:trPr>
          <w:trHeight w:val="49"/>
          <w:jc w:val="center"/>
        </w:trPr>
        <w:tc>
          <w:tcPr>
            <w:tcW w:w="302" w:type="pct"/>
            <w:tcBorders>
              <w:top w:val="nil"/>
              <w:left w:val="double" w:sz="6" w:space="0" w:color="auto"/>
              <w:bottom w:val="single" w:sz="8" w:space="0" w:color="auto"/>
              <w:right w:val="single" w:sz="8" w:space="0" w:color="auto"/>
            </w:tcBorders>
            <w:shd w:val="clear" w:color="auto" w:fill="auto"/>
            <w:vAlign w:val="center"/>
          </w:tcPr>
          <w:p w14:paraId="57040D1C" w14:textId="77777777" w:rsidR="00C312F3" w:rsidRPr="00156EEF" w:rsidRDefault="00C312F3" w:rsidP="009460FF">
            <w:pPr>
              <w:spacing w:after="0"/>
              <w:ind w:left="0" w:firstLine="0"/>
              <w:jc w:val="center"/>
              <w:rPr>
                <w:rFonts w:ascii="Arial" w:hAnsi="Arial" w:cs="Arial"/>
                <w:sz w:val="20"/>
              </w:rPr>
            </w:pPr>
          </w:p>
        </w:tc>
        <w:tc>
          <w:tcPr>
            <w:tcW w:w="3129" w:type="pct"/>
            <w:tcBorders>
              <w:top w:val="single" w:sz="8" w:space="0" w:color="auto"/>
              <w:left w:val="nil"/>
              <w:bottom w:val="single" w:sz="8" w:space="0" w:color="auto"/>
              <w:right w:val="single" w:sz="8" w:space="0" w:color="auto"/>
            </w:tcBorders>
            <w:shd w:val="clear" w:color="auto" w:fill="auto"/>
            <w:vAlign w:val="center"/>
          </w:tcPr>
          <w:p w14:paraId="5177C490" w14:textId="77777777" w:rsidR="00C312F3" w:rsidRPr="00156EEF" w:rsidRDefault="00C312F3" w:rsidP="009460FF">
            <w:pPr>
              <w:spacing w:after="0"/>
              <w:ind w:left="0" w:firstLine="0"/>
              <w:jc w:val="left"/>
              <w:rPr>
                <w:rFonts w:ascii="Arial" w:hAnsi="Arial" w:cs="Arial"/>
                <w:b/>
                <w:bCs/>
                <w:sz w:val="20"/>
              </w:rPr>
            </w:pPr>
            <w:r w:rsidRPr="00156EEF">
              <w:rPr>
                <w:rFonts w:ascii="Arial" w:hAnsi="Arial" w:cs="Arial"/>
                <w:b/>
                <w:bCs/>
                <w:sz w:val="20"/>
              </w:rPr>
              <w:t>Série VI-ACCESSOIRE</w:t>
            </w:r>
          </w:p>
        </w:tc>
        <w:tc>
          <w:tcPr>
            <w:tcW w:w="429" w:type="pct"/>
            <w:tcBorders>
              <w:top w:val="single" w:sz="8" w:space="0" w:color="auto"/>
              <w:left w:val="nil"/>
              <w:bottom w:val="single" w:sz="8" w:space="0" w:color="auto"/>
              <w:right w:val="single" w:sz="8" w:space="0" w:color="auto"/>
            </w:tcBorders>
            <w:shd w:val="clear" w:color="auto" w:fill="auto"/>
            <w:vAlign w:val="center"/>
          </w:tcPr>
          <w:p w14:paraId="7ABC9689" w14:textId="77777777" w:rsidR="00C312F3" w:rsidRPr="00156EEF" w:rsidRDefault="00C312F3" w:rsidP="009460FF">
            <w:pPr>
              <w:spacing w:after="0"/>
              <w:ind w:left="0" w:firstLine="0"/>
              <w:jc w:val="center"/>
              <w:rPr>
                <w:sz w:val="20"/>
              </w:rPr>
            </w:pPr>
          </w:p>
        </w:tc>
        <w:tc>
          <w:tcPr>
            <w:tcW w:w="608" w:type="pct"/>
            <w:tcBorders>
              <w:top w:val="single" w:sz="8" w:space="0" w:color="auto"/>
              <w:left w:val="nil"/>
              <w:bottom w:val="single" w:sz="8" w:space="0" w:color="auto"/>
              <w:right w:val="nil"/>
            </w:tcBorders>
            <w:shd w:val="clear" w:color="auto" w:fill="auto"/>
            <w:vAlign w:val="center"/>
          </w:tcPr>
          <w:p w14:paraId="2FE7F7E3" w14:textId="77777777" w:rsidR="00C312F3" w:rsidRPr="00156EEF" w:rsidRDefault="00C312F3" w:rsidP="009460FF">
            <w:pPr>
              <w:spacing w:after="0"/>
              <w:ind w:left="0" w:firstLine="0"/>
              <w:jc w:val="left"/>
              <w:rPr>
                <w:rFonts w:ascii="Arial" w:hAnsi="Arial" w:cs="Arial"/>
                <w:sz w:val="20"/>
              </w:rPr>
            </w:pPr>
          </w:p>
        </w:tc>
        <w:tc>
          <w:tcPr>
            <w:tcW w:w="532" w:type="pct"/>
            <w:tcBorders>
              <w:top w:val="nil"/>
              <w:left w:val="single" w:sz="4" w:space="0" w:color="auto"/>
              <w:bottom w:val="single" w:sz="4" w:space="0" w:color="auto"/>
              <w:right w:val="single" w:sz="4" w:space="0" w:color="auto"/>
            </w:tcBorders>
            <w:shd w:val="clear" w:color="auto" w:fill="auto"/>
            <w:noWrap/>
            <w:vAlign w:val="bottom"/>
          </w:tcPr>
          <w:p w14:paraId="711D8B84" w14:textId="77777777" w:rsidR="00C312F3" w:rsidRPr="00156EEF" w:rsidRDefault="00C312F3" w:rsidP="009460FF">
            <w:pPr>
              <w:spacing w:after="0"/>
              <w:ind w:left="0" w:firstLine="0"/>
              <w:jc w:val="left"/>
              <w:rPr>
                <w:rFonts w:ascii="Calibri" w:hAnsi="Calibri"/>
                <w:sz w:val="20"/>
              </w:rPr>
            </w:pPr>
          </w:p>
        </w:tc>
      </w:tr>
      <w:tr w:rsidR="00C312F3" w:rsidRPr="00B90483" w14:paraId="3B96E222" w14:textId="77777777" w:rsidTr="00117B7F">
        <w:trPr>
          <w:trHeight w:val="49"/>
          <w:jc w:val="center"/>
        </w:trPr>
        <w:tc>
          <w:tcPr>
            <w:tcW w:w="302" w:type="pct"/>
            <w:tcBorders>
              <w:top w:val="nil"/>
              <w:left w:val="double" w:sz="6" w:space="0" w:color="auto"/>
              <w:bottom w:val="single" w:sz="8" w:space="0" w:color="auto"/>
              <w:right w:val="single" w:sz="8" w:space="0" w:color="auto"/>
            </w:tcBorders>
            <w:shd w:val="clear" w:color="auto" w:fill="auto"/>
            <w:vAlign w:val="center"/>
          </w:tcPr>
          <w:p w14:paraId="24D66563" w14:textId="77777777" w:rsidR="00C312F3" w:rsidRPr="00B90483" w:rsidRDefault="00C312F3" w:rsidP="009460FF">
            <w:pPr>
              <w:spacing w:after="0"/>
              <w:ind w:left="0" w:firstLine="0"/>
              <w:jc w:val="center"/>
              <w:rPr>
                <w:rFonts w:ascii="Arial" w:hAnsi="Arial" w:cs="Arial"/>
                <w:sz w:val="20"/>
              </w:rPr>
            </w:pPr>
            <w:r w:rsidRPr="00B90483">
              <w:rPr>
                <w:rFonts w:ascii="Arial" w:hAnsi="Arial" w:cs="Arial"/>
                <w:sz w:val="20"/>
              </w:rPr>
              <w:t>6.1</w:t>
            </w:r>
          </w:p>
        </w:tc>
        <w:tc>
          <w:tcPr>
            <w:tcW w:w="3129" w:type="pct"/>
            <w:tcBorders>
              <w:top w:val="single" w:sz="8" w:space="0" w:color="auto"/>
              <w:left w:val="nil"/>
              <w:bottom w:val="single" w:sz="8" w:space="0" w:color="auto"/>
              <w:right w:val="single" w:sz="8" w:space="0" w:color="auto"/>
            </w:tcBorders>
            <w:shd w:val="clear" w:color="auto" w:fill="auto"/>
            <w:vAlign w:val="center"/>
          </w:tcPr>
          <w:p w14:paraId="4FFC448E" w14:textId="52B47463" w:rsidR="00C312F3" w:rsidRPr="00B90483" w:rsidRDefault="00C312F3" w:rsidP="009460FF">
            <w:pPr>
              <w:spacing w:after="0"/>
              <w:ind w:left="0" w:firstLine="0"/>
              <w:jc w:val="left"/>
              <w:rPr>
                <w:sz w:val="18"/>
                <w:szCs w:val="18"/>
              </w:rPr>
            </w:pPr>
            <w:r w:rsidRPr="00B90483">
              <w:rPr>
                <w:b/>
                <w:bCs/>
                <w:sz w:val="20"/>
              </w:rPr>
              <w:t xml:space="preserve">Panneaux d'information                                                                                                                           </w:t>
            </w:r>
            <w:r w:rsidRPr="00B90483">
              <w:rPr>
                <w:sz w:val="20"/>
              </w:rPr>
              <w:t xml:space="preserve"> </w:t>
            </w:r>
            <w:r w:rsidRPr="00B90483">
              <w:rPr>
                <w:sz w:val="18"/>
                <w:szCs w:val="18"/>
              </w:rPr>
              <w:t xml:space="preserve">Ce prix rémunère la fourniture et la mise en place de panneaux selon les spécifications de l’ingénieur. </w:t>
            </w:r>
            <w:r w:rsidRPr="00B90483">
              <w:rPr>
                <w:sz w:val="18"/>
                <w:szCs w:val="18"/>
              </w:rPr>
              <w:br/>
              <w:t>Ce prix comprend :</w:t>
            </w:r>
            <w:r w:rsidRPr="00B90483">
              <w:rPr>
                <w:sz w:val="18"/>
                <w:szCs w:val="18"/>
              </w:rPr>
              <w:br/>
              <w:t xml:space="preserve">- La fourniture des panneaux confectionnés conformément aux spécifications de l’ingénieur. La qualité et le type de fer employé seront soumis à l’appréciation de l’ingénieur. Les panneaux seront fixés sur des supports en IPN100 solidement ancrés. </w:t>
            </w:r>
            <w:r w:rsidRPr="00B90483">
              <w:rPr>
                <w:sz w:val="18"/>
                <w:szCs w:val="18"/>
              </w:rPr>
              <w:br/>
              <w:t>Ce prix comprend :</w:t>
            </w:r>
            <w:r w:rsidRPr="00B90483">
              <w:rPr>
                <w:sz w:val="18"/>
                <w:szCs w:val="18"/>
              </w:rPr>
              <w:br/>
              <w:t xml:space="preserve">- La fourniture des matériaux (ciment, agrégats etc.) et accessoires de pose </w:t>
            </w:r>
            <w:r w:rsidRPr="00B90483">
              <w:rPr>
                <w:sz w:val="18"/>
                <w:szCs w:val="18"/>
              </w:rPr>
              <w:br/>
              <w:t>- La réalisation des fouilles nécessaires ;</w:t>
            </w:r>
            <w:r w:rsidRPr="00B90483">
              <w:rPr>
                <w:sz w:val="18"/>
                <w:szCs w:val="18"/>
              </w:rPr>
              <w:br/>
              <w:t>- La pose des panneaux ;</w:t>
            </w:r>
            <w:r w:rsidRPr="00B90483">
              <w:rPr>
                <w:sz w:val="18"/>
                <w:szCs w:val="18"/>
              </w:rPr>
              <w:br/>
              <w:t>- L’exécution des différents raccordements au niveau des ouvrages ;</w:t>
            </w:r>
            <w:r w:rsidRPr="00B90483">
              <w:rPr>
                <w:sz w:val="18"/>
                <w:szCs w:val="18"/>
              </w:rPr>
              <w:br/>
              <w:t>- Et toutes sujétions d'exécution et de main d’œuvre qualifié et non qualifiée</w:t>
            </w:r>
          </w:p>
          <w:p w14:paraId="1BDEE144" w14:textId="77777777" w:rsidR="00C312F3" w:rsidRPr="00B90483" w:rsidRDefault="00C312F3" w:rsidP="009460FF">
            <w:pPr>
              <w:spacing w:after="0"/>
              <w:ind w:left="0" w:firstLine="0"/>
              <w:jc w:val="left"/>
              <w:rPr>
                <w:i/>
                <w:sz w:val="18"/>
                <w:szCs w:val="18"/>
              </w:rPr>
            </w:pPr>
          </w:p>
          <w:p w14:paraId="5074B3D6" w14:textId="77777777" w:rsidR="00C312F3" w:rsidRPr="00B90483" w:rsidRDefault="00C312F3" w:rsidP="009460FF">
            <w:pPr>
              <w:spacing w:after="0"/>
              <w:ind w:left="0" w:firstLine="0"/>
              <w:jc w:val="left"/>
              <w:rPr>
                <w:rFonts w:ascii="Arial" w:hAnsi="Arial" w:cs="Arial"/>
                <w:b/>
                <w:bCs/>
                <w:sz w:val="20"/>
              </w:rPr>
            </w:pPr>
            <w:r w:rsidRPr="00B90483">
              <w:rPr>
                <w:i/>
                <w:sz w:val="18"/>
                <w:szCs w:val="18"/>
              </w:rPr>
              <w:t>Ce prix s’applique à l’unité de panneau, fournis et mis en place constatée par l’ingénieur</w:t>
            </w:r>
          </w:p>
        </w:tc>
        <w:tc>
          <w:tcPr>
            <w:tcW w:w="429" w:type="pct"/>
            <w:tcBorders>
              <w:top w:val="single" w:sz="8" w:space="0" w:color="auto"/>
              <w:left w:val="nil"/>
              <w:bottom w:val="single" w:sz="8" w:space="0" w:color="auto"/>
              <w:right w:val="single" w:sz="8" w:space="0" w:color="auto"/>
            </w:tcBorders>
            <w:shd w:val="clear" w:color="auto" w:fill="auto"/>
            <w:vAlign w:val="center"/>
          </w:tcPr>
          <w:p w14:paraId="2823F32F" w14:textId="77777777" w:rsidR="00C312F3" w:rsidRPr="00B90483" w:rsidRDefault="00C312F3" w:rsidP="009460FF">
            <w:pPr>
              <w:spacing w:after="0"/>
              <w:ind w:left="0" w:firstLine="0"/>
              <w:jc w:val="center"/>
              <w:rPr>
                <w:sz w:val="20"/>
              </w:rPr>
            </w:pPr>
            <w:r w:rsidRPr="00B90483">
              <w:rPr>
                <w:sz w:val="20"/>
              </w:rPr>
              <w:t>u</w:t>
            </w:r>
          </w:p>
        </w:tc>
        <w:tc>
          <w:tcPr>
            <w:tcW w:w="608" w:type="pct"/>
            <w:tcBorders>
              <w:top w:val="single" w:sz="8" w:space="0" w:color="auto"/>
              <w:left w:val="nil"/>
              <w:bottom w:val="single" w:sz="8" w:space="0" w:color="auto"/>
              <w:right w:val="nil"/>
            </w:tcBorders>
            <w:shd w:val="clear" w:color="auto" w:fill="auto"/>
            <w:vAlign w:val="center"/>
          </w:tcPr>
          <w:p w14:paraId="06350EC5" w14:textId="77777777" w:rsidR="00C312F3" w:rsidRPr="00B90483" w:rsidRDefault="00C312F3" w:rsidP="009460FF">
            <w:pPr>
              <w:spacing w:after="0"/>
              <w:ind w:left="0" w:firstLine="0"/>
              <w:jc w:val="left"/>
              <w:rPr>
                <w:rFonts w:ascii="Arial" w:hAnsi="Arial" w:cs="Arial"/>
                <w:sz w:val="20"/>
              </w:rPr>
            </w:pPr>
          </w:p>
        </w:tc>
        <w:tc>
          <w:tcPr>
            <w:tcW w:w="532" w:type="pct"/>
            <w:tcBorders>
              <w:top w:val="nil"/>
              <w:left w:val="single" w:sz="4" w:space="0" w:color="auto"/>
              <w:bottom w:val="single" w:sz="4" w:space="0" w:color="auto"/>
              <w:right w:val="single" w:sz="4" w:space="0" w:color="auto"/>
            </w:tcBorders>
            <w:shd w:val="clear" w:color="auto" w:fill="auto"/>
            <w:noWrap/>
            <w:vAlign w:val="bottom"/>
          </w:tcPr>
          <w:p w14:paraId="3C8453FD" w14:textId="77777777" w:rsidR="00C312F3" w:rsidRPr="00B90483" w:rsidRDefault="00C312F3" w:rsidP="009460FF">
            <w:pPr>
              <w:spacing w:after="0"/>
              <w:ind w:left="0" w:firstLine="0"/>
              <w:jc w:val="left"/>
              <w:rPr>
                <w:rFonts w:ascii="Calibri" w:hAnsi="Calibri"/>
                <w:sz w:val="20"/>
              </w:rPr>
            </w:pPr>
          </w:p>
        </w:tc>
      </w:tr>
      <w:tr w:rsidR="00C312F3" w:rsidRPr="00B90483" w14:paraId="47B9A33C" w14:textId="77777777" w:rsidTr="00713378">
        <w:trPr>
          <w:trHeight w:val="49"/>
          <w:jc w:val="center"/>
        </w:trPr>
        <w:tc>
          <w:tcPr>
            <w:tcW w:w="302" w:type="pct"/>
            <w:tcBorders>
              <w:top w:val="nil"/>
              <w:left w:val="double" w:sz="6" w:space="0" w:color="auto"/>
              <w:bottom w:val="single" w:sz="8" w:space="0" w:color="auto"/>
              <w:right w:val="single" w:sz="8" w:space="0" w:color="auto"/>
            </w:tcBorders>
            <w:shd w:val="clear" w:color="auto" w:fill="auto"/>
            <w:vAlign w:val="center"/>
            <w:hideMark/>
          </w:tcPr>
          <w:p w14:paraId="266E084C" w14:textId="77777777" w:rsidR="00C312F3" w:rsidRPr="00B90483" w:rsidRDefault="00C312F3" w:rsidP="009460FF">
            <w:pPr>
              <w:spacing w:after="0"/>
              <w:ind w:left="0" w:firstLine="0"/>
              <w:jc w:val="center"/>
              <w:rPr>
                <w:rFonts w:ascii="Arial" w:hAnsi="Arial" w:cs="Arial"/>
                <w:sz w:val="20"/>
              </w:rPr>
            </w:pPr>
            <w:r w:rsidRPr="00B90483">
              <w:rPr>
                <w:rFonts w:ascii="Arial" w:hAnsi="Arial" w:cs="Arial"/>
                <w:sz w:val="20"/>
              </w:rPr>
              <w:lastRenderedPageBreak/>
              <w:t> </w:t>
            </w:r>
          </w:p>
        </w:tc>
        <w:tc>
          <w:tcPr>
            <w:tcW w:w="3129" w:type="pct"/>
            <w:tcBorders>
              <w:top w:val="single" w:sz="8" w:space="0" w:color="auto"/>
              <w:left w:val="nil"/>
              <w:bottom w:val="single" w:sz="8" w:space="0" w:color="auto"/>
              <w:right w:val="single" w:sz="8" w:space="0" w:color="auto"/>
            </w:tcBorders>
            <w:shd w:val="clear" w:color="auto" w:fill="auto"/>
            <w:vAlign w:val="center"/>
            <w:hideMark/>
          </w:tcPr>
          <w:p w14:paraId="66410C32" w14:textId="77777777" w:rsidR="00C312F3" w:rsidRPr="00B90483" w:rsidRDefault="00C312F3" w:rsidP="009460FF">
            <w:pPr>
              <w:spacing w:after="0"/>
              <w:ind w:left="0" w:firstLine="0"/>
              <w:jc w:val="right"/>
              <w:rPr>
                <w:rFonts w:ascii="Arial" w:hAnsi="Arial" w:cs="Arial"/>
                <w:b/>
                <w:bCs/>
                <w:sz w:val="20"/>
              </w:rPr>
            </w:pPr>
            <w:r w:rsidRPr="00B90483">
              <w:rPr>
                <w:rFonts w:ascii="Arial" w:hAnsi="Arial" w:cs="Arial"/>
                <w:b/>
                <w:bCs/>
                <w:sz w:val="20"/>
              </w:rPr>
              <w:t>Total Série 6</w:t>
            </w:r>
          </w:p>
        </w:tc>
        <w:tc>
          <w:tcPr>
            <w:tcW w:w="429" w:type="pct"/>
            <w:tcBorders>
              <w:top w:val="single" w:sz="8" w:space="0" w:color="auto"/>
              <w:left w:val="nil"/>
              <w:bottom w:val="single" w:sz="8" w:space="0" w:color="auto"/>
              <w:right w:val="single" w:sz="8" w:space="0" w:color="auto"/>
            </w:tcBorders>
            <w:shd w:val="clear" w:color="auto" w:fill="auto"/>
            <w:vAlign w:val="center"/>
            <w:hideMark/>
          </w:tcPr>
          <w:p w14:paraId="687DCA08" w14:textId="77777777" w:rsidR="00C312F3" w:rsidRPr="00B90483" w:rsidRDefault="00C312F3" w:rsidP="009460FF">
            <w:pPr>
              <w:spacing w:after="0"/>
              <w:ind w:left="0" w:firstLine="0"/>
              <w:jc w:val="center"/>
              <w:rPr>
                <w:sz w:val="20"/>
              </w:rPr>
            </w:pPr>
            <w:r w:rsidRPr="00B90483">
              <w:rPr>
                <w:sz w:val="20"/>
              </w:rPr>
              <w:t> </w:t>
            </w:r>
          </w:p>
        </w:tc>
        <w:tc>
          <w:tcPr>
            <w:tcW w:w="608" w:type="pct"/>
            <w:tcBorders>
              <w:top w:val="single" w:sz="8" w:space="0" w:color="auto"/>
              <w:left w:val="nil"/>
              <w:bottom w:val="single" w:sz="8" w:space="0" w:color="auto"/>
              <w:right w:val="nil"/>
            </w:tcBorders>
            <w:shd w:val="clear" w:color="auto" w:fill="auto"/>
            <w:vAlign w:val="center"/>
            <w:hideMark/>
          </w:tcPr>
          <w:p w14:paraId="3CBC7604" w14:textId="77777777" w:rsidR="00C312F3" w:rsidRPr="00B90483" w:rsidRDefault="00C312F3" w:rsidP="009460FF">
            <w:pPr>
              <w:spacing w:after="0"/>
              <w:ind w:left="0" w:firstLine="0"/>
              <w:jc w:val="left"/>
              <w:rPr>
                <w:rFonts w:ascii="Arial" w:hAnsi="Arial" w:cs="Arial"/>
                <w:sz w:val="20"/>
              </w:rPr>
            </w:pPr>
            <w:r w:rsidRPr="00B90483">
              <w:rPr>
                <w:rFonts w:ascii="Arial" w:hAnsi="Arial" w:cs="Arial"/>
                <w:sz w:val="20"/>
              </w:rPr>
              <w:t> </w:t>
            </w:r>
          </w:p>
        </w:tc>
        <w:tc>
          <w:tcPr>
            <w:tcW w:w="532" w:type="pct"/>
            <w:tcBorders>
              <w:top w:val="nil"/>
              <w:left w:val="single" w:sz="4" w:space="0" w:color="auto"/>
              <w:bottom w:val="single" w:sz="4" w:space="0" w:color="auto"/>
              <w:right w:val="single" w:sz="4" w:space="0" w:color="auto"/>
            </w:tcBorders>
            <w:shd w:val="clear" w:color="auto" w:fill="auto"/>
            <w:noWrap/>
            <w:vAlign w:val="bottom"/>
            <w:hideMark/>
          </w:tcPr>
          <w:p w14:paraId="25083A84" w14:textId="77777777" w:rsidR="00C312F3" w:rsidRPr="00B90483" w:rsidRDefault="00C312F3" w:rsidP="009460FF">
            <w:pPr>
              <w:spacing w:after="0"/>
              <w:ind w:left="0" w:firstLine="0"/>
              <w:jc w:val="left"/>
              <w:rPr>
                <w:rFonts w:ascii="Calibri" w:hAnsi="Calibri"/>
                <w:sz w:val="20"/>
              </w:rPr>
            </w:pPr>
            <w:r w:rsidRPr="00B90483">
              <w:rPr>
                <w:rFonts w:ascii="Calibri" w:hAnsi="Calibri"/>
                <w:sz w:val="20"/>
              </w:rPr>
              <w:t> </w:t>
            </w:r>
          </w:p>
        </w:tc>
      </w:tr>
      <w:tr w:rsidR="00C312F3" w:rsidRPr="00B90483" w14:paraId="7A97A4EE" w14:textId="77777777" w:rsidTr="009460FF">
        <w:trPr>
          <w:trHeight w:val="37"/>
          <w:jc w:val="center"/>
        </w:trPr>
        <w:tc>
          <w:tcPr>
            <w:tcW w:w="302" w:type="pct"/>
            <w:tcBorders>
              <w:top w:val="nil"/>
              <w:left w:val="double" w:sz="6" w:space="0" w:color="auto"/>
              <w:bottom w:val="nil"/>
              <w:right w:val="single" w:sz="8" w:space="0" w:color="auto"/>
            </w:tcBorders>
            <w:shd w:val="clear" w:color="000000" w:fill="C0C0C0"/>
            <w:noWrap/>
            <w:vAlign w:val="center"/>
            <w:hideMark/>
          </w:tcPr>
          <w:p w14:paraId="37B80100" w14:textId="77777777" w:rsidR="00C312F3" w:rsidRPr="00B90483" w:rsidRDefault="00C312F3" w:rsidP="009460FF">
            <w:pPr>
              <w:spacing w:after="0"/>
              <w:ind w:left="0" w:firstLine="0"/>
              <w:jc w:val="center"/>
              <w:rPr>
                <w:rFonts w:ascii="Arial" w:hAnsi="Arial" w:cs="Arial"/>
                <w:sz w:val="20"/>
              </w:rPr>
            </w:pPr>
            <w:r w:rsidRPr="00B90483">
              <w:rPr>
                <w:rFonts w:ascii="Arial" w:hAnsi="Arial" w:cs="Arial"/>
                <w:sz w:val="20"/>
              </w:rPr>
              <w:t> </w:t>
            </w:r>
          </w:p>
        </w:tc>
        <w:tc>
          <w:tcPr>
            <w:tcW w:w="3129" w:type="pct"/>
            <w:tcBorders>
              <w:top w:val="nil"/>
              <w:left w:val="nil"/>
              <w:bottom w:val="nil"/>
              <w:right w:val="single" w:sz="8" w:space="0" w:color="auto"/>
            </w:tcBorders>
            <w:shd w:val="clear" w:color="000000" w:fill="C0C0C0"/>
            <w:vAlign w:val="center"/>
            <w:hideMark/>
          </w:tcPr>
          <w:p w14:paraId="290B2C6D" w14:textId="77777777" w:rsidR="00C312F3" w:rsidRPr="00B90483" w:rsidRDefault="00C312F3" w:rsidP="009460FF">
            <w:pPr>
              <w:spacing w:after="0"/>
              <w:ind w:left="0" w:firstLine="0"/>
              <w:jc w:val="left"/>
              <w:rPr>
                <w:rFonts w:ascii="Arial" w:hAnsi="Arial" w:cs="Arial"/>
                <w:b/>
                <w:bCs/>
                <w:sz w:val="20"/>
              </w:rPr>
            </w:pPr>
            <w:r w:rsidRPr="00B90483">
              <w:rPr>
                <w:rFonts w:ascii="Arial" w:hAnsi="Arial" w:cs="Arial"/>
                <w:b/>
                <w:bCs/>
                <w:sz w:val="20"/>
              </w:rPr>
              <w:t>Total Général (DIGUE N°01)</w:t>
            </w:r>
          </w:p>
        </w:tc>
        <w:tc>
          <w:tcPr>
            <w:tcW w:w="429" w:type="pct"/>
            <w:tcBorders>
              <w:top w:val="nil"/>
              <w:left w:val="nil"/>
              <w:bottom w:val="nil"/>
              <w:right w:val="single" w:sz="8" w:space="0" w:color="auto"/>
            </w:tcBorders>
            <w:shd w:val="clear" w:color="000000" w:fill="C0C0C0"/>
            <w:noWrap/>
            <w:vAlign w:val="center"/>
            <w:hideMark/>
          </w:tcPr>
          <w:p w14:paraId="2CB419C1" w14:textId="77777777" w:rsidR="00C312F3" w:rsidRPr="00B90483" w:rsidRDefault="00C312F3" w:rsidP="009460FF">
            <w:pPr>
              <w:spacing w:after="0"/>
              <w:ind w:left="0" w:firstLine="0"/>
              <w:jc w:val="center"/>
              <w:rPr>
                <w:sz w:val="20"/>
              </w:rPr>
            </w:pPr>
            <w:r w:rsidRPr="00B90483">
              <w:rPr>
                <w:sz w:val="20"/>
              </w:rPr>
              <w:t> </w:t>
            </w:r>
          </w:p>
        </w:tc>
        <w:tc>
          <w:tcPr>
            <w:tcW w:w="608" w:type="pct"/>
            <w:tcBorders>
              <w:top w:val="nil"/>
              <w:left w:val="nil"/>
              <w:bottom w:val="nil"/>
              <w:right w:val="nil"/>
            </w:tcBorders>
            <w:shd w:val="clear" w:color="000000" w:fill="C0C0C0"/>
            <w:noWrap/>
            <w:vAlign w:val="center"/>
            <w:hideMark/>
          </w:tcPr>
          <w:p w14:paraId="144CD7E2" w14:textId="77777777" w:rsidR="00C312F3" w:rsidRPr="00B90483" w:rsidRDefault="00C312F3" w:rsidP="009460FF">
            <w:pPr>
              <w:spacing w:after="0"/>
              <w:ind w:left="0" w:firstLine="0"/>
              <w:jc w:val="left"/>
              <w:rPr>
                <w:rFonts w:ascii="Arial" w:hAnsi="Arial" w:cs="Arial"/>
                <w:sz w:val="20"/>
              </w:rPr>
            </w:pPr>
            <w:r w:rsidRPr="00B90483">
              <w:rPr>
                <w:rFonts w:ascii="Arial" w:hAnsi="Arial" w:cs="Arial"/>
                <w:sz w:val="20"/>
              </w:rPr>
              <w:t> </w:t>
            </w:r>
          </w:p>
        </w:tc>
        <w:tc>
          <w:tcPr>
            <w:tcW w:w="532" w:type="pct"/>
            <w:tcBorders>
              <w:top w:val="nil"/>
              <w:left w:val="single" w:sz="4" w:space="0" w:color="auto"/>
              <w:bottom w:val="nil"/>
              <w:right w:val="single" w:sz="4" w:space="0" w:color="auto"/>
            </w:tcBorders>
            <w:shd w:val="clear" w:color="auto" w:fill="auto"/>
            <w:noWrap/>
            <w:vAlign w:val="bottom"/>
            <w:hideMark/>
          </w:tcPr>
          <w:p w14:paraId="6302B99D" w14:textId="77777777" w:rsidR="00C312F3" w:rsidRPr="00B90483" w:rsidRDefault="00C312F3" w:rsidP="009460FF">
            <w:pPr>
              <w:spacing w:after="0"/>
              <w:ind w:left="0" w:firstLine="0"/>
              <w:jc w:val="left"/>
              <w:rPr>
                <w:rFonts w:ascii="Calibri" w:hAnsi="Calibri"/>
                <w:sz w:val="20"/>
              </w:rPr>
            </w:pPr>
            <w:r w:rsidRPr="00B90483">
              <w:rPr>
                <w:rFonts w:ascii="Calibri" w:hAnsi="Calibri"/>
                <w:sz w:val="20"/>
              </w:rPr>
              <w:t> </w:t>
            </w:r>
          </w:p>
        </w:tc>
      </w:tr>
      <w:tr w:rsidR="00C312F3" w:rsidRPr="00B90483" w14:paraId="55B26189" w14:textId="77777777" w:rsidTr="00117B7F">
        <w:trPr>
          <w:trHeight w:val="69"/>
          <w:jc w:val="center"/>
        </w:trPr>
        <w:tc>
          <w:tcPr>
            <w:tcW w:w="302" w:type="pct"/>
            <w:tcBorders>
              <w:top w:val="nil"/>
              <w:left w:val="double" w:sz="6" w:space="0" w:color="auto"/>
              <w:bottom w:val="double" w:sz="6" w:space="0" w:color="auto"/>
              <w:right w:val="single" w:sz="8" w:space="0" w:color="auto"/>
            </w:tcBorders>
            <w:shd w:val="clear" w:color="000000" w:fill="C0C0C0"/>
            <w:noWrap/>
            <w:vAlign w:val="center"/>
          </w:tcPr>
          <w:p w14:paraId="269F4A0E" w14:textId="77777777" w:rsidR="00C312F3" w:rsidRPr="00B90483" w:rsidRDefault="00C312F3" w:rsidP="009460FF">
            <w:pPr>
              <w:spacing w:after="0"/>
              <w:ind w:left="0" w:firstLine="0"/>
              <w:jc w:val="center"/>
              <w:rPr>
                <w:rFonts w:ascii="Arial" w:hAnsi="Arial" w:cs="Arial"/>
                <w:sz w:val="20"/>
              </w:rPr>
            </w:pPr>
          </w:p>
        </w:tc>
        <w:tc>
          <w:tcPr>
            <w:tcW w:w="3129" w:type="pct"/>
            <w:tcBorders>
              <w:top w:val="nil"/>
              <w:left w:val="nil"/>
              <w:bottom w:val="double" w:sz="6" w:space="0" w:color="auto"/>
              <w:right w:val="single" w:sz="8" w:space="0" w:color="auto"/>
            </w:tcBorders>
            <w:shd w:val="clear" w:color="000000" w:fill="C0C0C0"/>
            <w:vAlign w:val="center"/>
          </w:tcPr>
          <w:p w14:paraId="47E8BDD9" w14:textId="77777777" w:rsidR="00C312F3" w:rsidRPr="00B90483" w:rsidRDefault="00C312F3" w:rsidP="009460FF">
            <w:pPr>
              <w:spacing w:after="0"/>
              <w:ind w:left="0" w:firstLine="0"/>
              <w:jc w:val="left"/>
              <w:rPr>
                <w:rFonts w:ascii="Arial" w:hAnsi="Arial" w:cs="Arial"/>
                <w:b/>
                <w:bCs/>
                <w:sz w:val="20"/>
              </w:rPr>
            </w:pPr>
          </w:p>
        </w:tc>
        <w:tc>
          <w:tcPr>
            <w:tcW w:w="429" w:type="pct"/>
            <w:tcBorders>
              <w:top w:val="nil"/>
              <w:left w:val="nil"/>
              <w:bottom w:val="double" w:sz="6" w:space="0" w:color="auto"/>
              <w:right w:val="single" w:sz="8" w:space="0" w:color="auto"/>
            </w:tcBorders>
            <w:shd w:val="clear" w:color="000000" w:fill="C0C0C0"/>
            <w:noWrap/>
            <w:vAlign w:val="center"/>
          </w:tcPr>
          <w:p w14:paraId="46C8019A" w14:textId="77777777" w:rsidR="00C312F3" w:rsidRPr="00B90483" w:rsidRDefault="00C312F3" w:rsidP="009460FF">
            <w:pPr>
              <w:spacing w:after="0"/>
              <w:ind w:left="0" w:firstLine="0"/>
              <w:jc w:val="center"/>
              <w:rPr>
                <w:sz w:val="20"/>
              </w:rPr>
            </w:pPr>
          </w:p>
        </w:tc>
        <w:tc>
          <w:tcPr>
            <w:tcW w:w="608" w:type="pct"/>
            <w:tcBorders>
              <w:top w:val="nil"/>
              <w:left w:val="nil"/>
              <w:bottom w:val="double" w:sz="6" w:space="0" w:color="auto"/>
              <w:right w:val="nil"/>
            </w:tcBorders>
            <w:shd w:val="clear" w:color="000000" w:fill="C0C0C0"/>
            <w:noWrap/>
            <w:vAlign w:val="center"/>
          </w:tcPr>
          <w:p w14:paraId="01F24DA3" w14:textId="77777777" w:rsidR="00C312F3" w:rsidRPr="00B90483" w:rsidRDefault="00C312F3" w:rsidP="009460FF">
            <w:pPr>
              <w:spacing w:after="0"/>
              <w:ind w:left="0" w:firstLine="0"/>
              <w:jc w:val="left"/>
              <w:rPr>
                <w:rFonts w:ascii="Arial" w:hAnsi="Arial" w:cs="Arial"/>
                <w:sz w:val="20"/>
              </w:rPr>
            </w:pPr>
          </w:p>
        </w:tc>
        <w:tc>
          <w:tcPr>
            <w:tcW w:w="532" w:type="pct"/>
            <w:tcBorders>
              <w:top w:val="nil"/>
              <w:left w:val="single" w:sz="4" w:space="0" w:color="auto"/>
              <w:bottom w:val="single" w:sz="4" w:space="0" w:color="auto"/>
              <w:right w:val="single" w:sz="4" w:space="0" w:color="auto"/>
            </w:tcBorders>
            <w:shd w:val="clear" w:color="auto" w:fill="auto"/>
            <w:noWrap/>
            <w:vAlign w:val="bottom"/>
          </w:tcPr>
          <w:p w14:paraId="47990DC7" w14:textId="77777777" w:rsidR="00C312F3" w:rsidRPr="00B90483" w:rsidRDefault="00C312F3" w:rsidP="009460FF">
            <w:pPr>
              <w:spacing w:after="0"/>
              <w:ind w:left="0" w:firstLine="0"/>
              <w:jc w:val="left"/>
              <w:rPr>
                <w:rFonts w:ascii="Calibri" w:hAnsi="Calibri"/>
                <w:sz w:val="20"/>
              </w:rPr>
            </w:pPr>
          </w:p>
        </w:tc>
      </w:tr>
    </w:tbl>
    <w:p w14:paraId="3754B83C" w14:textId="77777777" w:rsidR="00C312F3" w:rsidRPr="00B90483" w:rsidRDefault="00C312F3" w:rsidP="00C312F3">
      <w:pPr>
        <w:spacing w:after="0"/>
        <w:ind w:left="0" w:firstLine="0"/>
        <w:jc w:val="left"/>
        <w:rPr>
          <w:szCs w:val="24"/>
          <w:lang w:eastAsia="en-US"/>
        </w:rPr>
      </w:pPr>
    </w:p>
    <w:p w14:paraId="482CAC1D" w14:textId="6D4F7478" w:rsidR="00C312F3" w:rsidRPr="00470F7C" w:rsidRDefault="00C312F3" w:rsidP="00606A49">
      <w:pPr>
        <w:spacing w:after="0"/>
        <w:ind w:left="0" w:firstLine="0"/>
        <w:jc w:val="center"/>
        <w:rPr>
          <w:szCs w:val="24"/>
          <w:lang w:eastAsia="en-US"/>
        </w:rPr>
      </w:pPr>
      <w:r w:rsidRPr="00470F7C">
        <w:rPr>
          <w:szCs w:val="24"/>
          <w:lang w:eastAsia="en-US"/>
        </w:rPr>
        <w:t>Fait à …………………le………………………………202</w:t>
      </w:r>
      <w:r w:rsidR="00606A49" w:rsidRPr="00470F7C">
        <w:rPr>
          <w:szCs w:val="24"/>
          <w:lang w:eastAsia="en-US"/>
        </w:rPr>
        <w:t>1</w:t>
      </w:r>
    </w:p>
    <w:p w14:paraId="74D3B7F6" w14:textId="77777777" w:rsidR="00C312F3" w:rsidRPr="00B90483" w:rsidRDefault="00C312F3" w:rsidP="00C312F3">
      <w:pPr>
        <w:spacing w:after="0"/>
        <w:ind w:left="0" w:firstLine="0"/>
        <w:jc w:val="left"/>
        <w:rPr>
          <w:b/>
          <w:szCs w:val="24"/>
          <w:lang w:eastAsia="en-US"/>
        </w:rPr>
      </w:pPr>
    </w:p>
    <w:p w14:paraId="794559FD" w14:textId="77777777" w:rsidR="00C312F3" w:rsidRPr="00B90483" w:rsidRDefault="00C312F3" w:rsidP="00C312F3">
      <w:pPr>
        <w:spacing w:after="0"/>
        <w:ind w:left="0" w:firstLine="0"/>
        <w:jc w:val="left"/>
        <w:rPr>
          <w:szCs w:val="24"/>
          <w:lang w:eastAsia="en-US"/>
        </w:rPr>
      </w:pPr>
      <w:r w:rsidRPr="00B90483">
        <w:rPr>
          <w:b/>
          <w:szCs w:val="24"/>
          <w:lang w:eastAsia="en-US"/>
        </w:rPr>
        <w:t xml:space="preserve">                                                                                                                 </w:t>
      </w:r>
      <w:r w:rsidRPr="00B90483">
        <w:rPr>
          <w:szCs w:val="24"/>
          <w:lang w:eastAsia="en-US"/>
        </w:rPr>
        <w:t>Le Soumissionnaire</w:t>
      </w:r>
    </w:p>
    <w:p w14:paraId="2A25EB05" w14:textId="725F3A0E" w:rsidR="00C312F3" w:rsidRDefault="00C312F3" w:rsidP="00A53835">
      <w:pPr>
        <w:spacing w:after="0"/>
        <w:ind w:left="0" w:firstLine="0"/>
        <w:jc w:val="left"/>
        <w:rPr>
          <w:b/>
          <w:color w:val="FF0000"/>
          <w:szCs w:val="24"/>
        </w:rPr>
      </w:pPr>
    </w:p>
    <w:p w14:paraId="4A431EA0" w14:textId="0BFABD90" w:rsidR="00872A49" w:rsidRDefault="00872A49" w:rsidP="00A53835">
      <w:pPr>
        <w:spacing w:after="0"/>
        <w:ind w:left="0" w:firstLine="0"/>
        <w:jc w:val="left"/>
        <w:rPr>
          <w:b/>
          <w:color w:val="FF0000"/>
          <w:szCs w:val="24"/>
        </w:rPr>
      </w:pPr>
    </w:p>
    <w:p w14:paraId="2D470432" w14:textId="1878C590" w:rsidR="00872A49" w:rsidRDefault="00872A49" w:rsidP="00A53835">
      <w:pPr>
        <w:spacing w:after="0"/>
        <w:ind w:left="0" w:firstLine="0"/>
        <w:jc w:val="left"/>
        <w:rPr>
          <w:b/>
          <w:color w:val="FF0000"/>
          <w:szCs w:val="24"/>
        </w:rPr>
      </w:pPr>
    </w:p>
    <w:p w14:paraId="6C3FDF28" w14:textId="6960E40F" w:rsidR="00872A49" w:rsidRDefault="00872A49" w:rsidP="00A53835">
      <w:pPr>
        <w:spacing w:after="0"/>
        <w:ind w:left="0" w:firstLine="0"/>
        <w:jc w:val="left"/>
        <w:rPr>
          <w:b/>
          <w:color w:val="FF0000"/>
          <w:szCs w:val="24"/>
        </w:rPr>
      </w:pPr>
    </w:p>
    <w:p w14:paraId="451A0E42" w14:textId="13A1C8A8" w:rsidR="00872A49" w:rsidRDefault="00872A49" w:rsidP="00A53835">
      <w:pPr>
        <w:spacing w:after="0"/>
        <w:ind w:left="0" w:firstLine="0"/>
        <w:jc w:val="left"/>
        <w:rPr>
          <w:b/>
          <w:color w:val="FF0000"/>
          <w:szCs w:val="24"/>
        </w:rPr>
      </w:pPr>
    </w:p>
    <w:p w14:paraId="409B7DDE" w14:textId="28388744" w:rsidR="00872A49" w:rsidRDefault="00872A49" w:rsidP="00A53835">
      <w:pPr>
        <w:spacing w:after="0"/>
        <w:ind w:left="0" w:firstLine="0"/>
        <w:jc w:val="left"/>
        <w:rPr>
          <w:b/>
          <w:color w:val="FF0000"/>
          <w:szCs w:val="24"/>
        </w:rPr>
      </w:pPr>
    </w:p>
    <w:p w14:paraId="1BA9F879" w14:textId="62ADF958" w:rsidR="00872A49" w:rsidRDefault="00872A49" w:rsidP="00A53835">
      <w:pPr>
        <w:spacing w:after="0"/>
        <w:ind w:left="0" w:firstLine="0"/>
        <w:jc w:val="left"/>
        <w:rPr>
          <w:b/>
          <w:color w:val="FF0000"/>
          <w:szCs w:val="24"/>
        </w:rPr>
      </w:pPr>
    </w:p>
    <w:p w14:paraId="4743986F" w14:textId="073BB0A5" w:rsidR="00872A49" w:rsidRDefault="00872A49" w:rsidP="00A53835">
      <w:pPr>
        <w:spacing w:after="0"/>
        <w:ind w:left="0" w:firstLine="0"/>
        <w:jc w:val="left"/>
        <w:rPr>
          <w:b/>
          <w:color w:val="FF0000"/>
          <w:szCs w:val="24"/>
        </w:rPr>
      </w:pPr>
    </w:p>
    <w:p w14:paraId="17F46703" w14:textId="162092FE" w:rsidR="00872A49" w:rsidRDefault="00872A49" w:rsidP="00A53835">
      <w:pPr>
        <w:spacing w:after="0"/>
        <w:ind w:left="0" w:firstLine="0"/>
        <w:jc w:val="left"/>
        <w:rPr>
          <w:b/>
          <w:color w:val="FF0000"/>
          <w:szCs w:val="24"/>
        </w:rPr>
      </w:pPr>
    </w:p>
    <w:p w14:paraId="7AB3D6E3" w14:textId="6047C0A4" w:rsidR="00872A49" w:rsidRDefault="00872A49" w:rsidP="00A53835">
      <w:pPr>
        <w:spacing w:after="0"/>
        <w:ind w:left="0" w:firstLine="0"/>
        <w:jc w:val="left"/>
        <w:rPr>
          <w:b/>
          <w:color w:val="FF0000"/>
          <w:szCs w:val="24"/>
        </w:rPr>
      </w:pPr>
    </w:p>
    <w:p w14:paraId="3BB64F49" w14:textId="5C0C7916" w:rsidR="00872A49" w:rsidRDefault="00872A49" w:rsidP="00A53835">
      <w:pPr>
        <w:spacing w:after="0"/>
        <w:ind w:left="0" w:firstLine="0"/>
        <w:jc w:val="left"/>
        <w:rPr>
          <w:b/>
          <w:color w:val="FF0000"/>
          <w:szCs w:val="24"/>
        </w:rPr>
      </w:pPr>
    </w:p>
    <w:p w14:paraId="658E2B77" w14:textId="1A265258" w:rsidR="00872A49" w:rsidRDefault="00872A49" w:rsidP="00A53835">
      <w:pPr>
        <w:spacing w:after="0"/>
        <w:ind w:left="0" w:firstLine="0"/>
        <w:jc w:val="left"/>
        <w:rPr>
          <w:b/>
          <w:color w:val="FF0000"/>
          <w:szCs w:val="24"/>
        </w:rPr>
      </w:pPr>
    </w:p>
    <w:p w14:paraId="4B31B2D7" w14:textId="4CA6B6C6" w:rsidR="00872A49" w:rsidRDefault="00872A49" w:rsidP="00A53835">
      <w:pPr>
        <w:spacing w:after="0"/>
        <w:ind w:left="0" w:firstLine="0"/>
        <w:jc w:val="left"/>
        <w:rPr>
          <w:b/>
          <w:color w:val="FF0000"/>
          <w:szCs w:val="24"/>
        </w:rPr>
      </w:pPr>
    </w:p>
    <w:p w14:paraId="32BEAD83" w14:textId="58133D6D" w:rsidR="00872A49" w:rsidRDefault="00872A49" w:rsidP="00A53835">
      <w:pPr>
        <w:spacing w:after="0"/>
        <w:ind w:left="0" w:firstLine="0"/>
        <w:jc w:val="left"/>
        <w:rPr>
          <w:b/>
          <w:color w:val="FF0000"/>
          <w:szCs w:val="24"/>
        </w:rPr>
      </w:pPr>
    </w:p>
    <w:p w14:paraId="75285955" w14:textId="27F810CF" w:rsidR="00872A49" w:rsidRDefault="00872A49" w:rsidP="00A53835">
      <w:pPr>
        <w:spacing w:after="0"/>
        <w:ind w:left="0" w:firstLine="0"/>
        <w:jc w:val="left"/>
        <w:rPr>
          <w:b/>
          <w:color w:val="FF0000"/>
          <w:szCs w:val="24"/>
        </w:rPr>
      </w:pPr>
    </w:p>
    <w:p w14:paraId="72A9A3A5" w14:textId="70F7F7F6" w:rsidR="00872A49" w:rsidRDefault="00872A49" w:rsidP="00A53835">
      <w:pPr>
        <w:spacing w:after="0"/>
        <w:ind w:left="0" w:firstLine="0"/>
        <w:jc w:val="left"/>
        <w:rPr>
          <w:b/>
          <w:color w:val="FF0000"/>
          <w:szCs w:val="24"/>
        </w:rPr>
      </w:pPr>
    </w:p>
    <w:p w14:paraId="73F07E7E" w14:textId="6C3197CA" w:rsidR="00872A49" w:rsidRDefault="00872A49" w:rsidP="00A53835">
      <w:pPr>
        <w:spacing w:after="0"/>
        <w:ind w:left="0" w:firstLine="0"/>
        <w:jc w:val="left"/>
        <w:rPr>
          <w:b/>
          <w:color w:val="FF0000"/>
          <w:szCs w:val="24"/>
        </w:rPr>
      </w:pPr>
    </w:p>
    <w:p w14:paraId="45990F80" w14:textId="1BF489BA" w:rsidR="00872A49" w:rsidRDefault="00872A49" w:rsidP="00A53835">
      <w:pPr>
        <w:spacing w:after="0"/>
        <w:ind w:left="0" w:firstLine="0"/>
        <w:jc w:val="left"/>
        <w:rPr>
          <w:b/>
          <w:color w:val="FF0000"/>
          <w:szCs w:val="24"/>
        </w:rPr>
      </w:pPr>
    </w:p>
    <w:p w14:paraId="0F547173" w14:textId="35910A31" w:rsidR="00872A49" w:rsidRDefault="00872A49" w:rsidP="00A53835">
      <w:pPr>
        <w:spacing w:after="0"/>
        <w:ind w:left="0" w:firstLine="0"/>
        <w:jc w:val="left"/>
        <w:rPr>
          <w:b/>
          <w:color w:val="FF0000"/>
          <w:szCs w:val="24"/>
        </w:rPr>
      </w:pPr>
    </w:p>
    <w:p w14:paraId="1840C33C" w14:textId="078E8893" w:rsidR="00872A49" w:rsidRDefault="00872A49" w:rsidP="00A53835">
      <w:pPr>
        <w:spacing w:after="0"/>
        <w:ind w:left="0" w:firstLine="0"/>
        <w:jc w:val="left"/>
        <w:rPr>
          <w:b/>
          <w:color w:val="FF0000"/>
          <w:szCs w:val="24"/>
        </w:rPr>
      </w:pPr>
    </w:p>
    <w:p w14:paraId="021A3697" w14:textId="42ACE166" w:rsidR="00872A49" w:rsidRDefault="00872A49" w:rsidP="00A53835">
      <w:pPr>
        <w:spacing w:after="0"/>
        <w:ind w:left="0" w:firstLine="0"/>
        <w:jc w:val="left"/>
        <w:rPr>
          <w:b/>
          <w:color w:val="FF0000"/>
          <w:szCs w:val="24"/>
        </w:rPr>
      </w:pPr>
    </w:p>
    <w:p w14:paraId="7D4FD5C7" w14:textId="7AC92E52" w:rsidR="00872A49" w:rsidRDefault="00872A49" w:rsidP="00A53835">
      <w:pPr>
        <w:spacing w:after="0"/>
        <w:ind w:left="0" w:firstLine="0"/>
        <w:jc w:val="left"/>
        <w:rPr>
          <w:b/>
          <w:color w:val="FF0000"/>
          <w:szCs w:val="24"/>
        </w:rPr>
      </w:pPr>
    </w:p>
    <w:p w14:paraId="130309E3" w14:textId="769EF3F2" w:rsidR="00872A49" w:rsidRDefault="00872A49" w:rsidP="00A53835">
      <w:pPr>
        <w:spacing w:after="0"/>
        <w:ind w:left="0" w:firstLine="0"/>
        <w:jc w:val="left"/>
        <w:rPr>
          <w:b/>
          <w:color w:val="FF0000"/>
          <w:szCs w:val="24"/>
        </w:rPr>
      </w:pPr>
    </w:p>
    <w:p w14:paraId="4B018ABE" w14:textId="1534705F" w:rsidR="00872A49" w:rsidRDefault="00872A49" w:rsidP="00A53835">
      <w:pPr>
        <w:spacing w:after="0"/>
        <w:ind w:left="0" w:firstLine="0"/>
        <w:jc w:val="left"/>
        <w:rPr>
          <w:b/>
          <w:color w:val="FF0000"/>
          <w:szCs w:val="24"/>
        </w:rPr>
      </w:pPr>
    </w:p>
    <w:p w14:paraId="17C79BB8" w14:textId="5FADA5F4" w:rsidR="00872A49" w:rsidRDefault="00872A49" w:rsidP="00A53835">
      <w:pPr>
        <w:spacing w:after="0"/>
        <w:ind w:left="0" w:firstLine="0"/>
        <w:jc w:val="left"/>
        <w:rPr>
          <w:b/>
          <w:color w:val="FF0000"/>
          <w:szCs w:val="24"/>
        </w:rPr>
      </w:pPr>
    </w:p>
    <w:p w14:paraId="23C45FC1" w14:textId="3F9A27FC" w:rsidR="00872A49" w:rsidRDefault="00872A49" w:rsidP="00A53835">
      <w:pPr>
        <w:spacing w:after="0"/>
        <w:ind w:left="0" w:firstLine="0"/>
        <w:jc w:val="left"/>
        <w:rPr>
          <w:b/>
          <w:color w:val="FF0000"/>
          <w:szCs w:val="24"/>
        </w:rPr>
      </w:pPr>
    </w:p>
    <w:p w14:paraId="17FCC338" w14:textId="56D9F88F" w:rsidR="00872A49" w:rsidRDefault="00872A49" w:rsidP="00A53835">
      <w:pPr>
        <w:spacing w:after="0"/>
        <w:ind w:left="0" w:firstLine="0"/>
        <w:jc w:val="left"/>
        <w:rPr>
          <w:b/>
          <w:color w:val="FF0000"/>
          <w:szCs w:val="24"/>
        </w:rPr>
      </w:pPr>
    </w:p>
    <w:p w14:paraId="03216F27" w14:textId="34B1DF8B" w:rsidR="00872A49" w:rsidRDefault="00872A49" w:rsidP="00A53835">
      <w:pPr>
        <w:spacing w:after="0"/>
        <w:ind w:left="0" w:firstLine="0"/>
        <w:jc w:val="left"/>
        <w:rPr>
          <w:b/>
          <w:color w:val="FF0000"/>
          <w:szCs w:val="24"/>
        </w:rPr>
      </w:pPr>
    </w:p>
    <w:p w14:paraId="26D9B011" w14:textId="08443B1F" w:rsidR="00872A49" w:rsidRDefault="00872A49" w:rsidP="00A53835">
      <w:pPr>
        <w:spacing w:after="0"/>
        <w:ind w:left="0" w:firstLine="0"/>
        <w:jc w:val="left"/>
        <w:rPr>
          <w:b/>
          <w:color w:val="FF0000"/>
          <w:szCs w:val="24"/>
        </w:rPr>
      </w:pPr>
    </w:p>
    <w:p w14:paraId="3C9CB78E" w14:textId="633A8B44" w:rsidR="00872A49" w:rsidRDefault="00872A49" w:rsidP="00A53835">
      <w:pPr>
        <w:spacing w:after="0"/>
        <w:ind w:left="0" w:firstLine="0"/>
        <w:jc w:val="left"/>
        <w:rPr>
          <w:b/>
          <w:color w:val="FF0000"/>
          <w:szCs w:val="24"/>
        </w:rPr>
      </w:pPr>
    </w:p>
    <w:p w14:paraId="57FD90E2" w14:textId="35AC1E7F" w:rsidR="00872A49" w:rsidRDefault="00872A49" w:rsidP="00A53835">
      <w:pPr>
        <w:spacing w:after="0"/>
        <w:ind w:left="0" w:firstLine="0"/>
        <w:jc w:val="left"/>
        <w:rPr>
          <w:b/>
          <w:color w:val="FF0000"/>
          <w:szCs w:val="24"/>
        </w:rPr>
      </w:pPr>
    </w:p>
    <w:p w14:paraId="271AB34C" w14:textId="465D3730" w:rsidR="00872A49" w:rsidRDefault="00872A49" w:rsidP="00A53835">
      <w:pPr>
        <w:spacing w:after="0"/>
        <w:ind w:left="0" w:firstLine="0"/>
        <w:jc w:val="left"/>
        <w:rPr>
          <w:b/>
          <w:color w:val="FF0000"/>
          <w:szCs w:val="24"/>
        </w:rPr>
      </w:pPr>
    </w:p>
    <w:p w14:paraId="011AF858" w14:textId="02B5FB86" w:rsidR="00872A49" w:rsidRDefault="00872A49" w:rsidP="00A53835">
      <w:pPr>
        <w:spacing w:after="0"/>
        <w:ind w:left="0" w:firstLine="0"/>
        <w:jc w:val="left"/>
        <w:rPr>
          <w:b/>
          <w:color w:val="FF0000"/>
          <w:szCs w:val="24"/>
        </w:rPr>
      </w:pPr>
    </w:p>
    <w:p w14:paraId="1A7EF5F6" w14:textId="13AE98C6" w:rsidR="00872A49" w:rsidRDefault="00872A49" w:rsidP="00A53835">
      <w:pPr>
        <w:spacing w:after="0"/>
        <w:ind w:left="0" w:firstLine="0"/>
        <w:jc w:val="left"/>
        <w:rPr>
          <w:b/>
          <w:color w:val="FF0000"/>
          <w:szCs w:val="24"/>
        </w:rPr>
      </w:pPr>
    </w:p>
    <w:p w14:paraId="2C27AA2D" w14:textId="08B85210" w:rsidR="00872A49" w:rsidRDefault="00872A49" w:rsidP="00A53835">
      <w:pPr>
        <w:spacing w:after="0"/>
        <w:ind w:left="0" w:firstLine="0"/>
        <w:jc w:val="left"/>
        <w:rPr>
          <w:b/>
          <w:color w:val="FF0000"/>
          <w:szCs w:val="24"/>
        </w:rPr>
      </w:pPr>
    </w:p>
    <w:p w14:paraId="2230D325" w14:textId="4620EB6D" w:rsidR="00872A49" w:rsidRDefault="00872A49" w:rsidP="00A53835">
      <w:pPr>
        <w:spacing w:after="0"/>
        <w:ind w:left="0" w:firstLine="0"/>
        <w:jc w:val="left"/>
        <w:rPr>
          <w:b/>
          <w:color w:val="FF0000"/>
          <w:szCs w:val="24"/>
        </w:rPr>
      </w:pPr>
    </w:p>
    <w:p w14:paraId="77F48089" w14:textId="77777777" w:rsidR="00872A49" w:rsidRDefault="00872A49" w:rsidP="00A53835">
      <w:pPr>
        <w:spacing w:after="0"/>
        <w:ind w:left="0" w:firstLine="0"/>
        <w:jc w:val="left"/>
        <w:rPr>
          <w:b/>
          <w:color w:val="FF0000"/>
          <w:szCs w:val="24"/>
        </w:rPr>
      </w:pPr>
    </w:p>
    <w:p w14:paraId="5B9BBE89" w14:textId="77777777" w:rsidR="00C312F3" w:rsidRDefault="00C312F3" w:rsidP="00A53835">
      <w:pPr>
        <w:spacing w:after="0"/>
        <w:ind w:left="0" w:firstLine="0"/>
        <w:jc w:val="left"/>
        <w:rPr>
          <w:b/>
          <w:color w:val="FF0000"/>
          <w:szCs w:val="24"/>
        </w:rPr>
      </w:pPr>
    </w:p>
    <w:p w14:paraId="6D7B3BF0" w14:textId="77777777" w:rsidR="00117B7F" w:rsidRPr="00B90483" w:rsidRDefault="00117B7F" w:rsidP="00117B7F">
      <w:pPr>
        <w:pStyle w:val="Style8"/>
        <w:ind w:left="0" w:firstLine="0"/>
        <w:rPr>
          <w:szCs w:val="28"/>
        </w:rPr>
      </w:pPr>
      <w:r w:rsidRPr="00B90483">
        <w:rPr>
          <w:szCs w:val="28"/>
        </w:rPr>
        <w:t>OUVRAGE : DIGUE N°02 MUNI D'UN DEVERSOIR</w:t>
      </w:r>
    </w:p>
    <w:tbl>
      <w:tblPr>
        <w:tblW w:w="5407" w:type="pct"/>
        <w:jc w:val="center"/>
        <w:tblCellMar>
          <w:left w:w="70" w:type="dxa"/>
          <w:right w:w="70" w:type="dxa"/>
        </w:tblCellMar>
        <w:tblLook w:val="04A0" w:firstRow="1" w:lastRow="0" w:firstColumn="1" w:lastColumn="0" w:noHBand="0" w:noVBand="1"/>
      </w:tblPr>
      <w:tblGrid>
        <w:gridCol w:w="504"/>
        <w:gridCol w:w="5575"/>
        <w:gridCol w:w="767"/>
        <w:gridCol w:w="1369"/>
        <w:gridCol w:w="1441"/>
      </w:tblGrid>
      <w:tr w:rsidR="00BD46CB" w:rsidRPr="00B90483" w14:paraId="5F358DE6" w14:textId="77777777" w:rsidTr="002240A9">
        <w:trPr>
          <w:trHeight w:val="68"/>
          <w:jc w:val="center"/>
        </w:trPr>
        <w:tc>
          <w:tcPr>
            <w:tcW w:w="261" w:type="pct"/>
            <w:vMerge w:val="restart"/>
            <w:tcBorders>
              <w:top w:val="double" w:sz="6" w:space="0" w:color="auto"/>
              <w:left w:val="double" w:sz="6" w:space="0" w:color="auto"/>
              <w:right w:val="single" w:sz="8" w:space="0" w:color="auto"/>
            </w:tcBorders>
            <w:shd w:val="clear" w:color="auto" w:fill="BFBFBF" w:themeFill="background1" w:themeFillShade="BF"/>
            <w:vAlign w:val="center"/>
            <w:hideMark/>
          </w:tcPr>
          <w:p w14:paraId="2BB76604" w14:textId="77777777" w:rsidR="00BD46CB" w:rsidRPr="00B90483" w:rsidRDefault="00BD46CB" w:rsidP="007F0E33">
            <w:pPr>
              <w:spacing w:after="0"/>
              <w:ind w:left="0" w:firstLine="0"/>
              <w:jc w:val="center"/>
              <w:rPr>
                <w:b/>
                <w:bCs/>
                <w:sz w:val="20"/>
              </w:rPr>
            </w:pPr>
            <w:r w:rsidRPr="00B90483">
              <w:rPr>
                <w:b/>
                <w:bCs/>
                <w:sz w:val="20"/>
              </w:rPr>
              <w:lastRenderedPageBreak/>
              <w:t>N°</w:t>
            </w:r>
          </w:p>
        </w:tc>
        <w:tc>
          <w:tcPr>
            <w:tcW w:w="2887" w:type="pct"/>
            <w:vMerge w:val="restart"/>
            <w:tcBorders>
              <w:top w:val="double" w:sz="6" w:space="0" w:color="auto"/>
              <w:left w:val="nil"/>
              <w:right w:val="single" w:sz="8" w:space="0" w:color="auto"/>
            </w:tcBorders>
            <w:shd w:val="clear" w:color="auto" w:fill="BFBFBF" w:themeFill="background1" w:themeFillShade="BF"/>
            <w:vAlign w:val="center"/>
            <w:hideMark/>
          </w:tcPr>
          <w:p w14:paraId="35D17CCC" w14:textId="77777777" w:rsidR="00BD46CB" w:rsidRPr="00B90483" w:rsidRDefault="00BD46CB" w:rsidP="007F0E33">
            <w:pPr>
              <w:spacing w:after="0"/>
              <w:ind w:left="0" w:firstLine="0"/>
              <w:jc w:val="left"/>
              <w:rPr>
                <w:rFonts w:ascii="Arial" w:hAnsi="Arial" w:cs="Arial"/>
                <w:b/>
                <w:bCs/>
                <w:sz w:val="20"/>
              </w:rPr>
            </w:pPr>
            <w:r w:rsidRPr="00B90483">
              <w:rPr>
                <w:rFonts w:ascii="Arial" w:hAnsi="Arial" w:cs="Arial"/>
                <w:b/>
                <w:bCs/>
                <w:sz w:val="20"/>
              </w:rPr>
              <w:t>Désignation des travaux</w:t>
            </w:r>
          </w:p>
        </w:tc>
        <w:tc>
          <w:tcPr>
            <w:tcW w:w="397" w:type="pct"/>
            <w:vMerge w:val="restart"/>
            <w:tcBorders>
              <w:top w:val="double" w:sz="6" w:space="0" w:color="auto"/>
              <w:left w:val="nil"/>
              <w:right w:val="single" w:sz="8" w:space="0" w:color="auto"/>
            </w:tcBorders>
            <w:shd w:val="clear" w:color="auto" w:fill="BFBFBF" w:themeFill="background1" w:themeFillShade="BF"/>
            <w:vAlign w:val="center"/>
            <w:hideMark/>
          </w:tcPr>
          <w:p w14:paraId="40AD73AE" w14:textId="77777777" w:rsidR="00BD46CB" w:rsidRPr="00B90483" w:rsidRDefault="00BD46CB" w:rsidP="007F0E33">
            <w:pPr>
              <w:spacing w:after="0"/>
              <w:ind w:left="0" w:firstLine="0"/>
              <w:jc w:val="left"/>
              <w:rPr>
                <w:b/>
                <w:bCs/>
                <w:sz w:val="20"/>
              </w:rPr>
            </w:pPr>
            <w:r w:rsidRPr="00B90483">
              <w:rPr>
                <w:b/>
                <w:bCs/>
                <w:sz w:val="20"/>
              </w:rPr>
              <w:t>Unités</w:t>
            </w:r>
          </w:p>
        </w:tc>
        <w:tc>
          <w:tcPr>
            <w:tcW w:w="1455" w:type="pct"/>
            <w:gridSpan w:val="2"/>
            <w:tcBorders>
              <w:top w:val="double" w:sz="6" w:space="0" w:color="auto"/>
              <w:left w:val="nil"/>
              <w:bottom w:val="single" w:sz="8" w:space="0" w:color="auto"/>
              <w:right w:val="single" w:sz="4" w:space="0" w:color="auto"/>
            </w:tcBorders>
            <w:shd w:val="clear" w:color="auto" w:fill="BFBFBF" w:themeFill="background1" w:themeFillShade="BF"/>
            <w:vAlign w:val="center"/>
          </w:tcPr>
          <w:p w14:paraId="593B9E52" w14:textId="77777777" w:rsidR="00BD46CB" w:rsidRPr="00B90483" w:rsidRDefault="00BD46CB" w:rsidP="007F0E33">
            <w:pPr>
              <w:spacing w:after="0"/>
              <w:ind w:left="0" w:firstLine="0"/>
              <w:jc w:val="center"/>
              <w:rPr>
                <w:rFonts w:ascii="Arial" w:hAnsi="Arial" w:cs="Arial"/>
                <w:b/>
                <w:bCs/>
                <w:sz w:val="20"/>
              </w:rPr>
            </w:pPr>
            <w:r w:rsidRPr="00B90483">
              <w:rPr>
                <w:rFonts w:ascii="Arial" w:hAnsi="Arial" w:cs="Arial"/>
                <w:b/>
                <w:bCs/>
                <w:sz w:val="20"/>
              </w:rPr>
              <w:t>Prix unitaires en FCFA TTC</w:t>
            </w:r>
          </w:p>
        </w:tc>
      </w:tr>
      <w:tr w:rsidR="00BD46CB" w:rsidRPr="00B90483" w14:paraId="43A70612" w14:textId="77777777" w:rsidTr="002240A9">
        <w:trPr>
          <w:trHeight w:val="68"/>
          <w:jc w:val="center"/>
        </w:trPr>
        <w:tc>
          <w:tcPr>
            <w:tcW w:w="261" w:type="pct"/>
            <w:vMerge/>
            <w:tcBorders>
              <w:left w:val="double" w:sz="6" w:space="0" w:color="auto"/>
              <w:bottom w:val="single" w:sz="8" w:space="0" w:color="auto"/>
              <w:right w:val="single" w:sz="8" w:space="0" w:color="auto"/>
            </w:tcBorders>
            <w:shd w:val="clear" w:color="auto" w:fill="BFBFBF" w:themeFill="background1" w:themeFillShade="BF"/>
            <w:vAlign w:val="center"/>
          </w:tcPr>
          <w:p w14:paraId="0B9B1DF2" w14:textId="77777777" w:rsidR="00BD46CB" w:rsidRPr="00B90483" w:rsidRDefault="00BD46CB" w:rsidP="00BD46CB">
            <w:pPr>
              <w:spacing w:after="0"/>
              <w:ind w:left="0" w:firstLine="0"/>
              <w:jc w:val="center"/>
              <w:rPr>
                <w:b/>
                <w:bCs/>
                <w:sz w:val="20"/>
              </w:rPr>
            </w:pPr>
          </w:p>
        </w:tc>
        <w:tc>
          <w:tcPr>
            <w:tcW w:w="2887" w:type="pct"/>
            <w:vMerge/>
            <w:tcBorders>
              <w:left w:val="nil"/>
              <w:bottom w:val="single" w:sz="8" w:space="0" w:color="auto"/>
              <w:right w:val="single" w:sz="8" w:space="0" w:color="auto"/>
            </w:tcBorders>
            <w:shd w:val="clear" w:color="auto" w:fill="BFBFBF" w:themeFill="background1" w:themeFillShade="BF"/>
            <w:vAlign w:val="center"/>
          </w:tcPr>
          <w:p w14:paraId="58D88389" w14:textId="77777777" w:rsidR="00BD46CB" w:rsidRPr="00B90483" w:rsidRDefault="00BD46CB" w:rsidP="00BD46CB">
            <w:pPr>
              <w:spacing w:after="0"/>
              <w:ind w:left="0" w:firstLine="0"/>
              <w:jc w:val="left"/>
              <w:rPr>
                <w:rFonts w:ascii="Arial" w:hAnsi="Arial" w:cs="Arial"/>
                <w:b/>
                <w:bCs/>
                <w:sz w:val="20"/>
              </w:rPr>
            </w:pPr>
          </w:p>
        </w:tc>
        <w:tc>
          <w:tcPr>
            <w:tcW w:w="397" w:type="pct"/>
            <w:vMerge/>
            <w:tcBorders>
              <w:left w:val="nil"/>
              <w:bottom w:val="single" w:sz="8" w:space="0" w:color="auto"/>
              <w:right w:val="single" w:sz="8" w:space="0" w:color="auto"/>
            </w:tcBorders>
            <w:shd w:val="clear" w:color="auto" w:fill="BFBFBF" w:themeFill="background1" w:themeFillShade="BF"/>
            <w:vAlign w:val="center"/>
          </w:tcPr>
          <w:p w14:paraId="053B0892" w14:textId="77777777" w:rsidR="00BD46CB" w:rsidRPr="00B90483" w:rsidRDefault="00BD46CB" w:rsidP="00BD46CB">
            <w:pPr>
              <w:spacing w:after="0"/>
              <w:ind w:left="0" w:firstLine="0"/>
              <w:jc w:val="left"/>
              <w:rPr>
                <w:b/>
                <w:bCs/>
                <w:sz w:val="20"/>
              </w:rPr>
            </w:pPr>
          </w:p>
        </w:tc>
        <w:tc>
          <w:tcPr>
            <w:tcW w:w="709" w:type="pct"/>
            <w:tcBorders>
              <w:top w:val="double" w:sz="6" w:space="0" w:color="auto"/>
              <w:left w:val="nil"/>
              <w:bottom w:val="single" w:sz="8" w:space="0" w:color="auto"/>
              <w:right w:val="single" w:sz="4" w:space="0" w:color="auto"/>
            </w:tcBorders>
            <w:shd w:val="clear" w:color="auto" w:fill="BFBFBF" w:themeFill="background1" w:themeFillShade="BF"/>
            <w:vAlign w:val="center"/>
          </w:tcPr>
          <w:p w14:paraId="43D5D497" w14:textId="745B7155" w:rsidR="00BD46CB" w:rsidRPr="00B90483" w:rsidRDefault="00BD46CB" w:rsidP="00BD46CB">
            <w:pPr>
              <w:spacing w:after="0"/>
              <w:ind w:left="0" w:firstLine="0"/>
              <w:jc w:val="center"/>
              <w:rPr>
                <w:rFonts w:ascii="Arial" w:hAnsi="Arial" w:cs="Arial"/>
                <w:b/>
                <w:bCs/>
                <w:sz w:val="20"/>
              </w:rPr>
            </w:pPr>
            <w:r w:rsidRPr="00B90483">
              <w:rPr>
                <w:rFonts w:ascii="Arial" w:hAnsi="Arial" w:cs="Arial"/>
                <w:sz w:val="20"/>
              </w:rPr>
              <w:t>En chiffre</w:t>
            </w:r>
          </w:p>
        </w:tc>
        <w:tc>
          <w:tcPr>
            <w:tcW w:w="746" w:type="pct"/>
            <w:tcBorders>
              <w:top w:val="double" w:sz="6" w:space="0" w:color="auto"/>
              <w:left w:val="nil"/>
              <w:bottom w:val="single" w:sz="8" w:space="0" w:color="auto"/>
              <w:right w:val="single" w:sz="4" w:space="0" w:color="auto"/>
            </w:tcBorders>
            <w:shd w:val="clear" w:color="auto" w:fill="BFBFBF" w:themeFill="background1" w:themeFillShade="BF"/>
            <w:vAlign w:val="bottom"/>
          </w:tcPr>
          <w:p w14:paraId="44C48ECC" w14:textId="7317C2CF" w:rsidR="00BD46CB" w:rsidRPr="00B90483" w:rsidRDefault="00BD46CB" w:rsidP="00BD46CB">
            <w:pPr>
              <w:spacing w:after="0"/>
              <w:ind w:left="0" w:firstLine="0"/>
              <w:jc w:val="center"/>
              <w:rPr>
                <w:rFonts w:ascii="Arial" w:hAnsi="Arial" w:cs="Arial"/>
                <w:b/>
                <w:bCs/>
                <w:sz w:val="20"/>
              </w:rPr>
            </w:pPr>
            <w:r w:rsidRPr="00B90483">
              <w:rPr>
                <w:rFonts w:ascii="Calibri" w:hAnsi="Calibri"/>
                <w:sz w:val="20"/>
              </w:rPr>
              <w:t> </w:t>
            </w:r>
            <w:r w:rsidRPr="00B90483">
              <w:rPr>
                <w:rFonts w:ascii="Arial" w:hAnsi="Arial" w:cs="Arial"/>
                <w:sz w:val="20"/>
              </w:rPr>
              <w:t>En lettre</w:t>
            </w:r>
          </w:p>
        </w:tc>
      </w:tr>
      <w:tr w:rsidR="00117B7F" w:rsidRPr="00B90483" w14:paraId="1A6A7BAA" w14:textId="77777777" w:rsidTr="00376BAC">
        <w:trPr>
          <w:trHeight w:val="87"/>
          <w:jc w:val="center"/>
        </w:trPr>
        <w:tc>
          <w:tcPr>
            <w:tcW w:w="261" w:type="pct"/>
            <w:tcBorders>
              <w:top w:val="nil"/>
              <w:left w:val="double" w:sz="6" w:space="0" w:color="auto"/>
              <w:bottom w:val="single" w:sz="8" w:space="0" w:color="auto"/>
              <w:right w:val="single" w:sz="8" w:space="0" w:color="auto"/>
            </w:tcBorders>
            <w:shd w:val="clear" w:color="auto" w:fill="auto"/>
            <w:vAlign w:val="center"/>
            <w:hideMark/>
          </w:tcPr>
          <w:p w14:paraId="24918FCA" w14:textId="77777777" w:rsidR="00117B7F" w:rsidRPr="00B90483" w:rsidRDefault="00117B7F" w:rsidP="007F0E33">
            <w:pPr>
              <w:spacing w:before="240" w:after="0"/>
              <w:ind w:left="0" w:firstLine="0"/>
              <w:jc w:val="center"/>
              <w:rPr>
                <w:b/>
                <w:bCs/>
                <w:sz w:val="20"/>
              </w:rPr>
            </w:pPr>
            <w:r w:rsidRPr="00B90483">
              <w:rPr>
                <w:b/>
                <w:bCs/>
                <w:sz w:val="20"/>
              </w:rPr>
              <w:t>I</w:t>
            </w:r>
          </w:p>
        </w:tc>
        <w:tc>
          <w:tcPr>
            <w:tcW w:w="2887" w:type="pct"/>
            <w:tcBorders>
              <w:top w:val="nil"/>
              <w:left w:val="nil"/>
              <w:bottom w:val="single" w:sz="8" w:space="0" w:color="auto"/>
              <w:right w:val="single" w:sz="8" w:space="0" w:color="auto"/>
            </w:tcBorders>
            <w:shd w:val="clear" w:color="auto" w:fill="auto"/>
            <w:vAlign w:val="center"/>
            <w:hideMark/>
          </w:tcPr>
          <w:p w14:paraId="7F460D0C" w14:textId="77777777" w:rsidR="00117B7F" w:rsidRPr="00B90483" w:rsidRDefault="00117B7F" w:rsidP="00376BAC">
            <w:pPr>
              <w:spacing w:after="0"/>
              <w:ind w:left="0" w:firstLine="0"/>
              <w:jc w:val="left"/>
              <w:rPr>
                <w:b/>
                <w:bCs/>
                <w:sz w:val="20"/>
              </w:rPr>
            </w:pPr>
            <w:r w:rsidRPr="00B90483">
              <w:rPr>
                <w:b/>
                <w:bCs/>
                <w:sz w:val="20"/>
              </w:rPr>
              <w:t>Série I - TRAVAUX PRELIMINAIRES</w:t>
            </w:r>
          </w:p>
        </w:tc>
        <w:tc>
          <w:tcPr>
            <w:tcW w:w="397" w:type="pct"/>
            <w:tcBorders>
              <w:top w:val="nil"/>
              <w:left w:val="nil"/>
              <w:bottom w:val="single" w:sz="8" w:space="0" w:color="auto"/>
              <w:right w:val="single" w:sz="8" w:space="0" w:color="auto"/>
            </w:tcBorders>
            <w:shd w:val="clear" w:color="auto" w:fill="auto"/>
            <w:vAlign w:val="center"/>
            <w:hideMark/>
          </w:tcPr>
          <w:p w14:paraId="3D6F8F4E" w14:textId="77777777" w:rsidR="00117B7F" w:rsidRPr="00B90483" w:rsidRDefault="00117B7F" w:rsidP="007F0E33">
            <w:pPr>
              <w:spacing w:before="240" w:after="0"/>
              <w:ind w:left="0" w:firstLine="0"/>
              <w:jc w:val="center"/>
              <w:rPr>
                <w:sz w:val="20"/>
              </w:rPr>
            </w:pPr>
            <w:r w:rsidRPr="00B90483">
              <w:rPr>
                <w:sz w:val="20"/>
              </w:rPr>
              <w:t> </w:t>
            </w:r>
          </w:p>
        </w:tc>
        <w:tc>
          <w:tcPr>
            <w:tcW w:w="709" w:type="pct"/>
            <w:tcBorders>
              <w:top w:val="nil"/>
              <w:left w:val="nil"/>
              <w:bottom w:val="single" w:sz="8" w:space="0" w:color="auto"/>
              <w:right w:val="nil"/>
            </w:tcBorders>
            <w:shd w:val="clear" w:color="auto" w:fill="auto"/>
            <w:vAlign w:val="center"/>
          </w:tcPr>
          <w:p w14:paraId="7BD9663E" w14:textId="56AC7EE2" w:rsidR="00117B7F" w:rsidRPr="00B90483" w:rsidRDefault="00117B7F" w:rsidP="007F0E33">
            <w:pPr>
              <w:spacing w:before="240" w:after="0"/>
              <w:ind w:left="0" w:firstLine="0"/>
              <w:rPr>
                <w:rFonts w:ascii="Arial" w:hAnsi="Arial" w:cs="Arial"/>
                <w:sz w:val="20"/>
              </w:rPr>
            </w:pPr>
          </w:p>
        </w:tc>
        <w:tc>
          <w:tcPr>
            <w:tcW w:w="746" w:type="pct"/>
            <w:tcBorders>
              <w:top w:val="nil"/>
              <w:left w:val="single" w:sz="4" w:space="0" w:color="auto"/>
              <w:bottom w:val="single" w:sz="4" w:space="0" w:color="auto"/>
              <w:right w:val="single" w:sz="4" w:space="0" w:color="auto"/>
            </w:tcBorders>
            <w:shd w:val="clear" w:color="auto" w:fill="auto"/>
            <w:noWrap/>
            <w:vAlign w:val="bottom"/>
          </w:tcPr>
          <w:p w14:paraId="5E346097" w14:textId="49E0F890" w:rsidR="00117B7F" w:rsidRPr="00B90483" w:rsidRDefault="00117B7F" w:rsidP="007F0E33">
            <w:pPr>
              <w:spacing w:before="240" w:after="0"/>
              <w:ind w:left="0" w:firstLine="0"/>
              <w:jc w:val="center"/>
              <w:rPr>
                <w:rFonts w:ascii="Calibri" w:hAnsi="Calibri"/>
                <w:sz w:val="20"/>
              </w:rPr>
            </w:pPr>
          </w:p>
        </w:tc>
      </w:tr>
      <w:tr w:rsidR="00117B7F" w:rsidRPr="00B90483" w14:paraId="291BF06D" w14:textId="77777777" w:rsidTr="00872A49">
        <w:trPr>
          <w:trHeight w:val="1499"/>
          <w:jc w:val="center"/>
        </w:trPr>
        <w:tc>
          <w:tcPr>
            <w:tcW w:w="261" w:type="pct"/>
            <w:tcBorders>
              <w:top w:val="nil"/>
              <w:left w:val="double" w:sz="6" w:space="0" w:color="auto"/>
              <w:bottom w:val="single" w:sz="8" w:space="0" w:color="auto"/>
              <w:right w:val="single" w:sz="8" w:space="0" w:color="auto"/>
            </w:tcBorders>
            <w:shd w:val="clear" w:color="auto" w:fill="auto"/>
            <w:vAlign w:val="center"/>
            <w:hideMark/>
          </w:tcPr>
          <w:p w14:paraId="0216F770" w14:textId="77777777" w:rsidR="00117B7F" w:rsidRPr="00B90483" w:rsidRDefault="00117B7F" w:rsidP="007F0E33">
            <w:pPr>
              <w:spacing w:after="0"/>
              <w:ind w:left="0" w:firstLine="0"/>
              <w:jc w:val="center"/>
              <w:rPr>
                <w:b/>
                <w:bCs/>
                <w:sz w:val="20"/>
              </w:rPr>
            </w:pPr>
            <w:r w:rsidRPr="00B90483">
              <w:rPr>
                <w:b/>
                <w:bCs/>
                <w:sz w:val="20"/>
              </w:rPr>
              <w:t>1.1</w:t>
            </w:r>
          </w:p>
        </w:tc>
        <w:tc>
          <w:tcPr>
            <w:tcW w:w="2887" w:type="pct"/>
            <w:tcBorders>
              <w:top w:val="nil"/>
              <w:left w:val="nil"/>
              <w:bottom w:val="single" w:sz="8" w:space="0" w:color="auto"/>
              <w:right w:val="single" w:sz="8" w:space="0" w:color="auto"/>
            </w:tcBorders>
            <w:shd w:val="clear" w:color="auto" w:fill="auto"/>
            <w:hideMark/>
          </w:tcPr>
          <w:p w14:paraId="461F2C86" w14:textId="77777777" w:rsidR="00117B7F" w:rsidRPr="00872A49" w:rsidRDefault="00117B7F" w:rsidP="007F0E33">
            <w:pPr>
              <w:spacing w:after="240"/>
              <w:ind w:left="0" w:firstLine="0"/>
              <w:jc w:val="left"/>
              <w:rPr>
                <w:sz w:val="18"/>
                <w:szCs w:val="18"/>
              </w:rPr>
            </w:pPr>
            <w:r w:rsidRPr="00872A49">
              <w:rPr>
                <w:b/>
                <w:bCs/>
                <w:sz w:val="20"/>
              </w:rPr>
              <w:t xml:space="preserve">Préparation du terrain et implantation des ouvrages y compris abattage des arbres et </w:t>
            </w:r>
            <w:proofErr w:type="spellStart"/>
            <w:r w:rsidRPr="00872A49">
              <w:rPr>
                <w:b/>
                <w:bCs/>
                <w:sz w:val="20"/>
              </w:rPr>
              <w:t>debroussayage</w:t>
            </w:r>
            <w:proofErr w:type="spellEnd"/>
            <w:r w:rsidRPr="00872A49">
              <w:rPr>
                <w:b/>
                <w:bCs/>
                <w:sz w:val="20"/>
              </w:rPr>
              <w:t xml:space="preserve"> sur l'emprise des ouvrages et élaboration des plans d'exécutions                                                                                                                 </w:t>
            </w:r>
            <w:r w:rsidRPr="00872A49">
              <w:rPr>
                <w:sz w:val="20"/>
              </w:rPr>
              <w:t xml:space="preserve"> </w:t>
            </w:r>
            <w:r w:rsidRPr="00872A49">
              <w:rPr>
                <w:sz w:val="18"/>
                <w:szCs w:val="18"/>
              </w:rPr>
              <w:t>Le prix rémunère l’amortissement du matériel pour le défrichage et le nettoyage de la surface d’emprise nécessaire à une bonne organisation des travaux. Cette surface correspond à la longueur des fouilles sur une largeur de 10 m en amont et 10 m en aval de l’ouvrage. Le prix rémunère aussi le temps d’implantation topographique de l’ensemble des ouvrages par le technicien de l’entreprise et la main d’œuvre qualifiée et non qualifiée (équipe topographiques, maçon, mineur, manœuvre), l’abattage et le dessouchage des arbres sur l’emprise des ouvrages</w:t>
            </w:r>
          </w:p>
          <w:p w14:paraId="34FBEA4C" w14:textId="77777777" w:rsidR="00117B7F" w:rsidRPr="00872A49" w:rsidRDefault="00117B7F" w:rsidP="007F0E33">
            <w:pPr>
              <w:spacing w:after="0"/>
              <w:ind w:left="0" w:firstLine="0"/>
              <w:jc w:val="left"/>
              <w:rPr>
                <w:i/>
                <w:sz w:val="18"/>
                <w:szCs w:val="18"/>
              </w:rPr>
            </w:pPr>
            <w:r w:rsidRPr="00872A49">
              <w:rPr>
                <w:i/>
                <w:sz w:val="18"/>
                <w:szCs w:val="18"/>
              </w:rPr>
              <w:t>Le prix s'applique au forfait (</w:t>
            </w:r>
            <w:proofErr w:type="spellStart"/>
            <w:r w:rsidRPr="00872A49">
              <w:rPr>
                <w:i/>
                <w:sz w:val="18"/>
                <w:szCs w:val="18"/>
              </w:rPr>
              <w:t>ff</w:t>
            </w:r>
            <w:proofErr w:type="spellEnd"/>
            <w:r w:rsidRPr="00872A49">
              <w:rPr>
                <w:i/>
                <w:sz w:val="18"/>
                <w:szCs w:val="18"/>
              </w:rPr>
              <w:t>), du nettoyage et de l’implantation de terrain.</w:t>
            </w:r>
          </w:p>
        </w:tc>
        <w:tc>
          <w:tcPr>
            <w:tcW w:w="397" w:type="pct"/>
            <w:tcBorders>
              <w:top w:val="nil"/>
              <w:left w:val="nil"/>
              <w:bottom w:val="single" w:sz="8" w:space="0" w:color="auto"/>
              <w:right w:val="single" w:sz="8" w:space="0" w:color="auto"/>
            </w:tcBorders>
            <w:shd w:val="clear" w:color="auto" w:fill="auto"/>
            <w:noWrap/>
            <w:vAlign w:val="center"/>
            <w:hideMark/>
          </w:tcPr>
          <w:p w14:paraId="3F583961" w14:textId="77777777" w:rsidR="00117B7F" w:rsidRPr="00B90483" w:rsidRDefault="00117B7F" w:rsidP="007F0E33">
            <w:pPr>
              <w:spacing w:after="0"/>
              <w:ind w:left="0" w:firstLine="0"/>
              <w:jc w:val="center"/>
              <w:rPr>
                <w:sz w:val="20"/>
              </w:rPr>
            </w:pPr>
            <w:proofErr w:type="spellStart"/>
            <w:r w:rsidRPr="00B90483">
              <w:rPr>
                <w:sz w:val="20"/>
              </w:rPr>
              <w:t>ff</w:t>
            </w:r>
            <w:proofErr w:type="spellEnd"/>
          </w:p>
        </w:tc>
        <w:tc>
          <w:tcPr>
            <w:tcW w:w="709" w:type="pct"/>
            <w:tcBorders>
              <w:top w:val="nil"/>
              <w:left w:val="nil"/>
              <w:bottom w:val="single" w:sz="8" w:space="0" w:color="auto"/>
              <w:right w:val="nil"/>
            </w:tcBorders>
            <w:shd w:val="clear" w:color="auto" w:fill="auto"/>
            <w:noWrap/>
            <w:vAlign w:val="center"/>
            <w:hideMark/>
          </w:tcPr>
          <w:p w14:paraId="369E1AED" w14:textId="77777777" w:rsidR="00117B7F" w:rsidRPr="00B90483" w:rsidRDefault="00117B7F" w:rsidP="007F0E33">
            <w:pPr>
              <w:spacing w:after="0"/>
              <w:ind w:left="0" w:firstLine="0"/>
              <w:jc w:val="center"/>
              <w:rPr>
                <w:rFonts w:ascii="Arial" w:hAnsi="Arial" w:cs="Arial"/>
                <w:sz w:val="20"/>
              </w:rPr>
            </w:pPr>
          </w:p>
        </w:tc>
        <w:tc>
          <w:tcPr>
            <w:tcW w:w="746" w:type="pct"/>
            <w:tcBorders>
              <w:top w:val="nil"/>
              <w:left w:val="single" w:sz="4" w:space="0" w:color="auto"/>
              <w:bottom w:val="single" w:sz="4" w:space="0" w:color="auto"/>
              <w:right w:val="single" w:sz="4" w:space="0" w:color="auto"/>
            </w:tcBorders>
            <w:shd w:val="clear" w:color="auto" w:fill="auto"/>
            <w:noWrap/>
            <w:vAlign w:val="bottom"/>
            <w:hideMark/>
          </w:tcPr>
          <w:p w14:paraId="6A7BC405" w14:textId="77777777" w:rsidR="00117B7F" w:rsidRPr="00B90483" w:rsidRDefault="00117B7F" w:rsidP="007F0E33">
            <w:pPr>
              <w:spacing w:after="0"/>
              <w:ind w:left="0" w:firstLine="0"/>
              <w:jc w:val="left"/>
              <w:rPr>
                <w:rFonts w:ascii="Calibri" w:hAnsi="Calibri"/>
                <w:sz w:val="20"/>
              </w:rPr>
            </w:pPr>
            <w:r w:rsidRPr="00B90483">
              <w:rPr>
                <w:rFonts w:ascii="Calibri" w:hAnsi="Calibri"/>
                <w:sz w:val="20"/>
              </w:rPr>
              <w:t> </w:t>
            </w:r>
          </w:p>
        </w:tc>
      </w:tr>
      <w:tr w:rsidR="00117B7F" w:rsidRPr="00B90483" w14:paraId="1486E553" w14:textId="77777777" w:rsidTr="00BD46CB">
        <w:trPr>
          <w:trHeight w:val="2625"/>
          <w:jc w:val="center"/>
        </w:trPr>
        <w:tc>
          <w:tcPr>
            <w:tcW w:w="261" w:type="pct"/>
            <w:tcBorders>
              <w:top w:val="nil"/>
              <w:left w:val="double" w:sz="6" w:space="0" w:color="auto"/>
              <w:bottom w:val="single" w:sz="8" w:space="0" w:color="auto"/>
              <w:right w:val="single" w:sz="8" w:space="0" w:color="auto"/>
            </w:tcBorders>
            <w:shd w:val="clear" w:color="auto" w:fill="auto"/>
            <w:vAlign w:val="center"/>
            <w:hideMark/>
          </w:tcPr>
          <w:p w14:paraId="2FE33BB2" w14:textId="77777777" w:rsidR="00117B7F" w:rsidRPr="00B90483" w:rsidRDefault="00117B7F" w:rsidP="007F0E33">
            <w:pPr>
              <w:spacing w:after="0"/>
              <w:ind w:left="0" w:firstLine="0"/>
              <w:jc w:val="center"/>
              <w:rPr>
                <w:b/>
                <w:bCs/>
                <w:sz w:val="20"/>
              </w:rPr>
            </w:pPr>
            <w:r w:rsidRPr="00B90483">
              <w:rPr>
                <w:b/>
                <w:bCs/>
                <w:sz w:val="20"/>
              </w:rPr>
              <w:t>1.2</w:t>
            </w:r>
          </w:p>
        </w:tc>
        <w:tc>
          <w:tcPr>
            <w:tcW w:w="2887" w:type="pct"/>
            <w:tcBorders>
              <w:top w:val="nil"/>
              <w:left w:val="nil"/>
              <w:bottom w:val="single" w:sz="8" w:space="0" w:color="auto"/>
              <w:right w:val="single" w:sz="8" w:space="0" w:color="auto"/>
            </w:tcBorders>
            <w:shd w:val="clear" w:color="auto" w:fill="auto"/>
            <w:vAlign w:val="center"/>
            <w:hideMark/>
          </w:tcPr>
          <w:p w14:paraId="3B75FB0C" w14:textId="77777777" w:rsidR="00117B7F" w:rsidRPr="00872A49" w:rsidRDefault="00117B7F" w:rsidP="007F0E33">
            <w:pPr>
              <w:spacing w:after="0"/>
              <w:ind w:left="0" w:firstLine="0"/>
              <w:jc w:val="left"/>
              <w:rPr>
                <w:b/>
                <w:bCs/>
                <w:sz w:val="18"/>
                <w:szCs w:val="18"/>
              </w:rPr>
            </w:pPr>
            <w:r w:rsidRPr="00872A49">
              <w:rPr>
                <w:b/>
                <w:bCs/>
                <w:sz w:val="20"/>
              </w:rPr>
              <w:t xml:space="preserve">Décapage de la terre végétale sur l'emprise des ouvrages (20cm)                                                                                           </w:t>
            </w:r>
            <w:r w:rsidRPr="00872A49">
              <w:rPr>
                <w:sz w:val="18"/>
                <w:szCs w:val="18"/>
              </w:rPr>
              <w:t>Ce prix rémunère l'enlèvement du sol superficiel, des herbes et des souches d’arbres de la surface de l'assiette, tant en remblai qu'en déblai sur une profondeur de 0,20 m y compris les purges ponctuelles nécessaires sur une profondeur inférieure ou égale à 1,5 m. ce poste prend en compte le décapage nécessaire au blocage des enrochements.</w:t>
            </w:r>
            <w:r w:rsidRPr="00872A49">
              <w:rPr>
                <w:sz w:val="18"/>
                <w:szCs w:val="18"/>
              </w:rPr>
              <w:br/>
              <w:t>Ce prix rémunère également le transport et la mise en dépôt des terres hors de la limite de l'emprise des ouvrages, le régalage de ses terres selon les instructions du Maître d’Œuvre, et toutes sujétions d'exécution et de main d’œuvre qualifié et non qualifiée.</w:t>
            </w:r>
            <w:r w:rsidRPr="00872A49">
              <w:rPr>
                <w:sz w:val="18"/>
                <w:szCs w:val="18"/>
              </w:rPr>
              <w:br/>
            </w:r>
            <w:r w:rsidRPr="00872A49">
              <w:rPr>
                <w:sz w:val="18"/>
                <w:szCs w:val="18"/>
              </w:rPr>
              <w:br/>
            </w:r>
            <w:r w:rsidRPr="00872A49">
              <w:rPr>
                <w:i/>
                <w:sz w:val="18"/>
                <w:szCs w:val="18"/>
              </w:rPr>
              <w:t>Ce prix ne s'applique au mètre carré (m²) de sol végétal enlevé mesuré selon la surface de l'assiette du débroussaillage et décapée, déduction faite de la surface des ouvrages.</w:t>
            </w:r>
          </w:p>
        </w:tc>
        <w:tc>
          <w:tcPr>
            <w:tcW w:w="397" w:type="pct"/>
            <w:tcBorders>
              <w:top w:val="nil"/>
              <w:left w:val="nil"/>
              <w:bottom w:val="single" w:sz="8" w:space="0" w:color="auto"/>
              <w:right w:val="single" w:sz="8" w:space="0" w:color="auto"/>
            </w:tcBorders>
            <w:shd w:val="clear" w:color="auto" w:fill="auto"/>
            <w:vAlign w:val="center"/>
            <w:hideMark/>
          </w:tcPr>
          <w:p w14:paraId="382CDDF7" w14:textId="77777777" w:rsidR="00117B7F" w:rsidRPr="00B90483" w:rsidRDefault="00117B7F" w:rsidP="007F0E33">
            <w:pPr>
              <w:spacing w:after="0"/>
              <w:ind w:left="0" w:firstLine="0"/>
              <w:jc w:val="center"/>
              <w:rPr>
                <w:sz w:val="20"/>
              </w:rPr>
            </w:pPr>
            <w:r w:rsidRPr="00B90483">
              <w:rPr>
                <w:sz w:val="20"/>
              </w:rPr>
              <w:t>m²</w:t>
            </w:r>
          </w:p>
        </w:tc>
        <w:tc>
          <w:tcPr>
            <w:tcW w:w="709" w:type="pct"/>
            <w:tcBorders>
              <w:top w:val="nil"/>
              <w:left w:val="nil"/>
              <w:bottom w:val="single" w:sz="8" w:space="0" w:color="auto"/>
              <w:right w:val="nil"/>
            </w:tcBorders>
            <w:shd w:val="clear" w:color="auto" w:fill="auto"/>
            <w:vAlign w:val="center"/>
            <w:hideMark/>
          </w:tcPr>
          <w:p w14:paraId="2C4C2812" w14:textId="77777777" w:rsidR="00117B7F" w:rsidRPr="00B90483" w:rsidRDefault="00117B7F" w:rsidP="007F0E33">
            <w:pPr>
              <w:spacing w:after="0"/>
              <w:ind w:left="0" w:firstLine="0"/>
              <w:jc w:val="center"/>
              <w:rPr>
                <w:rFonts w:ascii="Arial" w:hAnsi="Arial" w:cs="Arial"/>
                <w:sz w:val="20"/>
              </w:rPr>
            </w:pPr>
          </w:p>
        </w:tc>
        <w:tc>
          <w:tcPr>
            <w:tcW w:w="746" w:type="pct"/>
            <w:tcBorders>
              <w:top w:val="nil"/>
              <w:left w:val="single" w:sz="4" w:space="0" w:color="auto"/>
              <w:bottom w:val="single" w:sz="4" w:space="0" w:color="auto"/>
              <w:right w:val="single" w:sz="4" w:space="0" w:color="auto"/>
            </w:tcBorders>
            <w:shd w:val="clear" w:color="auto" w:fill="auto"/>
            <w:noWrap/>
            <w:vAlign w:val="bottom"/>
            <w:hideMark/>
          </w:tcPr>
          <w:p w14:paraId="00A9FE21" w14:textId="77777777" w:rsidR="00117B7F" w:rsidRPr="00B90483" w:rsidRDefault="00117B7F" w:rsidP="007F0E33">
            <w:pPr>
              <w:spacing w:after="0"/>
              <w:ind w:left="0" w:firstLine="0"/>
              <w:jc w:val="left"/>
              <w:rPr>
                <w:rFonts w:ascii="Calibri" w:hAnsi="Calibri"/>
                <w:sz w:val="20"/>
              </w:rPr>
            </w:pPr>
            <w:r w:rsidRPr="00B90483">
              <w:rPr>
                <w:rFonts w:ascii="Calibri" w:hAnsi="Calibri"/>
                <w:sz w:val="20"/>
              </w:rPr>
              <w:t> </w:t>
            </w:r>
          </w:p>
        </w:tc>
      </w:tr>
      <w:tr w:rsidR="00117B7F" w:rsidRPr="00B90483" w14:paraId="7484E4DE" w14:textId="77777777" w:rsidTr="00872A49">
        <w:trPr>
          <w:trHeight w:val="183"/>
          <w:jc w:val="center"/>
        </w:trPr>
        <w:tc>
          <w:tcPr>
            <w:tcW w:w="261" w:type="pct"/>
            <w:tcBorders>
              <w:top w:val="nil"/>
              <w:left w:val="double" w:sz="6" w:space="0" w:color="auto"/>
              <w:bottom w:val="single" w:sz="8" w:space="0" w:color="auto"/>
              <w:right w:val="single" w:sz="8" w:space="0" w:color="auto"/>
            </w:tcBorders>
            <w:shd w:val="clear" w:color="auto" w:fill="auto"/>
            <w:vAlign w:val="center"/>
            <w:hideMark/>
          </w:tcPr>
          <w:p w14:paraId="12D3A962" w14:textId="77777777" w:rsidR="00117B7F" w:rsidRPr="00B90483" w:rsidRDefault="00117B7F" w:rsidP="007F0E33">
            <w:pPr>
              <w:spacing w:after="0"/>
              <w:ind w:left="0" w:firstLine="0"/>
              <w:jc w:val="center"/>
              <w:rPr>
                <w:b/>
                <w:bCs/>
                <w:sz w:val="20"/>
              </w:rPr>
            </w:pPr>
            <w:r w:rsidRPr="00B90483">
              <w:rPr>
                <w:b/>
                <w:bCs/>
                <w:sz w:val="20"/>
              </w:rPr>
              <w:t> </w:t>
            </w:r>
          </w:p>
        </w:tc>
        <w:tc>
          <w:tcPr>
            <w:tcW w:w="2887" w:type="pct"/>
            <w:tcBorders>
              <w:top w:val="nil"/>
              <w:left w:val="nil"/>
              <w:bottom w:val="single" w:sz="8" w:space="0" w:color="auto"/>
              <w:right w:val="single" w:sz="8" w:space="0" w:color="auto"/>
            </w:tcBorders>
            <w:shd w:val="clear" w:color="auto" w:fill="auto"/>
            <w:vAlign w:val="center"/>
            <w:hideMark/>
          </w:tcPr>
          <w:p w14:paraId="5D15DCC2" w14:textId="77777777" w:rsidR="00117B7F" w:rsidRPr="00B90483" w:rsidRDefault="00117B7F" w:rsidP="007F0E33">
            <w:pPr>
              <w:spacing w:after="0"/>
              <w:ind w:left="0" w:firstLine="0"/>
              <w:jc w:val="left"/>
              <w:rPr>
                <w:b/>
                <w:bCs/>
                <w:sz w:val="20"/>
              </w:rPr>
            </w:pPr>
            <w:r w:rsidRPr="00B90483">
              <w:rPr>
                <w:b/>
                <w:bCs/>
                <w:sz w:val="20"/>
              </w:rPr>
              <w:t>Série II - DEVERSOIR</w:t>
            </w:r>
          </w:p>
        </w:tc>
        <w:tc>
          <w:tcPr>
            <w:tcW w:w="397" w:type="pct"/>
            <w:tcBorders>
              <w:top w:val="nil"/>
              <w:left w:val="nil"/>
              <w:bottom w:val="single" w:sz="8" w:space="0" w:color="auto"/>
              <w:right w:val="single" w:sz="8" w:space="0" w:color="auto"/>
            </w:tcBorders>
            <w:shd w:val="clear" w:color="auto" w:fill="auto"/>
            <w:vAlign w:val="center"/>
            <w:hideMark/>
          </w:tcPr>
          <w:p w14:paraId="2AC2D53F" w14:textId="77777777" w:rsidR="00117B7F" w:rsidRPr="00B90483" w:rsidRDefault="00117B7F" w:rsidP="007F0E33">
            <w:pPr>
              <w:spacing w:after="0"/>
              <w:ind w:left="0" w:firstLine="0"/>
              <w:jc w:val="center"/>
              <w:rPr>
                <w:b/>
                <w:bCs/>
                <w:i/>
                <w:iCs/>
                <w:sz w:val="20"/>
              </w:rPr>
            </w:pPr>
            <w:r w:rsidRPr="00B90483">
              <w:rPr>
                <w:b/>
                <w:bCs/>
                <w:i/>
                <w:iCs/>
                <w:sz w:val="20"/>
              </w:rPr>
              <w:t> </w:t>
            </w:r>
          </w:p>
        </w:tc>
        <w:tc>
          <w:tcPr>
            <w:tcW w:w="709" w:type="pct"/>
            <w:tcBorders>
              <w:top w:val="nil"/>
              <w:left w:val="nil"/>
              <w:bottom w:val="single" w:sz="8" w:space="0" w:color="auto"/>
              <w:right w:val="nil"/>
            </w:tcBorders>
            <w:shd w:val="clear" w:color="auto" w:fill="auto"/>
            <w:vAlign w:val="center"/>
            <w:hideMark/>
          </w:tcPr>
          <w:p w14:paraId="0F7B9267" w14:textId="77777777" w:rsidR="00117B7F" w:rsidRPr="00B90483" w:rsidRDefault="00117B7F" w:rsidP="007F0E33">
            <w:pPr>
              <w:spacing w:after="0"/>
              <w:ind w:left="0" w:firstLine="0"/>
              <w:jc w:val="center"/>
              <w:rPr>
                <w:rFonts w:ascii="Arial" w:hAnsi="Arial" w:cs="Arial"/>
                <w:b/>
                <w:bCs/>
                <w:i/>
                <w:iCs/>
                <w:sz w:val="20"/>
              </w:rPr>
            </w:pPr>
            <w:r w:rsidRPr="00B90483">
              <w:rPr>
                <w:rFonts w:ascii="Arial" w:hAnsi="Arial" w:cs="Arial"/>
                <w:b/>
                <w:bCs/>
                <w:i/>
                <w:iCs/>
                <w:sz w:val="20"/>
              </w:rPr>
              <w:t> </w:t>
            </w:r>
          </w:p>
        </w:tc>
        <w:tc>
          <w:tcPr>
            <w:tcW w:w="746" w:type="pct"/>
            <w:tcBorders>
              <w:top w:val="nil"/>
              <w:left w:val="single" w:sz="4" w:space="0" w:color="auto"/>
              <w:bottom w:val="single" w:sz="4" w:space="0" w:color="auto"/>
              <w:right w:val="single" w:sz="4" w:space="0" w:color="auto"/>
            </w:tcBorders>
            <w:shd w:val="clear" w:color="auto" w:fill="auto"/>
            <w:noWrap/>
            <w:vAlign w:val="bottom"/>
            <w:hideMark/>
          </w:tcPr>
          <w:p w14:paraId="12AC3BF5" w14:textId="77777777" w:rsidR="00117B7F" w:rsidRPr="00B90483" w:rsidRDefault="00117B7F" w:rsidP="007F0E33">
            <w:pPr>
              <w:spacing w:after="0"/>
              <w:ind w:left="0" w:firstLine="0"/>
              <w:jc w:val="left"/>
              <w:rPr>
                <w:rFonts w:ascii="Calibri" w:hAnsi="Calibri"/>
                <w:sz w:val="20"/>
              </w:rPr>
            </w:pPr>
            <w:r w:rsidRPr="00B90483">
              <w:rPr>
                <w:rFonts w:ascii="Calibri" w:hAnsi="Calibri"/>
                <w:sz w:val="20"/>
              </w:rPr>
              <w:t> </w:t>
            </w:r>
          </w:p>
        </w:tc>
      </w:tr>
      <w:tr w:rsidR="00117B7F" w:rsidRPr="00B90483" w14:paraId="1FFAFB7A" w14:textId="77777777" w:rsidTr="00BD46CB">
        <w:trPr>
          <w:trHeight w:val="5503"/>
          <w:jc w:val="center"/>
        </w:trPr>
        <w:tc>
          <w:tcPr>
            <w:tcW w:w="261" w:type="pct"/>
            <w:tcBorders>
              <w:top w:val="single" w:sz="4" w:space="0" w:color="auto"/>
              <w:left w:val="double" w:sz="6" w:space="0" w:color="auto"/>
              <w:bottom w:val="single" w:sz="8" w:space="0" w:color="auto"/>
              <w:right w:val="single" w:sz="8" w:space="0" w:color="auto"/>
            </w:tcBorders>
            <w:shd w:val="clear" w:color="auto" w:fill="auto"/>
            <w:vAlign w:val="center"/>
            <w:hideMark/>
          </w:tcPr>
          <w:p w14:paraId="294D01B3" w14:textId="77777777" w:rsidR="00117B7F" w:rsidRPr="00B90483" w:rsidRDefault="00117B7F" w:rsidP="007F0E33">
            <w:pPr>
              <w:spacing w:after="0"/>
              <w:ind w:left="0" w:firstLine="0"/>
              <w:jc w:val="center"/>
              <w:rPr>
                <w:b/>
                <w:bCs/>
                <w:sz w:val="20"/>
              </w:rPr>
            </w:pPr>
            <w:r w:rsidRPr="00B90483">
              <w:rPr>
                <w:b/>
                <w:bCs/>
                <w:sz w:val="20"/>
              </w:rPr>
              <w:lastRenderedPageBreak/>
              <w:t>2.1</w:t>
            </w:r>
          </w:p>
        </w:tc>
        <w:tc>
          <w:tcPr>
            <w:tcW w:w="2887" w:type="pct"/>
            <w:tcBorders>
              <w:top w:val="single" w:sz="4" w:space="0" w:color="auto"/>
              <w:left w:val="nil"/>
              <w:bottom w:val="single" w:sz="8" w:space="0" w:color="auto"/>
              <w:right w:val="single" w:sz="8" w:space="0" w:color="auto"/>
            </w:tcBorders>
            <w:shd w:val="clear" w:color="auto" w:fill="auto"/>
            <w:vAlign w:val="center"/>
            <w:hideMark/>
          </w:tcPr>
          <w:p w14:paraId="0A46FCFB" w14:textId="77777777" w:rsidR="00117B7F" w:rsidRPr="00B90483" w:rsidRDefault="00117B7F" w:rsidP="007F0E33">
            <w:pPr>
              <w:spacing w:after="0"/>
              <w:ind w:left="0" w:firstLine="0"/>
              <w:jc w:val="left"/>
              <w:rPr>
                <w:b/>
                <w:bCs/>
                <w:sz w:val="20"/>
              </w:rPr>
            </w:pPr>
            <w:r w:rsidRPr="00B90483">
              <w:rPr>
                <w:b/>
                <w:bCs/>
                <w:sz w:val="20"/>
              </w:rPr>
              <w:t xml:space="preserve">Déblai en terrain ordinaire pour tranchée d'ancrage du mur d'étanchéité y compris fouilles éventuelles sous eau et blindage des parois                                                        </w:t>
            </w:r>
            <w:r w:rsidRPr="00B90483">
              <w:rPr>
                <w:sz w:val="20"/>
              </w:rPr>
              <w:t xml:space="preserve">                                                      </w:t>
            </w:r>
            <w:r w:rsidRPr="00B90483">
              <w:rPr>
                <w:sz w:val="18"/>
                <w:szCs w:val="18"/>
              </w:rPr>
              <w:t>Le prix rémunère le matériel (engins de terrassement telle une pelle mécanique) et le personnel qualifié nécessaire pour l'exécution correcte des fouilles de la tranchée d’ancrage de l’ouvrage.</w:t>
            </w:r>
            <w:r w:rsidRPr="00B90483">
              <w:rPr>
                <w:sz w:val="18"/>
                <w:szCs w:val="18"/>
              </w:rPr>
              <w:br/>
              <w:t>Ce prix comprend :</w:t>
            </w:r>
            <w:r w:rsidRPr="00B90483">
              <w:rPr>
                <w:sz w:val="18"/>
                <w:szCs w:val="18"/>
              </w:rPr>
              <w:br/>
              <w:t>- Tous les travaux d'accomplissement des profils de déblais ;</w:t>
            </w:r>
            <w:r w:rsidRPr="00B90483">
              <w:rPr>
                <w:sz w:val="18"/>
                <w:szCs w:val="18"/>
              </w:rPr>
              <w:br/>
              <w:t>- Les coûts liés à l’emploi des engins lourds (locations, carburants, mains d’œuvre qualifié);</w:t>
            </w:r>
            <w:r w:rsidRPr="00B90483">
              <w:rPr>
                <w:sz w:val="18"/>
                <w:szCs w:val="18"/>
              </w:rPr>
              <w:br/>
              <w:t>- Les coûts liés à l’emploi d’un compresseur ou des explosifs ;</w:t>
            </w:r>
            <w:r w:rsidRPr="00B90483">
              <w:rPr>
                <w:sz w:val="18"/>
                <w:szCs w:val="18"/>
              </w:rPr>
              <w:br/>
              <w:t>- La réalisation des déblais de finition éventuelle ;</w:t>
            </w:r>
            <w:r w:rsidRPr="00B90483">
              <w:rPr>
                <w:sz w:val="18"/>
                <w:szCs w:val="18"/>
              </w:rPr>
              <w:br/>
              <w:t>- Les sur largeurs provisoires des déblais puis le taillage de ces talus ;</w:t>
            </w:r>
            <w:r w:rsidRPr="00B90483">
              <w:rPr>
                <w:sz w:val="18"/>
                <w:szCs w:val="18"/>
              </w:rPr>
              <w:br/>
              <w:t>- Le chargement des déblais et leur dépôt hors emprise des ouvrages ;</w:t>
            </w:r>
            <w:r w:rsidRPr="00B90483">
              <w:rPr>
                <w:sz w:val="18"/>
                <w:szCs w:val="18"/>
              </w:rPr>
              <w:br/>
              <w:t>- Le réglage, le compactage et la finition du fond de forme ;</w:t>
            </w:r>
            <w:r w:rsidRPr="00B90483">
              <w:rPr>
                <w:sz w:val="18"/>
                <w:szCs w:val="18"/>
              </w:rPr>
              <w:br/>
              <w:t>- Le dressage des talus du déblai ;</w:t>
            </w:r>
            <w:r w:rsidRPr="00B90483">
              <w:rPr>
                <w:sz w:val="18"/>
                <w:szCs w:val="18"/>
              </w:rPr>
              <w:br/>
              <w:t>- Toutes les sujétions d’extraction des matériaux et l’extraction elle-même ;</w:t>
            </w:r>
            <w:r w:rsidRPr="00B90483">
              <w:rPr>
                <w:sz w:val="18"/>
                <w:szCs w:val="18"/>
              </w:rPr>
              <w:br/>
              <w:t>- La mise en dépôt provisoire du stock qui en découlerait ;</w:t>
            </w:r>
            <w:r w:rsidRPr="00B90483">
              <w:rPr>
                <w:sz w:val="18"/>
                <w:szCs w:val="18"/>
              </w:rPr>
              <w:br/>
              <w:t>- La finition des dépôts ;</w:t>
            </w:r>
            <w:r w:rsidRPr="00B90483">
              <w:rPr>
                <w:sz w:val="18"/>
                <w:szCs w:val="18"/>
              </w:rPr>
              <w:br/>
              <w:t>- Et toutes sujétions d’exécution et de main d’œuvre qualifié et non qualifiée.</w:t>
            </w:r>
            <w:r w:rsidRPr="00B90483">
              <w:rPr>
                <w:sz w:val="18"/>
                <w:szCs w:val="18"/>
              </w:rPr>
              <w:br/>
            </w:r>
            <w:r w:rsidRPr="00B90483">
              <w:rPr>
                <w:sz w:val="20"/>
              </w:rPr>
              <w:br/>
            </w:r>
            <w:r w:rsidRPr="00B90483">
              <w:rPr>
                <w:i/>
                <w:sz w:val="18"/>
                <w:szCs w:val="18"/>
              </w:rPr>
              <w:t>Ce prix s’applique au mètre cube (m3) théorique de déblai, les côtes du terrain naturel étant celles obtenues par levés contradictoires des profils en travers minorés de l'épaisseur du décapage éventuel.</w:t>
            </w:r>
          </w:p>
        </w:tc>
        <w:tc>
          <w:tcPr>
            <w:tcW w:w="397" w:type="pct"/>
            <w:tcBorders>
              <w:top w:val="single" w:sz="4" w:space="0" w:color="auto"/>
              <w:left w:val="nil"/>
              <w:bottom w:val="single" w:sz="8" w:space="0" w:color="auto"/>
              <w:right w:val="single" w:sz="8" w:space="0" w:color="auto"/>
            </w:tcBorders>
            <w:shd w:val="clear" w:color="auto" w:fill="auto"/>
            <w:vAlign w:val="center"/>
            <w:hideMark/>
          </w:tcPr>
          <w:p w14:paraId="6063F190" w14:textId="77777777" w:rsidR="00117B7F" w:rsidRPr="00B90483" w:rsidRDefault="00117B7F" w:rsidP="007F0E33">
            <w:pPr>
              <w:spacing w:after="0"/>
              <w:ind w:left="0" w:firstLine="0"/>
              <w:jc w:val="center"/>
              <w:rPr>
                <w:sz w:val="20"/>
              </w:rPr>
            </w:pPr>
            <w:r w:rsidRPr="00B90483">
              <w:rPr>
                <w:sz w:val="20"/>
              </w:rPr>
              <w:t>m</w:t>
            </w:r>
            <w:r w:rsidRPr="00B90483">
              <w:rPr>
                <w:sz w:val="20"/>
                <w:vertAlign w:val="superscript"/>
              </w:rPr>
              <w:t>3</w:t>
            </w:r>
          </w:p>
        </w:tc>
        <w:tc>
          <w:tcPr>
            <w:tcW w:w="709" w:type="pct"/>
            <w:tcBorders>
              <w:top w:val="single" w:sz="4" w:space="0" w:color="auto"/>
              <w:left w:val="nil"/>
              <w:bottom w:val="single" w:sz="8" w:space="0" w:color="auto"/>
              <w:right w:val="nil"/>
            </w:tcBorders>
            <w:shd w:val="clear" w:color="auto" w:fill="auto"/>
            <w:vAlign w:val="center"/>
            <w:hideMark/>
          </w:tcPr>
          <w:p w14:paraId="75370CFB" w14:textId="77777777" w:rsidR="00117B7F" w:rsidRPr="00B90483" w:rsidRDefault="00117B7F" w:rsidP="007F0E33">
            <w:pPr>
              <w:spacing w:after="0"/>
              <w:ind w:left="0" w:firstLine="0"/>
              <w:jc w:val="center"/>
              <w:rPr>
                <w:rFonts w:ascii="Arial" w:hAnsi="Arial" w:cs="Arial"/>
                <w:sz w:val="20"/>
              </w:rPr>
            </w:pPr>
          </w:p>
        </w:tc>
        <w:tc>
          <w:tcPr>
            <w:tcW w:w="746" w:type="pct"/>
            <w:tcBorders>
              <w:top w:val="nil"/>
              <w:left w:val="single" w:sz="4" w:space="0" w:color="auto"/>
              <w:bottom w:val="single" w:sz="4" w:space="0" w:color="auto"/>
              <w:right w:val="single" w:sz="4" w:space="0" w:color="auto"/>
            </w:tcBorders>
            <w:shd w:val="clear" w:color="auto" w:fill="auto"/>
            <w:noWrap/>
            <w:vAlign w:val="bottom"/>
            <w:hideMark/>
          </w:tcPr>
          <w:p w14:paraId="5BF9FA0F" w14:textId="77777777" w:rsidR="00117B7F" w:rsidRPr="00B90483" w:rsidRDefault="00117B7F" w:rsidP="007F0E33">
            <w:pPr>
              <w:spacing w:after="0"/>
              <w:ind w:left="0" w:firstLine="0"/>
              <w:jc w:val="left"/>
              <w:rPr>
                <w:rFonts w:ascii="Calibri" w:hAnsi="Calibri"/>
                <w:sz w:val="20"/>
              </w:rPr>
            </w:pPr>
            <w:r w:rsidRPr="00B90483">
              <w:rPr>
                <w:rFonts w:ascii="Calibri" w:hAnsi="Calibri"/>
                <w:sz w:val="20"/>
              </w:rPr>
              <w:t> </w:t>
            </w:r>
          </w:p>
        </w:tc>
      </w:tr>
      <w:tr w:rsidR="00117B7F" w:rsidRPr="00B90483" w14:paraId="42FC0F63" w14:textId="77777777" w:rsidTr="00BD46CB">
        <w:trPr>
          <w:trHeight w:val="4710"/>
          <w:jc w:val="center"/>
        </w:trPr>
        <w:tc>
          <w:tcPr>
            <w:tcW w:w="261" w:type="pct"/>
            <w:tcBorders>
              <w:top w:val="nil"/>
              <w:left w:val="double" w:sz="6" w:space="0" w:color="auto"/>
              <w:bottom w:val="single" w:sz="8" w:space="0" w:color="auto"/>
              <w:right w:val="single" w:sz="8" w:space="0" w:color="auto"/>
            </w:tcBorders>
            <w:shd w:val="clear" w:color="auto" w:fill="auto"/>
            <w:vAlign w:val="center"/>
            <w:hideMark/>
          </w:tcPr>
          <w:p w14:paraId="7A8E2B9E" w14:textId="77777777" w:rsidR="00117B7F" w:rsidRPr="00B90483" w:rsidRDefault="00117B7F" w:rsidP="007F0E33">
            <w:pPr>
              <w:spacing w:after="0"/>
              <w:ind w:left="0" w:firstLine="0"/>
              <w:jc w:val="center"/>
              <w:rPr>
                <w:b/>
                <w:bCs/>
                <w:sz w:val="20"/>
              </w:rPr>
            </w:pPr>
            <w:r w:rsidRPr="00B90483">
              <w:rPr>
                <w:b/>
                <w:bCs/>
                <w:sz w:val="20"/>
              </w:rPr>
              <w:t>2.2</w:t>
            </w:r>
          </w:p>
        </w:tc>
        <w:tc>
          <w:tcPr>
            <w:tcW w:w="2887" w:type="pct"/>
            <w:tcBorders>
              <w:top w:val="nil"/>
              <w:left w:val="nil"/>
              <w:bottom w:val="single" w:sz="8" w:space="0" w:color="auto"/>
              <w:right w:val="single" w:sz="8" w:space="0" w:color="auto"/>
            </w:tcBorders>
            <w:shd w:val="clear" w:color="auto" w:fill="auto"/>
            <w:vAlign w:val="center"/>
            <w:hideMark/>
          </w:tcPr>
          <w:p w14:paraId="3B2C445C" w14:textId="77777777" w:rsidR="00117B7F" w:rsidRPr="00B90483" w:rsidRDefault="00117B7F" w:rsidP="007F0E33">
            <w:pPr>
              <w:spacing w:after="0"/>
              <w:ind w:left="0" w:firstLine="0"/>
              <w:jc w:val="left"/>
              <w:rPr>
                <w:sz w:val="18"/>
                <w:szCs w:val="18"/>
              </w:rPr>
            </w:pPr>
            <w:r w:rsidRPr="00B90483">
              <w:rPr>
                <w:b/>
                <w:bCs/>
                <w:sz w:val="20"/>
              </w:rPr>
              <w:t xml:space="preserve">Déblai en terrain ordinaire pour fondation du contrefort                                                    </w:t>
            </w:r>
            <w:r w:rsidRPr="00B90483">
              <w:rPr>
                <w:sz w:val="20"/>
              </w:rPr>
              <w:t xml:space="preserve">     </w:t>
            </w:r>
            <w:r w:rsidRPr="00B90483">
              <w:rPr>
                <w:sz w:val="18"/>
                <w:szCs w:val="18"/>
              </w:rPr>
              <w:t>Le prix rémunère le matériel (engins de terrassement telle une pelle mécanique) et le personnel qualifié nécessaire pour l'exécution correcte des fouilles de la tranchée d’ancrage de du contrefort et buté.</w:t>
            </w:r>
            <w:r w:rsidRPr="00B90483">
              <w:rPr>
                <w:sz w:val="18"/>
                <w:szCs w:val="18"/>
              </w:rPr>
              <w:br/>
              <w:t>Ce prix comprend :</w:t>
            </w:r>
            <w:r w:rsidRPr="00B90483">
              <w:rPr>
                <w:sz w:val="18"/>
                <w:szCs w:val="18"/>
              </w:rPr>
              <w:br/>
              <w:t>- Tous les travaux d'accomplissement des profils de déblais ;</w:t>
            </w:r>
            <w:r w:rsidRPr="00B90483">
              <w:rPr>
                <w:sz w:val="18"/>
                <w:szCs w:val="18"/>
              </w:rPr>
              <w:br/>
              <w:t>- Les coûts liés à l’emploi des engins lourds (locations, carburants, mains d’œuvre qualifié);</w:t>
            </w:r>
            <w:r w:rsidRPr="00B90483">
              <w:rPr>
                <w:sz w:val="18"/>
                <w:szCs w:val="18"/>
              </w:rPr>
              <w:br/>
              <w:t>- Les coûts liés à l’emploi d’un compresseur ou des explosifs ;</w:t>
            </w:r>
            <w:r w:rsidRPr="00B90483">
              <w:rPr>
                <w:sz w:val="18"/>
                <w:szCs w:val="18"/>
              </w:rPr>
              <w:br/>
              <w:t>- La réalisation des déblais de finition éventuelle ;</w:t>
            </w:r>
            <w:r w:rsidRPr="00B90483">
              <w:rPr>
                <w:sz w:val="18"/>
                <w:szCs w:val="18"/>
              </w:rPr>
              <w:br/>
              <w:t>- Les sur largeurs provisoires des déblais puis le taillage de ces talus ;</w:t>
            </w:r>
            <w:r w:rsidRPr="00B90483">
              <w:rPr>
                <w:sz w:val="18"/>
                <w:szCs w:val="18"/>
              </w:rPr>
              <w:br/>
              <w:t>- Le chargement des déblais et leur dépôt hors emprise des ouvrages ;</w:t>
            </w:r>
            <w:r w:rsidRPr="00B90483">
              <w:rPr>
                <w:sz w:val="18"/>
                <w:szCs w:val="18"/>
              </w:rPr>
              <w:br/>
              <w:t>- Le réglage, le compactage et la finition du fond de forme ;</w:t>
            </w:r>
            <w:r w:rsidRPr="00B90483">
              <w:rPr>
                <w:sz w:val="18"/>
                <w:szCs w:val="18"/>
              </w:rPr>
              <w:br/>
              <w:t>- Le dressage des talus du déblai ;</w:t>
            </w:r>
            <w:r w:rsidRPr="00B90483">
              <w:rPr>
                <w:sz w:val="18"/>
                <w:szCs w:val="18"/>
              </w:rPr>
              <w:br/>
              <w:t>- Toutes les sujétions d’extraction des matériaux et l’extraction elle-même ;</w:t>
            </w:r>
            <w:r w:rsidRPr="00B90483">
              <w:rPr>
                <w:sz w:val="18"/>
                <w:szCs w:val="18"/>
              </w:rPr>
              <w:br/>
              <w:t>- La mise en dépôt provisoire du stock qui en découlerait ;</w:t>
            </w:r>
            <w:r w:rsidRPr="00B90483">
              <w:rPr>
                <w:sz w:val="18"/>
                <w:szCs w:val="18"/>
              </w:rPr>
              <w:br/>
              <w:t>- La finition des dépôts ;</w:t>
            </w:r>
            <w:r w:rsidRPr="00B90483">
              <w:rPr>
                <w:sz w:val="18"/>
                <w:szCs w:val="18"/>
              </w:rPr>
              <w:br/>
              <w:t>- Et toutes sujétions d’exécution et de main d’œuvre qualifié et non qualifiée.</w:t>
            </w:r>
          </w:p>
          <w:p w14:paraId="2C474FEB" w14:textId="77777777" w:rsidR="00117B7F" w:rsidRPr="00B90483" w:rsidRDefault="00117B7F" w:rsidP="007F0E33">
            <w:pPr>
              <w:spacing w:after="0"/>
              <w:ind w:left="0" w:firstLine="0"/>
              <w:jc w:val="left"/>
              <w:rPr>
                <w:b/>
                <w:bCs/>
                <w:sz w:val="20"/>
              </w:rPr>
            </w:pPr>
            <w:r w:rsidRPr="00B90483">
              <w:rPr>
                <w:sz w:val="18"/>
                <w:szCs w:val="18"/>
              </w:rPr>
              <w:br/>
            </w:r>
            <w:r w:rsidRPr="00B90483">
              <w:rPr>
                <w:i/>
                <w:sz w:val="18"/>
                <w:szCs w:val="18"/>
              </w:rPr>
              <w:t>Ce prix s’applique au mètre cube (m3) théorique de déblai en terrain dur, les côtes du terrain naturel étant celles obtenues par levés contradictoires des profils en travers minorés de l'épaisseur du décapage éventuel</w:t>
            </w:r>
            <w:r w:rsidRPr="00B90483">
              <w:rPr>
                <w:sz w:val="18"/>
                <w:szCs w:val="18"/>
              </w:rPr>
              <w:t>.</w:t>
            </w:r>
          </w:p>
        </w:tc>
        <w:tc>
          <w:tcPr>
            <w:tcW w:w="397" w:type="pct"/>
            <w:tcBorders>
              <w:top w:val="nil"/>
              <w:left w:val="nil"/>
              <w:bottom w:val="single" w:sz="8" w:space="0" w:color="auto"/>
              <w:right w:val="single" w:sz="8" w:space="0" w:color="auto"/>
            </w:tcBorders>
            <w:shd w:val="clear" w:color="auto" w:fill="auto"/>
            <w:vAlign w:val="center"/>
            <w:hideMark/>
          </w:tcPr>
          <w:p w14:paraId="46D1C3AF" w14:textId="77777777" w:rsidR="00117B7F" w:rsidRPr="00B90483" w:rsidRDefault="00117B7F" w:rsidP="007F0E33">
            <w:pPr>
              <w:spacing w:after="0"/>
              <w:ind w:left="0" w:firstLine="0"/>
              <w:jc w:val="center"/>
              <w:rPr>
                <w:sz w:val="20"/>
              </w:rPr>
            </w:pPr>
            <w:r w:rsidRPr="00B90483">
              <w:rPr>
                <w:sz w:val="20"/>
              </w:rPr>
              <w:t>m</w:t>
            </w:r>
            <w:r w:rsidRPr="00B90483">
              <w:rPr>
                <w:sz w:val="20"/>
                <w:vertAlign w:val="superscript"/>
              </w:rPr>
              <w:t>3</w:t>
            </w:r>
          </w:p>
        </w:tc>
        <w:tc>
          <w:tcPr>
            <w:tcW w:w="709" w:type="pct"/>
            <w:tcBorders>
              <w:top w:val="nil"/>
              <w:left w:val="nil"/>
              <w:bottom w:val="single" w:sz="8" w:space="0" w:color="auto"/>
              <w:right w:val="nil"/>
            </w:tcBorders>
            <w:shd w:val="clear" w:color="auto" w:fill="auto"/>
            <w:vAlign w:val="center"/>
            <w:hideMark/>
          </w:tcPr>
          <w:p w14:paraId="784CFE31" w14:textId="77777777" w:rsidR="00117B7F" w:rsidRPr="00B90483" w:rsidRDefault="00117B7F" w:rsidP="007F0E33">
            <w:pPr>
              <w:spacing w:after="0"/>
              <w:ind w:left="0" w:firstLine="0"/>
              <w:jc w:val="center"/>
              <w:rPr>
                <w:rFonts w:ascii="Arial" w:hAnsi="Arial" w:cs="Arial"/>
                <w:sz w:val="20"/>
              </w:rPr>
            </w:pPr>
          </w:p>
        </w:tc>
        <w:tc>
          <w:tcPr>
            <w:tcW w:w="746" w:type="pct"/>
            <w:tcBorders>
              <w:top w:val="nil"/>
              <w:left w:val="single" w:sz="4" w:space="0" w:color="auto"/>
              <w:bottom w:val="single" w:sz="4" w:space="0" w:color="auto"/>
              <w:right w:val="single" w:sz="4" w:space="0" w:color="auto"/>
            </w:tcBorders>
            <w:shd w:val="clear" w:color="auto" w:fill="auto"/>
            <w:noWrap/>
            <w:vAlign w:val="bottom"/>
            <w:hideMark/>
          </w:tcPr>
          <w:p w14:paraId="3CC0940A" w14:textId="77777777" w:rsidR="00117B7F" w:rsidRPr="00B90483" w:rsidRDefault="00117B7F" w:rsidP="007F0E33">
            <w:pPr>
              <w:spacing w:after="0"/>
              <w:ind w:left="0" w:firstLine="0"/>
              <w:jc w:val="left"/>
              <w:rPr>
                <w:rFonts w:ascii="Calibri" w:hAnsi="Calibri"/>
                <w:sz w:val="20"/>
              </w:rPr>
            </w:pPr>
            <w:r w:rsidRPr="00B90483">
              <w:rPr>
                <w:rFonts w:ascii="Calibri" w:hAnsi="Calibri"/>
                <w:sz w:val="20"/>
              </w:rPr>
              <w:t> </w:t>
            </w:r>
          </w:p>
        </w:tc>
      </w:tr>
      <w:tr w:rsidR="00117B7F" w:rsidRPr="00B90483" w14:paraId="67041C06" w14:textId="77777777" w:rsidTr="00BD46CB">
        <w:trPr>
          <w:trHeight w:val="3376"/>
          <w:jc w:val="center"/>
        </w:trPr>
        <w:tc>
          <w:tcPr>
            <w:tcW w:w="261" w:type="pct"/>
            <w:tcBorders>
              <w:top w:val="single" w:sz="4" w:space="0" w:color="auto"/>
              <w:left w:val="double" w:sz="6" w:space="0" w:color="auto"/>
              <w:bottom w:val="single" w:sz="8" w:space="0" w:color="auto"/>
              <w:right w:val="single" w:sz="8" w:space="0" w:color="auto"/>
            </w:tcBorders>
            <w:shd w:val="clear" w:color="auto" w:fill="auto"/>
            <w:vAlign w:val="center"/>
            <w:hideMark/>
          </w:tcPr>
          <w:p w14:paraId="5AE714F1" w14:textId="77777777" w:rsidR="00117B7F" w:rsidRPr="00B90483" w:rsidRDefault="00117B7F" w:rsidP="007F0E33">
            <w:pPr>
              <w:spacing w:after="0"/>
              <w:ind w:left="0" w:firstLine="0"/>
              <w:jc w:val="center"/>
              <w:rPr>
                <w:b/>
                <w:bCs/>
                <w:sz w:val="20"/>
              </w:rPr>
            </w:pPr>
            <w:r w:rsidRPr="00B90483">
              <w:rPr>
                <w:b/>
                <w:bCs/>
                <w:sz w:val="20"/>
              </w:rPr>
              <w:lastRenderedPageBreak/>
              <w:t>2.3</w:t>
            </w:r>
          </w:p>
        </w:tc>
        <w:tc>
          <w:tcPr>
            <w:tcW w:w="2887" w:type="pct"/>
            <w:tcBorders>
              <w:top w:val="single" w:sz="4" w:space="0" w:color="auto"/>
              <w:left w:val="nil"/>
              <w:bottom w:val="single" w:sz="8" w:space="0" w:color="auto"/>
              <w:right w:val="single" w:sz="8" w:space="0" w:color="auto"/>
            </w:tcBorders>
            <w:shd w:val="clear" w:color="auto" w:fill="auto"/>
            <w:vAlign w:val="center"/>
            <w:hideMark/>
          </w:tcPr>
          <w:p w14:paraId="6E1B426E" w14:textId="77777777" w:rsidR="00117B7F" w:rsidRPr="00B90483" w:rsidRDefault="00117B7F" w:rsidP="007F0E33">
            <w:pPr>
              <w:spacing w:after="0"/>
              <w:ind w:left="0" w:firstLine="0"/>
              <w:jc w:val="left"/>
              <w:rPr>
                <w:b/>
                <w:bCs/>
                <w:sz w:val="20"/>
              </w:rPr>
            </w:pPr>
            <w:r w:rsidRPr="00B90483">
              <w:rPr>
                <w:b/>
                <w:bCs/>
                <w:sz w:val="20"/>
              </w:rPr>
              <w:t>Béton de propreté dosé à 150kg/m</w:t>
            </w:r>
            <w:r w:rsidRPr="00B90483">
              <w:rPr>
                <w:b/>
                <w:bCs/>
                <w:sz w:val="20"/>
                <w:vertAlign w:val="superscript"/>
              </w:rPr>
              <w:t>3</w:t>
            </w:r>
            <w:r w:rsidRPr="00B90483">
              <w:rPr>
                <w:b/>
                <w:bCs/>
                <w:sz w:val="20"/>
              </w:rPr>
              <w:t xml:space="preserve"> e=10cm pour mur étanche et contrefort                                                                                              </w:t>
            </w:r>
            <w:r w:rsidRPr="00B90483">
              <w:rPr>
                <w:sz w:val="18"/>
                <w:szCs w:val="18"/>
              </w:rPr>
              <w:t>Ce prix rémunère la fourniture et la mise en œuvre du béton de propreté dosé à 150 kg de ciment par mètre cube sur une épaisseur de 10cm sous l’assise du seuil et du contrefort.</w:t>
            </w:r>
            <w:r w:rsidRPr="00B90483">
              <w:rPr>
                <w:sz w:val="18"/>
                <w:szCs w:val="18"/>
              </w:rPr>
              <w:br/>
              <w:t>Ce prix comprend conformément aux spécifications des prescriptions techniques :</w:t>
            </w:r>
            <w:r w:rsidRPr="00B90483">
              <w:rPr>
                <w:sz w:val="18"/>
                <w:szCs w:val="18"/>
              </w:rPr>
              <w:br/>
              <w:t>- La fourniture et le transport sur le lieu d’emploi de tous les matériaux nécessaires à la fabrication du béton, et aux coffrages éventuels ;</w:t>
            </w:r>
            <w:r w:rsidRPr="00B90483">
              <w:rPr>
                <w:sz w:val="18"/>
                <w:szCs w:val="18"/>
              </w:rPr>
              <w:br/>
              <w:t>- Le stockage de ces matériaux ;</w:t>
            </w:r>
            <w:r w:rsidRPr="00B90483">
              <w:rPr>
                <w:sz w:val="18"/>
                <w:szCs w:val="18"/>
              </w:rPr>
              <w:br/>
              <w:t>- La fabrication, la mise en œuvre, le serrage et la cure du béton ;</w:t>
            </w:r>
            <w:r w:rsidRPr="00B90483">
              <w:rPr>
                <w:sz w:val="18"/>
                <w:szCs w:val="18"/>
              </w:rPr>
              <w:br/>
              <w:t>- Le décoffrage éventuel ;</w:t>
            </w:r>
            <w:r w:rsidRPr="00B90483">
              <w:rPr>
                <w:sz w:val="18"/>
                <w:szCs w:val="18"/>
              </w:rPr>
              <w:br/>
              <w:t>- Et toutes sujétions d'exécution et de main d’œuvre qualifié et non qualifiée.</w:t>
            </w:r>
            <w:r w:rsidRPr="00B90483">
              <w:rPr>
                <w:sz w:val="20"/>
              </w:rPr>
              <w:br/>
            </w:r>
            <w:r w:rsidRPr="00B90483">
              <w:rPr>
                <w:sz w:val="20"/>
              </w:rPr>
              <w:br/>
            </w:r>
            <w:r w:rsidRPr="00B90483">
              <w:rPr>
                <w:i/>
                <w:sz w:val="18"/>
                <w:szCs w:val="18"/>
              </w:rPr>
              <w:t>Ce prix s’applique au volume, en mètre cube (m3), de béton de propreté dosé à 150 kg/m3 coulé, avec comme valeur maximale celle obtenue à partir des plans d’exécution des ouvrages.</w:t>
            </w:r>
          </w:p>
        </w:tc>
        <w:tc>
          <w:tcPr>
            <w:tcW w:w="397" w:type="pct"/>
            <w:tcBorders>
              <w:top w:val="single" w:sz="4" w:space="0" w:color="auto"/>
              <w:left w:val="nil"/>
              <w:bottom w:val="single" w:sz="8" w:space="0" w:color="auto"/>
              <w:right w:val="single" w:sz="8" w:space="0" w:color="auto"/>
            </w:tcBorders>
            <w:shd w:val="clear" w:color="auto" w:fill="auto"/>
            <w:vAlign w:val="center"/>
            <w:hideMark/>
          </w:tcPr>
          <w:p w14:paraId="26D070D8" w14:textId="77777777" w:rsidR="00117B7F" w:rsidRPr="00B90483" w:rsidRDefault="00117B7F" w:rsidP="007F0E33">
            <w:pPr>
              <w:spacing w:after="0"/>
              <w:ind w:left="0" w:firstLine="0"/>
              <w:jc w:val="center"/>
              <w:rPr>
                <w:sz w:val="20"/>
              </w:rPr>
            </w:pPr>
            <w:r w:rsidRPr="00B90483">
              <w:rPr>
                <w:sz w:val="20"/>
              </w:rPr>
              <w:t>m</w:t>
            </w:r>
            <w:r w:rsidRPr="00B90483">
              <w:rPr>
                <w:sz w:val="20"/>
                <w:vertAlign w:val="superscript"/>
              </w:rPr>
              <w:t>3</w:t>
            </w:r>
          </w:p>
        </w:tc>
        <w:tc>
          <w:tcPr>
            <w:tcW w:w="709" w:type="pct"/>
            <w:tcBorders>
              <w:top w:val="single" w:sz="4" w:space="0" w:color="auto"/>
              <w:left w:val="nil"/>
              <w:bottom w:val="single" w:sz="8" w:space="0" w:color="auto"/>
              <w:right w:val="nil"/>
            </w:tcBorders>
            <w:shd w:val="clear" w:color="auto" w:fill="auto"/>
            <w:vAlign w:val="center"/>
            <w:hideMark/>
          </w:tcPr>
          <w:p w14:paraId="2585E41D" w14:textId="77777777" w:rsidR="00117B7F" w:rsidRPr="00B90483" w:rsidRDefault="00117B7F" w:rsidP="007F0E33">
            <w:pPr>
              <w:spacing w:after="0"/>
              <w:ind w:left="0" w:firstLine="0"/>
              <w:jc w:val="center"/>
              <w:rPr>
                <w:rFonts w:ascii="Arial" w:hAnsi="Arial" w:cs="Arial"/>
                <w:sz w:val="20"/>
              </w:rPr>
            </w:pPr>
          </w:p>
        </w:tc>
        <w:tc>
          <w:tcPr>
            <w:tcW w:w="7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8CF79E" w14:textId="77777777" w:rsidR="00117B7F" w:rsidRPr="00B90483" w:rsidRDefault="00117B7F" w:rsidP="007F0E33">
            <w:pPr>
              <w:spacing w:after="0"/>
              <w:ind w:left="0" w:firstLine="0"/>
              <w:jc w:val="left"/>
              <w:rPr>
                <w:rFonts w:ascii="Calibri" w:hAnsi="Calibri"/>
                <w:sz w:val="20"/>
              </w:rPr>
            </w:pPr>
            <w:r w:rsidRPr="00B90483">
              <w:rPr>
                <w:rFonts w:ascii="Calibri" w:hAnsi="Calibri"/>
                <w:sz w:val="20"/>
              </w:rPr>
              <w:t> </w:t>
            </w:r>
          </w:p>
        </w:tc>
      </w:tr>
      <w:tr w:rsidR="00117B7F" w:rsidRPr="00B90483" w14:paraId="0369416F" w14:textId="77777777" w:rsidTr="00BD46CB">
        <w:trPr>
          <w:trHeight w:val="8192"/>
          <w:jc w:val="center"/>
        </w:trPr>
        <w:tc>
          <w:tcPr>
            <w:tcW w:w="261" w:type="pct"/>
            <w:tcBorders>
              <w:top w:val="nil"/>
              <w:left w:val="double" w:sz="6" w:space="0" w:color="auto"/>
              <w:bottom w:val="single" w:sz="8" w:space="0" w:color="auto"/>
              <w:right w:val="single" w:sz="8" w:space="0" w:color="auto"/>
            </w:tcBorders>
            <w:shd w:val="clear" w:color="auto" w:fill="auto"/>
            <w:vAlign w:val="center"/>
            <w:hideMark/>
          </w:tcPr>
          <w:p w14:paraId="23B3F1CA" w14:textId="77777777" w:rsidR="00117B7F" w:rsidRPr="00B90483" w:rsidRDefault="00117B7F" w:rsidP="007F0E33">
            <w:pPr>
              <w:spacing w:after="0"/>
              <w:ind w:left="0" w:firstLine="0"/>
              <w:jc w:val="center"/>
              <w:rPr>
                <w:b/>
                <w:bCs/>
                <w:sz w:val="20"/>
              </w:rPr>
            </w:pPr>
            <w:r w:rsidRPr="00B90483">
              <w:rPr>
                <w:b/>
                <w:bCs/>
                <w:sz w:val="20"/>
              </w:rPr>
              <w:t>2.4</w:t>
            </w:r>
          </w:p>
        </w:tc>
        <w:tc>
          <w:tcPr>
            <w:tcW w:w="2887" w:type="pct"/>
            <w:tcBorders>
              <w:top w:val="nil"/>
              <w:left w:val="nil"/>
              <w:bottom w:val="single" w:sz="8" w:space="0" w:color="auto"/>
              <w:right w:val="single" w:sz="8" w:space="0" w:color="auto"/>
            </w:tcBorders>
            <w:shd w:val="clear" w:color="auto" w:fill="auto"/>
            <w:vAlign w:val="center"/>
            <w:hideMark/>
          </w:tcPr>
          <w:p w14:paraId="494FA388" w14:textId="77777777" w:rsidR="00117B7F" w:rsidRPr="00B90483" w:rsidRDefault="00117B7F" w:rsidP="007F0E33">
            <w:pPr>
              <w:spacing w:after="0"/>
              <w:ind w:left="0" w:firstLine="0"/>
              <w:jc w:val="left"/>
              <w:rPr>
                <w:sz w:val="18"/>
                <w:szCs w:val="18"/>
              </w:rPr>
            </w:pPr>
            <w:r w:rsidRPr="00B90483">
              <w:rPr>
                <w:b/>
                <w:bCs/>
                <w:sz w:val="20"/>
              </w:rPr>
              <w:t>Blocage de la fouille en béton cyclopéen dosé à 350 kg/m</w:t>
            </w:r>
            <w:r w:rsidRPr="00B90483">
              <w:rPr>
                <w:b/>
                <w:bCs/>
                <w:sz w:val="20"/>
                <w:vertAlign w:val="superscript"/>
              </w:rPr>
              <w:t>3</w:t>
            </w:r>
            <w:r w:rsidRPr="00B90483">
              <w:rPr>
                <w:b/>
                <w:bCs/>
                <w:sz w:val="20"/>
              </w:rPr>
              <w:t xml:space="preserve"> sur le long du mur étanche et contrefort avec ajout du </w:t>
            </w:r>
            <w:proofErr w:type="spellStart"/>
            <w:r w:rsidRPr="00B90483">
              <w:rPr>
                <w:b/>
                <w:bCs/>
                <w:sz w:val="20"/>
              </w:rPr>
              <w:t>sikhalite</w:t>
            </w:r>
            <w:proofErr w:type="spellEnd"/>
            <w:r w:rsidRPr="00B90483">
              <w:rPr>
                <w:b/>
                <w:bCs/>
                <w:sz w:val="20"/>
              </w:rPr>
              <w:t xml:space="preserve">                                                                                          </w:t>
            </w:r>
            <w:r w:rsidRPr="00B90483">
              <w:rPr>
                <w:sz w:val="18"/>
                <w:szCs w:val="18"/>
              </w:rPr>
              <w:t xml:space="preserve">Le prix rémunère l’exécution du béton cyclopéen de l’écran d’étanchéité sur toute la longueur de l’ouvrage. Les couches de maçonnerie doivent être horizontales. </w:t>
            </w:r>
            <w:r w:rsidRPr="00B90483">
              <w:rPr>
                <w:sz w:val="18"/>
                <w:szCs w:val="18"/>
              </w:rPr>
              <w:br/>
              <w:t xml:space="preserve">Pour les maçonneries utilisant des pierres taillées, elles doivent avoir les dimensions minimales suivantes : 300x150x200 </w:t>
            </w:r>
            <w:proofErr w:type="spellStart"/>
            <w:r w:rsidRPr="00B90483">
              <w:rPr>
                <w:sz w:val="18"/>
                <w:szCs w:val="18"/>
              </w:rPr>
              <w:t>mm.</w:t>
            </w:r>
            <w:proofErr w:type="spellEnd"/>
            <w:r w:rsidRPr="00B90483">
              <w:rPr>
                <w:sz w:val="18"/>
                <w:szCs w:val="18"/>
              </w:rPr>
              <w:t xml:space="preserve"> Le rapport pierres / mortier à respecter est de 50% de pierres et 50% de béton dans tous les cas. Les pierres devront être parfaitement noyées dans du béton.</w:t>
            </w:r>
            <w:r w:rsidRPr="00B90483">
              <w:rPr>
                <w:sz w:val="18"/>
                <w:szCs w:val="18"/>
              </w:rPr>
              <w:br/>
              <w:t xml:space="preserve">Les bétons seront effectués selon le dosage du CCTP, le mètre cube de béton consiste de 0.8 m3 de gravier et 0,4 m3 de sable quoi qu'il en soit le dosage du ciment. Les graviers à utiliser doivent être propres et avoir des dimensions de 5 à 20 </w:t>
            </w:r>
            <w:proofErr w:type="spellStart"/>
            <w:r w:rsidRPr="00B90483">
              <w:rPr>
                <w:sz w:val="18"/>
                <w:szCs w:val="18"/>
              </w:rPr>
              <w:t>mm.</w:t>
            </w:r>
            <w:proofErr w:type="spellEnd"/>
            <w:r w:rsidRPr="00B90483">
              <w:rPr>
                <w:sz w:val="18"/>
                <w:szCs w:val="18"/>
              </w:rPr>
              <w:t xml:space="preserve"> Le béton sera dosé dans sa masse avec du </w:t>
            </w:r>
            <w:proofErr w:type="spellStart"/>
            <w:r w:rsidRPr="00B90483">
              <w:rPr>
                <w:sz w:val="18"/>
                <w:szCs w:val="18"/>
              </w:rPr>
              <w:t>sikhalite</w:t>
            </w:r>
            <w:proofErr w:type="spellEnd"/>
            <w:r w:rsidRPr="00B90483">
              <w:rPr>
                <w:sz w:val="18"/>
                <w:szCs w:val="18"/>
              </w:rPr>
              <w:t xml:space="preserve"> en respectant les prescriptions techniques d’emploi (soit 1 kg de </w:t>
            </w:r>
            <w:proofErr w:type="spellStart"/>
            <w:r w:rsidRPr="00B90483">
              <w:rPr>
                <w:sz w:val="18"/>
                <w:szCs w:val="18"/>
              </w:rPr>
              <w:t>sikalite</w:t>
            </w:r>
            <w:proofErr w:type="spellEnd"/>
            <w:r w:rsidRPr="00B90483">
              <w:rPr>
                <w:sz w:val="18"/>
                <w:szCs w:val="18"/>
              </w:rPr>
              <w:t xml:space="preserve"> par sac de ciment).</w:t>
            </w:r>
            <w:r w:rsidRPr="00B90483">
              <w:rPr>
                <w:sz w:val="18"/>
                <w:szCs w:val="18"/>
              </w:rPr>
              <w:br/>
              <w:t>Le béton est dosé à 350 kg de ciment CPJ 35 / m3 de béton et est composée d’une maçonnerie de pierre taillée de part et d’autre et d’une maçonnerie en bourrage à l’intérieur. L’épaisseur des joints entre les pierres ne doit pas être inférieure à 3 cm. Après construction la maçonnerie sera tenu humide pendant 21 jours par un arrosage biquotidien (matin et soir).</w:t>
            </w:r>
            <w:r w:rsidRPr="00B90483">
              <w:rPr>
                <w:sz w:val="18"/>
                <w:szCs w:val="18"/>
              </w:rPr>
              <w:br/>
              <w:t xml:space="preserve">Les joints de dilatation avec </w:t>
            </w:r>
            <w:proofErr w:type="spellStart"/>
            <w:r w:rsidRPr="00B90483">
              <w:rPr>
                <w:sz w:val="18"/>
                <w:szCs w:val="18"/>
              </w:rPr>
              <w:t>waterstop</w:t>
            </w:r>
            <w:proofErr w:type="spellEnd"/>
            <w:r w:rsidRPr="00B90483">
              <w:rPr>
                <w:sz w:val="18"/>
                <w:szCs w:val="18"/>
              </w:rPr>
              <w:t xml:space="preserve"> prévus à tous les 10m seront scellés avec un béton ordinaire </w:t>
            </w:r>
            <w:proofErr w:type="spellStart"/>
            <w:r w:rsidRPr="00B90483">
              <w:rPr>
                <w:sz w:val="18"/>
                <w:szCs w:val="18"/>
              </w:rPr>
              <w:t>surdosé</w:t>
            </w:r>
            <w:proofErr w:type="spellEnd"/>
            <w:r w:rsidRPr="00B90483">
              <w:rPr>
                <w:sz w:val="18"/>
                <w:szCs w:val="18"/>
              </w:rPr>
              <w:t xml:space="preserve"> à 400 kg/m3 de béton.</w:t>
            </w:r>
            <w:r w:rsidRPr="00B90483">
              <w:rPr>
                <w:sz w:val="18"/>
                <w:szCs w:val="18"/>
              </w:rPr>
              <w:br/>
              <w:t>Le prix rémunère le matériel (bétonnière et vibreur obligatoires), le personnel qualifié et non qualifié (technicien, équipes maçons et manœuvres) et les matériaux nécessaires.</w:t>
            </w:r>
            <w:r w:rsidRPr="00B90483">
              <w:rPr>
                <w:sz w:val="18"/>
                <w:szCs w:val="18"/>
              </w:rPr>
              <w:br/>
              <w:t>Ce prix comprend conformément aux spécifications des prescriptions techniques :</w:t>
            </w:r>
            <w:r w:rsidRPr="00B90483">
              <w:rPr>
                <w:sz w:val="18"/>
                <w:szCs w:val="18"/>
              </w:rPr>
              <w:br/>
              <w:t>- la fourniture et le transport sur le lieu d’emploi de tous les matériaux nécessaires à la fabrication du béton cyclopéen avec pierre, et aux coffrages ;</w:t>
            </w:r>
            <w:r w:rsidRPr="00B90483">
              <w:rPr>
                <w:sz w:val="18"/>
                <w:szCs w:val="18"/>
              </w:rPr>
              <w:br/>
              <w:t>- le stockage de ces matériaux;</w:t>
            </w:r>
            <w:r w:rsidRPr="00B90483">
              <w:rPr>
                <w:sz w:val="18"/>
                <w:szCs w:val="18"/>
              </w:rPr>
              <w:br/>
              <w:t>- la fabrication (avec une bétonnière), la mise en œuvre, le serrage (vibreur) et la cure de la maçonnerie de moellon;</w:t>
            </w:r>
            <w:r w:rsidRPr="00B90483">
              <w:rPr>
                <w:sz w:val="18"/>
                <w:szCs w:val="18"/>
              </w:rPr>
              <w:br/>
              <w:t>- le décoffrage;</w:t>
            </w:r>
            <w:r w:rsidRPr="00B90483">
              <w:rPr>
                <w:sz w:val="18"/>
                <w:szCs w:val="18"/>
              </w:rPr>
              <w:br/>
              <w:t>- et toutes sujétions d'exécution et de main d’œuvre qualifié et non qualifiée.</w:t>
            </w:r>
            <w:r w:rsidRPr="00B90483">
              <w:rPr>
                <w:sz w:val="18"/>
                <w:szCs w:val="18"/>
              </w:rPr>
              <w:br/>
            </w:r>
            <w:r w:rsidRPr="00B90483">
              <w:rPr>
                <w:sz w:val="18"/>
                <w:szCs w:val="18"/>
              </w:rPr>
              <w:br/>
            </w:r>
            <w:r w:rsidRPr="00B90483">
              <w:rPr>
                <w:i/>
                <w:sz w:val="18"/>
                <w:szCs w:val="18"/>
              </w:rPr>
              <w:t>Ce prix s’applique au volume, en mètre cube (m3), de béton cyclopéen, avec comme valeur maximale celle obtenue à partir des plans d’exécution des ouvrages.</w:t>
            </w:r>
          </w:p>
        </w:tc>
        <w:tc>
          <w:tcPr>
            <w:tcW w:w="397" w:type="pct"/>
            <w:tcBorders>
              <w:top w:val="nil"/>
              <w:left w:val="nil"/>
              <w:bottom w:val="single" w:sz="8" w:space="0" w:color="auto"/>
              <w:right w:val="single" w:sz="8" w:space="0" w:color="auto"/>
            </w:tcBorders>
            <w:shd w:val="clear" w:color="auto" w:fill="auto"/>
            <w:vAlign w:val="center"/>
            <w:hideMark/>
          </w:tcPr>
          <w:p w14:paraId="0F416762" w14:textId="77777777" w:rsidR="00117B7F" w:rsidRPr="00B90483" w:rsidRDefault="00117B7F" w:rsidP="007F0E33">
            <w:pPr>
              <w:spacing w:after="0"/>
              <w:ind w:left="0" w:firstLine="0"/>
              <w:jc w:val="center"/>
              <w:rPr>
                <w:sz w:val="20"/>
              </w:rPr>
            </w:pPr>
            <w:r w:rsidRPr="00B90483">
              <w:rPr>
                <w:sz w:val="20"/>
              </w:rPr>
              <w:t>m</w:t>
            </w:r>
            <w:r w:rsidRPr="00B90483">
              <w:rPr>
                <w:sz w:val="20"/>
                <w:vertAlign w:val="superscript"/>
              </w:rPr>
              <w:t>3</w:t>
            </w:r>
          </w:p>
        </w:tc>
        <w:tc>
          <w:tcPr>
            <w:tcW w:w="709" w:type="pct"/>
            <w:tcBorders>
              <w:top w:val="nil"/>
              <w:left w:val="nil"/>
              <w:bottom w:val="single" w:sz="8" w:space="0" w:color="auto"/>
              <w:right w:val="nil"/>
            </w:tcBorders>
            <w:shd w:val="clear" w:color="auto" w:fill="auto"/>
            <w:vAlign w:val="center"/>
            <w:hideMark/>
          </w:tcPr>
          <w:p w14:paraId="5B27DF4F" w14:textId="77777777" w:rsidR="00117B7F" w:rsidRPr="00B90483" w:rsidRDefault="00117B7F" w:rsidP="007F0E33">
            <w:pPr>
              <w:spacing w:after="0"/>
              <w:ind w:left="0" w:firstLine="0"/>
              <w:jc w:val="center"/>
              <w:rPr>
                <w:rFonts w:ascii="Arial" w:hAnsi="Arial" w:cs="Arial"/>
                <w:sz w:val="20"/>
              </w:rPr>
            </w:pPr>
          </w:p>
        </w:tc>
        <w:tc>
          <w:tcPr>
            <w:tcW w:w="746" w:type="pct"/>
            <w:tcBorders>
              <w:top w:val="nil"/>
              <w:left w:val="single" w:sz="4" w:space="0" w:color="auto"/>
              <w:bottom w:val="single" w:sz="4" w:space="0" w:color="auto"/>
              <w:right w:val="single" w:sz="4" w:space="0" w:color="auto"/>
            </w:tcBorders>
            <w:shd w:val="clear" w:color="auto" w:fill="auto"/>
            <w:noWrap/>
            <w:vAlign w:val="bottom"/>
            <w:hideMark/>
          </w:tcPr>
          <w:p w14:paraId="23AEC932" w14:textId="77777777" w:rsidR="00117B7F" w:rsidRPr="00B90483" w:rsidRDefault="00117B7F" w:rsidP="007F0E33">
            <w:pPr>
              <w:spacing w:after="0"/>
              <w:ind w:left="0" w:firstLine="0"/>
              <w:jc w:val="left"/>
              <w:rPr>
                <w:rFonts w:ascii="Calibri" w:hAnsi="Calibri"/>
                <w:sz w:val="20"/>
              </w:rPr>
            </w:pPr>
            <w:r w:rsidRPr="00B90483">
              <w:rPr>
                <w:rFonts w:ascii="Calibri" w:hAnsi="Calibri"/>
                <w:sz w:val="20"/>
              </w:rPr>
              <w:t> </w:t>
            </w:r>
          </w:p>
        </w:tc>
      </w:tr>
      <w:tr w:rsidR="00117B7F" w:rsidRPr="00B90483" w14:paraId="4FAB04C8" w14:textId="77777777" w:rsidTr="00BD46CB">
        <w:trPr>
          <w:trHeight w:val="7095"/>
          <w:jc w:val="center"/>
        </w:trPr>
        <w:tc>
          <w:tcPr>
            <w:tcW w:w="261" w:type="pct"/>
            <w:tcBorders>
              <w:top w:val="single" w:sz="4" w:space="0" w:color="auto"/>
              <w:left w:val="double" w:sz="6" w:space="0" w:color="auto"/>
              <w:bottom w:val="single" w:sz="8" w:space="0" w:color="auto"/>
              <w:right w:val="single" w:sz="8" w:space="0" w:color="auto"/>
            </w:tcBorders>
            <w:shd w:val="clear" w:color="auto" w:fill="auto"/>
            <w:vAlign w:val="center"/>
            <w:hideMark/>
          </w:tcPr>
          <w:p w14:paraId="77FFF0A0" w14:textId="77777777" w:rsidR="00117B7F" w:rsidRPr="00B90483" w:rsidRDefault="00117B7F" w:rsidP="007F0E33">
            <w:pPr>
              <w:spacing w:after="0"/>
              <w:ind w:left="0" w:firstLine="0"/>
              <w:jc w:val="center"/>
              <w:rPr>
                <w:b/>
                <w:bCs/>
                <w:sz w:val="20"/>
              </w:rPr>
            </w:pPr>
            <w:r w:rsidRPr="00B90483">
              <w:rPr>
                <w:b/>
                <w:bCs/>
                <w:sz w:val="20"/>
              </w:rPr>
              <w:lastRenderedPageBreak/>
              <w:t>2.5</w:t>
            </w:r>
          </w:p>
        </w:tc>
        <w:tc>
          <w:tcPr>
            <w:tcW w:w="2887" w:type="pct"/>
            <w:tcBorders>
              <w:top w:val="single" w:sz="4" w:space="0" w:color="auto"/>
              <w:left w:val="nil"/>
              <w:bottom w:val="single" w:sz="8" w:space="0" w:color="auto"/>
              <w:right w:val="single" w:sz="8" w:space="0" w:color="auto"/>
            </w:tcBorders>
            <w:shd w:val="clear" w:color="auto" w:fill="auto"/>
            <w:vAlign w:val="center"/>
            <w:hideMark/>
          </w:tcPr>
          <w:p w14:paraId="30BF17E5" w14:textId="77777777" w:rsidR="00117B7F" w:rsidRPr="00B90483" w:rsidRDefault="00117B7F" w:rsidP="007F0E33">
            <w:pPr>
              <w:spacing w:after="0"/>
              <w:ind w:left="0" w:firstLine="0"/>
              <w:jc w:val="left"/>
              <w:rPr>
                <w:b/>
                <w:bCs/>
                <w:sz w:val="20"/>
              </w:rPr>
            </w:pPr>
            <w:r w:rsidRPr="00B90483">
              <w:rPr>
                <w:b/>
                <w:bCs/>
                <w:sz w:val="20"/>
              </w:rPr>
              <w:t>Béton cyclopéen en élévation dosé à 350kg/m</w:t>
            </w:r>
            <w:r w:rsidRPr="00B90483">
              <w:rPr>
                <w:b/>
                <w:bCs/>
                <w:sz w:val="20"/>
                <w:vertAlign w:val="superscript"/>
              </w:rPr>
              <w:t xml:space="preserve">3 </w:t>
            </w:r>
            <w:r w:rsidRPr="00B90483">
              <w:rPr>
                <w:b/>
                <w:bCs/>
                <w:sz w:val="20"/>
              </w:rPr>
              <w:t xml:space="preserve">pour mur étanche avec ajout du </w:t>
            </w:r>
            <w:proofErr w:type="spellStart"/>
            <w:r w:rsidRPr="00B90483">
              <w:rPr>
                <w:b/>
                <w:bCs/>
                <w:sz w:val="20"/>
              </w:rPr>
              <w:t>sikhalite</w:t>
            </w:r>
            <w:proofErr w:type="spellEnd"/>
            <w:r w:rsidRPr="00B90483">
              <w:rPr>
                <w:b/>
                <w:bCs/>
                <w:sz w:val="20"/>
              </w:rPr>
              <w:t xml:space="preserve">                                                                         </w:t>
            </w:r>
            <w:r w:rsidRPr="00B90483">
              <w:rPr>
                <w:sz w:val="18"/>
                <w:szCs w:val="18"/>
              </w:rPr>
              <w:t xml:space="preserve">Le prix rémunère l’exécution du béton cyclopéen du mur d’étanchéité jusqu’à la crête y compris les murs pertuis) et de mise à niveau de la crête à la côte demandée au niveau d’ingénieur (350,750m). La verticalité du mur d’étanchéité sur toute la longueur de l’ouvrage est de rigueur. Les couches de maçonnerie doivent être horizontales. </w:t>
            </w:r>
            <w:r w:rsidRPr="00B90483">
              <w:rPr>
                <w:sz w:val="18"/>
                <w:szCs w:val="18"/>
              </w:rPr>
              <w:br/>
              <w:t xml:space="preserve">Pour les maçonneries utilisant des pierres taillées, elles doivent avoir les dimensions minimales suivantes : 300x150x200 </w:t>
            </w:r>
            <w:proofErr w:type="spellStart"/>
            <w:r w:rsidRPr="00B90483">
              <w:rPr>
                <w:sz w:val="18"/>
                <w:szCs w:val="18"/>
              </w:rPr>
              <w:t>mm.</w:t>
            </w:r>
            <w:proofErr w:type="spellEnd"/>
            <w:r w:rsidRPr="00B90483">
              <w:rPr>
                <w:sz w:val="18"/>
                <w:szCs w:val="18"/>
              </w:rPr>
              <w:t xml:space="preserve"> Le rapport pierres / mortier à respecter est de 50% de pierres et 50% de béton dans tous les cas. Les pierres devront être parfaitement noyées dans du béton.</w:t>
            </w:r>
            <w:r w:rsidRPr="00B90483">
              <w:rPr>
                <w:sz w:val="18"/>
                <w:szCs w:val="18"/>
              </w:rPr>
              <w:br/>
            </w:r>
            <w:r w:rsidRPr="00B90483">
              <w:rPr>
                <w:sz w:val="18"/>
                <w:szCs w:val="18"/>
              </w:rPr>
              <w:br/>
              <w:t xml:space="preserve">Les bétons seront effectués selon le dosage du CCTP, le mètre cube de béton consiste de 0.8 m3 de gravier et 0,4 m3 de sable quoi qu'il en soit le dosage du ciment. Les graviers à utiliser doivent être propres et avoir des dimensions de 5 à 20 </w:t>
            </w:r>
            <w:proofErr w:type="spellStart"/>
            <w:r w:rsidRPr="00B90483">
              <w:rPr>
                <w:sz w:val="18"/>
                <w:szCs w:val="18"/>
              </w:rPr>
              <w:t>mm.</w:t>
            </w:r>
            <w:proofErr w:type="spellEnd"/>
            <w:r w:rsidRPr="00B90483">
              <w:rPr>
                <w:sz w:val="18"/>
                <w:szCs w:val="18"/>
              </w:rPr>
              <w:t xml:space="preserve"> Le béton sera dosé dans sa masse avec du </w:t>
            </w:r>
            <w:proofErr w:type="spellStart"/>
            <w:r w:rsidRPr="00B90483">
              <w:rPr>
                <w:sz w:val="18"/>
                <w:szCs w:val="18"/>
              </w:rPr>
              <w:t>sikhalite</w:t>
            </w:r>
            <w:proofErr w:type="spellEnd"/>
            <w:r w:rsidRPr="00B90483">
              <w:rPr>
                <w:sz w:val="18"/>
                <w:szCs w:val="18"/>
              </w:rPr>
              <w:t xml:space="preserve"> en respectant les prescriptions techniques d’emploi (soit 1 kg de </w:t>
            </w:r>
            <w:proofErr w:type="spellStart"/>
            <w:r w:rsidRPr="00B90483">
              <w:rPr>
                <w:sz w:val="18"/>
                <w:szCs w:val="18"/>
              </w:rPr>
              <w:t>sikalite</w:t>
            </w:r>
            <w:proofErr w:type="spellEnd"/>
            <w:r w:rsidRPr="00B90483">
              <w:rPr>
                <w:sz w:val="18"/>
                <w:szCs w:val="18"/>
              </w:rPr>
              <w:t xml:space="preserve"> par sac de ciment)</w:t>
            </w:r>
            <w:proofErr w:type="gramStart"/>
            <w:r w:rsidRPr="00B90483">
              <w:rPr>
                <w:sz w:val="18"/>
                <w:szCs w:val="18"/>
              </w:rPr>
              <w:t>..</w:t>
            </w:r>
            <w:proofErr w:type="gramEnd"/>
            <w:r w:rsidRPr="00B90483">
              <w:rPr>
                <w:sz w:val="18"/>
                <w:szCs w:val="18"/>
              </w:rPr>
              <w:br/>
            </w:r>
            <w:r w:rsidRPr="00B90483">
              <w:rPr>
                <w:sz w:val="18"/>
                <w:szCs w:val="18"/>
              </w:rPr>
              <w:br/>
              <w:t>Le béton est dosé à 350 kg de ciment CPJ 35 / m3 de béton et est composée d’une maçonnerie de pierre taillée de part et d’autre et d’une maçonnerie en bourrage à l’intérieur. L’épaisseur des joints entre les pierres ne doit pas inférieure à 3 cm. Après construction la maçonnerie sera tenu humide pendant 21 jours par un arrosage biquotidien (matin et soir).</w:t>
            </w:r>
            <w:r w:rsidRPr="00B90483">
              <w:rPr>
                <w:sz w:val="18"/>
                <w:szCs w:val="18"/>
              </w:rPr>
              <w:br/>
            </w:r>
            <w:r w:rsidRPr="00B90483">
              <w:rPr>
                <w:sz w:val="18"/>
                <w:szCs w:val="18"/>
              </w:rPr>
              <w:br/>
              <w:t>Le prix rémunère le matériel (bétonnière et vibreur obligatoires), le personnel qualifié et non qualifié (technicien, équipes maçons et manœuvres) et les matériaux nécessaires.</w:t>
            </w:r>
            <w:r w:rsidRPr="00B90483">
              <w:rPr>
                <w:sz w:val="18"/>
                <w:szCs w:val="18"/>
              </w:rPr>
              <w:br/>
              <w:t>Ce prix comprend conformément aux spécifications des prescriptions techniques :</w:t>
            </w:r>
            <w:r w:rsidRPr="00B90483">
              <w:rPr>
                <w:sz w:val="18"/>
                <w:szCs w:val="18"/>
              </w:rPr>
              <w:br/>
              <w:t>- la fourniture et le transport sur le lieu d’emploi de tous les matériaux nécessaires à la fabrication du béton cyclopéen avec pierre, et aux coffrages ;</w:t>
            </w:r>
            <w:r w:rsidRPr="00B90483">
              <w:rPr>
                <w:sz w:val="18"/>
                <w:szCs w:val="18"/>
              </w:rPr>
              <w:br/>
              <w:t>- le stockage de ces matériaux;</w:t>
            </w:r>
            <w:r w:rsidRPr="00B90483">
              <w:rPr>
                <w:sz w:val="18"/>
                <w:szCs w:val="18"/>
              </w:rPr>
              <w:br/>
              <w:t>- la fabrication (avec une bétonnière), la mise en œuvre, le serrage (vibreur) et la cure de la maçonnerie de moellon;</w:t>
            </w:r>
            <w:r w:rsidRPr="00B90483">
              <w:rPr>
                <w:sz w:val="18"/>
                <w:szCs w:val="18"/>
              </w:rPr>
              <w:br/>
              <w:t>- le décoffrage;</w:t>
            </w:r>
            <w:r w:rsidRPr="00B90483">
              <w:rPr>
                <w:sz w:val="18"/>
                <w:szCs w:val="18"/>
              </w:rPr>
              <w:br/>
              <w:t>- et toutes sujétions d'exécution et de main d’œuvre qualifié et non qualifiée.</w:t>
            </w:r>
            <w:r w:rsidRPr="00B90483">
              <w:rPr>
                <w:sz w:val="20"/>
              </w:rPr>
              <w:br/>
            </w:r>
            <w:r w:rsidRPr="00B90483">
              <w:rPr>
                <w:sz w:val="20"/>
              </w:rPr>
              <w:br/>
            </w:r>
            <w:r w:rsidRPr="00B90483">
              <w:rPr>
                <w:i/>
                <w:sz w:val="18"/>
                <w:szCs w:val="18"/>
              </w:rPr>
              <w:t>Ce prix s’applique au volume, en mètre cube (m3), de béton cyclopéen, avec comme valeur maximale celle obtenue à partir des plans d’exécution des ouvrages.</w:t>
            </w:r>
          </w:p>
        </w:tc>
        <w:tc>
          <w:tcPr>
            <w:tcW w:w="397" w:type="pct"/>
            <w:tcBorders>
              <w:top w:val="single" w:sz="4" w:space="0" w:color="auto"/>
              <w:left w:val="nil"/>
              <w:bottom w:val="single" w:sz="8" w:space="0" w:color="auto"/>
              <w:right w:val="single" w:sz="8" w:space="0" w:color="auto"/>
            </w:tcBorders>
            <w:shd w:val="clear" w:color="auto" w:fill="auto"/>
            <w:vAlign w:val="center"/>
            <w:hideMark/>
          </w:tcPr>
          <w:p w14:paraId="2E048A14" w14:textId="77777777" w:rsidR="00117B7F" w:rsidRPr="00B90483" w:rsidRDefault="00117B7F" w:rsidP="007F0E33">
            <w:pPr>
              <w:spacing w:after="0"/>
              <w:ind w:left="0" w:firstLine="0"/>
              <w:jc w:val="center"/>
              <w:rPr>
                <w:sz w:val="20"/>
              </w:rPr>
            </w:pPr>
            <w:r w:rsidRPr="00B90483">
              <w:rPr>
                <w:sz w:val="20"/>
              </w:rPr>
              <w:t>m</w:t>
            </w:r>
            <w:r w:rsidRPr="00B90483">
              <w:rPr>
                <w:sz w:val="20"/>
                <w:vertAlign w:val="superscript"/>
              </w:rPr>
              <w:t>3</w:t>
            </w:r>
          </w:p>
        </w:tc>
        <w:tc>
          <w:tcPr>
            <w:tcW w:w="709" w:type="pct"/>
            <w:tcBorders>
              <w:top w:val="single" w:sz="4" w:space="0" w:color="auto"/>
              <w:left w:val="nil"/>
              <w:bottom w:val="single" w:sz="8" w:space="0" w:color="auto"/>
              <w:right w:val="nil"/>
            </w:tcBorders>
            <w:shd w:val="clear" w:color="auto" w:fill="auto"/>
            <w:vAlign w:val="center"/>
          </w:tcPr>
          <w:p w14:paraId="7F31EB97" w14:textId="77777777" w:rsidR="00117B7F" w:rsidRPr="00B90483" w:rsidRDefault="00117B7F" w:rsidP="007F0E33">
            <w:pPr>
              <w:spacing w:after="0"/>
              <w:ind w:left="0" w:firstLine="0"/>
              <w:jc w:val="center"/>
              <w:rPr>
                <w:rFonts w:ascii="Arial" w:hAnsi="Arial" w:cs="Arial"/>
                <w:sz w:val="20"/>
              </w:rPr>
            </w:pPr>
          </w:p>
        </w:tc>
        <w:tc>
          <w:tcPr>
            <w:tcW w:w="7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280740" w14:textId="77777777" w:rsidR="00117B7F" w:rsidRPr="00B90483" w:rsidRDefault="00117B7F" w:rsidP="007F0E33">
            <w:pPr>
              <w:spacing w:after="0"/>
              <w:ind w:left="0" w:firstLine="0"/>
              <w:jc w:val="left"/>
              <w:rPr>
                <w:rFonts w:ascii="Calibri" w:hAnsi="Calibri"/>
                <w:sz w:val="20"/>
              </w:rPr>
            </w:pPr>
            <w:r w:rsidRPr="00B90483">
              <w:rPr>
                <w:rFonts w:ascii="Calibri" w:hAnsi="Calibri"/>
                <w:sz w:val="20"/>
              </w:rPr>
              <w:t> </w:t>
            </w:r>
          </w:p>
        </w:tc>
      </w:tr>
      <w:tr w:rsidR="00117B7F" w:rsidRPr="00B90483" w14:paraId="74FEB89C" w14:textId="77777777" w:rsidTr="00BD46CB">
        <w:trPr>
          <w:trHeight w:val="1815"/>
          <w:jc w:val="center"/>
        </w:trPr>
        <w:tc>
          <w:tcPr>
            <w:tcW w:w="261" w:type="pct"/>
            <w:tcBorders>
              <w:top w:val="nil"/>
              <w:left w:val="double" w:sz="6" w:space="0" w:color="auto"/>
              <w:bottom w:val="single" w:sz="8" w:space="0" w:color="auto"/>
              <w:right w:val="single" w:sz="8" w:space="0" w:color="auto"/>
            </w:tcBorders>
            <w:shd w:val="clear" w:color="auto" w:fill="auto"/>
            <w:vAlign w:val="center"/>
            <w:hideMark/>
          </w:tcPr>
          <w:p w14:paraId="6EE34106" w14:textId="77777777" w:rsidR="00117B7F" w:rsidRPr="00B90483" w:rsidRDefault="00117B7F" w:rsidP="007F0E33">
            <w:pPr>
              <w:spacing w:after="0"/>
              <w:ind w:left="0" w:firstLine="0"/>
              <w:jc w:val="center"/>
              <w:rPr>
                <w:b/>
                <w:bCs/>
                <w:sz w:val="20"/>
              </w:rPr>
            </w:pPr>
            <w:r w:rsidRPr="00B90483">
              <w:rPr>
                <w:b/>
                <w:bCs/>
                <w:sz w:val="20"/>
              </w:rPr>
              <w:t>2.6</w:t>
            </w:r>
          </w:p>
        </w:tc>
        <w:tc>
          <w:tcPr>
            <w:tcW w:w="2887" w:type="pct"/>
            <w:tcBorders>
              <w:top w:val="nil"/>
              <w:left w:val="nil"/>
              <w:bottom w:val="single" w:sz="8" w:space="0" w:color="auto"/>
              <w:right w:val="single" w:sz="8" w:space="0" w:color="auto"/>
            </w:tcBorders>
            <w:shd w:val="clear" w:color="auto" w:fill="auto"/>
            <w:vAlign w:val="center"/>
            <w:hideMark/>
          </w:tcPr>
          <w:p w14:paraId="1F427140" w14:textId="77777777" w:rsidR="00117B7F" w:rsidRPr="00B90483" w:rsidRDefault="00117B7F" w:rsidP="007F0E33">
            <w:pPr>
              <w:spacing w:after="0"/>
              <w:ind w:left="0" w:firstLine="0"/>
              <w:jc w:val="left"/>
              <w:rPr>
                <w:b/>
                <w:bCs/>
                <w:sz w:val="20"/>
              </w:rPr>
            </w:pPr>
            <w:r w:rsidRPr="00B90483">
              <w:rPr>
                <w:b/>
                <w:bCs/>
                <w:sz w:val="20"/>
              </w:rPr>
              <w:t>Béton cyclopéen pour contrefort dosé à 350kg/m</w:t>
            </w:r>
            <w:r w:rsidRPr="00B90483">
              <w:rPr>
                <w:b/>
                <w:bCs/>
                <w:sz w:val="20"/>
                <w:vertAlign w:val="superscript"/>
              </w:rPr>
              <w:t>3</w:t>
            </w:r>
            <w:r w:rsidRPr="00B90483">
              <w:rPr>
                <w:b/>
                <w:bCs/>
                <w:sz w:val="20"/>
              </w:rPr>
              <w:t xml:space="preserve"> avec ajout du </w:t>
            </w:r>
            <w:proofErr w:type="spellStart"/>
            <w:r w:rsidRPr="00B90483">
              <w:rPr>
                <w:b/>
                <w:bCs/>
                <w:sz w:val="20"/>
              </w:rPr>
              <w:t>sikhalite</w:t>
            </w:r>
            <w:proofErr w:type="spellEnd"/>
            <w:r w:rsidRPr="00B90483">
              <w:rPr>
                <w:b/>
                <w:bCs/>
                <w:sz w:val="20"/>
              </w:rPr>
              <w:t xml:space="preserve">  </w:t>
            </w:r>
            <w:r w:rsidRPr="00B90483">
              <w:rPr>
                <w:sz w:val="20"/>
              </w:rPr>
              <w:t xml:space="preserve">                                                                                                                  </w:t>
            </w:r>
            <w:r w:rsidRPr="00B90483">
              <w:rPr>
                <w:sz w:val="18"/>
                <w:szCs w:val="18"/>
              </w:rPr>
              <w:t>Ce prix est identique au prix 2.5 appliqué au contrefort. Un respect scrupuleux du talus est de rigueur. Les couches de maçonnerie doivent être horizontales.</w:t>
            </w:r>
            <w:r w:rsidRPr="00B90483">
              <w:rPr>
                <w:sz w:val="20"/>
              </w:rPr>
              <w:t xml:space="preserve"> </w:t>
            </w:r>
            <w:r w:rsidRPr="00B90483">
              <w:rPr>
                <w:sz w:val="20"/>
              </w:rPr>
              <w:br/>
            </w:r>
            <w:r w:rsidRPr="00B90483">
              <w:rPr>
                <w:sz w:val="20"/>
              </w:rPr>
              <w:br/>
            </w:r>
            <w:r w:rsidRPr="00B90483">
              <w:rPr>
                <w:i/>
                <w:sz w:val="18"/>
                <w:szCs w:val="18"/>
              </w:rPr>
              <w:t>Ce prix s’applique au volume, en mètre cube (m3), de béton cyclopéen, avec comme valeur maximale celle obtenue à partir des plans d’exécution des ouvrages.</w:t>
            </w:r>
          </w:p>
        </w:tc>
        <w:tc>
          <w:tcPr>
            <w:tcW w:w="397" w:type="pct"/>
            <w:tcBorders>
              <w:top w:val="nil"/>
              <w:left w:val="nil"/>
              <w:bottom w:val="single" w:sz="8" w:space="0" w:color="auto"/>
              <w:right w:val="single" w:sz="8" w:space="0" w:color="auto"/>
            </w:tcBorders>
            <w:shd w:val="clear" w:color="auto" w:fill="auto"/>
            <w:vAlign w:val="center"/>
            <w:hideMark/>
          </w:tcPr>
          <w:p w14:paraId="52FF77A5" w14:textId="77777777" w:rsidR="00117B7F" w:rsidRPr="00B90483" w:rsidRDefault="00117B7F" w:rsidP="007F0E33">
            <w:pPr>
              <w:spacing w:after="0"/>
              <w:ind w:left="0" w:firstLine="0"/>
              <w:jc w:val="center"/>
              <w:rPr>
                <w:sz w:val="20"/>
              </w:rPr>
            </w:pPr>
            <w:r w:rsidRPr="00B90483">
              <w:rPr>
                <w:sz w:val="20"/>
              </w:rPr>
              <w:t>m</w:t>
            </w:r>
            <w:r w:rsidRPr="00B90483">
              <w:rPr>
                <w:sz w:val="20"/>
                <w:vertAlign w:val="superscript"/>
              </w:rPr>
              <w:t>3</w:t>
            </w:r>
          </w:p>
        </w:tc>
        <w:tc>
          <w:tcPr>
            <w:tcW w:w="709" w:type="pct"/>
            <w:tcBorders>
              <w:top w:val="nil"/>
              <w:left w:val="nil"/>
              <w:bottom w:val="single" w:sz="8" w:space="0" w:color="auto"/>
              <w:right w:val="nil"/>
            </w:tcBorders>
            <w:shd w:val="clear" w:color="auto" w:fill="auto"/>
            <w:vAlign w:val="center"/>
          </w:tcPr>
          <w:p w14:paraId="2D9DD527" w14:textId="77777777" w:rsidR="00117B7F" w:rsidRPr="00B90483" w:rsidRDefault="00117B7F" w:rsidP="007F0E33">
            <w:pPr>
              <w:spacing w:after="0"/>
              <w:ind w:left="0" w:firstLine="0"/>
              <w:jc w:val="center"/>
              <w:rPr>
                <w:rFonts w:ascii="Arial" w:hAnsi="Arial" w:cs="Arial"/>
                <w:sz w:val="20"/>
              </w:rPr>
            </w:pPr>
          </w:p>
        </w:tc>
        <w:tc>
          <w:tcPr>
            <w:tcW w:w="746" w:type="pct"/>
            <w:tcBorders>
              <w:top w:val="nil"/>
              <w:left w:val="single" w:sz="4" w:space="0" w:color="auto"/>
              <w:bottom w:val="single" w:sz="4" w:space="0" w:color="auto"/>
              <w:right w:val="single" w:sz="4" w:space="0" w:color="auto"/>
            </w:tcBorders>
            <w:shd w:val="clear" w:color="auto" w:fill="auto"/>
            <w:noWrap/>
            <w:vAlign w:val="bottom"/>
            <w:hideMark/>
          </w:tcPr>
          <w:p w14:paraId="1B06F557" w14:textId="77777777" w:rsidR="00117B7F" w:rsidRPr="00B90483" w:rsidRDefault="00117B7F" w:rsidP="007F0E33">
            <w:pPr>
              <w:spacing w:after="0"/>
              <w:ind w:left="0" w:firstLine="0"/>
              <w:jc w:val="left"/>
              <w:rPr>
                <w:rFonts w:ascii="Calibri" w:hAnsi="Calibri"/>
                <w:sz w:val="20"/>
              </w:rPr>
            </w:pPr>
            <w:r w:rsidRPr="00B90483">
              <w:rPr>
                <w:rFonts w:ascii="Calibri" w:hAnsi="Calibri"/>
                <w:sz w:val="20"/>
              </w:rPr>
              <w:t> </w:t>
            </w:r>
          </w:p>
        </w:tc>
      </w:tr>
      <w:tr w:rsidR="00117B7F" w:rsidRPr="00B90483" w14:paraId="011004AC" w14:textId="77777777" w:rsidTr="00BD46CB">
        <w:trPr>
          <w:trHeight w:val="6779"/>
          <w:jc w:val="center"/>
        </w:trPr>
        <w:tc>
          <w:tcPr>
            <w:tcW w:w="261" w:type="pct"/>
            <w:tcBorders>
              <w:top w:val="single" w:sz="4" w:space="0" w:color="auto"/>
              <w:left w:val="double" w:sz="6" w:space="0" w:color="auto"/>
              <w:bottom w:val="single" w:sz="8" w:space="0" w:color="auto"/>
              <w:right w:val="single" w:sz="8" w:space="0" w:color="auto"/>
            </w:tcBorders>
            <w:shd w:val="clear" w:color="auto" w:fill="auto"/>
            <w:vAlign w:val="center"/>
            <w:hideMark/>
          </w:tcPr>
          <w:p w14:paraId="6AFD26BD" w14:textId="77777777" w:rsidR="00117B7F" w:rsidRPr="00B90483" w:rsidRDefault="00117B7F" w:rsidP="007F0E33">
            <w:pPr>
              <w:spacing w:after="0"/>
              <w:ind w:left="0" w:firstLine="0"/>
              <w:jc w:val="center"/>
              <w:rPr>
                <w:b/>
                <w:bCs/>
                <w:sz w:val="20"/>
              </w:rPr>
            </w:pPr>
            <w:r w:rsidRPr="00B90483">
              <w:rPr>
                <w:b/>
                <w:bCs/>
                <w:sz w:val="20"/>
              </w:rPr>
              <w:lastRenderedPageBreak/>
              <w:t>2.7</w:t>
            </w:r>
          </w:p>
        </w:tc>
        <w:tc>
          <w:tcPr>
            <w:tcW w:w="2887" w:type="pct"/>
            <w:tcBorders>
              <w:top w:val="single" w:sz="4" w:space="0" w:color="auto"/>
              <w:left w:val="nil"/>
              <w:bottom w:val="single" w:sz="8" w:space="0" w:color="auto"/>
              <w:right w:val="single" w:sz="8" w:space="0" w:color="auto"/>
            </w:tcBorders>
            <w:shd w:val="clear" w:color="auto" w:fill="auto"/>
            <w:hideMark/>
          </w:tcPr>
          <w:p w14:paraId="0CC41A6C" w14:textId="77777777" w:rsidR="00117B7F" w:rsidRPr="00B90483" w:rsidRDefault="00117B7F" w:rsidP="007F0E33">
            <w:pPr>
              <w:spacing w:after="0"/>
              <w:ind w:left="0" w:firstLine="0"/>
              <w:jc w:val="left"/>
              <w:rPr>
                <w:b/>
                <w:bCs/>
                <w:sz w:val="20"/>
              </w:rPr>
            </w:pPr>
            <w:r w:rsidRPr="00B90483">
              <w:rPr>
                <w:b/>
                <w:bCs/>
                <w:sz w:val="20"/>
              </w:rPr>
              <w:t xml:space="preserve">Enduit dosé à 400kg/m3 pour mur étanche et contrefort avec ajout du </w:t>
            </w:r>
            <w:proofErr w:type="spellStart"/>
            <w:r w:rsidRPr="00B90483">
              <w:rPr>
                <w:b/>
                <w:bCs/>
                <w:sz w:val="20"/>
              </w:rPr>
              <w:t>sikhalite</w:t>
            </w:r>
            <w:proofErr w:type="spellEnd"/>
            <w:r w:rsidRPr="00B90483">
              <w:rPr>
                <w:b/>
                <w:bCs/>
                <w:sz w:val="20"/>
              </w:rPr>
              <w:t xml:space="preserve"> y compris joint polystyrène à tous les 10m              </w:t>
            </w:r>
            <w:r w:rsidRPr="00B90483">
              <w:rPr>
                <w:sz w:val="20"/>
              </w:rPr>
              <w:t xml:space="preserve">                                                                                                                                             </w:t>
            </w:r>
            <w:r w:rsidRPr="00B90483">
              <w:rPr>
                <w:sz w:val="18"/>
                <w:szCs w:val="18"/>
              </w:rPr>
              <w:t xml:space="preserve">Ce prix rémunère la fourniture et la mise en œuvre d’enduit gras dosé à 400 kg/m3 avec dosage en produits d’étanchéité type </w:t>
            </w:r>
            <w:proofErr w:type="spellStart"/>
            <w:r w:rsidRPr="00B90483">
              <w:rPr>
                <w:sz w:val="18"/>
                <w:szCs w:val="18"/>
              </w:rPr>
              <w:t>sykhalite</w:t>
            </w:r>
            <w:proofErr w:type="spellEnd"/>
            <w:r w:rsidRPr="00B90483">
              <w:rPr>
                <w:sz w:val="18"/>
                <w:szCs w:val="18"/>
              </w:rPr>
              <w:t xml:space="preserve"> pour la réalisation de l’étanchéité des ouvrages spécifiés conformément aux indications de l’ingénieur.</w:t>
            </w:r>
            <w:r w:rsidRPr="00B90483">
              <w:rPr>
                <w:sz w:val="18"/>
                <w:szCs w:val="18"/>
              </w:rPr>
              <w:br/>
              <w:t xml:space="preserve">Le mortier est dosé à 400 kg de ciment CPJ 35 / m3 de mortier et avec du </w:t>
            </w:r>
            <w:proofErr w:type="spellStart"/>
            <w:r w:rsidRPr="00B90483">
              <w:rPr>
                <w:sz w:val="18"/>
                <w:szCs w:val="18"/>
              </w:rPr>
              <w:t>sikalite</w:t>
            </w:r>
            <w:proofErr w:type="spellEnd"/>
            <w:r w:rsidRPr="00B90483">
              <w:rPr>
                <w:sz w:val="18"/>
                <w:szCs w:val="18"/>
              </w:rPr>
              <w:t xml:space="preserve"> dosé à 8 kg / m3 de mortier (1kg de </w:t>
            </w:r>
            <w:proofErr w:type="spellStart"/>
            <w:r w:rsidRPr="00B90483">
              <w:rPr>
                <w:sz w:val="18"/>
                <w:szCs w:val="18"/>
              </w:rPr>
              <w:t>sikalite</w:t>
            </w:r>
            <w:proofErr w:type="spellEnd"/>
            <w:r w:rsidRPr="00B90483">
              <w:rPr>
                <w:sz w:val="18"/>
                <w:szCs w:val="18"/>
              </w:rPr>
              <w:t xml:space="preserve"> par sac de ciment). </w:t>
            </w:r>
            <w:r w:rsidRPr="00B90483">
              <w:rPr>
                <w:sz w:val="18"/>
                <w:szCs w:val="18"/>
              </w:rPr>
              <w:br/>
              <w:t xml:space="preserve">Le </w:t>
            </w:r>
            <w:proofErr w:type="spellStart"/>
            <w:r w:rsidRPr="00B90483">
              <w:rPr>
                <w:sz w:val="18"/>
                <w:szCs w:val="18"/>
              </w:rPr>
              <w:t>sikalite</w:t>
            </w:r>
            <w:proofErr w:type="spellEnd"/>
            <w:r w:rsidRPr="00B90483">
              <w:rPr>
                <w:sz w:val="18"/>
                <w:szCs w:val="18"/>
              </w:rPr>
              <w:t xml:space="preserve"> est un hydrofuge en poudre que l’on incorpore dans le mortier pour l’imperméabiliser par son action de feutrage dans les capillaires. Il est facile à mettre en œuvre, il n’a aucune influence sur la vitesse de prise et le durcissement, ne diminue pas la résistance.</w:t>
            </w:r>
            <w:r w:rsidRPr="00B90483">
              <w:rPr>
                <w:sz w:val="18"/>
                <w:szCs w:val="18"/>
              </w:rPr>
              <w:br/>
              <w:t>Le prix rémunère aussi la fourniture et la mise en place de polystyrène de remplissage des joints.</w:t>
            </w:r>
            <w:r w:rsidRPr="00B90483">
              <w:rPr>
                <w:sz w:val="18"/>
                <w:szCs w:val="18"/>
              </w:rPr>
              <w:br/>
            </w:r>
            <w:r w:rsidRPr="00B90483">
              <w:rPr>
                <w:sz w:val="18"/>
                <w:szCs w:val="18"/>
              </w:rPr>
              <w:br/>
              <w:t>Ce prix comprend :</w:t>
            </w:r>
            <w:r w:rsidRPr="00B90483">
              <w:rPr>
                <w:sz w:val="18"/>
                <w:szCs w:val="18"/>
              </w:rPr>
              <w:br/>
              <w:t>- La fourniture et le transport sur le lieu d’emploi de tous les matériaux nécessaires à la fabrication des enduits y compris les adjuvants, et aux coffrages;</w:t>
            </w:r>
            <w:r w:rsidRPr="00B90483">
              <w:rPr>
                <w:sz w:val="18"/>
                <w:szCs w:val="18"/>
              </w:rPr>
              <w:br/>
              <w:t>- Le stockage de ces matériaux;</w:t>
            </w:r>
            <w:r w:rsidRPr="00B90483">
              <w:rPr>
                <w:sz w:val="18"/>
                <w:szCs w:val="18"/>
              </w:rPr>
              <w:br/>
              <w:t>- La fabrication, les dosages  nécessaires et la mise en œuvre des enduits;</w:t>
            </w:r>
            <w:r w:rsidRPr="00B90483">
              <w:rPr>
                <w:sz w:val="18"/>
                <w:szCs w:val="18"/>
              </w:rPr>
              <w:br/>
              <w:t>- La mise en place du polystyrène de bourrage de joints et les traitements de finition nécessaires;</w:t>
            </w:r>
            <w:r w:rsidRPr="00B90483">
              <w:rPr>
                <w:sz w:val="18"/>
                <w:szCs w:val="18"/>
              </w:rPr>
              <w:br/>
              <w:t>- La cure des enduits;</w:t>
            </w:r>
            <w:r w:rsidRPr="00B90483">
              <w:rPr>
                <w:sz w:val="18"/>
                <w:szCs w:val="18"/>
              </w:rPr>
              <w:br/>
              <w:t>- Et toutes sujétions d'exécution et de main d’œuvre qualifié et non qualifiée.</w:t>
            </w:r>
            <w:r w:rsidRPr="00B90483">
              <w:rPr>
                <w:sz w:val="18"/>
                <w:szCs w:val="18"/>
              </w:rPr>
              <w:br/>
            </w:r>
            <w:r w:rsidRPr="00B90483">
              <w:rPr>
                <w:sz w:val="18"/>
                <w:szCs w:val="18"/>
              </w:rPr>
              <w:br/>
              <w:t>Le prix rémunère le matériel, le personnel qualifié et non qualifié (technicien, équipes maçons et manœuvres) et les matériaux nécessaires</w:t>
            </w:r>
            <w:r w:rsidRPr="00B90483">
              <w:rPr>
                <w:sz w:val="18"/>
                <w:szCs w:val="18"/>
              </w:rPr>
              <w:br/>
            </w:r>
            <w:r w:rsidRPr="00B90483">
              <w:rPr>
                <w:sz w:val="18"/>
                <w:szCs w:val="18"/>
              </w:rPr>
              <w:br/>
            </w:r>
            <w:r w:rsidRPr="00B90483">
              <w:rPr>
                <w:i/>
                <w:sz w:val="18"/>
                <w:szCs w:val="18"/>
              </w:rPr>
              <w:t>Ce prix s’applique à la surface, en mètre carré (m2), d’enduit réalisé, avec comme valeur maximale celle obtenue à partir des plans d’exécution des ouvrages.</w:t>
            </w:r>
          </w:p>
        </w:tc>
        <w:tc>
          <w:tcPr>
            <w:tcW w:w="397" w:type="pct"/>
            <w:tcBorders>
              <w:top w:val="single" w:sz="4" w:space="0" w:color="auto"/>
              <w:left w:val="nil"/>
              <w:bottom w:val="single" w:sz="8" w:space="0" w:color="auto"/>
              <w:right w:val="single" w:sz="8" w:space="0" w:color="auto"/>
            </w:tcBorders>
            <w:shd w:val="clear" w:color="auto" w:fill="auto"/>
            <w:vAlign w:val="center"/>
            <w:hideMark/>
          </w:tcPr>
          <w:p w14:paraId="5A365B27" w14:textId="77777777" w:rsidR="00117B7F" w:rsidRPr="00B90483" w:rsidRDefault="00117B7F" w:rsidP="007F0E33">
            <w:pPr>
              <w:spacing w:after="0"/>
              <w:ind w:left="0" w:firstLine="0"/>
              <w:jc w:val="center"/>
              <w:rPr>
                <w:sz w:val="20"/>
              </w:rPr>
            </w:pPr>
            <w:r w:rsidRPr="00B90483">
              <w:rPr>
                <w:sz w:val="20"/>
              </w:rPr>
              <w:t>m</w:t>
            </w:r>
            <w:r w:rsidRPr="00B90483">
              <w:rPr>
                <w:sz w:val="20"/>
                <w:vertAlign w:val="superscript"/>
              </w:rPr>
              <w:t>2</w:t>
            </w:r>
          </w:p>
        </w:tc>
        <w:tc>
          <w:tcPr>
            <w:tcW w:w="709" w:type="pct"/>
            <w:tcBorders>
              <w:top w:val="single" w:sz="4" w:space="0" w:color="auto"/>
              <w:left w:val="nil"/>
              <w:bottom w:val="single" w:sz="8" w:space="0" w:color="auto"/>
              <w:right w:val="nil"/>
            </w:tcBorders>
            <w:shd w:val="clear" w:color="auto" w:fill="auto"/>
            <w:vAlign w:val="center"/>
          </w:tcPr>
          <w:p w14:paraId="7253D0AA" w14:textId="77777777" w:rsidR="00117B7F" w:rsidRPr="00B90483" w:rsidRDefault="00117B7F" w:rsidP="007F0E33">
            <w:pPr>
              <w:spacing w:after="0"/>
              <w:ind w:left="0" w:firstLine="0"/>
              <w:jc w:val="center"/>
              <w:rPr>
                <w:rFonts w:ascii="Arial" w:hAnsi="Arial" w:cs="Arial"/>
                <w:sz w:val="20"/>
              </w:rPr>
            </w:pPr>
          </w:p>
        </w:tc>
        <w:tc>
          <w:tcPr>
            <w:tcW w:w="7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79005F" w14:textId="77777777" w:rsidR="00117B7F" w:rsidRPr="00B90483" w:rsidRDefault="00117B7F" w:rsidP="007F0E33">
            <w:pPr>
              <w:spacing w:after="0"/>
              <w:ind w:left="0" w:firstLine="0"/>
              <w:jc w:val="left"/>
              <w:rPr>
                <w:rFonts w:ascii="Calibri" w:hAnsi="Calibri"/>
                <w:sz w:val="20"/>
              </w:rPr>
            </w:pPr>
            <w:r w:rsidRPr="00B90483">
              <w:rPr>
                <w:rFonts w:ascii="Calibri" w:hAnsi="Calibri"/>
                <w:sz w:val="20"/>
              </w:rPr>
              <w:t> </w:t>
            </w:r>
          </w:p>
        </w:tc>
      </w:tr>
      <w:tr w:rsidR="00117B7F" w:rsidRPr="00B90483" w14:paraId="2ECB219B" w14:textId="77777777" w:rsidTr="00BD46CB">
        <w:trPr>
          <w:trHeight w:val="2775"/>
          <w:jc w:val="center"/>
        </w:trPr>
        <w:tc>
          <w:tcPr>
            <w:tcW w:w="261" w:type="pct"/>
            <w:tcBorders>
              <w:top w:val="nil"/>
              <w:left w:val="double" w:sz="6" w:space="0" w:color="auto"/>
              <w:bottom w:val="single" w:sz="8" w:space="0" w:color="auto"/>
              <w:right w:val="single" w:sz="8" w:space="0" w:color="auto"/>
            </w:tcBorders>
            <w:shd w:val="clear" w:color="auto" w:fill="auto"/>
            <w:vAlign w:val="center"/>
            <w:hideMark/>
          </w:tcPr>
          <w:p w14:paraId="5E8FEAE3" w14:textId="77777777" w:rsidR="00117B7F" w:rsidRPr="00B90483" w:rsidRDefault="00117B7F" w:rsidP="007F0E33">
            <w:pPr>
              <w:spacing w:after="0"/>
              <w:ind w:left="0" w:firstLine="0"/>
              <w:jc w:val="center"/>
              <w:rPr>
                <w:b/>
                <w:bCs/>
                <w:sz w:val="20"/>
              </w:rPr>
            </w:pPr>
            <w:r w:rsidRPr="00B90483">
              <w:rPr>
                <w:b/>
                <w:bCs/>
                <w:sz w:val="20"/>
              </w:rPr>
              <w:t>2.8</w:t>
            </w:r>
          </w:p>
        </w:tc>
        <w:tc>
          <w:tcPr>
            <w:tcW w:w="2887" w:type="pct"/>
            <w:tcBorders>
              <w:top w:val="nil"/>
              <w:left w:val="nil"/>
              <w:bottom w:val="single" w:sz="8" w:space="0" w:color="auto"/>
              <w:right w:val="single" w:sz="8" w:space="0" w:color="auto"/>
            </w:tcBorders>
            <w:shd w:val="clear" w:color="auto" w:fill="auto"/>
            <w:vAlign w:val="center"/>
            <w:hideMark/>
          </w:tcPr>
          <w:p w14:paraId="5232ED57" w14:textId="77777777" w:rsidR="00117B7F" w:rsidRPr="00B90483" w:rsidRDefault="00117B7F" w:rsidP="007F0E33">
            <w:pPr>
              <w:spacing w:after="0"/>
              <w:ind w:left="0" w:firstLine="0"/>
              <w:jc w:val="left"/>
              <w:rPr>
                <w:b/>
                <w:bCs/>
                <w:sz w:val="20"/>
              </w:rPr>
            </w:pPr>
            <w:r w:rsidRPr="00B90483">
              <w:rPr>
                <w:b/>
                <w:bCs/>
                <w:sz w:val="20"/>
              </w:rPr>
              <w:t xml:space="preserve">Fourniture de joint water stop </w:t>
            </w:r>
            <w:proofErr w:type="spellStart"/>
            <w:r w:rsidRPr="00B90483">
              <w:rPr>
                <w:b/>
                <w:bCs/>
                <w:sz w:val="20"/>
              </w:rPr>
              <w:t>scéller</w:t>
            </w:r>
            <w:proofErr w:type="spellEnd"/>
            <w:r w:rsidRPr="00B90483">
              <w:rPr>
                <w:b/>
                <w:bCs/>
                <w:sz w:val="20"/>
              </w:rPr>
              <w:t xml:space="preserve"> dans un élément de béton à tous les 10 mètres y compris toutes sujétions                                                                                                                                                 </w:t>
            </w:r>
            <w:r w:rsidRPr="00B90483">
              <w:rPr>
                <w:sz w:val="20"/>
              </w:rPr>
              <w:t xml:space="preserve"> </w:t>
            </w:r>
            <w:r w:rsidRPr="00B90483">
              <w:rPr>
                <w:sz w:val="18"/>
                <w:szCs w:val="18"/>
              </w:rPr>
              <w:t xml:space="preserve">Les travaux consistent à la fourniture de joint </w:t>
            </w:r>
            <w:proofErr w:type="spellStart"/>
            <w:r w:rsidRPr="00B90483">
              <w:rPr>
                <w:sz w:val="18"/>
                <w:szCs w:val="18"/>
              </w:rPr>
              <w:t>waterstop</w:t>
            </w:r>
            <w:proofErr w:type="spellEnd"/>
            <w:r w:rsidRPr="00B90483">
              <w:rPr>
                <w:sz w:val="18"/>
                <w:szCs w:val="18"/>
              </w:rPr>
              <w:t xml:space="preserve"> standard de largeur ≥ 20 cm. Les joint seront de préférence de marque </w:t>
            </w:r>
            <w:proofErr w:type="spellStart"/>
            <w:r w:rsidRPr="00B90483">
              <w:rPr>
                <w:sz w:val="18"/>
                <w:szCs w:val="18"/>
              </w:rPr>
              <w:t>Sikha</w:t>
            </w:r>
            <w:proofErr w:type="spellEnd"/>
            <w:r w:rsidRPr="00B90483">
              <w:rPr>
                <w:sz w:val="18"/>
                <w:szCs w:val="18"/>
              </w:rPr>
              <w:t xml:space="preserve"> ou similaires agrées par le projet.</w:t>
            </w:r>
            <w:r w:rsidRPr="00B90483">
              <w:rPr>
                <w:sz w:val="18"/>
                <w:szCs w:val="18"/>
              </w:rPr>
              <w:br/>
            </w:r>
            <w:r w:rsidRPr="00B90483">
              <w:rPr>
                <w:sz w:val="18"/>
                <w:szCs w:val="18"/>
              </w:rPr>
              <w:br/>
              <w:t>Les joints pourront être fournis par le Projet et mis à la disposition de l’entreprise.</w:t>
            </w:r>
            <w:r w:rsidRPr="00B90483">
              <w:rPr>
                <w:sz w:val="18"/>
                <w:szCs w:val="18"/>
              </w:rPr>
              <w:br/>
            </w:r>
            <w:r w:rsidRPr="00B90483">
              <w:rPr>
                <w:sz w:val="18"/>
                <w:szCs w:val="18"/>
              </w:rPr>
              <w:br/>
              <w:t>Le prix rémunère les opérations de commandes nécessaires, la fourniture et la livraison du joint sur le site.</w:t>
            </w:r>
            <w:r w:rsidRPr="00B90483">
              <w:rPr>
                <w:sz w:val="20"/>
              </w:rPr>
              <w:br/>
            </w:r>
            <w:r w:rsidRPr="00B90483">
              <w:rPr>
                <w:sz w:val="20"/>
              </w:rPr>
              <w:br/>
            </w:r>
            <w:r w:rsidRPr="00B90483">
              <w:rPr>
                <w:i/>
                <w:sz w:val="18"/>
                <w:szCs w:val="18"/>
              </w:rPr>
              <w:t>Le prix s'applique au mètre linéaire de joint livré sur le site avec comme valeur prise en compte celle réellement utilisée dans les travaux.</w:t>
            </w:r>
          </w:p>
        </w:tc>
        <w:tc>
          <w:tcPr>
            <w:tcW w:w="397" w:type="pct"/>
            <w:tcBorders>
              <w:top w:val="nil"/>
              <w:left w:val="nil"/>
              <w:bottom w:val="single" w:sz="8" w:space="0" w:color="auto"/>
              <w:right w:val="single" w:sz="8" w:space="0" w:color="auto"/>
            </w:tcBorders>
            <w:shd w:val="clear" w:color="auto" w:fill="auto"/>
            <w:vAlign w:val="center"/>
            <w:hideMark/>
          </w:tcPr>
          <w:p w14:paraId="06C816F9" w14:textId="77777777" w:rsidR="00117B7F" w:rsidRPr="00B90483" w:rsidRDefault="00117B7F" w:rsidP="007F0E33">
            <w:pPr>
              <w:spacing w:after="0"/>
              <w:ind w:left="0" w:firstLine="0"/>
              <w:jc w:val="center"/>
              <w:rPr>
                <w:sz w:val="20"/>
              </w:rPr>
            </w:pPr>
            <w:r w:rsidRPr="00B90483">
              <w:rPr>
                <w:sz w:val="20"/>
              </w:rPr>
              <w:t>ml</w:t>
            </w:r>
          </w:p>
        </w:tc>
        <w:tc>
          <w:tcPr>
            <w:tcW w:w="709" w:type="pct"/>
            <w:tcBorders>
              <w:top w:val="nil"/>
              <w:left w:val="nil"/>
              <w:bottom w:val="single" w:sz="8" w:space="0" w:color="auto"/>
              <w:right w:val="nil"/>
            </w:tcBorders>
            <w:shd w:val="clear" w:color="auto" w:fill="auto"/>
            <w:vAlign w:val="center"/>
          </w:tcPr>
          <w:p w14:paraId="4526054E" w14:textId="77777777" w:rsidR="00117B7F" w:rsidRPr="00B90483" w:rsidRDefault="00117B7F" w:rsidP="007F0E33">
            <w:pPr>
              <w:spacing w:after="0"/>
              <w:ind w:left="0" w:firstLine="0"/>
              <w:jc w:val="center"/>
              <w:rPr>
                <w:rFonts w:ascii="Arial" w:hAnsi="Arial" w:cs="Arial"/>
                <w:sz w:val="20"/>
              </w:rPr>
            </w:pPr>
          </w:p>
        </w:tc>
        <w:tc>
          <w:tcPr>
            <w:tcW w:w="746" w:type="pct"/>
            <w:tcBorders>
              <w:top w:val="nil"/>
              <w:left w:val="single" w:sz="4" w:space="0" w:color="auto"/>
              <w:bottom w:val="single" w:sz="4" w:space="0" w:color="auto"/>
              <w:right w:val="single" w:sz="4" w:space="0" w:color="auto"/>
            </w:tcBorders>
            <w:shd w:val="clear" w:color="auto" w:fill="auto"/>
            <w:noWrap/>
            <w:vAlign w:val="bottom"/>
            <w:hideMark/>
          </w:tcPr>
          <w:p w14:paraId="5EA659AD" w14:textId="77777777" w:rsidR="00117B7F" w:rsidRPr="00B90483" w:rsidRDefault="00117B7F" w:rsidP="007F0E33">
            <w:pPr>
              <w:spacing w:after="0"/>
              <w:ind w:left="0" w:firstLine="0"/>
              <w:jc w:val="left"/>
              <w:rPr>
                <w:rFonts w:ascii="Calibri" w:hAnsi="Calibri"/>
                <w:sz w:val="20"/>
              </w:rPr>
            </w:pPr>
            <w:r w:rsidRPr="00B90483">
              <w:rPr>
                <w:rFonts w:ascii="Calibri" w:hAnsi="Calibri"/>
                <w:sz w:val="20"/>
              </w:rPr>
              <w:t> </w:t>
            </w:r>
          </w:p>
        </w:tc>
      </w:tr>
      <w:tr w:rsidR="00117B7F" w:rsidRPr="00B90483" w14:paraId="2FFE9824" w14:textId="77777777" w:rsidTr="00BD46CB">
        <w:trPr>
          <w:trHeight w:val="4369"/>
          <w:jc w:val="center"/>
        </w:trPr>
        <w:tc>
          <w:tcPr>
            <w:tcW w:w="261" w:type="pct"/>
            <w:tcBorders>
              <w:top w:val="single" w:sz="4" w:space="0" w:color="auto"/>
              <w:left w:val="double" w:sz="6" w:space="0" w:color="auto"/>
              <w:bottom w:val="single" w:sz="8" w:space="0" w:color="auto"/>
              <w:right w:val="single" w:sz="8" w:space="0" w:color="auto"/>
            </w:tcBorders>
            <w:shd w:val="clear" w:color="auto" w:fill="auto"/>
            <w:vAlign w:val="center"/>
            <w:hideMark/>
          </w:tcPr>
          <w:p w14:paraId="41D51665" w14:textId="77777777" w:rsidR="00117B7F" w:rsidRPr="00B90483" w:rsidRDefault="00117B7F" w:rsidP="007F0E33">
            <w:pPr>
              <w:spacing w:after="0"/>
              <w:ind w:left="0" w:firstLine="0"/>
              <w:jc w:val="center"/>
              <w:rPr>
                <w:b/>
                <w:bCs/>
                <w:sz w:val="20"/>
              </w:rPr>
            </w:pPr>
            <w:r w:rsidRPr="00B90483">
              <w:rPr>
                <w:b/>
                <w:bCs/>
                <w:sz w:val="20"/>
              </w:rPr>
              <w:lastRenderedPageBreak/>
              <w:t>2.9</w:t>
            </w:r>
          </w:p>
        </w:tc>
        <w:tc>
          <w:tcPr>
            <w:tcW w:w="2887" w:type="pct"/>
            <w:tcBorders>
              <w:top w:val="single" w:sz="4" w:space="0" w:color="auto"/>
              <w:left w:val="nil"/>
              <w:bottom w:val="single" w:sz="8" w:space="0" w:color="auto"/>
              <w:right w:val="single" w:sz="8" w:space="0" w:color="auto"/>
            </w:tcBorders>
            <w:shd w:val="clear" w:color="auto" w:fill="auto"/>
            <w:vAlign w:val="center"/>
            <w:hideMark/>
          </w:tcPr>
          <w:p w14:paraId="26C8E76D" w14:textId="6073515C" w:rsidR="00117B7F" w:rsidRPr="00B90483" w:rsidRDefault="00117B7F" w:rsidP="007F0E33">
            <w:pPr>
              <w:spacing w:after="0"/>
              <w:ind w:left="0" w:firstLine="0"/>
              <w:jc w:val="left"/>
              <w:rPr>
                <w:sz w:val="16"/>
                <w:szCs w:val="18"/>
              </w:rPr>
            </w:pPr>
            <w:r w:rsidRPr="00B90483">
              <w:rPr>
                <w:b/>
                <w:bCs/>
                <w:sz w:val="20"/>
              </w:rPr>
              <w:t xml:space="preserve">Béton ordinaire dosé à 400kg/m3 avec ajout du </w:t>
            </w:r>
            <w:proofErr w:type="spellStart"/>
            <w:r w:rsidRPr="00B90483">
              <w:rPr>
                <w:b/>
                <w:bCs/>
                <w:sz w:val="20"/>
              </w:rPr>
              <w:t>sikhalite</w:t>
            </w:r>
            <w:proofErr w:type="spellEnd"/>
            <w:r w:rsidRPr="00B90483">
              <w:rPr>
                <w:b/>
                <w:bCs/>
                <w:sz w:val="20"/>
              </w:rPr>
              <w:t xml:space="preserve"> dans la masse pour scellement des joints waters stop y compris pose de joint et polystyrène                                                                                             </w:t>
            </w:r>
            <w:r w:rsidRPr="00B90483">
              <w:rPr>
                <w:sz w:val="16"/>
                <w:szCs w:val="18"/>
              </w:rPr>
              <w:t xml:space="preserve">Pour le scellement des joints </w:t>
            </w:r>
            <w:proofErr w:type="spellStart"/>
            <w:r w:rsidRPr="00B90483">
              <w:rPr>
                <w:sz w:val="16"/>
                <w:szCs w:val="18"/>
              </w:rPr>
              <w:t>Waterstop</w:t>
            </w:r>
            <w:proofErr w:type="spellEnd"/>
            <w:r w:rsidRPr="00B90483">
              <w:rPr>
                <w:sz w:val="16"/>
                <w:szCs w:val="18"/>
              </w:rPr>
              <w:t xml:space="preserve">, il est prévu </w:t>
            </w:r>
            <w:r w:rsidR="00EA602D">
              <w:rPr>
                <w:sz w:val="16"/>
                <w:szCs w:val="18"/>
              </w:rPr>
              <w:t>du béton cyclopéen</w:t>
            </w:r>
            <w:r w:rsidRPr="00B90483">
              <w:rPr>
                <w:sz w:val="16"/>
                <w:szCs w:val="18"/>
              </w:rPr>
              <w:t xml:space="preserve">. Le béton est dosé à 400 kg de ciment CPJ 35 / m3 et </w:t>
            </w:r>
            <w:proofErr w:type="spellStart"/>
            <w:r w:rsidRPr="00B90483">
              <w:rPr>
                <w:sz w:val="16"/>
                <w:szCs w:val="18"/>
              </w:rPr>
              <w:t>et</w:t>
            </w:r>
            <w:proofErr w:type="spellEnd"/>
            <w:r w:rsidRPr="00B90483">
              <w:rPr>
                <w:sz w:val="16"/>
                <w:szCs w:val="18"/>
              </w:rPr>
              <w:t xml:space="preserve"> avec du </w:t>
            </w:r>
            <w:proofErr w:type="spellStart"/>
            <w:r w:rsidRPr="00B90483">
              <w:rPr>
                <w:sz w:val="16"/>
                <w:szCs w:val="18"/>
              </w:rPr>
              <w:t>sikalite</w:t>
            </w:r>
            <w:proofErr w:type="spellEnd"/>
            <w:r w:rsidRPr="00B90483">
              <w:rPr>
                <w:sz w:val="16"/>
                <w:szCs w:val="18"/>
              </w:rPr>
              <w:t xml:space="preserve"> dosé à 8 kg / m3 de mortier (1kg de </w:t>
            </w:r>
            <w:proofErr w:type="spellStart"/>
            <w:r w:rsidRPr="00B90483">
              <w:rPr>
                <w:sz w:val="16"/>
                <w:szCs w:val="18"/>
              </w:rPr>
              <w:t>sikalite</w:t>
            </w:r>
            <w:proofErr w:type="spellEnd"/>
            <w:r w:rsidRPr="00B90483">
              <w:rPr>
                <w:sz w:val="16"/>
                <w:szCs w:val="18"/>
              </w:rPr>
              <w:t xml:space="preserve"> par sac de ciment). Il est coulé par vibration depuis la fondation jusqu’à la crête de l’ouvrage. Les joints </w:t>
            </w:r>
            <w:proofErr w:type="spellStart"/>
            <w:r w:rsidRPr="00B90483">
              <w:rPr>
                <w:sz w:val="16"/>
                <w:szCs w:val="18"/>
              </w:rPr>
              <w:t>waterstop</w:t>
            </w:r>
            <w:proofErr w:type="spellEnd"/>
            <w:r w:rsidRPr="00B90483">
              <w:rPr>
                <w:sz w:val="16"/>
                <w:szCs w:val="18"/>
              </w:rPr>
              <w:t xml:space="preserve"> devront être maintenus parfaitement verticaux lors du coulage. Pour plus de détail se référer au plan de l’ouvrage.</w:t>
            </w:r>
            <w:r w:rsidRPr="00B90483">
              <w:rPr>
                <w:sz w:val="16"/>
                <w:szCs w:val="18"/>
              </w:rPr>
              <w:br/>
              <w:t>Le prix rémunère le matériel (bétonnière et vibreur obligatoires), le personnel qualifié (technicien et équipes maçons) et les matériaux nécessaires.</w:t>
            </w:r>
          </w:p>
          <w:p w14:paraId="0463060F" w14:textId="77777777" w:rsidR="00117B7F" w:rsidRPr="00B90483" w:rsidRDefault="00117B7F" w:rsidP="007F0E33">
            <w:pPr>
              <w:spacing w:after="0"/>
              <w:ind w:left="0" w:firstLine="0"/>
              <w:jc w:val="left"/>
              <w:rPr>
                <w:sz w:val="16"/>
                <w:szCs w:val="18"/>
              </w:rPr>
            </w:pPr>
            <w:r w:rsidRPr="00B90483">
              <w:rPr>
                <w:sz w:val="16"/>
                <w:szCs w:val="18"/>
              </w:rPr>
              <w:t>Ce prix comprend conformément aux spécifications des prescriptions techniques :</w:t>
            </w:r>
            <w:r w:rsidRPr="00B90483">
              <w:rPr>
                <w:sz w:val="16"/>
                <w:szCs w:val="18"/>
              </w:rPr>
              <w:br/>
              <w:t>- La fourniture et le transport sur le lieu d’emploi de tous les matériaux nécessaires à la fabrication du béton, et aux coffrages;</w:t>
            </w:r>
            <w:r w:rsidRPr="00B90483">
              <w:rPr>
                <w:sz w:val="16"/>
                <w:szCs w:val="18"/>
              </w:rPr>
              <w:br/>
              <w:t>- La fabrication, la mise en œuvre, le serrage (bétonnière et vibrateur obligatoire) et la cure du béton;</w:t>
            </w:r>
            <w:r w:rsidRPr="00B90483">
              <w:rPr>
                <w:sz w:val="16"/>
                <w:szCs w:val="18"/>
              </w:rPr>
              <w:br/>
              <w:t xml:space="preserve">- La mise en place et le maintien du joint </w:t>
            </w:r>
            <w:proofErr w:type="spellStart"/>
            <w:r w:rsidRPr="00B90483">
              <w:rPr>
                <w:sz w:val="16"/>
                <w:szCs w:val="18"/>
              </w:rPr>
              <w:t>waterstop</w:t>
            </w:r>
            <w:proofErr w:type="spellEnd"/>
            <w:r w:rsidRPr="00B90483">
              <w:rPr>
                <w:sz w:val="16"/>
                <w:szCs w:val="18"/>
              </w:rPr>
              <w:t xml:space="preserve"> ;</w:t>
            </w:r>
            <w:r w:rsidRPr="00B90483">
              <w:rPr>
                <w:sz w:val="16"/>
                <w:szCs w:val="18"/>
              </w:rPr>
              <w:br/>
              <w:t>- Le décoffrage et la cure du béton ;</w:t>
            </w:r>
            <w:r w:rsidRPr="00B90483">
              <w:rPr>
                <w:sz w:val="16"/>
                <w:szCs w:val="18"/>
              </w:rPr>
              <w:br/>
              <w:t>- Toutes sujétions d'exécution et de main d’œuvre qualifié et non qualifiée.</w:t>
            </w:r>
            <w:r w:rsidRPr="00B90483">
              <w:rPr>
                <w:sz w:val="16"/>
                <w:szCs w:val="18"/>
              </w:rPr>
              <w:br/>
            </w:r>
          </w:p>
          <w:p w14:paraId="65EC2F89" w14:textId="77777777" w:rsidR="00117B7F" w:rsidRPr="00B90483" w:rsidRDefault="00117B7F" w:rsidP="007F0E33">
            <w:pPr>
              <w:spacing w:after="0"/>
              <w:ind w:left="0" w:firstLine="0"/>
              <w:jc w:val="left"/>
              <w:rPr>
                <w:b/>
                <w:bCs/>
                <w:sz w:val="20"/>
              </w:rPr>
            </w:pPr>
            <w:r w:rsidRPr="00B90483">
              <w:rPr>
                <w:i/>
                <w:sz w:val="16"/>
                <w:szCs w:val="18"/>
              </w:rPr>
              <w:t xml:space="preserve">Ce prix s’applique au volume, en mètre cube (m3), de béton ordinaire dosé à 400 kg/m3 mise en place pour le scellement des joints </w:t>
            </w:r>
            <w:proofErr w:type="spellStart"/>
            <w:r w:rsidRPr="00B90483">
              <w:rPr>
                <w:i/>
                <w:sz w:val="16"/>
                <w:szCs w:val="18"/>
              </w:rPr>
              <w:t>waterstop</w:t>
            </w:r>
            <w:proofErr w:type="spellEnd"/>
            <w:r w:rsidRPr="00B90483">
              <w:rPr>
                <w:i/>
                <w:sz w:val="16"/>
                <w:szCs w:val="18"/>
              </w:rPr>
              <w:t xml:space="preserve"> avec comme valeur maximale celle obtenue à partir des plans d’exécution</w:t>
            </w:r>
            <w:r w:rsidRPr="00B90483">
              <w:rPr>
                <w:sz w:val="16"/>
                <w:szCs w:val="18"/>
              </w:rPr>
              <w:t>.</w:t>
            </w:r>
          </w:p>
        </w:tc>
        <w:tc>
          <w:tcPr>
            <w:tcW w:w="397" w:type="pct"/>
            <w:tcBorders>
              <w:top w:val="single" w:sz="4" w:space="0" w:color="auto"/>
              <w:left w:val="nil"/>
              <w:bottom w:val="single" w:sz="8" w:space="0" w:color="auto"/>
              <w:right w:val="single" w:sz="8" w:space="0" w:color="auto"/>
            </w:tcBorders>
            <w:shd w:val="clear" w:color="auto" w:fill="auto"/>
            <w:vAlign w:val="center"/>
            <w:hideMark/>
          </w:tcPr>
          <w:p w14:paraId="30E87C8D" w14:textId="77777777" w:rsidR="00117B7F" w:rsidRPr="00B90483" w:rsidRDefault="00117B7F" w:rsidP="007F0E33">
            <w:pPr>
              <w:spacing w:after="0"/>
              <w:ind w:left="0" w:firstLine="0"/>
              <w:jc w:val="center"/>
              <w:rPr>
                <w:sz w:val="20"/>
              </w:rPr>
            </w:pPr>
            <w:r w:rsidRPr="00B90483">
              <w:rPr>
                <w:sz w:val="20"/>
              </w:rPr>
              <w:t>m</w:t>
            </w:r>
            <w:r w:rsidRPr="00B90483">
              <w:rPr>
                <w:sz w:val="20"/>
                <w:vertAlign w:val="superscript"/>
              </w:rPr>
              <w:t>3</w:t>
            </w:r>
          </w:p>
        </w:tc>
        <w:tc>
          <w:tcPr>
            <w:tcW w:w="709" w:type="pct"/>
            <w:tcBorders>
              <w:top w:val="single" w:sz="4" w:space="0" w:color="auto"/>
              <w:left w:val="nil"/>
              <w:bottom w:val="single" w:sz="8" w:space="0" w:color="auto"/>
              <w:right w:val="nil"/>
            </w:tcBorders>
            <w:shd w:val="clear" w:color="auto" w:fill="auto"/>
            <w:vAlign w:val="center"/>
          </w:tcPr>
          <w:p w14:paraId="61FF08A2" w14:textId="77777777" w:rsidR="00117B7F" w:rsidRPr="00B90483" w:rsidRDefault="00117B7F" w:rsidP="007F0E33">
            <w:pPr>
              <w:spacing w:after="0"/>
              <w:ind w:left="0" w:firstLine="0"/>
              <w:jc w:val="center"/>
              <w:rPr>
                <w:rFonts w:ascii="Arial" w:hAnsi="Arial" w:cs="Arial"/>
                <w:sz w:val="20"/>
              </w:rPr>
            </w:pPr>
          </w:p>
        </w:tc>
        <w:tc>
          <w:tcPr>
            <w:tcW w:w="7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FB1FC6" w14:textId="77777777" w:rsidR="00117B7F" w:rsidRPr="00B90483" w:rsidRDefault="00117B7F" w:rsidP="007F0E33">
            <w:pPr>
              <w:spacing w:after="0"/>
              <w:ind w:left="0" w:firstLine="0"/>
              <w:jc w:val="left"/>
              <w:rPr>
                <w:rFonts w:ascii="Calibri" w:hAnsi="Calibri"/>
                <w:sz w:val="20"/>
              </w:rPr>
            </w:pPr>
            <w:r w:rsidRPr="00B90483">
              <w:rPr>
                <w:rFonts w:ascii="Calibri" w:hAnsi="Calibri"/>
                <w:sz w:val="20"/>
              </w:rPr>
              <w:t> </w:t>
            </w:r>
          </w:p>
        </w:tc>
      </w:tr>
      <w:tr w:rsidR="00117B7F" w:rsidRPr="00B90483" w14:paraId="54A0229B" w14:textId="77777777" w:rsidTr="00BD46CB">
        <w:trPr>
          <w:trHeight w:val="315"/>
          <w:jc w:val="center"/>
        </w:trPr>
        <w:tc>
          <w:tcPr>
            <w:tcW w:w="261" w:type="pct"/>
            <w:tcBorders>
              <w:top w:val="nil"/>
              <w:left w:val="double" w:sz="6" w:space="0" w:color="auto"/>
              <w:bottom w:val="single" w:sz="8" w:space="0" w:color="auto"/>
              <w:right w:val="single" w:sz="8" w:space="0" w:color="auto"/>
            </w:tcBorders>
            <w:shd w:val="clear" w:color="auto" w:fill="auto"/>
            <w:vAlign w:val="center"/>
            <w:hideMark/>
          </w:tcPr>
          <w:p w14:paraId="0E90ED59" w14:textId="77777777" w:rsidR="00117B7F" w:rsidRPr="00B90483" w:rsidRDefault="00117B7F" w:rsidP="007F0E33">
            <w:pPr>
              <w:spacing w:after="0"/>
              <w:ind w:left="0" w:firstLine="0"/>
              <w:jc w:val="center"/>
              <w:rPr>
                <w:b/>
                <w:bCs/>
                <w:sz w:val="20"/>
              </w:rPr>
            </w:pPr>
            <w:r w:rsidRPr="00B90483">
              <w:rPr>
                <w:b/>
                <w:bCs/>
                <w:sz w:val="20"/>
              </w:rPr>
              <w:t> </w:t>
            </w:r>
          </w:p>
        </w:tc>
        <w:tc>
          <w:tcPr>
            <w:tcW w:w="2887" w:type="pct"/>
            <w:tcBorders>
              <w:top w:val="nil"/>
              <w:left w:val="nil"/>
              <w:bottom w:val="single" w:sz="8" w:space="0" w:color="auto"/>
              <w:right w:val="single" w:sz="8" w:space="0" w:color="auto"/>
            </w:tcBorders>
            <w:shd w:val="clear" w:color="auto" w:fill="auto"/>
            <w:vAlign w:val="center"/>
            <w:hideMark/>
          </w:tcPr>
          <w:p w14:paraId="68EE176B" w14:textId="77777777" w:rsidR="00117B7F" w:rsidRPr="00B90483" w:rsidRDefault="00117B7F" w:rsidP="007F0E33">
            <w:pPr>
              <w:spacing w:after="0"/>
              <w:ind w:left="0" w:firstLine="0"/>
              <w:jc w:val="left"/>
              <w:rPr>
                <w:b/>
                <w:bCs/>
                <w:sz w:val="20"/>
              </w:rPr>
            </w:pPr>
            <w:r w:rsidRPr="00B90483">
              <w:rPr>
                <w:b/>
                <w:bCs/>
                <w:sz w:val="20"/>
              </w:rPr>
              <w:t xml:space="preserve">Série III- PERTUIS DE VIDANGE </w:t>
            </w:r>
          </w:p>
        </w:tc>
        <w:tc>
          <w:tcPr>
            <w:tcW w:w="397" w:type="pct"/>
            <w:tcBorders>
              <w:top w:val="nil"/>
              <w:left w:val="nil"/>
              <w:bottom w:val="single" w:sz="8" w:space="0" w:color="auto"/>
              <w:right w:val="single" w:sz="8" w:space="0" w:color="auto"/>
            </w:tcBorders>
            <w:shd w:val="clear" w:color="auto" w:fill="auto"/>
            <w:vAlign w:val="center"/>
            <w:hideMark/>
          </w:tcPr>
          <w:p w14:paraId="11054488" w14:textId="77777777" w:rsidR="00117B7F" w:rsidRPr="00B90483" w:rsidRDefault="00117B7F" w:rsidP="007F0E33">
            <w:pPr>
              <w:spacing w:after="0"/>
              <w:ind w:left="0" w:firstLine="0"/>
              <w:jc w:val="center"/>
              <w:rPr>
                <w:sz w:val="20"/>
              </w:rPr>
            </w:pPr>
            <w:r w:rsidRPr="00B90483">
              <w:rPr>
                <w:sz w:val="20"/>
              </w:rPr>
              <w:t> </w:t>
            </w:r>
          </w:p>
        </w:tc>
        <w:tc>
          <w:tcPr>
            <w:tcW w:w="709" w:type="pct"/>
            <w:tcBorders>
              <w:top w:val="nil"/>
              <w:left w:val="nil"/>
              <w:bottom w:val="single" w:sz="8" w:space="0" w:color="auto"/>
              <w:right w:val="nil"/>
            </w:tcBorders>
            <w:shd w:val="clear" w:color="auto" w:fill="auto"/>
            <w:vAlign w:val="center"/>
          </w:tcPr>
          <w:p w14:paraId="1222D506" w14:textId="77777777" w:rsidR="00117B7F" w:rsidRPr="00B90483" w:rsidRDefault="00117B7F" w:rsidP="007F0E33">
            <w:pPr>
              <w:spacing w:after="0"/>
              <w:ind w:left="0" w:firstLine="0"/>
              <w:jc w:val="center"/>
              <w:rPr>
                <w:rFonts w:ascii="Arial" w:hAnsi="Arial" w:cs="Arial"/>
                <w:sz w:val="20"/>
              </w:rPr>
            </w:pPr>
          </w:p>
        </w:tc>
        <w:tc>
          <w:tcPr>
            <w:tcW w:w="746" w:type="pct"/>
            <w:tcBorders>
              <w:top w:val="nil"/>
              <w:left w:val="single" w:sz="4" w:space="0" w:color="auto"/>
              <w:bottom w:val="single" w:sz="4" w:space="0" w:color="auto"/>
              <w:right w:val="single" w:sz="4" w:space="0" w:color="auto"/>
            </w:tcBorders>
            <w:shd w:val="clear" w:color="auto" w:fill="auto"/>
            <w:noWrap/>
            <w:vAlign w:val="bottom"/>
            <w:hideMark/>
          </w:tcPr>
          <w:p w14:paraId="5D5302D2" w14:textId="77777777" w:rsidR="00117B7F" w:rsidRPr="00B90483" w:rsidRDefault="00117B7F" w:rsidP="007F0E33">
            <w:pPr>
              <w:spacing w:after="0"/>
              <w:ind w:left="0" w:firstLine="0"/>
              <w:jc w:val="left"/>
              <w:rPr>
                <w:rFonts w:ascii="Calibri" w:hAnsi="Calibri"/>
                <w:sz w:val="20"/>
              </w:rPr>
            </w:pPr>
            <w:r w:rsidRPr="00B90483">
              <w:rPr>
                <w:rFonts w:ascii="Calibri" w:hAnsi="Calibri"/>
                <w:sz w:val="20"/>
              </w:rPr>
              <w:t> </w:t>
            </w:r>
          </w:p>
        </w:tc>
      </w:tr>
      <w:tr w:rsidR="00117B7F" w:rsidRPr="00B90483" w14:paraId="6CF469EF" w14:textId="77777777" w:rsidTr="00BD46CB">
        <w:trPr>
          <w:trHeight w:val="1633"/>
          <w:jc w:val="center"/>
        </w:trPr>
        <w:tc>
          <w:tcPr>
            <w:tcW w:w="261" w:type="pct"/>
            <w:tcBorders>
              <w:top w:val="nil"/>
              <w:left w:val="double" w:sz="6" w:space="0" w:color="auto"/>
              <w:bottom w:val="single" w:sz="8" w:space="0" w:color="auto"/>
              <w:right w:val="single" w:sz="8" w:space="0" w:color="auto"/>
            </w:tcBorders>
            <w:shd w:val="clear" w:color="auto" w:fill="auto"/>
            <w:vAlign w:val="center"/>
            <w:hideMark/>
          </w:tcPr>
          <w:p w14:paraId="1E5C78DD" w14:textId="77777777" w:rsidR="00117B7F" w:rsidRPr="00B90483" w:rsidRDefault="00117B7F" w:rsidP="007F0E33">
            <w:pPr>
              <w:spacing w:after="0"/>
              <w:ind w:left="0" w:firstLine="0"/>
              <w:jc w:val="center"/>
              <w:rPr>
                <w:b/>
                <w:bCs/>
                <w:sz w:val="20"/>
              </w:rPr>
            </w:pPr>
            <w:r w:rsidRPr="00B90483">
              <w:rPr>
                <w:b/>
                <w:bCs/>
                <w:sz w:val="20"/>
              </w:rPr>
              <w:t>3.1</w:t>
            </w:r>
          </w:p>
        </w:tc>
        <w:tc>
          <w:tcPr>
            <w:tcW w:w="2887" w:type="pct"/>
            <w:tcBorders>
              <w:top w:val="nil"/>
              <w:left w:val="nil"/>
              <w:bottom w:val="single" w:sz="8" w:space="0" w:color="auto"/>
              <w:right w:val="single" w:sz="8" w:space="0" w:color="auto"/>
            </w:tcBorders>
            <w:shd w:val="clear" w:color="auto" w:fill="auto"/>
            <w:vAlign w:val="center"/>
            <w:hideMark/>
          </w:tcPr>
          <w:p w14:paraId="5C9586FB" w14:textId="77777777" w:rsidR="00117B7F" w:rsidRPr="00B90483" w:rsidRDefault="00117B7F" w:rsidP="007F0E33">
            <w:pPr>
              <w:spacing w:after="0"/>
              <w:ind w:left="0" w:firstLine="0"/>
              <w:jc w:val="left"/>
              <w:rPr>
                <w:sz w:val="18"/>
                <w:szCs w:val="18"/>
              </w:rPr>
            </w:pPr>
            <w:r w:rsidRPr="00B90483">
              <w:rPr>
                <w:b/>
                <w:bCs/>
                <w:sz w:val="20"/>
              </w:rPr>
              <w:t xml:space="preserve">Fouille pour murs pertuis                                                                                                                        </w:t>
            </w:r>
            <w:r w:rsidRPr="00B90483">
              <w:rPr>
                <w:sz w:val="18"/>
                <w:szCs w:val="18"/>
              </w:rPr>
              <w:t>Ce prix est identique au prix 2.1 appliqué aux murs et seuil pertuis.</w:t>
            </w:r>
            <w:r w:rsidRPr="00B90483">
              <w:rPr>
                <w:sz w:val="18"/>
                <w:szCs w:val="18"/>
              </w:rPr>
              <w:br/>
              <w:t>Le prix rémunère le matériel (engins de terrassement telle une pelle mécanique) et le personnel qualifié nécessaire pour l'exécution correcte des fouilles de la tranchée d’ancrage de l’ouvrage.</w:t>
            </w:r>
          </w:p>
          <w:p w14:paraId="6F683D12" w14:textId="77777777" w:rsidR="00117B7F" w:rsidRPr="00B90483" w:rsidRDefault="00117B7F" w:rsidP="007F0E33">
            <w:pPr>
              <w:spacing w:after="0"/>
              <w:ind w:left="0" w:firstLine="0"/>
              <w:jc w:val="left"/>
              <w:rPr>
                <w:b/>
                <w:bCs/>
                <w:sz w:val="20"/>
              </w:rPr>
            </w:pPr>
            <w:r w:rsidRPr="00B90483">
              <w:rPr>
                <w:sz w:val="20"/>
              </w:rPr>
              <w:br/>
            </w:r>
            <w:r w:rsidRPr="00B90483">
              <w:rPr>
                <w:i/>
                <w:sz w:val="18"/>
                <w:szCs w:val="18"/>
              </w:rPr>
              <w:t>Ce prix s’applique au mètre cube (m3) théorique de déblai, les côtes du terrain naturel étant celles obtenues par levés contradictoires des profils en travers minorés de l'épaisseur du décapage éventuel.</w:t>
            </w:r>
          </w:p>
        </w:tc>
        <w:tc>
          <w:tcPr>
            <w:tcW w:w="397" w:type="pct"/>
            <w:tcBorders>
              <w:top w:val="nil"/>
              <w:left w:val="nil"/>
              <w:bottom w:val="single" w:sz="8" w:space="0" w:color="auto"/>
              <w:right w:val="single" w:sz="8" w:space="0" w:color="auto"/>
            </w:tcBorders>
            <w:shd w:val="clear" w:color="auto" w:fill="auto"/>
            <w:vAlign w:val="center"/>
            <w:hideMark/>
          </w:tcPr>
          <w:p w14:paraId="0CFBDF57" w14:textId="77777777" w:rsidR="00117B7F" w:rsidRPr="00B90483" w:rsidRDefault="00117B7F" w:rsidP="007F0E33">
            <w:pPr>
              <w:spacing w:after="0"/>
              <w:ind w:left="0" w:firstLine="0"/>
              <w:jc w:val="center"/>
              <w:rPr>
                <w:sz w:val="20"/>
              </w:rPr>
            </w:pPr>
            <w:r w:rsidRPr="00B90483">
              <w:rPr>
                <w:sz w:val="20"/>
              </w:rPr>
              <w:t>m</w:t>
            </w:r>
            <w:r w:rsidRPr="00B90483">
              <w:rPr>
                <w:sz w:val="20"/>
                <w:vertAlign w:val="superscript"/>
              </w:rPr>
              <w:t>3</w:t>
            </w:r>
          </w:p>
        </w:tc>
        <w:tc>
          <w:tcPr>
            <w:tcW w:w="709" w:type="pct"/>
            <w:tcBorders>
              <w:top w:val="nil"/>
              <w:left w:val="nil"/>
              <w:bottom w:val="single" w:sz="8" w:space="0" w:color="auto"/>
              <w:right w:val="nil"/>
            </w:tcBorders>
            <w:shd w:val="clear" w:color="auto" w:fill="auto"/>
            <w:vAlign w:val="center"/>
          </w:tcPr>
          <w:p w14:paraId="35B3D390" w14:textId="77777777" w:rsidR="00117B7F" w:rsidRPr="00B90483" w:rsidRDefault="00117B7F" w:rsidP="007F0E33">
            <w:pPr>
              <w:spacing w:after="0"/>
              <w:ind w:left="0" w:firstLine="0"/>
              <w:jc w:val="center"/>
              <w:rPr>
                <w:rFonts w:ascii="Arial" w:hAnsi="Arial" w:cs="Arial"/>
                <w:sz w:val="20"/>
              </w:rPr>
            </w:pPr>
          </w:p>
        </w:tc>
        <w:tc>
          <w:tcPr>
            <w:tcW w:w="746" w:type="pct"/>
            <w:tcBorders>
              <w:top w:val="nil"/>
              <w:left w:val="single" w:sz="4" w:space="0" w:color="auto"/>
              <w:bottom w:val="single" w:sz="4" w:space="0" w:color="auto"/>
              <w:right w:val="single" w:sz="4" w:space="0" w:color="auto"/>
            </w:tcBorders>
            <w:shd w:val="clear" w:color="auto" w:fill="auto"/>
            <w:noWrap/>
            <w:vAlign w:val="bottom"/>
            <w:hideMark/>
          </w:tcPr>
          <w:p w14:paraId="4EC815AD" w14:textId="77777777" w:rsidR="00117B7F" w:rsidRPr="00B90483" w:rsidRDefault="00117B7F" w:rsidP="007F0E33">
            <w:pPr>
              <w:spacing w:after="0"/>
              <w:ind w:left="0" w:firstLine="0"/>
              <w:jc w:val="left"/>
              <w:rPr>
                <w:rFonts w:ascii="Calibri" w:hAnsi="Calibri"/>
                <w:sz w:val="20"/>
              </w:rPr>
            </w:pPr>
            <w:r w:rsidRPr="00B90483">
              <w:rPr>
                <w:rFonts w:ascii="Calibri" w:hAnsi="Calibri"/>
                <w:sz w:val="20"/>
              </w:rPr>
              <w:t> </w:t>
            </w:r>
          </w:p>
        </w:tc>
      </w:tr>
      <w:tr w:rsidR="00117B7F" w:rsidRPr="00B90483" w14:paraId="721B08E1" w14:textId="77777777" w:rsidTr="00BD46CB">
        <w:trPr>
          <w:trHeight w:val="1220"/>
          <w:jc w:val="center"/>
        </w:trPr>
        <w:tc>
          <w:tcPr>
            <w:tcW w:w="261" w:type="pct"/>
            <w:tcBorders>
              <w:top w:val="nil"/>
              <w:left w:val="double" w:sz="6" w:space="0" w:color="auto"/>
              <w:bottom w:val="single" w:sz="8" w:space="0" w:color="auto"/>
              <w:right w:val="single" w:sz="8" w:space="0" w:color="auto"/>
            </w:tcBorders>
            <w:shd w:val="clear" w:color="auto" w:fill="auto"/>
            <w:vAlign w:val="center"/>
            <w:hideMark/>
          </w:tcPr>
          <w:p w14:paraId="7790D8BA" w14:textId="77777777" w:rsidR="00117B7F" w:rsidRPr="00B90483" w:rsidRDefault="00117B7F" w:rsidP="007F0E33">
            <w:pPr>
              <w:spacing w:after="0"/>
              <w:ind w:left="0" w:firstLine="0"/>
              <w:jc w:val="center"/>
              <w:rPr>
                <w:b/>
                <w:bCs/>
                <w:sz w:val="20"/>
              </w:rPr>
            </w:pPr>
            <w:r w:rsidRPr="00B90483">
              <w:rPr>
                <w:b/>
                <w:bCs/>
                <w:sz w:val="20"/>
              </w:rPr>
              <w:t>3.2</w:t>
            </w:r>
          </w:p>
        </w:tc>
        <w:tc>
          <w:tcPr>
            <w:tcW w:w="2887" w:type="pct"/>
            <w:tcBorders>
              <w:top w:val="nil"/>
              <w:left w:val="nil"/>
              <w:bottom w:val="single" w:sz="8" w:space="0" w:color="auto"/>
              <w:right w:val="single" w:sz="8" w:space="0" w:color="auto"/>
            </w:tcBorders>
            <w:shd w:val="clear" w:color="auto" w:fill="auto"/>
            <w:hideMark/>
          </w:tcPr>
          <w:p w14:paraId="0AD74EC9" w14:textId="77777777" w:rsidR="00117B7F" w:rsidRPr="00B90483" w:rsidRDefault="00117B7F" w:rsidP="007F0E33">
            <w:pPr>
              <w:spacing w:after="0"/>
              <w:ind w:left="0" w:firstLine="0"/>
              <w:jc w:val="left"/>
              <w:rPr>
                <w:b/>
                <w:bCs/>
                <w:sz w:val="20"/>
              </w:rPr>
            </w:pPr>
            <w:r w:rsidRPr="00B90483">
              <w:rPr>
                <w:b/>
                <w:bCs/>
                <w:sz w:val="20"/>
              </w:rPr>
              <w:t>Béton de propreté dosé à 150kg/m</w:t>
            </w:r>
            <w:r w:rsidRPr="00B90483">
              <w:rPr>
                <w:b/>
                <w:bCs/>
                <w:sz w:val="20"/>
                <w:vertAlign w:val="superscript"/>
              </w:rPr>
              <w:t>3</w:t>
            </w:r>
            <w:r w:rsidRPr="00B90483">
              <w:rPr>
                <w:b/>
                <w:bCs/>
                <w:sz w:val="20"/>
              </w:rPr>
              <w:t xml:space="preserve"> </w:t>
            </w:r>
            <w:proofErr w:type="spellStart"/>
            <w:r w:rsidRPr="00B90483">
              <w:rPr>
                <w:b/>
                <w:bCs/>
                <w:sz w:val="20"/>
              </w:rPr>
              <w:t>ep</w:t>
            </w:r>
            <w:proofErr w:type="spellEnd"/>
            <w:r w:rsidRPr="00B90483">
              <w:rPr>
                <w:b/>
                <w:bCs/>
                <w:sz w:val="20"/>
              </w:rPr>
              <w:t xml:space="preserve"> =10cm                                                                                           </w:t>
            </w:r>
            <w:r w:rsidRPr="00B90483">
              <w:rPr>
                <w:sz w:val="18"/>
                <w:szCs w:val="18"/>
              </w:rPr>
              <w:t>Ce prix est identique au prix 2.3 appliqué aux ouvrages spécifiés.</w:t>
            </w:r>
            <w:r w:rsidRPr="00B90483">
              <w:rPr>
                <w:sz w:val="18"/>
                <w:szCs w:val="18"/>
              </w:rPr>
              <w:br/>
            </w:r>
            <w:r w:rsidRPr="00B90483">
              <w:rPr>
                <w:sz w:val="18"/>
                <w:szCs w:val="18"/>
              </w:rPr>
              <w:br/>
            </w:r>
            <w:r w:rsidRPr="00B90483">
              <w:rPr>
                <w:i/>
                <w:sz w:val="18"/>
                <w:szCs w:val="18"/>
              </w:rPr>
              <w:t>Ce prix s’applique au volume, en mètre cube (m3), de béton de propreté dosé à 150 kg/m3 coulé, avec comme valeur maximale celle obtenue à partir des plans d’exécution des ouvrages.</w:t>
            </w:r>
          </w:p>
        </w:tc>
        <w:tc>
          <w:tcPr>
            <w:tcW w:w="397" w:type="pct"/>
            <w:tcBorders>
              <w:top w:val="nil"/>
              <w:left w:val="nil"/>
              <w:bottom w:val="single" w:sz="8" w:space="0" w:color="auto"/>
              <w:right w:val="single" w:sz="8" w:space="0" w:color="auto"/>
            </w:tcBorders>
            <w:shd w:val="clear" w:color="auto" w:fill="auto"/>
            <w:vAlign w:val="center"/>
            <w:hideMark/>
          </w:tcPr>
          <w:p w14:paraId="00F62833" w14:textId="77777777" w:rsidR="00117B7F" w:rsidRPr="00B90483" w:rsidRDefault="00117B7F" w:rsidP="007F0E33">
            <w:pPr>
              <w:spacing w:after="0"/>
              <w:ind w:left="0" w:firstLine="0"/>
              <w:jc w:val="center"/>
              <w:rPr>
                <w:sz w:val="20"/>
              </w:rPr>
            </w:pPr>
            <w:r w:rsidRPr="00B90483">
              <w:rPr>
                <w:sz w:val="20"/>
              </w:rPr>
              <w:t>m</w:t>
            </w:r>
            <w:r w:rsidRPr="00B90483">
              <w:rPr>
                <w:sz w:val="20"/>
                <w:vertAlign w:val="superscript"/>
              </w:rPr>
              <w:t>3</w:t>
            </w:r>
          </w:p>
        </w:tc>
        <w:tc>
          <w:tcPr>
            <w:tcW w:w="709" w:type="pct"/>
            <w:tcBorders>
              <w:top w:val="nil"/>
              <w:left w:val="nil"/>
              <w:bottom w:val="single" w:sz="8" w:space="0" w:color="auto"/>
              <w:right w:val="nil"/>
            </w:tcBorders>
            <w:shd w:val="clear" w:color="auto" w:fill="auto"/>
            <w:vAlign w:val="center"/>
          </w:tcPr>
          <w:p w14:paraId="7E70E253" w14:textId="77777777" w:rsidR="00117B7F" w:rsidRPr="00B90483" w:rsidRDefault="00117B7F" w:rsidP="007F0E33">
            <w:pPr>
              <w:spacing w:after="0"/>
              <w:ind w:left="0" w:firstLine="0"/>
              <w:jc w:val="center"/>
              <w:rPr>
                <w:rFonts w:ascii="Arial" w:hAnsi="Arial" w:cs="Arial"/>
                <w:sz w:val="20"/>
              </w:rPr>
            </w:pPr>
          </w:p>
        </w:tc>
        <w:tc>
          <w:tcPr>
            <w:tcW w:w="746" w:type="pct"/>
            <w:tcBorders>
              <w:top w:val="nil"/>
              <w:left w:val="single" w:sz="4" w:space="0" w:color="auto"/>
              <w:bottom w:val="single" w:sz="4" w:space="0" w:color="auto"/>
              <w:right w:val="single" w:sz="4" w:space="0" w:color="auto"/>
            </w:tcBorders>
            <w:shd w:val="clear" w:color="auto" w:fill="auto"/>
            <w:noWrap/>
            <w:vAlign w:val="bottom"/>
            <w:hideMark/>
          </w:tcPr>
          <w:p w14:paraId="4BA77407" w14:textId="77777777" w:rsidR="00117B7F" w:rsidRPr="00B90483" w:rsidRDefault="00117B7F" w:rsidP="007F0E33">
            <w:pPr>
              <w:spacing w:after="0"/>
              <w:ind w:left="0" w:firstLine="0"/>
              <w:jc w:val="left"/>
              <w:rPr>
                <w:rFonts w:ascii="Calibri" w:hAnsi="Calibri"/>
                <w:sz w:val="20"/>
              </w:rPr>
            </w:pPr>
            <w:r w:rsidRPr="00B90483">
              <w:rPr>
                <w:rFonts w:ascii="Calibri" w:hAnsi="Calibri"/>
                <w:sz w:val="20"/>
              </w:rPr>
              <w:t> </w:t>
            </w:r>
          </w:p>
        </w:tc>
      </w:tr>
      <w:tr w:rsidR="00117B7F" w:rsidRPr="00B90483" w14:paraId="12002B40" w14:textId="77777777" w:rsidTr="00BD46CB">
        <w:trPr>
          <w:trHeight w:val="1295"/>
          <w:jc w:val="center"/>
        </w:trPr>
        <w:tc>
          <w:tcPr>
            <w:tcW w:w="261" w:type="pct"/>
            <w:tcBorders>
              <w:top w:val="nil"/>
              <w:left w:val="double" w:sz="6" w:space="0" w:color="auto"/>
              <w:bottom w:val="single" w:sz="8" w:space="0" w:color="auto"/>
              <w:right w:val="single" w:sz="8" w:space="0" w:color="auto"/>
            </w:tcBorders>
            <w:shd w:val="clear" w:color="auto" w:fill="auto"/>
            <w:vAlign w:val="center"/>
            <w:hideMark/>
          </w:tcPr>
          <w:p w14:paraId="1230A5DD" w14:textId="77777777" w:rsidR="00117B7F" w:rsidRPr="00B90483" w:rsidRDefault="00117B7F" w:rsidP="007F0E33">
            <w:pPr>
              <w:spacing w:after="0"/>
              <w:ind w:left="0" w:firstLine="0"/>
              <w:jc w:val="center"/>
              <w:rPr>
                <w:b/>
                <w:bCs/>
                <w:sz w:val="20"/>
              </w:rPr>
            </w:pPr>
            <w:r w:rsidRPr="00B90483">
              <w:rPr>
                <w:b/>
                <w:bCs/>
                <w:sz w:val="20"/>
              </w:rPr>
              <w:t>3.3</w:t>
            </w:r>
          </w:p>
        </w:tc>
        <w:tc>
          <w:tcPr>
            <w:tcW w:w="2887" w:type="pct"/>
            <w:tcBorders>
              <w:top w:val="nil"/>
              <w:left w:val="nil"/>
              <w:bottom w:val="single" w:sz="8" w:space="0" w:color="auto"/>
              <w:right w:val="single" w:sz="8" w:space="0" w:color="auto"/>
            </w:tcBorders>
            <w:shd w:val="clear" w:color="auto" w:fill="auto"/>
            <w:hideMark/>
          </w:tcPr>
          <w:p w14:paraId="6F57C827" w14:textId="77777777" w:rsidR="00117B7F" w:rsidRPr="00B90483" w:rsidRDefault="00117B7F" w:rsidP="007F0E33">
            <w:pPr>
              <w:spacing w:after="0"/>
              <w:ind w:left="0" w:firstLine="0"/>
              <w:jc w:val="left"/>
              <w:rPr>
                <w:b/>
                <w:bCs/>
                <w:sz w:val="20"/>
              </w:rPr>
            </w:pPr>
            <w:r w:rsidRPr="00B90483">
              <w:rPr>
                <w:b/>
                <w:bCs/>
                <w:sz w:val="20"/>
              </w:rPr>
              <w:t xml:space="preserve">Blocage de la fouille en béton cyclopéen dosé à 350 kg/m3 pour murs y compris ajout du </w:t>
            </w:r>
            <w:proofErr w:type="spellStart"/>
            <w:r w:rsidRPr="00B90483">
              <w:rPr>
                <w:b/>
                <w:bCs/>
                <w:sz w:val="20"/>
              </w:rPr>
              <w:t>sikhalite</w:t>
            </w:r>
            <w:proofErr w:type="spellEnd"/>
            <w:r w:rsidRPr="00B90483">
              <w:rPr>
                <w:b/>
                <w:bCs/>
                <w:sz w:val="20"/>
              </w:rPr>
              <w:t xml:space="preserve">  </w:t>
            </w:r>
            <w:r w:rsidRPr="00B90483">
              <w:rPr>
                <w:b/>
                <w:bCs/>
                <w:sz w:val="20"/>
              </w:rPr>
              <w:br/>
            </w:r>
            <w:r w:rsidRPr="00B90483">
              <w:rPr>
                <w:sz w:val="18"/>
                <w:szCs w:val="18"/>
              </w:rPr>
              <w:t>Ce prix est identique au prix 2.4 appliqué au seuil et mur pertuis.</w:t>
            </w:r>
            <w:r w:rsidRPr="00B90483">
              <w:rPr>
                <w:sz w:val="20"/>
              </w:rPr>
              <w:br/>
            </w:r>
            <w:r w:rsidRPr="00B90483">
              <w:rPr>
                <w:sz w:val="20"/>
              </w:rPr>
              <w:br/>
            </w:r>
            <w:r w:rsidRPr="00B90483">
              <w:rPr>
                <w:i/>
                <w:sz w:val="18"/>
                <w:szCs w:val="18"/>
              </w:rPr>
              <w:t>Ce prix s’applique au volume, en mètre cube (m3), de béton cyclopéen, avec comme valeur maximale celle obtenue à partir des plans d’exécution des ouvrages</w:t>
            </w:r>
            <w:r w:rsidRPr="00B90483">
              <w:rPr>
                <w:sz w:val="18"/>
                <w:szCs w:val="18"/>
              </w:rPr>
              <w:t>.</w:t>
            </w:r>
          </w:p>
        </w:tc>
        <w:tc>
          <w:tcPr>
            <w:tcW w:w="397" w:type="pct"/>
            <w:tcBorders>
              <w:top w:val="nil"/>
              <w:left w:val="nil"/>
              <w:bottom w:val="single" w:sz="8" w:space="0" w:color="auto"/>
              <w:right w:val="single" w:sz="8" w:space="0" w:color="auto"/>
            </w:tcBorders>
            <w:shd w:val="clear" w:color="auto" w:fill="auto"/>
            <w:vAlign w:val="center"/>
            <w:hideMark/>
          </w:tcPr>
          <w:p w14:paraId="15A67B34" w14:textId="77777777" w:rsidR="00117B7F" w:rsidRPr="00B90483" w:rsidRDefault="00117B7F" w:rsidP="007F0E33">
            <w:pPr>
              <w:spacing w:after="0"/>
              <w:ind w:left="0" w:firstLine="0"/>
              <w:jc w:val="center"/>
              <w:rPr>
                <w:sz w:val="20"/>
              </w:rPr>
            </w:pPr>
            <w:r w:rsidRPr="00B90483">
              <w:rPr>
                <w:sz w:val="20"/>
              </w:rPr>
              <w:t>m</w:t>
            </w:r>
            <w:r w:rsidRPr="00B90483">
              <w:rPr>
                <w:sz w:val="20"/>
                <w:vertAlign w:val="superscript"/>
              </w:rPr>
              <w:t>3</w:t>
            </w:r>
          </w:p>
        </w:tc>
        <w:tc>
          <w:tcPr>
            <w:tcW w:w="709" w:type="pct"/>
            <w:tcBorders>
              <w:top w:val="nil"/>
              <w:left w:val="nil"/>
              <w:bottom w:val="single" w:sz="8" w:space="0" w:color="auto"/>
              <w:right w:val="nil"/>
            </w:tcBorders>
            <w:shd w:val="clear" w:color="auto" w:fill="auto"/>
            <w:vAlign w:val="center"/>
          </w:tcPr>
          <w:p w14:paraId="2ED13742" w14:textId="77777777" w:rsidR="00117B7F" w:rsidRPr="00B90483" w:rsidRDefault="00117B7F" w:rsidP="007F0E33">
            <w:pPr>
              <w:spacing w:after="0"/>
              <w:ind w:left="0" w:firstLine="0"/>
              <w:jc w:val="center"/>
              <w:rPr>
                <w:rFonts w:ascii="Arial" w:hAnsi="Arial" w:cs="Arial"/>
                <w:sz w:val="20"/>
              </w:rPr>
            </w:pPr>
          </w:p>
        </w:tc>
        <w:tc>
          <w:tcPr>
            <w:tcW w:w="746" w:type="pct"/>
            <w:tcBorders>
              <w:top w:val="nil"/>
              <w:left w:val="single" w:sz="4" w:space="0" w:color="auto"/>
              <w:bottom w:val="single" w:sz="4" w:space="0" w:color="auto"/>
              <w:right w:val="single" w:sz="4" w:space="0" w:color="auto"/>
            </w:tcBorders>
            <w:shd w:val="clear" w:color="auto" w:fill="auto"/>
            <w:noWrap/>
            <w:vAlign w:val="bottom"/>
            <w:hideMark/>
          </w:tcPr>
          <w:p w14:paraId="2B41AFC0" w14:textId="77777777" w:rsidR="00117B7F" w:rsidRPr="00B90483" w:rsidRDefault="00117B7F" w:rsidP="007F0E33">
            <w:pPr>
              <w:spacing w:after="0"/>
              <w:ind w:left="0" w:firstLine="0"/>
              <w:jc w:val="left"/>
              <w:rPr>
                <w:rFonts w:ascii="Calibri" w:hAnsi="Calibri"/>
                <w:sz w:val="20"/>
              </w:rPr>
            </w:pPr>
            <w:r w:rsidRPr="00B90483">
              <w:rPr>
                <w:rFonts w:ascii="Calibri" w:hAnsi="Calibri"/>
                <w:sz w:val="20"/>
              </w:rPr>
              <w:t> </w:t>
            </w:r>
          </w:p>
        </w:tc>
      </w:tr>
      <w:tr w:rsidR="00117B7F" w:rsidRPr="00B90483" w14:paraId="2210BA55" w14:textId="77777777" w:rsidTr="00BD46CB">
        <w:trPr>
          <w:trHeight w:val="1575"/>
          <w:jc w:val="center"/>
        </w:trPr>
        <w:tc>
          <w:tcPr>
            <w:tcW w:w="261" w:type="pct"/>
            <w:tcBorders>
              <w:top w:val="nil"/>
              <w:left w:val="double" w:sz="6" w:space="0" w:color="auto"/>
              <w:bottom w:val="single" w:sz="8" w:space="0" w:color="auto"/>
              <w:right w:val="single" w:sz="8" w:space="0" w:color="auto"/>
            </w:tcBorders>
            <w:shd w:val="clear" w:color="auto" w:fill="auto"/>
            <w:vAlign w:val="center"/>
            <w:hideMark/>
          </w:tcPr>
          <w:p w14:paraId="2B87E934" w14:textId="77777777" w:rsidR="00117B7F" w:rsidRPr="00B90483" w:rsidRDefault="00117B7F" w:rsidP="007F0E33">
            <w:pPr>
              <w:spacing w:after="0"/>
              <w:ind w:left="0" w:firstLine="0"/>
              <w:jc w:val="center"/>
              <w:rPr>
                <w:b/>
                <w:bCs/>
                <w:sz w:val="20"/>
              </w:rPr>
            </w:pPr>
            <w:r w:rsidRPr="00B90483">
              <w:rPr>
                <w:b/>
                <w:bCs/>
                <w:sz w:val="20"/>
              </w:rPr>
              <w:t>3.4</w:t>
            </w:r>
          </w:p>
        </w:tc>
        <w:tc>
          <w:tcPr>
            <w:tcW w:w="2887" w:type="pct"/>
            <w:tcBorders>
              <w:top w:val="nil"/>
              <w:left w:val="nil"/>
              <w:bottom w:val="single" w:sz="8" w:space="0" w:color="auto"/>
              <w:right w:val="single" w:sz="8" w:space="0" w:color="auto"/>
            </w:tcBorders>
            <w:shd w:val="clear" w:color="auto" w:fill="auto"/>
            <w:hideMark/>
          </w:tcPr>
          <w:p w14:paraId="180A3726" w14:textId="77777777" w:rsidR="00117B7F" w:rsidRPr="00B90483" w:rsidRDefault="00117B7F" w:rsidP="007F0E33">
            <w:pPr>
              <w:spacing w:after="0"/>
              <w:ind w:left="0" w:firstLine="0"/>
              <w:jc w:val="left"/>
              <w:rPr>
                <w:sz w:val="20"/>
              </w:rPr>
            </w:pPr>
            <w:r w:rsidRPr="00B90483">
              <w:rPr>
                <w:b/>
                <w:bCs/>
                <w:sz w:val="20"/>
              </w:rPr>
              <w:t xml:space="preserve"> Béton cyclopéen en élévation dosé à 350 kg/m</w:t>
            </w:r>
            <w:r w:rsidRPr="00B90483">
              <w:rPr>
                <w:b/>
                <w:bCs/>
                <w:sz w:val="20"/>
                <w:vertAlign w:val="superscript"/>
              </w:rPr>
              <w:t>3</w:t>
            </w:r>
            <w:r w:rsidRPr="00B90483">
              <w:rPr>
                <w:b/>
                <w:bCs/>
                <w:sz w:val="20"/>
              </w:rPr>
              <w:t xml:space="preserve"> avec ajout du </w:t>
            </w:r>
            <w:proofErr w:type="spellStart"/>
            <w:r w:rsidRPr="00B90483">
              <w:rPr>
                <w:b/>
                <w:bCs/>
                <w:sz w:val="20"/>
              </w:rPr>
              <w:t>sikhalite</w:t>
            </w:r>
            <w:proofErr w:type="spellEnd"/>
            <w:r w:rsidRPr="00B90483">
              <w:rPr>
                <w:b/>
                <w:bCs/>
                <w:sz w:val="20"/>
              </w:rPr>
              <w:t xml:space="preserve"> pour murs pertuis y compris ajout du </w:t>
            </w:r>
            <w:proofErr w:type="spellStart"/>
            <w:r w:rsidRPr="00B90483">
              <w:rPr>
                <w:b/>
                <w:bCs/>
                <w:sz w:val="20"/>
              </w:rPr>
              <w:t>sikhalite</w:t>
            </w:r>
            <w:proofErr w:type="spellEnd"/>
            <w:r w:rsidRPr="00B90483">
              <w:rPr>
                <w:b/>
                <w:bCs/>
                <w:sz w:val="20"/>
              </w:rPr>
              <w:t xml:space="preserve">                                                                                                                                             </w:t>
            </w:r>
            <w:r w:rsidRPr="00B90483">
              <w:rPr>
                <w:sz w:val="18"/>
                <w:szCs w:val="18"/>
              </w:rPr>
              <w:t>Ce prix est identique au prix 2.5 appliqué au seuil et mur pertuis.</w:t>
            </w:r>
          </w:p>
          <w:p w14:paraId="5AF27CAD" w14:textId="77777777" w:rsidR="00117B7F" w:rsidRPr="00B90483" w:rsidRDefault="00117B7F" w:rsidP="007F0E33">
            <w:pPr>
              <w:spacing w:after="0"/>
              <w:ind w:left="0" w:firstLine="0"/>
              <w:jc w:val="left"/>
              <w:rPr>
                <w:b/>
                <w:bCs/>
                <w:i/>
                <w:sz w:val="18"/>
                <w:szCs w:val="18"/>
              </w:rPr>
            </w:pPr>
            <w:r w:rsidRPr="00B90483">
              <w:rPr>
                <w:sz w:val="20"/>
              </w:rPr>
              <w:br/>
            </w:r>
            <w:r w:rsidRPr="00B90483">
              <w:rPr>
                <w:i/>
                <w:sz w:val="18"/>
                <w:szCs w:val="18"/>
              </w:rPr>
              <w:t>Ce prix s’applique au volume, en mètre cube (m3), de béton cyclopéen, avec comme valeur maximale celle obtenue à partir des plans d’exécution des ouvrages.</w:t>
            </w:r>
          </w:p>
        </w:tc>
        <w:tc>
          <w:tcPr>
            <w:tcW w:w="397" w:type="pct"/>
            <w:tcBorders>
              <w:top w:val="nil"/>
              <w:left w:val="nil"/>
              <w:bottom w:val="single" w:sz="8" w:space="0" w:color="auto"/>
              <w:right w:val="single" w:sz="8" w:space="0" w:color="auto"/>
            </w:tcBorders>
            <w:shd w:val="clear" w:color="auto" w:fill="auto"/>
            <w:vAlign w:val="center"/>
            <w:hideMark/>
          </w:tcPr>
          <w:p w14:paraId="23A5EAD1" w14:textId="77777777" w:rsidR="00117B7F" w:rsidRPr="00B90483" w:rsidRDefault="00117B7F" w:rsidP="007F0E33">
            <w:pPr>
              <w:spacing w:after="0"/>
              <w:ind w:left="0" w:firstLine="0"/>
              <w:jc w:val="center"/>
              <w:rPr>
                <w:sz w:val="20"/>
              </w:rPr>
            </w:pPr>
            <w:r w:rsidRPr="00B90483">
              <w:rPr>
                <w:sz w:val="20"/>
              </w:rPr>
              <w:t>m</w:t>
            </w:r>
            <w:r w:rsidRPr="00B90483">
              <w:rPr>
                <w:sz w:val="20"/>
                <w:vertAlign w:val="superscript"/>
              </w:rPr>
              <w:t>3</w:t>
            </w:r>
          </w:p>
        </w:tc>
        <w:tc>
          <w:tcPr>
            <w:tcW w:w="709" w:type="pct"/>
            <w:tcBorders>
              <w:top w:val="nil"/>
              <w:left w:val="nil"/>
              <w:bottom w:val="single" w:sz="8" w:space="0" w:color="auto"/>
              <w:right w:val="nil"/>
            </w:tcBorders>
            <w:shd w:val="clear" w:color="auto" w:fill="auto"/>
            <w:vAlign w:val="center"/>
            <w:hideMark/>
          </w:tcPr>
          <w:p w14:paraId="2F2E11F8" w14:textId="77777777" w:rsidR="00117B7F" w:rsidRPr="00B90483" w:rsidRDefault="00117B7F" w:rsidP="007F0E33">
            <w:pPr>
              <w:spacing w:after="0"/>
              <w:ind w:left="0" w:firstLine="0"/>
              <w:jc w:val="center"/>
              <w:rPr>
                <w:rFonts w:ascii="Arial" w:hAnsi="Arial" w:cs="Arial"/>
                <w:sz w:val="20"/>
              </w:rPr>
            </w:pPr>
          </w:p>
        </w:tc>
        <w:tc>
          <w:tcPr>
            <w:tcW w:w="746" w:type="pct"/>
            <w:tcBorders>
              <w:top w:val="nil"/>
              <w:left w:val="single" w:sz="4" w:space="0" w:color="auto"/>
              <w:bottom w:val="single" w:sz="4" w:space="0" w:color="auto"/>
              <w:right w:val="single" w:sz="4" w:space="0" w:color="auto"/>
            </w:tcBorders>
            <w:shd w:val="clear" w:color="auto" w:fill="auto"/>
            <w:noWrap/>
            <w:vAlign w:val="bottom"/>
            <w:hideMark/>
          </w:tcPr>
          <w:p w14:paraId="157419DC" w14:textId="77777777" w:rsidR="00117B7F" w:rsidRPr="00B90483" w:rsidRDefault="00117B7F" w:rsidP="007F0E33">
            <w:pPr>
              <w:spacing w:after="0"/>
              <w:ind w:left="0" w:firstLine="0"/>
              <w:jc w:val="left"/>
              <w:rPr>
                <w:rFonts w:ascii="Calibri" w:hAnsi="Calibri"/>
                <w:sz w:val="20"/>
              </w:rPr>
            </w:pPr>
            <w:r w:rsidRPr="00B90483">
              <w:rPr>
                <w:rFonts w:ascii="Calibri" w:hAnsi="Calibri"/>
                <w:sz w:val="20"/>
              </w:rPr>
              <w:t> </w:t>
            </w:r>
          </w:p>
        </w:tc>
      </w:tr>
      <w:tr w:rsidR="00117B7F" w:rsidRPr="00B90483" w14:paraId="6735E5B2" w14:textId="77777777" w:rsidTr="00BD46CB">
        <w:trPr>
          <w:trHeight w:val="4369"/>
          <w:jc w:val="center"/>
        </w:trPr>
        <w:tc>
          <w:tcPr>
            <w:tcW w:w="261" w:type="pct"/>
            <w:tcBorders>
              <w:top w:val="single" w:sz="4" w:space="0" w:color="auto"/>
              <w:left w:val="double" w:sz="6" w:space="0" w:color="auto"/>
              <w:bottom w:val="single" w:sz="8" w:space="0" w:color="auto"/>
              <w:right w:val="single" w:sz="8" w:space="0" w:color="auto"/>
            </w:tcBorders>
            <w:shd w:val="clear" w:color="auto" w:fill="auto"/>
            <w:vAlign w:val="center"/>
            <w:hideMark/>
          </w:tcPr>
          <w:p w14:paraId="76C90533" w14:textId="77777777" w:rsidR="00117B7F" w:rsidRPr="00B90483" w:rsidRDefault="00117B7F" w:rsidP="007F0E33">
            <w:pPr>
              <w:spacing w:after="0"/>
              <w:ind w:left="0" w:firstLine="0"/>
              <w:jc w:val="center"/>
              <w:rPr>
                <w:b/>
                <w:bCs/>
                <w:sz w:val="20"/>
              </w:rPr>
            </w:pPr>
            <w:r w:rsidRPr="00B90483">
              <w:rPr>
                <w:b/>
                <w:bCs/>
                <w:sz w:val="20"/>
              </w:rPr>
              <w:lastRenderedPageBreak/>
              <w:t>3.5</w:t>
            </w:r>
          </w:p>
        </w:tc>
        <w:tc>
          <w:tcPr>
            <w:tcW w:w="2887" w:type="pct"/>
            <w:tcBorders>
              <w:top w:val="single" w:sz="4" w:space="0" w:color="auto"/>
              <w:left w:val="nil"/>
              <w:bottom w:val="single" w:sz="8" w:space="0" w:color="auto"/>
              <w:right w:val="single" w:sz="8" w:space="0" w:color="auto"/>
            </w:tcBorders>
            <w:shd w:val="clear" w:color="auto" w:fill="auto"/>
            <w:hideMark/>
          </w:tcPr>
          <w:p w14:paraId="18D969D2" w14:textId="197B844A" w:rsidR="00117B7F" w:rsidRPr="00B90483" w:rsidRDefault="00117B7F" w:rsidP="007F0E33">
            <w:pPr>
              <w:spacing w:after="0"/>
              <w:ind w:left="0" w:firstLine="0"/>
              <w:rPr>
                <w:b/>
                <w:bCs/>
                <w:sz w:val="20"/>
              </w:rPr>
            </w:pPr>
            <w:r w:rsidRPr="00B90483">
              <w:rPr>
                <w:b/>
                <w:bCs/>
                <w:sz w:val="20"/>
              </w:rPr>
              <w:t>Dallage pour passerelle pertuis en béton armé dosé à 350kg/m</w:t>
            </w:r>
            <w:r w:rsidRPr="00B90483">
              <w:rPr>
                <w:b/>
                <w:bCs/>
                <w:sz w:val="20"/>
                <w:vertAlign w:val="superscript"/>
              </w:rPr>
              <w:t>3</w:t>
            </w:r>
            <w:r w:rsidRPr="00B90483">
              <w:rPr>
                <w:b/>
                <w:bCs/>
                <w:sz w:val="20"/>
              </w:rPr>
              <w:t xml:space="preserve">                                                                                       </w:t>
            </w:r>
            <w:r w:rsidRPr="00B90483">
              <w:rPr>
                <w:sz w:val="18"/>
                <w:szCs w:val="18"/>
              </w:rPr>
              <w:t>Ce prix rémunère la réalisation d’une passerelle en béton armé  conformément aux indications des plans.</w:t>
            </w:r>
            <w:r w:rsidRPr="00B90483">
              <w:rPr>
                <w:sz w:val="18"/>
                <w:szCs w:val="18"/>
              </w:rPr>
              <w:br/>
              <w:t>La dalle  sera encastrée  sur chaque mur pertuis et affleurera à la côte du déversoir, dans son prolongement. La passerelle pertuis est placée sur l’axe du barrage.</w:t>
            </w:r>
            <w:r w:rsidRPr="00B90483">
              <w:rPr>
                <w:sz w:val="18"/>
                <w:szCs w:val="18"/>
              </w:rPr>
              <w:br/>
              <w:t>Le béton sera dosé à 350 kg de ciment CPJ 35 / m3. L’enrobage est de 20 mm au moins de part et d’autre. La dalle sera coffrée directement sur le barrage. La surface sera couverte de sable maintenu humide pendant 15 jours au moins.</w:t>
            </w:r>
            <w:r w:rsidRPr="00B90483">
              <w:rPr>
                <w:sz w:val="18"/>
                <w:szCs w:val="18"/>
              </w:rPr>
              <w:br/>
              <w:t>Ce prix comprend conformément aux spécifications des prescriptions techniques :</w:t>
            </w:r>
            <w:r w:rsidRPr="00B90483">
              <w:rPr>
                <w:sz w:val="18"/>
                <w:szCs w:val="18"/>
              </w:rPr>
              <w:br/>
              <w:t>- La fourniture à pied d’œuvre de tous les matériels et matériaux ;</w:t>
            </w:r>
            <w:r w:rsidRPr="00B90483">
              <w:rPr>
                <w:sz w:val="18"/>
                <w:szCs w:val="18"/>
              </w:rPr>
              <w:br/>
              <w:t>- La réalisation du ferraillage et du coffrage suivant les indications des plans</w:t>
            </w:r>
            <w:r w:rsidRPr="00B90483">
              <w:rPr>
                <w:sz w:val="18"/>
                <w:szCs w:val="18"/>
              </w:rPr>
              <w:br/>
              <w:t>- Le coulage, la vibration du béton ;</w:t>
            </w:r>
            <w:r w:rsidRPr="00B90483">
              <w:rPr>
                <w:sz w:val="18"/>
                <w:szCs w:val="18"/>
              </w:rPr>
              <w:br/>
              <w:t xml:space="preserve">- La protection et la cure du </w:t>
            </w:r>
            <w:r w:rsidR="00376BAC" w:rsidRPr="00B90483">
              <w:rPr>
                <w:sz w:val="18"/>
                <w:szCs w:val="18"/>
              </w:rPr>
              <w:t>béton pendant</w:t>
            </w:r>
            <w:r w:rsidRPr="00B90483">
              <w:rPr>
                <w:sz w:val="18"/>
                <w:szCs w:val="18"/>
              </w:rPr>
              <w:t xml:space="preserve"> 21 jours ;</w:t>
            </w:r>
            <w:r w:rsidRPr="00B90483">
              <w:rPr>
                <w:sz w:val="18"/>
                <w:szCs w:val="18"/>
              </w:rPr>
              <w:br/>
              <w:t>- Le décoffrage ;</w:t>
            </w:r>
            <w:r w:rsidRPr="00B90483">
              <w:rPr>
                <w:sz w:val="18"/>
                <w:szCs w:val="18"/>
              </w:rPr>
              <w:br/>
              <w:t>- Et toutes sujétions et de main d’œuvre qualifié et non qualifiée.</w:t>
            </w:r>
            <w:r w:rsidRPr="00B90483">
              <w:rPr>
                <w:sz w:val="20"/>
              </w:rPr>
              <w:t xml:space="preserve"> </w:t>
            </w:r>
            <w:r w:rsidRPr="00B90483">
              <w:rPr>
                <w:sz w:val="20"/>
              </w:rPr>
              <w:br/>
            </w:r>
            <w:r w:rsidRPr="00B90483">
              <w:rPr>
                <w:sz w:val="20"/>
              </w:rPr>
              <w:br/>
            </w:r>
            <w:r w:rsidRPr="00B90483">
              <w:rPr>
                <w:i/>
                <w:sz w:val="18"/>
                <w:szCs w:val="18"/>
              </w:rPr>
              <w:t>Ce prix s’applique au volume en mètre cube (m3) de béton armé mis en œuvre pour la dalle de traversée.</w:t>
            </w:r>
          </w:p>
        </w:tc>
        <w:tc>
          <w:tcPr>
            <w:tcW w:w="397" w:type="pct"/>
            <w:tcBorders>
              <w:top w:val="single" w:sz="4" w:space="0" w:color="auto"/>
              <w:left w:val="nil"/>
              <w:bottom w:val="single" w:sz="8" w:space="0" w:color="auto"/>
              <w:right w:val="single" w:sz="8" w:space="0" w:color="auto"/>
            </w:tcBorders>
            <w:shd w:val="clear" w:color="auto" w:fill="auto"/>
            <w:vAlign w:val="center"/>
            <w:hideMark/>
          </w:tcPr>
          <w:p w14:paraId="67BD4D2B" w14:textId="77777777" w:rsidR="00117B7F" w:rsidRPr="00B90483" w:rsidRDefault="00117B7F" w:rsidP="007F0E33">
            <w:pPr>
              <w:spacing w:after="0"/>
              <w:ind w:left="0" w:firstLine="0"/>
              <w:jc w:val="center"/>
              <w:rPr>
                <w:sz w:val="20"/>
              </w:rPr>
            </w:pPr>
            <w:r w:rsidRPr="00B90483">
              <w:rPr>
                <w:sz w:val="20"/>
              </w:rPr>
              <w:t>m</w:t>
            </w:r>
            <w:r w:rsidRPr="00B90483">
              <w:rPr>
                <w:sz w:val="20"/>
                <w:vertAlign w:val="superscript"/>
              </w:rPr>
              <w:t>3</w:t>
            </w:r>
          </w:p>
        </w:tc>
        <w:tc>
          <w:tcPr>
            <w:tcW w:w="709" w:type="pct"/>
            <w:tcBorders>
              <w:top w:val="single" w:sz="4" w:space="0" w:color="auto"/>
              <w:left w:val="nil"/>
              <w:bottom w:val="single" w:sz="8" w:space="0" w:color="auto"/>
              <w:right w:val="nil"/>
            </w:tcBorders>
            <w:shd w:val="clear" w:color="auto" w:fill="auto"/>
            <w:vAlign w:val="center"/>
          </w:tcPr>
          <w:p w14:paraId="64464715" w14:textId="77777777" w:rsidR="00117B7F" w:rsidRPr="00B90483" w:rsidRDefault="00117B7F" w:rsidP="007F0E33">
            <w:pPr>
              <w:spacing w:after="0"/>
              <w:ind w:left="0" w:firstLine="0"/>
              <w:jc w:val="center"/>
              <w:rPr>
                <w:rFonts w:ascii="Arial" w:hAnsi="Arial" w:cs="Arial"/>
                <w:sz w:val="20"/>
              </w:rPr>
            </w:pPr>
          </w:p>
        </w:tc>
        <w:tc>
          <w:tcPr>
            <w:tcW w:w="7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21D002" w14:textId="77777777" w:rsidR="00117B7F" w:rsidRPr="00B90483" w:rsidRDefault="00117B7F" w:rsidP="007F0E33">
            <w:pPr>
              <w:spacing w:after="0"/>
              <w:ind w:left="0" w:firstLine="0"/>
              <w:jc w:val="left"/>
              <w:rPr>
                <w:rFonts w:ascii="Calibri" w:hAnsi="Calibri"/>
                <w:sz w:val="20"/>
              </w:rPr>
            </w:pPr>
            <w:r w:rsidRPr="00B90483">
              <w:rPr>
                <w:rFonts w:ascii="Calibri" w:hAnsi="Calibri"/>
                <w:sz w:val="20"/>
              </w:rPr>
              <w:t> </w:t>
            </w:r>
          </w:p>
        </w:tc>
      </w:tr>
      <w:tr w:rsidR="00117B7F" w:rsidRPr="00B90483" w14:paraId="53B5A6CD" w14:textId="77777777" w:rsidTr="00BD46CB">
        <w:trPr>
          <w:trHeight w:val="1896"/>
          <w:jc w:val="center"/>
        </w:trPr>
        <w:tc>
          <w:tcPr>
            <w:tcW w:w="261" w:type="pct"/>
            <w:tcBorders>
              <w:top w:val="nil"/>
              <w:left w:val="double" w:sz="6" w:space="0" w:color="auto"/>
              <w:bottom w:val="single" w:sz="8" w:space="0" w:color="auto"/>
              <w:right w:val="single" w:sz="8" w:space="0" w:color="auto"/>
            </w:tcBorders>
            <w:shd w:val="clear" w:color="auto" w:fill="auto"/>
            <w:vAlign w:val="center"/>
            <w:hideMark/>
          </w:tcPr>
          <w:p w14:paraId="19B9B901" w14:textId="77777777" w:rsidR="00117B7F" w:rsidRPr="00B90483" w:rsidRDefault="00117B7F" w:rsidP="007F0E33">
            <w:pPr>
              <w:spacing w:after="0"/>
              <w:ind w:left="0" w:firstLine="0"/>
              <w:jc w:val="center"/>
              <w:rPr>
                <w:b/>
                <w:bCs/>
                <w:sz w:val="20"/>
              </w:rPr>
            </w:pPr>
            <w:r w:rsidRPr="00B90483">
              <w:rPr>
                <w:b/>
                <w:bCs/>
                <w:sz w:val="20"/>
              </w:rPr>
              <w:t>3.6</w:t>
            </w:r>
          </w:p>
        </w:tc>
        <w:tc>
          <w:tcPr>
            <w:tcW w:w="2887" w:type="pct"/>
            <w:tcBorders>
              <w:top w:val="nil"/>
              <w:left w:val="nil"/>
              <w:bottom w:val="single" w:sz="8" w:space="0" w:color="auto"/>
              <w:right w:val="single" w:sz="8" w:space="0" w:color="auto"/>
            </w:tcBorders>
            <w:shd w:val="clear" w:color="auto" w:fill="auto"/>
            <w:vAlign w:val="center"/>
            <w:hideMark/>
          </w:tcPr>
          <w:p w14:paraId="04FB1EF4" w14:textId="77777777" w:rsidR="00117B7F" w:rsidRPr="00B90483" w:rsidRDefault="00117B7F" w:rsidP="007F0E33">
            <w:pPr>
              <w:spacing w:after="0"/>
              <w:ind w:left="0" w:firstLine="0"/>
              <w:jc w:val="left"/>
              <w:rPr>
                <w:b/>
                <w:bCs/>
                <w:sz w:val="20"/>
              </w:rPr>
            </w:pPr>
            <w:r w:rsidRPr="00B90483">
              <w:rPr>
                <w:b/>
                <w:bCs/>
                <w:sz w:val="20"/>
              </w:rPr>
              <w:t>Enduit gras dosé à 400 kg/m</w:t>
            </w:r>
            <w:r w:rsidRPr="00B90483">
              <w:rPr>
                <w:b/>
                <w:bCs/>
                <w:sz w:val="20"/>
                <w:vertAlign w:val="superscript"/>
              </w:rPr>
              <w:t>3</w:t>
            </w:r>
            <w:r w:rsidRPr="00B90483">
              <w:rPr>
                <w:b/>
                <w:bCs/>
                <w:sz w:val="20"/>
              </w:rPr>
              <w:t xml:space="preserve"> pour les murs pertuis avec ajout du </w:t>
            </w:r>
            <w:proofErr w:type="spellStart"/>
            <w:r w:rsidRPr="00B90483">
              <w:rPr>
                <w:b/>
                <w:bCs/>
                <w:sz w:val="20"/>
              </w:rPr>
              <w:t>sikhalite</w:t>
            </w:r>
            <w:proofErr w:type="spellEnd"/>
          </w:p>
          <w:p w14:paraId="30DF23F9" w14:textId="77777777" w:rsidR="00117B7F" w:rsidRPr="00B90483" w:rsidRDefault="00117B7F" w:rsidP="007F0E33">
            <w:pPr>
              <w:spacing w:after="0"/>
              <w:ind w:left="0" w:firstLine="0"/>
              <w:jc w:val="left"/>
              <w:rPr>
                <w:b/>
                <w:bCs/>
                <w:sz w:val="20"/>
              </w:rPr>
            </w:pPr>
            <w:r w:rsidRPr="00B90483">
              <w:rPr>
                <w:sz w:val="18"/>
                <w:szCs w:val="18"/>
              </w:rPr>
              <w:t>Ce prix est identique au prix 2.7 appliqué aux murs et seuils pertuis.</w:t>
            </w:r>
            <w:r w:rsidRPr="00B90483">
              <w:rPr>
                <w:sz w:val="18"/>
                <w:szCs w:val="18"/>
              </w:rPr>
              <w:br/>
            </w:r>
            <w:r w:rsidRPr="00B90483">
              <w:rPr>
                <w:sz w:val="18"/>
                <w:szCs w:val="18"/>
              </w:rPr>
              <w:br/>
              <w:t>Le prix rémunère le matériel, le personnel qualifié et non qualifié (technicien, équipes maçons et manœuvres) et les matériaux nécessaires</w:t>
            </w:r>
            <w:r w:rsidRPr="00B90483">
              <w:rPr>
                <w:sz w:val="18"/>
                <w:szCs w:val="18"/>
              </w:rPr>
              <w:br/>
            </w:r>
            <w:r w:rsidRPr="00B90483">
              <w:rPr>
                <w:sz w:val="18"/>
                <w:szCs w:val="18"/>
              </w:rPr>
              <w:br/>
            </w:r>
            <w:r w:rsidRPr="00B90483">
              <w:rPr>
                <w:i/>
                <w:sz w:val="18"/>
                <w:szCs w:val="18"/>
              </w:rPr>
              <w:t>Ce prix s’applique à la surface, en mètre carré (m2), d’enduit réalisé, avec comme valeur maximale celle obtenue à partir des plans d’exécution des ouvrages.</w:t>
            </w:r>
          </w:p>
        </w:tc>
        <w:tc>
          <w:tcPr>
            <w:tcW w:w="397" w:type="pct"/>
            <w:tcBorders>
              <w:top w:val="nil"/>
              <w:left w:val="nil"/>
              <w:bottom w:val="single" w:sz="8" w:space="0" w:color="auto"/>
              <w:right w:val="single" w:sz="8" w:space="0" w:color="auto"/>
            </w:tcBorders>
            <w:shd w:val="clear" w:color="auto" w:fill="auto"/>
            <w:vAlign w:val="center"/>
            <w:hideMark/>
          </w:tcPr>
          <w:p w14:paraId="7B73DD2C" w14:textId="77777777" w:rsidR="00117B7F" w:rsidRPr="00B90483" w:rsidRDefault="00117B7F" w:rsidP="007F0E33">
            <w:pPr>
              <w:spacing w:after="0"/>
              <w:ind w:left="0" w:firstLine="0"/>
              <w:jc w:val="center"/>
              <w:rPr>
                <w:sz w:val="20"/>
              </w:rPr>
            </w:pPr>
            <w:r w:rsidRPr="00B90483">
              <w:rPr>
                <w:sz w:val="20"/>
              </w:rPr>
              <w:t>m</w:t>
            </w:r>
            <w:r w:rsidRPr="00B90483">
              <w:rPr>
                <w:sz w:val="20"/>
                <w:vertAlign w:val="superscript"/>
              </w:rPr>
              <w:t>2</w:t>
            </w:r>
          </w:p>
        </w:tc>
        <w:tc>
          <w:tcPr>
            <w:tcW w:w="709" w:type="pct"/>
            <w:tcBorders>
              <w:top w:val="nil"/>
              <w:left w:val="nil"/>
              <w:bottom w:val="single" w:sz="8" w:space="0" w:color="auto"/>
              <w:right w:val="nil"/>
            </w:tcBorders>
            <w:shd w:val="clear" w:color="auto" w:fill="auto"/>
            <w:vAlign w:val="center"/>
          </w:tcPr>
          <w:p w14:paraId="26F8D965" w14:textId="77777777" w:rsidR="00117B7F" w:rsidRPr="00B90483" w:rsidRDefault="00117B7F" w:rsidP="007F0E33">
            <w:pPr>
              <w:spacing w:after="0"/>
              <w:ind w:left="0" w:firstLine="0"/>
              <w:jc w:val="center"/>
              <w:rPr>
                <w:rFonts w:ascii="Arial" w:hAnsi="Arial" w:cs="Arial"/>
                <w:sz w:val="20"/>
              </w:rPr>
            </w:pPr>
          </w:p>
        </w:tc>
        <w:tc>
          <w:tcPr>
            <w:tcW w:w="746" w:type="pct"/>
            <w:tcBorders>
              <w:top w:val="nil"/>
              <w:left w:val="single" w:sz="4" w:space="0" w:color="auto"/>
              <w:bottom w:val="single" w:sz="4" w:space="0" w:color="auto"/>
              <w:right w:val="single" w:sz="4" w:space="0" w:color="auto"/>
            </w:tcBorders>
            <w:shd w:val="clear" w:color="auto" w:fill="auto"/>
            <w:noWrap/>
            <w:vAlign w:val="bottom"/>
            <w:hideMark/>
          </w:tcPr>
          <w:p w14:paraId="33B8CDA3" w14:textId="77777777" w:rsidR="00117B7F" w:rsidRPr="00B90483" w:rsidRDefault="00117B7F" w:rsidP="007F0E33">
            <w:pPr>
              <w:spacing w:after="0"/>
              <w:ind w:left="0" w:firstLine="0"/>
              <w:jc w:val="left"/>
              <w:rPr>
                <w:rFonts w:ascii="Calibri" w:hAnsi="Calibri"/>
                <w:sz w:val="20"/>
              </w:rPr>
            </w:pPr>
            <w:r w:rsidRPr="00B90483">
              <w:rPr>
                <w:rFonts w:ascii="Calibri" w:hAnsi="Calibri"/>
                <w:sz w:val="20"/>
              </w:rPr>
              <w:t> </w:t>
            </w:r>
          </w:p>
        </w:tc>
      </w:tr>
      <w:tr w:rsidR="00117B7F" w:rsidRPr="00B90483" w14:paraId="6D93358F" w14:textId="77777777" w:rsidTr="00BD46CB">
        <w:trPr>
          <w:trHeight w:val="3810"/>
          <w:jc w:val="center"/>
        </w:trPr>
        <w:tc>
          <w:tcPr>
            <w:tcW w:w="261" w:type="pct"/>
            <w:tcBorders>
              <w:top w:val="nil"/>
              <w:left w:val="double" w:sz="6" w:space="0" w:color="auto"/>
              <w:bottom w:val="single" w:sz="8" w:space="0" w:color="auto"/>
              <w:right w:val="single" w:sz="8" w:space="0" w:color="auto"/>
            </w:tcBorders>
            <w:shd w:val="clear" w:color="auto" w:fill="auto"/>
            <w:vAlign w:val="center"/>
            <w:hideMark/>
          </w:tcPr>
          <w:p w14:paraId="7ACCF656" w14:textId="77777777" w:rsidR="00117B7F" w:rsidRPr="00B90483" w:rsidRDefault="00117B7F" w:rsidP="007F0E33">
            <w:pPr>
              <w:spacing w:after="0"/>
              <w:ind w:left="0" w:firstLine="0"/>
              <w:jc w:val="center"/>
              <w:rPr>
                <w:b/>
                <w:bCs/>
                <w:sz w:val="20"/>
              </w:rPr>
            </w:pPr>
            <w:r w:rsidRPr="00B90483">
              <w:rPr>
                <w:b/>
                <w:bCs/>
                <w:sz w:val="20"/>
              </w:rPr>
              <w:t>3.7</w:t>
            </w:r>
          </w:p>
        </w:tc>
        <w:tc>
          <w:tcPr>
            <w:tcW w:w="2887" w:type="pct"/>
            <w:tcBorders>
              <w:top w:val="nil"/>
              <w:left w:val="nil"/>
              <w:bottom w:val="single" w:sz="8" w:space="0" w:color="auto"/>
              <w:right w:val="single" w:sz="8" w:space="0" w:color="auto"/>
            </w:tcBorders>
            <w:shd w:val="clear" w:color="auto" w:fill="auto"/>
            <w:hideMark/>
          </w:tcPr>
          <w:p w14:paraId="241348B7" w14:textId="77777777" w:rsidR="00117B7F" w:rsidRPr="00B90483" w:rsidRDefault="00117B7F" w:rsidP="007F0E33">
            <w:pPr>
              <w:spacing w:after="0"/>
              <w:ind w:left="0" w:firstLine="0"/>
              <w:jc w:val="left"/>
              <w:rPr>
                <w:b/>
                <w:bCs/>
                <w:sz w:val="20"/>
              </w:rPr>
            </w:pPr>
            <w:r w:rsidRPr="00B90483">
              <w:rPr>
                <w:b/>
                <w:bCs/>
                <w:sz w:val="20"/>
              </w:rPr>
              <w:t xml:space="preserve">Fourniture et pose de profilé UPN100 pour rainure des batardeaux façonné en cadre U (1,70 m x0,60m)                                                                                          </w:t>
            </w:r>
            <w:r w:rsidRPr="00B90483">
              <w:rPr>
                <w:sz w:val="18"/>
                <w:szCs w:val="18"/>
              </w:rPr>
              <w:t xml:space="preserve">Les travaux consistent à confectionner deux cadres pour rainure en UPN 100 composé de trois parties : </w:t>
            </w:r>
            <w:r w:rsidRPr="00B90483">
              <w:rPr>
                <w:sz w:val="18"/>
                <w:szCs w:val="18"/>
              </w:rPr>
              <w:br/>
              <w:t xml:space="preserve">- un U horizontal de dimension 1700x80x80 mm </w:t>
            </w:r>
            <w:r w:rsidRPr="00B90483">
              <w:rPr>
                <w:sz w:val="18"/>
                <w:szCs w:val="18"/>
              </w:rPr>
              <w:br/>
              <w:t>- deux U verticaux de dimension 600x80x80 mm</w:t>
            </w:r>
            <w:r w:rsidRPr="00B90483">
              <w:rPr>
                <w:sz w:val="18"/>
                <w:szCs w:val="18"/>
              </w:rPr>
              <w:br/>
              <w:t xml:space="preserve">La qualité des éléments et leur cadre est strictement exigé. Les batardeaux doivent coulisser librement dans leur cadre scellé dans la maçonnerie des murs pertuis. Les cadres doivent recevoir chacun trois couches de peinture antirouille. Deux pattes d’ancrage soudées au 1/3 et 2/3 de chaque fer U horizontal et vertical confectionnés en tôle de 3 mm, auront une largeur égale à celle du cadre et une longueur égale à 250 </w:t>
            </w:r>
            <w:proofErr w:type="spellStart"/>
            <w:r w:rsidRPr="00B90483">
              <w:rPr>
                <w:sz w:val="18"/>
                <w:szCs w:val="18"/>
              </w:rPr>
              <w:t>mm.</w:t>
            </w:r>
            <w:proofErr w:type="spellEnd"/>
            <w:r w:rsidRPr="00B90483">
              <w:rPr>
                <w:sz w:val="18"/>
                <w:szCs w:val="18"/>
              </w:rPr>
              <w:t xml:space="preserve"> Des joints plastiques seront placés à l’intérieur des cadres U point assurer une étanchéité parfaite des pertuis.</w:t>
            </w:r>
            <w:r w:rsidRPr="00B90483">
              <w:rPr>
                <w:sz w:val="18"/>
                <w:szCs w:val="18"/>
              </w:rPr>
              <w:br/>
              <w:t>Le prix rémunère le matériel, le personnel qualifié et non qualifié ainsi que les matériaux nécessaires pour la confection et la pose des cadres pour rainures.</w:t>
            </w:r>
            <w:r w:rsidRPr="00B90483">
              <w:rPr>
                <w:sz w:val="18"/>
                <w:szCs w:val="18"/>
              </w:rPr>
              <w:br/>
            </w:r>
            <w:r w:rsidRPr="00B90483">
              <w:rPr>
                <w:sz w:val="18"/>
                <w:szCs w:val="18"/>
              </w:rPr>
              <w:br/>
            </w:r>
            <w:r w:rsidRPr="00B90483">
              <w:rPr>
                <w:i/>
                <w:sz w:val="18"/>
                <w:szCs w:val="18"/>
              </w:rPr>
              <w:t>Le prix s'applique à l’Unité de cadre pour rainure fourni et mise en place constatée par l’ingénieur.</w:t>
            </w:r>
          </w:p>
        </w:tc>
        <w:tc>
          <w:tcPr>
            <w:tcW w:w="397" w:type="pct"/>
            <w:tcBorders>
              <w:top w:val="nil"/>
              <w:left w:val="nil"/>
              <w:bottom w:val="single" w:sz="8" w:space="0" w:color="auto"/>
              <w:right w:val="single" w:sz="8" w:space="0" w:color="auto"/>
            </w:tcBorders>
            <w:shd w:val="clear" w:color="auto" w:fill="auto"/>
            <w:vAlign w:val="center"/>
            <w:hideMark/>
          </w:tcPr>
          <w:p w14:paraId="12D9578B" w14:textId="77777777" w:rsidR="00117B7F" w:rsidRPr="00B90483" w:rsidRDefault="00117B7F" w:rsidP="007F0E33">
            <w:pPr>
              <w:spacing w:after="0"/>
              <w:ind w:left="0" w:firstLine="0"/>
              <w:jc w:val="center"/>
              <w:rPr>
                <w:sz w:val="20"/>
              </w:rPr>
            </w:pPr>
            <w:r w:rsidRPr="00B90483">
              <w:rPr>
                <w:sz w:val="20"/>
              </w:rPr>
              <w:t>U</w:t>
            </w:r>
          </w:p>
        </w:tc>
        <w:tc>
          <w:tcPr>
            <w:tcW w:w="709" w:type="pct"/>
            <w:tcBorders>
              <w:top w:val="nil"/>
              <w:left w:val="nil"/>
              <w:bottom w:val="single" w:sz="8" w:space="0" w:color="auto"/>
              <w:right w:val="nil"/>
            </w:tcBorders>
            <w:shd w:val="clear" w:color="auto" w:fill="auto"/>
            <w:vAlign w:val="center"/>
            <w:hideMark/>
          </w:tcPr>
          <w:p w14:paraId="370038C7" w14:textId="77777777" w:rsidR="00117B7F" w:rsidRPr="00B90483" w:rsidRDefault="00117B7F" w:rsidP="007F0E33">
            <w:pPr>
              <w:spacing w:after="0"/>
              <w:ind w:left="0" w:firstLine="0"/>
              <w:jc w:val="center"/>
              <w:rPr>
                <w:rFonts w:ascii="Arial" w:hAnsi="Arial" w:cs="Arial"/>
                <w:sz w:val="20"/>
              </w:rPr>
            </w:pPr>
          </w:p>
        </w:tc>
        <w:tc>
          <w:tcPr>
            <w:tcW w:w="746" w:type="pct"/>
            <w:tcBorders>
              <w:top w:val="nil"/>
              <w:left w:val="single" w:sz="4" w:space="0" w:color="auto"/>
              <w:bottom w:val="single" w:sz="4" w:space="0" w:color="auto"/>
              <w:right w:val="single" w:sz="4" w:space="0" w:color="auto"/>
            </w:tcBorders>
            <w:shd w:val="clear" w:color="auto" w:fill="auto"/>
            <w:noWrap/>
            <w:vAlign w:val="bottom"/>
            <w:hideMark/>
          </w:tcPr>
          <w:p w14:paraId="1E8EF67F" w14:textId="77777777" w:rsidR="00117B7F" w:rsidRPr="00B90483" w:rsidRDefault="00117B7F" w:rsidP="007F0E33">
            <w:pPr>
              <w:spacing w:after="0"/>
              <w:ind w:left="0" w:firstLine="0"/>
              <w:jc w:val="left"/>
              <w:rPr>
                <w:rFonts w:ascii="Calibri" w:hAnsi="Calibri"/>
                <w:sz w:val="20"/>
              </w:rPr>
            </w:pPr>
            <w:r w:rsidRPr="00B90483">
              <w:rPr>
                <w:rFonts w:ascii="Calibri" w:hAnsi="Calibri"/>
                <w:sz w:val="20"/>
              </w:rPr>
              <w:t> </w:t>
            </w:r>
          </w:p>
        </w:tc>
      </w:tr>
      <w:tr w:rsidR="00117B7F" w:rsidRPr="00B90483" w14:paraId="2A6DE990" w14:textId="77777777" w:rsidTr="00BD46CB">
        <w:trPr>
          <w:trHeight w:val="3165"/>
          <w:jc w:val="center"/>
        </w:trPr>
        <w:tc>
          <w:tcPr>
            <w:tcW w:w="261" w:type="pct"/>
            <w:tcBorders>
              <w:top w:val="single" w:sz="4" w:space="0" w:color="auto"/>
              <w:left w:val="double" w:sz="6" w:space="0" w:color="auto"/>
              <w:bottom w:val="single" w:sz="8" w:space="0" w:color="auto"/>
              <w:right w:val="single" w:sz="8" w:space="0" w:color="auto"/>
            </w:tcBorders>
            <w:shd w:val="clear" w:color="auto" w:fill="auto"/>
            <w:vAlign w:val="center"/>
            <w:hideMark/>
          </w:tcPr>
          <w:p w14:paraId="437A9D78" w14:textId="77777777" w:rsidR="00117B7F" w:rsidRPr="00B90483" w:rsidRDefault="00117B7F" w:rsidP="007F0E33">
            <w:pPr>
              <w:spacing w:after="0"/>
              <w:ind w:left="0" w:firstLine="0"/>
              <w:jc w:val="center"/>
              <w:rPr>
                <w:b/>
                <w:bCs/>
                <w:sz w:val="20"/>
              </w:rPr>
            </w:pPr>
            <w:r w:rsidRPr="00B90483">
              <w:rPr>
                <w:b/>
                <w:bCs/>
                <w:sz w:val="20"/>
              </w:rPr>
              <w:lastRenderedPageBreak/>
              <w:t>3.8</w:t>
            </w:r>
          </w:p>
        </w:tc>
        <w:tc>
          <w:tcPr>
            <w:tcW w:w="2887" w:type="pct"/>
            <w:tcBorders>
              <w:top w:val="single" w:sz="4" w:space="0" w:color="auto"/>
              <w:left w:val="nil"/>
              <w:bottom w:val="single" w:sz="8" w:space="0" w:color="auto"/>
              <w:right w:val="single" w:sz="8" w:space="0" w:color="auto"/>
            </w:tcBorders>
            <w:shd w:val="clear" w:color="auto" w:fill="auto"/>
            <w:hideMark/>
          </w:tcPr>
          <w:p w14:paraId="51F7DB6F" w14:textId="77777777" w:rsidR="00117B7F" w:rsidRPr="00B90483" w:rsidRDefault="00117B7F" w:rsidP="007F0E33">
            <w:pPr>
              <w:spacing w:after="0"/>
              <w:ind w:left="0" w:firstLine="0"/>
              <w:jc w:val="left"/>
              <w:rPr>
                <w:b/>
                <w:bCs/>
                <w:sz w:val="20"/>
              </w:rPr>
            </w:pPr>
            <w:r w:rsidRPr="00B90483">
              <w:rPr>
                <w:b/>
                <w:bCs/>
                <w:sz w:val="20"/>
              </w:rPr>
              <w:t xml:space="preserve">F/P Batardeaux 170 x25 y compris protection </w:t>
            </w:r>
            <w:proofErr w:type="spellStart"/>
            <w:r w:rsidRPr="00B90483">
              <w:rPr>
                <w:b/>
                <w:bCs/>
                <w:sz w:val="20"/>
              </w:rPr>
              <w:t>anti-rouille</w:t>
            </w:r>
            <w:proofErr w:type="spellEnd"/>
            <w:r w:rsidRPr="00B90483">
              <w:rPr>
                <w:b/>
                <w:bCs/>
                <w:sz w:val="20"/>
              </w:rPr>
              <w:t xml:space="preserve">                                                                            </w:t>
            </w:r>
            <w:r w:rsidRPr="00B90483">
              <w:rPr>
                <w:sz w:val="20"/>
              </w:rPr>
              <w:t xml:space="preserve">  </w:t>
            </w:r>
            <w:r w:rsidRPr="00B90483">
              <w:rPr>
                <w:sz w:val="18"/>
                <w:szCs w:val="18"/>
              </w:rPr>
              <w:t>Les travaux consistent à confectionner un ensemble de batardeaux de dimensions 25x170x10cm avec deux (02) tiges de démontage en diam16mm.</w:t>
            </w:r>
            <w:r w:rsidRPr="00B90483">
              <w:rPr>
                <w:sz w:val="18"/>
                <w:szCs w:val="18"/>
              </w:rPr>
              <w:br/>
              <w:t xml:space="preserve">Les batardeaux et cadres devront être confectionnés conformément aux plans fournis. L’épaisseur des tôles métalliques sera de 3 </w:t>
            </w:r>
            <w:proofErr w:type="spellStart"/>
            <w:r w:rsidRPr="00B90483">
              <w:rPr>
                <w:sz w:val="18"/>
                <w:szCs w:val="18"/>
              </w:rPr>
              <w:t>mm.</w:t>
            </w:r>
            <w:proofErr w:type="spellEnd"/>
            <w:r w:rsidRPr="00B90483">
              <w:rPr>
                <w:sz w:val="18"/>
                <w:szCs w:val="18"/>
              </w:rPr>
              <w:br/>
              <w:t>La qualité des éléments et leur cadre est strictement exigé. Les batardeaux doivent coulisser librement dans leur cadre scellé dans la maçonnerie des murs pertuis. L’homogénéité de la surface des batardeaux est également demandée. Les batardeaux doivent recevoir chacun trois couches de peinture antirouille. Ce compris également la fourniture de deux (02) tiges de démontage des batardeaux en fer forgé diam 16 mm avec crochets d’embouts.</w:t>
            </w:r>
            <w:r w:rsidRPr="00B90483">
              <w:rPr>
                <w:sz w:val="18"/>
                <w:szCs w:val="18"/>
              </w:rPr>
              <w:br/>
            </w:r>
            <w:r w:rsidRPr="00B90483">
              <w:rPr>
                <w:sz w:val="18"/>
                <w:szCs w:val="18"/>
              </w:rPr>
              <w:br/>
              <w:t>Le prix rémunère le matériel, le personnel qualifié et non qualifié ainsi que les matériaux nécessaires pour la confection.</w:t>
            </w:r>
            <w:r w:rsidRPr="00B90483">
              <w:rPr>
                <w:sz w:val="18"/>
                <w:szCs w:val="18"/>
              </w:rPr>
              <w:br/>
            </w:r>
            <w:r w:rsidRPr="00B90483">
              <w:rPr>
                <w:i/>
                <w:sz w:val="18"/>
                <w:szCs w:val="18"/>
              </w:rPr>
              <w:br/>
              <w:t>Le prix s'applique à l’Unité de batardeau fourni et mise en place constatée par l’ingénieur.</w:t>
            </w:r>
          </w:p>
        </w:tc>
        <w:tc>
          <w:tcPr>
            <w:tcW w:w="397" w:type="pct"/>
            <w:tcBorders>
              <w:top w:val="single" w:sz="4" w:space="0" w:color="auto"/>
              <w:left w:val="nil"/>
              <w:bottom w:val="single" w:sz="8" w:space="0" w:color="auto"/>
              <w:right w:val="single" w:sz="8" w:space="0" w:color="auto"/>
            </w:tcBorders>
            <w:shd w:val="clear" w:color="auto" w:fill="auto"/>
            <w:vAlign w:val="center"/>
            <w:hideMark/>
          </w:tcPr>
          <w:p w14:paraId="2CAA1F2C" w14:textId="77777777" w:rsidR="00117B7F" w:rsidRPr="00B90483" w:rsidRDefault="00117B7F" w:rsidP="007F0E33">
            <w:pPr>
              <w:spacing w:after="0"/>
              <w:ind w:left="0" w:firstLine="0"/>
              <w:jc w:val="center"/>
              <w:rPr>
                <w:sz w:val="20"/>
              </w:rPr>
            </w:pPr>
            <w:r w:rsidRPr="00B90483">
              <w:rPr>
                <w:sz w:val="20"/>
              </w:rPr>
              <w:t>U</w:t>
            </w:r>
          </w:p>
        </w:tc>
        <w:tc>
          <w:tcPr>
            <w:tcW w:w="709" w:type="pct"/>
            <w:tcBorders>
              <w:top w:val="single" w:sz="4" w:space="0" w:color="auto"/>
              <w:left w:val="nil"/>
              <w:bottom w:val="single" w:sz="8" w:space="0" w:color="auto"/>
              <w:right w:val="nil"/>
            </w:tcBorders>
            <w:shd w:val="clear" w:color="auto" w:fill="auto"/>
            <w:vAlign w:val="center"/>
          </w:tcPr>
          <w:p w14:paraId="157A9967" w14:textId="77777777" w:rsidR="00117B7F" w:rsidRPr="00B90483" w:rsidRDefault="00117B7F" w:rsidP="007F0E33">
            <w:pPr>
              <w:spacing w:after="0"/>
              <w:ind w:left="0" w:firstLine="0"/>
              <w:jc w:val="center"/>
              <w:rPr>
                <w:rFonts w:ascii="Arial" w:hAnsi="Arial" w:cs="Arial"/>
                <w:sz w:val="20"/>
              </w:rPr>
            </w:pPr>
          </w:p>
        </w:tc>
        <w:tc>
          <w:tcPr>
            <w:tcW w:w="7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5BC3A9" w14:textId="77777777" w:rsidR="00117B7F" w:rsidRPr="00B90483" w:rsidRDefault="00117B7F" w:rsidP="007F0E33">
            <w:pPr>
              <w:spacing w:after="0"/>
              <w:ind w:left="0" w:firstLine="0"/>
              <w:jc w:val="left"/>
              <w:rPr>
                <w:rFonts w:ascii="Calibri" w:hAnsi="Calibri"/>
                <w:sz w:val="20"/>
              </w:rPr>
            </w:pPr>
            <w:r w:rsidRPr="00B90483">
              <w:rPr>
                <w:rFonts w:ascii="Calibri" w:hAnsi="Calibri"/>
                <w:sz w:val="20"/>
              </w:rPr>
              <w:t> </w:t>
            </w:r>
          </w:p>
        </w:tc>
      </w:tr>
      <w:tr w:rsidR="00117B7F" w:rsidRPr="00B90483" w14:paraId="0E52FB1F" w14:textId="77777777" w:rsidTr="00872A49">
        <w:trPr>
          <w:trHeight w:val="2681"/>
          <w:jc w:val="center"/>
        </w:trPr>
        <w:tc>
          <w:tcPr>
            <w:tcW w:w="261" w:type="pct"/>
            <w:tcBorders>
              <w:top w:val="nil"/>
              <w:left w:val="double" w:sz="6" w:space="0" w:color="auto"/>
              <w:bottom w:val="single" w:sz="8" w:space="0" w:color="auto"/>
              <w:right w:val="single" w:sz="8" w:space="0" w:color="auto"/>
            </w:tcBorders>
            <w:shd w:val="clear" w:color="auto" w:fill="auto"/>
            <w:vAlign w:val="center"/>
            <w:hideMark/>
          </w:tcPr>
          <w:p w14:paraId="55A5F182" w14:textId="77777777" w:rsidR="00117B7F" w:rsidRPr="00B90483" w:rsidRDefault="00117B7F" w:rsidP="007F0E33">
            <w:pPr>
              <w:spacing w:after="0"/>
              <w:ind w:left="0" w:firstLine="0"/>
              <w:jc w:val="center"/>
              <w:rPr>
                <w:b/>
                <w:bCs/>
                <w:sz w:val="20"/>
              </w:rPr>
            </w:pPr>
            <w:r w:rsidRPr="00B90483">
              <w:rPr>
                <w:b/>
                <w:bCs/>
                <w:sz w:val="20"/>
              </w:rPr>
              <w:t>3.9</w:t>
            </w:r>
          </w:p>
        </w:tc>
        <w:tc>
          <w:tcPr>
            <w:tcW w:w="2887" w:type="pct"/>
            <w:tcBorders>
              <w:top w:val="nil"/>
              <w:left w:val="nil"/>
              <w:bottom w:val="single" w:sz="8" w:space="0" w:color="auto"/>
              <w:right w:val="single" w:sz="8" w:space="0" w:color="auto"/>
            </w:tcBorders>
            <w:shd w:val="clear" w:color="auto" w:fill="auto"/>
            <w:hideMark/>
          </w:tcPr>
          <w:p w14:paraId="5A2EEAE8" w14:textId="77777777" w:rsidR="00117B7F" w:rsidRPr="00872A49" w:rsidRDefault="00117B7F" w:rsidP="007F0E33">
            <w:pPr>
              <w:spacing w:after="0"/>
              <w:ind w:left="0" w:firstLine="0"/>
              <w:jc w:val="left"/>
              <w:rPr>
                <w:b/>
                <w:bCs/>
                <w:sz w:val="18"/>
                <w:szCs w:val="18"/>
              </w:rPr>
            </w:pPr>
            <w:r w:rsidRPr="00872A49">
              <w:rPr>
                <w:b/>
                <w:bCs/>
                <w:sz w:val="20"/>
              </w:rPr>
              <w:t xml:space="preserve">Echelle </w:t>
            </w:r>
            <w:proofErr w:type="spellStart"/>
            <w:r w:rsidRPr="00872A49">
              <w:rPr>
                <w:b/>
                <w:bCs/>
                <w:sz w:val="20"/>
              </w:rPr>
              <w:t>limnimétrique</w:t>
            </w:r>
            <w:proofErr w:type="spellEnd"/>
            <w:r w:rsidRPr="00872A49">
              <w:rPr>
                <w:b/>
                <w:bCs/>
                <w:sz w:val="20"/>
              </w:rPr>
              <w:t xml:space="preserve"> à sceller dans un ouvrage en béton y compris et toutes sujétions comprises       </w:t>
            </w:r>
            <w:r w:rsidRPr="00872A49">
              <w:rPr>
                <w:sz w:val="20"/>
              </w:rPr>
              <w:t xml:space="preserve">                                                                                             </w:t>
            </w:r>
            <w:r w:rsidRPr="00872A49">
              <w:rPr>
                <w:sz w:val="18"/>
                <w:szCs w:val="18"/>
              </w:rPr>
              <w:t xml:space="preserve">Ce prix rémunère la fourniture et la mise en place d’une échelle </w:t>
            </w:r>
            <w:proofErr w:type="spellStart"/>
            <w:r w:rsidRPr="00872A49">
              <w:rPr>
                <w:sz w:val="18"/>
                <w:szCs w:val="18"/>
              </w:rPr>
              <w:t>limnimétrique</w:t>
            </w:r>
            <w:proofErr w:type="spellEnd"/>
            <w:r w:rsidRPr="00872A49">
              <w:rPr>
                <w:sz w:val="18"/>
                <w:szCs w:val="18"/>
              </w:rPr>
              <w:t xml:space="preserve"> selon les spécifications de l’ingénieur. </w:t>
            </w:r>
            <w:r w:rsidRPr="00872A49">
              <w:rPr>
                <w:sz w:val="18"/>
                <w:szCs w:val="18"/>
              </w:rPr>
              <w:br/>
              <w:t>Ce prix comprend conformément aux spécifications des prescriptions techniques :</w:t>
            </w:r>
            <w:r w:rsidRPr="00872A49">
              <w:rPr>
                <w:sz w:val="18"/>
                <w:szCs w:val="18"/>
              </w:rPr>
              <w:br/>
              <w:t>- La fourniture de l’échelle graduée conformément aux spécifications de l’ingénieur. La qualité et le type de fer employé seront soumis à l’appréciation de l’ingénieur ;</w:t>
            </w:r>
            <w:r w:rsidRPr="00872A49">
              <w:rPr>
                <w:sz w:val="18"/>
                <w:szCs w:val="18"/>
              </w:rPr>
              <w:br/>
              <w:t xml:space="preserve">- La fourniture des matériaux (ciment, agrégats etc.) et accessoires de pose </w:t>
            </w:r>
            <w:r w:rsidRPr="00872A49">
              <w:rPr>
                <w:sz w:val="18"/>
                <w:szCs w:val="18"/>
              </w:rPr>
              <w:br/>
              <w:t>- La réalisation des fouilles nécessaires ;</w:t>
            </w:r>
            <w:r w:rsidRPr="00872A49">
              <w:rPr>
                <w:sz w:val="18"/>
                <w:szCs w:val="18"/>
              </w:rPr>
              <w:br/>
              <w:t>- La pose de l’échelle ;</w:t>
            </w:r>
            <w:r w:rsidRPr="00872A49">
              <w:rPr>
                <w:sz w:val="18"/>
                <w:szCs w:val="18"/>
              </w:rPr>
              <w:br/>
              <w:t>- L’exécution des différents raccordements au niveau des ouvrages ;</w:t>
            </w:r>
            <w:r w:rsidRPr="00872A49">
              <w:rPr>
                <w:sz w:val="18"/>
                <w:szCs w:val="18"/>
              </w:rPr>
              <w:br/>
              <w:t>- Et toutes sujétions d'exécution et de main d’œuvre qualifié et non qualifiée.</w:t>
            </w:r>
            <w:r w:rsidRPr="00872A49">
              <w:rPr>
                <w:sz w:val="18"/>
                <w:szCs w:val="18"/>
              </w:rPr>
              <w:br/>
            </w:r>
            <w:r w:rsidRPr="00872A49">
              <w:rPr>
                <w:sz w:val="18"/>
                <w:szCs w:val="18"/>
              </w:rPr>
              <w:br/>
            </w:r>
            <w:r w:rsidRPr="00872A49">
              <w:rPr>
                <w:i/>
                <w:sz w:val="18"/>
                <w:szCs w:val="18"/>
              </w:rPr>
              <w:t>Ce prix s’applique à l’unité d’Échelle, fournis et mis en place constatée par l’ingénieur.</w:t>
            </w:r>
          </w:p>
        </w:tc>
        <w:tc>
          <w:tcPr>
            <w:tcW w:w="397" w:type="pct"/>
            <w:tcBorders>
              <w:top w:val="nil"/>
              <w:left w:val="nil"/>
              <w:bottom w:val="single" w:sz="8" w:space="0" w:color="auto"/>
              <w:right w:val="single" w:sz="8" w:space="0" w:color="auto"/>
            </w:tcBorders>
            <w:shd w:val="clear" w:color="auto" w:fill="auto"/>
            <w:vAlign w:val="center"/>
            <w:hideMark/>
          </w:tcPr>
          <w:p w14:paraId="54F6A896" w14:textId="77777777" w:rsidR="00117B7F" w:rsidRPr="00B90483" w:rsidRDefault="00117B7F" w:rsidP="007F0E33">
            <w:pPr>
              <w:spacing w:after="0"/>
              <w:ind w:left="0" w:firstLine="0"/>
              <w:jc w:val="center"/>
              <w:rPr>
                <w:sz w:val="20"/>
              </w:rPr>
            </w:pPr>
            <w:r w:rsidRPr="00B90483">
              <w:rPr>
                <w:sz w:val="20"/>
              </w:rPr>
              <w:t>U</w:t>
            </w:r>
          </w:p>
        </w:tc>
        <w:tc>
          <w:tcPr>
            <w:tcW w:w="709" w:type="pct"/>
            <w:tcBorders>
              <w:top w:val="nil"/>
              <w:left w:val="nil"/>
              <w:bottom w:val="single" w:sz="8" w:space="0" w:color="auto"/>
              <w:right w:val="nil"/>
            </w:tcBorders>
            <w:shd w:val="clear" w:color="auto" w:fill="auto"/>
            <w:vAlign w:val="center"/>
          </w:tcPr>
          <w:p w14:paraId="15AE6853" w14:textId="77777777" w:rsidR="00117B7F" w:rsidRPr="00B90483" w:rsidRDefault="00117B7F" w:rsidP="007F0E33">
            <w:pPr>
              <w:spacing w:after="0"/>
              <w:ind w:left="0" w:firstLine="0"/>
              <w:jc w:val="center"/>
              <w:rPr>
                <w:rFonts w:ascii="Arial" w:hAnsi="Arial" w:cs="Arial"/>
                <w:sz w:val="20"/>
              </w:rPr>
            </w:pPr>
          </w:p>
        </w:tc>
        <w:tc>
          <w:tcPr>
            <w:tcW w:w="746" w:type="pct"/>
            <w:tcBorders>
              <w:top w:val="nil"/>
              <w:left w:val="single" w:sz="4" w:space="0" w:color="auto"/>
              <w:bottom w:val="single" w:sz="4" w:space="0" w:color="auto"/>
              <w:right w:val="single" w:sz="4" w:space="0" w:color="auto"/>
            </w:tcBorders>
            <w:shd w:val="clear" w:color="auto" w:fill="auto"/>
            <w:noWrap/>
            <w:vAlign w:val="bottom"/>
            <w:hideMark/>
          </w:tcPr>
          <w:p w14:paraId="5EE4E5DB" w14:textId="77777777" w:rsidR="00117B7F" w:rsidRPr="00B90483" w:rsidRDefault="00117B7F" w:rsidP="007F0E33">
            <w:pPr>
              <w:spacing w:after="0"/>
              <w:ind w:left="0" w:firstLine="0"/>
              <w:jc w:val="left"/>
              <w:rPr>
                <w:rFonts w:ascii="Calibri" w:hAnsi="Calibri"/>
                <w:sz w:val="20"/>
              </w:rPr>
            </w:pPr>
            <w:r w:rsidRPr="00B90483">
              <w:rPr>
                <w:rFonts w:ascii="Calibri" w:hAnsi="Calibri"/>
                <w:sz w:val="20"/>
              </w:rPr>
              <w:t> </w:t>
            </w:r>
          </w:p>
        </w:tc>
      </w:tr>
      <w:tr w:rsidR="00117B7F" w:rsidRPr="00B90483" w14:paraId="09042804" w14:textId="77777777" w:rsidTr="00872A49">
        <w:trPr>
          <w:trHeight w:val="143"/>
          <w:jc w:val="center"/>
        </w:trPr>
        <w:tc>
          <w:tcPr>
            <w:tcW w:w="261" w:type="pct"/>
            <w:tcBorders>
              <w:top w:val="nil"/>
              <w:left w:val="double" w:sz="6" w:space="0" w:color="auto"/>
              <w:bottom w:val="single" w:sz="8" w:space="0" w:color="auto"/>
              <w:right w:val="single" w:sz="8" w:space="0" w:color="auto"/>
            </w:tcBorders>
            <w:shd w:val="clear" w:color="auto" w:fill="auto"/>
            <w:vAlign w:val="center"/>
            <w:hideMark/>
          </w:tcPr>
          <w:p w14:paraId="58DAAE3F" w14:textId="77777777" w:rsidR="00117B7F" w:rsidRPr="00B90483" w:rsidRDefault="00117B7F" w:rsidP="007F0E33">
            <w:pPr>
              <w:spacing w:after="0"/>
              <w:ind w:left="0" w:firstLine="0"/>
              <w:jc w:val="center"/>
              <w:rPr>
                <w:b/>
                <w:bCs/>
                <w:sz w:val="20"/>
              </w:rPr>
            </w:pPr>
            <w:r w:rsidRPr="00B90483">
              <w:rPr>
                <w:b/>
                <w:bCs/>
                <w:sz w:val="20"/>
              </w:rPr>
              <w:t> </w:t>
            </w:r>
          </w:p>
        </w:tc>
        <w:tc>
          <w:tcPr>
            <w:tcW w:w="2887" w:type="pct"/>
            <w:tcBorders>
              <w:top w:val="nil"/>
              <w:left w:val="nil"/>
              <w:bottom w:val="single" w:sz="8" w:space="0" w:color="auto"/>
              <w:right w:val="single" w:sz="8" w:space="0" w:color="auto"/>
            </w:tcBorders>
            <w:shd w:val="clear" w:color="auto" w:fill="auto"/>
            <w:vAlign w:val="center"/>
            <w:hideMark/>
          </w:tcPr>
          <w:p w14:paraId="585B79AE" w14:textId="77777777" w:rsidR="00117B7F" w:rsidRPr="00B90483" w:rsidRDefault="00117B7F" w:rsidP="007F0E33">
            <w:pPr>
              <w:spacing w:after="0"/>
              <w:ind w:left="0" w:firstLine="0"/>
              <w:jc w:val="left"/>
              <w:rPr>
                <w:b/>
                <w:bCs/>
                <w:sz w:val="20"/>
              </w:rPr>
            </w:pPr>
            <w:r w:rsidRPr="00B90483">
              <w:rPr>
                <w:b/>
                <w:bCs/>
                <w:sz w:val="20"/>
              </w:rPr>
              <w:t>Série IV - BASSIN DE DISSIPATION ET PROTECTION AVALE</w:t>
            </w:r>
          </w:p>
        </w:tc>
        <w:tc>
          <w:tcPr>
            <w:tcW w:w="397" w:type="pct"/>
            <w:tcBorders>
              <w:top w:val="nil"/>
              <w:left w:val="nil"/>
              <w:bottom w:val="single" w:sz="8" w:space="0" w:color="auto"/>
              <w:right w:val="single" w:sz="8" w:space="0" w:color="auto"/>
            </w:tcBorders>
            <w:shd w:val="clear" w:color="auto" w:fill="auto"/>
            <w:vAlign w:val="center"/>
            <w:hideMark/>
          </w:tcPr>
          <w:p w14:paraId="4857FD66" w14:textId="77777777" w:rsidR="00117B7F" w:rsidRPr="00B90483" w:rsidRDefault="00117B7F" w:rsidP="007F0E33">
            <w:pPr>
              <w:spacing w:after="0"/>
              <w:ind w:left="0" w:firstLine="0"/>
              <w:jc w:val="center"/>
              <w:rPr>
                <w:sz w:val="20"/>
              </w:rPr>
            </w:pPr>
            <w:r w:rsidRPr="00B90483">
              <w:rPr>
                <w:sz w:val="20"/>
              </w:rPr>
              <w:t> </w:t>
            </w:r>
          </w:p>
        </w:tc>
        <w:tc>
          <w:tcPr>
            <w:tcW w:w="709" w:type="pct"/>
            <w:tcBorders>
              <w:top w:val="nil"/>
              <w:left w:val="nil"/>
              <w:bottom w:val="single" w:sz="8" w:space="0" w:color="auto"/>
              <w:right w:val="nil"/>
            </w:tcBorders>
            <w:shd w:val="clear" w:color="auto" w:fill="auto"/>
            <w:vAlign w:val="center"/>
          </w:tcPr>
          <w:p w14:paraId="72A10F30" w14:textId="77777777" w:rsidR="00117B7F" w:rsidRPr="00B90483" w:rsidRDefault="00117B7F" w:rsidP="007F0E33">
            <w:pPr>
              <w:spacing w:after="0"/>
              <w:ind w:left="0" w:firstLine="0"/>
              <w:jc w:val="center"/>
              <w:rPr>
                <w:rFonts w:ascii="Arial" w:hAnsi="Arial" w:cs="Arial"/>
                <w:sz w:val="20"/>
              </w:rPr>
            </w:pPr>
          </w:p>
        </w:tc>
        <w:tc>
          <w:tcPr>
            <w:tcW w:w="746" w:type="pct"/>
            <w:tcBorders>
              <w:top w:val="nil"/>
              <w:left w:val="single" w:sz="4" w:space="0" w:color="auto"/>
              <w:bottom w:val="single" w:sz="4" w:space="0" w:color="auto"/>
              <w:right w:val="single" w:sz="4" w:space="0" w:color="auto"/>
            </w:tcBorders>
            <w:shd w:val="clear" w:color="auto" w:fill="auto"/>
            <w:noWrap/>
            <w:vAlign w:val="bottom"/>
            <w:hideMark/>
          </w:tcPr>
          <w:p w14:paraId="27D09C2D" w14:textId="77777777" w:rsidR="00117B7F" w:rsidRPr="00B90483" w:rsidRDefault="00117B7F" w:rsidP="007F0E33">
            <w:pPr>
              <w:spacing w:after="0"/>
              <w:ind w:left="0" w:firstLine="0"/>
              <w:jc w:val="left"/>
              <w:rPr>
                <w:rFonts w:ascii="Calibri" w:hAnsi="Calibri"/>
                <w:sz w:val="20"/>
              </w:rPr>
            </w:pPr>
            <w:r w:rsidRPr="00B90483">
              <w:rPr>
                <w:rFonts w:ascii="Calibri" w:hAnsi="Calibri"/>
                <w:sz w:val="20"/>
              </w:rPr>
              <w:t> </w:t>
            </w:r>
          </w:p>
        </w:tc>
      </w:tr>
      <w:tr w:rsidR="00117B7F" w:rsidRPr="00B90483" w14:paraId="6E66C70F" w14:textId="77777777" w:rsidTr="00BD46CB">
        <w:trPr>
          <w:trHeight w:val="4936"/>
          <w:jc w:val="center"/>
        </w:trPr>
        <w:tc>
          <w:tcPr>
            <w:tcW w:w="261" w:type="pct"/>
            <w:tcBorders>
              <w:top w:val="single" w:sz="4" w:space="0" w:color="auto"/>
              <w:left w:val="double" w:sz="6" w:space="0" w:color="auto"/>
              <w:bottom w:val="single" w:sz="8" w:space="0" w:color="auto"/>
              <w:right w:val="single" w:sz="8" w:space="0" w:color="auto"/>
            </w:tcBorders>
            <w:shd w:val="clear" w:color="auto" w:fill="auto"/>
            <w:vAlign w:val="center"/>
            <w:hideMark/>
          </w:tcPr>
          <w:p w14:paraId="7F7FE7BB" w14:textId="77777777" w:rsidR="00117B7F" w:rsidRPr="00B90483" w:rsidRDefault="00117B7F" w:rsidP="007F0E33">
            <w:pPr>
              <w:spacing w:after="0"/>
              <w:ind w:left="0" w:firstLine="0"/>
              <w:jc w:val="center"/>
              <w:rPr>
                <w:b/>
                <w:bCs/>
                <w:sz w:val="20"/>
              </w:rPr>
            </w:pPr>
            <w:r w:rsidRPr="00B90483">
              <w:rPr>
                <w:b/>
                <w:bCs/>
                <w:sz w:val="20"/>
              </w:rPr>
              <w:lastRenderedPageBreak/>
              <w:t>4.1</w:t>
            </w:r>
          </w:p>
        </w:tc>
        <w:tc>
          <w:tcPr>
            <w:tcW w:w="2887" w:type="pct"/>
            <w:tcBorders>
              <w:top w:val="single" w:sz="4" w:space="0" w:color="auto"/>
              <w:left w:val="nil"/>
              <w:bottom w:val="single" w:sz="8" w:space="0" w:color="auto"/>
              <w:right w:val="single" w:sz="8" w:space="0" w:color="auto"/>
            </w:tcBorders>
            <w:shd w:val="clear" w:color="auto" w:fill="auto"/>
            <w:hideMark/>
          </w:tcPr>
          <w:p w14:paraId="68E9FFAB" w14:textId="77777777" w:rsidR="00117B7F" w:rsidRPr="00B90483" w:rsidRDefault="00117B7F" w:rsidP="007F0E33">
            <w:pPr>
              <w:spacing w:after="0"/>
              <w:ind w:left="0" w:firstLine="0"/>
              <w:jc w:val="left"/>
              <w:rPr>
                <w:b/>
                <w:bCs/>
                <w:sz w:val="20"/>
              </w:rPr>
            </w:pPr>
            <w:r w:rsidRPr="00B90483">
              <w:rPr>
                <w:b/>
                <w:bCs/>
                <w:sz w:val="20"/>
              </w:rPr>
              <w:t xml:space="preserve">Fouille pour bassin, murs de séparation et butées  </w:t>
            </w:r>
            <w:r w:rsidRPr="00B90483">
              <w:rPr>
                <w:sz w:val="20"/>
              </w:rPr>
              <w:t xml:space="preserve">                                                                                                              </w:t>
            </w:r>
            <w:r w:rsidRPr="00B90483">
              <w:rPr>
                <w:sz w:val="18"/>
                <w:szCs w:val="18"/>
              </w:rPr>
              <w:t xml:space="preserve">Ce prix rémunère la réalisation des déblais en terrain tendre du bassin de dissipation, des murets et des butées, constaté contradictoirement par le Maître d’Œuvre et comprend le déblayage, le chargement, le transport, le dépôt en dehors de la limite de l'emprise des ouvrages et le régalage des terres sur les lieux de dépôt. </w:t>
            </w:r>
            <w:r w:rsidRPr="00B90483">
              <w:rPr>
                <w:sz w:val="18"/>
                <w:szCs w:val="18"/>
              </w:rPr>
              <w:br/>
              <w:t>Ce prix comprend :</w:t>
            </w:r>
            <w:r w:rsidRPr="00B90483">
              <w:rPr>
                <w:sz w:val="18"/>
                <w:szCs w:val="18"/>
              </w:rPr>
              <w:br/>
              <w:t>- Tous les travaux d'accomplissement des profils de déblais;</w:t>
            </w:r>
            <w:r w:rsidRPr="00B90483">
              <w:rPr>
                <w:sz w:val="18"/>
                <w:szCs w:val="18"/>
              </w:rPr>
              <w:br/>
              <w:t>- Les coûts liés à l’emploi éventuel des engins lourds ;</w:t>
            </w:r>
            <w:r w:rsidRPr="00B90483">
              <w:rPr>
                <w:sz w:val="18"/>
                <w:szCs w:val="18"/>
              </w:rPr>
              <w:br/>
              <w:t>- La réalisation des déblais de finition éventuelle;</w:t>
            </w:r>
            <w:r w:rsidRPr="00B90483">
              <w:rPr>
                <w:sz w:val="18"/>
                <w:szCs w:val="18"/>
              </w:rPr>
              <w:br/>
              <w:t>- Les sur largeurs provisoires des déblais puis le taillage de ces talus;</w:t>
            </w:r>
            <w:r w:rsidRPr="00B90483">
              <w:rPr>
                <w:sz w:val="18"/>
                <w:szCs w:val="18"/>
              </w:rPr>
              <w:br/>
              <w:t>- Le chargement des déblais et leur dépôt hors emprise des ouvrages;</w:t>
            </w:r>
            <w:r w:rsidRPr="00B90483">
              <w:rPr>
                <w:sz w:val="18"/>
                <w:szCs w:val="18"/>
              </w:rPr>
              <w:br/>
              <w:t>- Le réglage, le compactage et la finition du fond de forme;</w:t>
            </w:r>
            <w:r w:rsidRPr="00B90483">
              <w:rPr>
                <w:sz w:val="18"/>
                <w:szCs w:val="18"/>
              </w:rPr>
              <w:br/>
              <w:t>- Le dressage des talus du déblai;</w:t>
            </w:r>
            <w:r w:rsidRPr="00B90483">
              <w:rPr>
                <w:sz w:val="18"/>
                <w:szCs w:val="18"/>
              </w:rPr>
              <w:br/>
              <w:t>- Toutes les sujétions d’extraction des matériaux et l’extraction elle-même;</w:t>
            </w:r>
            <w:r w:rsidRPr="00B90483">
              <w:rPr>
                <w:sz w:val="18"/>
                <w:szCs w:val="18"/>
              </w:rPr>
              <w:br/>
              <w:t>- La mise en dépôt provisoire du stock qui en découlerait;</w:t>
            </w:r>
            <w:r w:rsidRPr="00B90483">
              <w:rPr>
                <w:sz w:val="18"/>
                <w:szCs w:val="18"/>
              </w:rPr>
              <w:br/>
              <w:t>- La finition des dépôts;</w:t>
            </w:r>
            <w:r w:rsidRPr="00B90483">
              <w:rPr>
                <w:sz w:val="18"/>
                <w:szCs w:val="18"/>
              </w:rPr>
              <w:br/>
              <w:t>- Et toutes sujétions d'exécution et de main d’œuvre qualifié et non qualifiée.</w:t>
            </w:r>
            <w:r w:rsidRPr="00B90483">
              <w:rPr>
                <w:sz w:val="18"/>
                <w:szCs w:val="18"/>
              </w:rPr>
              <w:br/>
            </w:r>
            <w:r w:rsidRPr="00B90483">
              <w:rPr>
                <w:sz w:val="20"/>
              </w:rPr>
              <w:br/>
            </w:r>
            <w:r w:rsidRPr="00B90483">
              <w:rPr>
                <w:i/>
                <w:sz w:val="18"/>
                <w:szCs w:val="18"/>
              </w:rPr>
              <w:t>Ce prix s’applique au mètre cube (m3) théorique de déblai, les côtes du terrain naturel étant celles obtenues par levés contradictoires des profils en travers minorés de l'épaisseur du décapage éventuel.</w:t>
            </w:r>
          </w:p>
        </w:tc>
        <w:tc>
          <w:tcPr>
            <w:tcW w:w="397" w:type="pct"/>
            <w:tcBorders>
              <w:top w:val="single" w:sz="4" w:space="0" w:color="auto"/>
              <w:left w:val="nil"/>
              <w:bottom w:val="single" w:sz="8" w:space="0" w:color="auto"/>
              <w:right w:val="single" w:sz="8" w:space="0" w:color="auto"/>
            </w:tcBorders>
            <w:shd w:val="clear" w:color="auto" w:fill="auto"/>
            <w:vAlign w:val="center"/>
            <w:hideMark/>
          </w:tcPr>
          <w:p w14:paraId="7402445F" w14:textId="77777777" w:rsidR="00117B7F" w:rsidRPr="00B90483" w:rsidRDefault="00117B7F" w:rsidP="007F0E33">
            <w:pPr>
              <w:spacing w:after="0"/>
              <w:ind w:left="0" w:firstLine="0"/>
              <w:jc w:val="center"/>
              <w:rPr>
                <w:sz w:val="20"/>
              </w:rPr>
            </w:pPr>
            <w:r w:rsidRPr="00B90483">
              <w:rPr>
                <w:sz w:val="20"/>
              </w:rPr>
              <w:t>m</w:t>
            </w:r>
            <w:r w:rsidRPr="00B90483">
              <w:rPr>
                <w:sz w:val="20"/>
                <w:vertAlign w:val="superscript"/>
              </w:rPr>
              <w:t>3</w:t>
            </w:r>
          </w:p>
        </w:tc>
        <w:tc>
          <w:tcPr>
            <w:tcW w:w="709" w:type="pct"/>
            <w:tcBorders>
              <w:top w:val="single" w:sz="4" w:space="0" w:color="auto"/>
              <w:left w:val="nil"/>
              <w:bottom w:val="single" w:sz="8" w:space="0" w:color="auto"/>
              <w:right w:val="nil"/>
            </w:tcBorders>
            <w:shd w:val="clear" w:color="auto" w:fill="auto"/>
            <w:vAlign w:val="center"/>
          </w:tcPr>
          <w:p w14:paraId="1605D704" w14:textId="77777777" w:rsidR="00117B7F" w:rsidRPr="00B90483" w:rsidRDefault="00117B7F" w:rsidP="007F0E33">
            <w:pPr>
              <w:spacing w:after="0"/>
              <w:ind w:left="0" w:firstLine="0"/>
              <w:jc w:val="center"/>
              <w:rPr>
                <w:rFonts w:ascii="Arial" w:hAnsi="Arial" w:cs="Arial"/>
                <w:sz w:val="20"/>
              </w:rPr>
            </w:pPr>
          </w:p>
        </w:tc>
        <w:tc>
          <w:tcPr>
            <w:tcW w:w="7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167A82" w14:textId="77777777" w:rsidR="00117B7F" w:rsidRPr="00B90483" w:rsidRDefault="00117B7F" w:rsidP="007F0E33">
            <w:pPr>
              <w:spacing w:after="0"/>
              <w:ind w:left="0" w:firstLine="0"/>
              <w:jc w:val="left"/>
              <w:rPr>
                <w:rFonts w:ascii="Calibri" w:hAnsi="Calibri"/>
                <w:sz w:val="20"/>
              </w:rPr>
            </w:pPr>
            <w:r w:rsidRPr="00B90483">
              <w:rPr>
                <w:rFonts w:ascii="Calibri" w:hAnsi="Calibri"/>
                <w:sz w:val="20"/>
              </w:rPr>
              <w:t> </w:t>
            </w:r>
          </w:p>
        </w:tc>
      </w:tr>
      <w:tr w:rsidR="00117B7F" w:rsidRPr="00B90483" w14:paraId="19C2583F" w14:textId="77777777" w:rsidTr="00BD46CB">
        <w:trPr>
          <w:trHeight w:val="1250"/>
          <w:jc w:val="center"/>
        </w:trPr>
        <w:tc>
          <w:tcPr>
            <w:tcW w:w="261" w:type="pct"/>
            <w:tcBorders>
              <w:top w:val="nil"/>
              <w:left w:val="double" w:sz="6" w:space="0" w:color="auto"/>
              <w:bottom w:val="single" w:sz="8" w:space="0" w:color="auto"/>
              <w:right w:val="single" w:sz="8" w:space="0" w:color="auto"/>
            </w:tcBorders>
            <w:shd w:val="clear" w:color="auto" w:fill="auto"/>
            <w:vAlign w:val="center"/>
            <w:hideMark/>
          </w:tcPr>
          <w:p w14:paraId="77EF71C6" w14:textId="77777777" w:rsidR="00117B7F" w:rsidRPr="00B90483" w:rsidRDefault="00117B7F" w:rsidP="007F0E33">
            <w:pPr>
              <w:spacing w:after="0"/>
              <w:ind w:left="0" w:firstLine="0"/>
              <w:jc w:val="center"/>
              <w:rPr>
                <w:b/>
                <w:bCs/>
                <w:sz w:val="20"/>
              </w:rPr>
            </w:pPr>
            <w:r w:rsidRPr="00B90483">
              <w:rPr>
                <w:b/>
                <w:bCs/>
                <w:sz w:val="20"/>
              </w:rPr>
              <w:t>4.2</w:t>
            </w:r>
          </w:p>
        </w:tc>
        <w:tc>
          <w:tcPr>
            <w:tcW w:w="2887" w:type="pct"/>
            <w:tcBorders>
              <w:top w:val="nil"/>
              <w:left w:val="nil"/>
              <w:bottom w:val="single" w:sz="8" w:space="0" w:color="auto"/>
              <w:right w:val="single" w:sz="8" w:space="0" w:color="auto"/>
            </w:tcBorders>
            <w:shd w:val="clear" w:color="auto" w:fill="auto"/>
            <w:hideMark/>
          </w:tcPr>
          <w:p w14:paraId="37ECA55A" w14:textId="77777777" w:rsidR="00117B7F" w:rsidRPr="00B90483" w:rsidRDefault="00117B7F" w:rsidP="007F0E33">
            <w:pPr>
              <w:spacing w:after="0"/>
              <w:ind w:left="0" w:firstLine="0"/>
              <w:jc w:val="left"/>
              <w:rPr>
                <w:b/>
                <w:bCs/>
                <w:sz w:val="20"/>
              </w:rPr>
            </w:pPr>
            <w:r w:rsidRPr="00B90483">
              <w:rPr>
                <w:b/>
                <w:bCs/>
                <w:sz w:val="20"/>
              </w:rPr>
              <w:t>Béton de propreté dosé à 150kg/m</w:t>
            </w:r>
            <w:r w:rsidRPr="00B90483">
              <w:rPr>
                <w:b/>
                <w:bCs/>
                <w:sz w:val="20"/>
                <w:vertAlign w:val="superscript"/>
              </w:rPr>
              <w:t>3</w:t>
            </w:r>
            <w:r w:rsidRPr="00B90483">
              <w:rPr>
                <w:b/>
                <w:bCs/>
                <w:sz w:val="20"/>
              </w:rPr>
              <w:t xml:space="preserve"> pour butée                                                                                          </w:t>
            </w:r>
            <w:r w:rsidRPr="00B90483">
              <w:rPr>
                <w:sz w:val="18"/>
                <w:szCs w:val="18"/>
              </w:rPr>
              <w:t>Ce prix est identique au prix 2.3 appliqué aux ouvrages spécifiés.</w:t>
            </w:r>
            <w:r w:rsidRPr="00B90483">
              <w:rPr>
                <w:sz w:val="18"/>
                <w:szCs w:val="18"/>
              </w:rPr>
              <w:br/>
            </w:r>
            <w:r w:rsidRPr="00B90483">
              <w:rPr>
                <w:sz w:val="18"/>
                <w:szCs w:val="18"/>
              </w:rPr>
              <w:br/>
            </w:r>
            <w:r w:rsidRPr="00B90483">
              <w:rPr>
                <w:i/>
                <w:sz w:val="18"/>
                <w:szCs w:val="18"/>
              </w:rPr>
              <w:t>Ce prix s’applique au volume, en mètre cube (m3), de béton de propreté dosé à 150 kg/m3 coulé, avec comme valeur maximale celle obtenue à partir des plans d’exécution des ouvrages.</w:t>
            </w:r>
          </w:p>
        </w:tc>
        <w:tc>
          <w:tcPr>
            <w:tcW w:w="397" w:type="pct"/>
            <w:tcBorders>
              <w:top w:val="nil"/>
              <w:left w:val="nil"/>
              <w:bottom w:val="single" w:sz="8" w:space="0" w:color="auto"/>
              <w:right w:val="single" w:sz="8" w:space="0" w:color="auto"/>
            </w:tcBorders>
            <w:shd w:val="clear" w:color="auto" w:fill="auto"/>
            <w:vAlign w:val="center"/>
            <w:hideMark/>
          </w:tcPr>
          <w:p w14:paraId="0C90413E" w14:textId="77777777" w:rsidR="00117B7F" w:rsidRPr="00B90483" w:rsidRDefault="00117B7F" w:rsidP="007F0E33">
            <w:pPr>
              <w:spacing w:after="0"/>
              <w:ind w:left="0" w:firstLine="0"/>
              <w:jc w:val="center"/>
              <w:rPr>
                <w:sz w:val="20"/>
              </w:rPr>
            </w:pPr>
            <w:r w:rsidRPr="00B90483">
              <w:rPr>
                <w:sz w:val="20"/>
              </w:rPr>
              <w:t>m</w:t>
            </w:r>
            <w:r w:rsidRPr="00B90483">
              <w:rPr>
                <w:sz w:val="20"/>
                <w:vertAlign w:val="superscript"/>
              </w:rPr>
              <w:t>3</w:t>
            </w:r>
          </w:p>
        </w:tc>
        <w:tc>
          <w:tcPr>
            <w:tcW w:w="709" w:type="pct"/>
            <w:tcBorders>
              <w:top w:val="nil"/>
              <w:left w:val="nil"/>
              <w:bottom w:val="single" w:sz="8" w:space="0" w:color="auto"/>
              <w:right w:val="nil"/>
            </w:tcBorders>
            <w:shd w:val="clear" w:color="auto" w:fill="auto"/>
            <w:vAlign w:val="center"/>
          </w:tcPr>
          <w:p w14:paraId="1523AF4F" w14:textId="77777777" w:rsidR="00117B7F" w:rsidRPr="00B90483" w:rsidRDefault="00117B7F" w:rsidP="007F0E33">
            <w:pPr>
              <w:spacing w:after="0"/>
              <w:ind w:left="0" w:firstLine="0"/>
              <w:jc w:val="center"/>
              <w:rPr>
                <w:rFonts w:ascii="Arial" w:hAnsi="Arial" w:cs="Arial"/>
                <w:sz w:val="20"/>
              </w:rPr>
            </w:pPr>
          </w:p>
        </w:tc>
        <w:tc>
          <w:tcPr>
            <w:tcW w:w="746" w:type="pct"/>
            <w:tcBorders>
              <w:top w:val="nil"/>
              <w:left w:val="single" w:sz="4" w:space="0" w:color="auto"/>
              <w:bottom w:val="single" w:sz="4" w:space="0" w:color="auto"/>
              <w:right w:val="single" w:sz="4" w:space="0" w:color="auto"/>
            </w:tcBorders>
            <w:shd w:val="clear" w:color="auto" w:fill="auto"/>
            <w:noWrap/>
            <w:vAlign w:val="bottom"/>
            <w:hideMark/>
          </w:tcPr>
          <w:p w14:paraId="15091DA1" w14:textId="77777777" w:rsidR="00117B7F" w:rsidRPr="00B90483" w:rsidRDefault="00117B7F" w:rsidP="007F0E33">
            <w:pPr>
              <w:spacing w:after="0"/>
              <w:ind w:left="0" w:firstLine="0"/>
              <w:jc w:val="left"/>
              <w:rPr>
                <w:rFonts w:ascii="Calibri" w:hAnsi="Calibri"/>
                <w:sz w:val="20"/>
              </w:rPr>
            </w:pPr>
            <w:r w:rsidRPr="00B90483">
              <w:rPr>
                <w:rFonts w:ascii="Calibri" w:hAnsi="Calibri"/>
                <w:sz w:val="20"/>
              </w:rPr>
              <w:t> </w:t>
            </w:r>
          </w:p>
        </w:tc>
      </w:tr>
      <w:tr w:rsidR="00117B7F" w:rsidRPr="00B90483" w14:paraId="03395863" w14:textId="77777777" w:rsidTr="00BD46CB">
        <w:trPr>
          <w:trHeight w:val="1260"/>
          <w:jc w:val="center"/>
        </w:trPr>
        <w:tc>
          <w:tcPr>
            <w:tcW w:w="261" w:type="pct"/>
            <w:tcBorders>
              <w:top w:val="nil"/>
              <w:left w:val="double" w:sz="6" w:space="0" w:color="auto"/>
              <w:bottom w:val="single" w:sz="8" w:space="0" w:color="auto"/>
              <w:right w:val="single" w:sz="8" w:space="0" w:color="auto"/>
            </w:tcBorders>
            <w:shd w:val="clear" w:color="auto" w:fill="auto"/>
            <w:vAlign w:val="center"/>
            <w:hideMark/>
          </w:tcPr>
          <w:p w14:paraId="4FC0298D" w14:textId="77777777" w:rsidR="00117B7F" w:rsidRPr="00B90483" w:rsidRDefault="00117B7F" w:rsidP="007F0E33">
            <w:pPr>
              <w:spacing w:after="0"/>
              <w:ind w:left="0" w:firstLine="0"/>
              <w:jc w:val="center"/>
              <w:rPr>
                <w:b/>
                <w:bCs/>
                <w:sz w:val="20"/>
              </w:rPr>
            </w:pPr>
            <w:r w:rsidRPr="00B90483">
              <w:rPr>
                <w:b/>
                <w:bCs/>
                <w:sz w:val="20"/>
              </w:rPr>
              <w:t>4.3</w:t>
            </w:r>
          </w:p>
        </w:tc>
        <w:tc>
          <w:tcPr>
            <w:tcW w:w="2887" w:type="pct"/>
            <w:tcBorders>
              <w:top w:val="nil"/>
              <w:left w:val="nil"/>
              <w:bottom w:val="single" w:sz="8" w:space="0" w:color="auto"/>
              <w:right w:val="single" w:sz="8" w:space="0" w:color="auto"/>
            </w:tcBorders>
            <w:shd w:val="clear" w:color="auto" w:fill="auto"/>
            <w:hideMark/>
          </w:tcPr>
          <w:p w14:paraId="1A06D6B3" w14:textId="77777777" w:rsidR="00117B7F" w:rsidRPr="00B90483" w:rsidRDefault="00117B7F" w:rsidP="007F0E33">
            <w:pPr>
              <w:spacing w:after="0"/>
              <w:ind w:left="0" w:firstLine="0"/>
              <w:jc w:val="left"/>
              <w:rPr>
                <w:sz w:val="18"/>
                <w:szCs w:val="18"/>
              </w:rPr>
            </w:pPr>
            <w:r w:rsidRPr="00B90483">
              <w:rPr>
                <w:b/>
                <w:bCs/>
                <w:sz w:val="20"/>
              </w:rPr>
              <w:t>Béton cyclopéen en fondation dosé à 350kg/m</w:t>
            </w:r>
            <w:r w:rsidRPr="00B90483">
              <w:rPr>
                <w:b/>
                <w:bCs/>
                <w:sz w:val="20"/>
                <w:vertAlign w:val="superscript"/>
              </w:rPr>
              <w:t>3</w:t>
            </w:r>
            <w:r w:rsidRPr="00B90483">
              <w:rPr>
                <w:b/>
                <w:bCs/>
                <w:sz w:val="20"/>
              </w:rPr>
              <w:t xml:space="preserve"> pour butée       </w:t>
            </w:r>
            <w:r w:rsidRPr="00B90483">
              <w:rPr>
                <w:b/>
                <w:bCs/>
                <w:sz w:val="20"/>
              </w:rPr>
              <w:br/>
            </w:r>
            <w:r w:rsidRPr="00B90483">
              <w:rPr>
                <w:sz w:val="18"/>
                <w:szCs w:val="18"/>
              </w:rPr>
              <w:t>Ce prix est identique au prix 2.4 appliqué aux butées.</w:t>
            </w:r>
          </w:p>
          <w:p w14:paraId="136747A7" w14:textId="77777777" w:rsidR="00117B7F" w:rsidRPr="00B90483" w:rsidRDefault="00117B7F" w:rsidP="007F0E33">
            <w:pPr>
              <w:spacing w:after="0"/>
              <w:ind w:left="0" w:firstLine="0"/>
              <w:jc w:val="left"/>
              <w:rPr>
                <w:b/>
                <w:bCs/>
                <w:sz w:val="20"/>
              </w:rPr>
            </w:pPr>
            <w:r w:rsidRPr="00B90483">
              <w:rPr>
                <w:sz w:val="18"/>
                <w:szCs w:val="18"/>
              </w:rPr>
              <w:br/>
            </w:r>
            <w:r w:rsidRPr="00B90483">
              <w:rPr>
                <w:i/>
                <w:sz w:val="18"/>
                <w:szCs w:val="18"/>
              </w:rPr>
              <w:t>Ce prix s’applique au volume, en mètre cube (m3), de béton cyclopéen, avec comme valeur maximale celle obtenue à partir des plans d’exécution des ouvrages.</w:t>
            </w:r>
          </w:p>
        </w:tc>
        <w:tc>
          <w:tcPr>
            <w:tcW w:w="397" w:type="pct"/>
            <w:tcBorders>
              <w:top w:val="nil"/>
              <w:left w:val="nil"/>
              <w:bottom w:val="single" w:sz="8" w:space="0" w:color="auto"/>
              <w:right w:val="single" w:sz="8" w:space="0" w:color="auto"/>
            </w:tcBorders>
            <w:shd w:val="clear" w:color="auto" w:fill="auto"/>
            <w:vAlign w:val="center"/>
            <w:hideMark/>
          </w:tcPr>
          <w:p w14:paraId="7C34951A" w14:textId="77777777" w:rsidR="00117B7F" w:rsidRPr="00B90483" w:rsidRDefault="00117B7F" w:rsidP="007F0E33">
            <w:pPr>
              <w:spacing w:after="0"/>
              <w:ind w:left="0" w:firstLine="0"/>
              <w:jc w:val="center"/>
              <w:rPr>
                <w:sz w:val="20"/>
              </w:rPr>
            </w:pPr>
            <w:r w:rsidRPr="00B90483">
              <w:rPr>
                <w:sz w:val="20"/>
              </w:rPr>
              <w:t>m</w:t>
            </w:r>
            <w:r w:rsidRPr="00B90483">
              <w:rPr>
                <w:sz w:val="20"/>
                <w:vertAlign w:val="superscript"/>
              </w:rPr>
              <w:t>3</w:t>
            </w:r>
          </w:p>
        </w:tc>
        <w:tc>
          <w:tcPr>
            <w:tcW w:w="709" w:type="pct"/>
            <w:tcBorders>
              <w:top w:val="nil"/>
              <w:left w:val="nil"/>
              <w:bottom w:val="single" w:sz="8" w:space="0" w:color="auto"/>
              <w:right w:val="nil"/>
            </w:tcBorders>
            <w:shd w:val="clear" w:color="auto" w:fill="auto"/>
            <w:vAlign w:val="center"/>
          </w:tcPr>
          <w:p w14:paraId="0848F292" w14:textId="77777777" w:rsidR="00117B7F" w:rsidRPr="00B90483" w:rsidRDefault="00117B7F" w:rsidP="007F0E33">
            <w:pPr>
              <w:spacing w:after="0"/>
              <w:ind w:left="0" w:firstLine="0"/>
              <w:jc w:val="center"/>
              <w:rPr>
                <w:rFonts w:ascii="Arial" w:hAnsi="Arial" w:cs="Arial"/>
                <w:sz w:val="20"/>
              </w:rPr>
            </w:pPr>
          </w:p>
        </w:tc>
        <w:tc>
          <w:tcPr>
            <w:tcW w:w="746" w:type="pct"/>
            <w:tcBorders>
              <w:top w:val="nil"/>
              <w:left w:val="single" w:sz="4" w:space="0" w:color="auto"/>
              <w:bottom w:val="single" w:sz="4" w:space="0" w:color="auto"/>
              <w:right w:val="single" w:sz="4" w:space="0" w:color="auto"/>
            </w:tcBorders>
            <w:shd w:val="clear" w:color="auto" w:fill="auto"/>
            <w:noWrap/>
            <w:vAlign w:val="bottom"/>
            <w:hideMark/>
          </w:tcPr>
          <w:p w14:paraId="718E82B5" w14:textId="77777777" w:rsidR="00117B7F" w:rsidRPr="00B90483" w:rsidRDefault="00117B7F" w:rsidP="007F0E33">
            <w:pPr>
              <w:spacing w:after="0"/>
              <w:ind w:left="0" w:firstLine="0"/>
              <w:jc w:val="left"/>
              <w:rPr>
                <w:rFonts w:ascii="Calibri" w:hAnsi="Calibri"/>
                <w:sz w:val="20"/>
              </w:rPr>
            </w:pPr>
            <w:r w:rsidRPr="00B90483">
              <w:rPr>
                <w:rFonts w:ascii="Calibri" w:hAnsi="Calibri"/>
                <w:sz w:val="20"/>
              </w:rPr>
              <w:t> </w:t>
            </w:r>
          </w:p>
        </w:tc>
      </w:tr>
      <w:tr w:rsidR="00117B7F" w:rsidRPr="00B90483" w14:paraId="7A6CB1DB" w14:textId="77777777" w:rsidTr="00BD46CB">
        <w:trPr>
          <w:trHeight w:val="1800"/>
          <w:jc w:val="center"/>
        </w:trPr>
        <w:tc>
          <w:tcPr>
            <w:tcW w:w="261" w:type="pct"/>
            <w:tcBorders>
              <w:top w:val="nil"/>
              <w:left w:val="double" w:sz="6" w:space="0" w:color="auto"/>
              <w:bottom w:val="single" w:sz="8" w:space="0" w:color="auto"/>
              <w:right w:val="single" w:sz="8" w:space="0" w:color="auto"/>
            </w:tcBorders>
            <w:shd w:val="clear" w:color="auto" w:fill="auto"/>
            <w:vAlign w:val="center"/>
            <w:hideMark/>
          </w:tcPr>
          <w:p w14:paraId="4A00808B" w14:textId="77777777" w:rsidR="00117B7F" w:rsidRPr="00B90483" w:rsidRDefault="00117B7F" w:rsidP="007F0E33">
            <w:pPr>
              <w:spacing w:after="0"/>
              <w:ind w:left="0" w:firstLine="0"/>
              <w:jc w:val="center"/>
              <w:rPr>
                <w:b/>
                <w:bCs/>
                <w:sz w:val="20"/>
              </w:rPr>
            </w:pPr>
            <w:r w:rsidRPr="00B90483">
              <w:rPr>
                <w:b/>
                <w:bCs/>
                <w:sz w:val="20"/>
              </w:rPr>
              <w:t>4.4</w:t>
            </w:r>
          </w:p>
        </w:tc>
        <w:tc>
          <w:tcPr>
            <w:tcW w:w="2887" w:type="pct"/>
            <w:tcBorders>
              <w:top w:val="nil"/>
              <w:left w:val="nil"/>
              <w:bottom w:val="single" w:sz="8" w:space="0" w:color="auto"/>
              <w:right w:val="single" w:sz="8" w:space="0" w:color="auto"/>
            </w:tcBorders>
            <w:shd w:val="clear" w:color="auto" w:fill="auto"/>
            <w:hideMark/>
          </w:tcPr>
          <w:p w14:paraId="10501F48" w14:textId="77777777" w:rsidR="00117B7F" w:rsidRPr="00B90483" w:rsidRDefault="00117B7F" w:rsidP="007F0E33">
            <w:pPr>
              <w:spacing w:after="0"/>
              <w:ind w:left="0" w:firstLine="0"/>
              <w:jc w:val="left"/>
              <w:rPr>
                <w:b/>
                <w:bCs/>
                <w:sz w:val="20"/>
              </w:rPr>
            </w:pPr>
            <w:r w:rsidRPr="00B90483">
              <w:rPr>
                <w:b/>
                <w:bCs/>
                <w:sz w:val="20"/>
              </w:rPr>
              <w:t>Béton cyclopéen en élévation dosé à 350kg/m</w:t>
            </w:r>
            <w:r w:rsidRPr="00B90483">
              <w:rPr>
                <w:b/>
                <w:bCs/>
                <w:sz w:val="20"/>
                <w:vertAlign w:val="superscript"/>
              </w:rPr>
              <w:t>3</w:t>
            </w:r>
            <w:r w:rsidRPr="00B90483">
              <w:rPr>
                <w:b/>
                <w:bCs/>
                <w:sz w:val="20"/>
              </w:rPr>
              <w:t xml:space="preserve"> pour butées y compris enduits gras                                                                          </w:t>
            </w:r>
            <w:r w:rsidRPr="00B90483">
              <w:rPr>
                <w:sz w:val="20"/>
              </w:rPr>
              <w:t xml:space="preserve"> </w:t>
            </w:r>
            <w:r w:rsidRPr="00B90483">
              <w:rPr>
                <w:sz w:val="18"/>
                <w:szCs w:val="18"/>
              </w:rPr>
              <w:t xml:space="preserve">Ce prix est identique au prix 2.5 avec un dosage de 350 kg/m3 appliqué aux butées avec prise en compte de l’enduit de protection. Il n’est pas prévu d’utilisation du </w:t>
            </w:r>
            <w:proofErr w:type="spellStart"/>
            <w:r w:rsidRPr="00B90483">
              <w:rPr>
                <w:sz w:val="18"/>
                <w:szCs w:val="18"/>
              </w:rPr>
              <w:t>sikhalite</w:t>
            </w:r>
            <w:proofErr w:type="spellEnd"/>
            <w:r w:rsidRPr="00B90483">
              <w:rPr>
                <w:sz w:val="18"/>
                <w:szCs w:val="18"/>
              </w:rPr>
              <w:t>.</w:t>
            </w:r>
            <w:r w:rsidRPr="00B90483">
              <w:rPr>
                <w:sz w:val="18"/>
                <w:szCs w:val="18"/>
              </w:rPr>
              <w:br/>
            </w:r>
            <w:r w:rsidRPr="00B90483">
              <w:rPr>
                <w:sz w:val="18"/>
                <w:szCs w:val="18"/>
              </w:rPr>
              <w:br/>
            </w:r>
            <w:r w:rsidRPr="00B90483">
              <w:rPr>
                <w:i/>
                <w:sz w:val="18"/>
                <w:szCs w:val="18"/>
              </w:rPr>
              <w:t>Ce prix s’applique au volume, en mètre cube (m3), de béton cyclopéen, avec comme valeur maximale celle obtenue à partir des plans d’exécution des ouvrages.</w:t>
            </w:r>
          </w:p>
        </w:tc>
        <w:tc>
          <w:tcPr>
            <w:tcW w:w="397" w:type="pct"/>
            <w:tcBorders>
              <w:top w:val="nil"/>
              <w:left w:val="nil"/>
              <w:bottom w:val="single" w:sz="8" w:space="0" w:color="auto"/>
              <w:right w:val="single" w:sz="8" w:space="0" w:color="auto"/>
            </w:tcBorders>
            <w:shd w:val="clear" w:color="auto" w:fill="auto"/>
            <w:vAlign w:val="center"/>
            <w:hideMark/>
          </w:tcPr>
          <w:p w14:paraId="6CCCBBE9" w14:textId="77777777" w:rsidR="00117B7F" w:rsidRPr="00B90483" w:rsidRDefault="00117B7F" w:rsidP="007F0E33">
            <w:pPr>
              <w:spacing w:after="0"/>
              <w:ind w:left="0" w:firstLine="0"/>
              <w:jc w:val="center"/>
              <w:rPr>
                <w:sz w:val="20"/>
              </w:rPr>
            </w:pPr>
            <w:r w:rsidRPr="00B90483">
              <w:rPr>
                <w:sz w:val="20"/>
              </w:rPr>
              <w:t>m</w:t>
            </w:r>
            <w:r w:rsidRPr="00B90483">
              <w:rPr>
                <w:sz w:val="20"/>
                <w:vertAlign w:val="superscript"/>
              </w:rPr>
              <w:t>3</w:t>
            </w:r>
          </w:p>
        </w:tc>
        <w:tc>
          <w:tcPr>
            <w:tcW w:w="709" w:type="pct"/>
            <w:tcBorders>
              <w:top w:val="nil"/>
              <w:left w:val="nil"/>
              <w:bottom w:val="single" w:sz="8" w:space="0" w:color="auto"/>
              <w:right w:val="nil"/>
            </w:tcBorders>
            <w:shd w:val="clear" w:color="auto" w:fill="auto"/>
            <w:vAlign w:val="center"/>
          </w:tcPr>
          <w:p w14:paraId="0551C0AD" w14:textId="77777777" w:rsidR="00117B7F" w:rsidRPr="00B90483" w:rsidRDefault="00117B7F" w:rsidP="007F0E33">
            <w:pPr>
              <w:spacing w:after="0"/>
              <w:ind w:left="0" w:firstLine="0"/>
              <w:jc w:val="center"/>
              <w:rPr>
                <w:rFonts w:ascii="Arial" w:hAnsi="Arial" w:cs="Arial"/>
                <w:sz w:val="20"/>
              </w:rPr>
            </w:pPr>
          </w:p>
        </w:tc>
        <w:tc>
          <w:tcPr>
            <w:tcW w:w="746" w:type="pct"/>
            <w:tcBorders>
              <w:top w:val="nil"/>
              <w:left w:val="single" w:sz="4" w:space="0" w:color="auto"/>
              <w:bottom w:val="single" w:sz="4" w:space="0" w:color="auto"/>
              <w:right w:val="single" w:sz="4" w:space="0" w:color="auto"/>
            </w:tcBorders>
            <w:shd w:val="clear" w:color="auto" w:fill="auto"/>
            <w:noWrap/>
            <w:vAlign w:val="bottom"/>
            <w:hideMark/>
          </w:tcPr>
          <w:p w14:paraId="2C595709" w14:textId="77777777" w:rsidR="00117B7F" w:rsidRPr="00B90483" w:rsidRDefault="00117B7F" w:rsidP="007F0E33">
            <w:pPr>
              <w:spacing w:after="0"/>
              <w:ind w:left="0" w:firstLine="0"/>
              <w:jc w:val="left"/>
              <w:rPr>
                <w:rFonts w:ascii="Calibri" w:hAnsi="Calibri"/>
                <w:sz w:val="20"/>
              </w:rPr>
            </w:pPr>
            <w:r w:rsidRPr="00B90483">
              <w:rPr>
                <w:rFonts w:ascii="Calibri" w:hAnsi="Calibri"/>
                <w:sz w:val="20"/>
              </w:rPr>
              <w:t> </w:t>
            </w:r>
          </w:p>
        </w:tc>
      </w:tr>
      <w:tr w:rsidR="00117B7F" w:rsidRPr="00B90483" w14:paraId="3187C645" w14:textId="77777777" w:rsidTr="00376BAC">
        <w:trPr>
          <w:trHeight w:val="7785"/>
          <w:jc w:val="center"/>
        </w:trPr>
        <w:tc>
          <w:tcPr>
            <w:tcW w:w="261" w:type="pct"/>
            <w:tcBorders>
              <w:top w:val="single" w:sz="4" w:space="0" w:color="auto"/>
              <w:left w:val="double" w:sz="6" w:space="0" w:color="auto"/>
              <w:bottom w:val="single" w:sz="8" w:space="0" w:color="auto"/>
              <w:right w:val="single" w:sz="8" w:space="0" w:color="auto"/>
            </w:tcBorders>
            <w:shd w:val="clear" w:color="auto" w:fill="auto"/>
            <w:vAlign w:val="center"/>
            <w:hideMark/>
          </w:tcPr>
          <w:p w14:paraId="36F02A9A" w14:textId="77777777" w:rsidR="00117B7F" w:rsidRPr="00B90483" w:rsidRDefault="00117B7F" w:rsidP="007F0E33">
            <w:pPr>
              <w:spacing w:after="0"/>
              <w:ind w:left="0" w:firstLine="0"/>
              <w:jc w:val="center"/>
              <w:rPr>
                <w:b/>
                <w:bCs/>
                <w:sz w:val="20"/>
              </w:rPr>
            </w:pPr>
            <w:r w:rsidRPr="00B90483">
              <w:rPr>
                <w:b/>
                <w:bCs/>
                <w:sz w:val="20"/>
              </w:rPr>
              <w:lastRenderedPageBreak/>
              <w:t>4.5</w:t>
            </w:r>
          </w:p>
        </w:tc>
        <w:tc>
          <w:tcPr>
            <w:tcW w:w="2887" w:type="pct"/>
            <w:tcBorders>
              <w:top w:val="single" w:sz="4" w:space="0" w:color="auto"/>
              <w:left w:val="nil"/>
              <w:bottom w:val="single" w:sz="8" w:space="0" w:color="auto"/>
              <w:right w:val="single" w:sz="8" w:space="0" w:color="auto"/>
            </w:tcBorders>
            <w:shd w:val="clear" w:color="auto" w:fill="auto"/>
            <w:vAlign w:val="center"/>
            <w:hideMark/>
          </w:tcPr>
          <w:p w14:paraId="369F1C27" w14:textId="77777777" w:rsidR="00117B7F" w:rsidRPr="00B90483" w:rsidRDefault="00117B7F" w:rsidP="007F0E33">
            <w:pPr>
              <w:spacing w:after="0"/>
              <w:ind w:left="0" w:firstLine="0"/>
              <w:jc w:val="left"/>
              <w:rPr>
                <w:b/>
                <w:bCs/>
                <w:sz w:val="20"/>
              </w:rPr>
            </w:pPr>
            <w:r w:rsidRPr="00B90483">
              <w:rPr>
                <w:b/>
                <w:bCs/>
                <w:sz w:val="20"/>
              </w:rPr>
              <w:t xml:space="preserve">Béton cyclopéen dosé à 350kg/m3 pour bassin et murs de séparation et enduits y compris toutes sujétions </w:t>
            </w:r>
            <w:r w:rsidRPr="00B90483">
              <w:rPr>
                <w:b/>
                <w:bCs/>
                <w:sz w:val="20"/>
              </w:rPr>
              <w:br/>
            </w:r>
            <w:r w:rsidRPr="00B90483">
              <w:rPr>
                <w:sz w:val="18"/>
                <w:szCs w:val="18"/>
              </w:rPr>
              <w:t xml:space="preserve">Ce prix rémunère la fourniture et la mise en œuvre du béton cyclopéen avec pierre dosé à 350 kg/m3 pour le bassin de dissipation et des murets de séparation conformément aux indications des plans. </w:t>
            </w:r>
            <w:r w:rsidRPr="00B90483">
              <w:rPr>
                <w:sz w:val="18"/>
                <w:szCs w:val="18"/>
              </w:rPr>
              <w:br/>
              <w:t>L’épaisseur de la maçonnerie sera de 0,40 m (pierre taillée + béton) au droit des pertuis et 0,30 m (pierre taillée + béton) dans les sections courantes et sera exécuté avec les pierres ayant les caractéristiques suivantes : longueur ≥30cm, épaisseur ≥15 cm et hauteur≥20 cm. Les pierres seront posées dans un lit de béton d’une épaisseur moyenne de 5 cm dosé à 350 kg de ciment CPJ 35 / m3.</w:t>
            </w:r>
            <w:r w:rsidRPr="00B90483">
              <w:rPr>
                <w:sz w:val="18"/>
                <w:szCs w:val="18"/>
              </w:rPr>
              <w:br/>
              <w:t>Les joints de la maçonnerie auront une épaisseur moyenne de 2,5 cm et seront exécutés avec un béton dosé à 350 kg de ciment CPJ 35 / m3. Les pierres devront être noyées dans du béton avec une finition nette de béton talochée et tirée à la règle.</w:t>
            </w:r>
            <w:r w:rsidRPr="00B90483">
              <w:rPr>
                <w:sz w:val="18"/>
                <w:szCs w:val="18"/>
              </w:rPr>
              <w:br/>
              <w:t>Après construction le bassin sera tenu humide pendant 21 jours par un arrosage biquotidien (matin et soir). Les ouvrages réalisés seront couverts par un film plastique pour lutter contre la dessiccation rapide. Les murets de séparation devront recevoir un enduit de finition dosé à 400 kg/m3.</w:t>
            </w:r>
            <w:r w:rsidRPr="00B90483">
              <w:rPr>
                <w:sz w:val="18"/>
                <w:szCs w:val="18"/>
              </w:rPr>
              <w:br/>
              <w:t>Ce prix comprend conformément aux spécifications des prescriptions techniques :</w:t>
            </w:r>
            <w:r w:rsidRPr="00B90483">
              <w:rPr>
                <w:sz w:val="18"/>
                <w:szCs w:val="18"/>
              </w:rPr>
              <w:br/>
              <w:t>- La fourniture et le transport sur le lieu d’emploi de tous les matériaux nécessaires à la réalisation de la maçonnerie, et aux coffrages ;</w:t>
            </w:r>
            <w:r w:rsidRPr="00B90483">
              <w:rPr>
                <w:sz w:val="18"/>
                <w:szCs w:val="18"/>
              </w:rPr>
              <w:br/>
              <w:t>- Le stockage de ces matériaux ;</w:t>
            </w:r>
            <w:r w:rsidRPr="00B90483">
              <w:rPr>
                <w:sz w:val="18"/>
                <w:szCs w:val="18"/>
              </w:rPr>
              <w:br/>
              <w:t>- La fabrication (bétonnière obligatoire), la mise en œuvre, le serrage et la cure du béton cyclopéen ;</w:t>
            </w:r>
            <w:r w:rsidRPr="00B90483">
              <w:rPr>
                <w:sz w:val="18"/>
                <w:szCs w:val="18"/>
              </w:rPr>
              <w:br/>
              <w:t>- La mise en place des barbacanes en PVC40mm;</w:t>
            </w:r>
            <w:r w:rsidRPr="00B90483">
              <w:rPr>
                <w:sz w:val="18"/>
                <w:szCs w:val="18"/>
              </w:rPr>
              <w:br/>
              <w:t>- Le décoffrage ;</w:t>
            </w:r>
            <w:r w:rsidRPr="00B90483">
              <w:rPr>
                <w:sz w:val="18"/>
                <w:szCs w:val="18"/>
              </w:rPr>
              <w:br/>
              <w:t>- La réalisation des enduits de finition ;</w:t>
            </w:r>
            <w:r w:rsidRPr="00B90483">
              <w:rPr>
                <w:sz w:val="18"/>
                <w:szCs w:val="18"/>
              </w:rPr>
              <w:br/>
              <w:t>- Et toutes sujétions d'exécution et de main d’œuvre qualifié et non qualifiée.</w:t>
            </w:r>
            <w:r w:rsidRPr="00B90483">
              <w:rPr>
                <w:sz w:val="18"/>
                <w:szCs w:val="18"/>
              </w:rPr>
              <w:br/>
              <w:t>Le prix rémunère le matériel, le personnel qualifié et non qualifié (technicien, équipes maçons, manœuvres) et les matériaux nécessaires.</w:t>
            </w:r>
            <w:r w:rsidRPr="00B90483">
              <w:rPr>
                <w:sz w:val="18"/>
                <w:szCs w:val="18"/>
              </w:rPr>
              <w:br/>
            </w:r>
            <w:r w:rsidRPr="00B90483">
              <w:rPr>
                <w:sz w:val="20"/>
              </w:rPr>
              <w:br/>
            </w:r>
            <w:r w:rsidRPr="00B90483">
              <w:rPr>
                <w:i/>
                <w:sz w:val="18"/>
                <w:szCs w:val="18"/>
              </w:rPr>
              <w:t>Ce prix s’applique au volume, en mètre cube (m3), de béton cyclopéen, avec comme valeur maximale celle obtenue à partir des plans d’exécution des ouvrages.</w:t>
            </w:r>
          </w:p>
        </w:tc>
        <w:tc>
          <w:tcPr>
            <w:tcW w:w="397" w:type="pct"/>
            <w:tcBorders>
              <w:top w:val="single" w:sz="4" w:space="0" w:color="auto"/>
              <w:left w:val="nil"/>
              <w:bottom w:val="single" w:sz="8" w:space="0" w:color="auto"/>
              <w:right w:val="single" w:sz="8" w:space="0" w:color="auto"/>
            </w:tcBorders>
            <w:shd w:val="clear" w:color="auto" w:fill="auto"/>
            <w:vAlign w:val="center"/>
            <w:hideMark/>
          </w:tcPr>
          <w:p w14:paraId="1107E594" w14:textId="77777777" w:rsidR="00117B7F" w:rsidRPr="00B90483" w:rsidRDefault="00117B7F" w:rsidP="007F0E33">
            <w:pPr>
              <w:spacing w:after="0"/>
              <w:ind w:left="0" w:firstLine="0"/>
              <w:jc w:val="center"/>
              <w:rPr>
                <w:sz w:val="20"/>
              </w:rPr>
            </w:pPr>
            <w:r w:rsidRPr="00B90483">
              <w:rPr>
                <w:sz w:val="20"/>
              </w:rPr>
              <w:t>m</w:t>
            </w:r>
            <w:r w:rsidRPr="00B90483">
              <w:rPr>
                <w:sz w:val="20"/>
                <w:vertAlign w:val="superscript"/>
              </w:rPr>
              <w:t>3</w:t>
            </w:r>
          </w:p>
        </w:tc>
        <w:tc>
          <w:tcPr>
            <w:tcW w:w="709" w:type="pct"/>
            <w:tcBorders>
              <w:top w:val="single" w:sz="4" w:space="0" w:color="auto"/>
              <w:left w:val="nil"/>
              <w:bottom w:val="single" w:sz="8" w:space="0" w:color="auto"/>
              <w:right w:val="nil"/>
            </w:tcBorders>
            <w:shd w:val="clear" w:color="auto" w:fill="auto"/>
            <w:vAlign w:val="center"/>
            <w:hideMark/>
          </w:tcPr>
          <w:p w14:paraId="76FF1755" w14:textId="77777777" w:rsidR="00117B7F" w:rsidRPr="00B90483" w:rsidRDefault="00117B7F" w:rsidP="007F0E33">
            <w:pPr>
              <w:spacing w:after="0"/>
              <w:ind w:left="0" w:firstLine="0"/>
              <w:jc w:val="center"/>
              <w:rPr>
                <w:rFonts w:ascii="Arial" w:hAnsi="Arial" w:cs="Arial"/>
                <w:sz w:val="20"/>
              </w:rPr>
            </w:pPr>
          </w:p>
        </w:tc>
        <w:tc>
          <w:tcPr>
            <w:tcW w:w="7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2F1D67" w14:textId="77777777" w:rsidR="00117B7F" w:rsidRPr="00B90483" w:rsidRDefault="00117B7F" w:rsidP="007F0E33">
            <w:pPr>
              <w:spacing w:after="0"/>
              <w:ind w:left="0" w:firstLine="0"/>
              <w:jc w:val="left"/>
              <w:rPr>
                <w:rFonts w:ascii="Calibri" w:hAnsi="Calibri"/>
                <w:sz w:val="20"/>
              </w:rPr>
            </w:pPr>
            <w:r w:rsidRPr="00B90483">
              <w:rPr>
                <w:rFonts w:ascii="Calibri" w:hAnsi="Calibri"/>
                <w:sz w:val="20"/>
              </w:rPr>
              <w:t> </w:t>
            </w:r>
          </w:p>
        </w:tc>
      </w:tr>
      <w:tr w:rsidR="00117B7F" w:rsidRPr="00B90483" w14:paraId="443E17FA" w14:textId="77777777" w:rsidTr="00376BAC">
        <w:trPr>
          <w:trHeight w:val="130"/>
          <w:jc w:val="center"/>
        </w:trPr>
        <w:tc>
          <w:tcPr>
            <w:tcW w:w="261" w:type="pct"/>
            <w:tcBorders>
              <w:top w:val="nil"/>
              <w:left w:val="double" w:sz="6" w:space="0" w:color="auto"/>
              <w:bottom w:val="single" w:sz="8" w:space="0" w:color="auto"/>
              <w:right w:val="single" w:sz="8" w:space="0" w:color="auto"/>
            </w:tcBorders>
            <w:shd w:val="clear" w:color="auto" w:fill="auto"/>
            <w:vAlign w:val="center"/>
            <w:hideMark/>
          </w:tcPr>
          <w:p w14:paraId="40CE1457" w14:textId="77777777" w:rsidR="00117B7F" w:rsidRPr="00B90483" w:rsidRDefault="00117B7F" w:rsidP="007F0E33">
            <w:pPr>
              <w:spacing w:after="0"/>
              <w:ind w:left="0" w:firstLine="0"/>
              <w:jc w:val="center"/>
              <w:rPr>
                <w:b/>
                <w:bCs/>
                <w:sz w:val="20"/>
              </w:rPr>
            </w:pPr>
            <w:r w:rsidRPr="00B90483">
              <w:rPr>
                <w:b/>
                <w:bCs/>
                <w:sz w:val="20"/>
              </w:rPr>
              <w:t>4.6</w:t>
            </w:r>
          </w:p>
        </w:tc>
        <w:tc>
          <w:tcPr>
            <w:tcW w:w="2887" w:type="pct"/>
            <w:tcBorders>
              <w:top w:val="nil"/>
              <w:left w:val="nil"/>
              <w:bottom w:val="single" w:sz="8" w:space="0" w:color="auto"/>
              <w:right w:val="single" w:sz="8" w:space="0" w:color="auto"/>
            </w:tcBorders>
            <w:shd w:val="clear" w:color="000000" w:fill="FFFFFF"/>
            <w:hideMark/>
          </w:tcPr>
          <w:p w14:paraId="3CEF2E30" w14:textId="77777777" w:rsidR="00117B7F" w:rsidRPr="00B90483" w:rsidRDefault="00117B7F" w:rsidP="007F0E33">
            <w:pPr>
              <w:spacing w:after="0"/>
              <w:ind w:left="0" w:firstLine="0"/>
              <w:jc w:val="left"/>
              <w:rPr>
                <w:b/>
                <w:bCs/>
                <w:sz w:val="20"/>
              </w:rPr>
            </w:pPr>
            <w:r w:rsidRPr="00B90483">
              <w:rPr>
                <w:b/>
                <w:bCs/>
                <w:sz w:val="20"/>
              </w:rPr>
              <w:t xml:space="preserve">Béton ordinaire dosé à 350 kg/m3 pour blocs de chutes y compris enduits    </w:t>
            </w:r>
            <w:r w:rsidRPr="00B90483">
              <w:rPr>
                <w:sz w:val="20"/>
              </w:rPr>
              <w:t xml:space="preserve">                                                                                                                 </w:t>
            </w:r>
            <w:r w:rsidRPr="00B90483">
              <w:rPr>
                <w:sz w:val="18"/>
                <w:szCs w:val="18"/>
              </w:rPr>
              <w:t xml:space="preserve">Ce prix rémunère la fourniture et la mise en œuvre de béton ordinaire dosé à 350 kg/m3 pour la réalisation des blocs de chutes et des blocs chicanes conformément aux indications de l’ingénieur et aux plans. Les blocs sont de dimensions (20cm de large, 26 cm de hauteur, talus aval de 1/1, espacement 25cm). Les blocs sont solidarisés au bassin de dissipation au moyen d’épingle en fer HA6mm. Les blocs devront recevoir un enduit de finition dosé à 350 kg/m3 sans emploi de </w:t>
            </w:r>
            <w:proofErr w:type="spellStart"/>
            <w:r w:rsidRPr="00B90483">
              <w:rPr>
                <w:sz w:val="18"/>
                <w:szCs w:val="18"/>
              </w:rPr>
              <w:t>sikhalite</w:t>
            </w:r>
            <w:proofErr w:type="spellEnd"/>
            <w:r w:rsidRPr="00B90483">
              <w:rPr>
                <w:sz w:val="18"/>
                <w:szCs w:val="18"/>
              </w:rPr>
              <w:t>.</w:t>
            </w:r>
            <w:r w:rsidRPr="00B90483">
              <w:rPr>
                <w:sz w:val="20"/>
              </w:rPr>
              <w:br/>
            </w:r>
            <w:r w:rsidRPr="00B90483">
              <w:rPr>
                <w:sz w:val="18"/>
                <w:szCs w:val="18"/>
              </w:rPr>
              <w:br/>
              <w:t>Le prix rémunère le matériel (bétonnière obligatoire), le personnel qualifié (technicien et équipes maçons) et les matériaux nécessaires.</w:t>
            </w:r>
            <w:r w:rsidRPr="00B90483">
              <w:rPr>
                <w:sz w:val="18"/>
                <w:szCs w:val="18"/>
              </w:rPr>
              <w:br/>
              <w:t>Ce prix comprend conformément aux spécifications des prescriptions techniques :</w:t>
            </w:r>
            <w:r w:rsidRPr="00B90483">
              <w:rPr>
                <w:sz w:val="18"/>
                <w:szCs w:val="18"/>
              </w:rPr>
              <w:br/>
              <w:t>- La fourniture et le transport sur le lieu d’emploi de tous les matériaux nécessaires à la fabrication du béton, et aux coffrages;</w:t>
            </w:r>
            <w:r w:rsidRPr="00B90483">
              <w:rPr>
                <w:sz w:val="18"/>
                <w:szCs w:val="18"/>
              </w:rPr>
              <w:br/>
              <w:t>- La fabrication, la mise en œuvre, le serrage (bétonnière et vibrateur obligatoire) et la cure du béton;</w:t>
            </w:r>
            <w:r w:rsidRPr="00B90483">
              <w:rPr>
                <w:sz w:val="18"/>
                <w:szCs w:val="18"/>
              </w:rPr>
              <w:br/>
              <w:t>- Le décoffrage;</w:t>
            </w:r>
            <w:r w:rsidRPr="00B90483">
              <w:rPr>
                <w:sz w:val="18"/>
                <w:szCs w:val="18"/>
              </w:rPr>
              <w:br/>
              <w:t>- La réalisation des enduits de finition ;</w:t>
            </w:r>
            <w:r w:rsidRPr="00B90483">
              <w:rPr>
                <w:sz w:val="18"/>
                <w:szCs w:val="18"/>
              </w:rPr>
              <w:br/>
              <w:t>- Toutes sujétions d'exécution et de main d’œuvre qualifié et non qualifiée.</w:t>
            </w:r>
            <w:r w:rsidRPr="00B90483">
              <w:rPr>
                <w:sz w:val="18"/>
                <w:szCs w:val="18"/>
              </w:rPr>
              <w:br/>
            </w:r>
            <w:r w:rsidRPr="00B90483">
              <w:rPr>
                <w:sz w:val="18"/>
                <w:szCs w:val="18"/>
              </w:rPr>
              <w:br/>
            </w:r>
            <w:r w:rsidRPr="00B90483">
              <w:rPr>
                <w:i/>
                <w:sz w:val="18"/>
                <w:szCs w:val="18"/>
              </w:rPr>
              <w:t xml:space="preserve">Ce prix s’applique au volume, en mètre cube (m3), de béton ordinaire dosé à 350 kg/m3 coulé avec comme valeur maximale celle obtenue à partir des </w:t>
            </w:r>
            <w:r w:rsidRPr="00B90483">
              <w:rPr>
                <w:i/>
                <w:sz w:val="18"/>
                <w:szCs w:val="18"/>
              </w:rPr>
              <w:lastRenderedPageBreak/>
              <w:t>plans d’exécution.</w:t>
            </w:r>
          </w:p>
        </w:tc>
        <w:tc>
          <w:tcPr>
            <w:tcW w:w="397" w:type="pct"/>
            <w:tcBorders>
              <w:top w:val="nil"/>
              <w:left w:val="nil"/>
              <w:bottom w:val="single" w:sz="8" w:space="0" w:color="auto"/>
              <w:right w:val="single" w:sz="8" w:space="0" w:color="auto"/>
            </w:tcBorders>
            <w:shd w:val="clear" w:color="auto" w:fill="auto"/>
            <w:vAlign w:val="center"/>
            <w:hideMark/>
          </w:tcPr>
          <w:p w14:paraId="3ECBC672" w14:textId="77777777" w:rsidR="00117B7F" w:rsidRPr="00B90483" w:rsidRDefault="00117B7F" w:rsidP="007F0E33">
            <w:pPr>
              <w:spacing w:after="0"/>
              <w:ind w:left="0" w:firstLine="0"/>
              <w:jc w:val="center"/>
              <w:rPr>
                <w:sz w:val="20"/>
              </w:rPr>
            </w:pPr>
            <w:r w:rsidRPr="00B90483">
              <w:rPr>
                <w:sz w:val="20"/>
              </w:rPr>
              <w:lastRenderedPageBreak/>
              <w:t>m</w:t>
            </w:r>
            <w:r w:rsidRPr="00B90483">
              <w:rPr>
                <w:sz w:val="20"/>
                <w:vertAlign w:val="superscript"/>
              </w:rPr>
              <w:t>3</w:t>
            </w:r>
          </w:p>
        </w:tc>
        <w:tc>
          <w:tcPr>
            <w:tcW w:w="709" w:type="pct"/>
            <w:tcBorders>
              <w:top w:val="nil"/>
              <w:left w:val="nil"/>
              <w:bottom w:val="single" w:sz="8" w:space="0" w:color="auto"/>
              <w:right w:val="nil"/>
            </w:tcBorders>
            <w:shd w:val="clear" w:color="auto" w:fill="auto"/>
            <w:vAlign w:val="center"/>
            <w:hideMark/>
          </w:tcPr>
          <w:p w14:paraId="2A88E98B" w14:textId="77777777" w:rsidR="00117B7F" w:rsidRPr="00B90483" w:rsidRDefault="00117B7F" w:rsidP="007F0E33">
            <w:pPr>
              <w:spacing w:after="0"/>
              <w:ind w:left="0" w:firstLine="0"/>
              <w:jc w:val="center"/>
              <w:rPr>
                <w:rFonts w:ascii="Arial" w:hAnsi="Arial" w:cs="Arial"/>
                <w:sz w:val="20"/>
              </w:rPr>
            </w:pPr>
          </w:p>
        </w:tc>
        <w:tc>
          <w:tcPr>
            <w:tcW w:w="746" w:type="pct"/>
            <w:tcBorders>
              <w:top w:val="nil"/>
              <w:left w:val="single" w:sz="4" w:space="0" w:color="auto"/>
              <w:bottom w:val="single" w:sz="4" w:space="0" w:color="auto"/>
              <w:right w:val="single" w:sz="4" w:space="0" w:color="auto"/>
            </w:tcBorders>
            <w:shd w:val="clear" w:color="auto" w:fill="auto"/>
            <w:noWrap/>
            <w:vAlign w:val="bottom"/>
            <w:hideMark/>
          </w:tcPr>
          <w:p w14:paraId="61744313" w14:textId="77777777" w:rsidR="00117B7F" w:rsidRPr="00B90483" w:rsidRDefault="00117B7F" w:rsidP="007F0E33">
            <w:pPr>
              <w:spacing w:after="0"/>
              <w:ind w:left="0" w:firstLine="0"/>
              <w:jc w:val="left"/>
              <w:rPr>
                <w:rFonts w:ascii="Calibri" w:hAnsi="Calibri"/>
                <w:sz w:val="20"/>
              </w:rPr>
            </w:pPr>
            <w:r w:rsidRPr="00B90483">
              <w:rPr>
                <w:rFonts w:ascii="Calibri" w:hAnsi="Calibri"/>
                <w:sz w:val="20"/>
              </w:rPr>
              <w:t> </w:t>
            </w:r>
          </w:p>
        </w:tc>
      </w:tr>
      <w:tr w:rsidR="00117B7F" w:rsidRPr="00B90483" w14:paraId="0EE8F927" w14:textId="77777777" w:rsidTr="00BD46CB">
        <w:trPr>
          <w:trHeight w:val="2640"/>
          <w:jc w:val="center"/>
        </w:trPr>
        <w:tc>
          <w:tcPr>
            <w:tcW w:w="261" w:type="pct"/>
            <w:tcBorders>
              <w:top w:val="nil"/>
              <w:left w:val="double" w:sz="6" w:space="0" w:color="auto"/>
              <w:bottom w:val="single" w:sz="8" w:space="0" w:color="auto"/>
              <w:right w:val="single" w:sz="8" w:space="0" w:color="auto"/>
            </w:tcBorders>
            <w:shd w:val="clear" w:color="auto" w:fill="auto"/>
            <w:vAlign w:val="center"/>
            <w:hideMark/>
          </w:tcPr>
          <w:p w14:paraId="1D2AB720" w14:textId="77777777" w:rsidR="00117B7F" w:rsidRPr="00B90483" w:rsidRDefault="00117B7F" w:rsidP="007F0E33">
            <w:pPr>
              <w:spacing w:after="0"/>
              <w:ind w:left="0" w:firstLine="0"/>
              <w:jc w:val="center"/>
              <w:rPr>
                <w:b/>
                <w:bCs/>
                <w:sz w:val="20"/>
              </w:rPr>
            </w:pPr>
            <w:r w:rsidRPr="00B90483">
              <w:rPr>
                <w:b/>
                <w:bCs/>
                <w:sz w:val="20"/>
              </w:rPr>
              <w:lastRenderedPageBreak/>
              <w:t>4.7</w:t>
            </w:r>
          </w:p>
        </w:tc>
        <w:tc>
          <w:tcPr>
            <w:tcW w:w="2887" w:type="pct"/>
            <w:tcBorders>
              <w:top w:val="nil"/>
              <w:left w:val="nil"/>
              <w:bottom w:val="single" w:sz="8" w:space="0" w:color="auto"/>
              <w:right w:val="single" w:sz="8" w:space="0" w:color="auto"/>
            </w:tcBorders>
            <w:shd w:val="clear" w:color="auto" w:fill="auto"/>
            <w:hideMark/>
          </w:tcPr>
          <w:p w14:paraId="0AC01048" w14:textId="77777777" w:rsidR="00117B7F" w:rsidRPr="00B90483" w:rsidRDefault="00117B7F" w:rsidP="007F0E33">
            <w:pPr>
              <w:spacing w:after="0"/>
              <w:ind w:left="0" w:firstLine="0"/>
              <w:jc w:val="left"/>
              <w:rPr>
                <w:b/>
                <w:bCs/>
                <w:sz w:val="20"/>
              </w:rPr>
            </w:pPr>
            <w:r w:rsidRPr="00B90483">
              <w:rPr>
                <w:b/>
                <w:bCs/>
                <w:sz w:val="20"/>
              </w:rPr>
              <w:t xml:space="preserve">Lit de sable </w:t>
            </w:r>
            <w:proofErr w:type="spellStart"/>
            <w:r w:rsidRPr="00B90483">
              <w:rPr>
                <w:b/>
                <w:bCs/>
                <w:sz w:val="20"/>
              </w:rPr>
              <w:t>ep</w:t>
            </w:r>
            <w:proofErr w:type="spellEnd"/>
            <w:r w:rsidRPr="00B90483">
              <w:rPr>
                <w:b/>
                <w:bCs/>
                <w:sz w:val="20"/>
              </w:rPr>
              <w:t xml:space="preserve"> = 0,05 m                                                                                                                            </w:t>
            </w:r>
            <w:r w:rsidRPr="00B90483">
              <w:rPr>
                <w:sz w:val="18"/>
                <w:szCs w:val="18"/>
              </w:rPr>
              <w:t>Ce prix rémunère la fourniture et la mise en œuvre de sable calibre pour filtre sous le corps de l’ouvrage et du bassin de dissipation.</w:t>
            </w:r>
            <w:r w:rsidRPr="00B90483">
              <w:rPr>
                <w:sz w:val="18"/>
                <w:szCs w:val="18"/>
              </w:rPr>
              <w:br/>
              <w:t>Ce prix comprend conformément aux spécifications des prescriptions techniques :</w:t>
            </w:r>
            <w:r w:rsidRPr="00B90483">
              <w:rPr>
                <w:sz w:val="18"/>
                <w:szCs w:val="18"/>
              </w:rPr>
              <w:br/>
              <w:t>- Le chargement et le transport des matériaux;</w:t>
            </w:r>
            <w:r w:rsidRPr="00B90483">
              <w:rPr>
                <w:sz w:val="18"/>
                <w:szCs w:val="18"/>
              </w:rPr>
              <w:br/>
              <w:t xml:space="preserve">- Le déchargement, le </w:t>
            </w:r>
            <w:proofErr w:type="spellStart"/>
            <w:r w:rsidRPr="00B90483">
              <w:rPr>
                <w:sz w:val="18"/>
                <w:szCs w:val="18"/>
              </w:rPr>
              <w:t>répandage</w:t>
            </w:r>
            <w:proofErr w:type="spellEnd"/>
            <w:r w:rsidRPr="00B90483">
              <w:rPr>
                <w:sz w:val="18"/>
                <w:szCs w:val="18"/>
              </w:rPr>
              <w:t xml:space="preserve"> du matériau, le recalibrage;</w:t>
            </w:r>
            <w:r w:rsidRPr="00B90483">
              <w:rPr>
                <w:sz w:val="18"/>
                <w:szCs w:val="18"/>
              </w:rPr>
              <w:br/>
              <w:t>- La mise en place du filtre suivant les indications des plans ;</w:t>
            </w:r>
            <w:r w:rsidRPr="00B90483">
              <w:rPr>
                <w:sz w:val="18"/>
                <w:szCs w:val="18"/>
              </w:rPr>
              <w:br/>
              <w:t>- Et toutes sujétions d'exécution et de main d’œuvre qualifié et non qualifiée.</w:t>
            </w:r>
            <w:r w:rsidRPr="00B90483">
              <w:rPr>
                <w:sz w:val="20"/>
              </w:rPr>
              <w:br/>
            </w:r>
            <w:r w:rsidRPr="00B90483">
              <w:rPr>
                <w:sz w:val="20"/>
              </w:rPr>
              <w:br/>
            </w:r>
            <w:r w:rsidRPr="00B90483">
              <w:rPr>
                <w:i/>
                <w:sz w:val="18"/>
                <w:szCs w:val="18"/>
              </w:rPr>
              <w:t>Ce prix s’applique au volume, en mètre cube (m3), de sable calibré, mis en œuvre, calculé géométriquement à partir des profils en travers et des longueurs réalisées, avec comme valeur maximale celle obtenue à partir des dimensions des profils en travers types</w:t>
            </w:r>
            <w:r w:rsidRPr="00B90483">
              <w:rPr>
                <w:sz w:val="18"/>
                <w:szCs w:val="18"/>
              </w:rPr>
              <w:t>.</w:t>
            </w:r>
          </w:p>
        </w:tc>
        <w:tc>
          <w:tcPr>
            <w:tcW w:w="397" w:type="pct"/>
            <w:tcBorders>
              <w:top w:val="nil"/>
              <w:left w:val="nil"/>
              <w:bottom w:val="single" w:sz="8" w:space="0" w:color="auto"/>
              <w:right w:val="single" w:sz="8" w:space="0" w:color="auto"/>
            </w:tcBorders>
            <w:shd w:val="clear" w:color="auto" w:fill="auto"/>
            <w:vAlign w:val="center"/>
            <w:hideMark/>
          </w:tcPr>
          <w:p w14:paraId="053D62D7" w14:textId="77777777" w:rsidR="00117B7F" w:rsidRPr="00B90483" w:rsidRDefault="00117B7F" w:rsidP="007F0E33">
            <w:pPr>
              <w:spacing w:after="0"/>
              <w:ind w:left="0" w:firstLine="0"/>
              <w:jc w:val="center"/>
              <w:rPr>
                <w:sz w:val="20"/>
              </w:rPr>
            </w:pPr>
            <w:r w:rsidRPr="00B90483">
              <w:rPr>
                <w:sz w:val="20"/>
              </w:rPr>
              <w:t>m</w:t>
            </w:r>
            <w:r w:rsidRPr="00B90483">
              <w:rPr>
                <w:sz w:val="20"/>
                <w:vertAlign w:val="superscript"/>
              </w:rPr>
              <w:t>3</w:t>
            </w:r>
          </w:p>
        </w:tc>
        <w:tc>
          <w:tcPr>
            <w:tcW w:w="709" w:type="pct"/>
            <w:tcBorders>
              <w:top w:val="nil"/>
              <w:left w:val="nil"/>
              <w:bottom w:val="single" w:sz="8" w:space="0" w:color="auto"/>
              <w:right w:val="nil"/>
            </w:tcBorders>
            <w:shd w:val="clear" w:color="auto" w:fill="auto"/>
            <w:vAlign w:val="center"/>
            <w:hideMark/>
          </w:tcPr>
          <w:p w14:paraId="1F058CED" w14:textId="77777777" w:rsidR="00117B7F" w:rsidRPr="00B90483" w:rsidRDefault="00117B7F" w:rsidP="007F0E33">
            <w:pPr>
              <w:spacing w:after="0"/>
              <w:ind w:left="0" w:firstLine="0"/>
              <w:jc w:val="center"/>
              <w:rPr>
                <w:rFonts w:ascii="Arial" w:hAnsi="Arial" w:cs="Arial"/>
                <w:sz w:val="20"/>
              </w:rPr>
            </w:pPr>
          </w:p>
        </w:tc>
        <w:tc>
          <w:tcPr>
            <w:tcW w:w="746" w:type="pct"/>
            <w:tcBorders>
              <w:top w:val="nil"/>
              <w:left w:val="single" w:sz="4" w:space="0" w:color="auto"/>
              <w:bottom w:val="single" w:sz="4" w:space="0" w:color="auto"/>
              <w:right w:val="single" w:sz="4" w:space="0" w:color="auto"/>
            </w:tcBorders>
            <w:shd w:val="clear" w:color="auto" w:fill="auto"/>
            <w:noWrap/>
            <w:vAlign w:val="bottom"/>
            <w:hideMark/>
          </w:tcPr>
          <w:p w14:paraId="32FC2A21" w14:textId="77777777" w:rsidR="00117B7F" w:rsidRPr="00B90483" w:rsidRDefault="00117B7F" w:rsidP="007F0E33">
            <w:pPr>
              <w:spacing w:after="0"/>
              <w:ind w:left="0" w:firstLine="0"/>
              <w:jc w:val="left"/>
              <w:rPr>
                <w:rFonts w:ascii="Calibri" w:hAnsi="Calibri"/>
                <w:sz w:val="20"/>
              </w:rPr>
            </w:pPr>
            <w:r w:rsidRPr="00B90483">
              <w:rPr>
                <w:rFonts w:ascii="Calibri" w:hAnsi="Calibri"/>
                <w:sz w:val="20"/>
              </w:rPr>
              <w:t> </w:t>
            </w:r>
          </w:p>
        </w:tc>
      </w:tr>
      <w:tr w:rsidR="00117B7F" w:rsidRPr="00B90483" w14:paraId="68995743" w14:textId="77777777" w:rsidTr="00BD46CB">
        <w:trPr>
          <w:trHeight w:val="2625"/>
          <w:jc w:val="center"/>
        </w:trPr>
        <w:tc>
          <w:tcPr>
            <w:tcW w:w="261" w:type="pct"/>
            <w:tcBorders>
              <w:top w:val="nil"/>
              <w:left w:val="double" w:sz="6" w:space="0" w:color="auto"/>
              <w:bottom w:val="single" w:sz="8" w:space="0" w:color="auto"/>
              <w:right w:val="single" w:sz="8" w:space="0" w:color="auto"/>
            </w:tcBorders>
            <w:shd w:val="clear" w:color="auto" w:fill="auto"/>
            <w:vAlign w:val="center"/>
            <w:hideMark/>
          </w:tcPr>
          <w:p w14:paraId="1AAAF362" w14:textId="77777777" w:rsidR="00117B7F" w:rsidRPr="00B90483" w:rsidRDefault="00117B7F" w:rsidP="007F0E33">
            <w:pPr>
              <w:spacing w:after="0"/>
              <w:ind w:left="0" w:firstLine="0"/>
              <w:jc w:val="center"/>
              <w:rPr>
                <w:b/>
                <w:bCs/>
                <w:sz w:val="20"/>
              </w:rPr>
            </w:pPr>
            <w:r w:rsidRPr="00B90483">
              <w:rPr>
                <w:b/>
                <w:bCs/>
                <w:sz w:val="20"/>
              </w:rPr>
              <w:t>4.8</w:t>
            </w:r>
          </w:p>
        </w:tc>
        <w:tc>
          <w:tcPr>
            <w:tcW w:w="2887" w:type="pct"/>
            <w:tcBorders>
              <w:top w:val="nil"/>
              <w:left w:val="nil"/>
              <w:bottom w:val="single" w:sz="8" w:space="0" w:color="auto"/>
              <w:right w:val="single" w:sz="8" w:space="0" w:color="auto"/>
            </w:tcBorders>
            <w:shd w:val="clear" w:color="auto" w:fill="auto"/>
            <w:hideMark/>
          </w:tcPr>
          <w:p w14:paraId="2B47C281" w14:textId="77777777" w:rsidR="00117B7F" w:rsidRPr="00B90483" w:rsidRDefault="00117B7F" w:rsidP="007F0E33">
            <w:pPr>
              <w:spacing w:after="0"/>
              <w:ind w:left="0" w:firstLine="0"/>
              <w:jc w:val="left"/>
              <w:rPr>
                <w:b/>
                <w:bCs/>
                <w:sz w:val="20"/>
              </w:rPr>
            </w:pPr>
            <w:r w:rsidRPr="00B90483">
              <w:rPr>
                <w:b/>
                <w:bCs/>
                <w:sz w:val="20"/>
              </w:rPr>
              <w:t xml:space="preserve">Lit de gravier </w:t>
            </w:r>
            <w:proofErr w:type="spellStart"/>
            <w:r w:rsidRPr="00B90483">
              <w:rPr>
                <w:b/>
                <w:bCs/>
                <w:sz w:val="20"/>
              </w:rPr>
              <w:t>ep</w:t>
            </w:r>
            <w:proofErr w:type="spellEnd"/>
            <w:r w:rsidRPr="00B90483">
              <w:rPr>
                <w:b/>
                <w:bCs/>
                <w:sz w:val="20"/>
              </w:rPr>
              <w:t xml:space="preserve"> = 0,05 m                                                                                                                        </w:t>
            </w:r>
            <w:r w:rsidRPr="00B90483">
              <w:rPr>
                <w:sz w:val="18"/>
                <w:szCs w:val="18"/>
              </w:rPr>
              <w:t>Ce prix rémunère la fourniture et la mise en œuvre de gravier calibre pour filtre sous le corps de l’ouvrage et du bassin de dissipation.</w:t>
            </w:r>
            <w:r w:rsidRPr="00B90483">
              <w:rPr>
                <w:sz w:val="18"/>
                <w:szCs w:val="18"/>
              </w:rPr>
              <w:br/>
              <w:t>Ce prix comprend conformément aux spécifications des prescriptions techniques :</w:t>
            </w:r>
            <w:r w:rsidRPr="00B90483">
              <w:rPr>
                <w:sz w:val="18"/>
                <w:szCs w:val="18"/>
              </w:rPr>
              <w:br/>
              <w:t>- Le transport des matériaux ;</w:t>
            </w:r>
            <w:r w:rsidRPr="00B90483">
              <w:rPr>
                <w:sz w:val="18"/>
                <w:szCs w:val="18"/>
              </w:rPr>
              <w:br/>
              <w:t xml:space="preserve">- Le déchargement, le </w:t>
            </w:r>
            <w:proofErr w:type="spellStart"/>
            <w:r w:rsidRPr="00B90483">
              <w:rPr>
                <w:sz w:val="18"/>
                <w:szCs w:val="18"/>
              </w:rPr>
              <w:t>répandage</w:t>
            </w:r>
            <w:proofErr w:type="spellEnd"/>
            <w:r w:rsidRPr="00B90483">
              <w:rPr>
                <w:sz w:val="18"/>
                <w:szCs w:val="18"/>
              </w:rPr>
              <w:t xml:space="preserve"> du matériau, le recalibrage ;</w:t>
            </w:r>
            <w:r w:rsidRPr="00B90483">
              <w:rPr>
                <w:sz w:val="18"/>
                <w:szCs w:val="18"/>
              </w:rPr>
              <w:br/>
              <w:t>- La mise en place du filtre suivant les indications des plans ;</w:t>
            </w:r>
            <w:r w:rsidRPr="00B90483">
              <w:rPr>
                <w:sz w:val="18"/>
                <w:szCs w:val="18"/>
              </w:rPr>
              <w:br/>
              <w:t>- Et toutes sujétions d'exécution et de main d’œuvre qualifié et non qualifiée.</w:t>
            </w:r>
            <w:r w:rsidRPr="00B90483">
              <w:rPr>
                <w:sz w:val="18"/>
                <w:szCs w:val="18"/>
              </w:rPr>
              <w:br/>
            </w:r>
            <w:r w:rsidRPr="00B90483">
              <w:rPr>
                <w:sz w:val="20"/>
              </w:rPr>
              <w:br/>
            </w:r>
            <w:r w:rsidRPr="00B90483">
              <w:rPr>
                <w:i/>
                <w:sz w:val="18"/>
                <w:szCs w:val="18"/>
              </w:rPr>
              <w:t>Ce prix s’applique au volume, en mètre cube (m3), de gravier calibré, mis en œuvre, calculé géométriquement à partir des profils en travers et des longueurs réalisées, avec comme valeur maximale celle obtenue à partir des dimensions des profils en travers types.</w:t>
            </w:r>
          </w:p>
        </w:tc>
        <w:tc>
          <w:tcPr>
            <w:tcW w:w="397" w:type="pct"/>
            <w:tcBorders>
              <w:top w:val="nil"/>
              <w:left w:val="nil"/>
              <w:bottom w:val="single" w:sz="8" w:space="0" w:color="auto"/>
              <w:right w:val="single" w:sz="8" w:space="0" w:color="auto"/>
            </w:tcBorders>
            <w:shd w:val="clear" w:color="auto" w:fill="auto"/>
            <w:vAlign w:val="center"/>
            <w:hideMark/>
          </w:tcPr>
          <w:p w14:paraId="7AFDA8C6" w14:textId="77777777" w:rsidR="00117B7F" w:rsidRPr="00B90483" w:rsidRDefault="00117B7F" w:rsidP="007F0E33">
            <w:pPr>
              <w:spacing w:after="0"/>
              <w:ind w:left="0" w:firstLine="0"/>
              <w:jc w:val="center"/>
              <w:rPr>
                <w:sz w:val="20"/>
              </w:rPr>
            </w:pPr>
            <w:r w:rsidRPr="00B90483">
              <w:rPr>
                <w:sz w:val="20"/>
              </w:rPr>
              <w:t>m</w:t>
            </w:r>
            <w:r w:rsidRPr="00B90483">
              <w:rPr>
                <w:sz w:val="20"/>
                <w:vertAlign w:val="superscript"/>
              </w:rPr>
              <w:t>3</w:t>
            </w:r>
          </w:p>
        </w:tc>
        <w:tc>
          <w:tcPr>
            <w:tcW w:w="709" w:type="pct"/>
            <w:tcBorders>
              <w:top w:val="nil"/>
              <w:left w:val="nil"/>
              <w:bottom w:val="single" w:sz="8" w:space="0" w:color="auto"/>
              <w:right w:val="nil"/>
            </w:tcBorders>
            <w:shd w:val="clear" w:color="auto" w:fill="auto"/>
            <w:vAlign w:val="center"/>
            <w:hideMark/>
          </w:tcPr>
          <w:p w14:paraId="7040B2EE" w14:textId="77777777" w:rsidR="00117B7F" w:rsidRPr="00B90483" w:rsidRDefault="00117B7F" w:rsidP="007F0E33">
            <w:pPr>
              <w:spacing w:after="0"/>
              <w:ind w:left="0" w:firstLine="0"/>
              <w:jc w:val="center"/>
              <w:rPr>
                <w:rFonts w:ascii="Arial" w:hAnsi="Arial" w:cs="Arial"/>
                <w:sz w:val="20"/>
              </w:rPr>
            </w:pPr>
          </w:p>
        </w:tc>
        <w:tc>
          <w:tcPr>
            <w:tcW w:w="746" w:type="pct"/>
            <w:tcBorders>
              <w:top w:val="nil"/>
              <w:left w:val="single" w:sz="4" w:space="0" w:color="auto"/>
              <w:bottom w:val="single" w:sz="4" w:space="0" w:color="auto"/>
              <w:right w:val="single" w:sz="4" w:space="0" w:color="auto"/>
            </w:tcBorders>
            <w:shd w:val="clear" w:color="auto" w:fill="auto"/>
            <w:noWrap/>
            <w:vAlign w:val="bottom"/>
            <w:hideMark/>
          </w:tcPr>
          <w:p w14:paraId="7D1D502A" w14:textId="77777777" w:rsidR="00117B7F" w:rsidRPr="00B90483" w:rsidRDefault="00117B7F" w:rsidP="007F0E33">
            <w:pPr>
              <w:spacing w:after="0"/>
              <w:ind w:left="0" w:firstLine="0"/>
              <w:jc w:val="left"/>
              <w:rPr>
                <w:rFonts w:ascii="Calibri" w:hAnsi="Calibri"/>
                <w:sz w:val="20"/>
              </w:rPr>
            </w:pPr>
            <w:r w:rsidRPr="00B90483">
              <w:rPr>
                <w:rFonts w:ascii="Calibri" w:hAnsi="Calibri"/>
                <w:sz w:val="20"/>
              </w:rPr>
              <w:t> </w:t>
            </w:r>
          </w:p>
        </w:tc>
      </w:tr>
      <w:tr w:rsidR="00117B7F" w:rsidRPr="00B90483" w14:paraId="65471107" w14:textId="77777777" w:rsidTr="00BD46CB">
        <w:trPr>
          <w:trHeight w:val="683"/>
          <w:jc w:val="center"/>
        </w:trPr>
        <w:tc>
          <w:tcPr>
            <w:tcW w:w="261" w:type="pct"/>
            <w:tcBorders>
              <w:top w:val="nil"/>
              <w:left w:val="double" w:sz="6" w:space="0" w:color="auto"/>
              <w:bottom w:val="single" w:sz="8" w:space="0" w:color="auto"/>
              <w:right w:val="single" w:sz="8" w:space="0" w:color="auto"/>
            </w:tcBorders>
            <w:shd w:val="clear" w:color="auto" w:fill="auto"/>
            <w:vAlign w:val="center"/>
            <w:hideMark/>
          </w:tcPr>
          <w:p w14:paraId="5DB596DB" w14:textId="77777777" w:rsidR="00117B7F" w:rsidRPr="00B90483" w:rsidRDefault="00117B7F" w:rsidP="007F0E33">
            <w:pPr>
              <w:spacing w:after="0"/>
              <w:ind w:left="0" w:firstLine="0"/>
              <w:jc w:val="center"/>
              <w:rPr>
                <w:b/>
                <w:bCs/>
                <w:sz w:val="20"/>
              </w:rPr>
            </w:pPr>
            <w:r w:rsidRPr="00B90483">
              <w:rPr>
                <w:b/>
                <w:bCs/>
                <w:sz w:val="20"/>
              </w:rPr>
              <w:t>4.9</w:t>
            </w:r>
          </w:p>
        </w:tc>
        <w:tc>
          <w:tcPr>
            <w:tcW w:w="2887" w:type="pct"/>
            <w:tcBorders>
              <w:top w:val="nil"/>
              <w:left w:val="nil"/>
              <w:bottom w:val="single" w:sz="8" w:space="0" w:color="auto"/>
              <w:right w:val="single" w:sz="8" w:space="0" w:color="auto"/>
            </w:tcBorders>
            <w:shd w:val="clear" w:color="000000" w:fill="FFFFFF"/>
            <w:hideMark/>
          </w:tcPr>
          <w:p w14:paraId="1A693085" w14:textId="77777777" w:rsidR="00117B7F" w:rsidRPr="00B90483" w:rsidRDefault="00117B7F" w:rsidP="007F0E33">
            <w:pPr>
              <w:spacing w:after="0"/>
              <w:ind w:left="0" w:firstLine="0"/>
              <w:jc w:val="left"/>
              <w:rPr>
                <w:b/>
                <w:bCs/>
                <w:sz w:val="20"/>
              </w:rPr>
            </w:pPr>
            <w:r w:rsidRPr="00B90483">
              <w:rPr>
                <w:b/>
                <w:bCs/>
                <w:sz w:val="20"/>
              </w:rPr>
              <w:t xml:space="preserve">F/P de barbacane en PVC40mm y compris grillage d'embout et toutes sujétions                                                                                    </w:t>
            </w:r>
            <w:r w:rsidRPr="00B90483">
              <w:rPr>
                <w:sz w:val="18"/>
                <w:szCs w:val="18"/>
              </w:rPr>
              <w:t xml:space="preserve">Ce prix rémunère la fourniture et la mise en place de barbacane en tuyau PVC40 mm au niveau du bassin de dissipation selon les spécifications de l’ingénieur. </w:t>
            </w:r>
            <w:r w:rsidRPr="00B90483">
              <w:rPr>
                <w:sz w:val="18"/>
                <w:szCs w:val="18"/>
              </w:rPr>
              <w:br/>
              <w:t>Au niveau du bassin de dissipation le dispositif a pour effet d’atténuer les forces de sous pression de l’eau à travers des barbacanes (PVC 40 mm). Ces barbacanes sont implantées à chaque 2 mètres sur le long du bassin de dissipation et à chaque 1,20 mètre sur la largeur.</w:t>
            </w:r>
            <w:r w:rsidRPr="00B90483">
              <w:rPr>
                <w:sz w:val="18"/>
                <w:szCs w:val="18"/>
              </w:rPr>
              <w:br/>
            </w:r>
            <w:r w:rsidRPr="00B90483">
              <w:rPr>
                <w:sz w:val="18"/>
                <w:szCs w:val="18"/>
              </w:rPr>
              <w:br/>
              <w:t>Le prix rémunère le matériel, le personnel qualifié et non qualifié (technicien, ouvriers et des manœuvres) et les matériaux nécessaires.</w:t>
            </w:r>
            <w:r w:rsidRPr="00B90483">
              <w:rPr>
                <w:sz w:val="18"/>
                <w:szCs w:val="18"/>
              </w:rPr>
              <w:br/>
              <w:t>Ce prix comprend :</w:t>
            </w:r>
            <w:r w:rsidRPr="00B90483">
              <w:rPr>
                <w:sz w:val="18"/>
                <w:szCs w:val="18"/>
              </w:rPr>
              <w:br/>
              <w:t xml:space="preserve">- La fourniture des PVC 40 </w:t>
            </w:r>
            <w:proofErr w:type="spellStart"/>
            <w:r w:rsidRPr="00B90483">
              <w:rPr>
                <w:sz w:val="18"/>
                <w:szCs w:val="18"/>
              </w:rPr>
              <w:t>mm.</w:t>
            </w:r>
            <w:proofErr w:type="spellEnd"/>
            <w:r w:rsidRPr="00B90483">
              <w:rPr>
                <w:sz w:val="18"/>
                <w:szCs w:val="18"/>
              </w:rPr>
              <w:t xml:space="preserve"> La qualité et la marque de PVC employé seront soumises à l’appréciation de l’ingénieur ;</w:t>
            </w:r>
            <w:r w:rsidRPr="00B90483">
              <w:rPr>
                <w:sz w:val="18"/>
                <w:szCs w:val="18"/>
              </w:rPr>
              <w:br/>
              <w:t>- La fourniture des accessoires de pose (tamis ou filtre d’extrémité etc.);</w:t>
            </w:r>
            <w:r w:rsidRPr="00B90483">
              <w:rPr>
                <w:sz w:val="18"/>
                <w:szCs w:val="18"/>
              </w:rPr>
              <w:br/>
              <w:t>- La pose des barbacanes ;</w:t>
            </w:r>
            <w:r w:rsidRPr="00B90483">
              <w:rPr>
                <w:sz w:val="18"/>
                <w:szCs w:val="18"/>
              </w:rPr>
              <w:br/>
              <w:t>- L’exécution des différents raccordements au niveau des ouvrages ponctuels;</w:t>
            </w:r>
            <w:r w:rsidRPr="00B90483">
              <w:rPr>
                <w:sz w:val="18"/>
                <w:szCs w:val="18"/>
              </w:rPr>
              <w:br/>
              <w:t>- Et toutes sujétions d'exécution et de main d’œuvre qualifié et non qualifiée.</w:t>
            </w:r>
            <w:r w:rsidRPr="00B90483">
              <w:rPr>
                <w:sz w:val="20"/>
              </w:rPr>
              <w:br/>
            </w:r>
            <w:r w:rsidRPr="00B90483">
              <w:rPr>
                <w:sz w:val="20"/>
              </w:rPr>
              <w:br/>
            </w:r>
            <w:r w:rsidRPr="00B90483">
              <w:rPr>
                <w:i/>
                <w:sz w:val="18"/>
                <w:szCs w:val="18"/>
              </w:rPr>
              <w:t>Ce prix s’applique au mètre linéaire (ml), de tuyau PVC 40mm, mis en place, calculé géométriquement à partir des longueurs réalisées, avec comme valeur maximale celle obtenue à partir des dimensions des profils en long.</w:t>
            </w:r>
          </w:p>
        </w:tc>
        <w:tc>
          <w:tcPr>
            <w:tcW w:w="397" w:type="pct"/>
            <w:tcBorders>
              <w:top w:val="nil"/>
              <w:left w:val="nil"/>
              <w:bottom w:val="single" w:sz="8" w:space="0" w:color="auto"/>
              <w:right w:val="single" w:sz="8" w:space="0" w:color="auto"/>
            </w:tcBorders>
            <w:shd w:val="clear" w:color="auto" w:fill="auto"/>
            <w:vAlign w:val="center"/>
            <w:hideMark/>
          </w:tcPr>
          <w:p w14:paraId="50771371" w14:textId="77777777" w:rsidR="00117B7F" w:rsidRPr="00B90483" w:rsidRDefault="00117B7F" w:rsidP="007F0E33">
            <w:pPr>
              <w:spacing w:after="0"/>
              <w:ind w:left="0" w:firstLine="0"/>
              <w:jc w:val="center"/>
              <w:rPr>
                <w:sz w:val="20"/>
              </w:rPr>
            </w:pPr>
            <w:r w:rsidRPr="00B90483">
              <w:rPr>
                <w:sz w:val="20"/>
              </w:rPr>
              <w:t>ml</w:t>
            </w:r>
          </w:p>
        </w:tc>
        <w:tc>
          <w:tcPr>
            <w:tcW w:w="709" w:type="pct"/>
            <w:tcBorders>
              <w:top w:val="nil"/>
              <w:left w:val="nil"/>
              <w:bottom w:val="single" w:sz="8" w:space="0" w:color="auto"/>
              <w:right w:val="nil"/>
            </w:tcBorders>
            <w:shd w:val="clear" w:color="auto" w:fill="auto"/>
            <w:vAlign w:val="center"/>
            <w:hideMark/>
          </w:tcPr>
          <w:p w14:paraId="0331A794" w14:textId="77777777" w:rsidR="00117B7F" w:rsidRPr="00B90483" w:rsidRDefault="00117B7F" w:rsidP="007F0E33">
            <w:pPr>
              <w:spacing w:after="0"/>
              <w:ind w:left="0" w:firstLine="0"/>
              <w:jc w:val="center"/>
              <w:rPr>
                <w:rFonts w:ascii="Arial" w:hAnsi="Arial" w:cs="Arial"/>
                <w:sz w:val="20"/>
              </w:rPr>
            </w:pPr>
          </w:p>
        </w:tc>
        <w:tc>
          <w:tcPr>
            <w:tcW w:w="746" w:type="pct"/>
            <w:tcBorders>
              <w:top w:val="nil"/>
              <w:left w:val="single" w:sz="4" w:space="0" w:color="auto"/>
              <w:bottom w:val="single" w:sz="4" w:space="0" w:color="auto"/>
              <w:right w:val="single" w:sz="4" w:space="0" w:color="auto"/>
            </w:tcBorders>
            <w:shd w:val="clear" w:color="auto" w:fill="auto"/>
            <w:noWrap/>
            <w:vAlign w:val="bottom"/>
            <w:hideMark/>
          </w:tcPr>
          <w:p w14:paraId="22F67DDB" w14:textId="77777777" w:rsidR="00117B7F" w:rsidRPr="00B90483" w:rsidRDefault="00117B7F" w:rsidP="007F0E33">
            <w:pPr>
              <w:spacing w:after="0"/>
              <w:ind w:left="0" w:firstLine="0"/>
              <w:jc w:val="left"/>
              <w:rPr>
                <w:rFonts w:ascii="Calibri" w:hAnsi="Calibri"/>
                <w:sz w:val="20"/>
              </w:rPr>
            </w:pPr>
            <w:r w:rsidRPr="00B90483">
              <w:rPr>
                <w:rFonts w:ascii="Calibri" w:hAnsi="Calibri"/>
                <w:sz w:val="20"/>
              </w:rPr>
              <w:t> </w:t>
            </w:r>
          </w:p>
        </w:tc>
      </w:tr>
      <w:tr w:rsidR="00117B7F" w:rsidRPr="00B90483" w14:paraId="649DABBD" w14:textId="77777777" w:rsidTr="00BD46CB">
        <w:trPr>
          <w:trHeight w:val="5070"/>
          <w:jc w:val="center"/>
        </w:trPr>
        <w:tc>
          <w:tcPr>
            <w:tcW w:w="261" w:type="pct"/>
            <w:tcBorders>
              <w:top w:val="single" w:sz="4" w:space="0" w:color="auto"/>
              <w:left w:val="double" w:sz="6" w:space="0" w:color="auto"/>
              <w:bottom w:val="single" w:sz="8" w:space="0" w:color="auto"/>
              <w:right w:val="single" w:sz="8" w:space="0" w:color="auto"/>
            </w:tcBorders>
            <w:shd w:val="clear" w:color="auto" w:fill="auto"/>
            <w:vAlign w:val="center"/>
            <w:hideMark/>
          </w:tcPr>
          <w:p w14:paraId="72651B8C" w14:textId="77777777" w:rsidR="00117B7F" w:rsidRPr="00B90483" w:rsidRDefault="00117B7F" w:rsidP="007F0E33">
            <w:pPr>
              <w:spacing w:after="0"/>
              <w:ind w:left="0" w:firstLine="0"/>
              <w:jc w:val="center"/>
              <w:rPr>
                <w:b/>
                <w:bCs/>
                <w:sz w:val="20"/>
              </w:rPr>
            </w:pPr>
            <w:r w:rsidRPr="00B90483">
              <w:rPr>
                <w:b/>
                <w:bCs/>
                <w:sz w:val="20"/>
              </w:rPr>
              <w:lastRenderedPageBreak/>
              <w:t>4.10</w:t>
            </w:r>
          </w:p>
        </w:tc>
        <w:tc>
          <w:tcPr>
            <w:tcW w:w="2887" w:type="pct"/>
            <w:tcBorders>
              <w:top w:val="single" w:sz="4" w:space="0" w:color="auto"/>
              <w:left w:val="nil"/>
              <w:bottom w:val="single" w:sz="8" w:space="0" w:color="auto"/>
              <w:right w:val="single" w:sz="8" w:space="0" w:color="auto"/>
            </w:tcBorders>
            <w:shd w:val="clear" w:color="000000" w:fill="FFFFFF"/>
            <w:vAlign w:val="center"/>
            <w:hideMark/>
          </w:tcPr>
          <w:p w14:paraId="2BDEBA2E" w14:textId="77777777" w:rsidR="00117B7F" w:rsidRPr="00B90483" w:rsidRDefault="00117B7F" w:rsidP="007F0E33">
            <w:pPr>
              <w:spacing w:after="0"/>
              <w:ind w:left="0" w:firstLine="0"/>
              <w:jc w:val="left"/>
              <w:rPr>
                <w:b/>
                <w:bCs/>
                <w:sz w:val="20"/>
              </w:rPr>
            </w:pPr>
            <w:r w:rsidRPr="00B90483">
              <w:rPr>
                <w:b/>
                <w:bCs/>
                <w:sz w:val="20"/>
              </w:rPr>
              <w:t xml:space="preserve">F/P de gabion de protection avale y compris fouilles complémentaires                                                                                 </w:t>
            </w:r>
            <w:r w:rsidRPr="00B90483">
              <w:rPr>
                <w:sz w:val="20"/>
              </w:rPr>
              <w:t xml:space="preserve"> </w:t>
            </w:r>
            <w:r w:rsidRPr="00FE0C56">
              <w:rPr>
                <w:sz w:val="18"/>
                <w:szCs w:val="18"/>
              </w:rPr>
              <w:t>Les travaux consistent à une protection avale du bassin de dissipation ainsi que le prolongement du chenal sous forme de gradin en vue de lutter contre les affouillements. Pour l’exécution des travaux se référer au plan de détail.</w:t>
            </w:r>
            <w:r w:rsidRPr="00FE0C56">
              <w:rPr>
                <w:sz w:val="18"/>
                <w:szCs w:val="18"/>
              </w:rPr>
              <w:br/>
            </w:r>
            <w:r w:rsidRPr="00FE0C56">
              <w:rPr>
                <w:sz w:val="18"/>
                <w:szCs w:val="18"/>
              </w:rPr>
              <w:br/>
              <w:t>Les gabions sont des structures métalliques parallélépipédiques fabriquées en grillages galvanisés de minimum 2.7 mm de diamètre hexagonal double torsion avec 100 mm entre les torsades et 120 mm entre les sommets. La ligature est faite avec du fil galvanisé 2.4 mm minimum. Les gabions ont une hauteur de 0.5m, une longueur maximum de 2.0m et une largeur de 1.0m. Ils devront présenter une forme cubique après la pose. La bonne exécution du gabionnage exige l’emploi de pierres homogènes et un bon remplissage des cages.</w:t>
            </w:r>
            <w:r w:rsidRPr="00FE0C56">
              <w:rPr>
                <w:sz w:val="18"/>
                <w:szCs w:val="18"/>
              </w:rPr>
              <w:br/>
            </w:r>
            <w:r w:rsidRPr="00FE0C56">
              <w:rPr>
                <w:sz w:val="18"/>
                <w:szCs w:val="18"/>
              </w:rPr>
              <w:br/>
              <w:t>Ce prix comprend conformément aux spécifications des prescriptions techniques :</w:t>
            </w:r>
            <w:r w:rsidRPr="00FE0C56">
              <w:rPr>
                <w:sz w:val="18"/>
                <w:szCs w:val="18"/>
              </w:rPr>
              <w:br/>
              <w:t>- La fourniture et le transport sur le lieu d’emploi de tous les matériaux nécessaires à la fabrication des gabions (moellons, cages de gabions);</w:t>
            </w:r>
            <w:r w:rsidRPr="00FE0C56">
              <w:rPr>
                <w:sz w:val="18"/>
                <w:szCs w:val="18"/>
              </w:rPr>
              <w:br/>
              <w:t>- Le stockage de ces matériaux ;</w:t>
            </w:r>
            <w:r w:rsidRPr="00FE0C56">
              <w:rPr>
                <w:sz w:val="18"/>
                <w:szCs w:val="18"/>
              </w:rPr>
              <w:br/>
              <w:t>- La réalisation de sur largeurs éventuelles de fouille ;</w:t>
            </w:r>
            <w:r w:rsidRPr="00FE0C56">
              <w:rPr>
                <w:sz w:val="18"/>
                <w:szCs w:val="18"/>
              </w:rPr>
              <w:br/>
              <w:t>- La mise en place et le remplissage des cages ;</w:t>
            </w:r>
            <w:r w:rsidRPr="00FE0C56">
              <w:rPr>
                <w:sz w:val="18"/>
                <w:szCs w:val="18"/>
              </w:rPr>
              <w:br/>
              <w:t>- Les ligatures et les ajustements nécessaires :</w:t>
            </w:r>
            <w:r w:rsidRPr="00FE0C56">
              <w:rPr>
                <w:sz w:val="18"/>
                <w:szCs w:val="18"/>
              </w:rPr>
              <w:br/>
              <w:t>- Et toutes sujétions d'exécution et de main d’œuvre qualifié et non qualifiée.</w:t>
            </w:r>
            <w:r w:rsidRPr="00FE0C56">
              <w:rPr>
                <w:sz w:val="18"/>
                <w:szCs w:val="18"/>
              </w:rPr>
              <w:br/>
            </w:r>
            <w:r w:rsidRPr="00FE0C56">
              <w:rPr>
                <w:i/>
                <w:sz w:val="18"/>
                <w:szCs w:val="18"/>
              </w:rPr>
              <w:br/>
              <w:t>Ce prix s’applique au volume, en mètre cube (m3), de gabion de protection réalisé, avec comme valeur maximale celle obtenue à partir des plans d’exécution des ouvrages.</w:t>
            </w:r>
          </w:p>
        </w:tc>
        <w:tc>
          <w:tcPr>
            <w:tcW w:w="397" w:type="pct"/>
            <w:tcBorders>
              <w:top w:val="single" w:sz="4" w:space="0" w:color="auto"/>
              <w:left w:val="nil"/>
              <w:bottom w:val="single" w:sz="8" w:space="0" w:color="auto"/>
              <w:right w:val="single" w:sz="8" w:space="0" w:color="auto"/>
            </w:tcBorders>
            <w:shd w:val="clear" w:color="auto" w:fill="auto"/>
            <w:vAlign w:val="center"/>
            <w:hideMark/>
          </w:tcPr>
          <w:p w14:paraId="1A9934FB" w14:textId="77777777" w:rsidR="00117B7F" w:rsidRPr="00B90483" w:rsidRDefault="00117B7F" w:rsidP="007F0E33">
            <w:pPr>
              <w:spacing w:after="0"/>
              <w:ind w:left="0" w:firstLine="0"/>
              <w:jc w:val="center"/>
              <w:rPr>
                <w:sz w:val="20"/>
              </w:rPr>
            </w:pPr>
            <w:r w:rsidRPr="00B90483">
              <w:rPr>
                <w:sz w:val="20"/>
              </w:rPr>
              <w:t>m</w:t>
            </w:r>
            <w:r w:rsidRPr="00B90483">
              <w:rPr>
                <w:sz w:val="20"/>
                <w:vertAlign w:val="superscript"/>
              </w:rPr>
              <w:t>3</w:t>
            </w:r>
          </w:p>
        </w:tc>
        <w:tc>
          <w:tcPr>
            <w:tcW w:w="709" w:type="pct"/>
            <w:tcBorders>
              <w:top w:val="single" w:sz="4" w:space="0" w:color="auto"/>
              <w:left w:val="nil"/>
              <w:bottom w:val="single" w:sz="8" w:space="0" w:color="auto"/>
              <w:right w:val="nil"/>
            </w:tcBorders>
            <w:shd w:val="clear" w:color="auto" w:fill="auto"/>
            <w:vAlign w:val="center"/>
            <w:hideMark/>
          </w:tcPr>
          <w:p w14:paraId="0292327E" w14:textId="77777777" w:rsidR="00117B7F" w:rsidRPr="00B90483" w:rsidRDefault="00117B7F" w:rsidP="007F0E33">
            <w:pPr>
              <w:spacing w:after="0"/>
              <w:ind w:left="0" w:firstLine="0"/>
              <w:jc w:val="center"/>
              <w:rPr>
                <w:rFonts w:ascii="Arial" w:hAnsi="Arial" w:cs="Arial"/>
                <w:sz w:val="20"/>
              </w:rPr>
            </w:pPr>
          </w:p>
        </w:tc>
        <w:tc>
          <w:tcPr>
            <w:tcW w:w="7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A7ACD1" w14:textId="77777777" w:rsidR="00117B7F" w:rsidRPr="00B90483" w:rsidRDefault="00117B7F" w:rsidP="007F0E33">
            <w:pPr>
              <w:spacing w:after="0"/>
              <w:ind w:left="0" w:firstLine="0"/>
              <w:jc w:val="left"/>
              <w:rPr>
                <w:rFonts w:ascii="Calibri" w:hAnsi="Calibri"/>
                <w:sz w:val="20"/>
              </w:rPr>
            </w:pPr>
            <w:r w:rsidRPr="00B90483">
              <w:rPr>
                <w:rFonts w:ascii="Calibri" w:hAnsi="Calibri"/>
                <w:sz w:val="20"/>
              </w:rPr>
              <w:t> </w:t>
            </w:r>
          </w:p>
        </w:tc>
      </w:tr>
      <w:tr w:rsidR="00117B7F" w:rsidRPr="00B90483" w14:paraId="3E49AEDA" w14:textId="77777777" w:rsidTr="003332E0">
        <w:trPr>
          <w:trHeight w:val="1367"/>
          <w:jc w:val="center"/>
        </w:trPr>
        <w:tc>
          <w:tcPr>
            <w:tcW w:w="261" w:type="pct"/>
            <w:tcBorders>
              <w:top w:val="nil"/>
              <w:left w:val="double" w:sz="6" w:space="0" w:color="auto"/>
              <w:bottom w:val="single" w:sz="8" w:space="0" w:color="auto"/>
              <w:right w:val="single" w:sz="8" w:space="0" w:color="auto"/>
            </w:tcBorders>
            <w:shd w:val="clear" w:color="auto" w:fill="auto"/>
            <w:vAlign w:val="center"/>
            <w:hideMark/>
          </w:tcPr>
          <w:p w14:paraId="0FD24C07" w14:textId="77777777" w:rsidR="00117B7F" w:rsidRPr="00B90483" w:rsidRDefault="00117B7F" w:rsidP="007F0E33">
            <w:pPr>
              <w:spacing w:after="0"/>
              <w:ind w:left="0" w:firstLine="0"/>
              <w:jc w:val="center"/>
              <w:rPr>
                <w:b/>
                <w:bCs/>
                <w:sz w:val="20"/>
              </w:rPr>
            </w:pPr>
            <w:r w:rsidRPr="00B90483">
              <w:rPr>
                <w:b/>
                <w:bCs/>
                <w:sz w:val="20"/>
              </w:rPr>
              <w:t>4.11</w:t>
            </w:r>
          </w:p>
        </w:tc>
        <w:tc>
          <w:tcPr>
            <w:tcW w:w="2887" w:type="pct"/>
            <w:tcBorders>
              <w:top w:val="nil"/>
              <w:left w:val="nil"/>
              <w:bottom w:val="single" w:sz="8" w:space="0" w:color="auto"/>
              <w:right w:val="single" w:sz="8" w:space="0" w:color="auto"/>
            </w:tcBorders>
            <w:shd w:val="clear" w:color="auto" w:fill="auto"/>
            <w:vAlign w:val="center"/>
            <w:hideMark/>
          </w:tcPr>
          <w:p w14:paraId="11BB5E45" w14:textId="77777777" w:rsidR="00117B7F" w:rsidRPr="00FE0C56" w:rsidRDefault="00117B7F" w:rsidP="007F0E33">
            <w:pPr>
              <w:spacing w:after="0"/>
              <w:ind w:left="0" w:firstLine="0"/>
              <w:jc w:val="left"/>
              <w:rPr>
                <w:b/>
                <w:bCs/>
                <w:sz w:val="18"/>
                <w:szCs w:val="18"/>
              </w:rPr>
            </w:pPr>
            <w:r w:rsidRPr="00FE0C56">
              <w:rPr>
                <w:b/>
                <w:bCs/>
                <w:sz w:val="20"/>
              </w:rPr>
              <w:t xml:space="preserve">Empierrement libre pour la protection avale                                                                                            </w:t>
            </w:r>
            <w:r w:rsidRPr="00FE0C56">
              <w:rPr>
                <w:sz w:val="18"/>
                <w:szCs w:val="18"/>
              </w:rPr>
              <w:t>Ce prix rémunère l’exécution de la protection avale des ouvrages spécifiés conformément aux indications des plans.</w:t>
            </w:r>
            <w:r w:rsidRPr="00FE0C56">
              <w:rPr>
                <w:sz w:val="18"/>
                <w:szCs w:val="18"/>
              </w:rPr>
              <w:br/>
              <w:t>L’épaisseur de l’enrochement varie de 30 à 40 cm au minimum.</w:t>
            </w:r>
            <w:r w:rsidRPr="00FE0C56">
              <w:rPr>
                <w:sz w:val="18"/>
                <w:szCs w:val="18"/>
              </w:rPr>
              <w:br/>
            </w:r>
            <w:r w:rsidRPr="00FE0C56">
              <w:rPr>
                <w:sz w:val="18"/>
                <w:szCs w:val="18"/>
              </w:rPr>
              <w:br/>
              <w:t>Ce prix comprend conformément aux spécifications des prescriptions techniques :</w:t>
            </w:r>
            <w:r w:rsidRPr="00FE0C56">
              <w:rPr>
                <w:sz w:val="18"/>
                <w:szCs w:val="18"/>
              </w:rPr>
              <w:br/>
              <w:t>- La fourniture et le transport sur le lieu d’emploi de tous les matériaux nécessaires à la réalisation de l’enrochement ;</w:t>
            </w:r>
            <w:r w:rsidRPr="00FE0C56">
              <w:rPr>
                <w:sz w:val="18"/>
                <w:szCs w:val="18"/>
              </w:rPr>
              <w:br/>
              <w:t>- Le stockage de ces matériaux ;</w:t>
            </w:r>
            <w:r w:rsidRPr="00FE0C56">
              <w:rPr>
                <w:sz w:val="18"/>
                <w:szCs w:val="18"/>
              </w:rPr>
              <w:br/>
              <w:t>- La mise en place, l’enragement des moellons de talus à la main et le jointoiement avec du gravillon et des éclats de pierre ;</w:t>
            </w:r>
            <w:r w:rsidRPr="00FE0C56">
              <w:rPr>
                <w:sz w:val="18"/>
                <w:szCs w:val="18"/>
              </w:rPr>
              <w:br/>
              <w:t>- et toutes sujétions d'exécution et de main d’œuvre qualifié et non qualifiée.</w:t>
            </w:r>
            <w:r w:rsidRPr="00FE0C56">
              <w:rPr>
                <w:sz w:val="18"/>
                <w:szCs w:val="18"/>
              </w:rPr>
              <w:br/>
            </w:r>
            <w:r w:rsidRPr="00FE0C56">
              <w:rPr>
                <w:sz w:val="18"/>
                <w:szCs w:val="18"/>
              </w:rPr>
              <w:br/>
            </w:r>
            <w:r w:rsidRPr="00FE0C56">
              <w:rPr>
                <w:i/>
                <w:sz w:val="18"/>
                <w:szCs w:val="18"/>
              </w:rPr>
              <w:t>Ce prix s’applique au volume, en mètre cube (m3), d’enrochement libre réalisé, avec comme valeur maximale celle obtenue à partir des plans d’exécution des ouvrages.</w:t>
            </w:r>
          </w:p>
        </w:tc>
        <w:tc>
          <w:tcPr>
            <w:tcW w:w="397" w:type="pct"/>
            <w:tcBorders>
              <w:top w:val="nil"/>
              <w:left w:val="nil"/>
              <w:bottom w:val="single" w:sz="8" w:space="0" w:color="auto"/>
              <w:right w:val="single" w:sz="8" w:space="0" w:color="auto"/>
            </w:tcBorders>
            <w:shd w:val="clear" w:color="auto" w:fill="auto"/>
            <w:vAlign w:val="center"/>
            <w:hideMark/>
          </w:tcPr>
          <w:p w14:paraId="5C1C399B" w14:textId="77777777" w:rsidR="00117B7F" w:rsidRPr="00B90483" w:rsidRDefault="00117B7F" w:rsidP="007F0E33">
            <w:pPr>
              <w:spacing w:after="0"/>
              <w:ind w:left="0" w:firstLine="0"/>
              <w:jc w:val="center"/>
              <w:rPr>
                <w:sz w:val="20"/>
              </w:rPr>
            </w:pPr>
            <w:r w:rsidRPr="00B90483">
              <w:rPr>
                <w:sz w:val="20"/>
              </w:rPr>
              <w:t>m</w:t>
            </w:r>
            <w:r w:rsidRPr="00B90483">
              <w:rPr>
                <w:sz w:val="20"/>
                <w:vertAlign w:val="superscript"/>
              </w:rPr>
              <w:t>3</w:t>
            </w:r>
          </w:p>
        </w:tc>
        <w:tc>
          <w:tcPr>
            <w:tcW w:w="709" w:type="pct"/>
            <w:tcBorders>
              <w:top w:val="nil"/>
              <w:left w:val="nil"/>
              <w:bottom w:val="single" w:sz="8" w:space="0" w:color="auto"/>
              <w:right w:val="nil"/>
            </w:tcBorders>
            <w:shd w:val="clear" w:color="auto" w:fill="auto"/>
            <w:vAlign w:val="center"/>
            <w:hideMark/>
          </w:tcPr>
          <w:p w14:paraId="41DAE685" w14:textId="77777777" w:rsidR="00117B7F" w:rsidRPr="00B90483" w:rsidRDefault="00117B7F" w:rsidP="007F0E33">
            <w:pPr>
              <w:spacing w:after="0"/>
              <w:ind w:left="0" w:firstLine="0"/>
              <w:jc w:val="center"/>
              <w:rPr>
                <w:rFonts w:ascii="Arial" w:hAnsi="Arial" w:cs="Arial"/>
                <w:sz w:val="20"/>
              </w:rPr>
            </w:pPr>
          </w:p>
        </w:tc>
        <w:tc>
          <w:tcPr>
            <w:tcW w:w="746" w:type="pct"/>
            <w:tcBorders>
              <w:top w:val="nil"/>
              <w:left w:val="single" w:sz="4" w:space="0" w:color="auto"/>
              <w:bottom w:val="single" w:sz="4" w:space="0" w:color="auto"/>
              <w:right w:val="single" w:sz="4" w:space="0" w:color="auto"/>
            </w:tcBorders>
            <w:shd w:val="clear" w:color="auto" w:fill="auto"/>
            <w:noWrap/>
            <w:vAlign w:val="bottom"/>
            <w:hideMark/>
          </w:tcPr>
          <w:p w14:paraId="05CA55C9" w14:textId="77777777" w:rsidR="00117B7F" w:rsidRPr="00B90483" w:rsidRDefault="00117B7F" w:rsidP="007F0E33">
            <w:pPr>
              <w:spacing w:after="0"/>
              <w:ind w:left="0" w:firstLine="0"/>
              <w:jc w:val="left"/>
              <w:rPr>
                <w:rFonts w:ascii="Calibri" w:hAnsi="Calibri"/>
                <w:sz w:val="20"/>
              </w:rPr>
            </w:pPr>
            <w:r w:rsidRPr="00B90483">
              <w:rPr>
                <w:rFonts w:ascii="Calibri" w:hAnsi="Calibri"/>
                <w:sz w:val="20"/>
              </w:rPr>
              <w:t> </w:t>
            </w:r>
          </w:p>
        </w:tc>
      </w:tr>
      <w:tr w:rsidR="00117B7F" w:rsidRPr="00B90483" w14:paraId="2031068F" w14:textId="77777777" w:rsidTr="003332E0">
        <w:trPr>
          <w:trHeight w:val="165"/>
          <w:jc w:val="center"/>
        </w:trPr>
        <w:tc>
          <w:tcPr>
            <w:tcW w:w="261" w:type="pct"/>
            <w:tcBorders>
              <w:top w:val="nil"/>
              <w:left w:val="double" w:sz="6" w:space="0" w:color="auto"/>
              <w:bottom w:val="single" w:sz="8" w:space="0" w:color="auto"/>
              <w:right w:val="single" w:sz="8" w:space="0" w:color="auto"/>
            </w:tcBorders>
            <w:shd w:val="clear" w:color="auto" w:fill="auto"/>
            <w:vAlign w:val="center"/>
            <w:hideMark/>
          </w:tcPr>
          <w:p w14:paraId="1D143698" w14:textId="77777777" w:rsidR="00117B7F" w:rsidRPr="00B90483" w:rsidRDefault="00117B7F" w:rsidP="007F0E33">
            <w:pPr>
              <w:spacing w:after="0"/>
              <w:ind w:left="0" w:firstLine="0"/>
              <w:jc w:val="center"/>
              <w:rPr>
                <w:b/>
                <w:bCs/>
                <w:sz w:val="20"/>
              </w:rPr>
            </w:pPr>
            <w:r w:rsidRPr="00B90483">
              <w:rPr>
                <w:b/>
                <w:bCs/>
                <w:sz w:val="20"/>
              </w:rPr>
              <w:t> </w:t>
            </w:r>
          </w:p>
        </w:tc>
        <w:tc>
          <w:tcPr>
            <w:tcW w:w="2887" w:type="pct"/>
            <w:tcBorders>
              <w:top w:val="nil"/>
              <w:left w:val="nil"/>
              <w:bottom w:val="single" w:sz="8" w:space="0" w:color="auto"/>
              <w:right w:val="single" w:sz="8" w:space="0" w:color="auto"/>
            </w:tcBorders>
            <w:shd w:val="clear" w:color="auto" w:fill="auto"/>
            <w:vAlign w:val="center"/>
            <w:hideMark/>
          </w:tcPr>
          <w:p w14:paraId="2B7F27D5" w14:textId="77777777" w:rsidR="00117B7F" w:rsidRPr="00B90483" w:rsidRDefault="00117B7F" w:rsidP="007F0E33">
            <w:pPr>
              <w:spacing w:after="0"/>
              <w:ind w:left="0" w:firstLine="0"/>
              <w:jc w:val="left"/>
              <w:rPr>
                <w:b/>
                <w:bCs/>
                <w:sz w:val="20"/>
              </w:rPr>
            </w:pPr>
            <w:r w:rsidRPr="00B90483">
              <w:rPr>
                <w:b/>
                <w:bCs/>
                <w:sz w:val="20"/>
              </w:rPr>
              <w:t xml:space="preserve">Série V -MURS BAJOYERS ET DIGUES DE RACCORDEMENT DE L'OUVRAGE </w:t>
            </w:r>
          </w:p>
        </w:tc>
        <w:tc>
          <w:tcPr>
            <w:tcW w:w="397" w:type="pct"/>
            <w:tcBorders>
              <w:top w:val="nil"/>
              <w:left w:val="nil"/>
              <w:bottom w:val="single" w:sz="8" w:space="0" w:color="auto"/>
              <w:right w:val="single" w:sz="8" w:space="0" w:color="auto"/>
            </w:tcBorders>
            <w:shd w:val="clear" w:color="auto" w:fill="auto"/>
            <w:vAlign w:val="center"/>
            <w:hideMark/>
          </w:tcPr>
          <w:p w14:paraId="4827DC36" w14:textId="77777777" w:rsidR="00117B7F" w:rsidRPr="00B90483" w:rsidRDefault="00117B7F" w:rsidP="007F0E33">
            <w:pPr>
              <w:spacing w:after="0"/>
              <w:ind w:left="0" w:firstLine="0"/>
              <w:jc w:val="center"/>
              <w:rPr>
                <w:sz w:val="20"/>
              </w:rPr>
            </w:pPr>
            <w:r w:rsidRPr="00B90483">
              <w:rPr>
                <w:sz w:val="20"/>
              </w:rPr>
              <w:t> </w:t>
            </w:r>
          </w:p>
        </w:tc>
        <w:tc>
          <w:tcPr>
            <w:tcW w:w="709" w:type="pct"/>
            <w:tcBorders>
              <w:top w:val="nil"/>
              <w:left w:val="nil"/>
              <w:bottom w:val="single" w:sz="8" w:space="0" w:color="auto"/>
              <w:right w:val="nil"/>
            </w:tcBorders>
            <w:shd w:val="clear" w:color="auto" w:fill="auto"/>
            <w:vAlign w:val="center"/>
            <w:hideMark/>
          </w:tcPr>
          <w:p w14:paraId="3C37E88C" w14:textId="77777777" w:rsidR="00117B7F" w:rsidRPr="00B90483" w:rsidRDefault="00117B7F" w:rsidP="007F0E33">
            <w:pPr>
              <w:spacing w:after="0"/>
              <w:ind w:left="0" w:firstLine="0"/>
              <w:jc w:val="center"/>
              <w:rPr>
                <w:rFonts w:ascii="Arial" w:hAnsi="Arial" w:cs="Arial"/>
                <w:sz w:val="20"/>
              </w:rPr>
            </w:pPr>
            <w:r w:rsidRPr="00B90483">
              <w:rPr>
                <w:rFonts w:ascii="Arial" w:hAnsi="Arial" w:cs="Arial"/>
                <w:sz w:val="20"/>
              </w:rPr>
              <w:t> </w:t>
            </w:r>
          </w:p>
        </w:tc>
        <w:tc>
          <w:tcPr>
            <w:tcW w:w="746" w:type="pct"/>
            <w:tcBorders>
              <w:top w:val="nil"/>
              <w:left w:val="single" w:sz="4" w:space="0" w:color="auto"/>
              <w:bottom w:val="single" w:sz="4" w:space="0" w:color="auto"/>
              <w:right w:val="single" w:sz="4" w:space="0" w:color="auto"/>
            </w:tcBorders>
            <w:shd w:val="clear" w:color="auto" w:fill="auto"/>
            <w:noWrap/>
            <w:vAlign w:val="bottom"/>
            <w:hideMark/>
          </w:tcPr>
          <w:p w14:paraId="47E11009" w14:textId="77777777" w:rsidR="00117B7F" w:rsidRPr="00B90483" w:rsidRDefault="00117B7F" w:rsidP="007F0E33">
            <w:pPr>
              <w:spacing w:after="0"/>
              <w:ind w:left="0" w:firstLine="0"/>
              <w:jc w:val="left"/>
              <w:rPr>
                <w:rFonts w:ascii="Calibri" w:hAnsi="Calibri"/>
                <w:sz w:val="20"/>
              </w:rPr>
            </w:pPr>
            <w:r w:rsidRPr="00B90483">
              <w:rPr>
                <w:rFonts w:ascii="Calibri" w:hAnsi="Calibri"/>
                <w:sz w:val="20"/>
              </w:rPr>
              <w:t> </w:t>
            </w:r>
          </w:p>
        </w:tc>
      </w:tr>
      <w:tr w:rsidR="00117B7F" w:rsidRPr="00B90483" w14:paraId="0AF670DF" w14:textId="77777777" w:rsidTr="00BD46CB">
        <w:trPr>
          <w:trHeight w:val="5310"/>
          <w:jc w:val="center"/>
        </w:trPr>
        <w:tc>
          <w:tcPr>
            <w:tcW w:w="261" w:type="pct"/>
            <w:tcBorders>
              <w:top w:val="single" w:sz="4" w:space="0" w:color="auto"/>
              <w:left w:val="double" w:sz="6" w:space="0" w:color="auto"/>
              <w:bottom w:val="single" w:sz="8" w:space="0" w:color="auto"/>
              <w:right w:val="single" w:sz="8" w:space="0" w:color="auto"/>
            </w:tcBorders>
            <w:shd w:val="clear" w:color="auto" w:fill="auto"/>
            <w:vAlign w:val="center"/>
            <w:hideMark/>
          </w:tcPr>
          <w:p w14:paraId="13D554E6" w14:textId="77777777" w:rsidR="00117B7F" w:rsidRPr="00B90483" w:rsidRDefault="00117B7F" w:rsidP="007F0E33">
            <w:pPr>
              <w:spacing w:after="0"/>
              <w:ind w:left="0" w:firstLine="0"/>
              <w:jc w:val="center"/>
              <w:rPr>
                <w:b/>
                <w:bCs/>
                <w:sz w:val="20"/>
              </w:rPr>
            </w:pPr>
            <w:r w:rsidRPr="00B90483">
              <w:rPr>
                <w:b/>
                <w:bCs/>
                <w:sz w:val="20"/>
              </w:rPr>
              <w:lastRenderedPageBreak/>
              <w:t>5.1</w:t>
            </w:r>
          </w:p>
        </w:tc>
        <w:tc>
          <w:tcPr>
            <w:tcW w:w="2887" w:type="pct"/>
            <w:tcBorders>
              <w:top w:val="single" w:sz="4" w:space="0" w:color="auto"/>
              <w:left w:val="nil"/>
              <w:bottom w:val="single" w:sz="8" w:space="0" w:color="auto"/>
              <w:right w:val="single" w:sz="8" w:space="0" w:color="auto"/>
            </w:tcBorders>
            <w:shd w:val="clear" w:color="auto" w:fill="auto"/>
            <w:vAlign w:val="center"/>
            <w:hideMark/>
          </w:tcPr>
          <w:p w14:paraId="7A26B0D3" w14:textId="77777777" w:rsidR="00117B7F" w:rsidRPr="00B90483" w:rsidRDefault="00117B7F" w:rsidP="007F0E33">
            <w:pPr>
              <w:spacing w:after="0"/>
              <w:ind w:left="0" w:firstLine="0"/>
              <w:jc w:val="left"/>
              <w:rPr>
                <w:b/>
                <w:bCs/>
                <w:sz w:val="20"/>
              </w:rPr>
            </w:pPr>
            <w:r w:rsidRPr="00B90483">
              <w:rPr>
                <w:b/>
                <w:bCs/>
                <w:sz w:val="20"/>
              </w:rPr>
              <w:t>Déblai pour murs bajoyers et digue de raccordements dans les dimensions du plan</w:t>
            </w:r>
            <w:r w:rsidRPr="00B90483">
              <w:rPr>
                <w:sz w:val="20"/>
              </w:rPr>
              <w:t xml:space="preserve">                                                                                                                             </w:t>
            </w:r>
            <w:r w:rsidRPr="00B90483">
              <w:rPr>
                <w:sz w:val="18"/>
                <w:szCs w:val="18"/>
              </w:rPr>
              <w:t xml:space="preserve">Ce prix rémunère la réalisation des déblais en terrain tendre ou semi dur pour les fondations des murs bajoyers et de l’ancrage des digues constatés contradictoirement par le Maître d’Œuvre et comprend le déblayage, le chargement, le transport, le dépôt en dehors de la limite de l'emprise des ouvrages et le régalage des terres sur les lieux de dépôt. </w:t>
            </w:r>
            <w:r w:rsidRPr="00B90483">
              <w:rPr>
                <w:sz w:val="18"/>
                <w:szCs w:val="18"/>
              </w:rPr>
              <w:br/>
            </w:r>
            <w:r w:rsidRPr="00B90483">
              <w:rPr>
                <w:sz w:val="18"/>
                <w:szCs w:val="18"/>
              </w:rPr>
              <w:br/>
              <w:t>Ce prix comprend :</w:t>
            </w:r>
            <w:r w:rsidRPr="00B90483">
              <w:rPr>
                <w:sz w:val="18"/>
                <w:szCs w:val="18"/>
              </w:rPr>
              <w:br/>
              <w:t>- Tous les travaux d'accomplissement des profils de déblais ;</w:t>
            </w:r>
            <w:r w:rsidRPr="00B90483">
              <w:rPr>
                <w:sz w:val="18"/>
                <w:szCs w:val="18"/>
              </w:rPr>
              <w:br/>
              <w:t>- Les coûts liés à l’emploi éventuel des engins lourds ;</w:t>
            </w:r>
            <w:r w:rsidRPr="00B90483">
              <w:rPr>
                <w:sz w:val="18"/>
                <w:szCs w:val="18"/>
              </w:rPr>
              <w:br/>
              <w:t>- La réalisation des déblais de finition éventuelle ;</w:t>
            </w:r>
            <w:r w:rsidRPr="00B90483">
              <w:rPr>
                <w:sz w:val="18"/>
                <w:szCs w:val="18"/>
              </w:rPr>
              <w:br/>
              <w:t>- Les sur largeurs provisoires des déblais puis le taillage de ces talus ;</w:t>
            </w:r>
            <w:r w:rsidRPr="00B90483">
              <w:rPr>
                <w:sz w:val="18"/>
                <w:szCs w:val="18"/>
              </w:rPr>
              <w:br/>
              <w:t>- Le chargement des déblais et leur dépôt hors emprise des ouvrages ;</w:t>
            </w:r>
            <w:r w:rsidRPr="00B90483">
              <w:rPr>
                <w:sz w:val="18"/>
                <w:szCs w:val="18"/>
              </w:rPr>
              <w:br/>
              <w:t>- Le réglage, le compactage et la finition du fond de forme ;</w:t>
            </w:r>
            <w:r w:rsidRPr="00B90483">
              <w:rPr>
                <w:sz w:val="18"/>
                <w:szCs w:val="18"/>
              </w:rPr>
              <w:br/>
              <w:t>- Le dressage des talus du déblai ;</w:t>
            </w:r>
            <w:r w:rsidRPr="00B90483">
              <w:rPr>
                <w:sz w:val="18"/>
                <w:szCs w:val="18"/>
              </w:rPr>
              <w:br/>
              <w:t>- Toutes les sujétions d’extraction des matériaux et l’extraction elle-même ;</w:t>
            </w:r>
            <w:r w:rsidRPr="00B90483">
              <w:rPr>
                <w:sz w:val="18"/>
                <w:szCs w:val="18"/>
              </w:rPr>
              <w:br/>
              <w:t>- La mise en dépôt provisoire du stock qui en découlerait ;</w:t>
            </w:r>
            <w:r w:rsidRPr="00B90483">
              <w:rPr>
                <w:sz w:val="18"/>
                <w:szCs w:val="18"/>
              </w:rPr>
              <w:br/>
              <w:t>- La finition des dépôts ;</w:t>
            </w:r>
            <w:r w:rsidRPr="00B90483">
              <w:rPr>
                <w:sz w:val="18"/>
                <w:szCs w:val="18"/>
              </w:rPr>
              <w:br/>
              <w:t>- Et toutes sujétions d'exécution et de main d’œuvre qualifié et non qualifiée.</w:t>
            </w:r>
            <w:r w:rsidRPr="00B90483">
              <w:rPr>
                <w:sz w:val="20"/>
              </w:rPr>
              <w:br/>
            </w:r>
            <w:r w:rsidRPr="00B90483">
              <w:rPr>
                <w:sz w:val="20"/>
              </w:rPr>
              <w:br/>
            </w:r>
            <w:r w:rsidRPr="00B90483">
              <w:rPr>
                <w:i/>
                <w:sz w:val="18"/>
                <w:szCs w:val="18"/>
              </w:rPr>
              <w:t>Ce prix s’applique au mètre cube (m3) théorique de déblai, les côtes du terrain naturel étant celles obtenues par levés contradictoires des profils en travers minorés de l'épaisseur du décapage éventuel.</w:t>
            </w:r>
          </w:p>
        </w:tc>
        <w:tc>
          <w:tcPr>
            <w:tcW w:w="397" w:type="pct"/>
            <w:tcBorders>
              <w:top w:val="single" w:sz="4" w:space="0" w:color="auto"/>
              <w:left w:val="nil"/>
              <w:bottom w:val="single" w:sz="8" w:space="0" w:color="auto"/>
              <w:right w:val="single" w:sz="8" w:space="0" w:color="auto"/>
            </w:tcBorders>
            <w:shd w:val="clear" w:color="auto" w:fill="auto"/>
            <w:vAlign w:val="center"/>
            <w:hideMark/>
          </w:tcPr>
          <w:p w14:paraId="395A947A" w14:textId="77777777" w:rsidR="00117B7F" w:rsidRPr="00B90483" w:rsidRDefault="00117B7F" w:rsidP="007F0E33">
            <w:pPr>
              <w:spacing w:after="0"/>
              <w:ind w:left="0" w:firstLine="0"/>
              <w:jc w:val="center"/>
              <w:rPr>
                <w:sz w:val="20"/>
              </w:rPr>
            </w:pPr>
            <w:r w:rsidRPr="00B90483">
              <w:rPr>
                <w:sz w:val="20"/>
              </w:rPr>
              <w:t>m</w:t>
            </w:r>
            <w:r w:rsidRPr="00B90483">
              <w:rPr>
                <w:sz w:val="20"/>
                <w:vertAlign w:val="superscript"/>
              </w:rPr>
              <w:t>3</w:t>
            </w:r>
          </w:p>
        </w:tc>
        <w:tc>
          <w:tcPr>
            <w:tcW w:w="709" w:type="pct"/>
            <w:tcBorders>
              <w:top w:val="single" w:sz="4" w:space="0" w:color="auto"/>
              <w:left w:val="nil"/>
              <w:bottom w:val="single" w:sz="8" w:space="0" w:color="auto"/>
              <w:right w:val="nil"/>
            </w:tcBorders>
            <w:shd w:val="clear" w:color="auto" w:fill="auto"/>
            <w:vAlign w:val="center"/>
            <w:hideMark/>
          </w:tcPr>
          <w:p w14:paraId="62FECFAE" w14:textId="77777777" w:rsidR="00117B7F" w:rsidRPr="00B90483" w:rsidRDefault="00117B7F" w:rsidP="007F0E33">
            <w:pPr>
              <w:spacing w:after="0"/>
              <w:ind w:left="0" w:firstLine="0"/>
              <w:jc w:val="center"/>
              <w:rPr>
                <w:rFonts w:ascii="Arial" w:hAnsi="Arial" w:cs="Arial"/>
                <w:sz w:val="20"/>
              </w:rPr>
            </w:pPr>
          </w:p>
        </w:tc>
        <w:tc>
          <w:tcPr>
            <w:tcW w:w="7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722B5D" w14:textId="77777777" w:rsidR="00117B7F" w:rsidRPr="00B90483" w:rsidRDefault="00117B7F" w:rsidP="007F0E33">
            <w:pPr>
              <w:spacing w:after="0"/>
              <w:ind w:left="0" w:firstLine="0"/>
              <w:jc w:val="left"/>
              <w:rPr>
                <w:rFonts w:ascii="Calibri" w:hAnsi="Calibri"/>
                <w:sz w:val="20"/>
              </w:rPr>
            </w:pPr>
            <w:r w:rsidRPr="00B90483">
              <w:rPr>
                <w:rFonts w:ascii="Calibri" w:hAnsi="Calibri"/>
                <w:sz w:val="20"/>
              </w:rPr>
              <w:t> </w:t>
            </w:r>
          </w:p>
        </w:tc>
      </w:tr>
      <w:tr w:rsidR="00117B7F" w:rsidRPr="00B90483" w14:paraId="0D7CA4CC" w14:textId="77777777" w:rsidTr="00BD46CB">
        <w:trPr>
          <w:trHeight w:val="1325"/>
          <w:jc w:val="center"/>
        </w:trPr>
        <w:tc>
          <w:tcPr>
            <w:tcW w:w="261" w:type="pct"/>
            <w:tcBorders>
              <w:top w:val="nil"/>
              <w:left w:val="double" w:sz="6" w:space="0" w:color="auto"/>
              <w:bottom w:val="single" w:sz="8" w:space="0" w:color="auto"/>
              <w:right w:val="single" w:sz="8" w:space="0" w:color="auto"/>
            </w:tcBorders>
            <w:shd w:val="clear" w:color="auto" w:fill="auto"/>
            <w:vAlign w:val="center"/>
            <w:hideMark/>
          </w:tcPr>
          <w:p w14:paraId="2B54C593" w14:textId="77777777" w:rsidR="00117B7F" w:rsidRPr="00B90483" w:rsidRDefault="00117B7F" w:rsidP="007F0E33">
            <w:pPr>
              <w:spacing w:after="0"/>
              <w:ind w:left="0" w:firstLine="0"/>
              <w:jc w:val="center"/>
              <w:rPr>
                <w:b/>
                <w:bCs/>
                <w:sz w:val="20"/>
              </w:rPr>
            </w:pPr>
            <w:r w:rsidRPr="00B90483">
              <w:rPr>
                <w:b/>
                <w:bCs/>
                <w:sz w:val="20"/>
              </w:rPr>
              <w:t>5.2</w:t>
            </w:r>
          </w:p>
        </w:tc>
        <w:tc>
          <w:tcPr>
            <w:tcW w:w="2887" w:type="pct"/>
            <w:tcBorders>
              <w:top w:val="nil"/>
              <w:left w:val="nil"/>
              <w:bottom w:val="single" w:sz="8" w:space="0" w:color="auto"/>
              <w:right w:val="single" w:sz="8" w:space="0" w:color="auto"/>
            </w:tcBorders>
            <w:shd w:val="clear" w:color="auto" w:fill="auto"/>
            <w:vAlign w:val="center"/>
            <w:hideMark/>
          </w:tcPr>
          <w:p w14:paraId="6E2C5278" w14:textId="77777777" w:rsidR="00117B7F" w:rsidRPr="00B90483" w:rsidRDefault="00117B7F" w:rsidP="007F0E33">
            <w:pPr>
              <w:spacing w:after="0"/>
              <w:ind w:left="0" w:firstLine="0"/>
              <w:jc w:val="left"/>
              <w:rPr>
                <w:b/>
                <w:bCs/>
                <w:sz w:val="20"/>
              </w:rPr>
            </w:pPr>
            <w:r w:rsidRPr="00B90483">
              <w:rPr>
                <w:b/>
                <w:bCs/>
                <w:sz w:val="20"/>
              </w:rPr>
              <w:t xml:space="preserve">Béton de propreté dosé à 150 kg/m3 </w:t>
            </w:r>
            <w:proofErr w:type="spellStart"/>
            <w:r w:rsidRPr="00B90483">
              <w:rPr>
                <w:b/>
                <w:bCs/>
                <w:sz w:val="20"/>
              </w:rPr>
              <w:t>ép</w:t>
            </w:r>
            <w:proofErr w:type="spellEnd"/>
            <w:r w:rsidRPr="00B90483">
              <w:rPr>
                <w:b/>
                <w:bCs/>
                <w:sz w:val="20"/>
              </w:rPr>
              <w:t xml:space="preserve">=10cm                          </w:t>
            </w:r>
            <w:r w:rsidRPr="00B90483">
              <w:rPr>
                <w:bCs/>
                <w:sz w:val="18"/>
                <w:szCs w:val="18"/>
              </w:rPr>
              <w:t>Ce prix est identique au prix 2.3 appliqué aux ouvrages spécifiés.</w:t>
            </w:r>
            <w:r w:rsidRPr="00B90483">
              <w:rPr>
                <w:bCs/>
                <w:sz w:val="18"/>
                <w:szCs w:val="18"/>
              </w:rPr>
              <w:br/>
            </w:r>
            <w:r w:rsidRPr="00B90483">
              <w:rPr>
                <w:b/>
                <w:bCs/>
                <w:sz w:val="20"/>
              </w:rPr>
              <w:br/>
            </w:r>
            <w:r w:rsidRPr="00B90483">
              <w:rPr>
                <w:i/>
                <w:sz w:val="18"/>
                <w:szCs w:val="18"/>
              </w:rPr>
              <w:t>Ce prix s’applique au volume, en mètre cube (m3), de béton de propreté dosé à 150 kg/m3 coulé, avec comme valeur maximale celle obtenue à partir des plans d’exécution des ouvrages.</w:t>
            </w:r>
          </w:p>
        </w:tc>
        <w:tc>
          <w:tcPr>
            <w:tcW w:w="397" w:type="pct"/>
            <w:tcBorders>
              <w:top w:val="nil"/>
              <w:left w:val="nil"/>
              <w:bottom w:val="single" w:sz="8" w:space="0" w:color="auto"/>
              <w:right w:val="single" w:sz="8" w:space="0" w:color="auto"/>
            </w:tcBorders>
            <w:shd w:val="clear" w:color="auto" w:fill="auto"/>
            <w:vAlign w:val="center"/>
            <w:hideMark/>
          </w:tcPr>
          <w:p w14:paraId="3564BD08" w14:textId="77777777" w:rsidR="00117B7F" w:rsidRPr="00B90483" w:rsidRDefault="00117B7F" w:rsidP="007F0E33">
            <w:pPr>
              <w:spacing w:after="0"/>
              <w:ind w:left="0" w:firstLine="0"/>
              <w:jc w:val="center"/>
              <w:rPr>
                <w:sz w:val="20"/>
              </w:rPr>
            </w:pPr>
            <w:r w:rsidRPr="00B90483">
              <w:rPr>
                <w:sz w:val="20"/>
              </w:rPr>
              <w:t>m</w:t>
            </w:r>
            <w:r w:rsidRPr="00B90483">
              <w:rPr>
                <w:sz w:val="20"/>
                <w:vertAlign w:val="superscript"/>
              </w:rPr>
              <w:t>3</w:t>
            </w:r>
          </w:p>
        </w:tc>
        <w:tc>
          <w:tcPr>
            <w:tcW w:w="709" w:type="pct"/>
            <w:tcBorders>
              <w:top w:val="nil"/>
              <w:left w:val="nil"/>
              <w:bottom w:val="single" w:sz="8" w:space="0" w:color="auto"/>
              <w:right w:val="nil"/>
            </w:tcBorders>
            <w:shd w:val="clear" w:color="auto" w:fill="auto"/>
            <w:vAlign w:val="center"/>
            <w:hideMark/>
          </w:tcPr>
          <w:p w14:paraId="74B4A40F" w14:textId="77777777" w:rsidR="00117B7F" w:rsidRPr="00B90483" w:rsidRDefault="00117B7F" w:rsidP="007F0E33">
            <w:pPr>
              <w:spacing w:after="0"/>
              <w:ind w:left="0" w:firstLine="0"/>
              <w:jc w:val="center"/>
              <w:rPr>
                <w:rFonts w:ascii="Arial" w:hAnsi="Arial" w:cs="Arial"/>
                <w:sz w:val="20"/>
              </w:rPr>
            </w:pPr>
          </w:p>
        </w:tc>
        <w:tc>
          <w:tcPr>
            <w:tcW w:w="746" w:type="pct"/>
            <w:tcBorders>
              <w:top w:val="nil"/>
              <w:left w:val="single" w:sz="4" w:space="0" w:color="auto"/>
              <w:bottom w:val="single" w:sz="4" w:space="0" w:color="auto"/>
              <w:right w:val="single" w:sz="4" w:space="0" w:color="auto"/>
            </w:tcBorders>
            <w:shd w:val="clear" w:color="auto" w:fill="auto"/>
            <w:noWrap/>
            <w:vAlign w:val="bottom"/>
            <w:hideMark/>
          </w:tcPr>
          <w:p w14:paraId="5106D094" w14:textId="77777777" w:rsidR="00117B7F" w:rsidRPr="00B90483" w:rsidRDefault="00117B7F" w:rsidP="007F0E33">
            <w:pPr>
              <w:spacing w:after="0"/>
              <w:ind w:left="0" w:firstLine="0"/>
              <w:jc w:val="left"/>
              <w:rPr>
                <w:rFonts w:ascii="Calibri" w:hAnsi="Calibri"/>
                <w:sz w:val="20"/>
              </w:rPr>
            </w:pPr>
            <w:r w:rsidRPr="00B90483">
              <w:rPr>
                <w:rFonts w:ascii="Calibri" w:hAnsi="Calibri"/>
                <w:sz w:val="20"/>
              </w:rPr>
              <w:t> </w:t>
            </w:r>
          </w:p>
        </w:tc>
      </w:tr>
      <w:tr w:rsidR="00117B7F" w:rsidRPr="00B90483" w14:paraId="5C6D9DBE" w14:textId="77777777" w:rsidTr="00BD46CB">
        <w:trPr>
          <w:trHeight w:val="1845"/>
          <w:jc w:val="center"/>
        </w:trPr>
        <w:tc>
          <w:tcPr>
            <w:tcW w:w="261" w:type="pct"/>
            <w:tcBorders>
              <w:top w:val="nil"/>
              <w:left w:val="double" w:sz="6" w:space="0" w:color="auto"/>
              <w:bottom w:val="single" w:sz="8" w:space="0" w:color="auto"/>
              <w:right w:val="single" w:sz="8" w:space="0" w:color="auto"/>
            </w:tcBorders>
            <w:shd w:val="clear" w:color="auto" w:fill="auto"/>
            <w:vAlign w:val="center"/>
            <w:hideMark/>
          </w:tcPr>
          <w:p w14:paraId="01CAD039" w14:textId="77777777" w:rsidR="00117B7F" w:rsidRPr="00B90483" w:rsidRDefault="00117B7F" w:rsidP="007F0E33">
            <w:pPr>
              <w:spacing w:after="0"/>
              <w:ind w:left="0" w:firstLine="0"/>
              <w:jc w:val="center"/>
              <w:rPr>
                <w:b/>
                <w:bCs/>
                <w:sz w:val="20"/>
              </w:rPr>
            </w:pPr>
            <w:r w:rsidRPr="00B90483">
              <w:rPr>
                <w:b/>
                <w:bCs/>
                <w:sz w:val="20"/>
              </w:rPr>
              <w:t>5.3</w:t>
            </w:r>
          </w:p>
        </w:tc>
        <w:tc>
          <w:tcPr>
            <w:tcW w:w="2887" w:type="pct"/>
            <w:tcBorders>
              <w:top w:val="nil"/>
              <w:left w:val="nil"/>
              <w:bottom w:val="single" w:sz="8" w:space="0" w:color="auto"/>
              <w:right w:val="single" w:sz="8" w:space="0" w:color="auto"/>
            </w:tcBorders>
            <w:shd w:val="clear" w:color="auto" w:fill="auto"/>
            <w:vAlign w:val="center"/>
            <w:hideMark/>
          </w:tcPr>
          <w:p w14:paraId="5CA2D154" w14:textId="77777777" w:rsidR="00117B7F" w:rsidRPr="00B90483" w:rsidRDefault="00117B7F" w:rsidP="007F0E33">
            <w:pPr>
              <w:spacing w:after="0"/>
              <w:ind w:left="0" w:firstLine="0"/>
              <w:jc w:val="left"/>
              <w:rPr>
                <w:b/>
                <w:bCs/>
                <w:sz w:val="20"/>
              </w:rPr>
            </w:pPr>
            <w:r w:rsidRPr="00B90483">
              <w:rPr>
                <w:b/>
                <w:bCs/>
                <w:sz w:val="20"/>
              </w:rPr>
              <w:t xml:space="preserve">Béton cyclopéen de moellon de grés dosé à 350 kg/m3 pour bajoyers (blocage et élévation) </w:t>
            </w:r>
            <w:r w:rsidRPr="00B90483">
              <w:rPr>
                <w:sz w:val="20"/>
              </w:rPr>
              <w:t xml:space="preserve">                                                                                                                   </w:t>
            </w:r>
            <w:r w:rsidRPr="00B90483">
              <w:rPr>
                <w:sz w:val="18"/>
                <w:szCs w:val="18"/>
              </w:rPr>
              <w:t xml:space="preserve">Ce prix est identique au prix 2.5 sans ajout de </w:t>
            </w:r>
            <w:proofErr w:type="spellStart"/>
            <w:r w:rsidRPr="00B90483">
              <w:rPr>
                <w:sz w:val="18"/>
                <w:szCs w:val="18"/>
              </w:rPr>
              <w:t>sikhalite</w:t>
            </w:r>
            <w:proofErr w:type="spellEnd"/>
            <w:r w:rsidRPr="00B90483">
              <w:rPr>
                <w:sz w:val="18"/>
                <w:szCs w:val="18"/>
              </w:rPr>
              <w:t xml:space="preserve"> appliqué aux murs bajoyers.</w:t>
            </w:r>
            <w:r w:rsidRPr="00B90483">
              <w:rPr>
                <w:sz w:val="20"/>
              </w:rPr>
              <w:br/>
            </w:r>
            <w:r w:rsidRPr="00B90483">
              <w:rPr>
                <w:sz w:val="20"/>
              </w:rPr>
              <w:br/>
            </w:r>
            <w:r w:rsidRPr="00B90483">
              <w:rPr>
                <w:sz w:val="18"/>
                <w:szCs w:val="18"/>
              </w:rPr>
              <w:t>Le prix rémunère le matériel, le personnel qualifié et non qualifié (technicien, équipes maçons, manœuvres) et les matériaux nécessaires.</w:t>
            </w:r>
            <w:r w:rsidRPr="00B90483">
              <w:rPr>
                <w:sz w:val="18"/>
                <w:szCs w:val="18"/>
              </w:rPr>
              <w:br/>
            </w:r>
            <w:r w:rsidRPr="00B90483">
              <w:rPr>
                <w:sz w:val="18"/>
                <w:szCs w:val="18"/>
              </w:rPr>
              <w:br/>
            </w:r>
            <w:r w:rsidRPr="00B90483">
              <w:rPr>
                <w:i/>
                <w:sz w:val="18"/>
                <w:szCs w:val="18"/>
              </w:rPr>
              <w:t>Ce prix s’applique au volume, en mètre cube (m3), de béton cyclopéen, avec comme valeur maximale celle obtenue à partir des plans d’exécution des ouvrages.</w:t>
            </w:r>
          </w:p>
        </w:tc>
        <w:tc>
          <w:tcPr>
            <w:tcW w:w="397" w:type="pct"/>
            <w:tcBorders>
              <w:top w:val="nil"/>
              <w:left w:val="nil"/>
              <w:bottom w:val="single" w:sz="8" w:space="0" w:color="auto"/>
              <w:right w:val="single" w:sz="8" w:space="0" w:color="auto"/>
            </w:tcBorders>
            <w:shd w:val="clear" w:color="auto" w:fill="auto"/>
            <w:vAlign w:val="center"/>
            <w:hideMark/>
          </w:tcPr>
          <w:p w14:paraId="6D456D50" w14:textId="77777777" w:rsidR="00117B7F" w:rsidRPr="00B90483" w:rsidRDefault="00117B7F" w:rsidP="007F0E33">
            <w:pPr>
              <w:spacing w:after="0"/>
              <w:ind w:left="0" w:firstLine="0"/>
              <w:jc w:val="center"/>
              <w:rPr>
                <w:sz w:val="20"/>
              </w:rPr>
            </w:pPr>
            <w:r w:rsidRPr="00B90483">
              <w:rPr>
                <w:sz w:val="20"/>
              </w:rPr>
              <w:t>m</w:t>
            </w:r>
            <w:r w:rsidRPr="00B90483">
              <w:rPr>
                <w:sz w:val="20"/>
                <w:vertAlign w:val="superscript"/>
              </w:rPr>
              <w:t>3</w:t>
            </w:r>
          </w:p>
        </w:tc>
        <w:tc>
          <w:tcPr>
            <w:tcW w:w="709" w:type="pct"/>
            <w:tcBorders>
              <w:top w:val="nil"/>
              <w:left w:val="nil"/>
              <w:bottom w:val="single" w:sz="8" w:space="0" w:color="auto"/>
              <w:right w:val="nil"/>
            </w:tcBorders>
            <w:shd w:val="clear" w:color="auto" w:fill="auto"/>
            <w:vAlign w:val="center"/>
            <w:hideMark/>
          </w:tcPr>
          <w:p w14:paraId="1B7F9931" w14:textId="77777777" w:rsidR="00117B7F" w:rsidRPr="00B90483" w:rsidRDefault="00117B7F" w:rsidP="007F0E33">
            <w:pPr>
              <w:spacing w:after="0"/>
              <w:ind w:left="0" w:firstLine="0"/>
              <w:jc w:val="center"/>
              <w:rPr>
                <w:rFonts w:ascii="Arial" w:hAnsi="Arial" w:cs="Arial"/>
                <w:sz w:val="20"/>
              </w:rPr>
            </w:pPr>
          </w:p>
        </w:tc>
        <w:tc>
          <w:tcPr>
            <w:tcW w:w="746" w:type="pct"/>
            <w:tcBorders>
              <w:top w:val="nil"/>
              <w:left w:val="single" w:sz="4" w:space="0" w:color="auto"/>
              <w:bottom w:val="single" w:sz="4" w:space="0" w:color="auto"/>
              <w:right w:val="single" w:sz="4" w:space="0" w:color="auto"/>
            </w:tcBorders>
            <w:shd w:val="clear" w:color="auto" w:fill="auto"/>
            <w:noWrap/>
            <w:vAlign w:val="bottom"/>
            <w:hideMark/>
          </w:tcPr>
          <w:p w14:paraId="09249B7C" w14:textId="77777777" w:rsidR="00117B7F" w:rsidRPr="00B90483" w:rsidRDefault="00117B7F" w:rsidP="007F0E33">
            <w:pPr>
              <w:spacing w:after="0"/>
              <w:ind w:left="0" w:firstLine="0"/>
              <w:jc w:val="left"/>
              <w:rPr>
                <w:rFonts w:ascii="Calibri" w:hAnsi="Calibri"/>
                <w:sz w:val="20"/>
              </w:rPr>
            </w:pPr>
            <w:r w:rsidRPr="00B90483">
              <w:rPr>
                <w:rFonts w:ascii="Calibri" w:hAnsi="Calibri"/>
                <w:sz w:val="20"/>
              </w:rPr>
              <w:t> </w:t>
            </w:r>
          </w:p>
        </w:tc>
      </w:tr>
      <w:tr w:rsidR="00117B7F" w:rsidRPr="00B90483" w14:paraId="2C51D9CC" w14:textId="77777777" w:rsidTr="00BD46CB">
        <w:trPr>
          <w:trHeight w:val="5250"/>
          <w:jc w:val="center"/>
        </w:trPr>
        <w:tc>
          <w:tcPr>
            <w:tcW w:w="261" w:type="pct"/>
            <w:tcBorders>
              <w:top w:val="single" w:sz="4" w:space="0" w:color="auto"/>
              <w:left w:val="double" w:sz="6" w:space="0" w:color="auto"/>
              <w:bottom w:val="single" w:sz="8" w:space="0" w:color="auto"/>
              <w:right w:val="single" w:sz="8" w:space="0" w:color="auto"/>
            </w:tcBorders>
            <w:shd w:val="clear" w:color="auto" w:fill="auto"/>
            <w:vAlign w:val="center"/>
            <w:hideMark/>
          </w:tcPr>
          <w:p w14:paraId="7449569D" w14:textId="77777777" w:rsidR="00117B7F" w:rsidRPr="00B90483" w:rsidRDefault="00117B7F" w:rsidP="007F0E33">
            <w:pPr>
              <w:spacing w:after="0"/>
              <w:ind w:left="0" w:firstLine="0"/>
              <w:jc w:val="center"/>
              <w:rPr>
                <w:b/>
                <w:bCs/>
                <w:sz w:val="20"/>
              </w:rPr>
            </w:pPr>
            <w:r w:rsidRPr="00B90483">
              <w:rPr>
                <w:b/>
                <w:bCs/>
                <w:sz w:val="20"/>
              </w:rPr>
              <w:lastRenderedPageBreak/>
              <w:t>5.4</w:t>
            </w:r>
          </w:p>
        </w:tc>
        <w:tc>
          <w:tcPr>
            <w:tcW w:w="2887" w:type="pct"/>
            <w:tcBorders>
              <w:top w:val="single" w:sz="4" w:space="0" w:color="auto"/>
              <w:left w:val="nil"/>
              <w:bottom w:val="single" w:sz="8" w:space="0" w:color="auto"/>
              <w:right w:val="single" w:sz="8" w:space="0" w:color="auto"/>
            </w:tcBorders>
            <w:shd w:val="clear" w:color="auto" w:fill="auto"/>
            <w:vAlign w:val="center"/>
            <w:hideMark/>
          </w:tcPr>
          <w:p w14:paraId="3C8CC803" w14:textId="77777777" w:rsidR="00117B7F" w:rsidRPr="00B90483" w:rsidRDefault="00117B7F" w:rsidP="007F0E33">
            <w:pPr>
              <w:spacing w:after="0"/>
              <w:ind w:left="0" w:firstLine="0"/>
              <w:jc w:val="left"/>
              <w:rPr>
                <w:sz w:val="18"/>
                <w:szCs w:val="18"/>
              </w:rPr>
            </w:pPr>
            <w:r w:rsidRPr="00B90483">
              <w:rPr>
                <w:b/>
                <w:bCs/>
                <w:sz w:val="20"/>
              </w:rPr>
              <w:t xml:space="preserve">Enduit gras dosé à 400 kg/m3 pour les murs bajoyers avec ajout du </w:t>
            </w:r>
            <w:proofErr w:type="spellStart"/>
            <w:r w:rsidRPr="00B90483">
              <w:rPr>
                <w:b/>
                <w:bCs/>
                <w:sz w:val="20"/>
              </w:rPr>
              <w:t>sikhalite</w:t>
            </w:r>
            <w:proofErr w:type="spellEnd"/>
            <w:r w:rsidRPr="00B90483">
              <w:rPr>
                <w:b/>
                <w:bCs/>
                <w:sz w:val="20"/>
              </w:rPr>
              <w:t xml:space="preserve"> dans la masse                                                                                                              </w:t>
            </w:r>
            <w:r w:rsidRPr="00B90483">
              <w:rPr>
                <w:sz w:val="18"/>
                <w:szCs w:val="18"/>
              </w:rPr>
              <w:t xml:space="preserve">Ce prix rémunère la fourniture et la mise en œuvre d’enduit gras dosé à 400 kg/m3 avec dosage en produits d’étanchéité type </w:t>
            </w:r>
            <w:proofErr w:type="spellStart"/>
            <w:r w:rsidRPr="00B90483">
              <w:rPr>
                <w:sz w:val="18"/>
                <w:szCs w:val="18"/>
              </w:rPr>
              <w:t>sikalite</w:t>
            </w:r>
            <w:proofErr w:type="spellEnd"/>
            <w:r w:rsidRPr="00B90483">
              <w:rPr>
                <w:sz w:val="18"/>
                <w:szCs w:val="18"/>
              </w:rPr>
              <w:t xml:space="preserve"> pour la réalisation de l’étanchéité des ouvrages spécifiés conformément aux indications de l’ingénieur.</w:t>
            </w:r>
            <w:r w:rsidRPr="00B90483">
              <w:rPr>
                <w:sz w:val="18"/>
                <w:szCs w:val="18"/>
              </w:rPr>
              <w:br/>
              <w:t xml:space="preserve">Le mortier est dosé à 400 kg de ciment CPJ 35 / m3 de mortier et avec du </w:t>
            </w:r>
            <w:proofErr w:type="spellStart"/>
            <w:r w:rsidRPr="00B90483">
              <w:rPr>
                <w:sz w:val="18"/>
                <w:szCs w:val="18"/>
              </w:rPr>
              <w:t>sikalite</w:t>
            </w:r>
            <w:proofErr w:type="spellEnd"/>
            <w:r w:rsidRPr="00B90483">
              <w:rPr>
                <w:sz w:val="18"/>
                <w:szCs w:val="18"/>
              </w:rPr>
              <w:t xml:space="preserve"> dosé à 8 kg / m3 de mortier (1kg de </w:t>
            </w:r>
            <w:proofErr w:type="spellStart"/>
            <w:r w:rsidRPr="00B90483">
              <w:rPr>
                <w:sz w:val="18"/>
                <w:szCs w:val="18"/>
              </w:rPr>
              <w:t>sikalite</w:t>
            </w:r>
            <w:proofErr w:type="spellEnd"/>
            <w:r w:rsidRPr="00B90483">
              <w:rPr>
                <w:sz w:val="18"/>
                <w:szCs w:val="18"/>
              </w:rPr>
              <w:t xml:space="preserve"> par sac de ciment). </w:t>
            </w:r>
            <w:r w:rsidRPr="00B90483">
              <w:rPr>
                <w:sz w:val="18"/>
                <w:szCs w:val="18"/>
              </w:rPr>
              <w:br/>
              <w:t xml:space="preserve">Le </w:t>
            </w:r>
            <w:proofErr w:type="spellStart"/>
            <w:r w:rsidRPr="00B90483">
              <w:rPr>
                <w:sz w:val="18"/>
                <w:szCs w:val="18"/>
              </w:rPr>
              <w:t>sikalite</w:t>
            </w:r>
            <w:proofErr w:type="spellEnd"/>
            <w:r w:rsidRPr="00B90483">
              <w:rPr>
                <w:sz w:val="18"/>
                <w:szCs w:val="18"/>
              </w:rPr>
              <w:t xml:space="preserve"> est un hydrofuge en poudre que l’on incorpore dans le mortier pour l’imperméabiliser par son action de feutrage dans les capillaires. Il est facile à mettre en œuvre, il n’a aucune influence sur la vitesse de prise et le durcissement, ne diminue pas la résistance.</w:t>
            </w:r>
            <w:r w:rsidRPr="00B90483">
              <w:rPr>
                <w:sz w:val="18"/>
                <w:szCs w:val="18"/>
              </w:rPr>
              <w:br/>
              <w:t>Le prix rémunère aussi la fourniture et la mise en place de polystyrène de remplissage des joints.</w:t>
            </w:r>
            <w:r w:rsidRPr="00B90483">
              <w:rPr>
                <w:sz w:val="18"/>
                <w:szCs w:val="18"/>
              </w:rPr>
              <w:br/>
              <w:t>Ce prix comprend conformément aux spécifications des prescriptions techniques :</w:t>
            </w:r>
            <w:r w:rsidRPr="00B90483">
              <w:rPr>
                <w:sz w:val="18"/>
                <w:szCs w:val="18"/>
              </w:rPr>
              <w:br/>
              <w:t>- La fourniture et le transport sur le lieu d’emploi de tous les matériaux nécessaires à la fabrication des enduits y compris les adjuvants, et aux coffrages ;</w:t>
            </w:r>
            <w:r w:rsidRPr="00B90483">
              <w:rPr>
                <w:sz w:val="18"/>
                <w:szCs w:val="18"/>
              </w:rPr>
              <w:br/>
              <w:t>- Le stockage de ces matériaux ;</w:t>
            </w:r>
            <w:r w:rsidRPr="00B90483">
              <w:rPr>
                <w:sz w:val="18"/>
                <w:szCs w:val="18"/>
              </w:rPr>
              <w:br/>
              <w:t>- La fabrication, les dosages nécessaires et la mise en œuvre des enduits ;</w:t>
            </w:r>
            <w:r w:rsidRPr="00B90483">
              <w:rPr>
                <w:sz w:val="18"/>
                <w:szCs w:val="18"/>
              </w:rPr>
              <w:br/>
              <w:t>- La mise en place du polystyrène de bourrage de joints et les traitements de finition nécessaires ;</w:t>
            </w:r>
            <w:r w:rsidRPr="00B90483">
              <w:rPr>
                <w:sz w:val="18"/>
                <w:szCs w:val="18"/>
              </w:rPr>
              <w:br/>
              <w:t>- La cure des enduits ;</w:t>
            </w:r>
            <w:r w:rsidRPr="00B90483">
              <w:rPr>
                <w:sz w:val="18"/>
                <w:szCs w:val="18"/>
              </w:rPr>
              <w:br/>
              <w:t>- Et toutes sujétions d'exécution et de main d’œuvre qualifié et non qualifiée.</w:t>
            </w:r>
            <w:r w:rsidRPr="00B90483">
              <w:rPr>
                <w:sz w:val="18"/>
                <w:szCs w:val="18"/>
              </w:rPr>
              <w:br/>
              <w:t>Le prix rémunère le matériel, le personnel qualifié et non qualifié (technicien, équipes maçons et manœuvres) et les matériaux nécessaires.</w:t>
            </w:r>
          </w:p>
          <w:p w14:paraId="7FE1E20B" w14:textId="77777777" w:rsidR="00117B7F" w:rsidRPr="00B90483" w:rsidRDefault="00117B7F" w:rsidP="007F0E33">
            <w:pPr>
              <w:spacing w:after="0"/>
              <w:ind w:left="0" w:firstLine="0"/>
              <w:jc w:val="left"/>
              <w:rPr>
                <w:b/>
                <w:bCs/>
                <w:i/>
                <w:sz w:val="20"/>
              </w:rPr>
            </w:pPr>
            <w:r w:rsidRPr="00B90483">
              <w:rPr>
                <w:sz w:val="18"/>
                <w:szCs w:val="18"/>
              </w:rPr>
              <w:br/>
            </w:r>
            <w:r w:rsidRPr="00B90483">
              <w:rPr>
                <w:i/>
                <w:sz w:val="18"/>
                <w:szCs w:val="18"/>
              </w:rPr>
              <w:t>Ce prix s’applique à la surface, en mètre carré (m2), d’enduit réalisé, avec comme valeur maximale celle obtenue à partir des plans d’exécution des ouvrages.</w:t>
            </w:r>
          </w:p>
        </w:tc>
        <w:tc>
          <w:tcPr>
            <w:tcW w:w="397" w:type="pct"/>
            <w:tcBorders>
              <w:top w:val="single" w:sz="4" w:space="0" w:color="auto"/>
              <w:left w:val="nil"/>
              <w:bottom w:val="single" w:sz="8" w:space="0" w:color="auto"/>
              <w:right w:val="single" w:sz="8" w:space="0" w:color="auto"/>
            </w:tcBorders>
            <w:shd w:val="clear" w:color="auto" w:fill="auto"/>
            <w:vAlign w:val="center"/>
            <w:hideMark/>
          </w:tcPr>
          <w:p w14:paraId="17A9C0BA" w14:textId="77777777" w:rsidR="00117B7F" w:rsidRPr="00B90483" w:rsidRDefault="00117B7F" w:rsidP="007F0E33">
            <w:pPr>
              <w:spacing w:after="0"/>
              <w:ind w:left="0" w:firstLine="0"/>
              <w:jc w:val="center"/>
              <w:rPr>
                <w:sz w:val="20"/>
              </w:rPr>
            </w:pPr>
            <w:r w:rsidRPr="00B90483">
              <w:rPr>
                <w:sz w:val="20"/>
              </w:rPr>
              <w:t>m</w:t>
            </w:r>
            <w:r w:rsidRPr="00B90483">
              <w:rPr>
                <w:sz w:val="20"/>
                <w:vertAlign w:val="superscript"/>
              </w:rPr>
              <w:t>2</w:t>
            </w:r>
          </w:p>
        </w:tc>
        <w:tc>
          <w:tcPr>
            <w:tcW w:w="709" w:type="pct"/>
            <w:tcBorders>
              <w:top w:val="single" w:sz="4" w:space="0" w:color="auto"/>
              <w:left w:val="nil"/>
              <w:bottom w:val="single" w:sz="8" w:space="0" w:color="auto"/>
              <w:right w:val="nil"/>
            </w:tcBorders>
            <w:shd w:val="clear" w:color="auto" w:fill="auto"/>
            <w:vAlign w:val="center"/>
            <w:hideMark/>
          </w:tcPr>
          <w:p w14:paraId="66535571" w14:textId="77777777" w:rsidR="00117B7F" w:rsidRPr="00B90483" w:rsidRDefault="00117B7F" w:rsidP="007F0E33">
            <w:pPr>
              <w:spacing w:after="0"/>
              <w:ind w:left="0" w:firstLine="0"/>
              <w:jc w:val="center"/>
              <w:rPr>
                <w:rFonts w:ascii="Arial" w:hAnsi="Arial" w:cs="Arial"/>
                <w:sz w:val="20"/>
              </w:rPr>
            </w:pPr>
          </w:p>
        </w:tc>
        <w:tc>
          <w:tcPr>
            <w:tcW w:w="7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01C0E5" w14:textId="77777777" w:rsidR="00117B7F" w:rsidRPr="00B90483" w:rsidRDefault="00117B7F" w:rsidP="007F0E33">
            <w:pPr>
              <w:spacing w:after="0"/>
              <w:ind w:left="0" w:firstLine="0"/>
              <w:jc w:val="left"/>
              <w:rPr>
                <w:rFonts w:ascii="Calibri" w:hAnsi="Calibri"/>
                <w:sz w:val="20"/>
              </w:rPr>
            </w:pPr>
            <w:r w:rsidRPr="00B90483">
              <w:rPr>
                <w:rFonts w:ascii="Calibri" w:hAnsi="Calibri"/>
                <w:sz w:val="20"/>
              </w:rPr>
              <w:t> </w:t>
            </w:r>
          </w:p>
        </w:tc>
      </w:tr>
      <w:tr w:rsidR="00117B7F" w:rsidRPr="00B90483" w14:paraId="7840E01A" w14:textId="77777777" w:rsidTr="00BD46CB">
        <w:trPr>
          <w:trHeight w:val="683"/>
          <w:jc w:val="center"/>
        </w:trPr>
        <w:tc>
          <w:tcPr>
            <w:tcW w:w="261" w:type="pct"/>
            <w:tcBorders>
              <w:top w:val="nil"/>
              <w:left w:val="double" w:sz="6" w:space="0" w:color="auto"/>
              <w:bottom w:val="single" w:sz="8" w:space="0" w:color="auto"/>
              <w:right w:val="single" w:sz="8" w:space="0" w:color="auto"/>
            </w:tcBorders>
            <w:shd w:val="clear" w:color="auto" w:fill="auto"/>
            <w:vAlign w:val="center"/>
            <w:hideMark/>
          </w:tcPr>
          <w:p w14:paraId="5B1D4152" w14:textId="77777777" w:rsidR="00117B7F" w:rsidRPr="00B90483" w:rsidRDefault="00117B7F" w:rsidP="007F0E33">
            <w:pPr>
              <w:spacing w:after="0"/>
              <w:ind w:left="0" w:firstLine="0"/>
              <w:jc w:val="center"/>
              <w:rPr>
                <w:b/>
                <w:bCs/>
                <w:sz w:val="20"/>
              </w:rPr>
            </w:pPr>
            <w:r w:rsidRPr="00B90483">
              <w:rPr>
                <w:b/>
                <w:bCs/>
                <w:sz w:val="20"/>
              </w:rPr>
              <w:t>5.5</w:t>
            </w:r>
          </w:p>
        </w:tc>
        <w:tc>
          <w:tcPr>
            <w:tcW w:w="2887" w:type="pct"/>
            <w:tcBorders>
              <w:top w:val="nil"/>
              <w:left w:val="nil"/>
              <w:bottom w:val="single" w:sz="8" w:space="0" w:color="auto"/>
              <w:right w:val="single" w:sz="8" w:space="0" w:color="auto"/>
            </w:tcBorders>
            <w:shd w:val="clear" w:color="auto" w:fill="auto"/>
            <w:vAlign w:val="center"/>
            <w:hideMark/>
          </w:tcPr>
          <w:p w14:paraId="0C5FDB4E" w14:textId="77777777" w:rsidR="00117B7F" w:rsidRPr="00B90483" w:rsidRDefault="00117B7F" w:rsidP="007F0E33">
            <w:pPr>
              <w:spacing w:after="0"/>
              <w:ind w:left="0" w:firstLine="0"/>
              <w:jc w:val="left"/>
              <w:rPr>
                <w:b/>
                <w:bCs/>
                <w:sz w:val="20"/>
              </w:rPr>
            </w:pPr>
            <w:r w:rsidRPr="00B90483">
              <w:rPr>
                <w:b/>
                <w:bCs/>
                <w:sz w:val="20"/>
              </w:rPr>
              <w:t xml:space="preserve">Remblai en argile homogène compacté à l'OPM pour le corps de la digue </w:t>
            </w:r>
          </w:p>
          <w:p w14:paraId="546D041F" w14:textId="77777777" w:rsidR="00117B7F" w:rsidRPr="00B90483" w:rsidRDefault="00117B7F" w:rsidP="007F0E33">
            <w:pPr>
              <w:spacing w:after="0"/>
              <w:ind w:left="0" w:firstLine="0"/>
              <w:jc w:val="left"/>
              <w:rPr>
                <w:bCs/>
                <w:sz w:val="18"/>
                <w:szCs w:val="18"/>
              </w:rPr>
            </w:pPr>
            <w:r w:rsidRPr="00B90483">
              <w:rPr>
                <w:bCs/>
                <w:sz w:val="18"/>
                <w:szCs w:val="18"/>
              </w:rPr>
              <w:t xml:space="preserve">Ce prix rémunère la réalisation d’un remblai d’argile homogène compacté pour les raccordements jusqu’à la côte projet par compactage aux engins lourds (compacteur à Rouleaux Tandem vibrants articulé 3.0 t à 5.0 t) par couches successives de 20 cm au maximum, constaté contradictoirement par le Maître d’Œuvre et comprend le chargement, le transport, et le régalage d’argile sur les lieux de dépôt. </w:t>
            </w:r>
          </w:p>
          <w:p w14:paraId="7543E95B" w14:textId="77777777" w:rsidR="00117B7F" w:rsidRPr="00B90483" w:rsidRDefault="00117B7F" w:rsidP="007F0E33">
            <w:pPr>
              <w:spacing w:after="0"/>
              <w:ind w:left="0" w:firstLine="0"/>
              <w:jc w:val="left"/>
              <w:rPr>
                <w:bCs/>
                <w:sz w:val="18"/>
                <w:szCs w:val="18"/>
              </w:rPr>
            </w:pPr>
            <w:r w:rsidRPr="00B90483">
              <w:rPr>
                <w:bCs/>
                <w:sz w:val="18"/>
                <w:szCs w:val="18"/>
              </w:rPr>
              <w:t>Ce prix comprend :</w:t>
            </w:r>
          </w:p>
          <w:p w14:paraId="495C4EEE" w14:textId="77777777" w:rsidR="00117B7F" w:rsidRPr="00B90483" w:rsidRDefault="00117B7F" w:rsidP="007F0E33">
            <w:pPr>
              <w:spacing w:after="0"/>
              <w:ind w:left="0" w:firstLine="0"/>
              <w:jc w:val="left"/>
              <w:rPr>
                <w:bCs/>
                <w:sz w:val="18"/>
                <w:szCs w:val="18"/>
              </w:rPr>
            </w:pPr>
            <w:r w:rsidRPr="00B90483">
              <w:rPr>
                <w:bCs/>
                <w:sz w:val="18"/>
                <w:szCs w:val="18"/>
              </w:rPr>
              <w:t>- Le débroussaillement et le décapage des zones d’emprunt ;</w:t>
            </w:r>
          </w:p>
          <w:p w14:paraId="754CD880" w14:textId="77777777" w:rsidR="00117B7F" w:rsidRPr="00B90483" w:rsidRDefault="00117B7F" w:rsidP="007F0E33">
            <w:pPr>
              <w:spacing w:after="0"/>
              <w:ind w:left="0" w:firstLine="0"/>
              <w:jc w:val="left"/>
              <w:rPr>
                <w:bCs/>
                <w:sz w:val="18"/>
                <w:szCs w:val="18"/>
              </w:rPr>
            </w:pPr>
            <w:r w:rsidRPr="00B90483">
              <w:rPr>
                <w:bCs/>
                <w:sz w:val="18"/>
                <w:szCs w:val="18"/>
              </w:rPr>
              <w:t>- Toutes les sujétions d’extraction des matériaux et l’extraction elle-même ;</w:t>
            </w:r>
          </w:p>
          <w:p w14:paraId="201A90C0" w14:textId="77777777" w:rsidR="00117B7F" w:rsidRPr="00B90483" w:rsidRDefault="00117B7F" w:rsidP="007F0E33">
            <w:pPr>
              <w:spacing w:after="0"/>
              <w:ind w:left="0" w:firstLine="0"/>
              <w:jc w:val="left"/>
              <w:rPr>
                <w:bCs/>
                <w:sz w:val="18"/>
                <w:szCs w:val="18"/>
              </w:rPr>
            </w:pPr>
            <w:r w:rsidRPr="00B90483">
              <w:rPr>
                <w:bCs/>
                <w:sz w:val="18"/>
                <w:szCs w:val="18"/>
              </w:rPr>
              <w:t xml:space="preserve">- Le chargement et le transport des matériaux de remblai ; </w:t>
            </w:r>
          </w:p>
          <w:p w14:paraId="362FDF1B" w14:textId="77777777" w:rsidR="00117B7F" w:rsidRPr="00B90483" w:rsidRDefault="00117B7F" w:rsidP="007F0E33">
            <w:pPr>
              <w:spacing w:after="0"/>
              <w:ind w:left="0" w:firstLine="0"/>
              <w:jc w:val="left"/>
              <w:rPr>
                <w:bCs/>
                <w:sz w:val="18"/>
                <w:szCs w:val="18"/>
              </w:rPr>
            </w:pPr>
            <w:r w:rsidRPr="00B90483">
              <w:rPr>
                <w:bCs/>
                <w:sz w:val="18"/>
                <w:szCs w:val="18"/>
              </w:rPr>
              <w:t>- Le déchargement, l’épandage du matériau par couches d’épaisseurs maximales 20 cm, puis la mise en forme du remblai suivant le profil prévu au moyen d’une Niveleuse de type 14H Grader ;</w:t>
            </w:r>
          </w:p>
          <w:p w14:paraId="658EE1FA" w14:textId="77777777" w:rsidR="00117B7F" w:rsidRPr="00B90483" w:rsidRDefault="00117B7F" w:rsidP="007F0E33">
            <w:pPr>
              <w:spacing w:after="0"/>
              <w:ind w:left="0" w:firstLine="0"/>
              <w:jc w:val="left"/>
              <w:rPr>
                <w:bCs/>
                <w:sz w:val="18"/>
                <w:szCs w:val="18"/>
              </w:rPr>
            </w:pPr>
            <w:r w:rsidRPr="00B90483">
              <w:rPr>
                <w:bCs/>
                <w:sz w:val="18"/>
                <w:szCs w:val="18"/>
              </w:rPr>
              <w:t xml:space="preserve">- Les </w:t>
            </w:r>
            <w:proofErr w:type="spellStart"/>
            <w:r w:rsidRPr="00B90483">
              <w:rPr>
                <w:bCs/>
                <w:sz w:val="18"/>
                <w:szCs w:val="18"/>
              </w:rPr>
              <w:t>surlargeurs</w:t>
            </w:r>
            <w:proofErr w:type="spellEnd"/>
            <w:r w:rsidRPr="00B90483">
              <w:rPr>
                <w:bCs/>
                <w:sz w:val="18"/>
                <w:szCs w:val="18"/>
              </w:rPr>
              <w:t xml:space="preserve"> provisoires des remblais puis le taillage de ces talus ;</w:t>
            </w:r>
          </w:p>
          <w:p w14:paraId="3580257D" w14:textId="77777777" w:rsidR="00117B7F" w:rsidRPr="00B90483" w:rsidRDefault="00117B7F" w:rsidP="007F0E33">
            <w:pPr>
              <w:spacing w:after="0"/>
              <w:ind w:left="0" w:firstLine="0"/>
              <w:jc w:val="left"/>
              <w:rPr>
                <w:bCs/>
                <w:sz w:val="18"/>
                <w:szCs w:val="18"/>
              </w:rPr>
            </w:pPr>
            <w:r w:rsidRPr="00B90483">
              <w:rPr>
                <w:bCs/>
                <w:sz w:val="18"/>
                <w:szCs w:val="18"/>
              </w:rPr>
              <w:t>- La fourniture, le transport et l’épandage de l’eau éventuellement nécessaire à l’humidification des matériaux pour leur mise en œuvre ;</w:t>
            </w:r>
          </w:p>
          <w:p w14:paraId="102AF4F2" w14:textId="77777777" w:rsidR="00117B7F" w:rsidRPr="00B90483" w:rsidRDefault="00117B7F" w:rsidP="007F0E33">
            <w:pPr>
              <w:spacing w:after="0"/>
              <w:ind w:left="0" w:firstLine="0"/>
              <w:jc w:val="left"/>
              <w:rPr>
                <w:bCs/>
                <w:sz w:val="18"/>
                <w:szCs w:val="18"/>
              </w:rPr>
            </w:pPr>
            <w:r w:rsidRPr="00B90483">
              <w:rPr>
                <w:bCs/>
                <w:sz w:val="18"/>
                <w:szCs w:val="18"/>
              </w:rPr>
              <w:t>- Le compactage des matériaux par couches, à 95 % de l’OPM avec un compacteur à Rouleau de type Tandem vibrants articulé 3.0 t à 5.0 t ;</w:t>
            </w:r>
          </w:p>
          <w:p w14:paraId="5B0394CB" w14:textId="77777777" w:rsidR="00117B7F" w:rsidRPr="00B90483" w:rsidRDefault="00117B7F" w:rsidP="007F0E33">
            <w:pPr>
              <w:spacing w:after="0"/>
              <w:ind w:left="0" w:firstLine="0"/>
              <w:jc w:val="left"/>
              <w:rPr>
                <w:bCs/>
                <w:sz w:val="18"/>
                <w:szCs w:val="18"/>
              </w:rPr>
            </w:pPr>
            <w:r w:rsidRPr="00B90483">
              <w:rPr>
                <w:bCs/>
                <w:sz w:val="18"/>
                <w:szCs w:val="18"/>
              </w:rPr>
              <w:t>- La réalisation des essais de compacité exigés par l’ingénieur ;</w:t>
            </w:r>
          </w:p>
          <w:p w14:paraId="33702862" w14:textId="77777777" w:rsidR="00117B7F" w:rsidRPr="00B90483" w:rsidRDefault="00117B7F" w:rsidP="007F0E33">
            <w:pPr>
              <w:spacing w:after="0"/>
              <w:ind w:left="0" w:firstLine="0"/>
              <w:jc w:val="left"/>
              <w:rPr>
                <w:bCs/>
                <w:sz w:val="18"/>
                <w:szCs w:val="18"/>
              </w:rPr>
            </w:pPr>
            <w:r w:rsidRPr="00B90483">
              <w:rPr>
                <w:bCs/>
                <w:sz w:val="18"/>
                <w:szCs w:val="18"/>
              </w:rPr>
              <w:t>- Le réglage de la plate-forme des terrassements conformément aux profils en travers avec une Niveleuse de type 14H Grader ;</w:t>
            </w:r>
          </w:p>
          <w:p w14:paraId="70C9FC02" w14:textId="77777777" w:rsidR="00117B7F" w:rsidRPr="00B90483" w:rsidRDefault="00117B7F" w:rsidP="007F0E33">
            <w:pPr>
              <w:spacing w:after="0"/>
              <w:ind w:left="0" w:firstLine="0"/>
              <w:jc w:val="left"/>
              <w:rPr>
                <w:bCs/>
                <w:sz w:val="18"/>
                <w:szCs w:val="18"/>
              </w:rPr>
            </w:pPr>
            <w:r w:rsidRPr="00B90483">
              <w:rPr>
                <w:bCs/>
                <w:sz w:val="18"/>
                <w:szCs w:val="18"/>
              </w:rPr>
              <w:t>- L'arrosage éventuel y compris la fourniture et le transport de l'eau de compactage ;</w:t>
            </w:r>
          </w:p>
          <w:p w14:paraId="0FD5D2B7" w14:textId="77777777" w:rsidR="00117B7F" w:rsidRPr="00B90483" w:rsidRDefault="00117B7F" w:rsidP="007F0E33">
            <w:pPr>
              <w:spacing w:after="0"/>
              <w:ind w:left="0" w:firstLine="0"/>
              <w:jc w:val="left"/>
              <w:rPr>
                <w:bCs/>
                <w:sz w:val="18"/>
                <w:szCs w:val="18"/>
              </w:rPr>
            </w:pPr>
            <w:r w:rsidRPr="00B90483">
              <w:rPr>
                <w:bCs/>
                <w:sz w:val="18"/>
                <w:szCs w:val="18"/>
              </w:rPr>
              <w:t>- Toutes sujétions d'exécution.</w:t>
            </w:r>
          </w:p>
          <w:p w14:paraId="19015EDF" w14:textId="77777777" w:rsidR="00117B7F" w:rsidRPr="00B90483" w:rsidRDefault="00117B7F" w:rsidP="007F0E33">
            <w:pPr>
              <w:spacing w:after="0"/>
              <w:ind w:left="0" w:firstLine="0"/>
              <w:jc w:val="left"/>
              <w:rPr>
                <w:bCs/>
                <w:i/>
                <w:sz w:val="18"/>
                <w:szCs w:val="18"/>
              </w:rPr>
            </w:pPr>
            <w:r w:rsidRPr="00B90483">
              <w:rPr>
                <w:bCs/>
                <w:i/>
                <w:sz w:val="18"/>
                <w:szCs w:val="18"/>
              </w:rPr>
              <w:t>Ce prix s’applique au mètre cube (m3), de remblais d’argile homogène compacté à l’OPM mise en place, avec comme valeur maximale celle obtenue à partir du plan d'exécution des ouvrages.</w:t>
            </w:r>
          </w:p>
        </w:tc>
        <w:tc>
          <w:tcPr>
            <w:tcW w:w="397" w:type="pct"/>
            <w:tcBorders>
              <w:top w:val="nil"/>
              <w:left w:val="nil"/>
              <w:bottom w:val="single" w:sz="8" w:space="0" w:color="auto"/>
              <w:right w:val="single" w:sz="8" w:space="0" w:color="auto"/>
            </w:tcBorders>
            <w:shd w:val="clear" w:color="auto" w:fill="auto"/>
            <w:vAlign w:val="center"/>
            <w:hideMark/>
          </w:tcPr>
          <w:p w14:paraId="64A140D0" w14:textId="77777777" w:rsidR="00117B7F" w:rsidRPr="00B90483" w:rsidRDefault="00117B7F" w:rsidP="007F0E33">
            <w:pPr>
              <w:spacing w:after="0"/>
              <w:ind w:left="0" w:firstLine="0"/>
              <w:jc w:val="center"/>
              <w:rPr>
                <w:sz w:val="20"/>
              </w:rPr>
            </w:pPr>
            <w:r w:rsidRPr="00B90483">
              <w:rPr>
                <w:sz w:val="20"/>
              </w:rPr>
              <w:t>m</w:t>
            </w:r>
            <w:r w:rsidRPr="00B90483">
              <w:rPr>
                <w:sz w:val="20"/>
                <w:vertAlign w:val="superscript"/>
              </w:rPr>
              <w:t>3</w:t>
            </w:r>
          </w:p>
        </w:tc>
        <w:tc>
          <w:tcPr>
            <w:tcW w:w="709" w:type="pct"/>
            <w:tcBorders>
              <w:top w:val="nil"/>
              <w:left w:val="nil"/>
              <w:bottom w:val="single" w:sz="8" w:space="0" w:color="auto"/>
              <w:right w:val="nil"/>
            </w:tcBorders>
            <w:shd w:val="clear" w:color="auto" w:fill="auto"/>
            <w:vAlign w:val="center"/>
            <w:hideMark/>
          </w:tcPr>
          <w:p w14:paraId="1940676C" w14:textId="77777777" w:rsidR="00117B7F" w:rsidRPr="00B90483" w:rsidRDefault="00117B7F" w:rsidP="007F0E33">
            <w:pPr>
              <w:spacing w:after="0"/>
              <w:ind w:left="0" w:firstLine="0"/>
              <w:jc w:val="center"/>
              <w:rPr>
                <w:rFonts w:ascii="Arial" w:hAnsi="Arial" w:cs="Arial"/>
                <w:sz w:val="20"/>
              </w:rPr>
            </w:pPr>
          </w:p>
        </w:tc>
        <w:tc>
          <w:tcPr>
            <w:tcW w:w="746" w:type="pct"/>
            <w:tcBorders>
              <w:top w:val="nil"/>
              <w:left w:val="single" w:sz="4" w:space="0" w:color="auto"/>
              <w:bottom w:val="single" w:sz="4" w:space="0" w:color="auto"/>
              <w:right w:val="single" w:sz="4" w:space="0" w:color="auto"/>
            </w:tcBorders>
            <w:shd w:val="clear" w:color="auto" w:fill="auto"/>
            <w:noWrap/>
            <w:vAlign w:val="bottom"/>
            <w:hideMark/>
          </w:tcPr>
          <w:p w14:paraId="56CC5760" w14:textId="77777777" w:rsidR="00117B7F" w:rsidRPr="00B90483" w:rsidRDefault="00117B7F" w:rsidP="007F0E33">
            <w:pPr>
              <w:spacing w:after="0"/>
              <w:ind w:left="0" w:firstLine="0"/>
              <w:jc w:val="left"/>
              <w:rPr>
                <w:rFonts w:ascii="Calibri" w:hAnsi="Calibri"/>
                <w:sz w:val="20"/>
              </w:rPr>
            </w:pPr>
            <w:r w:rsidRPr="00B90483">
              <w:rPr>
                <w:rFonts w:ascii="Calibri" w:hAnsi="Calibri"/>
                <w:sz w:val="20"/>
              </w:rPr>
              <w:t> </w:t>
            </w:r>
          </w:p>
        </w:tc>
      </w:tr>
      <w:tr w:rsidR="00117B7F" w:rsidRPr="00B90483" w14:paraId="37871858" w14:textId="77777777" w:rsidTr="00BD46CB">
        <w:trPr>
          <w:trHeight w:val="525"/>
          <w:jc w:val="center"/>
        </w:trPr>
        <w:tc>
          <w:tcPr>
            <w:tcW w:w="261" w:type="pct"/>
            <w:tcBorders>
              <w:top w:val="single" w:sz="4" w:space="0" w:color="auto"/>
              <w:left w:val="double" w:sz="6" w:space="0" w:color="auto"/>
              <w:bottom w:val="single" w:sz="8" w:space="0" w:color="auto"/>
              <w:right w:val="single" w:sz="8" w:space="0" w:color="auto"/>
            </w:tcBorders>
            <w:shd w:val="clear" w:color="auto" w:fill="auto"/>
            <w:vAlign w:val="center"/>
            <w:hideMark/>
          </w:tcPr>
          <w:p w14:paraId="6BE24AAA" w14:textId="77777777" w:rsidR="00117B7F" w:rsidRPr="00B90483" w:rsidRDefault="00117B7F" w:rsidP="007F0E33">
            <w:pPr>
              <w:spacing w:after="0"/>
              <w:ind w:left="0" w:firstLine="0"/>
              <w:jc w:val="center"/>
              <w:rPr>
                <w:b/>
                <w:bCs/>
                <w:sz w:val="20"/>
              </w:rPr>
            </w:pPr>
            <w:r w:rsidRPr="00B90483">
              <w:rPr>
                <w:b/>
                <w:bCs/>
                <w:sz w:val="20"/>
              </w:rPr>
              <w:lastRenderedPageBreak/>
              <w:t>5.6</w:t>
            </w:r>
          </w:p>
        </w:tc>
        <w:tc>
          <w:tcPr>
            <w:tcW w:w="2887" w:type="pct"/>
            <w:tcBorders>
              <w:top w:val="single" w:sz="4" w:space="0" w:color="auto"/>
              <w:left w:val="nil"/>
              <w:bottom w:val="single" w:sz="8" w:space="0" w:color="auto"/>
              <w:right w:val="single" w:sz="8" w:space="0" w:color="auto"/>
            </w:tcBorders>
            <w:shd w:val="clear" w:color="000000" w:fill="FFFFFF"/>
            <w:vAlign w:val="center"/>
            <w:hideMark/>
          </w:tcPr>
          <w:p w14:paraId="63575A76" w14:textId="77777777" w:rsidR="00117B7F" w:rsidRPr="00B90483" w:rsidRDefault="00117B7F" w:rsidP="007F0E33">
            <w:pPr>
              <w:spacing w:after="0"/>
              <w:ind w:left="0" w:firstLine="0"/>
              <w:jc w:val="left"/>
              <w:rPr>
                <w:b/>
                <w:bCs/>
                <w:sz w:val="20"/>
              </w:rPr>
            </w:pPr>
            <w:r w:rsidRPr="00B90483">
              <w:rPr>
                <w:b/>
                <w:bCs/>
                <w:sz w:val="20"/>
              </w:rPr>
              <w:t xml:space="preserve">Couche de roulement en graveleux latéritique compacté aux engins lourds - e = 20 cm </w:t>
            </w:r>
          </w:p>
          <w:p w14:paraId="293640B4" w14:textId="77777777" w:rsidR="00117B7F" w:rsidRPr="00B90483" w:rsidRDefault="00117B7F" w:rsidP="007F0E33">
            <w:pPr>
              <w:spacing w:after="0"/>
              <w:ind w:left="0" w:firstLine="0"/>
              <w:jc w:val="left"/>
              <w:rPr>
                <w:bCs/>
                <w:sz w:val="18"/>
                <w:szCs w:val="18"/>
              </w:rPr>
            </w:pPr>
            <w:r w:rsidRPr="00B90483">
              <w:rPr>
                <w:bCs/>
                <w:sz w:val="18"/>
                <w:szCs w:val="18"/>
              </w:rPr>
              <w:t xml:space="preserve">Ce prix rémunère l’exécution de la couche de roulement en graveleux latéritique d’épaisseur 20cm compactée l’OPM aux engins lourds, constatés contradictoirement par le Maître d’Œuvre et comprend la fourniture et le transport sur le lieu de mise en œuvre tous les matériaux et matériels nécessaire à la réalisation de la structure. </w:t>
            </w:r>
          </w:p>
          <w:p w14:paraId="06CC5D3E" w14:textId="77777777" w:rsidR="00117B7F" w:rsidRPr="00B90483" w:rsidRDefault="00117B7F" w:rsidP="007F0E33">
            <w:pPr>
              <w:spacing w:after="0"/>
              <w:ind w:left="0" w:firstLine="0"/>
              <w:jc w:val="left"/>
              <w:rPr>
                <w:bCs/>
                <w:sz w:val="18"/>
                <w:szCs w:val="18"/>
              </w:rPr>
            </w:pPr>
            <w:r w:rsidRPr="00B90483">
              <w:rPr>
                <w:bCs/>
                <w:sz w:val="18"/>
                <w:szCs w:val="18"/>
              </w:rPr>
              <w:t>Ce prix comprend :</w:t>
            </w:r>
          </w:p>
          <w:p w14:paraId="6921D95B" w14:textId="77777777" w:rsidR="00117B7F" w:rsidRPr="00B90483" w:rsidRDefault="00117B7F" w:rsidP="007F0E33">
            <w:pPr>
              <w:spacing w:after="0"/>
              <w:ind w:left="0" w:firstLine="0"/>
              <w:jc w:val="left"/>
              <w:rPr>
                <w:bCs/>
                <w:sz w:val="18"/>
                <w:szCs w:val="18"/>
              </w:rPr>
            </w:pPr>
            <w:r w:rsidRPr="00B90483">
              <w:rPr>
                <w:bCs/>
                <w:sz w:val="18"/>
                <w:szCs w:val="18"/>
              </w:rPr>
              <w:t>- La fourniture et le transport sur le lieu d’emploi de tous les matériaux et matériels nécessaires à la réalisation de l’ouvrage.</w:t>
            </w:r>
          </w:p>
          <w:p w14:paraId="529C5CFC" w14:textId="77777777" w:rsidR="00117B7F" w:rsidRPr="00B90483" w:rsidRDefault="00117B7F" w:rsidP="007F0E33">
            <w:pPr>
              <w:spacing w:after="0"/>
              <w:ind w:left="0" w:firstLine="0"/>
              <w:jc w:val="left"/>
              <w:rPr>
                <w:bCs/>
                <w:sz w:val="18"/>
                <w:szCs w:val="18"/>
              </w:rPr>
            </w:pPr>
            <w:r w:rsidRPr="00B90483">
              <w:rPr>
                <w:bCs/>
                <w:sz w:val="18"/>
                <w:szCs w:val="18"/>
              </w:rPr>
              <w:t>- Le stockage de ces matériaux ;</w:t>
            </w:r>
          </w:p>
          <w:p w14:paraId="53A82316" w14:textId="77777777" w:rsidR="00117B7F" w:rsidRPr="00B90483" w:rsidRDefault="00117B7F" w:rsidP="007F0E33">
            <w:pPr>
              <w:spacing w:after="0"/>
              <w:ind w:left="0" w:firstLine="0"/>
              <w:jc w:val="left"/>
              <w:rPr>
                <w:bCs/>
                <w:sz w:val="18"/>
                <w:szCs w:val="18"/>
              </w:rPr>
            </w:pPr>
            <w:r w:rsidRPr="00B90483">
              <w:rPr>
                <w:bCs/>
                <w:sz w:val="18"/>
                <w:szCs w:val="18"/>
              </w:rPr>
              <w:t>- La mise en place et toutes sujétions d'exécution et de main d’œuvre qualifié et non qualifiée.</w:t>
            </w:r>
          </w:p>
          <w:p w14:paraId="43E6E31A" w14:textId="77777777" w:rsidR="00117B7F" w:rsidRPr="00B90483" w:rsidRDefault="00117B7F" w:rsidP="007F0E33">
            <w:pPr>
              <w:spacing w:after="0"/>
              <w:ind w:left="0" w:firstLine="0"/>
              <w:jc w:val="left"/>
              <w:rPr>
                <w:bCs/>
                <w:sz w:val="18"/>
                <w:szCs w:val="18"/>
              </w:rPr>
            </w:pPr>
            <w:r w:rsidRPr="00B90483">
              <w:rPr>
                <w:bCs/>
                <w:sz w:val="18"/>
                <w:szCs w:val="18"/>
              </w:rPr>
              <w:t>L’entreprise est tenue de réaliser au moins à chaque section de 100 mètres (1 point à l’axe et 1 point sur chaque talus).</w:t>
            </w:r>
          </w:p>
          <w:p w14:paraId="0FAB5D17" w14:textId="77777777" w:rsidR="00117B7F" w:rsidRPr="00B90483" w:rsidRDefault="00117B7F" w:rsidP="007F0E33">
            <w:pPr>
              <w:spacing w:after="0"/>
              <w:ind w:left="0" w:firstLine="0"/>
              <w:jc w:val="left"/>
              <w:rPr>
                <w:b/>
                <w:bCs/>
                <w:sz w:val="20"/>
              </w:rPr>
            </w:pPr>
            <w:r w:rsidRPr="00B90483">
              <w:rPr>
                <w:i/>
                <w:sz w:val="18"/>
                <w:szCs w:val="18"/>
              </w:rPr>
              <w:t>Ce prix s’applique au mètre cube (m3), de couche de roulement en graveleux latéritique compacté aux engins lourds mise en place, avec comme valeur maximale celle obtenue à partir du plan d'exécution des ouvrages.</w:t>
            </w:r>
          </w:p>
        </w:tc>
        <w:tc>
          <w:tcPr>
            <w:tcW w:w="397" w:type="pct"/>
            <w:tcBorders>
              <w:top w:val="single" w:sz="4" w:space="0" w:color="auto"/>
              <w:left w:val="nil"/>
              <w:bottom w:val="single" w:sz="8" w:space="0" w:color="auto"/>
              <w:right w:val="single" w:sz="8" w:space="0" w:color="auto"/>
            </w:tcBorders>
            <w:shd w:val="clear" w:color="000000" w:fill="FFFFFF"/>
            <w:noWrap/>
            <w:vAlign w:val="center"/>
            <w:hideMark/>
          </w:tcPr>
          <w:p w14:paraId="3C1EFE91" w14:textId="77777777" w:rsidR="00117B7F" w:rsidRPr="00B90483" w:rsidRDefault="00117B7F" w:rsidP="007F0E33">
            <w:pPr>
              <w:spacing w:after="0"/>
              <w:ind w:left="0" w:firstLine="0"/>
              <w:jc w:val="center"/>
              <w:rPr>
                <w:sz w:val="20"/>
              </w:rPr>
            </w:pPr>
            <w:r w:rsidRPr="00B90483">
              <w:rPr>
                <w:sz w:val="20"/>
              </w:rPr>
              <w:t>m</w:t>
            </w:r>
            <w:r w:rsidRPr="00B90483">
              <w:rPr>
                <w:sz w:val="20"/>
                <w:vertAlign w:val="superscript"/>
              </w:rPr>
              <w:t>3</w:t>
            </w:r>
          </w:p>
        </w:tc>
        <w:tc>
          <w:tcPr>
            <w:tcW w:w="709" w:type="pct"/>
            <w:tcBorders>
              <w:top w:val="single" w:sz="4" w:space="0" w:color="auto"/>
              <w:left w:val="nil"/>
              <w:bottom w:val="single" w:sz="8" w:space="0" w:color="auto"/>
              <w:right w:val="nil"/>
            </w:tcBorders>
            <w:shd w:val="clear" w:color="auto" w:fill="auto"/>
            <w:noWrap/>
            <w:vAlign w:val="center"/>
            <w:hideMark/>
          </w:tcPr>
          <w:p w14:paraId="0C18D7E5" w14:textId="77777777" w:rsidR="00117B7F" w:rsidRPr="00B90483" w:rsidRDefault="00117B7F" w:rsidP="007F0E33">
            <w:pPr>
              <w:spacing w:after="0"/>
              <w:ind w:left="0" w:firstLine="0"/>
              <w:jc w:val="center"/>
              <w:rPr>
                <w:rFonts w:ascii="Arial" w:hAnsi="Arial" w:cs="Arial"/>
                <w:sz w:val="20"/>
              </w:rPr>
            </w:pPr>
          </w:p>
        </w:tc>
        <w:tc>
          <w:tcPr>
            <w:tcW w:w="7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1F3027" w14:textId="77777777" w:rsidR="00117B7F" w:rsidRPr="00B90483" w:rsidRDefault="00117B7F" w:rsidP="007F0E33">
            <w:pPr>
              <w:spacing w:after="0"/>
              <w:ind w:left="0" w:firstLine="0"/>
              <w:jc w:val="left"/>
              <w:rPr>
                <w:rFonts w:ascii="Calibri" w:hAnsi="Calibri"/>
                <w:sz w:val="20"/>
              </w:rPr>
            </w:pPr>
            <w:r w:rsidRPr="00B90483">
              <w:rPr>
                <w:rFonts w:ascii="Calibri" w:hAnsi="Calibri"/>
                <w:sz w:val="20"/>
              </w:rPr>
              <w:t> </w:t>
            </w:r>
          </w:p>
        </w:tc>
      </w:tr>
      <w:tr w:rsidR="00117B7F" w:rsidRPr="00B90483" w14:paraId="21A3D0B0" w14:textId="77777777" w:rsidTr="00BD46CB">
        <w:trPr>
          <w:trHeight w:val="315"/>
          <w:jc w:val="center"/>
        </w:trPr>
        <w:tc>
          <w:tcPr>
            <w:tcW w:w="261" w:type="pct"/>
            <w:tcBorders>
              <w:top w:val="nil"/>
              <w:left w:val="double" w:sz="6" w:space="0" w:color="auto"/>
              <w:bottom w:val="single" w:sz="8" w:space="0" w:color="auto"/>
              <w:right w:val="single" w:sz="8" w:space="0" w:color="auto"/>
            </w:tcBorders>
            <w:shd w:val="clear" w:color="auto" w:fill="auto"/>
            <w:vAlign w:val="center"/>
            <w:hideMark/>
          </w:tcPr>
          <w:p w14:paraId="54BDA915" w14:textId="77777777" w:rsidR="00117B7F" w:rsidRPr="00B90483" w:rsidRDefault="00117B7F" w:rsidP="007F0E33">
            <w:pPr>
              <w:spacing w:after="0"/>
              <w:ind w:left="0" w:firstLine="0"/>
              <w:jc w:val="center"/>
              <w:rPr>
                <w:b/>
                <w:bCs/>
                <w:sz w:val="20"/>
              </w:rPr>
            </w:pPr>
            <w:r w:rsidRPr="00B90483">
              <w:rPr>
                <w:b/>
                <w:bCs/>
                <w:sz w:val="20"/>
              </w:rPr>
              <w:t>5.7</w:t>
            </w:r>
          </w:p>
        </w:tc>
        <w:tc>
          <w:tcPr>
            <w:tcW w:w="2887" w:type="pct"/>
            <w:tcBorders>
              <w:top w:val="nil"/>
              <w:left w:val="nil"/>
              <w:bottom w:val="single" w:sz="8" w:space="0" w:color="auto"/>
              <w:right w:val="single" w:sz="8" w:space="0" w:color="auto"/>
            </w:tcBorders>
            <w:shd w:val="clear" w:color="auto" w:fill="auto"/>
            <w:vAlign w:val="center"/>
            <w:hideMark/>
          </w:tcPr>
          <w:p w14:paraId="0B0C5E8D" w14:textId="77777777" w:rsidR="00117B7F" w:rsidRPr="00B90483" w:rsidRDefault="00117B7F" w:rsidP="007F0E33">
            <w:pPr>
              <w:spacing w:after="0"/>
              <w:ind w:left="0" w:firstLine="0"/>
              <w:jc w:val="left"/>
              <w:rPr>
                <w:bCs/>
                <w:sz w:val="18"/>
                <w:szCs w:val="18"/>
              </w:rPr>
            </w:pPr>
            <w:r w:rsidRPr="00B90483">
              <w:rPr>
                <w:b/>
                <w:bCs/>
                <w:sz w:val="20"/>
              </w:rPr>
              <w:t xml:space="preserve">Empierrement libre pour la protection de la digue </w:t>
            </w:r>
            <w:r w:rsidRPr="00B90483">
              <w:rPr>
                <w:bCs/>
                <w:sz w:val="20"/>
              </w:rPr>
              <w:t xml:space="preserve">                                                </w:t>
            </w:r>
            <w:r w:rsidRPr="00B90483">
              <w:rPr>
                <w:bCs/>
                <w:sz w:val="18"/>
                <w:szCs w:val="18"/>
              </w:rPr>
              <w:t>Ce prix rémunère l’exécution de la protection de la digue de raccordement en enrochement libre en respectant les talus imposés conformément aux indications des plans.</w:t>
            </w:r>
          </w:p>
          <w:p w14:paraId="74940B7B" w14:textId="77777777" w:rsidR="00117B7F" w:rsidRPr="00B90483" w:rsidRDefault="00117B7F" w:rsidP="007F0E33">
            <w:pPr>
              <w:spacing w:after="0"/>
              <w:ind w:left="0" w:firstLine="0"/>
              <w:jc w:val="left"/>
              <w:rPr>
                <w:bCs/>
                <w:sz w:val="18"/>
                <w:szCs w:val="18"/>
              </w:rPr>
            </w:pPr>
            <w:r w:rsidRPr="00B90483">
              <w:rPr>
                <w:bCs/>
                <w:sz w:val="18"/>
                <w:szCs w:val="18"/>
              </w:rPr>
              <w:t>L’épaisseur de l’enrochement varie de 30 à 40 cm au minimum.</w:t>
            </w:r>
          </w:p>
          <w:p w14:paraId="6E8959BA" w14:textId="77777777" w:rsidR="00117B7F" w:rsidRPr="00B90483" w:rsidRDefault="00117B7F" w:rsidP="007F0E33">
            <w:pPr>
              <w:spacing w:after="0"/>
              <w:ind w:left="0" w:firstLine="0"/>
              <w:jc w:val="left"/>
              <w:rPr>
                <w:bCs/>
                <w:sz w:val="18"/>
                <w:szCs w:val="18"/>
              </w:rPr>
            </w:pPr>
            <w:r w:rsidRPr="00B90483">
              <w:rPr>
                <w:bCs/>
                <w:sz w:val="18"/>
                <w:szCs w:val="18"/>
              </w:rPr>
              <w:t>Ce prix comprend :</w:t>
            </w:r>
          </w:p>
          <w:p w14:paraId="26443214" w14:textId="77777777" w:rsidR="00117B7F" w:rsidRPr="00B90483" w:rsidRDefault="00117B7F" w:rsidP="007F0E33">
            <w:pPr>
              <w:spacing w:after="0"/>
              <w:ind w:left="0" w:firstLine="0"/>
              <w:jc w:val="left"/>
              <w:rPr>
                <w:bCs/>
                <w:sz w:val="18"/>
                <w:szCs w:val="18"/>
              </w:rPr>
            </w:pPr>
            <w:r w:rsidRPr="00B90483">
              <w:rPr>
                <w:bCs/>
                <w:sz w:val="18"/>
                <w:szCs w:val="18"/>
              </w:rPr>
              <w:t>- La fourniture et le transport sur le lieu d’emploi de tous les matériaux nécessaires à la réalisation de l’enrochement ;</w:t>
            </w:r>
          </w:p>
          <w:p w14:paraId="2141E656" w14:textId="77777777" w:rsidR="00117B7F" w:rsidRPr="00B90483" w:rsidRDefault="00117B7F" w:rsidP="007F0E33">
            <w:pPr>
              <w:spacing w:after="0"/>
              <w:ind w:left="0" w:firstLine="0"/>
              <w:jc w:val="left"/>
              <w:rPr>
                <w:bCs/>
                <w:sz w:val="18"/>
                <w:szCs w:val="18"/>
              </w:rPr>
            </w:pPr>
            <w:r w:rsidRPr="00B90483">
              <w:rPr>
                <w:bCs/>
                <w:sz w:val="18"/>
                <w:szCs w:val="18"/>
              </w:rPr>
              <w:t>- Le stockage de ces matériaux ;</w:t>
            </w:r>
          </w:p>
          <w:p w14:paraId="782E2623" w14:textId="77777777" w:rsidR="00117B7F" w:rsidRPr="00B90483" w:rsidRDefault="00117B7F" w:rsidP="007F0E33">
            <w:pPr>
              <w:spacing w:after="0"/>
              <w:ind w:left="0" w:firstLine="0"/>
              <w:jc w:val="left"/>
              <w:rPr>
                <w:bCs/>
                <w:sz w:val="18"/>
                <w:szCs w:val="18"/>
              </w:rPr>
            </w:pPr>
            <w:r w:rsidRPr="00B90483">
              <w:rPr>
                <w:bCs/>
                <w:sz w:val="18"/>
                <w:szCs w:val="18"/>
              </w:rPr>
              <w:t>- La mise en place, l’enragement des moellons de talus à la main et le jointoiement avec du gravillon et des éclats de pierre ;</w:t>
            </w:r>
          </w:p>
          <w:p w14:paraId="1D7A1610" w14:textId="77777777" w:rsidR="00117B7F" w:rsidRPr="00B90483" w:rsidRDefault="00117B7F" w:rsidP="007F0E33">
            <w:pPr>
              <w:spacing w:after="0"/>
              <w:ind w:left="0" w:firstLine="0"/>
              <w:jc w:val="left"/>
              <w:rPr>
                <w:bCs/>
                <w:sz w:val="18"/>
                <w:szCs w:val="18"/>
              </w:rPr>
            </w:pPr>
            <w:r w:rsidRPr="00B90483">
              <w:rPr>
                <w:bCs/>
                <w:sz w:val="18"/>
                <w:szCs w:val="18"/>
              </w:rPr>
              <w:t>- Et toutes sujétions d'exécution et de main d’œuvre qualifié et non qualifiée.</w:t>
            </w:r>
          </w:p>
          <w:p w14:paraId="5E1886EA" w14:textId="77777777" w:rsidR="00117B7F" w:rsidRPr="00B90483" w:rsidRDefault="00117B7F" w:rsidP="007F0E33">
            <w:pPr>
              <w:spacing w:after="0"/>
              <w:ind w:left="0" w:firstLine="0"/>
              <w:jc w:val="left"/>
              <w:rPr>
                <w:b/>
                <w:bCs/>
                <w:i/>
                <w:sz w:val="18"/>
                <w:szCs w:val="18"/>
              </w:rPr>
            </w:pPr>
            <w:r w:rsidRPr="00B90483">
              <w:rPr>
                <w:bCs/>
                <w:i/>
                <w:sz w:val="18"/>
                <w:szCs w:val="18"/>
              </w:rPr>
              <w:t>Ce prix s’applique au volume, en mètre cube (m3), d’enrochement libre réalisé, avec comme valeur maximale celle obtenue à partir des plans d’exécution des ouvrages.</w:t>
            </w:r>
          </w:p>
        </w:tc>
        <w:tc>
          <w:tcPr>
            <w:tcW w:w="397" w:type="pct"/>
            <w:tcBorders>
              <w:top w:val="nil"/>
              <w:left w:val="nil"/>
              <w:bottom w:val="single" w:sz="8" w:space="0" w:color="auto"/>
              <w:right w:val="single" w:sz="8" w:space="0" w:color="auto"/>
            </w:tcBorders>
            <w:shd w:val="clear" w:color="auto" w:fill="auto"/>
            <w:vAlign w:val="center"/>
            <w:hideMark/>
          </w:tcPr>
          <w:p w14:paraId="6DFCB6D1" w14:textId="77777777" w:rsidR="00117B7F" w:rsidRPr="00B90483" w:rsidRDefault="00117B7F" w:rsidP="007F0E33">
            <w:pPr>
              <w:spacing w:after="0"/>
              <w:ind w:left="0" w:firstLine="0"/>
              <w:jc w:val="center"/>
              <w:rPr>
                <w:sz w:val="20"/>
              </w:rPr>
            </w:pPr>
            <w:r w:rsidRPr="00B90483">
              <w:rPr>
                <w:sz w:val="20"/>
              </w:rPr>
              <w:t>m</w:t>
            </w:r>
            <w:r w:rsidRPr="00B90483">
              <w:rPr>
                <w:sz w:val="20"/>
                <w:vertAlign w:val="superscript"/>
              </w:rPr>
              <w:t>3</w:t>
            </w:r>
          </w:p>
        </w:tc>
        <w:tc>
          <w:tcPr>
            <w:tcW w:w="709" w:type="pct"/>
            <w:tcBorders>
              <w:top w:val="nil"/>
              <w:left w:val="nil"/>
              <w:bottom w:val="single" w:sz="8" w:space="0" w:color="auto"/>
              <w:right w:val="nil"/>
            </w:tcBorders>
            <w:shd w:val="clear" w:color="auto" w:fill="auto"/>
            <w:vAlign w:val="center"/>
            <w:hideMark/>
          </w:tcPr>
          <w:p w14:paraId="12FE5AC7" w14:textId="77777777" w:rsidR="00117B7F" w:rsidRPr="00B90483" w:rsidRDefault="00117B7F" w:rsidP="007F0E33">
            <w:pPr>
              <w:spacing w:after="0"/>
              <w:ind w:left="0" w:firstLine="0"/>
              <w:jc w:val="center"/>
              <w:rPr>
                <w:rFonts w:ascii="Arial" w:hAnsi="Arial" w:cs="Arial"/>
                <w:sz w:val="20"/>
              </w:rPr>
            </w:pPr>
          </w:p>
        </w:tc>
        <w:tc>
          <w:tcPr>
            <w:tcW w:w="746" w:type="pct"/>
            <w:tcBorders>
              <w:top w:val="nil"/>
              <w:left w:val="single" w:sz="4" w:space="0" w:color="auto"/>
              <w:bottom w:val="single" w:sz="4" w:space="0" w:color="auto"/>
              <w:right w:val="single" w:sz="4" w:space="0" w:color="auto"/>
            </w:tcBorders>
            <w:shd w:val="clear" w:color="auto" w:fill="auto"/>
            <w:noWrap/>
            <w:vAlign w:val="bottom"/>
            <w:hideMark/>
          </w:tcPr>
          <w:p w14:paraId="42ED38AB" w14:textId="77777777" w:rsidR="00117B7F" w:rsidRPr="00B90483" w:rsidRDefault="00117B7F" w:rsidP="007F0E33">
            <w:pPr>
              <w:spacing w:after="0"/>
              <w:ind w:left="0" w:firstLine="0"/>
              <w:jc w:val="left"/>
              <w:rPr>
                <w:rFonts w:ascii="Calibri" w:hAnsi="Calibri"/>
                <w:sz w:val="20"/>
              </w:rPr>
            </w:pPr>
            <w:r w:rsidRPr="00B90483">
              <w:rPr>
                <w:rFonts w:ascii="Calibri" w:hAnsi="Calibri"/>
                <w:sz w:val="20"/>
              </w:rPr>
              <w:t> </w:t>
            </w:r>
          </w:p>
        </w:tc>
      </w:tr>
      <w:tr w:rsidR="00117B7F" w:rsidRPr="00B90483" w14:paraId="01049269" w14:textId="77777777" w:rsidTr="00376BAC">
        <w:trPr>
          <w:trHeight w:val="49"/>
          <w:jc w:val="center"/>
        </w:trPr>
        <w:tc>
          <w:tcPr>
            <w:tcW w:w="261" w:type="pct"/>
            <w:tcBorders>
              <w:top w:val="nil"/>
              <w:left w:val="double" w:sz="6" w:space="0" w:color="auto"/>
              <w:bottom w:val="single" w:sz="8" w:space="0" w:color="auto"/>
              <w:right w:val="single" w:sz="8" w:space="0" w:color="auto"/>
            </w:tcBorders>
            <w:shd w:val="clear" w:color="auto" w:fill="auto"/>
            <w:vAlign w:val="center"/>
          </w:tcPr>
          <w:p w14:paraId="0F20D4E5" w14:textId="77777777" w:rsidR="00117B7F" w:rsidRPr="00B90483" w:rsidRDefault="00117B7F" w:rsidP="007F0E33">
            <w:pPr>
              <w:spacing w:after="0"/>
              <w:ind w:left="0" w:firstLine="0"/>
              <w:jc w:val="center"/>
              <w:rPr>
                <w:b/>
                <w:bCs/>
                <w:sz w:val="20"/>
              </w:rPr>
            </w:pPr>
          </w:p>
        </w:tc>
        <w:tc>
          <w:tcPr>
            <w:tcW w:w="2887" w:type="pct"/>
            <w:tcBorders>
              <w:top w:val="single" w:sz="8" w:space="0" w:color="auto"/>
              <w:left w:val="nil"/>
              <w:bottom w:val="single" w:sz="8" w:space="0" w:color="auto"/>
              <w:right w:val="single" w:sz="8" w:space="0" w:color="auto"/>
            </w:tcBorders>
            <w:shd w:val="clear" w:color="auto" w:fill="auto"/>
            <w:vAlign w:val="center"/>
          </w:tcPr>
          <w:p w14:paraId="79941DA5" w14:textId="77777777" w:rsidR="00117B7F" w:rsidRPr="00B90483" w:rsidRDefault="00117B7F" w:rsidP="007F0E33">
            <w:pPr>
              <w:spacing w:after="0"/>
              <w:ind w:left="0" w:firstLine="0"/>
              <w:jc w:val="left"/>
              <w:rPr>
                <w:b/>
                <w:bCs/>
                <w:sz w:val="20"/>
              </w:rPr>
            </w:pPr>
            <w:r w:rsidRPr="00B90483">
              <w:rPr>
                <w:b/>
                <w:bCs/>
                <w:sz w:val="20"/>
              </w:rPr>
              <w:t>Série VI-ACCESSOIRE</w:t>
            </w:r>
          </w:p>
        </w:tc>
        <w:tc>
          <w:tcPr>
            <w:tcW w:w="397" w:type="pct"/>
            <w:tcBorders>
              <w:top w:val="single" w:sz="8" w:space="0" w:color="auto"/>
              <w:left w:val="nil"/>
              <w:bottom w:val="single" w:sz="8" w:space="0" w:color="auto"/>
              <w:right w:val="single" w:sz="8" w:space="0" w:color="auto"/>
            </w:tcBorders>
            <w:shd w:val="clear" w:color="auto" w:fill="auto"/>
            <w:vAlign w:val="center"/>
          </w:tcPr>
          <w:p w14:paraId="42423595" w14:textId="77777777" w:rsidR="00117B7F" w:rsidRPr="00B90483" w:rsidRDefault="00117B7F" w:rsidP="007F0E33">
            <w:pPr>
              <w:spacing w:after="0"/>
              <w:ind w:left="0" w:firstLine="0"/>
              <w:jc w:val="center"/>
              <w:rPr>
                <w:sz w:val="20"/>
              </w:rPr>
            </w:pPr>
          </w:p>
        </w:tc>
        <w:tc>
          <w:tcPr>
            <w:tcW w:w="709" w:type="pct"/>
            <w:tcBorders>
              <w:top w:val="single" w:sz="8" w:space="0" w:color="auto"/>
              <w:left w:val="nil"/>
              <w:bottom w:val="single" w:sz="8" w:space="0" w:color="auto"/>
              <w:right w:val="nil"/>
            </w:tcBorders>
            <w:shd w:val="clear" w:color="auto" w:fill="auto"/>
            <w:vAlign w:val="center"/>
          </w:tcPr>
          <w:p w14:paraId="010E6BAD" w14:textId="77777777" w:rsidR="00117B7F" w:rsidRPr="00B90483" w:rsidRDefault="00117B7F" w:rsidP="007F0E33">
            <w:pPr>
              <w:spacing w:after="0"/>
              <w:ind w:left="0" w:firstLine="0"/>
              <w:jc w:val="left"/>
              <w:rPr>
                <w:rFonts w:ascii="Arial" w:hAnsi="Arial" w:cs="Arial"/>
                <w:sz w:val="20"/>
              </w:rPr>
            </w:pPr>
          </w:p>
        </w:tc>
        <w:tc>
          <w:tcPr>
            <w:tcW w:w="746" w:type="pct"/>
            <w:tcBorders>
              <w:top w:val="nil"/>
              <w:left w:val="single" w:sz="4" w:space="0" w:color="auto"/>
              <w:bottom w:val="single" w:sz="4" w:space="0" w:color="auto"/>
              <w:right w:val="single" w:sz="4" w:space="0" w:color="auto"/>
            </w:tcBorders>
            <w:shd w:val="clear" w:color="auto" w:fill="auto"/>
            <w:noWrap/>
            <w:vAlign w:val="bottom"/>
          </w:tcPr>
          <w:p w14:paraId="21457775" w14:textId="77777777" w:rsidR="00117B7F" w:rsidRPr="00B90483" w:rsidRDefault="00117B7F" w:rsidP="007F0E33">
            <w:pPr>
              <w:spacing w:after="0"/>
              <w:ind w:left="0" w:firstLine="0"/>
              <w:jc w:val="left"/>
              <w:rPr>
                <w:rFonts w:ascii="Calibri" w:hAnsi="Calibri"/>
                <w:sz w:val="20"/>
              </w:rPr>
            </w:pPr>
          </w:p>
        </w:tc>
      </w:tr>
      <w:tr w:rsidR="00117B7F" w:rsidRPr="00B90483" w14:paraId="61E315E1" w14:textId="77777777" w:rsidTr="00BD46CB">
        <w:trPr>
          <w:trHeight w:val="414"/>
          <w:jc w:val="center"/>
        </w:trPr>
        <w:tc>
          <w:tcPr>
            <w:tcW w:w="261" w:type="pct"/>
            <w:tcBorders>
              <w:top w:val="nil"/>
              <w:left w:val="double" w:sz="6" w:space="0" w:color="auto"/>
              <w:bottom w:val="single" w:sz="8" w:space="0" w:color="auto"/>
              <w:right w:val="single" w:sz="8" w:space="0" w:color="auto"/>
            </w:tcBorders>
            <w:shd w:val="clear" w:color="auto" w:fill="auto"/>
            <w:vAlign w:val="center"/>
          </w:tcPr>
          <w:p w14:paraId="27716907" w14:textId="77777777" w:rsidR="00117B7F" w:rsidRPr="00B90483" w:rsidRDefault="00117B7F" w:rsidP="007F0E33">
            <w:pPr>
              <w:spacing w:after="0"/>
              <w:ind w:left="0" w:firstLine="0"/>
              <w:jc w:val="center"/>
              <w:rPr>
                <w:b/>
                <w:bCs/>
                <w:sz w:val="20"/>
              </w:rPr>
            </w:pPr>
            <w:r w:rsidRPr="00B90483">
              <w:rPr>
                <w:b/>
                <w:bCs/>
                <w:sz w:val="20"/>
              </w:rPr>
              <w:t>6.1</w:t>
            </w:r>
          </w:p>
        </w:tc>
        <w:tc>
          <w:tcPr>
            <w:tcW w:w="2887" w:type="pct"/>
            <w:tcBorders>
              <w:top w:val="single" w:sz="8" w:space="0" w:color="auto"/>
              <w:left w:val="nil"/>
              <w:bottom w:val="single" w:sz="8" w:space="0" w:color="auto"/>
              <w:right w:val="single" w:sz="8" w:space="0" w:color="auto"/>
            </w:tcBorders>
            <w:shd w:val="clear" w:color="auto" w:fill="auto"/>
            <w:vAlign w:val="center"/>
          </w:tcPr>
          <w:p w14:paraId="44D6E715" w14:textId="77777777" w:rsidR="00117B7F" w:rsidRPr="00B90483" w:rsidRDefault="00117B7F" w:rsidP="007F0E33">
            <w:pPr>
              <w:spacing w:after="0"/>
              <w:ind w:left="0" w:firstLine="0"/>
              <w:jc w:val="left"/>
              <w:rPr>
                <w:b/>
                <w:bCs/>
                <w:sz w:val="20"/>
              </w:rPr>
            </w:pPr>
            <w:r w:rsidRPr="00B90483">
              <w:rPr>
                <w:b/>
                <w:bCs/>
                <w:sz w:val="20"/>
              </w:rPr>
              <w:t>Panneaux d'information</w:t>
            </w:r>
          </w:p>
          <w:p w14:paraId="036BDA70" w14:textId="77777777" w:rsidR="00117B7F" w:rsidRPr="00B90483" w:rsidRDefault="00117B7F" w:rsidP="007F0E33">
            <w:pPr>
              <w:spacing w:after="0"/>
              <w:ind w:left="0" w:firstLine="0"/>
              <w:jc w:val="left"/>
              <w:rPr>
                <w:bCs/>
                <w:sz w:val="18"/>
                <w:szCs w:val="18"/>
              </w:rPr>
            </w:pPr>
            <w:r w:rsidRPr="00B90483">
              <w:rPr>
                <w:bCs/>
                <w:sz w:val="18"/>
                <w:szCs w:val="18"/>
              </w:rPr>
              <w:t xml:space="preserve">Ce prix rémunère la fourniture et la mise en place de panneaux selon les spécifications de l’ingénieur. </w:t>
            </w:r>
          </w:p>
          <w:p w14:paraId="4A55B87E" w14:textId="77777777" w:rsidR="00117B7F" w:rsidRPr="00B90483" w:rsidRDefault="00117B7F" w:rsidP="007F0E33">
            <w:pPr>
              <w:spacing w:after="0"/>
              <w:ind w:left="0" w:firstLine="0"/>
              <w:jc w:val="left"/>
              <w:rPr>
                <w:bCs/>
                <w:sz w:val="18"/>
                <w:szCs w:val="18"/>
              </w:rPr>
            </w:pPr>
            <w:r w:rsidRPr="00B90483">
              <w:rPr>
                <w:bCs/>
                <w:sz w:val="18"/>
                <w:szCs w:val="18"/>
              </w:rPr>
              <w:t>Ce prix comprend :</w:t>
            </w:r>
          </w:p>
          <w:p w14:paraId="5593848D" w14:textId="77777777" w:rsidR="00117B7F" w:rsidRPr="00B90483" w:rsidRDefault="00117B7F" w:rsidP="007F0E33">
            <w:pPr>
              <w:spacing w:after="0"/>
              <w:ind w:left="0" w:firstLine="0"/>
              <w:jc w:val="left"/>
              <w:rPr>
                <w:bCs/>
                <w:sz w:val="18"/>
                <w:szCs w:val="18"/>
              </w:rPr>
            </w:pPr>
            <w:r w:rsidRPr="00B90483">
              <w:rPr>
                <w:bCs/>
                <w:sz w:val="18"/>
                <w:szCs w:val="18"/>
              </w:rPr>
              <w:t xml:space="preserve">- La fourniture des panneaux confectionnés conformément aux spécifications de l’ingénieur. La qualité et le type de fer employé seront soumis à l’appréciation de l’ingénieur. Les panneaux seront fixés sur des supports en IPN100 solidement ancrés. </w:t>
            </w:r>
          </w:p>
          <w:p w14:paraId="1750F9B4" w14:textId="77777777" w:rsidR="00117B7F" w:rsidRPr="00B90483" w:rsidRDefault="00117B7F" w:rsidP="007F0E33">
            <w:pPr>
              <w:spacing w:after="0"/>
              <w:ind w:left="0" w:firstLine="0"/>
              <w:jc w:val="left"/>
              <w:rPr>
                <w:bCs/>
                <w:sz w:val="18"/>
                <w:szCs w:val="18"/>
              </w:rPr>
            </w:pPr>
            <w:r w:rsidRPr="00B90483">
              <w:rPr>
                <w:bCs/>
                <w:sz w:val="18"/>
                <w:szCs w:val="18"/>
              </w:rPr>
              <w:t>Ce prix comprend :</w:t>
            </w:r>
          </w:p>
          <w:p w14:paraId="1888381F" w14:textId="77777777" w:rsidR="00117B7F" w:rsidRPr="00B90483" w:rsidRDefault="00117B7F" w:rsidP="007F0E33">
            <w:pPr>
              <w:spacing w:after="0"/>
              <w:ind w:left="0" w:firstLine="0"/>
              <w:jc w:val="left"/>
              <w:rPr>
                <w:bCs/>
                <w:sz w:val="18"/>
                <w:szCs w:val="18"/>
              </w:rPr>
            </w:pPr>
            <w:r w:rsidRPr="00B90483">
              <w:rPr>
                <w:bCs/>
                <w:sz w:val="18"/>
                <w:szCs w:val="18"/>
              </w:rPr>
              <w:t xml:space="preserve">- La fourniture des matériaux (ciment, agrégats etc.) et accessoires de pose </w:t>
            </w:r>
          </w:p>
          <w:p w14:paraId="3CDDCCE9" w14:textId="77777777" w:rsidR="00117B7F" w:rsidRPr="00B90483" w:rsidRDefault="00117B7F" w:rsidP="007F0E33">
            <w:pPr>
              <w:spacing w:after="0"/>
              <w:ind w:left="0" w:firstLine="0"/>
              <w:jc w:val="left"/>
              <w:rPr>
                <w:bCs/>
                <w:sz w:val="18"/>
                <w:szCs w:val="18"/>
              </w:rPr>
            </w:pPr>
            <w:r w:rsidRPr="00B90483">
              <w:rPr>
                <w:bCs/>
                <w:sz w:val="18"/>
                <w:szCs w:val="18"/>
              </w:rPr>
              <w:t>- La réalisation des fouilles nécessaires ;</w:t>
            </w:r>
          </w:p>
          <w:p w14:paraId="240AE3B5" w14:textId="77777777" w:rsidR="00117B7F" w:rsidRPr="00B90483" w:rsidRDefault="00117B7F" w:rsidP="007F0E33">
            <w:pPr>
              <w:spacing w:after="0"/>
              <w:ind w:left="0" w:firstLine="0"/>
              <w:jc w:val="left"/>
              <w:rPr>
                <w:bCs/>
                <w:sz w:val="18"/>
                <w:szCs w:val="18"/>
              </w:rPr>
            </w:pPr>
            <w:r w:rsidRPr="00B90483">
              <w:rPr>
                <w:bCs/>
                <w:sz w:val="18"/>
                <w:szCs w:val="18"/>
              </w:rPr>
              <w:t>- La pose des panneaux ;</w:t>
            </w:r>
          </w:p>
          <w:p w14:paraId="50CE6128" w14:textId="77777777" w:rsidR="00117B7F" w:rsidRPr="00B90483" w:rsidRDefault="00117B7F" w:rsidP="007F0E33">
            <w:pPr>
              <w:spacing w:after="0"/>
              <w:ind w:left="0" w:firstLine="0"/>
              <w:jc w:val="left"/>
              <w:rPr>
                <w:bCs/>
                <w:sz w:val="18"/>
                <w:szCs w:val="18"/>
              </w:rPr>
            </w:pPr>
            <w:r w:rsidRPr="00B90483">
              <w:rPr>
                <w:bCs/>
                <w:sz w:val="18"/>
                <w:szCs w:val="18"/>
              </w:rPr>
              <w:t>- L’exécution des différents raccordements au niveau des ouvrages ;</w:t>
            </w:r>
          </w:p>
          <w:p w14:paraId="18722389" w14:textId="77777777" w:rsidR="00117B7F" w:rsidRPr="00B90483" w:rsidRDefault="00117B7F" w:rsidP="007F0E33">
            <w:pPr>
              <w:spacing w:after="0"/>
              <w:ind w:left="0" w:firstLine="0"/>
              <w:jc w:val="left"/>
              <w:rPr>
                <w:bCs/>
                <w:sz w:val="18"/>
                <w:szCs w:val="18"/>
              </w:rPr>
            </w:pPr>
            <w:r w:rsidRPr="00B90483">
              <w:rPr>
                <w:bCs/>
                <w:sz w:val="18"/>
                <w:szCs w:val="18"/>
              </w:rPr>
              <w:t>- Et toutes sujétions d'exécution et de main d’œuvre qualifié et non qualifiée</w:t>
            </w:r>
          </w:p>
          <w:p w14:paraId="6DC9F6BD" w14:textId="77777777" w:rsidR="00117B7F" w:rsidRPr="00B90483" w:rsidRDefault="00117B7F" w:rsidP="007F0E33">
            <w:pPr>
              <w:spacing w:after="0"/>
              <w:ind w:left="0" w:firstLine="0"/>
              <w:jc w:val="left"/>
              <w:rPr>
                <w:bCs/>
                <w:sz w:val="18"/>
                <w:szCs w:val="18"/>
              </w:rPr>
            </w:pPr>
          </w:p>
          <w:p w14:paraId="780BA4CC" w14:textId="77777777" w:rsidR="00117B7F" w:rsidRPr="00B90483" w:rsidRDefault="00117B7F" w:rsidP="007F0E33">
            <w:pPr>
              <w:spacing w:after="0"/>
              <w:ind w:left="0" w:firstLine="0"/>
              <w:jc w:val="left"/>
              <w:rPr>
                <w:b/>
                <w:bCs/>
                <w:sz w:val="20"/>
              </w:rPr>
            </w:pPr>
            <w:r w:rsidRPr="00B90483">
              <w:rPr>
                <w:i/>
                <w:sz w:val="18"/>
                <w:szCs w:val="18"/>
              </w:rPr>
              <w:t>Ce prix s’applique à l’unité de panneau, fournis et mis en place constatée par l’ingénieur</w:t>
            </w:r>
          </w:p>
        </w:tc>
        <w:tc>
          <w:tcPr>
            <w:tcW w:w="397" w:type="pct"/>
            <w:tcBorders>
              <w:top w:val="single" w:sz="8" w:space="0" w:color="auto"/>
              <w:left w:val="nil"/>
              <w:bottom w:val="single" w:sz="8" w:space="0" w:color="auto"/>
              <w:right w:val="single" w:sz="8" w:space="0" w:color="auto"/>
            </w:tcBorders>
            <w:shd w:val="clear" w:color="auto" w:fill="auto"/>
            <w:vAlign w:val="center"/>
          </w:tcPr>
          <w:p w14:paraId="71BE14ED" w14:textId="77777777" w:rsidR="00117B7F" w:rsidRPr="00B90483" w:rsidRDefault="00117B7F" w:rsidP="007F0E33">
            <w:pPr>
              <w:spacing w:after="0"/>
              <w:ind w:left="0" w:firstLine="0"/>
              <w:jc w:val="center"/>
              <w:rPr>
                <w:sz w:val="20"/>
              </w:rPr>
            </w:pPr>
            <w:r w:rsidRPr="00B90483">
              <w:rPr>
                <w:sz w:val="20"/>
              </w:rPr>
              <w:t>u</w:t>
            </w:r>
          </w:p>
        </w:tc>
        <w:tc>
          <w:tcPr>
            <w:tcW w:w="709" w:type="pct"/>
            <w:tcBorders>
              <w:top w:val="single" w:sz="8" w:space="0" w:color="auto"/>
              <w:left w:val="nil"/>
              <w:bottom w:val="single" w:sz="8" w:space="0" w:color="auto"/>
              <w:right w:val="nil"/>
            </w:tcBorders>
            <w:shd w:val="clear" w:color="auto" w:fill="auto"/>
            <w:vAlign w:val="center"/>
          </w:tcPr>
          <w:p w14:paraId="2435BAD1" w14:textId="77777777" w:rsidR="00117B7F" w:rsidRPr="00B90483" w:rsidRDefault="00117B7F" w:rsidP="007F0E33">
            <w:pPr>
              <w:spacing w:after="0"/>
              <w:ind w:left="0" w:firstLine="0"/>
              <w:jc w:val="left"/>
              <w:rPr>
                <w:rFonts w:ascii="Arial" w:hAnsi="Arial" w:cs="Arial"/>
                <w:sz w:val="20"/>
              </w:rPr>
            </w:pPr>
          </w:p>
        </w:tc>
        <w:tc>
          <w:tcPr>
            <w:tcW w:w="746" w:type="pct"/>
            <w:tcBorders>
              <w:top w:val="nil"/>
              <w:left w:val="single" w:sz="4" w:space="0" w:color="auto"/>
              <w:bottom w:val="single" w:sz="4" w:space="0" w:color="auto"/>
              <w:right w:val="single" w:sz="4" w:space="0" w:color="auto"/>
            </w:tcBorders>
            <w:shd w:val="clear" w:color="auto" w:fill="auto"/>
            <w:noWrap/>
            <w:vAlign w:val="bottom"/>
          </w:tcPr>
          <w:p w14:paraId="3C4C9B00" w14:textId="77777777" w:rsidR="00117B7F" w:rsidRPr="00B90483" w:rsidRDefault="00117B7F" w:rsidP="007F0E33">
            <w:pPr>
              <w:spacing w:after="0"/>
              <w:ind w:left="0" w:firstLine="0"/>
              <w:jc w:val="left"/>
              <w:rPr>
                <w:rFonts w:ascii="Calibri" w:hAnsi="Calibri"/>
                <w:sz w:val="20"/>
              </w:rPr>
            </w:pPr>
          </w:p>
        </w:tc>
      </w:tr>
      <w:tr w:rsidR="00117B7F" w:rsidRPr="00B90483" w14:paraId="650CAFE5" w14:textId="77777777" w:rsidTr="00BD46CB">
        <w:trPr>
          <w:trHeight w:val="139"/>
          <w:jc w:val="center"/>
        </w:trPr>
        <w:tc>
          <w:tcPr>
            <w:tcW w:w="261" w:type="pct"/>
            <w:tcBorders>
              <w:top w:val="nil"/>
              <w:left w:val="double" w:sz="6" w:space="0" w:color="auto"/>
              <w:bottom w:val="double" w:sz="6" w:space="0" w:color="auto"/>
              <w:right w:val="single" w:sz="8" w:space="0" w:color="auto"/>
            </w:tcBorders>
            <w:shd w:val="clear" w:color="auto" w:fill="auto"/>
            <w:noWrap/>
            <w:vAlign w:val="center"/>
            <w:hideMark/>
          </w:tcPr>
          <w:p w14:paraId="272EFA80" w14:textId="77777777" w:rsidR="00117B7F" w:rsidRPr="00B90483" w:rsidRDefault="00117B7F" w:rsidP="007F0E33">
            <w:pPr>
              <w:spacing w:after="0"/>
              <w:ind w:left="0" w:firstLine="0"/>
              <w:jc w:val="center"/>
              <w:rPr>
                <w:b/>
                <w:bCs/>
                <w:sz w:val="20"/>
              </w:rPr>
            </w:pPr>
            <w:r w:rsidRPr="00B90483">
              <w:rPr>
                <w:b/>
                <w:bCs/>
                <w:sz w:val="20"/>
              </w:rPr>
              <w:t> </w:t>
            </w:r>
          </w:p>
        </w:tc>
        <w:tc>
          <w:tcPr>
            <w:tcW w:w="2887" w:type="pct"/>
            <w:tcBorders>
              <w:top w:val="nil"/>
              <w:left w:val="nil"/>
              <w:bottom w:val="double" w:sz="6" w:space="0" w:color="auto"/>
              <w:right w:val="single" w:sz="8" w:space="0" w:color="auto"/>
            </w:tcBorders>
            <w:shd w:val="clear" w:color="auto" w:fill="auto"/>
            <w:vAlign w:val="center"/>
            <w:hideMark/>
          </w:tcPr>
          <w:p w14:paraId="504CC0CA" w14:textId="77777777" w:rsidR="00117B7F" w:rsidRPr="00B90483" w:rsidRDefault="00117B7F" w:rsidP="007F0E33">
            <w:pPr>
              <w:spacing w:after="0"/>
              <w:ind w:left="0" w:firstLine="0"/>
              <w:jc w:val="left"/>
              <w:rPr>
                <w:b/>
                <w:bCs/>
                <w:sz w:val="20"/>
              </w:rPr>
            </w:pPr>
            <w:r w:rsidRPr="00B90483">
              <w:rPr>
                <w:b/>
                <w:bCs/>
                <w:sz w:val="20"/>
              </w:rPr>
              <w:t>Total Général (DIGUE N°02)</w:t>
            </w:r>
          </w:p>
        </w:tc>
        <w:tc>
          <w:tcPr>
            <w:tcW w:w="397" w:type="pct"/>
            <w:tcBorders>
              <w:top w:val="nil"/>
              <w:left w:val="nil"/>
              <w:bottom w:val="double" w:sz="6" w:space="0" w:color="auto"/>
              <w:right w:val="single" w:sz="8" w:space="0" w:color="auto"/>
            </w:tcBorders>
            <w:shd w:val="clear" w:color="auto" w:fill="auto"/>
            <w:noWrap/>
            <w:vAlign w:val="center"/>
            <w:hideMark/>
          </w:tcPr>
          <w:p w14:paraId="2B8CD961" w14:textId="77777777" w:rsidR="00117B7F" w:rsidRPr="00B90483" w:rsidRDefault="00117B7F" w:rsidP="007F0E33">
            <w:pPr>
              <w:spacing w:after="0"/>
              <w:ind w:left="0" w:firstLine="0"/>
              <w:jc w:val="center"/>
              <w:rPr>
                <w:sz w:val="20"/>
              </w:rPr>
            </w:pPr>
            <w:r w:rsidRPr="00B90483">
              <w:rPr>
                <w:sz w:val="20"/>
              </w:rPr>
              <w:t> </w:t>
            </w:r>
          </w:p>
        </w:tc>
        <w:tc>
          <w:tcPr>
            <w:tcW w:w="709" w:type="pct"/>
            <w:tcBorders>
              <w:top w:val="nil"/>
              <w:left w:val="nil"/>
              <w:bottom w:val="double" w:sz="6" w:space="0" w:color="auto"/>
              <w:right w:val="nil"/>
            </w:tcBorders>
            <w:shd w:val="clear" w:color="auto" w:fill="auto"/>
            <w:noWrap/>
            <w:vAlign w:val="center"/>
            <w:hideMark/>
          </w:tcPr>
          <w:p w14:paraId="557C2977" w14:textId="77777777" w:rsidR="00117B7F" w:rsidRPr="00B90483" w:rsidRDefault="00117B7F" w:rsidP="007F0E33">
            <w:pPr>
              <w:spacing w:after="0"/>
              <w:ind w:left="0" w:firstLine="0"/>
              <w:jc w:val="left"/>
              <w:rPr>
                <w:rFonts w:ascii="Arial" w:hAnsi="Arial" w:cs="Arial"/>
                <w:sz w:val="20"/>
              </w:rPr>
            </w:pPr>
            <w:r w:rsidRPr="00B90483">
              <w:rPr>
                <w:rFonts w:ascii="Arial" w:hAnsi="Arial" w:cs="Arial"/>
                <w:sz w:val="20"/>
              </w:rPr>
              <w:t> </w:t>
            </w:r>
          </w:p>
        </w:tc>
        <w:tc>
          <w:tcPr>
            <w:tcW w:w="746" w:type="pct"/>
            <w:tcBorders>
              <w:top w:val="nil"/>
              <w:left w:val="single" w:sz="4" w:space="0" w:color="auto"/>
              <w:bottom w:val="single" w:sz="4" w:space="0" w:color="auto"/>
              <w:right w:val="single" w:sz="4" w:space="0" w:color="auto"/>
            </w:tcBorders>
            <w:shd w:val="clear" w:color="auto" w:fill="auto"/>
            <w:noWrap/>
            <w:vAlign w:val="bottom"/>
            <w:hideMark/>
          </w:tcPr>
          <w:p w14:paraId="174FA229" w14:textId="77777777" w:rsidR="00117B7F" w:rsidRPr="00B90483" w:rsidRDefault="00117B7F" w:rsidP="007F0E33">
            <w:pPr>
              <w:spacing w:after="0"/>
              <w:ind w:left="0" w:firstLine="0"/>
              <w:jc w:val="left"/>
              <w:rPr>
                <w:rFonts w:ascii="Calibri" w:hAnsi="Calibri"/>
                <w:sz w:val="20"/>
              </w:rPr>
            </w:pPr>
            <w:r w:rsidRPr="00B90483">
              <w:rPr>
                <w:rFonts w:ascii="Calibri" w:hAnsi="Calibri"/>
                <w:sz w:val="20"/>
              </w:rPr>
              <w:t> </w:t>
            </w:r>
          </w:p>
        </w:tc>
      </w:tr>
    </w:tbl>
    <w:p w14:paraId="28017DB5" w14:textId="77777777" w:rsidR="002D0933" w:rsidRDefault="002D0933" w:rsidP="00117B7F">
      <w:pPr>
        <w:spacing w:after="0"/>
        <w:ind w:left="0" w:firstLine="0"/>
        <w:jc w:val="left"/>
        <w:rPr>
          <w:color w:val="FF0000"/>
          <w:szCs w:val="24"/>
          <w:lang w:eastAsia="en-US"/>
        </w:rPr>
      </w:pPr>
    </w:p>
    <w:p w14:paraId="463D98C4" w14:textId="2A10D58D" w:rsidR="00117B7F" w:rsidRPr="00470F7C" w:rsidRDefault="00117B7F" w:rsidP="00117B7F">
      <w:pPr>
        <w:spacing w:after="0"/>
        <w:ind w:left="0" w:firstLine="0"/>
        <w:jc w:val="left"/>
        <w:rPr>
          <w:szCs w:val="24"/>
          <w:lang w:eastAsia="en-US"/>
        </w:rPr>
      </w:pPr>
      <w:r w:rsidRPr="00470F7C">
        <w:rPr>
          <w:szCs w:val="24"/>
          <w:lang w:eastAsia="en-US"/>
        </w:rPr>
        <w:t>Fait à …………………le……………………………….</w:t>
      </w:r>
      <w:r w:rsidR="002D0933" w:rsidRPr="00470F7C">
        <w:rPr>
          <w:szCs w:val="24"/>
          <w:lang w:eastAsia="en-US"/>
        </w:rPr>
        <w:t xml:space="preserve"> </w:t>
      </w:r>
      <w:r w:rsidRPr="00470F7C">
        <w:rPr>
          <w:szCs w:val="24"/>
          <w:lang w:eastAsia="en-US"/>
        </w:rPr>
        <w:t>202</w:t>
      </w:r>
      <w:r w:rsidR="00606A49" w:rsidRPr="00470F7C">
        <w:rPr>
          <w:szCs w:val="24"/>
          <w:lang w:eastAsia="en-US"/>
        </w:rPr>
        <w:t>1</w:t>
      </w:r>
    </w:p>
    <w:p w14:paraId="437E3B0B" w14:textId="73507432" w:rsidR="00117B7F" w:rsidRDefault="00117B7F" w:rsidP="00117B7F">
      <w:pPr>
        <w:spacing w:after="0"/>
        <w:ind w:left="0" w:firstLine="0"/>
        <w:jc w:val="left"/>
        <w:rPr>
          <w:szCs w:val="24"/>
          <w:lang w:eastAsia="en-US"/>
        </w:rPr>
      </w:pPr>
      <w:r w:rsidRPr="00B90483">
        <w:rPr>
          <w:b/>
          <w:szCs w:val="24"/>
          <w:lang w:eastAsia="en-US"/>
        </w:rPr>
        <w:t xml:space="preserve">                                                                                                                 </w:t>
      </w:r>
      <w:r w:rsidRPr="00B90483">
        <w:rPr>
          <w:szCs w:val="24"/>
          <w:lang w:eastAsia="en-US"/>
        </w:rPr>
        <w:t>Le Soumissionnaire</w:t>
      </w:r>
    </w:p>
    <w:p w14:paraId="7086A97B" w14:textId="77777777" w:rsidR="0076593B" w:rsidRPr="00B90483" w:rsidRDefault="0076593B" w:rsidP="00117B7F">
      <w:pPr>
        <w:spacing w:after="0"/>
        <w:ind w:left="0" w:firstLine="0"/>
        <w:jc w:val="left"/>
        <w:rPr>
          <w:szCs w:val="24"/>
          <w:lang w:eastAsia="en-US"/>
        </w:rPr>
      </w:pPr>
    </w:p>
    <w:p w14:paraId="4880D5BC" w14:textId="0818FEF6" w:rsidR="00117B7F" w:rsidRPr="005830D1" w:rsidRDefault="00117B7F" w:rsidP="00117B7F">
      <w:pPr>
        <w:pStyle w:val="Style8"/>
        <w:ind w:left="0" w:firstLine="0"/>
        <w:rPr>
          <w:sz w:val="24"/>
          <w:szCs w:val="24"/>
        </w:rPr>
      </w:pPr>
      <w:r w:rsidRPr="005830D1">
        <w:rPr>
          <w:sz w:val="24"/>
          <w:szCs w:val="24"/>
        </w:rPr>
        <w:lastRenderedPageBreak/>
        <w:t>MAGASIN DE CONSERVATION D'ECHALOTE A KISSAKORO</w:t>
      </w:r>
      <w:r w:rsidR="0076593B">
        <w:rPr>
          <w:sz w:val="24"/>
          <w:szCs w:val="24"/>
        </w:rPr>
        <w:t xml:space="preserve"> (30 T</w:t>
      </w:r>
      <w:r w:rsidR="00B40B2A">
        <w:rPr>
          <w:sz w:val="24"/>
          <w:szCs w:val="24"/>
        </w:rPr>
        <w:t>ONNES</w:t>
      </w:r>
      <w:r w:rsidR="0076593B">
        <w:rPr>
          <w:sz w:val="24"/>
          <w:szCs w:val="24"/>
        </w:rPr>
        <w:t>)</w:t>
      </w:r>
    </w:p>
    <w:tbl>
      <w:tblPr>
        <w:tblW w:w="5487" w:type="pct"/>
        <w:jc w:val="center"/>
        <w:tblCellMar>
          <w:left w:w="70" w:type="dxa"/>
          <w:right w:w="70" w:type="dxa"/>
        </w:tblCellMar>
        <w:tblLook w:val="04A0" w:firstRow="1" w:lastRow="0" w:firstColumn="1" w:lastColumn="0" w:noHBand="0" w:noVBand="1"/>
      </w:tblPr>
      <w:tblGrid>
        <w:gridCol w:w="397"/>
        <w:gridCol w:w="5983"/>
        <w:gridCol w:w="617"/>
        <w:gridCol w:w="1019"/>
        <w:gridCol w:w="1783"/>
      </w:tblGrid>
      <w:tr w:rsidR="00117B7F" w:rsidRPr="005830D1" w14:paraId="3D18D952" w14:textId="77777777" w:rsidTr="007F0E33">
        <w:trPr>
          <w:trHeight w:val="218"/>
          <w:jc w:val="center"/>
        </w:trPr>
        <w:tc>
          <w:tcPr>
            <w:tcW w:w="202" w:type="pct"/>
            <w:vMerge w:val="restart"/>
            <w:tcBorders>
              <w:top w:val="single" w:sz="4" w:space="0" w:color="auto"/>
              <w:left w:val="single" w:sz="4" w:space="0" w:color="auto"/>
              <w:right w:val="single" w:sz="4" w:space="0" w:color="auto"/>
            </w:tcBorders>
            <w:shd w:val="clear" w:color="auto" w:fill="BFBFBF" w:themeFill="background1" w:themeFillShade="BF"/>
            <w:vAlign w:val="center"/>
            <w:hideMark/>
          </w:tcPr>
          <w:p w14:paraId="11947AD8" w14:textId="77777777" w:rsidR="00117B7F" w:rsidRPr="005830D1" w:rsidRDefault="00117B7F" w:rsidP="007F0E33">
            <w:pPr>
              <w:spacing w:after="0"/>
              <w:ind w:left="0" w:firstLine="0"/>
              <w:jc w:val="center"/>
              <w:rPr>
                <w:b/>
                <w:bCs/>
                <w:sz w:val="20"/>
              </w:rPr>
            </w:pPr>
            <w:r w:rsidRPr="005830D1">
              <w:rPr>
                <w:b/>
                <w:bCs/>
                <w:sz w:val="20"/>
              </w:rPr>
              <w:t>N°</w:t>
            </w:r>
          </w:p>
        </w:tc>
        <w:tc>
          <w:tcPr>
            <w:tcW w:w="3053" w:type="pct"/>
            <w:vMerge w:val="restart"/>
            <w:tcBorders>
              <w:top w:val="single" w:sz="4" w:space="0" w:color="auto"/>
              <w:left w:val="nil"/>
              <w:right w:val="single" w:sz="4" w:space="0" w:color="auto"/>
            </w:tcBorders>
            <w:shd w:val="clear" w:color="auto" w:fill="BFBFBF" w:themeFill="background1" w:themeFillShade="BF"/>
            <w:vAlign w:val="center"/>
            <w:hideMark/>
          </w:tcPr>
          <w:p w14:paraId="08397961" w14:textId="77777777" w:rsidR="00117B7F" w:rsidRPr="005830D1" w:rsidRDefault="00117B7F" w:rsidP="007F0E33">
            <w:pPr>
              <w:spacing w:after="0"/>
              <w:ind w:left="0" w:firstLine="0"/>
              <w:jc w:val="center"/>
              <w:rPr>
                <w:b/>
                <w:bCs/>
                <w:sz w:val="20"/>
              </w:rPr>
            </w:pPr>
            <w:r w:rsidRPr="005830D1">
              <w:rPr>
                <w:b/>
                <w:bCs/>
                <w:sz w:val="20"/>
              </w:rPr>
              <w:t>Désignations</w:t>
            </w:r>
          </w:p>
        </w:tc>
        <w:tc>
          <w:tcPr>
            <w:tcW w:w="315" w:type="pct"/>
            <w:vMerge w:val="restart"/>
            <w:tcBorders>
              <w:top w:val="single" w:sz="4" w:space="0" w:color="auto"/>
              <w:left w:val="nil"/>
              <w:right w:val="single" w:sz="4" w:space="0" w:color="auto"/>
            </w:tcBorders>
            <w:shd w:val="clear" w:color="auto" w:fill="BFBFBF" w:themeFill="background1" w:themeFillShade="BF"/>
            <w:vAlign w:val="center"/>
            <w:hideMark/>
          </w:tcPr>
          <w:p w14:paraId="1FF2279A" w14:textId="77777777" w:rsidR="00117B7F" w:rsidRPr="005830D1" w:rsidRDefault="00117B7F" w:rsidP="007F0E33">
            <w:pPr>
              <w:spacing w:after="0"/>
              <w:ind w:left="0" w:firstLine="0"/>
              <w:jc w:val="center"/>
              <w:rPr>
                <w:b/>
                <w:bCs/>
                <w:sz w:val="20"/>
              </w:rPr>
            </w:pPr>
            <w:r w:rsidRPr="005830D1">
              <w:rPr>
                <w:b/>
                <w:bCs/>
                <w:sz w:val="20"/>
              </w:rPr>
              <w:t>Unité</w:t>
            </w:r>
          </w:p>
        </w:tc>
        <w:tc>
          <w:tcPr>
            <w:tcW w:w="1429"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tcPr>
          <w:p w14:paraId="27E5FC9D" w14:textId="77777777" w:rsidR="00117B7F" w:rsidRPr="005830D1" w:rsidRDefault="00117B7F" w:rsidP="007F0E33">
            <w:pPr>
              <w:spacing w:after="0"/>
              <w:ind w:left="0" w:firstLine="0"/>
              <w:jc w:val="center"/>
              <w:rPr>
                <w:b/>
                <w:sz w:val="20"/>
              </w:rPr>
            </w:pPr>
            <w:r w:rsidRPr="005830D1">
              <w:rPr>
                <w:b/>
                <w:bCs/>
                <w:sz w:val="20"/>
              </w:rPr>
              <w:t>Prix Unitaires en FCFA TTC</w:t>
            </w:r>
          </w:p>
        </w:tc>
      </w:tr>
      <w:tr w:rsidR="00117B7F" w:rsidRPr="005830D1" w14:paraId="77F041CE" w14:textId="77777777" w:rsidTr="00EA054C">
        <w:trPr>
          <w:trHeight w:val="59"/>
          <w:jc w:val="center"/>
        </w:trPr>
        <w:tc>
          <w:tcPr>
            <w:tcW w:w="202" w:type="pct"/>
            <w:vMerge/>
            <w:tcBorders>
              <w:left w:val="single" w:sz="4" w:space="0" w:color="auto"/>
              <w:bottom w:val="single" w:sz="8" w:space="0" w:color="auto"/>
              <w:right w:val="single" w:sz="4" w:space="0" w:color="auto"/>
            </w:tcBorders>
            <w:shd w:val="clear" w:color="auto" w:fill="BFBFBF" w:themeFill="background1" w:themeFillShade="BF"/>
            <w:noWrap/>
            <w:vAlign w:val="center"/>
          </w:tcPr>
          <w:p w14:paraId="7D55E0CC" w14:textId="77777777" w:rsidR="00117B7F" w:rsidRPr="005830D1" w:rsidRDefault="00117B7F" w:rsidP="007F0E33">
            <w:pPr>
              <w:spacing w:before="240" w:after="0"/>
              <w:ind w:left="0" w:firstLine="0"/>
              <w:jc w:val="center"/>
              <w:rPr>
                <w:sz w:val="20"/>
              </w:rPr>
            </w:pPr>
          </w:p>
        </w:tc>
        <w:tc>
          <w:tcPr>
            <w:tcW w:w="3053" w:type="pct"/>
            <w:vMerge/>
            <w:tcBorders>
              <w:left w:val="single" w:sz="4" w:space="0" w:color="auto"/>
              <w:bottom w:val="single" w:sz="8" w:space="0" w:color="auto"/>
              <w:right w:val="single" w:sz="4" w:space="0" w:color="auto"/>
            </w:tcBorders>
            <w:shd w:val="clear" w:color="auto" w:fill="BFBFBF" w:themeFill="background1" w:themeFillShade="BF"/>
            <w:vAlign w:val="center"/>
          </w:tcPr>
          <w:p w14:paraId="629DF349" w14:textId="77777777" w:rsidR="00117B7F" w:rsidRPr="005830D1" w:rsidRDefault="00117B7F" w:rsidP="007F0E33">
            <w:pPr>
              <w:spacing w:before="240" w:after="0"/>
              <w:ind w:left="0" w:firstLine="0"/>
              <w:jc w:val="left"/>
              <w:rPr>
                <w:b/>
                <w:bCs/>
                <w:sz w:val="20"/>
              </w:rPr>
            </w:pPr>
          </w:p>
        </w:tc>
        <w:tc>
          <w:tcPr>
            <w:tcW w:w="315" w:type="pct"/>
            <w:vMerge/>
            <w:tcBorders>
              <w:left w:val="single" w:sz="4" w:space="0" w:color="auto"/>
              <w:bottom w:val="single" w:sz="8" w:space="0" w:color="auto"/>
              <w:right w:val="single" w:sz="4" w:space="0" w:color="auto"/>
            </w:tcBorders>
            <w:shd w:val="clear" w:color="auto" w:fill="BFBFBF" w:themeFill="background1" w:themeFillShade="BF"/>
            <w:noWrap/>
            <w:vAlign w:val="center"/>
            <w:hideMark/>
          </w:tcPr>
          <w:p w14:paraId="608B170D" w14:textId="77777777" w:rsidR="00117B7F" w:rsidRPr="005830D1" w:rsidRDefault="00117B7F" w:rsidP="007F0E33">
            <w:pPr>
              <w:spacing w:before="240" w:after="0"/>
              <w:ind w:left="0" w:firstLine="0"/>
              <w:jc w:val="center"/>
              <w:rPr>
                <w:sz w:val="20"/>
              </w:rPr>
            </w:pPr>
          </w:p>
        </w:tc>
        <w:tc>
          <w:tcPr>
            <w:tcW w:w="520" w:type="pct"/>
            <w:tcBorders>
              <w:top w:val="nil"/>
              <w:left w:val="single" w:sz="4" w:space="0" w:color="auto"/>
              <w:bottom w:val="single" w:sz="8" w:space="0" w:color="auto"/>
              <w:right w:val="nil"/>
            </w:tcBorders>
            <w:shd w:val="clear" w:color="auto" w:fill="BFBFBF" w:themeFill="background1" w:themeFillShade="BF"/>
            <w:noWrap/>
          </w:tcPr>
          <w:p w14:paraId="53003E44" w14:textId="77777777" w:rsidR="00117B7F" w:rsidRPr="007F0E33" w:rsidRDefault="00117B7F" w:rsidP="007F0E33">
            <w:pPr>
              <w:spacing w:after="0"/>
              <w:ind w:left="0" w:firstLine="0"/>
              <w:jc w:val="center"/>
              <w:rPr>
                <w:b/>
                <w:bCs/>
                <w:sz w:val="20"/>
              </w:rPr>
            </w:pPr>
            <w:r w:rsidRPr="007F0E33">
              <w:rPr>
                <w:b/>
                <w:bCs/>
                <w:sz w:val="20"/>
              </w:rPr>
              <w:t>En chiffre</w:t>
            </w:r>
          </w:p>
        </w:tc>
        <w:tc>
          <w:tcPr>
            <w:tcW w:w="910" w:type="pct"/>
            <w:tcBorders>
              <w:top w:val="nil"/>
              <w:left w:val="single" w:sz="4" w:space="0" w:color="auto"/>
              <w:bottom w:val="single" w:sz="4" w:space="0" w:color="auto"/>
              <w:right w:val="single" w:sz="4" w:space="0" w:color="auto"/>
            </w:tcBorders>
            <w:shd w:val="clear" w:color="auto" w:fill="BFBFBF" w:themeFill="background1" w:themeFillShade="BF"/>
            <w:noWrap/>
            <w:hideMark/>
          </w:tcPr>
          <w:p w14:paraId="4B6189CC" w14:textId="77777777" w:rsidR="00117B7F" w:rsidRPr="007F0E33" w:rsidRDefault="00117B7F" w:rsidP="007F0E33">
            <w:pPr>
              <w:spacing w:after="0"/>
              <w:ind w:left="0" w:firstLine="0"/>
              <w:jc w:val="center"/>
              <w:rPr>
                <w:b/>
                <w:bCs/>
                <w:sz w:val="20"/>
              </w:rPr>
            </w:pPr>
            <w:r w:rsidRPr="007F0E33">
              <w:rPr>
                <w:b/>
                <w:bCs/>
                <w:sz w:val="20"/>
              </w:rPr>
              <w:t>En lettre</w:t>
            </w:r>
          </w:p>
        </w:tc>
      </w:tr>
      <w:tr w:rsidR="00117B7F" w:rsidRPr="005830D1" w14:paraId="502CD9F8" w14:textId="77777777" w:rsidTr="007F0E33">
        <w:trPr>
          <w:trHeight w:val="49"/>
          <w:jc w:val="center"/>
        </w:trPr>
        <w:tc>
          <w:tcPr>
            <w:tcW w:w="202" w:type="pct"/>
            <w:tcBorders>
              <w:top w:val="nil"/>
              <w:left w:val="double" w:sz="6" w:space="0" w:color="auto"/>
              <w:bottom w:val="single" w:sz="8" w:space="0" w:color="auto"/>
              <w:right w:val="single" w:sz="8" w:space="0" w:color="auto"/>
            </w:tcBorders>
            <w:shd w:val="clear" w:color="auto" w:fill="auto"/>
            <w:noWrap/>
            <w:vAlign w:val="center"/>
            <w:hideMark/>
          </w:tcPr>
          <w:p w14:paraId="57196EDA" w14:textId="77777777" w:rsidR="00117B7F" w:rsidRPr="005830D1" w:rsidRDefault="00117B7F" w:rsidP="007F0E33">
            <w:pPr>
              <w:spacing w:after="0"/>
              <w:ind w:left="0" w:firstLine="0"/>
              <w:jc w:val="center"/>
              <w:rPr>
                <w:sz w:val="20"/>
              </w:rPr>
            </w:pPr>
            <w:r w:rsidRPr="005830D1">
              <w:rPr>
                <w:sz w:val="20"/>
              </w:rPr>
              <w:t> </w:t>
            </w:r>
          </w:p>
        </w:tc>
        <w:tc>
          <w:tcPr>
            <w:tcW w:w="3053" w:type="pct"/>
            <w:tcBorders>
              <w:top w:val="nil"/>
              <w:left w:val="nil"/>
              <w:bottom w:val="single" w:sz="8" w:space="0" w:color="auto"/>
              <w:right w:val="single" w:sz="8" w:space="0" w:color="auto"/>
            </w:tcBorders>
            <w:shd w:val="clear" w:color="auto" w:fill="auto"/>
            <w:vAlign w:val="center"/>
            <w:hideMark/>
          </w:tcPr>
          <w:p w14:paraId="05BE7425" w14:textId="77777777" w:rsidR="00117B7F" w:rsidRPr="005830D1" w:rsidRDefault="00117B7F" w:rsidP="007F0E33">
            <w:pPr>
              <w:spacing w:after="0"/>
              <w:ind w:left="0" w:firstLine="0"/>
              <w:jc w:val="left"/>
              <w:rPr>
                <w:b/>
                <w:bCs/>
                <w:sz w:val="20"/>
              </w:rPr>
            </w:pPr>
            <w:r w:rsidRPr="005830D1">
              <w:rPr>
                <w:b/>
                <w:bCs/>
                <w:sz w:val="20"/>
              </w:rPr>
              <w:t>I. TERRASSEMENTS</w:t>
            </w:r>
          </w:p>
        </w:tc>
        <w:tc>
          <w:tcPr>
            <w:tcW w:w="315" w:type="pct"/>
            <w:tcBorders>
              <w:top w:val="nil"/>
              <w:left w:val="nil"/>
              <w:bottom w:val="single" w:sz="8" w:space="0" w:color="auto"/>
              <w:right w:val="single" w:sz="8" w:space="0" w:color="auto"/>
            </w:tcBorders>
            <w:shd w:val="clear" w:color="auto" w:fill="auto"/>
            <w:noWrap/>
            <w:vAlign w:val="center"/>
            <w:hideMark/>
          </w:tcPr>
          <w:p w14:paraId="767A65D6" w14:textId="77777777" w:rsidR="00117B7F" w:rsidRPr="005830D1" w:rsidRDefault="00117B7F" w:rsidP="007F0E33">
            <w:pPr>
              <w:spacing w:after="0"/>
              <w:ind w:left="0" w:firstLine="0"/>
              <w:jc w:val="center"/>
              <w:rPr>
                <w:sz w:val="20"/>
              </w:rPr>
            </w:pPr>
            <w:r w:rsidRPr="005830D1">
              <w:rPr>
                <w:sz w:val="20"/>
              </w:rPr>
              <w:t> </w:t>
            </w:r>
          </w:p>
        </w:tc>
        <w:tc>
          <w:tcPr>
            <w:tcW w:w="520" w:type="pct"/>
            <w:tcBorders>
              <w:top w:val="nil"/>
              <w:left w:val="nil"/>
              <w:bottom w:val="single" w:sz="8" w:space="0" w:color="auto"/>
              <w:right w:val="nil"/>
            </w:tcBorders>
            <w:shd w:val="clear" w:color="auto" w:fill="auto"/>
            <w:noWrap/>
            <w:vAlign w:val="center"/>
          </w:tcPr>
          <w:p w14:paraId="50A1BE00" w14:textId="77777777" w:rsidR="00117B7F" w:rsidRPr="005830D1" w:rsidRDefault="00117B7F" w:rsidP="007F0E33">
            <w:pPr>
              <w:spacing w:after="0"/>
              <w:ind w:left="0" w:firstLine="0"/>
              <w:jc w:val="right"/>
              <w:rPr>
                <w:sz w:val="20"/>
              </w:rPr>
            </w:pPr>
          </w:p>
        </w:tc>
        <w:tc>
          <w:tcPr>
            <w:tcW w:w="910" w:type="pct"/>
            <w:tcBorders>
              <w:top w:val="nil"/>
              <w:left w:val="single" w:sz="4" w:space="0" w:color="auto"/>
              <w:bottom w:val="single" w:sz="4" w:space="0" w:color="auto"/>
              <w:right w:val="single" w:sz="4" w:space="0" w:color="auto"/>
            </w:tcBorders>
            <w:shd w:val="clear" w:color="auto" w:fill="auto"/>
            <w:noWrap/>
            <w:vAlign w:val="bottom"/>
            <w:hideMark/>
          </w:tcPr>
          <w:p w14:paraId="6802D832" w14:textId="77777777" w:rsidR="00117B7F" w:rsidRPr="005830D1" w:rsidRDefault="00117B7F" w:rsidP="007F0E33">
            <w:pPr>
              <w:spacing w:after="0"/>
              <w:ind w:left="0" w:firstLine="0"/>
              <w:jc w:val="left"/>
              <w:rPr>
                <w:sz w:val="20"/>
              </w:rPr>
            </w:pPr>
            <w:r w:rsidRPr="005830D1">
              <w:rPr>
                <w:sz w:val="20"/>
              </w:rPr>
              <w:t> </w:t>
            </w:r>
          </w:p>
        </w:tc>
      </w:tr>
      <w:tr w:rsidR="00117B7F" w:rsidRPr="005830D1" w14:paraId="623365B1" w14:textId="77777777" w:rsidTr="007F0E33">
        <w:trPr>
          <w:trHeight w:val="1380"/>
          <w:jc w:val="center"/>
        </w:trPr>
        <w:tc>
          <w:tcPr>
            <w:tcW w:w="202" w:type="pct"/>
            <w:tcBorders>
              <w:top w:val="nil"/>
              <w:left w:val="double" w:sz="6" w:space="0" w:color="auto"/>
              <w:bottom w:val="single" w:sz="8" w:space="0" w:color="auto"/>
              <w:right w:val="single" w:sz="8" w:space="0" w:color="auto"/>
            </w:tcBorders>
            <w:shd w:val="clear" w:color="auto" w:fill="auto"/>
            <w:noWrap/>
            <w:vAlign w:val="center"/>
            <w:hideMark/>
          </w:tcPr>
          <w:p w14:paraId="63B2D6D5" w14:textId="77777777" w:rsidR="00117B7F" w:rsidRPr="005830D1" w:rsidRDefault="00117B7F" w:rsidP="007F0E33">
            <w:pPr>
              <w:spacing w:after="0"/>
              <w:ind w:left="0" w:firstLine="0"/>
              <w:jc w:val="center"/>
              <w:rPr>
                <w:sz w:val="20"/>
              </w:rPr>
            </w:pPr>
            <w:r w:rsidRPr="005830D1">
              <w:rPr>
                <w:sz w:val="20"/>
              </w:rPr>
              <w:t>1.1</w:t>
            </w:r>
          </w:p>
        </w:tc>
        <w:tc>
          <w:tcPr>
            <w:tcW w:w="3053" w:type="pct"/>
            <w:tcBorders>
              <w:top w:val="nil"/>
              <w:left w:val="nil"/>
              <w:bottom w:val="single" w:sz="8" w:space="0" w:color="auto"/>
              <w:right w:val="single" w:sz="8" w:space="0" w:color="auto"/>
            </w:tcBorders>
            <w:shd w:val="clear" w:color="auto" w:fill="auto"/>
            <w:vAlign w:val="center"/>
            <w:hideMark/>
          </w:tcPr>
          <w:p w14:paraId="5EE89E1E" w14:textId="77777777" w:rsidR="00117B7F" w:rsidRPr="005830D1" w:rsidRDefault="00117B7F" w:rsidP="007F0E33">
            <w:pPr>
              <w:spacing w:after="0"/>
              <w:ind w:left="0" w:firstLine="0"/>
              <w:jc w:val="left"/>
              <w:rPr>
                <w:sz w:val="18"/>
                <w:szCs w:val="18"/>
              </w:rPr>
            </w:pPr>
            <w:r w:rsidRPr="005830D1">
              <w:rPr>
                <w:b/>
                <w:bCs/>
                <w:sz w:val="20"/>
              </w:rPr>
              <w:t xml:space="preserve">Préparation du terrain y compris implantation de tous les ouvrages                                                                      </w:t>
            </w:r>
            <w:r w:rsidRPr="005830D1">
              <w:rPr>
                <w:sz w:val="18"/>
                <w:szCs w:val="18"/>
              </w:rPr>
              <w:t>Le prix comprend l'ensemble de tous les travaux nécessaires à l'implantation des ouvrages.</w:t>
            </w:r>
          </w:p>
          <w:p w14:paraId="1D06BE97" w14:textId="77777777" w:rsidR="00117B7F" w:rsidRPr="005830D1" w:rsidRDefault="00117B7F" w:rsidP="007F0E33">
            <w:pPr>
              <w:spacing w:after="0"/>
              <w:ind w:left="0" w:firstLine="0"/>
              <w:jc w:val="left"/>
              <w:rPr>
                <w:sz w:val="18"/>
                <w:szCs w:val="18"/>
              </w:rPr>
            </w:pPr>
          </w:p>
          <w:p w14:paraId="26CA6A98" w14:textId="77777777" w:rsidR="00117B7F" w:rsidRPr="005830D1" w:rsidRDefault="00117B7F" w:rsidP="007F0E33">
            <w:pPr>
              <w:spacing w:after="0"/>
              <w:ind w:left="0" w:firstLine="0"/>
              <w:jc w:val="left"/>
              <w:rPr>
                <w:sz w:val="18"/>
                <w:szCs w:val="18"/>
              </w:rPr>
            </w:pPr>
            <w:r w:rsidRPr="005830D1">
              <w:rPr>
                <w:sz w:val="18"/>
                <w:szCs w:val="18"/>
              </w:rPr>
              <w:t>Le prix rémunère l’amortissement du matériel pour le défrichage et le nettoyage de la surface d’emprise nécessaire à une bonne organisation des travaux. Cette surface correspond à la longueur des fouilles sur une largeur de 10 m en amont et 10 m en aval de l’ouvrage. Le prix rémunère aussi le temps d’implantation topographique de l’ensemble des ouvrages par le technicien de l’entreprise et la main d’œuvre qualifiée et non qualifiée (équipe topographiques, maçon, mineur, manœuvre), l’abattage et le dessouchage des arbres sur l’emprise des ouvrages</w:t>
            </w:r>
          </w:p>
          <w:p w14:paraId="3E68047D" w14:textId="77777777" w:rsidR="00117B7F" w:rsidRPr="005830D1" w:rsidRDefault="00117B7F" w:rsidP="007F0E33">
            <w:pPr>
              <w:spacing w:after="0"/>
              <w:ind w:left="0" w:firstLine="0"/>
              <w:jc w:val="left"/>
              <w:rPr>
                <w:sz w:val="18"/>
                <w:szCs w:val="18"/>
              </w:rPr>
            </w:pPr>
            <w:r w:rsidRPr="005830D1">
              <w:rPr>
                <w:sz w:val="18"/>
                <w:szCs w:val="18"/>
              </w:rPr>
              <w:t xml:space="preserve">Les travaux d’implantation comprennent aussi les fournitures et la </w:t>
            </w:r>
            <w:proofErr w:type="spellStart"/>
            <w:r w:rsidRPr="005830D1">
              <w:rPr>
                <w:sz w:val="18"/>
                <w:szCs w:val="18"/>
              </w:rPr>
              <w:t>mose</w:t>
            </w:r>
            <w:proofErr w:type="spellEnd"/>
            <w:r w:rsidRPr="005830D1">
              <w:rPr>
                <w:sz w:val="18"/>
                <w:szCs w:val="18"/>
              </w:rPr>
              <w:t xml:space="preserve"> en place des Chaises d’implantation. Elles sont constituées de piquets et planches où l'on installe des repères pour la fixation des cordeaux.</w:t>
            </w:r>
            <w:r w:rsidRPr="005830D1">
              <w:rPr>
                <w:sz w:val="18"/>
                <w:szCs w:val="18"/>
              </w:rPr>
              <w:br/>
              <w:t>Ces chaises d'implantation doivent être de niveau sur elle-même et entre elles. Les bornes de délimitations de terrain.</w:t>
            </w:r>
          </w:p>
          <w:p w14:paraId="3780FCE3" w14:textId="77777777" w:rsidR="00117B7F" w:rsidRPr="005830D1" w:rsidRDefault="00117B7F" w:rsidP="007F0E33">
            <w:pPr>
              <w:spacing w:after="0"/>
              <w:ind w:left="0" w:firstLine="0"/>
              <w:jc w:val="left"/>
              <w:rPr>
                <w:sz w:val="18"/>
                <w:szCs w:val="18"/>
              </w:rPr>
            </w:pPr>
          </w:p>
          <w:p w14:paraId="6A726342" w14:textId="050E7DF8" w:rsidR="00117B7F" w:rsidRPr="005830D1" w:rsidRDefault="00117B7F" w:rsidP="007F0E33">
            <w:pPr>
              <w:spacing w:after="0"/>
              <w:ind w:left="0" w:firstLine="0"/>
              <w:jc w:val="left"/>
              <w:rPr>
                <w:sz w:val="18"/>
                <w:szCs w:val="18"/>
              </w:rPr>
            </w:pPr>
            <w:r w:rsidRPr="005830D1">
              <w:rPr>
                <w:i/>
                <w:sz w:val="18"/>
                <w:szCs w:val="18"/>
              </w:rPr>
              <w:t>Ce prix s’applique à la surface, en mètre carré (m2), avec comme valeur maximale celle obtenue à partir des plans d’exécution des ouvrages.</w:t>
            </w:r>
          </w:p>
        </w:tc>
        <w:tc>
          <w:tcPr>
            <w:tcW w:w="315" w:type="pct"/>
            <w:tcBorders>
              <w:top w:val="nil"/>
              <w:left w:val="nil"/>
              <w:bottom w:val="single" w:sz="8" w:space="0" w:color="auto"/>
              <w:right w:val="single" w:sz="8" w:space="0" w:color="auto"/>
            </w:tcBorders>
            <w:shd w:val="clear" w:color="auto" w:fill="auto"/>
            <w:noWrap/>
            <w:vAlign w:val="center"/>
            <w:hideMark/>
          </w:tcPr>
          <w:p w14:paraId="4156D02A" w14:textId="77777777" w:rsidR="00117B7F" w:rsidRPr="005830D1" w:rsidRDefault="00117B7F" w:rsidP="007F0E33">
            <w:pPr>
              <w:spacing w:after="0"/>
              <w:ind w:left="0" w:firstLine="0"/>
              <w:jc w:val="center"/>
              <w:rPr>
                <w:sz w:val="20"/>
              </w:rPr>
            </w:pPr>
            <w:r w:rsidRPr="005830D1">
              <w:rPr>
                <w:sz w:val="20"/>
              </w:rPr>
              <w:t>m²</w:t>
            </w:r>
          </w:p>
        </w:tc>
        <w:tc>
          <w:tcPr>
            <w:tcW w:w="520" w:type="pct"/>
            <w:tcBorders>
              <w:top w:val="nil"/>
              <w:left w:val="nil"/>
              <w:bottom w:val="single" w:sz="8" w:space="0" w:color="auto"/>
              <w:right w:val="nil"/>
            </w:tcBorders>
            <w:shd w:val="clear" w:color="auto" w:fill="auto"/>
            <w:noWrap/>
            <w:vAlign w:val="center"/>
          </w:tcPr>
          <w:p w14:paraId="3A7CB865" w14:textId="77777777" w:rsidR="00117B7F" w:rsidRPr="005830D1" w:rsidRDefault="00117B7F" w:rsidP="007F0E33">
            <w:pPr>
              <w:spacing w:after="0"/>
              <w:ind w:left="0" w:firstLine="0"/>
              <w:jc w:val="right"/>
              <w:rPr>
                <w:sz w:val="20"/>
              </w:rPr>
            </w:pPr>
          </w:p>
        </w:tc>
        <w:tc>
          <w:tcPr>
            <w:tcW w:w="910" w:type="pct"/>
            <w:tcBorders>
              <w:top w:val="nil"/>
              <w:left w:val="single" w:sz="4" w:space="0" w:color="auto"/>
              <w:bottom w:val="single" w:sz="4" w:space="0" w:color="auto"/>
              <w:right w:val="single" w:sz="4" w:space="0" w:color="auto"/>
            </w:tcBorders>
            <w:shd w:val="clear" w:color="auto" w:fill="auto"/>
            <w:noWrap/>
            <w:vAlign w:val="bottom"/>
            <w:hideMark/>
          </w:tcPr>
          <w:p w14:paraId="5DBACC10" w14:textId="77777777" w:rsidR="00117B7F" w:rsidRPr="005830D1" w:rsidRDefault="00117B7F" w:rsidP="007F0E33">
            <w:pPr>
              <w:spacing w:after="0"/>
              <w:ind w:left="0" w:firstLine="0"/>
              <w:jc w:val="left"/>
              <w:rPr>
                <w:sz w:val="20"/>
              </w:rPr>
            </w:pPr>
            <w:r w:rsidRPr="005830D1">
              <w:rPr>
                <w:sz w:val="20"/>
              </w:rPr>
              <w:t> </w:t>
            </w:r>
          </w:p>
        </w:tc>
      </w:tr>
      <w:tr w:rsidR="00117B7F" w:rsidRPr="005830D1" w14:paraId="5FA7E990" w14:textId="77777777" w:rsidTr="007F0E33">
        <w:trPr>
          <w:trHeight w:val="1200"/>
          <w:jc w:val="center"/>
        </w:trPr>
        <w:tc>
          <w:tcPr>
            <w:tcW w:w="202" w:type="pct"/>
            <w:tcBorders>
              <w:top w:val="nil"/>
              <w:left w:val="double" w:sz="6" w:space="0" w:color="auto"/>
              <w:bottom w:val="single" w:sz="8" w:space="0" w:color="auto"/>
              <w:right w:val="single" w:sz="8" w:space="0" w:color="auto"/>
            </w:tcBorders>
            <w:shd w:val="clear" w:color="auto" w:fill="auto"/>
            <w:noWrap/>
            <w:vAlign w:val="center"/>
            <w:hideMark/>
          </w:tcPr>
          <w:p w14:paraId="68D11602" w14:textId="77777777" w:rsidR="00117B7F" w:rsidRPr="005830D1" w:rsidRDefault="00117B7F" w:rsidP="007F0E33">
            <w:pPr>
              <w:spacing w:after="0"/>
              <w:ind w:left="0" w:firstLine="0"/>
              <w:jc w:val="center"/>
              <w:rPr>
                <w:sz w:val="20"/>
              </w:rPr>
            </w:pPr>
            <w:r w:rsidRPr="005830D1">
              <w:rPr>
                <w:sz w:val="20"/>
              </w:rPr>
              <w:t>1.2</w:t>
            </w:r>
          </w:p>
        </w:tc>
        <w:tc>
          <w:tcPr>
            <w:tcW w:w="3053" w:type="pct"/>
            <w:tcBorders>
              <w:top w:val="nil"/>
              <w:left w:val="nil"/>
              <w:bottom w:val="single" w:sz="8" w:space="0" w:color="auto"/>
              <w:right w:val="single" w:sz="8" w:space="0" w:color="auto"/>
            </w:tcBorders>
            <w:shd w:val="clear" w:color="auto" w:fill="auto"/>
            <w:vAlign w:val="center"/>
            <w:hideMark/>
          </w:tcPr>
          <w:p w14:paraId="38463B58" w14:textId="77777777" w:rsidR="00117B7F" w:rsidRPr="005830D1" w:rsidRDefault="00117B7F" w:rsidP="007F0E33">
            <w:pPr>
              <w:spacing w:after="0"/>
              <w:ind w:left="0" w:firstLine="0"/>
              <w:jc w:val="left"/>
              <w:rPr>
                <w:sz w:val="18"/>
                <w:szCs w:val="18"/>
              </w:rPr>
            </w:pPr>
            <w:r w:rsidRPr="005830D1">
              <w:rPr>
                <w:b/>
                <w:bCs/>
                <w:sz w:val="20"/>
              </w:rPr>
              <w:t xml:space="preserve">Fouille en rigole pour soubassement </w:t>
            </w:r>
            <w:r w:rsidRPr="005830D1">
              <w:rPr>
                <w:sz w:val="20"/>
              </w:rPr>
              <w:t xml:space="preserve">                                                                                                                                         </w:t>
            </w:r>
            <w:r w:rsidRPr="005830D1">
              <w:rPr>
                <w:sz w:val="18"/>
                <w:szCs w:val="18"/>
              </w:rPr>
              <w:t xml:space="preserve">Ce prix rémunère au m3 de fouilles en masse sur terrain de toute nature. </w:t>
            </w:r>
          </w:p>
          <w:p w14:paraId="795F7908" w14:textId="77777777" w:rsidR="00117B7F" w:rsidRPr="005830D1" w:rsidRDefault="00117B7F" w:rsidP="007F0E33">
            <w:pPr>
              <w:spacing w:after="0"/>
              <w:ind w:left="0" w:firstLine="0"/>
              <w:jc w:val="left"/>
              <w:rPr>
                <w:sz w:val="18"/>
                <w:szCs w:val="18"/>
              </w:rPr>
            </w:pPr>
            <w:r w:rsidRPr="005830D1">
              <w:rPr>
                <w:sz w:val="18"/>
                <w:szCs w:val="18"/>
              </w:rPr>
              <w:t>Le prix rémunère le matériel (engins de terrassement telle une pioche, pelle) et le personnel qualifié nécessaire pour l'exécution correcte des fouilles de la tranchée d’ancrage de l’ouvrage.</w:t>
            </w:r>
            <w:r w:rsidRPr="005830D1">
              <w:rPr>
                <w:sz w:val="18"/>
                <w:szCs w:val="18"/>
              </w:rPr>
              <w:br/>
              <w:t>Ce prix comprend :</w:t>
            </w:r>
            <w:r w:rsidRPr="005830D1">
              <w:rPr>
                <w:sz w:val="18"/>
                <w:szCs w:val="18"/>
              </w:rPr>
              <w:br/>
              <w:t>- Tous les travaux d'accomplissement des profils de déblais ;</w:t>
            </w:r>
            <w:r w:rsidRPr="005830D1">
              <w:rPr>
                <w:sz w:val="18"/>
                <w:szCs w:val="18"/>
              </w:rPr>
              <w:br/>
              <w:t>- Les coûts liés à l’emploi d’un compresseur ou des explosifs ;</w:t>
            </w:r>
            <w:r w:rsidRPr="005830D1">
              <w:rPr>
                <w:sz w:val="18"/>
                <w:szCs w:val="18"/>
              </w:rPr>
              <w:br/>
              <w:t>- La réalisation des déblais de finition éventuelle ;</w:t>
            </w:r>
            <w:r w:rsidRPr="005830D1">
              <w:rPr>
                <w:sz w:val="18"/>
                <w:szCs w:val="18"/>
              </w:rPr>
              <w:br/>
              <w:t>- Les sur largeurs provisoires des déblais puis le taillage de ces talus ;</w:t>
            </w:r>
            <w:r w:rsidRPr="005830D1">
              <w:rPr>
                <w:sz w:val="18"/>
                <w:szCs w:val="18"/>
              </w:rPr>
              <w:br/>
              <w:t>- Le chargement des déblais et leur dépôt hors emprise des ouvrages ;</w:t>
            </w:r>
            <w:r w:rsidRPr="005830D1">
              <w:rPr>
                <w:sz w:val="18"/>
                <w:szCs w:val="18"/>
              </w:rPr>
              <w:br/>
              <w:t>- Le réglage, le compactage et la finition du fond de forme ;</w:t>
            </w:r>
            <w:r w:rsidRPr="005830D1">
              <w:rPr>
                <w:sz w:val="18"/>
                <w:szCs w:val="18"/>
              </w:rPr>
              <w:br/>
              <w:t>- Le dressage des talus du déblai ;</w:t>
            </w:r>
            <w:r w:rsidRPr="005830D1">
              <w:rPr>
                <w:sz w:val="18"/>
                <w:szCs w:val="18"/>
              </w:rPr>
              <w:br/>
              <w:t>- Toutes les sujétions d’extraction des matériaux et l’extraction elle-même ;</w:t>
            </w:r>
            <w:r w:rsidRPr="005830D1">
              <w:rPr>
                <w:sz w:val="18"/>
                <w:szCs w:val="18"/>
              </w:rPr>
              <w:br/>
              <w:t>- La mise en dépôt provisoire du stock qui en découlerait ;</w:t>
            </w:r>
            <w:r w:rsidRPr="005830D1">
              <w:rPr>
                <w:sz w:val="18"/>
                <w:szCs w:val="18"/>
              </w:rPr>
              <w:br/>
              <w:t>- La finition des dépôts ;</w:t>
            </w:r>
            <w:r w:rsidRPr="005830D1">
              <w:rPr>
                <w:sz w:val="18"/>
                <w:szCs w:val="18"/>
              </w:rPr>
              <w:br/>
              <w:t>- Et toutes sujétions d’exécution et de main d’œuvre qualifié et non qualifiée.</w:t>
            </w:r>
            <w:r w:rsidRPr="005830D1">
              <w:rPr>
                <w:sz w:val="18"/>
                <w:szCs w:val="18"/>
              </w:rPr>
              <w:br/>
            </w:r>
          </w:p>
          <w:p w14:paraId="5EB30E7B" w14:textId="77777777" w:rsidR="00117B7F" w:rsidRPr="005830D1" w:rsidRDefault="00117B7F" w:rsidP="007F0E33">
            <w:pPr>
              <w:spacing w:after="0"/>
              <w:ind w:left="0" w:firstLine="0"/>
              <w:jc w:val="left"/>
              <w:rPr>
                <w:b/>
                <w:bCs/>
                <w:sz w:val="20"/>
              </w:rPr>
            </w:pPr>
            <w:r w:rsidRPr="005830D1">
              <w:rPr>
                <w:i/>
                <w:sz w:val="18"/>
                <w:szCs w:val="18"/>
              </w:rPr>
              <w:t>Ce prix s’applique au mètre cube (m3) théorique de déblai, avec comme valeur maximale celle obtenue à partir des plans d’exécution des ouvrages.</w:t>
            </w:r>
          </w:p>
        </w:tc>
        <w:tc>
          <w:tcPr>
            <w:tcW w:w="315" w:type="pct"/>
            <w:tcBorders>
              <w:top w:val="nil"/>
              <w:left w:val="nil"/>
              <w:bottom w:val="single" w:sz="8" w:space="0" w:color="auto"/>
              <w:right w:val="single" w:sz="8" w:space="0" w:color="auto"/>
            </w:tcBorders>
            <w:shd w:val="clear" w:color="auto" w:fill="auto"/>
            <w:noWrap/>
            <w:vAlign w:val="center"/>
            <w:hideMark/>
          </w:tcPr>
          <w:p w14:paraId="163F7827" w14:textId="77777777" w:rsidR="00117B7F" w:rsidRPr="005830D1" w:rsidRDefault="00117B7F" w:rsidP="007F0E33">
            <w:pPr>
              <w:spacing w:after="0"/>
              <w:ind w:left="0" w:firstLine="0"/>
              <w:jc w:val="center"/>
              <w:rPr>
                <w:sz w:val="20"/>
              </w:rPr>
            </w:pPr>
            <w:r w:rsidRPr="005830D1">
              <w:rPr>
                <w:sz w:val="20"/>
              </w:rPr>
              <w:t>m3</w:t>
            </w:r>
          </w:p>
        </w:tc>
        <w:tc>
          <w:tcPr>
            <w:tcW w:w="520" w:type="pct"/>
            <w:tcBorders>
              <w:top w:val="nil"/>
              <w:left w:val="nil"/>
              <w:bottom w:val="single" w:sz="8" w:space="0" w:color="auto"/>
              <w:right w:val="nil"/>
            </w:tcBorders>
            <w:shd w:val="clear" w:color="auto" w:fill="auto"/>
            <w:noWrap/>
            <w:vAlign w:val="center"/>
          </w:tcPr>
          <w:p w14:paraId="1BF12020" w14:textId="77777777" w:rsidR="00117B7F" w:rsidRPr="005830D1" w:rsidRDefault="00117B7F" w:rsidP="007F0E33">
            <w:pPr>
              <w:spacing w:after="0"/>
              <w:ind w:left="0" w:firstLine="0"/>
              <w:jc w:val="right"/>
              <w:rPr>
                <w:sz w:val="20"/>
              </w:rPr>
            </w:pPr>
          </w:p>
        </w:tc>
        <w:tc>
          <w:tcPr>
            <w:tcW w:w="910" w:type="pct"/>
            <w:tcBorders>
              <w:top w:val="nil"/>
              <w:left w:val="single" w:sz="4" w:space="0" w:color="auto"/>
              <w:bottom w:val="single" w:sz="4" w:space="0" w:color="auto"/>
              <w:right w:val="single" w:sz="4" w:space="0" w:color="auto"/>
            </w:tcBorders>
            <w:shd w:val="clear" w:color="auto" w:fill="auto"/>
            <w:noWrap/>
            <w:vAlign w:val="bottom"/>
            <w:hideMark/>
          </w:tcPr>
          <w:p w14:paraId="0C6A28B2" w14:textId="77777777" w:rsidR="00117B7F" w:rsidRPr="005830D1" w:rsidRDefault="00117B7F" w:rsidP="007F0E33">
            <w:pPr>
              <w:spacing w:after="0"/>
              <w:ind w:left="0" w:firstLine="0"/>
              <w:jc w:val="left"/>
              <w:rPr>
                <w:sz w:val="20"/>
              </w:rPr>
            </w:pPr>
            <w:r w:rsidRPr="005830D1">
              <w:rPr>
                <w:sz w:val="20"/>
              </w:rPr>
              <w:t> </w:t>
            </w:r>
          </w:p>
        </w:tc>
      </w:tr>
      <w:tr w:rsidR="00117B7F" w:rsidRPr="005830D1" w14:paraId="288C0898" w14:textId="77777777" w:rsidTr="007F0E33">
        <w:trPr>
          <w:trHeight w:val="1305"/>
          <w:jc w:val="center"/>
        </w:trPr>
        <w:tc>
          <w:tcPr>
            <w:tcW w:w="202" w:type="pct"/>
            <w:tcBorders>
              <w:top w:val="nil"/>
              <w:left w:val="double" w:sz="6" w:space="0" w:color="auto"/>
              <w:bottom w:val="single" w:sz="8" w:space="0" w:color="auto"/>
              <w:right w:val="single" w:sz="8" w:space="0" w:color="auto"/>
            </w:tcBorders>
            <w:shd w:val="clear" w:color="auto" w:fill="auto"/>
            <w:noWrap/>
            <w:vAlign w:val="center"/>
            <w:hideMark/>
          </w:tcPr>
          <w:p w14:paraId="47B81C4B" w14:textId="77777777" w:rsidR="00117B7F" w:rsidRPr="005830D1" w:rsidRDefault="00117B7F" w:rsidP="007F0E33">
            <w:pPr>
              <w:spacing w:after="0"/>
              <w:ind w:left="0" w:firstLine="0"/>
              <w:jc w:val="center"/>
              <w:rPr>
                <w:sz w:val="20"/>
              </w:rPr>
            </w:pPr>
            <w:r w:rsidRPr="005830D1">
              <w:rPr>
                <w:sz w:val="20"/>
              </w:rPr>
              <w:t>1.3</w:t>
            </w:r>
          </w:p>
        </w:tc>
        <w:tc>
          <w:tcPr>
            <w:tcW w:w="3053" w:type="pct"/>
            <w:tcBorders>
              <w:top w:val="nil"/>
              <w:left w:val="nil"/>
              <w:bottom w:val="single" w:sz="8" w:space="0" w:color="auto"/>
              <w:right w:val="single" w:sz="8" w:space="0" w:color="auto"/>
            </w:tcBorders>
            <w:shd w:val="clear" w:color="auto" w:fill="auto"/>
            <w:vAlign w:val="center"/>
            <w:hideMark/>
          </w:tcPr>
          <w:p w14:paraId="7D22410F" w14:textId="77777777" w:rsidR="00117B7F" w:rsidRPr="005830D1" w:rsidRDefault="00117B7F" w:rsidP="007F0E33">
            <w:pPr>
              <w:spacing w:after="0"/>
              <w:ind w:left="0" w:firstLine="0"/>
              <w:jc w:val="left"/>
              <w:rPr>
                <w:sz w:val="18"/>
                <w:szCs w:val="18"/>
              </w:rPr>
            </w:pPr>
            <w:r w:rsidRPr="005830D1">
              <w:rPr>
                <w:b/>
                <w:bCs/>
                <w:sz w:val="20"/>
              </w:rPr>
              <w:t xml:space="preserve">Fouille en plein masse sur une prof= 1,10m pour semelles isolées y compris toutes suggestions                                                                                                                                </w:t>
            </w:r>
            <w:r w:rsidRPr="005830D1">
              <w:rPr>
                <w:sz w:val="18"/>
                <w:szCs w:val="18"/>
              </w:rPr>
              <w:t>Ce prix rémunère est identiques au prix 1.2 appliqué aux semelles</w:t>
            </w:r>
          </w:p>
          <w:p w14:paraId="2626D828" w14:textId="77777777" w:rsidR="00117B7F" w:rsidRPr="005830D1" w:rsidRDefault="00117B7F" w:rsidP="007F0E33">
            <w:pPr>
              <w:spacing w:after="0"/>
              <w:ind w:left="0" w:firstLine="0"/>
              <w:jc w:val="left"/>
              <w:rPr>
                <w:sz w:val="18"/>
                <w:szCs w:val="18"/>
              </w:rPr>
            </w:pPr>
          </w:p>
          <w:p w14:paraId="3B3F4C2D" w14:textId="77777777" w:rsidR="00117B7F" w:rsidRPr="005830D1" w:rsidRDefault="00117B7F" w:rsidP="007F0E33">
            <w:pPr>
              <w:spacing w:after="0"/>
              <w:ind w:left="0" w:firstLine="0"/>
              <w:jc w:val="left"/>
              <w:rPr>
                <w:b/>
                <w:bCs/>
                <w:sz w:val="20"/>
              </w:rPr>
            </w:pPr>
            <w:r w:rsidRPr="005830D1">
              <w:rPr>
                <w:i/>
                <w:sz w:val="18"/>
                <w:szCs w:val="18"/>
              </w:rPr>
              <w:t>Ce prix s’applique au mètre cube (m3) théorique de déblai, avec comme valeur maximale celle obtenue à partir des plans d’exécution des ouvrages.</w:t>
            </w:r>
          </w:p>
        </w:tc>
        <w:tc>
          <w:tcPr>
            <w:tcW w:w="315" w:type="pct"/>
            <w:tcBorders>
              <w:top w:val="nil"/>
              <w:left w:val="nil"/>
              <w:bottom w:val="single" w:sz="8" w:space="0" w:color="auto"/>
              <w:right w:val="single" w:sz="8" w:space="0" w:color="auto"/>
            </w:tcBorders>
            <w:shd w:val="clear" w:color="auto" w:fill="auto"/>
            <w:noWrap/>
            <w:vAlign w:val="center"/>
            <w:hideMark/>
          </w:tcPr>
          <w:p w14:paraId="065A256E" w14:textId="77777777" w:rsidR="00117B7F" w:rsidRPr="005830D1" w:rsidRDefault="00117B7F" w:rsidP="007F0E33">
            <w:pPr>
              <w:spacing w:after="0"/>
              <w:ind w:left="0" w:firstLine="0"/>
              <w:jc w:val="center"/>
              <w:rPr>
                <w:sz w:val="20"/>
              </w:rPr>
            </w:pPr>
            <w:r w:rsidRPr="005830D1">
              <w:rPr>
                <w:sz w:val="20"/>
              </w:rPr>
              <w:t>m3</w:t>
            </w:r>
          </w:p>
        </w:tc>
        <w:tc>
          <w:tcPr>
            <w:tcW w:w="520" w:type="pct"/>
            <w:tcBorders>
              <w:top w:val="nil"/>
              <w:left w:val="nil"/>
              <w:bottom w:val="single" w:sz="8" w:space="0" w:color="auto"/>
              <w:right w:val="nil"/>
            </w:tcBorders>
            <w:shd w:val="clear" w:color="auto" w:fill="auto"/>
            <w:noWrap/>
            <w:vAlign w:val="center"/>
          </w:tcPr>
          <w:p w14:paraId="4B5AA096" w14:textId="77777777" w:rsidR="00117B7F" w:rsidRPr="005830D1" w:rsidRDefault="00117B7F" w:rsidP="007F0E33">
            <w:pPr>
              <w:spacing w:after="0"/>
              <w:ind w:left="0" w:firstLine="0"/>
              <w:jc w:val="right"/>
              <w:rPr>
                <w:sz w:val="20"/>
              </w:rPr>
            </w:pPr>
          </w:p>
        </w:tc>
        <w:tc>
          <w:tcPr>
            <w:tcW w:w="910" w:type="pct"/>
            <w:tcBorders>
              <w:top w:val="nil"/>
              <w:left w:val="single" w:sz="4" w:space="0" w:color="auto"/>
              <w:bottom w:val="single" w:sz="4" w:space="0" w:color="auto"/>
              <w:right w:val="single" w:sz="4" w:space="0" w:color="auto"/>
            </w:tcBorders>
            <w:shd w:val="clear" w:color="auto" w:fill="auto"/>
            <w:noWrap/>
            <w:vAlign w:val="bottom"/>
            <w:hideMark/>
          </w:tcPr>
          <w:p w14:paraId="6ECF7A19" w14:textId="77777777" w:rsidR="00117B7F" w:rsidRPr="005830D1" w:rsidRDefault="00117B7F" w:rsidP="007F0E33">
            <w:pPr>
              <w:spacing w:after="0"/>
              <w:ind w:left="0" w:firstLine="0"/>
              <w:jc w:val="left"/>
              <w:rPr>
                <w:sz w:val="20"/>
              </w:rPr>
            </w:pPr>
            <w:r w:rsidRPr="005830D1">
              <w:rPr>
                <w:sz w:val="20"/>
              </w:rPr>
              <w:t> </w:t>
            </w:r>
          </w:p>
        </w:tc>
      </w:tr>
      <w:tr w:rsidR="00117B7F" w:rsidRPr="005830D1" w14:paraId="3DB09F14" w14:textId="77777777" w:rsidTr="007F0E33">
        <w:trPr>
          <w:trHeight w:val="1534"/>
          <w:jc w:val="center"/>
        </w:trPr>
        <w:tc>
          <w:tcPr>
            <w:tcW w:w="202" w:type="pct"/>
            <w:tcBorders>
              <w:top w:val="nil"/>
              <w:left w:val="double" w:sz="6" w:space="0" w:color="auto"/>
              <w:bottom w:val="single" w:sz="8" w:space="0" w:color="auto"/>
              <w:right w:val="single" w:sz="8" w:space="0" w:color="auto"/>
            </w:tcBorders>
            <w:shd w:val="clear" w:color="auto" w:fill="auto"/>
            <w:noWrap/>
            <w:vAlign w:val="center"/>
            <w:hideMark/>
          </w:tcPr>
          <w:p w14:paraId="1F327E45" w14:textId="77777777" w:rsidR="00117B7F" w:rsidRPr="005830D1" w:rsidRDefault="00117B7F" w:rsidP="007F0E33">
            <w:pPr>
              <w:spacing w:after="0"/>
              <w:ind w:left="0" w:firstLine="0"/>
              <w:jc w:val="center"/>
              <w:rPr>
                <w:sz w:val="20"/>
              </w:rPr>
            </w:pPr>
            <w:r w:rsidRPr="005830D1">
              <w:rPr>
                <w:sz w:val="20"/>
              </w:rPr>
              <w:t>1.4</w:t>
            </w:r>
          </w:p>
        </w:tc>
        <w:tc>
          <w:tcPr>
            <w:tcW w:w="3053" w:type="pct"/>
            <w:tcBorders>
              <w:top w:val="nil"/>
              <w:left w:val="nil"/>
              <w:bottom w:val="single" w:sz="8" w:space="0" w:color="auto"/>
              <w:right w:val="single" w:sz="8" w:space="0" w:color="auto"/>
            </w:tcBorders>
            <w:shd w:val="clear" w:color="auto" w:fill="auto"/>
            <w:vAlign w:val="center"/>
            <w:hideMark/>
          </w:tcPr>
          <w:p w14:paraId="6F22E8BE" w14:textId="77777777" w:rsidR="00117B7F" w:rsidRPr="005830D1" w:rsidRDefault="00117B7F" w:rsidP="007F0E33">
            <w:pPr>
              <w:spacing w:after="0"/>
              <w:ind w:left="0" w:firstLine="0"/>
              <w:jc w:val="left"/>
              <w:rPr>
                <w:sz w:val="18"/>
                <w:szCs w:val="18"/>
              </w:rPr>
            </w:pPr>
            <w:r w:rsidRPr="005830D1">
              <w:rPr>
                <w:b/>
                <w:bCs/>
                <w:sz w:val="20"/>
              </w:rPr>
              <w:t xml:space="preserve">Remblais des déblais                                                                                                                                </w:t>
            </w:r>
            <w:r w:rsidRPr="005830D1">
              <w:rPr>
                <w:sz w:val="18"/>
                <w:szCs w:val="18"/>
              </w:rPr>
              <w:t>Ce prix rémunère au m3 le remblai réalisé avec terre sélectionnée provenant de l'excavation, et compactage en couches successives de 20 cm d'épaisseur maximale avec plaque vibrante à guidage manuel, jusqu'à atteindre une densité sèche au moins égale à 95% de la maximale obtenue par essai Proctor Modifié.</w:t>
            </w:r>
          </w:p>
          <w:p w14:paraId="2947AC66" w14:textId="77777777" w:rsidR="00117B7F" w:rsidRPr="005830D1" w:rsidRDefault="00117B7F" w:rsidP="007F0E33">
            <w:pPr>
              <w:spacing w:after="0"/>
              <w:ind w:left="0" w:firstLine="0"/>
              <w:jc w:val="left"/>
              <w:rPr>
                <w:sz w:val="18"/>
                <w:szCs w:val="18"/>
              </w:rPr>
            </w:pPr>
          </w:p>
          <w:p w14:paraId="3DAD83C5" w14:textId="77777777" w:rsidR="00117B7F" w:rsidRPr="005830D1" w:rsidRDefault="00117B7F" w:rsidP="007F0E33">
            <w:pPr>
              <w:spacing w:after="0"/>
              <w:ind w:left="0" w:firstLine="0"/>
              <w:jc w:val="left"/>
              <w:rPr>
                <w:b/>
                <w:bCs/>
                <w:sz w:val="20"/>
              </w:rPr>
            </w:pPr>
            <w:r w:rsidRPr="005830D1">
              <w:rPr>
                <w:bCs/>
                <w:i/>
                <w:sz w:val="18"/>
                <w:szCs w:val="18"/>
              </w:rPr>
              <w:t>Ce prix s’applique au mètre cube (m3), de remblais des déblais, avec comme valeur maximale celle obtenue à partir du plan d'exécution des ouvrages.</w:t>
            </w:r>
          </w:p>
        </w:tc>
        <w:tc>
          <w:tcPr>
            <w:tcW w:w="315" w:type="pct"/>
            <w:tcBorders>
              <w:top w:val="nil"/>
              <w:left w:val="nil"/>
              <w:bottom w:val="single" w:sz="8" w:space="0" w:color="auto"/>
              <w:right w:val="single" w:sz="8" w:space="0" w:color="auto"/>
            </w:tcBorders>
            <w:shd w:val="clear" w:color="auto" w:fill="auto"/>
            <w:noWrap/>
            <w:vAlign w:val="center"/>
            <w:hideMark/>
          </w:tcPr>
          <w:p w14:paraId="44A4F7AE" w14:textId="77777777" w:rsidR="00117B7F" w:rsidRPr="005830D1" w:rsidRDefault="00117B7F" w:rsidP="007F0E33">
            <w:pPr>
              <w:spacing w:after="0"/>
              <w:ind w:left="0" w:firstLine="0"/>
              <w:jc w:val="center"/>
              <w:rPr>
                <w:sz w:val="20"/>
              </w:rPr>
            </w:pPr>
            <w:r w:rsidRPr="005830D1">
              <w:rPr>
                <w:sz w:val="20"/>
              </w:rPr>
              <w:t>m3</w:t>
            </w:r>
          </w:p>
        </w:tc>
        <w:tc>
          <w:tcPr>
            <w:tcW w:w="520" w:type="pct"/>
            <w:tcBorders>
              <w:top w:val="nil"/>
              <w:left w:val="nil"/>
              <w:bottom w:val="single" w:sz="8" w:space="0" w:color="auto"/>
              <w:right w:val="nil"/>
            </w:tcBorders>
            <w:shd w:val="clear" w:color="auto" w:fill="auto"/>
            <w:noWrap/>
            <w:vAlign w:val="center"/>
          </w:tcPr>
          <w:p w14:paraId="07BEA342" w14:textId="77777777" w:rsidR="00117B7F" w:rsidRPr="005830D1" w:rsidRDefault="00117B7F" w:rsidP="007F0E33">
            <w:pPr>
              <w:spacing w:after="0"/>
              <w:ind w:left="0" w:firstLine="0"/>
              <w:jc w:val="right"/>
              <w:rPr>
                <w:sz w:val="20"/>
              </w:rPr>
            </w:pPr>
          </w:p>
        </w:tc>
        <w:tc>
          <w:tcPr>
            <w:tcW w:w="910" w:type="pct"/>
            <w:tcBorders>
              <w:top w:val="nil"/>
              <w:left w:val="single" w:sz="4" w:space="0" w:color="auto"/>
              <w:bottom w:val="single" w:sz="4" w:space="0" w:color="auto"/>
              <w:right w:val="single" w:sz="4" w:space="0" w:color="auto"/>
            </w:tcBorders>
            <w:shd w:val="clear" w:color="auto" w:fill="auto"/>
            <w:noWrap/>
            <w:vAlign w:val="bottom"/>
            <w:hideMark/>
          </w:tcPr>
          <w:p w14:paraId="3789D4AC" w14:textId="77777777" w:rsidR="00117B7F" w:rsidRPr="005830D1" w:rsidRDefault="00117B7F" w:rsidP="007F0E33">
            <w:pPr>
              <w:spacing w:after="0"/>
              <w:ind w:left="0" w:firstLine="0"/>
              <w:jc w:val="left"/>
              <w:rPr>
                <w:sz w:val="20"/>
              </w:rPr>
            </w:pPr>
            <w:r w:rsidRPr="005830D1">
              <w:rPr>
                <w:sz w:val="20"/>
              </w:rPr>
              <w:t> </w:t>
            </w:r>
          </w:p>
        </w:tc>
      </w:tr>
      <w:tr w:rsidR="00117B7F" w:rsidRPr="005830D1" w14:paraId="3047C74B" w14:textId="77777777" w:rsidTr="007F0E33">
        <w:trPr>
          <w:trHeight w:val="990"/>
          <w:jc w:val="center"/>
        </w:trPr>
        <w:tc>
          <w:tcPr>
            <w:tcW w:w="202" w:type="pct"/>
            <w:tcBorders>
              <w:top w:val="nil"/>
              <w:left w:val="double" w:sz="6" w:space="0" w:color="auto"/>
              <w:bottom w:val="single" w:sz="8" w:space="0" w:color="auto"/>
              <w:right w:val="single" w:sz="8" w:space="0" w:color="auto"/>
            </w:tcBorders>
            <w:shd w:val="clear" w:color="auto" w:fill="auto"/>
            <w:noWrap/>
            <w:vAlign w:val="center"/>
            <w:hideMark/>
          </w:tcPr>
          <w:p w14:paraId="3BD39EE1" w14:textId="77777777" w:rsidR="00117B7F" w:rsidRPr="005830D1" w:rsidRDefault="00117B7F" w:rsidP="007F0E33">
            <w:pPr>
              <w:spacing w:after="0"/>
              <w:ind w:left="0" w:firstLine="0"/>
              <w:jc w:val="center"/>
              <w:rPr>
                <w:sz w:val="20"/>
              </w:rPr>
            </w:pPr>
            <w:r w:rsidRPr="005830D1">
              <w:rPr>
                <w:sz w:val="20"/>
              </w:rPr>
              <w:lastRenderedPageBreak/>
              <w:t>1.5</w:t>
            </w:r>
          </w:p>
        </w:tc>
        <w:tc>
          <w:tcPr>
            <w:tcW w:w="3053" w:type="pct"/>
            <w:tcBorders>
              <w:top w:val="nil"/>
              <w:left w:val="nil"/>
              <w:bottom w:val="single" w:sz="8" w:space="0" w:color="auto"/>
              <w:right w:val="single" w:sz="8" w:space="0" w:color="auto"/>
            </w:tcBorders>
            <w:shd w:val="clear" w:color="auto" w:fill="auto"/>
            <w:vAlign w:val="center"/>
            <w:hideMark/>
          </w:tcPr>
          <w:p w14:paraId="4082E4B2" w14:textId="77777777" w:rsidR="00117B7F" w:rsidRPr="005830D1" w:rsidRDefault="00117B7F" w:rsidP="007F0E33">
            <w:pPr>
              <w:spacing w:after="0"/>
              <w:ind w:left="0" w:firstLine="0"/>
              <w:jc w:val="left"/>
              <w:rPr>
                <w:sz w:val="18"/>
                <w:szCs w:val="18"/>
              </w:rPr>
            </w:pPr>
            <w:r w:rsidRPr="005830D1">
              <w:rPr>
                <w:b/>
                <w:bCs/>
                <w:sz w:val="20"/>
              </w:rPr>
              <w:t>Remblais d'apport arrosé et compactage par couche de 20cm</w:t>
            </w:r>
            <w:r w:rsidRPr="005830D1">
              <w:rPr>
                <w:sz w:val="20"/>
              </w:rPr>
              <w:t xml:space="preserve">                                                                                                    </w:t>
            </w:r>
            <w:r w:rsidRPr="005830D1">
              <w:rPr>
                <w:sz w:val="18"/>
                <w:szCs w:val="18"/>
              </w:rPr>
              <w:t>Ce prix rémunère au m3 le remblai d'apport. Il comprend : l'achat et le transport de la latérite, la mise en place, le compactage au Proctor exigé le stockage et le gardiennage des matériaux fournis toutes sujétions d'exécution.</w:t>
            </w:r>
          </w:p>
          <w:p w14:paraId="788C5B06" w14:textId="77777777" w:rsidR="00117B7F" w:rsidRPr="005830D1" w:rsidRDefault="00117B7F" w:rsidP="007F0E33">
            <w:pPr>
              <w:spacing w:after="0"/>
              <w:ind w:left="0" w:firstLine="0"/>
              <w:jc w:val="left"/>
              <w:rPr>
                <w:sz w:val="18"/>
                <w:szCs w:val="18"/>
              </w:rPr>
            </w:pPr>
            <w:r w:rsidRPr="005830D1">
              <w:rPr>
                <w:sz w:val="18"/>
                <w:szCs w:val="18"/>
              </w:rPr>
              <w:t>Ce prix rémunère la fourniture et la mise en œuvre d'un béton de propreté dosé à 150 kg/m3.  Il comprend : le réglage et le compactage du fond de fouille la mise en place du nivellement, la fabrication, la mise en place du béton, le réglage de la surface ainsi que toutes sujétions utiles à la bonne exécution</w:t>
            </w:r>
          </w:p>
          <w:p w14:paraId="3B8CF7A1" w14:textId="77777777" w:rsidR="00117B7F" w:rsidRPr="005830D1" w:rsidRDefault="00117B7F" w:rsidP="007F0E33">
            <w:pPr>
              <w:spacing w:after="0"/>
              <w:ind w:left="0" w:firstLine="0"/>
              <w:jc w:val="left"/>
              <w:rPr>
                <w:sz w:val="18"/>
                <w:szCs w:val="18"/>
              </w:rPr>
            </w:pPr>
          </w:p>
          <w:p w14:paraId="2A04BE78" w14:textId="77777777" w:rsidR="00117B7F" w:rsidRPr="005830D1" w:rsidRDefault="00117B7F" w:rsidP="007F0E33">
            <w:pPr>
              <w:spacing w:after="0"/>
              <w:ind w:left="0" w:firstLine="0"/>
              <w:jc w:val="left"/>
              <w:rPr>
                <w:b/>
                <w:bCs/>
                <w:sz w:val="20"/>
              </w:rPr>
            </w:pPr>
            <w:r w:rsidRPr="005830D1">
              <w:rPr>
                <w:bCs/>
                <w:i/>
                <w:sz w:val="18"/>
                <w:szCs w:val="18"/>
              </w:rPr>
              <w:t>Ce prix s’applique au mètre cube (m3), de remblais d’apport arrosé, avec comme valeur maximale celle obtenue à partir du plan d'exécution des ouvrages.</w:t>
            </w:r>
          </w:p>
        </w:tc>
        <w:tc>
          <w:tcPr>
            <w:tcW w:w="315" w:type="pct"/>
            <w:tcBorders>
              <w:top w:val="nil"/>
              <w:left w:val="nil"/>
              <w:bottom w:val="single" w:sz="8" w:space="0" w:color="auto"/>
              <w:right w:val="single" w:sz="8" w:space="0" w:color="auto"/>
            </w:tcBorders>
            <w:shd w:val="clear" w:color="auto" w:fill="auto"/>
            <w:noWrap/>
            <w:vAlign w:val="center"/>
            <w:hideMark/>
          </w:tcPr>
          <w:p w14:paraId="130BD96A" w14:textId="77777777" w:rsidR="00117B7F" w:rsidRPr="005830D1" w:rsidRDefault="00117B7F" w:rsidP="007F0E33">
            <w:pPr>
              <w:spacing w:after="0"/>
              <w:ind w:left="0" w:firstLine="0"/>
              <w:jc w:val="center"/>
              <w:rPr>
                <w:sz w:val="20"/>
              </w:rPr>
            </w:pPr>
            <w:r w:rsidRPr="005830D1">
              <w:rPr>
                <w:sz w:val="20"/>
              </w:rPr>
              <w:t>m3</w:t>
            </w:r>
          </w:p>
        </w:tc>
        <w:tc>
          <w:tcPr>
            <w:tcW w:w="520" w:type="pct"/>
            <w:tcBorders>
              <w:top w:val="nil"/>
              <w:left w:val="nil"/>
              <w:bottom w:val="single" w:sz="8" w:space="0" w:color="auto"/>
              <w:right w:val="nil"/>
            </w:tcBorders>
            <w:shd w:val="clear" w:color="auto" w:fill="auto"/>
            <w:noWrap/>
            <w:vAlign w:val="center"/>
          </w:tcPr>
          <w:p w14:paraId="48A0667D" w14:textId="77777777" w:rsidR="00117B7F" w:rsidRPr="005830D1" w:rsidRDefault="00117B7F" w:rsidP="007F0E33">
            <w:pPr>
              <w:spacing w:after="0"/>
              <w:ind w:left="0" w:firstLine="0"/>
              <w:jc w:val="right"/>
              <w:rPr>
                <w:sz w:val="20"/>
              </w:rPr>
            </w:pPr>
          </w:p>
        </w:tc>
        <w:tc>
          <w:tcPr>
            <w:tcW w:w="910" w:type="pct"/>
            <w:tcBorders>
              <w:top w:val="nil"/>
              <w:left w:val="single" w:sz="4" w:space="0" w:color="auto"/>
              <w:bottom w:val="single" w:sz="4" w:space="0" w:color="auto"/>
              <w:right w:val="single" w:sz="4" w:space="0" w:color="auto"/>
            </w:tcBorders>
            <w:shd w:val="clear" w:color="auto" w:fill="auto"/>
            <w:noWrap/>
            <w:vAlign w:val="bottom"/>
            <w:hideMark/>
          </w:tcPr>
          <w:p w14:paraId="4C889EFA" w14:textId="77777777" w:rsidR="00117B7F" w:rsidRPr="005830D1" w:rsidRDefault="00117B7F" w:rsidP="007F0E33">
            <w:pPr>
              <w:spacing w:after="0"/>
              <w:ind w:left="0" w:firstLine="0"/>
              <w:jc w:val="left"/>
              <w:rPr>
                <w:sz w:val="20"/>
              </w:rPr>
            </w:pPr>
            <w:r w:rsidRPr="005830D1">
              <w:rPr>
                <w:sz w:val="20"/>
              </w:rPr>
              <w:t> </w:t>
            </w:r>
          </w:p>
        </w:tc>
      </w:tr>
      <w:tr w:rsidR="00117B7F" w:rsidRPr="005830D1" w14:paraId="7508D109" w14:textId="77777777" w:rsidTr="007F0E33">
        <w:trPr>
          <w:trHeight w:val="49"/>
          <w:jc w:val="center"/>
        </w:trPr>
        <w:tc>
          <w:tcPr>
            <w:tcW w:w="202" w:type="pct"/>
            <w:tcBorders>
              <w:top w:val="nil"/>
              <w:left w:val="double" w:sz="6" w:space="0" w:color="auto"/>
              <w:bottom w:val="single" w:sz="8" w:space="0" w:color="auto"/>
              <w:right w:val="single" w:sz="8" w:space="0" w:color="auto"/>
            </w:tcBorders>
            <w:shd w:val="clear" w:color="auto" w:fill="auto"/>
            <w:noWrap/>
            <w:vAlign w:val="center"/>
            <w:hideMark/>
          </w:tcPr>
          <w:p w14:paraId="4CB5665B" w14:textId="77777777" w:rsidR="00117B7F" w:rsidRPr="005830D1" w:rsidRDefault="00117B7F" w:rsidP="007F0E33">
            <w:pPr>
              <w:spacing w:after="0"/>
              <w:ind w:left="0" w:firstLine="0"/>
              <w:jc w:val="center"/>
              <w:rPr>
                <w:sz w:val="20"/>
              </w:rPr>
            </w:pPr>
            <w:r w:rsidRPr="005830D1">
              <w:rPr>
                <w:sz w:val="20"/>
              </w:rPr>
              <w:t> </w:t>
            </w:r>
          </w:p>
        </w:tc>
        <w:tc>
          <w:tcPr>
            <w:tcW w:w="3053" w:type="pct"/>
            <w:tcBorders>
              <w:top w:val="nil"/>
              <w:left w:val="nil"/>
              <w:bottom w:val="single" w:sz="8" w:space="0" w:color="auto"/>
              <w:right w:val="single" w:sz="8" w:space="0" w:color="auto"/>
            </w:tcBorders>
            <w:shd w:val="clear" w:color="auto" w:fill="auto"/>
            <w:vAlign w:val="center"/>
            <w:hideMark/>
          </w:tcPr>
          <w:p w14:paraId="6624904A" w14:textId="77777777" w:rsidR="00117B7F" w:rsidRPr="005830D1" w:rsidRDefault="00117B7F" w:rsidP="007F0E33">
            <w:pPr>
              <w:spacing w:after="0"/>
              <w:ind w:left="0" w:firstLine="0"/>
              <w:jc w:val="left"/>
              <w:rPr>
                <w:b/>
                <w:bCs/>
                <w:sz w:val="20"/>
              </w:rPr>
            </w:pPr>
            <w:r w:rsidRPr="005830D1">
              <w:rPr>
                <w:b/>
                <w:bCs/>
                <w:sz w:val="20"/>
              </w:rPr>
              <w:t>TOTAL TERRASSEMENT</w:t>
            </w:r>
          </w:p>
        </w:tc>
        <w:tc>
          <w:tcPr>
            <w:tcW w:w="315" w:type="pct"/>
            <w:tcBorders>
              <w:top w:val="nil"/>
              <w:left w:val="nil"/>
              <w:bottom w:val="single" w:sz="8" w:space="0" w:color="auto"/>
              <w:right w:val="single" w:sz="8" w:space="0" w:color="auto"/>
            </w:tcBorders>
            <w:shd w:val="clear" w:color="auto" w:fill="auto"/>
            <w:noWrap/>
            <w:vAlign w:val="center"/>
            <w:hideMark/>
          </w:tcPr>
          <w:p w14:paraId="23C061EB" w14:textId="77777777" w:rsidR="00117B7F" w:rsidRPr="005830D1" w:rsidRDefault="00117B7F" w:rsidP="007F0E33">
            <w:pPr>
              <w:spacing w:after="0"/>
              <w:ind w:left="0" w:firstLine="0"/>
              <w:jc w:val="center"/>
              <w:rPr>
                <w:sz w:val="20"/>
              </w:rPr>
            </w:pPr>
            <w:r w:rsidRPr="005830D1">
              <w:rPr>
                <w:sz w:val="20"/>
              </w:rPr>
              <w:t> </w:t>
            </w:r>
          </w:p>
        </w:tc>
        <w:tc>
          <w:tcPr>
            <w:tcW w:w="520" w:type="pct"/>
            <w:tcBorders>
              <w:top w:val="nil"/>
              <w:left w:val="nil"/>
              <w:bottom w:val="single" w:sz="8" w:space="0" w:color="auto"/>
              <w:right w:val="nil"/>
            </w:tcBorders>
            <w:shd w:val="clear" w:color="auto" w:fill="auto"/>
            <w:noWrap/>
            <w:vAlign w:val="center"/>
          </w:tcPr>
          <w:p w14:paraId="26793197" w14:textId="77777777" w:rsidR="00117B7F" w:rsidRPr="005830D1" w:rsidRDefault="00117B7F" w:rsidP="007F0E33">
            <w:pPr>
              <w:spacing w:after="0"/>
              <w:ind w:left="0" w:firstLine="0"/>
              <w:jc w:val="right"/>
              <w:rPr>
                <w:sz w:val="20"/>
              </w:rPr>
            </w:pPr>
          </w:p>
        </w:tc>
        <w:tc>
          <w:tcPr>
            <w:tcW w:w="910" w:type="pct"/>
            <w:tcBorders>
              <w:top w:val="nil"/>
              <w:left w:val="single" w:sz="4" w:space="0" w:color="auto"/>
              <w:bottom w:val="single" w:sz="4" w:space="0" w:color="auto"/>
              <w:right w:val="single" w:sz="4" w:space="0" w:color="auto"/>
            </w:tcBorders>
            <w:shd w:val="clear" w:color="auto" w:fill="auto"/>
            <w:noWrap/>
            <w:vAlign w:val="bottom"/>
            <w:hideMark/>
          </w:tcPr>
          <w:p w14:paraId="127030B2" w14:textId="77777777" w:rsidR="00117B7F" w:rsidRPr="005830D1" w:rsidRDefault="00117B7F" w:rsidP="007F0E33">
            <w:pPr>
              <w:spacing w:after="0"/>
              <w:ind w:left="0" w:firstLine="0"/>
              <w:jc w:val="left"/>
              <w:rPr>
                <w:sz w:val="20"/>
              </w:rPr>
            </w:pPr>
            <w:r w:rsidRPr="005830D1">
              <w:rPr>
                <w:sz w:val="20"/>
              </w:rPr>
              <w:t> </w:t>
            </w:r>
          </w:p>
        </w:tc>
      </w:tr>
      <w:tr w:rsidR="00117B7F" w:rsidRPr="005830D1" w14:paraId="6B079C8E" w14:textId="77777777" w:rsidTr="007F0E33">
        <w:trPr>
          <w:trHeight w:val="49"/>
          <w:jc w:val="center"/>
        </w:trPr>
        <w:tc>
          <w:tcPr>
            <w:tcW w:w="202" w:type="pct"/>
            <w:tcBorders>
              <w:top w:val="single" w:sz="4" w:space="0" w:color="auto"/>
              <w:left w:val="double" w:sz="6" w:space="0" w:color="auto"/>
              <w:bottom w:val="nil"/>
              <w:right w:val="nil"/>
            </w:tcBorders>
            <w:shd w:val="clear" w:color="auto" w:fill="auto"/>
            <w:noWrap/>
            <w:vAlign w:val="center"/>
            <w:hideMark/>
          </w:tcPr>
          <w:p w14:paraId="6E484532" w14:textId="77777777" w:rsidR="00117B7F" w:rsidRPr="005830D1" w:rsidRDefault="00117B7F" w:rsidP="007F0E33">
            <w:pPr>
              <w:spacing w:after="0"/>
              <w:ind w:left="0" w:firstLine="0"/>
              <w:jc w:val="left"/>
              <w:rPr>
                <w:sz w:val="20"/>
              </w:rPr>
            </w:pPr>
            <w:r w:rsidRPr="005830D1">
              <w:rPr>
                <w:sz w:val="20"/>
              </w:rPr>
              <w:t> </w:t>
            </w:r>
          </w:p>
        </w:tc>
        <w:tc>
          <w:tcPr>
            <w:tcW w:w="3053" w:type="pct"/>
            <w:tcBorders>
              <w:top w:val="single" w:sz="4" w:space="0" w:color="auto"/>
              <w:left w:val="single" w:sz="8" w:space="0" w:color="auto"/>
              <w:bottom w:val="single" w:sz="8" w:space="0" w:color="auto"/>
              <w:right w:val="single" w:sz="8" w:space="0" w:color="auto"/>
            </w:tcBorders>
            <w:shd w:val="clear" w:color="auto" w:fill="auto"/>
            <w:vAlign w:val="center"/>
            <w:hideMark/>
          </w:tcPr>
          <w:p w14:paraId="659383FA" w14:textId="77777777" w:rsidR="00117B7F" w:rsidRPr="005830D1" w:rsidRDefault="00117B7F" w:rsidP="007F0E33">
            <w:pPr>
              <w:spacing w:after="0"/>
              <w:ind w:left="0" w:firstLine="0"/>
              <w:jc w:val="left"/>
              <w:rPr>
                <w:b/>
                <w:bCs/>
                <w:sz w:val="20"/>
              </w:rPr>
            </w:pPr>
            <w:r w:rsidRPr="005830D1">
              <w:rPr>
                <w:b/>
                <w:bCs/>
                <w:sz w:val="20"/>
              </w:rPr>
              <w:t>II. FONDATIONS</w:t>
            </w:r>
          </w:p>
        </w:tc>
        <w:tc>
          <w:tcPr>
            <w:tcW w:w="315" w:type="pct"/>
            <w:tcBorders>
              <w:top w:val="single" w:sz="4" w:space="0" w:color="auto"/>
              <w:left w:val="nil"/>
              <w:bottom w:val="single" w:sz="8" w:space="0" w:color="auto"/>
              <w:right w:val="single" w:sz="8" w:space="0" w:color="auto"/>
            </w:tcBorders>
            <w:shd w:val="clear" w:color="auto" w:fill="auto"/>
            <w:noWrap/>
            <w:vAlign w:val="center"/>
            <w:hideMark/>
          </w:tcPr>
          <w:p w14:paraId="673AEE8D" w14:textId="77777777" w:rsidR="00117B7F" w:rsidRPr="005830D1" w:rsidRDefault="00117B7F" w:rsidP="007F0E33">
            <w:pPr>
              <w:spacing w:after="0"/>
              <w:ind w:left="0" w:firstLine="0"/>
              <w:jc w:val="center"/>
              <w:rPr>
                <w:sz w:val="20"/>
              </w:rPr>
            </w:pPr>
            <w:r w:rsidRPr="005830D1">
              <w:rPr>
                <w:sz w:val="20"/>
              </w:rPr>
              <w:t> </w:t>
            </w:r>
          </w:p>
        </w:tc>
        <w:tc>
          <w:tcPr>
            <w:tcW w:w="520" w:type="pct"/>
            <w:tcBorders>
              <w:top w:val="single" w:sz="4" w:space="0" w:color="auto"/>
              <w:left w:val="nil"/>
              <w:bottom w:val="single" w:sz="8" w:space="0" w:color="auto"/>
              <w:right w:val="nil"/>
            </w:tcBorders>
            <w:shd w:val="clear" w:color="auto" w:fill="auto"/>
            <w:noWrap/>
            <w:vAlign w:val="center"/>
          </w:tcPr>
          <w:p w14:paraId="5ADE842B" w14:textId="77777777" w:rsidR="00117B7F" w:rsidRPr="005830D1" w:rsidRDefault="00117B7F" w:rsidP="007F0E33">
            <w:pPr>
              <w:spacing w:after="0"/>
              <w:ind w:left="0" w:firstLine="0"/>
              <w:jc w:val="right"/>
              <w:rPr>
                <w:sz w:val="20"/>
              </w:rPr>
            </w:pPr>
          </w:p>
        </w:tc>
        <w:tc>
          <w:tcPr>
            <w:tcW w:w="9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814382" w14:textId="77777777" w:rsidR="00117B7F" w:rsidRPr="005830D1" w:rsidRDefault="00117B7F" w:rsidP="007F0E33">
            <w:pPr>
              <w:spacing w:after="0"/>
              <w:ind w:left="0" w:firstLine="0"/>
              <w:jc w:val="left"/>
              <w:rPr>
                <w:sz w:val="20"/>
              </w:rPr>
            </w:pPr>
            <w:r w:rsidRPr="005830D1">
              <w:rPr>
                <w:sz w:val="20"/>
              </w:rPr>
              <w:t> </w:t>
            </w:r>
          </w:p>
        </w:tc>
      </w:tr>
      <w:tr w:rsidR="00117B7F" w:rsidRPr="005830D1" w14:paraId="57E3F9A0" w14:textId="77777777" w:rsidTr="007F0E33">
        <w:trPr>
          <w:trHeight w:val="1230"/>
          <w:jc w:val="center"/>
        </w:trPr>
        <w:tc>
          <w:tcPr>
            <w:tcW w:w="202" w:type="pct"/>
            <w:tcBorders>
              <w:top w:val="single" w:sz="8" w:space="0" w:color="auto"/>
              <w:left w:val="double" w:sz="6" w:space="0" w:color="auto"/>
              <w:bottom w:val="single" w:sz="8" w:space="0" w:color="auto"/>
              <w:right w:val="single" w:sz="8" w:space="0" w:color="auto"/>
            </w:tcBorders>
            <w:shd w:val="clear" w:color="auto" w:fill="auto"/>
            <w:noWrap/>
            <w:vAlign w:val="center"/>
            <w:hideMark/>
          </w:tcPr>
          <w:p w14:paraId="1E0DD49F" w14:textId="77777777" w:rsidR="00117B7F" w:rsidRPr="005830D1" w:rsidRDefault="00117B7F" w:rsidP="007F0E33">
            <w:pPr>
              <w:spacing w:after="0"/>
              <w:ind w:left="0" w:firstLine="0"/>
              <w:jc w:val="center"/>
              <w:rPr>
                <w:sz w:val="20"/>
              </w:rPr>
            </w:pPr>
            <w:r w:rsidRPr="005830D1">
              <w:rPr>
                <w:sz w:val="20"/>
              </w:rPr>
              <w:t>2.1</w:t>
            </w:r>
          </w:p>
        </w:tc>
        <w:tc>
          <w:tcPr>
            <w:tcW w:w="3053" w:type="pct"/>
            <w:tcBorders>
              <w:top w:val="nil"/>
              <w:left w:val="nil"/>
              <w:bottom w:val="single" w:sz="8" w:space="0" w:color="auto"/>
              <w:right w:val="single" w:sz="8" w:space="0" w:color="auto"/>
            </w:tcBorders>
            <w:shd w:val="clear" w:color="auto" w:fill="auto"/>
            <w:vAlign w:val="center"/>
            <w:hideMark/>
          </w:tcPr>
          <w:p w14:paraId="13A293EF" w14:textId="77777777" w:rsidR="00117B7F" w:rsidRPr="005830D1" w:rsidRDefault="00117B7F" w:rsidP="007F0E33">
            <w:pPr>
              <w:spacing w:after="0"/>
              <w:ind w:left="0" w:firstLine="0"/>
              <w:jc w:val="left"/>
              <w:rPr>
                <w:sz w:val="18"/>
                <w:szCs w:val="18"/>
              </w:rPr>
            </w:pPr>
            <w:r w:rsidRPr="005830D1">
              <w:rPr>
                <w:b/>
                <w:bCs/>
                <w:sz w:val="20"/>
              </w:rPr>
              <w:t xml:space="preserve">Béton de propreté dosé à 150kg/m3 pour nivellement de fonds de fouille de 0,05cm d'épaisseur                                                                                                                                </w:t>
            </w:r>
            <w:r w:rsidRPr="005830D1">
              <w:rPr>
                <w:sz w:val="18"/>
                <w:szCs w:val="18"/>
              </w:rPr>
              <w:t>Ce prix rémunère la fourniture et la mise en œuvre du béton de propreté dosé à 150 kg de ciment par mètre cube sur une épaisseur de 10cm sous l’assise du seuil et du contrefort.</w:t>
            </w:r>
            <w:r w:rsidRPr="005830D1">
              <w:rPr>
                <w:sz w:val="18"/>
                <w:szCs w:val="18"/>
              </w:rPr>
              <w:br/>
              <w:t>Ce prix comprend conformément aux spécifications des prescriptions techniques :</w:t>
            </w:r>
            <w:r w:rsidRPr="005830D1">
              <w:rPr>
                <w:sz w:val="18"/>
                <w:szCs w:val="18"/>
              </w:rPr>
              <w:br/>
              <w:t>- la fourniture et le transport sur le lieu d’emploi de tous les matériaux nécessaires à la fabrication du béton, et aux coffrages éventuels;</w:t>
            </w:r>
            <w:r w:rsidRPr="005830D1">
              <w:rPr>
                <w:sz w:val="18"/>
                <w:szCs w:val="18"/>
              </w:rPr>
              <w:br/>
              <w:t>- le stockage de ces matériaux;</w:t>
            </w:r>
            <w:r w:rsidRPr="005830D1">
              <w:rPr>
                <w:sz w:val="18"/>
                <w:szCs w:val="18"/>
              </w:rPr>
              <w:br/>
              <w:t>- la fabrication, la mise en œuvre, le serrage et la cure du béton;</w:t>
            </w:r>
            <w:r w:rsidRPr="005830D1">
              <w:rPr>
                <w:sz w:val="18"/>
                <w:szCs w:val="18"/>
              </w:rPr>
              <w:br/>
              <w:t>- le décoffrage éventuel;</w:t>
            </w:r>
            <w:r w:rsidRPr="005830D1">
              <w:rPr>
                <w:sz w:val="18"/>
                <w:szCs w:val="18"/>
              </w:rPr>
              <w:br/>
              <w:t>- et toutes sujétions d'exécution et de main d’œuvre qualifié et non qualifiée.</w:t>
            </w:r>
          </w:p>
          <w:p w14:paraId="5F11E5D4" w14:textId="77777777" w:rsidR="00117B7F" w:rsidRPr="005830D1" w:rsidRDefault="00117B7F" w:rsidP="007F0E33">
            <w:pPr>
              <w:spacing w:after="0"/>
              <w:ind w:left="0" w:firstLine="0"/>
              <w:jc w:val="left"/>
              <w:rPr>
                <w:b/>
                <w:bCs/>
                <w:sz w:val="20"/>
              </w:rPr>
            </w:pPr>
            <w:r w:rsidRPr="005830D1">
              <w:rPr>
                <w:sz w:val="18"/>
                <w:szCs w:val="18"/>
              </w:rPr>
              <w:br/>
            </w:r>
            <w:r w:rsidRPr="005830D1">
              <w:rPr>
                <w:i/>
                <w:sz w:val="18"/>
                <w:szCs w:val="18"/>
              </w:rPr>
              <w:t>Ce prix s’applique au volume, en mètre cube (m3), de béton de propreté dosé à 150 kg/m3 coulé, avec comme valeur maximale celle obtenue à partir des plans d’exécution des ouvrages.</w:t>
            </w:r>
          </w:p>
        </w:tc>
        <w:tc>
          <w:tcPr>
            <w:tcW w:w="315" w:type="pct"/>
            <w:tcBorders>
              <w:top w:val="nil"/>
              <w:left w:val="nil"/>
              <w:bottom w:val="single" w:sz="8" w:space="0" w:color="auto"/>
              <w:right w:val="single" w:sz="8" w:space="0" w:color="auto"/>
            </w:tcBorders>
            <w:shd w:val="clear" w:color="auto" w:fill="auto"/>
            <w:noWrap/>
            <w:vAlign w:val="center"/>
            <w:hideMark/>
          </w:tcPr>
          <w:p w14:paraId="4CAAE416" w14:textId="77777777" w:rsidR="00117B7F" w:rsidRPr="005830D1" w:rsidRDefault="00117B7F" w:rsidP="007F0E33">
            <w:pPr>
              <w:spacing w:after="0"/>
              <w:ind w:left="0" w:firstLine="0"/>
              <w:jc w:val="center"/>
              <w:rPr>
                <w:sz w:val="20"/>
              </w:rPr>
            </w:pPr>
            <w:r w:rsidRPr="005830D1">
              <w:rPr>
                <w:sz w:val="20"/>
              </w:rPr>
              <w:t>m3</w:t>
            </w:r>
          </w:p>
        </w:tc>
        <w:tc>
          <w:tcPr>
            <w:tcW w:w="520" w:type="pct"/>
            <w:tcBorders>
              <w:top w:val="nil"/>
              <w:left w:val="nil"/>
              <w:bottom w:val="single" w:sz="8" w:space="0" w:color="auto"/>
              <w:right w:val="nil"/>
            </w:tcBorders>
            <w:shd w:val="clear" w:color="auto" w:fill="auto"/>
            <w:noWrap/>
            <w:vAlign w:val="center"/>
          </w:tcPr>
          <w:p w14:paraId="52FCF350" w14:textId="77777777" w:rsidR="00117B7F" w:rsidRPr="005830D1" w:rsidRDefault="00117B7F" w:rsidP="007F0E33">
            <w:pPr>
              <w:spacing w:after="0"/>
              <w:ind w:left="0" w:firstLine="0"/>
              <w:jc w:val="right"/>
              <w:rPr>
                <w:sz w:val="20"/>
              </w:rPr>
            </w:pPr>
          </w:p>
        </w:tc>
        <w:tc>
          <w:tcPr>
            <w:tcW w:w="910" w:type="pct"/>
            <w:tcBorders>
              <w:top w:val="nil"/>
              <w:left w:val="single" w:sz="4" w:space="0" w:color="auto"/>
              <w:bottom w:val="single" w:sz="4" w:space="0" w:color="auto"/>
              <w:right w:val="single" w:sz="4" w:space="0" w:color="auto"/>
            </w:tcBorders>
            <w:shd w:val="clear" w:color="auto" w:fill="auto"/>
            <w:noWrap/>
            <w:vAlign w:val="bottom"/>
            <w:hideMark/>
          </w:tcPr>
          <w:p w14:paraId="4D0F1D4D" w14:textId="77777777" w:rsidR="00117B7F" w:rsidRPr="005830D1" w:rsidRDefault="00117B7F" w:rsidP="007F0E33">
            <w:pPr>
              <w:spacing w:after="0"/>
              <w:ind w:left="0" w:firstLine="0"/>
              <w:jc w:val="left"/>
              <w:rPr>
                <w:sz w:val="20"/>
              </w:rPr>
            </w:pPr>
            <w:r w:rsidRPr="005830D1">
              <w:rPr>
                <w:sz w:val="20"/>
              </w:rPr>
              <w:t> </w:t>
            </w:r>
          </w:p>
        </w:tc>
      </w:tr>
      <w:tr w:rsidR="00117B7F" w:rsidRPr="005830D1" w14:paraId="4E8FB2BD" w14:textId="77777777" w:rsidTr="007F0E33">
        <w:trPr>
          <w:trHeight w:val="990"/>
          <w:jc w:val="center"/>
        </w:trPr>
        <w:tc>
          <w:tcPr>
            <w:tcW w:w="202" w:type="pct"/>
            <w:tcBorders>
              <w:top w:val="nil"/>
              <w:left w:val="double" w:sz="6" w:space="0" w:color="auto"/>
              <w:bottom w:val="single" w:sz="8" w:space="0" w:color="auto"/>
              <w:right w:val="single" w:sz="8" w:space="0" w:color="auto"/>
            </w:tcBorders>
            <w:shd w:val="clear" w:color="auto" w:fill="auto"/>
            <w:noWrap/>
            <w:vAlign w:val="center"/>
            <w:hideMark/>
          </w:tcPr>
          <w:p w14:paraId="5FEC431E" w14:textId="77777777" w:rsidR="00117B7F" w:rsidRPr="005830D1" w:rsidRDefault="00117B7F" w:rsidP="007F0E33">
            <w:pPr>
              <w:spacing w:after="0"/>
              <w:ind w:left="0" w:firstLine="0"/>
              <w:jc w:val="center"/>
              <w:rPr>
                <w:sz w:val="20"/>
              </w:rPr>
            </w:pPr>
            <w:r w:rsidRPr="005830D1">
              <w:rPr>
                <w:sz w:val="20"/>
              </w:rPr>
              <w:t>2.2</w:t>
            </w:r>
          </w:p>
        </w:tc>
        <w:tc>
          <w:tcPr>
            <w:tcW w:w="3053" w:type="pct"/>
            <w:tcBorders>
              <w:top w:val="nil"/>
              <w:left w:val="nil"/>
              <w:bottom w:val="single" w:sz="8" w:space="0" w:color="auto"/>
              <w:right w:val="single" w:sz="8" w:space="0" w:color="auto"/>
            </w:tcBorders>
            <w:shd w:val="clear" w:color="auto" w:fill="auto"/>
            <w:vAlign w:val="center"/>
            <w:hideMark/>
          </w:tcPr>
          <w:p w14:paraId="05D7C77E" w14:textId="77777777" w:rsidR="00117B7F" w:rsidRPr="005830D1" w:rsidRDefault="00117B7F" w:rsidP="007F0E33">
            <w:pPr>
              <w:spacing w:after="0"/>
              <w:ind w:left="0" w:firstLine="0"/>
              <w:jc w:val="left"/>
              <w:rPr>
                <w:sz w:val="18"/>
                <w:szCs w:val="18"/>
              </w:rPr>
            </w:pPr>
            <w:r w:rsidRPr="005830D1">
              <w:rPr>
                <w:b/>
                <w:bCs/>
                <w:sz w:val="20"/>
              </w:rPr>
              <w:t>Béton armé dosé à 350kg/m3 pour semelles isolées et poteau d'attentes y compris tous suggestions</w:t>
            </w:r>
            <w:r w:rsidRPr="005830D1">
              <w:rPr>
                <w:sz w:val="20"/>
              </w:rPr>
              <w:t xml:space="preserve">                                                                                                                               </w:t>
            </w:r>
            <w:r w:rsidRPr="005830D1">
              <w:rPr>
                <w:sz w:val="18"/>
                <w:szCs w:val="18"/>
              </w:rPr>
              <w:t>Ce prix rémunère au m3 la fourniture et la mise en œuvre d'un béton de structure dosé à 350 kg/m3, le ferraillage, le coffrage, la mise en place du béton, le réglage de la surface, le décoffrage. Ainsi que toutes sujétions utiles à la bonne exécution.</w:t>
            </w:r>
          </w:p>
          <w:p w14:paraId="420CEE56" w14:textId="77777777" w:rsidR="00117B7F" w:rsidRPr="005830D1" w:rsidRDefault="00117B7F" w:rsidP="007F0E33">
            <w:pPr>
              <w:spacing w:after="0"/>
              <w:ind w:left="0" w:firstLine="0"/>
              <w:jc w:val="left"/>
              <w:rPr>
                <w:sz w:val="18"/>
                <w:szCs w:val="18"/>
              </w:rPr>
            </w:pPr>
          </w:p>
          <w:p w14:paraId="0520309D" w14:textId="77777777" w:rsidR="00117B7F" w:rsidRPr="005830D1" w:rsidRDefault="00117B7F" w:rsidP="007F0E33">
            <w:pPr>
              <w:spacing w:after="0"/>
              <w:ind w:left="0" w:firstLine="0"/>
              <w:jc w:val="left"/>
              <w:rPr>
                <w:b/>
                <w:bCs/>
                <w:sz w:val="20"/>
              </w:rPr>
            </w:pPr>
            <w:r w:rsidRPr="005830D1">
              <w:rPr>
                <w:i/>
                <w:sz w:val="18"/>
                <w:szCs w:val="18"/>
              </w:rPr>
              <w:t>Ce prix s’applique au volume en mètre cube (m3) de béton armé mis en œuvre pour les semelles isolées avec comme valeur maximale celle obtenue à partir des plans d’exécution des ouvrages</w:t>
            </w:r>
          </w:p>
        </w:tc>
        <w:tc>
          <w:tcPr>
            <w:tcW w:w="315" w:type="pct"/>
            <w:tcBorders>
              <w:top w:val="nil"/>
              <w:left w:val="nil"/>
              <w:bottom w:val="single" w:sz="8" w:space="0" w:color="auto"/>
              <w:right w:val="single" w:sz="8" w:space="0" w:color="auto"/>
            </w:tcBorders>
            <w:shd w:val="clear" w:color="auto" w:fill="auto"/>
            <w:noWrap/>
            <w:vAlign w:val="center"/>
            <w:hideMark/>
          </w:tcPr>
          <w:p w14:paraId="3EF5A292" w14:textId="77777777" w:rsidR="00117B7F" w:rsidRPr="005830D1" w:rsidRDefault="00117B7F" w:rsidP="007F0E33">
            <w:pPr>
              <w:spacing w:after="0"/>
              <w:ind w:left="0" w:firstLine="0"/>
              <w:jc w:val="center"/>
              <w:rPr>
                <w:sz w:val="20"/>
              </w:rPr>
            </w:pPr>
            <w:r w:rsidRPr="005830D1">
              <w:rPr>
                <w:sz w:val="20"/>
              </w:rPr>
              <w:t>m3</w:t>
            </w:r>
          </w:p>
        </w:tc>
        <w:tc>
          <w:tcPr>
            <w:tcW w:w="520" w:type="pct"/>
            <w:tcBorders>
              <w:top w:val="nil"/>
              <w:left w:val="nil"/>
              <w:bottom w:val="single" w:sz="8" w:space="0" w:color="auto"/>
              <w:right w:val="nil"/>
            </w:tcBorders>
            <w:shd w:val="clear" w:color="auto" w:fill="auto"/>
            <w:noWrap/>
            <w:vAlign w:val="center"/>
          </w:tcPr>
          <w:p w14:paraId="706A82F8" w14:textId="77777777" w:rsidR="00117B7F" w:rsidRPr="005830D1" w:rsidRDefault="00117B7F" w:rsidP="007F0E33">
            <w:pPr>
              <w:spacing w:after="0"/>
              <w:ind w:left="0" w:firstLine="0"/>
              <w:jc w:val="right"/>
              <w:rPr>
                <w:sz w:val="20"/>
              </w:rPr>
            </w:pPr>
          </w:p>
        </w:tc>
        <w:tc>
          <w:tcPr>
            <w:tcW w:w="910" w:type="pct"/>
            <w:tcBorders>
              <w:top w:val="nil"/>
              <w:left w:val="single" w:sz="4" w:space="0" w:color="auto"/>
              <w:bottom w:val="single" w:sz="4" w:space="0" w:color="auto"/>
              <w:right w:val="single" w:sz="4" w:space="0" w:color="auto"/>
            </w:tcBorders>
            <w:shd w:val="clear" w:color="auto" w:fill="auto"/>
            <w:noWrap/>
            <w:vAlign w:val="bottom"/>
            <w:hideMark/>
          </w:tcPr>
          <w:p w14:paraId="412F4C52" w14:textId="77777777" w:rsidR="00117B7F" w:rsidRPr="005830D1" w:rsidRDefault="00117B7F" w:rsidP="007F0E33">
            <w:pPr>
              <w:spacing w:after="0"/>
              <w:ind w:left="0" w:firstLine="0"/>
              <w:jc w:val="left"/>
              <w:rPr>
                <w:sz w:val="20"/>
              </w:rPr>
            </w:pPr>
            <w:r w:rsidRPr="005830D1">
              <w:rPr>
                <w:sz w:val="20"/>
              </w:rPr>
              <w:t> </w:t>
            </w:r>
          </w:p>
        </w:tc>
      </w:tr>
      <w:tr w:rsidR="00117B7F" w:rsidRPr="005830D1" w14:paraId="2B8976A8" w14:textId="77777777" w:rsidTr="007F0E33">
        <w:trPr>
          <w:trHeight w:val="683"/>
          <w:jc w:val="center"/>
        </w:trPr>
        <w:tc>
          <w:tcPr>
            <w:tcW w:w="202" w:type="pct"/>
            <w:tcBorders>
              <w:top w:val="nil"/>
              <w:left w:val="double" w:sz="6" w:space="0" w:color="auto"/>
              <w:bottom w:val="single" w:sz="8" w:space="0" w:color="auto"/>
              <w:right w:val="single" w:sz="8" w:space="0" w:color="auto"/>
            </w:tcBorders>
            <w:shd w:val="clear" w:color="auto" w:fill="auto"/>
            <w:noWrap/>
            <w:vAlign w:val="center"/>
            <w:hideMark/>
          </w:tcPr>
          <w:p w14:paraId="79C8EB67" w14:textId="77777777" w:rsidR="00117B7F" w:rsidRPr="005830D1" w:rsidRDefault="00117B7F" w:rsidP="007F0E33">
            <w:pPr>
              <w:spacing w:after="0"/>
              <w:ind w:left="0" w:firstLine="0"/>
              <w:jc w:val="center"/>
              <w:rPr>
                <w:sz w:val="20"/>
              </w:rPr>
            </w:pPr>
            <w:r w:rsidRPr="005830D1">
              <w:rPr>
                <w:sz w:val="20"/>
              </w:rPr>
              <w:t>2.3</w:t>
            </w:r>
          </w:p>
        </w:tc>
        <w:tc>
          <w:tcPr>
            <w:tcW w:w="3053" w:type="pct"/>
            <w:tcBorders>
              <w:top w:val="nil"/>
              <w:left w:val="nil"/>
              <w:bottom w:val="single" w:sz="8" w:space="0" w:color="auto"/>
              <w:right w:val="single" w:sz="8" w:space="0" w:color="auto"/>
            </w:tcBorders>
            <w:shd w:val="clear" w:color="auto" w:fill="auto"/>
            <w:vAlign w:val="center"/>
            <w:hideMark/>
          </w:tcPr>
          <w:p w14:paraId="2BFBBA17" w14:textId="77777777" w:rsidR="00117B7F" w:rsidRPr="005830D1" w:rsidRDefault="00117B7F" w:rsidP="007F0E33">
            <w:pPr>
              <w:spacing w:after="0"/>
              <w:ind w:left="0" w:firstLine="0"/>
              <w:jc w:val="left"/>
              <w:rPr>
                <w:sz w:val="20"/>
              </w:rPr>
            </w:pPr>
            <w:r w:rsidRPr="005830D1">
              <w:rPr>
                <w:b/>
                <w:bCs/>
                <w:sz w:val="20"/>
              </w:rPr>
              <w:t xml:space="preserve">Maçonnerie agglos plein de 20x20x40cm pour blocage des fonds de fouilles </w:t>
            </w:r>
            <w:r w:rsidRPr="005830D1">
              <w:rPr>
                <w:sz w:val="20"/>
              </w:rPr>
              <w:t xml:space="preserve">                                                                                                                                   </w:t>
            </w:r>
            <w:r w:rsidRPr="005830D1">
              <w:rPr>
                <w:sz w:val="18"/>
                <w:szCs w:val="18"/>
              </w:rPr>
              <w:t>Ce prix rémunère au m2 de mur réalisé en maçonnerie de parpaings pleins de dimensions 20 x 20 x 40cm. Il comprend : la fourniture des parpaings pleins aux dimensions suscitées, à un dosage de 250 kg/m3 la fourniture des matériaux nécessaires pour l'élaboration d'un mortier pour joints dosé à 250 kg/m3 la mise en œuvre des agglos en respectant l'horizontalité et la verticalité, des joints compris entre 1.5 et 2 cm ainsi que toutes sujétions utiles à la bonne exécution.</w:t>
            </w:r>
          </w:p>
          <w:p w14:paraId="731EDEF1" w14:textId="77777777" w:rsidR="00117B7F" w:rsidRPr="005830D1" w:rsidRDefault="00117B7F" w:rsidP="007F0E33">
            <w:pPr>
              <w:spacing w:after="0"/>
              <w:ind w:left="0" w:firstLine="0"/>
              <w:jc w:val="left"/>
              <w:rPr>
                <w:sz w:val="20"/>
              </w:rPr>
            </w:pPr>
          </w:p>
          <w:p w14:paraId="025BB48C" w14:textId="77777777" w:rsidR="00117B7F" w:rsidRPr="005830D1" w:rsidRDefault="00117B7F" w:rsidP="007F0E33">
            <w:pPr>
              <w:spacing w:after="0"/>
              <w:ind w:left="0" w:firstLine="0"/>
              <w:jc w:val="left"/>
              <w:rPr>
                <w:b/>
                <w:bCs/>
                <w:sz w:val="20"/>
              </w:rPr>
            </w:pPr>
            <w:r w:rsidRPr="005830D1">
              <w:rPr>
                <w:i/>
                <w:sz w:val="18"/>
                <w:szCs w:val="18"/>
              </w:rPr>
              <w:t>Ce prix s’applique à la surface, en mètre carré (m2), de mur réalisé en maçonnerie agglos, avec comme valeur maximale celle obtenue à partir des plans d’exécution des ouvrages.</w:t>
            </w:r>
          </w:p>
        </w:tc>
        <w:tc>
          <w:tcPr>
            <w:tcW w:w="315" w:type="pct"/>
            <w:tcBorders>
              <w:top w:val="nil"/>
              <w:left w:val="nil"/>
              <w:bottom w:val="single" w:sz="8" w:space="0" w:color="auto"/>
              <w:right w:val="single" w:sz="8" w:space="0" w:color="auto"/>
            </w:tcBorders>
            <w:shd w:val="clear" w:color="auto" w:fill="auto"/>
            <w:noWrap/>
            <w:vAlign w:val="center"/>
            <w:hideMark/>
          </w:tcPr>
          <w:p w14:paraId="132A0F0B" w14:textId="77777777" w:rsidR="00117B7F" w:rsidRPr="005830D1" w:rsidRDefault="00117B7F" w:rsidP="007F0E33">
            <w:pPr>
              <w:spacing w:after="0"/>
              <w:ind w:left="0" w:firstLine="0"/>
              <w:jc w:val="center"/>
              <w:rPr>
                <w:sz w:val="20"/>
              </w:rPr>
            </w:pPr>
            <w:r w:rsidRPr="005830D1">
              <w:rPr>
                <w:sz w:val="20"/>
              </w:rPr>
              <w:t>m2</w:t>
            </w:r>
          </w:p>
        </w:tc>
        <w:tc>
          <w:tcPr>
            <w:tcW w:w="520" w:type="pct"/>
            <w:tcBorders>
              <w:top w:val="nil"/>
              <w:left w:val="nil"/>
              <w:bottom w:val="single" w:sz="8" w:space="0" w:color="auto"/>
              <w:right w:val="nil"/>
            </w:tcBorders>
            <w:shd w:val="clear" w:color="auto" w:fill="auto"/>
            <w:noWrap/>
            <w:vAlign w:val="center"/>
          </w:tcPr>
          <w:p w14:paraId="4F8FC49B" w14:textId="77777777" w:rsidR="00117B7F" w:rsidRPr="005830D1" w:rsidRDefault="00117B7F" w:rsidP="007F0E33">
            <w:pPr>
              <w:spacing w:after="0"/>
              <w:ind w:left="0" w:firstLine="0"/>
              <w:jc w:val="right"/>
              <w:rPr>
                <w:sz w:val="20"/>
              </w:rPr>
            </w:pPr>
          </w:p>
        </w:tc>
        <w:tc>
          <w:tcPr>
            <w:tcW w:w="910" w:type="pct"/>
            <w:tcBorders>
              <w:top w:val="nil"/>
              <w:left w:val="single" w:sz="4" w:space="0" w:color="auto"/>
              <w:bottom w:val="single" w:sz="4" w:space="0" w:color="auto"/>
              <w:right w:val="single" w:sz="4" w:space="0" w:color="auto"/>
            </w:tcBorders>
            <w:shd w:val="clear" w:color="auto" w:fill="auto"/>
            <w:noWrap/>
            <w:vAlign w:val="bottom"/>
            <w:hideMark/>
          </w:tcPr>
          <w:p w14:paraId="59765436" w14:textId="77777777" w:rsidR="00117B7F" w:rsidRPr="005830D1" w:rsidRDefault="00117B7F" w:rsidP="007F0E33">
            <w:pPr>
              <w:spacing w:after="0"/>
              <w:ind w:left="0" w:firstLine="0"/>
              <w:jc w:val="left"/>
              <w:rPr>
                <w:sz w:val="20"/>
              </w:rPr>
            </w:pPr>
            <w:r w:rsidRPr="005830D1">
              <w:rPr>
                <w:sz w:val="20"/>
              </w:rPr>
              <w:t> </w:t>
            </w:r>
          </w:p>
        </w:tc>
      </w:tr>
      <w:tr w:rsidR="00117B7F" w:rsidRPr="005830D1" w14:paraId="7C7DEE7C" w14:textId="77777777" w:rsidTr="007F0E33">
        <w:trPr>
          <w:trHeight w:val="683"/>
          <w:jc w:val="center"/>
        </w:trPr>
        <w:tc>
          <w:tcPr>
            <w:tcW w:w="202" w:type="pct"/>
            <w:tcBorders>
              <w:top w:val="nil"/>
              <w:left w:val="double" w:sz="6" w:space="0" w:color="auto"/>
              <w:bottom w:val="single" w:sz="8" w:space="0" w:color="auto"/>
              <w:right w:val="single" w:sz="8" w:space="0" w:color="auto"/>
            </w:tcBorders>
            <w:shd w:val="clear" w:color="auto" w:fill="auto"/>
            <w:noWrap/>
            <w:vAlign w:val="center"/>
            <w:hideMark/>
          </w:tcPr>
          <w:p w14:paraId="5399D91B" w14:textId="77777777" w:rsidR="00117B7F" w:rsidRPr="005830D1" w:rsidRDefault="00117B7F" w:rsidP="007F0E33">
            <w:pPr>
              <w:spacing w:after="0"/>
              <w:ind w:left="0" w:firstLine="0"/>
              <w:jc w:val="center"/>
              <w:rPr>
                <w:sz w:val="20"/>
              </w:rPr>
            </w:pPr>
            <w:r w:rsidRPr="005830D1">
              <w:rPr>
                <w:sz w:val="20"/>
              </w:rPr>
              <w:t>2.4</w:t>
            </w:r>
          </w:p>
        </w:tc>
        <w:tc>
          <w:tcPr>
            <w:tcW w:w="3053" w:type="pct"/>
            <w:tcBorders>
              <w:top w:val="nil"/>
              <w:left w:val="nil"/>
              <w:bottom w:val="single" w:sz="8" w:space="0" w:color="auto"/>
              <w:right w:val="single" w:sz="8" w:space="0" w:color="auto"/>
            </w:tcBorders>
            <w:shd w:val="clear" w:color="auto" w:fill="auto"/>
            <w:vAlign w:val="center"/>
            <w:hideMark/>
          </w:tcPr>
          <w:p w14:paraId="502AC4FD" w14:textId="77777777" w:rsidR="00117B7F" w:rsidRPr="005830D1" w:rsidRDefault="00117B7F" w:rsidP="007F0E33">
            <w:pPr>
              <w:spacing w:after="0"/>
              <w:ind w:left="0" w:firstLine="0"/>
              <w:jc w:val="left"/>
              <w:rPr>
                <w:b/>
                <w:bCs/>
                <w:sz w:val="20"/>
              </w:rPr>
            </w:pPr>
            <w:r w:rsidRPr="005830D1">
              <w:rPr>
                <w:b/>
                <w:bCs/>
                <w:sz w:val="20"/>
              </w:rPr>
              <w:t>Béton armé dosé à 350kg/m3 pour longrines y compris toutes suggestions</w:t>
            </w:r>
          </w:p>
          <w:p w14:paraId="13D3F222" w14:textId="77777777" w:rsidR="00117B7F" w:rsidRPr="005830D1" w:rsidRDefault="00117B7F" w:rsidP="007F0E33">
            <w:pPr>
              <w:spacing w:after="0"/>
              <w:ind w:left="0" w:firstLine="0"/>
              <w:jc w:val="left"/>
              <w:rPr>
                <w:sz w:val="18"/>
                <w:szCs w:val="18"/>
              </w:rPr>
            </w:pPr>
            <w:r w:rsidRPr="005830D1">
              <w:rPr>
                <w:sz w:val="18"/>
                <w:szCs w:val="18"/>
              </w:rPr>
              <w:t>Ce prix rémunère au m3 la fourniture et la mise en œuvre d'un béton de structure dosé à 350 kg/m3, le ferraillage, le coffrage, la mise en place du béton, le réglage de la surface, le décoffrage. Ainsi que toutes sujétions utiles à la bonne exécution.</w:t>
            </w:r>
          </w:p>
          <w:p w14:paraId="44FCBC1F" w14:textId="77777777" w:rsidR="00117B7F" w:rsidRPr="005830D1" w:rsidRDefault="00117B7F" w:rsidP="007F0E33">
            <w:pPr>
              <w:spacing w:after="0"/>
              <w:ind w:left="0" w:firstLine="0"/>
              <w:jc w:val="left"/>
              <w:rPr>
                <w:sz w:val="18"/>
                <w:szCs w:val="18"/>
              </w:rPr>
            </w:pPr>
          </w:p>
          <w:p w14:paraId="2EC9CCD3" w14:textId="77777777" w:rsidR="00117B7F" w:rsidRPr="005830D1" w:rsidRDefault="00117B7F" w:rsidP="007F0E33">
            <w:pPr>
              <w:spacing w:after="0"/>
              <w:ind w:left="0" w:firstLine="0"/>
              <w:jc w:val="left"/>
              <w:rPr>
                <w:b/>
                <w:bCs/>
                <w:sz w:val="20"/>
              </w:rPr>
            </w:pPr>
            <w:r w:rsidRPr="005830D1">
              <w:rPr>
                <w:i/>
                <w:sz w:val="18"/>
                <w:szCs w:val="18"/>
              </w:rPr>
              <w:lastRenderedPageBreak/>
              <w:t>Ce prix s’applique au volume en mètre cube (m3) de béton armé mis en œuvre pour les longrines  avec comme valeur maximale celle obtenue à partir des plans d’exécution des ouvrages.</w:t>
            </w:r>
          </w:p>
        </w:tc>
        <w:tc>
          <w:tcPr>
            <w:tcW w:w="315" w:type="pct"/>
            <w:tcBorders>
              <w:top w:val="nil"/>
              <w:left w:val="nil"/>
              <w:bottom w:val="single" w:sz="8" w:space="0" w:color="auto"/>
              <w:right w:val="single" w:sz="8" w:space="0" w:color="auto"/>
            </w:tcBorders>
            <w:shd w:val="clear" w:color="auto" w:fill="auto"/>
            <w:noWrap/>
            <w:vAlign w:val="center"/>
            <w:hideMark/>
          </w:tcPr>
          <w:p w14:paraId="0EC39325" w14:textId="77777777" w:rsidR="00117B7F" w:rsidRPr="005830D1" w:rsidRDefault="00117B7F" w:rsidP="007F0E33">
            <w:pPr>
              <w:spacing w:after="0"/>
              <w:ind w:left="0" w:firstLine="0"/>
              <w:jc w:val="center"/>
              <w:rPr>
                <w:sz w:val="20"/>
              </w:rPr>
            </w:pPr>
            <w:r w:rsidRPr="005830D1">
              <w:rPr>
                <w:sz w:val="20"/>
              </w:rPr>
              <w:lastRenderedPageBreak/>
              <w:t>m3</w:t>
            </w:r>
          </w:p>
        </w:tc>
        <w:tc>
          <w:tcPr>
            <w:tcW w:w="520" w:type="pct"/>
            <w:tcBorders>
              <w:top w:val="nil"/>
              <w:left w:val="nil"/>
              <w:bottom w:val="single" w:sz="8" w:space="0" w:color="auto"/>
              <w:right w:val="nil"/>
            </w:tcBorders>
            <w:shd w:val="clear" w:color="auto" w:fill="auto"/>
            <w:noWrap/>
            <w:vAlign w:val="center"/>
          </w:tcPr>
          <w:p w14:paraId="7FF0B9C5" w14:textId="77777777" w:rsidR="00117B7F" w:rsidRPr="005830D1" w:rsidRDefault="00117B7F" w:rsidP="007F0E33">
            <w:pPr>
              <w:spacing w:after="0"/>
              <w:ind w:left="0" w:firstLine="0"/>
              <w:jc w:val="right"/>
              <w:rPr>
                <w:sz w:val="20"/>
              </w:rPr>
            </w:pPr>
          </w:p>
        </w:tc>
        <w:tc>
          <w:tcPr>
            <w:tcW w:w="910" w:type="pct"/>
            <w:tcBorders>
              <w:top w:val="nil"/>
              <w:left w:val="single" w:sz="4" w:space="0" w:color="auto"/>
              <w:bottom w:val="single" w:sz="4" w:space="0" w:color="auto"/>
              <w:right w:val="single" w:sz="4" w:space="0" w:color="auto"/>
            </w:tcBorders>
            <w:shd w:val="clear" w:color="auto" w:fill="auto"/>
            <w:noWrap/>
            <w:vAlign w:val="bottom"/>
            <w:hideMark/>
          </w:tcPr>
          <w:p w14:paraId="5113B7C5" w14:textId="77777777" w:rsidR="00117B7F" w:rsidRPr="005830D1" w:rsidRDefault="00117B7F" w:rsidP="007F0E33">
            <w:pPr>
              <w:spacing w:after="0"/>
              <w:ind w:left="0" w:firstLine="0"/>
              <w:jc w:val="left"/>
              <w:rPr>
                <w:sz w:val="20"/>
              </w:rPr>
            </w:pPr>
            <w:r w:rsidRPr="005830D1">
              <w:rPr>
                <w:sz w:val="20"/>
              </w:rPr>
              <w:t> </w:t>
            </w:r>
          </w:p>
        </w:tc>
      </w:tr>
      <w:tr w:rsidR="00117B7F" w:rsidRPr="005830D1" w14:paraId="65DF5AC9" w14:textId="77777777" w:rsidTr="007F0E33">
        <w:trPr>
          <w:trHeight w:val="683"/>
          <w:jc w:val="center"/>
        </w:trPr>
        <w:tc>
          <w:tcPr>
            <w:tcW w:w="202" w:type="pct"/>
            <w:tcBorders>
              <w:top w:val="nil"/>
              <w:left w:val="double" w:sz="6" w:space="0" w:color="auto"/>
              <w:bottom w:val="single" w:sz="8" w:space="0" w:color="auto"/>
              <w:right w:val="single" w:sz="8" w:space="0" w:color="auto"/>
            </w:tcBorders>
            <w:shd w:val="clear" w:color="auto" w:fill="auto"/>
            <w:noWrap/>
            <w:vAlign w:val="center"/>
            <w:hideMark/>
          </w:tcPr>
          <w:p w14:paraId="0632F6CC" w14:textId="77777777" w:rsidR="00117B7F" w:rsidRPr="005830D1" w:rsidRDefault="00117B7F" w:rsidP="007F0E33">
            <w:pPr>
              <w:spacing w:after="0"/>
              <w:ind w:left="0" w:firstLine="0"/>
              <w:jc w:val="center"/>
              <w:rPr>
                <w:sz w:val="20"/>
              </w:rPr>
            </w:pPr>
            <w:r w:rsidRPr="005830D1">
              <w:rPr>
                <w:sz w:val="20"/>
              </w:rPr>
              <w:lastRenderedPageBreak/>
              <w:t>2.5</w:t>
            </w:r>
          </w:p>
        </w:tc>
        <w:tc>
          <w:tcPr>
            <w:tcW w:w="3053" w:type="pct"/>
            <w:tcBorders>
              <w:top w:val="nil"/>
              <w:left w:val="nil"/>
              <w:bottom w:val="single" w:sz="8" w:space="0" w:color="auto"/>
              <w:right w:val="single" w:sz="8" w:space="0" w:color="auto"/>
            </w:tcBorders>
            <w:shd w:val="clear" w:color="auto" w:fill="auto"/>
            <w:vAlign w:val="center"/>
            <w:hideMark/>
          </w:tcPr>
          <w:p w14:paraId="6C32AB60" w14:textId="77777777" w:rsidR="00117B7F" w:rsidRPr="005830D1" w:rsidRDefault="00117B7F" w:rsidP="007F0E33">
            <w:pPr>
              <w:spacing w:after="0"/>
              <w:ind w:left="0" w:firstLine="0"/>
              <w:jc w:val="left"/>
              <w:rPr>
                <w:sz w:val="18"/>
                <w:szCs w:val="18"/>
              </w:rPr>
            </w:pPr>
            <w:r w:rsidRPr="005830D1">
              <w:rPr>
                <w:b/>
                <w:bCs/>
                <w:sz w:val="20"/>
              </w:rPr>
              <w:t xml:space="preserve">Béton de forme légèrement armé dosé à 300kg/m3 </w:t>
            </w:r>
            <w:proofErr w:type="spellStart"/>
            <w:r w:rsidRPr="005830D1">
              <w:rPr>
                <w:b/>
                <w:bCs/>
                <w:sz w:val="20"/>
              </w:rPr>
              <w:t>ép</w:t>
            </w:r>
            <w:proofErr w:type="spellEnd"/>
            <w:r w:rsidRPr="005830D1">
              <w:rPr>
                <w:b/>
                <w:bCs/>
                <w:sz w:val="20"/>
              </w:rPr>
              <w:t xml:space="preserve">=12cm coulé sur film polyane et lit de sable de 5 cm épaisseur y compris chape incorporée bouchardée                                                                                                                                                 </w:t>
            </w:r>
            <w:r w:rsidRPr="005830D1">
              <w:rPr>
                <w:sz w:val="18"/>
                <w:szCs w:val="18"/>
              </w:rPr>
              <w:t>Ce prix rémunère au m3 la fourniture et la mise en œuvre d'un béton de forme légèrement armé dosé à 300 kg/m3  y compris la pose du film polyane et un lit de sable de 0,05m,  il comprend: la préparation et la mise en place du ferraillage, le béton + la chape arrosée de la barbotine pour bien lisser, le réglage de la surface suivant l'utilisation future avec une boucharde antidérapant, ainsi que toutes sujétions utiles à la bonne exécution.</w:t>
            </w:r>
          </w:p>
          <w:p w14:paraId="6EE575B6" w14:textId="77777777" w:rsidR="00117B7F" w:rsidRPr="005830D1" w:rsidRDefault="00117B7F" w:rsidP="007F0E33">
            <w:pPr>
              <w:spacing w:after="0"/>
              <w:ind w:left="0" w:firstLine="0"/>
              <w:jc w:val="left"/>
              <w:rPr>
                <w:sz w:val="18"/>
                <w:szCs w:val="18"/>
              </w:rPr>
            </w:pPr>
          </w:p>
          <w:p w14:paraId="73E1C06C" w14:textId="77777777" w:rsidR="00117B7F" w:rsidRPr="005830D1" w:rsidRDefault="00117B7F" w:rsidP="007F0E33">
            <w:pPr>
              <w:spacing w:after="0"/>
              <w:ind w:left="0" w:firstLine="0"/>
              <w:jc w:val="left"/>
              <w:rPr>
                <w:b/>
                <w:bCs/>
                <w:sz w:val="20"/>
              </w:rPr>
            </w:pPr>
            <w:r w:rsidRPr="005830D1">
              <w:rPr>
                <w:i/>
                <w:sz w:val="18"/>
                <w:szCs w:val="18"/>
              </w:rPr>
              <w:t>Ce prix s’applique au volume en mètre cube (m3) de béton de forme légèrement  armé avec comme valeur maximale celle obtenue à partir des plans d’exécution des ouvrages</w:t>
            </w:r>
          </w:p>
        </w:tc>
        <w:tc>
          <w:tcPr>
            <w:tcW w:w="315" w:type="pct"/>
            <w:tcBorders>
              <w:top w:val="nil"/>
              <w:left w:val="nil"/>
              <w:bottom w:val="single" w:sz="8" w:space="0" w:color="auto"/>
              <w:right w:val="single" w:sz="8" w:space="0" w:color="auto"/>
            </w:tcBorders>
            <w:shd w:val="clear" w:color="auto" w:fill="auto"/>
            <w:noWrap/>
            <w:vAlign w:val="center"/>
            <w:hideMark/>
          </w:tcPr>
          <w:p w14:paraId="369FF26F" w14:textId="77777777" w:rsidR="00117B7F" w:rsidRPr="005830D1" w:rsidRDefault="00117B7F" w:rsidP="007F0E33">
            <w:pPr>
              <w:spacing w:after="0"/>
              <w:ind w:left="0" w:firstLine="0"/>
              <w:jc w:val="center"/>
              <w:rPr>
                <w:sz w:val="20"/>
              </w:rPr>
            </w:pPr>
            <w:r w:rsidRPr="005830D1">
              <w:rPr>
                <w:sz w:val="20"/>
              </w:rPr>
              <w:t>m3</w:t>
            </w:r>
          </w:p>
        </w:tc>
        <w:tc>
          <w:tcPr>
            <w:tcW w:w="520" w:type="pct"/>
            <w:tcBorders>
              <w:top w:val="nil"/>
              <w:left w:val="nil"/>
              <w:bottom w:val="single" w:sz="8" w:space="0" w:color="auto"/>
              <w:right w:val="nil"/>
            </w:tcBorders>
            <w:shd w:val="clear" w:color="auto" w:fill="auto"/>
            <w:noWrap/>
            <w:vAlign w:val="center"/>
          </w:tcPr>
          <w:p w14:paraId="31246843" w14:textId="77777777" w:rsidR="00117B7F" w:rsidRPr="005830D1" w:rsidRDefault="00117B7F" w:rsidP="007F0E33">
            <w:pPr>
              <w:spacing w:after="0"/>
              <w:ind w:left="0" w:firstLine="0"/>
              <w:jc w:val="right"/>
              <w:rPr>
                <w:sz w:val="20"/>
              </w:rPr>
            </w:pPr>
          </w:p>
        </w:tc>
        <w:tc>
          <w:tcPr>
            <w:tcW w:w="910" w:type="pct"/>
            <w:tcBorders>
              <w:top w:val="nil"/>
              <w:left w:val="single" w:sz="4" w:space="0" w:color="auto"/>
              <w:bottom w:val="single" w:sz="4" w:space="0" w:color="auto"/>
              <w:right w:val="single" w:sz="4" w:space="0" w:color="auto"/>
            </w:tcBorders>
            <w:shd w:val="clear" w:color="auto" w:fill="auto"/>
            <w:noWrap/>
            <w:vAlign w:val="bottom"/>
            <w:hideMark/>
          </w:tcPr>
          <w:p w14:paraId="5CC0A74F" w14:textId="77777777" w:rsidR="00117B7F" w:rsidRPr="005830D1" w:rsidRDefault="00117B7F" w:rsidP="007F0E33">
            <w:pPr>
              <w:spacing w:after="0"/>
              <w:ind w:left="0" w:firstLine="0"/>
              <w:jc w:val="left"/>
              <w:rPr>
                <w:sz w:val="20"/>
              </w:rPr>
            </w:pPr>
            <w:r w:rsidRPr="005830D1">
              <w:rPr>
                <w:sz w:val="20"/>
              </w:rPr>
              <w:t> </w:t>
            </w:r>
          </w:p>
        </w:tc>
      </w:tr>
      <w:tr w:rsidR="00117B7F" w:rsidRPr="005830D1" w14:paraId="0A18CC3D" w14:textId="77777777" w:rsidTr="007F0E33">
        <w:trPr>
          <w:trHeight w:val="1525"/>
          <w:jc w:val="center"/>
        </w:trPr>
        <w:tc>
          <w:tcPr>
            <w:tcW w:w="202" w:type="pct"/>
            <w:tcBorders>
              <w:top w:val="nil"/>
              <w:left w:val="double" w:sz="6" w:space="0" w:color="auto"/>
              <w:bottom w:val="single" w:sz="8" w:space="0" w:color="auto"/>
              <w:right w:val="single" w:sz="8" w:space="0" w:color="auto"/>
            </w:tcBorders>
            <w:shd w:val="clear" w:color="auto" w:fill="auto"/>
            <w:noWrap/>
            <w:vAlign w:val="center"/>
            <w:hideMark/>
          </w:tcPr>
          <w:p w14:paraId="44AAD019" w14:textId="77777777" w:rsidR="00117B7F" w:rsidRPr="005830D1" w:rsidRDefault="00117B7F" w:rsidP="007F0E33">
            <w:pPr>
              <w:spacing w:after="0"/>
              <w:ind w:left="0" w:firstLine="0"/>
              <w:jc w:val="center"/>
              <w:rPr>
                <w:sz w:val="20"/>
              </w:rPr>
            </w:pPr>
            <w:r w:rsidRPr="005830D1">
              <w:rPr>
                <w:sz w:val="20"/>
              </w:rPr>
              <w:t>2.6</w:t>
            </w:r>
          </w:p>
        </w:tc>
        <w:tc>
          <w:tcPr>
            <w:tcW w:w="3053" w:type="pct"/>
            <w:tcBorders>
              <w:top w:val="nil"/>
              <w:left w:val="nil"/>
              <w:bottom w:val="single" w:sz="8" w:space="0" w:color="auto"/>
              <w:right w:val="single" w:sz="8" w:space="0" w:color="auto"/>
            </w:tcBorders>
            <w:shd w:val="clear" w:color="auto" w:fill="auto"/>
            <w:vAlign w:val="center"/>
            <w:hideMark/>
          </w:tcPr>
          <w:p w14:paraId="67FE2B51" w14:textId="77777777" w:rsidR="00117B7F" w:rsidRPr="005830D1" w:rsidRDefault="00117B7F" w:rsidP="007F0E33">
            <w:pPr>
              <w:spacing w:after="0"/>
              <w:ind w:left="0" w:firstLine="0"/>
              <w:jc w:val="left"/>
              <w:rPr>
                <w:sz w:val="18"/>
                <w:szCs w:val="18"/>
              </w:rPr>
            </w:pPr>
            <w:r w:rsidRPr="005830D1">
              <w:rPr>
                <w:b/>
                <w:bCs/>
                <w:sz w:val="20"/>
              </w:rPr>
              <w:t xml:space="preserve">Béton de forme légèrement armé pour perron d'accès                                                                               </w:t>
            </w:r>
            <w:r w:rsidRPr="005830D1">
              <w:rPr>
                <w:sz w:val="18"/>
                <w:szCs w:val="18"/>
              </w:rPr>
              <w:t>Ce prix rémunère au m3 la fourniture et la mise en œuvre d'un béton banché pour perrons dosé à 250 kg/m3, la mise en place du béton, le réglage de la surface, le coffrage et décoffrage. Ainsi que toutes sujétions utiles à la bonne exécution.</w:t>
            </w:r>
          </w:p>
          <w:p w14:paraId="1CD0B345" w14:textId="77777777" w:rsidR="00117B7F" w:rsidRPr="005830D1" w:rsidRDefault="00117B7F" w:rsidP="007F0E33">
            <w:pPr>
              <w:spacing w:after="0"/>
              <w:ind w:left="0" w:firstLine="0"/>
              <w:jc w:val="left"/>
              <w:rPr>
                <w:sz w:val="18"/>
                <w:szCs w:val="18"/>
              </w:rPr>
            </w:pPr>
          </w:p>
          <w:p w14:paraId="0D7A26AD" w14:textId="77777777" w:rsidR="00117B7F" w:rsidRPr="005830D1" w:rsidRDefault="00117B7F" w:rsidP="007F0E33">
            <w:pPr>
              <w:spacing w:after="0"/>
              <w:ind w:left="0" w:firstLine="0"/>
              <w:jc w:val="left"/>
              <w:rPr>
                <w:b/>
                <w:bCs/>
                <w:sz w:val="20"/>
              </w:rPr>
            </w:pPr>
            <w:r w:rsidRPr="005830D1">
              <w:rPr>
                <w:i/>
                <w:sz w:val="18"/>
                <w:szCs w:val="18"/>
              </w:rPr>
              <w:t>Ce prix s’applique au volume en mètre cube (m3) de béton de forme légèrement  armé avec comme valeur maximale celle obtenue à partir des plans d’exécution des ouvrages</w:t>
            </w:r>
          </w:p>
        </w:tc>
        <w:tc>
          <w:tcPr>
            <w:tcW w:w="315" w:type="pct"/>
            <w:tcBorders>
              <w:top w:val="nil"/>
              <w:left w:val="nil"/>
              <w:bottom w:val="single" w:sz="8" w:space="0" w:color="auto"/>
              <w:right w:val="single" w:sz="8" w:space="0" w:color="auto"/>
            </w:tcBorders>
            <w:shd w:val="clear" w:color="auto" w:fill="auto"/>
            <w:noWrap/>
            <w:vAlign w:val="center"/>
            <w:hideMark/>
          </w:tcPr>
          <w:p w14:paraId="222A6EB3" w14:textId="77777777" w:rsidR="00117B7F" w:rsidRPr="005830D1" w:rsidRDefault="00117B7F" w:rsidP="007F0E33">
            <w:pPr>
              <w:spacing w:after="0"/>
              <w:ind w:left="0" w:firstLine="0"/>
              <w:jc w:val="center"/>
              <w:rPr>
                <w:sz w:val="20"/>
              </w:rPr>
            </w:pPr>
            <w:r w:rsidRPr="005830D1">
              <w:rPr>
                <w:sz w:val="20"/>
              </w:rPr>
              <w:t>m3</w:t>
            </w:r>
          </w:p>
        </w:tc>
        <w:tc>
          <w:tcPr>
            <w:tcW w:w="520" w:type="pct"/>
            <w:tcBorders>
              <w:top w:val="nil"/>
              <w:left w:val="nil"/>
              <w:bottom w:val="single" w:sz="8" w:space="0" w:color="auto"/>
              <w:right w:val="nil"/>
            </w:tcBorders>
            <w:shd w:val="clear" w:color="auto" w:fill="auto"/>
            <w:noWrap/>
            <w:vAlign w:val="center"/>
          </w:tcPr>
          <w:p w14:paraId="50E5972D" w14:textId="77777777" w:rsidR="00117B7F" w:rsidRPr="005830D1" w:rsidRDefault="00117B7F" w:rsidP="007F0E33">
            <w:pPr>
              <w:spacing w:after="0"/>
              <w:ind w:left="0" w:firstLine="0"/>
              <w:jc w:val="right"/>
              <w:rPr>
                <w:sz w:val="20"/>
              </w:rPr>
            </w:pPr>
          </w:p>
        </w:tc>
        <w:tc>
          <w:tcPr>
            <w:tcW w:w="910" w:type="pct"/>
            <w:tcBorders>
              <w:top w:val="nil"/>
              <w:left w:val="single" w:sz="4" w:space="0" w:color="auto"/>
              <w:bottom w:val="single" w:sz="4" w:space="0" w:color="auto"/>
              <w:right w:val="single" w:sz="4" w:space="0" w:color="auto"/>
            </w:tcBorders>
            <w:shd w:val="clear" w:color="auto" w:fill="auto"/>
            <w:noWrap/>
            <w:vAlign w:val="bottom"/>
            <w:hideMark/>
          </w:tcPr>
          <w:p w14:paraId="12E58480" w14:textId="77777777" w:rsidR="00117B7F" w:rsidRPr="005830D1" w:rsidRDefault="00117B7F" w:rsidP="007F0E33">
            <w:pPr>
              <w:spacing w:after="0"/>
              <w:ind w:left="0" w:firstLine="0"/>
              <w:jc w:val="left"/>
              <w:rPr>
                <w:sz w:val="20"/>
              </w:rPr>
            </w:pPr>
            <w:r w:rsidRPr="005830D1">
              <w:rPr>
                <w:sz w:val="20"/>
              </w:rPr>
              <w:t> </w:t>
            </w:r>
          </w:p>
        </w:tc>
      </w:tr>
      <w:tr w:rsidR="00117B7F" w:rsidRPr="005830D1" w14:paraId="3BBFC9C9" w14:textId="77777777" w:rsidTr="007F0E33">
        <w:trPr>
          <w:trHeight w:val="49"/>
          <w:jc w:val="center"/>
        </w:trPr>
        <w:tc>
          <w:tcPr>
            <w:tcW w:w="202" w:type="pct"/>
            <w:tcBorders>
              <w:top w:val="nil"/>
              <w:left w:val="double" w:sz="6" w:space="0" w:color="auto"/>
              <w:bottom w:val="single" w:sz="8" w:space="0" w:color="auto"/>
              <w:right w:val="single" w:sz="8" w:space="0" w:color="auto"/>
            </w:tcBorders>
            <w:shd w:val="clear" w:color="auto" w:fill="auto"/>
            <w:noWrap/>
            <w:vAlign w:val="center"/>
            <w:hideMark/>
          </w:tcPr>
          <w:p w14:paraId="745FFA4D" w14:textId="77777777" w:rsidR="00117B7F" w:rsidRPr="005830D1" w:rsidRDefault="00117B7F" w:rsidP="007F0E33">
            <w:pPr>
              <w:spacing w:after="0"/>
              <w:ind w:left="0" w:firstLine="0"/>
              <w:jc w:val="center"/>
              <w:rPr>
                <w:sz w:val="20"/>
              </w:rPr>
            </w:pPr>
            <w:r w:rsidRPr="005830D1">
              <w:rPr>
                <w:sz w:val="20"/>
              </w:rPr>
              <w:t> </w:t>
            </w:r>
          </w:p>
        </w:tc>
        <w:tc>
          <w:tcPr>
            <w:tcW w:w="3053" w:type="pct"/>
            <w:tcBorders>
              <w:top w:val="nil"/>
              <w:left w:val="nil"/>
              <w:bottom w:val="single" w:sz="8" w:space="0" w:color="auto"/>
              <w:right w:val="single" w:sz="8" w:space="0" w:color="auto"/>
            </w:tcBorders>
            <w:shd w:val="clear" w:color="auto" w:fill="auto"/>
            <w:vAlign w:val="center"/>
            <w:hideMark/>
          </w:tcPr>
          <w:p w14:paraId="21125A61" w14:textId="77777777" w:rsidR="00117B7F" w:rsidRPr="005830D1" w:rsidRDefault="00117B7F" w:rsidP="007F0E33">
            <w:pPr>
              <w:spacing w:after="0"/>
              <w:ind w:left="0" w:firstLine="0"/>
              <w:jc w:val="left"/>
              <w:rPr>
                <w:b/>
                <w:bCs/>
                <w:sz w:val="20"/>
              </w:rPr>
            </w:pPr>
            <w:r w:rsidRPr="005830D1">
              <w:rPr>
                <w:b/>
                <w:bCs/>
                <w:sz w:val="20"/>
              </w:rPr>
              <w:t>TOTAL FONDATION</w:t>
            </w:r>
          </w:p>
        </w:tc>
        <w:tc>
          <w:tcPr>
            <w:tcW w:w="315" w:type="pct"/>
            <w:tcBorders>
              <w:top w:val="nil"/>
              <w:left w:val="nil"/>
              <w:bottom w:val="single" w:sz="8" w:space="0" w:color="auto"/>
              <w:right w:val="single" w:sz="8" w:space="0" w:color="auto"/>
            </w:tcBorders>
            <w:shd w:val="clear" w:color="auto" w:fill="auto"/>
            <w:noWrap/>
            <w:vAlign w:val="center"/>
            <w:hideMark/>
          </w:tcPr>
          <w:p w14:paraId="5821FF32" w14:textId="77777777" w:rsidR="00117B7F" w:rsidRPr="005830D1" w:rsidRDefault="00117B7F" w:rsidP="007F0E33">
            <w:pPr>
              <w:spacing w:after="0"/>
              <w:ind w:left="0" w:firstLine="0"/>
              <w:jc w:val="center"/>
              <w:rPr>
                <w:sz w:val="20"/>
              </w:rPr>
            </w:pPr>
            <w:r w:rsidRPr="005830D1">
              <w:rPr>
                <w:sz w:val="20"/>
              </w:rPr>
              <w:t> </w:t>
            </w:r>
          </w:p>
        </w:tc>
        <w:tc>
          <w:tcPr>
            <w:tcW w:w="520" w:type="pct"/>
            <w:tcBorders>
              <w:top w:val="nil"/>
              <w:left w:val="nil"/>
              <w:bottom w:val="single" w:sz="8" w:space="0" w:color="auto"/>
              <w:right w:val="nil"/>
            </w:tcBorders>
            <w:shd w:val="clear" w:color="auto" w:fill="auto"/>
            <w:noWrap/>
            <w:vAlign w:val="center"/>
          </w:tcPr>
          <w:p w14:paraId="2B4817B4" w14:textId="77777777" w:rsidR="00117B7F" w:rsidRPr="005830D1" w:rsidRDefault="00117B7F" w:rsidP="007F0E33">
            <w:pPr>
              <w:spacing w:after="0"/>
              <w:ind w:left="0" w:firstLine="0"/>
              <w:jc w:val="right"/>
              <w:rPr>
                <w:sz w:val="20"/>
              </w:rPr>
            </w:pPr>
          </w:p>
        </w:tc>
        <w:tc>
          <w:tcPr>
            <w:tcW w:w="910" w:type="pct"/>
            <w:tcBorders>
              <w:top w:val="nil"/>
              <w:left w:val="single" w:sz="4" w:space="0" w:color="auto"/>
              <w:bottom w:val="single" w:sz="4" w:space="0" w:color="auto"/>
              <w:right w:val="single" w:sz="4" w:space="0" w:color="auto"/>
            </w:tcBorders>
            <w:shd w:val="clear" w:color="auto" w:fill="auto"/>
            <w:noWrap/>
            <w:vAlign w:val="bottom"/>
            <w:hideMark/>
          </w:tcPr>
          <w:p w14:paraId="07C21582" w14:textId="77777777" w:rsidR="00117B7F" w:rsidRPr="005830D1" w:rsidRDefault="00117B7F" w:rsidP="007F0E33">
            <w:pPr>
              <w:spacing w:after="0"/>
              <w:ind w:left="0" w:firstLine="0"/>
              <w:jc w:val="left"/>
              <w:rPr>
                <w:sz w:val="20"/>
              </w:rPr>
            </w:pPr>
            <w:r w:rsidRPr="005830D1">
              <w:rPr>
                <w:sz w:val="20"/>
              </w:rPr>
              <w:t> </w:t>
            </w:r>
          </w:p>
        </w:tc>
      </w:tr>
      <w:tr w:rsidR="00117B7F" w:rsidRPr="005830D1" w14:paraId="376D449F" w14:textId="77777777" w:rsidTr="007F0E33">
        <w:trPr>
          <w:trHeight w:val="263"/>
          <w:jc w:val="center"/>
        </w:trPr>
        <w:tc>
          <w:tcPr>
            <w:tcW w:w="202" w:type="pct"/>
            <w:tcBorders>
              <w:top w:val="nil"/>
              <w:left w:val="double" w:sz="6" w:space="0" w:color="auto"/>
              <w:bottom w:val="single" w:sz="8" w:space="0" w:color="auto"/>
              <w:right w:val="single" w:sz="8" w:space="0" w:color="auto"/>
            </w:tcBorders>
            <w:shd w:val="clear" w:color="auto" w:fill="auto"/>
            <w:noWrap/>
            <w:vAlign w:val="center"/>
            <w:hideMark/>
          </w:tcPr>
          <w:p w14:paraId="47ACE847" w14:textId="77777777" w:rsidR="00117B7F" w:rsidRPr="005830D1" w:rsidRDefault="00117B7F" w:rsidP="007F0E33">
            <w:pPr>
              <w:spacing w:after="0"/>
              <w:ind w:left="0" w:firstLine="0"/>
              <w:jc w:val="center"/>
              <w:rPr>
                <w:sz w:val="20"/>
              </w:rPr>
            </w:pPr>
            <w:r w:rsidRPr="005830D1">
              <w:rPr>
                <w:sz w:val="20"/>
              </w:rPr>
              <w:t> </w:t>
            </w:r>
          </w:p>
        </w:tc>
        <w:tc>
          <w:tcPr>
            <w:tcW w:w="3053" w:type="pct"/>
            <w:tcBorders>
              <w:top w:val="nil"/>
              <w:left w:val="nil"/>
              <w:bottom w:val="single" w:sz="8" w:space="0" w:color="auto"/>
              <w:right w:val="single" w:sz="8" w:space="0" w:color="auto"/>
            </w:tcBorders>
            <w:shd w:val="clear" w:color="auto" w:fill="auto"/>
            <w:vAlign w:val="center"/>
            <w:hideMark/>
          </w:tcPr>
          <w:p w14:paraId="4F57D7D7" w14:textId="77777777" w:rsidR="00117B7F" w:rsidRPr="005830D1" w:rsidRDefault="00117B7F" w:rsidP="007F0E33">
            <w:pPr>
              <w:spacing w:after="0"/>
              <w:ind w:left="0" w:firstLine="0"/>
              <w:jc w:val="left"/>
              <w:rPr>
                <w:b/>
                <w:bCs/>
                <w:sz w:val="20"/>
              </w:rPr>
            </w:pPr>
            <w:r w:rsidRPr="005830D1">
              <w:rPr>
                <w:b/>
                <w:bCs/>
                <w:sz w:val="20"/>
              </w:rPr>
              <w:t>III MACONNERIE - BETON EN ELEVATION</w:t>
            </w:r>
          </w:p>
        </w:tc>
        <w:tc>
          <w:tcPr>
            <w:tcW w:w="315" w:type="pct"/>
            <w:tcBorders>
              <w:top w:val="nil"/>
              <w:left w:val="nil"/>
              <w:bottom w:val="single" w:sz="8" w:space="0" w:color="auto"/>
              <w:right w:val="single" w:sz="8" w:space="0" w:color="auto"/>
            </w:tcBorders>
            <w:shd w:val="clear" w:color="auto" w:fill="auto"/>
            <w:noWrap/>
            <w:vAlign w:val="center"/>
            <w:hideMark/>
          </w:tcPr>
          <w:p w14:paraId="78002A18" w14:textId="77777777" w:rsidR="00117B7F" w:rsidRPr="005830D1" w:rsidRDefault="00117B7F" w:rsidP="007F0E33">
            <w:pPr>
              <w:spacing w:after="0"/>
              <w:ind w:left="0" w:firstLine="0"/>
              <w:jc w:val="center"/>
              <w:rPr>
                <w:sz w:val="20"/>
              </w:rPr>
            </w:pPr>
            <w:r w:rsidRPr="005830D1">
              <w:rPr>
                <w:sz w:val="20"/>
              </w:rPr>
              <w:t> </w:t>
            </w:r>
          </w:p>
        </w:tc>
        <w:tc>
          <w:tcPr>
            <w:tcW w:w="520" w:type="pct"/>
            <w:tcBorders>
              <w:top w:val="nil"/>
              <w:left w:val="nil"/>
              <w:bottom w:val="single" w:sz="8" w:space="0" w:color="auto"/>
              <w:right w:val="nil"/>
            </w:tcBorders>
            <w:shd w:val="clear" w:color="auto" w:fill="auto"/>
            <w:noWrap/>
            <w:vAlign w:val="center"/>
          </w:tcPr>
          <w:p w14:paraId="395BD680" w14:textId="77777777" w:rsidR="00117B7F" w:rsidRPr="005830D1" w:rsidRDefault="00117B7F" w:rsidP="007F0E33">
            <w:pPr>
              <w:spacing w:after="0"/>
              <w:ind w:left="0" w:firstLine="0"/>
              <w:jc w:val="right"/>
              <w:rPr>
                <w:sz w:val="20"/>
              </w:rPr>
            </w:pPr>
          </w:p>
        </w:tc>
        <w:tc>
          <w:tcPr>
            <w:tcW w:w="910" w:type="pct"/>
            <w:tcBorders>
              <w:top w:val="nil"/>
              <w:left w:val="single" w:sz="4" w:space="0" w:color="auto"/>
              <w:bottom w:val="single" w:sz="4" w:space="0" w:color="auto"/>
              <w:right w:val="single" w:sz="4" w:space="0" w:color="auto"/>
            </w:tcBorders>
            <w:shd w:val="clear" w:color="auto" w:fill="auto"/>
            <w:noWrap/>
            <w:vAlign w:val="bottom"/>
            <w:hideMark/>
          </w:tcPr>
          <w:p w14:paraId="1340C90A" w14:textId="77777777" w:rsidR="00117B7F" w:rsidRPr="005830D1" w:rsidRDefault="00117B7F" w:rsidP="007F0E33">
            <w:pPr>
              <w:spacing w:after="0"/>
              <w:ind w:left="0" w:firstLine="0"/>
              <w:jc w:val="left"/>
              <w:rPr>
                <w:sz w:val="20"/>
              </w:rPr>
            </w:pPr>
            <w:r w:rsidRPr="005830D1">
              <w:rPr>
                <w:sz w:val="20"/>
              </w:rPr>
              <w:t> </w:t>
            </w:r>
          </w:p>
        </w:tc>
      </w:tr>
      <w:tr w:rsidR="00117B7F" w:rsidRPr="005830D1" w14:paraId="420136AD" w14:textId="77777777" w:rsidTr="007F0E33">
        <w:trPr>
          <w:trHeight w:val="1935"/>
          <w:jc w:val="center"/>
        </w:trPr>
        <w:tc>
          <w:tcPr>
            <w:tcW w:w="202" w:type="pct"/>
            <w:tcBorders>
              <w:top w:val="single" w:sz="4" w:space="0" w:color="auto"/>
              <w:left w:val="double" w:sz="6" w:space="0" w:color="auto"/>
              <w:bottom w:val="single" w:sz="8" w:space="0" w:color="auto"/>
              <w:right w:val="single" w:sz="8" w:space="0" w:color="auto"/>
            </w:tcBorders>
            <w:shd w:val="clear" w:color="auto" w:fill="auto"/>
            <w:noWrap/>
            <w:vAlign w:val="center"/>
            <w:hideMark/>
          </w:tcPr>
          <w:p w14:paraId="75EE663E" w14:textId="77777777" w:rsidR="00117B7F" w:rsidRPr="005830D1" w:rsidRDefault="00117B7F" w:rsidP="007F0E33">
            <w:pPr>
              <w:spacing w:after="0"/>
              <w:ind w:left="0" w:firstLine="0"/>
              <w:jc w:val="left"/>
              <w:rPr>
                <w:sz w:val="20"/>
              </w:rPr>
            </w:pPr>
            <w:r w:rsidRPr="005830D1">
              <w:rPr>
                <w:sz w:val="20"/>
              </w:rPr>
              <w:t>3.1</w:t>
            </w:r>
          </w:p>
        </w:tc>
        <w:tc>
          <w:tcPr>
            <w:tcW w:w="3053" w:type="pct"/>
            <w:tcBorders>
              <w:top w:val="single" w:sz="4" w:space="0" w:color="auto"/>
              <w:left w:val="nil"/>
              <w:bottom w:val="single" w:sz="8" w:space="0" w:color="auto"/>
              <w:right w:val="single" w:sz="8" w:space="0" w:color="auto"/>
            </w:tcBorders>
            <w:shd w:val="clear" w:color="auto" w:fill="auto"/>
            <w:vAlign w:val="center"/>
            <w:hideMark/>
          </w:tcPr>
          <w:p w14:paraId="55D55A99" w14:textId="77777777" w:rsidR="00117B7F" w:rsidRPr="005830D1" w:rsidRDefault="00117B7F" w:rsidP="007F0E33">
            <w:pPr>
              <w:spacing w:after="0"/>
              <w:ind w:left="0" w:firstLine="0"/>
              <w:jc w:val="left"/>
              <w:rPr>
                <w:sz w:val="18"/>
                <w:szCs w:val="18"/>
              </w:rPr>
            </w:pPr>
            <w:r w:rsidRPr="005830D1">
              <w:rPr>
                <w:b/>
                <w:bCs/>
                <w:sz w:val="20"/>
              </w:rPr>
              <w:t xml:space="preserve">Maçonnerie agglos creux de 20x20x40cm avec </w:t>
            </w:r>
            <w:proofErr w:type="spellStart"/>
            <w:r w:rsidRPr="005830D1">
              <w:rPr>
                <w:b/>
                <w:bCs/>
                <w:sz w:val="20"/>
              </w:rPr>
              <w:t>jointage</w:t>
            </w:r>
            <w:proofErr w:type="spellEnd"/>
            <w:r w:rsidRPr="005830D1">
              <w:rPr>
                <w:b/>
                <w:bCs/>
                <w:sz w:val="20"/>
              </w:rPr>
              <w:t xml:space="preserve"> au mortier de ciment dosé à 250kg/m3 y compris </w:t>
            </w:r>
            <w:proofErr w:type="gramStart"/>
            <w:r w:rsidRPr="005830D1">
              <w:rPr>
                <w:b/>
                <w:bCs/>
                <w:sz w:val="20"/>
              </w:rPr>
              <w:t>toutes suggestion</w:t>
            </w:r>
            <w:proofErr w:type="gramEnd"/>
            <w:r w:rsidRPr="005830D1">
              <w:rPr>
                <w:b/>
                <w:bCs/>
                <w:sz w:val="20"/>
              </w:rPr>
              <w:t xml:space="preserve">                                                                                                                                     </w:t>
            </w:r>
            <w:r w:rsidRPr="005830D1">
              <w:rPr>
                <w:sz w:val="18"/>
                <w:szCs w:val="18"/>
              </w:rPr>
              <w:t>Ce prix rémunère au m2 de mur réalisé en maçonnerie de parpaings creux de dimensions 20 x 20 x 40cm. Il comprend : la fourniture des parpaings pleins aux dimensions suscitées, à un dosage de 250 kg/m3 la fourniture des matériaux nécessaires pour l'élaboration d'un mortier pour joints dosé à 250 kg/m3 la mise en œuvre des agglos en respectant l'horizontalité et la verticalité, des joints compris entre 1.5 et 2 cm ainsi que toutes sujétions utiles à la bonne exécution.</w:t>
            </w:r>
          </w:p>
          <w:p w14:paraId="75018602" w14:textId="77777777" w:rsidR="00117B7F" w:rsidRPr="005830D1" w:rsidRDefault="00117B7F" w:rsidP="007F0E33">
            <w:pPr>
              <w:spacing w:after="0"/>
              <w:ind w:left="0" w:firstLine="0"/>
              <w:jc w:val="left"/>
              <w:rPr>
                <w:sz w:val="18"/>
                <w:szCs w:val="18"/>
              </w:rPr>
            </w:pPr>
          </w:p>
          <w:p w14:paraId="567EE02E" w14:textId="77777777" w:rsidR="00117B7F" w:rsidRPr="005830D1" w:rsidRDefault="00117B7F" w:rsidP="007F0E33">
            <w:pPr>
              <w:spacing w:after="0"/>
              <w:ind w:left="0" w:firstLine="0"/>
              <w:jc w:val="left"/>
              <w:rPr>
                <w:b/>
                <w:bCs/>
                <w:sz w:val="20"/>
              </w:rPr>
            </w:pPr>
            <w:r w:rsidRPr="005830D1">
              <w:rPr>
                <w:i/>
                <w:sz w:val="18"/>
                <w:szCs w:val="18"/>
              </w:rPr>
              <w:t>Ce prix s’applique à la surface, en mètre carré (m2), de mur réalisé en maçonnerie agglos, avec comme valeur maximale celle obtenue à partir des plans d’exécution des ouvrages.</w:t>
            </w:r>
          </w:p>
        </w:tc>
        <w:tc>
          <w:tcPr>
            <w:tcW w:w="315" w:type="pct"/>
            <w:tcBorders>
              <w:top w:val="nil"/>
              <w:left w:val="nil"/>
              <w:bottom w:val="single" w:sz="8" w:space="0" w:color="auto"/>
              <w:right w:val="single" w:sz="8" w:space="0" w:color="auto"/>
            </w:tcBorders>
            <w:shd w:val="clear" w:color="auto" w:fill="auto"/>
            <w:noWrap/>
            <w:vAlign w:val="center"/>
            <w:hideMark/>
          </w:tcPr>
          <w:p w14:paraId="5C6B1C73" w14:textId="77777777" w:rsidR="00117B7F" w:rsidRPr="005830D1" w:rsidRDefault="00117B7F" w:rsidP="007F0E33">
            <w:pPr>
              <w:spacing w:after="0"/>
              <w:ind w:left="0" w:firstLine="0"/>
              <w:jc w:val="center"/>
              <w:rPr>
                <w:sz w:val="20"/>
              </w:rPr>
            </w:pPr>
            <w:r w:rsidRPr="005830D1">
              <w:rPr>
                <w:sz w:val="20"/>
              </w:rPr>
              <w:t>m2</w:t>
            </w:r>
          </w:p>
        </w:tc>
        <w:tc>
          <w:tcPr>
            <w:tcW w:w="520" w:type="pct"/>
            <w:tcBorders>
              <w:top w:val="nil"/>
              <w:left w:val="nil"/>
              <w:bottom w:val="single" w:sz="8" w:space="0" w:color="auto"/>
              <w:right w:val="nil"/>
            </w:tcBorders>
            <w:shd w:val="clear" w:color="auto" w:fill="auto"/>
            <w:noWrap/>
            <w:vAlign w:val="center"/>
          </w:tcPr>
          <w:p w14:paraId="142F5C85" w14:textId="77777777" w:rsidR="00117B7F" w:rsidRPr="005830D1" w:rsidRDefault="00117B7F" w:rsidP="007F0E33">
            <w:pPr>
              <w:spacing w:after="0"/>
              <w:ind w:left="0" w:firstLine="0"/>
              <w:jc w:val="right"/>
              <w:rPr>
                <w:sz w:val="20"/>
              </w:rPr>
            </w:pPr>
          </w:p>
        </w:tc>
        <w:tc>
          <w:tcPr>
            <w:tcW w:w="910" w:type="pct"/>
            <w:tcBorders>
              <w:top w:val="nil"/>
              <w:left w:val="single" w:sz="4" w:space="0" w:color="auto"/>
              <w:bottom w:val="single" w:sz="4" w:space="0" w:color="auto"/>
              <w:right w:val="single" w:sz="4" w:space="0" w:color="auto"/>
            </w:tcBorders>
            <w:shd w:val="clear" w:color="auto" w:fill="auto"/>
            <w:noWrap/>
            <w:vAlign w:val="bottom"/>
            <w:hideMark/>
          </w:tcPr>
          <w:p w14:paraId="77FD0DA4" w14:textId="77777777" w:rsidR="00117B7F" w:rsidRPr="005830D1" w:rsidRDefault="00117B7F" w:rsidP="007F0E33">
            <w:pPr>
              <w:spacing w:after="0"/>
              <w:ind w:left="0" w:firstLine="0"/>
              <w:jc w:val="left"/>
              <w:rPr>
                <w:sz w:val="20"/>
              </w:rPr>
            </w:pPr>
            <w:r w:rsidRPr="005830D1">
              <w:rPr>
                <w:sz w:val="20"/>
              </w:rPr>
              <w:t> </w:t>
            </w:r>
          </w:p>
        </w:tc>
      </w:tr>
      <w:tr w:rsidR="00117B7F" w:rsidRPr="005830D1" w14:paraId="462F47F2" w14:textId="77777777" w:rsidTr="007F0E33">
        <w:trPr>
          <w:trHeight w:val="683"/>
          <w:jc w:val="center"/>
        </w:trPr>
        <w:tc>
          <w:tcPr>
            <w:tcW w:w="202" w:type="pct"/>
            <w:tcBorders>
              <w:top w:val="nil"/>
              <w:left w:val="double" w:sz="6" w:space="0" w:color="auto"/>
              <w:bottom w:val="single" w:sz="8" w:space="0" w:color="auto"/>
              <w:right w:val="single" w:sz="8" w:space="0" w:color="auto"/>
            </w:tcBorders>
            <w:shd w:val="clear" w:color="auto" w:fill="auto"/>
            <w:noWrap/>
            <w:vAlign w:val="center"/>
            <w:hideMark/>
          </w:tcPr>
          <w:p w14:paraId="439B6C7B" w14:textId="77777777" w:rsidR="00117B7F" w:rsidRPr="005830D1" w:rsidRDefault="00117B7F" w:rsidP="007F0E33">
            <w:pPr>
              <w:spacing w:after="0"/>
              <w:ind w:left="0" w:firstLine="0"/>
              <w:jc w:val="left"/>
              <w:rPr>
                <w:sz w:val="20"/>
              </w:rPr>
            </w:pPr>
            <w:r w:rsidRPr="005830D1">
              <w:rPr>
                <w:sz w:val="20"/>
              </w:rPr>
              <w:t>3.2</w:t>
            </w:r>
          </w:p>
        </w:tc>
        <w:tc>
          <w:tcPr>
            <w:tcW w:w="3053" w:type="pct"/>
            <w:tcBorders>
              <w:top w:val="nil"/>
              <w:left w:val="nil"/>
              <w:bottom w:val="single" w:sz="8" w:space="0" w:color="auto"/>
              <w:right w:val="single" w:sz="8" w:space="0" w:color="auto"/>
            </w:tcBorders>
            <w:shd w:val="clear" w:color="auto" w:fill="auto"/>
            <w:vAlign w:val="center"/>
            <w:hideMark/>
          </w:tcPr>
          <w:p w14:paraId="3C9D7829" w14:textId="77777777" w:rsidR="00117B7F" w:rsidRPr="005830D1" w:rsidRDefault="00117B7F" w:rsidP="007F0E33">
            <w:pPr>
              <w:spacing w:after="0"/>
              <w:ind w:left="0" w:firstLine="0"/>
              <w:jc w:val="left"/>
              <w:rPr>
                <w:sz w:val="18"/>
                <w:szCs w:val="18"/>
              </w:rPr>
            </w:pPr>
            <w:r w:rsidRPr="005830D1">
              <w:rPr>
                <w:b/>
                <w:bCs/>
                <w:sz w:val="20"/>
              </w:rPr>
              <w:t xml:space="preserve">Béton armé dosé à 350kg/m3 pour poteau en élévation suivant section des plans d'exécution approuvés y compris </w:t>
            </w:r>
            <w:proofErr w:type="gramStart"/>
            <w:r w:rsidRPr="005830D1">
              <w:rPr>
                <w:b/>
                <w:bCs/>
                <w:sz w:val="20"/>
              </w:rPr>
              <w:t>toutes suggestion</w:t>
            </w:r>
            <w:proofErr w:type="gramEnd"/>
            <w:r w:rsidRPr="005830D1">
              <w:rPr>
                <w:b/>
                <w:bCs/>
                <w:sz w:val="20"/>
              </w:rPr>
              <w:t xml:space="preserve">                                                                                                                         </w:t>
            </w:r>
            <w:r w:rsidRPr="005830D1">
              <w:rPr>
                <w:sz w:val="18"/>
                <w:szCs w:val="18"/>
              </w:rPr>
              <w:t>Ce prix rémunère au m3 la fourniture et la mise en œuvre d'un béton de structure dosé à 350 kg/m3, le ferraillage, le coffrage, la mise en place du béton, le réglage de la surface suivant l'utilisation future, le décoffrage. Ainsi que toutes sujétions utiles à la bonne exécution.</w:t>
            </w:r>
          </w:p>
          <w:p w14:paraId="00178FB2" w14:textId="77777777" w:rsidR="00117B7F" w:rsidRPr="005830D1" w:rsidRDefault="00117B7F" w:rsidP="007F0E33">
            <w:pPr>
              <w:spacing w:after="0"/>
              <w:ind w:left="0" w:firstLine="0"/>
              <w:jc w:val="left"/>
              <w:rPr>
                <w:sz w:val="18"/>
                <w:szCs w:val="18"/>
              </w:rPr>
            </w:pPr>
          </w:p>
          <w:p w14:paraId="22F04821" w14:textId="77777777" w:rsidR="00117B7F" w:rsidRPr="005830D1" w:rsidRDefault="00117B7F" w:rsidP="007F0E33">
            <w:pPr>
              <w:spacing w:after="0"/>
              <w:ind w:left="0" w:firstLine="0"/>
              <w:jc w:val="left"/>
              <w:rPr>
                <w:b/>
                <w:bCs/>
                <w:sz w:val="20"/>
              </w:rPr>
            </w:pPr>
            <w:r w:rsidRPr="005830D1">
              <w:rPr>
                <w:i/>
                <w:sz w:val="18"/>
                <w:szCs w:val="18"/>
              </w:rPr>
              <w:t>Ce prix s’applique au volume en mètre cube (m3) de béton armé mis en œuvre pour les poteaux avec comme valeur maximale celle obtenue à partir des plans d’exécution des ouvrages.</w:t>
            </w:r>
          </w:p>
        </w:tc>
        <w:tc>
          <w:tcPr>
            <w:tcW w:w="315" w:type="pct"/>
            <w:tcBorders>
              <w:top w:val="nil"/>
              <w:left w:val="nil"/>
              <w:bottom w:val="single" w:sz="8" w:space="0" w:color="auto"/>
              <w:right w:val="single" w:sz="8" w:space="0" w:color="auto"/>
            </w:tcBorders>
            <w:shd w:val="clear" w:color="auto" w:fill="auto"/>
            <w:noWrap/>
            <w:vAlign w:val="center"/>
            <w:hideMark/>
          </w:tcPr>
          <w:p w14:paraId="770BD0C2" w14:textId="77777777" w:rsidR="00117B7F" w:rsidRPr="005830D1" w:rsidRDefault="00117B7F" w:rsidP="007F0E33">
            <w:pPr>
              <w:spacing w:after="0"/>
              <w:ind w:left="0" w:firstLine="0"/>
              <w:jc w:val="center"/>
              <w:rPr>
                <w:sz w:val="20"/>
              </w:rPr>
            </w:pPr>
            <w:r w:rsidRPr="005830D1">
              <w:rPr>
                <w:sz w:val="20"/>
              </w:rPr>
              <w:t>m3</w:t>
            </w:r>
          </w:p>
        </w:tc>
        <w:tc>
          <w:tcPr>
            <w:tcW w:w="520" w:type="pct"/>
            <w:tcBorders>
              <w:top w:val="nil"/>
              <w:left w:val="nil"/>
              <w:bottom w:val="single" w:sz="8" w:space="0" w:color="auto"/>
              <w:right w:val="nil"/>
            </w:tcBorders>
            <w:shd w:val="clear" w:color="auto" w:fill="auto"/>
            <w:noWrap/>
            <w:vAlign w:val="center"/>
          </w:tcPr>
          <w:p w14:paraId="1B54A7DA" w14:textId="77777777" w:rsidR="00117B7F" w:rsidRPr="005830D1" w:rsidRDefault="00117B7F" w:rsidP="007F0E33">
            <w:pPr>
              <w:spacing w:after="0"/>
              <w:ind w:left="0" w:firstLine="0"/>
              <w:jc w:val="right"/>
              <w:rPr>
                <w:sz w:val="20"/>
              </w:rPr>
            </w:pPr>
          </w:p>
        </w:tc>
        <w:tc>
          <w:tcPr>
            <w:tcW w:w="910" w:type="pct"/>
            <w:tcBorders>
              <w:top w:val="nil"/>
              <w:left w:val="single" w:sz="4" w:space="0" w:color="auto"/>
              <w:bottom w:val="single" w:sz="4" w:space="0" w:color="auto"/>
              <w:right w:val="single" w:sz="4" w:space="0" w:color="auto"/>
            </w:tcBorders>
            <w:shd w:val="clear" w:color="auto" w:fill="auto"/>
            <w:noWrap/>
            <w:vAlign w:val="bottom"/>
            <w:hideMark/>
          </w:tcPr>
          <w:p w14:paraId="19B815F6" w14:textId="77777777" w:rsidR="00117B7F" w:rsidRPr="005830D1" w:rsidRDefault="00117B7F" w:rsidP="007F0E33">
            <w:pPr>
              <w:spacing w:after="0"/>
              <w:ind w:left="0" w:firstLine="0"/>
              <w:jc w:val="left"/>
              <w:rPr>
                <w:sz w:val="20"/>
              </w:rPr>
            </w:pPr>
            <w:r w:rsidRPr="005830D1">
              <w:rPr>
                <w:sz w:val="20"/>
              </w:rPr>
              <w:t> </w:t>
            </w:r>
          </w:p>
        </w:tc>
      </w:tr>
      <w:tr w:rsidR="00117B7F" w:rsidRPr="005830D1" w14:paraId="61329584" w14:textId="77777777" w:rsidTr="007F0E33">
        <w:trPr>
          <w:trHeight w:val="1983"/>
          <w:jc w:val="center"/>
        </w:trPr>
        <w:tc>
          <w:tcPr>
            <w:tcW w:w="202" w:type="pct"/>
            <w:tcBorders>
              <w:top w:val="nil"/>
              <w:left w:val="double" w:sz="6" w:space="0" w:color="auto"/>
              <w:bottom w:val="single" w:sz="8" w:space="0" w:color="auto"/>
              <w:right w:val="single" w:sz="8" w:space="0" w:color="auto"/>
            </w:tcBorders>
            <w:shd w:val="clear" w:color="auto" w:fill="auto"/>
            <w:noWrap/>
            <w:vAlign w:val="center"/>
            <w:hideMark/>
          </w:tcPr>
          <w:p w14:paraId="1EE7F6FE" w14:textId="77777777" w:rsidR="00117B7F" w:rsidRPr="005830D1" w:rsidRDefault="00117B7F" w:rsidP="007F0E33">
            <w:pPr>
              <w:spacing w:after="0"/>
              <w:ind w:left="0" w:firstLine="0"/>
              <w:jc w:val="left"/>
              <w:rPr>
                <w:sz w:val="20"/>
              </w:rPr>
            </w:pPr>
            <w:r w:rsidRPr="005830D1">
              <w:rPr>
                <w:sz w:val="20"/>
              </w:rPr>
              <w:t>3.3</w:t>
            </w:r>
          </w:p>
        </w:tc>
        <w:tc>
          <w:tcPr>
            <w:tcW w:w="3053" w:type="pct"/>
            <w:tcBorders>
              <w:top w:val="nil"/>
              <w:left w:val="nil"/>
              <w:bottom w:val="single" w:sz="8" w:space="0" w:color="auto"/>
              <w:right w:val="single" w:sz="8" w:space="0" w:color="auto"/>
            </w:tcBorders>
            <w:shd w:val="clear" w:color="auto" w:fill="auto"/>
            <w:vAlign w:val="center"/>
            <w:hideMark/>
          </w:tcPr>
          <w:p w14:paraId="43FB2D37" w14:textId="77777777" w:rsidR="00117B7F" w:rsidRPr="005830D1" w:rsidRDefault="00117B7F" w:rsidP="007F0E33">
            <w:pPr>
              <w:spacing w:after="0"/>
              <w:ind w:left="0" w:firstLine="0"/>
              <w:jc w:val="left"/>
              <w:rPr>
                <w:sz w:val="18"/>
                <w:szCs w:val="18"/>
              </w:rPr>
            </w:pPr>
            <w:r w:rsidRPr="005830D1">
              <w:rPr>
                <w:b/>
                <w:bCs/>
                <w:sz w:val="20"/>
              </w:rPr>
              <w:t xml:space="preserve">Béton armé dosé à 350kg/m3 pour chaînage linteau, haut et allège de section des plans d'exécution approuvées y compris toutes suggestions                                                                                                  </w:t>
            </w:r>
            <w:r w:rsidRPr="005830D1">
              <w:rPr>
                <w:sz w:val="18"/>
                <w:szCs w:val="18"/>
              </w:rPr>
              <w:t>Ce prix rémunère au m3 la fourniture et la mise en œuvre d'un béton de structure dosé à 350 kg/m3, le ferraillage, le coffrage, la mise en place du béton, le réglage de la surface suivant l'utilisation future, le décoffrage. Ainsi que toutes sujétions utiles à la bonne exécution.</w:t>
            </w:r>
          </w:p>
          <w:p w14:paraId="160260A3" w14:textId="77777777" w:rsidR="00117B7F" w:rsidRPr="005830D1" w:rsidRDefault="00117B7F" w:rsidP="007F0E33">
            <w:pPr>
              <w:spacing w:after="0"/>
              <w:ind w:left="0" w:firstLine="0"/>
              <w:jc w:val="left"/>
              <w:rPr>
                <w:sz w:val="18"/>
                <w:szCs w:val="18"/>
              </w:rPr>
            </w:pPr>
          </w:p>
          <w:p w14:paraId="744215E4" w14:textId="77777777" w:rsidR="00117B7F" w:rsidRPr="005830D1" w:rsidRDefault="00117B7F" w:rsidP="007F0E33">
            <w:pPr>
              <w:spacing w:after="0"/>
              <w:ind w:left="0" w:firstLine="0"/>
              <w:jc w:val="left"/>
              <w:rPr>
                <w:b/>
                <w:bCs/>
                <w:sz w:val="20"/>
              </w:rPr>
            </w:pPr>
            <w:r w:rsidRPr="005830D1">
              <w:rPr>
                <w:i/>
                <w:sz w:val="18"/>
                <w:szCs w:val="18"/>
              </w:rPr>
              <w:t>Ce prix s’applique au volume en mètre cube (m3) de béton armé mis en œuvre pour chainage linteau avec comme valeur maximale celle obtenue à partir des plans d’exécution des ouvrages.</w:t>
            </w:r>
          </w:p>
        </w:tc>
        <w:tc>
          <w:tcPr>
            <w:tcW w:w="315" w:type="pct"/>
            <w:tcBorders>
              <w:top w:val="nil"/>
              <w:left w:val="nil"/>
              <w:bottom w:val="single" w:sz="8" w:space="0" w:color="auto"/>
              <w:right w:val="single" w:sz="8" w:space="0" w:color="auto"/>
            </w:tcBorders>
            <w:shd w:val="clear" w:color="auto" w:fill="auto"/>
            <w:noWrap/>
            <w:vAlign w:val="center"/>
            <w:hideMark/>
          </w:tcPr>
          <w:p w14:paraId="264ED360" w14:textId="77777777" w:rsidR="00117B7F" w:rsidRPr="005830D1" w:rsidRDefault="00117B7F" w:rsidP="007F0E33">
            <w:pPr>
              <w:spacing w:after="0"/>
              <w:ind w:left="0" w:firstLine="0"/>
              <w:jc w:val="center"/>
              <w:rPr>
                <w:sz w:val="20"/>
              </w:rPr>
            </w:pPr>
            <w:r w:rsidRPr="005830D1">
              <w:rPr>
                <w:sz w:val="20"/>
              </w:rPr>
              <w:t>m3</w:t>
            </w:r>
          </w:p>
        </w:tc>
        <w:tc>
          <w:tcPr>
            <w:tcW w:w="520" w:type="pct"/>
            <w:tcBorders>
              <w:top w:val="nil"/>
              <w:left w:val="nil"/>
              <w:bottom w:val="single" w:sz="8" w:space="0" w:color="auto"/>
              <w:right w:val="nil"/>
            </w:tcBorders>
            <w:shd w:val="clear" w:color="auto" w:fill="auto"/>
            <w:noWrap/>
            <w:vAlign w:val="center"/>
          </w:tcPr>
          <w:p w14:paraId="390FD3FB" w14:textId="77777777" w:rsidR="00117B7F" w:rsidRPr="005830D1" w:rsidRDefault="00117B7F" w:rsidP="007F0E33">
            <w:pPr>
              <w:spacing w:after="0"/>
              <w:ind w:left="0" w:firstLine="0"/>
              <w:jc w:val="right"/>
              <w:rPr>
                <w:sz w:val="20"/>
              </w:rPr>
            </w:pPr>
          </w:p>
        </w:tc>
        <w:tc>
          <w:tcPr>
            <w:tcW w:w="910" w:type="pct"/>
            <w:tcBorders>
              <w:top w:val="nil"/>
              <w:left w:val="single" w:sz="4" w:space="0" w:color="auto"/>
              <w:bottom w:val="single" w:sz="4" w:space="0" w:color="auto"/>
              <w:right w:val="single" w:sz="4" w:space="0" w:color="auto"/>
            </w:tcBorders>
            <w:shd w:val="clear" w:color="auto" w:fill="auto"/>
            <w:noWrap/>
            <w:vAlign w:val="bottom"/>
            <w:hideMark/>
          </w:tcPr>
          <w:p w14:paraId="2F441050" w14:textId="77777777" w:rsidR="00117B7F" w:rsidRPr="005830D1" w:rsidRDefault="00117B7F" w:rsidP="007F0E33">
            <w:pPr>
              <w:spacing w:after="0"/>
              <w:ind w:left="0" w:firstLine="0"/>
              <w:jc w:val="left"/>
              <w:rPr>
                <w:sz w:val="20"/>
              </w:rPr>
            </w:pPr>
            <w:r w:rsidRPr="005830D1">
              <w:rPr>
                <w:sz w:val="20"/>
              </w:rPr>
              <w:t> </w:t>
            </w:r>
          </w:p>
        </w:tc>
      </w:tr>
      <w:tr w:rsidR="00117B7F" w:rsidRPr="005830D1" w14:paraId="7F436540" w14:textId="77777777" w:rsidTr="007F0E33">
        <w:trPr>
          <w:trHeight w:val="683"/>
          <w:jc w:val="center"/>
        </w:trPr>
        <w:tc>
          <w:tcPr>
            <w:tcW w:w="202" w:type="pct"/>
            <w:tcBorders>
              <w:top w:val="nil"/>
              <w:left w:val="double" w:sz="6" w:space="0" w:color="auto"/>
              <w:bottom w:val="single" w:sz="8" w:space="0" w:color="auto"/>
              <w:right w:val="single" w:sz="8" w:space="0" w:color="auto"/>
            </w:tcBorders>
            <w:shd w:val="clear" w:color="auto" w:fill="auto"/>
            <w:noWrap/>
            <w:vAlign w:val="center"/>
            <w:hideMark/>
          </w:tcPr>
          <w:p w14:paraId="6C9EDB97" w14:textId="77777777" w:rsidR="00117B7F" w:rsidRPr="005830D1" w:rsidRDefault="00117B7F" w:rsidP="007F0E33">
            <w:pPr>
              <w:spacing w:after="0"/>
              <w:ind w:left="0" w:firstLine="0"/>
              <w:jc w:val="left"/>
              <w:rPr>
                <w:sz w:val="20"/>
              </w:rPr>
            </w:pPr>
            <w:r w:rsidRPr="005830D1">
              <w:rPr>
                <w:sz w:val="20"/>
              </w:rPr>
              <w:lastRenderedPageBreak/>
              <w:t>3.4</w:t>
            </w:r>
          </w:p>
        </w:tc>
        <w:tc>
          <w:tcPr>
            <w:tcW w:w="3053" w:type="pct"/>
            <w:tcBorders>
              <w:top w:val="nil"/>
              <w:left w:val="nil"/>
              <w:bottom w:val="single" w:sz="8" w:space="0" w:color="auto"/>
              <w:right w:val="single" w:sz="8" w:space="0" w:color="auto"/>
            </w:tcBorders>
            <w:shd w:val="clear" w:color="auto" w:fill="auto"/>
            <w:vAlign w:val="center"/>
            <w:hideMark/>
          </w:tcPr>
          <w:p w14:paraId="255B2C9D" w14:textId="77777777" w:rsidR="00117B7F" w:rsidRPr="005830D1" w:rsidRDefault="00117B7F" w:rsidP="007F0E33">
            <w:pPr>
              <w:spacing w:after="0"/>
              <w:ind w:left="0" w:firstLine="0"/>
              <w:jc w:val="left"/>
              <w:rPr>
                <w:sz w:val="20"/>
              </w:rPr>
            </w:pPr>
            <w:r w:rsidRPr="005830D1">
              <w:rPr>
                <w:b/>
                <w:bCs/>
                <w:sz w:val="20"/>
              </w:rPr>
              <w:t xml:space="preserve">Béton armé pour chaînage rampant y compris toutes suggestions                                                             </w:t>
            </w:r>
            <w:r w:rsidRPr="005830D1">
              <w:rPr>
                <w:sz w:val="18"/>
                <w:szCs w:val="18"/>
              </w:rPr>
              <w:t>Ce prix rémunère au m3 la fourniture et la mise en œuvre d'un béton de structure, le ferraillage, le coffrage, la mise en place du béton, le réglage de la surface suivant l'utilisation future, le décoffrage. Ainsi que toutes sujétions utiles à la bonne exécution.</w:t>
            </w:r>
          </w:p>
          <w:p w14:paraId="35CB4725" w14:textId="77777777" w:rsidR="00117B7F" w:rsidRPr="005830D1" w:rsidRDefault="00117B7F" w:rsidP="007F0E33">
            <w:pPr>
              <w:spacing w:after="0"/>
              <w:ind w:left="0" w:firstLine="0"/>
              <w:jc w:val="left"/>
              <w:rPr>
                <w:sz w:val="20"/>
              </w:rPr>
            </w:pPr>
          </w:p>
          <w:p w14:paraId="5275348D" w14:textId="77777777" w:rsidR="00117B7F" w:rsidRPr="005830D1" w:rsidRDefault="00117B7F" w:rsidP="007F0E33">
            <w:pPr>
              <w:spacing w:after="0"/>
              <w:ind w:left="0" w:firstLine="0"/>
              <w:jc w:val="left"/>
              <w:rPr>
                <w:b/>
                <w:bCs/>
                <w:sz w:val="20"/>
              </w:rPr>
            </w:pPr>
            <w:r w:rsidRPr="005830D1">
              <w:rPr>
                <w:i/>
                <w:sz w:val="18"/>
                <w:szCs w:val="18"/>
              </w:rPr>
              <w:t>Ce prix s’applique au volume en mètre cube (m3) de béton armé mis en œuvre pour chainage rampant  avec comme valeur maximale celle obtenue à partir des plans d’exécution des ouvrages.</w:t>
            </w:r>
          </w:p>
        </w:tc>
        <w:tc>
          <w:tcPr>
            <w:tcW w:w="315" w:type="pct"/>
            <w:tcBorders>
              <w:top w:val="nil"/>
              <w:left w:val="nil"/>
              <w:bottom w:val="single" w:sz="8" w:space="0" w:color="auto"/>
              <w:right w:val="single" w:sz="8" w:space="0" w:color="auto"/>
            </w:tcBorders>
            <w:shd w:val="clear" w:color="auto" w:fill="auto"/>
            <w:noWrap/>
            <w:vAlign w:val="center"/>
            <w:hideMark/>
          </w:tcPr>
          <w:p w14:paraId="756DE474" w14:textId="77777777" w:rsidR="00117B7F" w:rsidRPr="005830D1" w:rsidRDefault="00117B7F" w:rsidP="007F0E33">
            <w:pPr>
              <w:spacing w:after="0"/>
              <w:ind w:left="0" w:firstLine="0"/>
              <w:jc w:val="center"/>
              <w:rPr>
                <w:sz w:val="20"/>
              </w:rPr>
            </w:pPr>
            <w:r w:rsidRPr="005830D1">
              <w:rPr>
                <w:sz w:val="20"/>
              </w:rPr>
              <w:t>m3</w:t>
            </w:r>
          </w:p>
        </w:tc>
        <w:tc>
          <w:tcPr>
            <w:tcW w:w="520" w:type="pct"/>
            <w:tcBorders>
              <w:top w:val="nil"/>
              <w:left w:val="nil"/>
              <w:bottom w:val="single" w:sz="8" w:space="0" w:color="auto"/>
              <w:right w:val="nil"/>
            </w:tcBorders>
            <w:shd w:val="clear" w:color="auto" w:fill="auto"/>
            <w:noWrap/>
            <w:vAlign w:val="center"/>
          </w:tcPr>
          <w:p w14:paraId="13E2312D" w14:textId="77777777" w:rsidR="00117B7F" w:rsidRPr="005830D1" w:rsidRDefault="00117B7F" w:rsidP="007F0E33">
            <w:pPr>
              <w:spacing w:after="0"/>
              <w:ind w:left="0" w:firstLine="0"/>
              <w:jc w:val="right"/>
              <w:rPr>
                <w:sz w:val="20"/>
              </w:rPr>
            </w:pPr>
          </w:p>
        </w:tc>
        <w:tc>
          <w:tcPr>
            <w:tcW w:w="910" w:type="pct"/>
            <w:tcBorders>
              <w:top w:val="nil"/>
              <w:left w:val="single" w:sz="4" w:space="0" w:color="auto"/>
              <w:bottom w:val="single" w:sz="4" w:space="0" w:color="auto"/>
              <w:right w:val="single" w:sz="4" w:space="0" w:color="auto"/>
            </w:tcBorders>
            <w:shd w:val="clear" w:color="auto" w:fill="auto"/>
            <w:noWrap/>
            <w:vAlign w:val="bottom"/>
            <w:hideMark/>
          </w:tcPr>
          <w:p w14:paraId="678548B6" w14:textId="77777777" w:rsidR="00117B7F" w:rsidRPr="005830D1" w:rsidRDefault="00117B7F" w:rsidP="007F0E33">
            <w:pPr>
              <w:spacing w:after="0"/>
              <w:ind w:left="0" w:firstLine="0"/>
              <w:jc w:val="left"/>
              <w:rPr>
                <w:sz w:val="20"/>
              </w:rPr>
            </w:pPr>
            <w:r w:rsidRPr="005830D1">
              <w:rPr>
                <w:sz w:val="20"/>
              </w:rPr>
              <w:t> </w:t>
            </w:r>
          </w:p>
        </w:tc>
      </w:tr>
      <w:tr w:rsidR="00117B7F" w:rsidRPr="005830D1" w14:paraId="657772EE" w14:textId="77777777" w:rsidTr="007F0E33">
        <w:trPr>
          <w:trHeight w:val="243"/>
          <w:jc w:val="center"/>
        </w:trPr>
        <w:tc>
          <w:tcPr>
            <w:tcW w:w="202" w:type="pct"/>
            <w:tcBorders>
              <w:top w:val="nil"/>
              <w:left w:val="double" w:sz="6" w:space="0" w:color="auto"/>
              <w:bottom w:val="single" w:sz="8" w:space="0" w:color="auto"/>
              <w:right w:val="single" w:sz="8" w:space="0" w:color="auto"/>
            </w:tcBorders>
            <w:shd w:val="clear" w:color="auto" w:fill="auto"/>
            <w:noWrap/>
            <w:vAlign w:val="center"/>
            <w:hideMark/>
          </w:tcPr>
          <w:p w14:paraId="5790411C" w14:textId="77777777" w:rsidR="00117B7F" w:rsidRPr="005830D1" w:rsidRDefault="00117B7F" w:rsidP="007F0E33">
            <w:pPr>
              <w:spacing w:after="0"/>
              <w:ind w:left="0" w:firstLine="0"/>
              <w:jc w:val="left"/>
              <w:rPr>
                <w:sz w:val="20"/>
              </w:rPr>
            </w:pPr>
            <w:r w:rsidRPr="005830D1">
              <w:rPr>
                <w:sz w:val="20"/>
              </w:rPr>
              <w:t> </w:t>
            </w:r>
          </w:p>
        </w:tc>
        <w:tc>
          <w:tcPr>
            <w:tcW w:w="3053" w:type="pct"/>
            <w:tcBorders>
              <w:top w:val="nil"/>
              <w:left w:val="nil"/>
              <w:bottom w:val="single" w:sz="8" w:space="0" w:color="auto"/>
              <w:right w:val="single" w:sz="8" w:space="0" w:color="auto"/>
            </w:tcBorders>
            <w:shd w:val="clear" w:color="auto" w:fill="auto"/>
            <w:vAlign w:val="center"/>
            <w:hideMark/>
          </w:tcPr>
          <w:p w14:paraId="541EA88F" w14:textId="77777777" w:rsidR="00117B7F" w:rsidRPr="005830D1" w:rsidRDefault="00117B7F" w:rsidP="007F0E33">
            <w:pPr>
              <w:spacing w:after="0"/>
              <w:ind w:left="0" w:firstLine="0"/>
              <w:jc w:val="left"/>
              <w:rPr>
                <w:b/>
                <w:bCs/>
                <w:sz w:val="20"/>
              </w:rPr>
            </w:pPr>
            <w:r w:rsidRPr="005830D1">
              <w:rPr>
                <w:b/>
                <w:bCs/>
                <w:sz w:val="20"/>
              </w:rPr>
              <w:t>TOTAL ELEVATION</w:t>
            </w:r>
          </w:p>
        </w:tc>
        <w:tc>
          <w:tcPr>
            <w:tcW w:w="315" w:type="pct"/>
            <w:tcBorders>
              <w:top w:val="nil"/>
              <w:left w:val="nil"/>
              <w:bottom w:val="single" w:sz="8" w:space="0" w:color="auto"/>
              <w:right w:val="single" w:sz="8" w:space="0" w:color="auto"/>
            </w:tcBorders>
            <w:shd w:val="clear" w:color="auto" w:fill="auto"/>
            <w:noWrap/>
            <w:vAlign w:val="center"/>
            <w:hideMark/>
          </w:tcPr>
          <w:p w14:paraId="37356A8A" w14:textId="77777777" w:rsidR="00117B7F" w:rsidRPr="005830D1" w:rsidRDefault="00117B7F" w:rsidP="007F0E33">
            <w:pPr>
              <w:spacing w:after="0"/>
              <w:ind w:left="0" w:firstLine="0"/>
              <w:jc w:val="left"/>
              <w:rPr>
                <w:sz w:val="20"/>
              </w:rPr>
            </w:pPr>
            <w:r w:rsidRPr="005830D1">
              <w:rPr>
                <w:sz w:val="20"/>
              </w:rPr>
              <w:t> </w:t>
            </w:r>
          </w:p>
        </w:tc>
        <w:tc>
          <w:tcPr>
            <w:tcW w:w="520" w:type="pct"/>
            <w:tcBorders>
              <w:top w:val="nil"/>
              <w:left w:val="nil"/>
              <w:bottom w:val="single" w:sz="8" w:space="0" w:color="auto"/>
              <w:right w:val="nil"/>
            </w:tcBorders>
            <w:shd w:val="clear" w:color="auto" w:fill="auto"/>
            <w:noWrap/>
            <w:vAlign w:val="center"/>
          </w:tcPr>
          <w:p w14:paraId="1744FBE3" w14:textId="77777777" w:rsidR="00117B7F" w:rsidRPr="005830D1" w:rsidRDefault="00117B7F" w:rsidP="007F0E33">
            <w:pPr>
              <w:spacing w:after="0"/>
              <w:ind w:left="0" w:firstLine="0"/>
              <w:jc w:val="right"/>
              <w:rPr>
                <w:sz w:val="20"/>
              </w:rPr>
            </w:pPr>
          </w:p>
        </w:tc>
        <w:tc>
          <w:tcPr>
            <w:tcW w:w="910" w:type="pct"/>
            <w:tcBorders>
              <w:top w:val="nil"/>
              <w:left w:val="single" w:sz="4" w:space="0" w:color="auto"/>
              <w:bottom w:val="single" w:sz="4" w:space="0" w:color="auto"/>
              <w:right w:val="single" w:sz="4" w:space="0" w:color="auto"/>
            </w:tcBorders>
            <w:shd w:val="clear" w:color="auto" w:fill="auto"/>
            <w:noWrap/>
            <w:vAlign w:val="bottom"/>
            <w:hideMark/>
          </w:tcPr>
          <w:p w14:paraId="4C7FFF71" w14:textId="77777777" w:rsidR="00117B7F" w:rsidRPr="005830D1" w:rsidRDefault="00117B7F" w:rsidP="007F0E33">
            <w:pPr>
              <w:spacing w:after="0"/>
              <w:ind w:left="0" w:firstLine="0"/>
              <w:jc w:val="left"/>
              <w:rPr>
                <w:sz w:val="20"/>
              </w:rPr>
            </w:pPr>
            <w:r w:rsidRPr="005830D1">
              <w:rPr>
                <w:sz w:val="20"/>
              </w:rPr>
              <w:t> </w:t>
            </w:r>
          </w:p>
        </w:tc>
      </w:tr>
      <w:tr w:rsidR="00117B7F" w:rsidRPr="005830D1" w14:paraId="0B3B3FE8" w14:textId="77777777" w:rsidTr="007F0E33">
        <w:trPr>
          <w:trHeight w:val="207"/>
          <w:jc w:val="center"/>
        </w:trPr>
        <w:tc>
          <w:tcPr>
            <w:tcW w:w="202" w:type="pct"/>
            <w:tcBorders>
              <w:top w:val="nil"/>
              <w:left w:val="double" w:sz="6" w:space="0" w:color="auto"/>
              <w:bottom w:val="nil"/>
              <w:right w:val="nil"/>
            </w:tcBorders>
            <w:shd w:val="clear" w:color="auto" w:fill="auto"/>
            <w:noWrap/>
            <w:vAlign w:val="center"/>
            <w:hideMark/>
          </w:tcPr>
          <w:p w14:paraId="32810F58" w14:textId="77777777" w:rsidR="00117B7F" w:rsidRPr="005830D1" w:rsidRDefault="00117B7F" w:rsidP="007F0E33">
            <w:pPr>
              <w:spacing w:after="0"/>
              <w:ind w:left="0" w:firstLine="0"/>
              <w:jc w:val="left"/>
              <w:rPr>
                <w:sz w:val="20"/>
              </w:rPr>
            </w:pPr>
            <w:r w:rsidRPr="005830D1">
              <w:rPr>
                <w:sz w:val="20"/>
              </w:rPr>
              <w:t> </w:t>
            </w:r>
          </w:p>
        </w:tc>
        <w:tc>
          <w:tcPr>
            <w:tcW w:w="3053" w:type="pct"/>
            <w:tcBorders>
              <w:top w:val="nil"/>
              <w:left w:val="single" w:sz="8" w:space="0" w:color="auto"/>
              <w:bottom w:val="single" w:sz="8" w:space="0" w:color="auto"/>
              <w:right w:val="single" w:sz="8" w:space="0" w:color="auto"/>
            </w:tcBorders>
            <w:shd w:val="clear" w:color="auto" w:fill="auto"/>
            <w:vAlign w:val="center"/>
            <w:hideMark/>
          </w:tcPr>
          <w:p w14:paraId="1C36789D" w14:textId="77777777" w:rsidR="00117B7F" w:rsidRPr="005830D1" w:rsidRDefault="00117B7F" w:rsidP="007F0E33">
            <w:pPr>
              <w:spacing w:after="0"/>
              <w:ind w:left="0" w:firstLine="0"/>
              <w:jc w:val="left"/>
              <w:rPr>
                <w:b/>
                <w:bCs/>
                <w:sz w:val="20"/>
              </w:rPr>
            </w:pPr>
            <w:r w:rsidRPr="005830D1">
              <w:rPr>
                <w:b/>
                <w:bCs/>
                <w:sz w:val="20"/>
              </w:rPr>
              <w:t>IV COUVERTURE-CHARPENTE</w:t>
            </w:r>
          </w:p>
        </w:tc>
        <w:tc>
          <w:tcPr>
            <w:tcW w:w="315" w:type="pct"/>
            <w:tcBorders>
              <w:top w:val="nil"/>
              <w:left w:val="nil"/>
              <w:bottom w:val="single" w:sz="8" w:space="0" w:color="auto"/>
              <w:right w:val="single" w:sz="8" w:space="0" w:color="auto"/>
            </w:tcBorders>
            <w:shd w:val="clear" w:color="auto" w:fill="auto"/>
            <w:noWrap/>
            <w:vAlign w:val="center"/>
            <w:hideMark/>
          </w:tcPr>
          <w:p w14:paraId="70BDEA1C" w14:textId="77777777" w:rsidR="00117B7F" w:rsidRPr="005830D1" w:rsidRDefault="00117B7F" w:rsidP="007F0E33">
            <w:pPr>
              <w:spacing w:after="0"/>
              <w:ind w:left="0" w:firstLine="0"/>
              <w:jc w:val="left"/>
              <w:rPr>
                <w:sz w:val="20"/>
              </w:rPr>
            </w:pPr>
            <w:r w:rsidRPr="005830D1">
              <w:rPr>
                <w:sz w:val="20"/>
              </w:rPr>
              <w:t> </w:t>
            </w:r>
          </w:p>
        </w:tc>
        <w:tc>
          <w:tcPr>
            <w:tcW w:w="520" w:type="pct"/>
            <w:tcBorders>
              <w:top w:val="nil"/>
              <w:left w:val="nil"/>
              <w:bottom w:val="single" w:sz="8" w:space="0" w:color="auto"/>
              <w:right w:val="nil"/>
            </w:tcBorders>
            <w:shd w:val="clear" w:color="auto" w:fill="auto"/>
            <w:noWrap/>
            <w:vAlign w:val="center"/>
          </w:tcPr>
          <w:p w14:paraId="40CB3486" w14:textId="77777777" w:rsidR="00117B7F" w:rsidRPr="005830D1" w:rsidRDefault="00117B7F" w:rsidP="007F0E33">
            <w:pPr>
              <w:spacing w:after="0"/>
              <w:ind w:left="0" w:firstLine="0"/>
              <w:jc w:val="right"/>
              <w:rPr>
                <w:sz w:val="20"/>
              </w:rPr>
            </w:pPr>
          </w:p>
        </w:tc>
        <w:tc>
          <w:tcPr>
            <w:tcW w:w="910" w:type="pct"/>
            <w:tcBorders>
              <w:top w:val="nil"/>
              <w:left w:val="single" w:sz="4" w:space="0" w:color="auto"/>
              <w:bottom w:val="single" w:sz="4" w:space="0" w:color="auto"/>
              <w:right w:val="single" w:sz="4" w:space="0" w:color="auto"/>
            </w:tcBorders>
            <w:shd w:val="clear" w:color="auto" w:fill="auto"/>
            <w:noWrap/>
            <w:vAlign w:val="bottom"/>
            <w:hideMark/>
          </w:tcPr>
          <w:p w14:paraId="4EAAD85D" w14:textId="77777777" w:rsidR="00117B7F" w:rsidRPr="005830D1" w:rsidRDefault="00117B7F" w:rsidP="007F0E33">
            <w:pPr>
              <w:spacing w:after="0"/>
              <w:ind w:left="0" w:firstLine="0"/>
              <w:jc w:val="left"/>
              <w:rPr>
                <w:sz w:val="20"/>
              </w:rPr>
            </w:pPr>
            <w:r w:rsidRPr="005830D1">
              <w:rPr>
                <w:sz w:val="20"/>
              </w:rPr>
              <w:t> </w:t>
            </w:r>
          </w:p>
        </w:tc>
      </w:tr>
      <w:tr w:rsidR="00117B7F" w:rsidRPr="005830D1" w14:paraId="0EC1EA97" w14:textId="77777777" w:rsidTr="007F0E33">
        <w:trPr>
          <w:trHeight w:val="1530"/>
          <w:jc w:val="center"/>
        </w:trPr>
        <w:tc>
          <w:tcPr>
            <w:tcW w:w="202" w:type="pct"/>
            <w:tcBorders>
              <w:top w:val="single" w:sz="8" w:space="0" w:color="auto"/>
              <w:left w:val="double" w:sz="6" w:space="0" w:color="auto"/>
              <w:bottom w:val="single" w:sz="8" w:space="0" w:color="auto"/>
              <w:right w:val="single" w:sz="8" w:space="0" w:color="auto"/>
            </w:tcBorders>
            <w:shd w:val="clear" w:color="auto" w:fill="auto"/>
            <w:noWrap/>
            <w:vAlign w:val="center"/>
            <w:hideMark/>
          </w:tcPr>
          <w:p w14:paraId="7B0F4BC5" w14:textId="77777777" w:rsidR="00117B7F" w:rsidRPr="005830D1" w:rsidRDefault="00117B7F" w:rsidP="007F0E33">
            <w:pPr>
              <w:spacing w:after="0"/>
              <w:ind w:left="0" w:firstLine="0"/>
              <w:jc w:val="left"/>
              <w:rPr>
                <w:sz w:val="20"/>
              </w:rPr>
            </w:pPr>
            <w:r w:rsidRPr="005830D1">
              <w:rPr>
                <w:sz w:val="20"/>
              </w:rPr>
              <w:t>4.1</w:t>
            </w:r>
          </w:p>
        </w:tc>
        <w:tc>
          <w:tcPr>
            <w:tcW w:w="3053" w:type="pct"/>
            <w:tcBorders>
              <w:top w:val="nil"/>
              <w:left w:val="nil"/>
              <w:bottom w:val="single" w:sz="8" w:space="0" w:color="auto"/>
              <w:right w:val="single" w:sz="8" w:space="0" w:color="auto"/>
            </w:tcBorders>
            <w:shd w:val="clear" w:color="auto" w:fill="auto"/>
            <w:vAlign w:val="center"/>
            <w:hideMark/>
          </w:tcPr>
          <w:p w14:paraId="14DAB004" w14:textId="77777777" w:rsidR="00117B7F" w:rsidRPr="005830D1" w:rsidRDefault="00117B7F" w:rsidP="007F0E33">
            <w:pPr>
              <w:spacing w:after="0"/>
              <w:ind w:left="0" w:firstLine="0"/>
              <w:jc w:val="left"/>
              <w:rPr>
                <w:sz w:val="18"/>
                <w:szCs w:val="18"/>
              </w:rPr>
            </w:pPr>
            <w:r w:rsidRPr="005830D1">
              <w:rPr>
                <w:b/>
                <w:bCs/>
                <w:sz w:val="20"/>
              </w:rPr>
              <w:t xml:space="preserve">F/P de poutre IPN 120 avec assemblées </w:t>
            </w:r>
            <w:proofErr w:type="spellStart"/>
            <w:r w:rsidRPr="005830D1">
              <w:rPr>
                <w:b/>
                <w:bCs/>
                <w:sz w:val="20"/>
              </w:rPr>
              <w:t>anti-rouille</w:t>
            </w:r>
            <w:proofErr w:type="spellEnd"/>
            <w:r w:rsidRPr="005830D1">
              <w:rPr>
                <w:b/>
                <w:bCs/>
                <w:sz w:val="20"/>
              </w:rPr>
              <w:t xml:space="preserve"> y compris platines en tôle noire de 12 mm et système de boulonnage conforme au plan d'exécution                                                                                                       </w:t>
            </w:r>
            <w:r w:rsidRPr="005830D1">
              <w:rPr>
                <w:sz w:val="18"/>
                <w:szCs w:val="18"/>
              </w:rPr>
              <w:t>Ce prix rémunère au  ml la fourniture et pose d'IPN120 pour poutre, il comprend : la fourniture d'IPN 120, la fixation sur les poteaux de tube rond par boulonnage à travers des platines soudés à la poutre et au poteau, la protection par peinture antirouille, ainsi que toutes sujétions utiles à la bonne exécution.</w:t>
            </w:r>
          </w:p>
          <w:p w14:paraId="249F4F37" w14:textId="77777777" w:rsidR="00117B7F" w:rsidRPr="005830D1" w:rsidRDefault="00117B7F" w:rsidP="007F0E33">
            <w:pPr>
              <w:spacing w:after="0"/>
              <w:ind w:left="0" w:firstLine="0"/>
              <w:jc w:val="left"/>
              <w:rPr>
                <w:sz w:val="18"/>
                <w:szCs w:val="18"/>
              </w:rPr>
            </w:pPr>
          </w:p>
          <w:p w14:paraId="0EAEA895" w14:textId="77777777" w:rsidR="00117B7F" w:rsidRPr="005830D1" w:rsidRDefault="00117B7F" w:rsidP="007F0E33">
            <w:pPr>
              <w:spacing w:after="0"/>
              <w:ind w:left="0" w:firstLine="0"/>
              <w:jc w:val="left"/>
              <w:rPr>
                <w:b/>
                <w:bCs/>
                <w:sz w:val="20"/>
              </w:rPr>
            </w:pPr>
            <w:r w:rsidRPr="005830D1">
              <w:rPr>
                <w:i/>
                <w:sz w:val="18"/>
                <w:szCs w:val="18"/>
              </w:rPr>
              <w:t>Le prix s'applique à l’Unité de poutre IPN 120  fourni et mise en place constatée par l’ingénieur.</w:t>
            </w:r>
          </w:p>
        </w:tc>
        <w:tc>
          <w:tcPr>
            <w:tcW w:w="315" w:type="pct"/>
            <w:tcBorders>
              <w:top w:val="nil"/>
              <w:left w:val="nil"/>
              <w:bottom w:val="single" w:sz="8" w:space="0" w:color="auto"/>
              <w:right w:val="single" w:sz="8" w:space="0" w:color="auto"/>
            </w:tcBorders>
            <w:shd w:val="clear" w:color="auto" w:fill="auto"/>
            <w:noWrap/>
            <w:vAlign w:val="center"/>
            <w:hideMark/>
          </w:tcPr>
          <w:p w14:paraId="5D860710" w14:textId="77777777" w:rsidR="00117B7F" w:rsidRPr="005830D1" w:rsidRDefault="00117B7F" w:rsidP="007F0E33">
            <w:pPr>
              <w:spacing w:after="0"/>
              <w:ind w:left="0" w:firstLine="0"/>
              <w:jc w:val="center"/>
              <w:rPr>
                <w:sz w:val="20"/>
              </w:rPr>
            </w:pPr>
            <w:r w:rsidRPr="005830D1">
              <w:rPr>
                <w:sz w:val="20"/>
              </w:rPr>
              <w:t>ml</w:t>
            </w:r>
          </w:p>
        </w:tc>
        <w:tc>
          <w:tcPr>
            <w:tcW w:w="520" w:type="pct"/>
            <w:tcBorders>
              <w:top w:val="nil"/>
              <w:left w:val="nil"/>
              <w:bottom w:val="single" w:sz="8" w:space="0" w:color="auto"/>
              <w:right w:val="nil"/>
            </w:tcBorders>
            <w:shd w:val="clear" w:color="auto" w:fill="auto"/>
            <w:noWrap/>
            <w:vAlign w:val="center"/>
          </w:tcPr>
          <w:p w14:paraId="79C9CDB8" w14:textId="77777777" w:rsidR="00117B7F" w:rsidRPr="005830D1" w:rsidRDefault="00117B7F" w:rsidP="007F0E33">
            <w:pPr>
              <w:spacing w:after="0"/>
              <w:ind w:left="0" w:firstLine="0"/>
              <w:jc w:val="right"/>
              <w:rPr>
                <w:sz w:val="20"/>
              </w:rPr>
            </w:pPr>
          </w:p>
        </w:tc>
        <w:tc>
          <w:tcPr>
            <w:tcW w:w="910" w:type="pct"/>
            <w:tcBorders>
              <w:top w:val="nil"/>
              <w:left w:val="single" w:sz="4" w:space="0" w:color="auto"/>
              <w:bottom w:val="single" w:sz="4" w:space="0" w:color="auto"/>
              <w:right w:val="single" w:sz="4" w:space="0" w:color="auto"/>
            </w:tcBorders>
            <w:shd w:val="clear" w:color="auto" w:fill="auto"/>
            <w:noWrap/>
            <w:vAlign w:val="bottom"/>
            <w:hideMark/>
          </w:tcPr>
          <w:p w14:paraId="4DE61509" w14:textId="77777777" w:rsidR="00117B7F" w:rsidRPr="005830D1" w:rsidRDefault="00117B7F" w:rsidP="007F0E33">
            <w:pPr>
              <w:spacing w:after="0"/>
              <w:ind w:left="0" w:firstLine="0"/>
              <w:jc w:val="left"/>
              <w:rPr>
                <w:sz w:val="20"/>
              </w:rPr>
            </w:pPr>
            <w:r w:rsidRPr="005830D1">
              <w:rPr>
                <w:sz w:val="20"/>
              </w:rPr>
              <w:t> </w:t>
            </w:r>
          </w:p>
        </w:tc>
      </w:tr>
      <w:tr w:rsidR="00117B7F" w:rsidRPr="005830D1" w14:paraId="6F84F540" w14:textId="77777777" w:rsidTr="007F0E33">
        <w:trPr>
          <w:trHeight w:val="1695"/>
          <w:jc w:val="center"/>
        </w:trPr>
        <w:tc>
          <w:tcPr>
            <w:tcW w:w="202" w:type="pct"/>
            <w:tcBorders>
              <w:top w:val="nil"/>
              <w:left w:val="double" w:sz="6" w:space="0" w:color="auto"/>
              <w:bottom w:val="single" w:sz="8" w:space="0" w:color="auto"/>
              <w:right w:val="single" w:sz="8" w:space="0" w:color="auto"/>
            </w:tcBorders>
            <w:shd w:val="clear" w:color="auto" w:fill="auto"/>
            <w:noWrap/>
            <w:vAlign w:val="center"/>
            <w:hideMark/>
          </w:tcPr>
          <w:p w14:paraId="4051610C" w14:textId="77777777" w:rsidR="00117B7F" w:rsidRPr="005830D1" w:rsidRDefault="00117B7F" w:rsidP="007F0E33">
            <w:pPr>
              <w:spacing w:after="0"/>
              <w:ind w:left="0" w:firstLine="0"/>
              <w:jc w:val="left"/>
              <w:rPr>
                <w:sz w:val="20"/>
              </w:rPr>
            </w:pPr>
            <w:r w:rsidRPr="005830D1">
              <w:rPr>
                <w:sz w:val="20"/>
              </w:rPr>
              <w:t>4.2</w:t>
            </w:r>
          </w:p>
        </w:tc>
        <w:tc>
          <w:tcPr>
            <w:tcW w:w="3053" w:type="pct"/>
            <w:tcBorders>
              <w:top w:val="nil"/>
              <w:left w:val="nil"/>
              <w:bottom w:val="single" w:sz="8" w:space="0" w:color="auto"/>
              <w:right w:val="single" w:sz="8" w:space="0" w:color="auto"/>
            </w:tcBorders>
            <w:shd w:val="clear" w:color="auto" w:fill="auto"/>
            <w:vAlign w:val="center"/>
            <w:hideMark/>
          </w:tcPr>
          <w:p w14:paraId="0D04DA10" w14:textId="77777777" w:rsidR="00117B7F" w:rsidRPr="005830D1" w:rsidRDefault="00117B7F" w:rsidP="007F0E33">
            <w:pPr>
              <w:spacing w:after="0"/>
              <w:ind w:left="0" w:firstLine="0"/>
              <w:jc w:val="left"/>
              <w:rPr>
                <w:sz w:val="20"/>
              </w:rPr>
            </w:pPr>
            <w:r w:rsidRPr="005830D1">
              <w:rPr>
                <w:b/>
                <w:bCs/>
                <w:sz w:val="20"/>
              </w:rPr>
              <w:t xml:space="preserve">F/P de panne IPN 80 avec </w:t>
            </w:r>
            <w:proofErr w:type="spellStart"/>
            <w:r w:rsidRPr="005830D1">
              <w:rPr>
                <w:b/>
                <w:bCs/>
                <w:sz w:val="20"/>
              </w:rPr>
              <w:t>anti-rouille</w:t>
            </w:r>
            <w:proofErr w:type="spellEnd"/>
            <w:r w:rsidRPr="005830D1">
              <w:rPr>
                <w:b/>
                <w:bCs/>
                <w:sz w:val="20"/>
              </w:rPr>
              <w:t xml:space="preserve"> y compris </w:t>
            </w:r>
            <w:proofErr w:type="spellStart"/>
            <w:r w:rsidRPr="005830D1">
              <w:rPr>
                <w:b/>
                <w:bCs/>
                <w:sz w:val="20"/>
              </w:rPr>
              <w:t>platins</w:t>
            </w:r>
            <w:proofErr w:type="spellEnd"/>
            <w:r w:rsidRPr="005830D1">
              <w:rPr>
                <w:b/>
                <w:bCs/>
                <w:sz w:val="20"/>
              </w:rPr>
              <w:t xml:space="preserve"> en tôle noire 10mm et système de boulonnage conforme au plan d'exécution                                                                                                                   </w:t>
            </w:r>
            <w:r w:rsidRPr="005830D1">
              <w:rPr>
                <w:sz w:val="18"/>
                <w:szCs w:val="18"/>
              </w:rPr>
              <w:t>Ce prix rémunère au  ml la fourniture et pose d'IPN 80 pour poutre, il comprend : la fourniture d'IPN 80, la fixation sur les poteaux de tube rond par boulonnage à travers des platines soudés à la poutre et au poteau, la protection par peinture antirouille, ainsi que toutes sujétions utiles à la bonne exécution</w:t>
            </w:r>
            <w:r w:rsidRPr="005830D1">
              <w:rPr>
                <w:sz w:val="20"/>
              </w:rPr>
              <w:t>.</w:t>
            </w:r>
          </w:p>
          <w:p w14:paraId="0E2E3CFB" w14:textId="77777777" w:rsidR="00117B7F" w:rsidRPr="005830D1" w:rsidRDefault="00117B7F" w:rsidP="007F0E33">
            <w:pPr>
              <w:spacing w:after="0"/>
              <w:ind w:left="0" w:firstLine="0"/>
              <w:jc w:val="left"/>
              <w:rPr>
                <w:sz w:val="20"/>
              </w:rPr>
            </w:pPr>
          </w:p>
          <w:p w14:paraId="1EE62042" w14:textId="77777777" w:rsidR="00117B7F" w:rsidRPr="005830D1" w:rsidRDefault="00117B7F" w:rsidP="007F0E33">
            <w:pPr>
              <w:spacing w:after="0"/>
              <w:ind w:left="0" w:firstLine="0"/>
              <w:jc w:val="left"/>
              <w:rPr>
                <w:b/>
                <w:bCs/>
                <w:sz w:val="20"/>
              </w:rPr>
            </w:pPr>
            <w:r w:rsidRPr="005830D1">
              <w:rPr>
                <w:i/>
                <w:sz w:val="18"/>
                <w:szCs w:val="18"/>
              </w:rPr>
              <w:t>Le prix s'applique à l’Unité de poutre IPN 80  fourni et mise en place constatée par l’ingénieur.</w:t>
            </w:r>
          </w:p>
        </w:tc>
        <w:tc>
          <w:tcPr>
            <w:tcW w:w="315" w:type="pct"/>
            <w:tcBorders>
              <w:top w:val="nil"/>
              <w:left w:val="nil"/>
              <w:bottom w:val="single" w:sz="8" w:space="0" w:color="auto"/>
              <w:right w:val="single" w:sz="8" w:space="0" w:color="auto"/>
            </w:tcBorders>
            <w:shd w:val="clear" w:color="auto" w:fill="auto"/>
            <w:noWrap/>
            <w:vAlign w:val="center"/>
            <w:hideMark/>
          </w:tcPr>
          <w:p w14:paraId="7D704ADB" w14:textId="77777777" w:rsidR="00117B7F" w:rsidRPr="005830D1" w:rsidRDefault="00117B7F" w:rsidP="007F0E33">
            <w:pPr>
              <w:spacing w:after="0"/>
              <w:ind w:left="0" w:firstLine="0"/>
              <w:jc w:val="center"/>
              <w:rPr>
                <w:sz w:val="20"/>
              </w:rPr>
            </w:pPr>
            <w:r w:rsidRPr="005830D1">
              <w:rPr>
                <w:sz w:val="20"/>
              </w:rPr>
              <w:t>ml</w:t>
            </w:r>
          </w:p>
        </w:tc>
        <w:tc>
          <w:tcPr>
            <w:tcW w:w="520" w:type="pct"/>
            <w:tcBorders>
              <w:top w:val="nil"/>
              <w:left w:val="nil"/>
              <w:bottom w:val="single" w:sz="8" w:space="0" w:color="auto"/>
              <w:right w:val="nil"/>
            </w:tcBorders>
            <w:shd w:val="clear" w:color="auto" w:fill="auto"/>
            <w:noWrap/>
            <w:vAlign w:val="center"/>
          </w:tcPr>
          <w:p w14:paraId="57F4AD51" w14:textId="77777777" w:rsidR="00117B7F" w:rsidRPr="005830D1" w:rsidRDefault="00117B7F" w:rsidP="007F0E33">
            <w:pPr>
              <w:spacing w:after="0"/>
              <w:ind w:left="0" w:firstLine="0"/>
              <w:jc w:val="right"/>
              <w:rPr>
                <w:sz w:val="20"/>
              </w:rPr>
            </w:pPr>
          </w:p>
        </w:tc>
        <w:tc>
          <w:tcPr>
            <w:tcW w:w="910" w:type="pct"/>
            <w:tcBorders>
              <w:top w:val="nil"/>
              <w:left w:val="single" w:sz="4" w:space="0" w:color="auto"/>
              <w:bottom w:val="single" w:sz="4" w:space="0" w:color="auto"/>
              <w:right w:val="single" w:sz="4" w:space="0" w:color="auto"/>
            </w:tcBorders>
            <w:shd w:val="clear" w:color="auto" w:fill="auto"/>
            <w:noWrap/>
            <w:vAlign w:val="bottom"/>
            <w:hideMark/>
          </w:tcPr>
          <w:p w14:paraId="60A9DCB5" w14:textId="77777777" w:rsidR="00117B7F" w:rsidRPr="005830D1" w:rsidRDefault="00117B7F" w:rsidP="007F0E33">
            <w:pPr>
              <w:spacing w:after="0"/>
              <w:ind w:left="0" w:firstLine="0"/>
              <w:jc w:val="left"/>
              <w:rPr>
                <w:sz w:val="20"/>
              </w:rPr>
            </w:pPr>
            <w:r w:rsidRPr="005830D1">
              <w:rPr>
                <w:sz w:val="20"/>
              </w:rPr>
              <w:t> </w:t>
            </w:r>
          </w:p>
        </w:tc>
      </w:tr>
      <w:tr w:rsidR="00117B7F" w:rsidRPr="005830D1" w14:paraId="0A0A0F82" w14:textId="77777777" w:rsidTr="007F0E33">
        <w:trPr>
          <w:trHeight w:val="683"/>
          <w:jc w:val="center"/>
        </w:trPr>
        <w:tc>
          <w:tcPr>
            <w:tcW w:w="202" w:type="pct"/>
            <w:tcBorders>
              <w:top w:val="nil"/>
              <w:left w:val="double" w:sz="6" w:space="0" w:color="auto"/>
              <w:bottom w:val="single" w:sz="8" w:space="0" w:color="auto"/>
              <w:right w:val="single" w:sz="8" w:space="0" w:color="auto"/>
            </w:tcBorders>
            <w:shd w:val="clear" w:color="auto" w:fill="auto"/>
            <w:noWrap/>
            <w:vAlign w:val="center"/>
            <w:hideMark/>
          </w:tcPr>
          <w:p w14:paraId="5AC18EDC" w14:textId="77777777" w:rsidR="00117B7F" w:rsidRPr="005830D1" w:rsidRDefault="00117B7F" w:rsidP="007F0E33">
            <w:pPr>
              <w:spacing w:after="0"/>
              <w:ind w:left="0" w:firstLine="0"/>
              <w:jc w:val="left"/>
              <w:rPr>
                <w:sz w:val="20"/>
              </w:rPr>
            </w:pPr>
            <w:r w:rsidRPr="005830D1">
              <w:rPr>
                <w:sz w:val="20"/>
              </w:rPr>
              <w:t>4.3</w:t>
            </w:r>
          </w:p>
        </w:tc>
        <w:tc>
          <w:tcPr>
            <w:tcW w:w="3053" w:type="pct"/>
            <w:tcBorders>
              <w:top w:val="nil"/>
              <w:left w:val="nil"/>
              <w:bottom w:val="single" w:sz="8" w:space="0" w:color="auto"/>
              <w:right w:val="single" w:sz="8" w:space="0" w:color="auto"/>
            </w:tcBorders>
            <w:shd w:val="clear" w:color="auto" w:fill="auto"/>
            <w:vAlign w:val="center"/>
            <w:hideMark/>
          </w:tcPr>
          <w:p w14:paraId="4E927C71" w14:textId="77777777" w:rsidR="00117B7F" w:rsidRPr="005830D1" w:rsidRDefault="00117B7F" w:rsidP="007F0E33">
            <w:pPr>
              <w:spacing w:after="0"/>
              <w:ind w:left="0" w:firstLine="0"/>
              <w:jc w:val="left"/>
              <w:rPr>
                <w:b/>
                <w:bCs/>
                <w:sz w:val="20"/>
              </w:rPr>
            </w:pPr>
            <w:r w:rsidRPr="005830D1">
              <w:rPr>
                <w:b/>
                <w:bCs/>
                <w:sz w:val="20"/>
              </w:rPr>
              <w:t xml:space="preserve">F/P de tôle bac 7,200 kg y compris toutes suggestions </w:t>
            </w:r>
          </w:p>
          <w:p w14:paraId="64BCD1D1" w14:textId="77777777" w:rsidR="00117B7F" w:rsidRPr="005830D1" w:rsidRDefault="00117B7F" w:rsidP="007F0E33">
            <w:pPr>
              <w:spacing w:after="0"/>
              <w:ind w:left="0" w:firstLine="0"/>
              <w:jc w:val="left"/>
              <w:rPr>
                <w:bCs/>
                <w:sz w:val="18"/>
                <w:szCs w:val="18"/>
              </w:rPr>
            </w:pPr>
            <w:r w:rsidRPr="005830D1">
              <w:rPr>
                <w:bCs/>
                <w:sz w:val="18"/>
                <w:szCs w:val="18"/>
              </w:rPr>
              <w:t xml:space="preserve">Ce prix rémunère la fourniture et pose de tôle bac sur une charpente métallique non assemblée constituée de profilés IPN120 et IPN80. Les travaux </w:t>
            </w:r>
            <w:proofErr w:type="spellStart"/>
            <w:r w:rsidRPr="005830D1">
              <w:rPr>
                <w:bCs/>
                <w:sz w:val="18"/>
                <w:szCs w:val="18"/>
              </w:rPr>
              <w:t>comprennesnt</w:t>
            </w:r>
            <w:proofErr w:type="spellEnd"/>
            <w:r w:rsidRPr="005830D1">
              <w:rPr>
                <w:bCs/>
                <w:sz w:val="18"/>
                <w:szCs w:val="18"/>
              </w:rPr>
              <w:t> :</w:t>
            </w:r>
          </w:p>
          <w:p w14:paraId="3ACA25CE" w14:textId="77777777" w:rsidR="00117B7F" w:rsidRPr="005830D1" w:rsidRDefault="00117B7F" w:rsidP="002A45C1">
            <w:pPr>
              <w:pStyle w:val="Paragraphedeliste"/>
              <w:numPr>
                <w:ilvl w:val="0"/>
                <w:numId w:val="102"/>
              </w:numPr>
              <w:spacing w:after="0"/>
              <w:ind w:left="720"/>
              <w:jc w:val="left"/>
              <w:rPr>
                <w:bCs/>
                <w:sz w:val="18"/>
                <w:szCs w:val="18"/>
              </w:rPr>
            </w:pPr>
            <w:r w:rsidRPr="005830D1">
              <w:rPr>
                <w:bCs/>
                <w:sz w:val="18"/>
                <w:szCs w:val="18"/>
              </w:rPr>
              <w:t>La fourniture de tous les matériaux et matériels nécessaires ;</w:t>
            </w:r>
          </w:p>
          <w:p w14:paraId="7819125F" w14:textId="77777777" w:rsidR="00117B7F" w:rsidRPr="005830D1" w:rsidRDefault="00117B7F" w:rsidP="002A45C1">
            <w:pPr>
              <w:pStyle w:val="Paragraphedeliste"/>
              <w:numPr>
                <w:ilvl w:val="0"/>
                <w:numId w:val="102"/>
              </w:numPr>
              <w:spacing w:after="0"/>
              <w:ind w:left="720"/>
              <w:jc w:val="left"/>
              <w:rPr>
                <w:bCs/>
                <w:sz w:val="18"/>
                <w:szCs w:val="18"/>
              </w:rPr>
            </w:pPr>
            <w:r w:rsidRPr="005830D1">
              <w:rPr>
                <w:bCs/>
                <w:sz w:val="18"/>
                <w:szCs w:val="18"/>
              </w:rPr>
              <w:t xml:space="preserve">Les </w:t>
            </w:r>
            <w:proofErr w:type="spellStart"/>
            <w:r w:rsidRPr="005830D1">
              <w:rPr>
                <w:bCs/>
                <w:sz w:val="18"/>
                <w:szCs w:val="18"/>
              </w:rPr>
              <w:t>mésures</w:t>
            </w:r>
            <w:proofErr w:type="spellEnd"/>
            <w:r w:rsidRPr="005830D1">
              <w:rPr>
                <w:bCs/>
                <w:sz w:val="18"/>
                <w:szCs w:val="18"/>
              </w:rPr>
              <w:t xml:space="preserve"> et </w:t>
            </w:r>
            <w:proofErr w:type="spellStart"/>
            <w:r w:rsidRPr="005830D1">
              <w:rPr>
                <w:bCs/>
                <w:sz w:val="18"/>
                <w:szCs w:val="18"/>
              </w:rPr>
              <w:t>calpinage</w:t>
            </w:r>
            <w:proofErr w:type="spellEnd"/>
            <w:r w:rsidRPr="005830D1">
              <w:rPr>
                <w:bCs/>
                <w:sz w:val="18"/>
                <w:szCs w:val="18"/>
              </w:rPr>
              <w:t xml:space="preserve"> nécessaires,</w:t>
            </w:r>
          </w:p>
          <w:p w14:paraId="74E2ABBD" w14:textId="77777777" w:rsidR="00117B7F" w:rsidRPr="005830D1" w:rsidRDefault="00117B7F" w:rsidP="002A45C1">
            <w:pPr>
              <w:pStyle w:val="Paragraphedeliste"/>
              <w:numPr>
                <w:ilvl w:val="0"/>
                <w:numId w:val="102"/>
              </w:numPr>
              <w:spacing w:after="0"/>
              <w:ind w:left="720"/>
              <w:jc w:val="left"/>
              <w:rPr>
                <w:bCs/>
                <w:sz w:val="18"/>
                <w:szCs w:val="18"/>
              </w:rPr>
            </w:pPr>
            <w:r w:rsidRPr="005830D1">
              <w:rPr>
                <w:bCs/>
                <w:sz w:val="18"/>
                <w:szCs w:val="18"/>
              </w:rPr>
              <w:t>Les travaux de protection antirouille nécessaire ;</w:t>
            </w:r>
          </w:p>
          <w:p w14:paraId="36E35AC9" w14:textId="77777777" w:rsidR="00117B7F" w:rsidRPr="005830D1" w:rsidRDefault="00117B7F" w:rsidP="002A45C1">
            <w:pPr>
              <w:pStyle w:val="Paragraphedeliste"/>
              <w:numPr>
                <w:ilvl w:val="0"/>
                <w:numId w:val="102"/>
              </w:numPr>
              <w:spacing w:after="0"/>
              <w:ind w:left="720"/>
              <w:jc w:val="left"/>
              <w:rPr>
                <w:bCs/>
                <w:sz w:val="18"/>
                <w:szCs w:val="18"/>
              </w:rPr>
            </w:pPr>
            <w:r w:rsidRPr="005830D1">
              <w:rPr>
                <w:bCs/>
                <w:sz w:val="18"/>
                <w:szCs w:val="18"/>
              </w:rPr>
              <w:t>La pose des platines de fixation coulées dans les bétons des poteaux conformément au plan d’exécution ;</w:t>
            </w:r>
          </w:p>
          <w:p w14:paraId="4B1EA4DD" w14:textId="77777777" w:rsidR="00117B7F" w:rsidRPr="005830D1" w:rsidRDefault="00117B7F" w:rsidP="002A45C1">
            <w:pPr>
              <w:pStyle w:val="Paragraphedeliste"/>
              <w:numPr>
                <w:ilvl w:val="0"/>
                <w:numId w:val="102"/>
              </w:numPr>
              <w:spacing w:after="0"/>
              <w:ind w:left="720"/>
              <w:jc w:val="left"/>
              <w:rPr>
                <w:bCs/>
                <w:sz w:val="18"/>
                <w:szCs w:val="18"/>
              </w:rPr>
            </w:pPr>
            <w:r w:rsidRPr="005830D1">
              <w:rPr>
                <w:bCs/>
                <w:sz w:val="18"/>
                <w:szCs w:val="18"/>
              </w:rPr>
              <w:t>La pose (boulonnage et soudure) des poutres en IPN120 ;</w:t>
            </w:r>
          </w:p>
          <w:p w14:paraId="71A795F0" w14:textId="77777777" w:rsidR="00117B7F" w:rsidRPr="005830D1" w:rsidRDefault="00117B7F" w:rsidP="002A45C1">
            <w:pPr>
              <w:pStyle w:val="Paragraphedeliste"/>
              <w:numPr>
                <w:ilvl w:val="0"/>
                <w:numId w:val="102"/>
              </w:numPr>
              <w:spacing w:after="0"/>
              <w:ind w:left="720"/>
              <w:jc w:val="left"/>
              <w:rPr>
                <w:bCs/>
                <w:sz w:val="18"/>
                <w:szCs w:val="18"/>
              </w:rPr>
            </w:pPr>
            <w:r w:rsidRPr="005830D1">
              <w:rPr>
                <w:bCs/>
                <w:sz w:val="18"/>
                <w:szCs w:val="18"/>
              </w:rPr>
              <w:t>La pose des pannes en IPN80 ainsi que les raidisseurs ;</w:t>
            </w:r>
          </w:p>
          <w:p w14:paraId="4530085B" w14:textId="77777777" w:rsidR="00117B7F" w:rsidRPr="005830D1" w:rsidRDefault="00117B7F" w:rsidP="002A45C1">
            <w:pPr>
              <w:pStyle w:val="Paragraphedeliste"/>
              <w:numPr>
                <w:ilvl w:val="0"/>
                <w:numId w:val="102"/>
              </w:numPr>
              <w:spacing w:after="0"/>
              <w:ind w:left="720"/>
              <w:jc w:val="left"/>
              <w:rPr>
                <w:bCs/>
                <w:sz w:val="18"/>
                <w:szCs w:val="18"/>
              </w:rPr>
            </w:pPr>
            <w:r w:rsidRPr="005830D1">
              <w:rPr>
                <w:bCs/>
                <w:sz w:val="18"/>
                <w:szCs w:val="18"/>
              </w:rPr>
              <w:t xml:space="preserve">La pose de la tôle bac autoportant de 7,2 kg conformément au plan de </w:t>
            </w:r>
            <w:proofErr w:type="spellStart"/>
            <w:r w:rsidRPr="005830D1">
              <w:rPr>
                <w:bCs/>
                <w:sz w:val="18"/>
                <w:szCs w:val="18"/>
              </w:rPr>
              <w:t>calpinage</w:t>
            </w:r>
            <w:proofErr w:type="spellEnd"/>
            <w:r w:rsidRPr="005830D1">
              <w:rPr>
                <w:bCs/>
                <w:sz w:val="18"/>
                <w:szCs w:val="18"/>
              </w:rPr>
              <w:t> ;</w:t>
            </w:r>
          </w:p>
          <w:p w14:paraId="5EBD61C0" w14:textId="77777777" w:rsidR="00117B7F" w:rsidRPr="005830D1" w:rsidRDefault="00117B7F" w:rsidP="002A45C1">
            <w:pPr>
              <w:pStyle w:val="Paragraphedeliste"/>
              <w:numPr>
                <w:ilvl w:val="0"/>
                <w:numId w:val="102"/>
              </w:numPr>
              <w:spacing w:after="0"/>
              <w:ind w:left="720"/>
              <w:jc w:val="left"/>
              <w:rPr>
                <w:bCs/>
                <w:sz w:val="18"/>
                <w:szCs w:val="18"/>
              </w:rPr>
            </w:pPr>
            <w:r w:rsidRPr="005830D1">
              <w:rPr>
                <w:bCs/>
                <w:sz w:val="18"/>
                <w:szCs w:val="18"/>
              </w:rPr>
              <w:t>Les vérifications nécessaires ainsi que toutes sujétions ;</w:t>
            </w:r>
          </w:p>
          <w:p w14:paraId="225BE2A9" w14:textId="77777777" w:rsidR="00117B7F" w:rsidRPr="005830D1" w:rsidRDefault="00117B7F" w:rsidP="002A45C1">
            <w:pPr>
              <w:pStyle w:val="Paragraphedeliste"/>
              <w:numPr>
                <w:ilvl w:val="0"/>
                <w:numId w:val="102"/>
              </w:numPr>
              <w:spacing w:after="0"/>
              <w:ind w:left="720"/>
              <w:jc w:val="left"/>
              <w:rPr>
                <w:bCs/>
                <w:sz w:val="18"/>
                <w:szCs w:val="18"/>
              </w:rPr>
            </w:pPr>
            <w:r w:rsidRPr="005830D1">
              <w:rPr>
                <w:bCs/>
                <w:sz w:val="18"/>
                <w:szCs w:val="18"/>
              </w:rPr>
              <w:t xml:space="preserve">La main d’œuvre qualifiée et non qualifiée. </w:t>
            </w:r>
          </w:p>
          <w:p w14:paraId="3A13340D" w14:textId="77777777" w:rsidR="00117B7F" w:rsidRPr="005830D1" w:rsidRDefault="00117B7F" w:rsidP="007F0E33">
            <w:pPr>
              <w:spacing w:after="0"/>
              <w:ind w:left="0" w:firstLine="0"/>
              <w:jc w:val="left"/>
              <w:rPr>
                <w:bCs/>
                <w:sz w:val="18"/>
                <w:szCs w:val="18"/>
              </w:rPr>
            </w:pPr>
          </w:p>
          <w:p w14:paraId="0DC0BB94" w14:textId="77777777" w:rsidR="00117B7F" w:rsidRPr="005830D1" w:rsidRDefault="00117B7F" w:rsidP="007F0E33">
            <w:pPr>
              <w:spacing w:after="0"/>
              <w:ind w:left="0" w:firstLine="0"/>
              <w:jc w:val="left"/>
              <w:rPr>
                <w:sz w:val="18"/>
                <w:szCs w:val="18"/>
              </w:rPr>
            </w:pPr>
            <w:r w:rsidRPr="005830D1">
              <w:rPr>
                <w:i/>
                <w:sz w:val="18"/>
                <w:szCs w:val="18"/>
              </w:rPr>
              <w:t>Ce prix s’applique à l’unité de tôle bac  fournis et mis en place constatée par l’ingénieur</w:t>
            </w:r>
          </w:p>
        </w:tc>
        <w:tc>
          <w:tcPr>
            <w:tcW w:w="315" w:type="pct"/>
            <w:tcBorders>
              <w:top w:val="nil"/>
              <w:left w:val="nil"/>
              <w:bottom w:val="single" w:sz="8" w:space="0" w:color="auto"/>
              <w:right w:val="single" w:sz="8" w:space="0" w:color="auto"/>
            </w:tcBorders>
            <w:shd w:val="clear" w:color="auto" w:fill="auto"/>
            <w:noWrap/>
            <w:vAlign w:val="center"/>
            <w:hideMark/>
          </w:tcPr>
          <w:p w14:paraId="35E8E2F9" w14:textId="77777777" w:rsidR="00117B7F" w:rsidRPr="005830D1" w:rsidRDefault="00117B7F" w:rsidP="007F0E33">
            <w:pPr>
              <w:spacing w:after="0"/>
              <w:ind w:left="0" w:firstLine="0"/>
              <w:jc w:val="center"/>
              <w:rPr>
                <w:sz w:val="20"/>
              </w:rPr>
            </w:pPr>
            <w:r w:rsidRPr="005830D1">
              <w:rPr>
                <w:sz w:val="20"/>
              </w:rPr>
              <w:t>m²</w:t>
            </w:r>
          </w:p>
        </w:tc>
        <w:tc>
          <w:tcPr>
            <w:tcW w:w="520" w:type="pct"/>
            <w:tcBorders>
              <w:top w:val="nil"/>
              <w:left w:val="nil"/>
              <w:bottom w:val="single" w:sz="8" w:space="0" w:color="auto"/>
              <w:right w:val="nil"/>
            </w:tcBorders>
            <w:shd w:val="clear" w:color="auto" w:fill="auto"/>
            <w:noWrap/>
            <w:vAlign w:val="center"/>
          </w:tcPr>
          <w:p w14:paraId="42584BDD" w14:textId="77777777" w:rsidR="00117B7F" w:rsidRPr="005830D1" w:rsidRDefault="00117B7F" w:rsidP="007F0E33">
            <w:pPr>
              <w:spacing w:after="0"/>
              <w:ind w:left="0" w:firstLine="0"/>
              <w:jc w:val="right"/>
              <w:rPr>
                <w:sz w:val="20"/>
              </w:rPr>
            </w:pPr>
          </w:p>
        </w:tc>
        <w:tc>
          <w:tcPr>
            <w:tcW w:w="910" w:type="pct"/>
            <w:tcBorders>
              <w:top w:val="nil"/>
              <w:left w:val="single" w:sz="4" w:space="0" w:color="auto"/>
              <w:bottom w:val="single" w:sz="4" w:space="0" w:color="auto"/>
              <w:right w:val="single" w:sz="4" w:space="0" w:color="auto"/>
            </w:tcBorders>
            <w:shd w:val="clear" w:color="auto" w:fill="auto"/>
            <w:noWrap/>
            <w:vAlign w:val="bottom"/>
            <w:hideMark/>
          </w:tcPr>
          <w:p w14:paraId="50633C38" w14:textId="77777777" w:rsidR="00117B7F" w:rsidRPr="005830D1" w:rsidRDefault="00117B7F" w:rsidP="007F0E33">
            <w:pPr>
              <w:spacing w:after="0"/>
              <w:ind w:left="0" w:firstLine="0"/>
              <w:jc w:val="left"/>
              <w:rPr>
                <w:sz w:val="20"/>
              </w:rPr>
            </w:pPr>
            <w:r w:rsidRPr="005830D1">
              <w:rPr>
                <w:sz w:val="20"/>
              </w:rPr>
              <w:t> </w:t>
            </w:r>
          </w:p>
        </w:tc>
      </w:tr>
      <w:tr w:rsidR="00117B7F" w:rsidRPr="005830D1" w14:paraId="304081E1" w14:textId="77777777" w:rsidTr="00386293">
        <w:trPr>
          <w:trHeight w:val="46"/>
          <w:jc w:val="center"/>
        </w:trPr>
        <w:tc>
          <w:tcPr>
            <w:tcW w:w="202" w:type="pct"/>
            <w:tcBorders>
              <w:top w:val="nil"/>
              <w:left w:val="double" w:sz="6" w:space="0" w:color="auto"/>
              <w:bottom w:val="single" w:sz="8" w:space="0" w:color="auto"/>
              <w:right w:val="single" w:sz="8" w:space="0" w:color="auto"/>
            </w:tcBorders>
            <w:shd w:val="clear" w:color="auto" w:fill="auto"/>
            <w:noWrap/>
            <w:vAlign w:val="center"/>
            <w:hideMark/>
          </w:tcPr>
          <w:p w14:paraId="3F019590" w14:textId="77777777" w:rsidR="00117B7F" w:rsidRPr="005830D1" w:rsidRDefault="00117B7F" w:rsidP="007F0E33">
            <w:pPr>
              <w:spacing w:after="0"/>
              <w:ind w:left="0" w:firstLine="0"/>
              <w:jc w:val="left"/>
              <w:rPr>
                <w:sz w:val="20"/>
              </w:rPr>
            </w:pPr>
            <w:r w:rsidRPr="005830D1">
              <w:rPr>
                <w:sz w:val="20"/>
              </w:rPr>
              <w:t> </w:t>
            </w:r>
          </w:p>
        </w:tc>
        <w:tc>
          <w:tcPr>
            <w:tcW w:w="3053" w:type="pct"/>
            <w:tcBorders>
              <w:top w:val="nil"/>
              <w:left w:val="nil"/>
              <w:bottom w:val="single" w:sz="8" w:space="0" w:color="auto"/>
              <w:right w:val="single" w:sz="8" w:space="0" w:color="auto"/>
            </w:tcBorders>
            <w:shd w:val="clear" w:color="auto" w:fill="auto"/>
            <w:vAlign w:val="center"/>
            <w:hideMark/>
          </w:tcPr>
          <w:p w14:paraId="3AD39D04" w14:textId="77777777" w:rsidR="00117B7F" w:rsidRPr="005830D1" w:rsidRDefault="00117B7F" w:rsidP="007F0E33">
            <w:pPr>
              <w:spacing w:after="0"/>
              <w:ind w:left="0" w:firstLine="0"/>
              <w:jc w:val="left"/>
              <w:rPr>
                <w:b/>
                <w:bCs/>
                <w:sz w:val="20"/>
              </w:rPr>
            </w:pPr>
            <w:r w:rsidRPr="005830D1">
              <w:rPr>
                <w:b/>
                <w:bCs/>
                <w:sz w:val="20"/>
              </w:rPr>
              <w:t>TOTAL COUVERTURE</w:t>
            </w:r>
          </w:p>
        </w:tc>
        <w:tc>
          <w:tcPr>
            <w:tcW w:w="315" w:type="pct"/>
            <w:tcBorders>
              <w:top w:val="nil"/>
              <w:left w:val="nil"/>
              <w:bottom w:val="single" w:sz="8" w:space="0" w:color="auto"/>
              <w:right w:val="single" w:sz="8" w:space="0" w:color="auto"/>
            </w:tcBorders>
            <w:shd w:val="clear" w:color="auto" w:fill="auto"/>
            <w:noWrap/>
            <w:vAlign w:val="center"/>
            <w:hideMark/>
          </w:tcPr>
          <w:p w14:paraId="633B64EA" w14:textId="77777777" w:rsidR="00117B7F" w:rsidRPr="005830D1" w:rsidRDefault="00117B7F" w:rsidP="007F0E33">
            <w:pPr>
              <w:spacing w:after="0"/>
              <w:ind w:left="0" w:firstLine="0"/>
              <w:jc w:val="center"/>
              <w:rPr>
                <w:sz w:val="20"/>
              </w:rPr>
            </w:pPr>
            <w:r w:rsidRPr="005830D1">
              <w:rPr>
                <w:sz w:val="20"/>
              </w:rPr>
              <w:t> </w:t>
            </w:r>
          </w:p>
        </w:tc>
        <w:tc>
          <w:tcPr>
            <w:tcW w:w="520" w:type="pct"/>
            <w:tcBorders>
              <w:top w:val="nil"/>
              <w:left w:val="nil"/>
              <w:bottom w:val="single" w:sz="8" w:space="0" w:color="auto"/>
              <w:right w:val="nil"/>
            </w:tcBorders>
            <w:shd w:val="clear" w:color="auto" w:fill="auto"/>
            <w:noWrap/>
            <w:vAlign w:val="center"/>
          </w:tcPr>
          <w:p w14:paraId="789B4344" w14:textId="77777777" w:rsidR="00117B7F" w:rsidRPr="005830D1" w:rsidRDefault="00117B7F" w:rsidP="007F0E33">
            <w:pPr>
              <w:spacing w:after="0"/>
              <w:ind w:left="0" w:firstLine="0"/>
              <w:jc w:val="right"/>
              <w:rPr>
                <w:sz w:val="20"/>
              </w:rPr>
            </w:pPr>
          </w:p>
        </w:tc>
        <w:tc>
          <w:tcPr>
            <w:tcW w:w="910" w:type="pct"/>
            <w:tcBorders>
              <w:top w:val="nil"/>
              <w:left w:val="single" w:sz="4" w:space="0" w:color="auto"/>
              <w:bottom w:val="single" w:sz="4" w:space="0" w:color="auto"/>
              <w:right w:val="single" w:sz="4" w:space="0" w:color="auto"/>
            </w:tcBorders>
            <w:shd w:val="clear" w:color="auto" w:fill="auto"/>
            <w:noWrap/>
            <w:vAlign w:val="bottom"/>
            <w:hideMark/>
          </w:tcPr>
          <w:p w14:paraId="777074DF" w14:textId="77777777" w:rsidR="00117B7F" w:rsidRPr="005830D1" w:rsidRDefault="00117B7F" w:rsidP="007F0E33">
            <w:pPr>
              <w:spacing w:after="0"/>
              <w:ind w:left="0" w:firstLine="0"/>
              <w:jc w:val="left"/>
              <w:rPr>
                <w:sz w:val="20"/>
              </w:rPr>
            </w:pPr>
            <w:r w:rsidRPr="005830D1">
              <w:rPr>
                <w:sz w:val="20"/>
              </w:rPr>
              <w:t> </w:t>
            </w:r>
          </w:p>
        </w:tc>
      </w:tr>
      <w:tr w:rsidR="00117B7F" w:rsidRPr="005830D1" w14:paraId="460F1BC5" w14:textId="77777777" w:rsidTr="007F0E33">
        <w:trPr>
          <w:trHeight w:val="49"/>
          <w:jc w:val="center"/>
        </w:trPr>
        <w:tc>
          <w:tcPr>
            <w:tcW w:w="202" w:type="pct"/>
            <w:tcBorders>
              <w:top w:val="nil"/>
              <w:left w:val="double" w:sz="6" w:space="0" w:color="auto"/>
              <w:bottom w:val="single" w:sz="8" w:space="0" w:color="auto"/>
              <w:right w:val="single" w:sz="8" w:space="0" w:color="auto"/>
            </w:tcBorders>
            <w:shd w:val="clear" w:color="auto" w:fill="auto"/>
            <w:noWrap/>
            <w:vAlign w:val="center"/>
            <w:hideMark/>
          </w:tcPr>
          <w:p w14:paraId="35C359C0" w14:textId="77777777" w:rsidR="00117B7F" w:rsidRPr="005830D1" w:rsidRDefault="00117B7F" w:rsidP="007F0E33">
            <w:pPr>
              <w:spacing w:after="0"/>
              <w:ind w:left="0" w:firstLine="0"/>
              <w:jc w:val="left"/>
              <w:rPr>
                <w:sz w:val="20"/>
              </w:rPr>
            </w:pPr>
            <w:r w:rsidRPr="005830D1">
              <w:rPr>
                <w:sz w:val="20"/>
              </w:rPr>
              <w:t> </w:t>
            </w:r>
          </w:p>
        </w:tc>
        <w:tc>
          <w:tcPr>
            <w:tcW w:w="3053" w:type="pct"/>
            <w:tcBorders>
              <w:top w:val="nil"/>
              <w:left w:val="nil"/>
              <w:bottom w:val="single" w:sz="8" w:space="0" w:color="auto"/>
              <w:right w:val="single" w:sz="8" w:space="0" w:color="auto"/>
            </w:tcBorders>
            <w:shd w:val="clear" w:color="auto" w:fill="auto"/>
            <w:vAlign w:val="center"/>
            <w:hideMark/>
          </w:tcPr>
          <w:p w14:paraId="2256D964" w14:textId="77777777" w:rsidR="00117B7F" w:rsidRPr="005830D1" w:rsidRDefault="00117B7F" w:rsidP="007F0E33">
            <w:pPr>
              <w:spacing w:after="0"/>
              <w:ind w:left="0" w:firstLine="0"/>
              <w:jc w:val="left"/>
              <w:rPr>
                <w:b/>
                <w:bCs/>
                <w:sz w:val="20"/>
              </w:rPr>
            </w:pPr>
            <w:r w:rsidRPr="005830D1">
              <w:rPr>
                <w:b/>
                <w:bCs/>
                <w:sz w:val="20"/>
              </w:rPr>
              <w:t>V ENDUIT ET REVETEMENT</w:t>
            </w:r>
          </w:p>
        </w:tc>
        <w:tc>
          <w:tcPr>
            <w:tcW w:w="315" w:type="pct"/>
            <w:tcBorders>
              <w:top w:val="nil"/>
              <w:left w:val="nil"/>
              <w:bottom w:val="single" w:sz="8" w:space="0" w:color="auto"/>
              <w:right w:val="single" w:sz="8" w:space="0" w:color="auto"/>
            </w:tcBorders>
            <w:shd w:val="clear" w:color="auto" w:fill="auto"/>
            <w:noWrap/>
            <w:vAlign w:val="center"/>
            <w:hideMark/>
          </w:tcPr>
          <w:p w14:paraId="78DEA578" w14:textId="77777777" w:rsidR="00117B7F" w:rsidRPr="005830D1" w:rsidRDefault="00117B7F" w:rsidP="007F0E33">
            <w:pPr>
              <w:spacing w:after="0"/>
              <w:ind w:left="0" w:firstLine="0"/>
              <w:jc w:val="center"/>
              <w:rPr>
                <w:sz w:val="20"/>
              </w:rPr>
            </w:pPr>
            <w:r w:rsidRPr="005830D1">
              <w:rPr>
                <w:sz w:val="20"/>
              </w:rPr>
              <w:t> </w:t>
            </w:r>
          </w:p>
        </w:tc>
        <w:tc>
          <w:tcPr>
            <w:tcW w:w="520" w:type="pct"/>
            <w:tcBorders>
              <w:top w:val="nil"/>
              <w:left w:val="nil"/>
              <w:bottom w:val="single" w:sz="8" w:space="0" w:color="auto"/>
              <w:right w:val="nil"/>
            </w:tcBorders>
            <w:shd w:val="clear" w:color="auto" w:fill="auto"/>
            <w:noWrap/>
            <w:vAlign w:val="center"/>
          </w:tcPr>
          <w:p w14:paraId="107EEC20" w14:textId="77777777" w:rsidR="00117B7F" w:rsidRPr="005830D1" w:rsidRDefault="00117B7F" w:rsidP="007F0E33">
            <w:pPr>
              <w:spacing w:after="0"/>
              <w:ind w:left="0" w:firstLine="0"/>
              <w:jc w:val="left"/>
              <w:rPr>
                <w:sz w:val="20"/>
              </w:rPr>
            </w:pPr>
          </w:p>
        </w:tc>
        <w:tc>
          <w:tcPr>
            <w:tcW w:w="910" w:type="pct"/>
            <w:tcBorders>
              <w:top w:val="nil"/>
              <w:left w:val="single" w:sz="4" w:space="0" w:color="auto"/>
              <w:bottom w:val="single" w:sz="4" w:space="0" w:color="auto"/>
              <w:right w:val="single" w:sz="4" w:space="0" w:color="auto"/>
            </w:tcBorders>
            <w:shd w:val="clear" w:color="auto" w:fill="auto"/>
            <w:noWrap/>
            <w:vAlign w:val="bottom"/>
            <w:hideMark/>
          </w:tcPr>
          <w:p w14:paraId="70354118" w14:textId="77777777" w:rsidR="00117B7F" w:rsidRPr="005830D1" w:rsidRDefault="00117B7F" w:rsidP="007F0E33">
            <w:pPr>
              <w:spacing w:after="0"/>
              <w:ind w:left="0" w:firstLine="0"/>
              <w:jc w:val="left"/>
              <w:rPr>
                <w:sz w:val="20"/>
              </w:rPr>
            </w:pPr>
            <w:r w:rsidRPr="005830D1">
              <w:rPr>
                <w:sz w:val="20"/>
              </w:rPr>
              <w:t> </w:t>
            </w:r>
          </w:p>
        </w:tc>
      </w:tr>
      <w:tr w:rsidR="00117B7F" w:rsidRPr="005830D1" w14:paraId="05A0E041" w14:textId="77777777" w:rsidTr="007F0E33">
        <w:trPr>
          <w:trHeight w:val="1380"/>
          <w:jc w:val="center"/>
        </w:trPr>
        <w:tc>
          <w:tcPr>
            <w:tcW w:w="202" w:type="pct"/>
            <w:tcBorders>
              <w:top w:val="single" w:sz="4" w:space="0" w:color="auto"/>
              <w:left w:val="double" w:sz="6" w:space="0" w:color="auto"/>
              <w:bottom w:val="single" w:sz="8" w:space="0" w:color="auto"/>
              <w:right w:val="single" w:sz="8" w:space="0" w:color="auto"/>
            </w:tcBorders>
            <w:shd w:val="clear" w:color="auto" w:fill="auto"/>
            <w:noWrap/>
            <w:vAlign w:val="center"/>
            <w:hideMark/>
          </w:tcPr>
          <w:p w14:paraId="4CA93DB1" w14:textId="77777777" w:rsidR="00117B7F" w:rsidRPr="005830D1" w:rsidRDefault="00117B7F" w:rsidP="007F0E33">
            <w:pPr>
              <w:spacing w:after="0"/>
              <w:ind w:left="0" w:firstLine="0"/>
              <w:jc w:val="left"/>
              <w:rPr>
                <w:sz w:val="20"/>
              </w:rPr>
            </w:pPr>
            <w:r w:rsidRPr="005830D1">
              <w:rPr>
                <w:sz w:val="20"/>
              </w:rPr>
              <w:t>5.1</w:t>
            </w:r>
          </w:p>
        </w:tc>
        <w:tc>
          <w:tcPr>
            <w:tcW w:w="3053" w:type="pct"/>
            <w:tcBorders>
              <w:top w:val="single" w:sz="4" w:space="0" w:color="auto"/>
              <w:left w:val="nil"/>
              <w:bottom w:val="single" w:sz="8" w:space="0" w:color="auto"/>
              <w:right w:val="single" w:sz="8" w:space="0" w:color="auto"/>
            </w:tcBorders>
            <w:shd w:val="clear" w:color="auto" w:fill="auto"/>
            <w:hideMark/>
          </w:tcPr>
          <w:p w14:paraId="13B08313" w14:textId="77777777" w:rsidR="00117B7F" w:rsidRPr="005830D1" w:rsidRDefault="00117B7F" w:rsidP="007F0E33">
            <w:pPr>
              <w:spacing w:after="0"/>
              <w:ind w:left="0" w:firstLine="0"/>
              <w:jc w:val="left"/>
              <w:rPr>
                <w:sz w:val="18"/>
                <w:szCs w:val="18"/>
              </w:rPr>
            </w:pPr>
            <w:r w:rsidRPr="005830D1">
              <w:rPr>
                <w:b/>
                <w:bCs/>
                <w:sz w:val="20"/>
              </w:rPr>
              <w:t xml:space="preserve">Enduit intérieur au mortier de ciment dosé à 400kg/m3 en deux couches                                                                                                   </w:t>
            </w:r>
            <w:r w:rsidRPr="005830D1">
              <w:rPr>
                <w:sz w:val="18"/>
                <w:szCs w:val="18"/>
              </w:rPr>
              <w:t>Ce prix rémunère au m</w:t>
            </w:r>
            <w:r>
              <w:rPr>
                <w:sz w:val="18"/>
                <w:szCs w:val="18"/>
              </w:rPr>
              <w:t>²</w:t>
            </w:r>
            <w:r w:rsidRPr="005830D1">
              <w:rPr>
                <w:sz w:val="18"/>
                <w:szCs w:val="18"/>
              </w:rPr>
              <w:t xml:space="preserve">, la mise en œuvre d'un enduit deux couches sur murs intérieurs au mortier de ciment dosé à 400 kg/m3. </w:t>
            </w:r>
            <w:r w:rsidRPr="005830D1">
              <w:rPr>
                <w:sz w:val="18"/>
                <w:szCs w:val="18"/>
              </w:rPr>
              <w:br/>
              <w:t>Il comprend : la fourniture des matériaux, la mise en œuvre d’un gobetis, d'une couche de dressage et d'une couche de finition, le respect du retrait entre chaque couches la fourniture et la mise en œuvre d'échafaudages ainsi que toutes sujétions nécessaires à la bonne exécution.</w:t>
            </w:r>
          </w:p>
          <w:p w14:paraId="75A12639" w14:textId="77777777" w:rsidR="00117B7F" w:rsidRPr="005830D1" w:rsidRDefault="00117B7F" w:rsidP="007F0E33">
            <w:pPr>
              <w:spacing w:after="0"/>
              <w:ind w:left="0" w:firstLine="0"/>
              <w:jc w:val="left"/>
              <w:rPr>
                <w:b/>
                <w:bCs/>
                <w:sz w:val="20"/>
              </w:rPr>
            </w:pPr>
          </w:p>
          <w:p w14:paraId="42444CFF" w14:textId="77777777" w:rsidR="00117B7F" w:rsidRPr="005830D1" w:rsidRDefault="00117B7F" w:rsidP="007F0E33">
            <w:pPr>
              <w:spacing w:after="0"/>
              <w:ind w:left="0" w:firstLine="0"/>
              <w:jc w:val="left"/>
              <w:rPr>
                <w:b/>
                <w:bCs/>
                <w:sz w:val="20"/>
              </w:rPr>
            </w:pPr>
            <w:r w:rsidRPr="005830D1">
              <w:rPr>
                <w:i/>
                <w:sz w:val="18"/>
                <w:szCs w:val="18"/>
              </w:rPr>
              <w:lastRenderedPageBreak/>
              <w:t>Ce prix s’applique à la surface, en mètre carré (m²), d’enduit réalisé, avec comme valeur maximale celle obtenue à partir des plans d’exécution des ouvrages.</w:t>
            </w:r>
          </w:p>
        </w:tc>
        <w:tc>
          <w:tcPr>
            <w:tcW w:w="315" w:type="pct"/>
            <w:tcBorders>
              <w:top w:val="single" w:sz="4" w:space="0" w:color="auto"/>
              <w:left w:val="nil"/>
              <w:bottom w:val="single" w:sz="8" w:space="0" w:color="auto"/>
              <w:right w:val="single" w:sz="8" w:space="0" w:color="auto"/>
            </w:tcBorders>
            <w:shd w:val="clear" w:color="auto" w:fill="auto"/>
            <w:noWrap/>
            <w:vAlign w:val="center"/>
            <w:hideMark/>
          </w:tcPr>
          <w:p w14:paraId="514AA8E1" w14:textId="77777777" w:rsidR="00117B7F" w:rsidRPr="005830D1" w:rsidRDefault="00117B7F" w:rsidP="007F0E33">
            <w:pPr>
              <w:spacing w:after="0"/>
              <w:ind w:left="0" w:firstLine="0"/>
              <w:jc w:val="center"/>
              <w:rPr>
                <w:sz w:val="20"/>
              </w:rPr>
            </w:pPr>
            <w:r w:rsidRPr="005830D1">
              <w:rPr>
                <w:sz w:val="20"/>
              </w:rPr>
              <w:lastRenderedPageBreak/>
              <w:t>m²</w:t>
            </w:r>
          </w:p>
        </w:tc>
        <w:tc>
          <w:tcPr>
            <w:tcW w:w="520" w:type="pct"/>
            <w:tcBorders>
              <w:top w:val="single" w:sz="4" w:space="0" w:color="auto"/>
              <w:left w:val="nil"/>
              <w:bottom w:val="single" w:sz="8" w:space="0" w:color="auto"/>
              <w:right w:val="nil"/>
            </w:tcBorders>
            <w:shd w:val="clear" w:color="auto" w:fill="auto"/>
            <w:noWrap/>
            <w:vAlign w:val="center"/>
          </w:tcPr>
          <w:p w14:paraId="383D9C33" w14:textId="77777777" w:rsidR="00117B7F" w:rsidRPr="005830D1" w:rsidRDefault="00117B7F" w:rsidP="007F0E33">
            <w:pPr>
              <w:spacing w:after="0"/>
              <w:ind w:left="0" w:firstLine="0"/>
              <w:jc w:val="right"/>
              <w:rPr>
                <w:sz w:val="20"/>
              </w:rPr>
            </w:pPr>
          </w:p>
        </w:tc>
        <w:tc>
          <w:tcPr>
            <w:tcW w:w="9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9E2FEA" w14:textId="77777777" w:rsidR="00117B7F" w:rsidRPr="005830D1" w:rsidRDefault="00117B7F" w:rsidP="007F0E33">
            <w:pPr>
              <w:spacing w:after="0"/>
              <w:ind w:left="0" w:firstLine="0"/>
              <w:jc w:val="left"/>
              <w:rPr>
                <w:sz w:val="20"/>
              </w:rPr>
            </w:pPr>
            <w:r w:rsidRPr="005830D1">
              <w:rPr>
                <w:sz w:val="20"/>
              </w:rPr>
              <w:t> </w:t>
            </w:r>
          </w:p>
        </w:tc>
      </w:tr>
      <w:tr w:rsidR="00117B7F" w:rsidRPr="005830D1" w14:paraId="3E93EFD4" w14:textId="77777777" w:rsidTr="007F0E33">
        <w:trPr>
          <w:trHeight w:val="2312"/>
          <w:jc w:val="center"/>
        </w:trPr>
        <w:tc>
          <w:tcPr>
            <w:tcW w:w="202" w:type="pct"/>
            <w:tcBorders>
              <w:top w:val="nil"/>
              <w:left w:val="double" w:sz="6" w:space="0" w:color="auto"/>
              <w:bottom w:val="single" w:sz="8" w:space="0" w:color="auto"/>
              <w:right w:val="single" w:sz="8" w:space="0" w:color="auto"/>
            </w:tcBorders>
            <w:shd w:val="clear" w:color="auto" w:fill="auto"/>
            <w:noWrap/>
            <w:vAlign w:val="center"/>
            <w:hideMark/>
          </w:tcPr>
          <w:p w14:paraId="07C7D297" w14:textId="77777777" w:rsidR="00117B7F" w:rsidRPr="005830D1" w:rsidRDefault="00117B7F" w:rsidP="007F0E33">
            <w:pPr>
              <w:spacing w:after="0"/>
              <w:ind w:left="0" w:firstLine="0"/>
              <w:jc w:val="left"/>
              <w:rPr>
                <w:sz w:val="20"/>
              </w:rPr>
            </w:pPr>
            <w:r w:rsidRPr="005830D1">
              <w:rPr>
                <w:sz w:val="20"/>
              </w:rPr>
              <w:lastRenderedPageBreak/>
              <w:t>5.2</w:t>
            </w:r>
          </w:p>
        </w:tc>
        <w:tc>
          <w:tcPr>
            <w:tcW w:w="3053" w:type="pct"/>
            <w:tcBorders>
              <w:top w:val="nil"/>
              <w:left w:val="nil"/>
              <w:bottom w:val="single" w:sz="8" w:space="0" w:color="auto"/>
              <w:right w:val="single" w:sz="8" w:space="0" w:color="auto"/>
            </w:tcBorders>
            <w:shd w:val="clear" w:color="auto" w:fill="auto"/>
            <w:vAlign w:val="center"/>
            <w:hideMark/>
          </w:tcPr>
          <w:p w14:paraId="17E6AE72" w14:textId="77777777" w:rsidR="00117B7F" w:rsidRPr="005830D1" w:rsidRDefault="00117B7F" w:rsidP="007F0E33">
            <w:pPr>
              <w:spacing w:after="0"/>
              <w:ind w:left="0" w:firstLine="0"/>
              <w:jc w:val="left"/>
              <w:rPr>
                <w:sz w:val="18"/>
                <w:szCs w:val="18"/>
              </w:rPr>
            </w:pPr>
            <w:r w:rsidRPr="005830D1">
              <w:rPr>
                <w:b/>
                <w:bCs/>
                <w:sz w:val="20"/>
              </w:rPr>
              <w:t xml:space="preserve">Enduit extérieur au mortier de ciment dosé à 400kg/m3 en deux couches                                                                                                  </w:t>
            </w:r>
            <w:r w:rsidRPr="005830D1">
              <w:rPr>
                <w:sz w:val="18"/>
                <w:szCs w:val="18"/>
              </w:rPr>
              <w:t xml:space="preserve">Ce prix rémunère au m², la mise en œuvre d'un enduit deux couches sur murs extérieurs au mortier de ciment dosé à 400 kg/m3. </w:t>
            </w:r>
            <w:r w:rsidRPr="005830D1">
              <w:rPr>
                <w:sz w:val="18"/>
                <w:szCs w:val="18"/>
              </w:rPr>
              <w:br/>
              <w:t>Il comprend : la fourniture des matériaux, la mise en œuvre d’un gobetis, d'une couche de dressage et d'une couche de finition, le respect du retrait entre chaque couches la fourniture et la mise en œuvre d'échafaudages ainsi que toutes sujétions nécessaires à la bonne exécution.</w:t>
            </w:r>
          </w:p>
          <w:p w14:paraId="07BEF8C0" w14:textId="77777777" w:rsidR="00117B7F" w:rsidRPr="005830D1" w:rsidRDefault="00117B7F" w:rsidP="007F0E33">
            <w:pPr>
              <w:spacing w:after="0"/>
              <w:ind w:left="0" w:firstLine="0"/>
              <w:jc w:val="left"/>
              <w:rPr>
                <w:sz w:val="18"/>
                <w:szCs w:val="18"/>
              </w:rPr>
            </w:pPr>
          </w:p>
          <w:p w14:paraId="44598D1B" w14:textId="77777777" w:rsidR="00117B7F" w:rsidRPr="005830D1" w:rsidRDefault="00117B7F" w:rsidP="007F0E33">
            <w:pPr>
              <w:spacing w:after="0"/>
              <w:ind w:left="0" w:firstLine="0"/>
              <w:jc w:val="left"/>
              <w:rPr>
                <w:b/>
                <w:bCs/>
                <w:sz w:val="20"/>
              </w:rPr>
            </w:pPr>
            <w:r w:rsidRPr="005830D1">
              <w:rPr>
                <w:i/>
                <w:sz w:val="18"/>
                <w:szCs w:val="18"/>
              </w:rPr>
              <w:t>Ce prix s’applique à la surface, en mètre carré (m2), d’enduit réalisé, avec comme valeur maximale celle obtenue à partir des plans d’exécution des ouvrages.</w:t>
            </w:r>
          </w:p>
        </w:tc>
        <w:tc>
          <w:tcPr>
            <w:tcW w:w="315" w:type="pct"/>
            <w:tcBorders>
              <w:top w:val="nil"/>
              <w:left w:val="nil"/>
              <w:bottom w:val="single" w:sz="8" w:space="0" w:color="auto"/>
              <w:right w:val="single" w:sz="8" w:space="0" w:color="auto"/>
            </w:tcBorders>
            <w:shd w:val="clear" w:color="auto" w:fill="auto"/>
            <w:noWrap/>
            <w:vAlign w:val="center"/>
            <w:hideMark/>
          </w:tcPr>
          <w:p w14:paraId="3A8716DB" w14:textId="77777777" w:rsidR="00117B7F" w:rsidRPr="005830D1" w:rsidRDefault="00117B7F" w:rsidP="007F0E33">
            <w:pPr>
              <w:spacing w:after="0"/>
              <w:ind w:left="0" w:firstLine="0"/>
              <w:jc w:val="center"/>
              <w:rPr>
                <w:sz w:val="20"/>
              </w:rPr>
            </w:pPr>
            <w:r w:rsidRPr="005830D1">
              <w:rPr>
                <w:sz w:val="20"/>
              </w:rPr>
              <w:t>m²</w:t>
            </w:r>
          </w:p>
        </w:tc>
        <w:tc>
          <w:tcPr>
            <w:tcW w:w="520" w:type="pct"/>
            <w:tcBorders>
              <w:top w:val="nil"/>
              <w:left w:val="nil"/>
              <w:bottom w:val="single" w:sz="8" w:space="0" w:color="auto"/>
              <w:right w:val="nil"/>
            </w:tcBorders>
            <w:shd w:val="clear" w:color="auto" w:fill="auto"/>
            <w:noWrap/>
            <w:vAlign w:val="center"/>
          </w:tcPr>
          <w:p w14:paraId="6B84A56D" w14:textId="77777777" w:rsidR="00117B7F" w:rsidRPr="005830D1" w:rsidRDefault="00117B7F" w:rsidP="007F0E33">
            <w:pPr>
              <w:spacing w:after="0"/>
              <w:ind w:left="0" w:firstLine="0"/>
              <w:jc w:val="right"/>
              <w:rPr>
                <w:sz w:val="20"/>
              </w:rPr>
            </w:pPr>
          </w:p>
        </w:tc>
        <w:tc>
          <w:tcPr>
            <w:tcW w:w="910" w:type="pct"/>
            <w:tcBorders>
              <w:top w:val="nil"/>
              <w:left w:val="single" w:sz="4" w:space="0" w:color="auto"/>
              <w:bottom w:val="single" w:sz="4" w:space="0" w:color="auto"/>
              <w:right w:val="single" w:sz="4" w:space="0" w:color="auto"/>
            </w:tcBorders>
            <w:shd w:val="clear" w:color="auto" w:fill="auto"/>
            <w:noWrap/>
            <w:vAlign w:val="bottom"/>
            <w:hideMark/>
          </w:tcPr>
          <w:p w14:paraId="5ACB2694" w14:textId="77777777" w:rsidR="00117B7F" w:rsidRPr="005830D1" w:rsidRDefault="00117B7F" w:rsidP="007F0E33">
            <w:pPr>
              <w:spacing w:after="0"/>
              <w:ind w:left="0" w:firstLine="0"/>
              <w:jc w:val="left"/>
              <w:rPr>
                <w:sz w:val="20"/>
              </w:rPr>
            </w:pPr>
            <w:r w:rsidRPr="005830D1">
              <w:rPr>
                <w:sz w:val="20"/>
              </w:rPr>
              <w:t> </w:t>
            </w:r>
          </w:p>
        </w:tc>
      </w:tr>
      <w:tr w:rsidR="00117B7F" w:rsidRPr="005830D1" w14:paraId="29B68A72" w14:textId="77777777" w:rsidTr="007F0E33">
        <w:trPr>
          <w:trHeight w:val="49"/>
          <w:jc w:val="center"/>
        </w:trPr>
        <w:tc>
          <w:tcPr>
            <w:tcW w:w="202" w:type="pct"/>
            <w:tcBorders>
              <w:top w:val="nil"/>
              <w:left w:val="double" w:sz="6" w:space="0" w:color="auto"/>
              <w:bottom w:val="single" w:sz="8" w:space="0" w:color="auto"/>
              <w:right w:val="single" w:sz="8" w:space="0" w:color="auto"/>
            </w:tcBorders>
            <w:shd w:val="clear" w:color="auto" w:fill="auto"/>
            <w:noWrap/>
            <w:vAlign w:val="center"/>
            <w:hideMark/>
          </w:tcPr>
          <w:p w14:paraId="4C647FB7" w14:textId="77777777" w:rsidR="00117B7F" w:rsidRPr="005830D1" w:rsidRDefault="00117B7F" w:rsidP="007F0E33">
            <w:pPr>
              <w:spacing w:after="0"/>
              <w:ind w:left="0" w:firstLine="0"/>
              <w:jc w:val="left"/>
              <w:rPr>
                <w:sz w:val="20"/>
              </w:rPr>
            </w:pPr>
            <w:r w:rsidRPr="005830D1">
              <w:rPr>
                <w:sz w:val="20"/>
              </w:rPr>
              <w:t> </w:t>
            </w:r>
          </w:p>
        </w:tc>
        <w:tc>
          <w:tcPr>
            <w:tcW w:w="3053" w:type="pct"/>
            <w:tcBorders>
              <w:top w:val="nil"/>
              <w:left w:val="nil"/>
              <w:bottom w:val="single" w:sz="8" w:space="0" w:color="auto"/>
              <w:right w:val="single" w:sz="8" w:space="0" w:color="auto"/>
            </w:tcBorders>
            <w:shd w:val="clear" w:color="auto" w:fill="auto"/>
            <w:vAlign w:val="center"/>
            <w:hideMark/>
          </w:tcPr>
          <w:p w14:paraId="4684784E" w14:textId="77777777" w:rsidR="00117B7F" w:rsidRPr="005830D1" w:rsidRDefault="00117B7F" w:rsidP="007F0E33">
            <w:pPr>
              <w:spacing w:after="0"/>
              <w:ind w:left="0" w:firstLine="0"/>
              <w:jc w:val="left"/>
              <w:rPr>
                <w:b/>
                <w:bCs/>
                <w:sz w:val="20"/>
              </w:rPr>
            </w:pPr>
            <w:r w:rsidRPr="005830D1">
              <w:rPr>
                <w:b/>
                <w:bCs/>
                <w:sz w:val="20"/>
              </w:rPr>
              <w:t>TOTAL ENDUITS</w:t>
            </w:r>
          </w:p>
        </w:tc>
        <w:tc>
          <w:tcPr>
            <w:tcW w:w="315" w:type="pct"/>
            <w:tcBorders>
              <w:top w:val="nil"/>
              <w:left w:val="nil"/>
              <w:bottom w:val="single" w:sz="8" w:space="0" w:color="auto"/>
              <w:right w:val="single" w:sz="8" w:space="0" w:color="auto"/>
            </w:tcBorders>
            <w:shd w:val="clear" w:color="auto" w:fill="auto"/>
            <w:noWrap/>
            <w:vAlign w:val="center"/>
            <w:hideMark/>
          </w:tcPr>
          <w:p w14:paraId="63082698" w14:textId="77777777" w:rsidR="00117B7F" w:rsidRPr="005830D1" w:rsidRDefault="00117B7F" w:rsidP="007F0E33">
            <w:pPr>
              <w:spacing w:after="0"/>
              <w:ind w:left="0" w:firstLine="0"/>
              <w:jc w:val="center"/>
              <w:rPr>
                <w:sz w:val="20"/>
              </w:rPr>
            </w:pPr>
            <w:r w:rsidRPr="005830D1">
              <w:rPr>
                <w:sz w:val="20"/>
              </w:rPr>
              <w:t> </w:t>
            </w:r>
          </w:p>
        </w:tc>
        <w:tc>
          <w:tcPr>
            <w:tcW w:w="520" w:type="pct"/>
            <w:tcBorders>
              <w:top w:val="nil"/>
              <w:left w:val="nil"/>
              <w:bottom w:val="single" w:sz="8" w:space="0" w:color="auto"/>
              <w:right w:val="nil"/>
            </w:tcBorders>
            <w:shd w:val="clear" w:color="auto" w:fill="auto"/>
            <w:noWrap/>
            <w:vAlign w:val="center"/>
          </w:tcPr>
          <w:p w14:paraId="4ABD8264" w14:textId="77777777" w:rsidR="00117B7F" w:rsidRPr="005830D1" w:rsidRDefault="00117B7F" w:rsidP="007F0E33">
            <w:pPr>
              <w:spacing w:after="0"/>
              <w:ind w:left="0" w:firstLine="0"/>
              <w:jc w:val="left"/>
              <w:rPr>
                <w:sz w:val="20"/>
              </w:rPr>
            </w:pPr>
          </w:p>
        </w:tc>
        <w:tc>
          <w:tcPr>
            <w:tcW w:w="910" w:type="pct"/>
            <w:tcBorders>
              <w:top w:val="nil"/>
              <w:left w:val="single" w:sz="4" w:space="0" w:color="auto"/>
              <w:bottom w:val="single" w:sz="4" w:space="0" w:color="auto"/>
              <w:right w:val="single" w:sz="4" w:space="0" w:color="auto"/>
            </w:tcBorders>
            <w:shd w:val="clear" w:color="auto" w:fill="auto"/>
            <w:noWrap/>
            <w:vAlign w:val="bottom"/>
            <w:hideMark/>
          </w:tcPr>
          <w:p w14:paraId="634002C1" w14:textId="77777777" w:rsidR="00117B7F" w:rsidRPr="005830D1" w:rsidRDefault="00117B7F" w:rsidP="007F0E33">
            <w:pPr>
              <w:spacing w:after="0"/>
              <w:ind w:left="0" w:firstLine="0"/>
              <w:jc w:val="left"/>
              <w:rPr>
                <w:sz w:val="20"/>
              </w:rPr>
            </w:pPr>
            <w:r w:rsidRPr="005830D1">
              <w:rPr>
                <w:sz w:val="20"/>
              </w:rPr>
              <w:t> </w:t>
            </w:r>
          </w:p>
        </w:tc>
      </w:tr>
      <w:tr w:rsidR="00117B7F" w:rsidRPr="005830D1" w14:paraId="3FBBBC92" w14:textId="77777777" w:rsidTr="007F0E33">
        <w:trPr>
          <w:trHeight w:val="49"/>
          <w:jc w:val="center"/>
        </w:trPr>
        <w:tc>
          <w:tcPr>
            <w:tcW w:w="202" w:type="pct"/>
            <w:tcBorders>
              <w:top w:val="nil"/>
              <w:left w:val="double" w:sz="6" w:space="0" w:color="auto"/>
              <w:bottom w:val="single" w:sz="8" w:space="0" w:color="auto"/>
              <w:right w:val="single" w:sz="8" w:space="0" w:color="auto"/>
            </w:tcBorders>
            <w:shd w:val="clear" w:color="auto" w:fill="auto"/>
            <w:noWrap/>
            <w:vAlign w:val="center"/>
            <w:hideMark/>
          </w:tcPr>
          <w:p w14:paraId="5AE9F335" w14:textId="77777777" w:rsidR="00117B7F" w:rsidRPr="005830D1" w:rsidRDefault="00117B7F" w:rsidP="007F0E33">
            <w:pPr>
              <w:spacing w:after="0"/>
              <w:ind w:left="0" w:firstLine="0"/>
              <w:jc w:val="left"/>
              <w:rPr>
                <w:sz w:val="20"/>
              </w:rPr>
            </w:pPr>
            <w:r w:rsidRPr="005830D1">
              <w:rPr>
                <w:sz w:val="20"/>
              </w:rPr>
              <w:t> </w:t>
            </w:r>
          </w:p>
        </w:tc>
        <w:tc>
          <w:tcPr>
            <w:tcW w:w="3053" w:type="pct"/>
            <w:tcBorders>
              <w:top w:val="nil"/>
              <w:left w:val="nil"/>
              <w:bottom w:val="single" w:sz="8" w:space="0" w:color="auto"/>
              <w:right w:val="single" w:sz="8" w:space="0" w:color="auto"/>
            </w:tcBorders>
            <w:shd w:val="clear" w:color="auto" w:fill="auto"/>
            <w:vAlign w:val="center"/>
            <w:hideMark/>
          </w:tcPr>
          <w:p w14:paraId="5C241025" w14:textId="77777777" w:rsidR="00117B7F" w:rsidRPr="005830D1" w:rsidRDefault="00117B7F" w:rsidP="007F0E33">
            <w:pPr>
              <w:spacing w:after="0"/>
              <w:ind w:left="0" w:firstLine="0"/>
              <w:jc w:val="left"/>
              <w:rPr>
                <w:b/>
                <w:bCs/>
                <w:sz w:val="20"/>
              </w:rPr>
            </w:pPr>
            <w:r w:rsidRPr="005830D1">
              <w:rPr>
                <w:b/>
                <w:bCs/>
                <w:sz w:val="20"/>
              </w:rPr>
              <w:t>VI MENUISERIE</w:t>
            </w:r>
          </w:p>
        </w:tc>
        <w:tc>
          <w:tcPr>
            <w:tcW w:w="315" w:type="pct"/>
            <w:tcBorders>
              <w:top w:val="nil"/>
              <w:left w:val="nil"/>
              <w:bottom w:val="single" w:sz="8" w:space="0" w:color="auto"/>
              <w:right w:val="single" w:sz="8" w:space="0" w:color="auto"/>
            </w:tcBorders>
            <w:shd w:val="clear" w:color="auto" w:fill="auto"/>
            <w:noWrap/>
            <w:vAlign w:val="center"/>
            <w:hideMark/>
          </w:tcPr>
          <w:p w14:paraId="6E8C37C0" w14:textId="77777777" w:rsidR="00117B7F" w:rsidRPr="005830D1" w:rsidRDefault="00117B7F" w:rsidP="007F0E33">
            <w:pPr>
              <w:spacing w:after="0"/>
              <w:ind w:left="0" w:firstLine="0"/>
              <w:jc w:val="center"/>
              <w:rPr>
                <w:sz w:val="20"/>
              </w:rPr>
            </w:pPr>
            <w:r w:rsidRPr="005830D1">
              <w:rPr>
                <w:sz w:val="20"/>
              </w:rPr>
              <w:t> </w:t>
            </w:r>
          </w:p>
        </w:tc>
        <w:tc>
          <w:tcPr>
            <w:tcW w:w="520" w:type="pct"/>
            <w:tcBorders>
              <w:top w:val="nil"/>
              <w:left w:val="nil"/>
              <w:bottom w:val="single" w:sz="8" w:space="0" w:color="auto"/>
              <w:right w:val="nil"/>
            </w:tcBorders>
            <w:shd w:val="clear" w:color="auto" w:fill="auto"/>
            <w:noWrap/>
            <w:vAlign w:val="center"/>
          </w:tcPr>
          <w:p w14:paraId="1443B890" w14:textId="77777777" w:rsidR="00117B7F" w:rsidRPr="005830D1" w:rsidRDefault="00117B7F" w:rsidP="007F0E33">
            <w:pPr>
              <w:spacing w:after="0"/>
              <w:ind w:left="0" w:firstLine="0"/>
              <w:jc w:val="left"/>
              <w:rPr>
                <w:sz w:val="20"/>
              </w:rPr>
            </w:pPr>
          </w:p>
        </w:tc>
        <w:tc>
          <w:tcPr>
            <w:tcW w:w="910" w:type="pct"/>
            <w:tcBorders>
              <w:top w:val="nil"/>
              <w:left w:val="single" w:sz="4" w:space="0" w:color="auto"/>
              <w:bottom w:val="single" w:sz="4" w:space="0" w:color="auto"/>
              <w:right w:val="single" w:sz="4" w:space="0" w:color="auto"/>
            </w:tcBorders>
            <w:shd w:val="clear" w:color="auto" w:fill="auto"/>
            <w:noWrap/>
            <w:vAlign w:val="bottom"/>
            <w:hideMark/>
          </w:tcPr>
          <w:p w14:paraId="050C30E0" w14:textId="77777777" w:rsidR="00117B7F" w:rsidRPr="005830D1" w:rsidRDefault="00117B7F" w:rsidP="007F0E33">
            <w:pPr>
              <w:spacing w:after="0"/>
              <w:ind w:left="0" w:firstLine="0"/>
              <w:jc w:val="left"/>
              <w:rPr>
                <w:sz w:val="20"/>
              </w:rPr>
            </w:pPr>
            <w:r w:rsidRPr="005830D1">
              <w:rPr>
                <w:sz w:val="20"/>
              </w:rPr>
              <w:t> </w:t>
            </w:r>
          </w:p>
        </w:tc>
      </w:tr>
      <w:tr w:rsidR="00117B7F" w:rsidRPr="005830D1" w14:paraId="76D9E6B3" w14:textId="77777777" w:rsidTr="007F0E33">
        <w:trPr>
          <w:trHeight w:val="1485"/>
          <w:jc w:val="center"/>
        </w:trPr>
        <w:tc>
          <w:tcPr>
            <w:tcW w:w="202" w:type="pct"/>
            <w:tcBorders>
              <w:top w:val="nil"/>
              <w:left w:val="double" w:sz="6" w:space="0" w:color="auto"/>
              <w:bottom w:val="single" w:sz="8" w:space="0" w:color="auto"/>
              <w:right w:val="single" w:sz="8" w:space="0" w:color="auto"/>
            </w:tcBorders>
            <w:shd w:val="clear" w:color="auto" w:fill="auto"/>
            <w:noWrap/>
            <w:vAlign w:val="center"/>
            <w:hideMark/>
          </w:tcPr>
          <w:p w14:paraId="203DF38D" w14:textId="77777777" w:rsidR="00117B7F" w:rsidRPr="005830D1" w:rsidRDefault="00117B7F" w:rsidP="007F0E33">
            <w:pPr>
              <w:spacing w:after="0"/>
              <w:ind w:left="0" w:firstLine="0"/>
              <w:jc w:val="left"/>
              <w:rPr>
                <w:sz w:val="20"/>
              </w:rPr>
            </w:pPr>
            <w:r w:rsidRPr="005830D1">
              <w:rPr>
                <w:sz w:val="20"/>
              </w:rPr>
              <w:t>6.1</w:t>
            </w:r>
          </w:p>
        </w:tc>
        <w:tc>
          <w:tcPr>
            <w:tcW w:w="3053" w:type="pct"/>
            <w:tcBorders>
              <w:top w:val="nil"/>
              <w:left w:val="nil"/>
              <w:bottom w:val="single" w:sz="8" w:space="0" w:color="auto"/>
              <w:right w:val="single" w:sz="8" w:space="0" w:color="auto"/>
            </w:tcBorders>
            <w:shd w:val="clear" w:color="auto" w:fill="auto"/>
            <w:vAlign w:val="center"/>
            <w:hideMark/>
          </w:tcPr>
          <w:p w14:paraId="03B518C8" w14:textId="77777777" w:rsidR="00117B7F" w:rsidRPr="005830D1" w:rsidRDefault="00117B7F" w:rsidP="007F0E33">
            <w:pPr>
              <w:spacing w:after="0"/>
              <w:ind w:left="0" w:firstLine="0"/>
              <w:jc w:val="left"/>
              <w:rPr>
                <w:sz w:val="18"/>
                <w:szCs w:val="18"/>
              </w:rPr>
            </w:pPr>
            <w:r w:rsidRPr="005830D1">
              <w:rPr>
                <w:b/>
                <w:bCs/>
                <w:sz w:val="20"/>
              </w:rPr>
              <w:t xml:space="preserve">F/P porte métallique persienne orientable (2,00x2,20) avec grille moustiquaire y compris toutes suggestions </w:t>
            </w:r>
            <w:r w:rsidRPr="005830D1">
              <w:rPr>
                <w:sz w:val="20"/>
              </w:rPr>
              <w:t xml:space="preserve">                                                                                                                                                                                            </w:t>
            </w:r>
            <w:r w:rsidRPr="005830D1">
              <w:rPr>
                <w:sz w:val="18"/>
                <w:szCs w:val="18"/>
              </w:rPr>
              <w:t xml:space="preserve">Ce prix rémunère à l'unité la fourniture et pose de porte métallique persienne orientable (2,00x2,20) avec grille moustiquaire, la fourniture de la porte et de son cadre suivant plan agréé, le scellement du cadre les paumelles, les poignées les serrures, le masticages des trous de soudure, les retouches éventuelles, le système de blocage, serrure antivol de </w:t>
            </w:r>
            <w:proofErr w:type="spellStart"/>
            <w:r w:rsidRPr="005830D1">
              <w:rPr>
                <w:sz w:val="18"/>
                <w:szCs w:val="18"/>
              </w:rPr>
              <w:t>surété</w:t>
            </w:r>
            <w:proofErr w:type="spellEnd"/>
            <w:r w:rsidRPr="005830D1">
              <w:rPr>
                <w:sz w:val="18"/>
                <w:szCs w:val="18"/>
              </w:rPr>
              <w:t xml:space="preserve"> de première qualité ainsi que toutes sujétions utiles à la bonne exécution.</w:t>
            </w:r>
          </w:p>
          <w:p w14:paraId="558458BE" w14:textId="77777777" w:rsidR="00117B7F" w:rsidRPr="005830D1" w:rsidRDefault="00117B7F" w:rsidP="007F0E33">
            <w:pPr>
              <w:spacing w:after="0"/>
              <w:ind w:left="0" w:firstLine="0"/>
              <w:jc w:val="left"/>
              <w:rPr>
                <w:sz w:val="18"/>
                <w:szCs w:val="18"/>
              </w:rPr>
            </w:pPr>
          </w:p>
          <w:p w14:paraId="514D51AE" w14:textId="77777777" w:rsidR="00117B7F" w:rsidRPr="005830D1" w:rsidRDefault="00117B7F" w:rsidP="007F0E33">
            <w:pPr>
              <w:spacing w:after="0"/>
              <w:ind w:left="0" w:firstLine="0"/>
              <w:jc w:val="left"/>
              <w:rPr>
                <w:b/>
                <w:bCs/>
                <w:sz w:val="20"/>
              </w:rPr>
            </w:pPr>
            <w:r w:rsidRPr="005830D1">
              <w:rPr>
                <w:i/>
                <w:sz w:val="18"/>
                <w:szCs w:val="18"/>
              </w:rPr>
              <w:t>Le prix s'applique à l’Unité de porte métallique persienne  fourni et mise en place constatée par l’ingénieur.</w:t>
            </w:r>
          </w:p>
        </w:tc>
        <w:tc>
          <w:tcPr>
            <w:tcW w:w="315" w:type="pct"/>
            <w:tcBorders>
              <w:top w:val="nil"/>
              <w:left w:val="nil"/>
              <w:bottom w:val="single" w:sz="8" w:space="0" w:color="auto"/>
              <w:right w:val="single" w:sz="8" w:space="0" w:color="auto"/>
            </w:tcBorders>
            <w:shd w:val="clear" w:color="auto" w:fill="auto"/>
            <w:noWrap/>
            <w:vAlign w:val="center"/>
            <w:hideMark/>
          </w:tcPr>
          <w:p w14:paraId="1E436631" w14:textId="77777777" w:rsidR="00117B7F" w:rsidRPr="005830D1" w:rsidRDefault="00117B7F" w:rsidP="007F0E33">
            <w:pPr>
              <w:spacing w:after="0"/>
              <w:ind w:left="0" w:firstLine="0"/>
              <w:jc w:val="center"/>
              <w:rPr>
                <w:sz w:val="20"/>
              </w:rPr>
            </w:pPr>
            <w:r w:rsidRPr="005830D1">
              <w:rPr>
                <w:sz w:val="20"/>
              </w:rPr>
              <w:t>u</w:t>
            </w:r>
          </w:p>
        </w:tc>
        <w:tc>
          <w:tcPr>
            <w:tcW w:w="520" w:type="pct"/>
            <w:tcBorders>
              <w:top w:val="nil"/>
              <w:left w:val="nil"/>
              <w:bottom w:val="single" w:sz="8" w:space="0" w:color="auto"/>
              <w:right w:val="nil"/>
            </w:tcBorders>
            <w:shd w:val="clear" w:color="auto" w:fill="auto"/>
            <w:noWrap/>
            <w:vAlign w:val="center"/>
          </w:tcPr>
          <w:p w14:paraId="1AB42172" w14:textId="77777777" w:rsidR="00117B7F" w:rsidRPr="005830D1" w:rsidRDefault="00117B7F" w:rsidP="007F0E33">
            <w:pPr>
              <w:spacing w:after="0"/>
              <w:ind w:left="0" w:firstLine="0"/>
              <w:jc w:val="right"/>
              <w:rPr>
                <w:sz w:val="20"/>
              </w:rPr>
            </w:pPr>
          </w:p>
        </w:tc>
        <w:tc>
          <w:tcPr>
            <w:tcW w:w="910" w:type="pct"/>
            <w:tcBorders>
              <w:top w:val="nil"/>
              <w:left w:val="single" w:sz="4" w:space="0" w:color="auto"/>
              <w:bottom w:val="single" w:sz="4" w:space="0" w:color="auto"/>
              <w:right w:val="single" w:sz="4" w:space="0" w:color="auto"/>
            </w:tcBorders>
            <w:shd w:val="clear" w:color="auto" w:fill="auto"/>
            <w:noWrap/>
            <w:vAlign w:val="bottom"/>
            <w:hideMark/>
          </w:tcPr>
          <w:p w14:paraId="0B73DC5F" w14:textId="77777777" w:rsidR="00117B7F" w:rsidRPr="005830D1" w:rsidRDefault="00117B7F" w:rsidP="007F0E33">
            <w:pPr>
              <w:spacing w:after="0"/>
              <w:ind w:left="0" w:firstLine="0"/>
              <w:jc w:val="left"/>
              <w:rPr>
                <w:sz w:val="20"/>
              </w:rPr>
            </w:pPr>
            <w:r w:rsidRPr="005830D1">
              <w:rPr>
                <w:sz w:val="20"/>
              </w:rPr>
              <w:t> </w:t>
            </w:r>
          </w:p>
        </w:tc>
      </w:tr>
      <w:tr w:rsidR="00117B7F" w:rsidRPr="005830D1" w14:paraId="3399B3C8" w14:textId="77777777" w:rsidTr="007F0E33">
        <w:trPr>
          <w:trHeight w:val="2036"/>
          <w:jc w:val="center"/>
        </w:trPr>
        <w:tc>
          <w:tcPr>
            <w:tcW w:w="202" w:type="pct"/>
            <w:tcBorders>
              <w:top w:val="nil"/>
              <w:left w:val="double" w:sz="6" w:space="0" w:color="auto"/>
              <w:bottom w:val="single" w:sz="8" w:space="0" w:color="auto"/>
              <w:right w:val="single" w:sz="8" w:space="0" w:color="auto"/>
            </w:tcBorders>
            <w:shd w:val="clear" w:color="auto" w:fill="auto"/>
            <w:noWrap/>
            <w:vAlign w:val="center"/>
            <w:hideMark/>
          </w:tcPr>
          <w:p w14:paraId="20745817" w14:textId="77777777" w:rsidR="00117B7F" w:rsidRPr="005830D1" w:rsidRDefault="00117B7F" w:rsidP="007F0E33">
            <w:pPr>
              <w:spacing w:after="0"/>
              <w:ind w:left="0" w:firstLine="0"/>
              <w:jc w:val="left"/>
              <w:rPr>
                <w:sz w:val="20"/>
              </w:rPr>
            </w:pPr>
            <w:r w:rsidRPr="005830D1">
              <w:rPr>
                <w:sz w:val="20"/>
              </w:rPr>
              <w:t>6.2</w:t>
            </w:r>
          </w:p>
        </w:tc>
        <w:tc>
          <w:tcPr>
            <w:tcW w:w="3053" w:type="pct"/>
            <w:tcBorders>
              <w:top w:val="nil"/>
              <w:left w:val="nil"/>
              <w:bottom w:val="single" w:sz="8" w:space="0" w:color="auto"/>
              <w:right w:val="single" w:sz="8" w:space="0" w:color="auto"/>
            </w:tcBorders>
            <w:shd w:val="clear" w:color="auto" w:fill="auto"/>
            <w:vAlign w:val="center"/>
            <w:hideMark/>
          </w:tcPr>
          <w:p w14:paraId="2A6435F6" w14:textId="77777777" w:rsidR="00117B7F" w:rsidRPr="005830D1" w:rsidRDefault="00117B7F" w:rsidP="007F0E33">
            <w:pPr>
              <w:spacing w:after="0"/>
              <w:ind w:left="0" w:firstLine="0"/>
              <w:jc w:val="left"/>
              <w:rPr>
                <w:sz w:val="18"/>
                <w:szCs w:val="18"/>
              </w:rPr>
            </w:pPr>
            <w:r w:rsidRPr="005830D1">
              <w:rPr>
                <w:b/>
                <w:bCs/>
                <w:sz w:val="20"/>
              </w:rPr>
              <w:t xml:space="preserve">F/P porte métallique persienne orientable (0,80x2,20) avec grille moustiquaire y compris toutes suggestions                                                                                                                                              </w:t>
            </w:r>
            <w:r w:rsidRPr="005830D1">
              <w:rPr>
                <w:sz w:val="18"/>
                <w:szCs w:val="18"/>
              </w:rPr>
              <w:t xml:space="preserve">Ce prix rémunère à l'unité la fourniture et pose de porte métallique persienne orientable (0,80x2,20) avec grille moustiquaire, la fourniture de la porte et de son cadre suivant plan agréé, le scellement du cadre les paumelles, les poignées les serrures, le masticages des trous de soudure, les retouches éventuelles, le système de blocage, serrure antivol de </w:t>
            </w:r>
            <w:proofErr w:type="spellStart"/>
            <w:r w:rsidRPr="005830D1">
              <w:rPr>
                <w:sz w:val="18"/>
                <w:szCs w:val="18"/>
              </w:rPr>
              <w:t>surété</w:t>
            </w:r>
            <w:proofErr w:type="spellEnd"/>
            <w:r w:rsidRPr="005830D1">
              <w:rPr>
                <w:sz w:val="18"/>
                <w:szCs w:val="18"/>
              </w:rPr>
              <w:t xml:space="preserve"> de première qualité ainsi que toutes sujétions utiles à la bonne exécution</w:t>
            </w:r>
          </w:p>
          <w:p w14:paraId="6176DC68" w14:textId="77777777" w:rsidR="00117B7F" w:rsidRPr="005830D1" w:rsidRDefault="00117B7F" w:rsidP="007F0E33">
            <w:pPr>
              <w:spacing w:after="0"/>
              <w:ind w:left="0" w:firstLine="0"/>
              <w:jc w:val="left"/>
              <w:rPr>
                <w:sz w:val="18"/>
                <w:szCs w:val="18"/>
              </w:rPr>
            </w:pPr>
          </w:p>
          <w:p w14:paraId="27F26AE8" w14:textId="77777777" w:rsidR="00117B7F" w:rsidRPr="005830D1" w:rsidRDefault="00117B7F" w:rsidP="007F0E33">
            <w:pPr>
              <w:spacing w:after="0"/>
              <w:ind w:left="0" w:firstLine="0"/>
              <w:jc w:val="left"/>
              <w:rPr>
                <w:b/>
                <w:bCs/>
                <w:sz w:val="20"/>
              </w:rPr>
            </w:pPr>
            <w:r w:rsidRPr="005830D1">
              <w:rPr>
                <w:i/>
                <w:sz w:val="18"/>
                <w:szCs w:val="18"/>
              </w:rPr>
              <w:t>Le prix s'applique à l’Unité de porte métallique persienne  fourni et mise en place constatée par l’ingénieur.</w:t>
            </w:r>
          </w:p>
        </w:tc>
        <w:tc>
          <w:tcPr>
            <w:tcW w:w="315" w:type="pct"/>
            <w:tcBorders>
              <w:top w:val="nil"/>
              <w:left w:val="nil"/>
              <w:bottom w:val="single" w:sz="8" w:space="0" w:color="auto"/>
              <w:right w:val="single" w:sz="8" w:space="0" w:color="auto"/>
            </w:tcBorders>
            <w:shd w:val="clear" w:color="auto" w:fill="auto"/>
            <w:noWrap/>
            <w:vAlign w:val="center"/>
            <w:hideMark/>
          </w:tcPr>
          <w:p w14:paraId="19FC1A0E" w14:textId="77777777" w:rsidR="00117B7F" w:rsidRPr="005830D1" w:rsidRDefault="00117B7F" w:rsidP="007F0E33">
            <w:pPr>
              <w:spacing w:after="0"/>
              <w:ind w:left="0" w:firstLine="0"/>
              <w:jc w:val="center"/>
              <w:rPr>
                <w:sz w:val="20"/>
              </w:rPr>
            </w:pPr>
            <w:r w:rsidRPr="005830D1">
              <w:rPr>
                <w:sz w:val="20"/>
              </w:rPr>
              <w:t>u</w:t>
            </w:r>
          </w:p>
        </w:tc>
        <w:tc>
          <w:tcPr>
            <w:tcW w:w="520" w:type="pct"/>
            <w:tcBorders>
              <w:top w:val="nil"/>
              <w:left w:val="nil"/>
              <w:bottom w:val="single" w:sz="8" w:space="0" w:color="auto"/>
              <w:right w:val="nil"/>
            </w:tcBorders>
            <w:shd w:val="clear" w:color="auto" w:fill="auto"/>
            <w:noWrap/>
            <w:vAlign w:val="center"/>
          </w:tcPr>
          <w:p w14:paraId="77804168" w14:textId="77777777" w:rsidR="00117B7F" w:rsidRPr="005830D1" w:rsidRDefault="00117B7F" w:rsidP="007F0E33">
            <w:pPr>
              <w:spacing w:after="0"/>
              <w:ind w:left="0" w:firstLine="0"/>
              <w:jc w:val="right"/>
              <w:rPr>
                <w:sz w:val="20"/>
              </w:rPr>
            </w:pPr>
          </w:p>
        </w:tc>
        <w:tc>
          <w:tcPr>
            <w:tcW w:w="910" w:type="pct"/>
            <w:tcBorders>
              <w:top w:val="nil"/>
              <w:left w:val="single" w:sz="4" w:space="0" w:color="auto"/>
              <w:bottom w:val="single" w:sz="4" w:space="0" w:color="auto"/>
              <w:right w:val="single" w:sz="4" w:space="0" w:color="auto"/>
            </w:tcBorders>
            <w:shd w:val="clear" w:color="auto" w:fill="auto"/>
            <w:noWrap/>
            <w:vAlign w:val="bottom"/>
            <w:hideMark/>
          </w:tcPr>
          <w:p w14:paraId="0E5A2713" w14:textId="77777777" w:rsidR="00117B7F" w:rsidRPr="005830D1" w:rsidRDefault="00117B7F" w:rsidP="007F0E33">
            <w:pPr>
              <w:spacing w:after="0"/>
              <w:ind w:left="0" w:firstLine="0"/>
              <w:jc w:val="left"/>
              <w:rPr>
                <w:sz w:val="20"/>
              </w:rPr>
            </w:pPr>
            <w:r w:rsidRPr="005830D1">
              <w:rPr>
                <w:sz w:val="20"/>
              </w:rPr>
              <w:t> </w:t>
            </w:r>
          </w:p>
        </w:tc>
      </w:tr>
      <w:tr w:rsidR="00117B7F" w:rsidRPr="005830D1" w14:paraId="412FD691" w14:textId="77777777" w:rsidTr="007F0E33">
        <w:trPr>
          <w:trHeight w:val="2048"/>
          <w:jc w:val="center"/>
        </w:trPr>
        <w:tc>
          <w:tcPr>
            <w:tcW w:w="202" w:type="pct"/>
            <w:tcBorders>
              <w:top w:val="nil"/>
              <w:left w:val="double" w:sz="6" w:space="0" w:color="auto"/>
              <w:bottom w:val="single" w:sz="8" w:space="0" w:color="auto"/>
              <w:right w:val="single" w:sz="8" w:space="0" w:color="auto"/>
            </w:tcBorders>
            <w:shd w:val="clear" w:color="auto" w:fill="auto"/>
            <w:noWrap/>
            <w:vAlign w:val="center"/>
            <w:hideMark/>
          </w:tcPr>
          <w:p w14:paraId="2A92DC1F" w14:textId="77777777" w:rsidR="00117B7F" w:rsidRPr="005830D1" w:rsidRDefault="00117B7F" w:rsidP="007F0E33">
            <w:pPr>
              <w:spacing w:after="0"/>
              <w:ind w:left="0" w:firstLine="0"/>
              <w:jc w:val="left"/>
              <w:rPr>
                <w:sz w:val="20"/>
              </w:rPr>
            </w:pPr>
            <w:r w:rsidRPr="005830D1">
              <w:rPr>
                <w:sz w:val="20"/>
              </w:rPr>
              <w:t>6.3</w:t>
            </w:r>
          </w:p>
        </w:tc>
        <w:tc>
          <w:tcPr>
            <w:tcW w:w="3053" w:type="pct"/>
            <w:tcBorders>
              <w:top w:val="nil"/>
              <w:left w:val="nil"/>
              <w:bottom w:val="single" w:sz="8" w:space="0" w:color="auto"/>
              <w:right w:val="single" w:sz="8" w:space="0" w:color="auto"/>
            </w:tcBorders>
            <w:shd w:val="clear" w:color="auto" w:fill="auto"/>
            <w:vAlign w:val="center"/>
            <w:hideMark/>
          </w:tcPr>
          <w:p w14:paraId="5F134A48" w14:textId="77777777" w:rsidR="00117B7F" w:rsidRPr="005830D1" w:rsidRDefault="00117B7F" w:rsidP="007F0E33">
            <w:pPr>
              <w:spacing w:after="0"/>
              <w:ind w:left="0" w:firstLine="0"/>
              <w:jc w:val="left"/>
              <w:rPr>
                <w:sz w:val="18"/>
                <w:szCs w:val="18"/>
              </w:rPr>
            </w:pPr>
            <w:r w:rsidRPr="005830D1">
              <w:rPr>
                <w:b/>
                <w:bCs/>
                <w:sz w:val="20"/>
              </w:rPr>
              <w:t xml:space="preserve">F/P fenêtre métallique persienne orientable (2,00x1,80) avec grille moustiquaire y compris toutes suggestions                                                                                                                                               </w:t>
            </w:r>
            <w:r w:rsidRPr="005830D1">
              <w:rPr>
                <w:sz w:val="18"/>
                <w:szCs w:val="18"/>
              </w:rPr>
              <w:t>Ce prix rémunère à l'unité la fourniture et pose de fenêtre métallique persienne orientable (2,00x1,80) avec grille moustiquaire, la fourniture de la fenêtre et de son cadre suivant plan agréé, le scellement du cadre les paumelles, les poignées les serrures, le masticages des trous de soudure, les retouches éventuelles, le système de blocage, ainsi que toutes sujétions utiles à la bonne exécution.</w:t>
            </w:r>
          </w:p>
          <w:p w14:paraId="02158EC4" w14:textId="77777777" w:rsidR="00117B7F" w:rsidRPr="005830D1" w:rsidRDefault="00117B7F" w:rsidP="007F0E33">
            <w:pPr>
              <w:spacing w:after="0"/>
              <w:ind w:left="0" w:firstLine="0"/>
              <w:jc w:val="left"/>
              <w:rPr>
                <w:sz w:val="18"/>
                <w:szCs w:val="18"/>
              </w:rPr>
            </w:pPr>
          </w:p>
          <w:p w14:paraId="1012AA2E" w14:textId="77777777" w:rsidR="00117B7F" w:rsidRPr="005830D1" w:rsidRDefault="00117B7F" w:rsidP="007F0E33">
            <w:pPr>
              <w:spacing w:after="0"/>
              <w:ind w:left="0" w:firstLine="0"/>
              <w:jc w:val="left"/>
              <w:rPr>
                <w:b/>
                <w:bCs/>
                <w:sz w:val="20"/>
              </w:rPr>
            </w:pPr>
            <w:r w:rsidRPr="005830D1">
              <w:rPr>
                <w:i/>
                <w:sz w:val="18"/>
                <w:szCs w:val="18"/>
              </w:rPr>
              <w:t>Le prix s'applique à l’Unité de fenêtre métallique persienne  fourni et mise en place constatée par l’ingénieur.</w:t>
            </w:r>
          </w:p>
        </w:tc>
        <w:tc>
          <w:tcPr>
            <w:tcW w:w="315" w:type="pct"/>
            <w:tcBorders>
              <w:top w:val="nil"/>
              <w:left w:val="nil"/>
              <w:bottom w:val="single" w:sz="8" w:space="0" w:color="auto"/>
              <w:right w:val="single" w:sz="8" w:space="0" w:color="auto"/>
            </w:tcBorders>
            <w:shd w:val="clear" w:color="auto" w:fill="auto"/>
            <w:noWrap/>
            <w:vAlign w:val="center"/>
            <w:hideMark/>
          </w:tcPr>
          <w:p w14:paraId="37176A4D" w14:textId="77777777" w:rsidR="00117B7F" w:rsidRPr="005830D1" w:rsidRDefault="00117B7F" w:rsidP="007F0E33">
            <w:pPr>
              <w:spacing w:after="0"/>
              <w:ind w:left="0" w:firstLine="0"/>
              <w:jc w:val="center"/>
              <w:rPr>
                <w:sz w:val="20"/>
              </w:rPr>
            </w:pPr>
            <w:r w:rsidRPr="005830D1">
              <w:rPr>
                <w:sz w:val="20"/>
              </w:rPr>
              <w:t>u</w:t>
            </w:r>
          </w:p>
        </w:tc>
        <w:tc>
          <w:tcPr>
            <w:tcW w:w="520" w:type="pct"/>
            <w:tcBorders>
              <w:top w:val="nil"/>
              <w:left w:val="nil"/>
              <w:bottom w:val="single" w:sz="8" w:space="0" w:color="auto"/>
              <w:right w:val="nil"/>
            </w:tcBorders>
            <w:shd w:val="clear" w:color="auto" w:fill="auto"/>
            <w:noWrap/>
            <w:vAlign w:val="center"/>
          </w:tcPr>
          <w:p w14:paraId="1855D04F" w14:textId="77777777" w:rsidR="00117B7F" w:rsidRPr="005830D1" w:rsidRDefault="00117B7F" w:rsidP="007F0E33">
            <w:pPr>
              <w:spacing w:after="0"/>
              <w:ind w:left="0" w:firstLine="0"/>
              <w:jc w:val="right"/>
              <w:rPr>
                <w:sz w:val="20"/>
              </w:rPr>
            </w:pPr>
          </w:p>
        </w:tc>
        <w:tc>
          <w:tcPr>
            <w:tcW w:w="910" w:type="pct"/>
            <w:tcBorders>
              <w:top w:val="nil"/>
              <w:left w:val="single" w:sz="4" w:space="0" w:color="auto"/>
              <w:bottom w:val="single" w:sz="4" w:space="0" w:color="auto"/>
              <w:right w:val="single" w:sz="4" w:space="0" w:color="auto"/>
            </w:tcBorders>
            <w:shd w:val="clear" w:color="auto" w:fill="auto"/>
            <w:noWrap/>
            <w:vAlign w:val="bottom"/>
            <w:hideMark/>
          </w:tcPr>
          <w:p w14:paraId="2F25335A" w14:textId="77777777" w:rsidR="00117B7F" w:rsidRPr="005830D1" w:rsidRDefault="00117B7F" w:rsidP="007F0E33">
            <w:pPr>
              <w:spacing w:after="0"/>
              <w:ind w:left="0" w:firstLine="0"/>
              <w:jc w:val="left"/>
              <w:rPr>
                <w:sz w:val="20"/>
              </w:rPr>
            </w:pPr>
            <w:r w:rsidRPr="005830D1">
              <w:rPr>
                <w:sz w:val="20"/>
              </w:rPr>
              <w:t> </w:t>
            </w:r>
          </w:p>
        </w:tc>
      </w:tr>
      <w:tr w:rsidR="00117B7F" w:rsidRPr="005830D1" w14:paraId="003B7E3A" w14:textId="77777777" w:rsidTr="007F0E33">
        <w:trPr>
          <w:trHeight w:val="1680"/>
          <w:jc w:val="center"/>
        </w:trPr>
        <w:tc>
          <w:tcPr>
            <w:tcW w:w="202" w:type="pct"/>
            <w:tcBorders>
              <w:top w:val="nil"/>
              <w:left w:val="double" w:sz="6" w:space="0" w:color="auto"/>
              <w:bottom w:val="single" w:sz="8" w:space="0" w:color="auto"/>
              <w:right w:val="single" w:sz="8" w:space="0" w:color="auto"/>
            </w:tcBorders>
            <w:shd w:val="clear" w:color="auto" w:fill="auto"/>
            <w:noWrap/>
            <w:vAlign w:val="center"/>
            <w:hideMark/>
          </w:tcPr>
          <w:p w14:paraId="63474E78" w14:textId="77777777" w:rsidR="00117B7F" w:rsidRPr="005830D1" w:rsidRDefault="00117B7F" w:rsidP="007F0E33">
            <w:pPr>
              <w:spacing w:after="0"/>
              <w:ind w:left="0" w:firstLine="0"/>
              <w:jc w:val="left"/>
              <w:rPr>
                <w:sz w:val="20"/>
              </w:rPr>
            </w:pPr>
            <w:r w:rsidRPr="005830D1">
              <w:rPr>
                <w:sz w:val="20"/>
              </w:rPr>
              <w:t>6.4</w:t>
            </w:r>
          </w:p>
        </w:tc>
        <w:tc>
          <w:tcPr>
            <w:tcW w:w="3053" w:type="pct"/>
            <w:tcBorders>
              <w:top w:val="nil"/>
              <w:left w:val="nil"/>
              <w:bottom w:val="single" w:sz="8" w:space="0" w:color="auto"/>
              <w:right w:val="single" w:sz="8" w:space="0" w:color="auto"/>
            </w:tcBorders>
            <w:shd w:val="clear" w:color="auto" w:fill="auto"/>
            <w:vAlign w:val="center"/>
            <w:hideMark/>
          </w:tcPr>
          <w:p w14:paraId="419A2A9C" w14:textId="77777777" w:rsidR="00117B7F" w:rsidRPr="005830D1" w:rsidRDefault="00117B7F" w:rsidP="007F0E33">
            <w:pPr>
              <w:spacing w:after="0"/>
              <w:ind w:left="0" w:firstLine="0"/>
              <w:jc w:val="left"/>
              <w:rPr>
                <w:sz w:val="18"/>
                <w:szCs w:val="18"/>
              </w:rPr>
            </w:pPr>
            <w:r w:rsidRPr="005830D1">
              <w:rPr>
                <w:b/>
                <w:bCs/>
                <w:sz w:val="20"/>
              </w:rPr>
              <w:t xml:space="preserve">F/P fenêtre métallique persienne orientable (1,20x1,20) avec grille moustiquaire y compris toutes suggestions                                                                                                                                              </w:t>
            </w:r>
            <w:r w:rsidRPr="005830D1">
              <w:rPr>
                <w:sz w:val="18"/>
                <w:szCs w:val="18"/>
              </w:rPr>
              <w:t>Ce prix rémunère à l'unité la fourniture et pose de fenêtre métallique persienne orientable (1,20x1,20) avec grille moustiquaire, la fourniture de la fenêtre et de son cadre suivant plan agréé, le scellement du cadre les paumelles, les poignées les serrures, le masticages des trous de soudure, les retouches éventuelles, le système de blocage, ainsi que toutes sujétions utiles à la bonne exécution.</w:t>
            </w:r>
          </w:p>
          <w:p w14:paraId="5261746B" w14:textId="77777777" w:rsidR="00117B7F" w:rsidRPr="005830D1" w:rsidRDefault="00117B7F" w:rsidP="007F0E33">
            <w:pPr>
              <w:spacing w:after="0"/>
              <w:ind w:left="0" w:firstLine="0"/>
              <w:jc w:val="left"/>
              <w:rPr>
                <w:sz w:val="18"/>
                <w:szCs w:val="18"/>
              </w:rPr>
            </w:pPr>
          </w:p>
          <w:p w14:paraId="7FBC0D3A" w14:textId="77777777" w:rsidR="00117B7F" w:rsidRPr="005830D1" w:rsidRDefault="00117B7F" w:rsidP="007F0E33">
            <w:pPr>
              <w:spacing w:after="0"/>
              <w:ind w:left="0" w:firstLine="0"/>
              <w:jc w:val="left"/>
              <w:rPr>
                <w:b/>
                <w:bCs/>
                <w:sz w:val="20"/>
              </w:rPr>
            </w:pPr>
            <w:r w:rsidRPr="005830D1">
              <w:rPr>
                <w:i/>
                <w:sz w:val="18"/>
                <w:szCs w:val="18"/>
              </w:rPr>
              <w:lastRenderedPageBreak/>
              <w:t>Le prix s'applique à l’Unité de fenêtre métallique persienne  fourni et mise en place constatée par l’ingénieur.</w:t>
            </w:r>
          </w:p>
        </w:tc>
        <w:tc>
          <w:tcPr>
            <w:tcW w:w="315" w:type="pct"/>
            <w:tcBorders>
              <w:top w:val="nil"/>
              <w:left w:val="nil"/>
              <w:bottom w:val="single" w:sz="8" w:space="0" w:color="auto"/>
              <w:right w:val="single" w:sz="8" w:space="0" w:color="auto"/>
            </w:tcBorders>
            <w:shd w:val="clear" w:color="auto" w:fill="auto"/>
            <w:noWrap/>
            <w:vAlign w:val="center"/>
            <w:hideMark/>
          </w:tcPr>
          <w:p w14:paraId="6C545A89" w14:textId="77777777" w:rsidR="00117B7F" w:rsidRPr="005830D1" w:rsidRDefault="00117B7F" w:rsidP="007F0E33">
            <w:pPr>
              <w:spacing w:after="0"/>
              <w:ind w:left="0" w:firstLine="0"/>
              <w:jc w:val="center"/>
              <w:rPr>
                <w:sz w:val="20"/>
              </w:rPr>
            </w:pPr>
            <w:r w:rsidRPr="005830D1">
              <w:rPr>
                <w:sz w:val="20"/>
              </w:rPr>
              <w:lastRenderedPageBreak/>
              <w:t>u</w:t>
            </w:r>
          </w:p>
        </w:tc>
        <w:tc>
          <w:tcPr>
            <w:tcW w:w="520" w:type="pct"/>
            <w:tcBorders>
              <w:top w:val="nil"/>
              <w:left w:val="nil"/>
              <w:bottom w:val="single" w:sz="8" w:space="0" w:color="auto"/>
              <w:right w:val="nil"/>
            </w:tcBorders>
            <w:shd w:val="clear" w:color="auto" w:fill="auto"/>
            <w:noWrap/>
            <w:vAlign w:val="center"/>
          </w:tcPr>
          <w:p w14:paraId="7B222C55" w14:textId="77777777" w:rsidR="00117B7F" w:rsidRPr="005830D1" w:rsidRDefault="00117B7F" w:rsidP="007F0E33">
            <w:pPr>
              <w:spacing w:after="0"/>
              <w:ind w:left="0" w:firstLine="0"/>
              <w:jc w:val="right"/>
              <w:rPr>
                <w:sz w:val="20"/>
              </w:rPr>
            </w:pPr>
          </w:p>
        </w:tc>
        <w:tc>
          <w:tcPr>
            <w:tcW w:w="910" w:type="pct"/>
            <w:tcBorders>
              <w:top w:val="nil"/>
              <w:left w:val="single" w:sz="4" w:space="0" w:color="auto"/>
              <w:bottom w:val="single" w:sz="4" w:space="0" w:color="auto"/>
              <w:right w:val="single" w:sz="4" w:space="0" w:color="auto"/>
            </w:tcBorders>
            <w:shd w:val="clear" w:color="auto" w:fill="auto"/>
            <w:noWrap/>
            <w:vAlign w:val="bottom"/>
            <w:hideMark/>
          </w:tcPr>
          <w:p w14:paraId="690BAEBD" w14:textId="77777777" w:rsidR="00117B7F" w:rsidRPr="005830D1" w:rsidRDefault="00117B7F" w:rsidP="007F0E33">
            <w:pPr>
              <w:spacing w:after="0"/>
              <w:ind w:left="0" w:firstLine="0"/>
              <w:jc w:val="left"/>
              <w:rPr>
                <w:sz w:val="20"/>
              </w:rPr>
            </w:pPr>
            <w:r w:rsidRPr="005830D1">
              <w:rPr>
                <w:sz w:val="20"/>
              </w:rPr>
              <w:t> </w:t>
            </w:r>
          </w:p>
        </w:tc>
      </w:tr>
      <w:tr w:rsidR="00117B7F" w:rsidRPr="005830D1" w14:paraId="454937E9" w14:textId="77777777" w:rsidTr="007F0E33">
        <w:trPr>
          <w:trHeight w:val="2024"/>
          <w:jc w:val="center"/>
        </w:trPr>
        <w:tc>
          <w:tcPr>
            <w:tcW w:w="202" w:type="pct"/>
            <w:tcBorders>
              <w:top w:val="nil"/>
              <w:left w:val="double" w:sz="6" w:space="0" w:color="auto"/>
              <w:bottom w:val="single" w:sz="8" w:space="0" w:color="auto"/>
              <w:right w:val="single" w:sz="8" w:space="0" w:color="auto"/>
            </w:tcBorders>
            <w:shd w:val="clear" w:color="auto" w:fill="auto"/>
            <w:noWrap/>
            <w:vAlign w:val="center"/>
            <w:hideMark/>
          </w:tcPr>
          <w:p w14:paraId="05662A53" w14:textId="77777777" w:rsidR="00117B7F" w:rsidRPr="005830D1" w:rsidRDefault="00117B7F" w:rsidP="007F0E33">
            <w:pPr>
              <w:spacing w:after="0"/>
              <w:ind w:left="0" w:firstLine="0"/>
              <w:jc w:val="left"/>
              <w:rPr>
                <w:sz w:val="20"/>
              </w:rPr>
            </w:pPr>
            <w:r w:rsidRPr="005830D1">
              <w:rPr>
                <w:sz w:val="20"/>
              </w:rPr>
              <w:lastRenderedPageBreak/>
              <w:t>6.5</w:t>
            </w:r>
          </w:p>
        </w:tc>
        <w:tc>
          <w:tcPr>
            <w:tcW w:w="3053" w:type="pct"/>
            <w:tcBorders>
              <w:top w:val="nil"/>
              <w:left w:val="nil"/>
              <w:bottom w:val="single" w:sz="8" w:space="0" w:color="auto"/>
              <w:right w:val="single" w:sz="8" w:space="0" w:color="auto"/>
            </w:tcBorders>
            <w:shd w:val="clear" w:color="auto" w:fill="auto"/>
            <w:vAlign w:val="center"/>
            <w:hideMark/>
          </w:tcPr>
          <w:p w14:paraId="3B726EEC" w14:textId="77777777" w:rsidR="00117B7F" w:rsidRPr="005830D1" w:rsidRDefault="00117B7F" w:rsidP="007F0E33">
            <w:pPr>
              <w:spacing w:after="0"/>
              <w:ind w:left="0" w:firstLine="0"/>
              <w:jc w:val="left"/>
              <w:rPr>
                <w:sz w:val="18"/>
                <w:szCs w:val="18"/>
              </w:rPr>
            </w:pPr>
            <w:r w:rsidRPr="005830D1">
              <w:rPr>
                <w:b/>
                <w:bCs/>
                <w:sz w:val="20"/>
              </w:rPr>
              <w:t xml:space="preserve">F/P imposte métallique persienne orientable (2,00x0,45) avec grille </w:t>
            </w:r>
            <w:proofErr w:type="spellStart"/>
            <w:r w:rsidRPr="005830D1">
              <w:rPr>
                <w:b/>
                <w:bCs/>
                <w:sz w:val="20"/>
              </w:rPr>
              <w:t>anti-rouilles</w:t>
            </w:r>
            <w:proofErr w:type="spellEnd"/>
            <w:r w:rsidRPr="005830D1">
              <w:rPr>
                <w:b/>
                <w:bCs/>
                <w:sz w:val="20"/>
              </w:rPr>
              <w:t xml:space="preserve"> y compris toutes suggestions</w:t>
            </w:r>
            <w:r w:rsidRPr="005830D1">
              <w:rPr>
                <w:sz w:val="20"/>
              </w:rPr>
              <w:t xml:space="preserve">                                                                                                                                                                                               </w:t>
            </w:r>
            <w:r w:rsidRPr="005830D1">
              <w:rPr>
                <w:sz w:val="18"/>
                <w:szCs w:val="18"/>
              </w:rPr>
              <w:t xml:space="preserve">Ce prix rémunère à l'unité la fourniture et pose d'imposte métallique persienne orientable (2,00x0,45) avec grille </w:t>
            </w:r>
            <w:proofErr w:type="spellStart"/>
            <w:r w:rsidRPr="005830D1">
              <w:rPr>
                <w:sz w:val="18"/>
                <w:szCs w:val="18"/>
              </w:rPr>
              <w:t>anti-rouilles</w:t>
            </w:r>
            <w:proofErr w:type="spellEnd"/>
            <w:r w:rsidRPr="005830D1">
              <w:rPr>
                <w:sz w:val="18"/>
                <w:szCs w:val="18"/>
              </w:rPr>
              <w:t>, la fourniture de l'imposte et de son cadre suivant plan agréé, le scellement du cadre les paumelles, les poignées les serrures, le masticages des trous de soudure, les retouches éventuelles, le système de blocage, ainsi que toutes sujétions utiles à la bonne exécution.</w:t>
            </w:r>
          </w:p>
          <w:p w14:paraId="3016217F" w14:textId="77777777" w:rsidR="00117B7F" w:rsidRPr="005830D1" w:rsidRDefault="00117B7F" w:rsidP="007F0E33">
            <w:pPr>
              <w:spacing w:after="0"/>
              <w:ind w:left="0" w:firstLine="0"/>
              <w:jc w:val="left"/>
              <w:rPr>
                <w:sz w:val="20"/>
              </w:rPr>
            </w:pPr>
          </w:p>
          <w:p w14:paraId="5C0FDCF4" w14:textId="77777777" w:rsidR="00117B7F" w:rsidRPr="005830D1" w:rsidRDefault="00117B7F" w:rsidP="007F0E33">
            <w:pPr>
              <w:spacing w:after="0"/>
              <w:ind w:left="0" w:firstLine="0"/>
              <w:jc w:val="left"/>
              <w:rPr>
                <w:b/>
                <w:bCs/>
                <w:sz w:val="20"/>
              </w:rPr>
            </w:pPr>
            <w:r w:rsidRPr="005830D1">
              <w:rPr>
                <w:i/>
                <w:sz w:val="18"/>
                <w:szCs w:val="18"/>
              </w:rPr>
              <w:t>Le prix s'applique à l’Unité d’imposte métallique persienne  fourni et mise en place constatée par l’ingénieur</w:t>
            </w:r>
          </w:p>
        </w:tc>
        <w:tc>
          <w:tcPr>
            <w:tcW w:w="315" w:type="pct"/>
            <w:tcBorders>
              <w:top w:val="nil"/>
              <w:left w:val="nil"/>
              <w:bottom w:val="single" w:sz="8" w:space="0" w:color="auto"/>
              <w:right w:val="single" w:sz="8" w:space="0" w:color="auto"/>
            </w:tcBorders>
            <w:shd w:val="clear" w:color="auto" w:fill="auto"/>
            <w:noWrap/>
            <w:vAlign w:val="center"/>
            <w:hideMark/>
          </w:tcPr>
          <w:p w14:paraId="679C51FB" w14:textId="77777777" w:rsidR="00117B7F" w:rsidRPr="005830D1" w:rsidRDefault="00117B7F" w:rsidP="007F0E33">
            <w:pPr>
              <w:spacing w:after="0"/>
              <w:ind w:left="0" w:firstLine="0"/>
              <w:jc w:val="center"/>
              <w:rPr>
                <w:sz w:val="20"/>
              </w:rPr>
            </w:pPr>
            <w:r w:rsidRPr="005830D1">
              <w:rPr>
                <w:sz w:val="20"/>
              </w:rPr>
              <w:t>u</w:t>
            </w:r>
          </w:p>
        </w:tc>
        <w:tc>
          <w:tcPr>
            <w:tcW w:w="520" w:type="pct"/>
            <w:tcBorders>
              <w:top w:val="nil"/>
              <w:left w:val="nil"/>
              <w:bottom w:val="single" w:sz="8" w:space="0" w:color="auto"/>
              <w:right w:val="nil"/>
            </w:tcBorders>
            <w:shd w:val="clear" w:color="auto" w:fill="auto"/>
            <w:noWrap/>
            <w:vAlign w:val="center"/>
          </w:tcPr>
          <w:p w14:paraId="7302061D" w14:textId="77777777" w:rsidR="00117B7F" w:rsidRPr="005830D1" w:rsidRDefault="00117B7F" w:rsidP="007F0E33">
            <w:pPr>
              <w:spacing w:after="0"/>
              <w:ind w:left="0" w:firstLine="0"/>
              <w:jc w:val="right"/>
              <w:rPr>
                <w:sz w:val="20"/>
              </w:rPr>
            </w:pPr>
          </w:p>
        </w:tc>
        <w:tc>
          <w:tcPr>
            <w:tcW w:w="910" w:type="pct"/>
            <w:tcBorders>
              <w:top w:val="nil"/>
              <w:left w:val="single" w:sz="4" w:space="0" w:color="auto"/>
              <w:bottom w:val="single" w:sz="4" w:space="0" w:color="auto"/>
              <w:right w:val="single" w:sz="4" w:space="0" w:color="auto"/>
            </w:tcBorders>
            <w:shd w:val="clear" w:color="auto" w:fill="auto"/>
            <w:noWrap/>
            <w:vAlign w:val="bottom"/>
            <w:hideMark/>
          </w:tcPr>
          <w:p w14:paraId="2FB17102" w14:textId="77777777" w:rsidR="00117B7F" w:rsidRPr="005830D1" w:rsidRDefault="00117B7F" w:rsidP="007F0E33">
            <w:pPr>
              <w:spacing w:after="0"/>
              <w:ind w:left="0" w:firstLine="0"/>
              <w:jc w:val="left"/>
              <w:rPr>
                <w:sz w:val="20"/>
              </w:rPr>
            </w:pPr>
            <w:r w:rsidRPr="005830D1">
              <w:rPr>
                <w:sz w:val="20"/>
              </w:rPr>
              <w:t> </w:t>
            </w:r>
          </w:p>
        </w:tc>
      </w:tr>
      <w:tr w:rsidR="00117B7F" w:rsidRPr="005830D1" w14:paraId="379E54FC" w14:textId="77777777" w:rsidTr="007F0E33">
        <w:trPr>
          <w:trHeight w:val="1725"/>
          <w:jc w:val="center"/>
        </w:trPr>
        <w:tc>
          <w:tcPr>
            <w:tcW w:w="202" w:type="pct"/>
            <w:tcBorders>
              <w:top w:val="single" w:sz="4" w:space="0" w:color="auto"/>
              <w:left w:val="double" w:sz="6" w:space="0" w:color="auto"/>
              <w:bottom w:val="single" w:sz="8" w:space="0" w:color="auto"/>
              <w:right w:val="single" w:sz="8" w:space="0" w:color="auto"/>
            </w:tcBorders>
            <w:shd w:val="clear" w:color="auto" w:fill="auto"/>
            <w:noWrap/>
            <w:vAlign w:val="center"/>
            <w:hideMark/>
          </w:tcPr>
          <w:p w14:paraId="24F2CBD9" w14:textId="77777777" w:rsidR="00117B7F" w:rsidRPr="005830D1" w:rsidRDefault="00117B7F" w:rsidP="007F0E33">
            <w:pPr>
              <w:spacing w:after="0"/>
              <w:ind w:left="0" w:firstLine="0"/>
              <w:jc w:val="left"/>
              <w:rPr>
                <w:sz w:val="20"/>
              </w:rPr>
            </w:pPr>
            <w:r w:rsidRPr="005830D1">
              <w:rPr>
                <w:sz w:val="20"/>
              </w:rPr>
              <w:t>6.6</w:t>
            </w:r>
          </w:p>
        </w:tc>
        <w:tc>
          <w:tcPr>
            <w:tcW w:w="3053" w:type="pct"/>
            <w:tcBorders>
              <w:top w:val="single" w:sz="4" w:space="0" w:color="auto"/>
              <w:left w:val="nil"/>
              <w:bottom w:val="single" w:sz="8" w:space="0" w:color="auto"/>
              <w:right w:val="single" w:sz="8" w:space="0" w:color="auto"/>
            </w:tcBorders>
            <w:shd w:val="clear" w:color="auto" w:fill="auto"/>
            <w:vAlign w:val="center"/>
            <w:hideMark/>
          </w:tcPr>
          <w:p w14:paraId="11831462" w14:textId="77777777" w:rsidR="00117B7F" w:rsidRPr="005830D1" w:rsidRDefault="00117B7F" w:rsidP="007F0E33">
            <w:pPr>
              <w:spacing w:after="0"/>
              <w:ind w:left="0" w:firstLine="0"/>
              <w:jc w:val="left"/>
              <w:rPr>
                <w:sz w:val="18"/>
                <w:szCs w:val="18"/>
              </w:rPr>
            </w:pPr>
            <w:r w:rsidRPr="005830D1">
              <w:rPr>
                <w:b/>
                <w:bCs/>
                <w:sz w:val="20"/>
              </w:rPr>
              <w:t xml:space="preserve">F/P imposte métallique persienne orientable (1,20x0,45) avec grille moustiquaire y compris toutes suggestions                                                                                                                                              </w:t>
            </w:r>
            <w:r w:rsidRPr="005830D1">
              <w:rPr>
                <w:sz w:val="18"/>
                <w:szCs w:val="18"/>
              </w:rPr>
              <w:t xml:space="preserve">Ce prix rémunère à l'unité la fourniture et pose d'imposte métallique persienne orientable (1,20x0,45) avec grille </w:t>
            </w:r>
            <w:proofErr w:type="spellStart"/>
            <w:r w:rsidRPr="005830D1">
              <w:rPr>
                <w:sz w:val="18"/>
                <w:szCs w:val="18"/>
              </w:rPr>
              <w:t>anti-rouilles</w:t>
            </w:r>
            <w:proofErr w:type="spellEnd"/>
            <w:r w:rsidRPr="005830D1">
              <w:rPr>
                <w:sz w:val="18"/>
                <w:szCs w:val="18"/>
              </w:rPr>
              <w:t>, la fourniture de l'imposte et de son cadre suivant plan agréé, le scellement du cadre les paumelles, les poignées les serrures, le masticages des trous de soudure, les retouches éventuelles, le système de blocage, ainsi que toutes sujétions utiles à la bonne exécution.</w:t>
            </w:r>
          </w:p>
          <w:p w14:paraId="6CB1B131" w14:textId="77777777" w:rsidR="00117B7F" w:rsidRPr="005830D1" w:rsidRDefault="00117B7F" w:rsidP="007F0E33">
            <w:pPr>
              <w:spacing w:after="0"/>
              <w:ind w:left="0" w:firstLine="0"/>
              <w:jc w:val="left"/>
              <w:rPr>
                <w:sz w:val="18"/>
                <w:szCs w:val="18"/>
              </w:rPr>
            </w:pPr>
          </w:p>
          <w:p w14:paraId="77E78A7A" w14:textId="77777777" w:rsidR="00117B7F" w:rsidRPr="005830D1" w:rsidRDefault="00117B7F" w:rsidP="007F0E33">
            <w:pPr>
              <w:spacing w:after="0"/>
              <w:ind w:left="0" w:firstLine="0"/>
              <w:jc w:val="left"/>
              <w:rPr>
                <w:b/>
                <w:bCs/>
                <w:sz w:val="20"/>
              </w:rPr>
            </w:pPr>
            <w:r w:rsidRPr="005830D1">
              <w:rPr>
                <w:i/>
                <w:sz w:val="18"/>
                <w:szCs w:val="18"/>
              </w:rPr>
              <w:t>Le prix s'applique à l’Unité d’imposte métallique persienne  fourni et mise en place constatée par l’ingénieur</w:t>
            </w:r>
          </w:p>
        </w:tc>
        <w:tc>
          <w:tcPr>
            <w:tcW w:w="315" w:type="pct"/>
            <w:tcBorders>
              <w:top w:val="single" w:sz="4" w:space="0" w:color="auto"/>
              <w:left w:val="nil"/>
              <w:bottom w:val="single" w:sz="8" w:space="0" w:color="auto"/>
              <w:right w:val="single" w:sz="8" w:space="0" w:color="auto"/>
            </w:tcBorders>
            <w:shd w:val="clear" w:color="auto" w:fill="auto"/>
            <w:noWrap/>
            <w:vAlign w:val="center"/>
            <w:hideMark/>
          </w:tcPr>
          <w:p w14:paraId="08B856E5" w14:textId="77777777" w:rsidR="00117B7F" w:rsidRPr="005830D1" w:rsidRDefault="00117B7F" w:rsidP="007F0E33">
            <w:pPr>
              <w:spacing w:after="0"/>
              <w:ind w:left="0" w:firstLine="0"/>
              <w:jc w:val="center"/>
              <w:rPr>
                <w:sz w:val="20"/>
              </w:rPr>
            </w:pPr>
            <w:r w:rsidRPr="005830D1">
              <w:rPr>
                <w:sz w:val="20"/>
              </w:rPr>
              <w:t>u</w:t>
            </w:r>
          </w:p>
        </w:tc>
        <w:tc>
          <w:tcPr>
            <w:tcW w:w="520" w:type="pct"/>
            <w:tcBorders>
              <w:top w:val="single" w:sz="4" w:space="0" w:color="auto"/>
              <w:left w:val="nil"/>
              <w:bottom w:val="single" w:sz="8" w:space="0" w:color="auto"/>
              <w:right w:val="nil"/>
            </w:tcBorders>
            <w:shd w:val="clear" w:color="auto" w:fill="auto"/>
            <w:noWrap/>
            <w:vAlign w:val="center"/>
          </w:tcPr>
          <w:p w14:paraId="22EA4A50" w14:textId="77777777" w:rsidR="00117B7F" w:rsidRPr="005830D1" w:rsidRDefault="00117B7F" w:rsidP="007F0E33">
            <w:pPr>
              <w:spacing w:after="0"/>
              <w:ind w:left="0" w:firstLine="0"/>
              <w:jc w:val="right"/>
              <w:rPr>
                <w:sz w:val="20"/>
              </w:rPr>
            </w:pPr>
          </w:p>
        </w:tc>
        <w:tc>
          <w:tcPr>
            <w:tcW w:w="9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319E9B" w14:textId="77777777" w:rsidR="00117B7F" w:rsidRPr="005830D1" w:rsidRDefault="00117B7F" w:rsidP="007F0E33">
            <w:pPr>
              <w:spacing w:after="0"/>
              <w:ind w:left="0" w:firstLine="0"/>
              <w:jc w:val="left"/>
              <w:rPr>
                <w:sz w:val="20"/>
              </w:rPr>
            </w:pPr>
            <w:r w:rsidRPr="005830D1">
              <w:rPr>
                <w:sz w:val="20"/>
              </w:rPr>
              <w:t> </w:t>
            </w:r>
          </w:p>
        </w:tc>
      </w:tr>
      <w:tr w:rsidR="00117B7F" w:rsidRPr="005830D1" w14:paraId="474C5D6D" w14:textId="77777777" w:rsidTr="007F0E33">
        <w:trPr>
          <w:trHeight w:val="258"/>
          <w:jc w:val="center"/>
        </w:trPr>
        <w:tc>
          <w:tcPr>
            <w:tcW w:w="202" w:type="pct"/>
            <w:tcBorders>
              <w:top w:val="nil"/>
              <w:left w:val="double" w:sz="6" w:space="0" w:color="auto"/>
              <w:bottom w:val="single" w:sz="8" w:space="0" w:color="auto"/>
              <w:right w:val="single" w:sz="8" w:space="0" w:color="auto"/>
            </w:tcBorders>
            <w:shd w:val="clear" w:color="auto" w:fill="auto"/>
            <w:noWrap/>
            <w:vAlign w:val="center"/>
            <w:hideMark/>
          </w:tcPr>
          <w:p w14:paraId="502F159F" w14:textId="77777777" w:rsidR="00117B7F" w:rsidRPr="005830D1" w:rsidRDefault="00117B7F" w:rsidP="007F0E33">
            <w:pPr>
              <w:spacing w:after="0"/>
              <w:ind w:left="0" w:firstLine="0"/>
              <w:jc w:val="left"/>
              <w:rPr>
                <w:sz w:val="20"/>
              </w:rPr>
            </w:pPr>
            <w:r w:rsidRPr="005830D1">
              <w:rPr>
                <w:sz w:val="20"/>
              </w:rPr>
              <w:t>6.7</w:t>
            </w:r>
          </w:p>
        </w:tc>
        <w:tc>
          <w:tcPr>
            <w:tcW w:w="3053" w:type="pct"/>
            <w:tcBorders>
              <w:top w:val="nil"/>
              <w:left w:val="nil"/>
              <w:bottom w:val="single" w:sz="8" w:space="0" w:color="auto"/>
              <w:right w:val="single" w:sz="8" w:space="0" w:color="auto"/>
            </w:tcBorders>
            <w:shd w:val="clear" w:color="auto" w:fill="auto"/>
            <w:vAlign w:val="center"/>
            <w:hideMark/>
          </w:tcPr>
          <w:p w14:paraId="395D58F1" w14:textId="77777777" w:rsidR="00117B7F" w:rsidRPr="005830D1" w:rsidRDefault="00117B7F" w:rsidP="007F0E33">
            <w:pPr>
              <w:spacing w:after="0"/>
              <w:ind w:left="0" w:firstLine="0"/>
              <w:jc w:val="left"/>
              <w:rPr>
                <w:b/>
                <w:bCs/>
                <w:sz w:val="20"/>
              </w:rPr>
            </w:pPr>
            <w:r w:rsidRPr="005830D1">
              <w:rPr>
                <w:b/>
                <w:bCs/>
                <w:sz w:val="20"/>
              </w:rPr>
              <w:t>F/P de faux plafond en contre-plaqué de 10mm sur travure en métallique de bonne qualité</w:t>
            </w:r>
          </w:p>
          <w:p w14:paraId="4D29E9C5" w14:textId="77777777" w:rsidR="00117B7F" w:rsidRPr="005830D1" w:rsidRDefault="00117B7F" w:rsidP="007F0E33">
            <w:pPr>
              <w:spacing w:after="0"/>
              <w:ind w:left="0" w:firstLine="0"/>
              <w:jc w:val="left"/>
              <w:rPr>
                <w:sz w:val="18"/>
                <w:szCs w:val="18"/>
              </w:rPr>
            </w:pPr>
            <w:r w:rsidRPr="005830D1">
              <w:rPr>
                <w:sz w:val="18"/>
                <w:szCs w:val="18"/>
              </w:rPr>
              <w:t>Ce prix rémunère à l'unité la fourniture et pose de faux plafond en contre-plaqué de 10 mm sur travure en métallique de bonne qualité.</w:t>
            </w:r>
          </w:p>
          <w:p w14:paraId="5BFA0AB3" w14:textId="77777777" w:rsidR="00117B7F" w:rsidRPr="005830D1" w:rsidRDefault="00117B7F" w:rsidP="007F0E33">
            <w:pPr>
              <w:spacing w:after="0"/>
              <w:ind w:left="0" w:firstLine="0"/>
              <w:jc w:val="left"/>
              <w:rPr>
                <w:sz w:val="18"/>
                <w:szCs w:val="18"/>
              </w:rPr>
            </w:pPr>
            <w:r w:rsidRPr="005830D1">
              <w:rPr>
                <w:sz w:val="18"/>
                <w:szCs w:val="18"/>
              </w:rPr>
              <w:t xml:space="preserve"> </w:t>
            </w:r>
          </w:p>
          <w:p w14:paraId="22795098" w14:textId="77777777" w:rsidR="00117B7F" w:rsidRPr="005830D1" w:rsidRDefault="00117B7F" w:rsidP="007F0E33">
            <w:pPr>
              <w:spacing w:after="0"/>
              <w:ind w:left="0" w:firstLine="0"/>
              <w:jc w:val="left"/>
              <w:rPr>
                <w:b/>
                <w:bCs/>
                <w:sz w:val="20"/>
              </w:rPr>
            </w:pPr>
            <w:r w:rsidRPr="005830D1">
              <w:rPr>
                <w:i/>
                <w:sz w:val="18"/>
                <w:szCs w:val="18"/>
              </w:rPr>
              <w:t>Le prix s'applique à l’Unité de faux plafond en contre-plaqué  fourni et mise en place constatée par l’ingénieur</w:t>
            </w:r>
          </w:p>
        </w:tc>
        <w:tc>
          <w:tcPr>
            <w:tcW w:w="315" w:type="pct"/>
            <w:tcBorders>
              <w:top w:val="nil"/>
              <w:left w:val="nil"/>
              <w:bottom w:val="single" w:sz="8" w:space="0" w:color="auto"/>
              <w:right w:val="single" w:sz="8" w:space="0" w:color="auto"/>
            </w:tcBorders>
            <w:shd w:val="clear" w:color="auto" w:fill="auto"/>
            <w:noWrap/>
            <w:vAlign w:val="center"/>
            <w:hideMark/>
          </w:tcPr>
          <w:p w14:paraId="23158959" w14:textId="77777777" w:rsidR="00117B7F" w:rsidRPr="005830D1" w:rsidRDefault="00117B7F" w:rsidP="007F0E33">
            <w:pPr>
              <w:spacing w:after="0"/>
              <w:ind w:left="0" w:firstLine="0"/>
              <w:jc w:val="center"/>
              <w:rPr>
                <w:sz w:val="20"/>
              </w:rPr>
            </w:pPr>
            <w:r w:rsidRPr="005830D1">
              <w:rPr>
                <w:sz w:val="20"/>
              </w:rPr>
              <w:t>m²</w:t>
            </w:r>
          </w:p>
        </w:tc>
        <w:tc>
          <w:tcPr>
            <w:tcW w:w="520" w:type="pct"/>
            <w:tcBorders>
              <w:top w:val="nil"/>
              <w:left w:val="nil"/>
              <w:bottom w:val="single" w:sz="8" w:space="0" w:color="auto"/>
              <w:right w:val="nil"/>
            </w:tcBorders>
            <w:shd w:val="clear" w:color="auto" w:fill="auto"/>
            <w:noWrap/>
            <w:vAlign w:val="center"/>
          </w:tcPr>
          <w:p w14:paraId="0C42E2AB" w14:textId="77777777" w:rsidR="00117B7F" w:rsidRPr="005830D1" w:rsidRDefault="00117B7F" w:rsidP="007F0E33">
            <w:pPr>
              <w:spacing w:after="0"/>
              <w:ind w:left="0" w:firstLine="0"/>
              <w:jc w:val="right"/>
              <w:rPr>
                <w:sz w:val="20"/>
              </w:rPr>
            </w:pPr>
          </w:p>
        </w:tc>
        <w:tc>
          <w:tcPr>
            <w:tcW w:w="910" w:type="pct"/>
            <w:tcBorders>
              <w:top w:val="nil"/>
              <w:left w:val="single" w:sz="4" w:space="0" w:color="auto"/>
              <w:bottom w:val="single" w:sz="4" w:space="0" w:color="auto"/>
              <w:right w:val="single" w:sz="4" w:space="0" w:color="auto"/>
            </w:tcBorders>
            <w:shd w:val="clear" w:color="auto" w:fill="auto"/>
            <w:noWrap/>
            <w:vAlign w:val="bottom"/>
            <w:hideMark/>
          </w:tcPr>
          <w:p w14:paraId="7CFE6A99" w14:textId="77777777" w:rsidR="00117B7F" w:rsidRPr="005830D1" w:rsidRDefault="00117B7F" w:rsidP="007F0E33">
            <w:pPr>
              <w:spacing w:after="0"/>
              <w:ind w:left="0" w:firstLine="0"/>
              <w:jc w:val="left"/>
              <w:rPr>
                <w:sz w:val="20"/>
              </w:rPr>
            </w:pPr>
            <w:r w:rsidRPr="005830D1">
              <w:rPr>
                <w:sz w:val="20"/>
              </w:rPr>
              <w:t> </w:t>
            </w:r>
          </w:p>
        </w:tc>
      </w:tr>
      <w:tr w:rsidR="00117B7F" w:rsidRPr="005830D1" w14:paraId="427AE2EC" w14:textId="77777777" w:rsidTr="007F0E33">
        <w:trPr>
          <w:trHeight w:val="49"/>
          <w:jc w:val="center"/>
        </w:trPr>
        <w:tc>
          <w:tcPr>
            <w:tcW w:w="202" w:type="pct"/>
            <w:tcBorders>
              <w:top w:val="nil"/>
              <w:left w:val="double" w:sz="6" w:space="0" w:color="auto"/>
              <w:bottom w:val="single" w:sz="8" w:space="0" w:color="auto"/>
              <w:right w:val="single" w:sz="8" w:space="0" w:color="auto"/>
            </w:tcBorders>
            <w:shd w:val="clear" w:color="auto" w:fill="auto"/>
            <w:noWrap/>
            <w:vAlign w:val="center"/>
            <w:hideMark/>
          </w:tcPr>
          <w:p w14:paraId="57A90386" w14:textId="77777777" w:rsidR="00117B7F" w:rsidRPr="005830D1" w:rsidRDefault="00117B7F" w:rsidP="007F0E33">
            <w:pPr>
              <w:spacing w:after="0"/>
              <w:ind w:left="0" w:firstLine="0"/>
              <w:jc w:val="left"/>
              <w:rPr>
                <w:sz w:val="20"/>
              </w:rPr>
            </w:pPr>
            <w:r w:rsidRPr="005830D1">
              <w:rPr>
                <w:sz w:val="20"/>
              </w:rPr>
              <w:t> </w:t>
            </w:r>
          </w:p>
        </w:tc>
        <w:tc>
          <w:tcPr>
            <w:tcW w:w="3053" w:type="pct"/>
            <w:tcBorders>
              <w:top w:val="nil"/>
              <w:left w:val="nil"/>
              <w:bottom w:val="single" w:sz="8" w:space="0" w:color="auto"/>
              <w:right w:val="single" w:sz="8" w:space="0" w:color="auto"/>
            </w:tcBorders>
            <w:shd w:val="clear" w:color="auto" w:fill="auto"/>
            <w:vAlign w:val="center"/>
            <w:hideMark/>
          </w:tcPr>
          <w:p w14:paraId="09F91F39" w14:textId="77777777" w:rsidR="00117B7F" w:rsidRPr="005830D1" w:rsidRDefault="00117B7F" w:rsidP="007F0E33">
            <w:pPr>
              <w:spacing w:after="0"/>
              <w:ind w:left="0" w:firstLine="0"/>
              <w:jc w:val="left"/>
              <w:rPr>
                <w:b/>
                <w:bCs/>
                <w:sz w:val="20"/>
              </w:rPr>
            </w:pPr>
            <w:r w:rsidRPr="005830D1">
              <w:rPr>
                <w:b/>
                <w:bCs/>
                <w:sz w:val="20"/>
              </w:rPr>
              <w:t>TOTAL MENUISERIE</w:t>
            </w:r>
          </w:p>
        </w:tc>
        <w:tc>
          <w:tcPr>
            <w:tcW w:w="315" w:type="pct"/>
            <w:tcBorders>
              <w:top w:val="nil"/>
              <w:left w:val="nil"/>
              <w:bottom w:val="single" w:sz="8" w:space="0" w:color="auto"/>
              <w:right w:val="single" w:sz="8" w:space="0" w:color="auto"/>
            </w:tcBorders>
            <w:shd w:val="clear" w:color="auto" w:fill="auto"/>
            <w:noWrap/>
            <w:vAlign w:val="center"/>
            <w:hideMark/>
          </w:tcPr>
          <w:p w14:paraId="352F84A1" w14:textId="77777777" w:rsidR="00117B7F" w:rsidRPr="005830D1" w:rsidRDefault="00117B7F" w:rsidP="007F0E33">
            <w:pPr>
              <w:spacing w:after="0"/>
              <w:ind w:left="0" w:firstLine="0"/>
              <w:jc w:val="center"/>
              <w:rPr>
                <w:sz w:val="20"/>
              </w:rPr>
            </w:pPr>
            <w:r w:rsidRPr="005830D1">
              <w:rPr>
                <w:sz w:val="20"/>
              </w:rPr>
              <w:t> </w:t>
            </w:r>
          </w:p>
        </w:tc>
        <w:tc>
          <w:tcPr>
            <w:tcW w:w="520" w:type="pct"/>
            <w:tcBorders>
              <w:top w:val="nil"/>
              <w:left w:val="nil"/>
              <w:bottom w:val="single" w:sz="8" w:space="0" w:color="auto"/>
              <w:right w:val="nil"/>
            </w:tcBorders>
            <w:shd w:val="clear" w:color="auto" w:fill="auto"/>
            <w:noWrap/>
            <w:vAlign w:val="center"/>
          </w:tcPr>
          <w:p w14:paraId="7AFFF3CB" w14:textId="77777777" w:rsidR="00117B7F" w:rsidRPr="005830D1" w:rsidRDefault="00117B7F" w:rsidP="007F0E33">
            <w:pPr>
              <w:spacing w:after="0"/>
              <w:ind w:left="0" w:firstLine="0"/>
              <w:jc w:val="left"/>
              <w:rPr>
                <w:sz w:val="20"/>
              </w:rPr>
            </w:pPr>
          </w:p>
        </w:tc>
        <w:tc>
          <w:tcPr>
            <w:tcW w:w="910" w:type="pct"/>
            <w:tcBorders>
              <w:top w:val="nil"/>
              <w:left w:val="single" w:sz="4" w:space="0" w:color="auto"/>
              <w:bottom w:val="single" w:sz="4" w:space="0" w:color="auto"/>
              <w:right w:val="single" w:sz="4" w:space="0" w:color="auto"/>
            </w:tcBorders>
            <w:shd w:val="clear" w:color="auto" w:fill="auto"/>
            <w:noWrap/>
            <w:vAlign w:val="bottom"/>
            <w:hideMark/>
          </w:tcPr>
          <w:p w14:paraId="4838B4BF" w14:textId="77777777" w:rsidR="00117B7F" w:rsidRPr="005830D1" w:rsidRDefault="00117B7F" w:rsidP="007F0E33">
            <w:pPr>
              <w:spacing w:after="0"/>
              <w:ind w:left="0" w:firstLine="0"/>
              <w:jc w:val="left"/>
              <w:rPr>
                <w:sz w:val="20"/>
              </w:rPr>
            </w:pPr>
            <w:r w:rsidRPr="005830D1">
              <w:rPr>
                <w:sz w:val="20"/>
              </w:rPr>
              <w:t> </w:t>
            </w:r>
          </w:p>
        </w:tc>
      </w:tr>
      <w:tr w:rsidR="00117B7F" w:rsidRPr="005830D1" w14:paraId="32291EDA" w14:textId="77777777" w:rsidTr="007F0E33">
        <w:trPr>
          <w:trHeight w:val="49"/>
          <w:jc w:val="center"/>
        </w:trPr>
        <w:tc>
          <w:tcPr>
            <w:tcW w:w="202" w:type="pct"/>
            <w:tcBorders>
              <w:top w:val="nil"/>
              <w:left w:val="double" w:sz="6" w:space="0" w:color="auto"/>
              <w:bottom w:val="single" w:sz="8" w:space="0" w:color="auto"/>
              <w:right w:val="single" w:sz="8" w:space="0" w:color="auto"/>
            </w:tcBorders>
            <w:shd w:val="clear" w:color="auto" w:fill="auto"/>
            <w:noWrap/>
            <w:vAlign w:val="center"/>
            <w:hideMark/>
          </w:tcPr>
          <w:p w14:paraId="7F6041E9" w14:textId="77777777" w:rsidR="00117B7F" w:rsidRPr="005830D1" w:rsidRDefault="00117B7F" w:rsidP="007F0E33">
            <w:pPr>
              <w:spacing w:after="0"/>
              <w:ind w:left="0" w:firstLine="0"/>
              <w:jc w:val="left"/>
              <w:rPr>
                <w:sz w:val="20"/>
              </w:rPr>
            </w:pPr>
            <w:r w:rsidRPr="005830D1">
              <w:rPr>
                <w:sz w:val="20"/>
              </w:rPr>
              <w:t> </w:t>
            </w:r>
          </w:p>
        </w:tc>
        <w:tc>
          <w:tcPr>
            <w:tcW w:w="3053" w:type="pct"/>
            <w:tcBorders>
              <w:top w:val="nil"/>
              <w:left w:val="nil"/>
              <w:bottom w:val="single" w:sz="8" w:space="0" w:color="auto"/>
              <w:right w:val="single" w:sz="8" w:space="0" w:color="auto"/>
            </w:tcBorders>
            <w:shd w:val="clear" w:color="auto" w:fill="auto"/>
            <w:vAlign w:val="center"/>
            <w:hideMark/>
          </w:tcPr>
          <w:p w14:paraId="2ACD811B" w14:textId="77777777" w:rsidR="00117B7F" w:rsidRPr="005830D1" w:rsidRDefault="00117B7F" w:rsidP="007F0E33">
            <w:pPr>
              <w:spacing w:after="0"/>
              <w:ind w:left="0" w:firstLine="0"/>
              <w:jc w:val="left"/>
              <w:rPr>
                <w:b/>
                <w:bCs/>
                <w:sz w:val="20"/>
              </w:rPr>
            </w:pPr>
            <w:r w:rsidRPr="005830D1">
              <w:rPr>
                <w:b/>
                <w:bCs/>
                <w:sz w:val="20"/>
              </w:rPr>
              <w:t>VII PEINTURE</w:t>
            </w:r>
          </w:p>
        </w:tc>
        <w:tc>
          <w:tcPr>
            <w:tcW w:w="315" w:type="pct"/>
            <w:tcBorders>
              <w:top w:val="nil"/>
              <w:left w:val="nil"/>
              <w:bottom w:val="single" w:sz="8" w:space="0" w:color="auto"/>
              <w:right w:val="single" w:sz="8" w:space="0" w:color="auto"/>
            </w:tcBorders>
            <w:shd w:val="clear" w:color="auto" w:fill="auto"/>
            <w:noWrap/>
            <w:vAlign w:val="center"/>
            <w:hideMark/>
          </w:tcPr>
          <w:p w14:paraId="28DEAD38" w14:textId="77777777" w:rsidR="00117B7F" w:rsidRPr="005830D1" w:rsidRDefault="00117B7F" w:rsidP="007F0E33">
            <w:pPr>
              <w:spacing w:after="0"/>
              <w:ind w:left="0" w:firstLine="0"/>
              <w:jc w:val="center"/>
              <w:rPr>
                <w:sz w:val="20"/>
              </w:rPr>
            </w:pPr>
            <w:r w:rsidRPr="005830D1">
              <w:rPr>
                <w:sz w:val="20"/>
              </w:rPr>
              <w:t> </w:t>
            </w:r>
          </w:p>
        </w:tc>
        <w:tc>
          <w:tcPr>
            <w:tcW w:w="520" w:type="pct"/>
            <w:tcBorders>
              <w:top w:val="nil"/>
              <w:left w:val="nil"/>
              <w:bottom w:val="single" w:sz="8" w:space="0" w:color="auto"/>
              <w:right w:val="nil"/>
            </w:tcBorders>
            <w:shd w:val="clear" w:color="auto" w:fill="auto"/>
            <w:noWrap/>
            <w:vAlign w:val="center"/>
          </w:tcPr>
          <w:p w14:paraId="01A810F8" w14:textId="77777777" w:rsidR="00117B7F" w:rsidRPr="005830D1" w:rsidRDefault="00117B7F" w:rsidP="007F0E33">
            <w:pPr>
              <w:spacing w:after="0"/>
              <w:ind w:left="0" w:firstLine="0"/>
              <w:jc w:val="left"/>
              <w:rPr>
                <w:sz w:val="20"/>
              </w:rPr>
            </w:pPr>
          </w:p>
        </w:tc>
        <w:tc>
          <w:tcPr>
            <w:tcW w:w="910" w:type="pct"/>
            <w:tcBorders>
              <w:top w:val="nil"/>
              <w:left w:val="single" w:sz="4" w:space="0" w:color="auto"/>
              <w:bottom w:val="single" w:sz="4" w:space="0" w:color="auto"/>
              <w:right w:val="single" w:sz="4" w:space="0" w:color="auto"/>
            </w:tcBorders>
            <w:shd w:val="clear" w:color="auto" w:fill="auto"/>
            <w:noWrap/>
            <w:vAlign w:val="bottom"/>
            <w:hideMark/>
          </w:tcPr>
          <w:p w14:paraId="279FA27B" w14:textId="77777777" w:rsidR="00117B7F" w:rsidRPr="005830D1" w:rsidRDefault="00117B7F" w:rsidP="007F0E33">
            <w:pPr>
              <w:spacing w:after="0"/>
              <w:ind w:left="0" w:firstLine="0"/>
              <w:jc w:val="left"/>
              <w:rPr>
                <w:sz w:val="20"/>
              </w:rPr>
            </w:pPr>
            <w:r w:rsidRPr="005830D1">
              <w:rPr>
                <w:sz w:val="20"/>
              </w:rPr>
              <w:t> </w:t>
            </w:r>
          </w:p>
        </w:tc>
      </w:tr>
      <w:tr w:rsidR="00117B7F" w:rsidRPr="005830D1" w14:paraId="25F1DFC1" w14:textId="77777777" w:rsidTr="007F0E33">
        <w:trPr>
          <w:trHeight w:val="555"/>
          <w:jc w:val="center"/>
        </w:trPr>
        <w:tc>
          <w:tcPr>
            <w:tcW w:w="202" w:type="pct"/>
            <w:tcBorders>
              <w:top w:val="nil"/>
              <w:left w:val="double" w:sz="6" w:space="0" w:color="auto"/>
              <w:bottom w:val="single" w:sz="8" w:space="0" w:color="auto"/>
              <w:right w:val="single" w:sz="8" w:space="0" w:color="auto"/>
            </w:tcBorders>
            <w:shd w:val="clear" w:color="auto" w:fill="auto"/>
            <w:noWrap/>
            <w:vAlign w:val="center"/>
            <w:hideMark/>
          </w:tcPr>
          <w:p w14:paraId="6E917230" w14:textId="77777777" w:rsidR="00117B7F" w:rsidRPr="005830D1" w:rsidRDefault="00117B7F" w:rsidP="007F0E33">
            <w:pPr>
              <w:spacing w:after="0"/>
              <w:ind w:left="0" w:firstLine="0"/>
              <w:jc w:val="left"/>
              <w:rPr>
                <w:sz w:val="20"/>
              </w:rPr>
            </w:pPr>
            <w:r w:rsidRPr="005830D1">
              <w:rPr>
                <w:sz w:val="20"/>
              </w:rPr>
              <w:t>7.1</w:t>
            </w:r>
          </w:p>
        </w:tc>
        <w:tc>
          <w:tcPr>
            <w:tcW w:w="3053" w:type="pct"/>
            <w:tcBorders>
              <w:top w:val="nil"/>
              <w:left w:val="nil"/>
              <w:bottom w:val="single" w:sz="8" w:space="0" w:color="auto"/>
              <w:right w:val="single" w:sz="8" w:space="0" w:color="auto"/>
            </w:tcBorders>
            <w:shd w:val="clear" w:color="auto" w:fill="auto"/>
            <w:vAlign w:val="center"/>
            <w:hideMark/>
          </w:tcPr>
          <w:p w14:paraId="5CD68D97" w14:textId="77777777" w:rsidR="00117B7F" w:rsidRPr="005830D1" w:rsidRDefault="00117B7F" w:rsidP="007F0E33">
            <w:pPr>
              <w:spacing w:after="0"/>
              <w:ind w:left="0" w:firstLine="0"/>
              <w:jc w:val="left"/>
              <w:rPr>
                <w:sz w:val="18"/>
                <w:szCs w:val="18"/>
              </w:rPr>
            </w:pPr>
            <w:r w:rsidRPr="005830D1">
              <w:rPr>
                <w:b/>
                <w:bCs/>
                <w:sz w:val="20"/>
              </w:rPr>
              <w:t xml:space="preserve">Peinture FOM sur murs intérieurs et faux plafonds                                                                                                                                                                                                                                                 </w:t>
            </w:r>
            <w:r w:rsidRPr="005830D1">
              <w:rPr>
                <w:sz w:val="18"/>
                <w:szCs w:val="18"/>
              </w:rPr>
              <w:t>Ce prix s'applique au m2 de surface de mur intérieur et faux plafonds peint avec de la FOM intérieure.</w:t>
            </w:r>
            <w:r w:rsidRPr="005830D1">
              <w:rPr>
                <w:sz w:val="18"/>
                <w:szCs w:val="18"/>
              </w:rPr>
              <w:br/>
              <w:t>Il comprend : la préparation du support avec une couche bouche pore deux couche de finition suivant aspect demandé la protection des surfaces non peintes les échafaudages, le nettoyage après travaux, les retouches éventuelles ainsi que toutes sujétions nécessaires à la bonne exécution.</w:t>
            </w:r>
          </w:p>
          <w:p w14:paraId="2E02BC8A" w14:textId="77777777" w:rsidR="00117B7F" w:rsidRPr="005830D1" w:rsidRDefault="00117B7F" w:rsidP="007F0E33">
            <w:pPr>
              <w:spacing w:after="0"/>
              <w:ind w:left="0" w:firstLine="0"/>
              <w:jc w:val="left"/>
              <w:rPr>
                <w:sz w:val="18"/>
                <w:szCs w:val="18"/>
              </w:rPr>
            </w:pPr>
          </w:p>
          <w:p w14:paraId="3A07B613" w14:textId="77777777" w:rsidR="00117B7F" w:rsidRPr="005830D1" w:rsidRDefault="00117B7F" w:rsidP="007F0E33">
            <w:pPr>
              <w:spacing w:after="0"/>
              <w:ind w:left="0" w:firstLine="0"/>
              <w:jc w:val="left"/>
              <w:rPr>
                <w:b/>
                <w:bCs/>
                <w:sz w:val="20"/>
              </w:rPr>
            </w:pPr>
            <w:r w:rsidRPr="005830D1">
              <w:rPr>
                <w:i/>
                <w:sz w:val="18"/>
                <w:szCs w:val="18"/>
              </w:rPr>
              <w:t>Ce prix s’applique à la surface, en mètre carré (m2), de peinture FOM réalisée, avec comme valeur maximale celle obtenue à partir des plans d’exécution des ouvrages.</w:t>
            </w:r>
          </w:p>
        </w:tc>
        <w:tc>
          <w:tcPr>
            <w:tcW w:w="315" w:type="pct"/>
            <w:tcBorders>
              <w:top w:val="nil"/>
              <w:left w:val="nil"/>
              <w:bottom w:val="single" w:sz="8" w:space="0" w:color="auto"/>
              <w:right w:val="single" w:sz="8" w:space="0" w:color="auto"/>
            </w:tcBorders>
            <w:shd w:val="clear" w:color="auto" w:fill="auto"/>
            <w:noWrap/>
            <w:vAlign w:val="center"/>
            <w:hideMark/>
          </w:tcPr>
          <w:p w14:paraId="54E0DCBB" w14:textId="77777777" w:rsidR="00117B7F" w:rsidRPr="005830D1" w:rsidRDefault="00117B7F" w:rsidP="007F0E33">
            <w:pPr>
              <w:spacing w:after="0"/>
              <w:ind w:left="0" w:firstLine="0"/>
              <w:jc w:val="center"/>
              <w:rPr>
                <w:sz w:val="20"/>
              </w:rPr>
            </w:pPr>
            <w:r w:rsidRPr="005830D1">
              <w:rPr>
                <w:sz w:val="20"/>
              </w:rPr>
              <w:t>m²</w:t>
            </w:r>
          </w:p>
        </w:tc>
        <w:tc>
          <w:tcPr>
            <w:tcW w:w="520" w:type="pct"/>
            <w:tcBorders>
              <w:top w:val="nil"/>
              <w:left w:val="nil"/>
              <w:bottom w:val="single" w:sz="8" w:space="0" w:color="auto"/>
              <w:right w:val="nil"/>
            </w:tcBorders>
            <w:shd w:val="clear" w:color="auto" w:fill="auto"/>
            <w:noWrap/>
            <w:vAlign w:val="center"/>
          </w:tcPr>
          <w:p w14:paraId="5180C601" w14:textId="77777777" w:rsidR="00117B7F" w:rsidRPr="005830D1" w:rsidRDefault="00117B7F" w:rsidP="007F0E33">
            <w:pPr>
              <w:spacing w:after="0"/>
              <w:ind w:left="0" w:firstLine="0"/>
              <w:jc w:val="right"/>
              <w:rPr>
                <w:sz w:val="20"/>
              </w:rPr>
            </w:pPr>
          </w:p>
        </w:tc>
        <w:tc>
          <w:tcPr>
            <w:tcW w:w="910" w:type="pct"/>
            <w:tcBorders>
              <w:top w:val="nil"/>
              <w:left w:val="single" w:sz="4" w:space="0" w:color="auto"/>
              <w:bottom w:val="single" w:sz="4" w:space="0" w:color="auto"/>
              <w:right w:val="single" w:sz="4" w:space="0" w:color="auto"/>
            </w:tcBorders>
            <w:shd w:val="clear" w:color="auto" w:fill="auto"/>
            <w:noWrap/>
            <w:vAlign w:val="bottom"/>
            <w:hideMark/>
          </w:tcPr>
          <w:p w14:paraId="5438E68F" w14:textId="77777777" w:rsidR="00117B7F" w:rsidRPr="005830D1" w:rsidRDefault="00117B7F" w:rsidP="007F0E33">
            <w:pPr>
              <w:spacing w:after="0"/>
              <w:ind w:left="0" w:firstLine="0"/>
              <w:jc w:val="left"/>
              <w:rPr>
                <w:sz w:val="20"/>
              </w:rPr>
            </w:pPr>
            <w:r w:rsidRPr="005830D1">
              <w:rPr>
                <w:sz w:val="20"/>
              </w:rPr>
              <w:t> </w:t>
            </w:r>
          </w:p>
        </w:tc>
      </w:tr>
      <w:tr w:rsidR="00117B7F" w:rsidRPr="005830D1" w14:paraId="49020B93" w14:textId="77777777" w:rsidTr="007F0E33">
        <w:trPr>
          <w:trHeight w:val="414"/>
          <w:jc w:val="center"/>
        </w:trPr>
        <w:tc>
          <w:tcPr>
            <w:tcW w:w="202" w:type="pct"/>
            <w:tcBorders>
              <w:top w:val="nil"/>
              <w:left w:val="double" w:sz="6" w:space="0" w:color="auto"/>
              <w:bottom w:val="single" w:sz="8" w:space="0" w:color="auto"/>
              <w:right w:val="single" w:sz="8" w:space="0" w:color="auto"/>
            </w:tcBorders>
            <w:shd w:val="clear" w:color="auto" w:fill="auto"/>
            <w:noWrap/>
            <w:vAlign w:val="center"/>
            <w:hideMark/>
          </w:tcPr>
          <w:p w14:paraId="4B21C6DB" w14:textId="77777777" w:rsidR="00117B7F" w:rsidRPr="005830D1" w:rsidRDefault="00117B7F" w:rsidP="007F0E33">
            <w:pPr>
              <w:spacing w:after="0"/>
              <w:ind w:left="0" w:firstLine="0"/>
              <w:jc w:val="left"/>
              <w:rPr>
                <w:sz w:val="20"/>
              </w:rPr>
            </w:pPr>
            <w:r w:rsidRPr="005830D1">
              <w:rPr>
                <w:sz w:val="20"/>
              </w:rPr>
              <w:t>7.2</w:t>
            </w:r>
          </w:p>
        </w:tc>
        <w:tc>
          <w:tcPr>
            <w:tcW w:w="3053" w:type="pct"/>
            <w:tcBorders>
              <w:top w:val="nil"/>
              <w:left w:val="nil"/>
              <w:bottom w:val="single" w:sz="8" w:space="0" w:color="auto"/>
              <w:right w:val="single" w:sz="8" w:space="0" w:color="auto"/>
            </w:tcBorders>
            <w:shd w:val="clear" w:color="auto" w:fill="auto"/>
            <w:vAlign w:val="center"/>
            <w:hideMark/>
          </w:tcPr>
          <w:p w14:paraId="69D68DEE" w14:textId="77777777" w:rsidR="00117B7F" w:rsidRPr="005830D1" w:rsidRDefault="00117B7F" w:rsidP="007F0E33">
            <w:pPr>
              <w:spacing w:after="0"/>
              <w:ind w:left="0" w:firstLine="0"/>
              <w:jc w:val="left"/>
              <w:rPr>
                <w:b/>
                <w:bCs/>
                <w:sz w:val="20"/>
              </w:rPr>
            </w:pPr>
            <w:r w:rsidRPr="005830D1">
              <w:rPr>
                <w:b/>
                <w:bCs/>
                <w:sz w:val="20"/>
              </w:rPr>
              <w:t xml:space="preserve">Peinture tyrolienne sur murs extérieurs                                                                                                                                                                                                                                                                                           </w:t>
            </w:r>
            <w:r w:rsidRPr="005830D1">
              <w:rPr>
                <w:sz w:val="18"/>
                <w:szCs w:val="18"/>
              </w:rPr>
              <w:t xml:space="preserve">Ce prix s'applique au m2 de surface d’enduit tyrolienne tapé. </w:t>
            </w:r>
            <w:r w:rsidRPr="005830D1">
              <w:rPr>
                <w:sz w:val="18"/>
                <w:szCs w:val="18"/>
              </w:rPr>
              <w:br/>
              <w:t>Il comprend : la préparation du support avec deux couches tyrolienne tapé suivant aspect demandé la protection des surfaces non peintes les échafaudages, le nettoyage après travaux, les retouches éventuelles ainsi que toutes sujétions nécessaires à la bonne exécution.</w:t>
            </w:r>
            <w:r w:rsidRPr="005830D1">
              <w:rPr>
                <w:b/>
                <w:bCs/>
                <w:sz w:val="20"/>
              </w:rPr>
              <w:t xml:space="preserve"> </w:t>
            </w:r>
          </w:p>
          <w:p w14:paraId="670FE383" w14:textId="77777777" w:rsidR="00117B7F" w:rsidRPr="005830D1" w:rsidRDefault="00117B7F" w:rsidP="007F0E33">
            <w:pPr>
              <w:spacing w:after="0"/>
              <w:ind w:left="0" w:firstLine="0"/>
              <w:jc w:val="left"/>
              <w:rPr>
                <w:b/>
                <w:bCs/>
                <w:sz w:val="20"/>
              </w:rPr>
            </w:pPr>
          </w:p>
          <w:p w14:paraId="679802B0" w14:textId="77777777" w:rsidR="00117B7F" w:rsidRPr="005830D1" w:rsidRDefault="00117B7F" w:rsidP="007F0E33">
            <w:pPr>
              <w:spacing w:after="0"/>
              <w:ind w:left="0" w:firstLine="0"/>
              <w:jc w:val="left"/>
              <w:rPr>
                <w:b/>
                <w:bCs/>
                <w:sz w:val="20"/>
              </w:rPr>
            </w:pPr>
            <w:r w:rsidRPr="005830D1">
              <w:rPr>
                <w:i/>
                <w:sz w:val="18"/>
                <w:szCs w:val="18"/>
              </w:rPr>
              <w:t>Ce prix s’applique à la surface, en mètre carré (m2), de peinture tyrolienne réalisée, avec comme valeur maximale celle obtenue à partir des plans d’exécution des ouvrages.</w:t>
            </w:r>
          </w:p>
        </w:tc>
        <w:tc>
          <w:tcPr>
            <w:tcW w:w="315" w:type="pct"/>
            <w:tcBorders>
              <w:top w:val="nil"/>
              <w:left w:val="nil"/>
              <w:bottom w:val="single" w:sz="8" w:space="0" w:color="auto"/>
              <w:right w:val="single" w:sz="8" w:space="0" w:color="auto"/>
            </w:tcBorders>
            <w:shd w:val="clear" w:color="auto" w:fill="auto"/>
            <w:noWrap/>
            <w:vAlign w:val="center"/>
            <w:hideMark/>
          </w:tcPr>
          <w:p w14:paraId="4DABFB92" w14:textId="77777777" w:rsidR="00117B7F" w:rsidRPr="005830D1" w:rsidRDefault="00117B7F" w:rsidP="007F0E33">
            <w:pPr>
              <w:spacing w:after="0"/>
              <w:ind w:left="0" w:firstLine="0"/>
              <w:jc w:val="center"/>
              <w:rPr>
                <w:sz w:val="20"/>
              </w:rPr>
            </w:pPr>
            <w:r w:rsidRPr="005830D1">
              <w:rPr>
                <w:sz w:val="20"/>
              </w:rPr>
              <w:t>m²</w:t>
            </w:r>
          </w:p>
        </w:tc>
        <w:tc>
          <w:tcPr>
            <w:tcW w:w="520" w:type="pct"/>
            <w:tcBorders>
              <w:top w:val="nil"/>
              <w:left w:val="nil"/>
              <w:bottom w:val="single" w:sz="8" w:space="0" w:color="auto"/>
              <w:right w:val="nil"/>
            </w:tcBorders>
            <w:shd w:val="clear" w:color="auto" w:fill="auto"/>
            <w:noWrap/>
            <w:vAlign w:val="center"/>
          </w:tcPr>
          <w:p w14:paraId="59DEDD83" w14:textId="77777777" w:rsidR="00117B7F" w:rsidRPr="005830D1" w:rsidRDefault="00117B7F" w:rsidP="007F0E33">
            <w:pPr>
              <w:spacing w:after="0"/>
              <w:ind w:left="0" w:firstLine="0"/>
              <w:jc w:val="right"/>
              <w:rPr>
                <w:sz w:val="20"/>
              </w:rPr>
            </w:pPr>
          </w:p>
        </w:tc>
        <w:tc>
          <w:tcPr>
            <w:tcW w:w="910" w:type="pct"/>
            <w:tcBorders>
              <w:top w:val="nil"/>
              <w:left w:val="single" w:sz="4" w:space="0" w:color="auto"/>
              <w:bottom w:val="single" w:sz="4" w:space="0" w:color="auto"/>
              <w:right w:val="single" w:sz="4" w:space="0" w:color="auto"/>
            </w:tcBorders>
            <w:shd w:val="clear" w:color="auto" w:fill="auto"/>
            <w:noWrap/>
            <w:vAlign w:val="bottom"/>
            <w:hideMark/>
          </w:tcPr>
          <w:p w14:paraId="55E4E3BF" w14:textId="77777777" w:rsidR="00117B7F" w:rsidRPr="005830D1" w:rsidRDefault="00117B7F" w:rsidP="007F0E33">
            <w:pPr>
              <w:spacing w:after="0"/>
              <w:ind w:left="0" w:firstLine="0"/>
              <w:jc w:val="left"/>
              <w:rPr>
                <w:sz w:val="20"/>
              </w:rPr>
            </w:pPr>
            <w:r w:rsidRPr="005830D1">
              <w:rPr>
                <w:sz w:val="20"/>
              </w:rPr>
              <w:t> </w:t>
            </w:r>
          </w:p>
        </w:tc>
      </w:tr>
      <w:tr w:rsidR="00117B7F" w:rsidRPr="005830D1" w14:paraId="525DF2EC" w14:textId="77777777" w:rsidTr="007F0E33">
        <w:trPr>
          <w:trHeight w:val="2066"/>
          <w:jc w:val="center"/>
        </w:trPr>
        <w:tc>
          <w:tcPr>
            <w:tcW w:w="202" w:type="pct"/>
            <w:tcBorders>
              <w:top w:val="nil"/>
              <w:left w:val="double" w:sz="6" w:space="0" w:color="auto"/>
              <w:bottom w:val="single" w:sz="8" w:space="0" w:color="auto"/>
              <w:right w:val="single" w:sz="8" w:space="0" w:color="auto"/>
            </w:tcBorders>
            <w:shd w:val="clear" w:color="auto" w:fill="auto"/>
            <w:noWrap/>
            <w:vAlign w:val="center"/>
            <w:hideMark/>
          </w:tcPr>
          <w:p w14:paraId="6E82E389" w14:textId="77777777" w:rsidR="00117B7F" w:rsidRPr="005830D1" w:rsidRDefault="00117B7F" w:rsidP="007F0E33">
            <w:pPr>
              <w:spacing w:after="0"/>
              <w:ind w:left="0" w:firstLine="0"/>
              <w:jc w:val="left"/>
              <w:rPr>
                <w:sz w:val="20"/>
              </w:rPr>
            </w:pPr>
            <w:r w:rsidRPr="005830D1">
              <w:rPr>
                <w:sz w:val="20"/>
              </w:rPr>
              <w:lastRenderedPageBreak/>
              <w:t>7.3</w:t>
            </w:r>
          </w:p>
        </w:tc>
        <w:tc>
          <w:tcPr>
            <w:tcW w:w="3053" w:type="pct"/>
            <w:tcBorders>
              <w:top w:val="nil"/>
              <w:left w:val="nil"/>
              <w:bottom w:val="single" w:sz="8" w:space="0" w:color="auto"/>
              <w:right w:val="single" w:sz="8" w:space="0" w:color="auto"/>
            </w:tcBorders>
            <w:shd w:val="clear" w:color="auto" w:fill="auto"/>
            <w:vAlign w:val="center"/>
            <w:hideMark/>
          </w:tcPr>
          <w:p w14:paraId="2E5FF682" w14:textId="77777777" w:rsidR="00117B7F" w:rsidRPr="005830D1" w:rsidRDefault="00117B7F" w:rsidP="007F0E33">
            <w:pPr>
              <w:spacing w:after="0"/>
              <w:ind w:left="0" w:firstLine="0"/>
              <w:jc w:val="left"/>
              <w:rPr>
                <w:sz w:val="18"/>
                <w:szCs w:val="18"/>
              </w:rPr>
            </w:pPr>
            <w:r w:rsidRPr="005830D1">
              <w:rPr>
                <w:b/>
                <w:bCs/>
                <w:sz w:val="20"/>
              </w:rPr>
              <w:t xml:space="preserve">Peinture à huile sur menuiserie                                                                                                               </w:t>
            </w:r>
            <w:r w:rsidRPr="005830D1">
              <w:rPr>
                <w:sz w:val="18"/>
                <w:szCs w:val="18"/>
              </w:rPr>
              <w:t>Ce prix s'applique au m2 de surface de menuiserie peinte. Il comprend : la fourniture d'une peinture de type Glycéro agrée, le ponçage, la préparation du support avec une couche bouche pore deux couche de finition suivant aspect demandé la protection des surfaces non peintes e démontage et remontage des huisseries, le nettoyage après travaux, les retouches éventuelles ainsi que toutes sujétions nécessaires à la bonne exécution.</w:t>
            </w:r>
          </w:p>
          <w:p w14:paraId="328096E5" w14:textId="77777777" w:rsidR="00117B7F" w:rsidRPr="005830D1" w:rsidRDefault="00117B7F" w:rsidP="007F0E33">
            <w:pPr>
              <w:spacing w:after="0"/>
              <w:ind w:left="0" w:firstLine="0"/>
              <w:jc w:val="left"/>
              <w:rPr>
                <w:sz w:val="18"/>
                <w:szCs w:val="18"/>
              </w:rPr>
            </w:pPr>
          </w:p>
          <w:p w14:paraId="0A29957A" w14:textId="77777777" w:rsidR="00117B7F" w:rsidRPr="005830D1" w:rsidRDefault="00117B7F" w:rsidP="007F0E33">
            <w:pPr>
              <w:spacing w:after="0"/>
              <w:ind w:left="0" w:firstLine="0"/>
              <w:jc w:val="left"/>
              <w:rPr>
                <w:b/>
                <w:bCs/>
                <w:sz w:val="20"/>
              </w:rPr>
            </w:pPr>
            <w:r w:rsidRPr="005830D1">
              <w:rPr>
                <w:i/>
                <w:sz w:val="18"/>
                <w:szCs w:val="18"/>
              </w:rPr>
              <w:t>Ce prix s’applique à la surface, en mètre carré (m2), de peinture à huile réalisée, avec comme valeur maximale celle obtenue à partir des plans d’exécution des ouvrages.</w:t>
            </w:r>
          </w:p>
        </w:tc>
        <w:tc>
          <w:tcPr>
            <w:tcW w:w="315" w:type="pct"/>
            <w:tcBorders>
              <w:top w:val="nil"/>
              <w:left w:val="nil"/>
              <w:bottom w:val="single" w:sz="8" w:space="0" w:color="auto"/>
              <w:right w:val="single" w:sz="8" w:space="0" w:color="auto"/>
            </w:tcBorders>
            <w:shd w:val="clear" w:color="auto" w:fill="auto"/>
            <w:noWrap/>
            <w:vAlign w:val="center"/>
            <w:hideMark/>
          </w:tcPr>
          <w:p w14:paraId="78582B54" w14:textId="77777777" w:rsidR="00117B7F" w:rsidRPr="005830D1" w:rsidRDefault="00117B7F" w:rsidP="007F0E33">
            <w:pPr>
              <w:spacing w:after="0"/>
              <w:ind w:left="0" w:firstLine="0"/>
              <w:jc w:val="center"/>
              <w:rPr>
                <w:sz w:val="20"/>
              </w:rPr>
            </w:pPr>
            <w:r w:rsidRPr="005830D1">
              <w:rPr>
                <w:sz w:val="20"/>
              </w:rPr>
              <w:t>m²</w:t>
            </w:r>
          </w:p>
        </w:tc>
        <w:tc>
          <w:tcPr>
            <w:tcW w:w="520" w:type="pct"/>
            <w:tcBorders>
              <w:top w:val="nil"/>
              <w:left w:val="nil"/>
              <w:bottom w:val="single" w:sz="8" w:space="0" w:color="auto"/>
              <w:right w:val="nil"/>
            </w:tcBorders>
            <w:shd w:val="clear" w:color="auto" w:fill="auto"/>
            <w:noWrap/>
            <w:vAlign w:val="center"/>
          </w:tcPr>
          <w:p w14:paraId="698336B1" w14:textId="77777777" w:rsidR="00117B7F" w:rsidRPr="005830D1" w:rsidRDefault="00117B7F" w:rsidP="007F0E33">
            <w:pPr>
              <w:spacing w:after="0"/>
              <w:ind w:left="0" w:firstLine="0"/>
              <w:jc w:val="right"/>
              <w:rPr>
                <w:sz w:val="20"/>
              </w:rPr>
            </w:pPr>
          </w:p>
        </w:tc>
        <w:tc>
          <w:tcPr>
            <w:tcW w:w="910" w:type="pct"/>
            <w:tcBorders>
              <w:top w:val="nil"/>
              <w:left w:val="single" w:sz="4" w:space="0" w:color="auto"/>
              <w:bottom w:val="single" w:sz="4" w:space="0" w:color="auto"/>
              <w:right w:val="single" w:sz="4" w:space="0" w:color="auto"/>
            </w:tcBorders>
            <w:shd w:val="clear" w:color="auto" w:fill="auto"/>
            <w:noWrap/>
            <w:vAlign w:val="bottom"/>
            <w:hideMark/>
          </w:tcPr>
          <w:p w14:paraId="69D603D5" w14:textId="77777777" w:rsidR="00117B7F" w:rsidRPr="005830D1" w:rsidRDefault="00117B7F" w:rsidP="007F0E33">
            <w:pPr>
              <w:spacing w:after="0"/>
              <w:ind w:left="0" w:firstLine="0"/>
              <w:jc w:val="left"/>
              <w:rPr>
                <w:sz w:val="20"/>
              </w:rPr>
            </w:pPr>
            <w:r w:rsidRPr="005830D1">
              <w:rPr>
                <w:sz w:val="20"/>
              </w:rPr>
              <w:t> </w:t>
            </w:r>
          </w:p>
        </w:tc>
      </w:tr>
      <w:tr w:rsidR="00117B7F" w:rsidRPr="005830D1" w14:paraId="30927884" w14:textId="77777777" w:rsidTr="007F0E33">
        <w:trPr>
          <w:trHeight w:val="49"/>
          <w:jc w:val="center"/>
        </w:trPr>
        <w:tc>
          <w:tcPr>
            <w:tcW w:w="202" w:type="pct"/>
            <w:tcBorders>
              <w:top w:val="nil"/>
              <w:left w:val="double" w:sz="6" w:space="0" w:color="auto"/>
              <w:bottom w:val="single" w:sz="8" w:space="0" w:color="auto"/>
              <w:right w:val="single" w:sz="8" w:space="0" w:color="auto"/>
            </w:tcBorders>
            <w:shd w:val="clear" w:color="auto" w:fill="auto"/>
            <w:noWrap/>
            <w:vAlign w:val="center"/>
            <w:hideMark/>
          </w:tcPr>
          <w:p w14:paraId="793D1AD4" w14:textId="77777777" w:rsidR="00117B7F" w:rsidRPr="005830D1" w:rsidRDefault="00117B7F" w:rsidP="007F0E33">
            <w:pPr>
              <w:spacing w:after="0"/>
              <w:ind w:left="0" w:firstLine="0"/>
              <w:jc w:val="left"/>
              <w:rPr>
                <w:sz w:val="20"/>
              </w:rPr>
            </w:pPr>
          </w:p>
        </w:tc>
        <w:tc>
          <w:tcPr>
            <w:tcW w:w="3053" w:type="pct"/>
            <w:tcBorders>
              <w:top w:val="nil"/>
              <w:left w:val="nil"/>
              <w:bottom w:val="single" w:sz="8" w:space="0" w:color="auto"/>
              <w:right w:val="single" w:sz="8" w:space="0" w:color="auto"/>
            </w:tcBorders>
            <w:shd w:val="clear" w:color="auto" w:fill="auto"/>
            <w:vAlign w:val="center"/>
            <w:hideMark/>
          </w:tcPr>
          <w:p w14:paraId="383B21B7" w14:textId="77777777" w:rsidR="00117B7F" w:rsidRPr="005830D1" w:rsidRDefault="00117B7F" w:rsidP="007F0E33">
            <w:pPr>
              <w:spacing w:after="0"/>
              <w:ind w:left="0" w:firstLine="0"/>
              <w:jc w:val="left"/>
              <w:rPr>
                <w:b/>
                <w:bCs/>
                <w:sz w:val="20"/>
              </w:rPr>
            </w:pPr>
            <w:r w:rsidRPr="005830D1">
              <w:rPr>
                <w:b/>
                <w:bCs/>
                <w:sz w:val="20"/>
              </w:rPr>
              <w:t>TOTAL PEINTURE</w:t>
            </w:r>
          </w:p>
        </w:tc>
        <w:tc>
          <w:tcPr>
            <w:tcW w:w="315" w:type="pct"/>
            <w:tcBorders>
              <w:top w:val="nil"/>
              <w:left w:val="nil"/>
              <w:bottom w:val="single" w:sz="8" w:space="0" w:color="auto"/>
              <w:right w:val="single" w:sz="8" w:space="0" w:color="auto"/>
            </w:tcBorders>
            <w:shd w:val="clear" w:color="auto" w:fill="auto"/>
            <w:noWrap/>
            <w:vAlign w:val="center"/>
            <w:hideMark/>
          </w:tcPr>
          <w:p w14:paraId="4F893622" w14:textId="77777777" w:rsidR="00117B7F" w:rsidRPr="005830D1" w:rsidRDefault="00117B7F" w:rsidP="007F0E33">
            <w:pPr>
              <w:spacing w:after="0"/>
              <w:ind w:left="0" w:firstLine="0"/>
              <w:jc w:val="center"/>
              <w:rPr>
                <w:sz w:val="20"/>
              </w:rPr>
            </w:pPr>
            <w:r w:rsidRPr="005830D1">
              <w:rPr>
                <w:sz w:val="20"/>
              </w:rPr>
              <w:t> </w:t>
            </w:r>
          </w:p>
        </w:tc>
        <w:tc>
          <w:tcPr>
            <w:tcW w:w="520" w:type="pct"/>
            <w:tcBorders>
              <w:top w:val="nil"/>
              <w:left w:val="nil"/>
              <w:bottom w:val="single" w:sz="8" w:space="0" w:color="auto"/>
              <w:right w:val="nil"/>
            </w:tcBorders>
            <w:shd w:val="clear" w:color="auto" w:fill="auto"/>
            <w:noWrap/>
            <w:vAlign w:val="center"/>
          </w:tcPr>
          <w:p w14:paraId="5DEE8939" w14:textId="77777777" w:rsidR="00117B7F" w:rsidRPr="005830D1" w:rsidRDefault="00117B7F" w:rsidP="007F0E33">
            <w:pPr>
              <w:spacing w:after="0"/>
              <w:ind w:left="0" w:firstLine="0"/>
              <w:jc w:val="left"/>
              <w:rPr>
                <w:sz w:val="20"/>
              </w:rPr>
            </w:pPr>
          </w:p>
        </w:tc>
        <w:tc>
          <w:tcPr>
            <w:tcW w:w="910" w:type="pct"/>
            <w:tcBorders>
              <w:top w:val="nil"/>
              <w:left w:val="single" w:sz="4" w:space="0" w:color="auto"/>
              <w:bottom w:val="single" w:sz="4" w:space="0" w:color="auto"/>
              <w:right w:val="single" w:sz="4" w:space="0" w:color="auto"/>
            </w:tcBorders>
            <w:shd w:val="clear" w:color="auto" w:fill="auto"/>
            <w:noWrap/>
            <w:vAlign w:val="bottom"/>
            <w:hideMark/>
          </w:tcPr>
          <w:p w14:paraId="23132581" w14:textId="77777777" w:rsidR="00117B7F" w:rsidRPr="005830D1" w:rsidRDefault="00117B7F" w:rsidP="007F0E33">
            <w:pPr>
              <w:spacing w:after="0"/>
              <w:ind w:left="0" w:firstLine="0"/>
              <w:jc w:val="left"/>
              <w:rPr>
                <w:sz w:val="20"/>
              </w:rPr>
            </w:pPr>
            <w:r w:rsidRPr="005830D1">
              <w:rPr>
                <w:sz w:val="20"/>
              </w:rPr>
              <w:t> </w:t>
            </w:r>
          </w:p>
        </w:tc>
      </w:tr>
      <w:tr w:rsidR="00117B7F" w:rsidRPr="005830D1" w14:paraId="079EF087" w14:textId="77777777" w:rsidTr="007F0E33">
        <w:trPr>
          <w:trHeight w:val="49"/>
          <w:jc w:val="center"/>
        </w:trPr>
        <w:tc>
          <w:tcPr>
            <w:tcW w:w="202" w:type="pct"/>
            <w:tcBorders>
              <w:top w:val="nil"/>
              <w:left w:val="double" w:sz="6" w:space="0" w:color="auto"/>
              <w:bottom w:val="single" w:sz="8" w:space="0" w:color="auto"/>
              <w:right w:val="single" w:sz="8" w:space="0" w:color="auto"/>
            </w:tcBorders>
            <w:shd w:val="clear" w:color="auto" w:fill="auto"/>
            <w:noWrap/>
            <w:vAlign w:val="center"/>
            <w:hideMark/>
          </w:tcPr>
          <w:p w14:paraId="7E2631B2" w14:textId="77777777" w:rsidR="00117B7F" w:rsidRPr="005830D1" w:rsidRDefault="00117B7F" w:rsidP="007F0E33">
            <w:pPr>
              <w:spacing w:after="0"/>
              <w:ind w:left="0" w:firstLine="0"/>
              <w:jc w:val="left"/>
              <w:rPr>
                <w:sz w:val="20"/>
              </w:rPr>
            </w:pPr>
            <w:r w:rsidRPr="005830D1">
              <w:rPr>
                <w:sz w:val="20"/>
              </w:rPr>
              <w:t> </w:t>
            </w:r>
          </w:p>
        </w:tc>
        <w:tc>
          <w:tcPr>
            <w:tcW w:w="3053" w:type="pct"/>
            <w:tcBorders>
              <w:top w:val="nil"/>
              <w:left w:val="nil"/>
              <w:bottom w:val="single" w:sz="8" w:space="0" w:color="auto"/>
              <w:right w:val="single" w:sz="8" w:space="0" w:color="auto"/>
            </w:tcBorders>
            <w:shd w:val="clear" w:color="auto" w:fill="auto"/>
            <w:vAlign w:val="center"/>
            <w:hideMark/>
          </w:tcPr>
          <w:p w14:paraId="1A4D8063" w14:textId="77777777" w:rsidR="00117B7F" w:rsidRPr="005830D1" w:rsidRDefault="00117B7F" w:rsidP="007F0E33">
            <w:pPr>
              <w:spacing w:after="0"/>
              <w:ind w:left="0" w:firstLine="0"/>
              <w:jc w:val="left"/>
              <w:rPr>
                <w:b/>
                <w:bCs/>
                <w:sz w:val="20"/>
              </w:rPr>
            </w:pPr>
            <w:r w:rsidRPr="005830D1">
              <w:rPr>
                <w:b/>
                <w:bCs/>
                <w:sz w:val="20"/>
              </w:rPr>
              <w:t>VIII FOURNITURES ET INSTALLATION DE CLAIES</w:t>
            </w:r>
          </w:p>
        </w:tc>
        <w:tc>
          <w:tcPr>
            <w:tcW w:w="315" w:type="pct"/>
            <w:tcBorders>
              <w:top w:val="nil"/>
              <w:left w:val="nil"/>
              <w:bottom w:val="single" w:sz="8" w:space="0" w:color="auto"/>
              <w:right w:val="single" w:sz="8" w:space="0" w:color="auto"/>
            </w:tcBorders>
            <w:shd w:val="clear" w:color="auto" w:fill="auto"/>
            <w:noWrap/>
            <w:vAlign w:val="center"/>
            <w:hideMark/>
          </w:tcPr>
          <w:p w14:paraId="2A432038" w14:textId="77777777" w:rsidR="00117B7F" w:rsidRPr="005830D1" w:rsidRDefault="00117B7F" w:rsidP="007F0E33">
            <w:pPr>
              <w:spacing w:after="0"/>
              <w:ind w:left="0" w:firstLine="0"/>
              <w:jc w:val="center"/>
              <w:rPr>
                <w:sz w:val="20"/>
              </w:rPr>
            </w:pPr>
            <w:r w:rsidRPr="005830D1">
              <w:rPr>
                <w:sz w:val="20"/>
              </w:rPr>
              <w:t> </w:t>
            </w:r>
          </w:p>
        </w:tc>
        <w:tc>
          <w:tcPr>
            <w:tcW w:w="520" w:type="pct"/>
            <w:tcBorders>
              <w:top w:val="nil"/>
              <w:left w:val="nil"/>
              <w:bottom w:val="single" w:sz="8" w:space="0" w:color="auto"/>
              <w:right w:val="nil"/>
            </w:tcBorders>
            <w:shd w:val="clear" w:color="auto" w:fill="auto"/>
            <w:noWrap/>
            <w:vAlign w:val="center"/>
          </w:tcPr>
          <w:p w14:paraId="6C37DE68" w14:textId="77777777" w:rsidR="00117B7F" w:rsidRPr="005830D1" w:rsidRDefault="00117B7F" w:rsidP="007F0E33">
            <w:pPr>
              <w:spacing w:after="0"/>
              <w:ind w:left="0" w:firstLine="0"/>
              <w:jc w:val="left"/>
              <w:rPr>
                <w:sz w:val="20"/>
              </w:rPr>
            </w:pPr>
          </w:p>
        </w:tc>
        <w:tc>
          <w:tcPr>
            <w:tcW w:w="910" w:type="pct"/>
            <w:tcBorders>
              <w:top w:val="nil"/>
              <w:left w:val="single" w:sz="4" w:space="0" w:color="auto"/>
              <w:bottom w:val="single" w:sz="4" w:space="0" w:color="auto"/>
              <w:right w:val="single" w:sz="4" w:space="0" w:color="auto"/>
            </w:tcBorders>
            <w:shd w:val="clear" w:color="auto" w:fill="auto"/>
            <w:noWrap/>
            <w:vAlign w:val="bottom"/>
            <w:hideMark/>
          </w:tcPr>
          <w:p w14:paraId="365C225C" w14:textId="77777777" w:rsidR="00117B7F" w:rsidRPr="005830D1" w:rsidRDefault="00117B7F" w:rsidP="007F0E33">
            <w:pPr>
              <w:spacing w:after="0"/>
              <w:ind w:left="0" w:firstLine="0"/>
              <w:jc w:val="left"/>
              <w:rPr>
                <w:sz w:val="20"/>
              </w:rPr>
            </w:pPr>
            <w:r w:rsidRPr="005830D1">
              <w:rPr>
                <w:sz w:val="20"/>
              </w:rPr>
              <w:t> </w:t>
            </w:r>
          </w:p>
        </w:tc>
      </w:tr>
      <w:tr w:rsidR="00117B7F" w:rsidRPr="005830D1" w14:paraId="3AAC0DEE" w14:textId="77777777" w:rsidTr="007F0E33">
        <w:trPr>
          <w:trHeight w:val="1259"/>
          <w:jc w:val="center"/>
        </w:trPr>
        <w:tc>
          <w:tcPr>
            <w:tcW w:w="202" w:type="pct"/>
            <w:tcBorders>
              <w:top w:val="nil"/>
              <w:left w:val="double" w:sz="6" w:space="0" w:color="auto"/>
              <w:bottom w:val="single" w:sz="8" w:space="0" w:color="auto"/>
              <w:right w:val="single" w:sz="8" w:space="0" w:color="auto"/>
            </w:tcBorders>
            <w:shd w:val="clear" w:color="auto" w:fill="auto"/>
            <w:noWrap/>
            <w:vAlign w:val="center"/>
            <w:hideMark/>
          </w:tcPr>
          <w:p w14:paraId="777E1AFE" w14:textId="77777777" w:rsidR="00117B7F" w:rsidRPr="005830D1" w:rsidRDefault="00117B7F" w:rsidP="007F0E33">
            <w:pPr>
              <w:spacing w:after="0"/>
              <w:ind w:left="0" w:firstLine="0"/>
              <w:jc w:val="left"/>
              <w:rPr>
                <w:sz w:val="20"/>
              </w:rPr>
            </w:pPr>
            <w:r w:rsidRPr="005830D1">
              <w:rPr>
                <w:sz w:val="20"/>
              </w:rPr>
              <w:t>8.1</w:t>
            </w:r>
          </w:p>
        </w:tc>
        <w:tc>
          <w:tcPr>
            <w:tcW w:w="3053" w:type="pct"/>
            <w:tcBorders>
              <w:top w:val="nil"/>
              <w:left w:val="nil"/>
              <w:bottom w:val="single" w:sz="8" w:space="0" w:color="auto"/>
              <w:right w:val="single" w:sz="8" w:space="0" w:color="auto"/>
            </w:tcBorders>
            <w:shd w:val="clear" w:color="auto" w:fill="auto"/>
            <w:vAlign w:val="center"/>
            <w:hideMark/>
          </w:tcPr>
          <w:p w14:paraId="3BDE8C11" w14:textId="77777777" w:rsidR="00117B7F" w:rsidRPr="005830D1" w:rsidRDefault="00117B7F" w:rsidP="007F0E33">
            <w:pPr>
              <w:spacing w:after="0"/>
              <w:ind w:left="0" w:firstLine="0"/>
              <w:jc w:val="left"/>
              <w:rPr>
                <w:b/>
                <w:bCs/>
                <w:sz w:val="20"/>
              </w:rPr>
            </w:pPr>
            <w:r w:rsidRPr="005830D1">
              <w:rPr>
                <w:b/>
                <w:bCs/>
                <w:sz w:val="20"/>
              </w:rPr>
              <w:t>F/P unité de claies métalliques à 8 casiers de 1,20X1</w:t>
            </w:r>
            <w:proofErr w:type="gramStart"/>
            <w:r w:rsidRPr="005830D1">
              <w:rPr>
                <w:b/>
                <w:bCs/>
                <w:sz w:val="20"/>
              </w:rPr>
              <w:t>,00</w:t>
            </w:r>
            <w:proofErr w:type="gramEnd"/>
            <w:r w:rsidRPr="005830D1">
              <w:rPr>
                <w:b/>
                <w:bCs/>
                <w:sz w:val="20"/>
              </w:rPr>
              <w:t xml:space="preserve"> m y compris toutes sujétions</w:t>
            </w:r>
          </w:p>
          <w:p w14:paraId="63B04383" w14:textId="77777777" w:rsidR="00117B7F" w:rsidRPr="005830D1" w:rsidRDefault="00117B7F" w:rsidP="007F0E33">
            <w:pPr>
              <w:spacing w:after="0"/>
              <w:ind w:left="0" w:firstLine="0"/>
              <w:jc w:val="left"/>
              <w:rPr>
                <w:sz w:val="18"/>
                <w:szCs w:val="18"/>
              </w:rPr>
            </w:pPr>
            <w:r w:rsidRPr="005830D1">
              <w:rPr>
                <w:sz w:val="18"/>
                <w:szCs w:val="18"/>
              </w:rPr>
              <w:t>Ce prix rémunère à l'unité la fourniture et pose de claies métalliques à 8 casiers de 1,20 x 1,00 m y compris toutes sujétions suivant les indications de l’ingénieur.</w:t>
            </w:r>
          </w:p>
          <w:p w14:paraId="7C1AE289" w14:textId="77777777" w:rsidR="00117B7F" w:rsidRPr="005830D1" w:rsidRDefault="00117B7F" w:rsidP="007F0E33">
            <w:pPr>
              <w:spacing w:after="0"/>
              <w:ind w:left="0" w:firstLine="0"/>
              <w:jc w:val="left"/>
              <w:rPr>
                <w:sz w:val="18"/>
                <w:szCs w:val="18"/>
              </w:rPr>
            </w:pPr>
            <w:r w:rsidRPr="005830D1">
              <w:rPr>
                <w:sz w:val="18"/>
                <w:szCs w:val="18"/>
              </w:rPr>
              <w:t xml:space="preserve"> </w:t>
            </w:r>
          </w:p>
          <w:p w14:paraId="2E719BD4" w14:textId="77777777" w:rsidR="00117B7F" w:rsidRPr="005830D1" w:rsidRDefault="00117B7F" w:rsidP="007F0E33">
            <w:pPr>
              <w:spacing w:after="0"/>
              <w:ind w:left="0" w:firstLine="0"/>
              <w:jc w:val="left"/>
              <w:rPr>
                <w:b/>
                <w:bCs/>
                <w:sz w:val="20"/>
              </w:rPr>
            </w:pPr>
            <w:r w:rsidRPr="005830D1">
              <w:rPr>
                <w:i/>
                <w:sz w:val="18"/>
                <w:szCs w:val="18"/>
              </w:rPr>
              <w:t>Le prix s'applique à l’Unité de claies métalliques fourni et mise en place constatée par l’ingénieur</w:t>
            </w:r>
          </w:p>
        </w:tc>
        <w:tc>
          <w:tcPr>
            <w:tcW w:w="315" w:type="pct"/>
            <w:tcBorders>
              <w:top w:val="nil"/>
              <w:left w:val="nil"/>
              <w:bottom w:val="single" w:sz="8" w:space="0" w:color="auto"/>
              <w:right w:val="single" w:sz="8" w:space="0" w:color="auto"/>
            </w:tcBorders>
            <w:shd w:val="clear" w:color="auto" w:fill="auto"/>
            <w:noWrap/>
            <w:vAlign w:val="center"/>
            <w:hideMark/>
          </w:tcPr>
          <w:p w14:paraId="5773E9CF" w14:textId="77777777" w:rsidR="00117B7F" w:rsidRPr="005830D1" w:rsidRDefault="00117B7F" w:rsidP="007F0E33">
            <w:pPr>
              <w:spacing w:after="0"/>
              <w:ind w:left="0" w:firstLine="0"/>
              <w:jc w:val="center"/>
              <w:rPr>
                <w:sz w:val="20"/>
              </w:rPr>
            </w:pPr>
            <w:r w:rsidRPr="005830D1">
              <w:rPr>
                <w:sz w:val="20"/>
              </w:rPr>
              <w:t>u</w:t>
            </w:r>
          </w:p>
        </w:tc>
        <w:tc>
          <w:tcPr>
            <w:tcW w:w="520" w:type="pct"/>
            <w:tcBorders>
              <w:top w:val="nil"/>
              <w:left w:val="nil"/>
              <w:bottom w:val="single" w:sz="8" w:space="0" w:color="auto"/>
              <w:right w:val="nil"/>
            </w:tcBorders>
            <w:shd w:val="clear" w:color="auto" w:fill="auto"/>
            <w:noWrap/>
            <w:vAlign w:val="center"/>
          </w:tcPr>
          <w:p w14:paraId="14DD8338" w14:textId="77777777" w:rsidR="00117B7F" w:rsidRPr="005830D1" w:rsidRDefault="00117B7F" w:rsidP="007F0E33">
            <w:pPr>
              <w:spacing w:after="0"/>
              <w:ind w:left="0" w:firstLine="0"/>
              <w:jc w:val="right"/>
              <w:rPr>
                <w:sz w:val="20"/>
              </w:rPr>
            </w:pPr>
          </w:p>
        </w:tc>
        <w:tc>
          <w:tcPr>
            <w:tcW w:w="910" w:type="pct"/>
            <w:tcBorders>
              <w:top w:val="nil"/>
              <w:left w:val="single" w:sz="4" w:space="0" w:color="auto"/>
              <w:bottom w:val="single" w:sz="4" w:space="0" w:color="auto"/>
              <w:right w:val="single" w:sz="4" w:space="0" w:color="auto"/>
            </w:tcBorders>
            <w:shd w:val="clear" w:color="auto" w:fill="auto"/>
            <w:noWrap/>
            <w:vAlign w:val="bottom"/>
            <w:hideMark/>
          </w:tcPr>
          <w:p w14:paraId="10FFA6BB" w14:textId="77777777" w:rsidR="00117B7F" w:rsidRPr="005830D1" w:rsidRDefault="00117B7F" w:rsidP="007F0E33">
            <w:pPr>
              <w:spacing w:after="0"/>
              <w:ind w:left="0" w:firstLine="0"/>
              <w:jc w:val="left"/>
              <w:rPr>
                <w:sz w:val="20"/>
              </w:rPr>
            </w:pPr>
            <w:r w:rsidRPr="005830D1">
              <w:rPr>
                <w:sz w:val="20"/>
              </w:rPr>
              <w:t> </w:t>
            </w:r>
          </w:p>
        </w:tc>
      </w:tr>
      <w:tr w:rsidR="00117B7F" w:rsidRPr="005830D1" w14:paraId="387E6B5C" w14:textId="77777777" w:rsidTr="007F0E33">
        <w:trPr>
          <w:trHeight w:val="1067"/>
          <w:jc w:val="center"/>
        </w:trPr>
        <w:tc>
          <w:tcPr>
            <w:tcW w:w="202" w:type="pct"/>
            <w:tcBorders>
              <w:top w:val="nil"/>
              <w:left w:val="double" w:sz="6" w:space="0" w:color="auto"/>
              <w:bottom w:val="single" w:sz="8" w:space="0" w:color="auto"/>
              <w:right w:val="single" w:sz="8" w:space="0" w:color="auto"/>
            </w:tcBorders>
            <w:shd w:val="clear" w:color="auto" w:fill="auto"/>
            <w:noWrap/>
            <w:vAlign w:val="center"/>
          </w:tcPr>
          <w:p w14:paraId="759F2D90" w14:textId="77777777" w:rsidR="00117B7F" w:rsidRPr="005830D1" w:rsidRDefault="00117B7F" w:rsidP="007F0E33">
            <w:pPr>
              <w:spacing w:after="0"/>
              <w:ind w:left="0" w:firstLine="0"/>
              <w:jc w:val="left"/>
              <w:rPr>
                <w:sz w:val="20"/>
              </w:rPr>
            </w:pPr>
            <w:r w:rsidRPr="005830D1">
              <w:rPr>
                <w:sz w:val="20"/>
              </w:rPr>
              <w:t>8.2</w:t>
            </w:r>
          </w:p>
        </w:tc>
        <w:tc>
          <w:tcPr>
            <w:tcW w:w="3053" w:type="pct"/>
            <w:tcBorders>
              <w:top w:val="nil"/>
              <w:left w:val="nil"/>
              <w:bottom w:val="single" w:sz="8" w:space="0" w:color="auto"/>
              <w:right w:val="single" w:sz="8" w:space="0" w:color="auto"/>
            </w:tcBorders>
            <w:shd w:val="clear" w:color="auto" w:fill="auto"/>
            <w:vAlign w:val="center"/>
          </w:tcPr>
          <w:p w14:paraId="76A3DFCD" w14:textId="77777777" w:rsidR="00117B7F" w:rsidRPr="005830D1" w:rsidRDefault="00117B7F" w:rsidP="007F0E33">
            <w:pPr>
              <w:spacing w:after="0"/>
              <w:ind w:left="0" w:firstLine="0"/>
              <w:jc w:val="left"/>
              <w:rPr>
                <w:b/>
                <w:bCs/>
                <w:sz w:val="20"/>
              </w:rPr>
            </w:pPr>
            <w:r w:rsidRPr="005830D1">
              <w:rPr>
                <w:b/>
                <w:bCs/>
                <w:sz w:val="20"/>
              </w:rPr>
              <w:t xml:space="preserve"> Fourniture de bascule de 500 Kg</w:t>
            </w:r>
          </w:p>
          <w:p w14:paraId="07CDAA4C" w14:textId="77777777" w:rsidR="00117B7F" w:rsidRPr="005830D1" w:rsidRDefault="00117B7F" w:rsidP="007F0E33">
            <w:pPr>
              <w:spacing w:after="0"/>
              <w:ind w:left="0" w:firstLine="0"/>
              <w:jc w:val="left"/>
              <w:rPr>
                <w:sz w:val="18"/>
                <w:szCs w:val="18"/>
              </w:rPr>
            </w:pPr>
            <w:r w:rsidRPr="005830D1">
              <w:rPr>
                <w:sz w:val="18"/>
                <w:szCs w:val="18"/>
              </w:rPr>
              <w:t>Ce prix rémunère à l'unité la fourniture de bascule de 500 kg suivant les indications de l’ingénieur</w:t>
            </w:r>
          </w:p>
          <w:p w14:paraId="780ACB98" w14:textId="77777777" w:rsidR="00117B7F" w:rsidRPr="005830D1" w:rsidRDefault="00117B7F" w:rsidP="007F0E33">
            <w:pPr>
              <w:spacing w:after="0"/>
              <w:ind w:left="0" w:firstLine="0"/>
              <w:jc w:val="left"/>
              <w:rPr>
                <w:sz w:val="18"/>
                <w:szCs w:val="18"/>
              </w:rPr>
            </w:pPr>
            <w:r w:rsidRPr="005830D1">
              <w:rPr>
                <w:sz w:val="18"/>
                <w:szCs w:val="18"/>
              </w:rPr>
              <w:t xml:space="preserve"> </w:t>
            </w:r>
          </w:p>
          <w:p w14:paraId="513189F1" w14:textId="77777777" w:rsidR="00117B7F" w:rsidRPr="005830D1" w:rsidRDefault="00117B7F" w:rsidP="007F0E33">
            <w:pPr>
              <w:spacing w:after="0"/>
              <w:ind w:left="0" w:firstLine="0"/>
              <w:jc w:val="left"/>
              <w:rPr>
                <w:b/>
                <w:bCs/>
                <w:sz w:val="20"/>
              </w:rPr>
            </w:pPr>
            <w:r w:rsidRPr="005830D1">
              <w:rPr>
                <w:i/>
                <w:sz w:val="18"/>
                <w:szCs w:val="18"/>
              </w:rPr>
              <w:t>Le prix s'applique à l’Unité de bascule de 500 kg fourni et mise en place constatée par l’ingénieur</w:t>
            </w:r>
          </w:p>
        </w:tc>
        <w:tc>
          <w:tcPr>
            <w:tcW w:w="315" w:type="pct"/>
            <w:tcBorders>
              <w:top w:val="nil"/>
              <w:left w:val="nil"/>
              <w:bottom w:val="single" w:sz="8" w:space="0" w:color="auto"/>
              <w:right w:val="single" w:sz="8" w:space="0" w:color="auto"/>
            </w:tcBorders>
            <w:shd w:val="clear" w:color="auto" w:fill="auto"/>
            <w:noWrap/>
            <w:vAlign w:val="center"/>
          </w:tcPr>
          <w:p w14:paraId="7485C8FA" w14:textId="77777777" w:rsidR="00117B7F" w:rsidRPr="005830D1" w:rsidRDefault="00117B7F" w:rsidP="007F0E33">
            <w:pPr>
              <w:spacing w:after="0"/>
              <w:ind w:left="0" w:firstLine="0"/>
              <w:jc w:val="center"/>
              <w:rPr>
                <w:sz w:val="20"/>
              </w:rPr>
            </w:pPr>
            <w:r w:rsidRPr="005830D1">
              <w:rPr>
                <w:sz w:val="20"/>
              </w:rPr>
              <w:t>u</w:t>
            </w:r>
          </w:p>
        </w:tc>
        <w:tc>
          <w:tcPr>
            <w:tcW w:w="520" w:type="pct"/>
            <w:tcBorders>
              <w:top w:val="nil"/>
              <w:left w:val="nil"/>
              <w:bottom w:val="single" w:sz="8" w:space="0" w:color="auto"/>
              <w:right w:val="nil"/>
            </w:tcBorders>
            <w:shd w:val="clear" w:color="auto" w:fill="auto"/>
            <w:noWrap/>
            <w:vAlign w:val="center"/>
          </w:tcPr>
          <w:p w14:paraId="4B7C0446" w14:textId="77777777" w:rsidR="00117B7F" w:rsidRPr="005830D1" w:rsidRDefault="00117B7F" w:rsidP="007F0E33">
            <w:pPr>
              <w:spacing w:after="0"/>
              <w:ind w:left="0" w:firstLine="0"/>
              <w:jc w:val="right"/>
              <w:rPr>
                <w:sz w:val="20"/>
              </w:rPr>
            </w:pPr>
          </w:p>
        </w:tc>
        <w:tc>
          <w:tcPr>
            <w:tcW w:w="910" w:type="pct"/>
            <w:tcBorders>
              <w:top w:val="nil"/>
              <w:left w:val="single" w:sz="4" w:space="0" w:color="auto"/>
              <w:bottom w:val="single" w:sz="4" w:space="0" w:color="auto"/>
              <w:right w:val="single" w:sz="4" w:space="0" w:color="auto"/>
            </w:tcBorders>
            <w:shd w:val="clear" w:color="auto" w:fill="auto"/>
            <w:noWrap/>
            <w:vAlign w:val="bottom"/>
          </w:tcPr>
          <w:p w14:paraId="6FBCC92B" w14:textId="77777777" w:rsidR="00117B7F" w:rsidRPr="005830D1" w:rsidRDefault="00117B7F" w:rsidP="007F0E33">
            <w:pPr>
              <w:spacing w:after="0"/>
              <w:ind w:left="0" w:firstLine="0"/>
              <w:jc w:val="left"/>
              <w:rPr>
                <w:sz w:val="20"/>
              </w:rPr>
            </w:pPr>
          </w:p>
        </w:tc>
      </w:tr>
      <w:tr w:rsidR="00117B7F" w:rsidRPr="005830D1" w14:paraId="202052D7" w14:textId="77777777" w:rsidTr="007F0E33">
        <w:trPr>
          <w:trHeight w:val="43"/>
          <w:jc w:val="center"/>
        </w:trPr>
        <w:tc>
          <w:tcPr>
            <w:tcW w:w="202" w:type="pct"/>
            <w:tcBorders>
              <w:top w:val="nil"/>
              <w:left w:val="double" w:sz="6" w:space="0" w:color="auto"/>
              <w:bottom w:val="single" w:sz="8" w:space="0" w:color="auto"/>
              <w:right w:val="single" w:sz="8" w:space="0" w:color="auto"/>
            </w:tcBorders>
            <w:shd w:val="clear" w:color="auto" w:fill="auto"/>
            <w:noWrap/>
            <w:vAlign w:val="center"/>
          </w:tcPr>
          <w:p w14:paraId="64E98242" w14:textId="77777777" w:rsidR="00117B7F" w:rsidRPr="005830D1" w:rsidRDefault="00117B7F" w:rsidP="007F0E33">
            <w:pPr>
              <w:spacing w:after="0"/>
              <w:ind w:left="0" w:firstLine="0"/>
              <w:jc w:val="left"/>
              <w:rPr>
                <w:sz w:val="20"/>
              </w:rPr>
            </w:pPr>
            <w:r w:rsidRPr="005830D1">
              <w:rPr>
                <w:sz w:val="20"/>
              </w:rPr>
              <w:t>8.3</w:t>
            </w:r>
          </w:p>
        </w:tc>
        <w:tc>
          <w:tcPr>
            <w:tcW w:w="3053" w:type="pct"/>
            <w:tcBorders>
              <w:top w:val="nil"/>
              <w:left w:val="nil"/>
              <w:bottom w:val="single" w:sz="8" w:space="0" w:color="auto"/>
              <w:right w:val="single" w:sz="8" w:space="0" w:color="auto"/>
            </w:tcBorders>
            <w:shd w:val="clear" w:color="auto" w:fill="auto"/>
            <w:vAlign w:val="center"/>
          </w:tcPr>
          <w:p w14:paraId="6D371602" w14:textId="77777777" w:rsidR="00117B7F" w:rsidRPr="005830D1" w:rsidRDefault="00117B7F" w:rsidP="007F0E33">
            <w:pPr>
              <w:spacing w:after="0"/>
              <w:ind w:left="0" w:firstLine="0"/>
              <w:jc w:val="left"/>
              <w:rPr>
                <w:b/>
                <w:bCs/>
                <w:sz w:val="20"/>
              </w:rPr>
            </w:pPr>
            <w:r w:rsidRPr="005830D1">
              <w:rPr>
                <w:b/>
                <w:bCs/>
                <w:sz w:val="20"/>
              </w:rPr>
              <w:t xml:space="preserve">Fourniture de balance de 100 Kg </w:t>
            </w:r>
            <w:r w:rsidRPr="005830D1">
              <w:rPr>
                <w:sz w:val="18"/>
                <w:szCs w:val="18"/>
              </w:rPr>
              <w:t>suivant les indications de l’ingénieur</w:t>
            </w:r>
          </w:p>
          <w:p w14:paraId="75544A7A" w14:textId="77777777" w:rsidR="00117B7F" w:rsidRPr="005830D1" w:rsidRDefault="00117B7F" w:rsidP="007F0E33">
            <w:pPr>
              <w:spacing w:after="0"/>
              <w:ind w:left="0" w:firstLine="0"/>
              <w:jc w:val="left"/>
              <w:rPr>
                <w:sz w:val="18"/>
                <w:szCs w:val="18"/>
              </w:rPr>
            </w:pPr>
            <w:r w:rsidRPr="005830D1">
              <w:rPr>
                <w:sz w:val="18"/>
                <w:szCs w:val="18"/>
              </w:rPr>
              <w:t>Ce prix rémunère à l'unité la fourniture de bascule de 100 kg</w:t>
            </w:r>
          </w:p>
          <w:p w14:paraId="3DBA1EFC" w14:textId="77777777" w:rsidR="00117B7F" w:rsidRPr="005830D1" w:rsidRDefault="00117B7F" w:rsidP="007F0E33">
            <w:pPr>
              <w:spacing w:after="0"/>
              <w:ind w:left="0" w:firstLine="0"/>
              <w:jc w:val="left"/>
              <w:rPr>
                <w:sz w:val="18"/>
                <w:szCs w:val="18"/>
              </w:rPr>
            </w:pPr>
            <w:r w:rsidRPr="005830D1">
              <w:rPr>
                <w:sz w:val="18"/>
                <w:szCs w:val="18"/>
              </w:rPr>
              <w:t xml:space="preserve"> </w:t>
            </w:r>
          </w:p>
          <w:p w14:paraId="28437C58" w14:textId="77777777" w:rsidR="00117B7F" w:rsidRPr="005830D1" w:rsidRDefault="00117B7F" w:rsidP="007F0E33">
            <w:pPr>
              <w:spacing w:after="0"/>
              <w:ind w:left="0" w:firstLine="0"/>
              <w:jc w:val="left"/>
              <w:rPr>
                <w:b/>
                <w:bCs/>
                <w:sz w:val="20"/>
              </w:rPr>
            </w:pPr>
            <w:r w:rsidRPr="005830D1">
              <w:rPr>
                <w:i/>
                <w:sz w:val="18"/>
                <w:szCs w:val="18"/>
              </w:rPr>
              <w:t>Le prix s'applique à l’Unité de bascule de 100 kg fourni et mise en place constatée par l’ingénieur</w:t>
            </w:r>
          </w:p>
        </w:tc>
        <w:tc>
          <w:tcPr>
            <w:tcW w:w="315" w:type="pct"/>
            <w:tcBorders>
              <w:top w:val="nil"/>
              <w:left w:val="nil"/>
              <w:bottom w:val="single" w:sz="8" w:space="0" w:color="auto"/>
              <w:right w:val="single" w:sz="8" w:space="0" w:color="auto"/>
            </w:tcBorders>
            <w:shd w:val="clear" w:color="auto" w:fill="auto"/>
            <w:noWrap/>
            <w:vAlign w:val="center"/>
          </w:tcPr>
          <w:p w14:paraId="40060ACB" w14:textId="77777777" w:rsidR="00117B7F" w:rsidRPr="005830D1" w:rsidRDefault="00117B7F" w:rsidP="007F0E33">
            <w:pPr>
              <w:spacing w:after="0"/>
              <w:ind w:left="0" w:firstLine="0"/>
              <w:jc w:val="center"/>
              <w:rPr>
                <w:sz w:val="20"/>
              </w:rPr>
            </w:pPr>
            <w:r w:rsidRPr="005830D1">
              <w:rPr>
                <w:sz w:val="20"/>
              </w:rPr>
              <w:t>u</w:t>
            </w:r>
          </w:p>
        </w:tc>
        <w:tc>
          <w:tcPr>
            <w:tcW w:w="520" w:type="pct"/>
            <w:tcBorders>
              <w:top w:val="nil"/>
              <w:left w:val="nil"/>
              <w:bottom w:val="single" w:sz="8" w:space="0" w:color="auto"/>
              <w:right w:val="nil"/>
            </w:tcBorders>
            <w:shd w:val="clear" w:color="auto" w:fill="auto"/>
            <w:noWrap/>
            <w:vAlign w:val="center"/>
          </w:tcPr>
          <w:p w14:paraId="42D8EAE2" w14:textId="77777777" w:rsidR="00117B7F" w:rsidRPr="005830D1" w:rsidRDefault="00117B7F" w:rsidP="007F0E33">
            <w:pPr>
              <w:spacing w:after="0"/>
              <w:ind w:left="0" w:firstLine="0"/>
              <w:jc w:val="right"/>
              <w:rPr>
                <w:sz w:val="20"/>
              </w:rPr>
            </w:pPr>
          </w:p>
        </w:tc>
        <w:tc>
          <w:tcPr>
            <w:tcW w:w="910" w:type="pct"/>
            <w:tcBorders>
              <w:top w:val="nil"/>
              <w:left w:val="single" w:sz="4" w:space="0" w:color="auto"/>
              <w:bottom w:val="single" w:sz="4" w:space="0" w:color="auto"/>
              <w:right w:val="single" w:sz="4" w:space="0" w:color="auto"/>
            </w:tcBorders>
            <w:shd w:val="clear" w:color="auto" w:fill="auto"/>
            <w:noWrap/>
            <w:vAlign w:val="bottom"/>
          </w:tcPr>
          <w:p w14:paraId="16B7B17A" w14:textId="77777777" w:rsidR="00117B7F" w:rsidRPr="005830D1" w:rsidRDefault="00117B7F" w:rsidP="007F0E33">
            <w:pPr>
              <w:spacing w:after="0"/>
              <w:ind w:left="0" w:firstLine="0"/>
              <w:jc w:val="left"/>
              <w:rPr>
                <w:sz w:val="20"/>
              </w:rPr>
            </w:pPr>
          </w:p>
        </w:tc>
      </w:tr>
      <w:tr w:rsidR="00117B7F" w:rsidRPr="005830D1" w14:paraId="6C1F9973" w14:textId="77777777" w:rsidTr="007F0E33">
        <w:trPr>
          <w:trHeight w:val="689"/>
          <w:jc w:val="center"/>
        </w:trPr>
        <w:tc>
          <w:tcPr>
            <w:tcW w:w="202" w:type="pct"/>
            <w:tcBorders>
              <w:top w:val="nil"/>
              <w:left w:val="double" w:sz="6" w:space="0" w:color="auto"/>
              <w:bottom w:val="single" w:sz="8" w:space="0" w:color="auto"/>
              <w:right w:val="single" w:sz="8" w:space="0" w:color="auto"/>
            </w:tcBorders>
            <w:shd w:val="clear" w:color="auto" w:fill="auto"/>
            <w:noWrap/>
            <w:vAlign w:val="center"/>
          </w:tcPr>
          <w:p w14:paraId="1316BA74" w14:textId="77777777" w:rsidR="00117B7F" w:rsidRPr="005830D1" w:rsidRDefault="00117B7F" w:rsidP="007F0E33">
            <w:pPr>
              <w:spacing w:after="0"/>
              <w:ind w:left="0" w:firstLine="0"/>
              <w:jc w:val="left"/>
              <w:rPr>
                <w:sz w:val="20"/>
              </w:rPr>
            </w:pPr>
            <w:r w:rsidRPr="005830D1">
              <w:rPr>
                <w:sz w:val="20"/>
              </w:rPr>
              <w:t>8.4</w:t>
            </w:r>
          </w:p>
        </w:tc>
        <w:tc>
          <w:tcPr>
            <w:tcW w:w="3053" w:type="pct"/>
            <w:tcBorders>
              <w:top w:val="nil"/>
              <w:left w:val="nil"/>
              <w:bottom w:val="single" w:sz="8" w:space="0" w:color="auto"/>
              <w:right w:val="single" w:sz="8" w:space="0" w:color="auto"/>
            </w:tcBorders>
            <w:shd w:val="clear" w:color="auto" w:fill="auto"/>
            <w:vAlign w:val="center"/>
          </w:tcPr>
          <w:p w14:paraId="69FBBE64" w14:textId="77777777" w:rsidR="00117B7F" w:rsidRPr="005830D1" w:rsidRDefault="00117B7F" w:rsidP="007F0E33">
            <w:pPr>
              <w:spacing w:after="0"/>
              <w:ind w:left="0" w:firstLine="0"/>
              <w:jc w:val="left"/>
              <w:rPr>
                <w:b/>
                <w:bCs/>
                <w:sz w:val="20"/>
              </w:rPr>
            </w:pPr>
            <w:r w:rsidRPr="005830D1">
              <w:rPr>
                <w:b/>
                <w:bCs/>
                <w:sz w:val="20"/>
              </w:rPr>
              <w:t>Fourniture d'échelle d'accès aux claies</w:t>
            </w:r>
          </w:p>
          <w:p w14:paraId="79C402C1" w14:textId="77777777" w:rsidR="00117B7F" w:rsidRPr="005830D1" w:rsidRDefault="00117B7F" w:rsidP="007F0E33">
            <w:pPr>
              <w:spacing w:after="0"/>
              <w:ind w:left="0" w:firstLine="0"/>
              <w:jc w:val="left"/>
              <w:rPr>
                <w:sz w:val="18"/>
                <w:szCs w:val="18"/>
              </w:rPr>
            </w:pPr>
            <w:r w:rsidRPr="005830D1">
              <w:rPr>
                <w:sz w:val="18"/>
                <w:szCs w:val="18"/>
              </w:rPr>
              <w:t>Ce prix rémunère à l'unité la fourniture d’échelle d’accès aux claies.</w:t>
            </w:r>
          </w:p>
          <w:p w14:paraId="6FAA8CB0" w14:textId="77777777" w:rsidR="00117B7F" w:rsidRPr="005830D1" w:rsidRDefault="00117B7F" w:rsidP="007F0E33">
            <w:pPr>
              <w:spacing w:after="0"/>
              <w:ind w:left="0" w:firstLine="0"/>
              <w:jc w:val="left"/>
              <w:rPr>
                <w:sz w:val="18"/>
                <w:szCs w:val="18"/>
              </w:rPr>
            </w:pPr>
            <w:r w:rsidRPr="005830D1">
              <w:rPr>
                <w:sz w:val="18"/>
                <w:szCs w:val="18"/>
              </w:rPr>
              <w:t xml:space="preserve"> </w:t>
            </w:r>
          </w:p>
          <w:p w14:paraId="7CE42F66" w14:textId="77777777" w:rsidR="00117B7F" w:rsidRPr="005830D1" w:rsidRDefault="00117B7F" w:rsidP="007F0E33">
            <w:pPr>
              <w:spacing w:after="0"/>
              <w:ind w:left="0" w:firstLine="0"/>
              <w:jc w:val="left"/>
              <w:rPr>
                <w:b/>
                <w:bCs/>
                <w:sz w:val="20"/>
              </w:rPr>
            </w:pPr>
            <w:r w:rsidRPr="005830D1">
              <w:rPr>
                <w:i/>
                <w:sz w:val="18"/>
                <w:szCs w:val="18"/>
              </w:rPr>
              <w:t>Le prix s'applique à l’Unité d’échelle d’accès aux claies  fourni et mise en place constatée par l’ingénieur</w:t>
            </w:r>
          </w:p>
        </w:tc>
        <w:tc>
          <w:tcPr>
            <w:tcW w:w="315" w:type="pct"/>
            <w:tcBorders>
              <w:top w:val="nil"/>
              <w:left w:val="nil"/>
              <w:bottom w:val="single" w:sz="8" w:space="0" w:color="auto"/>
              <w:right w:val="single" w:sz="8" w:space="0" w:color="auto"/>
            </w:tcBorders>
            <w:shd w:val="clear" w:color="auto" w:fill="auto"/>
            <w:noWrap/>
            <w:vAlign w:val="center"/>
          </w:tcPr>
          <w:p w14:paraId="58FB58CF" w14:textId="77777777" w:rsidR="00117B7F" w:rsidRPr="005830D1" w:rsidRDefault="00117B7F" w:rsidP="007F0E33">
            <w:pPr>
              <w:spacing w:after="0"/>
              <w:ind w:left="0" w:firstLine="0"/>
              <w:jc w:val="center"/>
              <w:rPr>
                <w:sz w:val="20"/>
              </w:rPr>
            </w:pPr>
            <w:r w:rsidRPr="005830D1">
              <w:rPr>
                <w:sz w:val="20"/>
              </w:rPr>
              <w:t>u</w:t>
            </w:r>
          </w:p>
        </w:tc>
        <w:tc>
          <w:tcPr>
            <w:tcW w:w="520" w:type="pct"/>
            <w:tcBorders>
              <w:top w:val="nil"/>
              <w:left w:val="nil"/>
              <w:bottom w:val="single" w:sz="8" w:space="0" w:color="auto"/>
              <w:right w:val="nil"/>
            </w:tcBorders>
            <w:shd w:val="clear" w:color="auto" w:fill="auto"/>
            <w:noWrap/>
            <w:vAlign w:val="center"/>
          </w:tcPr>
          <w:p w14:paraId="3D8AE7AC" w14:textId="77777777" w:rsidR="00117B7F" w:rsidRPr="005830D1" w:rsidRDefault="00117B7F" w:rsidP="007F0E33">
            <w:pPr>
              <w:spacing w:after="0"/>
              <w:ind w:left="0" w:firstLine="0"/>
              <w:jc w:val="right"/>
              <w:rPr>
                <w:sz w:val="20"/>
              </w:rPr>
            </w:pPr>
          </w:p>
        </w:tc>
        <w:tc>
          <w:tcPr>
            <w:tcW w:w="910" w:type="pct"/>
            <w:tcBorders>
              <w:top w:val="nil"/>
              <w:left w:val="single" w:sz="4" w:space="0" w:color="auto"/>
              <w:bottom w:val="single" w:sz="4" w:space="0" w:color="auto"/>
              <w:right w:val="single" w:sz="4" w:space="0" w:color="auto"/>
            </w:tcBorders>
            <w:shd w:val="clear" w:color="auto" w:fill="auto"/>
            <w:noWrap/>
            <w:vAlign w:val="bottom"/>
          </w:tcPr>
          <w:p w14:paraId="14E68F99" w14:textId="77777777" w:rsidR="00117B7F" w:rsidRPr="005830D1" w:rsidRDefault="00117B7F" w:rsidP="007F0E33">
            <w:pPr>
              <w:spacing w:after="0"/>
              <w:ind w:left="0" w:firstLine="0"/>
              <w:jc w:val="left"/>
              <w:rPr>
                <w:sz w:val="20"/>
              </w:rPr>
            </w:pPr>
          </w:p>
        </w:tc>
      </w:tr>
      <w:tr w:rsidR="00117B7F" w:rsidRPr="005830D1" w14:paraId="1291ADD7" w14:textId="77777777" w:rsidTr="007F0E33">
        <w:trPr>
          <w:trHeight w:val="902"/>
          <w:jc w:val="center"/>
        </w:trPr>
        <w:tc>
          <w:tcPr>
            <w:tcW w:w="202" w:type="pct"/>
            <w:tcBorders>
              <w:top w:val="nil"/>
              <w:left w:val="double" w:sz="6" w:space="0" w:color="auto"/>
              <w:bottom w:val="single" w:sz="8" w:space="0" w:color="auto"/>
              <w:right w:val="single" w:sz="8" w:space="0" w:color="auto"/>
            </w:tcBorders>
            <w:shd w:val="clear" w:color="auto" w:fill="auto"/>
            <w:noWrap/>
            <w:vAlign w:val="center"/>
          </w:tcPr>
          <w:p w14:paraId="134ECBD0" w14:textId="77777777" w:rsidR="00117B7F" w:rsidRPr="005830D1" w:rsidRDefault="00117B7F" w:rsidP="007F0E33">
            <w:pPr>
              <w:spacing w:after="0"/>
              <w:ind w:left="0" w:firstLine="0"/>
              <w:jc w:val="left"/>
              <w:rPr>
                <w:sz w:val="20"/>
              </w:rPr>
            </w:pPr>
            <w:r w:rsidRPr="005830D1">
              <w:rPr>
                <w:sz w:val="20"/>
              </w:rPr>
              <w:t>8.5</w:t>
            </w:r>
          </w:p>
        </w:tc>
        <w:tc>
          <w:tcPr>
            <w:tcW w:w="3053" w:type="pct"/>
            <w:tcBorders>
              <w:top w:val="nil"/>
              <w:left w:val="nil"/>
              <w:bottom w:val="single" w:sz="8" w:space="0" w:color="auto"/>
              <w:right w:val="single" w:sz="8" w:space="0" w:color="auto"/>
            </w:tcBorders>
            <w:shd w:val="clear" w:color="auto" w:fill="auto"/>
            <w:vAlign w:val="center"/>
          </w:tcPr>
          <w:p w14:paraId="50EDA7EE" w14:textId="77777777" w:rsidR="00117B7F" w:rsidRPr="005830D1" w:rsidRDefault="00117B7F" w:rsidP="007F0E33">
            <w:pPr>
              <w:spacing w:after="0"/>
              <w:ind w:left="0" w:firstLine="0"/>
              <w:jc w:val="left"/>
              <w:rPr>
                <w:b/>
                <w:bCs/>
                <w:sz w:val="20"/>
              </w:rPr>
            </w:pPr>
            <w:r w:rsidRPr="005830D1">
              <w:rPr>
                <w:b/>
                <w:bCs/>
                <w:sz w:val="20"/>
              </w:rPr>
              <w:t xml:space="preserve">Fourniture de banc métallique </w:t>
            </w:r>
          </w:p>
          <w:p w14:paraId="4850263C" w14:textId="77777777" w:rsidR="00117B7F" w:rsidRPr="005830D1" w:rsidRDefault="00117B7F" w:rsidP="007F0E33">
            <w:pPr>
              <w:spacing w:after="0"/>
              <w:ind w:left="0" w:firstLine="0"/>
              <w:jc w:val="left"/>
              <w:rPr>
                <w:sz w:val="18"/>
                <w:szCs w:val="18"/>
              </w:rPr>
            </w:pPr>
            <w:r w:rsidRPr="005830D1">
              <w:rPr>
                <w:sz w:val="18"/>
                <w:szCs w:val="18"/>
              </w:rPr>
              <w:t>Ce prix rémunère à l'unité la fourniture de banc métallique suivant les indications de l’ingénieur</w:t>
            </w:r>
          </w:p>
          <w:p w14:paraId="45D79E4B" w14:textId="77777777" w:rsidR="00117B7F" w:rsidRPr="005830D1" w:rsidRDefault="00117B7F" w:rsidP="007F0E33">
            <w:pPr>
              <w:spacing w:after="0"/>
              <w:ind w:left="0" w:firstLine="0"/>
              <w:jc w:val="left"/>
              <w:rPr>
                <w:sz w:val="18"/>
                <w:szCs w:val="18"/>
              </w:rPr>
            </w:pPr>
            <w:r w:rsidRPr="005830D1">
              <w:rPr>
                <w:sz w:val="18"/>
                <w:szCs w:val="18"/>
              </w:rPr>
              <w:t xml:space="preserve"> </w:t>
            </w:r>
          </w:p>
          <w:p w14:paraId="7BE07C8F" w14:textId="77777777" w:rsidR="00117B7F" w:rsidRPr="005830D1" w:rsidRDefault="00117B7F" w:rsidP="007F0E33">
            <w:pPr>
              <w:spacing w:after="0"/>
              <w:ind w:left="0" w:firstLine="0"/>
              <w:jc w:val="left"/>
              <w:rPr>
                <w:b/>
                <w:bCs/>
                <w:sz w:val="20"/>
              </w:rPr>
            </w:pPr>
            <w:r w:rsidRPr="005830D1">
              <w:rPr>
                <w:i/>
                <w:sz w:val="18"/>
                <w:szCs w:val="18"/>
              </w:rPr>
              <w:t>Le prix s'applique à l’Unité de banc métallique  fourni et mise en place constatée par l’ingénieur</w:t>
            </w:r>
          </w:p>
        </w:tc>
        <w:tc>
          <w:tcPr>
            <w:tcW w:w="315" w:type="pct"/>
            <w:tcBorders>
              <w:top w:val="nil"/>
              <w:left w:val="nil"/>
              <w:bottom w:val="single" w:sz="8" w:space="0" w:color="auto"/>
              <w:right w:val="single" w:sz="8" w:space="0" w:color="auto"/>
            </w:tcBorders>
            <w:shd w:val="clear" w:color="auto" w:fill="auto"/>
            <w:noWrap/>
            <w:vAlign w:val="center"/>
          </w:tcPr>
          <w:p w14:paraId="6E176791" w14:textId="77777777" w:rsidR="00117B7F" w:rsidRPr="005830D1" w:rsidRDefault="00117B7F" w:rsidP="007F0E33">
            <w:pPr>
              <w:spacing w:after="0"/>
              <w:ind w:left="0" w:firstLine="0"/>
              <w:jc w:val="center"/>
              <w:rPr>
                <w:sz w:val="20"/>
              </w:rPr>
            </w:pPr>
            <w:r w:rsidRPr="005830D1">
              <w:rPr>
                <w:sz w:val="20"/>
              </w:rPr>
              <w:t>u</w:t>
            </w:r>
          </w:p>
        </w:tc>
        <w:tc>
          <w:tcPr>
            <w:tcW w:w="520" w:type="pct"/>
            <w:tcBorders>
              <w:top w:val="nil"/>
              <w:left w:val="nil"/>
              <w:bottom w:val="single" w:sz="8" w:space="0" w:color="auto"/>
              <w:right w:val="nil"/>
            </w:tcBorders>
            <w:shd w:val="clear" w:color="auto" w:fill="auto"/>
            <w:noWrap/>
            <w:vAlign w:val="center"/>
          </w:tcPr>
          <w:p w14:paraId="12ED1BFE" w14:textId="77777777" w:rsidR="00117B7F" w:rsidRPr="005830D1" w:rsidRDefault="00117B7F" w:rsidP="007F0E33">
            <w:pPr>
              <w:spacing w:after="0"/>
              <w:ind w:left="0" w:firstLine="0"/>
              <w:jc w:val="right"/>
              <w:rPr>
                <w:sz w:val="20"/>
              </w:rPr>
            </w:pPr>
          </w:p>
        </w:tc>
        <w:tc>
          <w:tcPr>
            <w:tcW w:w="910" w:type="pct"/>
            <w:tcBorders>
              <w:top w:val="nil"/>
              <w:left w:val="single" w:sz="4" w:space="0" w:color="auto"/>
              <w:bottom w:val="single" w:sz="4" w:space="0" w:color="auto"/>
              <w:right w:val="single" w:sz="4" w:space="0" w:color="auto"/>
            </w:tcBorders>
            <w:shd w:val="clear" w:color="auto" w:fill="auto"/>
            <w:noWrap/>
            <w:vAlign w:val="bottom"/>
          </w:tcPr>
          <w:p w14:paraId="2D578B8F" w14:textId="77777777" w:rsidR="00117B7F" w:rsidRPr="005830D1" w:rsidRDefault="00117B7F" w:rsidP="007F0E33">
            <w:pPr>
              <w:spacing w:after="0"/>
              <w:ind w:left="0" w:firstLine="0"/>
              <w:jc w:val="left"/>
              <w:rPr>
                <w:sz w:val="20"/>
              </w:rPr>
            </w:pPr>
          </w:p>
        </w:tc>
      </w:tr>
      <w:tr w:rsidR="00117B7F" w:rsidRPr="005830D1" w14:paraId="47E5AB46" w14:textId="77777777" w:rsidTr="007F0E33">
        <w:trPr>
          <w:trHeight w:val="330"/>
          <w:jc w:val="center"/>
        </w:trPr>
        <w:tc>
          <w:tcPr>
            <w:tcW w:w="202" w:type="pct"/>
            <w:tcBorders>
              <w:top w:val="nil"/>
              <w:left w:val="double" w:sz="6" w:space="0" w:color="auto"/>
              <w:bottom w:val="single" w:sz="8" w:space="0" w:color="auto"/>
              <w:right w:val="single" w:sz="8" w:space="0" w:color="auto"/>
            </w:tcBorders>
            <w:shd w:val="clear" w:color="auto" w:fill="auto"/>
            <w:noWrap/>
            <w:vAlign w:val="center"/>
          </w:tcPr>
          <w:p w14:paraId="79C6D01E" w14:textId="77777777" w:rsidR="00117B7F" w:rsidRPr="005830D1" w:rsidRDefault="00117B7F" w:rsidP="007F0E33">
            <w:pPr>
              <w:spacing w:after="0"/>
              <w:ind w:left="0" w:firstLine="0"/>
              <w:jc w:val="left"/>
              <w:rPr>
                <w:sz w:val="20"/>
              </w:rPr>
            </w:pPr>
            <w:r w:rsidRPr="005830D1">
              <w:rPr>
                <w:sz w:val="20"/>
              </w:rPr>
              <w:t>8.6</w:t>
            </w:r>
          </w:p>
        </w:tc>
        <w:tc>
          <w:tcPr>
            <w:tcW w:w="3053" w:type="pct"/>
            <w:tcBorders>
              <w:top w:val="nil"/>
              <w:left w:val="nil"/>
              <w:bottom w:val="single" w:sz="8" w:space="0" w:color="auto"/>
              <w:right w:val="single" w:sz="8" w:space="0" w:color="auto"/>
            </w:tcBorders>
            <w:shd w:val="clear" w:color="auto" w:fill="auto"/>
            <w:vAlign w:val="center"/>
          </w:tcPr>
          <w:p w14:paraId="5B2B05E2" w14:textId="77777777" w:rsidR="00117B7F" w:rsidRPr="005830D1" w:rsidRDefault="00117B7F" w:rsidP="007F0E33">
            <w:pPr>
              <w:spacing w:after="0"/>
              <w:ind w:left="0" w:firstLine="0"/>
              <w:jc w:val="left"/>
              <w:rPr>
                <w:b/>
                <w:bCs/>
                <w:sz w:val="20"/>
              </w:rPr>
            </w:pPr>
            <w:r w:rsidRPr="005830D1">
              <w:rPr>
                <w:b/>
                <w:bCs/>
                <w:sz w:val="20"/>
              </w:rPr>
              <w:t>Fourniture de chaises pour le bureau du gestionnaire</w:t>
            </w:r>
          </w:p>
          <w:p w14:paraId="1C8D9A07" w14:textId="77777777" w:rsidR="00117B7F" w:rsidRPr="005830D1" w:rsidRDefault="00117B7F" w:rsidP="007F0E33">
            <w:pPr>
              <w:spacing w:after="0"/>
              <w:ind w:left="0" w:firstLine="0"/>
              <w:jc w:val="left"/>
              <w:rPr>
                <w:sz w:val="18"/>
                <w:szCs w:val="18"/>
              </w:rPr>
            </w:pPr>
            <w:r w:rsidRPr="005830D1">
              <w:rPr>
                <w:sz w:val="18"/>
                <w:szCs w:val="18"/>
              </w:rPr>
              <w:t>Ce prix rémunère à l'unité la fourniture de chaises pour le bureau du gestionnaire conformément aux indications de l’ingénieur suivant les indications de l’ingénieur</w:t>
            </w:r>
          </w:p>
          <w:p w14:paraId="7F5AB9BC" w14:textId="77777777" w:rsidR="00117B7F" w:rsidRPr="005830D1" w:rsidRDefault="00117B7F" w:rsidP="007F0E33">
            <w:pPr>
              <w:spacing w:after="0"/>
              <w:ind w:left="0" w:firstLine="0"/>
              <w:jc w:val="left"/>
              <w:rPr>
                <w:sz w:val="18"/>
                <w:szCs w:val="18"/>
              </w:rPr>
            </w:pPr>
            <w:r w:rsidRPr="005830D1">
              <w:rPr>
                <w:sz w:val="18"/>
                <w:szCs w:val="18"/>
              </w:rPr>
              <w:t xml:space="preserve"> </w:t>
            </w:r>
          </w:p>
          <w:p w14:paraId="56944E2B" w14:textId="77777777" w:rsidR="00117B7F" w:rsidRPr="005830D1" w:rsidRDefault="00117B7F" w:rsidP="007F0E33">
            <w:pPr>
              <w:spacing w:after="0"/>
              <w:ind w:left="0" w:firstLine="0"/>
              <w:jc w:val="left"/>
              <w:rPr>
                <w:b/>
                <w:bCs/>
                <w:sz w:val="20"/>
              </w:rPr>
            </w:pPr>
            <w:r w:rsidRPr="005830D1">
              <w:rPr>
                <w:i/>
                <w:sz w:val="18"/>
                <w:szCs w:val="18"/>
              </w:rPr>
              <w:t>Le prix s'applique à l’Unité de chaises  fourni et mise en place constatée par l’ingénieur</w:t>
            </w:r>
          </w:p>
        </w:tc>
        <w:tc>
          <w:tcPr>
            <w:tcW w:w="315" w:type="pct"/>
            <w:tcBorders>
              <w:top w:val="nil"/>
              <w:left w:val="nil"/>
              <w:bottom w:val="single" w:sz="8" w:space="0" w:color="auto"/>
              <w:right w:val="single" w:sz="8" w:space="0" w:color="auto"/>
            </w:tcBorders>
            <w:shd w:val="clear" w:color="auto" w:fill="auto"/>
            <w:noWrap/>
            <w:vAlign w:val="center"/>
          </w:tcPr>
          <w:p w14:paraId="12879E9E" w14:textId="77777777" w:rsidR="00117B7F" w:rsidRPr="005830D1" w:rsidRDefault="00117B7F" w:rsidP="007F0E33">
            <w:pPr>
              <w:spacing w:after="0"/>
              <w:ind w:left="0" w:firstLine="0"/>
              <w:jc w:val="center"/>
              <w:rPr>
                <w:sz w:val="20"/>
              </w:rPr>
            </w:pPr>
            <w:r w:rsidRPr="005830D1">
              <w:rPr>
                <w:sz w:val="20"/>
              </w:rPr>
              <w:t>u</w:t>
            </w:r>
          </w:p>
        </w:tc>
        <w:tc>
          <w:tcPr>
            <w:tcW w:w="520" w:type="pct"/>
            <w:tcBorders>
              <w:top w:val="nil"/>
              <w:left w:val="nil"/>
              <w:bottom w:val="single" w:sz="8" w:space="0" w:color="auto"/>
              <w:right w:val="nil"/>
            </w:tcBorders>
            <w:shd w:val="clear" w:color="auto" w:fill="auto"/>
            <w:noWrap/>
            <w:vAlign w:val="center"/>
          </w:tcPr>
          <w:p w14:paraId="77DCC273" w14:textId="77777777" w:rsidR="00117B7F" w:rsidRPr="005830D1" w:rsidRDefault="00117B7F" w:rsidP="007F0E33">
            <w:pPr>
              <w:spacing w:after="0"/>
              <w:ind w:left="0" w:firstLine="0"/>
              <w:jc w:val="right"/>
              <w:rPr>
                <w:sz w:val="20"/>
              </w:rPr>
            </w:pPr>
          </w:p>
        </w:tc>
        <w:tc>
          <w:tcPr>
            <w:tcW w:w="910" w:type="pct"/>
            <w:tcBorders>
              <w:top w:val="nil"/>
              <w:left w:val="single" w:sz="4" w:space="0" w:color="auto"/>
              <w:bottom w:val="single" w:sz="4" w:space="0" w:color="auto"/>
              <w:right w:val="single" w:sz="4" w:space="0" w:color="auto"/>
            </w:tcBorders>
            <w:shd w:val="clear" w:color="auto" w:fill="auto"/>
            <w:noWrap/>
            <w:vAlign w:val="bottom"/>
          </w:tcPr>
          <w:p w14:paraId="6B1CB8AD" w14:textId="77777777" w:rsidR="00117B7F" w:rsidRPr="005830D1" w:rsidRDefault="00117B7F" w:rsidP="007F0E33">
            <w:pPr>
              <w:spacing w:after="0"/>
              <w:ind w:left="0" w:firstLine="0"/>
              <w:jc w:val="left"/>
              <w:rPr>
                <w:sz w:val="20"/>
              </w:rPr>
            </w:pPr>
          </w:p>
        </w:tc>
      </w:tr>
      <w:tr w:rsidR="00117B7F" w:rsidRPr="005830D1" w14:paraId="3882AC90" w14:textId="77777777" w:rsidTr="007F0E33">
        <w:trPr>
          <w:trHeight w:val="330"/>
          <w:jc w:val="center"/>
        </w:trPr>
        <w:tc>
          <w:tcPr>
            <w:tcW w:w="202" w:type="pct"/>
            <w:tcBorders>
              <w:top w:val="nil"/>
              <w:left w:val="double" w:sz="6" w:space="0" w:color="auto"/>
              <w:bottom w:val="single" w:sz="8" w:space="0" w:color="auto"/>
              <w:right w:val="single" w:sz="8" w:space="0" w:color="auto"/>
            </w:tcBorders>
            <w:shd w:val="clear" w:color="auto" w:fill="auto"/>
            <w:noWrap/>
            <w:vAlign w:val="center"/>
          </w:tcPr>
          <w:p w14:paraId="50E881F5" w14:textId="77777777" w:rsidR="00117B7F" w:rsidRPr="005830D1" w:rsidRDefault="00117B7F" w:rsidP="007F0E33">
            <w:pPr>
              <w:spacing w:after="0"/>
              <w:ind w:left="0" w:firstLine="0"/>
              <w:jc w:val="left"/>
              <w:rPr>
                <w:sz w:val="20"/>
              </w:rPr>
            </w:pPr>
            <w:r w:rsidRPr="005830D1">
              <w:rPr>
                <w:sz w:val="20"/>
              </w:rPr>
              <w:t>8.7</w:t>
            </w:r>
          </w:p>
        </w:tc>
        <w:tc>
          <w:tcPr>
            <w:tcW w:w="3053" w:type="pct"/>
            <w:tcBorders>
              <w:top w:val="nil"/>
              <w:left w:val="nil"/>
              <w:bottom w:val="single" w:sz="8" w:space="0" w:color="auto"/>
              <w:right w:val="single" w:sz="8" w:space="0" w:color="auto"/>
            </w:tcBorders>
            <w:shd w:val="clear" w:color="auto" w:fill="auto"/>
            <w:vAlign w:val="center"/>
          </w:tcPr>
          <w:p w14:paraId="02CE7291" w14:textId="77777777" w:rsidR="00117B7F" w:rsidRPr="005830D1" w:rsidRDefault="00117B7F" w:rsidP="007F0E33">
            <w:pPr>
              <w:spacing w:after="0"/>
              <w:ind w:left="0" w:firstLine="0"/>
              <w:jc w:val="left"/>
              <w:rPr>
                <w:b/>
                <w:bCs/>
                <w:sz w:val="20"/>
              </w:rPr>
            </w:pPr>
            <w:r w:rsidRPr="005830D1">
              <w:rPr>
                <w:b/>
                <w:bCs/>
                <w:sz w:val="20"/>
              </w:rPr>
              <w:t>Fourniture de table métallique pour le bureau du gestionnaire</w:t>
            </w:r>
          </w:p>
          <w:p w14:paraId="450DE0FE" w14:textId="77777777" w:rsidR="00117B7F" w:rsidRPr="005830D1" w:rsidRDefault="00117B7F" w:rsidP="007F0E33">
            <w:pPr>
              <w:spacing w:after="0"/>
              <w:ind w:left="0" w:firstLine="0"/>
              <w:jc w:val="left"/>
              <w:rPr>
                <w:sz w:val="18"/>
                <w:szCs w:val="18"/>
              </w:rPr>
            </w:pPr>
            <w:r w:rsidRPr="005830D1">
              <w:rPr>
                <w:sz w:val="18"/>
                <w:szCs w:val="18"/>
              </w:rPr>
              <w:t>Ce prix rémunère à l'unité la fourniture de table métallique pour le bureau du gestionnaire suivant les indications de l’ingénieur</w:t>
            </w:r>
          </w:p>
          <w:p w14:paraId="407D5295" w14:textId="77777777" w:rsidR="00117B7F" w:rsidRPr="005830D1" w:rsidRDefault="00117B7F" w:rsidP="007F0E33">
            <w:pPr>
              <w:spacing w:after="0"/>
              <w:ind w:left="0" w:firstLine="0"/>
              <w:jc w:val="left"/>
              <w:rPr>
                <w:sz w:val="18"/>
                <w:szCs w:val="18"/>
              </w:rPr>
            </w:pPr>
            <w:r w:rsidRPr="005830D1">
              <w:rPr>
                <w:sz w:val="18"/>
                <w:szCs w:val="18"/>
              </w:rPr>
              <w:t xml:space="preserve"> </w:t>
            </w:r>
          </w:p>
          <w:p w14:paraId="22D5F499" w14:textId="77777777" w:rsidR="00117B7F" w:rsidRPr="005830D1" w:rsidRDefault="00117B7F" w:rsidP="007F0E33">
            <w:pPr>
              <w:spacing w:after="0"/>
              <w:ind w:left="0" w:firstLine="0"/>
              <w:jc w:val="left"/>
              <w:rPr>
                <w:b/>
                <w:bCs/>
                <w:sz w:val="20"/>
              </w:rPr>
            </w:pPr>
            <w:r w:rsidRPr="005830D1">
              <w:rPr>
                <w:i/>
                <w:sz w:val="18"/>
                <w:szCs w:val="18"/>
              </w:rPr>
              <w:t>Le prix s'applique à l’Unité d’échelle d’accès aux claies  fourni et mise en place constatée par l’ingénieur</w:t>
            </w:r>
          </w:p>
        </w:tc>
        <w:tc>
          <w:tcPr>
            <w:tcW w:w="315" w:type="pct"/>
            <w:tcBorders>
              <w:top w:val="nil"/>
              <w:left w:val="nil"/>
              <w:bottom w:val="single" w:sz="8" w:space="0" w:color="auto"/>
              <w:right w:val="single" w:sz="8" w:space="0" w:color="auto"/>
            </w:tcBorders>
            <w:shd w:val="clear" w:color="auto" w:fill="auto"/>
            <w:noWrap/>
            <w:vAlign w:val="center"/>
          </w:tcPr>
          <w:p w14:paraId="05155C97" w14:textId="77777777" w:rsidR="00117B7F" w:rsidRPr="005830D1" w:rsidRDefault="00117B7F" w:rsidP="007F0E33">
            <w:pPr>
              <w:spacing w:after="0"/>
              <w:ind w:left="0" w:firstLine="0"/>
              <w:jc w:val="center"/>
              <w:rPr>
                <w:sz w:val="20"/>
              </w:rPr>
            </w:pPr>
            <w:r w:rsidRPr="005830D1">
              <w:rPr>
                <w:sz w:val="20"/>
              </w:rPr>
              <w:t>u</w:t>
            </w:r>
          </w:p>
        </w:tc>
        <w:tc>
          <w:tcPr>
            <w:tcW w:w="520" w:type="pct"/>
            <w:tcBorders>
              <w:top w:val="nil"/>
              <w:left w:val="nil"/>
              <w:bottom w:val="single" w:sz="8" w:space="0" w:color="auto"/>
              <w:right w:val="nil"/>
            </w:tcBorders>
            <w:shd w:val="clear" w:color="auto" w:fill="auto"/>
            <w:noWrap/>
            <w:vAlign w:val="center"/>
          </w:tcPr>
          <w:p w14:paraId="1F8DB984" w14:textId="77777777" w:rsidR="00117B7F" w:rsidRPr="005830D1" w:rsidRDefault="00117B7F" w:rsidP="007F0E33">
            <w:pPr>
              <w:spacing w:after="0"/>
              <w:ind w:left="0" w:firstLine="0"/>
              <w:jc w:val="right"/>
              <w:rPr>
                <w:sz w:val="20"/>
              </w:rPr>
            </w:pPr>
          </w:p>
        </w:tc>
        <w:tc>
          <w:tcPr>
            <w:tcW w:w="910" w:type="pct"/>
            <w:tcBorders>
              <w:top w:val="nil"/>
              <w:left w:val="single" w:sz="4" w:space="0" w:color="auto"/>
              <w:bottom w:val="single" w:sz="4" w:space="0" w:color="auto"/>
              <w:right w:val="single" w:sz="4" w:space="0" w:color="auto"/>
            </w:tcBorders>
            <w:shd w:val="clear" w:color="auto" w:fill="auto"/>
            <w:noWrap/>
            <w:vAlign w:val="bottom"/>
          </w:tcPr>
          <w:p w14:paraId="1B12BA52" w14:textId="77777777" w:rsidR="00117B7F" w:rsidRPr="005830D1" w:rsidRDefault="00117B7F" w:rsidP="007F0E33">
            <w:pPr>
              <w:spacing w:after="0"/>
              <w:ind w:left="0" w:firstLine="0"/>
              <w:jc w:val="left"/>
              <w:rPr>
                <w:sz w:val="20"/>
              </w:rPr>
            </w:pPr>
          </w:p>
        </w:tc>
      </w:tr>
      <w:tr w:rsidR="00117B7F" w:rsidRPr="005830D1" w14:paraId="5FFFC247" w14:textId="77777777" w:rsidTr="007F0E33">
        <w:trPr>
          <w:trHeight w:val="330"/>
          <w:jc w:val="center"/>
        </w:trPr>
        <w:tc>
          <w:tcPr>
            <w:tcW w:w="202" w:type="pct"/>
            <w:tcBorders>
              <w:top w:val="nil"/>
              <w:left w:val="double" w:sz="6" w:space="0" w:color="auto"/>
              <w:bottom w:val="single" w:sz="8" w:space="0" w:color="auto"/>
              <w:right w:val="single" w:sz="8" w:space="0" w:color="auto"/>
            </w:tcBorders>
            <w:shd w:val="clear" w:color="auto" w:fill="auto"/>
            <w:noWrap/>
            <w:vAlign w:val="center"/>
          </w:tcPr>
          <w:p w14:paraId="0822E2D0" w14:textId="77777777" w:rsidR="00117B7F" w:rsidRPr="005830D1" w:rsidRDefault="00117B7F" w:rsidP="007F0E33">
            <w:pPr>
              <w:spacing w:after="0"/>
              <w:ind w:left="0" w:firstLine="0"/>
              <w:jc w:val="left"/>
              <w:rPr>
                <w:sz w:val="20"/>
              </w:rPr>
            </w:pPr>
          </w:p>
        </w:tc>
        <w:tc>
          <w:tcPr>
            <w:tcW w:w="3053" w:type="pct"/>
            <w:tcBorders>
              <w:top w:val="nil"/>
              <w:left w:val="nil"/>
              <w:bottom w:val="single" w:sz="8" w:space="0" w:color="auto"/>
              <w:right w:val="single" w:sz="8" w:space="0" w:color="auto"/>
            </w:tcBorders>
            <w:shd w:val="clear" w:color="auto" w:fill="auto"/>
            <w:vAlign w:val="center"/>
          </w:tcPr>
          <w:p w14:paraId="3D63F884" w14:textId="77777777" w:rsidR="00117B7F" w:rsidRPr="005830D1" w:rsidRDefault="00117B7F" w:rsidP="007F0E33">
            <w:pPr>
              <w:spacing w:after="0"/>
              <w:ind w:left="0" w:firstLine="0"/>
              <w:jc w:val="left"/>
              <w:rPr>
                <w:b/>
                <w:bCs/>
                <w:sz w:val="20"/>
              </w:rPr>
            </w:pPr>
            <w:r w:rsidRPr="005830D1">
              <w:rPr>
                <w:b/>
                <w:bCs/>
                <w:sz w:val="20"/>
              </w:rPr>
              <w:t>TOTAL FOURNITURES ET INSTALLATION DE CLAIES ET EQUIPEMENTS</w:t>
            </w:r>
          </w:p>
        </w:tc>
        <w:tc>
          <w:tcPr>
            <w:tcW w:w="315" w:type="pct"/>
            <w:tcBorders>
              <w:top w:val="nil"/>
              <w:left w:val="nil"/>
              <w:bottom w:val="single" w:sz="8" w:space="0" w:color="auto"/>
              <w:right w:val="single" w:sz="8" w:space="0" w:color="auto"/>
            </w:tcBorders>
            <w:shd w:val="clear" w:color="auto" w:fill="auto"/>
            <w:noWrap/>
            <w:vAlign w:val="center"/>
          </w:tcPr>
          <w:p w14:paraId="3F41A736" w14:textId="77777777" w:rsidR="00117B7F" w:rsidRPr="005830D1" w:rsidRDefault="00117B7F" w:rsidP="007F0E33">
            <w:pPr>
              <w:spacing w:after="0"/>
              <w:ind w:left="0" w:firstLine="0"/>
              <w:jc w:val="center"/>
              <w:rPr>
                <w:sz w:val="20"/>
              </w:rPr>
            </w:pPr>
          </w:p>
        </w:tc>
        <w:tc>
          <w:tcPr>
            <w:tcW w:w="520" w:type="pct"/>
            <w:tcBorders>
              <w:top w:val="nil"/>
              <w:left w:val="nil"/>
              <w:bottom w:val="single" w:sz="8" w:space="0" w:color="auto"/>
              <w:right w:val="nil"/>
            </w:tcBorders>
            <w:shd w:val="clear" w:color="auto" w:fill="auto"/>
            <w:noWrap/>
            <w:vAlign w:val="center"/>
          </w:tcPr>
          <w:p w14:paraId="54B8927D" w14:textId="77777777" w:rsidR="00117B7F" w:rsidRPr="005830D1" w:rsidRDefault="00117B7F" w:rsidP="007F0E33">
            <w:pPr>
              <w:spacing w:after="0"/>
              <w:ind w:left="0" w:firstLine="0"/>
              <w:jc w:val="right"/>
              <w:rPr>
                <w:sz w:val="20"/>
              </w:rPr>
            </w:pPr>
          </w:p>
        </w:tc>
        <w:tc>
          <w:tcPr>
            <w:tcW w:w="910" w:type="pct"/>
            <w:tcBorders>
              <w:top w:val="nil"/>
              <w:left w:val="single" w:sz="4" w:space="0" w:color="auto"/>
              <w:bottom w:val="single" w:sz="4" w:space="0" w:color="auto"/>
              <w:right w:val="single" w:sz="4" w:space="0" w:color="auto"/>
            </w:tcBorders>
            <w:shd w:val="clear" w:color="auto" w:fill="auto"/>
            <w:noWrap/>
            <w:vAlign w:val="bottom"/>
          </w:tcPr>
          <w:p w14:paraId="47D8B760" w14:textId="77777777" w:rsidR="00117B7F" w:rsidRPr="005830D1" w:rsidRDefault="00117B7F" w:rsidP="007F0E33">
            <w:pPr>
              <w:spacing w:after="0"/>
              <w:ind w:left="0" w:firstLine="0"/>
              <w:jc w:val="left"/>
              <w:rPr>
                <w:sz w:val="20"/>
              </w:rPr>
            </w:pPr>
          </w:p>
        </w:tc>
      </w:tr>
      <w:tr w:rsidR="00117B7F" w:rsidRPr="005830D1" w14:paraId="682A1F4C" w14:textId="77777777" w:rsidTr="007F0E33">
        <w:trPr>
          <w:trHeight w:val="49"/>
          <w:jc w:val="center"/>
        </w:trPr>
        <w:tc>
          <w:tcPr>
            <w:tcW w:w="202" w:type="pct"/>
            <w:tcBorders>
              <w:top w:val="nil"/>
              <w:left w:val="double" w:sz="6" w:space="0" w:color="auto"/>
              <w:bottom w:val="double" w:sz="6" w:space="0" w:color="auto"/>
              <w:right w:val="single" w:sz="8" w:space="0" w:color="auto"/>
            </w:tcBorders>
            <w:shd w:val="clear" w:color="auto" w:fill="auto"/>
            <w:noWrap/>
            <w:vAlign w:val="center"/>
            <w:hideMark/>
          </w:tcPr>
          <w:p w14:paraId="71CD06EA" w14:textId="77777777" w:rsidR="00117B7F" w:rsidRPr="005830D1" w:rsidRDefault="00117B7F" w:rsidP="007F0E33">
            <w:pPr>
              <w:spacing w:after="0"/>
              <w:ind w:left="0" w:firstLine="0"/>
              <w:jc w:val="left"/>
              <w:rPr>
                <w:sz w:val="20"/>
              </w:rPr>
            </w:pPr>
            <w:r w:rsidRPr="005830D1">
              <w:rPr>
                <w:sz w:val="20"/>
              </w:rPr>
              <w:t> </w:t>
            </w:r>
          </w:p>
        </w:tc>
        <w:tc>
          <w:tcPr>
            <w:tcW w:w="3053" w:type="pct"/>
            <w:tcBorders>
              <w:top w:val="nil"/>
              <w:left w:val="nil"/>
              <w:bottom w:val="double" w:sz="6" w:space="0" w:color="auto"/>
              <w:right w:val="single" w:sz="8" w:space="0" w:color="auto"/>
            </w:tcBorders>
            <w:shd w:val="clear" w:color="auto" w:fill="auto"/>
            <w:noWrap/>
            <w:vAlign w:val="center"/>
            <w:hideMark/>
          </w:tcPr>
          <w:p w14:paraId="618F3924" w14:textId="77777777" w:rsidR="00117B7F" w:rsidRPr="005830D1" w:rsidRDefault="00117B7F" w:rsidP="007F0E33">
            <w:pPr>
              <w:spacing w:after="0"/>
              <w:ind w:left="0" w:firstLine="0"/>
              <w:jc w:val="center"/>
              <w:rPr>
                <w:b/>
                <w:bCs/>
                <w:sz w:val="20"/>
              </w:rPr>
            </w:pPr>
            <w:r w:rsidRPr="005830D1">
              <w:rPr>
                <w:b/>
                <w:bCs/>
                <w:sz w:val="20"/>
              </w:rPr>
              <w:t>TOTAL - MAGASIN</w:t>
            </w:r>
          </w:p>
        </w:tc>
        <w:tc>
          <w:tcPr>
            <w:tcW w:w="315" w:type="pct"/>
            <w:tcBorders>
              <w:top w:val="nil"/>
              <w:left w:val="nil"/>
              <w:bottom w:val="double" w:sz="6" w:space="0" w:color="auto"/>
              <w:right w:val="single" w:sz="8" w:space="0" w:color="auto"/>
            </w:tcBorders>
            <w:shd w:val="clear" w:color="auto" w:fill="auto"/>
            <w:noWrap/>
            <w:vAlign w:val="center"/>
            <w:hideMark/>
          </w:tcPr>
          <w:p w14:paraId="4E8FF6EA" w14:textId="77777777" w:rsidR="00117B7F" w:rsidRPr="005830D1" w:rsidRDefault="00117B7F" w:rsidP="007F0E33">
            <w:pPr>
              <w:spacing w:after="0"/>
              <w:ind w:left="0" w:firstLine="0"/>
              <w:jc w:val="left"/>
              <w:rPr>
                <w:sz w:val="20"/>
              </w:rPr>
            </w:pPr>
            <w:r w:rsidRPr="005830D1">
              <w:rPr>
                <w:sz w:val="20"/>
              </w:rPr>
              <w:t> </w:t>
            </w:r>
          </w:p>
        </w:tc>
        <w:tc>
          <w:tcPr>
            <w:tcW w:w="520" w:type="pct"/>
            <w:tcBorders>
              <w:top w:val="nil"/>
              <w:left w:val="nil"/>
              <w:bottom w:val="double" w:sz="6" w:space="0" w:color="auto"/>
              <w:right w:val="nil"/>
            </w:tcBorders>
            <w:shd w:val="clear" w:color="auto" w:fill="auto"/>
            <w:noWrap/>
            <w:vAlign w:val="center"/>
            <w:hideMark/>
          </w:tcPr>
          <w:p w14:paraId="04004AE0" w14:textId="77777777" w:rsidR="00117B7F" w:rsidRPr="005830D1" w:rsidRDefault="00117B7F" w:rsidP="007F0E33">
            <w:pPr>
              <w:spacing w:after="0"/>
              <w:ind w:left="0" w:firstLine="0"/>
              <w:jc w:val="left"/>
              <w:rPr>
                <w:sz w:val="20"/>
              </w:rPr>
            </w:pPr>
            <w:r w:rsidRPr="005830D1">
              <w:rPr>
                <w:sz w:val="20"/>
              </w:rPr>
              <w:t> </w:t>
            </w:r>
          </w:p>
        </w:tc>
        <w:tc>
          <w:tcPr>
            <w:tcW w:w="910" w:type="pct"/>
            <w:tcBorders>
              <w:top w:val="nil"/>
              <w:left w:val="single" w:sz="4" w:space="0" w:color="auto"/>
              <w:bottom w:val="single" w:sz="4" w:space="0" w:color="auto"/>
              <w:right w:val="single" w:sz="4" w:space="0" w:color="auto"/>
            </w:tcBorders>
            <w:shd w:val="clear" w:color="auto" w:fill="auto"/>
            <w:noWrap/>
            <w:vAlign w:val="bottom"/>
            <w:hideMark/>
          </w:tcPr>
          <w:p w14:paraId="1A451B04" w14:textId="77777777" w:rsidR="00117B7F" w:rsidRPr="005830D1" w:rsidRDefault="00117B7F" w:rsidP="007F0E33">
            <w:pPr>
              <w:spacing w:after="0"/>
              <w:ind w:left="0" w:firstLine="0"/>
              <w:jc w:val="left"/>
              <w:rPr>
                <w:sz w:val="20"/>
              </w:rPr>
            </w:pPr>
            <w:r w:rsidRPr="005830D1">
              <w:rPr>
                <w:sz w:val="20"/>
              </w:rPr>
              <w:t> </w:t>
            </w:r>
          </w:p>
        </w:tc>
      </w:tr>
    </w:tbl>
    <w:p w14:paraId="1475CDD3" w14:textId="2B545A60" w:rsidR="00117B7F" w:rsidRPr="00470F7C" w:rsidRDefault="00117B7F" w:rsidP="00117B7F">
      <w:pPr>
        <w:spacing w:after="0"/>
        <w:ind w:left="0" w:firstLine="0"/>
        <w:jc w:val="left"/>
        <w:rPr>
          <w:szCs w:val="24"/>
          <w:lang w:eastAsia="en-US"/>
        </w:rPr>
      </w:pPr>
      <w:r w:rsidRPr="00470F7C">
        <w:rPr>
          <w:szCs w:val="24"/>
          <w:lang w:eastAsia="en-US"/>
        </w:rPr>
        <w:lastRenderedPageBreak/>
        <w:t>Fait à …………………le………………………………</w:t>
      </w:r>
      <w:r w:rsidR="00FD08FA" w:rsidRPr="00470F7C">
        <w:rPr>
          <w:szCs w:val="24"/>
          <w:lang w:eastAsia="en-US"/>
        </w:rPr>
        <w:t>……</w:t>
      </w:r>
      <w:r w:rsidRPr="00470F7C">
        <w:rPr>
          <w:szCs w:val="24"/>
          <w:lang w:eastAsia="en-US"/>
        </w:rPr>
        <w:t>.</w:t>
      </w:r>
      <w:r w:rsidR="00FD08FA" w:rsidRPr="00470F7C">
        <w:rPr>
          <w:szCs w:val="24"/>
          <w:lang w:eastAsia="en-US"/>
        </w:rPr>
        <w:t xml:space="preserve">  </w:t>
      </w:r>
      <w:r w:rsidRPr="00470F7C">
        <w:rPr>
          <w:szCs w:val="24"/>
          <w:lang w:eastAsia="en-US"/>
        </w:rPr>
        <w:t>202</w:t>
      </w:r>
      <w:r w:rsidR="00606A49" w:rsidRPr="00470F7C">
        <w:rPr>
          <w:szCs w:val="24"/>
          <w:lang w:eastAsia="en-US"/>
        </w:rPr>
        <w:t>1</w:t>
      </w:r>
    </w:p>
    <w:p w14:paraId="0665D060" w14:textId="77777777" w:rsidR="00117B7F" w:rsidRPr="005830D1" w:rsidRDefault="00117B7F" w:rsidP="00117B7F">
      <w:pPr>
        <w:spacing w:after="0"/>
        <w:ind w:left="0" w:firstLine="0"/>
        <w:jc w:val="left"/>
        <w:rPr>
          <w:szCs w:val="24"/>
          <w:lang w:eastAsia="en-US"/>
        </w:rPr>
      </w:pPr>
    </w:p>
    <w:p w14:paraId="669614DA" w14:textId="7FAE3297" w:rsidR="00C312F3" w:rsidRPr="00D508D7" w:rsidRDefault="00117B7F" w:rsidP="00A53835">
      <w:pPr>
        <w:spacing w:after="0"/>
        <w:ind w:left="0" w:firstLine="0"/>
        <w:jc w:val="left"/>
        <w:rPr>
          <w:b/>
          <w:szCs w:val="24"/>
          <w:lang w:eastAsia="en-US"/>
        </w:rPr>
      </w:pPr>
      <w:r w:rsidRPr="005830D1">
        <w:rPr>
          <w:szCs w:val="24"/>
          <w:lang w:eastAsia="en-US"/>
        </w:rPr>
        <w:t xml:space="preserve">                                                                                                                 Le Soumissionnaire</w:t>
      </w:r>
    </w:p>
    <w:p w14:paraId="1682B15D" w14:textId="77777777" w:rsidR="000B52DA" w:rsidRPr="0084432F" w:rsidRDefault="000B52DA" w:rsidP="00EC7865">
      <w:pPr>
        <w:spacing w:after="0"/>
        <w:ind w:left="0" w:firstLine="0"/>
        <w:jc w:val="left"/>
        <w:rPr>
          <w:b/>
          <w:color w:val="FF0000"/>
          <w:szCs w:val="28"/>
          <w:lang w:eastAsia="en-US"/>
        </w:rPr>
      </w:pPr>
    </w:p>
    <w:p w14:paraId="47F41E71" w14:textId="77777777" w:rsidR="00C83D57" w:rsidRPr="0084432F" w:rsidRDefault="00C83D57" w:rsidP="00EC7865">
      <w:pPr>
        <w:spacing w:after="0"/>
        <w:ind w:left="0" w:firstLine="0"/>
        <w:jc w:val="left"/>
        <w:rPr>
          <w:b/>
          <w:color w:val="FF0000"/>
          <w:sz w:val="18"/>
          <w:lang w:eastAsia="en-US"/>
        </w:rPr>
      </w:pPr>
    </w:p>
    <w:p w14:paraId="2C4645EB" w14:textId="05A6A208" w:rsidR="00481B36" w:rsidRDefault="00481B36" w:rsidP="00481B36">
      <w:pPr>
        <w:ind w:left="0" w:firstLine="0"/>
        <w:jc w:val="left"/>
        <w:rPr>
          <w:b/>
          <w:sz w:val="28"/>
          <w:szCs w:val="28"/>
          <w:lang w:eastAsia="en-US"/>
        </w:rPr>
      </w:pPr>
      <w:r w:rsidRPr="009C1418">
        <w:rPr>
          <w:b/>
          <w:sz w:val="28"/>
          <w:szCs w:val="28"/>
          <w:lang w:eastAsia="en-US"/>
        </w:rPr>
        <w:t>PGES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4929"/>
        <w:gridCol w:w="850"/>
        <w:gridCol w:w="992"/>
        <w:gridCol w:w="1418"/>
      </w:tblGrid>
      <w:tr w:rsidR="00D508D7" w:rsidRPr="009C1418" w14:paraId="12C54098" w14:textId="77777777" w:rsidTr="007551A4">
        <w:tc>
          <w:tcPr>
            <w:tcW w:w="595" w:type="dxa"/>
            <w:vAlign w:val="center"/>
          </w:tcPr>
          <w:p w14:paraId="5DA361FA" w14:textId="77777777" w:rsidR="00D508D7" w:rsidRPr="009C1418" w:rsidRDefault="00D508D7" w:rsidP="00D508D7">
            <w:pPr>
              <w:spacing w:after="0"/>
              <w:ind w:left="0" w:firstLine="0"/>
              <w:jc w:val="left"/>
              <w:rPr>
                <w:sz w:val="20"/>
                <w:lang w:eastAsia="en-US"/>
              </w:rPr>
            </w:pPr>
            <w:r w:rsidRPr="009C1418">
              <w:rPr>
                <w:bCs/>
                <w:sz w:val="20"/>
              </w:rPr>
              <w:t>N°</w:t>
            </w:r>
          </w:p>
        </w:tc>
        <w:tc>
          <w:tcPr>
            <w:tcW w:w="4929" w:type="dxa"/>
            <w:vAlign w:val="center"/>
          </w:tcPr>
          <w:p w14:paraId="5FF2A7CF" w14:textId="77777777" w:rsidR="00D508D7" w:rsidRPr="009C1418" w:rsidRDefault="00D508D7" w:rsidP="00D508D7">
            <w:pPr>
              <w:spacing w:after="0"/>
              <w:ind w:left="0" w:firstLine="0"/>
              <w:jc w:val="left"/>
              <w:rPr>
                <w:sz w:val="20"/>
                <w:lang w:eastAsia="en-US"/>
              </w:rPr>
            </w:pPr>
            <w:r w:rsidRPr="009C1418">
              <w:rPr>
                <w:sz w:val="20"/>
              </w:rPr>
              <w:t>Plan de Gestion Environnemental et Social</w:t>
            </w:r>
          </w:p>
        </w:tc>
        <w:tc>
          <w:tcPr>
            <w:tcW w:w="850" w:type="dxa"/>
          </w:tcPr>
          <w:p w14:paraId="739969A5" w14:textId="77777777" w:rsidR="00D508D7" w:rsidRDefault="00D508D7" w:rsidP="00D508D7">
            <w:pPr>
              <w:spacing w:after="0"/>
              <w:ind w:left="0" w:firstLine="0"/>
              <w:jc w:val="left"/>
              <w:rPr>
                <w:bCs/>
                <w:sz w:val="20"/>
              </w:rPr>
            </w:pPr>
          </w:p>
          <w:p w14:paraId="64866A85" w14:textId="5513CC82" w:rsidR="00D508D7" w:rsidRPr="009C1418" w:rsidRDefault="00D508D7" w:rsidP="00D508D7">
            <w:pPr>
              <w:spacing w:after="0"/>
              <w:ind w:left="0" w:firstLine="0"/>
              <w:jc w:val="left"/>
              <w:rPr>
                <w:bCs/>
                <w:sz w:val="20"/>
              </w:rPr>
            </w:pPr>
            <w:r w:rsidRPr="009C1418">
              <w:rPr>
                <w:bCs/>
                <w:sz w:val="20"/>
              </w:rPr>
              <w:t>Unités</w:t>
            </w:r>
          </w:p>
        </w:tc>
        <w:tc>
          <w:tcPr>
            <w:tcW w:w="992" w:type="dxa"/>
            <w:vAlign w:val="center"/>
          </w:tcPr>
          <w:p w14:paraId="5FC8FF3C" w14:textId="2A83C1A6" w:rsidR="00D508D7" w:rsidRPr="009C1418" w:rsidRDefault="00D508D7" w:rsidP="00D508D7">
            <w:pPr>
              <w:spacing w:after="0"/>
              <w:ind w:left="0" w:firstLine="0"/>
              <w:jc w:val="left"/>
              <w:rPr>
                <w:bCs/>
                <w:sz w:val="20"/>
              </w:rPr>
            </w:pPr>
            <w:r w:rsidRPr="009C1418">
              <w:rPr>
                <w:bCs/>
                <w:sz w:val="20"/>
              </w:rPr>
              <w:t>P. Unit HTVA</w:t>
            </w:r>
          </w:p>
          <w:p w14:paraId="61EA5ED1" w14:textId="3CF4935D" w:rsidR="00D508D7" w:rsidRPr="009C1418" w:rsidRDefault="00D508D7" w:rsidP="00D508D7">
            <w:pPr>
              <w:spacing w:after="0"/>
              <w:ind w:left="0" w:firstLine="0"/>
              <w:jc w:val="left"/>
              <w:rPr>
                <w:sz w:val="20"/>
                <w:lang w:eastAsia="en-US"/>
              </w:rPr>
            </w:pPr>
            <w:r w:rsidRPr="009C1418">
              <w:rPr>
                <w:bCs/>
                <w:sz w:val="20"/>
              </w:rPr>
              <w:t>En Lettre</w:t>
            </w:r>
          </w:p>
        </w:tc>
        <w:tc>
          <w:tcPr>
            <w:tcW w:w="1418" w:type="dxa"/>
            <w:vAlign w:val="center"/>
          </w:tcPr>
          <w:p w14:paraId="05B4ADC7" w14:textId="2760E393" w:rsidR="00D508D7" w:rsidRPr="009C1418" w:rsidRDefault="00D508D7" w:rsidP="00D508D7">
            <w:pPr>
              <w:spacing w:after="0"/>
              <w:ind w:left="0" w:firstLine="0"/>
              <w:jc w:val="left"/>
              <w:rPr>
                <w:bCs/>
                <w:sz w:val="20"/>
              </w:rPr>
            </w:pPr>
            <w:r w:rsidRPr="009C1418">
              <w:rPr>
                <w:bCs/>
                <w:sz w:val="20"/>
              </w:rPr>
              <w:t>P. Unit HTVA</w:t>
            </w:r>
          </w:p>
          <w:p w14:paraId="77445030" w14:textId="7F7B5BB1" w:rsidR="00D508D7" w:rsidRPr="009C1418" w:rsidRDefault="00D508D7" w:rsidP="00D508D7">
            <w:pPr>
              <w:spacing w:after="0"/>
              <w:ind w:left="0" w:firstLine="0"/>
              <w:jc w:val="left"/>
              <w:rPr>
                <w:sz w:val="20"/>
                <w:lang w:eastAsia="en-US"/>
              </w:rPr>
            </w:pPr>
            <w:r w:rsidRPr="009C1418">
              <w:rPr>
                <w:bCs/>
                <w:sz w:val="20"/>
              </w:rPr>
              <w:t>En Chiffre</w:t>
            </w:r>
          </w:p>
        </w:tc>
      </w:tr>
      <w:tr w:rsidR="00234B5D" w:rsidRPr="009C1418" w14:paraId="2F976730" w14:textId="77777777" w:rsidTr="007551A4">
        <w:tc>
          <w:tcPr>
            <w:tcW w:w="595" w:type="dxa"/>
            <w:vAlign w:val="center"/>
          </w:tcPr>
          <w:p w14:paraId="400A7BE9" w14:textId="77777777" w:rsidR="00234B5D" w:rsidRPr="009C1418" w:rsidRDefault="00234B5D" w:rsidP="00D508D7">
            <w:pPr>
              <w:spacing w:after="0"/>
              <w:ind w:left="0" w:firstLine="0"/>
              <w:jc w:val="left"/>
              <w:rPr>
                <w:bCs/>
                <w:sz w:val="20"/>
              </w:rPr>
            </w:pPr>
          </w:p>
        </w:tc>
        <w:tc>
          <w:tcPr>
            <w:tcW w:w="4929" w:type="dxa"/>
            <w:vAlign w:val="center"/>
          </w:tcPr>
          <w:p w14:paraId="68E3B3DA" w14:textId="2BBAE705" w:rsidR="00234B5D" w:rsidRPr="00F93405" w:rsidRDefault="00234B5D" w:rsidP="00234B5D">
            <w:pPr>
              <w:spacing w:after="0" w:line="276" w:lineRule="auto"/>
              <w:jc w:val="left"/>
              <w:rPr>
                <w:rFonts w:eastAsiaTheme="minorEastAsia"/>
                <w:sz w:val="20"/>
                <w:szCs w:val="22"/>
              </w:rPr>
            </w:pPr>
            <w:r w:rsidRPr="00F93405">
              <w:rPr>
                <w:rFonts w:eastAsiaTheme="minorEastAsia"/>
                <w:sz w:val="20"/>
                <w:szCs w:val="22"/>
              </w:rPr>
              <w:t>L’Entrepreneur prendra connaissances des mesures imposées par l’Etude</w:t>
            </w:r>
            <w:r>
              <w:rPr>
                <w:rFonts w:eastAsiaTheme="minorEastAsia"/>
                <w:sz w:val="20"/>
                <w:szCs w:val="22"/>
              </w:rPr>
              <w:t xml:space="preserve"> </w:t>
            </w:r>
            <w:r w:rsidRPr="00F93405">
              <w:rPr>
                <w:rFonts w:eastAsiaTheme="minorEastAsia"/>
                <w:sz w:val="20"/>
                <w:szCs w:val="22"/>
              </w:rPr>
              <w:t>d’Impact Environnementale et Sociale rédigée avec le projet et proposera :</w:t>
            </w:r>
          </w:p>
          <w:p w14:paraId="027797F4" w14:textId="77777777" w:rsidR="00234B5D" w:rsidRPr="00F93405" w:rsidRDefault="00234B5D" w:rsidP="00234B5D">
            <w:pPr>
              <w:pStyle w:val="Paragraphedeliste"/>
              <w:numPr>
                <w:ilvl w:val="2"/>
                <w:numId w:val="10"/>
              </w:numPr>
              <w:tabs>
                <w:tab w:val="clear" w:pos="5040"/>
              </w:tabs>
              <w:suppressAutoHyphens/>
              <w:overflowPunct w:val="0"/>
              <w:autoSpaceDE w:val="0"/>
              <w:autoSpaceDN w:val="0"/>
              <w:adjustRightInd w:val="0"/>
              <w:spacing w:after="0" w:line="276" w:lineRule="auto"/>
              <w:ind w:left="360" w:hanging="360"/>
              <w:jc w:val="left"/>
              <w:textAlignment w:val="baseline"/>
              <w:rPr>
                <w:rFonts w:eastAsiaTheme="minorEastAsia"/>
                <w:sz w:val="20"/>
                <w:szCs w:val="22"/>
              </w:rPr>
            </w:pPr>
            <w:r w:rsidRPr="00F93405">
              <w:rPr>
                <w:rFonts w:eastAsiaTheme="minorEastAsia"/>
                <w:sz w:val="20"/>
                <w:szCs w:val="22"/>
              </w:rPr>
              <w:t>Un plan de réalisation des activités relatives à la Protection de l’environnement et du milieu socio-économique (Plan de Gestion Environnementale Et Sociale PGES) ; des mesures qui seront prises afin de protéger l’environnement durant les différentes phases de travaux ;</w:t>
            </w:r>
          </w:p>
          <w:p w14:paraId="6D4079DA" w14:textId="410D1261" w:rsidR="00234B5D" w:rsidRPr="009C1418" w:rsidRDefault="00234B5D" w:rsidP="00234B5D">
            <w:pPr>
              <w:spacing w:after="0"/>
              <w:ind w:left="0" w:firstLine="0"/>
              <w:jc w:val="left"/>
              <w:rPr>
                <w:sz w:val="20"/>
              </w:rPr>
            </w:pPr>
            <w:r w:rsidRPr="00F93405">
              <w:rPr>
                <w:rFonts w:eastAsiaTheme="minorEastAsia"/>
                <w:sz w:val="20"/>
                <w:szCs w:val="22"/>
              </w:rPr>
              <w:t>Des travaux de remise en état des zones d’emprunt et un exposé méthodologique décrivant de quelle manière il compte éviter les effets négatifs et minimiser les effets inévitables résultant des travaux d’aménagement des sites.  L'entrepreneur dotera ses ouvriers des équipements individuels de sécurité nécessaires et des actions de sensibilisation sur les IST/VIH SIDA et adéquats, notamment pour les postes de travail.</w:t>
            </w:r>
          </w:p>
        </w:tc>
        <w:tc>
          <w:tcPr>
            <w:tcW w:w="850" w:type="dxa"/>
          </w:tcPr>
          <w:p w14:paraId="5D8F82B9" w14:textId="77777777" w:rsidR="00234B5D" w:rsidRDefault="00234B5D" w:rsidP="00D508D7">
            <w:pPr>
              <w:spacing w:after="0"/>
              <w:ind w:left="0" w:firstLine="0"/>
              <w:jc w:val="left"/>
              <w:rPr>
                <w:bCs/>
                <w:sz w:val="20"/>
              </w:rPr>
            </w:pPr>
          </w:p>
        </w:tc>
        <w:tc>
          <w:tcPr>
            <w:tcW w:w="992" w:type="dxa"/>
            <w:vAlign w:val="center"/>
          </w:tcPr>
          <w:p w14:paraId="6596EE03" w14:textId="77777777" w:rsidR="00234B5D" w:rsidRPr="009C1418" w:rsidRDefault="00234B5D" w:rsidP="00D508D7">
            <w:pPr>
              <w:spacing w:after="0"/>
              <w:ind w:left="0" w:firstLine="0"/>
              <w:jc w:val="left"/>
              <w:rPr>
                <w:bCs/>
                <w:sz w:val="20"/>
              </w:rPr>
            </w:pPr>
          </w:p>
        </w:tc>
        <w:tc>
          <w:tcPr>
            <w:tcW w:w="1418" w:type="dxa"/>
            <w:vAlign w:val="center"/>
          </w:tcPr>
          <w:p w14:paraId="6A35DE20" w14:textId="77777777" w:rsidR="00234B5D" w:rsidRPr="009C1418" w:rsidRDefault="00234B5D" w:rsidP="00D508D7">
            <w:pPr>
              <w:spacing w:after="0"/>
              <w:ind w:left="0" w:firstLine="0"/>
              <w:jc w:val="left"/>
              <w:rPr>
                <w:bCs/>
                <w:sz w:val="20"/>
              </w:rPr>
            </w:pPr>
          </w:p>
        </w:tc>
      </w:tr>
      <w:tr w:rsidR="00D508D7" w:rsidRPr="009C1418" w14:paraId="39997717" w14:textId="77777777" w:rsidTr="007551A4">
        <w:tc>
          <w:tcPr>
            <w:tcW w:w="595" w:type="dxa"/>
            <w:shd w:val="clear" w:color="auto" w:fill="FFFFFF" w:themeFill="background1"/>
            <w:vAlign w:val="center"/>
          </w:tcPr>
          <w:p w14:paraId="344BC423" w14:textId="77777777" w:rsidR="00D508D7" w:rsidRPr="009C1418" w:rsidRDefault="00D508D7" w:rsidP="00BE6D61">
            <w:pPr>
              <w:spacing w:after="0"/>
              <w:ind w:left="0" w:firstLine="0"/>
              <w:jc w:val="left"/>
              <w:rPr>
                <w:bCs/>
                <w:sz w:val="20"/>
              </w:rPr>
            </w:pPr>
            <w:r>
              <w:rPr>
                <w:bCs/>
                <w:sz w:val="20"/>
              </w:rPr>
              <w:t>1</w:t>
            </w:r>
          </w:p>
        </w:tc>
        <w:tc>
          <w:tcPr>
            <w:tcW w:w="4929" w:type="dxa"/>
            <w:shd w:val="clear" w:color="auto" w:fill="FFFFFF" w:themeFill="background1"/>
            <w:vAlign w:val="center"/>
          </w:tcPr>
          <w:p w14:paraId="59B0400A" w14:textId="77777777" w:rsidR="00D508D7" w:rsidRPr="00E228E6" w:rsidRDefault="00D508D7" w:rsidP="00BE6D61">
            <w:pPr>
              <w:spacing w:after="0"/>
              <w:jc w:val="left"/>
              <w:rPr>
                <w:bCs/>
                <w:sz w:val="20"/>
              </w:rPr>
            </w:pPr>
            <w:r>
              <w:rPr>
                <w:bCs/>
                <w:sz w:val="20"/>
              </w:rPr>
              <w:t>Air</w:t>
            </w:r>
          </w:p>
        </w:tc>
        <w:tc>
          <w:tcPr>
            <w:tcW w:w="850" w:type="dxa"/>
          </w:tcPr>
          <w:p w14:paraId="144888C4" w14:textId="77777777" w:rsidR="00D508D7" w:rsidRPr="009C1418" w:rsidRDefault="00D508D7" w:rsidP="00BE6D61">
            <w:pPr>
              <w:spacing w:after="0"/>
              <w:ind w:left="0" w:firstLine="0"/>
              <w:jc w:val="left"/>
              <w:rPr>
                <w:bCs/>
                <w:sz w:val="20"/>
              </w:rPr>
            </w:pPr>
          </w:p>
        </w:tc>
        <w:tc>
          <w:tcPr>
            <w:tcW w:w="992" w:type="dxa"/>
            <w:vAlign w:val="center"/>
          </w:tcPr>
          <w:p w14:paraId="6CAF5882" w14:textId="13B14FA1" w:rsidR="00D508D7" w:rsidRPr="009C1418" w:rsidRDefault="00D508D7" w:rsidP="00BE6D61">
            <w:pPr>
              <w:spacing w:after="0"/>
              <w:ind w:left="0" w:firstLine="0"/>
              <w:jc w:val="left"/>
              <w:rPr>
                <w:bCs/>
                <w:sz w:val="20"/>
              </w:rPr>
            </w:pPr>
          </w:p>
        </w:tc>
        <w:tc>
          <w:tcPr>
            <w:tcW w:w="1418" w:type="dxa"/>
            <w:vAlign w:val="center"/>
          </w:tcPr>
          <w:p w14:paraId="1DE37202" w14:textId="77777777" w:rsidR="00D508D7" w:rsidRPr="009C1418" w:rsidRDefault="00D508D7" w:rsidP="00BE6D61">
            <w:pPr>
              <w:spacing w:after="0"/>
              <w:ind w:left="0" w:firstLine="0"/>
              <w:jc w:val="left"/>
              <w:rPr>
                <w:bCs/>
                <w:sz w:val="20"/>
              </w:rPr>
            </w:pPr>
          </w:p>
        </w:tc>
      </w:tr>
      <w:tr w:rsidR="003823D9" w:rsidRPr="009C1418" w14:paraId="4EDAC281" w14:textId="77777777" w:rsidTr="007551A4">
        <w:tc>
          <w:tcPr>
            <w:tcW w:w="595" w:type="dxa"/>
            <w:shd w:val="clear" w:color="auto" w:fill="FFFFFF" w:themeFill="background1"/>
            <w:vAlign w:val="center"/>
          </w:tcPr>
          <w:p w14:paraId="4F7A8851" w14:textId="77777777" w:rsidR="003823D9" w:rsidRPr="00E228E6" w:rsidRDefault="003823D9" w:rsidP="003823D9">
            <w:pPr>
              <w:spacing w:after="0"/>
              <w:ind w:left="0" w:firstLine="0"/>
              <w:jc w:val="left"/>
              <w:rPr>
                <w:bCs/>
                <w:sz w:val="20"/>
              </w:rPr>
            </w:pPr>
            <w:r w:rsidRPr="00E228E6">
              <w:rPr>
                <w:bCs/>
                <w:sz w:val="20"/>
              </w:rPr>
              <w:t>1.1</w:t>
            </w:r>
          </w:p>
        </w:tc>
        <w:tc>
          <w:tcPr>
            <w:tcW w:w="4929" w:type="dxa"/>
            <w:shd w:val="clear" w:color="auto" w:fill="FFFFFF" w:themeFill="background1"/>
            <w:vAlign w:val="center"/>
          </w:tcPr>
          <w:p w14:paraId="2ACC78E6" w14:textId="77777777" w:rsidR="003823D9" w:rsidRDefault="003823D9" w:rsidP="003823D9">
            <w:pPr>
              <w:spacing w:after="0"/>
              <w:ind w:left="578" w:hanging="578"/>
              <w:jc w:val="left"/>
              <w:rPr>
                <w:rFonts w:cs="Arial"/>
                <w:sz w:val="20"/>
              </w:rPr>
            </w:pPr>
            <w:r w:rsidRPr="00E228E6">
              <w:rPr>
                <w:rFonts w:cs="Arial"/>
                <w:sz w:val="20"/>
              </w:rPr>
              <w:t>Arrosage régulier des routes et pistes, le chantier</w:t>
            </w:r>
            <w:r>
              <w:rPr>
                <w:rFonts w:cs="Arial"/>
                <w:sz w:val="20"/>
              </w:rPr>
              <w:t xml:space="preserve"> </w:t>
            </w:r>
            <w:r w:rsidRPr="00E228E6">
              <w:rPr>
                <w:rFonts w:cs="Arial"/>
                <w:sz w:val="20"/>
              </w:rPr>
              <w:t>et déviation temporaire</w:t>
            </w:r>
          </w:p>
          <w:p w14:paraId="0146D17F" w14:textId="77777777" w:rsidR="003823D9" w:rsidRPr="00E228E6" w:rsidRDefault="003823D9" w:rsidP="003823D9">
            <w:pPr>
              <w:jc w:val="left"/>
              <w:rPr>
                <w:rFonts w:cs="Arial"/>
                <w:sz w:val="20"/>
              </w:rPr>
            </w:pPr>
            <w:r w:rsidRPr="00E228E6">
              <w:rPr>
                <w:rFonts w:cs="Arial"/>
                <w:sz w:val="20"/>
              </w:rPr>
              <w:t>Vérification et réglage régulier des moteurs des véhicules et des engins</w:t>
            </w:r>
          </w:p>
        </w:tc>
        <w:tc>
          <w:tcPr>
            <w:tcW w:w="850" w:type="dxa"/>
            <w:vAlign w:val="center"/>
          </w:tcPr>
          <w:p w14:paraId="2A4DCD2F" w14:textId="6EEE954F" w:rsidR="003823D9" w:rsidRPr="009C1418" w:rsidRDefault="003823D9" w:rsidP="003823D9">
            <w:pPr>
              <w:spacing w:after="0"/>
              <w:ind w:left="0" w:firstLine="0"/>
              <w:jc w:val="left"/>
              <w:rPr>
                <w:bCs/>
                <w:sz w:val="20"/>
              </w:rPr>
            </w:pPr>
            <w:proofErr w:type="spellStart"/>
            <w:r>
              <w:rPr>
                <w:bCs/>
                <w:sz w:val="20"/>
              </w:rPr>
              <w:t>ff</w:t>
            </w:r>
            <w:proofErr w:type="spellEnd"/>
          </w:p>
        </w:tc>
        <w:tc>
          <w:tcPr>
            <w:tcW w:w="992" w:type="dxa"/>
            <w:vAlign w:val="center"/>
          </w:tcPr>
          <w:p w14:paraId="410DCD64" w14:textId="3DB3804D" w:rsidR="003823D9" w:rsidRPr="009C1418" w:rsidRDefault="003823D9" w:rsidP="003823D9">
            <w:pPr>
              <w:spacing w:after="0"/>
              <w:ind w:left="0" w:firstLine="0"/>
              <w:jc w:val="left"/>
              <w:rPr>
                <w:bCs/>
                <w:sz w:val="20"/>
              </w:rPr>
            </w:pPr>
          </w:p>
        </w:tc>
        <w:tc>
          <w:tcPr>
            <w:tcW w:w="1418" w:type="dxa"/>
            <w:vAlign w:val="center"/>
          </w:tcPr>
          <w:p w14:paraId="498D5AA2" w14:textId="77777777" w:rsidR="003823D9" w:rsidRPr="009C1418" w:rsidRDefault="003823D9" w:rsidP="003823D9">
            <w:pPr>
              <w:spacing w:after="0"/>
              <w:ind w:left="0" w:firstLine="0"/>
              <w:jc w:val="left"/>
              <w:rPr>
                <w:bCs/>
                <w:sz w:val="20"/>
              </w:rPr>
            </w:pPr>
          </w:p>
        </w:tc>
      </w:tr>
      <w:tr w:rsidR="003823D9" w:rsidRPr="009C1418" w14:paraId="36E5F9C0" w14:textId="77777777" w:rsidTr="007551A4">
        <w:tc>
          <w:tcPr>
            <w:tcW w:w="595" w:type="dxa"/>
            <w:shd w:val="clear" w:color="auto" w:fill="FFFFFF" w:themeFill="background1"/>
            <w:vAlign w:val="center"/>
          </w:tcPr>
          <w:p w14:paraId="3964BDE8" w14:textId="77777777" w:rsidR="003823D9" w:rsidRPr="009C1418" w:rsidRDefault="003823D9" w:rsidP="003823D9">
            <w:pPr>
              <w:spacing w:after="0"/>
              <w:ind w:left="0" w:firstLine="0"/>
              <w:jc w:val="left"/>
              <w:rPr>
                <w:bCs/>
                <w:sz w:val="20"/>
              </w:rPr>
            </w:pPr>
            <w:r>
              <w:rPr>
                <w:bCs/>
                <w:sz w:val="20"/>
              </w:rPr>
              <w:t>2</w:t>
            </w:r>
          </w:p>
        </w:tc>
        <w:tc>
          <w:tcPr>
            <w:tcW w:w="4929" w:type="dxa"/>
            <w:shd w:val="clear" w:color="auto" w:fill="FFFFFF" w:themeFill="background1"/>
            <w:vAlign w:val="center"/>
          </w:tcPr>
          <w:p w14:paraId="68D64E76" w14:textId="77777777" w:rsidR="003823D9" w:rsidRPr="00E228E6" w:rsidRDefault="003823D9" w:rsidP="003823D9">
            <w:pPr>
              <w:spacing w:after="0"/>
              <w:jc w:val="left"/>
              <w:rPr>
                <w:bCs/>
                <w:sz w:val="20"/>
              </w:rPr>
            </w:pPr>
            <w:r>
              <w:rPr>
                <w:bCs/>
                <w:sz w:val="20"/>
              </w:rPr>
              <w:t>Ambiance sonore</w:t>
            </w:r>
          </w:p>
        </w:tc>
        <w:tc>
          <w:tcPr>
            <w:tcW w:w="850" w:type="dxa"/>
            <w:vAlign w:val="center"/>
          </w:tcPr>
          <w:p w14:paraId="7F4C1034" w14:textId="77777777" w:rsidR="003823D9" w:rsidRPr="009C1418" w:rsidRDefault="003823D9" w:rsidP="003823D9">
            <w:pPr>
              <w:spacing w:after="0"/>
              <w:ind w:left="0" w:firstLine="0"/>
              <w:jc w:val="left"/>
              <w:rPr>
                <w:bCs/>
                <w:sz w:val="20"/>
              </w:rPr>
            </w:pPr>
          </w:p>
        </w:tc>
        <w:tc>
          <w:tcPr>
            <w:tcW w:w="992" w:type="dxa"/>
            <w:vAlign w:val="center"/>
          </w:tcPr>
          <w:p w14:paraId="1FB08B15" w14:textId="05C55B4B" w:rsidR="003823D9" w:rsidRPr="009C1418" w:rsidRDefault="003823D9" w:rsidP="003823D9">
            <w:pPr>
              <w:spacing w:after="0"/>
              <w:ind w:left="0" w:firstLine="0"/>
              <w:jc w:val="left"/>
              <w:rPr>
                <w:bCs/>
                <w:sz w:val="20"/>
              </w:rPr>
            </w:pPr>
          </w:p>
        </w:tc>
        <w:tc>
          <w:tcPr>
            <w:tcW w:w="1418" w:type="dxa"/>
            <w:vAlign w:val="center"/>
          </w:tcPr>
          <w:p w14:paraId="52D455A2" w14:textId="77777777" w:rsidR="003823D9" w:rsidRPr="009C1418" w:rsidRDefault="003823D9" w:rsidP="003823D9">
            <w:pPr>
              <w:spacing w:after="0"/>
              <w:ind w:left="0" w:firstLine="0"/>
              <w:jc w:val="left"/>
              <w:rPr>
                <w:bCs/>
                <w:sz w:val="20"/>
              </w:rPr>
            </w:pPr>
          </w:p>
        </w:tc>
      </w:tr>
      <w:tr w:rsidR="003823D9" w:rsidRPr="009C1418" w14:paraId="787D565F" w14:textId="77777777" w:rsidTr="007551A4">
        <w:tc>
          <w:tcPr>
            <w:tcW w:w="595" w:type="dxa"/>
            <w:shd w:val="clear" w:color="auto" w:fill="FFFFFF" w:themeFill="background1"/>
            <w:vAlign w:val="center"/>
          </w:tcPr>
          <w:p w14:paraId="2FAB02AF" w14:textId="77777777" w:rsidR="003823D9" w:rsidRPr="00E228E6" w:rsidRDefault="003823D9" w:rsidP="003823D9">
            <w:pPr>
              <w:spacing w:after="0"/>
              <w:ind w:left="0" w:firstLine="0"/>
              <w:jc w:val="left"/>
              <w:rPr>
                <w:sz w:val="20"/>
              </w:rPr>
            </w:pPr>
            <w:r w:rsidRPr="00E228E6">
              <w:rPr>
                <w:sz w:val="20"/>
              </w:rPr>
              <w:t>2.1</w:t>
            </w:r>
          </w:p>
        </w:tc>
        <w:tc>
          <w:tcPr>
            <w:tcW w:w="4929" w:type="dxa"/>
            <w:shd w:val="clear" w:color="auto" w:fill="FFFFFF" w:themeFill="background1"/>
            <w:vAlign w:val="center"/>
          </w:tcPr>
          <w:p w14:paraId="4E92B570" w14:textId="77777777" w:rsidR="003823D9" w:rsidRDefault="003823D9" w:rsidP="003823D9">
            <w:pPr>
              <w:spacing w:after="0"/>
              <w:ind w:left="578" w:hanging="578"/>
              <w:jc w:val="left"/>
              <w:rPr>
                <w:rFonts w:cs="Arial"/>
                <w:sz w:val="20"/>
              </w:rPr>
            </w:pPr>
            <w:r w:rsidRPr="00E228E6">
              <w:rPr>
                <w:rFonts w:cs="Arial"/>
                <w:sz w:val="20"/>
              </w:rPr>
              <w:t>Vérification et réglage régulier des moteurs des véhicules et des engins</w:t>
            </w:r>
          </w:p>
          <w:p w14:paraId="6D475690" w14:textId="77777777" w:rsidR="003823D9" w:rsidRPr="00E228E6" w:rsidRDefault="003823D9" w:rsidP="003823D9">
            <w:pPr>
              <w:jc w:val="left"/>
              <w:rPr>
                <w:rFonts w:cs="Arial"/>
                <w:sz w:val="20"/>
              </w:rPr>
            </w:pPr>
            <w:r w:rsidRPr="00E228E6">
              <w:rPr>
                <w:rFonts w:cs="Arial"/>
                <w:sz w:val="20"/>
              </w:rPr>
              <w:t>Eviter les travaux de nuit et informer la population au cas</w:t>
            </w:r>
          </w:p>
        </w:tc>
        <w:tc>
          <w:tcPr>
            <w:tcW w:w="850" w:type="dxa"/>
            <w:vAlign w:val="center"/>
          </w:tcPr>
          <w:p w14:paraId="10D5EA3A" w14:textId="6063E65D" w:rsidR="003823D9" w:rsidRPr="009C1418" w:rsidRDefault="003823D9" w:rsidP="003823D9">
            <w:pPr>
              <w:spacing w:after="0"/>
              <w:ind w:left="0" w:firstLine="0"/>
              <w:jc w:val="left"/>
              <w:rPr>
                <w:bCs/>
                <w:sz w:val="20"/>
              </w:rPr>
            </w:pPr>
            <w:proofErr w:type="spellStart"/>
            <w:r>
              <w:rPr>
                <w:bCs/>
                <w:sz w:val="20"/>
              </w:rPr>
              <w:t>ff</w:t>
            </w:r>
            <w:proofErr w:type="spellEnd"/>
          </w:p>
        </w:tc>
        <w:tc>
          <w:tcPr>
            <w:tcW w:w="992" w:type="dxa"/>
            <w:vAlign w:val="center"/>
          </w:tcPr>
          <w:p w14:paraId="60095207" w14:textId="2416916E" w:rsidR="003823D9" w:rsidRPr="009C1418" w:rsidRDefault="003823D9" w:rsidP="003823D9">
            <w:pPr>
              <w:spacing w:after="0"/>
              <w:ind w:left="0" w:firstLine="0"/>
              <w:jc w:val="left"/>
              <w:rPr>
                <w:bCs/>
                <w:sz w:val="20"/>
              </w:rPr>
            </w:pPr>
          </w:p>
        </w:tc>
        <w:tc>
          <w:tcPr>
            <w:tcW w:w="1418" w:type="dxa"/>
            <w:vAlign w:val="center"/>
          </w:tcPr>
          <w:p w14:paraId="609CBFF7" w14:textId="77777777" w:rsidR="003823D9" w:rsidRPr="009C1418" w:rsidRDefault="003823D9" w:rsidP="003823D9">
            <w:pPr>
              <w:spacing w:after="0"/>
              <w:ind w:left="0" w:firstLine="0"/>
              <w:jc w:val="left"/>
              <w:rPr>
                <w:bCs/>
                <w:sz w:val="20"/>
              </w:rPr>
            </w:pPr>
          </w:p>
        </w:tc>
      </w:tr>
      <w:tr w:rsidR="003823D9" w:rsidRPr="009C1418" w14:paraId="2FFC3248" w14:textId="77777777" w:rsidTr="007551A4">
        <w:tc>
          <w:tcPr>
            <w:tcW w:w="595" w:type="dxa"/>
            <w:shd w:val="clear" w:color="auto" w:fill="FFFFFF" w:themeFill="background1"/>
            <w:vAlign w:val="center"/>
          </w:tcPr>
          <w:p w14:paraId="7B676D13" w14:textId="77777777" w:rsidR="003823D9" w:rsidRPr="003E6023" w:rsidRDefault="003823D9" w:rsidP="003823D9">
            <w:pPr>
              <w:spacing w:after="0"/>
              <w:ind w:left="0" w:firstLine="0"/>
              <w:jc w:val="left"/>
              <w:rPr>
                <w:bCs/>
                <w:sz w:val="20"/>
              </w:rPr>
            </w:pPr>
            <w:r w:rsidRPr="003E6023">
              <w:rPr>
                <w:bCs/>
                <w:sz w:val="20"/>
              </w:rPr>
              <w:t>3</w:t>
            </w:r>
          </w:p>
        </w:tc>
        <w:tc>
          <w:tcPr>
            <w:tcW w:w="4929" w:type="dxa"/>
            <w:shd w:val="clear" w:color="auto" w:fill="FFFFFF" w:themeFill="background1"/>
            <w:vAlign w:val="center"/>
          </w:tcPr>
          <w:p w14:paraId="49D067C4" w14:textId="77777777" w:rsidR="003823D9" w:rsidRPr="003E6023" w:rsidRDefault="003823D9" w:rsidP="003823D9">
            <w:pPr>
              <w:spacing w:after="0"/>
              <w:ind w:left="578" w:hanging="578"/>
              <w:jc w:val="left"/>
              <w:rPr>
                <w:rFonts w:cs="Arial"/>
                <w:bCs/>
                <w:sz w:val="20"/>
              </w:rPr>
            </w:pPr>
            <w:r w:rsidRPr="003E6023">
              <w:rPr>
                <w:bCs/>
                <w:sz w:val="20"/>
              </w:rPr>
              <w:t>Sols</w:t>
            </w:r>
          </w:p>
        </w:tc>
        <w:tc>
          <w:tcPr>
            <w:tcW w:w="850" w:type="dxa"/>
            <w:vAlign w:val="center"/>
          </w:tcPr>
          <w:p w14:paraId="5BA96CB1" w14:textId="77777777" w:rsidR="003823D9" w:rsidRPr="009C1418" w:rsidRDefault="003823D9" w:rsidP="003823D9">
            <w:pPr>
              <w:spacing w:after="0"/>
              <w:ind w:left="0" w:firstLine="0"/>
              <w:jc w:val="left"/>
              <w:rPr>
                <w:bCs/>
                <w:sz w:val="20"/>
              </w:rPr>
            </w:pPr>
          </w:p>
        </w:tc>
        <w:tc>
          <w:tcPr>
            <w:tcW w:w="992" w:type="dxa"/>
            <w:vAlign w:val="center"/>
          </w:tcPr>
          <w:p w14:paraId="17C8BC0A" w14:textId="79876E8F" w:rsidR="003823D9" w:rsidRPr="009C1418" w:rsidRDefault="003823D9" w:rsidP="003823D9">
            <w:pPr>
              <w:spacing w:after="0"/>
              <w:ind w:left="0" w:firstLine="0"/>
              <w:jc w:val="left"/>
              <w:rPr>
                <w:bCs/>
                <w:sz w:val="20"/>
              </w:rPr>
            </w:pPr>
          </w:p>
        </w:tc>
        <w:tc>
          <w:tcPr>
            <w:tcW w:w="1418" w:type="dxa"/>
            <w:vAlign w:val="center"/>
          </w:tcPr>
          <w:p w14:paraId="0AE28B07" w14:textId="77777777" w:rsidR="003823D9" w:rsidRPr="009C1418" w:rsidRDefault="003823D9" w:rsidP="003823D9">
            <w:pPr>
              <w:spacing w:after="0"/>
              <w:ind w:left="0" w:firstLine="0"/>
              <w:jc w:val="left"/>
              <w:rPr>
                <w:bCs/>
                <w:sz w:val="20"/>
              </w:rPr>
            </w:pPr>
          </w:p>
        </w:tc>
      </w:tr>
      <w:tr w:rsidR="003823D9" w:rsidRPr="009C1418" w14:paraId="1ECBE643" w14:textId="77777777" w:rsidTr="007551A4">
        <w:trPr>
          <w:trHeight w:val="513"/>
        </w:trPr>
        <w:tc>
          <w:tcPr>
            <w:tcW w:w="595" w:type="dxa"/>
            <w:shd w:val="clear" w:color="auto" w:fill="FFFFFF" w:themeFill="background1"/>
            <w:vAlign w:val="center"/>
          </w:tcPr>
          <w:p w14:paraId="7921CA78" w14:textId="77777777" w:rsidR="003823D9" w:rsidRPr="00E228E6" w:rsidRDefault="003823D9" w:rsidP="003823D9">
            <w:pPr>
              <w:spacing w:after="0"/>
              <w:ind w:left="578" w:hanging="578"/>
              <w:jc w:val="left"/>
              <w:rPr>
                <w:rFonts w:cs="Arial"/>
                <w:sz w:val="20"/>
              </w:rPr>
            </w:pPr>
            <w:r w:rsidRPr="00E228E6">
              <w:rPr>
                <w:rFonts w:cs="Arial"/>
                <w:sz w:val="20"/>
              </w:rPr>
              <w:t>3.1</w:t>
            </w:r>
          </w:p>
        </w:tc>
        <w:tc>
          <w:tcPr>
            <w:tcW w:w="4929" w:type="dxa"/>
            <w:shd w:val="clear" w:color="auto" w:fill="FFFFFF" w:themeFill="background1"/>
            <w:vAlign w:val="center"/>
          </w:tcPr>
          <w:p w14:paraId="20616764" w14:textId="5912098B" w:rsidR="00234B5D" w:rsidRPr="00E228E6" w:rsidRDefault="003823D9" w:rsidP="00234B5D">
            <w:pPr>
              <w:spacing w:after="0"/>
              <w:ind w:left="578" w:hanging="578"/>
              <w:jc w:val="left"/>
              <w:rPr>
                <w:rFonts w:cs="Arial"/>
                <w:sz w:val="20"/>
              </w:rPr>
            </w:pPr>
            <w:r w:rsidRPr="00E228E6">
              <w:rPr>
                <w:rFonts w:cs="Arial"/>
                <w:sz w:val="20"/>
              </w:rPr>
              <w:t>Gestion des déchets solides, effluents liquides et huiles usées</w:t>
            </w:r>
            <w:r w:rsidR="00234B5D">
              <w:rPr>
                <w:rFonts w:cs="Arial"/>
                <w:sz w:val="20"/>
              </w:rPr>
              <w:t xml:space="preserve"> (</w:t>
            </w:r>
            <w:r w:rsidR="00234B5D" w:rsidRPr="005B0E5B">
              <w:rPr>
                <w:rFonts w:cs="Arial"/>
                <w:sz w:val="20"/>
              </w:rPr>
              <w:t>Couverture et imperméab</w:t>
            </w:r>
            <w:r w:rsidR="00234B5D">
              <w:rPr>
                <w:rFonts w:cs="Arial"/>
                <w:sz w:val="20"/>
              </w:rPr>
              <w:t xml:space="preserve">ilisation des aires de stockage, </w:t>
            </w:r>
            <w:r w:rsidR="00234B5D" w:rsidRPr="005B0E5B">
              <w:rPr>
                <w:rFonts w:cs="Arial"/>
                <w:sz w:val="20"/>
              </w:rPr>
              <w:t>Mise à dispos</w:t>
            </w:r>
            <w:r w:rsidR="00234B5D">
              <w:rPr>
                <w:rFonts w:cs="Arial"/>
                <w:sz w:val="20"/>
              </w:rPr>
              <w:t xml:space="preserve">ition de réceptacles de déchets, </w:t>
            </w:r>
            <w:r w:rsidR="00234B5D" w:rsidRPr="005B0E5B">
              <w:rPr>
                <w:rFonts w:cs="Arial"/>
                <w:sz w:val="20"/>
              </w:rPr>
              <w:t>Aménagement d’aires de</w:t>
            </w:r>
            <w:r w:rsidR="00234B5D">
              <w:rPr>
                <w:rFonts w:cs="Arial"/>
                <w:sz w:val="20"/>
              </w:rPr>
              <w:t xml:space="preserve"> lavage et d’entretien d’engins, </w:t>
            </w:r>
            <w:r w:rsidR="00234B5D" w:rsidRPr="005B0E5B">
              <w:rPr>
                <w:rFonts w:cs="Arial"/>
                <w:sz w:val="20"/>
              </w:rPr>
              <w:t>Acquisition de fûts de stockage des huiles usées</w:t>
            </w:r>
            <w:r w:rsidR="00234B5D">
              <w:rPr>
                <w:rFonts w:cs="Arial"/>
                <w:sz w:val="20"/>
              </w:rPr>
              <w:t>)</w:t>
            </w:r>
          </w:p>
        </w:tc>
        <w:tc>
          <w:tcPr>
            <w:tcW w:w="850" w:type="dxa"/>
            <w:vAlign w:val="center"/>
          </w:tcPr>
          <w:p w14:paraId="743C01E6" w14:textId="272D8D43" w:rsidR="003823D9" w:rsidRPr="009C1418" w:rsidRDefault="003823D9" w:rsidP="003823D9">
            <w:pPr>
              <w:spacing w:after="0"/>
              <w:ind w:left="0" w:firstLine="0"/>
              <w:jc w:val="left"/>
              <w:rPr>
                <w:bCs/>
                <w:sz w:val="20"/>
              </w:rPr>
            </w:pPr>
            <w:proofErr w:type="spellStart"/>
            <w:r>
              <w:rPr>
                <w:bCs/>
                <w:sz w:val="20"/>
              </w:rPr>
              <w:t>ff</w:t>
            </w:r>
            <w:proofErr w:type="spellEnd"/>
          </w:p>
        </w:tc>
        <w:tc>
          <w:tcPr>
            <w:tcW w:w="992" w:type="dxa"/>
            <w:vAlign w:val="center"/>
          </w:tcPr>
          <w:p w14:paraId="7CEDF46D" w14:textId="0DBBAF2D" w:rsidR="003823D9" w:rsidRPr="009C1418" w:rsidRDefault="003823D9" w:rsidP="003823D9">
            <w:pPr>
              <w:spacing w:after="0"/>
              <w:ind w:left="0" w:firstLine="0"/>
              <w:jc w:val="left"/>
              <w:rPr>
                <w:bCs/>
                <w:sz w:val="20"/>
              </w:rPr>
            </w:pPr>
          </w:p>
        </w:tc>
        <w:tc>
          <w:tcPr>
            <w:tcW w:w="1418" w:type="dxa"/>
            <w:vAlign w:val="center"/>
          </w:tcPr>
          <w:p w14:paraId="4FC6F5AE" w14:textId="77777777" w:rsidR="003823D9" w:rsidRPr="009C1418" w:rsidRDefault="003823D9" w:rsidP="003823D9">
            <w:pPr>
              <w:spacing w:after="0"/>
              <w:ind w:left="0" w:firstLine="0"/>
              <w:jc w:val="left"/>
              <w:rPr>
                <w:bCs/>
                <w:sz w:val="20"/>
              </w:rPr>
            </w:pPr>
          </w:p>
        </w:tc>
      </w:tr>
      <w:tr w:rsidR="003823D9" w:rsidRPr="009C1418" w14:paraId="6C427778" w14:textId="77777777" w:rsidTr="007551A4">
        <w:tc>
          <w:tcPr>
            <w:tcW w:w="595" w:type="dxa"/>
            <w:shd w:val="clear" w:color="auto" w:fill="FFFFFF" w:themeFill="background1"/>
            <w:vAlign w:val="center"/>
          </w:tcPr>
          <w:p w14:paraId="0F4D47D9" w14:textId="77777777" w:rsidR="003823D9" w:rsidRPr="00E228E6" w:rsidRDefault="003823D9" w:rsidP="003823D9">
            <w:pPr>
              <w:spacing w:after="0"/>
              <w:ind w:left="578" w:hanging="578"/>
              <w:jc w:val="left"/>
              <w:rPr>
                <w:rFonts w:cs="Arial"/>
                <w:sz w:val="20"/>
              </w:rPr>
            </w:pPr>
            <w:r w:rsidRPr="00E228E6">
              <w:rPr>
                <w:rFonts w:cs="Arial"/>
                <w:sz w:val="20"/>
              </w:rPr>
              <w:t>3.2</w:t>
            </w:r>
          </w:p>
        </w:tc>
        <w:tc>
          <w:tcPr>
            <w:tcW w:w="4929" w:type="dxa"/>
            <w:shd w:val="clear" w:color="auto" w:fill="FFFFFF" w:themeFill="background1"/>
            <w:vAlign w:val="center"/>
          </w:tcPr>
          <w:p w14:paraId="22CA0974" w14:textId="77777777" w:rsidR="003823D9" w:rsidRPr="00E228E6" w:rsidRDefault="003823D9" w:rsidP="003823D9">
            <w:pPr>
              <w:spacing w:after="0"/>
              <w:ind w:left="578" w:hanging="578"/>
              <w:jc w:val="left"/>
              <w:rPr>
                <w:rFonts w:cs="Arial"/>
                <w:sz w:val="20"/>
              </w:rPr>
            </w:pPr>
            <w:r w:rsidRPr="00E228E6">
              <w:rPr>
                <w:rFonts w:cs="Arial"/>
                <w:sz w:val="20"/>
              </w:rPr>
              <w:t>Transformation des emprunts en point d’eau</w:t>
            </w:r>
          </w:p>
        </w:tc>
        <w:tc>
          <w:tcPr>
            <w:tcW w:w="850" w:type="dxa"/>
            <w:vAlign w:val="center"/>
          </w:tcPr>
          <w:p w14:paraId="5436FBE1" w14:textId="6D2515E2" w:rsidR="003823D9" w:rsidRPr="009C1418" w:rsidRDefault="003823D9" w:rsidP="003823D9">
            <w:pPr>
              <w:spacing w:after="0"/>
              <w:ind w:left="0" w:firstLine="0"/>
              <w:jc w:val="left"/>
              <w:rPr>
                <w:bCs/>
                <w:sz w:val="20"/>
              </w:rPr>
            </w:pPr>
            <w:r>
              <w:rPr>
                <w:bCs/>
                <w:sz w:val="20"/>
              </w:rPr>
              <w:t>u</w:t>
            </w:r>
          </w:p>
        </w:tc>
        <w:tc>
          <w:tcPr>
            <w:tcW w:w="992" w:type="dxa"/>
            <w:vAlign w:val="center"/>
          </w:tcPr>
          <w:p w14:paraId="5343B4C5" w14:textId="3D21C95E" w:rsidR="003823D9" w:rsidRPr="009C1418" w:rsidRDefault="003823D9" w:rsidP="003823D9">
            <w:pPr>
              <w:spacing w:after="0"/>
              <w:ind w:left="0" w:firstLine="0"/>
              <w:jc w:val="left"/>
              <w:rPr>
                <w:bCs/>
                <w:sz w:val="20"/>
              </w:rPr>
            </w:pPr>
          </w:p>
        </w:tc>
        <w:tc>
          <w:tcPr>
            <w:tcW w:w="1418" w:type="dxa"/>
            <w:vAlign w:val="center"/>
          </w:tcPr>
          <w:p w14:paraId="677AC773" w14:textId="77777777" w:rsidR="003823D9" w:rsidRPr="009C1418" w:rsidRDefault="003823D9" w:rsidP="003823D9">
            <w:pPr>
              <w:spacing w:after="0"/>
              <w:ind w:left="0" w:firstLine="0"/>
              <w:jc w:val="left"/>
              <w:rPr>
                <w:bCs/>
                <w:sz w:val="20"/>
              </w:rPr>
            </w:pPr>
          </w:p>
        </w:tc>
      </w:tr>
      <w:tr w:rsidR="003823D9" w:rsidRPr="009C1418" w14:paraId="0A4624D3" w14:textId="77777777" w:rsidTr="007551A4">
        <w:tc>
          <w:tcPr>
            <w:tcW w:w="595" w:type="dxa"/>
            <w:shd w:val="clear" w:color="auto" w:fill="FFFFFF" w:themeFill="background1"/>
            <w:vAlign w:val="center"/>
          </w:tcPr>
          <w:p w14:paraId="4CEE17A0" w14:textId="77777777" w:rsidR="003823D9" w:rsidRPr="003E6023" w:rsidRDefault="003823D9" w:rsidP="003823D9">
            <w:pPr>
              <w:spacing w:after="0"/>
              <w:ind w:left="0" w:firstLine="0"/>
              <w:jc w:val="left"/>
              <w:rPr>
                <w:bCs/>
                <w:sz w:val="20"/>
              </w:rPr>
            </w:pPr>
            <w:r w:rsidRPr="003E6023">
              <w:rPr>
                <w:bCs/>
                <w:sz w:val="20"/>
              </w:rPr>
              <w:t>4</w:t>
            </w:r>
          </w:p>
        </w:tc>
        <w:tc>
          <w:tcPr>
            <w:tcW w:w="4929" w:type="dxa"/>
            <w:shd w:val="clear" w:color="auto" w:fill="FFFFFF" w:themeFill="background1"/>
            <w:vAlign w:val="center"/>
          </w:tcPr>
          <w:p w14:paraId="650D37A7" w14:textId="77777777" w:rsidR="003823D9" w:rsidRPr="003E6023" w:rsidRDefault="003823D9" w:rsidP="003823D9">
            <w:pPr>
              <w:spacing w:after="0"/>
              <w:ind w:left="578" w:hanging="578"/>
              <w:jc w:val="left"/>
              <w:rPr>
                <w:rFonts w:cs="Arial"/>
                <w:bCs/>
                <w:sz w:val="20"/>
              </w:rPr>
            </w:pPr>
            <w:r w:rsidRPr="003E6023">
              <w:rPr>
                <w:bCs/>
                <w:sz w:val="20"/>
              </w:rPr>
              <w:t>Ressources en eau</w:t>
            </w:r>
          </w:p>
        </w:tc>
        <w:tc>
          <w:tcPr>
            <w:tcW w:w="850" w:type="dxa"/>
            <w:vAlign w:val="center"/>
          </w:tcPr>
          <w:p w14:paraId="62EABE75" w14:textId="77777777" w:rsidR="003823D9" w:rsidRPr="009C1418" w:rsidRDefault="003823D9" w:rsidP="003823D9">
            <w:pPr>
              <w:spacing w:after="0"/>
              <w:ind w:left="0" w:firstLine="0"/>
              <w:jc w:val="left"/>
              <w:rPr>
                <w:bCs/>
                <w:sz w:val="20"/>
              </w:rPr>
            </w:pPr>
          </w:p>
        </w:tc>
        <w:tc>
          <w:tcPr>
            <w:tcW w:w="992" w:type="dxa"/>
            <w:vAlign w:val="center"/>
          </w:tcPr>
          <w:p w14:paraId="644975F2" w14:textId="5C69D3AF" w:rsidR="003823D9" w:rsidRPr="009C1418" w:rsidRDefault="003823D9" w:rsidP="003823D9">
            <w:pPr>
              <w:spacing w:after="0"/>
              <w:ind w:left="0" w:firstLine="0"/>
              <w:jc w:val="left"/>
              <w:rPr>
                <w:bCs/>
                <w:sz w:val="20"/>
              </w:rPr>
            </w:pPr>
          </w:p>
        </w:tc>
        <w:tc>
          <w:tcPr>
            <w:tcW w:w="1418" w:type="dxa"/>
            <w:vAlign w:val="center"/>
          </w:tcPr>
          <w:p w14:paraId="713E9E27" w14:textId="77777777" w:rsidR="003823D9" w:rsidRPr="009C1418" w:rsidRDefault="003823D9" w:rsidP="003823D9">
            <w:pPr>
              <w:spacing w:after="0"/>
              <w:ind w:left="0" w:firstLine="0"/>
              <w:jc w:val="left"/>
              <w:rPr>
                <w:bCs/>
                <w:sz w:val="20"/>
              </w:rPr>
            </w:pPr>
          </w:p>
        </w:tc>
      </w:tr>
      <w:tr w:rsidR="003823D9" w:rsidRPr="009C1418" w14:paraId="3FBAC5BB" w14:textId="77777777" w:rsidTr="007551A4">
        <w:tc>
          <w:tcPr>
            <w:tcW w:w="595" w:type="dxa"/>
            <w:shd w:val="clear" w:color="auto" w:fill="FFFFFF" w:themeFill="background1"/>
            <w:vAlign w:val="center"/>
          </w:tcPr>
          <w:p w14:paraId="3FFF606F" w14:textId="77777777" w:rsidR="003823D9" w:rsidRPr="00E228E6" w:rsidRDefault="003823D9" w:rsidP="003823D9">
            <w:pPr>
              <w:spacing w:after="0"/>
              <w:ind w:left="0" w:firstLine="0"/>
              <w:jc w:val="left"/>
              <w:rPr>
                <w:sz w:val="20"/>
              </w:rPr>
            </w:pPr>
            <w:r>
              <w:rPr>
                <w:rFonts w:cs="Arial"/>
                <w:sz w:val="20"/>
              </w:rPr>
              <w:t>4</w:t>
            </w:r>
            <w:r w:rsidRPr="00E228E6">
              <w:rPr>
                <w:rFonts w:cs="Arial"/>
                <w:sz w:val="20"/>
              </w:rPr>
              <w:t>.1</w:t>
            </w:r>
          </w:p>
        </w:tc>
        <w:tc>
          <w:tcPr>
            <w:tcW w:w="4929" w:type="dxa"/>
            <w:shd w:val="clear" w:color="auto" w:fill="FFFFFF" w:themeFill="background1"/>
            <w:vAlign w:val="center"/>
          </w:tcPr>
          <w:p w14:paraId="43235B7D" w14:textId="77777777" w:rsidR="003823D9" w:rsidRPr="00E228E6" w:rsidRDefault="003823D9" w:rsidP="003823D9">
            <w:pPr>
              <w:spacing w:after="0"/>
              <w:ind w:left="578" w:hanging="578"/>
              <w:jc w:val="left"/>
              <w:rPr>
                <w:rFonts w:cs="Arial"/>
                <w:sz w:val="20"/>
              </w:rPr>
            </w:pPr>
            <w:r w:rsidRPr="00E228E6">
              <w:rPr>
                <w:rFonts w:cs="Arial"/>
                <w:sz w:val="20"/>
              </w:rPr>
              <w:t>Réalisation de forage équipés et aménagés (margelle, abreuvoir) pour les besoins complémentaires en eau de chantier</w:t>
            </w:r>
          </w:p>
        </w:tc>
        <w:tc>
          <w:tcPr>
            <w:tcW w:w="850" w:type="dxa"/>
            <w:vAlign w:val="center"/>
          </w:tcPr>
          <w:p w14:paraId="35B18232" w14:textId="2BDA3A4B" w:rsidR="003823D9" w:rsidRPr="009C1418" w:rsidRDefault="003823D9" w:rsidP="003823D9">
            <w:pPr>
              <w:spacing w:after="0"/>
              <w:ind w:left="0" w:firstLine="0"/>
              <w:jc w:val="left"/>
              <w:rPr>
                <w:bCs/>
                <w:sz w:val="20"/>
              </w:rPr>
            </w:pPr>
            <w:r>
              <w:rPr>
                <w:bCs/>
                <w:sz w:val="20"/>
              </w:rPr>
              <w:t>u</w:t>
            </w:r>
          </w:p>
        </w:tc>
        <w:tc>
          <w:tcPr>
            <w:tcW w:w="992" w:type="dxa"/>
            <w:vAlign w:val="center"/>
          </w:tcPr>
          <w:p w14:paraId="16CE0699" w14:textId="62997F32" w:rsidR="003823D9" w:rsidRPr="009C1418" w:rsidRDefault="003823D9" w:rsidP="003823D9">
            <w:pPr>
              <w:spacing w:after="0"/>
              <w:ind w:left="0" w:firstLine="0"/>
              <w:jc w:val="left"/>
              <w:rPr>
                <w:bCs/>
                <w:sz w:val="20"/>
              </w:rPr>
            </w:pPr>
          </w:p>
        </w:tc>
        <w:tc>
          <w:tcPr>
            <w:tcW w:w="1418" w:type="dxa"/>
            <w:vAlign w:val="center"/>
          </w:tcPr>
          <w:p w14:paraId="78DFE0AA" w14:textId="77777777" w:rsidR="003823D9" w:rsidRPr="009C1418" w:rsidRDefault="003823D9" w:rsidP="003823D9">
            <w:pPr>
              <w:spacing w:after="0"/>
              <w:ind w:left="0" w:firstLine="0"/>
              <w:jc w:val="left"/>
              <w:rPr>
                <w:bCs/>
                <w:sz w:val="20"/>
              </w:rPr>
            </w:pPr>
          </w:p>
        </w:tc>
      </w:tr>
      <w:tr w:rsidR="003823D9" w:rsidRPr="009C1418" w14:paraId="725FA7B4" w14:textId="77777777" w:rsidTr="007551A4">
        <w:tc>
          <w:tcPr>
            <w:tcW w:w="595" w:type="dxa"/>
            <w:shd w:val="clear" w:color="auto" w:fill="FFFFFF" w:themeFill="background1"/>
            <w:vAlign w:val="center"/>
          </w:tcPr>
          <w:p w14:paraId="7B406707" w14:textId="77777777" w:rsidR="003823D9" w:rsidRPr="00E228E6" w:rsidRDefault="003823D9" w:rsidP="003823D9">
            <w:pPr>
              <w:spacing w:after="0"/>
              <w:ind w:left="0" w:firstLine="0"/>
              <w:jc w:val="left"/>
              <w:rPr>
                <w:sz w:val="20"/>
              </w:rPr>
            </w:pPr>
            <w:r>
              <w:rPr>
                <w:sz w:val="20"/>
              </w:rPr>
              <w:t>5</w:t>
            </w:r>
          </w:p>
        </w:tc>
        <w:tc>
          <w:tcPr>
            <w:tcW w:w="4929" w:type="dxa"/>
            <w:shd w:val="clear" w:color="auto" w:fill="FFFFFF" w:themeFill="background1"/>
            <w:vAlign w:val="center"/>
          </w:tcPr>
          <w:p w14:paraId="70BD7E69" w14:textId="77777777" w:rsidR="003823D9" w:rsidRPr="00E228E6" w:rsidRDefault="003823D9" w:rsidP="003823D9">
            <w:pPr>
              <w:spacing w:after="0"/>
              <w:ind w:left="578" w:hanging="578"/>
              <w:jc w:val="left"/>
              <w:rPr>
                <w:rFonts w:cs="Arial"/>
                <w:sz w:val="20"/>
              </w:rPr>
            </w:pPr>
            <w:r>
              <w:rPr>
                <w:bCs/>
                <w:sz w:val="20"/>
              </w:rPr>
              <w:t>Flore</w:t>
            </w:r>
          </w:p>
        </w:tc>
        <w:tc>
          <w:tcPr>
            <w:tcW w:w="850" w:type="dxa"/>
            <w:vAlign w:val="center"/>
          </w:tcPr>
          <w:p w14:paraId="2B24932A" w14:textId="77777777" w:rsidR="003823D9" w:rsidRPr="009C1418" w:rsidRDefault="003823D9" w:rsidP="003823D9">
            <w:pPr>
              <w:spacing w:after="0"/>
              <w:ind w:left="0" w:firstLine="0"/>
              <w:jc w:val="left"/>
              <w:rPr>
                <w:bCs/>
                <w:sz w:val="20"/>
              </w:rPr>
            </w:pPr>
          </w:p>
        </w:tc>
        <w:tc>
          <w:tcPr>
            <w:tcW w:w="992" w:type="dxa"/>
            <w:vAlign w:val="center"/>
          </w:tcPr>
          <w:p w14:paraId="5B658C3F" w14:textId="75DC9A9E" w:rsidR="003823D9" w:rsidRPr="009C1418" w:rsidRDefault="003823D9" w:rsidP="003823D9">
            <w:pPr>
              <w:spacing w:after="0"/>
              <w:ind w:left="0" w:firstLine="0"/>
              <w:jc w:val="left"/>
              <w:rPr>
                <w:bCs/>
                <w:sz w:val="20"/>
              </w:rPr>
            </w:pPr>
          </w:p>
        </w:tc>
        <w:tc>
          <w:tcPr>
            <w:tcW w:w="1418" w:type="dxa"/>
            <w:vAlign w:val="center"/>
          </w:tcPr>
          <w:p w14:paraId="61C2345C" w14:textId="77777777" w:rsidR="003823D9" w:rsidRPr="009C1418" w:rsidRDefault="003823D9" w:rsidP="003823D9">
            <w:pPr>
              <w:spacing w:after="0"/>
              <w:ind w:left="0" w:firstLine="0"/>
              <w:jc w:val="left"/>
              <w:rPr>
                <w:bCs/>
                <w:sz w:val="20"/>
              </w:rPr>
            </w:pPr>
          </w:p>
        </w:tc>
      </w:tr>
      <w:tr w:rsidR="003823D9" w:rsidRPr="009C1418" w14:paraId="50EDB183" w14:textId="77777777" w:rsidTr="007551A4">
        <w:tc>
          <w:tcPr>
            <w:tcW w:w="595" w:type="dxa"/>
            <w:shd w:val="clear" w:color="auto" w:fill="FFFFFF" w:themeFill="background1"/>
            <w:vAlign w:val="center"/>
          </w:tcPr>
          <w:p w14:paraId="5AB18F03" w14:textId="77777777" w:rsidR="003823D9" w:rsidRPr="00E228E6" w:rsidRDefault="003823D9" w:rsidP="003823D9">
            <w:pPr>
              <w:spacing w:after="0"/>
              <w:ind w:left="0" w:firstLine="0"/>
              <w:jc w:val="left"/>
              <w:rPr>
                <w:sz w:val="20"/>
              </w:rPr>
            </w:pPr>
            <w:r>
              <w:rPr>
                <w:rFonts w:cs="Arial"/>
                <w:sz w:val="20"/>
              </w:rPr>
              <w:t>5</w:t>
            </w:r>
            <w:r w:rsidRPr="00E228E6">
              <w:rPr>
                <w:rFonts w:cs="Arial"/>
                <w:sz w:val="20"/>
              </w:rPr>
              <w:t>.1</w:t>
            </w:r>
          </w:p>
        </w:tc>
        <w:tc>
          <w:tcPr>
            <w:tcW w:w="4929" w:type="dxa"/>
            <w:shd w:val="clear" w:color="auto" w:fill="FFFFFF" w:themeFill="background1"/>
            <w:vAlign w:val="center"/>
          </w:tcPr>
          <w:p w14:paraId="68C85236" w14:textId="77777777" w:rsidR="003823D9" w:rsidRPr="00E228E6" w:rsidRDefault="003823D9" w:rsidP="003823D9">
            <w:pPr>
              <w:spacing w:after="0"/>
              <w:ind w:left="578" w:hanging="578"/>
              <w:jc w:val="left"/>
              <w:rPr>
                <w:rFonts w:cs="Arial"/>
                <w:sz w:val="20"/>
              </w:rPr>
            </w:pPr>
            <w:r w:rsidRPr="003E6023">
              <w:rPr>
                <w:rFonts w:cs="Arial"/>
                <w:sz w:val="20"/>
              </w:rPr>
              <w:t xml:space="preserve">Etalage de la terre végétale stockée en vue d’une </w:t>
            </w:r>
            <w:proofErr w:type="spellStart"/>
            <w:r w:rsidRPr="003E6023">
              <w:rPr>
                <w:rFonts w:cs="Arial"/>
                <w:sz w:val="20"/>
              </w:rPr>
              <w:t>revégétalisation</w:t>
            </w:r>
            <w:proofErr w:type="spellEnd"/>
            <w:r w:rsidRPr="003E6023">
              <w:rPr>
                <w:rFonts w:cs="Arial"/>
                <w:sz w:val="20"/>
              </w:rPr>
              <w:t xml:space="preserve"> des emprunts ayant une découverte </w:t>
            </w:r>
            <w:r w:rsidRPr="003E6023">
              <w:rPr>
                <w:rFonts w:cs="Arial"/>
                <w:sz w:val="20"/>
              </w:rPr>
              <w:lastRenderedPageBreak/>
              <w:t>de moins de 20 cm, après l’écrêtage des berges à une pente de 30%</w:t>
            </w:r>
          </w:p>
        </w:tc>
        <w:tc>
          <w:tcPr>
            <w:tcW w:w="850" w:type="dxa"/>
            <w:vAlign w:val="center"/>
          </w:tcPr>
          <w:p w14:paraId="53AAC4CF" w14:textId="562AB0C2" w:rsidR="003823D9" w:rsidRPr="009C1418" w:rsidRDefault="003823D9" w:rsidP="003823D9">
            <w:pPr>
              <w:spacing w:after="0"/>
              <w:ind w:left="0" w:firstLine="0"/>
              <w:jc w:val="left"/>
              <w:rPr>
                <w:bCs/>
                <w:sz w:val="20"/>
              </w:rPr>
            </w:pPr>
            <w:r>
              <w:rPr>
                <w:bCs/>
                <w:sz w:val="20"/>
              </w:rPr>
              <w:lastRenderedPageBreak/>
              <w:t>u</w:t>
            </w:r>
          </w:p>
        </w:tc>
        <w:tc>
          <w:tcPr>
            <w:tcW w:w="992" w:type="dxa"/>
            <w:vAlign w:val="center"/>
          </w:tcPr>
          <w:p w14:paraId="51EEDCB9" w14:textId="352E7E29" w:rsidR="003823D9" w:rsidRPr="009C1418" w:rsidRDefault="003823D9" w:rsidP="003823D9">
            <w:pPr>
              <w:spacing w:after="0"/>
              <w:ind w:left="0" w:firstLine="0"/>
              <w:jc w:val="left"/>
              <w:rPr>
                <w:bCs/>
                <w:sz w:val="20"/>
              </w:rPr>
            </w:pPr>
          </w:p>
        </w:tc>
        <w:tc>
          <w:tcPr>
            <w:tcW w:w="1418" w:type="dxa"/>
            <w:vAlign w:val="center"/>
          </w:tcPr>
          <w:p w14:paraId="53968809" w14:textId="77777777" w:rsidR="003823D9" w:rsidRPr="009C1418" w:rsidRDefault="003823D9" w:rsidP="003823D9">
            <w:pPr>
              <w:spacing w:after="0"/>
              <w:ind w:left="0" w:firstLine="0"/>
              <w:jc w:val="left"/>
              <w:rPr>
                <w:bCs/>
                <w:sz w:val="20"/>
              </w:rPr>
            </w:pPr>
          </w:p>
        </w:tc>
      </w:tr>
      <w:tr w:rsidR="003823D9" w:rsidRPr="009C1418" w14:paraId="059A82B7" w14:textId="77777777" w:rsidTr="007551A4">
        <w:tc>
          <w:tcPr>
            <w:tcW w:w="595" w:type="dxa"/>
            <w:shd w:val="clear" w:color="auto" w:fill="FFFFFF" w:themeFill="background1"/>
            <w:vAlign w:val="center"/>
          </w:tcPr>
          <w:p w14:paraId="49BFCC2D" w14:textId="77777777" w:rsidR="003823D9" w:rsidRPr="00E228E6" w:rsidRDefault="003823D9" w:rsidP="003823D9">
            <w:pPr>
              <w:spacing w:after="0"/>
              <w:ind w:left="0" w:firstLine="0"/>
              <w:jc w:val="left"/>
              <w:rPr>
                <w:sz w:val="20"/>
              </w:rPr>
            </w:pPr>
            <w:r>
              <w:rPr>
                <w:rFonts w:cs="Arial"/>
                <w:sz w:val="20"/>
              </w:rPr>
              <w:lastRenderedPageBreak/>
              <w:t>5</w:t>
            </w:r>
            <w:r w:rsidRPr="00E228E6">
              <w:rPr>
                <w:rFonts w:cs="Arial"/>
                <w:sz w:val="20"/>
              </w:rPr>
              <w:t>.</w:t>
            </w:r>
            <w:r>
              <w:rPr>
                <w:rFonts w:cs="Arial"/>
                <w:sz w:val="20"/>
              </w:rPr>
              <w:t>2</w:t>
            </w:r>
          </w:p>
        </w:tc>
        <w:tc>
          <w:tcPr>
            <w:tcW w:w="4929" w:type="dxa"/>
            <w:shd w:val="clear" w:color="auto" w:fill="FFFFFF" w:themeFill="background1"/>
            <w:vAlign w:val="center"/>
          </w:tcPr>
          <w:p w14:paraId="5E08AF2A" w14:textId="77777777" w:rsidR="003823D9" w:rsidRPr="00E228E6" w:rsidRDefault="003823D9" w:rsidP="003823D9">
            <w:pPr>
              <w:spacing w:after="0"/>
              <w:ind w:left="578" w:hanging="578"/>
              <w:jc w:val="left"/>
              <w:rPr>
                <w:rFonts w:cs="Arial"/>
                <w:sz w:val="20"/>
              </w:rPr>
            </w:pPr>
            <w:r w:rsidRPr="003E6023">
              <w:rPr>
                <w:rFonts w:cs="Arial"/>
                <w:sz w:val="20"/>
              </w:rPr>
              <w:t>Plantations d’alignement et de compensation</w:t>
            </w:r>
          </w:p>
        </w:tc>
        <w:tc>
          <w:tcPr>
            <w:tcW w:w="850" w:type="dxa"/>
            <w:vAlign w:val="center"/>
          </w:tcPr>
          <w:p w14:paraId="7CB23A5F" w14:textId="31D4F2CD" w:rsidR="003823D9" w:rsidRPr="009C1418" w:rsidRDefault="003823D9" w:rsidP="003823D9">
            <w:pPr>
              <w:spacing w:after="0"/>
              <w:ind w:left="0" w:firstLine="0"/>
              <w:jc w:val="left"/>
              <w:rPr>
                <w:bCs/>
                <w:sz w:val="20"/>
              </w:rPr>
            </w:pPr>
            <w:r>
              <w:rPr>
                <w:bCs/>
                <w:sz w:val="20"/>
              </w:rPr>
              <w:t>u</w:t>
            </w:r>
          </w:p>
        </w:tc>
        <w:tc>
          <w:tcPr>
            <w:tcW w:w="992" w:type="dxa"/>
            <w:vAlign w:val="center"/>
          </w:tcPr>
          <w:p w14:paraId="5FB542F3" w14:textId="594D11D7" w:rsidR="003823D9" w:rsidRPr="009C1418" w:rsidRDefault="003823D9" w:rsidP="003823D9">
            <w:pPr>
              <w:spacing w:after="0"/>
              <w:ind w:left="0" w:firstLine="0"/>
              <w:jc w:val="left"/>
              <w:rPr>
                <w:bCs/>
                <w:sz w:val="20"/>
              </w:rPr>
            </w:pPr>
          </w:p>
        </w:tc>
        <w:tc>
          <w:tcPr>
            <w:tcW w:w="1418" w:type="dxa"/>
            <w:vAlign w:val="center"/>
          </w:tcPr>
          <w:p w14:paraId="47D65C2A" w14:textId="77777777" w:rsidR="003823D9" w:rsidRPr="009C1418" w:rsidRDefault="003823D9" w:rsidP="003823D9">
            <w:pPr>
              <w:spacing w:after="0"/>
              <w:ind w:left="0" w:firstLine="0"/>
              <w:jc w:val="left"/>
              <w:rPr>
                <w:bCs/>
                <w:sz w:val="20"/>
              </w:rPr>
            </w:pPr>
          </w:p>
        </w:tc>
      </w:tr>
      <w:tr w:rsidR="003823D9" w:rsidRPr="009C1418" w14:paraId="326C63FC" w14:textId="77777777" w:rsidTr="007551A4">
        <w:tc>
          <w:tcPr>
            <w:tcW w:w="595" w:type="dxa"/>
            <w:shd w:val="clear" w:color="auto" w:fill="FFFFFF" w:themeFill="background1"/>
            <w:vAlign w:val="center"/>
          </w:tcPr>
          <w:p w14:paraId="13955696" w14:textId="77777777" w:rsidR="003823D9" w:rsidRPr="00E228E6" w:rsidRDefault="003823D9" w:rsidP="003823D9">
            <w:pPr>
              <w:spacing w:after="0"/>
              <w:ind w:left="0" w:firstLine="0"/>
              <w:jc w:val="left"/>
              <w:rPr>
                <w:sz w:val="20"/>
              </w:rPr>
            </w:pPr>
            <w:r>
              <w:rPr>
                <w:sz w:val="20"/>
              </w:rPr>
              <w:t>5</w:t>
            </w:r>
          </w:p>
        </w:tc>
        <w:tc>
          <w:tcPr>
            <w:tcW w:w="4929" w:type="dxa"/>
            <w:shd w:val="clear" w:color="auto" w:fill="FFFFFF" w:themeFill="background1"/>
            <w:vAlign w:val="center"/>
          </w:tcPr>
          <w:p w14:paraId="6327837E" w14:textId="77777777" w:rsidR="003823D9" w:rsidRPr="00E228E6" w:rsidRDefault="003823D9" w:rsidP="003823D9">
            <w:pPr>
              <w:spacing w:after="0"/>
              <w:ind w:left="578" w:hanging="578"/>
              <w:jc w:val="left"/>
              <w:rPr>
                <w:rFonts w:cs="Arial"/>
                <w:sz w:val="20"/>
              </w:rPr>
            </w:pPr>
            <w:r>
              <w:rPr>
                <w:bCs/>
                <w:sz w:val="20"/>
              </w:rPr>
              <w:t>Faune</w:t>
            </w:r>
          </w:p>
        </w:tc>
        <w:tc>
          <w:tcPr>
            <w:tcW w:w="850" w:type="dxa"/>
            <w:vAlign w:val="center"/>
          </w:tcPr>
          <w:p w14:paraId="400767A0" w14:textId="77777777" w:rsidR="003823D9" w:rsidRPr="009C1418" w:rsidRDefault="003823D9" w:rsidP="003823D9">
            <w:pPr>
              <w:spacing w:after="0"/>
              <w:ind w:left="0" w:firstLine="0"/>
              <w:jc w:val="left"/>
              <w:rPr>
                <w:bCs/>
                <w:sz w:val="20"/>
              </w:rPr>
            </w:pPr>
          </w:p>
        </w:tc>
        <w:tc>
          <w:tcPr>
            <w:tcW w:w="992" w:type="dxa"/>
            <w:vAlign w:val="center"/>
          </w:tcPr>
          <w:p w14:paraId="3B4E7730" w14:textId="5C764379" w:rsidR="003823D9" w:rsidRPr="009C1418" w:rsidRDefault="003823D9" w:rsidP="003823D9">
            <w:pPr>
              <w:spacing w:after="0"/>
              <w:ind w:left="0" w:firstLine="0"/>
              <w:jc w:val="left"/>
              <w:rPr>
                <w:bCs/>
                <w:sz w:val="20"/>
              </w:rPr>
            </w:pPr>
          </w:p>
        </w:tc>
        <w:tc>
          <w:tcPr>
            <w:tcW w:w="1418" w:type="dxa"/>
            <w:vAlign w:val="center"/>
          </w:tcPr>
          <w:p w14:paraId="4C3F45FA" w14:textId="77777777" w:rsidR="003823D9" w:rsidRPr="009C1418" w:rsidRDefault="003823D9" w:rsidP="003823D9">
            <w:pPr>
              <w:spacing w:after="0"/>
              <w:ind w:left="0" w:firstLine="0"/>
              <w:jc w:val="left"/>
              <w:rPr>
                <w:bCs/>
                <w:sz w:val="20"/>
              </w:rPr>
            </w:pPr>
          </w:p>
        </w:tc>
      </w:tr>
      <w:tr w:rsidR="003823D9" w:rsidRPr="009C1418" w14:paraId="5FE17622" w14:textId="77777777" w:rsidTr="007551A4">
        <w:tc>
          <w:tcPr>
            <w:tcW w:w="595" w:type="dxa"/>
            <w:shd w:val="clear" w:color="auto" w:fill="FFFFFF" w:themeFill="background1"/>
            <w:vAlign w:val="center"/>
          </w:tcPr>
          <w:p w14:paraId="03447E10" w14:textId="77777777" w:rsidR="003823D9" w:rsidRPr="009C1418" w:rsidRDefault="003823D9" w:rsidP="003823D9">
            <w:pPr>
              <w:spacing w:after="0"/>
              <w:ind w:left="0" w:firstLine="0"/>
              <w:jc w:val="left"/>
              <w:rPr>
                <w:bCs/>
                <w:sz w:val="20"/>
              </w:rPr>
            </w:pPr>
            <w:r>
              <w:rPr>
                <w:bCs/>
                <w:sz w:val="20"/>
              </w:rPr>
              <w:t>5.1</w:t>
            </w:r>
          </w:p>
        </w:tc>
        <w:tc>
          <w:tcPr>
            <w:tcW w:w="4929" w:type="dxa"/>
            <w:shd w:val="clear" w:color="auto" w:fill="FFFFFF" w:themeFill="background1"/>
            <w:vAlign w:val="center"/>
          </w:tcPr>
          <w:p w14:paraId="75A4D22C" w14:textId="77777777" w:rsidR="003823D9" w:rsidRPr="009C1418" w:rsidRDefault="003823D9" w:rsidP="003823D9">
            <w:pPr>
              <w:spacing w:after="0"/>
              <w:jc w:val="left"/>
              <w:rPr>
                <w:rFonts w:eastAsiaTheme="minorEastAsia"/>
                <w:sz w:val="20"/>
                <w:szCs w:val="22"/>
              </w:rPr>
            </w:pPr>
            <w:r w:rsidRPr="008867A6">
              <w:rPr>
                <w:sz w:val="20"/>
              </w:rPr>
              <w:t>Indemnisation des pertes d’animaux domestiques en cas de collision</w:t>
            </w:r>
          </w:p>
        </w:tc>
        <w:tc>
          <w:tcPr>
            <w:tcW w:w="850" w:type="dxa"/>
            <w:vAlign w:val="center"/>
          </w:tcPr>
          <w:p w14:paraId="066028A7" w14:textId="79F4F1ED" w:rsidR="003823D9" w:rsidRPr="009C1418" w:rsidRDefault="003823D9" w:rsidP="003823D9">
            <w:pPr>
              <w:spacing w:after="0"/>
              <w:ind w:left="0" w:firstLine="0"/>
              <w:jc w:val="left"/>
              <w:rPr>
                <w:bCs/>
                <w:sz w:val="20"/>
              </w:rPr>
            </w:pPr>
            <w:proofErr w:type="spellStart"/>
            <w:r>
              <w:rPr>
                <w:bCs/>
                <w:sz w:val="20"/>
              </w:rPr>
              <w:t>ff</w:t>
            </w:r>
            <w:proofErr w:type="spellEnd"/>
          </w:p>
        </w:tc>
        <w:tc>
          <w:tcPr>
            <w:tcW w:w="992" w:type="dxa"/>
            <w:vAlign w:val="center"/>
          </w:tcPr>
          <w:p w14:paraId="351D0CDC" w14:textId="771F49D3" w:rsidR="003823D9" w:rsidRPr="009C1418" w:rsidRDefault="003823D9" w:rsidP="003823D9">
            <w:pPr>
              <w:spacing w:after="0"/>
              <w:ind w:left="0" w:firstLine="0"/>
              <w:jc w:val="left"/>
              <w:rPr>
                <w:bCs/>
                <w:sz w:val="20"/>
              </w:rPr>
            </w:pPr>
          </w:p>
        </w:tc>
        <w:tc>
          <w:tcPr>
            <w:tcW w:w="1418" w:type="dxa"/>
            <w:vAlign w:val="center"/>
          </w:tcPr>
          <w:p w14:paraId="368322F9" w14:textId="77777777" w:rsidR="003823D9" w:rsidRPr="009C1418" w:rsidRDefault="003823D9" w:rsidP="003823D9">
            <w:pPr>
              <w:spacing w:after="0"/>
              <w:ind w:left="0" w:firstLine="0"/>
              <w:jc w:val="left"/>
              <w:rPr>
                <w:bCs/>
                <w:sz w:val="20"/>
              </w:rPr>
            </w:pPr>
          </w:p>
        </w:tc>
      </w:tr>
      <w:tr w:rsidR="003823D9" w:rsidRPr="009C1418" w14:paraId="36B0D12D" w14:textId="77777777" w:rsidTr="007551A4">
        <w:tc>
          <w:tcPr>
            <w:tcW w:w="595" w:type="dxa"/>
            <w:shd w:val="clear" w:color="auto" w:fill="FFFFFF" w:themeFill="background1"/>
            <w:vAlign w:val="center"/>
          </w:tcPr>
          <w:p w14:paraId="677DE1B9" w14:textId="77777777" w:rsidR="003823D9" w:rsidRDefault="003823D9" w:rsidP="003823D9">
            <w:pPr>
              <w:spacing w:after="0"/>
              <w:ind w:left="0" w:firstLine="0"/>
              <w:jc w:val="left"/>
              <w:rPr>
                <w:bCs/>
                <w:sz w:val="20"/>
              </w:rPr>
            </w:pPr>
            <w:r>
              <w:rPr>
                <w:bCs/>
                <w:sz w:val="20"/>
              </w:rPr>
              <w:t>6</w:t>
            </w:r>
          </w:p>
        </w:tc>
        <w:tc>
          <w:tcPr>
            <w:tcW w:w="4929" w:type="dxa"/>
            <w:shd w:val="clear" w:color="auto" w:fill="FFFFFF" w:themeFill="background1"/>
            <w:vAlign w:val="center"/>
          </w:tcPr>
          <w:p w14:paraId="63495B35" w14:textId="77777777" w:rsidR="003823D9" w:rsidRPr="008867A6" w:rsidRDefault="003823D9" w:rsidP="003823D9">
            <w:pPr>
              <w:spacing w:after="0"/>
              <w:jc w:val="left"/>
              <w:rPr>
                <w:sz w:val="20"/>
              </w:rPr>
            </w:pPr>
            <w:r>
              <w:rPr>
                <w:bCs/>
                <w:sz w:val="20"/>
              </w:rPr>
              <w:t>Santé – sécurité - hygiène</w:t>
            </w:r>
          </w:p>
        </w:tc>
        <w:tc>
          <w:tcPr>
            <w:tcW w:w="850" w:type="dxa"/>
            <w:vAlign w:val="center"/>
          </w:tcPr>
          <w:p w14:paraId="6ACBBBB2" w14:textId="77777777" w:rsidR="003823D9" w:rsidRPr="009C1418" w:rsidRDefault="003823D9" w:rsidP="003823D9">
            <w:pPr>
              <w:spacing w:after="0"/>
              <w:ind w:left="0" w:firstLine="0"/>
              <w:jc w:val="left"/>
              <w:rPr>
                <w:bCs/>
                <w:sz w:val="20"/>
              </w:rPr>
            </w:pPr>
          </w:p>
        </w:tc>
        <w:tc>
          <w:tcPr>
            <w:tcW w:w="992" w:type="dxa"/>
            <w:vAlign w:val="center"/>
          </w:tcPr>
          <w:p w14:paraId="0273DA0D" w14:textId="32045208" w:rsidR="003823D9" w:rsidRPr="009C1418" w:rsidRDefault="003823D9" w:rsidP="003823D9">
            <w:pPr>
              <w:spacing w:after="0"/>
              <w:ind w:left="0" w:firstLine="0"/>
              <w:jc w:val="left"/>
              <w:rPr>
                <w:bCs/>
                <w:sz w:val="20"/>
              </w:rPr>
            </w:pPr>
          </w:p>
        </w:tc>
        <w:tc>
          <w:tcPr>
            <w:tcW w:w="1418" w:type="dxa"/>
            <w:vAlign w:val="center"/>
          </w:tcPr>
          <w:p w14:paraId="3180D67A" w14:textId="77777777" w:rsidR="003823D9" w:rsidRPr="009C1418" w:rsidRDefault="003823D9" w:rsidP="003823D9">
            <w:pPr>
              <w:spacing w:after="0"/>
              <w:ind w:left="0" w:firstLine="0"/>
              <w:jc w:val="left"/>
              <w:rPr>
                <w:bCs/>
                <w:sz w:val="20"/>
              </w:rPr>
            </w:pPr>
          </w:p>
        </w:tc>
      </w:tr>
      <w:tr w:rsidR="003823D9" w:rsidRPr="009C1418" w14:paraId="634F6259" w14:textId="77777777" w:rsidTr="007551A4">
        <w:tc>
          <w:tcPr>
            <w:tcW w:w="595" w:type="dxa"/>
            <w:shd w:val="clear" w:color="auto" w:fill="FFFFFF" w:themeFill="background1"/>
            <w:vAlign w:val="center"/>
          </w:tcPr>
          <w:p w14:paraId="3855876F" w14:textId="77777777" w:rsidR="003823D9" w:rsidRDefault="003823D9" w:rsidP="003823D9">
            <w:pPr>
              <w:spacing w:after="0"/>
              <w:ind w:left="0" w:firstLine="0"/>
              <w:jc w:val="left"/>
              <w:rPr>
                <w:bCs/>
                <w:sz w:val="20"/>
              </w:rPr>
            </w:pPr>
            <w:r>
              <w:rPr>
                <w:bCs/>
                <w:sz w:val="20"/>
              </w:rPr>
              <w:t>6.1</w:t>
            </w:r>
          </w:p>
        </w:tc>
        <w:tc>
          <w:tcPr>
            <w:tcW w:w="4929" w:type="dxa"/>
            <w:shd w:val="clear" w:color="auto" w:fill="FFFFFF" w:themeFill="background1"/>
          </w:tcPr>
          <w:p w14:paraId="33AF1392" w14:textId="3AB145B6" w:rsidR="003823D9" w:rsidRDefault="003823D9" w:rsidP="003823D9">
            <w:pPr>
              <w:spacing w:after="0"/>
              <w:jc w:val="left"/>
              <w:rPr>
                <w:sz w:val="20"/>
              </w:rPr>
            </w:pPr>
            <w:r w:rsidRPr="00B025CC">
              <w:rPr>
                <w:sz w:val="20"/>
              </w:rPr>
              <w:t>Sensibili</w:t>
            </w:r>
            <w:r w:rsidR="002260EA">
              <w:rPr>
                <w:sz w:val="20"/>
              </w:rPr>
              <w:t xml:space="preserve">sation des ouvriers et des </w:t>
            </w:r>
            <w:proofErr w:type="spellStart"/>
            <w:r w:rsidR="002260EA">
              <w:rPr>
                <w:sz w:val="20"/>
              </w:rPr>
              <w:t>riverins</w:t>
            </w:r>
            <w:proofErr w:type="spellEnd"/>
          </w:p>
          <w:p w14:paraId="5E8EAA32" w14:textId="26B50618" w:rsidR="00470F7C" w:rsidRDefault="002260EA" w:rsidP="003823D9">
            <w:pPr>
              <w:spacing w:after="0"/>
              <w:jc w:val="left"/>
              <w:rPr>
                <w:sz w:val="20"/>
              </w:rPr>
            </w:pPr>
            <w:r>
              <w:rPr>
                <w:sz w:val="20"/>
              </w:rPr>
              <w:t xml:space="preserve">Ce prix </w:t>
            </w:r>
            <w:proofErr w:type="spellStart"/>
            <w:r>
              <w:rPr>
                <w:sz w:val="20"/>
              </w:rPr>
              <w:t>remunère</w:t>
            </w:r>
            <w:proofErr w:type="spellEnd"/>
            <w:r>
              <w:rPr>
                <w:sz w:val="20"/>
              </w:rPr>
              <w:t xml:space="preserve"> : </w:t>
            </w:r>
          </w:p>
          <w:p w14:paraId="3B25A98C" w14:textId="1B61BE13" w:rsidR="00470F7C" w:rsidRDefault="00470F7C" w:rsidP="002260EA">
            <w:pPr>
              <w:jc w:val="left"/>
              <w:rPr>
                <w:rFonts w:cs="Arial"/>
                <w:sz w:val="20"/>
              </w:rPr>
            </w:pPr>
            <w:r w:rsidRPr="005B0E5B">
              <w:rPr>
                <w:rFonts w:cs="Arial"/>
                <w:sz w:val="20"/>
              </w:rPr>
              <w:t xml:space="preserve">Sensibilisation des ouvriers à la protection de l’environnement </w:t>
            </w:r>
            <w:r>
              <w:rPr>
                <w:rFonts w:cs="Arial"/>
                <w:sz w:val="20"/>
              </w:rPr>
              <w:t xml:space="preserve"> (</w:t>
            </w:r>
            <w:r w:rsidRPr="005B0E5B">
              <w:rPr>
                <w:rFonts w:cs="Arial"/>
                <w:sz w:val="20"/>
              </w:rPr>
              <w:t xml:space="preserve">respect des us et </w:t>
            </w:r>
            <w:r>
              <w:rPr>
                <w:rFonts w:cs="Arial"/>
                <w:sz w:val="20"/>
              </w:rPr>
              <w:t xml:space="preserve">coutumes de la zone des travaux, </w:t>
            </w:r>
            <w:r w:rsidRPr="005B0E5B">
              <w:rPr>
                <w:rFonts w:cs="Arial"/>
                <w:sz w:val="20"/>
              </w:rPr>
              <w:t>Sensibilisation sur l’hy</w:t>
            </w:r>
            <w:r>
              <w:rPr>
                <w:rFonts w:cs="Arial"/>
                <w:sz w:val="20"/>
              </w:rPr>
              <w:t xml:space="preserve">giène et la sécurité au travail, </w:t>
            </w:r>
            <w:r w:rsidRPr="005B0E5B">
              <w:rPr>
                <w:rFonts w:cs="Arial"/>
                <w:sz w:val="20"/>
              </w:rPr>
              <w:t>Sensibilisation su</w:t>
            </w:r>
            <w:r>
              <w:rPr>
                <w:rFonts w:cs="Arial"/>
                <w:sz w:val="20"/>
              </w:rPr>
              <w:t xml:space="preserve">r les IST, VIH-SIDA et Covid-19, </w:t>
            </w:r>
            <w:r w:rsidRPr="005B0E5B">
              <w:rPr>
                <w:rFonts w:cs="Arial"/>
                <w:sz w:val="20"/>
              </w:rPr>
              <w:t>Mis</w:t>
            </w:r>
            <w:r>
              <w:rPr>
                <w:rFonts w:cs="Arial"/>
                <w:sz w:val="20"/>
              </w:rPr>
              <w:t xml:space="preserve">e à disposition de préservatifs, </w:t>
            </w:r>
            <w:r w:rsidRPr="005B0E5B">
              <w:rPr>
                <w:rFonts w:cs="Arial"/>
                <w:sz w:val="20"/>
              </w:rPr>
              <w:t>Mise à disposition de moustiquaires imprégnées</w:t>
            </w:r>
          </w:p>
          <w:p w14:paraId="4439903B" w14:textId="2EE628C4" w:rsidR="002260EA" w:rsidRPr="008867A6" w:rsidRDefault="002260EA" w:rsidP="00470F7C">
            <w:pPr>
              <w:jc w:val="left"/>
              <w:rPr>
                <w:sz w:val="20"/>
              </w:rPr>
            </w:pPr>
            <w:r w:rsidRPr="005B0E5B">
              <w:rPr>
                <w:rFonts w:cs="Arial"/>
                <w:sz w:val="20"/>
              </w:rPr>
              <w:t>Campagnes de communication et de sensibilisation des riverains</w:t>
            </w:r>
          </w:p>
        </w:tc>
        <w:tc>
          <w:tcPr>
            <w:tcW w:w="850" w:type="dxa"/>
            <w:vAlign w:val="center"/>
          </w:tcPr>
          <w:p w14:paraId="1FA0D963" w14:textId="03121187" w:rsidR="003823D9" w:rsidRPr="009C1418" w:rsidRDefault="003823D9" w:rsidP="003823D9">
            <w:pPr>
              <w:spacing w:after="0"/>
              <w:ind w:left="0" w:firstLine="0"/>
              <w:jc w:val="left"/>
              <w:rPr>
                <w:bCs/>
                <w:sz w:val="20"/>
              </w:rPr>
            </w:pPr>
            <w:proofErr w:type="spellStart"/>
            <w:r>
              <w:rPr>
                <w:bCs/>
                <w:sz w:val="20"/>
              </w:rPr>
              <w:t>ff</w:t>
            </w:r>
            <w:proofErr w:type="spellEnd"/>
          </w:p>
        </w:tc>
        <w:tc>
          <w:tcPr>
            <w:tcW w:w="992" w:type="dxa"/>
            <w:vAlign w:val="center"/>
          </w:tcPr>
          <w:p w14:paraId="0B95981C" w14:textId="24EC7DBF" w:rsidR="003823D9" w:rsidRPr="009C1418" w:rsidRDefault="003823D9" w:rsidP="003823D9">
            <w:pPr>
              <w:spacing w:after="0"/>
              <w:ind w:left="0" w:firstLine="0"/>
              <w:jc w:val="left"/>
              <w:rPr>
                <w:bCs/>
                <w:sz w:val="20"/>
              </w:rPr>
            </w:pPr>
          </w:p>
        </w:tc>
        <w:tc>
          <w:tcPr>
            <w:tcW w:w="1418" w:type="dxa"/>
            <w:vAlign w:val="center"/>
          </w:tcPr>
          <w:p w14:paraId="04F91961" w14:textId="77777777" w:rsidR="003823D9" w:rsidRPr="009C1418" w:rsidRDefault="003823D9" w:rsidP="003823D9">
            <w:pPr>
              <w:spacing w:after="0"/>
              <w:ind w:left="0" w:firstLine="0"/>
              <w:jc w:val="left"/>
              <w:rPr>
                <w:bCs/>
                <w:sz w:val="20"/>
              </w:rPr>
            </w:pPr>
          </w:p>
        </w:tc>
      </w:tr>
      <w:tr w:rsidR="003823D9" w:rsidRPr="009C1418" w14:paraId="426226B7" w14:textId="77777777" w:rsidTr="007551A4">
        <w:tc>
          <w:tcPr>
            <w:tcW w:w="595" w:type="dxa"/>
            <w:shd w:val="clear" w:color="auto" w:fill="FFFFFF" w:themeFill="background1"/>
            <w:vAlign w:val="center"/>
          </w:tcPr>
          <w:p w14:paraId="777CCE70" w14:textId="77777777" w:rsidR="003823D9" w:rsidRDefault="003823D9" w:rsidP="003823D9">
            <w:pPr>
              <w:spacing w:after="0"/>
              <w:ind w:left="0" w:firstLine="0"/>
              <w:jc w:val="left"/>
              <w:rPr>
                <w:bCs/>
                <w:sz w:val="20"/>
              </w:rPr>
            </w:pPr>
            <w:r>
              <w:rPr>
                <w:bCs/>
                <w:sz w:val="20"/>
              </w:rPr>
              <w:t>6.2</w:t>
            </w:r>
          </w:p>
        </w:tc>
        <w:tc>
          <w:tcPr>
            <w:tcW w:w="4929" w:type="dxa"/>
            <w:shd w:val="clear" w:color="auto" w:fill="FFFFFF" w:themeFill="background1"/>
            <w:vAlign w:val="center"/>
          </w:tcPr>
          <w:p w14:paraId="0A08A44A" w14:textId="77777777" w:rsidR="003823D9" w:rsidRPr="008867A6" w:rsidRDefault="003823D9" w:rsidP="003823D9">
            <w:pPr>
              <w:spacing w:after="0"/>
              <w:jc w:val="left"/>
              <w:rPr>
                <w:sz w:val="20"/>
              </w:rPr>
            </w:pPr>
            <w:r w:rsidRPr="000809BA">
              <w:rPr>
                <w:sz w:val="20"/>
              </w:rPr>
              <w:t>Elaboration d’une notice Hygiène, sécurité et</w:t>
            </w:r>
            <w:r>
              <w:rPr>
                <w:sz w:val="20"/>
              </w:rPr>
              <w:t xml:space="preserve"> </w:t>
            </w:r>
            <w:r w:rsidRPr="000809BA">
              <w:rPr>
                <w:sz w:val="20"/>
              </w:rPr>
              <w:t>Santé</w:t>
            </w:r>
            <w:r>
              <w:rPr>
                <w:sz w:val="20"/>
              </w:rPr>
              <w:t xml:space="preserve"> </w:t>
            </w:r>
            <w:r w:rsidRPr="000809BA">
              <w:rPr>
                <w:sz w:val="20"/>
              </w:rPr>
              <w:t>Couverture sanitaire</w:t>
            </w:r>
          </w:p>
        </w:tc>
        <w:tc>
          <w:tcPr>
            <w:tcW w:w="850" w:type="dxa"/>
            <w:vAlign w:val="center"/>
          </w:tcPr>
          <w:p w14:paraId="08FC2F51" w14:textId="4E244DF0" w:rsidR="003823D9" w:rsidRPr="009C1418" w:rsidRDefault="003823D9" w:rsidP="003823D9">
            <w:pPr>
              <w:spacing w:after="0"/>
              <w:ind w:left="0" w:firstLine="0"/>
              <w:jc w:val="left"/>
              <w:rPr>
                <w:bCs/>
                <w:sz w:val="20"/>
              </w:rPr>
            </w:pPr>
            <w:proofErr w:type="spellStart"/>
            <w:r>
              <w:rPr>
                <w:bCs/>
                <w:sz w:val="20"/>
              </w:rPr>
              <w:t>ff</w:t>
            </w:r>
            <w:proofErr w:type="spellEnd"/>
          </w:p>
        </w:tc>
        <w:tc>
          <w:tcPr>
            <w:tcW w:w="992" w:type="dxa"/>
            <w:vAlign w:val="center"/>
          </w:tcPr>
          <w:p w14:paraId="46236E8B" w14:textId="78C06C00" w:rsidR="003823D9" w:rsidRPr="009C1418" w:rsidRDefault="003823D9" w:rsidP="003823D9">
            <w:pPr>
              <w:spacing w:after="0"/>
              <w:ind w:left="0" w:firstLine="0"/>
              <w:jc w:val="left"/>
              <w:rPr>
                <w:bCs/>
                <w:sz w:val="20"/>
              </w:rPr>
            </w:pPr>
          </w:p>
        </w:tc>
        <w:tc>
          <w:tcPr>
            <w:tcW w:w="1418" w:type="dxa"/>
            <w:vAlign w:val="center"/>
          </w:tcPr>
          <w:p w14:paraId="5854A59C" w14:textId="77777777" w:rsidR="003823D9" w:rsidRPr="009C1418" w:rsidRDefault="003823D9" w:rsidP="003823D9">
            <w:pPr>
              <w:spacing w:after="0"/>
              <w:ind w:left="0" w:firstLine="0"/>
              <w:jc w:val="left"/>
              <w:rPr>
                <w:bCs/>
                <w:sz w:val="20"/>
              </w:rPr>
            </w:pPr>
          </w:p>
        </w:tc>
      </w:tr>
      <w:tr w:rsidR="003823D9" w:rsidRPr="009C1418" w14:paraId="13726960" w14:textId="77777777" w:rsidTr="007551A4">
        <w:tc>
          <w:tcPr>
            <w:tcW w:w="595" w:type="dxa"/>
            <w:shd w:val="clear" w:color="auto" w:fill="FFFFFF" w:themeFill="background1"/>
            <w:vAlign w:val="center"/>
          </w:tcPr>
          <w:p w14:paraId="4A741A8A" w14:textId="77777777" w:rsidR="003823D9" w:rsidRDefault="003823D9" w:rsidP="003823D9">
            <w:pPr>
              <w:spacing w:after="0"/>
              <w:ind w:left="0" w:firstLine="0"/>
              <w:jc w:val="left"/>
              <w:rPr>
                <w:bCs/>
                <w:sz w:val="20"/>
              </w:rPr>
            </w:pPr>
            <w:r>
              <w:rPr>
                <w:bCs/>
                <w:sz w:val="20"/>
              </w:rPr>
              <w:t>6.3</w:t>
            </w:r>
          </w:p>
        </w:tc>
        <w:tc>
          <w:tcPr>
            <w:tcW w:w="4929" w:type="dxa"/>
            <w:shd w:val="clear" w:color="auto" w:fill="FFFFFF" w:themeFill="background1"/>
            <w:vAlign w:val="center"/>
          </w:tcPr>
          <w:p w14:paraId="632AF4BA" w14:textId="6B9E6168" w:rsidR="003823D9" w:rsidRPr="008867A6" w:rsidRDefault="003823D9" w:rsidP="00470F7C">
            <w:pPr>
              <w:jc w:val="left"/>
              <w:rPr>
                <w:sz w:val="20"/>
              </w:rPr>
            </w:pPr>
            <w:r w:rsidRPr="00D96D1B">
              <w:rPr>
                <w:sz w:val="20"/>
              </w:rPr>
              <w:t>Dotation du personnel d’Equipement de Protection Individuelle</w:t>
            </w:r>
            <w:r w:rsidR="00470F7C">
              <w:rPr>
                <w:sz w:val="20"/>
              </w:rPr>
              <w:t xml:space="preserve"> (</w:t>
            </w:r>
            <w:r w:rsidR="00470F7C" w:rsidRPr="005B0E5B">
              <w:rPr>
                <w:rFonts w:cs="Arial"/>
                <w:i/>
                <w:iCs/>
                <w:sz w:val="20"/>
              </w:rPr>
              <w:t>Tenues, chaussures de sécurité</w:t>
            </w:r>
            <w:r w:rsidR="00470F7C">
              <w:rPr>
                <w:rFonts w:cs="Arial"/>
                <w:i/>
                <w:iCs/>
                <w:sz w:val="20"/>
              </w:rPr>
              <w:t xml:space="preserve"> ou bottes, Gants, masques ; </w:t>
            </w:r>
            <w:r w:rsidR="00470F7C" w:rsidRPr="005B0E5B">
              <w:rPr>
                <w:rFonts w:cs="Arial"/>
                <w:i/>
                <w:iCs/>
                <w:sz w:val="20"/>
              </w:rPr>
              <w:t xml:space="preserve">Boite à pharmacie de premiers </w:t>
            </w:r>
            <w:r w:rsidR="00470F7C" w:rsidRPr="005B0E5B">
              <w:rPr>
                <w:rFonts w:cs="Arial"/>
                <w:sz w:val="20"/>
              </w:rPr>
              <w:t>soins</w:t>
            </w:r>
            <w:r w:rsidR="00470F7C">
              <w:rPr>
                <w:rFonts w:cs="Arial"/>
                <w:sz w:val="20"/>
              </w:rPr>
              <w:t xml:space="preserve"> ; </w:t>
            </w:r>
            <w:r w:rsidR="00470F7C" w:rsidRPr="005B0E5B">
              <w:rPr>
                <w:rFonts w:cs="Arial"/>
                <w:i/>
                <w:iCs/>
                <w:sz w:val="20"/>
              </w:rPr>
              <w:t>Suivi médical du personnel</w:t>
            </w:r>
            <w:r w:rsidR="00470F7C">
              <w:rPr>
                <w:rFonts w:cs="Arial"/>
                <w:i/>
                <w:iCs/>
                <w:sz w:val="20"/>
              </w:rPr>
              <w:t>)</w:t>
            </w:r>
          </w:p>
        </w:tc>
        <w:tc>
          <w:tcPr>
            <w:tcW w:w="850" w:type="dxa"/>
            <w:vAlign w:val="center"/>
          </w:tcPr>
          <w:p w14:paraId="73D1F060" w14:textId="05566433" w:rsidR="003823D9" w:rsidRPr="009C1418" w:rsidRDefault="003823D9" w:rsidP="003823D9">
            <w:pPr>
              <w:spacing w:after="0"/>
              <w:ind w:left="0" w:firstLine="0"/>
              <w:jc w:val="left"/>
              <w:rPr>
                <w:bCs/>
                <w:sz w:val="20"/>
              </w:rPr>
            </w:pPr>
            <w:proofErr w:type="spellStart"/>
            <w:r>
              <w:rPr>
                <w:bCs/>
                <w:sz w:val="20"/>
              </w:rPr>
              <w:t>ff</w:t>
            </w:r>
            <w:proofErr w:type="spellEnd"/>
          </w:p>
        </w:tc>
        <w:tc>
          <w:tcPr>
            <w:tcW w:w="992" w:type="dxa"/>
            <w:vAlign w:val="center"/>
          </w:tcPr>
          <w:p w14:paraId="26ABB746" w14:textId="4DAFFEE2" w:rsidR="003823D9" w:rsidRPr="009C1418" w:rsidRDefault="003823D9" w:rsidP="003823D9">
            <w:pPr>
              <w:spacing w:after="0"/>
              <w:ind w:left="0" w:firstLine="0"/>
              <w:jc w:val="left"/>
              <w:rPr>
                <w:bCs/>
                <w:sz w:val="20"/>
              </w:rPr>
            </w:pPr>
          </w:p>
        </w:tc>
        <w:tc>
          <w:tcPr>
            <w:tcW w:w="1418" w:type="dxa"/>
            <w:vAlign w:val="center"/>
          </w:tcPr>
          <w:p w14:paraId="24A2C529" w14:textId="77777777" w:rsidR="003823D9" w:rsidRPr="009C1418" w:rsidRDefault="003823D9" w:rsidP="003823D9">
            <w:pPr>
              <w:spacing w:after="0"/>
              <w:ind w:left="0" w:firstLine="0"/>
              <w:jc w:val="left"/>
              <w:rPr>
                <w:bCs/>
                <w:sz w:val="20"/>
              </w:rPr>
            </w:pPr>
          </w:p>
        </w:tc>
      </w:tr>
      <w:tr w:rsidR="00D508D7" w:rsidRPr="009C1418" w14:paraId="27572333" w14:textId="77777777" w:rsidTr="007551A4">
        <w:tc>
          <w:tcPr>
            <w:tcW w:w="595" w:type="dxa"/>
          </w:tcPr>
          <w:p w14:paraId="2741332F" w14:textId="77777777" w:rsidR="00D508D7" w:rsidRPr="009C1418" w:rsidRDefault="00D508D7" w:rsidP="00BE6D61">
            <w:pPr>
              <w:spacing w:after="0"/>
              <w:ind w:left="0" w:firstLine="0"/>
              <w:jc w:val="left"/>
              <w:rPr>
                <w:sz w:val="20"/>
                <w:lang w:eastAsia="en-US"/>
              </w:rPr>
            </w:pPr>
          </w:p>
        </w:tc>
        <w:tc>
          <w:tcPr>
            <w:tcW w:w="4929" w:type="dxa"/>
            <w:vAlign w:val="center"/>
          </w:tcPr>
          <w:p w14:paraId="0B556B78" w14:textId="77777777" w:rsidR="00D508D7" w:rsidRPr="009C1418" w:rsidRDefault="00D508D7" w:rsidP="00BE6D61">
            <w:pPr>
              <w:spacing w:after="0"/>
              <w:ind w:left="0" w:firstLine="0"/>
              <w:jc w:val="left"/>
              <w:rPr>
                <w:sz w:val="20"/>
                <w:lang w:eastAsia="en-US"/>
              </w:rPr>
            </w:pPr>
            <w:r w:rsidRPr="009C1418">
              <w:rPr>
                <w:bCs/>
                <w:sz w:val="20"/>
              </w:rPr>
              <w:t>MONTANT TOTAL HTVA</w:t>
            </w:r>
          </w:p>
        </w:tc>
        <w:tc>
          <w:tcPr>
            <w:tcW w:w="850" w:type="dxa"/>
          </w:tcPr>
          <w:p w14:paraId="0235FDF7" w14:textId="77777777" w:rsidR="00D508D7" w:rsidRPr="009C1418" w:rsidRDefault="00D508D7" w:rsidP="00BE6D61">
            <w:pPr>
              <w:spacing w:after="0"/>
              <w:ind w:left="0" w:firstLine="0"/>
              <w:jc w:val="left"/>
              <w:rPr>
                <w:sz w:val="20"/>
                <w:lang w:eastAsia="en-US"/>
              </w:rPr>
            </w:pPr>
          </w:p>
        </w:tc>
        <w:tc>
          <w:tcPr>
            <w:tcW w:w="992" w:type="dxa"/>
          </w:tcPr>
          <w:p w14:paraId="213B45F5" w14:textId="57FF8FA1" w:rsidR="00D508D7" w:rsidRPr="009C1418" w:rsidRDefault="00D508D7" w:rsidP="00BE6D61">
            <w:pPr>
              <w:spacing w:after="0"/>
              <w:ind w:left="0" w:firstLine="0"/>
              <w:jc w:val="left"/>
              <w:rPr>
                <w:sz w:val="20"/>
                <w:lang w:eastAsia="en-US"/>
              </w:rPr>
            </w:pPr>
          </w:p>
        </w:tc>
        <w:tc>
          <w:tcPr>
            <w:tcW w:w="1418" w:type="dxa"/>
          </w:tcPr>
          <w:p w14:paraId="79F78285" w14:textId="77777777" w:rsidR="00D508D7" w:rsidRPr="009C1418" w:rsidRDefault="00D508D7" w:rsidP="00BE6D61">
            <w:pPr>
              <w:spacing w:after="0"/>
              <w:ind w:left="0" w:firstLine="0"/>
              <w:jc w:val="left"/>
              <w:rPr>
                <w:sz w:val="20"/>
                <w:lang w:eastAsia="en-US"/>
              </w:rPr>
            </w:pPr>
          </w:p>
        </w:tc>
      </w:tr>
      <w:tr w:rsidR="00D508D7" w:rsidRPr="009C1418" w14:paraId="37BE95C7" w14:textId="77777777" w:rsidTr="007551A4">
        <w:tc>
          <w:tcPr>
            <w:tcW w:w="595" w:type="dxa"/>
          </w:tcPr>
          <w:p w14:paraId="54EE312B" w14:textId="77777777" w:rsidR="00D508D7" w:rsidRPr="009C1418" w:rsidRDefault="00D508D7" w:rsidP="00BE6D61">
            <w:pPr>
              <w:spacing w:after="0"/>
              <w:ind w:left="0" w:firstLine="0"/>
              <w:jc w:val="left"/>
              <w:rPr>
                <w:sz w:val="20"/>
                <w:lang w:eastAsia="en-US"/>
              </w:rPr>
            </w:pPr>
          </w:p>
        </w:tc>
        <w:tc>
          <w:tcPr>
            <w:tcW w:w="4929" w:type="dxa"/>
            <w:vAlign w:val="center"/>
          </w:tcPr>
          <w:p w14:paraId="50E13010" w14:textId="77777777" w:rsidR="00D508D7" w:rsidRPr="009C1418" w:rsidRDefault="00D508D7" w:rsidP="00BE6D61">
            <w:pPr>
              <w:spacing w:after="0"/>
              <w:ind w:left="0" w:firstLine="0"/>
              <w:jc w:val="left"/>
              <w:rPr>
                <w:bCs/>
                <w:sz w:val="20"/>
              </w:rPr>
            </w:pPr>
            <w:r w:rsidRPr="009C1418">
              <w:rPr>
                <w:bCs/>
                <w:sz w:val="20"/>
              </w:rPr>
              <w:t>TVA</w:t>
            </w:r>
          </w:p>
        </w:tc>
        <w:tc>
          <w:tcPr>
            <w:tcW w:w="850" w:type="dxa"/>
          </w:tcPr>
          <w:p w14:paraId="391EBB8F" w14:textId="77777777" w:rsidR="00D508D7" w:rsidRPr="009C1418" w:rsidRDefault="00D508D7" w:rsidP="00BE6D61">
            <w:pPr>
              <w:spacing w:after="0"/>
              <w:ind w:left="0" w:firstLine="0"/>
              <w:jc w:val="left"/>
              <w:rPr>
                <w:sz w:val="20"/>
                <w:lang w:eastAsia="en-US"/>
              </w:rPr>
            </w:pPr>
          </w:p>
        </w:tc>
        <w:tc>
          <w:tcPr>
            <w:tcW w:w="992" w:type="dxa"/>
          </w:tcPr>
          <w:p w14:paraId="05D795C8" w14:textId="6C5CA47A" w:rsidR="00D508D7" w:rsidRPr="009C1418" w:rsidRDefault="00D508D7" w:rsidP="00BE6D61">
            <w:pPr>
              <w:spacing w:after="0"/>
              <w:ind w:left="0" w:firstLine="0"/>
              <w:jc w:val="left"/>
              <w:rPr>
                <w:sz w:val="20"/>
                <w:lang w:eastAsia="en-US"/>
              </w:rPr>
            </w:pPr>
          </w:p>
        </w:tc>
        <w:tc>
          <w:tcPr>
            <w:tcW w:w="1418" w:type="dxa"/>
          </w:tcPr>
          <w:p w14:paraId="3A99C245" w14:textId="77777777" w:rsidR="00D508D7" w:rsidRPr="009C1418" w:rsidRDefault="00D508D7" w:rsidP="00BE6D61">
            <w:pPr>
              <w:spacing w:after="0"/>
              <w:ind w:left="0" w:firstLine="0"/>
              <w:jc w:val="left"/>
              <w:rPr>
                <w:sz w:val="20"/>
                <w:lang w:eastAsia="en-US"/>
              </w:rPr>
            </w:pPr>
          </w:p>
        </w:tc>
      </w:tr>
      <w:tr w:rsidR="00D508D7" w:rsidRPr="009C1418" w14:paraId="24EC586C" w14:textId="77777777" w:rsidTr="007551A4">
        <w:tc>
          <w:tcPr>
            <w:tcW w:w="595" w:type="dxa"/>
          </w:tcPr>
          <w:p w14:paraId="2584BC6D" w14:textId="77777777" w:rsidR="00D508D7" w:rsidRPr="009C1418" w:rsidRDefault="00D508D7" w:rsidP="00BE6D61">
            <w:pPr>
              <w:spacing w:after="0"/>
              <w:ind w:left="0" w:firstLine="0"/>
              <w:jc w:val="left"/>
              <w:rPr>
                <w:sz w:val="20"/>
                <w:lang w:eastAsia="en-US"/>
              </w:rPr>
            </w:pPr>
          </w:p>
        </w:tc>
        <w:tc>
          <w:tcPr>
            <w:tcW w:w="4929" w:type="dxa"/>
            <w:vAlign w:val="center"/>
          </w:tcPr>
          <w:p w14:paraId="703D5FDC" w14:textId="77777777" w:rsidR="00D508D7" w:rsidRPr="009C1418" w:rsidRDefault="00D508D7" w:rsidP="00BE6D61">
            <w:pPr>
              <w:spacing w:after="0"/>
              <w:ind w:left="0" w:firstLine="0"/>
              <w:jc w:val="left"/>
              <w:rPr>
                <w:bCs/>
                <w:sz w:val="20"/>
              </w:rPr>
            </w:pPr>
            <w:r w:rsidRPr="009C1418">
              <w:rPr>
                <w:bCs/>
                <w:sz w:val="20"/>
              </w:rPr>
              <w:t>Total Général TTC</w:t>
            </w:r>
          </w:p>
        </w:tc>
        <w:tc>
          <w:tcPr>
            <w:tcW w:w="850" w:type="dxa"/>
          </w:tcPr>
          <w:p w14:paraId="1845187E" w14:textId="77777777" w:rsidR="00D508D7" w:rsidRPr="009C1418" w:rsidRDefault="00D508D7" w:rsidP="00BE6D61">
            <w:pPr>
              <w:spacing w:after="0"/>
              <w:ind w:left="0" w:firstLine="0"/>
              <w:jc w:val="left"/>
              <w:rPr>
                <w:sz w:val="20"/>
                <w:lang w:eastAsia="en-US"/>
              </w:rPr>
            </w:pPr>
          </w:p>
        </w:tc>
        <w:tc>
          <w:tcPr>
            <w:tcW w:w="992" w:type="dxa"/>
          </w:tcPr>
          <w:p w14:paraId="4F7299FC" w14:textId="6B0E2241" w:rsidR="00D508D7" w:rsidRPr="009C1418" w:rsidRDefault="00D508D7" w:rsidP="00BE6D61">
            <w:pPr>
              <w:spacing w:after="0"/>
              <w:ind w:left="0" w:firstLine="0"/>
              <w:jc w:val="left"/>
              <w:rPr>
                <w:sz w:val="20"/>
                <w:lang w:eastAsia="en-US"/>
              </w:rPr>
            </w:pPr>
          </w:p>
        </w:tc>
        <w:tc>
          <w:tcPr>
            <w:tcW w:w="1418" w:type="dxa"/>
          </w:tcPr>
          <w:p w14:paraId="7A8A40FE" w14:textId="77777777" w:rsidR="00D508D7" w:rsidRPr="009C1418" w:rsidRDefault="00D508D7" w:rsidP="00BE6D61">
            <w:pPr>
              <w:spacing w:after="0"/>
              <w:ind w:left="0" w:firstLine="0"/>
              <w:jc w:val="left"/>
              <w:rPr>
                <w:sz w:val="20"/>
                <w:lang w:eastAsia="en-US"/>
              </w:rPr>
            </w:pPr>
          </w:p>
        </w:tc>
      </w:tr>
    </w:tbl>
    <w:p w14:paraId="6E792BFF" w14:textId="7B2B28E0" w:rsidR="00FD08FA" w:rsidRDefault="00FD08FA" w:rsidP="00481B36">
      <w:pPr>
        <w:spacing w:after="0"/>
        <w:ind w:left="0" w:firstLine="0"/>
        <w:rPr>
          <w:b/>
          <w:szCs w:val="24"/>
          <w:lang w:eastAsia="en-US"/>
        </w:rPr>
      </w:pPr>
    </w:p>
    <w:p w14:paraId="41CC1FB9" w14:textId="4EE9C9E8" w:rsidR="007551A4" w:rsidRDefault="007551A4" w:rsidP="00481B36">
      <w:pPr>
        <w:spacing w:after="0"/>
        <w:ind w:left="0" w:firstLine="0"/>
        <w:rPr>
          <w:b/>
          <w:szCs w:val="24"/>
          <w:lang w:eastAsia="en-US"/>
        </w:rPr>
      </w:pPr>
    </w:p>
    <w:p w14:paraId="79F3B0FB" w14:textId="14D97603" w:rsidR="007551A4" w:rsidRDefault="007551A4" w:rsidP="00481B36">
      <w:pPr>
        <w:spacing w:after="0"/>
        <w:ind w:left="0" w:firstLine="0"/>
        <w:rPr>
          <w:b/>
          <w:szCs w:val="24"/>
          <w:lang w:eastAsia="en-US"/>
        </w:rPr>
      </w:pPr>
    </w:p>
    <w:p w14:paraId="7591090F" w14:textId="58157896" w:rsidR="007551A4" w:rsidRDefault="007551A4" w:rsidP="00481B36">
      <w:pPr>
        <w:spacing w:after="0"/>
        <w:ind w:left="0" w:firstLine="0"/>
        <w:rPr>
          <w:b/>
          <w:szCs w:val="24"/>
          <w:lang w:eastAsia="en-US"/>
        </w:rPr>
      </w:pPr>
    </w:p>
    <w:p w14:paraId="4AC00150" w14:textId="77777777" w:rsidR="007551A4" w:rsidRDefault="007551A4" w:rsidP="00481B36">
      <w:pPr>
        <w:spacing w:after="0"/>
        <w:ind w:left="0" w:firstLine="0"/>
        <w:rPr>
          <w:b/>
          <w:szCs w:val="24"/>
          <w:lang w:eastAsia="en-US"/>
        </w:rPr>
      </w:pPr>
    </w:p>
    <w:p w14:paraId="51904698" w14:textId="77777777" w:rsidR="000F38EC" w:rsidRDefault="000F38EC" w:rsidP="00481B36">
      <w:pPr>
        <w:spacing w:after="0"/>
        <w:ind w:left="0" w:firstLine="0"/>
        <w:rPr>
          <w:b/>
          <w:szCs w:val="24"/>
          <w:lang w:eastAsia="en-US"/>
        </w:rPr>
      </w:pPr>
    </w:p>
    <w:p w14:paraId="0762F511" w14:textId="77777777" w:rsidR="000F38EC" w:rsidRDefault="000F38EC" w:rsidP="00481B36">
      <w:pPr>
        <w:spacing w:after="0"/>
        <w:ind w:left="0" w:firstLine="0"/>
        <w:rPr>
          <w:b/>
          <w:szCs w:val="24"/>
          <w:lang w:eastAsia="en-US"/>
        </w:rPr>
      </w:pPr>
    </w:p>
    <w:p w14:paraId="26F1053E" w14:textId="77777777" w:rsidR="000F38EC" w:rsidRDefault="000F38EC" w:rsidP="00481B36">
      <w:pPr>
        <w:spacing w:after="0"/>
        <w:ind w:left="0" w:firstLine="0"/>
        <w:rPr>
          <w:b/>
          <w:szCs w:val="24"/>
          <w:lang w:eastAsia="en-US"/>
        </w:rPr>
      </w:pPr>
    </w:p>
    <w:p w14:paraId="5E4B9643" w14:textId="57E02FE2" w:rsidR="00481B36" w:rsidRPr="002260EA" w:rsidRDefault="00481B36" w:rsidP="00481B36">
      <w:pPr>
        <w:spacing w:after="0"/>
        <w:ind w:left="0" w:firstLine="0"/>
        <w:rPr>
          <w:b/>
          <w:szCs w:val="24"/>
          <w:lang w:eastAsia="en-US"/>
        </w:rPr>
      </w:pPr>
      <w:r w:rsidRPr="002260EA">
        <w:rPr>
          <w:b/>
          <w:szCs w:val="24"/>
          <w:lang w:eastAsia="en-US"/>
        </w:rPr>
        <w:t>Fait à ………………, le ……………. 202</w:t>
      </w:r>
      <w:r w:rsidR="00ED555C" w:rsidRPr="002260EA">
        <w:rPr>
          <w:b/>
          <w:szCs w:val="24"/>
          <w:lang w:eastAsia="en-US"/>
        </w:rPr>
        <w:t>1</w:t>
      </w:r>
    </w:p>
    <w:p w14:paraId="6AC0C7D2" w14:textId="77777777" w:rsidR="000F38EC" w:rsidRPr="009703C8" w:rsidRDefault="000F38EC" w:rsidP="00481B36">
      <w:pPr>
        <w:spacing w:after="0"/>
        <w:ind w:left="0" w:firstLine="0"/>
        <w:jc w:val="right"/>
        <w:rPr>
          <w:b/>
          <w:szCs w:val="24"/>
          <w:lang w:eastAsia="en-US"/>
        </w:rPr>
      </w:pPr>
    </w:p>
    <w:p w14:paraId="1B83D72B" w14:textId="77777777" w:rsidR="00481B36" w:rsidRPr="009703C8" w:rsidRDefault="00481B36" w:rsidP="00481B36">
      <w:pPr>
        <w:spacing w:after="0"/>
        <w:ind w:left="0" w:firstLine="0"/>
        <w:jc w:val="right"/>
        <w:rPr>
          <w:b/>
          <w:szCs w:val="24"/>
          <w:lang w:eastAsia="en-US"/>
        </w:rPr>
      </w:pPr>
    </w:p>
    <w:p w14:paraId="79992E9A" w14:textId="3A0F9B59" w:rsidR="00977EF0" w:rsidRDefault="00481B36" w:rsidP="00FD08FA">
      <w:pPr>
        <w:spacing w:after="0"/>
        <w:ind w:left="0" w:firstLine="0"/>
        <w:jc w:val="right"/>
        <w:rPr>
          <w:b/>
          <w:szCs w:val="24"/>
          <w:lang w:eastAsia="en-US"/>
        </w:rPr>
      </w:pPr>
      <w:r w:rsidRPr="009703C8">
        <w:rPr>
          <w:b/>
          <w:szCs w:val="24"/>
          <w:lang w:eastAsia="en-US"/>
        </w:rPr>
        <w:t>Le Soumissionnaire</w:t>
      </w:r>
    </w:p>
    <w:p w14:paraId="00BEB0EA" w14:textId="42FF2657" w:rsidR="000F38EC" w:rsidRDefault="000F38EC" w:rsidP="00FD08FA">
      <w:pPr>
        <w:spacing w:after="0"/>
        <w:ind w:left="0" w:firstLine="0"/>
        <w:jc w:val="right"/>
        <w:rPr>
          <w:b/>
          <w:szCs w:val="24"/>
          <w:lang w:eastAsia="en-US"/>
        </w:rPr>
      </w:pPr>
    </w:p>
    <w:p w14:paraId="516EADFF" w14:textId="1E15FA0A" w:rsidR="007551A4" w:rsidRDefault="007551A4" w:rsidP="00FD08FA">
      <w:pPr>
        <w:spacing w:after="0"/>
        <w:ind w:left="0" w:firstLine="0"/>
        <w:jc w:val="right"/>
        <w:rPr>
          <w:b/>
          <w:szCs w:val="24"/>
          <w:lang w:eastAsia="en-US"/>
        </w:rPr>
      </w:pPr>
    </w:p>
    <w:p w14:paraId="4C260269" w14:textId="6937597F" w:rsidR="007551A4" w:rsidRDefault="007551A4" w:rsidP="00FD08FA">
      <w:pPr>
        <w:spacing w:after="0"/>
        <w:ind w:left="0" w:firstLine="0"/>
        <w:jc w:val="right"/>
        <w:rPr>
          <w:b/>
          <w:szCs w:val="24"/>
          <w:lang w:eastAsia="en-US"/>
        </w:rPr>
      </w:pPr>
    </w:p>
    <w:p w14:paraId="0B7157CC" w14:textId="1641EDDA" w:rsidR="007551A4" w:rsidRDefault="007551A4" w:rsidP="00FD08FA">
      <w:pPr>
        <w:spacing w:after="0"/>
        <w:ind w:left="0" w:firstLine="0"/>
        <w:jc w:val="right"/>
        <w:rPr>
          <w:b/>
          <w:szCs w:val="24"/>
          <w:lang w:eastAsia="en-US"/>
        </w:rPr>
      </w:pPr>
    </w:p>
    <w:p w14:paraId="7A4E7545" w14:textId="2EF5D74C" w:rsidR="007551A4" w:rsidRDefault="007551A4" w:rsidP="00FD08FA">
      <w:pPr>
        <w:spacing w:after="0"/>
        <w:ind w:left="0" w:firstLine="0"/>
        <w:jc w:val="right"/>
        <w:rPr>
          <w:b/>
          <w:szCs w:val="24"/>
          <w:lang w:eastAsia="en-US"/>
        </w:rPr>
      </w:pPr>
    </w:p>
    <w:p w14:paraId="28514292" w14:textId="5073AB36" w:rsidR="007551A4" w:rsidRDefault="007551A4" w:rsidP="00FD08FA">
      <w:pPr>
        <w:spacing w:after="0"/>
        <w:ind w:left="0" w:firstLine="0"/>
        <w:jc w:val="right"/>
        <w:rPr>
          <w:b/>
          <w:szCs w:val="24"/>
          <w:lang w:eastAsia="en-US"/>
        </w:rPr>
      </w:pPr>
    </w:p>
    <w:p w14:paraId="007C1E19" w14:textId="349B52A4" w:rsidR="007551A4" w:rsidRDefault="007551A4" w:rsidP="00FD08FA">
      <w:pPr>
        <w:spacing w:after="0"/>
        <w:ind w:left="0" w:firstLine="0"/>
        <w:jc w:val="right"/>
        <w:rPr>
          <w:b/>
          <w:szCs w:val="24"/>
          <w:lang w:eastAsia="en-US"/>
        </w:rPr>
      </w:pPr>
    </w:p>
    <w:p w14:paraId="45BE21D7" w14:textId="2A25064B" w:rsidR="007551A4" w:rsidRDefault="007551A4" w:rsidP="00FD08FA">
      <w:pPr>
        <w:spacing w:after="0"/>
        <w:ind w:left="0" w:firstLine="0"/>
        <w:jc w:val="right"/>
        <w:rPr>
          <w:b/>
          <w:szCs w:val="24"/>
          <w:lang w:eastAsia="en-US"/>
        </w:rPr>
      </w:pPr>
    </w:p>
    <w:p w14:paraId="696F2A7C" w14:textId="68BDBC93" w:rsidR="007551A4" w:rsidRDefault="007551A4" w:rsidP="00FD08FA">
      <w:pPr>
        <w:spacing w:after="0"/>
        <w:ind w:left="0" w:firstLine="0"/>
        <w:jc w:val="right"/>
        <w:rPr>
          <w:b/>
          <w:szCs w:val="24"/>
          <w:lang w:eastAsia="en-US"/>
        </w:rPr>
      </w:pPr>
    </w:p>
    <w:p w14:paraId="51F831F6" w14:textId="39A18D0C" w:rsidR="007551A4" w:rsidRDefault="007551A4" w:rsidP="00FD08FA">
      <w:pPr>
        <w:spacing w:after="0"/>
        <w:ind w:left="0" w:firstLine="0"/>
        <w:jc w:val="right"/>
        <w:rPr>
          <w:b/>
          <w:szCs w:val="24"/>
          <w:lang w:eastAsia="en-US"/>
        </w:rPr>
      </w:pPr>
    </w:p>
    <w:p w14:paraId="05ACE7AB" w14:textId="55404A96" w:rsidR="007551A4" w:rsidRDefault="007551A4" w:rsidP="00FD08FA">
      <w:pPr>
        <w:spacing w:after="0"/>
        <w:ind w:left="0" w:firstLine="0"/>
        <w:jc w:val="right"/>
        <w:rPr>
          <w:b/>
          <w:szCs w:val="24"/>
          <w:lang w:eastAsia="en-US"/>
        </w:rPr>
      </w:pPr>
    </w:p>
    <w:p w14:paraId="1E7A3090" w14:textId="50A5D682" w:rsidR="007551A4" w:rsidRDefault="007551A4" w:rsidP="00FD08FA">
      <w:pPr>
        <w:spacing w:after="0"/>
        <w:ind w:left="0" w:firstLine="0"/>
        <w:jc w:val="right"/>
        <w:rPr>
          <w:b/>
          <w:szCs w:val="24"/>
          <w:lang w:eastAsia="en-US"/>
        </w:rPr>
      </w:pPr>
    </w:p>
    <w:p w14:paraId="05231D09" w14:textId="2F1D93A6" w:rsidR="007551A4" w:rsidRDefault="007551A4" w:rsidP="00FD08FA">
      <w:pPr>
        <w:spacing w:after="0"/>
        <w:ind w:left="0" w:firstLine="0"/>
        <w:jc w:val="right"/>
        <w:rPr>
          <w:b/>
          <w:szCs w:val="24"/>
          <w:lang w:eastAsia="en-US"/>
        </w:rPr>
      </w:pPr>
    </w:p>
    <w:p w14:paraId="1CB615AF" w14:textId="106A8DE7" w:rsidR="007551A4" w:rsidRDefault="007551A4" w:rsidP="00FD08FA">
      <w:pPr>
        <w:spacing w:after="0"/>
        <w:ind w:left="0" w:firstLine="0"/>
        <w:jc w:val="right"/>
        <w:rPr>
          <w:b/>
          <w:szCs w:val="24"/>
          <w:lang w:eastAsia="en-US"/>
        </w:rPr>
      </w:pPr>
    </w:p>
    <w:p w14:paraId="62D29AA7" w14:textId="4483DA4D" w:rsidR="007551A4" w:rsidRDefault="007551A4" w:rsidP="00FD08FA">
      <w:pPr>
        <w:spacing w:after="0"/>
        <w:ind w:left="0" w:firstLine="0"/>
        <w:jc w:val="right"/>
        <w:rPr>
          <w:b/>
          <w:szCs w:val="24"/>
          <w:lang w:eastAsia="en-US"/>
        </w:rPr>
      </w:pPr>
    </w:p>
    <w:p w14:paraId="115A8974" w14:textId="5957D392" w:rsidR="007551A4" w:rsidRDefault="007551A4" w:rsidP="00FD08FA">
      <w:pPr>
        <w:spacing w:after="0"/>
        <w:ind w:left="0" w:firstLine="0"/>
        <w:jc w:val="right"/>
        <w:rPr>
          <w:b/>
          <w:szCs w:val="24"/>
          <w:lang w:eastAsia="en-US"/>
        </w:rPr>
      </w:pPr>
    </w:p>
    <w:p w14:paraId="195C7D3B" w14:textId="0C3CF736" w:rsidR="007551A4" w:rsidRDefault="007551A4" w:rsidP="00FD08FA">
      <w:pPr>
        <w:spacing w:after="0"/>
        <w:ind w:left="0" w:firstLine="0"/>
        <w:jc w:val="right"/>
        <w:rPr>
          <w:b/>
          <w:szCs w:val="24"/>
          <w:lang w:eastAsia="en-US"/>
        </w:rPr>
      </w:pPr>
    </w:p>
    <w:p w14:paraId="19E47DA1" w14:textId="6DB44700" w:rsidR="007551A4" w:rsidRDefault="007551A4" w:rsidP="00FD08FA">
      <w:pPr>
        <w:spacing w:after="0"/>
        <w:ind w:left="0" w:firstLine="0"/>
        <w:jc w:val="right"/>
        <w:rPr>
          <w:b/>
          <w:szCs w:val="24"/>
          <w:lang w:eastAsia="en-US"/>
        </w:rPr>
      </w:pPr>
    </w:p>
    <w:p w14:paraId="3814D013" w14:textId="117F3329" w:rsidR="007551A4" w:rsidRDefault="007551A4" w:rsidP="00FD08FA">
      <w:pPr>
        <w:spacing w:after="0"/>
        <w:ind w:left="0" w:firstLine="0"/>
        <w:jc w:val="right"/>
        <w:rPr>
          <w:b/>
          <w:szCs w:val="24"/>
          <w:lang w:eastAsia="en-US"/>
        </w:rPr>
      </w:pPr>
    </w:p>
    <w:p w14:paraId="57DA5F98" w14:textId="6F9230CB" w:rsidR="007551A4" w:rsidRDefault="007551A4" w:rsidP="00FD08FA">
      <w:pPr>
        <w:spacing w:after="0"/>
        <w:ind w:left="0" w:firstLine="0"/>
        <w:jc w:val="right"/>
        <w:rPr>
          <w:b/>
          <w:szCs w:val="24"/>
          <w:lang w:eastAsia="en-US"/>
        </w:rPr>
      </w:pPr>
    </w:p>
    <w:p w14:paraId="5666CF22" w14:textId="41254110" w:rsidR="007551A4" w:rsidRDefault="007551A4" w:rsidP="00FD08FA">
      <w:pPr>
        <w:spacing w:after="0"/>
        <w:ind w:left="0" w:firstLine="0"/>
        <w:jc w:val="right"/>
        <w:rPr>
          <w:b/>
          <w:szCs w:val="24"/>
          <w:lang w:eastAsia="en-US"/>
        </w:rPr>
      </w:pPr>
    </w:p>
    <w:p w14:paraId="4D3DEA5D" w14:textId="77777777" w:rsidR="007551A4" w:rsidRDefault="007551A4" w:rsidP="00FD08FA">
      <w:pPr>
        <w:spacing w:after="0"/>
        <w:ind w:left="0" w:firstLine="0"/>
        <w:jc w:val="right"/>
        <w:rPr>
          <w:b/>
          <w:szCs w:val="24"/>
          <w:lang w:eastAsia="en-US"/>
        </w:rPr>
      </w:pPr>
    </w:p>
    <w:p w14:paraId="4451F534" w14:textId="77777777" w:rsidR="000F38EC" w:rsidRPr="00FD08FA" w:rsidRDefault="000F38EC" w:rsidP="00FD08FA">
      <w:pPr>
        <w:spacing w:after="0"/>
        <w:ind w:left="0" w:firstLine="0"/>
        <w:jc w:val="right"/>
        <w:rPr>
          <w:b/>
          <w:szCs w:val="24"/>
          <w:lang w:eastAsia="en-US"/>
        </w:rPr>
      </w:pPr>
    </w:p>
    <w:p w14:paraId="492E6DB8" w14:textId="1D993288" w:rsidR="0036021B" w:rsidRPr="00A67F27" w:rsidRDefault="0036021B" w:rsidP="0036021B">
      <w:pPr>
        <w:pStyle w:val="Style8"/>
        <w:rPr>
          <w:sz w:val="32"/>
          <w:szCs w:val="32"/>
        </w:rPr>
      </w:pPr>
      <w:bookmarkStart w:id="467" w:name="_Toc479112148"/>
      <w:bookmarkStart w:id="468" w:name="_Toc473887067"/>
      <w:bookmarkStart w:id="469" w:name="_Toc488658184"/>
      <w:r w:rsidRPr="00A67F27">
        <w:rPr>
          <w:sz w:val="32"/>
          <w:szCs w:val="32"/>
        </w:rPr>
        <w:t xml:space="preserve">Annexe 2 de la Partie financière </w:t>
      </w:r>
    </w:p>
    <w:p w14:paraId="15340071" w14:textId="77777777" w:rsidR="0036021B" w:rsidRPr="00A67F27" w:rsidRDefault="0036021B" w:rsidP="0036021B">
      <w:pPr>
        <w:pStyle w:val="Style8"/>
        <w:rPr>
          <w:sz w:val="32"/>
          <w:szCs w:val="32"/>
        </w:rPr>
      </w:pPr>
      <w:r w:rsidRPr="00A67F27">
        <w:rPr>
          <w:sz w:val="32"/>
          <w:szCs w:val="32"/>
        </w:rPr>
        <w:t>Libellé des prix dans la ou les monnaie/s de l’offre</w:t>
      </w:r>
      <w:bookmarkEnd w:id="467"/>
    </w:p>
    <w:p w14:paraId="610121D3" w14:textId="3C3B3813" w:rsidR="0036021B" w:rsidRPr="00D63441" w:rsidRDefault="0036021B" w:rsidP="0036021B">
      <w:pPr>
        <w:rPr>
          <w:i/>
          <w:sz w:val="20"/>
        </w:rPr>
      </w:pPr>
      <w:r w:rsidRPr="00D63441">
        <w:rPr>
          <w:sz w:val="22"/>
        </w:rPr>
        <w:t>Récapitulatif du (des) montant(s) de la Soumission pour ---------</w:t>
      </w:r>
      <w:r w:rsidRPr="00D63441">
        <w:rPr>
          <w:b/>
          <w:sz w:val="22"/>
        </w:rPr>
        <w:t xml:space="preserve"> </w:t>
      </w:r>
      <w:r w:rsidRPr="00D63441">
        <w:rPr>
          <w:i/>
          <w:sz w:val="20"/>
        </w:rPr>
        <w:t xml:space="preserve">[insérer l’intitulé de la section de </w:t>
      </w:r>
      <w:r w:rsidR="00994494" w:rsidRPr="00D63441">
        <w:rPr>
          <w:i/>
          <w:sz w:val="20"/>
        </w:rPr>
        <w:t>Travaux]</w:t>
      </w:r>
      <w:r w:rsidR="00994494" w:rsidRPr="00D63441">
        <w:rPr>
          <w:i/>
          <w:sz w:val="20"/>
          <w:vertAlign w:val="superscript"/>
        </w:rPr>
        <w:t xml:space="preserve"> (</w:t>
      </w:r>
      <w:r w:rsidRPr="00D63441">
        <w:rPr>
          <w:rStyle w:val="Appelnotedebasdep"/>
          <w:i/>
          <w:sz w:val="20"/>
        </w:rPr>
        <w:footnoteReference w:id="16"/>
      </w:r>
      <w:r w:rsidRPr="00D63441">
        <w:rPr>
          <w:i/>
          <w:sz w:val="20"/>
          <w:vertAlign w:val="superscript"/>
        </w:rPr>
        <w:t>)</w:t>
      </w:r>
    </w:p>
    <w:p w14:paraId="037B77BE" w14:textId="77777777" w:rsidR="0036021B" w:rsidRPr="00D63441" w:rsidRDefault="0036021B" w:rsidP="0036021B"/>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4"/>
        <w:gridCol w:w="1080"/>
        <w:gridCol w:w="1080"/>
        <w:gridCol w:w="2016"/>
        <w:gridCol w:w="2160"/>
      </w:tblGrid>
      <w:tr w:rsidR="0036021B" w:rsidRPr="00D63441" w14:paraId="73FEDC76" w14:textId="77777777" w:rsidTr="00094A29">
        <w:tc>
          <w:tcPr>
            <w:tcW w:w="2664" w:type="dxa"/>
          </w:tcPr>
          <w:p w14:paraId="32AD7091" w14:textId="77777777" w:rsidR="0036021B" w:rsidRPr="00D63441" w:rsidRDefault="0036021B" w:rsidP="00094A29">
            <w:pPr>
              <w:spacing w:before="60" w:after="60"/>
              <w:ind w:left="0" w:firstLine="0"/>
              <w:jc w:val="center"/>
              <w:rPr>
                <w:sz w:val="22"/>
              </w:rPr>
            </w:pPr>
          </w:p>
          <w:p w14:paraId="42C43B86" w14:textId="77777777" w:rsidR="0036021B" w:rsidRPr="00D63441" w:rsidRDefault="0036021B" w:rsidP="00094A29">
            <w:pPr>
              <w:spacing w:before="60" w:after="60"/>
              <w:ind w:left="0" w:firstLine="0"/>
              <w:jc w:val="center"/>
              <w:rPr>
                <w:sz w:val="22"/>
              </w:rPr>
            </w:pPr>
            <w:r w:rsidRPr="00D63441">
              <w:rPr>
                <w:sz w:val="22"/>
              </w:rPr>
              <w:t>Nom des monnaies</w:t>
            </w:r>
          </w:p>
        </w:tc>
        <w:tc>
          <w:tcPr>
            <w:tcW w:w="1080" w:type="dxa"/>
          </w:tcPr>
          <w:p w14:paraId="7D2C5D24" w14:textId="77777777" w:rsidR="0036021B" w:rsidRPr="00D63441" w:rsidRDefault="0036021B" w:rsidP="00094A29">
            <w:pPr>
              <w:spacing w:before="60" w:after="60"/>
              <w:ind w:left="0" w:firstLine="0"/>
              <w:jc w:val="center"/>
              <w:rPr>
                <w:sz w:val="22"/>
              </w:rPr>
            </w:pPr>
            <w:r w:rsidRPr="00D63441">
              <w:rPr>
                <w:sz w:val="22"/>
              </w:rPr>
              <w:t>A)</w:t>
            </w:r>
          </w:p>
          <w:p w14:paraId="29FE29A3" w14:textId="77777777" w:rsidR="0036021B" w:rsidRPr="00D63441" w:rsidRDefault="0036021B" w:rsidP="00094A29">
            <w:pPr>
              <w:spacing w:before="60" w:after="60"/>
              <w:ind w:left="0" w:firstLine="0"/>
              <w:jc w:val="center"/>
              <w:rPr>
                <w:sz w:val="22"/>
              </w:rPr>
            </w:pPr>
            <w:r w:rsidRPr="00D63441">
              <w:rPr>
                <w:sz w:val="22"/>
              </w:rPr>
              <w:t>Montant</w:t>
            </w:r>
          </w:p>
        </w:tc>
        <w:tc>
          <w:tcPr>
            <w:tcW w:w="1080" w:type="dxa"/>
          </w:tcPr>
          <w:p w14:paraId="169019ED" w14:textId="77777777" w:rsidR="0036021B" w:rsidRPr="00D63441" w:rsidRDefault="0036021B" w:rsidP="00094A29">
            <w:pPr>
              <w:spacing w:before="60" w:after="60"/>
              <w:ind w:left="0" w:firstLine="0"/>
              <w:jc w:val="center"/>
              <w:rPr>
                <w:sz w:val="22"/>
              </w:rPr>
            </w:pPr>
            <w:r w:rsidRPr="00D63441">
              <w:rPr>
                <w:sz w:val="22"/>
              </w:rPr>
              <w:t>B)</w:t>
            </w:r>
          </w:p>
          <w:p w14:paraId="313F460E" w14:textId="77777777" w:rsidR="0036021B" w:rsidRPr="00D63441" w:rsidRDefault="0036021B" w:rsidP="00094A29">
            <w:pPr>
              <w:spacing w:before="60" w:after="60"/>
              <w:ind w:left="0" w:firstLine="0"/>
              <w:jc w:val="center"/>
              <w:rPr>
                <w:sz w:val="22"/>
              </w:rPr>
            </w:pPr>
            <w:r w:rsidRPr="00D63441">
              <w:rPr>
                <w:sz w:val="22"/>
              </w:rPr>
              <w:t>Taux de change</w:t>
            </w:r>
          </w:p>
        </w:tc>
        <w:tc>
          <w:tcPr>
            <w:tcW w:w="2016" w:type="dxa"/>
          </w:tcPr>
          <w:p w14:paraId="636F6053" w14:textId="77777777" w:rsidR="0036021B" w:rsidRPr="00D63441" w:rsidRDefault="0036021B" w:rsidP="00094A29">
            <w:pPr>
              <w:spacing w:before="60" w:after="60"/>
              <w:ind w:left="0" w:firstLine="0"/>
              <w:jc w:val="center"/>
              <w:rPr>
                <w:sz w:val="22"/>
              </w:rPr>
            </w:pPr>
            <w:r w:rsidRPr="00D63441">
              <w:rPr>
                <w:sz w:val="22"/>
              </w:rPr>
              <w:t>C)</w:t>
            </w:r>
          </w:p>
          <w:p w14:paraId="42CF36CE" w14:textId="77777777" w:rsidR="0036021B" w:rsidRPr="00D63441" w:rsidRDefault="0036021B" w:rsidP="00094A29">
            <w:pPr>
              <w:spacing w:before="60" w:after="60"/>
              <w:ind w:left="0" w:firstLine="0"/>
              <w:jc w:val="center"/>
              <w:rPr>
                <w:sz w:val="22"/>
              </w:rPr>
            </w:pPr>
            <w:r w:rsidRPr="00D63441">
              <w:rPr>
                <w:sz w:val="22"/>
              </w:rPr>
              <w:t>Equivalent en monnaie spécifiée dans les DPAO</w:t>
            </w:r>
          </w:p>
          <w:p w14:paraId="227650D5" w14:textId="77777777" w:rsidR="0036021B" w:rsidRPr="00D63441" w:rsidRDefault="0036021B" w:rsidP="00094A29">
            <w:pPr>
              <w:spacing w:before="60" w:after="60"/>
              <w:ind w:left="0" w:firstLine="0"/>
              <w:jc w:val="center"/>
              <w:rPr>
                <w:sz w:val="22"/>
              </w:rPr>
            </w:pPr>
            <w:r w:rsidRPr="00D63441">
              <w:rPr>
                <w:sz w:val="22"/>
              </w:rPr>
              <w:t>(C = A x B)</w:t>
            </w:r>
          </w:p>
        </w:tc>
        <w:tc>
          <w:tcPr>
            <w:tcW w:w="2160" w:type="dxa"/>
          </w:tcPr>
          <w:p w14:paraId="3007C69C" w14:textId="77777777" w:rsidR="0036021B" w:rsidRPr="00D63441" w:rsidRDefault="0036021B" w:rsidP="00094A29">
            <w:pPr>
              <w:spacing w:before="60" w:after="60"/>
              <w:ind w:left="0" w:firstLine="0"/>
              <w:jc w:val="center"/>
              <w:rPr>
                <w:sz w:val="22"/>
              </w:rPr>
            </w:pPr>
            <w:r w:rsidRPr="00D63441">
              <w:rPr>
                <w:sz w:val="22"/>
              </w:rPr>
              <w:t>D)</w:t>
            </w:r>
          </w:p>
          <w:p w14:paraId="355B103C" w14:textId="77777777" w:rsidR="0036021B" w:rsidRPr="00D63441" w:rsidRDefault="0036021B" w:rsidP="00094A29">
            <w:pPr>
              <w:spacing w:before="60" w:after="60"/>
              <w:ind w:left="0" w:firstLine="0"/>
              <w:jc w:val="center"/>
              <w:rPr>
                <w:sz w:val="22"/>
              </w:rPr>
            </w:pPr>
            <w:r w:rsidRPr="00D63441">
              <w:rPr>
                <w:sz w:val="22"/>
              </w:rPr>
              <w:t>Pourcentage du Montant de l’Offre</w:t>
            </w:r>
          </w:p>
          <w:p w14:paraId="018AA52B" w14:textId="77777777" w:rsidR="0036021B" w:rsidRPr="00D63441" w:rsidRDefault="0036021B" w:rsidP="00094A29">
            <w:pPr>
              <w:spacing w:before="60" w:after="60"/>
              <w:ind w:left="0" w:firstLine="0"/>
              <w:jc w:val="center"/>
              <w:rPr>
                <w:sz w:val="22"/>
              </w:rPr>
            </w:pPr>
            <w:r w:rsidRPr="00D63441">
              <w:rPr>
                <w:sz w:val="22"/>
              </w:rPr>
              <w:t>(</w:t>
            </w:r>
            <w:r w:rsidRPr="00D63441">
              <w:rPr>
                <w:sz w:val="22"/>
                <w:u w:val="single"/>
              </w:rPr>
              <w:t>100 x C</w:t>
            </w:r>
            <w:r w:rsidRPr="00D63441">
              <w:rPr>
                <w:sz w:val="22"/>
              </w:rPr>
              <w:t>)</w:t>
            </w:r>
          </w:p>
          <w:p w14:paraId="3EEF0E28" w14:textId="77777777" w:rsidR="0036021B" w:rsidRPr="00D63441" w:rsidRDefault="0036021B" w:rsidP="00094A29">
            <w:pPr>
              <w:spacing w:before="60" w:after="60"/>
              <w:ind w:left="0" w:firstLine="0"/>
              <w:jc w:val="center"/>
              <w:rPr>
                <w:sz w:val="22"/>
              </w:rPr>
            </w:pPr>
            <w:r w:rsidRPr="00D63441">
              <w:rPr>
                <w:sz w:val="22"/>
              </w:rPr>
              <w:t>(Montant de l’offre)</w:t>
            </w:r>
          </w:p>
        </w:tc>
      </w:tr>
      <w:tr w:rsidR="0036021B" w:rsidRPr="00D63441" w14:paraId="097F174C" w14:textId="77777777" w:rsidTr="00094A29">
        <w:tc>
          <w:tcPr>
            <w:tcW w:w="2664" w:type="dxa"/>
          </w:tcPr>
          <w:p w14:paraId="135C8E8F" w14:textId="77777777" w:rsidR="0036021B" w:rsidRPr="00D63441" w:rsidRDefault="0036021B" w:rsidP="00094A29">
            <w:pPr>
              <w:spacing w:before="60" w:after="60"/>
              <w:ind w:left="0" w:firstLine="0"/>
              <w:jc w:val="left"/>
              <w:rPr>
                <w:sz w:val="22"/>
              </w:rPr>
            </w:pPr>
            <w:r w:rsidRPr="00D63441">
              <w:rPr>
                <w:sz w:val="22"/>
              </w:rPr>
              <w:t>Monnaie nationale spécifiée dans les DPAO</w:t>
            </w:r>
          </w:p>
        </w:tc>
        <w:tc>
          <w:tcPr>
            <w:tcW w:w="1080" w:type="dxa"/>
          </w:tcPr>
          <w:p w14:paraId="60D5C8CF" w14:textId="77777777" w:rsidR="0036021B" w:rsidRPr="00D63441" w:rsidRDefault="0036021B" w:rsidP="00094A29">
            <w:pPr>
              <w:tabs>
                <w:tab w:val="decimal" w:pos="546"/>
              </w:tabs>
              <w:spacing w:before="60" w:after="60"/>
              <w:ind w:left="0" w:firstLine="0"/>
              <w:jc w:val="left"/>
              <w:rPr>
                <w:sz w:val="22"/>
              </w:rPr>
            </w:pPr>
          </w:p>
        </w:tc>
        <w:tc>
          <w:tcPr>
            <w:tcW w:w="1080" w:type="dxa"/>
          </w:tcPr>
          <w:p w14:paraId="04858445" w14:textId="77777777" w:rsidR="0036021B" w:rsidRPr="00D63441" w:rsidRDefault="0036021B" w:rsidP="00094A29">
            <w:pPr>
              <w:tabs>
                <w:tab w:val="decimal" w:pos="546"/>
              </w:tabs>
              <w:spacing w:before="60" w:after="60"/>
              <w:ind w:left="0" w:firstLine="0"/>
              <w:jc w:val="left"/>
              <w:rPr>
                <w:sz w:val="22"/>
              </w:rPr>
            </w:pPr>
          </w:p>
        </w:tc>
        <w:tc>
          <w:tcPr>
            <w:tcW w:w="2016" w:type="dxa"/>
          </w:tcPr>
          <w:p w14:paraId="11300118" w14:textId="77777777" w:rsidR="0036021B" w:rsidRPr="00D63441" w:rsidRDefault="0036021B" w:rsidP="00094A29">
            <w:pPr>
              <w:tabs>
                <w:tab w:val="decimal" w:pos="1086"/>
              </w:tabs>
              <w:spacing w:before="60" w:after="60"/>
              <w:ind w:left="0" w:firstLine="0"/>
              <w:jc w:val="left"/>
              <w:rPr>
                <w:sz w:val="22"/>
              </w:rPr>
            </w:pPr>
          </w:p>
        </w:tc>
        <w:tc>
          <w:tcPr>
            <w:tcW w:w="2160" w:type="dxa"/>
          </w:tcPr>
          <w:p w14:paraId="79A6A7C5" w14:textId="77777777" w:rsidR="0036021B" w:rsidRPr="00D63441" w:rsidRDefault="0036021B" w:rsidP="00094A29">
            <w:pPr>
              <w:tabs>
                <w:tab w:val="decimal" w:pos="1230"/>
              </w:tabs>
              <w:spacing w:before="60" w:after="60"/>
              <w:ind w:left="0" w:firstLine="0"/>
              <w:jc w:val="left"/>
              <w:rPr>
                <w:sz w:val="22"/>
              </w:rPr>
            </w:pPr>
          </w:p>
        </w:tc>
      </w:tr>
      <w:tr w:rsidR="0036021B" w:rsidRPr="00D63441" w14:paraId="25826957" w14:textId="77777777" w:rsidTr="00094A29">
        <w:tc>
          <w:tcPr>
            <w:tcW w:w="2664" w:type="dxa"/>
          </w:tcPr>
          <w:p w14:paraId="2BBD0DE2" w14:textId="2E31B801" w:rsidR="0036021B" w:rsidRPr="00D63441" w:rsidRDefault="0036021B" w:rsidP="00094A29">
            <w:pPr>
              <w:spacing w:before="60" w:after="60"/>
              <w:ind w:left="0" w:firstLine="0"/>
              <w:rPr>
                <w:sz w:val="22"/>
              </w:rPr>
            </w:pPr>
          </w:p>
        </w:tc>
        <w:tc>
          <w:tcPr>
            <w:tcW w:w="1080" w:type="dxa"/>
          </w:tcPr>
          <w:p w14:paraId="0ECA5F09" w14:textId="77777777" w:rsidR="0036021B" w:rsidRPr="00D63441" w:rsidRDefault="0036021B" w:rsidP="00094A29">
            <w:pPr>
              <w:tabs>
                <w:tab w:val="decimal" w:pos="546"/>
              </w:tabs>
              <w:spacing w:before="60" w:after="60"/>
              <w:ind w:left="0" w:firstLine="0"/>
              <w:jc w:val="left"/>
              <w:rPr>
                <w:sz w:val="22"/>
              </w:rPr>
            </w:pPr>
          </w:p>
        </w:tc>
        <w:tc>
          <w:tcPr>
            <w:tcW w:w="1080" w:type="dxa"/>
          </w:tcPr>
          <w:p w14:paraId="04AC9E23" w14:textId="77777777" w:rsidR="0036021B" w:rsidRPr="00D63441" w:rsidRDefault="0036021B" w:rsidP="00094A29">
            <w:pPr>
              <w:tabs>
                <w:tab w:val="decimal" w:pos="546"/>
              </w:tabs>
              <w:spacing w:before="60" w:after="60"/>
              <w:ind w:left="0" w:firstLine="0"/>
              <w:jc w:val="left"/>
              <w:rPr>
                <w:sz w:val="22"/>
              </w:rPr>
            </w:pPr>
          </w:p>
        </w:tc>
        <w:tc>
          <w:tcPr>
            <w:tcW w:w="2016" w:type="dxa"/>
          </w:tcPr>
          <w:p w14:paraId="6D3B4B3A" w14:textId="77777777" w:rsidR="0036021B" w:rsidRPr="00D63441" w:rsidRDefault="0036021B" w:rsidP="00094A29">
            <w:pPr>
              <w:tabs>
                <w:tab w:val="decimal" w:pos="1086"/>
              </w:tabs>
              <w:spacing w:before="60" w:after="60"/>
              <w:ind w:left="0" w:firstLine="0"/>
              <w:jc w:val="left"/>
              <w:rPr>
                <w:sz w:val="22"/>
              </w:rPr>
            </w:pPr>
          </w:p>
        </w:tc>
        <w:tc>
          <w:tcPr>
            <w:tcW w:w="2160" w:type="dxa"/>
          </w:tcPr>
          <w:p w14:paraId="16C1D7D9" w14:textId="77777777" w:rsidR="0036021B" w:rsidRPr="00D63441" w:rsidRDefault="0036021B" w:rsidP="00094A29">
            <w:pPr>
              <w:tabs>
                <w:tab w:val="decimal" w:pos="1230"/>
              </w:tabs>
              <w:spacing w:before="60" w:after="60"/>
              <w:ind w:left="0" w:firstLine="0"/>
              <w:jc w:val="left"/>
              <w:rPr>
                <w:sz w:val="22"/>
              </w:rPr>
            </w:pPr>
          </w:p>
        </w:tc>
      </w:tr>
      <w:tr w:rsidR="0036021B" w:rsidRPr="00D63441" w14:paraId="4F1D085F" w14:textId="77777777" w:rsidTr="00094A29">
        <w:tc>
          <w:tcPr>
            <w:tcW w:w="2664" w:type="dxa"/>
          </w:tcPr>
          <w:p w14:paraId="170FE95A" w14:textId="77777777" w:rsidR="0036021B" w:rsidRPr="00D63441" w:rsidRDefault="0036021B" w:rsidP="00094A29">
            <w:pPr>
              <w:spacing w:before="60" w:after="60"/>
              <w:ind w:left="0" w:firstLine="0"/>
              <w:rPr>
                <w:sz w:val="22"/>
              </w:rPr>
            </w:pPr>
            <w:r w:rsidRPr="00D63441">
              <w:rPr>
                <w:sz w:val="22"/>
              </w:rPr>
              <w:t>Monnaie étrangère 3</w:t>
            </w:r>
          </w:p>
        </w:tc>
        <w:tc>
          <w:tcPr>
            <w:tcW w:w="1080" w:type="dxa"/>
          </w:tcPr>
          <w:p w14:paraId="5877E4C1" w14:textId="77777777" w:rsidR="0036021B" w:rsidRPr="00D63441" w:rsidRDefault="0036021B" w:rsidP="00094A29">
            <w:pPr>
              <w:tabs>
                <w:tab w:val="decimal" w:pos="546"/>
              </w:tabs>
              <w:spacing w:before="60" w:after="60"/>
              <w:ind w:left="0" w:firstLine="0"/>
              <w:jc w:val="left"/>
              <w:rPr>
                <w:sz w:val="22"/>
              </w:rPr>
            </w:pPr>
          </w:p>
        </w:tc>
        <w:tc>
          <w:tcPr>
            <w:tcW w:w="1080" w:type="dxa"/>
          </w:tcPr>
          <w:p w14:paraId="0A8FAFC3" w14:textId="77777777" w:rsidR="0036021B" w:rsidRPr="00D63441" w:rsidRDefault="0036021B" w:rsidP="00094A29">
            <w:pPr>
              <w:tabs>
                <w:tab w:val="decimal" w:pos="546"/>
              </w:tabs>
              <w:spacing w:before="60" w:after="60"/>
              <w:ind w:left="0" w:firstLine="0"/>
              <w:jc w:val="left"/>
              <w:rPr>
                <w:sz w:val="22"/>
              </w:rPr>
            </w:pPr>
          </w:p>
        </w:tc>
        <w:tc>
          <w:tcPr>
            <w:tcW w:w="2016" w:type="dxa"/>
          </w:tcPr>
          <w:p w14:paraId="455671AE" w14:textId="77777777" w:rsidR="0036021B" w:rsidRPr="00D63441" w:rsidRDefault="0036021B" w:rsidP="00094A29">
            <w:pPr>
              <w:tabs>
                <w:tab w:val="decimal" w:pos="1086"/>
              </w:tabs>
              <w:spacing w:before="60" w:after="60"/>
              <w:ind w:left="0" w:firstLine="0"/>
              <w:jc w:val="left"/>
              <w:rPr>
                <w:sz w:val="22"/>
              </w:rPr>
            </w:pPr>
          </w:p>
        </w:tc>
        <w:tc>
          <w:tcPr>
            <w:tcW w:w="2160" w:type="dxa"/>
          </w:tcPr>
          <w:p w14:paraId="2053EFA3" w14:textId="77777777" w:rsidR="0036021B" w:rsidRPr="00D63441" w:rsidRDefault="0036021B" w:rsidP="00094A29">
            <w:pPr>
              <w:tabs>
                <w:tab w:val="decimal" w:pos="1230"/>
              </w:tabs>
              <w:spacing w:before="60" w:after="60"/>
              <w:ind w:left="0" w:firstLine="0"/>
              <w:jc w:val="left"/>
              <w:rPr>
                <w:sz w:val="22"/>
              </w:rPr>
            </w:pPr>
          </w:p>
        </w:tc>
      </w:tr>
      <w:tr w:rsidR="00C278BD" w:rsidRPr="00C278BD" w14:paraId="44FACF29" w14:textId="77777777" w:rsidTr="00094A29">
        <w:tc>
          <w:tcPr>
            <w:tcW w:w="2664" w:type="dxa"/>
          </w:tcPr>
          <w:p w14:paraId="27D6FB48" w14:textId="77777777" w:rsidR="0036021B" w:rsidRPr="00C278BD" w:rsidRDefault="0036021B" w:rsidP="00094A29">
            <w:pPr>
              <w:spacing w:before="60" w:after="60"/>
              <w:ind w:left="0" w:firstLine="0"/>
              <w:jc w:val="left"/>
              <w:rPr>
                <w:sz w:val="22"/>
              </w:rPr>
            </w:pPr>
            <w:r w:rsidRPr="00C278BD">
              <w:rPr>
                <w:sz w:val="22"/>
              </w:rPr>
              <w:t>Sommes à valoir exprimées en monnaie nationale</w:t>
            </w:r>
            <w:r w:rsidRPr="00C278BD">
              <w:rPr>
                <w:sz w:val="22"/>
                <w:vertAlign w:val="superscript"/>
              </w:rPr>
              <w:t xml:space="preserve"> (</w:t>
            </w:r>
            <w:r w:rsidRPr="00C278BD">
              <w:rPr>
                <w:rStyle w:val="Appelnotedebasdep"/>
                <w:sz w:val="22"/>
              </w:rPr>
              <w:footnoteReference w:id="17"/>
            </w:r>
            <w:r w:rsidRPr="00C278BD">
              <w:rPr>
                <w:sz w:val="22"/>
                <w:vertAlign w:val="superscript"/>
              </w:rPr>
              <w:t>)</w:t>
            </w:r>
          </w:p>
        </w:tc>
        <w:tc>
          <w:tcPr>
            <w:tcW w:w="1080" w:type="dxa"/>
          </w:tcPr>
          <w:p w14:paraId="7D72B9AB" w14:textId="77777777" w:rsidR="0036021B" w:rsidRPr="00C278BD" w:rsidRDefault="0036021B" w:rsidP="00094A29">
            <w:pPr>
              <w:tabs>
                <w:tab w:val="decimal" w:pos="546"/>
              </w:tabs>
              <w:spacing w:before="60" w:after="60"/>
              <w:ind w:left="0" w:firstLine="0"/>
              <w:jc w:val="left"/>
              <w:rPr>
                <w:sz w:val="22"/>
              </w:rPr>
            </w:pPr>
          </w:p>
        </w:tc>
        <w:tc>
          <w:tcPr>
            <w:tcW w:w="1080" w:type="dxa"/>
          </w:tcPr>
          <w:p w14:paraId="3549BE06" w14:textId="77777777" w:rsidR="0036021B" w:rsidRPr="00C278BD" w:rsidRDefault="0036021B" w:rsidP="00094A29">
            <w:pPr>
              <w:tabs>
                <w:tab w:val="decimal" w:pos="546"/>
              </w:tabs>
              <w:spacing w:before="60" w:after="60"/>
              <w:ind w:left="0" w:firstLine="0"/>
              <w:jc w:val="left"/>
              <w:rPr>
                <w:sz w:val="22"/>
              </w:rPr>
            </w:pPr>
          </w:p>
        </w:tc>
        <w:tc>
          <w:tcPr>
            <w:tcW w:w="2016" w:type="dxa"/>
          </w:tcPr>
          <w:p w14:paraId="690BAB0B" w14:textId="77777777" w:rsidR="0036021B" w:rsidRPr="00C278BD" w:rsidRDefault="0036021B" w:rsidP="00094A29">
            <w:pPr>
              <w:tabs>
                <w:tab w:val="decimal" w:pos="1086"/>
              </w:tabs>
              <w:spacing w:before="60" w:after="60"/>
              <w:ind w:left="0" w:firstLine="0"/>
              <w:jc w:val="left"/>
              <w:rPr>
                <w:sz w:val="22"/>
              </w:rPr>
            </w:pPr>
          </w:p>
        </w:tc>
        <w:tc>
          <w:tcPr>
            <w:tcW w:w="2160" w:type="dxa"/>
          </w:tcPr>
          <w:p w14:paraId="7FADAE0B" w14:textId="77777777" w:rsidR="0036021B" w:rsidRPr="00C278BD" w:rsidRDefault="0036021B" w:rsidP="00094A29">
            <w:pPr>
              <w:tabs>
                <w:tab w:val="decimal" w:pos="1230"/>
              </w:tabs>
              <w:spacing w:before="60" w:after="60"/>
              <w:ind w:left="0" w:firstLine="0"/>
              <w:jc w:val="left"/>
              <w:rPr>
                <w:sz w:val="22"/>
              </w:rPr>
            </w:pPr>
          </w:p>
        </w:tc>
      </w:tr>
      <w:tr w:rsidR="00C278BD" w:rsidRPr="00C278BD" w14:paraId="7FC30CA7" w14:textId="77777777" w:rsidTr="00094A29">
        <w:tc>
          <w:tcPr>
            <w:tcW w:w="2664" w:type="dxa"/>
          </w:tcPr>
          <w:p w14:paraId="64EA38C6" w14:textId="77777777" w:rsidR="0036021B" w:rsidRPr="00C278BD" w:rsidRDefault="0036021B" w:rsidP="00094A29">
            <w:pPr>
              <w:suppressAutoHyphens/>
              <w:spacing w:before="60" w:after="60"/>
              <w:ind w:left="0" w:firstLine="0"/>
              <w:jc w:val="left"/>
              <w:rPr>
                <w:b/>
                <w:bCs/>
                <w:iCs/>
                <w:sz w:val="22"/>
                <w:szCs w:val="22"/>
              </w:rPr>
            </w:pPr>
            <w:r w:rsidRPr="00C278BD">
              <w:rPr>
                <w:b/>
                <w:bCs/>
                <w:iCs/>
                <w:sz w:val="22"/>
                <w:szCs w:val="22"/>
              </w:rPr>
              <w:t>Omettre si non applicable :</w:t>
            </w:r>
          </w:p>
          <w:p w14:paraId="0890FED1" w14:textId="77777777" w:rsidR="0036021B" w:rsidRPr="00C278BD" w:rsidRDefault="0036021B" w:rsidP="00094A29">
            <w:pPr>
              <w:spacing w:before="60" w:after="60"/>
              <w:ind w:left="0" w:firstLine="0"/>
              <w:jc w:val="left"/>
              <w:rPr>
                <w:sz w:val="22"/>
              </w:rPr>
            </w:pPr>
            <w:r w:rsidRPr="00C278BD">
              <w:rPr>
                <w:bCs/>
                <w:iCs/>
                <w:sz w:val="22"/>
                <w:szCs w:val="22"/>
              </w:rPr>
              <w:lastRenderedPageBreak/>
              <w:t>Sommes provisionnelles additionnelles, libellées en monnaie locale, pour des résultats ESHS</w:t>
            </w:r>
          </w:p>
        </w:tc>
        <w:tc>
          <w:tcPr>
            <w:tcW w:w="1080" w:type="dxa"/>
          </w:tcPr>
          <w:p w14:paraId="3D8C4735" w14:textId="77777777" w:rsidR="0036021B" w:rsidRPr="00C278BD" w:rsidRDefault="0036021B" w:rsidP="00094A29">
            <w:pPr>
              <w:tabs>
                <w:tab w:val="decimal" w:pos="918"/>
              </w:tabs>
              <w:suppressAutoHyphens/>
              <w:spacing w:before="60" w:after="60"/>
              <w:rPr>
                <w:sz w:val="22"/>
                <w:szCs w:val="22"/>
              </w:rPr>
            </w:pPr>
          </w:p>
          <w:p w14:paraId="49948755" w14:textId="77777777" w:rsidR="0036021B" w:rsidRPr="00C278BD" w:rsidRDefault="0036021B" w:rsidP="00094A29">
            <w:pPr>
              <w:tabs>
                <w:tab w:val="decimal" w:pos="546"/>
              </w:tabs>
              <w:spacing w:before="60" w:after="60"/>
              <w:ind w:left="0" w:firstLine="0"/>
              <w:jc w:val="left"/>
              <w:rPr>
                <w:sz w:val="22"/>
              </w:rPr>
            </w:pPr>
            <w:r w:rsidRPr="00C278BD">
              <w:rPr>
                <w:i/>
                <w:sz w:val="22"/>
                <w:szCs w:val="22"/>
              </w:rPr>
              <w:t xml:space="preserve">[A </w:t>
            </w:r>
            <w:r w:rsidRPr="00C278BD">
              <w:rPr>
                <w:i/>
                <w:sz w:val="22"/>
                <w:szCs w:val="22"/>
              </w:rPr>
              <w:lastRenderedPageBreak/>
              <w:t>compléter par le Maître de l’Ouvrage]</w:t>
            </w:r>
          </w:p>
        </w:tc>
        <w:tc>
          <w:tcPr>
            <w:tcW w:w="1080" w:type="dxa"/>
          </w:tcPr>
          <w:p w14:paraId="6218A1DE" w14:textId="77777777" w:rsidR="0036021B" w:rsidRPr="00C278BD" w:rsidRDefault="0036021B" w:rsidP="00094A29">
            <w:pPr>
              <w:tabs>
                <w:tab w:val="decimal" w:pos="546"/>
              </w:tabs>
              <w:spacing w:before="60" w:after="60"/>
              <w:ind w:left="0" w:firstLine="0"/>
              <w:jc w:val="left"/>
              <w:rPr>
                <w:sz w:val="22"/>
              </w:rPr>
            </w:pPr>
          </w:p>
        </w:tc>
        <w:tc>
          <w:tcPr>
            <w:tcW w:w="2016" w:type="dxa"/>
          </w:tcPr>
          <w:p w14:paraId="6606A141" w14:textId="77777777" w:rsidR="0036021B" w:rsidRPr="00C278BD" w:rsidRDefault="0036021B" w:rsidP="00094A29">
            <w:pPr>
              <w:tabs>
                <w:tab w:val="decimal" w:pos="1098"/>
              </w:tabs>
              <w:suppressAutoHyphens/>
              <w:spacing w:before="60" w:after="60"/>
              <w:rPr>
                <w:sz w:val="22"/>
                <w:szCs w:val="22"/>
              </w:rPr>
            </w:pPr>
          </w:p>
          <w:p w14:paraId="27653220" w14:textId="77777777" w:rsidR="0036021B" w:rsidRPr="00C278BD" w:rsidRDefault="0036021B" w:rsidP="00094A29">
            <w:pPr>
              <w:tabs>
                <w:tab w:val="decimal" w:pos="1086"/>
              </w:tabs>
              <w:spacing w:before="60" w:after="60"/>
              <w:ind w:left="0" w:firstLine="0"/>
              <w:jc w:val="left"/>
              <w:rPr>
                <w:sz w:val="22"/>
              </w:rPr>
            </w:pPr>
            <w:r w:rsidRPr="00C278BD">
              <w:rPr>
                <w:i/>
                <w:sz w:val="22"/>
                <w:szCs w:val="22"/>
              </w:rPr>
              <w:t xml:space="preserve">[A compléter par le </w:t>
            </w:r>
            <w:r w:rsidRPr="00C278BD">
              <w:rPr>
                <w:i/>
                <w:sz w:val="22"/>
                <w:szCs w:val="22"/>
              </w:rPr>
              <w:lastRenderedPageBreak/>
              <w:t>Maître de l’Ouvrage]</w:t>
            </w:r>
          </w:p>
        </w:tc>
        <w:tc>
          <w:tcPr>
            <w:tcW w:w="2160" w:type="dxa"/>
          </w:tcPr>
          <w:p w14:paraId="7040C499" w14:textId="77777777" w:rsidR="0036021B" w:rsidRPr="00C278BD" w:rsidRDefault="0036021B" w:rsidP="00094A29">
            <w:pPr>
              <w:tabs>
                <w:tab w:val="decimal" w:pos="1230"/>
              </w:tabs>
              <w:spacing w:before="60" w:after="60"/>
              <w:ind w:left="0" w:firstLine="0"/>
              <w:jc w:val="left"/>
              <w:rPr>
                <w:sz w:val="22"/>
              </w:rPr>
            </w:pPr>
          </w:p>
        </w:tc>
      </w:tr>
      <w:tr w:rsidR="0036021B" w:rsidRPr="00C278BD" w14:paraId="283963CC" w14:textId="77777777" w:rsidTr="00094A29">
        <w:tc>
          <w:tcPr>
            <w:tcW w:w="2664" w:type="dxa"/>
          </w:tcPr>
          <w:p w14:paraId="78C9523C" w14:textId="77777777" w:rsidR="0036021B" w:rsidRPr="00C278BD" w:rsidRDefault="0036021B" w:rsidP="00094A29">
            <w:pPr>
              <w:spacing w:before="60" w:after="60"/>
              <w:rPr>
                <w:sz w:val="22"/>
              </w:rPr>
            </w:pPr>
            <w:r w:rsidRPr="00C278BD">
              <w:rPr>
                <w:sz w:val="22"/>
              </w:rPr>
              <w:lastRenderedPageBreak/>
              <w:t>Total</w:t>
            </w:r>
          </w:p>
        </w:tc>
        <w:tc>
          <w:tcPr>
            <w:tcW w:w="1080" w:type="dxa"/>
          </w:tcPr>
          <w:p w14:paraId="5E64B378" w14:textId="77777777" w:rsidR="0036021B" w:rsidRPr="00C278BD" w:rsidRDefault="0036021B" w:rsidP="00094A29">
            <w:pPr>
              <w:tabs>
                <w:tab w:val="decimal" w:pos="546"/>
              </w:tabs>
              <w:spacing w:before="60" w:after="60"/>
              <w:rPr>
                <w:sz w:val="22"/>
              </w:rPr>
            </w:pPr>
          </w:p>
        </w:tc>
        <w:tc>
          <w:tcPr>
            <w:tcW w:w="1080" w:type="dxa"/>
          </w:tcPr>
          <w:p w14:paraId="5845DD2E" w14:textId="77777777" w:rsidR="0036021B" w:rsidRPr="00C278BD" w:rsidRDefault="0036021B" w:rsidP="00094A29">
            <w:pPr>
              <w:tabs>
                <w:tab w:val="decimal" w:pos="546"/>
              </w:tabs>
              <w:spacing w:before="60" w:after="60"/>
              <w:rPr>
                <w:sz w:val="22"/>
              </w:rPr>
            </w:pPr>
          </w:p>
        </w:tc>
        <w:tc>
          <w:tcPr>
            <w:tcW w:w="2016" w:type="dxa"/>
          </w:tcPr>
          <w:p w14:paraId="0B431EB5" w14:textId="77777777" w:rsidR="0036021B" w:rsidRPr="00C278BD" w:rsidRDefault="0036021B" w:rsidP="00094A29">
            <w:pPr>
              <w:spacing w:before="60" w:after="60"/>
              <w:rPr>
                <w:sz w:val="22"/>
              </w:rPr>
            </w:pPr>
            <w:r w:rsidRPr="00C278BD">
              <w:rPr>
                <w:sz w:val="22"/>
              </w:rPr>
              <w:t>(Montant de l’offre)</w:t>
            </w:r>
          </w:p>
        </w:tc>
        <w:tc>
          <w:tcPr>
            <w:tcW w:w="2160" w:type="dxa"/>
          </w:tcPr>
          <w:p w14:paraId="28FDB5EF" w14:textId="77777777" w:rsidR="0036021B" w:rsidRPr="00C278BD" w:rsidRDefault="0036021B" w:rsidP="00094A29">
            <w:pPr>
              <w:tabs>
                <w:tab w:val="decimal" w:pos="1230"/>
              </w:tabs>
              <w:spacing w:before="60" w:after="60"/>
              <w:rPr>
                <w:sz w:val="22"/>
              </w:rPr>
            </w:pPr>
            <w:r w:rsidRPr="00C278BD">
              <w:rPr>
                <w:sz w:val="22"/>
              </w:rPr>
              <w:t>100</w:t>
            </w:r>
          </w:p>
        </w:tc>
      </w:tr>
    </w:tbl>
    <w:p w14:paraId="3CB65802" w14:textId="77777777" w:rsidR="0036021B" w:rsidRPr="00C278BD" w:rsidRDefault="0036021B" w:rsidP="0036021B"/>
    <w:p w14:paraId="3A5B28D5" w14:textId="77777777" w:rsidR="0036021B" w:rsidRPr="00C278BD" w:rsidRDefault="0036021B" w:rsidP="0036021B">
      <w:pPr>
        <w:tabs>
          <w:tab w:val="left" w:pos="360"/>
        </w:tabs>
        <w:ind w:left="360" w:hanging="360"/>
        <w:rPr>
          <w:sz w:val="22"/>
        </w:rPr>
      </w:pPr>
      <w:r w:rsidRPr="00C278BD">
        <w:rPr>
          <w:sz w:val="22"/>
        </w:rPr>
        <w:t>Signature du Soumissionnaire</w:t>
      </w:r>
    </w:p>
    <w:bookmarkEnd w:id="468"/>
    <w:bookmarkEnd w:id="469"/>
    <w:p w14:paraId="443EBB95" w14:textId="77777777" w:rsidR="00E223D0" w:rsidRPr="00C278BD" w:rsidRDefault="00E223D0" w:rsidP="00E223D0">
      <w:pPr>
        <w:spacing w:after="0"/>
        <w:ind w:left="0" w:firstLine="0"/>
        <w:jc w:val="left"/>
        <w:rPr>
          <w:szCs w:val="24"/>
          <w:highlight w:val="yellow"/>
          <w:lang w:eastAsia="en-US"/>
        </w:rPr>
      </w:pPr>
    </w:p>
    <w:p w14:paraId="0BD43A4C" w14:textId="61923003" w:rsidR="0036021B" w:rsidRPr="00A67F27" w:rsidRDefault="00E223D0" w:rsidP="0036021B">
      <w:pPr>
        <w:tabs>
          <w:tab w:val="left" w:pos="360"/>
        </w:tabs>
        <w:ind w:left="360" w:hanging="360"/>
        <w:jc w:val="center"/>
        <w:rPr>
          <w:b/>
          <w:sz w:val="32"/>
          <w:szCs w:val="32"/>
        </w:rPr>
      </w:pPr>
      <w:r w:rsidRPr="00A67F27">
        <w:rPr>
          <w:b/>
          <w:sz w:val="32"/>
          <w:szCs w:val="24"/>
          <w:highlight w:val="yellow"/>
          <w:lang w:eastAsia="en-US"/>
        </w:rPr>
        <w:br w:type="page"/>
      </w:r>
      <w:bookmarkEnd w:id="466"/>
      <w:r w:rsidR="0036021B" w:rsidRPr="00A67F27">
        <w:rPr>
          <w:b/>
          <w:sz w:val="32"/>
          <w:szCs w:val="32"/>
        </w:rPr>
        <w:lastRenderedPageBreak/>
        <w:t>Annexe 3 de la Partie financière</w:t>
      </w:r>
    </w:p>
    <w:p w14:paraId="67CD3D2A" w14:textId="77777777" w:rsidR="0036021B" w:rsidRPr="00A67F27" w:rsidRDefault="0036021B" w:rsidP="0036021B">
      <w:pPr>
        <w:tabs>
          <w:tab w:val="left" w:pos="360"/>
        </w:tabs>
        <w:ind w:left="360" w:hanging="360"/>
        <w:jc w:val="center"/>
        <w:rPr>
          <w:b/>
          <w:sz w:val="32"/>
          <w:szCs w:val="32"/>
        </w:rPr>
      </w:pPr>
      <w:r w:rsidRPr="00A67F27">
        <w:rPr>
          <w:b/>
          <w:sz w:val="32"/>
          <w:szCs w:val="32"/>
        </w:rPr>
        <w:t>Données relatives à la révision des prix</w:t>
      </w:r>
    </w:p>
    <w:p w14:paraId="020EEE0E" w14:textId="72218ABE" w:rsidR="00BF59B9" w:rsidRPr="00A67F27" w:rsidRDefault="005713AD" w:rsidP="00F6605F">
      <w:pPr>
        <w:jc w:val="center"/>
        <w:rPr>
          <w:b/>
        </w:rPr>
      </w:pPr>
      <w:r>
        <w:rPr>
          <w:b/>
        </w:rPr>
        <w:t>Non Applicable</w:t>
      </w:r>
    </w:p>
    <w:p w14:paraId="2053F2AD" w14:textId="208CE006" w:rsidR="00E223D0" w:rsidRPr="00A67F27" w:rsidRDefault="00E223D0" w:rsidP="0036021B">
      <w:pPr>
        <w:spacing w:before="120" w:after="240"/>
        <w:ind w:left="0" w:firstLine="0"/>
        <w:jc w:val="center"/>
        <w:rPr>
          <w:szCs w:val="24"/>
          <w:highlight w:val="yellow"/>
          <w:lang w:eastAsia="en-US"/>
        </w:rPr>
      </w:pPr>
    </w:p>
    <w:tbl>
      <w:tblPr>
        <w:tblW w:w="0" w:type="auto"/>
        <w:tblLayout w:type="fixed"/>
        <w:tblLook w:val="0000" w:firstRow="0" w:lastRow="0" w:firstColumn="0" w:lastColumn="0" w:noHBand="0" w:noVBand="0"/>
      </w:tblPr>
      <w:tblGrid>
        <w:gridCol w:w="9198"/>
      </w:tblGrid>
      <w:tr w:rsidR="0036021B" w:rsidRPr="00A67F27" w14:paraId="0687D627" w14:textId="77777777" w:rsidTr="00094A29">
        <w:trPr>
          <w:trHeight w:val="900"/>
        </w:trPr>
        <w:tc>
          <w:tcPr>
            <w:tcW w:w="9198" w:type="dxa"/>
            <w:tcBorders>
              <w:top w:val="nil"/>
              <w:left w:val="nil"/>
              <w:bottom w:val="nil"/>
              <w:right w:val="nil"/>
            </w:tcBorders>
          </w:tcPr>
          <w:p w14:paraId="42A03C42" w14:textId="77777777" w:rsidR="0036021B" w:rsidRDefault="0036021B" w:rsidP="00094A29">
            <w:pPr>
              <w:pStyle w:val="Style7"/>
            </w:pPr>
            <w:bookmarkStart w:id="470" w:name="_Toc473887069"/>
            <w:bookmarkStart w:id="471" w:name="_Toc488658186"/>
            <w:r w:rsidRPr="00A67F27">
              <w:br w:type="page"/>
            </w:r>
            <w:bookmarkStart w:id="472" w:name="_Toc327863894"/>
            <w:bookmarkStart w:id="473" w:name="_Toc479112144"/>
            <w:r w:rsidRPr="00A67F27">
              <w:t xml:space="preserve"> Modèle de garantie d’offre (garantie bancaire)</w:t>
            </w:r>
            <w:bookmarkEnd w:id="472"/>
            <w:bookmarkEnd w:id="473"/>
          </w:p>
          <w:p w14:paraId="409DF334" w14:textId="60C2F65B" w:rsidR="004B0723" w:rsidRPr="00A67F27" w:rsidRDefault="004B0723" w:rsidP="00094A29">
            <w:pPr>
              <w:pStyle w:val="Style7"/>
            </w:pPr>
            <w:r>
              <w:t>Non Applicable</w:t>
            </w:r>
          </w:p>
        </w:tc>
      </w:tr>
    </w:tbl>
    <w:p w14:paraId="242F5BDA" w14:textId="77777777" w:rsidR="0036021B" w:rsidRPr="00A67F27" w:rsidRDefault="0036021B" w:rsidP="0036021B">
      <w:pPr>
        <w:tabs>
          <w:tab w:val="right" w:pos="9000"/>
        </w:tabs>
        <w:rPr>
          <w:b/>
        </w:rPr>
      </w:pPr>
      <w:r w:rsidRPr="00A67F27">
        <w:rPr>
          <w:i/>
          <w:iCs/>
        </w:rPr>
        <w:t>[La banque remplit ce modèle de garantie d’offre conformément aux indications entre crochets]</w:t>
      </w:r>
      <w:r w:rsidRPr="00A67F27">
        <w:rPr>
          <w:b/>
        </w:rPr>
        <w:t xml:space="preserve"> </w:t>
      </w:r>
    </w:p>
    <w:p w14:paraId="47E39130" w14:textId="77777777" w:rsidR="0036021B" w:rsidRPr="00A67F27" w:rsidRDefault="0036021B" w:rsidP="0036021B">
      <w:pPr>
        <w:rPr>
          <w:bCs/>
          <w:i/>
          <w:iCs/>
        </w:rPr>
      </w:pPr>
      <w:r w:rsidRPr="00A67F27">
        <w:rPr>
          <w:bCs/>
          <w:i/>
          <w:iCs/>
        </w:rPr>
        <w:t>[</w:t>
      </w:r>
      <w:proofErr w:type="gramStart"/>
      <w:r w:rsidRPr="00A67F27">
        <w:rPr>
          <w:bCs/>
          <w:i/>
          <w:iCs/>
          <w:szCs w:val="24"/>
        </w:rPr>
        <w:t>insérer</w:t>
      </w:r>
      <w:proofErr w:type="gramEnd"/>
      <w:r w:rsidRPr="00A67F27">
        <w:rPr>
          <w:bCs/>
          <w:i/>
          <w:iCs/>
          <w:szCs w:val="24"/>
        </w:rPr>
        <w:t xml:space="preserve"> le nom de la banque, et l’adresse de l’agence émettrice]</w:t>
      </w:r>
    </w:p>
    <w:p w14:paraId="0045B3DC" w14:textId="77777777" w:rsidR="0036021B" w:rsidRPr="00A67F27" w:rsidRDefault="0036021B" w:rsidP="0036021B">
      <w:pPr>
        <w:rPr>
          <w:bCs/>
          <w:i/>
          <w:iCs/>
        </w:rPr>
      </w:pPr>
      <w:r w:rsidRPr="00A67F27">
        <w:rPr>
          <w:b/>
          <w:bCs/>
        </w:rPr>
        <w:t>Bénéficiaire :</w:t>
      </w:r>
      <w:r w:rsidRPr="00A67F27">
        <w:rPr>
          <w:bCs/>
          <w:i/>
          <w:iCs/>
        </w:rPr>
        <w:t xml:space="preserve"> </w:t>
      </w:r>
      <w:r w:rsidRPr="00A67F27">
        <w:rPr>
          <w:bCs/>
          <w:i/>
          <w:iCs/>
          <w:szCs w:val="24"/>
        </w:rPr>
        <w:t>[insérer nom et adresse du Maître de l’Ouvrage]</w:t>
      </w:r>
      <w:r w:rsidRPr="00A67F27">
        <w:rPr>
          <w:bCs/>
          <w:i/>
          <w:iCs/>
        </w:rPr>
        <w:t xml:space="preserve"> </w:t>
      </w:r>
    </w:p>
    <w:p w14:paraId="0D11B519" w14:textId="77777777" w:rsidR="0036021B" w:rsidRPr="00A67F27" w:rsidRDefault="0036021B" w:rsidP="0036021B">
      <w:pPr>
        <w:ind w:right="72"/>
        <w:rPr>
          <w:b/>
          <w:sz w:val="18"/>
          <w:szCs w:val="16"/>
        </w:rPr>
      </w:pPr>
      <w:r w:rsidRPr="00A67F27">
        <w:rPr>
          <w:b/>
          <w:bCs/>
        </w:rPr>
        <w:t>Avis d’appel d’offres No</w:t>
      </w:r>
      <w:r w:rsidRPr="00A67F27">
        <w:rPr>
          <w:sz w:val="18"/>
          <w:szCs w:val="16"/>
        </w:rPr>
        <w:t>.:</w:t>
      </w:r>
      <w:r w:rsidRPr="00A67F27">
        <w:rPr>
          <w:b/>
          <w:sz w:val="18"/>
          <w:szCs w:val="16"/>
        </w:rPr>
        <w:t xml:space="preserve"> </w:t>
      </w:r>
      <w:r w:rsidRPr="00A67F27">
        <w:rPr>
          <w:bCs/>
          <w:i/>
          <w:iCs/>
          <w:szCs w:val="24"/>
        </w:rPr>
        <w:t>[insérer le numéro de l’avis d’Appel d’Offres]</w:t>
      </w:r>
    </w:p>
    <w:p w14:paraId="7B5D4012" w14:textId="77777777" w:rsidR="0036021B" w:rsidRPr="00A67F27" w:rsidRDefault="0036021B" w:rsidP="0036021B">
      <w:pPr>
        <w:rPr>
          <w:szCs w:val="24"/>
        </w:rPr>
      </w:pPr>
      <w:r w:rsidRPr="00A67F27">
        <w:rPr>
          <w:b/>
          <w:bCs/>
        </w:rPr>
        <w:t>Date :</w:t>
      </w:r>
      <w:r w:rsidRPr="00A67F27">
        <w:t xml:space="preserve"> </w:t>
      </w:r>
      <w:r w:rsidRPr="00A67F27">
        <w:rPr>
          <w:i/>
          <w:iCs/>
          <w:szCs w:val="24"/>
        </w:rPr>
        <w:t>[insérer date]</w:t>
      </w:r>
    </w:p>
    <w:p w14:paraId="436FDF67" w14:textId="77777777" w:rsidR="0036021B" w:rsidRPr="00A67F27" w:rsidRDefault="0036021B" w:rsidP="0036021B">
      <w:r w:rsidRPr="00A67F27">
        <w:rPr>
          <w:b/>
          <w:bCs/>
        </w:rPr>
        <w:t>Garantie d’offre no. :</w:t>
      </w:r>
      <w:r w:rsidRPr="00A67F27">
        <w:t xml:space="preserve"> </w:t>
      </w:r>
      <w:r w:rsidRPr="00A67F27">
        <w:rPr>
          <w:bCs/>
          <w:i/>
          <w:iCs/>
          <w:szCs w:val="24"/>
        </w:rPr>
        <w:t>[</w:t>
      </w:r>
      <w:proofErr w:type="gramStart"/>
      <w:r w:rsidRPr="00A67F27">
        <w:rPr>
          <w:bCs/>
          <w:i/>
          <w:iCs/>
          <w:szCs w:val="24"/>
        </w:rPr>
        <w:t>insérer</w:t>
      </w:r>
      <w:proofErr w:type="gramEnd"/>
      <w:r w:rsidRPr="00A67F27">
        <w:rPr>
          <w:bCs/>
          <w:i/>
          <w:iCs/>
          <w:szCs w:val="24"/>
        </w:rPr>
        <w:t xml:space="preserve"> No de garantie]</w:t>
      </w:r>
    </w:p>
    <w:p w14:paraId="35DA3A20" w14:textId="77777777" w:rsidR="0036021B" w:rsidRPr="00A67F27" w:rsidRDefault="0036021B" w:rsidP="0036021B">
      <w:pPr>
        <w:ind w:left="900" w:hanging="900"/>
      </w:pPr>
      <w:r w:rsidRPr="00A67F27">
        <w:rPr>
          <w:b/>
          <w:bCs/>
        </w:rPr>
        <w:t>Garant:</w:t>
      </w:r>
      <w:r w:rsidRPr="00A67F27">
        <w:t xml:space="preserve"> </w:t>
      </w:r>
      <w:r w:rsidRPr="00A67F27">
        <w:rPr>
          <w:bCs/>
          <w:i/>
          <w:iCs/>
          <w:szCs w:val="24"/>
        </w:rPr>
        <w:t>[insérer le nom de la banque, et l’adresse de l’agence émettrice, sauf si cela figure à l’en-tête]</w:t>
      </w:r>
    </w:p>
    <w:p w14:paraId="0FF4B0F3" w14:textId="77777777" w:rsidR="0036021B" w:rsidRPr="00A67F27" w:rsidRDefault="0036021B" w:rsidP="0036021B">
      <w:pPr>
        <w:ind w:left="0" w:firstLine="0"/>
      </w:pPr>
      <w:r w:rsidRPr="00A67F27">
        <w:t xml:space="preserve">Nous avons été informés que </w:t>
      </w:r>
      <w:r w:rsidRPr="00A67F27">
        <w:rPr>
          <w:i/>
          <w:iCs/>
        </w:rPr>
        <w:t>[</w:t>
      </w:r>
      <w:r w:rsidRPr="00A67F27">
        <w:rPr>
          <w:i/>
          <w:iCs/>
          <w:szCs w:val="24"/>
        </w:rPr>
        <w:t>insérer</w:t>
      </w:r>
      <w:r w:rsidRPr="00A67F27">
        <w:rPr>
          <w:i/>
          <w:iCs/>
        </w:rPr>
        <w:t xml:space="preserve"> numéro du Marché]</w:t>
      </w:r>
      <w:r w:rsidRPr="00A67F27">
        <w:t xml:space="preserve"> (ci-après dénommé « le Soumissionnaire ») a répondu à votre appel d’offres no.</w:t>
      </w:r>
      <w:r w:rsidRPr="00A67F27">
        <w:rPr>
          <w:i/>
          <w:iCs/>
        </w:rPr>
        <w:t xml:space="preserve"> [</w:t>
      </w:r>
      <w:proofErr w:type="gramStart"/>
      <w:r w:rsidRPr="00A67F27">
        <w:rPr>
          <w:i/>
          <w:iCs/>
          <w:szCs w:val="24"/>
        </w:rPr>
        <w:t>insérer</w:t>
      </w:r>
      <w:proofErr w:type="gramEnd"/>
      <w:r w:rsidRPr="00A67F27">
        <w:rPr>
          <w:i/>
          <w:iCs/>
        </w:rPr>
        <w:t xml:space="preserve"> no de l’avis d’appel d’offres]</w:t>
      </w:r>
      <w:r w:rsidRPr="00A67F27">
        <w:t xml:space="preserve"> pour l’exécution de </w:t>
      </w:r>
      <w:r w:rsidRPr="00A67F27">
        <w:rPr>
          <w:bCs/>
          <w:i/>
          <w:iCs/>
        </w:rPr>
        <w:t>[</w:t>
      </w:r>
      <w:r w:rsidRPr="00A67F27">
        <w:rPr>
          <w:bCs/>
          <w:i/>
          <w:iCs/>
          <w:szCs w:val="24"/>
        </w:rPr>
        <w:t>insérer</w:t>
      </w:r>
      <w:r w:rsidRPr="00A67F27">
        <w:rPr>
          <w:bCs/>
          <w:i/>
          <w:iCs/>
        </w:rPr>
        <w:t xml:space="preserve"> description des travaux]</w:t>
      </w:r>
      <w:r w:rsidRPr="00A67F27">
        <w:t xml:space="preserve"> et vous a soumis ou vous soumettra son offre en date du </w:t>
      </w:r>
      <w:r w:rsidRPr="00A67F27">
        <w:rPr>
          <w:bCs/>
          <w:i/>
          <w:iCs/>
        </w:rPr>
        <w:t>[</w:t>
      </w:r>
      <w:r w:rsidRPr="00A67F27">
        <w:rPr>
          <w:bCs/>
          <w:i/>
          <w:iCs/>
          <w:szCs w:val="24"/>
        </w:rPr>
        <w:t>insérer</w:t>
      </w:r>
      <w:r w:rsidRPr="00A67F27">
        <w:rPr>
          <w:bCs/>
          <w:i/>
          <w:iCs/>
        </w:rPr>
        <w:t xml:space="preserve"> date du dépôt de l’offre]</w:t>
      </w:r>
      <w:r w:rsidRPr="00A67F27">
        <w:t xml:space="preserve"> (ci-après dénommée « l’Offre »).</w:t>
      </w:r>
    </w:p>
    <w:p w14:paraId="39350D28" w14:textId="77777777" w:rsidR="0036021B" w:rsidRPr="00A67F27" w:rsidRDefault="0036021B" w:rsidP="0036021B">
      <w:pPr>
        <w:pStyle w:val="Corpsdetexte2"/>
        <w:ind w:left="0" w:firstLine="0"/>
        <w:rPr>
          <w:lang w:val="fr-FR"/>
        </w:rPr>
      </w:pPr>
      <w:r w:rsidRPr="00A67F27">
        <w:rPr>
          <w:lang w:val="fr-FR"/>
        </w:rPr>
        <w:t>En vertu des dispositions du dossier d’Appel d’offres, l’Offre doit être accompagnée d’une garantie d’offre.</w:t>
      </w:r>
    </w:p>
    <w:p w14:paraId="434677D2" w14:textId="77777777" w:rsidR="0036021B" w:rsidRPr="00A67F27" w:rsidRDefault="0036021B" w:rsidP="0036021B">
      <w:pPr>
        <w:ind w:left="0" w:firstLine="0"/>
        <w:rPr>
          <w:b/>
        </w:rPr>
      </w:pPr>
      <w:r w:rsidRPr="00A67F27">
        <w:t xml:space="preserve">A la demande du Soumissionnaire, nous </w:t>
      </w:r>
      <w:r w:rsidRPr="00A67F27">
        <w:rPr>
          <w:bCs/>
          <w:i/>
          <w:iCs/>
        </w:rPr>
        <w:t>[</w:t>
      </w:r>
      <w:r w:rsidRPr="00A67F27">
        <w:rPr>
          <w:bCs/>
          <w:i/>
          <w:iCs/>
          <w:szCs w:val="24"/>
        </w:rPr>
        <w:t>insérer</w:t>
      </w:r>
      <w:r w:rsidRPr="00A67F27">
        <w:rPr>
          <w:bCs/>
          <w:i/>
          <w:iCs/>
        </w:rPr>
        <w:t xml:space="preserve"> nom de la banque]</w:t>
      </w:r>
      <w:r w:rsidRPr="00A67F27">
        <w:t xml:space="preserve"> nous engageons par la présente, sans réserve et irrévocablement, à vous payer à première demande, toutes sommes d’argent que vous pourriez réclamer dans la limite de </w:t>
      </w:r>
      <w:r w:rsidRPr="00A67F27">
        <w:rPr>
          <w:bCs/>
        </w:rPr>
        <w:t>[</w:t>
      </w:r>
      <w:r w:rsidRPr="00A67F27">
        <w:rPr>
          <w:i/>
        </w:rPr>
        <w:t>insérer la somme en chiffres dans la monnaie du pays du Maître de l’Ouvrage ou un montant équivalent dans une monnaie internationale librement convertible].</w:t>
      </w:r>
      <w:r w:rsidRPr="00A67F27">
        <w:rPr>
          <w:iCs/>
        </w:rPr>
        <w:t xml:space="preserve"> _____________</w:t>
      </w:r>
      <w:r w:rsidRPr="00A67F27">
        <w:rPr>
          <w:i/>
        </w:rPr>
        <w:t xml:space="preserve"> </w:t>
      </w:r>
      <w:r w:rsidRPr="00A67F27">
        <w:rPr>
          <w:iCs/>
        </w:rPr>
        <w:t>[</w:t>
      </w:r>
      <w:r w:rsidRPr="00A67F27">
        <w:rPr>
          <w:i/>
        </w:rPr>
        <w:t>insérer la somme en lettres</w:t>
      </w:r>
      <w:r w:rsidRPr="00A67F27">
        <w:rPr>
          <w:iCs/>
        </w:rPr>
        <w:t>].</w:t>
      </w:r>
    </w:p>
    <w:p w14:paraId="016F874A" w14:textId="77777777" w:rsidR="0036021B" w:rsidRPr="00A67F27" w:rsidRDefault="0036021B" w:rsidP="0036021B">
      <w:pPr>
        <w:pStyle w:val="Corpsdetexte2"/>
        <w:ind w:left="0" w:firstLine="0"/>
        <w:rPr>
          <w:lang w:val="fr-FR"/>
        </w:rPr>
      </w:pPr>
      <w:r w:rsidRPr="00A67F27">
        <w:rPr>
          <w:lang w:val="fr-FR"/>
        </w:rPr>
        <w:t>Votre demande en paiement doit être accompagnée d’une déclaration attestant que le Soumissionnaire n'a pas exécuté une des obligations auxquelles il est tenu en vertu de l’Offre, à savoir :</w:t>
      </w:r>
    </w:p>
    <w:p w14:paraId="2EA5C6C0" w14:textId="77777777" w:rsidR="0036021B" w:rsidRPr="00A67F27" w:rsidRDefault="0036021B" w:rsidP="00520988">
      <w:pPr>
        <w:pStyle w:val="Corpsdetexte2"/>
        <w:numPr>
          <w:ilvl w:val="0"/>
          <w:numId w:val="25"/>
        </w:numPr>
        <w:tabs>
          <w:tab w:val="clear" w:pos="360"/>
        </w:tabs>
        <w:spacing w:line="240" w:lineRule="atLeast"/>
        <w:ind w:left="540" w:hanging="540"/>
        <w:rPr>
          <w:lang w:val="fr-FR"/>
        </w:rPr>
      </w:pPr>
      <w:r w:rsidRPr="00A67F27">
        <w:rPr>
          <w:lang w:val="fr-FR"/>
        </w:rPr>
        <w:lastRenderedPageBreak/>
        <w:t>s’il retire l’Offre pendant la période de validité qu‘il a spécifiée dans la lettre de soumission de l’offre; ou</w:t>
      </w:r>
    </w:p>
    <w:p w14:paraId="28C67551" w14:textId="77777777" w:rsidR="0036021B" w:rsidRPr="00A67F27" w:rsidRDefault="0036021B" w:rsidP="00520988">
      <w:pPr>
        <w:pStyle w:val="Corpsdetexte2"/>
        <w:numPr>
          <w:ilvl w:val="0"/>
          <w:numId w:val="25"/>
        </w:numPr>
        <w:tabs>
          <w:tab w:val="clear" w:pos="360"/>
        </w:tabs>
        <w:ind w:left="540" w:hanging="540"/>
        <w:rPr>
          <w:lang w:val="fr-FR"/>
        </w:rPr>
      </w:pPr>
      <w:r w:rsidRPr="00A67F27">
        <w:rPr>
          <w:lang w:val="fr-FR"/>
        </w:rPr>
        <w:t>si, s’étant vu notifier l’acceptation de l’Offre par le Maître de l’Ouvrage pendant la période de validité telle qu’indiquée dans la lettre de soumission de l’offre ou prorogée par le Maître de l’Ouvrage avant l’expiration de cette période, il:</w:t>
      </w:r>
    </w:p>
    <w:p w14:paraId="608F60EE" w14:textId="77777777" w:rsidR="0036021B" w:rsidRPr="00A67F27" w:rsidRDefault="0036021B" w:rsidP="00520988">
      <w:pPr>
        <w:pStyle w:val="Corpsdetexte2"/>
        <w:numPr>
          <w:ilvl w:val="0"/>
          <w:numId w:val="26"/>
        </w:numPr>
        <w:tabs>
          <w:tab w:val="clear" w:pos="144"/>
        </w:tabs>
        <w:ind w:left="1080" w:hanging="540"/>
        <w:rPr>
          <w:lang w:val="fr-FR"/>
        </w:rPr>
      </w:pPr>
      <w:r w:rsidRPr="00A67F27">
        <w:rPr>
          <w:lang w:val="fr-FR"/>
        </w:rPr>
        <w:t>ne signe pas le Marché ; ou</w:t>
      </w:r>
    </w:p>
    <w:p w14:paraId="77866B01" w14:textId="77777777" w:rsidR="0036021B" w:rsidRPr="00A67F27" w:rsidRDefault="0036021B" w:rsidP="00520988">
      <w:pPr>
        <w:pStyle w:val="Corpsdetexte2"/>
        <w:numPr>
          <w:ilvl w:val="0"/>
          <w:numId w:val="26"/>
        </w:numPr>
        <w:tabs>
          <w:tab w:val="clear" w:pos="144"/>
        </w:tabs>
        <w:ind w:left="1080" w:hanging="540"/>
        <w:rPr>
          <w:lang w:val="fr-FR"/>
        </w:rPr>
      </w:pPr>
      <w:r w:rsidRPr="00A67F27">
        <w:rPr>
          <w:lang w:val="fr-FR"/>
        </w:rPr>
        <w:t>ne fournit pas la garantie de bonne exécution  du Marché, et s’il est tenu de le faire  ne fournit pas la garantie de performance environnementale, sociale, hygiène et sécurité (ESHS)</w:t>
      </w:r>
      <w:r w:rsidRPr="00A67F27">
        <w:rPr>
          <w:i/>
          <w:lang w:val="fr-FR"/>
        </w:rPr>
        <w:t xml:space="preserve"> </w:t>
      </w:r>
      <w:r w:rsidRPr="00A67F27">
        <w:rPr>
          <w:lang w:val="fr-FR"/>
        </w:rPr>
        <w:t>ainsi qu’il est prévu dans les Instructions aux soumissionnaires.</w:t>
      </w:r>
    </w:p>
    <w:p w14:paraId="7AC3F41B" w14:textId="77777777" w:rsidR="0036021B" w:rsidRPr="00A67F27" w:rsidRDefault="0036021B" w:rsidP="0036021B">
      <w:pPr>
        <w:pStyle w:val="Corpsdetexte2"/>
        <w:ind w:left="0" w:firstLine="0"/>
        <w:rPr>
          <w:lang w:val="fr-FR"/>
        </w:rPr>
      </w:pPr>
      <w:r w:rsidRPr="00A67F27">
        <w:rPr>
          <w:lang w:val="fr-FR"/>
        </w:rPr>
        <w:t>La présente garantie expirera (a) si le marché est octroyé au Soumissionnaire, lorsque nous recevrons une copie du Marché signé et de la garantie de bonne exécution et si cela est exigé, la garantie de performance environnementale, sociale, hygiène et sécurité (ESHS)</w:t>
      </w:r>
      <w:r w:rsidRPr="00A67F27">
        <w:rPr>
          <w:i/>
          <w:lang w:val="fr-FR"/>
        </w:rPr>
        <w:t xml:space="preserve"> </w:t>
      </w:r>
      <w:r w:rsidRPr="00A67F27">
        <w:rPr>
          <w:lang w:val="fr-FR"/>
        </w:rPr>
        <w:t>émise à votre nom, selon les instructions du Soumissionnaire ; ou (b) si le Marché n’est pas octroyé au Soumissionnaire, à la première des dates suivantes : (i) lorsque nous recevrons copie de votre notification au Soumissionnaire du nom du soumissionnaire retenu, ou (ii) vingt-huit (28) jours après l’expiration de l’Offre.</w:t>
      </w:r>
    </w:p>
    <w:p w14:paraId="4A789BA1" w14:textId="77777777" w:rsidR="0036021B" w:rsidRPr="00A67F27" w:rsidRDefault="0036021B" w:rsidP="0036021B">
      <w:pPr>
        <w:ind w:left="0" w:firstLine="0"/>
      </w:pPr>
      <w:r w:rsidRPr="00A67F27">
        <w:t>Toute demande de paiement au titre de la présente garantie doit être reçue à cette date au plus tard.</w:t>
      </w:r>
    </w:p>
    <w:p w14:paraId="0FF75804" w14:textId="77777777" w:rsidR="0036021B" w:rsidRPr="00A67F27" w:rsidRDefault="0036021B" w:rsidP="0036021B">
      <w:pPr>
        <w:pStyle w:val="Corpsdetexte2"/>
        <w:ind w:left="0" w:firstLine="0"/>
        <w:rPr>
          <w:lang w:val="fr-FR"/>
        </w:rPr>
      </w:pPr>
      <w:r w:rsidRPr="00A67F27">
        <w:rPr>
          <w:lang w:val="fr-FR"/>
        </w:rPr>
        <w:t>La présente garantie est régie par les Règles uniformes de la Chambre de Commerce Internationale 2010 (CCI) relatives aux garanties sur demande, Publication CCI no : 758.</w:t>
      </w:r>
    </w:p>
    <w:p w14:paraId="1EF853D8" w14:textId="204ABD09" w:rsidR="0036021B" w:rsidRPr="00A67F27" w:rsidRDefault="0036021B" w:rsidP="0036021B">
      <w:pPr>
        <w:tabs>
          <w:tab w:val="left" w:pos="1188"/>
          <w:tab w:val="left" w:pos="2394"/>
          <w:tab w:val="left" w:pos="4209"/>
          <w:tab w:val="left" w:pos="5238"/>
          <w:tab w:val="left" w:pos="7632"/>
          <w:tab w:val="left" w:pos="7868"/>
          <w:tab w:val="left" w:pos="9468"/>
        </w:tabs>
        <w:ind w:left="6237" w:hanging="6237"/>
      </w:pPr>
      <w:r w:rsidRPr="00A67F27">
        <w:t xml:space="preserve">Nom : </w:t>
      </w:r>
      <w:r w:rsidRPr="00A67F27">
        <w:rPr>
          <w:i/>
          <w:iCs/>
        </w:rPr>
        <w:t xml:space="preserve">[nom complet de la personne </w:t>
      </w:r>
      <w:r w:rsidR="00994494" w:rsidRPr="00A67F27">
        <w:rPr>
          <w:i/>
          <w:iCs/>
        </w:rPr>
        <w:t>signataire]</w:t>
      </w:r>
      <w:r w:rsidR="00994494" w:rsidRPr="00A67F27">
        <w:t xml:space="preserve"> Titre</w:t>
      </w:r>
      <w:r w:rsidRPr="00A67F27">
        <w:t xml:space="preserve"> </w:t>
      </w:r>
      <w:r w:rsidRPr="00A67F27">
        <w:rPr>
          <w:i/>
          <w:iCs/>
        </w:rPr>
        <w:t>[capacité juridique de la personne signataire]</w:t>
      </w:r>
    </w:p>
    <w:p w14:paraId="37B53666" w14:textId="77777777" w:rsidR="0036021B" w:rsidRPr="00A67F27" w:rsidRDefault="0036021B" w:rsidP="0036021B">
      <w:pPr>
        <w:tabs>
          <w:tab w:val="left" w:pos="1188"/>
          <w:tab w:val="left" w:pos="2394"/>
          <w:tab w:val="left" w:pos="4209"/>
          <w:tab w:val="left" w:pos="5238"/>
          <w:tab w:val="left" w:pos="7632"/>
          <w:tab w:val="left" w:pos="7868"/>
          <w:tab w:val="left" w:pos="9468"/>
        </w:tabs>
      </w:pPr>
    </w:p>
    <w:p w14:paraId="3DF4B1FC" w14:textId="77777777" w:rsidR="0036021B" w:rsidRPr="00A67F27" w:rsidRDefault="0036021B" w:rsidP="0036021B">
      <w:pPr>
        <w:pStyle w:val="i"/>
        <w:tabs>
          <w:tab w:val="left" w:pos="1188"/>
          <w:tab w:val="left" w:pos="2394"/>
          <w:tab w:val="left" w:pos="4209"/>
          <w:tab w:val="left" w:pos="5238"/>
          <w:tab w:val="left" w:pos="7632"/>
          <w:tab w:val="left" w:pos="7868"/>
          <w:tab w:val="left" w:pos="9468"/>
        </w:tabs>
        <w:rPr>
          <w:rFonts w:ascii="Times New Roman" w:hAnsi="Times New Roman"/>
          <w:lang w:val="fr-FR"/>
        </w:rPr>
      </w:pPr>
      <w:r w:rsidRPr="00A67F27">
        <w:rPr>
          <w:rFonts w:ascii="Times New Roman" w:hAnsi="Times New Roman"/>
          <w:lang w:val="fr-FR"/>
        </w:rPr>
        <w:t xml:space="preserve">Signé </w:t>
      </w:r>
      <w:r w:rsidRPr="00A67F27">
        <w:rPr>
          <w:rFonts w:ascii="Times New Roman" w:hAnsi="Times New Roman"/>
          <w:i/>
          <w:iCs/>
          <w:lang w:val="fr-FR"/>
        </w:rPr>
        <w:t>[signature de la personne dont le nom et le titre figurent ci-dessus]</w:t>
      </w:r>
    </w:p>
    <w:p w14:paraId="6F5CDC99" w14:textId="77777777" w:rsidR="0036021B" w:rsidRPr="00A67F27" w:rsidRDefault="0036021B" w:rsidP="0036021B">
      <w:pPr>
        <w:rPr>
          <w:rFonts w:ascii="Arial" w:hAnsi="Arial" w:cs="Arial"/>
          <w:i/>
          <w:sz w:val="22"/>
        </w:rPr>
      </w:pPr>
      <w:r w:rsidRPr="00A67F27">
        <w:rPr>
          <w:i/>
        </w:rPr>
        <w:t>Note : le texte en italiques est pour l’usage lors de la préparation du formulaire et devra être supprimé de la version officielle finale.</w:t>
      </w:r>
    </w:p>
    <w:bookmarkEnd w:id="470"/>
    <w:bookmarkEnd w:id="471"/>
    <w:p w14:paraId="721B0C90" w14:textId="77777777" w:rsidR="00E223D0" w:rsidRPr="00A67F27" w:rsidRDefault="00E223D0" w:rsidP="00E223D0">
      <w:pPr>
        <w:spacing w:before="120" w:after="240"/>
        <w:ind w:left="0" w:firstLine="0"/>
        <w:jc w:val="center"/>
        <w:rPr>
          <w:rFonts w:ascii="Arial" w:hAnsi="Arial"/>
          <w:b/>
          <w:spacing w:val="-2"/>
          <w:sz w:val="20"/>
          <w:highlight w:val="yellow"/>
          <w:lang w:eastAsia="en-US"/>
        </w:rPr>
      </w:pPr>
    </w:p>
    <w:p w14:paraId="55D48EC7" w14:textId="77777777" w:rsidR="0036021B" w:rsidRPr="00A67F27" w:rsidRDefault="00E223D0" w:rsidP="0036021B">
      <w:pPr>
        <w:spacing w:before="120" w:after="240"/>
        <w:ind w:left="0" w:firstLine="0"/>
        <w:jc w:val="center"/>
        <w:rPr>
          <w:rFonts w:ascii="Arial" w:hAnsi="Arial"/>
          <w:b/>
          <w:spacing w:val="-2"/>
          <w:sz w:val="20"/>
          <w:lang w:eastAsia="en-US"/>
        </w:rPr>
      </w:pPr>
      <w:r w:rsidRPr="00A67F27">
        <w:rPr>
          <w:rFonts w:ascii="Arial" w:hAnsi="Arial"/>
          <w:b/>
          <w:spacing w:val="-2"/>
          <w:sz w:val="20"/>
          <w:lang w:eastAsia="en-US"/>
        </w:rPr>
        <w:br w:type="page"/>
      </w:r>
    </w:p>
    <w:tbl>
      <w:tblPr>
        <w:tblW w:w="0" w:type="auto"/>
        <w:tblLayout w:type="fixed"/>
        <w:tblLook w:val="0000" w:firstRow="0" w:lastRow="0" w:firstColumn="0" w:lastColumn="0" w:noHBand="0" w:noVBand="0"/>
      </w:tblPr>
      <w:tblGrid>
        <w:gridCol w:w="9198"/>
      </w:tblGrid>
      <w:tr w:rsidR="0036021B" w:rsidRPr="00A67F27" w14:paraId="74A387DC" w14:textId="77777777" w:rsidTr="00094A29">
        <w:trPr>
          <w:trHeight w:val="900"/>
        </w:trPr>
        <w:tc>
          <w:tcPr>
            <w:tcW w:w="9198" w:type="dxa"/>
            <w:vAlign w:val="center"/>
          </w:tcPr>
          <w:p w14:paraId="567657DC" w14:textId="77777777" w:rsidR="0036021B" w:rsidRPr="00A67F27" w:rsidRDefault="0036021B" w:rsidP="00094A29">
            <w:pPr>
              <w:pStyle w:val="Style7"/>
            </w:pPr>
            <w:bookmarkStart w:id="474" w:name="_Toc68319424"/>
            <w:bookmarkStart w:id="475" w:name="_Toc446329304"/>
            <w:bookmarkStart w:id="476" w:name="_Toc473887071"/>
            <w:bookmarkStart w:id="477" w:name="_Toc488658188"/>
            <w:r w:rsidRPr="00A67F27">
              <w:lastRenderedPageBreak/>
              <w:br w:type="page"/>
            </w:r>
            <w:bookmarkStart w:id="478" w:name="_Toc382928284"/>
            <w:bookmarkStart w:id="479" w:name="_Toc479112145"/>
            <w:r w:rsidRPr="00A67F27">
              <w:t xml:space="preserve">Garantie d’offre </w:t>
            </w:r>
          </w:p>
          <w:p w14:paraId="42B278B1" w14:textId="77777777" w:rsidR="0036021B" w:rsidRDefault="0036021B" w:rsidP="00094A29">
            <w:pPr>
              <w:pStyle w:val="Style7"/>
            </w:pPr>
            <w:r w:rsidRPr="00A67F27">
              <w:t>(Cautionnement émis par une compagnie de garantie)</w:t>
            </w:r>
            <w:bookmarkEnd w:id="478"/>
            <w:bookmarkEnd w:id="479"/>
          </w:p>
          <w:p w14:paraId="15157E86" w14:textId="68C8234C" w:rsidR="004B0723" w:rsidRPr="00A67F27" w:rsidRDefault="004B0723" w:rsidP="00094A29">
            <w:pPr>
              <w:pStyle w:val="Style7"/>
            </w:pPr>
            <w:r>
              <w:t>Non Applicable</w:t>
            </w:r>
          </w:p>
        </w:tc>
      </w:tr>
    </w:tbl>
    <w:p w14:paraId="409FF111" w14:textId="3E6D7389" w:rsidR="0036021B" w:rsidRPr="00A67F27" w:rsidRDefault="0036021B" w:rsidP="0036021B">
      <w:pPr>
        <w:tabs>
          <w:tab w:val="right" w:pos="9360"/>
        </w:tabs>
        <w:ind w:left="4320" w:firstLine="720"/>
        <w:rPr>
          <w:sz w:val="28"/>
        </w:rPr>
      </w:pPr>
    </w:p>
    <w:p w14:paraId="52EFF39D" w14:textId="77777777" w:rsidR="0036021B" w:rsidRPr="00A67F27" w:rsidRDefault="0036021B" w:rsidP="0036021B">
      <w:pPr>
        <w:tabs>
          <w:tab w:val="right" w:pos="9000"/>
        </w:tabs>
        <w:ind w:left="0" w:firstLine="0"/>
      </w:pPr>
      <w:r w:rsidRPr="00A67F27">
        <w:rPr>
          <w:i/>
          <w:iCs/>
        </w:rPr>
        <w:t xml:space="preserve">[La compagnie de garantie remplit cette garantie d’offre conformément aux indications entre crochets] </w:t>
      </w:r>
    </w:p>
    <w:p w14:paraId="5A61B117" w14:textId="77777777" w:rsidR="0036021B" w:rsidRPr="00A67F27" w:rsidRDefault="0036021B" w:rsidP="0036021B">
      <w:pPr>
        <w:pStyle w:val="Pieddepage"/>
        <w:tabs>
          <w:tab w:val="right" w:pos="9000"/>
        </w:tabs>
        <w:jc w:val="both"/>
        <w:rPr>
          <w:sz w:val="24"/>
          <w:szCs w:val="24"/>
        </w:rPr>
      </w:pPr>
      <w:r w:rsidRPr="00A67F27">
        <w:rPr>
          <w:sz w:val="24"/>
          <w:szCs w:val="24"/>
        </w:rPr>
        <w:t xml:space="preserve">Garantie No </w:t>
      </w:r>
      <w:r w:rsidRPr="00A67F27">
        <w:rPr>
          <w:bCs/>
          <w:i/>
          <w:iCs/>
          <w:sz w:val="24"/>
          <w:szCs w:val="24"/>
        </w:rPr>
        <w:t>[insérer No de garantie]</w:t>
      </w:r>
    </w:p>
    <w:p w14:paraId="70D39E23" w14:textId="219330FC" w:rsidR="0036021B" w:rsidRPr="00A67F27" w:rsidRDefault="0036021B" w:rsidP="0036021B">
      <w:pPr>
        <w:pStyle w:val="i"/>
        <w:tabs>
          <w:tab w:val="left" w:pos="1197"/>
          <w:tab w:val="left" w:pos="6433"/>
          <w:tab w:val="right" w:pos="9000"/>
        </w:tabs>
        <w:ind w:left="0" w:firstLine="0"/>
        <w:rPr>
          <w:rFonts w:ascii="Times New Roman" w:hAnsi="Times New Roman"/>
          <w:lang w:val="fr-FR"/>
        </w:rPr>
      </w:pPr>
      <w:r w:rsidRPr="00A67F27">
        <w:rPr>
          <w:rFonts w:ascii="Times New Roman" w:hAnsi="Times New Roman"/>
          <w:lang w:val="fr-FR"/>
        </w:rPr>
        <w:t xml:space="preserve">Attendu que </w:t>
      </w:r>
      <w:r w:rsidRPr="00A67F27">
        <w:rPr>
          <w:rFonts w:ascii="Times New Roman" w:hAnsi="Times New Roman"/>
          <w:bCs/>
          <w:i/>
          <w:iCs/>
          <w:lang w:val="fr-FR"/>
        </w:rPr>
        <w:t>[insérer le nom du Soumissionnaire]</w:t>
      </w:r>
      <w:r w:rsidRPr="00A67F27">
        <w:rPr>
          <w:rFonts w:ascii="Times New Roman" w:hAnsi="Times New Roman"/>
          <w:lang w:val="fr-FR"/>
        </w:rPr>
        <w:t xml:space="preserve"> (ci-après dénommé « le </w:t>
      </w:r>
      <w:r w:rsidR="00994494" w:rsidRPr="00A67F27">
        <w:rPr>
          <w:rFonts w:ascii="Times New Roman" w:hAnsi="Times New Roman"/>
          <w:lang w:val="fr-FR"/>
        </w:rPr>
        <w:t>Soumissionnaire »</w:t>
      </w:r>
      <w:r w:rsidRPr="00A67F27">
        <w:rPr>
          <w:rFonts w:ascii="Times New Roman" w:hAnsi="Times New Roman"/>
          <w:lang w:val="fr-FR"/>
        </w:rPr>
        <w:t>) a soumis son offre le </w:t>
      </w:r>
      <w:r w:rsidRPr="00A67F27">
        <w:rPr>
          <w:rFonts w:ascii="Times New Roman" w:hAnsi="Times New Roman"/>
          <w:bCs/>
          <w:i/>
          <w:iCs/>
          <w:szCs w:val="24"/>
          <w:lang w:val="fr-FR"/>
        </w:rPr>
        <w:t>[insérer date]</w:t>
      </w:r>
      <w:r w:rsidRPr="00A67F27">
        <w:rPr>
          <w:rFonts w:ascii="Times New Roman" w:hAnsi="Times New Roman"/>
          <w:lang w:val="fr-FR"/>
        </w:rPr>
        <w:t xml:space="preserve"> en réponse à l’AO No </w:t>
      </w:r>
      <w:r w:rsidRPr="00A67F27">
        <w:rPr>
          <w:rFonts w:ascii="Times New Roman" w:hAnsi="Times New Roman"/>
          <w:i/>
          <w:iCs/>
          <w:lang w:val="fr-FR"/>
        </w:rPr>
        <w:t>[</w:t>
      </w:r>
      <w:r w:rsidRPr="00A67F27">
        <w:rPr>
          <w:rFonts w:ascii="Times New Roman" w:hAnsi="Times New Roman"/>
          <w:i/>
          <w:iCs/>
          <w:szCs w:val="24"/>
          <w:lang w:val="fr-FR"/>
        </w:rPr>
        <w:t>insérer</w:t>
      </w:r>
      <w:r w:rsidRPr="00A67F27">
        <w:rPr>
          <w:rFonts w:ascii="Times New Roman" w:hAnsi="Times New Roman"/>
          <w:i/>
          <w:iCs/>
          <w:lang w:val="fr-FR"/>
        </w:rPr>
        <w:t xml:space="preserve"> no de l’avis d’appel d’offres]</w:t>
      </w:r>
      <w:r w:rsidRPr="00A67F27">
        <w:rPr>
          <w:rFonts w:ascii="Times New Roman" w:hAnsi="Times New Roman"/>
          <w:lang w:val="fr-FR"/>
        </w:rPr>
        <w:t xml:space="preserve"> pour l’exécution de </w:t>
      </w:r>
      <w:r w:rsidRPr="00A67F27">
        <w:rPr>
          <w:rFonts w:ascii="Times New Roman" w:hAnsi="Times New Roman"/>
          <w:bCs/>
          <w:i/>
          <w:iCs/>
          <w:lang w:val="fr-FR"/>
        </w:rPr>
        <w:t>[</w:t>
      </w:r>
      <w:r w:rsidRPr="00A67F27">
        <w:rPr>
          <w:rFonts w:ascii="Times New Roman" w:hAnsi="Times New Roman"/>
          <w:bCs/>
          <w:i/>
          <w:iCs/>
          <w:szCs w:val="24"/>
          <w:lang w:val="fr-FR"/>
        </w:rPr>
        <w:t>insérer</w:t>
      </w:r>
      <w:r w:rsidRPr="00A67F27">
        <w:rPr>
          <w:rFonts w:ascii="Times New Roman" w:hAnsi="Times New Roman"/>
          <w:bCs/>
          <w:i/>
          <w:iCs/>
          <w:lang w:val="fr-FR"/>
        </w:rPr>
        <w:t xml:space="preserve"> description des travaux]</w:t>
      </w:r>
      <w:r w:rsidRPr="00A67F27">
        <w:rPr>
          <w:rFonts w:ascii="Times New Roman" w:hAnsi="Times New Roman"/>
          <w:lang w:val="fr-FR"/>
        </w:rPr>
        <w:t xml:space="preserve"> (ci-après dénommée « l’Offre »).</w:t>
      </w:r>
    </w:p>
    <w:p w14:paraId="01669C4E" w14:textId="77777777" w:rsidR="0036021B" w:rsidRPr="00A67F27" w:rsidRDefault="0036021B" w:rsidP="0036021B">
      <w:pPr>
        <w:pStyle w:val="i"/>
        <w:tabs>
          <w:tab w:val="left" w:pos="478"/>
          <w:tab w:val="left" w:pos="3890"/>
          <w:tab w:val="left" w:pos="7182"/>
          <w:tab w:val="right" w:pos="9000"/>
          <w:tab w:val="left" w:pos="9576"/>
        </w:tabs>
        <w:ind w:left="0" w:firstLine="0"/>
        <w:rPr>
          <w:rFonts w:ascii="Times New Roman" w:hAnsi="Times New Roman"/>
          <w:lang w:val="fr-FR"/>
        </w:rPr>
      </w:pPr>
      <w:r w:rsidRPr="00A67F27">
        <w:rPr>
          <w:rFonts w:ascii="Times New Roman" w:hAnsi="Times New Roman"/>
          <w:lang w:val="fr-FR"/>
        </w:rPr>
        <w:t xml:space="preserve">FAISONS SAVOIR par les présentes que NOUS </w:t>
      </w:r>
      <w:r w:rsidRPr="00A67F27">
        <w:rPr>
          <w:rFonts w:ascii="Times New Roman" w:hAnsi="Times New Roman"/>
          <w:bCs/>
          <w:i/>
          <w:iCs/>
          <w:lang w:val="fr-FR"/>
        </w:rPr>
        <w:t>[</w:t>
      </w:r>
      <w:r w:rsidRPr="00A67F27">
        <w:rPr>
          <w:rFonts w:ascii="Times New Roman" w:hAnsi="Times New Roman"/>
          <w:bCs/>
          <w:i/>
          <w:iCs/>
          <w:szCs w:val="24"/>
          <w:lang w:val="fr-FR"/>
        </w:rPr>
        <w:t>insérer le nom de la société de garantie émettrice]</w:t>
      </w:r>
      <w:r w:rsidRPr="00A67F27">
        <w:rPr>
          <w:rFonts w:ascii="Times New Roman" w:hAnsi="Times New Roman"/>
          <w:lang w:val="fr-FR"/>
        </w:rPr>
        <w:t xml:space="preserve"> dont le siège se trouve à </w:t>
      </w:r>
      <w:r w:rsidRPr="00A67F27">
        <w:rPr>
          <w:rFonts w:ascii="Times New Roman" w:hAnsi="Times New Roman"/>
          <w:bCs/>
          <w:i/>
          <w:iCs/>
          <w:lang w:val="fr-FR"/>
        </w:rPr>
        <w:t>[</w:t>
      </w:r>
      <w:r w:rsidRPr="00A67F27">
        <w:rPr>
          <w:rFonts w:ascii="Times New Roman" w:hAnsi="Times New Roman"/>
          <w:bCs/>
          <w:i/>
          <w:iCs/>
          <w:szCs w:val="24"/>
          <w:lang w:val="fr-FR"/>
        </w:rPr>
        <w:t>insérer l’adresse de la société de garantie]</w:t>
      </w:r>
      <w:r w:rsidRPr="00A67F27">
        <w:rPr>
          <w:rFonts w:ascii="Times New Roman" w:hAnsi="Times New Roman"/>
          <w:lang w:val="fr-FR"/>
        </w:rPr>
        <w:t xml:space="preserve"> (ci-après dénommé « le Garant »), sommes engagés vis-à-vis de  </w:t>
      </w:r>
      <w:r w:rsidRPr="00A67F27">
        <w:rPr>
          <w:rFonts w:ascii="Times New Roman" w:hAnsi="Times New Roman"/>
          <w:bCs/>
          <w:i/>
          <w:iCs/>
          <w:szCs w:val="24"/>
          <w:lang w:val="fr-FR"/>
        </w:rPr>
        <w:t xml:space="preserve">[insérer nom du </w:t>
      </w:r>
      <w:r w:rsidRPr="00A67F27">
        <w:rPr>
          <w:i/>
          <w:lang w:val="fr-FR"/>
        </w:rPr>
        <w:t>Maître de l’Ouvrage</w:t>
      </w:r>
      <w:r w:rsidRPr="00A67F27">
        <w:rPr>
          <w:rFonts w:ascii="Times New Roman" w:hAnsi="Times New Roman"/>
          <w:bCs/>
          <w:i/>
          <w:iCs/>
          <w:szCs w:val="24"/>
          <w:lang w:val="fr-FR"/>
        </w:rPr>
        <w:t>]</w:t>
      </w:r>
      <w:r w:rsidRPr="00A67F27">
        <w:rPr>
          <w:rFonts w:ascii="Times New Roman" w:hAnsi="Times New Roman"/>
          <w:bCs/>
          <w:i/>
          <w:iCs/>
          <w:lang w:val="fr-FR"/>
        </w:rPr>
        <w:t xml:space="preserve"> </w:t>
      </w:r>
      <w:r w:rsidRPr="00A67F27">
        <w:rPr>
          <w:rFonts w:ascii="Times New Roman" w:hAnsi="Times New Roman"/>
          <w:lang w:val="fr-FR"/>
        </w:rPr>
        <w:t>(ci-après dénommé « </w:t>
      </w:r>
      <w:r w:rsidRPr="00A67F27">
        <w:rPr>
          <w:lang w:val="fr-FR"/>
        </w:rPr>
        <w:t>le Maître de l’Ouvrage</w:t>
      </w:r>
      <w:r w:rsidRPr="00A67F27">
        <w:rPr>
          <w:rFonts w:ascii="Times New Roman" w:hAnsi="Times New Roman"/>
          <w:lang w:val="fr-FR"/>
        </w:rPr>
        <w:t xml:space="preserve"> ») pour la somme de </w:t>
      </w:r>
      <w:r w:rsidRPr="00A67F27">
        <w:rPr>
          <w:rFonts w:ascii="Times New Roman" w:hAnsi="Times New Roman"/>
          <w:bCs/>
          <w:i/>
          <w:iCs/>
          <w:lang w:val="fr-FR"/>
        </w:rPr>
        <w:t>[insérer le montant en chiffres dans la monnaie du pays du Maître de l’Ouvrage ou un montant équivalent dans une monnaie internationale librement convertible], [insérer le montant en lettres]</w:t>
      </w:r>
      <w:r w:rsidRPr="00A67F27">
        <w:rPr>
          <w:rFonts w:ascii="Times New Roman" w:hAnsi="Times New Roman"/>
          <w:lang w:val="fr-FR"/>
        </w:rPr>
        <w:t xml:space="preserve"> que, par les présentes, le Garant s’engage et engage ses successeurs ou assignataires, à régler intégralement audit Maître de l’Ouvrage. Certifié par le cachet dudit Garant ce __ jour de ______ </w:t>
      </w:r>
      <w:r w:rsidRPr="00A67F27">
        <w:rPr>
          <w:rFonts w:ascii="Times New Roman" w:hAnsi="Times New Roman"/>
          <w:bCs/>
          <w:i/>
          <w:iCs/>
          <w:szCs w:val="24"/>
          <w:lang w:val="fr-FR"/>
        </w:rPr>
        <w:t>[insérer date]</w:t>
      </w:r>
    </w:p>
    <w:p w14:paraId="58870BEA" w14:textId="77777777" w:rsidR="0036021B" w:rsidRPr="00A67F27" w:rsidRDefault="0036021B" w:rsidP="0036021B">
      <w:pPr>
        <w:tabs>
          <w:tab w:val="left" w:pos="720"/>
        </w:tabs>
      </w:pPr>
      <w:r w:rsidRPr="00A67F27">
        <w:t>LES CONDITIONS d’exécution de cette obligation sont les suivantes :</w:t>
      </w:r>
    </w:p>
    <w:p w14:paraId="4FE0F6F6" w14:textId="77777777" w:rsidR="0036021B" w:rsidRPr="00A67F27" w:rsidRDefault="0036021B" w:rsidP="0036021B">
      <w:pPr>
        <w:pStyle w:val="Retraitcorpsdetexte"/>
        <w:tabs>
          <w:tab w:val="left" w:pos="720"/>
        </w:tabs>
        <w:ind w:hanging="720"/>
        <w:rPr>
          <w:lang w:val="fr-FR"/>
        </w:rPr>
      </w:pPr>
      <w:r w:rsidRPr="00A67F27">
        <w:rPr>
          <w:lang w:val="fr-FR"/>
        </w:rPr>
        <w:t>1.</w:t>
      </w:r>
      <w:r w:rsidRPr="00A67F27">
        <w:rPr>
          <w:lang w:val="fr-FR"/>
        </w:rPr>
        <w:tab/>
        <w:t>Si le Soumissionnaire retire son offre pendant la période de validité qu’il a spécifiée dans la lettre de soumission de l’offre, ou</w:t>
      </w:r>
    </w:p>
    <w:p w14:paraId="046F1057" w14:textId="77777777" w:rsidR="0036021B" w:rsidRPr="00A67F27" w:rsidRDefault="0036021B" w:rsidP="0036021B">
      <w:pPr>
        <w:tabs>
          <w:tab w:val="left" w:pos="720"/>
        </w:tabs>
        <w:ind w:left="720" w:hanging="720"/>
      </w:pPr>
      <w:r w:rsidRPr="00A67F27">
        <w:t>2.</w:t>
      </w:r>
      <w:r w:rsidRPr="00A67F27">
        <w:tab/>
        <w:t>Si le Soumissionnaire, s’étant vu notifier l’acceptation de son offre par le Maître de l’Ouvrage pendant la période de validité :</w:t>
      </w:r>
    </w:p>
    <w:p w14:paraId="33D28C55" w14:textId="77777777" w:rsidR="0036021B" w:rsidRPr="00A67F27" w:rsidRDefault="0036021B" w:rsidP="0036021B">
      <w:pPr>
        <w:pStyle w:val="i"/>
        <w:ind w:left="1260" w:hanging="540"/>
        <w:rPr>
          <w:rFonts w:ascii="Times New Roman" w:hAnsi="Times New Roman"/>
          <w:lang w:val="fr-FR"/>
        </w:rPr>
      </w:pPr>
      <w:r w:rsidRPr="00A67F27">
        <w:rPr>
          <w:rFonts w:ascii="Times New Roman" w:hAnsi="Times New Roman"/>
          <w:lang w:val="fr-FR"/>
        </w:rPr>
        <w:t>a)</w:t>
      </w:r>
      <w:r w:rsidRPr="00A67F27">
        <w:rPr>
          <w:rFonts w:ascii="Times New Roman" w:hAnsi="Times New Roman"/>
          <w:lang w:val="fr-FR"/>
        </w:rPr>
        <w:tab/>
        <w:t>ne signe pas ou refuse de signer le (Formulaire de) marché ; ou</w:t>
      </w:r>
    </w:p>
    <w:p w14:paraId="2F5E7198" w14:textId="77777777" w:rsidR="0036021B" w:rsidRPr="00A67F27" w:rsidRDefault="0036021B" w:rsidP="0036021B">
      <w:pPr>
        <w:ind w:left="1260" w:hanging="540"/>
      </w:pPr>
      <w:r w:rsidRPr="00A67F27">
        <w:t>b)</w:t>
      </w:r>
      <w:r w:rsidRPr="00A67F27">
        <w:tab/>
        <w:t>ne fournit pas ou refuse de fournir la Garantie de bonne exécution, et s’il est tenu de le faire ne fournit pas la garantie de performance environnementale, sociale, hygiène et sécurité (ESHS) comme prévu par les Instructions aux soumissionnaires du Dossier d’Appel d’Offres émis par le Maître de l’Ouvrage,</w:t>
      </w:r>
    </w:p>
    <w:p w14:paraId="5538B074" w14:textId="77777777" w:rsidR="0036021B" w:rsidRPr="00A67F27" w:rsidRDefault="0036021B" w:rsidP="0036021B">
      <w:pPr>
        <w:pStyle w:val="i"/>
        <w:tabs>
          <w:tab w:val="left" w:pos="720"/>
        </w:tabs>
        <w:ind w:left="0" w:firstLine="0"/>
        <w:rPr>
          <w:rFonts w:ascii="Times New Roman" w:hAnsi="Times New Roman"/>
          <w:lang w:val="fr-FR"/>
        </w:rPr>
      </w:pPr>
      <w:r w:rsidRPr="00A67F27">
        <w:rPr>
          <w:rFonts w:ascii="Times New Roman" w:hAnsi="Times New Roman"/>
          <w:lang w:val="fr-FR"/>
        </w:rPr>
        <w:t xml:space="preserve">nous nous engageons à payer </w:t>
      </w:r>
      <w:r w:rsidRPr="00A67F27">
        <w:rPr>
          <w:lang w:val="fr-FR"/>
        </w:rPr>
        <w:t xml:space="preserve">au Maître de l’Ouvrage </w:t>
      </w:r>
      <w:r w:rsidRPr="00A67F27">
        <w:rPr>
          <w:rFonts w:ascii="Times New Roman" w:hAnsi="Times New Roman"/>
          <w:lang w:val="fr-FR"/>
        </w:rPr>
        <w:t xml:space="preserve">un montant égal au plus au montant stipulé ci-dessus, dès réception de sa première demande écrite, sans que </w:t>
      </w:r>
      <w:r w:rsidRPr="00A67F27">
        <w:rPr>
          <w:lang w:val="fr-FR"/>
        </w:rPr>
        <w:t>le Maître de l’Ouvrage</w:t>
      </w:r>
      <w:r w:rsidRPr="00A67F27">
        <w:rPr>
          <w:rFonts w:ascii="Times New Roman" w:hAnsi="Times New Roman"/>
          <w:lang w:val="fr-FR"/>
        </w:rPr>
        <w:t xml:space="preserve"> soit tenu de justifier sa demande, étant entendu toutefois que, dans sa demande, </w:t>
      </w:r>
      <w:r w:rsidRPr="00A67F27">
        <w:rPr>
          <w:lang w:val="fr-FR"/>
        </w:rPr>
        <w:t>le Maître de l’Ouvrage</w:t>
      </w:r>
      <w:r w:rsidRPr="00A67F27">
        <w:rPr>
          <w:rFonts w:ascii="Times New Roman" w:hAnsi="Times New Roman"/>
          <w:lang w:val="fr-FR"/>
        </w:rPr>
        <w:t xml:space="preserve"> notera que le montant qu’il réclame lui est dû parce que l’une ou </w:t>
      </w:r>
      <w:r w:rsidRPr="00A67F27">
        <w:rPr>
          <w:rFonts w:ascii="Times New Roman" w:hAnsi="Times New Roman"/>
          <w:lang w:val="fr-FR"/>
        </w:rPr>
        <w:lastRenderedPageBreak/>
        <w:t>l’autre des conditions susmentionnées ou toutes les deux sont remplies, en précisant laquelle ou lesquelles a ou ont motivé sa requête.</w:t>
      </w:r>
    </w:p>
    <w:p w14:paraId="7AD642FB" w14:textId="77777777" w:rsidR="0036021B" w:rsidRPr="00A67F27" w:rsidRDefault="0036021B" w:rsidP="0036021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r w:rsidRPr="00A67F27">
        <w:t>La présente garantie demeure valable jusqu’au vingt-huitième (28</w:t>
      </w:r>
      <w:r w:rsidRPr="00A67F27">
        <w:rPr>
          <w:vertAlign w:val="superscript"/>
        </w:rPr>
        <w:t>ème</w:t>
      </w:r>
      <w:r w:rsidRPr="00A67F27">
        <w:t xml:space="preserve">) jour inclus suivant l’expiration du délai de validité de l’offre ; toute demande du Maître de l’Ouvrage visant à la faire jouer devra parvenir au Garant à cette date au plus tard. </w:t>
      </w:r>
    </w:p>
    <w:p w14:paraId="08D48628" w14:textId="77777777" w:rsidR="0036021B" w:rsidRPr="00A67F27" w:rsidRDefault="0036021B" w:rsidP="0036021B">
      <w:pPr>
        <w:tabs>
          <w:tab w:val="left" w:pos="1188"/>
          <w:tab w:val="left" w:pos="2394"/>
          <w:tab w:val="left" w:pos="4209"/>
          <w:tab w:val="left" w:pos="5238"/>
          <w:tab w:val="left" w:pos="7632"/>
          <w:tab w:val="left" w:pos="7868"/>
          <w:tab w:val="left" w:pos="9468"/>
        </w:tabs>
      </w:pPr>
    </w:p>
    <w:p w14:paraId="5C2B6075" w14:textId="3FF0A991" w:rsidR="0036021B" w:rsidRPr="00A67F27" w:rsidRDefault="0036021B" w:rsidP="0036021B">
      <w:pPr>
        <w:tabs>
          <w:tab w:val="left" w:pos="1188"/>
          <w:tab w:val="left" w:pos="2394"/>
          <w:tab w:val="left" w:pos="4209"/>
          <w:tab w:val="left" w:pos="5238"/>
          <w:tab w:val="left" w:pos="7632"/>
          <w:tab w:val="left" w:pos="7868"/>
          <w:tab w:val="left" w:pos="9468"/>
        </w:tabs>
        <w:ind w:left="0" w:firstLine="0"/>
      </w:pPr>
      <w:r w:rsidRPr="00A67F27">
        <w:t xml:space="preserve">Nom : </w:t>
      </w:r>
      <w:r w:rsidRPr="00A67F27">
        <w:rPr>
          <w:i/>
          <w:iCs/>
        </w:rPr>
        <w:t xml:space="preserve">[nom complet de la personne </w:t>
      </w:r>
      <w:r w:rsidR="00AE44BE" w:rsidRPr="00A67F27">
        <w:rPr>
          <w:i/>
          <w:iCs/>
        </w:rPr>
        <w:t>signataire]</w:t>
      </w:r>
      <w:r w:rsidR="00AE44BE" w:rsidRPr="00A67F27">
        <w:t xml:space="preserve"> Titre</w:t>
      </w:r>
      <w:r w:rsidRPr="00A67F27">
        <w:t xml:space="preserve"> </w:t>
      </w:r>
      <w:r w:rsidRPr="00A67F27">
        <w:rPr>
          <w:i/>
          <w:iCs/>
        </w:rPr>
        <w:t>[capacité juridique de la personne signataire]</w:t>
      </w:r>
    </w:p>
    <w:p w14:paraId="07203DA0" w14:textId="77777777" w:rsidR="0036021B" w:rsidRPr="00A67F27" w:rsidRDefault="0036021B" w:rsidP="0036021B">
      <w:pPr>
        <w:tabs>
          <w:tab w:val="left" w:pos="1188"/>
          <w:tab w:val="left" w:pos="2394"/>
          <w:tab w:val="left" w:pos="4209"/>
          <w:tab w:val="left" w:pos="5238"/>
          <w:tab w:val="left" w:pos="7632"/>
          <w:tab w:val="left" w:pos="7868"/>
          <w:tab w:val="left" w:pos="9468"/>
        </w:tabs>
      </w:pPr>
    </w:p>
    <w:p w14:paraId="7AE8E3C9" w14:textId="77777777" w:rsidR="0036021B" w:rsidRPr="00A67F27" w:rsidRDefault="0036021B" w:rsidP="0036021B">
      <w:pPr>
        <w:pStyle w:val="i"/>
        <w:tabs>
          <w:tab w:val="left" w:pos="1188"/>
          <w:tab w:val="left" w:pos="2394"/>
          <w:tab w:val="left" w:pos="4209"/>
          <w:tab w:val="left" w:pos="5238"/>
          <w:tab w:val="left" w:pos="7632"/>
          <w:tab w:val="left" w:pos="7868"/>
          <w:tab w:val="left" w:pos="9468"/>
        </w:tabs>
        <w:rPr>
          <w:rFonts w:ascii="Times New Roman" w:hAnsi="Times New Roman"/>
          <w:lang w:val="fr-FR"/>
        </w:rPr>
      </w:pPr>
      <w:r w:rsidRPr="00A67F27">
        <w:rPr>
          <w:rFonts w:ascii="Times New Roman" w:hAnsi="Times New Roman"/>
          <w:lang w:val="fr-FR"/>
        </w:rPr>
        <w:t xml:space="preserve">Signé </w:t>
      </w:r>
      <w:r w:rsidRPr="00A67F27">
        <w:rPr>
          <w:rFonts w:ascii="Times New Roman" w:hAnsi="Times New Roman"/>
          <w:i/>
          <w:iCs/>
          <w:lang w:val="fr-FR"/>
        </w:rPr>
        <w:t>[signature de la personne dont le nom et le titre figurent ci-dessus]</w:t>
      </w:r>
    </w:p>
    <w:p w14:paraId="53778CDB" w14:textId="77777777" w:rsidR="0036021B" w:rsidRPr="00A67F27" w:rsidRDefault="0036021B" w:rsidP="0036021B">
      <w:pPr>
        <w:tabs>
          <w:tab w:val="left" w:pos="5238"/>
          <w:tab w:val="left" w:pos="5474"/>
          <w:tab w:val="left" w:pos="9468"/>
        </w:tabs>
      </w:pPr>
    </w:p>
    <w:p w14:paraId="2C638AB2" w14:textId="77777777" w:rsidR="0036021B" w:rsidRPr="00A67F27" w:rsidRDefault="0036021B" w:rsidP="0036021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67F27">
        <w:t xml:space="preserve">En date du _________________ jour de ____________________, </w:t>
      </w:r>
      <w:r w:rsidRPr="00A67F27">
        <w:rPr>
          <w:i/>
          <w:iCs/>
        </w:rPr>
        <w:t xml:space="preserve">______. </w:t>
      </w:r>
      <w:r w:rsidRPr="00A67F27">
        <w:rPr>
          <w:i/>
          <w:iCs/>
          <w:szCs w:val="24"/>
        </w:rPr>
        <w:t>[</w:t>
      </w:r>
      <w:proofErr w:type="gramStart"/>
      <w:r w:rsidRPr="00A67F27">
        <w:rPr>
          <w:i/>
          <w:iCs/>
          <w:szCs w:val="24"/>
        </w:rPr>
        <w:t>insérer</w:t>
      </w:r>
      <w:proofErr w:type="gramEnd"/>
      <w:r w:rsidRPr="00A67F27">
        <w:rPr>
          <w:i/>
          <w:iCs/>
          <w:szCs w:val="24"/>
        </w:rPr>
        <w:t xml:space="preserve"> date]</w:t>
      </w:r>
    </w:p>
    <w:p w14:paraId="01CCA00A" w14:textId="77777777" w:rsidR="0036021B" w:rsidRPr="00A67F27" w:rsidRDefault="0036021B" w:rsidP="0036021B">
      <w:pPr>
        <w:tabs>
          <w:tab w:val="left" w:pos="5238"/>
          <w:tab w:val="left" w:pos="5474"/>
          <w:tab w:val="left" w:pos="9468"/>
        </w:tabs>
        <w:ind w:left="0" w:firstLine="0"/>
      </w:pPr>
    </w:p>
    <w:p w14:paraId="22245D27" w14:textId="77777777" w:rsidR="0036021B" w:rsidRPr="00A67F27" w:rsidRDefault="0036021B" w:rsidP="0036021B">
      <w:pPr>
        <w:pStyle w:val="Outline"/>
        <w:tabs>
          <w:tab w:val="left" w:pos="5238"/>
          <w:tab w:val="left" w:pos="5474"/>
          <w:tab w:val="left" w:pos="9468"/>
        </w:tabs>
        <w:spacing w:before="0"/>
        <w:rPr>
          <w:kern w:val="0"/>
        </w:rPr>
      </w:pPr>
    </w:p>
    <w:bookmarkEnd w:id="474"/>
    <w:bookmarkEnd w:id="475"/>
    <w:bookmarkEnd w:id="476"/>
    <w:bookmarkEnd w:id="477"/>
    <w:p w14:paraId="5A953098" w14:textId="77777777" w:rsidR="004A7F6C" w:rsidRPr="00A67F27" w:rsidRDefault="00E223D0" w:rsidP="004A7F6C">
      <w:pPr>
        <w:spacing w:before="120" w:after="240"/>
        <w:ind w:left="0" w:firstLine="0"/>
        <w:jc w:val="center"/>
        <w:rPr>
          <w:iCs/>
          <w:szCs w:val="24"/>
          <w:lang w:eastAsia="en-US"/>
        </w:rPr>
      </w:pPr>
      <w:r w:rsidRPr="00A67F27">
        <w:rPr>
          <w:rFonts w:ascii="Arial" w:hAnsi="Arial"/>
          <w:b/>
          <w:spacing w:val="-2"/>
          <w:sz w:val="20"/>
          <w:lang w:eastAsia="en-US"/>
        </w:rPr>
        <w:br w:type="page"/>
      </w:r>
    </w:p>
    <w:tbl>
      <w:tblPr>
        <w:tblW w:w="0" w:type="auto"/>
        <w:tblLayout w:type="fixed"/>
        <w:tblLook w:val="0000" w:firstRow="0" w:lastRow="0" w:firstColumn="0" w:lastColumn="0" w:noHBand="0" w:noVBand="0"/>
      </w:tblPr>
      <w:tblGrid>
        <w:gridCol w:w="9198"/>
      </w:tblGrid>
      <w:tr w:rsidR="004A7F6C" w:rsidRPr="00A67F27" w14:paraId="5913C919" w14:textId="77777777" w:rsidTr="0095003D">
        <w:trPr>
          <w:trHeight w:val="426"/>
        </w:trPr>
        <w:tc>
          <w:tcPr>
            <w:tcW w:w="9198" w:type="dxa"/>
            <w:tcBorders>
              <w:top w:val="nil"/>
              <w:left w:val="nil"/>
              <w:bottom w:val="nil"/>
              <w:right w:val="nil"/>
            </w:tcBorders>
          </w:tcPr>
          <w:p w14:paraId="28762FC8" w14:textId="77777777" w:rsidR="004A7F6C" w:rsidRPr="00A67F27" w:rsidRDefault="004A7F6C" w:rsidP="00094A29">
            <w:pPr>
              <w:pStyle w:val="Style7"/>
              <w:spacing w:before="120" w:after="120"/>
            </w:pPr>
            <w:r w:rsidRPr="00A67F27">
              <w:lastRenderedPageBreak/>
              <w:br w:type="page"/>
            </w:r>
            <w:bookmarkStart w:id="480" w:name="_Toc327863895"/>
            <w:bookmarkStart w:id="481" w:name="_Toc479112146"/>
            <w:r w:rsidRPr="00A67F27">
              <w:t xml:space="preserve">Modèle de Déclaration de </w:t>
            </w:r>
            <w:bookmarkEnd w:id="480"/>
            <w:r w:rsidRPr="00A67F27">
              <w:t>garantie d’offre</w:t>
            </w:r>
            <w:bookmarkEnd w:id="481"/>
          </w:p>
        </w:tc>
      </w:tr>
    </w:tbl>
    <w:p w14:paraId="67169BD2" w14:textId="77777777" w:rsidR="004A7F6C" w:rsidRPr="00A67F27" w:rsidRDefault="004A7F6C" w:rsidP="004A7F6C">
      <w:pPr>
        <w:tabs>
          <w:tab w:val="right" w:pos="9000"/>
        </w:tabs>
        <w:ind w:left="90" w:firstLine="0"/>
      </w:pPr>
      <w:r w:rsidRPr="00A67F27">
        <w:rPr>
          <w:i/>
          <w:iCs/>
        </w:rPr>
        <w:t>[Le Soumissionnaire remplit ce formulaire de garantie d’offre conformément aux indications entre crochets]</w:t>
      </w:r>
    </w:p>
    <w:p w14:paraId="6964BC06" w14:textId="77777777" w:rsidR="004A7F6C" w:rsidRPr="00A67F27" w:rsidRDefault="004A7F6C" w:rsidP="004A7F6C">
      <w:pPr>
        <w:jc w:val="right"/>
      </w:pPr>
      <w:r w:rsidRPr="00A67F27">
        <w:t xml:space="preserve">Date </w:t>
      </w:r>
      <w:r w:rsidRPr="00A67F27">
        <w:rPr>
          <w:i/>
          <w:iCs/>
        </w:rPr>
        <w:t>[insérer la date (jour, mois, année) de remise de l’offre]</w:t>
      </w:r>
    </w:p>
    <w:p w14:paraId="588E323B" w14:textId="0D09B073" w:rsidR="004A7F6C" w:rsidRPr="00A67F27" w:rsidRDefault="004A7F6C" w:rsidP="004A7F6C">
      <w:pPr>
        <w:ind w:right="72"/>
        <w:jc w:val="right"/>
        <w:rPr>
          <w:b/>
        </w:rPr>
      </w:pPr>
      <w:r w:rsidRPr="00A67F27">
        <w:t>AO No</w:t>
      </w:r>
      <w:r w:rsidR="0023307A" w:rsidRPr="00A67F27">
        <w:t>. :</w:t>
      </w:r>
      <w:r w:rsidRPr="00A67F27">
        <w:t xml:space="preserve"> </w:t>
      </w:r>
      <w:r w:rsidRPr="00A67F27">
        <w:rPr>
          <w:bCs/>
          <w:i/>
          <w:iCs/>
        </w:rPr>
        <w:t>[</w:t>
      </w:r>
      <w:proofErr w:type="gramStart"/>
      <w:r w:rsidRPr="00A67F27">
        <w:rPr>
          <w:bCs/>
          <w:i/>
          <w:iCs/>
        </w:rPr>
        <w:t>insérer</w:t>
      </w:r>
      <w:proofErr w:type="gramEnd"/>
      <w:r w:rsidRPr="00A67F27">
        <w:rPr>
          <w:bCs/>
          <w:i/>
          <w:iCs/>
        </w:rPr>
        <w:t xml:space="preserve"> le numéro de l’Appel d’Offres]</w:t>
      </w:r>
    </w:p>
    <w:p w14:paraId="6229EB88" w14:textId="77777777" w:rsidR="004A7F6C" w:rsidRPr="00A67F27" w:rsidRDefault="004A7F6C" w:rsidP="0095003D">
      <w:pPr>
        <w:ind w:left="0" w:right="-709" w:firstLine="0"/>
        <w:jc w:val="left"/>
        <w:rPr>
          <w:bCs/>
          <w:i/>
          <w:iCs/>
          <w:spacing w:val="-4"/>
          <w:sz w:val="28"/>
        </w:rPr>
      </w:pPr>
      <w:r w:rsidRPr="00A67F27">
        <w:t xml:space="preserve">Variante No. : </w:t>
      </w:r>
      <w:r w:rsidRPr="00A67F27">
        <w:rPr>
          <w:bCs/>
          <w:i/>
          <w:iCs/>
          <w:spacing w:val="-4"/>
        </w:rPr>
        <w:t>[</w:t>
      </w:r>
      <w:proofErr w:type="gramStart"/>
      <w:r w:rsidRPr="00A67F27">
        <w:rPr>
          <w:bCs/>
          <w:i/>
          <w:iCs/>
          <w:spacing w:val="-4"/>
        </w:rPr>
        <w:t>insérer</w:t>
      </w:r>
      <w:proofErr w:type="gramEnd"/>
      <w:r w:rsidRPr="00A67F27">
        <w:rPr>
          <w:bCs/>
          <w:i/>
          <w:iCs/>
          <w:spacing w:val="-4"/>
        </w:rPr>
        <w:t xml:space="preserve"> le numéro d’identification si cette offre est proposée pour une variante]</w:t>
      </w:r>
    </w:p>
    <w:p w14:paraId="407E271C" w14:textId="77777777" w:rsidR="004A7F6C" w:rsidRPr="00A67F27" w:rsidRDefault="004A7F6C" w:rsidP="004A7F6C">
      <w:r w:rsidRPr="00A67F27">
        <w:t xml:space="preserve">A l’attention de </w:t>
      </w:r>
      <w:r w:rsidRPr="00A67F27">
        <w:rPr>
          <w:bCs/>
          <w:i/>
          <w:iCs/>
          <w:szCs w:val="24"/>
        </w:rPr>
        <w:t>[insérer nom complet du Maître de l’Ouvrage]</w:t>
      </w:r>
    </w:p>
    <w:p w14:paraId="42AF301E" w14:textId="77777777" w:rsidR="004A7F6C" w:rsidRPr="00A67F27" w:rsidRDefault="004A7F6C" w:rsidP="004A7F6C">
      <w:r w:rsidRPr="00A67F27">
        <w:t>Nous, soussignés, déclarons que :</w:t>
      </w:r>
    </w:p>
    <w:p w14:paraId="55D5CBA9" w14:textId="77777777" w:rsidR="004A7F6C" w:rsidRPr="00A67F27" w:rsidRDefault="004A7F6C" w:rsidP="004A7F6C">
      <w:pPr>
        <w:tabs>
          <w:tab w:val="left" w:pos="540"/>
        </w:tabs>
      </w:pPr>
      <w:r w:rsidRPr="00A67F27">
        <w:t>1.</w:t>
      </w:r>
      <w:r w:rsidRPr="00A67F27">
        <w:tab/>
        <w:t>Nous reconnaissons que les offres doivent être accompagnées d’une déclaration de garantie d’offre.</w:t>
      </w:r>
    </w:p>
    <w:p w14:paraId="05F2E74B" w14:textId="4A83A8EC" w:rsidR="004A7F6C" w:rsidRPr="00A67F27" w:rsidRDefault="004A7F6C" w:rsidP="004A7F6C">
      <w:pPr>
        <w:tabs>
          <w:tab w:val="left" w:pos="540"/>
        </w:tabs>
      </w:pPr>
      <w:r w:rsidRPr="00A67F27">
        <w:t>2.</w:t>
      </w:r>
      <w:r w:rsidRPr="00A67F27">
        <w:tab/>
        <w:t xml:space="preserve">Nous acceptons que nous ferons l’objet d’une suspension du droit de participer à tout appel d’offres ou de propositions en vue d’obtenir un marché de la part du Maître de l’Ouvrage pour une période </w:t>
      </w:r>
      <w:r w:rsidR="00AE44BE" w:rsidRPr="00A67F27">
        <w:t xml:space="preserve">de </w:t>
      </w:r>
      <w:r w:rsidR="00AE44BE">
        <w:t>un</w:t>
      </w:r>
      <w:r w:rsidR="005713AD">
        <w:t xml:space="preserve"> </w:t>
      </w:r>
      <w:r w:rsidR="000A69AA">
        <w:t xml:space="preserve">(1) </w:t>
      </w:r>
      <w:proofErr w:type="spellStart"/>
      <w:r w:rsidR="005713AD">
        <w:t>an</w:t>
      </w:r>
      <w:proofErr w:type="spellEnd"/>
      <w:r w:rsidR="005713AD">
        <w:t xml:space="preserve"> </w:t>
      </w:r>
      <w:r w:rsidR="00AE44BE" w:rsidRPr="00A67F27">
        <w:t>commençant à</w:t>
      </w:r>
      <w:r w:rsidR="000A69AA">
        <w:t xml:space="preserve"> compter de la date de notification de la faute</w:t>
      </w:r>
      <w:r w:rsidRPr="00A67F27">
        <w:rPr>
          <w:bCs/>
          <w:i/>
          <w:iCs/>
        </w:rPr>
        <w:t>,</w:t>
      </w:r>
      <w:r w:rsidRPr="00A67F27">
        <w:t xml:space="preserve"> si nous n’exécutons pas une des obligations auxquelles nous sommes tenus en vertu de l’Offre, à savoir :</w:t>
      </w:r>
    </w:p>
    <w:p w14:paraId="529FD401" w14:textId="77777777" w:rsidR="004A7F6C" w:rsidRPr="00A67F27" w:rsidRDefault="004A7F6C" w:rsidP="004A7F6C">
      <w:pPr>
        <w:ind w:left="1080" w:hanging="540"/>
      </w:pPr>
      <w:r w:rsidRPr="00A67F27">
        <w:t>a)</w:t>
      </w:r>
      <w:r w:rsidRPr="00A67F27">
        <w:tab/>
        <w:t>si nous retirons l’Offre pendant la période de validité que nous avons spécifiée dans le formulaire d’offre ; ou</w:t>
      </w:r>
    </w:p>
    <w:p w14:paraId="58950733" w14:textId="77777777" w:rsidR="004A7F6C" w:rsidRPr="00A67F27" w:rsidRDefault="004A7F6C" w:rsidP="004A7F6C">
      <w:pPr>
        <w:ind w:left="1080" w:hanging="540"/>
      </w:pPr>
      <w:r w:rsidRPr="00A67F27">
        <w:t>b)</w:t>
      </w:r>
      <w:r w:rsidRPr="00A67F27">
        <w:tab/>
        <w:t>si nous étant vu notifier l’acceptation de l’Offre par le Maître de l’Ouvrage pendant la période de validité, nous : (i) ne signons pas le Marché ; ou (ii) ne fournissons pas la garantie de bonne exécution, et si nous sommes tenus de le faire nous ne fournissons pas la garantie de performance environnementale, sociale, hygiène et sécurité (ESHS) ainsi qu’il est prévu dans les Instructions aux soumissionnaires.</w:t>
      </w:r>
    </w:p>
    <w:p w14:paraId="68420B63" w14:textId="77777777" w:rsidR="004A7F6C" w:rsidRPr="00A67F27" w:rsidRDefault="004A7F6C" w:rsidP="004A7F6C">
      <w:pPr>
        <w:tabs>
          <w:tab w:val="left" w:pos="540"/>
        </w:tabs>
      </w:pPr>
      <w:r w:rsidRPr="00A67F27">
        <w:t>3.</w:t>
      </w:r>
      <w:r w:rsidRPr="00A67F27">
        <w:tab/>
        <w:t>La présente garantie expirera si le marché ne nous est pas attribué, à la première des dates suivantes : (i) lorsque nous recevrons copie de votre notification du nom du soumissionnaire retenu, ou (ii) vingt-huit (28) jours suivant l’expiration de notre Offre.</w:t>
      </w:r>
    </w:p>
    <w:p w14:paraId="672778B9" w14:textId="2493795F" w:rsidR="004A7F6C" w:rsidRPr="00A67F27" w:rsidRDefault="004A7F6C" w:rsidP="0095003D">
      <w:pPr>
        <w:tabs>
          <w:tab w:val="left" w:pos="540"/>
        </w:tabs>
      </w:pPr>
      <w:r w:rsidRPr="00A67F27">
        <w:t>4.</w:t>
      </w:r>
      <w:r w:rsidRPr="00A67F27">
        <w:tab/>
        <w:t xml:space="preserve">Il est entendu que si nous sommes un groupement d’entreprises, la déclaration de garantie d’offre doit être au nom du groupement qui soumet l’offre. Si le groupement n’a pas été formellement constitué lors du dépôt d’offre, la déclaration de garantie de l’offre doit être au nom de tous les futurs membres du groupement nommés dans la lettre d’intention. </w:t>
      </w:r>
    </w:p>
    <w:p w14:paraId="704F4FE8" w14:textId="77777777" w:rsidR="004A7F6C" w:rsidRPr="00A67F27" w:rsidRDefault="004A7F6C" w:rsidP="004A7F6C">
      <w:pPr>
        <w:tabs>
          <w:tab w:val="right" w:pos="4140"/>
          <w:tab w:val="left" w:pos="4500"/>
          <w:tab w:val="right" w:pos="9000"/>
        </w:tabs>
      </w:pPr>
      <w:r w:rsidRPr="00A67F27">
        <w:t xml:space="preserve">Nom </w:t>
      </w:r>
      <w:r w:rsidRPr="00A67F27">
        <w:rPr>
          <w:bCs/>
          <w:i/>
          <w:iCs/>
        </w:rPr>
        <w:t>[insérer le nom complet de la personne signataire de la déclaration de garantie d’offre]</w:t>
      </w:r>
    </w:p>
    <w:p w14:paraId="2DB97D68" w14:textId="77777777" w:rsidR="004A7F6C" w:rsidRPr="00A67F27" w:rsidRDefault="004A7F6C" w:rsidP="004A7F6C">
      <w:pPr>
        <w:tabs>
          <w:tab w:val="right" w:pos="4140"/>
          <w:tab w:val="left" w:pos="4500"/>
          <w:tab w:val="right" w:pos="9000"/>
        </w:tabs>
      </w:pPr>
      <w:r w:rsidRPr="00A67F27">
        <w:t xml:space="preserve">En tant que </w:t>
      </w:r>
      <w:r w:rsidRPr="00A67F27">
        <w:rPr>
          <w:bCs/>
          <w:i/>
          <w:iCs/>
        </w:rPr>
        <w:t>[indiquer la capacité du signataire]</w:t>
      </w:r>
    </w:p>
    <w:tbl>
      <w:tblPr>
        <w:tblW w:w="0" w:type="auto"/>
        <w:tblLayout w:type="fixed"/>
        <w:tblLook w:val="0000" w:firstRow="0" w:lastRow="0" w:firstColumn="0" w:lastColumn="0" w:noHBand="0" w:noVBand="0"/>
      </w:tblPr>
      <w:tblGrid>
        <w:gridCol w:w="9198"/>
      </w:tblGrid>
      <w:tr w:rsidR="000A450A" w:rsidRPr="00A67F27" w14:paraId="083070DF" w14:textId="77777777" w:rsidTr="003B65B6">
        <w:trPr>
          <w:trHeight w:val="20"/>
        </w:trPr>
        <w:tc>
          <w:tcPr>
            <w:tcW w:w="9198" w:type="dxa"/>
            <w:tcBorders>
              <w:top w:val="nil"/>
              <w:left w:val="nil"/>
              <w:bottom w:val="nil"/>
              <w:right w:val="nil"/>
            </w:tcBorders>
          </w:tcPr>
          <w:p w14:paraId="6C8367C2" w14:textId="34CE3501" w:rsidR="000A450A" w:rsidRPr="00A67F27" w:rsidRDefault="000A450A" w:rsidP="004D5CFA">
            <w:pPr>
              <w:pStyle w:val="S4-header1"/>
              <w:rPr>
                <w:lang w:val="fr-FR"/>
              </w:rPr>
            </w:pPr>
            <w:bookmarkStart w:id="482" w:name="_Toc327863868"/>
            <w:bookmarkStart w:id="483" w:name="_Toc483210387"/>
            <w:bookmarkStart w:id="484" w:name="_Toc487641615"/>
            <w:r w:rsidRPr="00A67F27">
              <w:rPr>
                <w:lang w:val="fr-FR"/>
              </w:rPr>
              <w:lastRenderedPageBreak/>
              <w:t>Formulaires</w:t>
            </w:r>
            <w:r w:rsidR="00294BAD" w:rsidRPr="00A67F27">
              <w:rPr>
                <w:lang w:val="fr-FR"/>
              </w:rPr>
              <w:t xml:space="preserve"> de </w:t>
            </w:r>
            <w:r w:rsidR="00BB7B3B" w:rsidRPr="00A67F27">
              <w:rPr>
                <w:lang w:val="fr-FR"/>
              </w:rPr>
              <w:t xml:space="preserve">la </w:t>
            </w:r>
            <w:r w:rsidR="00294BAD" w:rsidRPr="00A67F27">
              <w:rPr>
                <w:lang w:val="fr-FR"/>
              </w:rPr>
              <w:t>Proposition technique</w:t>
            </w:r>
            <w:bookmarkEnd w:id="482"/>
            <w:bookmarkEnd w:id="483"/>
            <w:bookmarkEnd w:id="484"/>
          </w:p>
        </w:tc>
      </w:tr>
      <w:tr w:rsidR="000A450A" w:rsidRPr="00A67F27" w14:paraId="1B3653D4" w14:textId="77777777" w:rsidTr="003B65B6">
        <w:trPr>
          <w:trHeight w:val="20"/>
        </w:trPr>
        <w:tc>
          <w:tcPr>
            <w:tcW w:w="9198" w:type="dxa"/>
            <w:vAlign w:val="center"/>
          </w:tcPr>
          <w:p w14:paraId="4C816617" w14:textId="7AFDFED1" w:rsidR="004D5CFA" w:rsidRPr="003B65B6" w:rsidRDefault="00294BAD" w:rsidP="003B65B6">
            <w:pPr>
              <w:pStyle w:val="S4-Header2"/>
              <w:rPr>
                <w:lang w:val="fr-FR"/>
              </w:rPr>
            </w:pPr>
            <w:bookmarkStart w:id="485" w:name="_Toc487641616"/>
            <w:r w:rsidRPr="00A67F27">
              <w:rPr>
                <w:lang w:val="fr-FR"/>
              </w:rPr>
              <w:t>Proposition technique</w:t>
            </w:r>
            <w:bookmarkEnd w:id="485"/>
          </w:p>
        </w:tc>
      </w:tr>
    </w:tbl>
    <w:p w14:paraId="6EF4D630" w14:textId="77777777" w:rsidR="000A450A" w:rsidRPr="00A67F27" w:rsidRDefault="000A450A" w:rsidP="00520988">
      <w:pPr>
        <w:numPr>
          <w:ilvl w:val="0"/>
          <w:numId w:val="19"/>
        </w:numPr>
        <w:tabs>
          <w:tab w:val="left" w:pos="5238"/>
          <w:tab w:val="left" w:pos="5474"/>
          <w:tab w:val="left" w:pos="9468"/>
        </w:tabs>
        <w:spacing w:after="240"/>
        <w:jc w:val="left"/>
        <w:rPr>
          <w:rFonts w:asciiTheme="majorBidi" w:hAnsiTheme="majorBidi" w:cstheme="majorBidi"/>
          <w:b/>
          <w:sz w:val="28"/>
        </w:rPr>
      </w:pPr>
      <w:r w:rsidRPr="00A67F27">
        <w:rPr>
          <w:rFonts w:asciiTheme="majorBidi" w:hAnsiTheme="majorBidi" w:cstheme="majorBidi"/>
          <w:b/>
          <w:sz w:val="28"/>
        </w:rPr>
        <w:t>Organisation des travaux sur site</w:t>
      </w:r>
    </w:p>
    <w:p w14:paraId="7B995149" w14:textId="77777777" w:rsidR="000A450A" w:rsidRPr="00A67F27" w:rsidRDefault="000A450A" w:rsidP="00520988">
      <w:pPr>
        <w:numPr>
          <w:ilvl w:val="0"/>
          <w:numId w:val="19"/>
        </w:numPr>
        <w:tabs>
          <w:tab w:val="left" w:pos="5238"/>
          <w:tab w:val="left" w:pos="5474"/>
          <w:tab w:val="left" w:pos="9468"/>
        </w:tabs>
        <w:spacing w:after="240"/>
        <w:jc w:val="left"/>
        <w:rPr>
          <w:rFonts w:asciiTheme="majorBidi" w:hAnsiTheme="majorBidi" w:cstheme="majorBidi"/>
          <w:b/>
          <w:sz w:val="28"/>
        </w:rPr>
      </w:pPr>
      <w:r w:rsidRPr="00A67F27">
        <w:rPr>
          <w:rFonts w:asciiTheme="majorBidi" w:hAnsiTheme="majorBidi" w:cstheme="majorBidi"/>
          <w:b/>
          <w:sz w:val="28"/>
        </w:rPr>
        <w:t>Méthode de réalisation</w:t>
      </w:r>
    </w:p>
    <w:p w14:paraId="287518E3" w14:textId="77777777" w:rsidR="000A450A" w:rsidRPr="00A67F27" w:rsidRDefault="000A450A" w:rsidP="00520988">
      <w:pPr>
        <w:numPr>
          <w:ilvl w:val="0"/>
          <w:numId w:val="19"/>
        </w:numPr>
        <w:tabs>
          <w:tab w:val="left" w:pos="5238"/>
          <w:tab w:val="left" w:pos="5474"/>
          <w:tab w:val="left" w:pos="9468"/>
        </w:tabs>
        <w:spacing w:after="240"/>
        <w:jc w:val="left"/>
        <w:rPr>
          <w:rFonts w:asciiTheme="majorBidi" w:hAnsiTheme="majorBidi" w:cstheme="majorBidi"/>
          <w:b/>
          <w:sz w:val="28"/>
        </w:rPr>
      </w:pPr>
      <w:r w:rsidRPr="00A67F27">
        <w:rPr>
          <w:rFonts w:asciiTheme="majorBidi" w:hAnsiTheme="majorBidi" w:cstheme="majorBidi"/>
          <w:b/>
          <w:sz w:val="28"/>
        </w:rPr>
        <w:t xml:space="preserve">Programme/Calendrier de Mobilisation </w:t>
      </w:r>
    </w:p>
    <w:p w14:paraId="0E8A2236" w14:textId="77777777" w:rsidR="003943C7" w:rsidRPr="00A67F27" w:rsidRDefault="000A450A" w:rsidP="00520988">
      <w:pPr>
        <w:numPr>
          <w:ilvl w:val="0"/>
          <w:numId w:val="19"/>
        </w:numPr>
        <w:tabs>
          <w:tab w:val="left" w:pos="5238"/>
          <w:tab w:val="left" w:pos="5474"/>
          <w:tab w:val="left" w:pos="9468"/>
        </w:tabs>
        <w:spacing w:after="240"/>
        <w:jc w:val="left"/>
        <w:rPr>
          <w:rFonts w:asciiTheme="majorBidi" w:hAnsiTheme="majorBidi" w:cstheme="majorBidi"/>
          <w:b/>
          <w:sz w:val="28"/>
        </w:rPr>
      </w:pPr>
      <w:r w:rsidRPr="00A67F27">
        <w:rPr>
          <w:rFonts w:asciiTheme="majorBidi" w:hAnsiTheme="majorBidi" w:cstheme="majorBidi"/>
          <w:b/>
          <w:sz w:val="28"/>
        </w:rPr>
        <w:t xml:space="preserve">Programme/Calendrier de Construction </w:t>
      </w:r>
    </w:p>
    <w:p w14:paraId="4A3DC7AD" w14:textId="77777777" w:rsidR="003943C7" w:rsidRPr="00A67F27" w:rsidRDefault="003943C7" w:rsidP="00520988">
      <w:pPr>
        <w:numPr>
          <w:ilvl w:val="0"/>
          <w:numId w:val="19"/>
        </w:numPr>
        <w:tabs>
          <w:tab w:val="left" w:pos="5238"/>
          <w:tab w:val="left" w:pos="5474"/>
          <w:tab w:val="left" w:pos="9468"/>
        </w:tabs>
        <w:spacing w:after="240"/>
        <w:jc w:val="left"/>
        <w:rPr>
          <w:rFonts w:asciiTheme="majorBidi" w:hAnsiTheme="majorBidi" w:cstheme="majorBidi"/>
          <w:b/>
          <w:sz w:val="28"/>
        </w:rPr>
      </w:pPr>
      <w:r w:rsidRPr="00A67F27">
        <w:rPr>
          <w:rFonts w:asciiTheme="majorBidi" w:hAnsiTheme="majorBidi" w:cstheme="majorBidi"/>
          <w:b/>
          <w:sz w:val="28"/>
        </w:rPr>
        <w:t>Matériel - Formulaire MAT</w:t>
      </w:r>
    </w:p>
    <w:p w14:paraId="74B0BB34" w14:textId="77777777" w:rsidR="00DE5C38" w:rsidRPr="00A67F27" w:rsidRDefault="00DE5C38" w:rsidP="00520988">
      <w:pPr>
        <w:numPr>
          <w:ilvl w:val="0"/>
          <w:numId w:val="19"/>
        </w:numPr>
        <w:tabs>
          <w:tab w:val="left" w:pos="5238"/>
          <w:tab w:val="left" w:pos="5474"/>
          <w:tab w:val="left" w:pos="9468"/>
        </w:tabs>
        <w:spacing w:after="240"/>
        <w:jc w:val="left"/>
        <w:rPr>
          <w:rFonts w:asciiTheme="majorBidi" w:hAnsiTheme="majorBidi" w:cstheme="majorBidi"/>
          <w:b/>
          <w:sz w:val="28"/>
        </w:rPr>
      </w:pPr>
      <w:r w:rsidRPr="00A67F27">
        <w:rPr>
          <w:rFonts w:asciiTheme="majorBidi" w:hAnsiTheme="majorBidi" w:cstheme="majorBidi"/>
          <w:b/>
          <w:sz w:val="28"/>
        </w:rPr>
        <w:t xml:space="preserve">Personnel Clé Proposé </w:t>
      </w:r>
    </w:p>
    <w:p w14:paraId="3B0A9E98" w14:textId="3862DBF3" w:rsidR="00DE5C38" w:rsidRPr="00A67F27" w:rsidRDefault="00DE5C38" w:rsidP="00520988">
      <w:pPr>
        <w:numPr>
          <w:ilvl w:val="0"/>
          <w:numId w:val="19"/>
        </w:numPr>
        <w:tabs>
          <w:tab w:val="left" w:pos="5238"/>
          <w:tab w:val="left" w:pos="5474"/>
          <w:tab w:val="left" w:pos="9468"/>
        </w:tabs>
        <w:spacing w:after="240"/>
        <w:jc w:val="left"/>
        <w:rPr>
          <w:rFonts w:asciiTheme="majorBidi" w:hAnsiTheme="majorBidi" w:cstheme="majorBidi"/>
          <w:b/>
          <w:sz w:val="28"/>
        </w:rPr>
      </w:pPr>
      <w:r w:rsidRPr="00A67F27">
        <w:rPr>
          <w:rFonts w:asciiTheme="majorBidi" w:hAnsiTheme="majorBidi" w:cstheme="majorBidi"/>
          <w:b/>
          <w:sz w:val="28"/>
        </w:rPr>
        <w:t>Stratégies de gestion et Plans de mise en œuvre ESHS</w:t>
      </w:r>
    </w:p>
    <w:p w14:paraId="21730BDB" w14:textId="24BD89E7" w:rsidR="00DE5C38" w:rsidRPr="00A67F27" w:rsidRDefault="00DE5C38" w:rsidP="00520988">
      <w:pPr>
        <w:numPr>
          <w:ilvl w:val="0"/>
          <w:numId w:val="19"/>
        </w:numPr>
        <w:tabs>
          <w:tab w:val="left" w:pos="5238"/>
          <w:tab w:val="left" w:pos="5474"/>
          <w:tab w:val="left" w:pos="9468"/>
        </w:tabs>
        <w:spacing w:after="240"/>
        <w:jc w:val="left"/>
        <w:rPr>
          <w:rFonts w:asciiTheme="majorBidi" w:hAnsiTheme="majorBidi" w:cstheme="majorBidi"/>
          <w:b/>
          <w:sz w:val="28"/>
        </w:rPr>
      </w:pPr>
      <w:r w:rsidRPr="00A67F27">
        <w:rPr>
          <w:rFonts w:asciiTheme="majorBidi" w:hAnsiTheme="majorBidi" w:cstheme="majorBidi"/>
          <w:b/>
          <w:sz w:val="28"/>
        </w:rPr>
        <w:t xml:space="preserve">Code de Conduite (ESHS) </w:t>
      </w:r>
    </w:p>
    <w:p w14:paraId="1A29F1CF" w14:textId="77777777" w:rsidR="000A450A" w:rsidRPr="00A67F27" w:rsidRDefault="000A450A" w:rsidP="00520988">
      <w:pPr>
        <w:numPr>
          <w:ilvl w:val="0"/>
          <w:numId w:val="19"/>
        </w:numPr>
        <w:tabs>
          <w:tab w:val="left" w:pos="5238"/>
          <w:tab w:val="left" w:pos="5474"/>
          <w:tab w:val="left" w:pos="9468"/>
        </w:tabs>
        <w:spacing w:after="240"/>
        <w:jc w:val="left"/>
        <w:rPr>
          <w:rFonts w:asciiTheme="majorBidi" w:hAnsiTheme="majorBidi" w:cstheme="majorBidi"/>
          <w:b/>
          <w:sz w:val="28"/>
        </w:rPr>
      </w:pPr>
      <w:r w:rsidRPr="00A67F27">
        <w:rPr>
          <w:rFonts w:asciiTheme="majorBidi" w:hAnsiTheme="majorBidi" w:cstheme="majorBidi"/>
          <w:b/>
          <w:sz w:val="28"/>
        </w:rPr>
        <w:t>Autres</w:t>
      </w:r>
    </w:p>
    <w:p w14:paraId="562E533C" w14:textId="7F627C98" w:rsidR="000D0EA3" w:rsidRPr="00A67F27" w:rsidRDefault="000A450A" w:rsidP="000D0EA3">
      <w:pPr>
        <w:pStyle w:val="Style8"/>
        <w:rPr>
          <w:rFonts w:asciiTheme="majorBidi" w:hAnsiTheme="majorBidi" w:cstheme="majorBidi"/>
        </w:rPr>
      </w:pPr>
      <w:r w:rsidRPr="00A67F27">
        <w:rPr>
          <w:rFonts w:asciiTheme="majorBidi" w:hAnsiTheme="majorBidi" w:cstheme="majorBidi"/>
        </w:rPr>
        <w:br w:type="page"/>
      </w:r>
      <w:bookmarkStart w:id="486" w:name="_Toc327863871"/>
      <w:bookmarkStart w:id="487" w:name="_Toc483210390"/>
    </w:p>
    <w:p w14:paraId="42E7A450" w14:textId="62A9EE86" w:rsidR="00893877" w:rsidRPr="00A67F27" w:rsidRDefault="00893877" w:rsidP="00893877">
      <w:pPr>
        <w:pStyle w:val="S4-Header2"/>
        <w:rPr>
          <w:lang w:val="fr-FR"/>
        </w:rPr>
      </w:pPr>
      <w:bookmarkStart w:id="488" w:name="_Toc487641617"/>
      <w:bookmarkStart w:id="489" w:name="_Toc483210393"/>
      <w:bookmarkEnd w:id="486"/>
      <w:bookmarkEnd w:id="487"/>
      <w:r w:rsidRPr="00A67F27">
        <w:rPr>
          <w:lang w:val="fr-FR"/>
        </w:rPr>
        <w:lastRenderedPageBreak/>
        <w:t>Modèle PER -1</w:t>
      </w:r>
      <w:bookmarkEnd w:id="488"/>
    </w:p>
    <w:p w14:paraId="5438C57B" w14:textId="7D2595BA" w:rsidR="00893877" w:rsidRPr="00D63441" w:rsidRDefault="00893877" w:rsidP="00893877">
      <w:pPr>
        <w:ind w:left="0" w:firstLine="0"/>
        <w:jc w:val="center"/>
        <w:rPr>
          <w:b/>
          <w:sz w:val="36"/>
        </w:rPr>
      </w:pPr>
      <w:bookmarkStart w:id="490" w:name="_Toc437338958"/>
      <w:bookmarkStart w:id="491" w:name="_Toc462645155"/>
      <w:bookmarkEnd w:id="489"/>
      <w:r w:rsidRPr="00D63441">
        <w:rPr>
          <w:b/>
          <w:sz w:val="36"/>
          <w:lang w:eastAsia="en-US"/>
        </w:rPr>
        <w:t>Personnel Clé proposé par le Soumissionnaire</w:t>
      </w:r>
    </w:p>
    <w:bookmarkEnd w:id="490"/>
    <w:bookmarkEnd w:id="491"/>
    <w:p w14:paraId="0795E1A6" w14:textId="5CB42E73" w:rsidR="00DE5C38" w:rsidRPr="00A67F27" w:rsidRDefault="00DE5C38" w:rsidP="00AE5101">
      <w:pPr>
        <w:tabs>
          <w:tab w:val="left" w:pos="2127"/>
        </w:tabs>
        <w:spacing w:before="120" w:after="120"/>
        <w:ind w:left="0" w:firstLine="0"/>
        <w:rPr>
          <w:rFonts w:asciiTheme="majorBidi" w:hAnsiTheme="majorBidi" w:cstheme="majorBidi"/>
        </w:rPr>
      </w:pPr>
      <w:r w:rsidRPr="00D63441">
        <w:rPr>
          <w:rFonts w:asciiTheme="majorBidi" w:hAnsiTheme="majorBidi" w:cstheme="majorBidi"/>
        </w:rPr>
        <w:t xml:space="preserve">Le Soumissionnaire devra fournir le nom et les détails demandés pour les Personnels-clés qualifiés pour exécuter le marché. Les renseignements </w:t>
      </w:r>
      <w:r w:rsidRPr="005C1A32">
        <w:rPr>
          <w:rFonts w:asciiTheme="majorBidi" w:hAnsiTheme="majorBidi" w:cstheme="majorBidi"/>
        </w:rPr>
        <w:t>concernant leur expérience devront être fournis dans le Formulaire PER-2 ci-après, pour chaque candidat.</w:t>
      </w:r>
    </w:p>
    <w:p w14:paraId="1BFE4099" w14:textId="77777777" w:rsidR="00DE5C38" w:rsidRPr="00A67F27" w:rsidRDefault="00DE5C38" w:rsidP="00893877">
      <w:pPr>
        <w:suppressAutoHyphens/>
        <w:spacing w:after="120"/>
        <w:ind w:left="0" w:firstLine="0"/>
        <w:rPr>
          <w:rFonts w:asciiTheme="majorBidi" w:hAnsiTheme="majorBidi" w:cstheme="majorBidi"/>
          <w:b/>
          <w:spacing w:val="-2"/>
        </w:rPr>
      </w:pPr>
      <w:r w:rsidRPr="00A67F27">
        <w:rPr>
          <w:rFonts w:asciiTheme="majorBidi" w:hAnsiTheme="majorBidi" w:cstheme="majorBidi"/>
          <w:b/>
          <w:spacing w:val="-2"/>
        </w:rPr>
        <w:t>Personnel - Clé</w:t>
      </w:r>
    </w:p>
    <w:tbl>
      <w:tblPr>
        <w:tblW w:w="9090" w:type="dxa"/>
        <w:tblInd w:w="72" w:type="dxa"/>
        <w:tblLayout w:type="fixed"/>
        <w:tblCellMar>
          <w:left w:w="72" w:type="dxa"/>
          <w:right w:w="72" w:type="dxa"/>
        </w:tblCellMar>
        <w:tblLook w:val="04A0" w:firstRow="1" w:lastRow="0" w:firstColumn="1" w:lastColumn="0" w:noHBand="0" w:noVBand="1"/>
      </w:tblPr>
      <w:tblGrid>
        <w:gridCol w:w="720"/>
        <w:gridCol w:w="1900"/>
        <w:gridCol w:w="6470"/>
      </w:tblGrid>
      <w:tr w:rsidR="00DE5C38" w:rsidRPr="00A67F27" w14:paraId="3DB563B6" w14:textId="77777777" w:rsidTr="00A736A8">
        <w:trPr>
          <w:cantSplit/>
        </w:trPr>
        <w:tc>
          <w:tcPr>
            <w:tcW w:w="720" w:type="dxa"/>
            <w:tcBorders>
              <w:top w:val="single" w:sz="6" w:space="0" w:color="auto"/>
              <w:left w:val="single" w:sz="6" w:space="0" w:color="auto"/>
              <w:bottom w:val="nil"/>
              <w:right w:val="nil"/>
            </w:tcBorders>
            <w:hideMark/>
          </w:tcPr>
          <w:p w14:paraId="0400F644" w14:textId="77777777" w:rsidR="00DE5C38" w:rsidRPr="00A67F27" w:rsidRDefault="00DE5C38" w:rsidP="00893877">
            <w:pPr>
              <w:suppressAutoHyphens/>
              <w:spacing w:before="120" w:after="120"/>
              <w:rPr>
                <w:rFonts w:asciiTheme="majorBidi" w:hAnsiTheme="majorBidi" w:cstheme="majorBidi"/>
                <w:b/>
                <w:bCs/>
                <w:spacing w:val="-2"/>
                <w:sz w:val="20"/>
              </w:rPr>
            </w:pPr>
            <w:r w:rsidRPr="00A67F27">
              <w:rPr>
                <w:rFonts w:asciiTheme="majorBidi" w:hAnsiTheme="majorBidi" w:cstheme="majorBidi"/>
                <w:b/>
                <w:bCs/>
                <w:spacing w:val="-2"/>
                <w:sz w:val="20"/>
              </w:rPr>
              <w:t>1.</w:t>
            </w:r>
          </w:p>
        </w:tc>
        <w:tc>
          <w:tcPr>
            <w:tcW w:w="8370" w:type="dxa"/>
            <w:gridSpan w:val="2"/>
            <w:tcBorders>
              <w:top w:val="single" w:sz="6" w:space="0" w:color="auto"/>
              <w:left w:val="single" w:sz="6" w:space="0" w:color="auto"/>
              <w:bottom w:val="nil"/>
              <w:right w:val="single" w:sz="6" w:space="0" w:color="auto"/>
            </w:tcBorders>
            <w:hideMark/>
          </w:tcPr>
          <w:p w14:paraId="33F44986" w14:textId="4FC3CC42" w:rsidR="00DE5C38" w:rsidRPr="00A67F27" w:rsidRDefault="00DE5C38" w:rsidP="00AE44BE">
            <w:pPr>
              <w:suppressAutoHyphens/>
              <w:spacing w:before="120" w:after="120"/>
              <w:rPr>
                <w:rFonts w:asciiTheme="majorBidi" w:hAnsiTheme="majorBidi" w:cstheme="majorBidi"/>
                <w:b/>
                <w:bCs/>
                <w:spacing w:val="-2"/>
                <w:sz w:val="20"/>
              </w:rPr>
            </w:pPr>
            <w:r w:rsidRPr="00A67F27">
              <w:rPr>
                <w:rFonts w:asciiTheme="majorBidi" w:hAnsiTheme="majorBidi" w:cstheme="majorBidi"/>
                <w:b/>
                <w:bCs/>
                <w:spacing w:val="-2"/>
                <w:sz w:val="20"/>
              </w:rPr>
              <w:t>Intitulé du poste</w:t>
            </w:r>
            <w:r w:rsidR="009B2302" w:rsidRPr="00A67F27">
              <w:rPr>
                <w:rFonts w:asciiTheme="majorBidi" w:hAnsiTheme="majorBidi" w:cstheme="majorBidi"/>
                <w:b/>
                <w:bCs/>
                <w:spacing w:val="-2"/>
                <w:sz w:val="20"/>
              </w:rPr>
              <w:t> :</w:t>
            </w:r>
            <w:r w:rsidRPr="00A67F27">
              <w:rPr>
                <w:rFonts w:asciiTheme="majorBidi" w:hAnsiTheme="majorBidi" w:cstheme="majorBidi"/>
                <w:b/>
                <w:bCs/>
                <w:spacing w:val="-2"/>
                <w:sz w:val="20"/>
              </w:rPr>
              <w:t xml:space="preserve"> </w:t>
            </w:r>
            <w:r w:rsidR="00AE44BE">
              <w:rPr>
                <w:rFonts w:asciiTheme="majorBidi" w:hAnsiTheme="majorBidi" w:cstheme="majorBidi"/>
                <w:b/>
                <w:bCs/>
                <w:spacing w:val="-2"/>
                <w:sz w:val="20"/>
              </w:rPr>
              <w:t>…….</w:t>
            </w:r>
          </w:p>
        </w:tc>
      </w:tr>
      <w:tr w:rsidR="00DE5C38" w:rsidRPr="00A67F27" w14:paraId="07B14A91" w14:textId="77777777" w:rsidTr="00A736A8">
        <w:trPr>
          <w:cantSplit/>
        </w:trPr>
        <w:tc>
          <w:tcPr>
            <w:tcW w:w="720" w:type="dxa"/>
            <w:tcBorders>
              <w:top w:val="nil"/>
              <w:left w:val="single" w:sz="6" w:space="0" w:color="auto"/>
              <w:bottom w:val="nil"/>
              <w:right w:val="nil"/>
            </w:tcBorders>
          </w:tcPr>
          <w:p w14:paraId="72BF0246" w14:textId="77777777" w:rsidR="00DE5C38" w:rsidRPr="00A67F27" w:rsidRDefault="00DE5C38" w:rsidP="00893877">
            <w:pPr>
              <w:suppressAutoHyphens/>
              <w:spacing w:before="120" w:after="120"/>
              <w:rPr>
                <w:rFonts w:asciiTheme="majorBidi" w:hAnsiTheme="majorBidi" w:cstheme="majorBidi"/>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24C72A5F" w14:textId="1AB867FB" w:rsidR="00DE5C38" w:rsidRPr="00A67F27" w:rsidRDefault="00DE5C38" w:rsidP="00893877">
            <w:pPr>
              <w:suppressAutoHyphens/>
              <w:spacing w:before="120" w:after="120"/>
              <w:rPr>
                <w:rFonts w:asciiTheme="majorBidi" w:hAnsiTheme="majorBidi" w:cstheme="majorBidi"/>
                <w:b/>
                <w:bCs/>
                <w:spacing w:val="-2"/>
                <w:sz w:val="20"/>
              </w:rPr>
            </w:pPr>
            <w:r w:rsidRPr="00A67F27">
              <w:rPr>
                <w:rFonts w:asciiTheme="majorBidi" w:hAnsiTheme="majorBidi" w:cstheme="majorBidi"/>
                <w:b/>
                <w:bCs/>
                <w:spacing w:val="-2"/>
                <w:sz w:val="20"/>
              </w:rPr>
              <w:t>Nom du candidat</w:t>
            </w:r>
            <w:r w:rsidR="009B2302" w:rsidRPr="00A67F27">
              <w:rPr>
                <w:rFonts w:asciiTheme="majorBidi" w:hAnsiTheme="majorBidi" w:cstheme="majorBidi"/>
                <w:b/>
                <w:bCs/>
                <w:spacing w:val="-2"/>
                <w:sz w:val="20"/>
              </w:rPr>
              <w:t> :</w:t>
            </w:r>
            <w:r w:rsidRPr="00A67F27">
              <w:rPr>
                <w:rFonts w:asciiTheme="majorBidi" w:hAnsiTheme="majorBidi" w:cstheme="majorBidi"/>
                <w:b/>
                <w:bCs/>
                <w:spacing w:val="-2"/>
                <w:sz w:val="20"/>
              </w:rPr>
              <w:t xml:space="preserve"> </w:t>
            </w:r>
          </w:p>
        </w:tc>
      </w:tr>
      <w:tr w:rsidR="00DE5C38" w:rsidRPr="00A67F27" w14:paraId="274EDA48" w14:textId="77777777" w:rsidTr="00A736A8">
        <w:trPr>
          <w:cantSplit/>
        </w:trPr>
        <w:tc>
          <w:tcPr>
            <w:tcW w:w="720" w:type="dxa"/>
            <w:tcBorders>
              <w:top w:val="nil"/>
              <w:left w:val="single" w:sz="6" w:space="0" w:color="auto"/>
              <w:bottom w:val="nil"/>
              <w:right w:val="nil"/>
            </w:tcBorders>
          </w:tcPr>
          <w:p w14:paraId="37865E2A" w14:textId="77777777" w:rsidR="00DE5C38" w:rsidRPr="00A67F27" w:rsidRDefault="00DE5C38" w:rsidP="00893877">
            <w:pPr>
              <w:suppressAutoHyphens/>
              <w:spacing w:before="120" w:after="120"/>
              <w:rPr>
                <w:rFonts w:asciiTheme="majorBidi" w:hAnsiTheme="majorBidi" w:cstheme="majorBidi"/>
                <w:b/>
                <w:bCs/>
                <w:spacing w:val="-2"/>
                <w:sz w:val="20"/>
              </w:rPr>
            </w:pPr>
          </w:p>
        </w:tc>
        <w:tc>
          <w:tcPr>
            <w:tcW w:w="1900" w:type="dxa"/>
            <w:tcBorders>
              <w:top w:val="single" w:sz="6" w:space="0" w:color="auto"/>
              <w:left w:val="single" w:sz="6" w:space="0" w:color="auto"/>
              <w:bottom w:val="nil"/>
              <w:right w:val="single" w:sz="6" w:space="0" w:color="auto"/>
            </w:tcBorders>
          </w:tcPr>
          <w:p w14:paraId="38D741A8" w14:textId="6F73EDC9" w:rsidR="00DE5C38" w:rsidRPr="00A67F27" w:rsidRDefault="00DE5C38" w:rsidP="00893877">
            <w:pPr>
              <w:spacing w:after="0"/>
              <w:ind w:left="0" w:firstLine="0"/>
              <w:jc w:val="left"/>
              <w:rPr>
                <w:rFonts w:asciiTheme="majorBidi" w:hAnsiTheme="majorBidi" w:cstheme="majorBidi"/>
                <w:b/>
                <w:sz w:val="20"/>
              </w:rPr>
            </w:pPr>
            <w:r w:rsidRPr="00A67F27">
              <w:rPr>
                <w:rFonts w:asciiTheme="majorBidi" w:hAnsiTheme="majorBidi" w:cstheme="majorBidi"/>
                <w:b/>
                <w:sz w:val="20"/>
              </w:rPr>
              <w:t>Durée d’emploi</w:t>
            </w:r>
            <w:r w:rsidR="009B2302" w:rsidRPr="00A67F27">
              <w:rPr>
                <w:rFonts w:asciiTheme="majorBidi" w:hAnsiTheme="majorBidi" w:cstheme="majorBidi"/>
                <w:b/>
                <w:sz w:val="20"/>
              </w:rPr>
              <w:t> :</w:t>
            </w:r>
          </w:p>
        </w:tc>
        <w:tc>
          <w:tcPr>
            <w:tcW w:w="6470" w:type="dxa"/>
            <w:tcBorders>
              <w:top w:val="single" w:sz="6" w:space="0" w:color="auto"/>
              <w:left w:val="single" w:sz="6" w:space="0" w:color="auto"/>
              <w:bottom w:val="nil"/>
              <w:right w:val="single" w:sz="6" w:space="0" w:color="auto"/>
            </w:tcBorders>
          </w:tcPr>
          <w:p w14:paraId="34FEA00D" w14:textId="77777777" w:rsidR="00DE5C38" w:rsidRPr="00A67F27" w:rsidRDefault="00DE5C38" w:rsidP="00893877">
            <w:pPr>
              <w:spacing w:after="0"/>
              <w:ind w:left="0" w:firstLine="0"/>
              <w:jc w:val="left"/>
              <w:rPr>
                <w:rFonts w:asciiTheme="majorBidi" w:hAnsiTheme="majorBidi" w:cstheme="majorBidi"/>
                <w:i/>
                <w:sz w:val="20"/>
              </w:rPr>
            </w:pPr>
            <w:r w:rsidRPr="00A67F27">
              <w:rPr>
                <w:rFonts w:asciiTheme="majorBidi" w:hAnsiTheme="majorBidi" w:cstheme="majorBidi"/>
                <w:i/>
                <w:sz w:val="20"/>
              </w:rPr>
              <w:t xml:space="preserve">[insérer la période (dates de début et de fin) pendant laquelle cette position </w:t>
            </w:r>
            <w:proofErr w:type="gramStart"/>
            <w:r w:rsidRPr="00A67F27">
              <w:rPr>
                <w:rFonts w:asciiTheme="majorBidi" w:hAnsiTheme="majorBidi" w:cstheme="majorBidi"/>
                <w:i/>
                <w:sz w:val="20"/>
              </w:rPr>
              <w:t>serai</w:t>
            </w:r>
            <w:proofErr w:type="gramEnd"/>
            <w:r w:rsidRPr="00A67F27">
              <w:rPr>
                <w:rFonts w:asciiTheme="majorBidi" w:hAnsiTheme="majorBidi" w:cstheme="majorBidi"/>
                <w:i/>
                <w:sz w:val="20"/>
              </w:rPr>
              <w:t xml:space="preserve"> dotée]</w:t>
            </w:r>
          </w:p>
        </w:tc>
      </w:tr>
      <w:tr w:rsidR="00DE5C38" w:rsidRPr="00A67F27" w14:paraId="01A41A3B" w14:textId="77777777" w:rsidTr="00A736A8">
        <w:trPr>
          <w:cantSplit/>
        </w:trPr>
        <w:tc>
          <w:tcPr>
            <w:tcW w:w="720" w:type="dxa"/>
            <w:tcBorders>
              <w:top w:val="nil"/>
              <w:left w:val="single" w:sz="6" w:space="0" w:color="auto"/>
              <w:bottom w:val="nil"/>
              <w:right w:val="nil"/>
            </w:tcBorders>
          </w:tcPr>
          <w:p w14:paraId="1718C18B" w14:textId="77777777" w:rsidR="00DE5C38" w:rsidRPr="00A67F27" w:rsidRDefault="00DE5C38" w:rsidP="00893877">
            <w:pPr>
              <w:suppressAutoHyphens/>
              <w:spacing w:before="120" w:after="120"/>
              <w:rPr>
                <w:rFonts w:asciiTheme="majorBidi" w:hAnsiTheme="majorBidi" w:cstheme="majorBidi"/>
                <w:b/>
                <w:bCs/>
                <w:spacing w:val="-2"/>
                <w:sz w:val="20"/>
              </w:rPr>
            </w:pPr>
          </w:p>
        </w:tc>
        <w:tc>
          <w:tcPr>
            <w:tcW w:w="1900" w:type="dxa"/>
            <w:tcBorders>
              <w:top w:val="single" w:sz="6" w:space="0" w:color="auto"/>
              <w:left w:val="single" w:sz="6" w:space="0" w:color="auto"/>
              <w:bottom w:val="nil"/>
              <w:right w:val="single" w:sz="6" w:space="0" w:color="auto"/>
            </w:tcBorders>
          </w:tcPr>
          <w:p w14:paraId="2BC5AC9E" w14:textId="46B1A9FF" w:rsidR="00DE5C38" w:rsidRPr="00A67F27" w:rsidRDefault="00DE5C38" w:rsidP="00893877">
            <w:pPr>
              <w:spacing w:after="0"/>
              <w:ind w:left="0" w:firstLine="0"/>
              <w:jc w:val="left"/>
              <w:rPr>
                <w:rFonts w:asciiTheme="majorBidi" w:hAnsiTheme="majorBidi" w:cstheme="majorBidi"/>
                <w:b/>
                <w:sz w:val="20"/>
              </w:rPr>
            </w:pPr>
            <w:r w:rsidRPr="00A67F27">
              <w:rPr>
                <w:rFonts w:asciiTheme="majorBidi" w:hAnsiTheme="majorBidi" w:cstheme="majorBidi"/>
                <w:b/>
                <w:sz w:val="20"/>
              </w:rPr>
              <w:t xml:space="preserve">Durée de travail </w:t>
            </w:r>
            <w:r w:rsidR="00AE5101" w:rsidRPr="00A67F27">
              <w:rPr>
                <w:rFonts w:asciiTheme="majorBidi" w:hAnsiTheme="majorBidi" w:cstheme="majorBidi"/>
                <w:b/>
                <w:sz w:val="20"/>
              </w:rPr>
              <w:t>prévue</w:t>
            </w:r>
            <w:r w:rsidRPr="00A67F27">
              <w:rPr>
                <w:rFonts w:asciiTheme="majorBidi" w:hAnsiTheme="majorBidi" w:cstheme="majorBidi"/>
                <w:b/>
                <w:sz w:val="20"/>
              </w:rPr>
              <w:t xml:space="preserve"> pour ce poste</w:t>
            </w:r>
            <w:r w:rsidR="009B2302" w:rsidRPr="00A67F27">
              <w:rPr>
                <w:rFonts w:asciiTheme="majorBidi" w:hAnsiTheme="majorBidi" w:cstheme="majorBidi"/>
                <w:b/>
                <w:sz w:val="20"/>
              </w:rPr>
              <w:t> :</w:t>
            </w:r>
          </w:p>
        </w:tc>
        <w:tc>
          <w:tcPr>
            <w:tcW w:w="6470" w:type="dxa"/>
            <w:tcBorders>
              <w:top w:val="single" w:sz="6" w:space="0" w:color="auto"/>
              <w:left w:val="single" w:sz="6" w:space="0" w:color="auto"/>
              <w:bottom w:val="nil"/>
              <w:right w:val="single" w:sz="6" w:space="0" w:color="auto"/>
            </w:tcBorders>
          </w:tcPr>
          <w:p w14:paraId="597BE8F0" w14:textId="77777777" w:rsidR="00DE5C38" w:rsidRPr="00A67F27" w:rsidRDefault="00DE5C38" w:rsidP="00893877">
            <w:pPr>
              <w:spacing w:after="0"/>
              <w:ind w:left="0" w:firstLine="0"/>
              <w:rPr>
                <w:rFonts w:asciiTheme="majorBidi" w:hAnsiTheme="majorBidi" w:cstheme="majorBidi"/>
                <w:i/>
                <w:sz w:val="20"/>
              </w:rPr>
            </w:pPr>
            <w:r w:rsidRPr="00A67F27">
              <w:rPr>
                <w:rFonts w:asciiTheme="majorBidi" w:hAnsiTheme="majorBidi" w:cstheme="majorBidi"/>
                <w:i/>
                <w:sz w:val="20"/>
              </w:rPr>
              <w:t>[insérer le nombre de jours/semaines/mois prévus pour la position</w:t>
            </w:r>
            <w:r w:rsidRPr="00A67F27">
              <w:rPr>
                <w:rFonts w:asciiTheme="majorBidi" w:hAnsiTheme="majorBidi" w:cstheme="majorBidi"/>
                <w:sz w:val="20"/>
              </w:rPr>
              <w:t>]</w:t>
            </w:r>
          </w:p>
        </w:tc>
      </w:tr>
      <w:tr w:rsidR="00DE5C38" w:rsidRPr="00A67F27" w14:paraId="35854081" w14:textId="77777777" w:rsidTr="00A736A8">
        <w:trPr>
          <w:cantSplit/>
        </w:trPr>
        <w:tc>
          <w:tcPr>
            <w:tcW w:w="720" w:type="dxa"/>
            <w:tcBorders>
              <w:top w:val="nil"/>
              <w:left w:val="single" w:sz="6" w:space="0" w:color="auto"/>
              <w:bottom w:val="nil"/>
              <w:right w:val="nil"/>
            </w:tcBorders>
          </w:tcPr>
          <w:p w14:paraId="0F8EF126" w14:textId="77777777" w:rsidR="00DE5C38" w:rsidRPr="00A67F27" w:rsidRDefault="00DE5C38" w:rsidP="00893877">
            <w:pPr>
              <w:suppressAutoHyphens/>
              <w:spacing w:before="120" w:after="120"/>
              <w:rPr>
                <w:rFonts w:asciiTheme="majorBidi" w:hAnsiTheme="majorBidi" w:cstheme="majorBidi"/>
                <w:b/>
                <w:bCs/>
                <w:spacing w:val="-2"/>
                <w:sz w:val="20"/>
              </w:rPr>
            </w:pPr>
          </w:p>
        </w:tc>
        <w:tc>
          <w:tcPr>
            <w:tcW w:w="1900" w:type="dxa"/>
            <w:tcBorders>
              <w:top w:val="single" w:sz="6" w:space="0" w:color="auto"/>
              <w:left w:val="single" w:sz="6" w:space="0" w:color="auto"/>
              <w:bottom w:val="single" w:sz="6" w:space="0" w:color="auto"/>
              <w:right w:val="single" w:sz="6" w:space="0" w:color="auto"/>
            </w:tcBorders>
          </w:tcPr>
          <w:p w14:paraId="79C5FC9E" w14:textId="514092A8" w:rsidR="00DE5C38" w:rsidRPr="00A67F27" w:rsidRDefault="00DE5C38" w:rsidP="00893877">
            <w:pPr>
              <w:spacing w:after="0"/>
              <w:ind w:left="0" w:firstLine="0"/>
              <w:jc w:val="left"/>
              <w:rPr>
                <w:rFonts w:asciiTheme="majorBidi" w:hAnsiTheme="majorBidi" w:cstheme="majorBidi"/>
                <w:b/>
                <w:sz w:val="20"/>
              </w:rPr>
            </w:pPr>
            <w:r w:rsidRPr="00A67F27">
              <w:rPr>
                <w:rFonts w:asciiTheme="majorBidi" w:hAnsiTheme="majorBidi" w:cstheme="majorBidi"/>
                <w:b/>
                <w:sz w:val="20"/>
              </w:rPr>
              <w:t>Programme de travail prévu pour ce poste</w:t>
            </w:r>
            <w:r w:rsidR="009B2302" w:rsidRPr="00A67F27">
              <w:rPr>
                <w:rFonts w:asciiTheme="majorBidi" w:hAnsiTheme="majorBidi" w:cstheme="majorBidi"/>
                <w:b/>
                <w:sz w:val="20"/>
              </w:rPr>
              <w:t> :</w:t>
            </w:r>
          </w:p>
        </w:tc>
        <w:tc>
          <w:tcPr>
            <w:tcW w:w="6470" w:type="dxa"/>
            <w:tcBorders>
              <w:top w:val="single" w:sz="6" w:space="0" w:color="auto"/>
              <w:left w:val="single" w:sz="6" w:space="0" w:color="auto"/>
              <w:bottom w:val="single" w:sz="6" w:space="0" w:color="auto"/>
              <w:right w:val="single" w:sz="6" w:space="0" w:color="auto"/>
            </w:tcBorders>
          </w:tcPr>
          <w:p w14:paraId="3B793F7C" w14:textId="77777777" w:rsidR="00DE5C38" w:rsidRPr="00A67F27" w:rsidRDefault="00DE5C38" w:rsidP="00893877">
            <w:pPr>
              <w:spacing w:after="0"/>
              <w:ind w:left="0" w:firstLine="0"/>
              <w:rPr>
                <w:rFonts w:asciiTheme="majorBidi" w:hAnsiTheme="majorBidi" w:cstheme="majorBidi"/>
                <w:i/>
                <w:sz w:val="20"/>
              </w:rPr>
            </w:pPr>
            <w:r w:rsidRPr="00A67F27">
              <w:rPr>
                <w:rFonts w:asciiTheme="majorBidi" w:hAnsiTheme="majorBidi" w:cstheme="majorBidi"/>
                <w:sz w:val="20"/>
              </w:rPr>
              <w:t>[</w:t>
            </w:r>
            <w:r w:rsidRPr="00A67F27">
              <w:rPr>
                <w:rFonts w:asciiTheme="majorBidi" w:hAnsiTheme="majorBidi" w:cstheme="majorBidi"/>
                <w:i/>
                <w:sz w:val="20"/>
              </w:rPr>
              <w:t>insérer le programme d’activité prévu (par ex diagramme Gantt détaillé</w:t>
            </w:r>
            <w:r w:rsidRPr="00A67F27">
              <w:rPr>
                <w:rFonts w:asciiTheme="majorBidi" w:hAnsiTheme="majorBidi" w:cstheme="majorBidi"/>
                <w:sz w:val="20"/>
              </w:rPr>
              <w:t>]</w:t>
            </w:r>
          </w:p>
        </w:tc>
      </w:tr>
      <w:tr w:rsidR="00DE5C38" w:rsidRPr="00A67F27" w14:paraId="2EB17DFE" w14:textId="77777777" w:rsidTr="00A736A8">
        <w:trPr>
          <w:cantSplit/>
        </w:trPr>
        <w:tc>
          <w:tcPr>
            <w:tcW w:w="720" w:type="dxa"/>
            <w:tcBorders>
              <w:top w:val="single" w:sz="6" w:space="0" w:color="auto"/>
              <w:left w:val="single" w:sz="6" w:space="0" w:color="auto"/>
              <w:bottom w:val="nil"/>
              <w:right w:val="nil"/>
            </w:tcBorders>
            <w:hideMark/>
          </w:tcPr>
          <w:p w14:paraId="54086124" w14:textId="77777777" w:rsidR="00DE5C38" w:rsidRPr="00A67F27" w:rsidRDefault="00DE5C38" w:rsidP="00893877">
            <w:pPr>
              <w:suppressAutoHyphens/>
              <w:spacing w:before="120" w:after="120"/>
              <w:rPr>
                <w:rFonts w:asciiTheme="majorBidi" w:hAnsiTheme="majorBidi" w:cstheme="majorBidi"/>
                <w:b/>
                <w:bCs/>
                <w:spacing w:val="-2"/>
                <w:sz w:val="20"/>
              </w:rPr>
            </w:pPr>
            <w:r w:rsidRPr="00A67F27">
              <w:rPr>
                <w:rFonts w:asciiTheme="majorBidi" w:hAnsiTheme="majorBidi" w:cstheme="majorBidi"/>
                <w:b/>
                <w:bCs/>
                <w:spacing w:val="-2"/>
                <w:sz w:val="20"/>
              </w:rPr>
              <w:t>2.</w:t>
            </w:r>
          </w:p>
        </w:tc>
        <w:tc>
          <w:tcPr>
            <w:tcW w:w="8370" w:type="dxa"/>
            <w:gridSpan w:val="2"/>
            <w:tcBorders>
              <w:top w:val="single" w:sz="6" w:space="0" w:color="auto"/>
              <w:left w:val="single" w:sz="6" w:space="0" w:color="auto"/>
              <w:bottom w:val="nil"/>
              <w:right w:val="single" w:sz="6" w:space="0" w:color="auto"/>
            </w:tcBorders>
            <w:hideMark/>
          </w:tcPr>
          <w:p w14:paraId="60837878" w14:textId="738CD57C" w:rsidR="00DE5C38" w:rsidRPr="00A67F27" w:rsidRDefault="00DE5C38" w:rsidP="00893877">
            <w:pPr>
              <w:suppressAutoHyphens/>
              <w:spacing w:before="120" w:after="120"/>
              <w:rPr>
                <w:rFonts w:asciiTheme="majorBidi" w:hAnsiTheme="majorBidi" w:cstheme="majorBidi"/>
                <w:b/>
                <w:bCs/>
                <w:spacing w:val="-2"/>
                <w:sz w:val="20"/>
              </w:rPr>
            </w:pPr>
            <w:r w:rsidRPr="00A67F27">
              <w:rPr>
                <w:rFonts w:asciiTheme="majorBidi" w:hAnsiTheme="majorBidi" w:cstheme="majorBidi"/>
                <w:b/>
                <w:bCs/>
                <w:spacing w:val="-2"/>
                <w:sz w:val="20"/>
              </w:rPr>
              <w:t>Intitulé du poste</w:t>
            </w:r>
            <w:r w:rsidR="009B2302" w:rsidRPr="00A67F27">
              <w:rPr>
                <w:rFonts w:asciiTheme="majorBidi" w:hAnsiTheme="majorBidi" w:cstheme="majorBidi"/>
                <w:b/>
                <w:bCs/>
                <w:spacing w:val="-2"/>
                <w:sz w:val="20"/>
              </w:rPr>
              <w:t> :</w:t>
            </w:r>
            <w:r w:rsidRPr="00A67F27">
              <w:rPr>
                <w:rFonts w:asciiTheme="majorBidi" w:hAnsiTheme="majorBidi" w:cstheme="majorBidi"/>
                <w:b/>
                <w:bCs/>
                <w:spacing w:val="-2"/>
                <w:sz w:val="20"/>
              </w:rPr>
              <w:t xml:space="preserve"> </w:t>
            </w:r>
            <w:r w:rsidR="004A7F6C" w:rsidRPr="00A67F27">
              <w:rPr>
                <w:bCs/>
                <w:i/>
                <w:spacing w:val="-2"/>
                <w:sz w:val="20"/>
              </w:rPr>
              <w:t>[Spécialiste Environnemental]</w:t>
            </w:r>
          </w:p>
        </w:tc>
      </w:tr>
      <w:tr w:rsidR="00DE5C38" w:rsidRPr="00A67F27" w14:paraId="1C815395" w14:textId="77777777" w:rsidTr="00A736A8">
        <w:trPr>
          <w:cantSplit/>
        </w:trPr>
        <w:tc>
          <w:tcPr>
            <w:tcW w:w="720" w:type="dxa"/>
            <w:tcBorders>
              <w:top w:val="nil"/>
              <w:left w:val="single" w:sz="6" w:space="0" w:color="auto"/>
              <w:bottom w:val="nil"/>
              <w:right w:val="nil"/>
            </w:tcBorders>
          </w:tcPr>
          <w:p w14:paraId="6A3B506A" w14:textId="77777777" w:rsidR="00DE5C38" w:rsidRPr="00A67F27" w:rsidRDefault="00DE5C38" w:rsidP="00893877">
            <w:pPr>
              <w:suppressAutoHyphens/>
              <w:spacing w:before="120" w:after="120"/>
              <w:rPr>
                <w:rFonts w:asciiTheme="majorBidi" w:hAnsiTheme="majorBidi" w:cstheme="majorBidi"/>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0088D5DE" w14:textId="05377B13" w:rsidR="00DE5C38" w:rsidRPr="00A67F27" w:rsidRDefault="00DE5C38" w:rsidP="00893877">
            <w:pPr>
              <w:suppressAutoHyphens/>
              <w:spacing w:before="120" w:after="120"/>
              <w:rPr>
                <w:rFonts w:asciiTheme="majorBidi" w:hAnsiTheme="majorBidi" w:cstheme="majorBidi"/>
                <w:b/>
                <w:bCs/>
                <w:spacing w:val="-2"/>
                <w:sz w:val="20"/>
              </w:rPr>
            </w:pPr>
            <w:r w:rsidRPr="00A67F27">
              <w:rPr>
                <w:rFonts w:asciiTheme="majorBidi" w:hAnsiTheme="majorBidi" w:cstheme="majorBidi"/>
                <w:b/>
                <w:bCs/>
                <w:spacing w:val="-2"/>
                <w:sz w:val="20"/>
              </w:rPr>
              <w:t>Nom du candidat</w:t>
            </w:r>
            <w:r w:rsidR="009B2302" w:rsidRPr="00A67F27">
              <w:rPr>
                <w:rFonts w:asciiTheme="majorBidi" w:hAnsiTheme="majorBidi" w:cstheme="majorBidi"/>
                <w:b/>
                <w:bCs/>
                <w:spacing w:val="-2"/>
                <w:sz w:val="20"/>
              </w:rPr>
              <w:t> :</w:t>
            </w:r>
            <w:r w:rsidRPr="00A67F27">
              <w:rPr>
                <w:rFonts w:asciiTheme="majorBidi" w:hAnsiTheme="majorBidi" w:cstheme="majorBidi"/>
                <w:b/>
                <w:bCs/>
                <w:spacing w:val="-2"/>
                <w:sz w:val="20"/>
              </w:rPr>
              <w:t xml:space="preserve"> </w:t>
            </w:r>
          </w:p>
        </w:tc>
      </w:tr>
      <w:tr w:rsidR="00DE5C38" w:rsidRPr="00A67F27" w14:paraId="59842EC5" w14:textId="77777777" w:rsidTr="00A736A8">
        <w:trPr>
          <w:cantSplit/>
        </w:trPr>
        <w:tc>
          <w:tcPr>
            <w:tcW w:w="720" w:type="dxa"/>
            <w:tcBorders>
              <w:top w:val="nil"/>
              <w:left w:val="single" w:sz="6" w:space="0" w:color="auto"/>
              <w:bottom w:val="nil"/>
              <w:right w:val="nil"/>
            </w:tcBorders>
          </w:tcPr>
          <w:p w14:paraId="28703BDF" w14:textId="77777777" w:rsidR="00DE5C38" w:rsidRPr="00A67F27" w:rsidRDefault="00DE5C38" w:rsidP="00893877">
            <w:pPr>
              <w:suppressAutoHyphens/>
              <w:spacing w:before="120" w:after="120"/>
              <w:rPr>
                <w:rFonts w:asciiTheme="majorBidi" w:hAnsiTheme="majorBidi" w:cstheme="majorBidi"/>
                <w:b/>
                <w:bCs/>
                <w:spacing w:val="-2"/>
                <w:sz w:val="20"/>
              </w:rPr>
            </w:pPr>
          </w:p>
        </w:tc>
        <w:tc>
          <w:tcPr>
            <w:tcW w:w="1900" w:type="dxa"/>
            <w:tcBorders>
              <w:top w:val="single" w:sz="6" w:space="0" w:color="auto"/>
              <w:left w:val="single" w:sz="6" w:space="0" w:color="auto"/>
              <w:bottom w:val="nil"/>
              <w:right w:val="single" w:sz="6" w:space="0" w:color="auto"/>
            </w:tcBorders>
          </w:tcPr>
          <w:p w14:paraId="74B59697" w14:textId="1354D97D" w:rsidR="00DE5C38" w:rsidRPr="00A67F27" w:rsidRDefault="00DE5C38" w:rsidP="00893877">
            <w:pPr>
              <w:spacing w:after="0"/>
              <w:ind w:left="0" w:firstLine="0"/>
              <w:jc w:val="left"/>
              <w:rPr>
                <w:rFonts w:asciiTheme="majorBidi" w:hAnsiTheme="majorBidi" w:cstheme="majorBidi"/>
                <w:b/>
                <w:sz w:val="20"/>
              </w:rPr>
            </w:pPr>
            <w:r w:rsidRPr="00A67F27">
              <w:rPr>
                <w:rFonts w:asciiTheme="majorBidi" w:hAnsiTheme="majorBidi" w:cstheme="majorBidi"/>
                <w:b/>
                <w:sz w:val="20"/>
              </w:rPr>
              <w:t>Durée d’emploi</w:t>
            </w:r>
            <w:r w:rsidR="009B2302" w:rsidRPr="00A67F27">
              <w:rPr>
                <w:rFonts w:asciiTheme="majorBidi" w:hAnsiTheme="majorBidi" w:cstheme="majorBidi"/>
                <w:b/>
                <w:sz w:val="20"/>
              </w:rPr>
              <w:t> :</w:t>
            </w:r>
          </w:p>
        </w:tc>
        <w:tc>
          <w:tcPr>
            <w:tcW w:w="6470" w:type="dxa"/>
            <w:tcBorders>
              <w:top w:val="single" w:sz="6" w:space="0" w:color="auto"/>
              <w:left w:val="single" w:sz="6" w:space="0" w:color="auto"/>
              <w:bottom w:val="nil"/>
              <w:right w:val="single" w:sz="6" w:space="0" w:color="auto"/>
            </w:tcBorders>
          </w:tcPr>
          <w:p w14:paraId="755F065E" w14:textId="77777777" w:rsidR="00DE5C38" w:rsidRPr="00A67F27" w:rsidRDefault="00DE5C38" w:rsidP="00893877">
            <w:pPr>
              <w:spacing w:after="0"/>
              <w:ind w:left="0" w:firstLine="0"/>
              <w:jc w:val="left"/>
              <w:rPr>
                <w:rFonts w:asciiTheme="majorBidi" w:hAnsiTheme="majorBidi" w:cstheme="majorBidi"/>
                <w:i/>
                <w:sz w:val="20"/>
              </w:rPr>
            </w:pPr>
            <w:r w:rsidRPr="00A67F27">
              <w:rPr>
                <w:rFonts w:asciiTheme="majorBidi" w:hAnsiTheme="majorBidi" w:cstheme="majorBidi"/>
                <w:i/>
                <w:sz w:val="20"/>
              </w:rPr>
              <w:t xml:space="preserve">[insérer la période (dates de début et de fin) pendant laquelle cette position </w:t>
            </w:r>
            <w:proofErr w:type="gramStart"/>
            <w:r w:rsidRPr="00A67F27">
              <w:rPr>
                <w:rFonts w:asciiTheme="majorBidi" w:hAnsiTheme="majorBidi" w:cstheme="majorBidi"/>
                <w:i/>
                <w:sz w:val="20"/>
              </w:rPr>
              <w:t>serai</w:t>
            </w:r>
            <w:proofErr w:type="gramEnd"/>
            <w:r w:rsidRPr="00A67F27">
              <w:rPr>
                <w:rFonts w:asciiTheme="majorBidi" w:hAnsiTheme="majorBidi" w:cstheme="majorBidi"/>
                <w:i/>
                <w:sz w:val="20"/>
              </w:rPr>
              <w:t xml:space="preserve"> dotée]</w:t>
            </w:r>
          </w:p>
        </w:tc>
      </w:tr>
      <w:tr w:rsidR="00DE5C38" w:rsidRPr="00A67F27" w14:paraId="236A582F" w14:textId="77777777" w:rsidTr="00A736A8">
        <w:trPr>
          <w:cantSplit/>
        </w:trPr>
        <w:tc>
          <w:tcPr>
            <w:tcW w:w="720" w:type="dxa"/>
            <w:tcBorders>
              <w:top w:val="nil"/>
              <w:left w:val="single" w:sz="6" w:space="0" w:color="auto"/>
              <w:bottom w:val="nil"/>
              <w:right w:val="nil"/>
            </w:tcBorders>
          </w:tcPr>
          <w:p w14:paraId="3F0327B0" w14:textId="77777777" w:rsidR="00DE5C38" w:rsidRPr="00A67F27" w:rsidRDefault="00DE5C38" w:rsidP="00893877">
            <w:pPr>
              <w:suppressAutoHyphens/>
              <w:spacing w:before="120" w:after="120"/>
              <w:rPr>
                <w:rFonts w:asciiTheme="majorBidi" w:hAnsiTheme="majorBidi" w:cstheme="majorBidi"/>
                <w:b/>
                <w:bCs/>
                <w:spacing w:val="-2"/>
                <w:sz w:val="20"/>
              </w:rPr>
            </w:pPr>
          </w:p>
        </w:tc>
        <w:tc>
          <w:tcPr>
            <w:tcW w:w="1900" w:type="dxa"/>
            <w:tcBorders>
              <w:top w:val="single" w:sz="6" w:space="0" w:color="auto"/>
              <w:left w:val="single" w:sz="6" w:space="0" w:color="auto"/>
              <w:bottom w:val="nil"/>
              <w:right w:val="single" w:sz="6" w:space="0" w:color="auto"/>
            </w:tcBorders>
          </w:tcPr>
          <w:p w14:paraId="771668E5" w14:textId="5ABDF63F" w:rsidR="00DE5C38" w:rsidRPr="00A67F27" w:rsidRDefault="00DE5C38" w:rsidP="00893877">
            <w:pPr>
              <w:spacing w:after="0"/>
              <w:ind w:left="0" w:firstLine="0"/>
              <w:jc w:val="left"/>
              <w:rPr>
                <w:rFonts w:asciiTheme="majorBidi" w:hAnsiTheme="majorBidi" w:cstheme="majorBidi"/>
                <w:b/>
                <w:sz w:val="20"/>
              </w:rPr>
            </w:pPr>
            <w:r w:rsidRPr="00A67F27">
              <w:rPr>
                <w:rFonts w:asciiTheme="majorBidi" w:hAnsiTheme="majorBidi" w:cstheme="majorBidi"/>
                <w:b/>
                <w:sz w:val="20"/>
              </w:rPr>
              <w:t xml:space="preserve">Durée de travail </w:t>
            </w:r>
            <w:r w:rsidR="00AE5101" w:rsidRPr="00A67F27">
              <w:rPr>
                <w:rFonts w:asciiTheme="majorBidi" w:hAnsiTheme="majorBidi" w:cstheme="majorBidi"/>
                <w:b/>
                <w:sz w:val="20"/>
              </w:rPr>
              <w:t>prévue</w:t>
            </w:r>
            <w:r w:rsidRPr="00A67F27">
              <w:rPr>
                <w:rFonts w:asciiTheme="majorBidi" w:hAnsiTheme="majorBidi" w:cstheme="majorBidi"/>
                <w:b/>
                <w:sz w:val="20"/>
              </w:rPr>
              <w:t xml:space="preserve"> pour ce poste</w:t>
            </w:r>
            <w:r w:rsidR="009B2302" w:rsidRPr="00A67F27">
              <w:rPr>
                <w:rFonts w:asciiTheme="majorBidi" w:hAnsiTheme="majorBidi" w:cstheme="majorBidi"/>
                <w:b/>
                <w:sz w:val="20"/>
              </w:rPr>
              <w:t> :</w:t>
            </w:r>
          </w:p>
        </w:tc>
        <w:tc>
          <w:tcPr>
            <w:tcW w:w="6470" w:type="dxa"/>
            <w:tcBorders>
              <w:top w:val="single" w:sz="6" w:space="0" w:color="auto"/>
              <w:left w:val="single" w:sz="6" w:space="0" w:color="auto"/>
              <w:bottom w:val="nil"/>
              <w:right w:val="single" w:sz="6" w:space="0" w:color="auto"/>
            </w:tcBorders>
          </w:tcPr>
          <w:p w14:paraId="31C310DA" w14:textId="77777777" w:rsidR="00DE5C38" w:rsidRPr="00A67F27" w:rsidRDefault="00DE5C38" w:rsidP="00893877">
            <w:pPr>
              <w:spacing w:after="0"/>
              <w:ind w:left="0" w:firstLine="0"/>
              <w:jc w:val="left"/>
              <w:rPr>
                <w:rFonts w:asciiTheme="majorBidi" w:hAnsiTheme="majorBidi" w:cstheme="majorBidi"/>
                <w:i/>
                <w:sz w:val="20"/>
              </w:rPr>
            </w:pPr>
            <w:r w:rsidRPr="00A67F27">
              <w:rPr>
                <w:rFonts w:asciiTheme="majorBidi" w:hAnsiTheme="majorBidi" w:cstheme="majorBidi"/>
                <w:i/>
                <w:sz w:val="20"/>
              </w:rPr>
              <w:t>[insérer le nombre de jours/semaines/mois prévus pour la position</w:t>
            </w:r>
            <w:r w:rsidRPr="00A67F27">
              <w:rPr>
                <w:rFonts w:asciiTheme="majorBidi" w:hAnsiTheme="majorBidi" w:cstheme="majorBidi"/>
                <w:sz w:val="20"/>
              </w:rPr>
              <w:t>]</w:t>
            </w:r>
          </w:p>
        </w:tc>
      </w:tr>
      <w:tr w:rsidR="00DE5C38" w:rsidRPr="00A67F27" w14:paraId="665DAF8B" w14:textId="77777777" w:rsidTr="00A736A8">
        <w:trPr>
          <w:cantSplit/>
        </w:trPr>
        <w:tc>
          <w:tcPr>
            <w:tcW w:w="720" w:type="dxa"/>
            <w:tcBorders>
              <w:top w:val="nil"/>
              <w:left w:val="single" w:sz="6" w:space="0" w:color="auto"/>
              <w:bottom w:val="nil"/>
              <w:right w:val="nil"/>
            </w:tcBorders>
          </w:tcPr>
          <w:p w14:paraId="41C5C683" w14:textId="77777777" w:rsidR="00DE5C38" w:rsidRPr="00A67F27" w:rsidRDefault="00DE5C38" w:rsidP="00893877">
            <w:pPr>
              <w:suppressAutoHyphens/>
              <w:spacing w:before="120" w:after="120"/>
              <w:rPr>
                <w:rFonts w:asciiTheme="majorBidi" w:hAnsiTheme="majorBidi" w:cstheme="majorBidi"/>
                <w:b/>
                <w:bCs/>
                <w:spacing w:val="-2"/>
                <w:sz w:val="20"/>
              </w:rPr>
            </w:pPr>
          </w:p>
        </w:tc>
        <w:tc>
          <w:tcPr>
            <w:tcW w:w="1900" w:type="dxa"/>
            <w:tcBorders>
              <w:top w:val="single" w:sz="6" w:space="0" w:color="auto"/>
              <w:left w:val="single" w:sz="6" w:space="0" w:color="auto"/>
              <w:bottom w:val="single" w:sz="6" w:space="0" w:color="auto"/>
              <w:right w:val="single" w:sz="6" w:space="0" w:color="auto"/>
            </w:tcBorders>
          </w:tcPr>
          <w:p w14:paraId="5B5D5559" w14:textId="48DC5AEC" w:rsidR="00DE5C38" w:rsidRPr="00A67F27" w:rsidRDefault="00DE5C38" w:rsidP="00893877">
            <w:pPr>
              <w:spacing w:after="0"/>
              <w:ind w:left="0" w:firstLine="0"/>
              <w:jc w:val="left"/>
              <w:rPr>
                <w:rFonts w:asciiTheme="majorBidi" w:hAnsiTheme="majorBidi" w:cstheme="majorBidi"/>
                <w:b/>
                <w:sz w:val="20"/>
              </w:rPr>
            </w:pPr>
            <w:r w:rsidRPr="00A67F27">
              <w:rPr>
                <w:rFonts w:asciiTheme="majorBidi" w:hAnsiTheme="majorBidi" w:cstheme="majorBidi"/>
                <w:b/>
                <w:sz w:val="20"/>
              </w:rPr>
              <w:t>Programme de travail prévu pour ce poste</w:t>
            </w:r>
            <w:r w:rsidR="009B2302" w:rsidRPr="00A67F27">
              <w:rPr>
                <w:rFonts w:asciiTheme="majorBidi" w:hAnsiTheme="majorBidi" w:cstheme="majorBidi"/>
                <w:b/>
                <w:sz w:val="20"/>
              </w:rPr>
              <w:t> :</w:t>
            </w:r>
          </w:p>
        </w:tc>
        <w:tc>
          <w:tcPr>
            <w:tcW w:w="6470" w:type="dxa"/>
            <w:tcBorders>
              <w:top w:val="single" w:sz="6" w:space="0" w:color="auto"/>
              <w:left w:val="single" w:sz="6" w:space="0" w:color="auto"/>
              <w:bottom w:val="single" w:sz="6" w:space="0" w:color="auto"/>
              <w:right w:val="single" w:sz="6" w:space="0" w:color="auto"/>
            </w:tcBorders>
          </w:tcPr>
          <w:p w14:paraId="26A0154B" w14:textId="77777777" w:rsidR="00DE5C38" w:rsidRPr="00A67F27" w:rsidRDefault="00DE5C38" w:rsidP="00893877">
            <w:pPr>
              <w:spacing w:after="0"/>
              <w:ind w:left="0" w:firstLine="0"/>
              <w:jc w:val="left"/>
              <w:rPr>
                <w:rFonts w:asciiTheme="majorBidi" w:hAnsiTheme="majorBidi" w:cstheme="majorBidi"/>
                <w:i/>
                <w:sz w:val="20"/>
              </w:rPr>
            </w:pPr>
            <w:r w:rsidRPr="00A67F27">
              <w:rPr>
                <w:rFonts w:asciiTheme="majorBidi" w:hAnsiTheme="majorBidi" w:cstheme="majorBidi"/>
                <w:sz w:val="20"/>
              </w:rPr>
              <w:t>[</w:t>
            </w:r>
            <w:r w:rsidRPr="00A67F27">
              <w:rPr>
                <w:rFonts w:asciiTheme="majorBidi" w:hAnsiTheme="majorBidi" w:cstheme="majorBidi"/>
                <w:i/>
                <w:sz w:val="20"/>
              </w:rPr>
              <w:t>insérer le programme d’activité prévu (par ex diagramme Gantt détaillé</w:t>
            </w:r>
            <w:r w:rsidRPr="00A67F27">
              <w:rPr>
                <w:rFonts w:asciiTheme="majorBidi" w:hAnsiTheme="majorBidi" w:cstheme="majorBidi"/>
                <w:sz w:val="20"/>
              </w:rPr>
              <w:t>]</w:t>
            </w:r>
          </w:p>
        </w:tc>
      </w:tr>
      <w:tr w:rsidR="00DE5C38" w:rsidRPr="00A67F27" w14:paraId="57F94CEA" w14:textId="77777777" w:rsidTr="00A736A8">
        <w:trPr>
          <w:cantSplit/>
        </w:trPr>
        <w:tc>
          <w:tcPr>
            <w:tcW w:w="720" w:type="dxa"/>
            <w:tcBorders>
              <w:top w:val="single" w:sz="6" w:space="0" w:color="auto"/>
              <w:left w:val="single" w:sz="6" w:space="0" w:color="auto"/>
              <w:bottom w:val="nil"/>
              <w:right w:val="nil"/>
            </w:tcBorders>
            <w:hideMark/>
          </w:tcPr>
          <w:p w14:paraId="33244469" w14:textId="77777777" w:rsidR="00DE5C38" w:rsidRPr="00A67F27" w:rsidRDefault="00DE5C38" w:rsidP="00893877">
            <w:pPr>
              <w:keepNext/>
              <w:suppressAutoHyphens/>
              <w:spacing w:before="120" w:after="120"/>
              <w:ind w:left="578" w:hanging="578"/>
              <w:rPr>
                <w:rFonts w:asciiTheme="majorBidi" w:hAnsiTheme="majorBidi" w:cstheme="majorBidi"/>
                <w:b/>
                <w:bCs/>
                <w:spacing w:val="-2"/>
                <w:sz w:val="20"/>
              </w:rPr>
            </w:pPr>
            <w:r w:rsidRPr="00A67F27">
              <w:rPr>
                <w:rFonts w:asciiTheme="majorBidi" w:hAnsiTheme="majorBidi" w:cstheme="majorBidi"/>
                <w:b/>
                <w:bCs/>
                <w:spacing w:val="-2"/>
                <w:sz w:val="20"/>
              </w:rPr>
              <w:t>3.</w:t>
            </w:r>
          </w:p>
        </w:tc>
        <w:tc>
          <w:tcPr>
            <w:tcW w:w="8370" w:type="dxa"/>
            <w:gridSpan w:val="2"/>
            <w:tcBorders>
              <w:top w:val="single" w:sz="6" w:space="0" w:color="auto"/>
              <w:left w:val="single" w:sz="6" w:space="0" w:color="auto"/>
              <w:bottom w:val="nil"/>
              <w:right w:val="single" w:sz="6" w:space="0" w:color="auto"/>
            </w:tcBorders>
            <w:hideMark/>
          </w:tcPr>
          <w:p w14:paraId="11612C9D" w14:textId="2A3D38B5" w:rsidR="00DE5C38" w:rsidRPr="00A67F27" w:rsidRDefault="00DE5C38" w:rsidP="00893877">
            <w:pPr>
              <w:keepNext/>
              <w:suppressAutoHyphens/>
              <w:spacing w:before="120" w:after="120"/>
              <w:ind w:left="578" w:hanging="578"/>
              <w:rPr>
                <w:rFonts w:asciiTheme="majorBidi" w:hAnsiTheme="majorBidi" w:cstheme="majorBidi"/>
                <w:b/>
                <w:bCs/>
                <w:spacing w:val="-2"/>
                <w:sz w:val="20"/>
              </w:rPr>
            </w:pPr>
            <w:r w:rsidRPr="00A67F27">
              <w:rPr>
                <w:rFonts w:asciiTheme="majorBidi" w:hAnsiTheme="majorBidi" w:cstheme="majorBidi"/>
                <w:b/>
                <w:bCs/>
                <w:spacing w:val="-2"/>
                <w:sz w:val="20"/>
              </w:rPr>
              <w:t>Intitulé du poste</w:t>
            </w:r>
            <w:r w:rsidR="009B2302" w:rsidRPr="00A67F27">
              <w:rPr>
                <w:rFonts w:asciiTheme="majorBidi" w:hAnsiTheme="majorBidi" w:cstheme="majorBidi"/>
                <w:b/>
                <w:bCs/>
                <w:spacing w:val="-2"/>
                <w:sz w:val="20"/>
              </w:rPr>
              <w:t> :</w:t>
            </w:r>
            <w:r w:rsidRPr="00A67F27">
              <w:rPr>
                <w:rFonts w:asciiTheme="majorBidi" w:hAnsiTheme="majorBidi" w:cstheme="majorBidi"/>
                <w:b/>
                <w:bCs/>
                <w:spacing w:val="-2"/>
                <w:sz w:val="20"/>
              </w:rPr>
              <w:t xml:space="preserve"> </w:t>
            </w:r>
            <w:r w:rsidR="004A7F6C" w:rsidRPr="00A67F27">
              <w:rPr>
                <w:bCs/>
                <w:i/>
                <w:spacing w:val="-2"/>
                <w:sz w:val="20"/>
              </w:rPr>
              <w:t>[Spécialiste Santé et Sécurité]</w:t>
            </w:r>
          </w:p>
        </w:tc>
      </w:tr>
      <w:tr w:rsidR="00DE5C38" w:rsidRPr="00A67F27" w14:paraId="2CBC50CA" w14:textId="77777777" w:rsidTr="00A736A8">
        <w:trPr>
          <w:cantSplit/>
        </w:trPr>
        <w:tc>
          <w:tcPr>
            <w:tcW w:w="720" w:type="dxa"/>
            <w:tcBorders>
              <w:top w:val="nil"/>
              <w:left w:val="single" w:sz="6" w:space="0" w:color="auto"/>
              <w:bottom w:val="nil"/>
              <w:right w:val="nil"/>
            </w:tcBorders>
          </w:tcPr>
          <w:p w14:paraId="12088A99" w14:textId="77777777" w:rsidR="00DE5C38" w:rsidRPr="00A67F27" w:rsidRDefault="00DE5C38" w:rsidP="00893877">
            <w:pPr>
              <w:keepNext/>
              <w:suppressAutoHyphens/>
              <w:spacing w:before="120" w:after="120"/>
              <w:ind w:left="578" w:hanging="578"/>
              <w:rPr>
                <w:rFonts w:asciiTheme="majorBidi" w:hAnsiTheme="majorBidi" w:cstheme="majorBidi"/>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6CB9BE09" w14:textId="29875B6B" w:rsidR="00DE5C38" w:rsidRPr="00A67F27" w:rsidRDefault="00DE5C38" w:rsidP="00893877">
            <w:pPr>
              <w:keepNext/>
              <w:suppressAutoHyphens/>
              <w:spacing w:before="120" w:after="120"/>
              <w:ind w:left="578" w:hanging="578"/>
              <w:rPr>
                <w:rFonts w:asciiTheme="majorBidi" w:hAnsiTheme="majorBidi" w:cstheme="majorBidi"/>
                <w:b/>
                <w:bCs/>
                <w:spacing w:val="-2"/>
                <w:sz w:val="20"/>
              </w:rPr>
            </w:pPr>
            <w:r w:rsidRPr="00A67F27">
              <w:rPr>
                <w:rFonts w:asciiTheme="majorBidi" w:hAnsiTheme="majorBidi" w:cstheme="majorBidi"/>
                <w:b/>
                <w:bCs/>
                <w:spacing w:val="-2"/>
                <w:sz w:val="20"/>
              </w:rPr>
              <w:t>Nom du candidat</w:t>
            </w:r>
            <w:r w:rsidR="009B2302" w:rsidRPr="00A67F27">
              <w:rPr>
                <w:rFonts w:asciiTheme="majorBidi" w:hAnsiTheme="majorBidi" w:cstheme="majorBidi"/>
                <w:b/>
                <w:bCs/>
                <w:spacing w:val="-2"/>
                <w:sz w:val="20"/>
              </w:rPr>
              <w:t> :</w:t>
            </w:r>
            <w:r w:rsidRPr="00A67F27">
              <w:rPr>
                <w:rFonts w:asciiTheme="majorBidi" w:hAnsiTheme="majorBidi" w:cstheme="majorBidi"/>
                <w:b/>
                <w:bCs/>
                <w:spacing w:val="-2"/>
                <w:sz w:val="20"/>
              </w:rPr>
              <w:t xml:space="preserve"> </w:t>
            </w:r>
          </w:p>
        </w:tc>
      </w:tr>
      <w:tr w:rsidR="00DE5C38" w:rsidRPr="00A67F27" w14:paraId="644F5B5C" w14:textId="77777777" w:rsidTr="00A736A8">
        <w:trPr>
          <w:cantSplit/>
        </w:trPr>
        <w:tc>
          <w:tcPr>
            <w:tcW w:w="720" w:type="dxa"/>
            <w:tcBorders>
              <w:top w:val="nil"/>
              <w:left w:val="single" w:sz="6" w:space="0" w:color="auto"/>
              <w:bottom w:val="nil"/>
              <w:right w:val="nil"/>
            </w:tcBorders>
          </w:tcPr>
          <w:p w14:paraId="4F74100D" w14:textId="77777777" w:rsidR="00DE5C38" w:rsidRPr="00A67F27" w:rsidRDefault="00DE5C38" w:rsidP="00893877">
            <w:pPr>
              <w:keepNext/>
              <w:suppressAutoHyphens/>
              <w:spacing w:before="120" w:after="120"/>
              <w:ind w:left="578" w:hanging="578"/>
              <w:rPr>
                <w:rFonts w:asciiTheme="majorBidi" w:hAnsiTheme="majorBidi" w:cstheme="majorBidi"/>
                <w:b/>
                <w:bCs/>
                <w:spacing w:val="-2"/>
                <w:sz w:val="20"/>
              </w:rPr>
            </w:pPr>
          </w:p>
        </w:tc>
        <w:tc>
          <w:tcPr>
            <w:tcW w:w="1900" w:type="dxa"/>
            <w:tcBorders>
              <w:top w:val="single" w:sz="6" w:space="0" w:color="auto"/>
              <w:left w:val="single" w:sz="6" w:space="0" w:color="auto"/>
              <w:bottom w:val="nil"/>
              <w:right w:val="single" w:sz="6" w:space="0" w:color="auto"/>
            </w:tcBorders>
          </w:tcPr>
          <w:p w14:paraId="3298A52E" w14:textId="2A0FA2AA" w:rsidR="00DE5C38" w:rsidRPr="00A67F27" w:rsidRDefault="00DE5C38" w:rsidP="00893877">
            <w:pPr>
              <w:keepNext/>
              <w:spacing w:after="0"/>
              <w:ind w:left="0" w:firstLine="0"/>
              <w:jc w:val="left"/>
              <w:rPr>
                <w:rFonts w:asciiTheme="majorBidi" w:hAnsiTheme="majorBidi" w:cstheme="majorBidi"/>
                <w:b/>
                <w:sz w:val="20"/>
              </w:rPr>
            </w:pPr>
            <w:r w:rsidRPr="00A67F27">
              <w:rPr>
                <w:rFonts w:asciiTheme="majorBidi" w:hAnsiTheme="majorBidi" w:cstheme="majorBidi"/>
                <w:b/>
                <w:sz w:val="20"/>
              </w:rPr>
              <w:t>Durée d’emploi</w:t>
            </w:r>
            <w:r w:rsidR="009B2302" w:rsidRPr="00A67F27">
              <w:rPr>
                <w:rFonts w:asciiTheme="majorBidi" w:hAnsiTheme="majorBidi" w:cstheme="majorBidi"/>
                <w:b/>
                <w:sz w:val="20"/>
              </w:rPr>
              <w:t> :</w:t>
            </w:r>
          </w:p>
        </w:tc>
        <w:tc>
          <w:tcPr>
            <w:tcW w:w="6470" w:type="dxa"/>
            <w:tcBorders>
              <w:top w:val="single" w:sz="6" w:space="0" w:color="auto"/>
              <w:left w:val="single" w:sz="6" w:space="0" w:color="auto"/>
              <w:bottom w:val="nil"/>
              <w:right w:val="single" w:sz="6" w:space="0" w:color="auto"/>
            </w:tcBorders>
          </w:tcPr>
          <w:p w14:paraId="2505A31D" w14:textId="77777777" w:rsidR="00DE5C38" w:rsidRPr="00A67F27" w:rsidRDefault="00DE5C38" w:rsidP="00893877">
            <w:pPr>
              <w:keepNext/>
              <w:spacing w:after="0"/>
              <w:ind w:left="0" w:firstLine="0"/>
              <w:jc w:val="left"/>
              <w:rPr>
                <w:rFonts w:asciiTheme="majorBidi" w:hAnsiTheme="majorBidi" w:cstheme="majorBidi"/>
                <w:i/>
                <w:sz w:val="20"/>
              </w:rPr>
            </w:pPr>
            <w:r w:rsidRPr="00A67F27">
              <w:rPr>
                <w:rFonts w:asciiTheme="majorBidi" w:hAnsiTheme="majorBidi" w:cstheme="majorBidi"/>
                <w:i/>
                <w:sz w:val="20"/>
              </w:rPr>
              <w:t xml:space="preserve">[insérer la période (dates de début et de fin) pendant laquelle cette position </w:t>
            </w:r>
            <w:proofErr w:type="gramStart"/>
            <w:r w:rsidRPr="00A67F27">
              <w:rPr>
                <w:rFonts w:asciiTheme="majorBidi" w:hAnsiTheme="majorBidi" w:cstheme="majorBidi"/>
                <w:i/>
                <w:sz w:val="20"/>
              </w:rPr>
              <w:t>serai</w:t>
            </w:r>
            <w:proofErr w:type="gramEnd"/>
            <w:r w:rsidRPr="00A67F27">
              <w:rPr>
                <w:rFonts w:asciiTheme="majorBidi" w:hAnsiTheme="majorBidi" w:cstheme="majorBidi"/>
                <w:i/>
                <w:sz w:val="20"/>
              </w:rPr>
              <w:t xml:space="preserve"> dotée]</w:t>
            </w:r>
          </w:p>
        </w:tc>
      </w:tr>
      <w:tr w:rsidR="00DE5C38" w:rsidRPr="00A67F27" w14:paraId="7D11A411" w14:textId="77777777" w:rsidTr="00A736A8">
        <w:trPr>
          <w:cantSplit/>
        </w:trPr>
        <w:tc>
          <w:tcPr>
            <w:tcW w:w="720" w:type="dxa"/>
            <w:tcBorders>
              <w:top w:val="nil"/>
              <w:left w:val="single" w:sz="6" w:space="0" w:color="auto"/>
              <w:bottom w:val="nil"/>
              <w:right w:val="nil"/>
            </w:tcBorders>
          </w:tcPr>
          <w:p w14:paraId="5370D1BB" w14:textId="77777777" w:rsidR="00DE5C38" w:rsidRPr="00A67F27" w:rsidRDefault="00DE5C38" w:rsidP="00893877">
            <w:pPr>
              <w:keepNext/>
              <w:suppressAutoHyphens/>
              <w:spacing w:before="120" w:after="120"/>
              <w:rPr>
                <w:rFonts w:asciiTheme="majorBidi" w:hAnsiTheme="majorBidi" w:cstheme="majorBidi"/>
                <w:b/>
                <w:bCs/>
                <w:spacing w:val="-2"/>
                <w:sz w:val="20"/>
              </w:rPr>
            </w:pPr>
          </w:p>
        </w:tc>
        <w:tc>
          <w:tcPr>
            <w:tcW w:w="1900" w:type="dxa"/>
            <w:tcBorders>
              <w:top w:val="single" w:sz="6" w:space="0" w:color="auto"/>
              <w:left w:val="single" w:sz="6" w:space="0" w:color="auto"/>
              <w:bottom w:val="nil"/>
              <w:right w:val="single" w:sz="6" w:space="0" w:color="auto"/>
            </w:tcBorders>
          </w:tcPr>
          <w:p w14:paraId="2A2ACFB2" w14:textId="161FC552" w:rsidR="00DE5C38" w:rsidRPr="00A67F27" w:rsidRDefault="00DE5C38" w:rsidP="00893877">
            <w:pPr>
              <w:keepNext/>
              <w:spacing w:after="0"/>
              <w:ind w:left="0" w:firstLine="0"/>
              <w:jc w:val="left"/>
              <w:rPr>
                <w:rFonts w:asciiTheme="majorBidi" w:hAnsiTheme="majorBidi" w:cstheme="majorBidi"/>
                <w:b/>
                <w:sz w:val="20"/>
              </w:rPr>
            </w:pPr>
            <w:r w:rsidRPr="00A67F27">
              <w:rPr>
                <w:rFonts w:asciiTheme="majorBidi" w:hAnsiTheme="majorBidi" w:cstheme="majorBidi"/>
                <w:b/>
                <w:sz w:val="20"/>
              </w:rPr>
              <w:t xml:space="preserve">Durée de travail </w:t>
            </w:r>
            <w:r w:rsidR="00AE5101" w:rsidRPr="00A67F27">
              <w:rPr>
                <w:rFonts w:asciiTheme="majorBidi" w:hAnsiTheme="majorBidi" w:cstheme="majorBidi"/>
                <w:b/>
                <w:sz w:val="20"/>
              </w:rPr>
              <w:t>prévue</w:t>
            </w:r>
            <w:r w:rsidRPr="00A67F27">
              <w:rPr>
                <w:rFonts w:asciiTheme="majorBidi" w:hAnsiTheme="majorBidi" w:cstheme="majorBidi"/>
                <w:b/>
                <w:sz w:val="20"/>
              </w:rPr>
              <w:t xml:space="preserve"> pour ce poste</w:t>
            </w:r>
            <w:r w:rsidR="009B2302" w:rsidRPr="00A67F27">
              <w:rPr>
                <w:rFonts w:asciiTheme="majorBidi" w:hAnsiTheme="majorBidi" w:cstheme="majorBidi"/>
                <w:b/>
                <w:sz w:val="20"/>
              </w:rPr>
              <w:t> :</w:t>
            </w:r>
          </w:p>
        </w:tc>
        <w:tc>
          <w:tcPr>
            <w:tcW w:w="6470" w:type="dxa"/>
            <w:tcBorders>
              <w:top w:val="single" w:sz="6" w:space="0" w:color="auto"/>
              <w:left w:val="single" w:sz="6" w:space="0" w:color="auto"/>
              <w:bottom w:val="nil"/>
              <w:right w:val="single" w:sz="6" w:space="0" w:color="auto"/>
            </w:tcBorders>
          </w:tcPr>
          <w:p w14:paraId="476EB48F" w14:textId="77777777" w:rsidR="00DE5C38" w:rsidRPr="00A67F27" w:rsidRDefault="00DE5C38" w:rsidP="00893877">
            <w:pPr>
              <w:keepNext/>
              <w:spacing w:after="0"/>
              <w:ind w:left="0" w:firstLine="0"/>
              <w:jc w:val="left"/>
              <w:rPr>
                <w:rFonts w:asciiTheme="majorBidi" w:hAnsiTheme="majorBidi" w:cstheme="majorBidi"/>
                <w:i/>
                <w:sz w:val="20"/>
              </w:rPr>
            </w:pPr>
            <w:r w:rsidRPr="00A67F27">
              <w:rPr>
                <w:rFonts w:asciiTheme="majorBidi" w:hAnsiTheme="majorBidi" w:cstheme="majorBidi"/>
                <w:i/>
                <w:sz w:val="20"/>
              </w:rPr>
              <w:t>[insérer le nombre de jours/semaines/mois prévus pour la position</w:t>
            </w:r>
            <w:r w:rsidRPr="00A67F27">
              <w:rPr>
                <w:rFonts w:asciiTheme="majorBidi" w:hAnsiTheme="majorBidi" w:cstheme="majorBidi"/>
                <w:sz w:val="20"/>
              </w:rPr>
              <w:t>]</w:t>
            </w:r>
          </w:p>
        </w:tc>
      </w:tr>
      <w:tr w:rsidR="00DE5C38" w:rsidRPr="00A67F27" w14:paraId="69AF977E" w14:textId="77777777" w:rsidTr="00A736A8">
        <w:trPr>
          <w:cantSplit/>
        </w:trPr>
        <w:tc>
          <w:tcPr>
            <w:tcW w:w="720" w:type="dxa"/>
            <w:tcBorders>
              <w:top w:val="nil"/>
              <w:left w:val="single" w:sz="6" w:space="0" w:color="auto"/>
              <w:bottom w:val="nil"/>
              <w:right w:val="nil"/>
            </w:tcBorders>
          </w:tcPr>
          <w:p w14:paraId="28D02361" w14:textId="77777777" w:rsidR="00DE5C38" w:rsidRPr="00A67F27" w:rsidRDefault="00DE5C38" w:rsidP="00893877">
            <w:pPr>
              <w:suppressAutoHyphens/>
              <w:spacing w:before="120" w:after="120"/>
              <w:rPr>
                <w:rFonts w:asciiTheme="majorBidi" w:hAnsiTheme="majorBidi" w:cstheme="majorBidi"/>
                <w:b/>
                <w:bCs/>
                <w:spacing w:val="-2"/>
                <w:sz w:val="20"/>
              </w:rPr>
            </w:pPr>
          </w:p>
        </w:tc>
        <w:tc>
          <w:tcPr>
            <w:tcW w:w="1900" w:type="dxa"/>
            <w:tcBorders>
              <w:top w:val="single" w:sz="6" w:space="0" w:color="auto"/>
              <w:left w:val="single" w:sz="6" w:space="0" w:color="auto"/>
              <w:bottom w:val="single" w:sz="6" w:space="0" w:color="auto"/>
              <w:right w:val="single" w:sz="6" w:space="0" w:color="auto"/>
            </w:tcBorders>
          </w:tcPr>
          <w:p w14:paraId="53E9F5D0" w14:textId="762D031B" w:rsidR="00DE5C38" w:rsidRPr="00A67F27" w:rsidRDefault="00DE5C38" w:rsidP="00893877">
            <w:pPr>
              <w:spacing w:after="0"/>
              <w:ind w:left="0" w:firstLine="0"/>
              <w:jc w:val="left"/>
              <w:rPr>
                <w:rFonts w:asciiTheme="majorBidi" w:hAnsiTheme="majorBidi" w:cstheme="majorBidi"/>
                <w:b/>
                <w:sz w:val="20"/>
              </w:rPr>
            </w:pPr>
            <w:r w:rsidRPr="00A67F27">
              <w:rPr>
                <w:rFonts w:asciiTheme="majorBidi" w:hAnsiTheme="majorBidi" w:cstheme="majorBidi"/>
                <w:b/>
                <w:sz w:val="20"/>
              </w:rPr>
              <w:t>Programme de travail prévu pour ce poste</w:t>
            </w:r>
            <w:r w:rsidR="009B2302" w:rsidRPr="00A67F27">
              <w:rPr>
                <w:rFonts w:asciiTheme="majorBidi" w:hAnsiTheme="majorBidi" w:cstheme="majorBidi"/>
                <w:b/>
                <w:sz w:val="20"/>
              </w:rPr>
              <w:t> :</w:t>
            </w:r>
          </w:p>
        </w:tc>
        <w:tc>
          <w:tcPr>
            <w:tcW w:w="6470" w:type="dxa"/>
            <w:tcBorders>
              <w:top w:val="single" w:sz="6" w:space="0" w:color="auto"/>
              <w:left w:val="single" w:sz="6" w:space="0" w:color="auto"/>
              <w:bottom w:val="single" w:sz="6" w:space="0" w:color="auto"/>
              <w:right w:val="single" w:sz="6" w:space="0" w:color="auto"/>
            </w:tcBorders>
          </w:tcPr>
          <w:p w14:paraId="51880188" w14:textId="77777777" w:rsidR="00DE5C38" w:rsidRPr="00A67F27" w:rsidRDefault="00DE5C38" w:rsidP="00893877">
            <w:pPr>
              <w:spacing w:after="0"/>
              <w:ind w:left="0" w:firstLine="0"/>
              <w:jc w:val="left"/>
              <w:rPr>
                <w:rFonts w:asciiTheme="majorBidi" w:hAnsiTheme="majorBidi" w:cstheme="majorBidi"/>
                <w:i/>
                <w:sz w:val="20"/>
              </w:rPr>
            </w:pPr>
            <w:r w:rsidRPr="00A67F27">
              <w:rPr>
                <w:rFonts w:asciiTheme="majorBidi" w:hAnsiTheme="majorBidi" w:cstheme="majorBidi"/>
                <w:sz w:val="20"/>
              </w:rPr>
              <w:t>[</w:t>
            </w:r>
            <w:r w:rsidRPr="00A67F27">
              <w:rPr>
                <w:rFonts w:asciiTheme="majorBidi" w:hAnsiTheme="majorBidi" w:cstheme="majorBidi"/>
                <w:i/>
                <w:sz w:val="20"/>
              </w:rPr>
              <w:t>insérer le programme d’activité prévu (par ex diagramme Gantt détaillé</w:t>
            </w:r>
            <w:r w:rsidRPr="00A67F27">
              <w:rPr>
                <w:rFonts w:asciiTheme="majorBidi" w:hAnsiTheme="majorBidi" w:cstheme="majorBidi"/>
                <w:sz w:val="20"/>
              </w:rPr>
              <w:t>]</w:t>
            </w:r>
          </w:p>
        </w:tc>
      </w:tr>
      <w:tr w:rsidR="00DE5C38" w:rsidRPr="00A67F27" w14:paraId="647E4ACD" w14:textId="77777777" w:rsidTr="00A736A8">
        <w:trPr>
          <w:cantSplit/>
        </w:trPr>
        <w:tc>
          <w:tcPr>
            <w:tcW w:w="720" w:type="dxa"/>
            <w:tcBorders>
              <w:top w:val="single" w:sz="6" w:space="0" w:color="auto"/>
              <w:left w:val="single" w:sz="6" w:space="0" w:color="auto"/>
              <w:bottom w:val="nil"/>
              <w:right w:val="nil"/>
            </w:tcBorders>
            <w:hideMark/>
          </w:tcPr>
          <w:p w14:paraId="1053BBDB" w14:textId="77777777" w:rsidR="00DE5C38" w:rsidRPr="00A67F27" w:rsidRDefault="00DE5C38" w:rsidP="00893877">
            <w:pPr>
              <w:suppressAutoHyphens/>
              <w:spacing w:before="120" w:after="120"/>
              <w:rPr>
                <w:rFonts w:asciiTheme="majorBidi" w:hAnsiTheme="majorBidi" w:cstheme="majorBidi"/>
                <w:b/>
                <w:bCs/>
                <w:spacing w:val="-2"/>
                <w:sz w:val="20"/>
              </w:rPr>
            </w:pPr>
            <w:r w:rsidRPr="00A67F27">
              <w:rPr>
                <w:rFonts w:asciiTheme="majorBidi" w:hAnsiTheme="majorBidi" w:cstheme="majorBidi"/>
                <w:b/>
                <w:bCs/>
                <w:spacing w:val="-2"/>
                <w:sz w:val="20"/>
              </w:rPr>
              <w:t>4.</w:t>
            </w:r>
          </w:p>
        </w:tc>
        <w:tc>
          <w:tcPr>
            <w:tcW w:w="8370" w:type="dxa"/>
            <w:gridSpan w:val="2"/>
            <w:tcBorders>
              <w:top w:val="single" w:sz="6" w:space="0" w:color="auto"/>
              <w:left w:val="single" w:sz="6" w:space="0" w:color="auto"/>
              <w:bottom w:val="nil"/>
              <w:right w:val="single" w:sz="6" w:space="0" w:color="auto"/>
            </w:tcBorders>
            <w:hideMark/>
          </w:tcPr>
          <w:p w14:paraId="775A766E" w14:textId="6394BA5A" w:rsidR="00DE5C38" w:rsidRPr="00A67F27" w:rsidRDefault="00DE5C38" w:rsidP="00893877">
            <w:pPr>
              <w:suppressAutoHyphens/>
              <w:spacing w:before="120" w:after="120"/>
              <w:rPr>
                <w:rFonts w:asciiTheme="majorBidi" w:hAnsiTheme="majorBidi" w:cstheme="majorBidi"/>
                <w:b/>
                <w:bCs/>
                <w:spacing w:val="-2"/>
                <w:sz w:val="20"/>
              </w:rPr>
            </w:pPr>
            <w:r w:rsidRPr="00A67F27">
              <w:rPr>
                <w:rFonts w:asciiTheme="majorBidi" w:hAnsiTheme="majorBidi" w:cstheme="majorBidi"/>
                <w:b/>
                <w:bCs/>
                <w:spacing w:val="-2"/>
                <w:sz w:val="20"/>
              </w:rPr>
              <w:t>Intitulé du poste</w:t>
            </w:r>
            <w:r w:rsidR="009B2302" w:rsidRPr="00A67F27">
              <w:rPr>
                <w:rFonts w:asciiTheme="majorBidi" w:hAnsiTheme="majorBidi" w:cstheme="majorBidi"/>
                <w:b/>
                <w:bCs/>
                <w:spacing w:val="-2"/>
                <w:sz w:val="20"/>
              </w:rPr>
              <w:t> :</w:t>
            </w:r>
            <w:r w:rsidRPr="00A67F27">
              <w:rPr>
                <w:rFonts w:asciiTheme="majorBidi" w:hAnsiTheme="majorBidi" w:cstheme="majorBidi"/>
                <w:i/>
                <w:iCs/>
                <w:spacing w:val="-2"/>
                <w:sz w:val="20"/>
              </w:rPr>
              <w:t xml:space="preserve"> </w:t>
            </w:r>
            <w:r w:rsidR="004A7F6C" w:rsidRPr="00A67F27">
              <w:rPr>
                <w:bCs/>
                <w:i/>
                <w:spacing w:val="-2"/>
                <w:sz w:val="20"/>
              </w:rPr>
              <w:t>[Spécialiste social]</w:t>
            </w:r>
          </w:p>
        </w:tc>
      </w:tr>
      <w:tr w:rsidR="00DE5C38" w:rsidRPr="00A67F27" w14:paraId="042468A3" w14:textId="77777777" w:rsidTr="00A736A8">
        <w:trPr>
          <w:cantSplit/>
        </w:trPr>
        <w:tc>
          <w:tcPr>
            <w:tcW w:w="720" w:type="dxa"/>
            <w:tcBorders>
              <w:top w:val="nil"/>
              <w:left w:val="single" w:sz="6" w:space="0" w:color="auto"/>
              <w:bottom w:val="nil"/>
              <w:right w:val="nil"/>
            </w:tcBorders>
          </w:tcPr>
          <w:p w14:paraId="5C088997" w14:textId="77777777" w:rsidR="00DE5C38" w:rsidRPr="00A67F27" w:rsidRDefault="00DE5C38" w:rsidP="00893877">
            <w:pPr>
              <w:suppressAutoHyphens/>
              <w:spacing w:before="120" w:after="120"/>
              <w:rPr>
                <w:rFonts w:asciiTheme="majorBidi" w:hAnsiTheme="majorBidi" w:cstheme="majorBidi"/>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4E934E01" w14:textId="6B43BC81" w:rsidR="00DE5C38" w:rsidRPr="00A67F27" w:rsidRDefault="00DE5C38" w:rsidP="00893877">
            <w:pPr>
              <w:suppressAutoHyphens/>
              <w:spacing w:before="120" w:after="120"/>
              <w:rPr>
                <w:rFonts w:asciiTheme="majorBidi" w:hAnsiTheme="majorBidi" w:cstheme="majorBidi"/>
                <w:b/>
                <w:bCs/>
                <w:spacing w:val="-2"/>
                <w:sz w:val="20"/>
              </w:rPr>
            </w:pPr>
            <w:r w:rsidRPr="00A67F27">
              <w:rPr>
                <w:rFonts w:asciiTheme="majorBidi" w:hAnsiTheme="majorBidi" w:cstheme="majorBidi"/>
                <w:b/>
                <w:bCs/>
                <w:spacing w:val="-2"/>
                <w:sz w:val="20"/>
              </w:rPr>
              <w:t>Nom du candidat</w:t>
            </w:r>
            <w:r w:rsidR="009B2302" w:rsidRPr="00A67F27">
              <w:rPr>
                <w:rFonts w:asciiTheme="majorBidi" w:hAnsiTheme="majorBidi" w:cstheme="majorBidi"/>
                <w:b/>
                <w:bCs/>
                <w:spacing w:val="-2"/>
                <w:sz w:val="20"/>
              </w:rPr>
              <w:t> :</w:t>
            </w:r>
            <w:r w:rsidRPr="00A67F27">
              <w:rPr>
                <w:rFonts w:asciiTheme="majorBidi" w:hAnsiTheme="majorBidi" w:cstheme="majorBidi"/>
                <w:b/>
                <w:bCs/>
                <w:spacing w:val="-2"/>
                <w:sz w:val="20"/>
              </w:rPr>
              <w:t xml:space="preserve"> </w:t>
            </w:r>
          </w:p>
        </w:tc>
      </w:tr>
      <w:tr w:rsidR="00DE5C38" w:rsidRPr="00A67F27" w14:paraId="3FBC8FED" w14:textId="77777777" w:rsidTr="00A736A8">
        <w:trPr>
          <w:cantSplit/>
        </w:trPr>
        <w:tc>
          <w:tcPr>
            <w:tcW w:w="720" w:type="dxa"/>
            <w:tcBorders>
              <w:top w:val="nil"/>
              <w:left w:val="single" w:sz="6" w:space="0" w:color="auto"/>
              <w:bottom w:val="nil"/>
              <w:right w:val="nil"/>
            </w:tcBorders>
          </w:tcPr>
          <w:p w14:paraId="03CEFAC1" w14:textId="77777777" w:rsidR="00DE5C38" w:rsidRPr="00A67F27" w:rsidRDefault="00DE5C38" w:rsidP="00893877">
            <w:pPr>
              <w:suppressAutoHyphens/>
              <w:spacing w:before="120" w:after="120"/>
              <w:rPr>
                <w:rFonts w:asciiTheme="majorBidi" w:hAnsiTheme="majorBidi" w:cstheme="majorBidi"/>
                <w:b/>
                <w:bCs/>
                <w:spacing w:val="-2"/>
                <w:sz w:val="20"/>
              </w:rPr>
            </w:pPr>
          </w:p>
        </w:tc>
        <w:tc>
          <w:tcPr>
            <w:tcW w:w="1900" w:type="dxa"/>
            <w:tcBorders>
              <w:top w:val="single" w:sz="6" w:space="0" w:color="auto"/>
              <w:left w:val="single" w:sz="6" w:space="0" w:color="auto"/>
              <w:bottom w:val="nil"/>
              <w:right w:val="single" w:sz="6" w:space="0" w:color="auto"/>
            </w:tcBorders>
          </w:tcPr>
          <w:p w14:paraId="367660CE" w14:textId="3B84731B" w:rsidR="00DE5C38" w:rsidRPr="00A67F27" w:rsidRDefault="00DE5C38" w:rsidP="00893877">
            <w:pPr>
              <w:spacing w:after="0"/>
              <w:ind w:left="0" w:firstLine="0"/>
              <w:jc w:val="left"/>
              <w:rPr>
                <w:rFonts w:asciiTheme="majorBidi" w:hAnsiTheme="majorBidi" w:cstheme="majorBidi"/>
                <w:b/>
                <w:sz w:val="20"/>
              </w:rPr>
            </w:pPr>
            <w:r w:rsidRPr="00A67F27">
              <w:rPr>
                <w:rFonts w:asciiTheme="majorBidi" w:hAnsiTheme="majorBidi" w:cstheme="majorBidi"/>
                <w:b/>
                <w:sz w:val="20"/>
              </w:rPr>
              <w:t>Durée d’emploi</w:t>
            </w:r>
            <w:r w:rsidR="009B2302" w:rsidRPr="00A67F27">
              <w:rPr>
                <w:rFonts w:asciiTheme="majorBidi" w:hAnsiTheme="majorBidi" w:cstheme="majorBidi"/>
                <w:b/>
                <w:sz w:val="20"/>
              </w:rPr>
              <w:t> :</w:t>
            </w:r>
          </w:p>
        </w:tc>
        <w:tc>
          <w:tcPr>
            <w:tcW w:w="6470" w:type="dxa"/>
            <w:tcBorders>
              <w:top w:val="single" w:sz="6" w:space="0" w:color="auto"/>
              <w:left w:val="single" w:sz="6" w:space="0" w:color="auto"/>
              <w:bottom w:val="nil"/>
              <w:right w:val="single" w:sz="6" w:space="0" w:color="auto"/>
            </w:tcBorders>
          </w:tcPr>
          <w:p w14:paraId="766C9C7E" w14:textId="1FB11FE4" w:rsidR="00DE5C38" w:rsidRPr="00A67F27" w:rsidRDefault="00DE5C38" w:rsidP="004A7F6C">
            <w:pPr>
              <w:spacing w:after="0"/>
              <w:ind w:left="0" w:firstLine="0"/>
              <w:jc w:val="left"/>
              <w:rPr>
                <w:rFonts w:asciiTheme="majorBidi" w:hAnsiTheme="majorBidi" w:cstheme="majorBidi"/>
                <w:i/>
                <w:sz w:val="20"/>
              </w:rPr>
            </w:pPr>
            <w:r w:rsidRPr="00A67F27">
              <w:rPr>
                <w:rFonts w:asciiTheme="majorBidi" w:hAnsiTheme="majorBidi" w:cstheme="majorBidi"/>
                <w:i/>
                <w:sz w:val="20"/>
              </w:rPr>
              <w:t>[insérer la période (dates de début et de fin) pendant laquelle cette position serai</w:t>
            </w:r>
            <w:r w:rsidR="004A7F6C" w:rsidRPr="00A67F27">
              <w:rPr>
                <w:rFonts w:asciiTheme="majorBidi" w:hAnsiTheme="majorBidi" w:cstheme="majorBidi"/>
                <w:i/>
                <w:sz w:val="20"/>
              </w:rPr>
              <w:t xml:space="preserve">t </w:t>
            </w:r>
            <w:r w:rsidRPr="00A67F27">
              <w:rPr>
                <w:rFonts w:asciiTheme="majorBidi" w:hAnsiTheme="majorBidi" w:cstheme="majorBidi"/>
                <w:i/>
                <w:sz w:val="20"/>
              </w:rPr>
              <w:t>dotée]</w:t>
            </w:r>
          </w:p>
        </w:tc>
      </w:tr>
      <w:tr w:rsidR="00DE5C38" w:rsidRPr="00A67F27" w14:paraId="6245FD98" w14:textId="77777777" w:rsidTr="00A736A8">
        <w:trPr>
          <w:cantSplit/>
        </w:trPr>
        <w:tc>
          <w:tcPr>
            <w:tcW w:w="720" w:type="dxa"/>
            <w:tcBorders>
              <w:top w:val="nil"/>
              <w:left w:val="single" w:sz="6" w:space="0" w:color="auto"/>
              <w:bottom w:val="nil"/>
              <w:right w:val="nil"/>
            </w:tcBorders>
          </w:tcPr>
          <w:p w14:paraId="3FEA3E34" w14:textId="77777777" w:rsidR="00DE5C38" w:rsidRPr="00A67F27" w:rsidRDefault="00DE5C38" w:rsidP="00893877">
            <w:pPr>
              <w:suppressAutoHyphens/>
              <w:spacing w:before="120" w:after="120"/>
              <w:rPr>
                <w:rFonts w:asciiTheme="majorBidi" w:hAnsiTheme="majorBidi" w:cstheme="majorBidi"/>
                <w:b/>
                <w:bCs/>
                <w:spacing w:val="-2"/>
                <w:sz w:val="20"/>
              </w:rPr>
            </w:pPr>
          </w:p>
        </w:tc>
        <w:tc>
          <w:tcPr>
            <w:tcW w:w="1900" w:type="dxa"/>
            <w:tcBorders>
              <w:top w:val="single" w:sz="6" w:space="0" w:color="auto"/>
              <w:left w:val="single" w:sz="6" w:space="0" w:color="auto"/>
              <w:bottom w:val="nil"/>
              <w:right w:val="single" w:sz="6" w:space="0" w:color="auto"/>
            </w:tcBorders>
          </w:tcPr>
          <w:p w14:paraId="18613932" w14:textId="418B60BB" w:rsidR="00DE5C38" w:rsidRPr="00A67F27" w:rsidRDefault="00DE5C38" w:rsidP="00893877">
            <w:pPr>
              <w:spacing w:after="0"/>
              <w:ind w:left="0" w:firstLine="0"/>
              <w:jc w:val="left"/>
              <w:rPr>
                <w:rFonts w:asciiTheme="majorBidi" w:hAnsiTheme="majorBidi" w:cstheme="majorBidi"/>
                <w:b/>
                <w:sz w:val="20"/>
              </w:rPr>
            </w:pPr>
            <w:r w:rsidRPr="00A67F27">
              <w:rPr>
                <w:rFonts w:asciiTheme="majorBidi" w:hAnsiTheme="majorBidi" w:cstheme="majorBidi"/>
                <w:b/>
                <w:sz w:val="20"/>
              </w:rPr>
              <w:t xml:space="preserve">Durée de travail </w:t>
            </w:r>
            <w:r w:rsidR="00AE5101" w:rsidRPr="00A67F27">
              <w:rPr>
                <w:rFonts w:asciiTheme="majorBidi" w:hAnsiTheme="majorBidi" w:cstheme="majorBidi"/>
                <w:b/>
                <w:sz w:val="20"/>
              </w:rPr>
              <w:t>prévue</w:t>
            </w:r>
            <w:r w:rsidRPr="00A67F27">
              <w:rPr>
                <w:rFonts w:asciiTheme="majorBidi" w:hAnsiTheme="majorBidi" w:cstheme="majorBidi"/>
                <w:b/>
                <w:sz w:val="20"/>
              </w:rPr>
              <w:t xml:space="preserve"> pour ce poste</w:t>
            </w:r>
            <w:r w:rsidR="009B2302" w:rsidRPr="00A67F27">
              <w:rPr>
                <w:rFonts w:asciiTheme="majorBidi" w:hAnsiTheme="majorBidi" w:cstheme="majorBidi"/>
                <w:b/>
                <w:sz w:val="20"/>
              </w:rPr>
              <w:t> :</w:t>
            </w:r>
          </w:p>
        </w:tc>
        <w:tc>
          <w:tcPr>
            <w:tcW w:w="6470" w:type="dxa"/>
            <w:tcBorders>
              <w:top w:val="single" w:sz="6" w:space="0" w:color="auto"/>
              <w:left w:val="single" w:sz="6" w:space="0" w:color="auto"/>
              <w:bottom w:val="nil"/>
              <w:right w:val="single" w:sz="6" w:space="0" w:color="auto"/>
            </w:tcBorders>
          </w:tcPr>
          <w:p w14:paraId="64DBE0A5" w14:textId="77777777" w:rsidR="00DE5C38" w:rsidRPr="00A67F27" w:rsidRDefault="00DE5C38" w:rsidP="00893877">
            <w:pPr>
              <w:spacing w:after="0"/>
              <w:ind w:left="0" w:firstLine="0"/>
              <w:jc w:val="left"/>
              <w:rPr>
                <w:rFonts w:asciiTheme="majorBidi" w:hAnsiTheme="majorBidi" w:cstheme="majorBidi"/>
                <w:i/>
                <w:sz w:val="20"/>
              </w:rPr>
            </w:pPr>
            <w:r w:rsidRPr="00A67F27">
              <w:rPr>
                <w:rFonts w:asciiTheme="majorBidi" w:hAnsiTheme="majorBidi" w:cstheme="majorBidi"/>
                <w:i/>
                <w:sz w:val="20"/>
              </w:rPr>
              <w:t>[insérer le nombre de jours/semaines/mois prévus pour la position</w:t>
            </w:r>
            <w:r w:rsidRPr="00A67F27">
              <w:rPr>
                <w:rFonts w:asciiTheme="majorBidi" w:hAnsiTheme="majorBidi" w:cstheme="majorBidi"/>
                <w:sz w:val="20"/>
              </w:rPr>
              <w:t>]</w:t>
            </w:r>
          </w:p>
        </w:tc>
      </w:tr>
      <w:tr w:rsidR="00DE5C38" w:rsidRPr="00A67F27" w14:paraId="01D40252" w14:textId="77777777" w:rsidTr="00A736A8">
        <w:trPr>
          <w:cantSplit/>
        </w:trPr>
        <w:tc>
          <w:tcPr>
            <w:tcW w:w="720" w:type="dxa"/>
            <w:tcBorders>
              <w:top w:val="nil"/>
              <w:left w:val="single" w:sz="6" w:space="0" w:color="auto"/>
              <w:bottom w:val="nil"/>
              <w:right w:val="nil"/>
            </w:tcBorders>
          </w:tcPr>
          <w:p w14:paraId="321EA063" w14:textId="77777777" w:rsidR="00DE5C38" w:rsidRPr="00A67F27" w:rsidRDefault="00DE5C38" w:rsidP="00893877">
            <w:pPr>
              <w:suppressAutoHyphens/>
              <w:spacing w:before="120" w:after="120"/>
              <w:rPr>
                <w:rFonts w:asciiTheme="majorBidi" w:hAnsiTheme="majorBidi" w:cstheme="majorBidi"/>
                <w:b/>
                <w:bCs/>
                <w:spacing w:val="-2"/>
                <w:sz w:val="20"/>
              </w:rPr>
            </w:pPr>
          </w:p>
        </w:tc>
        <w:tc>
          <w:tcPr>
            <w:tcW w:w="1900" w:type="dxa"/>
            <w:tcBorders>
              <w:top w:val="single" w:sz="6" w:space="0" w:color="auto"/>
              <w:left w:val="single" w:sz="6" w:space="0" w:color="auto"/>
              <w:bottom w:val="single" w:sz="6" w:space="0" w:color="auto"/>
              <w:right w:val="single" w:sz="6" w:space="0" w:color="auto"/>
            </w:tcBorders>
          </w:tcPr>
          <w:p w14:paraId="5BFBCC95" w14:textId="03EADD72" w:rsidR="00DE5C38" w:rsidRPr="00A67F27" w:rsidRDefault="00DE5C38" w:rsidP="00893877">
            <w:pPr>
              <w:spacing w:after="0"/>
              <w:ind w:left="0" w:firstLine="0"/>
              <w:jc w:val="left"/>
              <w:rPr>
                <w:rFonts w:asciiTheme="majorBidi" w:hAnsiTheme="majorBidi" w:cstheme="majorBidi"/>
                <w:b/>
                <w:sz w:val="20"/>
              </w:rPr>
            </w:pPr>
            <w:r w:rsidRPr="00A67F27">
              <w:rPr>
                <w:rFonts w:asciiTheme="majorBidi" w:hAnsiTheme="majorBidi" w:cstheme="majorBidi"/>
                <w:b/>
                <w:sz w:val="20"/>
              </w:rPr>
              <w:t>Programme de travail prévu pour ce poste</w:t>
            </w:r>
            <w:r w:rsidR="009B2302" w:rsidRPr="00A67F27">
              <w:rPr>
                <w:rFonts w:asciiTheme="majorBidi" w:hAnsiTheme="majorBidi" w:cstheme="majorBidi"/>
                <w:b/>
                <w:sz w:val="20"/>
              </w:rPr>
              <w:t> :</w:t>
            </w:r>
          </w:p>
        </w:tc>
        <w:tc>
          <w:tcPr>
            <w:tcW w:w="6470" w:type="dxa"/>
            <w:tcBorders>
              <w:top w:val="single" w:sz="6" w:space="0" w:color="auto"/>
              <w:left w:val="single" w:sz="6" w:space="0" w:color="auto"/>
              <w:bottom w:val="single" w:sz="6" w:space="0" w:color="auto"/>
              <w:right w:val="single" w:sz="6" w:space="0" w:color="auto"/>
            </w:tcBorders>
          </w:tcPr>
          <w:p w14:paraId="65E44911" w14:textId="77777777" w:rsidR="00DE5C38" w:rsidRPr="00A67F27" w:rsidRDefault="00DE5C38" w:rsidP="00893877">
            <w:pPr>
              <w:spacing w:after="0"/>
              <w:ind w:left="0" w:firstLine="0"/>
              <w:jc w:val="left"/>
              <w:rPr>
                <w:rFonts w:asciiTheme="majorBidi" w:hAnsiTheme="majorBidi" w:cstheme="majorBidi"/>
                <w:i/>
                <w:sz w:val="20"/>
              </w:rPr>
            </w:pPr>
            <w:r w:rsidRPr="00A67F27">
              <w:rPr>
                <w:rFonts w:asciiTheme="majorBidi" w:hAnsiTheme="majorBidi" w:cstheme="majorBidi"/>
                <w:sz w:val="20"/>
              </w:rPr>
              <w:t>[</w:t>
            </w:r>
            <w:r w:rsidRPr="00A67F27">
              <w:rPr>
                <w:rFonts w:asciiTheme="majorBidi" w:hAnsiTheme="majorBidi" w:cstheme="majorBidi"/>
                <w:i/>
                <w:sz w:val="20"/>
              </w:rPr>
              <w:t>insérer le programme d’activité prévu (par ex diagramme Gantt détaillé</w:t>
            </w:r>
            <w:r w:rsidRPr="00A67F27">
              <w:rPr>
                <w:rFonts w:asciiTheme="majorBidi" w:hAnsiTheme="majorBidi" w:cstheme="majorBidi"/>
                <w:sz w:val="20"/>
              </w:rPr>
              <w:t>]</w:t>
            </w:r>
          </w:p>
        </w:tc>
      </w:tr>
      <w:tr w:rsidR="00DE5C38" w:rsidRPr="00A67F27" w14:paraId="54ED78BE" w14:textId="77777777" w:rsidTr="00A736A8">
        <w:trPr>
          <w:cantSplit/>
        </w:trPr>
        <w:tc>
          <w:tcPr>
            <w:tcW w:w="720" w:type="dxa"/>
            <w:tcBorders>
              <w:top w:val="single" w:sz="6" w:space="0" w:color="auto"/>
              <w:left w:val="single" w:sz="6" w:space="0" w:color="auto"/>
              <w:bottom w:val="nil"/>
              <w:right w:val="nil"/>
            </w:tcBorders>
            <w:hideMark/>
          </w:tcPr>
          <w:p w14:paraId="3D69C1E8" w14:textId="77777777" w:rsidR="00DE5C38" w:rsidRPr="00A67F27" w:rsidRDefault="00DE5C38" w:rsidP="00893877">
            <w:pPr>
              <w:suppressAutoHyphens/>
              <w:spacing w:before="120" w:after="120"/>
              <w:rPr>
                <w:rFonts w:asciiTheme="majorBidi" w:hAnsiTheme="majorBidi" w:cstheme="majorBidi"/>
                <w:b/>
                <w:bCs/>
                <w:spacing w:val="-2"/>
                <w:sz w:val="20"/>
              </w:rPr>
            </w:pPr>
            <w:r w:rsidRPr="00A67F27">
              <w:rPr>
                <w:rFonts w:asciiTheme="majorBidi" w:hAnsiTheme="majorBidi" w:cstheme="majorBidi"/>
                <w:b/>
                <w:bCs/>
                <w:spacing w:val="-2"/>
                <w:sz w:val="20"/>
              </w:rPr>
              <w:t>5.</w:t>
            </w:r>
          </w:p>
        </w:tc>
        <w:tc>
          <w:tcPr>
            <w:tcW w:w="8370" w:type="dxa"/>
            <w:gridSpan w:val="2"/>
            <w:tcBorders>
              <w:top w:val="single" w:sz="6" w:space="0" w:color="auto"/>
              <w:left w:val="single" w:sz="6" w:space="0" w:color="auto"/>
              <w:bottom w:val="nil"/>
              <w:right w:val="single" w:sz="6" w:space="0" w:color="auto"/>
            </w:tcBorders>
            <w:hideMark/>
          </w:tcPr>
          <w:p w14:paraId="1D40AB04" w14:textId="3BEDCD40" w:rsidR="00DE5C38" w:rsidRPr="00A67F27" w:rsidRDefault="00DE5C38" w:rsidP="00893877">
            <w:pPr>
              <w:suppressAutoHyphens/>
              <w:spacing w:before="120" w:after="120"/>
              <w:rPr>
                <w:rFonts w:asciiTheme="majorBidi" w:hAnsiTheme="majorBidi" w:cstheme="majorBidi"/>
                <w:b/>
                <w:bCs/>
                <w:spacing w:val="-2"/>
                <w:sz w:val="20"/>
              </w:rPr>
            </w:pPr>
            <w:r w:rsidRPr="00A67F27">
              <w:rPr>
                <w:rFonts w:asciiTheme="majorBidi" w:hAnsiTheme="majorBidi" w:cstheme="majorBidi"/>
                <w:b/>
                <w:bCs/>
                <w:spacing w:val="-2"/>
                <w:sz w:val="20"/>
              </w:rPr>
              <w:t>Intitulé du poste</w:t>
            </w:r>
            <w:r w:rsidR="009B2302" w:rsidRPr="00A67F27">
              <w:rPr>
                <w:rFonts w:asciiTheme="majorBidi" w:hAnsiTheme="majorBidi" w:cstheme="majorBidi"/>
                <w:b/>
                <w:bCs/>
                <w:spacing w:val="-2"/>
                <w:sz w:val="20"/>
              </w:rPr>
              <w:t> :</w:t>
            </w:r>
            <w:r w:rsidRPr="00A67F27">
              <w:rPr>
                <w:rFonts w:asciiTheme="majorBidi" w:hAnsiTheme="majorBidi" w:cstheme="majorBidi"/>
                <w:b/>
                <w:bCs/>
                <w:spacing w:val="-2"/>
                <w:sz w:val="20"/>
              </w:rPr>
              <w:t xml:space="preserve"> …</w:t>
            </w:r>
          </w:p>
        </w:tc>
      </w:tr>
      <w:tr w:rsidR="00DE5C38" w:rsidRPr="00A67F27" w14:paraId="4C45D9EC" w14:textId="77777777" w:rsidTr="00A736A8">
        <w:trPr>
          <w:cantSplit/>
        </w:trPr>
        <w:tc>
          <w:tcPr>
            <w:tcW w:w="720" w:type="dxa"/>
            <w:tcBorders>
              <w:top w:val="nil"/>
              <w:left w:val="single" w:sz="6" w:space="0" w:color="auto"/>
              <w:bottom w:val="nil"/>
              <w:right w:val="nil"/>
            </w:tcBorders>
          </w:tcPr>
          <w:p w14:paraId="353DE505" w14:textId="77777777" w:rsidR="00DE5C38" w:rsidRPr="00A67F27" w:rsidRDefault="00DE5C38" w:rsidP="00893877">
            <w:pPr>
              <w:suppressAutoHyphens/>
              <w:spacing w:before="120" w:after="120"/>
              <w:rPr>
                <w:rFonts w:asciiTheme="majorBidi" w:hAnsiTheme="majorBidi" w:cstheme="majorBidi"/>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2287BC0C" w14:textId="58A49F2C" w:rsidR="00DE5C38" w:rsidRPr="00A67F27" w:rsidRDefault="00DE5C38" w:rsidP="00893877">
            <w:pPr>
              <w:suppressAutoHyphens/>
              <w:spacing w:before="120" w:after="120"/>
              <w:rPr>
                <w:rFonts w:asciiTheme="majorBidi" w:hAnsiTheme="majorBidi" w:cstheme="majorBidi"/>
                <w:b/>
                <w:bCs/>
                <w:spacing w:val="-2"/>
                <w:sz w:val="20"/>
              </w:rPr>
            </w:pPr>
            <w:r w:rsidRPr="00A67F27">
              <w:rPr>
                <w:rFonts w:asciiTheme="majorBidi" w:hAnsiTheme="majorBidi" w:cstheme="majorBidi"/>
                <w:b/>
                <w:bCs/>
                <w:spacing w:val="-2"/>
                <w:sz w:val="20"/>
              </w:rPr>
              <w:t>Nom du candidat</w:t>
            </w:r>
            <w:r w:rsidR="009B2302" w:rsidRPr="00A67F27">
              <w:rPr>
                <w:rFonts w:asciiTheme="majorBidi" w:hAnsiTheme="majorBidi" w:cstheme="majorBidi"/>
                <w:b/>
                <w:bCs/>
                <w:spacing w:val="-2"/>
                <w:sz w:val="20"/>
              </w:rPr>
              <w:t> :</w:t>
            </w:r>
            <w:r w:rsidRPr="00A67F27">
              <w:rPr>
                <w:rFonts w:asciiTheme="majorBidi" w:hAnsiTheme="majorBidi" w:cstheme="majorBidi"/>
                <w:b/>
                <w:bCs/>
                <w:spacing w:val="-2"/>
                <w:sz w:val="20"/>
              </w:rPr>
              <w:t xml:space="preserve"> </w:t>
            </w:r>
          </w:p>
        </w:tc>
      </w:tr>
      <w:tr w:rsidR="00DE5C38" w:rsidRPr="00A67F27" w14:paraId="4E30FBC8" w14:textId="77777777" w:rsidTr="00A736A8">
        <w:trPr>
          <w:cantSplit/>
        </w:trPr>
        <w:tc>
          <w:tcPr>
            <w:tcW w:w="720" w:type="dxa"/>
            <w:tcBorders>
              <w:top w:val="nil"/>
              <w:left w:val="single" w:sz="6" w:space="0" w:color="auto"/>
              <w:bottom w:val="nil"/>
              <w:right w:val="nil"/>
            </w:tcBorders>
          </w:tcPr>
          <w:p w14:paraId="2EC60A1A" w14:textId="77777777" w:rsidR="00DE5C38" w:rsidRPr="00A67F27" w:rsidRDefault="00DE5C38" w:rsidP="00893877">
            <w:pPr>
              <w:suppressAutoHyphens/>
              <w:spacing w:before="120" w:after="120"/>
              <w:rPr>
                <w:rFonts w:asciiTheme="majorBidi" w:hAnsiTheme="majorBidi" w:cstheme="majorBidi"/>
                <w:b/>
                <w:bCs/>
                <w:spacing w:val="-2"/>
                <w:sz w:val="20"/>
              </w:rPr>
            </w:pPr>
          </w:p>
        </w:tc>
        <w:tc>
          <w:tcPr>
            <w:tcW w:w="1900" w:type="dxa"/>
            <w:tcBorders>
              <w:top w:val="single" w:sz="6" w:space="0" w:color="auto"/>
              <w:left w:val="single" w:sz="6" w:space="0" w:color="auto"/>
              <w:bottom w:val="nil"/>
              <w:right w:val="single" w:sz="6" w:space="0" w:color="auto"/>
            </w:tcBorders>
          </w:tcPr>
          <w:p w14:paraId="7E7E5957" w14:textId="195860CC" w:rsidR="00DE5C38" w:rsidRPr="00A67F27" w:rsidRDefault="00DE5C38" w:rsidP="00893877">
            <w:pPr>
              <w:spacing w:after="0"/>
              <w:ind w:left="0" w:firstLine="0"/>
              <w:jc w:val="left"/>
              <w:rPr>
                <w:rFonts w:asciiTheme="majorBidi" w:hAnsiTheme="majorBidi" w:cstheme="majorBidi"/>
                <w:b/>
                <w:sz w:val="20"/>
              </w:rPr>
            </w:pPr>
            <w:r w:rsidRPr="00A67F27">
              <w:rPr>
                <w:rFonts w:asciiTheme="majorBidi" w:hAnsiTheme="majorBidi" w:cstheme="majorBidi"/>
                <w:b/>
                <w:sz w:val="20"/>
              </w:rPr>
              <w:t>Durée d’emploi</w:t>
            </w:r>
            <w:r w:rsidR="009B2302" w:rsidRPr="00A67F27">
              <w:rPr>
                <w:rFonts w:asciiTheme="majorBidi" w:hAnsiTheme="majorBidi" w:cstheme="majorBidi"/>
                <w:b/>
                <w:sz w:val="20"/>
              </w:rPr>
              <w:t> :</w:t>
            </w:r>
          </w:p>
        </w:tc>
        <w:tc>
          <w:tcPr>
            <w:tcW w:w="6470" w:type="dxa"/>
            <w:tcBorders>
              <w:top w:val="single" w:sz="6" w:space="0" w:color="auto"/>
              <w:left w:val="single" w:sz="6" w:space="0" w:color="auto"/>
              <w:bottom w:val="nil"/>
              <w:right w:val="single" w:sz="6" w:space="0" w:color="auto"/>
            </w:tcBorders>
          </w:tcPr>
          <w:p w14:paraId="50364CE6" w14:textId="77777777" w:rsidR="00DE5C38" w:rsidRPr="00A67F27" w:rsidRDefault="00DE5C38" w:rsidP="00893877">
            <w:pPr>
              <w:spacing w:after="0"/>
              <w:ind w:left="0" w:firstLine="0"/>
              <w:jc w:val="left"/>
              <w:rPr>
                <w:rFonts w:asciiTheme="majorBidi" w:hAnsiTheme="majorBidi" w:cstheme="majorBidi"/>
                <w:i/>
                <w:sz w:val="20"/>
              </w:rPr>
            </w:pPr>
            <w:r w:rsidRPr="00A67F27">
              <w:rPr>
                <w:rFonts w:asciiTheme="majorBidi" w:hAnsiTheme="majorBidi" w:cstheme="majorBidi"/>
                <w:i/>
                <w:sz w:val="20"/>
              </w:rPr>
              <w:t>[insérer la période (dates de début et de fin) pendant laquelle cette position serait dotée]</w:t>
            </w:r>
          </w:p>
        </w:tc>
      </w:tr>
      <w:tr w:rsidR="00DE5C38" w:rsidRPr="00A67F27" w14:paraId="758B4800" w14:textId="77777777" w:rsidTr="00893877">
        <w:trPr>
          <w:cantSplit/>
        </w:trPr>
        <w:tc>
          <w:tcPr>
            <w:tcW w:w="720" w:type="dxa"/>
            <w:tcBorders>
              <w:top w:val="nil"/>
              <w:left w:val="single" w:sz="6" w:space="0" w:color="auto"/>
              <w:right w:val="nil"/>
            </w:tcBorders>
          </w:tcPr>
          <w:p w14:paraId="4837F488" w14:textId="77777777" w:rsidR="00DE5C38" w:rsidRPr="00A67F27" w:rsidRDefault="00DE5C38" w:rsidP="00893877">
            <w:pPr>
              <w:suppressAutoHyphens/>
              <w:spacing w:before="120" w:after="120"/>
              <w:rPr>
                <w:rFonts w:asciiTheme="majorBidi" w:hAnsiTheme="majorBidi" w:cstheme="majorBidi"/>
                <w:b/>
                <w:bCs/>
                <w:spacing w:val="-2"/>
                <w:sz w:val="20"/>
              </w:rPr>
            </w:pPr>
          </w:p>
        </w:tc>
        <w:tc>
          <w:tcPr>
            <w:tcW w:w="1900" w:type="dxa"/>
            <w:tcBorders>
              <w:top w:val="single" w:sz="6" w:space="0" w:color="auto"/>
              <w:left w:val="single" w:sz="6" w:space="0" w:color="auto"/>
              <w:bottom w:val="nil"/>
              <w:right w:val="single" w:sz="6" w:space="0" w:color="auto"/>
            </w:tcBorders>
          </w:tcPr>
          <w:p w14:paraId="25ACED2F" w14:textId="2FC66A57" w:rsidR="00DE5C38" w:rsidRPr="00A67F27" w:rsidRDefault="00DE5C38" w:rsidP="00893877">
            <w:pPr>
              <w:spacing w:after="0"/>
              <w:ind w:left="0" w:firstLine="0"/>
              <w:jc w:val="left"/>
              <w:rPr>
                <w:rFonts w:asciiTheme="majorBidi" w:hAnsiTheme="majorBidi" w:cstheme="majorBidi"/>
                <w:b/>
                <w:sz w:val="20"/>
              </w:rPr>
            </w:pPr>
            <w:r w:rsidRPr="00A67F27">
              <w:rPr>
                <w:rFonts w:asciiTheme="majorBidi" w:hAnsiTheme="majorBidi" w:cstheme="majorBidi"/>
                <w:b/>
                <w:sz w:val="20"/>
              </w:rPr>
              <w:t xml:space="preserve">Durée de travail </w:t>
            </w:r>
            <w:r w:rsidR="00AE5101" w:rsidRPr="00A67F27">
              <w:rPr>
                <w:rFonts w:asciiTheme="majorBidi" w:hAnsiTheme="majorBidi" w:cstheme="majorBidi"/>
                <w:b/>
                <w:sz w:val="20"/>
              </w:rPr>
              <w:t>prévue</w:t>
            </w:r>
            <w:r w:rsidRPr="00A67F27">
              <w:rPr>
                <w:rFonts w:asciiTheme="majorBidi" w:hAnsiTheme="majorBidi" w:cstheme="majorBidi"/>
                <w:b/>
                <w:sz w:val="20"/>
              </w:rPr>
              <w:t xml:space="preserve"> pour ce poste</w:t>
            </w:r>
            <w:r w:rsidR="009B2302" w:rsidRPr="00A67F27">
              <w:rPr>
                <w:rFonts w:asciiTheme="majorBidi" w:hAnsiTheme="majorBidi" w:cstheme="majorBidi"/>
                <w:b/>
                <w:sz w:val="20"/>
              </w:rPr>
              <w:t> :</w:t>
            </w:r>
          </w:p>
        </w:tc>
        <w:tc>
          <w:tcPr>
            <w:tcW w:w="6470" w:type="dxa"/>
            <w:tcBorders>
              <w:top w:val="single" w:sz="6" w:space="0" w:color="auto"/>
              <w:left w:val="single" w:sz="6" w:space="0" w:color="auto"/>
              <w:bottom w:val="nil"/>
              <w:right w:val="single" w:sz="6" w:space="0" w:color="auto"/>
            </w:tcBorders>
          </w:tcPr>
          <w:p w14:paraId="7613ED80" w14:textId="77777777" w:rsidR="00DE5C38" w:rsidRPr="00A67F27" w:rsidRDefault="00DE5C38" w:rsidP="00893877">
            <w:pPr>
              <w:spacing w:after="0"/>
              <w:ind w:left="0" w:firstLine="0"/>
              <w:jc w:val="left"/>
              <w:rPr>
                <w:rFonts w:asciiTheme="majorBidi" w:hAnsiTheme="majorBidi" w:cstheme="majorBidi"/>
                <w:i/>
                <w:sz w:val="20"/>
              </w:rPr>
            </w:pPr>
            <w:r w:rsidRPr="00A67F27">
              <w:rPr>
                <w:rFonts w:asciiTheme="majorBidi" w:hAnsiTheme="majorBidi" w:cstheme="majorBidi"/>
                <w:i/>
                <w:sz w:val="20"/>
              </w:rPr>
              <w:t>[insérer le nombre de jours/semaines/mois prévus pour la position</w:t>
            </w:r>
            <w:r w:rsidRPr="00A67F27">
              <w:rPr>
                <w:rFonts w:asciiTheme="majorBidi" w:hAnsiTheme="majorBidi" w:cstheme="majorBidi"/>
                <w:sz w:val="20"/>
              </w:rPr>
              <w:t>]</w:t>
            </w:r>
          </w:p>
        </w:tc>
      </w:tr>
      <w:tr w:rsidR="00DE5C38" w:rsidRPr="00A67F27" w14:paraId="5D7C3C17" w14:textId="77777777" w:rsidTr="00893877">
        <w:trPr>
          <w:cantSplit/>
        </w:trPr>
        <w:tc>
          <w:tcPr>
            <w:tcW w:w="720" w:type="dxa"/>
            <w:tcBorders>
              <w:top w:val="nil"/>
              <w:left w:val="single" w:sz="6" w:space="0" w:color="auto"/>
              <w:bottom w:val="single" w:sz="4" w:space="0" w:color="auto"/>
              <w:right w:val="nil"/>
            </w:tcBorders>
          </w:tcPr>
          <w:p w14:paraId="7B56159E" w14:textId="77777777" w:rsidR="00DE5C38" w:rsidRPr="00A67F27" w:rsidRDefault="00DE5C38" w:rsidP="00893877">
            <w:pPr>
              <w:suppressAutoHyphens/>
              <w:spacing w:before="120" w:after="120"/>
              <w:rPr>
                <w:rFonts w:asciiTheme="majorBidi" w:hAnsiTheme="majorBidi" w:cstheme="majorBidi"/>
                <w:b/>
                <w:bCs/>
                <w:spacing w:val="-2"/>
                <w:sz w:val="20"/>
              </w:rPr>
            </w:pPr>
          </w:p>
        </w:tc>
        <w:tc>
          <w:tcPr>
            <w:tcW w:w="1900" w:type="dxa"/>
            <w:tcBorders>
              <w:top w:val="single" w:sz="6" w:space="0" w:color="auto"/>
              <w:left w:val="single" w:sz="6" w:space="0" w:color="auto"/>
              <w:bottom w:val="single" w:sz="6" w:space="0" w:color="auto"/>
              <w:right w:val="single" w:sz="6" w:space="0" w:color="auto"/>
            </w:tcBorders>
          </w:tcPr>
          <w:p w14:paraId="308844B6" w14:textId="5EF52716" w:rsidR="00DE5C38" w:rsidRPr="00A67F27" w:rsidRDefault="00DE5C38" w:rsidP="00893877">
            <w:pPr>
              <w:spacing w:after="0"/>
              <w:ind w:left="0" w:firstLine="0"/>
              <w:jc w:val="left"/>
              <w:rPr>
                <w:rFonts w:asciiTheme="majorBidi" w:hAnsiTheme="majorBidi" w:cstheme="majorBidi"/>
                <w:b/>
                <w:sz w:val="20"/>
              </w:rPr>
            </w:pPr>
            <w:r w:rsidRPr="00A67F27">
              <w:rPr>
                <w:rFonts w:asciiTheme="majorBidi" w:hAnsiTheme="majorBidi" w:cstheme="majorBidi"/>
                <w:b/>
                <w:sz w:val="20"/>
              </w:rPr>
              <w:t>Programme de travail prévu pour ce poste</w:t>
            </w:r>
            <w:r w:rsidR="009B2302" w:rsidRPr="00A67F27">
              <w:rPr>
                <w:rFonts w:asciiTheme="majorBidi" w:hAnsiTheme="majorBidi" w:cstheme="majorBidi"/>
                <w:b/>
                <w:sz w:val="20"/>
              </w:rPr>
              <w:t> :</w:t>
            </w:r>
          </w:p>
        </w:tc>
        <w:tc>
          <w:tcPr>
            <w:tcW w:w="6470" w:type="dxa"/>
            <w:tcBorders>
              <w:top w:val="single" w:sz="6" w:space="0" w:color="auto"/>
              <w:left w:val="single" w:sz="6" w:space="0" w:color="auto"/>
              <w:bottom w:val="single" w:sz="6" w:space="0" w:color="auto"/>
              <w:right w:val="single" w:sz="6" w:space="0" w:color="auto"/>
            </w:tcBorders>
          </w:tcPr>
          <w:p w14:paraId="76C0CCC3" w14:textId="77777777" w:rsidR="00DE5C38" w:rsidRPr="00A67F27" w:rsidRDefault="00DE5C38" w:rsidP="00893877">
            <w:pPr>
              <w:spacing w:after="0"/>
              <w:ind w:left="0" w:firstLine="0"/>
              <w:jc w:val="left"/>
              <w:rPr>
                <w:rFonts w:asciiTheme="majorBidi" w:hAnsiTheme="majorBidi" w:cstheme="majorBidi"/>
                <w:i/>
                <w:sz w:val="20"/>
              </w:rPr>
            </w:pPr>
            <w:r w:rsidRPr="00A67F27">
              <w:rPr>
                <w:rFonts w:asciiTheme="majorBidi" w:hAnsiTheme="majorBidi" w:cstheme="majorBidi"/>
                <w:sz w:val="20"/>
              </w:rPr>
              <w:t>[</w:t>
            </w:r>
            <w:r w:rsidRPr="00A67F27">
              <w:rPr>
                <w:rFonts w:asciiTheme="majorBidi" w:hAnsiTheme="majorBidi" w:cstheme="majorBidi"/>
                <w:i/>
                <w:sz w:val="20"/>
              </w:rPr>
              <w:t>insérer le programme d’activité prévu (par ex diagramme Gantt détaillé</w:t>
            </w:r>
            <w:r w:rsidRPr="00A67F27">
              <w:rPr>
                <w:rFonts w:asciiTheme="majorBidi" w:hAnsiTheme="majorBidi" w:cstheme="majorBidi"/>
                <w:sz w:val="20"/>
              </w:rPr>
              <w:t>]</w:t>
            </w:r>
          </w:p>
        </w:tc>
      </w:tr>
    </w:tbl>
    <w:p w14:paraId="0D695A2C" w14:textId="77777777" w:rsidR="00DE5C38" w:rsidRPr="00A67F27" w:rsidRDefault="00DE5C38" w:rsidP="00DE5C38">
      <w:pPr>
        <w:tabs>
          <w:tab w:val="left" w:pos="2127"/>
        </w:tabs>
        <w:spacing w:before="120" w:after="120"/>
        <w:rPr>
          <w:rFonts w:asciiTheme="majorBidi" w:hAnsiTheme="majorBidi" w:cstheme="majorBidi"/>
        </w:rPr>
      </w:pPr>
    </w:p>
    <w:p w14:paraId="1DB5107F" w14:textId="77777777" w:rsidR="00DE5C38" w:rsidRPr="00A67F27" w:rsidRDefault="00DE5C38" w:rsidP="00E14206">
      <w:pPr>
        <w:pStyle w:val="S4-Header2"/>
        <w:rPr>
          <w:lang w:val="fr-FR"/>
        </w:rPr>
      </w:pPr>
      <w:r w:rsidRPr="00A67F27">
        <w:rPr>
          <w:rStyle w:val="Table"/>
          <w:rFonts w:asciiTheme="majorBidi" w:hAnsiTheme="majorBidi" w:cstheme="majorBidi"/>
          <w:spacing w:val="-2"/>
          <w:lang w:val="fr-FR"/>
        </w:rPr>
        <w:br w:type="page"/>
      </w:r>
      <w:bookmarkStart w:id="492" w:name="_Toc487641618"/>
      <w:r w:rsidRPr="00A67F27">
        <w:rPr>
          <w:lang w:val="fr-FR"/>
        </w:rPr>
        <w:lastRenderedPageBreak/>
        <w:t>Modèle PER-2</w:t>
      </w:r>
      <w:bookmarkEnd w:id="492"/>
    </w:p>
    <w:p w14:paraId="464688B1" w14:textId="5B532B6D" w:rsidR="00DE5C38" w:rsidRPr="00A67F27" w:rsidRDefault="00DE5C38" w:rsidP="00E14206">
      <w:pPr>
        <w:pStyle w:val="SectionVHeading2"/>
        <w:spacing w:before="0" w:after="0"/>
        <w:ind w:left="0" w:firstLine="0"/>
        <w:rPr>
          <w:bCs/>
          <w:color w:val="000000"/>
          <w:lang w:val="fr-FR"/>
        </w:rPr>
      </w:pPr>
      <w:r w:rsidRPr="00A67F27">
        <w:rPr>
          <w:bCs/>
          <w:color w:val="000000"/>
          <w:lang w:val="fr-FR"/>
        </w:rPr>
        <w:t xml:space="preserve">Curriculum Vitae et </w:t>
      </w:r>
      <w:r w:rsidR="00E14206" w:rsidRPr="00A67F27">
        <w:rPr>
          <w:bCs/>
          <w:color w:val="000000"/>
          <w:lang w:val="fr-FR"/>
        </w:rPr>
        <w:br/>
      </w:r>
      <w:r w:rsidRPr="00A67F27">
        <w:rPr>
          <w:bCs/>
          <w:color w:val="000000"/>
          <w:lang w:val="fr-FR"/>
        </w:rPr>
        <w:t xml:space="preserve">déclaration du Personnel </w:t>
      </w:r>
    </w:p>
    <w:p w14:paraId="4FC786C6" w14:textId="77777777" w:rsidR="00E14206" w:rsidRPr="00A67F27" w:rsidRDefault="00E14206" w:rsidP="00E14206">
      <w:pPr>
        <w:pStyle w:val="SectionVHeading2"/>
        <w:spacing w:before="0" w:after="0"/>
        <w:ind w:left="0" w:firstLine="0"/>
        <w:rPr>
          <w:bCs/>
          <w:color w:val="000000"/>
          <w:lang w:val="fr-FR"/>
        </w:rPr>
      </w:pPr>
    </w:p>
    <w:tbl>
      <w:tblPr>
        <w:tblW w:w="9090" w:type="dxa"/>
        <w:tblInd w:w="72" w:type="dxa"/>
        <w:tblLayout w:type="fixed"/>
        <w:tblCellMar>
          <w:left w:w="72" w:type="dxa"/>
          <w:right w:w="72" w:type="dxa"/>
        </w:tblCellMar>
        <w:tblLook w:val="0000" w:firstRow="0" w:lastRow="0" w:firstColumn="0" w:lastColumn="0" w:noHBand="0" w:noVBand="0"/>
      </w:tblPr>
      <w:tblGrid>
        <w:gridCol w:w="9090"/>
      </w:tblGrid>
      <w:tr w:rsidR="00DE5C38" w:rsidRPr="00A67F27" w14:paraId="406765C2" w14:textId="77777777" w:rsidTr="00A736A8">
        <w:trPr>
          <w:cantSplit/>
        </w:trPr>
        <w:tc>
          <w:tcPr>
            <w:tcW w:w="9090" w:type="dxa"/>
            <w:tcBorders>
              <w:top w:val="single" w:sz="6" w:space="0" w:color="auto"/>
              <w:left w:val="single" w:sz="6" w:space="0" w:color="auto"/>
              <w:bottom w:val="single" w:sz="6" w:space="0" w:color="auto"/>
              <w:right w:val="single" w:sz="6" w:space="0" w:color="auto"/>
            </w:tcBorders>
          </w:tcPr>
          <w:p w14:paraId="1AF6BCC1" w14:textId="77777777" w:rsidR="00DE5C38" w:rsidRPr="005C1A32" w:rsidRDefault="00DE5C38" w:rsidP="00A736A8">
            <w:pPr>
              <w:suppressAutoHyphens/>
              <w:spacing w:before="60" w:after="60"/>
              <w:rPr>
                <w:rStyle w:val="Table"/>
                <w:rFonts w:asciiTheme="majorBidi" w:hAnsiTheme="majorBidi" w:cstheme="majorBidi"/>
                <w:b/>
                <w:bCs/>
                <w:iCs/>
                <w:spacing w:val="-2"/>
              </w:rPr>
            </w:pPr>
            <w:r w:rsidRPr="00A67F27">
              <w:rPr>
                <w:rStyle w:val="Table"/>
                <w:rFonts w:asciiTheme="majorBidi" w:hAnsiTheme="majorBidi" w:cstheme="majorBidi"/>
                <w:b/>
                <w:bCs/>
                <w:iCs/>
                <w:spacing w:val="-2"/>
              </w:rPr>
              <w:t>Nom du Soumissionnaire</w:t>
            </w:r>
          </w:p>
          <w:p w14:paraId="06B3F269" w14:textId="77777777" w:rsidR="00DE5C38" w:rsidRPr="00A67F27" w:rsidRDefault="00DE5C38" w:rsidP="00A736A8">
            <w:pPr>
              <w:suppressAutoHyphens/>
              <w:spacing w:before="60" w:after="60"/>
              <w:rPr>
                <w:rStyle w:val="Table"/>
                <w:rFonts w:asciiTheme="majorBidi" w:hAnsiTheme="majorBidi" w:cstheme="majorBidi"/>
                <w:b/>
                <w:bCs/>
                <w:iCs/>
                <w:spacing w:val="-2"/>
              </w:rPr>
            </w:pPr>
          </w:p>
        </w:tc>
      </w:tr>
    </w:tbl>
    <w:p w14:paraId="59B7A57B" w14:textId="77777777" w:rsidR="00DE5C38" w:rsidRPr="00A67F27" w:rsidRDefault="00DE5C38" w:rsidP="00DE5C38">
      <w:pPr>
        <w:suppressAutoHyphens/>
        <w:spacing w:before="120" w:after="120"/>
        <w:rPr>
          <w:rStyle w:val="Table"/>
          <w:rFonts w:asciiTheme="majorBidi" w:hAnsiTheme="majorBidi" w:cstheme="majorBidi"/>
          <w:b/>
          <w:bCs/>
          <w:iCs/>
          <w:spacing w:val="-2"/>
          <w:sz w:val="24"/>
        </w:rPr>
      </w:pPr>
    </w:p>
    <w:tbl>
      <w:tblPr>
        <w:tblW w:w="9090" w:type="dxa"/>
        <w:tblLayout w:type="fixed"/>
        <w:tblCellMar>
          <w:left w:w="72" w:type="dxa"/>
          <w:right w:w="72" w:type="dxa"/>
        </w:tblCellMar>
        <w:tblLook w:val="0000" w:firstRow="0" w:lastRow="0" w:firstColumn="0" w:lastColumn="0" w:noHBand="0" w:noVBand="0"/>
      </w:tblPr>
      <w:tblGrid>
        <w:gridCol w:w="1692"/>
        <w:gridCol w:w="3699"/>
        <w:gridCol w:w="9"/>
        <w:gridCol w:w="3690"/>
      </w:tblGrid>
      <w:tr w:rsidR="00DE5C38" w:rsidRPr="00A67F27" w14:paraId="66EBBC6E" w14:textId="77777777" w:rsidTr="00A736A8">
        <w:trPr>
          <w:cantSplit/>
        </w:trPr>
        <w:tc>
          <w:tcPr>
            <w:tcW w:w="9090" w:type="dxa"/>
            <w:gridSpan w:val="4"/>
            <w:tcBorders>
              <w:top w:val="single" w:sz="6" w:space="0" w:color="auto"/>
              <w:left w:val="single" w:sz="6" w:space="0" w:color="auto"/>
              <w:right w:val="single" w:sz="6" w:space="0" w:color="auto"/>
            </w:tcBorders>
          </w:tcPr>
          <w:p w14:paraId="75545000" w14:textId="79BBEDAE" w:rsidR="00DE5C38" w:rsidRPr="00A67F27" w:rsidRDefault="00DE5C38" w:rsidP="00A736A8">
            <w:pPr>
              <w:suppressAutoHyphens/>
              <w:spacing w:before="60" w:after="60"/>
              <w:rPr>
                <w:rStyle w:val="Table"/>
                <w:rFonts w:asciiTheme="majorBidi" w:hAnsiTheme="majorBidi" w:cstheme="majorBidi"/>
                <w:b/>
                <w:bCs/>
                <w:i/>
                <w:iCs/>
                <w:spacing w:val="-2"/>
              </w:rPr>
            </w:pPr>
            <w:r w:rsidRPr="00A67F27">
              <w:rPr>
                <w:rStyle w:val="Table"/>
                <w:rFonts w:asciiTheme="majorBidi" w:hAnsiTheme="majorBidi" w:cstheme="majorBidi"/>
                <w:b/>
                <w:bCs/>
                <w:iCs/>
                <w:spacing w:val="-2"/>
              </w:rPr>
              <w:t xml:space="preserve">Poste </w:t>
            </w:r>
            <w:r w:rsidRPr="00A67F27">
              <w:rPr>
                <w:rStyle w:val="Table"/>
                <w:rFonts w:asciiTheme="majorBidi" w:hAnsiTheme="majorBidi" w:cstheme="majorBidi"/>
                <w:b/>
                <w:bCs/>
                <w:i/>
                <w:iCs/>
                <w:spacing w:val="-2"/>
              </w:rPr>
              <w:t>[#1]</w:t>
            </w:r>
            <w:r w:rsidR="009B2302" w:rsidRPr="00A67F27">
              <w:rPr>
                <w:rStyle w:val="Table"/>
                <w:rFonts w:asciiTheme="majorBidi" w:hAnsiTheme="majorBidi" w:cstheme="majorBidi"/>
                <w:b/>
                <w:bCs/>
                <w:i/>
                <w:iCs/>
                <w:spacing w:val="-2"/>
              </w:rPr>
              <w:t> :</w:t>
            </w:r>
            <w:r w:rsidRPr="00A67F27">
              <w:rPr>
                <w:rStyle w:val="Table"/>
                <w:rFonts w:asciiTheme="majorBidi" w:hAnsiTheme="majorBidi" w:cstheme="majorBidi"/>
                <w:b/>
                <w:bCs/>
                <w:i/>
                <w:iCs/>
                <w:spacing w:val="-2"/>
              </w:rPr>
              <w:t xml:space="preserve"> [intitulé du poste selon Formulaire PER-1]</w:t>
            </w:r>
          </w:p>
          <w:p w14:paraId="3E8DF48E" w14:textId="77777777" w:rsidR="00DE5C38" w:rsidRPr="00A67F27" w:rsidRDefault="00DE5C38" w:rsidP="00A736A8">
            <w:pPr>
              <w:tabs>
                <w:tab w:val="left" w:pos="1638"/>
                <w:tab w:val="left" w:pos="1998"/>
              </w:tabs>
              <w:suppressAutoHyphens/>
              <w:spacing w:before="60" w:after="60"/>
              <w:ind w:left="378" w:hanging="378"/>
              <w:rPr>
                <w:rStyle w:val="Table"/>
                <w:rFonts w:asciiTheme="majorBidi" w:hAnsiTheme="majorBidi" w:cstheme="majorBidi"/>
                <w:b/>
                <w:bCs/>
                <w:iCs/>
                <w:spacing w:val="-2"/>
              </w:rPr>
            </w:pPr>
          </w:p>
        </w:tc>
      </w:tr>
      <w:tr w:rsidR="00DE5C38" w:rsidRPr="00A67F27" w14:paraId="260DB3E8" w14:textId="77777777" w:rsidTr="00C15AC0">
        <w:trPr>
          <w:cantSplit/>
        </w:trPr>
        <w:tc>
          <w:tcPr>
            <w:tcW w:w="1692" w:type="dxa"/>
            <w:tcBorders>
              <w:top w:val="single" w:sz="6" w:space="0" w:color="auto"/>
              <w:left w:val="single" w:sz="6" w:space="0" w:color="auto"/>
              <w:bottom w:val="single" w:sz="4" w:space="0" w:color="auto"/>
            </w:tcBorders>
          </w:tcPr>
          <w:p w14:paraId="7CA8C7C9" w14:textId="0E8F22D6" w:rsidR="00DE5C38" w:rsidRPr="00A67F27" w:rsidRDefault="00DE5C38" w:rsidP="00C15AC0">
            <w:pPr>
              <w:suppressAutoHyphens/>
              <w:spacing w:before="60" w:after="60"/>
              <w:ind w:left="0" w:firstLine="0"/>
              <w:rPr>
                <w:rStyle w:val="Table"/>
                <w:rFonts w:asciiTheme="majorBidi" w:hAnsiTheme="majorBidi" w:cstheme="majorBidi"/>
                <w:b/>
                <w:bCs/>
                <w:iCs/>
                <w:spacing w:val="-2"/>
              </w:rPr>
            </w:pPr>
            <w:r w:rsidRPr="00A67F27">
              <w:rPr>
                <w:rStyle w:val="Table"/>
                <w:rFonts w:asciiTheme="majorBidi" w:hAnsiTheme="majorBidi" w:cstheme="majorBidi"/>
                <w:b/>
                <w:bCs/>
                <w:iCs/>
                <w:spacing w:val="-2"/>
              </w:rPr>
              <w:t xml:space="preserve">Information sur </w:t>
            </w:r>
            <w:r w:rsidR="00C15AC0" w:rsidRPr="00A67F27">
              <w:rPr>
                <w:rStyle w:val="Table"/>
                <w:rFonts w:asciiTheme="majorBidi" w:hAnsiTheme="majorBidi" w:cstheme="majorBidi"/>
                <w:b/>
                <w:bCs/>
                <w:iCs/>
                <w:spacing w:val="-2"/>
              </w:rPr>
              <w:br/>
            </w:r>
            <w:r w:rsidRPr="00A67F27">
              <w:rPr>
                <w:rStyle w:val="Table"/>
                <w:rFonts w:asciiTheme="majorBidi" w:hAnsiTheme="majorBidi" w:cstheme="majorBidi"/>
                <w:b/>
                <w:bCs/>
                <w:iCs/>
                <w:spacing w:val="-2"/>
              </w:rPr>
              <w:t xml:space="preserve">le Personnel </w:t>
            </w:r>
          </w:p>
        </w:tc>
        <w:tc>
          <w:tcPr>
            <w:tcW w:w="3708" w:type="dxa"/>
            <w:gridSpan w:val="2"/>
            <w:tcBorders>
              <w:top w:val="single" w:sz="6" w:space="0" w:color="auto"/>
              <w:left w:val="single" w:sz="6" w:space="0" w:color="auto"/>
            </w:tcBorders>
          </w:tcPr>
          <w:p w14:paraId="72056593" w14:textId="77777777" w:rsidR="00DE5C38" w:rsidRPr="00A67F27" w:rsidRDefault="00DE5C38" w:rsidP="00A736A8">
            <w:pPr>
              <w:suppressAutoHyphens/>
              <w:spacing w:before="60" w:after="60"/>
              <w:rPr>
                <w:rStyle w:val="Table"/>
                <w:rFonts w:asciiTheme="majorBidi" w:hAnsiTheme="majorBidi" w:cstheme="majorBidi"/>
                <w:b/>
                <w:bCs/>
                <w:iCs/>
                <w:spacing w:val="-2"/>
              </w:rPr>
            </w:pPr>
            <w:r w:rsidRPr="00A67F27">
              <w:rPr>
                <w:rStyle w:val="Table"/>
                <w:rFonts w:asciiTheme="majorBidi" w:hAnsiTheme="majorBidi" w:cstheme="majorBidi"/>
                <w:b/>
                <w:bCs/>
                <w:iCs/>
                <w:spacing w:val="-2"/>
              </w:rPr>
              <w:t xml:space="preserve">Nom </w:t>
            </w:r>
          </w:p>
          <w:p w14:paraId="5416A679" w14:textId="77777777" w:rsidR="00DE5C38" w:rsidRPr="00A67F27" w:rsidRDefault="00DE5C38" w:rsidP="00A736A8">
            <w:pPr>
              <w:suppressAutoHyphens/>
              <w:spacing w:before="60" w:after="60"/>
              <w:rPr>
                <w:rStyle w:val="Table"/>
                <w:rFonts w:asciiTheme="majorBidi" w:hAnsiTheme="majorBidi" w:cstheme="majorBidi"/>
                <w:b/>
                <w:bCs/>
                <w:iCs/>
                <w:spacing w:val="-2"/>
              </w:rPr>
            </w:pPr>
          </w:p>
        </w:tc>
        <w:tc>
          <w:tcPr>
            <w:tcW w:w="3690" w:type="dxa"/>
            <w:tcBorders>
              <w:top w:val="single" w:sz="6" w:space="0" w:color="auto"/>
              <w:left w:val="single" w:sz="6" w:space="0" w:color="auto"/>
              <w:right w:val="single" w:sz="6" w:space="0" w:color="auto"/>
            </w:tcBorders>
          </w:tcPr>
          <w:p w14:paraId="03FD435B" w14:textId="77777777" w:rsidR="00DE5C38" w:rsidRPr="00A67F27" w:rsidRDefault="00DE5C38" w:rsidP="00A736A8">
            <w:pPr>
              <w:suppressAutoHyphens/>
              <w:spacing w:before="60" w:after="60"/>
              <w:rPr>
                <w:rStyle w:val="Table"/>
                <w:rFonts w:asciiTheme="majorBidi" w:hAnsiTheme="majorBidi" w:cstheme="majorBidi"/>
                <w:b/>
                <w:bCs/>
                <w:iCs/>
                <w:spacing w:val="-2"/>
              </w:rPr>
            </w:pPr>
            <w:r w:rsidRPr="00A67F27">
              <w:rPr>
                <w:rStyle w:val="Table"/>
                <w:rFonts w:asciiTheme="majorBidi" w:hAnsiTheme="majorBidi" w:cstheme="majorBidi"/>
                <w:b/>
                <w:bCs/>
                <w:iCs/>
                <w:spacing w:val="-2"/>
              </w:rPr>
              <w:t>Date de naissance</w:t>
            </w:r>
          </w:p>
        </w:tc>
      </w:tr>
      <w:tr w:rsidR="00DE5C38" w:rsidRPr="00A67F27" w14:paraId="38D1B829" w14:textId="77777777" w:rsidTr="00C15AC0">
        <w:trPr>
          <w:cantSplit/>
        </w:trPr>
        <w:tc>
          <w:tcPr>
            <w:tcW w:w="1692" w:type="dxa"/>
            <w:tcBorders>
              <w:top w:val="single" w:sz="4" w:space="0" w:color="auto"/>
              <w:left w:val="single" w:sz="6" w:space="0" w:color="auto"/>
              <w:bottom w:val="single" w:sz="4" w:space="0" w:color="auto"/>
            </w:tcBorders>
          </w:tcPr>
          <w:p w14:paraId="76BB8772" w14:textId="77777777" w:rsidR="00DE5C38" w:rsidRPr="00A67F27" w:rsidRDefault="00DE5C38" w:rsidP="00A736A8">
            <w:pPr>
              <w:suppressAutoHyphens/>
              <w:spacing w:before="60" w:after="60"/>
              <w:rPr>
                <w:rStyle w:val="Table"/>
                <w:rFonts w:asciiTheme="majorBidi" w:hAnsiTheme="majorBidi" w:cstheme="majorBidi"/>
                <w:b/>
                <w:bCs/>
                <w:iCs/>
                <w:spacing w:val="-2"/>
              </w:rPr>
            </w:pPr>
          </w:p>
        </w:tc>
        <w:tc>
          <w:tcPr>
            <w:tcW w:w="3699" w:type="dxa"/>
            <w:tcBorders>
              <w:top w:val="single" w:sz="6" w:space="0" w:color="auto"/>
              <w:left w:val="single" w:sz="6" w:space="0" w:color="auto"/>
              <w:right w:val="single" w:sz="6" w:space="0" w:color="auto"/>
            </w:tcBorders>
          </w:tcPr>
          <w:p w14:paraId="13481B26" w14:textId="6C5B9C98" w:rsidR="00DE5C38" w:rsidRPr="00A67F27" w:rsidRDefault="00DE5C38" w:rsidP="00A736A8">
            <w:pPr>
              <w:suppressAutoHyphens/>
              <w:spacing w:before="60" w:after="60"/>
              <w:rPr>
                <w:rStyle w:val="Table"/>
                <w:rFonts w:asciiTheme="majorBidi" w:hAnsiTheme="majorBidi" w:cstheme="majorBidi"/>
                <w:b/>
                <w:bCs/>
                <w:iCs/>
                <w:spacing w:val="-2"/>
              </w:rPr>
            </w:pPr>
            <w:r w:rsidRPr="00A67F27">
              <w:rPr>
                <w:rStyle w:val="Table"/>
                <w:rFonts w:asciiTheme="majorBidi" w:hAnsiTheme="majorBidi" w:cstheme="majorBidi"/>
                <w:b/>
                <w:bCs/>
                <w:iCs/>
                <w:spacing w:val="-2"/>
              </w:rPr>
              <w:t>Adresse</w:t>
            </w:r>
            <w:r w:rsidR="009B2302" w:rsidRPr="00A67F27">
              <w:rPr>
                <w:rStyle w:val="Table"/>
                <w:rFonts w:asciiTheme="majorBidi" w:hAnsiTheme="majorBidi" w:cstheme="majorBidi"/>
                <w:b/>
                <w:bCs/>
                <w:iCs/>
                <w:spacing w:val="-2"/>
              </w:rPr>
              <w:t> :</w:t>
            </w:r>
          </w:p>
          <w:p w14:paraId="504648A9" w14:textId="77777777" w:rsidR="00DE5C38" w:rsidRPr="00A67F27" w:rsidRDefault="00DE5C38" w:rsidP="00A736A8">
            <w:pPr>
              <w:suppressAutoHyphens/>
              <w:spacing w:before="60" w:after="60"/>
              <w:rPr>
                <w:rStyle w:val="Table"/>
                <w:rFonts w:asciiTheme="majorBidi" w:hAnsiTheme="majorBidi" w:cstheme="majorBidi"/>
                <w:b/>
                <w:bCs/>
                <w:iCs/>
                <w:spacing w:val="-2"/>
              </w:rPr>
            </w:pPr>
          </w:p>
        </w:tc>
        <w:tc>
          <w:tcPr>
            <w:tcW w:w="3699" w:type="dxa"/>
            <w:gridSpan w:val="2"/>
            <w:tcBorders>
              <w:top w:val="single" w:sz="6" w:space="0" w:color="auto"/>
              <w:left w:val="single" w:sz="6" w:space="0" w:color="auto"/>
              <w:right w:val="single" w:sz="6" w:space="0" w:color="auto"/>
            </w:tcBorders>
          </w:tcPr>
          <w:p w14:paraId="335E5CA7" w14:textId="5FD6F288" w:rsidR="00DE5C38" w:rsidRPr="00A67F27" w:rsidRDefault="00DE5C38" w:rsidP="00A736A8">
            <w:pPr>
              <w:suppressAutoHyphens/>
              <w:spacing w:before="60" w:after="60"/>
              <w:rPr>
                <w:rStyle w:val="Table"/>
                <w:rFonts w:asciiTheme="majorBidi" w:hAnsiTheme="majorBidi" w:cstheme="majorBidi"/>
                <w:b/>
                <w:bCs/>
                <w:iCs/>
                <w:spacing w:val="-2"/>
              </w:rPr>
            </w:pPr>
            <w:r w:rsidRPr="00A67F27">
              <w:rPr>
                <w:rStyle w:val="Table"/>
                <w:rFonts w:asciiTheme="majorBidi" w:hAnsiTheme="majorBidi" w:cstheme="majorBidi"/>
                <w:b/>
                <w:bCs/>
                <w:iCs/>
                <w:spacing w:val="-2"/>
              </w:rPr>
              <w:t>Courriel</w:t>
            </w:r>
            <w:r w:rsidR="009B2302" w:rsidRPr="00A67F27">
              <w:rPr>
                <w:rStyle w:val="Table"/>
                <w:rFonts w:asciiTheme="majorBidi" w:hAnsiTheme="majorBidi" w:cstheme="majorBidi"/>
                <w:b/>
                <w:bCs/>
                <w:iCs/>
                <w:spacing w:val="-2"/>
              </w:rPr>
              <w:t> :</w:t>
            </w:r>
          </w:p>
          <w:p w14:paraId="461543AA" w14:textId="77777777" w:rsidR="00DE5C38" w:rsidRPr="00A67F27" w:rsidRDefault="00DE5C38" w:rsidP="00A736A8">
            <w:pPr>
              <w:suppressAutoHyphens/>
              <w:spacing w:before="60" w:after="60"/>
              <w:rPr>
                <w:rStyle w:val="Table"/>
                <w:rFonts w:asciiTheme="majorBidi" w:hAnsiTheme="majorBidi" w:cstheme="majorBidi"/>
                <w:b/>
                <w:bCs/>
                <w:iCs/>
                <w:spacing w:val="-2"/>
              </w:rPr>
            </w:pPr>
          </w:p>
        </w:tc>
      </w:tr>
      <w:tr w:rsidR="00DE5C38" w:rsidRPr="00A67F27" w14:paraId="067C6A7A" w14:textId="77777777" w:rsidTr="00C15AC0">
        <w:trPr>
          <w:cantSplit/>
        </w:trPr>
        <w:tc>
          <w:tcPr>
            <w:tcW w:w="1692" w:type="dxa"/>
            <w:tcBorders>
              <w:top w:val="single" w:sz="4" w:space="0" w:color="auto"/>
              <w:left w:val="single" w:sz="6" w:space="0" w:color="auto"/>
            </w:tcBorders>
          </w:tcPr>
          <w:p w14:paraId="6092C9D8" w14:textId="77777777" w:rsidR="00DE5C38" w:rsidRPr="00A67F27" w:rsidRDefault="00DE5C38" w:rsidP="00A736A8">
            <w:pPr>
              <w:suppressAutoHyphens/>
              <w:spacing w:before="60" w:after="60"/>
              <w:rPr>
                <w:rStyle w:val="Table"/>
                <w:rFonts w:asciiTheme="majorBidi" w:hAnsiTheme="majorBidi" w:cstheme="majorBidi"/>
                <w:b/>
                <w:bCs/>
                <w:iCs/>
                <w:spacing w:val="-2"/>
              </w:rPr>
            </w:pPr>
          </w:p>
        </w:tc>
        <w:tc>
          <w:tcPr>
            <w:tcW w:w="7398" w:type="dxa"/>
            <w:gridSpan w:val="3"/>
            <w:tcBorders>
              <w:top w:val="single" w:sz="6" w:space="0" w:color="auto"/>
              <w:left w:val="single" w:sz="6" w:space="0" w:color="auto"/>
              <w:right w:val="single" w:sz="6" w:space="0" w:color="auto"/>
            </w:tcBorders>
          </w:tcPr>
          <w:p w14:paraId="7A565236" w14:textId="77777777" w:rsidR="00DE5C38" w:rsidRPr="00A67F27" w:rsidRDefault="00DE5C38" w:rsidP="00A736A8">
            <w:pPr>
              <w:suppressAutoHyphens/>
              <w:spacing w:before="60" w:after="60"/>
              <w:rPr>
                <w:rStyle w:val="Table"/>
                <w:rFonts w:asciiTheme="majorBidi" w:hAnsiTheme="majorBidi" w:cstheme="majorBidi"/>
                <w:b/>
                <w:bCs/>
                <w:iCs/>
                <w:spacing w:val="-2"/>
              </w:rPr>
            </w:pPr>
            <w:r w:rsidRPr="00A67F27">
              <w:rPr>
                <w:rStyle w:val="Table"/>
                <w:rFonts w:asciiTheme="majorBidi" w:hAnsiTheme="majorBidi" w:cstheme="majorBidi"/>
                <w:b/>
                <w:bCs/>
                <w:iCs/>
                <w:spacing w:val="-2"/>
              </w:rPr>
              <w:t xml:space="preserve">Qualifications professionnelles </w:t>
            </w:r>
          </w:p>
          <w:p w14:paraId="5C9CCD4A" w14:textId="77777777" w:rsidR="00DE5C38" w:rsidRPr="00A67F27" w:rsidRDefault="00DE5C38" w:rsidP="00A736A8">
            <w:pPr>
              <w:suppressAutoHyphens/>
              <w:spacing w:before="60" w:after="60"/>
              <w:rPr>
                <w:rStyle w:val="Table"/>
                <w:rFonts w:asciiTheme="majorBidi" w:hAnsiTheme="majorBidi" w:cstheme="majorBidi"/>
                <w:b/>
                <w:bCs/>
                <w:iCs/>
                <w:spacing w:val="-2"/>
              </w:rPr>
            </w:pPr>
          </w:p>
        </w:tc>
      </w:tr>
      <w:tr w:rsidR="00DE5C38" w:rsidRPr="00A67F27" w14:paraId="285B574C" w14:textId="77777777" w:rsidTr="00A736A8">
        <w:trPr>
          <w:cantSplit/>
        </w:trPr>
        <w:tc>
          <w:tcPr>
            <w:tcW w:w="1692" w:type="dxa"/>
            <w:tcBorders>
              <w:left w:val="single" w:sz="6" w:space="0" w:color="auto"/>
            </w:tcBorders>
          </w:tcPr>
          <w:p w14:paraId="6E0D6E95" w14:textId="77777777" w:rsidR="00DE5C38" w:rsidRPr="00A67F27" w:rsidRDefault="00DE5C38" w:rsidP="00A736A8">
            <w:pPr>
              <w:suppressAutoHyphens/>
              <w:spacing w:before="60" w:after="60"/>
              <w:rPr>
                <w:rStyle w:val="Table"/>
                <w:rFonts w:asciiTheme="majorBidi" w:hAnsiTheme="majorBidi" w:cstheme="majorBidi"/>
                <w:b/>
                <w:bCs/>
                <w:iCs/>
                <w:spacing w:val="-2"/>
              </w:rPr>
            </w:pPr>
          </w:p>
        </w:tc>
        <w:tc>
          <w:tcPr>
            <w:tcW w:w="7398" w:type="dxa"/>
            <w:gridSpan w:val="3"/>
            <w:tcBorders>
              <w:top w:val="single" w:sz="6" w:space="0" w:color="auto"/>
              <w:left w:val="single" w:sz="6" w:space="0" w:color="auto"/>
              <w:right w:val="single" w:sz="6" w:space="0" w:color="auto"/>
            </w:tcBorders>
          </w:tcPr>
          <w:p w14:paraId="1458470A" w14:textId="77777777" w:rsidR="00DE5C38" w:rsidRPr="00A67F27" w:rsidRDefault="00DE5C38" w:rsidP="00A736A8">
            <w:pPr>
              <w:suppressAutoHyphens/>
              <w:spacing w:before="60" w:after="60"/>
              <w:rPr>
                <w:rStyle w:val="Table"/>
                <w:rFonts w:asciiTheme="majorBidi" w:hAnsiTheme="majorBidi" w:cstheme="majorBidi"/>
                <w:b/>
                <w:bCs/>
                <w:iCs/>
                <w:spacing w:val="-2"/>
              </w:rPr>
            </w:pPr>
            <w:r w:rsidRPr="00A67F27">
              <w:rPr>
                <w:rStyle w:val="Table"/>
                <w:rFonts w:asciiTheme="majorBidi" w:hAnsiTheme="majorBidi" w:cstheme="majorBidi"/>
                <w:b/>
                <w:bCs/>
                <w:iCs/>
                <w:spacing w:val="-2"/>
              </w:rPr>
              <w:t>Formation académique</w:t>
            </w:r>
          </w:p>
          <w:p w14:paraId="19A9F652" w14:textId="77777777" w:rsidR="00DE5C38" w:rsidRPr="00A67F27" w:rsidRDefault="00DE5C38" w:rsidP="00A736A8">
            <w:pPr>
              <w:suppressAutoHyphens/>
              <w:spacing w:before="60" w:after="60"/>
              <w:rPr>
                <w:rStyle w:val="Table"/>
                <w:rFonts w:asciiTheme="majorBidi" w:hAnsiTheme="majorBidi" w:cstheme="majorBidi"/>
                <w:b/>
                <w:bCs/>
                <w:iCs/>
                <w:spacing w:val="-2"/>
              </w:rPr>
            </w:pPr>
          </w:p>
        </w:tc>
      </w:tr>
      <w:tr w:rsidR="00DE5C38" w:rsidRPr="00A67F27" w14:paraId="5FD596A8" w14:textId="77777777" w:rsidTr="00A736A8">
        <w:trPr>
          <w:cantSplit/>
        </w:trPr>
        <w:tc>
          <w:tcPr>
            <w:tcW w:w="1692" w:type="dxa"/>
            <w:tcBorders>
              <w:left w:val="single" w:sz="6" w:space="0" w:color="auto"/>
            </w:tcBorders>
          </w:tcPr>
          <w:p w14:paraId="5330B83A" w14:textId="77777777" w:rsidR="00DE5C38" w:rsidRPr="00A67F27" w:rsidRDefault="00DE5C38" w:rsidP="00A736A8">
            <w:pPr>
              <w:suppressAutoHyphens/>
              <w:spacing w:before="60" w:after="60"/>
              <w:rPr>
                <w:rStyle w:val="Table"/>
                <w:rFonts w:asciiTheme="majorBidi" w:hAnsiTheme="majorBidi" w:cstheme="majorBidi"/>
                <w:b/>
                <w:bCs/>
                <w:iCs/>
                <w:spacing w:val="-2"/>
              </w:rPr>
            </w:pPr>
          </w:p>
        </w:tc>
        <w:tc>
          <w:tcPr>
            <w:tcW w:w="7398" w:type="dxa"/>
            <w:gridSpan w:val="3"/>
            <w:tcBorders>
              <w:top w:val="single" w:sz="6" w:space="0" w:color="auto"/>
              <w:left w:val="single" w:sz="6" w:space="0" w:color="auto"/>
              <w:right w:val="single" w:sz="6" w:space="0" w:color="auto"/>
            </w:tcBorders>
          </w:tcPr>
          <w:p w14:paraId="0F187D10" w14:textId="63A65011" w:rsidR="00DE5C38" w:rsidRPr="00A67F27" w:rsidRDefault="00DE5C38" w:rsidP="00A736A8">
            <w:pPr>
              <w:suppressAutoHyphens/>
              <w:spacing w:before="60" w:after="60"/>
              <w:rPr>
                <w:rStyle w:val="Table"/>
                <w:rFonts w:asciiTheme="majorBidi" w:hAnsiTheme="majorBidi" w:cstheme="majorBidi"/>
                <w:bCs/>
                <w:i/>
                <w:iCs/>
                <w:spacing w:val="-2"/>
              </w:rPr>
            </w:pPr>
            <w:r w:rsidRPr="00A67F27">
              <w:rPr>
                <w:rStyle w:val="Table"/>
                <w:rFonts w:asciiTheme="majorBidi" w:hAnsiTheme="majorBidi" w:cstheme="majorBidi"/>
                <w:b/>
                <w:bCs/>
                <w:iCs/>
                <w:spacing w:val="-2"/>
              </w:rPr>
              <w:t>Connaissance linguistique</w:t>
            </w:r>
            <w:r w:rsidR="009B2302" w:rsidRPr="00A67F27">
              <w:rPr>
                <w:rStyle w:val="Table"/>
                <w:rFonts w:asciiTheme="majorBidi" w:hAnsiTheme="majorBidi" w:cstheme="majorBidi"/>
                <w:b/>
                <w:bCs/>
                <w:iCs/>
                <w:spacing w:val="-2"/>
              </w:rPr>
              <w:t> :</w:t>
            </w:r>
            <w:r w:rsidRPr="00A67F27">
              <w:rPr>
                <w:rStyle w:val="Table"/>
                <w:rFonts w:asciiTheme="majorBidi" w:hAnsiTheme="majorBidi" w:cstheme="majorBidi"/>
                <w:b/>
                <w:bCs/>
                <w:iCs/>
                <w:spacing w:val="-2"/>
              </w:rPr>
              <w:t xml:space="preserve"> </w:t>
            </w:r>
            <w:r w:rsidRPr="00A67F27">
              <w:rPr>
                <w:rStyle w:val="Table"/>
                <w:rFonts w:asciiTheme="majorBidi" w:hAnsiTheme="majorBidi" w:cstheme="majorBidi"/>
                <w:bCs/>
                <w:i/>
                <w:iCs/>
                <w:spacing w:val="-2"/>
              </w:rPr>
              <w:t>[langue et niveau oral, lecture et écriture]</w:t>
            </w:r>
          </w:p>
          <w:p w14:paraId="3982892F" w14:textId="77777777" w:rsidR="00DE5C38" w:rsidRPr="00A67F27" w:rsidRDefault="00DE5C38" w:rsidP="00A736A8">
            <w:pPr>
              <w:suppressAutoHyphens/>
              <w:spacing w:before="60" w:after="60"/>
              <w:rPr>
                <w:rStyle w:val="Table"/>
                <w:rFonts w:asciiTheme="majorBidi" w:hAnsiTheme="majorBidi" w:cstheme="majorBidi"/>
                <w:b/>
                <w:bCs/>
                <w:iCs/>
                <w:spacing w:val="-2"/>
              </w:rPr>
            </w:pPr>
          </w:p>
        </w:tc>
      </w:tr>
      <w:tr w:rsidR="00DE5C38" w:rsidRPr="00A67F27" w14:paraId="4FE8F6FB" w14:textId="77777777" w:rsidTr="00A736A8">
        <w:trPr>
          <w:cantSplit/>
        </w:trPr>
        <w:tc>
          <w:tcPr>
            <w:tcW w:w="1692" w:type="dxa"/>
            <w:tcBorders>
              <w:top w:val="single" w:sz="6" w:space="0" w:color="auto"/>
              <w:left w:val="single" w:sz="6" w:space="0" w:color="auto"/>
            </w:tcBorders>
          </w:tcPr>
          <w:p w14:paraId="200188EB" w14:textId="7C64605A" w:rsidR="00DE5C38" w:rsidRPr="00A67F27" w:rsidRDefault="00DE5C38" w:rsidP="00A736A8">
            <w:pPr>
              <w:suppressAutoHyphens/>
              <w:spacing w:before="60" w:after="60"/>
              <w:rPr>
                <w:rStyle w:val="Table"/>
                <w:rFonts w:asciiTheme="majorBidi" w:hAnsiTheme="majorBidi" w:cstheme="majorBidi"/>
                <w:b/>
                <w:bCs/>
                <w:iCs/>
                <w:spacing w:val="-2"/>
              </w:rPr>
            </w:pPr>
            <w:r w:rsidRPr="00A67F27">
              <w:rPr>
                <w:rStyle w:val="Table"/>
                <w:rFonts w:asciiTheme="majorBidi" w:hAnsiTheme="majorBidi" w:cstheme="majorBidi"/>
                <w:b/>
                <w:bCs/>
                <w:iCs/>
                <w:spacing w:val="-2"/>
              </w:rPr>
              <w:t>Détails</w:t>
            </w:r>
          </w:p>
        </w:tc>
        <w:tc>
          <w:tcPr>
            <w:tcW w:w="7398" w:type="dxa"/>
            <w:gridSpan w:val="3"/>
            <w:tcBorders>
              <w:top w:val="single" w:sz="6" w:space="0" w:color="auto"/>
              <w:left w:val="single" w:sz="6" w:space="0" w:color="auto"/>
              <w:right w:val="single" w:sz="6" w:space="0" w:color="auto"/>
            </w:tcBorders>
          </w:tcPr>
          <w:p w14:paraId="75EE69B2" w14:textId="77777777" w:rsidR="00DE5C38" w:rsidRPr="00A67F27" w:rsidRDefault="00DE5C38" w:rsidP="00A736A8">
            <w:pPr>
              <w:suppressAutoHyphens/>
              <w:spacing w:before="60" w:after="60"/>
              <w:rPr>
                <w:rStyle w:val="Table"/>
                <w:rFonts w:asciiTheme="majorBidi" w:hAnsiTheme="majorBidi" w:cstheme="majorBidi"/>
                <w:b/>
                <w:bCs/>
                <w:iCs/>
                <w:spacing w:val="-2"/>
              </w:rPr>
            </w:pPr>
            <w:r w:rsidRPr="00A67F27">
              <w:rPr>
                <w:rStyle w:val="Table"/>
                <w:rFonts w:asciiTheme="majorBidi" w:hAnsiTheme="majorBidi" w:cstheme="majorBidi"/>
                <w:b/>
                <w:bCs/>
                <w:iCs/>
                <w:spacing w:val="-2"/>
              </w:rPr>
              <w:t>Nom de l’employeur</w:t>
            </w:r>
          </w:p>
          <w:p w14:paraId="5659D90F" w14:textId="77777777" w:rsidR="00DE5C38" w:rsidRPr="00A67F27" w:rsidRDefault="00DE5C38" w:rsidP="00A736A8">
            <w:pPr>
              <w:suppressAutoHyphens/>
              <w:spacing w:before="60" w:after="60"/>
              <w:rPr>
                <w:rStyle w:val="Table"/>
                <w:rFonts w:asciiTheme="majorBidi" w:hAnsiTheme="majorBidi" w:cstheme="majorBidi"/>
                <w:b/>
                <w:bCs/>
                <w:iCs/>
                <w:spacing w:val="-2"/>
              </w:rPr>
            </w:pPr>
          </w:p>
        </w:tc>
      </w:tr>
      <w:tr w:rsidR="00DE5C38" w:rsidRPr="00A67F27" w14:paraId="748035EA" w14:textId="77777777" w:rsidTr="00A736A8">
        <w:trPr>
          <w:cantSplit/>
        </w:trPr>
        <w:tc>
          <w:tcPr>
            <w:tcW w:w="1692" w:type="dxa"/>
            <w:tcBorders>
              <w:left w:val="single" w:sz="6" w:space="0" w:color="auto"/>
            </w:tcBorders>
          </w:tcPr>
          <w:p w14:paraId="3757CF8E" w14:textId="77777777" w:rsidR="00DE5C38" w:rsidRPr="00A67F27" w:rsidRDefault="00DE5C38" w:rsidP="00A736A8">
            <w:pPr>
              <w:suppressAutoHyphens/>
              <w:spacing w:before="60" w:after="60"/>
              <w:rPr>
                <w:rStyle w:val="Table"/>
                <w:rFonts w:asciiTheme="majorBidi" w:hAnsiTheme="majorBidi" w:cstheme="majorBidi"/>
                <w:b/>
                <w:bCs/>
                <w:iCs/>
                <w:spacing w:val="-2"/>
              </w:rPr>
            </w:pPr>
          </w:p>
        </w:tc>
        <w:tc>
          <w:tcPr>
            <w:tcW w:w="7398" w:type="dxa"/>
            <w:gridSpan w:val="3"/>
            <w:tcBorders>
              <w:top w:val="single" w:sz="6" w:space="0" w:color="auto"/>
              <w:left w:val="single" w:sz="6" w:space="0" w:color="auto"/>
              <w:right w:val="single" w:sz="6" w:space="0" w:color="auto"/>
            </w:tcBorders>
          </w:tcPr>
          <w:p w14:paraId="3EC2424B" w14:textId="77777777" w:rsidR="00DE5C38" w:rsidRPr="00A67F27" w:rsidRDefault="00DE5C38" w:rsidP="00A736A8">
            <w:pPr>
              <w:suppressAutoHyphens/>
              <w:spacing w:before="60" w:after="60"/>
              <w:rPr>
                <w:rStyle w:val="Table"/>
                <w:rFonts w:asciiTheme="majorBidi" w:hAnsiTheme="majorBidi" w:cstheme="majorBidi"/>
                <w:b/>
                <w:bCs/>
                <w:iCs/>
                <w:spacing w:val="-2"/>
              </w:rPr>
            </w:pPr>
            <w:r w:rsidRPr="00A67F27">
              <w:rPr>
                <w:rStyle w:val="Table"/>
                <w:rFonts w:asciiTheme="majorBidi" w:hAnsiTheme="majorBidi" w:cstheme="majorBidi"/>
                <w:b/>
                <w:bCs/>
                <w:iCs/>
                <w:spacing w:val="-2"/>
              </w:rPr>
              <w:t>Adresse de l’employeur</w:t>
            </w:r>
          </w:p>
          <w:p w14:paraId="3D760A91" w14:textId="77777777" w:rsidR="00DE5C38" w:rsidRPr="00A67F27" w:rsidRDefault="00DE5C38" w:rsidP="00A736A8">
            <w:pPr>
              <w:suppressAutoHyphens/>
              <w:spacing w:before="60" w:after="60"/>
              <w:rPr>
                <w:rStyle w:val="Table"/>
                <w:rFonts w:asciiTheme="majorBidi" w:hAnsiTheme="majorBidi" w:cstheme="majorBidi"/>
                <w:b/>
                <w:bCs/>
                <w:iCs/>
                <w:spacing w:val="-2"/>
              </w:rPr>
            </w:pPr>
          </w:p>
        </w:tc>
      </w:tr>
      <w:tr w:rsidR="00DE5C38" w:rsidRPr="00A67F27" w14:paraId="237C5041" w14:textId="77777777" w:rsidTr="00C15AC0">
        <w:trPr>
          <w:cantSplit/>
          <w:trHeight w:val="901"/>
        </w:trPr>
        <w:tc>
          <w:tcPr>
            <w:tcW w:w="1692" w:type="dxa"/>
            <w:tcBorders>
              <w:left w:val="single" w:sz="6" w:space="0" w:color="auto"/>
            </w:tcBorders>
          </w:tcPr>
          <w:p w14:paraId="75A138A8" w14:textId="77777777" w:rsidR="00DE5C38" w:rsidRPr="00A67F27" w:rsidRDefault="00DE5C38" w:rsidP="00A736A8">
            <w:pPr>
              <w:suppressAutoHyphens/>
              <w:spacing w:before="60" w:after="60"/>
              <w:rPr>
                <w:rStyle w:val="Table"/>
                <w:rFonts w:asciiTheme="majorBidi" w:hAnsiTheme="majorBidi" w:cstheme="majorBidi"/>
                <w:b/>
                <w:bCs/>
                <w:iCs/>
                <w:spacing w:val="-2"/>
              </w:rPr>
            </w:pPr>
          </w:p>
        </w:tc>
        <w:tc>
          <w:tcPr>
            <w:tcW w:w="3708" w:type="dxa"/>
            <w:gridSpan w:val="2"/>
            <w:tcBorders>
              <w:top w:val="single" w:sz="6" w:space="0" w:color="auto"/>
              <w:left w:val="single" w:sz="6" w:space="0" w:color="auto"/>
            </w:tcBorders>
          </w:tcPr>
          <w:p w14:paraId="45077F8A" w14:textId="77777777" w:rsidR="00DE5C38" w:rsidRPr="00A67F27" w:rsidRDefault="00DE5C38" w:rsidP="00A736A8">
            <w:pPr>
              <w:suppressAutoHyphens/>
              <w:spacing w:before="60" w:after="60"/>
              <w:rPr>
                <w:rStyle w:val="Table"/>
                <w:rFonts w:asciiTheme="majorBidi" w:hAnsiTheme="majorBidi" w:cstheme="majorBidi"/>
                <w:b/>
                <w:bCs/>
                <w:iCs/>
                <w:spacing w:val="-2"/>
              </w:rPr>
            </w:pPr>
            <w:r w:rsidRPr="00A67F27">
              <w:rPr>
                <w:rStyle w:val="Table"/>
                <w:rFonts w:asciiTheme="majorBidi" w:hAnsiTheme="majorBidi" w:cstheme="majorBidi"/>
                <w:b/>
                <w:bCs/>
                <w:iCs/>
                <w:spacing w:val="-2"/>
              </w:rPr>
              <w:t>Téléphone</w:t>
            </w:r>
          </w:p>
          <w:p w14:paraId="4BB4AA5F" w14:textId="77777777" w:rsidR="00DE5C38" w:rsidRPr="00A67F27" w:rsidRDefault="00DE5C38" w:rsidP="00A736A8">
            <w:pPr>
              <w:suppressAutoHyphens/>
              <w:spacing w:before="60" w:after="60"/>
              <w:rPr>
                <w:rStyle w:val="Table"/>
                <w:rFonts w:asciiTheme="majorBidi" w:hAnsiTheme="majorBidi" w:cstheme="majorBidi"/>
                <w:b/>
                <w:bCs/>
                <w:iCs/>
                <w:spacing w:val="-2"/>
              </w:rPr>
            </w:pPr>
          </w:p>
        </w:tc>
        <w:tc>
          <w:tcPr>
            <w:tcW w:w="3690" w:type="dxa"/>
            <w:tcBorders>
              <w:top w:val="single" w:sz="6" w:space="0" w:color="auto"/>
              <w:left w:val="single" w:sz="6" w:space="0" w:color="auto"/>
              <w:right w:val="single" w:sz="6" w:space="0" w:color="auto"/>
            </w:tcBorders>
          </w:tcPr>
          <w:p w14:paraId="6CF8E529" w14:textId="77777777" w:rsidR="00DE5C38" w:rsidRPr="00A67F27" w:rsidRDefault="00DE5C38" w:rsidP="00C15AC0">
            <w:pPr>
              <w:suppressAutoHyphens/>
              <w:spacing w:before="60" w:after="60"/>
              <w:ind w:left="-21" w:firstLine="0"/>
              <w:jc w:val="left"/>
              <w:rPr>
                <w:rStyle w:val="Table"/>
                <w:rFonts w:asciiTheme="majorBidi" w:hAnsiTheme="majorBidi" w:cstheme="majorBidi"/>
                <w:b/>
                <w:bCs/>
                <w:iCs/>
                <w:spacing w:val="-2"/>
              </w:rPr>
            </w:pPr>
            <w:r w:rsidRPr="00A67F27">
              <w:rPr>
                <w:rStyle w:val="Table"/>
                <w:rFonts w:asciiTheme="majorBidi" w:hAnsiTheme="majorBidi" w:cstheme="majorBidi"/>
                <w:b/>
                <w:bCs/>
                <w:iCs/>
                <w:spacing w:val="-2"/>
              </w:rPr>
              <w:t>Contact (directeur / responsable du personnel)</w:t>
            </w:r>
          </w:p>
        </w:tc>
      </w:tr>
      <w:tr w:rsidR="00DE5C38" w:rsidRPr="00A67F27" w14:paraId="5C287AD0" w14:textId="77777777" w:rsidTr="00A736A8">
        <w:trPr>
          <w:cantSplit/>
        </w:trPr>
        <w:tc>
          <w:tcPr>
            <w:tcW w:w="1692" w:type="dxa"/>
            <w:tcBorders>
              <w:left w:val="single" w:sz="6" w:space="0" w:color="auto"/>
            </w:tcBorders>
          </w:tcPr>
          <w:p w14:paraId="731F98EA" w14:textId="77777777" w:rsidR="00DE5C38" w:rsidRPr="00A67F27" w:rsidRDefault="00DE5C38" w:rsidP="00A736A8">
            <w:pPr>
              <w:suppressAutoHyphens/>
              <w:spacing w:before="60" w:after="60"/>
              <w:rPr>
                <w:rStyle w:val="Table"/>
                <w:rFonts w:asciiTheme="majorBidi" w:hAnsiTheme="majorBidi" w:cstheme="majorBidi"/>
                <w:b/>
                <w:bCs/>
                <w:iCs/>
                <w:spacing w:val="-2"/>
              </w:rPr>
            </w:pPr>
          </w:p>
        </w:tc>
        <w:tc>
          <w:tcPr>
            <w:tcW w:w="3708" w:type="dxa"/>
            <w:gridSpan w:val="2"/>
            <w:tcBorders>
              <w:top w:val="single" w:sz="6" w:space="0" w:color="auto"/>
              <w:left w:val="single" w:sz="6" w:space="0" w:color="auto"/>
            </w:tcBorders>
          </w:tcPr>
          <w:p w14:paraId="1E3A37E7" w14:textId="77777777" w:rsidR="00DE5C38" w:rsidRPr="00A67F27" w:rsidRDefault="00DE5C38" w:rsidP="00A736A8">
            <w:pPr>
              <w:suppressAutoHyphens/>
              <w:spacing w:before="60" w:after="60"/>
              <w:rPr>
                <w:rStyle w:val="Table"/>
                <w:rFonts w:asciiTheme="majorBidi" w:hAnsiTheme="majorBidi" w:cstheme="majorBidi"/>
                <w:b/>
                <w:bCs/>
                <w:iCs/>
                <w:spacing w:val="-2"/>
              </w:rPr>
            </w:pPr>
            <w:r w:rsidRPr="00A67F27">
              <w:rPr>
                <w:rStyle w:val="Table"/>
                <w:rFonts w:asciiTheme="majorBidi" w:hAnsiTheme="majorBidi" w:cstheme="majorBidi"/>
                <w:b/>
                <w:bCs/>
                <w:iCs/>
                <w:spacing w:val="-2"/>
              </w:rPr>
              <w:t>Fax</w:t>
            </w:r>
          </w:p>
          <w:p w14:paraId="3A7F6C2A" w14:textId="77777777" w:rsidR="00DE5C38" w:rsidRPr="00A67F27" w:rsidRDefault="00DE5C38" w:rsidP="00A736A8">
            <w:pPr>
              <w:suppressAutoHyphens/>
              <w:spacing w:before="60" w:after="60"/>
              <w:rPr>
                <w:rStyle w:val="Table"/>
                <w:rFonts w:asciiTheme="majorBidi" w:hAnsiTheme="majorBidi" w:cstheme="majorBidi"/>
                <w:b/>
                <w:bCs/>
                <w:iCs/>
                <w:spacing w:val="-2"/>
              </w:rPr>
            </w:pPr>
          </w:p>
        </w:tc>
        <w:tc>
          <w:tcPr>
            <w:tcW w:w="3690" w:type="dxa"/>
            <w:tcBorders>
              <w:top w:val="single" w:sz="6" w:space="0" w:color="auto"/>
              <w:left w:val="single" w:sz="6" w:space="0" w:color="auto"/>
              <w:right w:val="single" w:sz="6" w:space="0" w:color="auto"/>
            </w:tcBorders>
          </w:tcPr>
          <w:p w14:paraId="45655987" w14:textId="31D145F9" w:rsidR="00DE5C38" w:rsidRPr="00A67F27" w:rsidRDefault="00DE5C38" w:rsidP="00A736A8">
            <w:pPr>
              <w:suppressAutoHyphens/>
              <w:spacing w:before="60" w:after="60"/>
              <w:rPr>
                <w:rStyle w:val="Table"/>
                <w:rFonts w:asciiTheme="majorBidi" w:hAnsiTheme="majorBidi" w:cstheme="majorBidi"/>
                <w:b/>
                <w:bCs/>
                <w:iCs/>
                <w:spacing w:val="-2"/>
              </w:rPr>
            </w:pPr>
          </w:p>
        </w:tc>
      </w:tr>
      <w:tr w:rsidR="00DE5C38" w:rsidRPr="00A67F27" w14:paraId="206B042A" w14:textId="77777777" w:rsidTr="00A736A8">
        <w:trPr>
          <w:cantSplit/>
        </w:trPr>
        <w:tc>
          <w:tcPr>
            <w:tcW w:w="1692" w:type="dxa"/>
            <w:tcBorders>
              <w:left w:val="single" w:sz="6" w:space="0" w:color="auto"/>
              <w:bottom w:val="single" w:sz="6" w:space="0" w:color="auto"/>
            </w:tcBorders>
          </w:tcPr>
          <w:p w14:paraId="17FC778C" w14:textId="77777777" w:rsidR="00DE5C38" w:rsidRPr="00A67F27" w:rsidRDefault="00DE5C38" w:rsidP="00A736A8">
            <w:pPr>
              <w:suppressAutoHyphens/>
              <w:spacing w:before="60" w:after="60"/>
              <w:rPr>
                <w:rStyle w:val="Table"/>
                <w:rFonts w:asciiTheme="majorBidi" w:hAnsiTheme="majorBidi" w:cstheme="majorBidi"/>
                <w:b/>
                <w:bCs/>
                <w:iCs/>
                <w:spacing w:val="-2"/>
              </w:rPr>
            </w:pPr>
          </w:p>
        </w:tc>
        <w:tc>
          <w:tcPr>
            <w:tcW w:w="3708" w:type="dxa"/>
            <w:gridSpan w:val="2"/>
            <w:tcBorders>
              <w:top w:val="single" w:sz="6" w:space="0" w:color="auto"/>
              <w:left w:val="single" w:sz="6" w:space="0" w:color="auto"/>
              <w:bottom w:val="single" w:sz="6" w:space="0" w:color="auto"/>
            </w:tcBorders>
          </w:tcPr>
          <w:p w14:paraId="4B83049C" w14:textId="77777777" w:rsidR="00DE5C38" w:rsidRPr="00A67F27" w:rsidRDefault="00DE5C38" w:rsidP="00A736A8">
            <w:pPr>
              <w:suppressAutoHyphens/>
              <w:spacing w:before="60" w:after="60"/>
              <w:rPr>
                <w:rStyle w:val="Table"/>
                <w:rFonts w:asciiTheme="majorBidi" w:hAnsiTheme="majorBidi" w:cstheme="majorBidi"/>
                <w:b/>
                <w:bCs/>
                <w:iCs/>
                <w:spacing w:val="-2"/>
              </w:rPr>
            </w:pPr>
            <w:r w:rsidRPr="00A67F27">
              <w:rPr>
                <w:rStyle w:val="Table"/>
                <w:rFonts w:asciiTheme="majorBidi" w:hAnsiTheme="majorBidi" w:cstheme="majorBidi"/>
                <w:b/>
                <w:bCs/>
                <w:iCs/>
                <w:spacing w:val="-2"/>
              </w:rPr>
              <w:t>Intitulé du poste</w:t>
            </w:r>
          </w:p>
          <w:p w14:paraId="7C54AAD6" w14:textId="77777777" w:rsidR="00DE5C38" w:rsidRPr="00A67F27" w:rsidRDefault="00DE5C38" w:rsidP="00A736A8">
            <w:pPr>
              <w:suppressAutoHyphens/>
              <w:spacing w:before="60" w:after="60"/>
              <w:rPr>
                <w:rStyle w:val="Table"/>
                <w:rFonts w:asciiTheme="majorBidi" w:hAnsiTheme="majorBidi" w:cstheme="majorBidi"/>
                <w:b/>
                <w:bCs/>
                <w:iCs/>
                <w:spacing w:val="-2"/>
              </w:rPr>
            </w:pPr>
          </w:p>
        </w:tc>
        <w:tc>
          <w:tcPr>
            <w:tcW w:w="3690" w:type="dxa"/>
            <w:tcBorders>
              <w:top w:val="single" w:sz="6" w:space="0" w:color="auto"/>
              <w:left w:val="single" w:sz="6" w:space="0" w:color="auto"/>
              <w:bottom w:val="single" w:sz="6" w:space="0" w:color="auto"/>
              <w:right w:val="single" w:sz="6" w:space="0" w:color="auto"/>
            </w:tcBorders>
          </w:tcPr>
          <w:p w14:paraId="572ACF99" w14:textId="77777777" w:rsidR="00DE5C38" w:rsidRPr="00A67F27" w:rsidRDefault="00DE5C38" w:rsidP="00A736A8">
            <w:pPr>
              <w:suppressAutoHyphens/>
              <w:spacing w:before="60" w:after="60"/>
              <w:jc w:val="left"/>
              <w:rPr>
                <w:rStyle w:val="Table"/>
                <w:rFonts w:asciiTheme="majorBidi" w:hAnsiTheme="majorBidi" w:cstheme="majorBidi"/>
                <w:b/>
                <w:bCs/>
                <w:iCs/>
                <w:spacing w:val="-2"/>
              </w:rPr>
            </w:pPr>
            <w:r w:rsidRPr="00A67F27">
              <w:rPr>
                <w:rStyle w:val="Table"/>
                <w:rFonts w:asciiTheme="majorBidi" w:hAnsiTheme="majorBidi" w:cstheme="majorBidi"/>
                <w:b/>
                <w:bCs/>
                <w:iCs/>
                <w:spacing w:val="-2"/>
              </w:rPr>
              <w:t>Années passées chez l’employeur actuel</w:t>
            </w:r>
          </w:p>
        </w:tc>
      </w:tr>
    </w:tbl>
    <w:p w14:paraId="370AAD75" w14:textId="44761CE0" w:rsidR="00DE5C38" w:rsidRPr="00A67F27" w:rsidRDefault="00DE5C38" w:rsidP="00C15AC0">
      <w:pPr>
        <w:suppressAutoHyphens/>
        <w:spacing w:before="120" w:after="120"/>
        <w:ind w:left="0" w:firstLine="0"/>
        <w:jc w:val="left"/>
        <w:rPr>
          <w:rStyle w:val="Table"/>
          <w:rFonts w:asciiTheme="majorBidi" w:hAnsiTheme="majorBidi" w:cstheme="majorBidi"/>
          <w:iCs/>
          <w:spacing w:val="-2"/>
          <w:sz w:val="24"/>
        </w:rPr>
      </w:pPr>
      <w:r w:rsidRPr="00A67F27">
        <w:rPr>
          <w:rStyle w:val="Table"/>
          <w:rFonts w:asciiTheme="majorBidi" w:hAnsiTheme="majorBidi" w:cstheme="majorBidi"/>
          <w:iCs/>
          <w:spacing w:val="-2"/>
          <w:sz w:val="24"/>
        </w:rPr>
        <w:t>Résumer l’expérience professionnelle dans l’ordre inversement chronologique. Indiquer l’expérience technique et de gestion pertinente au projet.</w:t>
      </w:r>
    </w:p>
    <w:tbl>
      <w:tblPr>
        <w:tblW w:w="9090" w:type="dxa"/>
        <w:tblInd w:w="72" w:type="dxa"/>
        <w:tblLayout w:type="fixed"/>
        <w:tblCellMar>
          <w:left w:w="72" w:type="dxa"/>
          <w:right w:w="72" w:type="dxa"/>
        </w:tblCellMar>
        <w:tblLook w:val="0000" w:firstRow="0" w:lastRow="0" w:firstColumn="0" w:lastColumn="0" w:noHBand="0" w:noVBand="0"/>
      </w:tblPr>
      <w:tblGrid>
        <w:gridCol w:w="1080"/>
        <w:gridCol w:w="1330"/>
        <w:gridCol w:w="3215"/>
        <w:gridCol w:w="3465"/>
      </w:tblGrid>
      <w:tr w:rsidR="00DE5C38" w:rsidRPr="00A67F27" w14:paraId="17561437" w14:textId="77777777" w:rsidTr="00C15AC0">
        <w:trPr>
          <w:cantSplit/>
          <w:tblHeader/>
        </w:trPr>
        <w:tc>
          <w:tcPr>
            <w:tcW w:w="1080" w:type="dxa"/>
            <w:tcBorders>
              <w:top w:val="single" w:sz="6" w:space="0" w:color="auto"/>
              <w:left w:val="single" w:sz="6" w:space="0" w:color="auto"/>
            </w:tcBorders>
          </w:tcPr>
          <w:p w14:paraId="239992D7" w14:textId="023E98CB" w:rsidR="00DE5C38" w:rsidRPr="00A67F27" w:rsidRDefault="00DE5C38" w:rsidP="00C15AC0">
            <w:pPr>
              <w:keepNext/>
              <w:suppressAutoHyphens/>
              <w:spacing w:before="60" w:after="60"/>
              <w:jc w:val="center"/>
              <w:rPr>
                <w:rStyle w:val="Table"/>
                <w:rFonts w:asciiTheme="majorBidi" w:hAnsiTheme="majorBidi" w:cstheme="majorBidi"/>
                <w:b/>
                <w:bCs/>
                <w:iCs/>
                <w:spacing w:val="-2"/>
              </w:rPr>
            </w:pPr>
            <w:r w:rsidRPr="00A67F27">
              <w:rPr>
                <w:rStyle w:val="Table"/>
                <w:rFonts w:asciiTheme="majorBidi" w:hAnsiTheme="majorBidi" w:cstheme="majorBidi"/>
                <w:b/>
                <w:bCs/>
                <w:iCs/>
                <w:spacing w:val="-2"/>
              </w:rPr>
              <w:lastRenderedPageBreak/>
              <w:t>Projet</w:t>
            </w:r>
          </w:p>
        </w:tc>
        <w:tc>
          <w:tcPr>
            <w:tcW w:w="1330" w:type="dxa"/>
            <w:tcBorders>
              <w:top w:val="single" w:sz="6" w:space="0" w:color="auto"/>
              <w:left w:val="single" w:sz="6" w:space="0" w:color="auto"/>
            </w:tcBorders>
          </w:tcPr>
          <w:p w14:paraId="55A314D3" w14:textId="367847F0" w:rsidR="00DE5C38" w:rsidRPr="00A67F27" w:rsidRDefault="00DE5C38" w:rsidP="00C15AC0">
            <w:pPr>
              <w:keepNext/>
              <w:suppressAutoHyphens/>
              <w:spacing w:before="60" w:after="60"/>
              <w:jc w:val="center"/>
              <w:rPr>
                <w:rStyle w:val="Table"/>
                <w:rFonts w:asciiTheme="majorBidi" w:hAnsiTheme="majorBidi" w:cstheme="majorBidi"/>
                <w:b/>
                <w:bCs/>
                <w:iCs/>
                <w:spacing w:val="-2"/>
              </w:rPr>
            </w:pPr>
            <w:r w:rsidRPr="00A67F27">
              <w:rPr>
                <w:rStyle w:val="Table"/>
                <w:rFonts w:asciiTheme="majorBidi" w:hAnsiTheme="majorBidi" w:cstheme="majorBidi"/>
                <w:b/>
                <w:bCs/>
                <w:iCs/>
                <w:spacing w:val="-2"/>
              </w:rPr>
              <w:t>Rôle</w:t>
            </w:r>
          </w:p>
        </w:tc>
        <w:tc>
          <w:tcPr>
            <w:tcW w:w="3215" w:type="dxa"/>
            <w:tcBorders>
              <w:top w:val="single" w:sz="6" w:space="0" w:color="auto"/>
              <w:left w:val="single" w:sz="6" w:space="0" w:color="auto"/>
              <w:right w:val="single" w:sz="6" w:space="0" w:color="auto"/>
            </w:tcBorders>
          </w:tcPr>
          <w:p w14:paraId="6C62D0DF" w14:textId="4320D2F0" w:rsidR="00DE5C38" w:rsidRPr="00A67F27" w:rsidRDefault="00DE5C38" w:rsidP="00C15AC0">
            <w:pPr>
              <w:keepNext/>
              <w:suppressAutoHyphens/>
              <w:spacing w:before="60" w:after="60"/>
              <w:jc w:val="center"/>
              <w:rPr>
                <w:rStyle w:val="Table"/>
                <w:rFonts w:asciiTheme="majorBidi" w:hAnsiTheme="majorBidi" w:cstheme="majorBidi"/>
                <w:b/>
                <w:bCs/>
                <w:iCs/>
                <w:spacing w:val="-2"/>
              </w:rPr>
            </w:pPr>
            <w:r w:rsidRPr="00A67F27">
              <w:rPr>
                <w:rStyle w:val="Table"/>
                <w:rFonts w:asciiTheme="majorBidi" w:hAnsiTheme="majorBidi" w:cstheme="majorBidi"/>
                <w:b/>
                <w:bCs/>
                <w:iCs/>
                <w:spacing w:val="-2"/>
              </w:rPr>
              <w:t>Durée d’engagement</w:t>
            </w:r>
          </w:p>
        </w:tc>
        <w:tc>
          <w:tcPr>
            <w:tcW w:w="3465" w:type="dxa"/>
            <w:tcBorders>
              <w:top w:val="single" w:sz="6" w:space="0" w:color="auto"/>
              <w:left w:val="single" w:sz="6" w:space="0" w:color="auto"/>
              <w:right w:val="single" w:sz="6" w:space="0" w:color="auto"/>
            </w:tcBorders>
          </w:tcPr>
          <w:p w14:paraId="25F3DC45" w14:textId="77777777" w:rsidR="00DE5C38" w:rsidRPr="00A67F27" w:rsidRDefault="00DE5C38" w:rsidP="00C15AC0">
            <w:pPr>
              <w:keepNext/>
              <w:suppressAutoHyphens/>
              <w:spacing w:before="60" w:after="60"/>
              <w:jc w:val="center"/>
              <w:rPr>
                <w:rStyle w:val="Table"/>
                <w:rFonts w:asciiTheme="majorBidi" w:hAnsiTheme="majorBidi" w:cstheme="majorBidi"/>
                <w:b/>
                <w:bCs/>
                <w:iCs/>
                <w:spacing w:val="-2"/>
              </w:rPr>
            </w:pPr>
            <w:r w:rsidRPr="00A67F27">
              <w:rPr>
                <w:rStyle w:val="Table"/>
                <w:rFonts w:asciiTheme="majorBidi" w:hAnsiTheme="majorBidi" w:cstheme="majorBidi"/>
                <w:b/>
                <w:bCs/>
                <w:iCs/>
                <w:spacing w:val="-2"/>
              </w:rPr>
              <w:t xml:space="preserve">Expérience </w:t>
            </w:r>
            <w:r w:rsidRPr="00A67F27">
              <w:rPr>
                <w:rStyle w:val="Table"/>
                <w:rFonts w:asciiTheme="majorBidi" w:hAnsiTheme="majorBidi" w:cstheme="majorBidi"/>
                <w:b/>
                <w:iCs/>
                <w:spacing w:val="-2"/>
              </w:rPr>
              <w:t>pertinente</w:t>
            </w:r>
          </w:p>
        </w:tc>
      </w:tr>
      <w:tr w:rsidR="00DE5C38" w:rsidRPr="00A67F27" w14:paraId="74A8C6A3" w14:textId="77777777" w:rsidTr="00C15AC0">
        <w:trPr>
          <w:cantSplit/>
        </w:trPr>
        <w:tc>
          <w:tcPr>
            <w:tcW w:w="1080" w:type="dxa"/>
            <w:tcBorders>
              <w:top w:val="single" w:sz="6" w:space="0" w:color="auto"/>
              <w:left w:val="single" w:sz="6" w:space="0" w:color="auto"/>
            </w:tcBorders>
          </w:tcPr>
          <w:p w14:paraId="5C5250F4" w14:textId="77777777" w:rsidR="00DE5C38" w:rsidRPr="00A67F27" w:rsidRDefault="00DE5C38" w:rsidP="00C15AC0">
            <w:pPr>
              <w:keepNext/>
              <w:suppressAutoHyphens/>
              <w:spacing w:before="60" w:after="60"/>
              <w:ind w:left="0" w:firstLine="0"/>
              <w:rPr>
                <w:rStyle w:val="Table"/>
                <w:rFonts w:asciiTheme="majorBidi" w:hAnsiTheme="majorBidi" w:cstheme="majorBidi"/>
                <w:i/>
                <w:spacing w:val="-2"/>
              </w:rPr>
            </w:pPr>
            <w:r w:rsidRPr="00A67F27">
              <w:rPr>
                <w:rStyle w:val="Table"/>
                <w:rFonts w:asciiTheme="majorBidi" w:hAnsiTheme="majorBidi" w:cstheme="majorBidi"/>
                <w:i/>
                <w:spacing w:val="-2"/>
              </w:rPr>
              <w:t>[identifier le projet]</w:t>
            </w:r>
          </w:p>
        </w:tc>
        <w:tc>
          <w:tcPr>
            <w:tcW w:w="1330" w:type="dxa"/>
            <w:tcBorders>
              <w:top w:val="single" w:sz="6" w:space="0" w:color="auto"/>
              <w:left w:val="single" w:sz="6" w:space="0" w:color="auto"/>
            </w:tcBorders>
          </w:tcPr>
          <w:p w14:paraId="5CF88BB6" w14:textId="77777777" w:rsidR="00DE5C38" w:rsidRPr="00A67F27" w:rsidRDefault="00DE5C38" w:rsidP="00C15AC0">
            <w:pPr>
              <w:keepNext/>
              <w:suppressAutoHyphens/>
              <w:spacing w:before="60" w:after="60"/>
              <w:ind w:left="0" w:firstLine="0"/>
              <w:jc w:val="left"/>
              <w:rPr>
                <w:rStyle w:val="Table"/>
                <w:rFonts w:asciiTheme="majorBidi" w:hAnsiTheme="majorBidi" w:cstheme="majorBidi"/>
                <w:i/>
                <w:spacing w:val="-2"/>
              </w:rPr>
            </w:pPr>
            <w:r w:rsidRPr="00A67F27">
              <w:rPr>
                <w:rStyle w:val="Table"/>
                <w:rFonts w:asciiTheme="majorBidi" w:hAnsiTheme="majorBidi" w:cstheme="majorBidi"/>
                <w:i/>
                <w:spacing w:val="-2"/>
              </w:rPr>
              <w:t>[Rôle et responsabilités sur le projet]</w:t>
            </w:r>
          </w:p>
        </w:tc>
        <w:tc>
          <w:tcPr>
            <w:tcW w:w="3215" w:type="dxa"/>
            <w:tcBorders>
              <w:top w:val="single" w:sz="6" w:space="0" w:color="auto"/>
              <w:left w:val="single" w:sz="6" w:space="0" w:color="auto"/>
              <w:right w:val="single" w:sz="6" w:space="0" w:color="auto"/>
            </w:tcBorders>
          </w:tcPr>
          <w:p w14:paraId="4614B49C" w14:textId="77777777" w:rsidR="00DE5C38" w:rsidRPr="00A67F27" w:rsidRDefault="00DE5C38" w:rsidP="00C15AC0">
            <w:pPr>
              <w:keepNext/>
              <w:suppressAutoHyphens/>
              <w:spacing w:before="60" w:after="60"/>
              <w:rPr>
                <w:rStyle w:val="Table"/>
                <w:rFonts w:asciiTheme="majorBidi" w:hAnsiTheme="majorBidi" w:cstheme="majorBidi"/>
                <w:i/>
                <w:spacing w:val="-2"/>
              </w:rPr>
            </w:pPr>
            <w:r w:rsidRPr="00A67F27">
              <w:rPr>
                <w:rStyle w:val="Table"/>
                <w:rFonts w:asciiTheme="majorBidi" w:hAnsiTheme="majorBidi" w:cstheme="majorBidi"/>
                <w:i/>
                <w:spacing w:val="-2"/>
              </w:rPr>
              <w:t>[durée sur le projet]</w:t>
            </w:r>
          </w:p>
        </w:tc>
        <w:tc>
          <w:tcPr>
            <w:tcW w:w="3465" w:type="dxa"/>
            <w:tcBorders>
              <w:top w:val="single" w:sz="6" w:space="0" w:color="auto"/>
              <w:left w:val="single" w:sz="6" w:space="0" w:color="auto"/>
              <w:right w:val="single" w:sz="6" w:space="0" w:color="auto"/>
            </w:tcBorders>
          </w:tcPr>
          <w:p w14:paraId="2361A94D" w14:textId="77777777" w:rsidR="00DE5C38" w:rsidRPr="00A67F27" w:rsidRDefault="00DE5C38" w:rsidP="00C15AC0">
            <w:pPr>
              <w:keepNext/>
              <w:suppressAutoHyphens/>
              <w:spacing w:before="60" w:after="60"/>
              <w:ind w:left="-22" w:firstLine="0"/>
              <w:rPr>
                <w:rStyle w:val="Table"/>
                <w:rFonts w:asciiTheme="majorBidi" w:hAnsiTheme="majorBidi" w:cstheme="majorBidi"/>
                <w:i/>
                <w:spacing w:val="-2"/>
              </w:rPr>
            </w:pPr>
            <w:r w:rsidRPr="00A67F27">
              <w:rPr>
                <w:rStyle w:val="Table"/>
                <w:rFonts w:asciiTheme="majorBidi" w:hAnsiTheme="majorBidi" w:cstheme="majorBidi"/>
                <w:i/>
                <w:spacing w:val="-2"/>
              </w:rPr>
              <w:t>[décrire l’expérience pertinente au poste prévu]</w:t>
            </w:r>
          </w:p>
        </w:tc>
      </w:tr>
      <w:tr w:rsidR="00DE5C38" w:rsidRPr="00A67F27" w14:paraId="6E2D597B" w14:textId="77777777" w:rsidTr="00C15AC0">
        <w:trPr>
          <w:cantSplit/>
        </w:trPr>
        <w:tc>
          <w:tcPr>
            <w:tcW w:w="1080" w:type="dxa"/>
            <w:tcBorders>
              <w:top w:val="dotted" w:sz="4" w:space="0" w:color="auto"/>
              <w:left w:val="single" w:sz="6" w:space="0" w:color="auto"/>
            </w:tcBorders>
          </w:tcPr>
          <w:p w14:paraId="09D948FD" w14:textId="77777777" w:rsidR="00DE5C38" w:rsidRPr="00A67F27" w:rsidRDefault="00DE5C38" w:rsidP="00C15AC0">
            <w:pPr>
              <w:keepNext/>
              <w:suppressAutoHyphens/>
              <w:spacing w:before="60" w:after="60"/>
              <w:rPr>
                <w:rStyle w:val="Table"/>
                <w:rFonts w:asciiTheme="majorBidi" w:hAnsiTheme="majorBidi" w:cstheme="majorBidi"/>
                <w:i/>
                <w:spacing w:val="-2"/>
              </w:rPr>
            </w:pPr>
          </w:p>
        </w:tc>
        <w:tc>
          <w:tcPr>
            <w:tcW w:w="1330" w:type="dxa"/>
            <w:tcBorders>
              <w:top w:val="dotted" w:sz="4" w:space="0" w:color="auto"/>
              <w:left w:val="single" w:sz="6" w:space="0" w:color="auto"/>
            </w:tcBorders>
          </w:tcPr>
          <w:p w14:paraId="6FD1C96E" w14:textId="77777777" w:rsidR="00DE5C38" w:rsidRPr="00A67F27" w:rsidRDefault="00DE5C38" w:rsidP="00C15AC0">
            <w:pPr>
              <w:keepNext/>
              <w:suppressAutoHyphens/>
              <w:spacing w:before="60" w:after="60"/>
              <w:rPr>
                <w:rStyle w:val="Table"/>
                <w:rFonts w:asciiTheme="majorBidi" w:hAnsiTheme="majorBidi" w:cstheme="majorBidi"/>
                <w:i/>
                <w:spacing w:val="-2"/>
              </w:rPr>
            </w:pPr>
          </w:p>
        </w:tc>
        <w:tc>
          <w:tcPr>
            <w:tcW w:w="3215" w:type="dxa"/>
            <w:tcBorders>
              <w:top w:val="dotted" w:sz="4" w:space="0" w:color="auto"/>
              <w:left w:val="single" w:sz="6" w:space="0" w:color="auto"/>
              <w:right w:val="single" w:sz="6" w:space="0" w:color="auto"/>
            </w:tcBorders>
          </w:tcPr>
          <w:p w14:paraId="5E2971A7" w14:textId="77777777" w:rsidR="00DE5C38" w:rsidRPr="00A67F27" w:rsidRDefault="00DE5C38" w:rsidP="00C15AC0">
            <w:pPr>
              <w:keepNext/>
              <w:suppressAutoHyphens/>
              <w:spacing w:before="60" w:after="60"/>
              <w:rPr>
                <w:rStyle w:val="Table"/>
                <w:rFonts w:asciiTheme="majorBidi" w:hAnsiTheme="majorBidi" w:cstheme="majorBidi"/>
                <w:i/>
                <w:spacing w:val="-2"/>
              </w:rPr>
            </w:pPr>
          </w:p>
        </w:tc>
        <w:tc>
          <w:tcPr>
            <w:tcW w:w="3465" w:type="dxa"/>
            <w:tcBorders>
              <w:top w:val="dotted" w:sz="4" w:space="0" w:color="auto"/>
              <w:left w:val="single" w:sz="6" w:space="0" w:color="auto"/>
              <w:right w:val="single" w:sz="6" w:space="0" w:color="auto"/>
            </w:tcBorders>
          </w:tcPr>
          <w:p w14:paraId="76F9F4B2" w14:textId="77777777" w:rsidR="00DE5C38" w:rsidRPr="00A67F27" w:rsidRDefault="00DE5C38" w:rsidP="00C15AC0">
            <w:pPr>
              <w:keepNext/>
              <w:suppressAutoHyphens/>
              <w:spacing w:before="60" w:after="60"/>
              <w:rPr>
                <w:rStyle w:val="Table"/>
                <w:rFonts w:asciiTheme="majorBidi" w:hAnsiTheme="majorBidi" w:cstheme="majorBidi"/>
                <w:i/>
                <w:spacing w:val="-2"/>
              </w:rPr>
            </w:pPr>
          </w:p>
        </w:tc>
      </w:tr>
      <w:tr w:rsidR="00DE5C38" w:rsidRPr="00A67F27" w14:paraId="1014F32D" w14:textId="77777777" w:rsidTr="00C15AC0">
        <w:trPr>
          <w:cantSplit/>
        </w:trPr>
        <w:tc>
          <w:tcPr>
            <w:tcW w:w="1080" w:type="dxa"/>
            <w:tcBorders>
              <w:top w:val="dotted" w:sz="4" w:space="0" w:color="auto"/>
              <w:left w:val="single" w:sz="6" w:space="0" w:color="auto"/>
              <w:bottom w:val="dotted" w:sz="4" w:space="0" w:color="auto"/>
            </w:tcBorders>
          </w:tcPr>
          <w:p w14:paraId="5CCEB799" w14:textId="77777777" w:rsidR="00DE5C38" w:rsidRPr="00A67F27" w:rsidRDefault="00DE5C38" w:rsidP="00C15AC0">
            <w:pPr>
              <w:keepNext/>
              <w:suppressAutoHyphens/>
              <w:spacing w:before="60" w:after="60"/>
              <w:rPr>
                <w:rStyle w:val="Table"/>
                <w:rFonts w:asciiTheme="majorBidi" w:hAnsiTheme="majorBidi" w:cstheme="majorBidi"/>
                <w:i/>
                <w:spacing w:val="-2"/>
              </w:rPr>
            </w:pPr>
          </w:p>
        </w:tc>
        <w:tc>
          <w:tcPr>
            <w:tcW w:w="1330" w:type="dxa"/>
            <w:tcBorders>
              <w:top w:val="dotted" w:sz="4" w:space="0" w:color="auto"/>
              <w:left w:val="single" w:sz="6" w:space="0" w:color="auto"/>
              <w:bottom w:val="dotted" w:sz="4" w:space="0" w:color="auto"/>
            </w:tcBorders>
          </w:tcPr>
          <w:p w14:paraId="0166426D" w14:textId="77777777" w:rsidR="00DE5C38" w:rsidRPr="00A67F27" w:rsidRDefault="00DE5C38" w:rsidP="00C15AC0">
            <w:pPr>
              <w:keepNext/>
              <w:suppressAutoHyphens/>
              <w:spacing w:before="60" w:after="60"/>
              <w:rPr>
                <w:rStyle w:val="Table"/>
                <w:rFonts w:asciiTheme="majorBidi" w:hAnsiTheme="majorBidi" w:cstheme="majorBidi"/>
                <w:i/>
                <w:spacing w:val="-2"/>
              </w:rPr>
            </w:pPr>
          </w:p>
        </w:tc>
        <w:tc>
          <w:tcPr>
            <w:tcW w:w="3215" w:type="dxa"/>
            <w:tcBorders>
              <w:top w:val="dotted" w:sz="4" w:space="0" w:color="auto"/>
              <w:left w:val="single" w:sz="6" w:space="0" w:color="auto"/>
              <w:bottom w:val="dotted" w:sz="4" w:space="0" w:color="auto"/>
              <w:right w:val="single" w:sz="6" w:space="0" w:color="auto"/>
            </w:tcBorders>
          </w:tcPr>
          <w:p w14:paraId="4B0EFAE8" w14:textId="77777777" w:rsidR="00DE5C38" w:rsidRPr="00A67F27" w:rsidRDefault="00DE5C38" w:rsidP="00C15AC0">
            <w:pPr>
              <w:keepNext/>
              <w:suppressAutoHyphens/>
              <w:spacing w:before="60" w:after="60"/>
              <w:rPr>
                <w:rStyle w:val="Table"/>
                <w:rFonts w:asciiTheme="majorBidi" w:hAnsiTheme="majorBidi" w:cstheme="majorBidi"/>
                <w:i/>
                <w:spacing w:val="-2"/>
              </w:rPr>
            </w:pPr>
          </w:p>
        </w:tc>
        <w:tc>
          <w:tcPr>
            <w:tcW w:w="3465" w:type="dxa"/>
            <w:tcBorders>
              <w:top w:val="dotted" w:sz="4" w:space="0" w:color="auto"/>
              <w:left w:val="single" w:sz="6" w:space="0" w:color="auto"/>
              <w:bottom w:val="dotted" w:sz="4" w:space="0" w:color="auto"/>
              <w:right w:val="single" w:sz="6" w:space="0" w:color="auto"/>
            </w:tcBorders>
          </w:tcPr>
          <w:p w14:paraId="18BC6FAD" w14:textId="77777777" w:rsidR="00DE5C38" w:rsidRPr="00A67F27" w:rsidRDefault="00DE5C38" w:rsidP="00C15AC0">
            <w:pPr>
              <w:keepNext/>
              <w:suppressAutoHyphens/>
              <w:spacing w:before="60" w:after="60"/>
              <w:rPr>
                <w:rStyle w:val="Table"/>
                <w:rFonts w:asciiTheme="majorBidi" w:hAnsiTheme="majorBidi" w:cstheme="majorBidi"/>
                <w:i/>
                <w:spacing w:val="-2"/>
              </w:rPr>
            </w:pPr>
          </w:p>
        </w:tc>
      </w:tr>
    </w:tbl>
    <w:p w14:paraId="0EC1C916" w14:textId="77777777" w:rsidR="00DE5C38" w:rsidRPr="00A67F27" w:rsidRDefault="00DE5C38" w:rsidP="00C15AC0">
      <w:pPr>
        <w:pStyle w:val="Style11"/>
        <w:spacing w:after="0"/>
        <w:jc w:val="left"/>
        <w:rPr>
          <w:rFonts w:asciiTheme="majorBidi" w:hAnsiTheme="majorBidi" w:cstheme="majorBidi"/>
          <w:i/>
          <w:lang w:val="fr-FR"/>
        </w:rPr>
      </w:pPr>
    </w:p>
    <w:p w14:paraId="3B4C0C43" w14:textId="77777777" w:rsidR="00DE5C38" w:rsidRPr="00A67F27" w:rsidRDefault="00DE5C38" w:rsidP="00C15AC0">
      <w:pPr>
        <w:spacing w:after="0"/>
        <w:ind w:left="0" w:firstLine="0"/>
        <w:jc w:val="left"/>
        <w:rPr>
          <w:b/>
          <w:sz w:val="28"/>
          <w:szCs w:val="28"/>
          <w:lang w:eastAsia="en-US"/>
        </w:rPr>
      </w:pPr>
      <w:r w:rsidRPr="005C1A32">
        <w:rPr>
          <w:b/>
          <w:sz w:val="28"/>
          <w:szCs w:val="28"/>
          <w:lang w:eastAsia="en-US"/>
        </w:rPr>
        <w:t>Déclaration</w:t>
      </w:r>
    </w:p>
    <w:p w14:paraId="2B3D0198" w14:textId="77777777" w:rsidR="00C15AC0" w:rsidRPr="00A67F27" w:rsidRDefault="00C15AC0" w:rsidP="00C15AC0">
      <w:pPr>
        <w:spacing w:after="0"/>
        <w:ind w:left="0" w:firstLine="0"/>
        <w:rPr>
          <w:rFonts w:asciiTheme="majorBidi" w:hAnsiTheme="majorBidi" w:cstheme="majorBidi"/>
        </w:rPr>
      </w:pPr>
    </w:p>
    <w:p w14:paraId="6F7F33D0" w14:textId="2C148B9E" w:rsidR="00DE5C38" w:rsidRPr="00A67F27" w:rsidRDefault="00DE5C38" w:rsidP="00AE5101">
      <w:pPr>
        <w:spacing w:after="120"/>
        <w:ind w:left="0" w:firstLine="0"/>
        <w:rPr>
          <w:rFonts w:asciiTheme="majorBidi" w:hAnsiTheme="majorBidi" w:cstheme="majorBidi"/>
        </w:rPr>
      </w:pPr>
      <w:r w:rsidRPr="00A67F27">
        <w:rPr>
          <w:rFonts w:asciiTheme="majorBidi" w:hAnsiTheme="majorBidi" w:cstheme="majorBidi"/>
        </w:rPr>
        <w:t>Je soussigné certifie que les renseignements contenus dans le Formulaire PER-2 décrivent fidèlement ma personne, mes qualifications et mon expérience.</w:t>
      </w:r>
    </w:p>
    <w:p w14:paraId="7DF3ABB8" w14:textId="6FEFA34D" w:rsidR="00DE5C38" w:rsidRPr="00A67F27" w:rsidRDefault="00DE5C38" w:rsidP="00AE5101">
      <w:pPr>
        <w:spacing w:after="120"/>
        <w:ind w:left="0" w:firstLine="0"/>
        <w:rPr>
          <w:rFonts w:asciiTheme="majorBidi" w:hAnsiTheme="majorBidi" w:cstheme="majorBidi"/>
          <w:szCs w:val="24"/>
        </w:rPr>
      </w:pPr>
      <w:r w:rsidRPr="00A67F27">
        <w:rPr>
          <w:rFonts w:asciiTheme="majorBidi" w:hAnsiTheme="majorBidi" w:cstheme="majorBidi"/>
          <w:szCs w:val="24"/>
        </w:rPr>
        <w:t>Je confirme que je suis disponible comme certifié ci</w:t>
      </w:r>
      <w:r w:rsidR="00AE5101" w:rsidRPr="00A67F27">
        <w:rPr>
          <w:rFonts w:asciiTheme="majorBidi" w:hAnsiTheme="majorBidi" w:cstheme="majorBidi"/>
          <w:szCs w:val="24"/>
        </w:rPr>
        <w:t>-</w:t>
      </w:r>
      <w:r w:rsidRPr="00A67F27">
        <w:rPr>
          <w:rFonts w:asciiTheme="majorBidi" w:hAnsiTheme="majorBidi" w:cstheme="majorBidi"/>
          <w:szCs w:val="24"/>
        </w:rPr>
        <w:t>après et le serai durant la période d’engagement sur le poste qui m’est destiné, comme indiqué dans l’Offre</w:t>
      </w:r>
      <w:r w:rsidR="009B2302" w:rsidRPr="00A67F27">
        <w:rPr>
          <w:rFonts w:asciiTheme="majorBidi" w:hAnsiTheme="majorBidi" w:cstheme="majorBidi"/>
          <w:szCs w:val="24"/>
        </w:rPr>
        <w:t> :</w:t>
      </w:r>
    </w:p>
    <w:tbl>
      <w:tblPr>
        <w:tblW w:w="91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613"/>
        <w:gridCol w:w="5487"/>
      </w:tblGrid>
      <w:tr w:rsidR="00DE5C38" w:rsidRPr="00A67F27" w14:paraId="6F68B021" w14:textId="77777777" w:rsidTr="00A736A8">
        <w:trPr>
          <w:cantSplit/>
        </w:trPr>
        <w:tc>
          <w:tcPr>
            <w:tcW w:w="3613" w:type="dxa"/>
          </w:tcPr>
          <w:p w14:paraId="080FA71C" w14:textId="77777777" w:rsidR="00DE5C38" w:rsidRPr="00A67F27" w:rsidRDefault="00DE5C38" w:rsidP="00A736A8">
            <w:pPr>
              <w:suppressAutoHyphens/>
              <w:spacing w:before="60" w:after="60"/>
              <w:rPr>
                <w:rStyle w:val="Table"/>
                <w:rFonts w:asciiTheme="majorBidi" w:hAnsiTheme="majorBidi" w:cstheme="majorBidi"/>
                <w:b/>
                <w:color w:val="000000"/>
                <w:spacing w:val="-2"/>
              </w:rPr>
            </w:pPr>
            <w:r w:rsidRPr="00A67F27">
              <w:rPr>
                <w:rStyle w:val="Table"/>
                <w:rFonts w:asciiTheme="majorBidi" w:hAnsiTheme="majorBidi" w:cstheme="majorBidi"/>
                <w:b/>
                <w:color w:val="000000"/>
                <w:spacing w:val="-2"/>
              </w:rPr>
              <w:t>Engagement</w:t>
            </w:r>
          </w:p>
        </w:tc>
        <w:tc>
          <w:tcPr>
            <w:tcW w:w="5487" w:type="dxa"/>
          </w:tcPr>
          <w:p w14:paraId="5B8A9AFD" w14:textId="77777777" w:rsidR="00DE5C38" w:rsidRPr="00A67F27" w:rsidRDefault="00DE5C38" w:rsidP="00A736A8">
            <w:pPr>
              <w:suppressAutoHyphens/>
              <w:spacing w:before="60" w:after="60"/>
              <w:rPr>
                <w:rStyle w:val="Table"/>
                <w:rFonts w:asciiTheme="majorBidi" w:hAnsiTheme="majorBidi" w:cstheme="majorBidi"/>
                <w:b/>
                <w:color w:val="000000"/>
                <w:spacing w:val="-2"/>
              </w:rPr>
            </w:pPr>
            <w:r w:rsidRPr="00A67F27">
              <w:rPr>
                <w:rStyle w:val="Table"/>
                <w:rFonts w:asciiTheme="majorBidi" w:hAnsiTheme="majorBidi" w:cstheme="majorBidi"/>
                <w:b/>
                <w:color w:val="000000"/>
                <w:spacing w:val="-2"/>
              </w:rPr>
              <w:t>Détails</w:t>
            </w:r>
          </w:p>
        </w:tc>
      </w:tr>
      <w:tr w:rsidR="00DE5C38" w:rsidRPr="00A67F27" w14:paraId="271E2904" w14:textId="77777777" w:rsidTr="00A736A8">
        <w:trPr>
          <w:cantSplit/>
        </w:trPr>
        <w:tc>
          <w:tcPr>
            <w:tcW w:w="3613" w:type="dxa"/>
          </w:tcPr>
          <w:p w14:paraId="1E39C220" w14:textId="52BD22D4" w:rsidR="00DE5C38" w:rsidRPr="00A67F27" w:rsidRDefault="00DE5C38" w:rsidP="00A736A8">
            <w:pPr>
              <w:suppressAutoHyphens/>
              <w:spacing w:before="60" w:after="60"/>
              <w:rPr>
                <w:rStyle w:val="Table"/>
                <w:rFonts w:asciiTheme="majorBidi" w:hAnsiTheme="majorBidi" w:cstheme="majorBidi"/>
                <w:b/>
                <w:color w:val="000000"/>
                <w:spacing w:val="-2"/>
              </w:rPr>
            </w:pPr>
            <w:r w:rsidRPr="00A67F27">
              <w:rPr>
                <w:rStyle w:val="Table"/>
                <w:rFonts w:asciiTheme="majorBidi" w:hAnsiTheme="majorBidi" w:cstheme="majorBidi"/>
                <w:b/>
                <w:color w:val="000000"/>
                <w:spacing w:val="-2"/>
              </w:rPr>
              <w:t>Disponibilité pour la durée du Marché</w:t>
            </w:r>
            <w:r w:rsidR="009B2302" w:rsidRPr="00A67F27">
              <w:rPr>
                <w:rStyle w:val="Table"/>
                <w:rFonts w:asciiTheme="majorBidi" w:hAnsiTheme="majorBidi" w:cstheme="majorBidi"/>
                <w:b/>
                <w:color w:val="000000"/>
                <w:spacing w:val="-2"/>
              </w:rPr>
              <w:t> :</w:t>
            </w:r>
          </w:p>
        </w:tc>
        <w:tc>
          <w:tcPr>
            <w:tcW w:w="5487" w:type="dxa"/>
          </w:tcPr>
          <w:p w14:paraId="28D8FAE7" w14:textId="77777777" w:rsidR="00DE5C38" w:rsidRPr="00A67F27" w:rsidRDefault="00DE5C38" w:rsidP="00C15AC0">
            <w:pPr>
              <w:ind w:left="0" w:firstLine="0"/>
              <w:rPr>
                <w:rFonts w:asciiTheme="majorBidi" w:hAnsiTheme="majorBidi" w:cstheme="majorBidi"/>
                <w:i/>
                <w:sz w:val="20"/>
              </w:rPr>
            </w:pPr>
            <w:r w:rsidRPr="00A67F27">
              <w:rPr>
                <w:rFonts w:asciiTheme="majorBidi" w:hAnsiTheme="majorBidi" w:cstheme="majorBidi"/>
                <w:i/>
                <w:sz w:val="20"/>
              </w:rPr>
              <w:t>[insérer la période (dates de début et de fin) pendant laquelle le personnel clé est disponible pour ce marché]</w:t>
            </w:r>
          </w:p>
        </w:tc>
      </w:tr>
      <w:tr w:rsidR="00DE5C38" w:rsidRPr="00A67F27" w14:paraId="050553C9" w14:textId="77777777" w:rsidTr="00A736A8">
        <w:trPr>
          <w:cantSplit/>
        </w:trPr>
        <w:tc>
          <w:tcPr>
            <w:tcW w:w="3613" w:type="dxa"/>
          </w:tcPr>
          <w:p w14:paraId="4B1841AA" w14:textId="10FAB507" w:rsidR="00DE5C38" w:rsidRPr="00A67F27" w:rsidRDefault="00DE5C38" w:rsidP="00A736A8">
            <w:pPr>
              <w:suppressAutoHyphens/>
              <w:spacing w:before="60" w:after="60"/>
              <w:rPr>
                <w:rStyle w:val="Table"/>
                <w:rFonts w:asciiTheme="majorBidi" w:hAnsiTheme="majorBidi" w:cstheme="majorBidi"/>
                <w:b/>
                <w:color w:val="000000"/>
                <w:spacing w:val="-2"/>
              </w:rPr>
            </w:pPr>
            <w:r w:rsidRPr="00A67F27">
              <w:rPr>
                <w:rStyle w:val="Table"/>
                <w:rFonts w:asciiTheme="majorBidi" w:hAnsiTheme="majorBidi" w:cstheme="majorBidi"/>
                <w:b/>
                <w:color w:val="000000"/>
                <w:spacing w:val="-2"/>
              </w:rPr>
              <w:t>Durée</w:t>
            </w:r>
            <w:r w:rsidR="009B2302" w:rsidRPr="00A67F27">
              <w:rPr>
                <w:rStyle w:val="Table"/>
                <w:rFonts w:asciiTheme="majorBidi" w:hAnsiTheme="majorBidi" w:cstheme="majorBidi"/>
                <w:b/>
                <w:color w:val="000000"/>
                <w:spacing w:val="-2"/>
              </w:rPr>
              <w:t> :</w:t>
            </w:r>
          </w:p>
        </w:tc>
        <w:tc>
          <w:tcPr>
            <w:tcW w:w="5487" w:type="dxa"/>
          </w:tcPr>
          <w:p w14:paraId="7C9BEDF9" w14:textId="77777777" w:rsidR="00DE5C38" w:rsidRPr="00A67F27" w:rsidRDefault="00DE5C38" w:rsidP="00C15AC0">
            <w:pPr>
              <w:ind w:left="0" w:firstLine="0"/>
              <w:rPr>
                <w:rFonts w:asciiTheme="majorBidi" w:hAnsiTheme="majorBidi" w:cstheme="majorBidi"/>
                <w:i/>
                <w:sz w:val="20"/>
              </w:rPr>
            </w:pPr>
            <w:r w:rsidRPr="00A67F27">
              <w:rPr>
                <w:rFonts w:asciiTheme="majorBidi" w:hAnsiTheme="majorBidi" w:cstheme="majorBidi"/>
                <w:i/>
                <w:sz w:val="20"/>
              </w:rPr>
              <w:t>[insérer le nombre de jours/semaines/mois pendant lequel le personnel clé est disponible</w:t>
            </w:r>
            <w:r w:rsidRPr="00A67F27">
              <w:rPr>
                <w:rFonts w:asciiTheme="majorBidi" w:hAnsiTheme="majorBidi" w:cstheme="majorBidi"/>
                <w:sz w:val="20"/>
              </w:rPr>
              <w:t>]</w:t>
            </w:r>
          </w:p>
        </w:tc>
      </w:tr>
    </w:tbl>
    <w:p w14:paraId="386BEFE8" w14:textId="39F74BDB" w:rsidR="00DE5C38" w:rsidRPr="00A67F27" w:rsidRDefault="00DE5C38" w:rsidP="00244682">
      <w:pPr>
        <w:spacing w:before="240" w:after="120"/>
        <w:rPr>
          <w:rFonts w:asciiTheme="majorBidi" w:hAnsiTheme="majorBidi" w:cstheme="majorBidi"/>
        </w:rPr>
      </w:pPr>
      <w:r w:rsidRPr="00A67F27">
        <w:rPr>
          <w:rFonts w:asciiTheme="majorBidi" w:hAnsiTheme="majorBidi" w:cstheme="majorBidi"/>
        </w:rPr>
        <w:t>Je reconnais que toute fausse déclaration ou omission dans le présent formulaire</w:t>
      </w:r>
      <w:r w:rsidR="00F978BA">
        <w:rPr>
          <w:rFonts w:asciiTheme="majorBidi" w:hAnsiTheme="majorBidi" w:cstheme="majorBidi"/>
        </w:rPr>
        <w:t xml:space="preserve"> pourrait</w:t>
      </w:r>
      <w:r w:rsidR="009B2302" w:rsidRPr="00A67F27">
        <w:rPr>
          <w:rFonts w:asciiTheme="majorBidi" w:hAnsiTheme="majorBidi" w:cstheme="majorBidi"/>
        </w:rPr>
        <w:t> :</w:t>
      </w:r>
    </w:p>
    <w:p w14:paraId="1FDF5F5D" w14:textId="2C0AA398" w:rsidR="00DE5C38" w:rsidRPr="00A67F27" w:rsidRDefault="00DE5C38" w:rsidP="002A45C1">
      <w:pPr>
        <w:numPr>
          <w:ilvl w:val="0"/>
          <w:numId w:val="58"/>
        </w:numPr>
        <w:spacing w:after="120"/>
        <w:rPr>
          <w:rFonts w:asciiTheme="majorBidi" w:hAnsiTheme="majorBidi" w:cstheme="majorBidi"/>
        </w:rPr>
      </w:pPr>
      <w:r w:rsidRPr="00A67F27">
        <w:rPr>
          <w:rFonts w:asciiTheme="majorBidi" w:hAnsiTheme="majorBidi" w:cstheme="majorBidi"/>
        </w:rPr>
        <w:t>être prise en compte lors de l’évaluation de l’Offre</w:t>
      </w:r>
      <w:r w:rsidR="009B2302" w:rsidRPr="00A67F27">
        <w:rPr>
          <w:rFonts w:asciiTheme="majorBidi" w:hAnsiTheme="majorBidi" w:cstheme="majorBidi"/>
        </w:rPr>
        <w:t> ;</w:t>
      </w:r>
    </w:p>
    <w:p w14:paraId="575A4295" w14:textId="488F978D" w:rsidR="00DE5C38" w:rsidRPr="00A67F27" w:rsidRDefault="00DE5C38" w:rsidP="002A45C1">
      <w:pPr>
        <w:numPr>
          <w:ilvl w:val="0"/>
          <w:numId w:val="58"/>
        </w:numPr>
        <w:spacing w:after="120"/>
        <w:rPr>
          <w:rFonts w:asciiTheme="majorBidi" w:hAnsiTheme="majorBidi" w:cstheme="majorBidi"/>
        </w:rPr>
      </w:pPr>
      <w:r w:rsidRPr="00A67F27">
        <w:rPr>
          <w:rFonts w:asciiTheme="majorBidi" w:hAnsiTheme="majorBidi" w:cstheme="majorBidi"/>
        </w:rPr>
        <w:t>entrainer ma disqualification de l’Offre</w:t>
      </w:r>
      <w:r w:rsidR="009B2302" w:rsidRPr="00A67F27">
        <w:rPr>
          <w:rFonts w:asciiTheme="majorBidi" w:hAnsiTheme="majorBidi" w:cstheme="majorBidi"/>
        </w:rPr>
        <w:t> ;</w:t>
      </w:r>
    </w:p>
    <w:p w14:paraId="3CB93921" w14:textId="4792FAD8" w:rsidR="00DE5C38" w:rsidRPr="00A67F27" w:rsidRDefault="00DE5C38" w:rsidP="002A45C1">
      <w:pPr>
        <w:numPr>
          <w:ilvl w:val="0"/>
          <w:numId w:val="58"/>
        </w:numPr>
        <w:spacing w:after="120"/>
        <w:rPr>
          <w:rFonts w:asciiTheme="majorBidi" w:hAnsiTheme="majorBidi" w:cstheme="majorBidi"/>
        </w:rPr>
      </w:pPr>
      <w:r w:rsidRPr="00A67F27">
        <w:rPr>
          <w:rFonts w:asciiTheme="majorBidi" w:hAnsiTheme="majorBidi" w:cstheme="majorBidi"/>
        </w:rPr>
        <w:t xml:space="preserve">entrainer ma </w:t>
      </w:r>
      <w:r w:rsidR="00994494" w:rsidRPr="00A67F27">
        <w:rPr>
          <w:rFonts w:asciiTheme="majorBidi" w:hAnsiTheme="majorBidi" w:cstheme="majorBidi"/>
        </w:rPr>
        <w:t>congédiassions</w:t>
      </w:r>
      <w:r w:rsidRPr="00A67F27">
        <w:rPr>
          <w:rFonts w:asciiTheme="majorBidi" w:hAnsiTheme="majorBidi" w:cstheme="majorBidi"/>
        </w:rPr>
        <w:t xml:space="preserve"> du marché.</w:t>
      </w:r>
    </w:p>
    <w:p w14:paraId="28D16927" w14:textId="234FB31A" w:rsidR="00DE5C38" w:rsidRPr="00A67F27" w:rsidRDefault="00DE5C38" w:rsidP="00C15AC0">
      <w:pPr>
        <w:spacing w:before="360" w:after="240"/>
        <w:ind w:left="578" w:hanging="578"/>
        <w:rPr>
          <w:rFonts w:asciiTheme="majorBidi" w:hAnsiTheme="majorBidi" w:cstheme="majorBidi"/>
          <w:b/>
          <w:bCs/>
        </w:rPr>
      </w:pPr>
      <w:r w:rsidRPr="00A67F27">
        <w:rPr>
          <w:rFonts w:asciiTheme="majorBidi" w:hAnsiTheme="majorBidi" w:cstheme="majorBidi"/>
          <w:b/>
          <w:bCs/>
        </w:rPr>
        <w:t>Nom du Personnel –Clé</w:t>
      </w:r>
      <w:r w:rsidR="009B2302" w:rsidRPr="00A67F27">
        <w:rPr>
          <w:rFonts w:asciiTheme="majorBidi" w:hAnsiTheme="majorBidi" w:cstheme="majorBidi"/>
          <w:b/>
          <w:bCs/>
        </w:rPr>
        <w:t> :</w:t>
      </w:r>
      <w:r w:rsidRPr="00A67F27">
        <w:rPr>
          <w:rFonts w:asciiTheme="majorBidi" w:hAnsiTheme="majorBidi" w:cstheme="majorBidi"/>
          <w:b/>
          <w:bCs/>
        </w:rPr>
        <w:t xml:space="preserve"> </w:t>
      </w:r>
      <w:r w:rsidRPr="00A67F27">
        <w:rPr>
          <w:rFonts w:asciiTheme="majorBidi" w:hAnsiTheme="majorBidi" w:cstheme="majorBidi"/>
          <w:b/>
          <w:bCs/>
          <w:i/>
        </w:rPr>
        <w:t>[insérer le nom]</w:t>
      </w:r>
    </w:p>
    <w:p w14:paraId="04BBBF8F" w14:textId="07E32B7C" w:rsidR="00DE5C38" w:rsidRPr="00A67F27" w:rsidRDefault="00DE5C38" w:rsidP="00C15AC0">
      <w:pPr>
        <w:spacing w:before="360" w:after="240"/>
        <w:ind w:left="578" w:hanging="578"/>
        <w:rPr>
          <w:rFonts w:asciiTheme="majorBidi" w:hAnsiTheme="majorBidi" w:cstheme="majorBidi"/>
          <w:bCs/>
          <w:szCs w:val="24"/>
        </w:rPr>
      </w:pPr>
      <w:r w:rsidRPr="00A67F27">
        <w:rPr>
          <w:rFonts w:asciiTheme="majorBidi" w:hAnsiTheme="majorBidi" w:cstheme="majorBidi"/>
          <w:bCs/>
          <w:szCs w:val="24"/>
        </w:rPr>
        <w:t>Signature</w:t>
      </w:r>
      <w:r w:rsidR="009B2302" w:rsidRPr="00A67F27">
        <w:rPr>
          <w:rFonts w:asciiTheme="majorBidi" w:hAnsiTheme="majorBidi" w:cstheme="majorBidi"/>
          <w:bCs/>
          <w:szCs w:val="24"/>
        </w:rPr>
        <w:t> :</w:t>
      </w:r>
    </w:p>
    <w:p w14:paraId="31B081E1" w14:textId="5BA61496" w:rsidR="00DE5C38" w:rsidRPr="00A67F27" w:rsidRDefault="00C15AC0" w:rsidP="00C15AC0">
      <w:pPr>
        <w:spacing w:before="360" w:after="240"/>
        <w:ind w:left="578" w:hanging="578"/>
        <w:rPr>
          <w:rFonts w:asciiTheme="majorBidi" w:hAnsiTheme="majorBidi" w:cstheme="majorBidi"/>
          <w:bCs/>
          <w:szCs w:val="24"/>
        </w:rPr>
      </w:pPr>
      <w:r w:rsidRPr="00A67F27">
        <w:rPr>
          <w:rFonts w:asciiTheme="majorBidi" w:hAnsiTheme="majorBidi" w:cstheme="majorBidi"/>
          <w:bCs/>
          <w:szCs w:val="24"/>
        </w:rPr>
        <w:t>Date (jour/mois/année)</w:t>
      </w:r>
    </w:p>
    <w:p w14:paraId="5B735FAA" w14:textId="154D083F" w:rsidR="00DE5C38" w:rsidRPr="00A67F27" w:rsidRDefault="00DE5C38" w:rsidP="00C15AC0">
      <w:pPr>
        <w:spacing w:before="360" w:after="240"/>
        <w:ind w:left="578" w:hanging="578"/>
        <w:rPr>
          <w:rFonts w:asciiTheme="majorBidi" w:hAnsiTheme="majorBidi" w:cstheme="majorBidi"/>
          <w:b/>
          <w:bCs/>
          <w:szCs w:val="24"/>
        </w:rPr>
      </w:pPr>
      <w:r w:rsidRPr="00A67F27">
        <w:rPr>
          <w:rFonts w:asciiTheme="majorBidi" w:hAnsiTheme="majorBidi" w:cstheme="majorBidi"/>
          <w:b/>
          <w:bCs/>
          <w:szCs w:val="24"/>
        </w:rPr>
        <w:t>Signature du Représentant autorisé du Soumissionnaire</w:t>
      </w:r>
      <w:r w:rsidR="009B2302" w:rsidRPr="00A67F27">
        <w:rPr>
          <w:rFonts w:asciiTheme="majorBidi" w:hAnsiTheme="majorBidi" w:cstheme="majorBidi"/>
          <w:b/>
          <w:bCs/>
          <w:szCs w:val="24"/>
        </w:rPr>
        <w:t> :</w:t>
      </w:r>
    </w:p>
    <w:p w14:paraId="7429EF2C" w14:textId="4BE3FD54" w:rsidR="00DE5C38" w:rsidRPr="00A67F27" w:rsidRDefault="00DE5C38" w:rsidP="00C15AC0">
      <w:pPr>
        <w:spacing w:before="360" w:after="240"/>
        <w:ind w:left="578" w:hanging="578"/>
        <w:rPr>
          <w:rFonts w:asciiTheme="majorBidi" w:hAnsiTheme="majorBidi" w:cstheme="majorBidi"/>
          <w:bCs/>
          <w:szCs w:val="24"/>
        </w:rPr>
      </w:pPr>
      <w:r w:rsidRPr="00A67F27">
        <w:rPr>
          <w:rFonts w:asciiTheme="majorBidi" w:hAnsiTheme="majorBidi" w:cstheme="majorBidi"/>
          <w:bCs/>
          <w:szCs w:val="24"/>
        </w:rPr>
        <w:t>Signature</w:t>
      </w:r>
      <w:r w:rsidR="009B2302" w:rsidRPr="00A67F27">
        <w:rPr>
          <w:rFonts w:asciiTheme="majorBidi" w:hAnsiTheme="majorBidi" w:cstheme="majorBidi"/>
          <w:bCs/>
          <w:szCs w:val="24"/>
        </w:rPr>
        <w:t> :</w:t>
      </w:r>
    </w:p>
    <w:p w14:paraId="07C952D7" w14:textId="22B14849" w:rsidR="00DE5C38" w:rsidRPr="00A67F27" w:rsidRDefault="00C15AC0" w:rsidP="00C15AC0">
      <w:pPr>
        <w:spacing w:before="360" w:after="240"/>
        <w:ind w:left="578" w:hanging="578"/>
        <w:rPr>
          <w:rFonts w:asciiTheme="majorBidi" w:hAnsiTheme="majorBidi" w:cstheme="majorBidi"/>
          <w:bCs/>
          <w:szCs w:val="24"/>
        </w:rPr>
      </w:pPr>
      <w:r w:rsidRPr="00A67F27">
        <w:rPr>
          <w:rFonts w:asciiTheme="majorBidi" w:hAnsiTheme="majorBidi" w:cstheme="majorBidi"/>
          <w:bCs/>
          <w:szCs w:val="24"/>
        </w:rPr>
        <w:t>Date (jour/mois/année)</w:t>
      </w:r>
    </w:p>
    <w:p w14:paraId="517BAC4A" w14:textId="65F5D805" w:rsidR="00AE5101" w:rsidRPr="00A67F27" w:rsidRDefault="00AE5101">
      <w:pPr>
        <w:rPr>
          <w:rFonts w:asciiTheme="majorBidi" w:hAnsiTheme="majorBidi" w:cstheme="majorBidi"/>
          <w:b/>
        </w:rPr>
      </w:pPr>
      <w:r w:rsidRPr="00A67F27">
        <w:rPr>
          <w:rFonts w:asciiTheme="majorBidi" w:hAnsiTheme="majorBidi" w:cstheme="majorBidi"/>
          <w:b/>
        </w:rPr>
        <w:br w:type="page"/>
      </w:r>
    </w:p>
    <w:p w14:paraId="01C0E80D" w14:textId="77777777" w:rsidR="00893877" w:rsidRPr="00A67F27" w:rsidRDefault="00893877" w:rsidP="00244682">
      <w:pPr>
        <w:pStyle w:val="S4-Header2"/>
        <w:rPr>
          <w:lang w:val="fr-FR"/>
        </w:rPr>
      </w:pPr>
      <w:bookmarkStart w:id="493" w:name="_Toc327863873"/>
      <w:bookmarkStart w:id="494" w:name="_Toc483210392"/>
      <w:bookmarkStart w:id="495" w:name="_Toc487641619"/>
      <w:r w:rsidRPr="00A67F27">
        <w:rPr>
          <w:lang w:val="fr-FR"/>
        </w:rPr>
        <w:lastRenderedPageBreak/>
        <w:t>Matériel - Formulaire MAT</w:t>
      </w:r>
      <w:bookmarkEnd w:id="493"/>
      <w:bookmarkEnd w:id="494"/>
      <w:bookmarkEnd w:id="495"/>
    </w:p>
    <w:p w14:paraId="6092FA2F" w14:textId="77777777" w:rsidR="00893877" w:rsidRPr="00A67F27" w:rsidRDefault="00893877" w:rsidP="00893877">
      <w:pPr>
        <w:tabs>
          <w:tab w:val="left" w:pos="2610"/>
        </w:tabs>
        <w:ind w:left="0" w:firstLine="0"/>
        <w:rPr>
          <w:rFonts w:asciiTheme="majorBidi" w:hAnsiTheme="majorBidi" w:cstheme="majorBidi"/>
        </w:rPr>
      </w:pPr>
      <w:r w:rsidRPr="00A67F27">
        <w:rPr>
          <w:rFonts w:asciiTheme="majorBidi" w:hAnsiTheme="majorBidi" w:cstheme="majorBidi"/>
        </w:rPr>
        <w:t>Le Soumissionnaire doit fournir les détails concernant le matériel proposé afin d’établir qu’il a la possibilité de mobiliser le matériel clé dont la liste figure à la Section III, Critères d’évaluation et de qualification. Un formulaire distinct sera préparé pour chaque pièce de matériel figurant sur la liste, ou pour du matériel de remplacement proposé par le Soumissionnaire.</w:t>
      </w:r>
    </w:p>
    <w:tbl>
      <w:tblPr>
        <w:tblW w:w="0" w:type="auto"/>
        <w:tblInd w:w="72" w:type="dxa"/>
        <w:tblLayout w:type="fixed"/>
        <w:tblCellMar>
          <w:left w:w="72" w:type="dxa"/>
          <w:right w:w="72" w:type="dxa"/>
        </w:tblCellMar>
        <w:tblLook w:val="0000" w:firstRow="0" w:lastRow="0" w:firstColumn="0" w:lastColumn="0" w:noHBand="0" w:noVBand="0"/>
      </w:tblPr>
      <w:tblGrid>
        <w:gridCol w:w="1710"/>
        <w:gridCol w:w="3690"/>
        <w:gridCol w:w="3690"/>
      </w:tblGrid>
      <w:tr w:rsidR="00893877" w:rsidRPr="00A67F27" w14:paraId="461C7F6D" w14:textId="77777777" w:rsidTr="008E1AD4">
        <w:trPr>
          <w:cantSplit/>
        </w:trPr>
        <w:tc>
          <w:tcPr>
            <w:tcW w:w="9090" w:type="dxa"/>
            <w:gridSpan w:val="3"/>
            <w:tcBorders>
              <w:top w:val="single" w:sz="6" w:space="0" w:color="auto"/>
              <w:left w:val="single" w:sz="6" w:space="0" w:color="auto"/>
              <w:bottom w:val="single" w:sz="6" w:space="0" w:color="auto"/>
              <w:right w:val="single" w:sz="6" w:space="0" w:color="auto"/>
            </w:tcBorders>
          </w:tcPr>
          <w:p w14:paraId="0194D783" w14:textId="77777777" w:rsidR="00893877" w:rsidRPr="00A67F27" w:rsidRDefault="00893877" w:rsidP="00244682">
            <w:pPr>
              <w:tabs>
                <w:tab w:val="left" w:pos="2610"/>
              </w:tabs>
              <w:spacing w:before="60" w:after="120"/>
              <w:ind w:left="0" w:firstLine="0"/>
              <w:rPr>
                <w:rStyle w:val="Table"/>
                <w:rFonts w:asciiTheme="majorBidi" w:hAnsiTheme="majorBidi" w:cstheme="majorBidi"/>
                <w:b/>
                <w:bCs/>
                <w:spacing w:val="-2"/>
                <w:sz w:val="24"/>
                <w:szCs w:val="24"/>
              </w:rPr>
            </w:pPr>
            <w:r w:rsidRPr="00A67F27">
              <w:rPr>
                <w:rStyle w:val="Table"/>
                <w:rFonts w:asciiTheme="majorBidi" w:hAnsiTheme="majorBidi" w:cstheme="majorBidi"/>
                <w:b/>
                <w:bCs/>
                <w:spacing w:val="-2"/>
                <w:sz w:val="24"/>
                <w:szCs w:val="24"/>
              </w:rPr>
              <w:t>Pièce de matériel</w:t>
            </w:r>
          </w:p>
        </w:tc>
      </w:tr>
      <w:tr w:rsidR="00893877" w:rsidRPr="00A67F27" w14:paraId="2824637E" w14:textId="77777777" w:rsidTr="008E1AD4">
        <w:trPr>
          <w:cantSplit/>
        </w:trPr>
        <w:tc>
          <w:tcPr>
            <w:tcW w:w="1710" w:type="dxa"/>
            <w:tcBorders>
              <w:top w:val="single" w:sz="6" w:space="0" w:color="auto"/>
              <w:left w:val="single" w:sz="6" w:space="0" w:color="auto"/>
              <w:bottom w:val="nil"/>
              <w:right w:val="nil"/>
            </w:tcBorders>
          </w:tcPr>
          <w:p w14:paraId="4E515356" w14:textId="77777777" w:rsidR="00893877" w:rsidRPr="00A67F27" w:rsidRDefault="00893877" w:rsidP="00244682">
            <w:pPr>
              <w:tabs>
                <w:tab w:val="left" w:pos="2610"/>
              </w:tabs>
              <w:spacing w:before="60" w:after="120"/>
              <w:ind w:left="0" w:firstLine="0"/>
              <w:jc w:val="left"/>
              <w:rPr>
                <w:rStyle w:val="Table"/>
                <w:rFonts w:asciiTheme="majorBidi" w:hAnsiTheme="majorBidi" w:cstheme="majorBidi"/>
                <w:b/>
                <w:bCs/>
                <w:spacing w:val="-2"/>
                <w:sz w:val="24"/>
                <w:szCs w:val="24"/>
              </w:rPr>
            </w:pPr>
            <w:r w:rsidRPr="00A67F27">
              <w:rPr>
                <w:rStyle w:val="Table"/>
                <w:rFonts w:asciiTheme="majorBidi" w:hAnsiTheme="majorBidi" w:cstheme="majorBidi"/>
                <w:b/>
                <w:bCs/>
                <w:spacing w:val="-2"/>
                <w:sz w:val="24"/>
                <w:szCs w:val="24"/>
              </w:rPr>
              <w:t>Renseignement sur le matériel</w:t>
            </w:r>
          </w:p>
        </w:tc>
        <w:tc>
          <w:tcPr>
            <w:tcW w:w="3690" w:type="dxa"/>
            <w:tcBorders>
              <w:top w:val="single" w:sz="6" w:space="0" w:color="auto"/>
              <w:left w:val="single" w:sz="6" w:space="0" w:color="auto"/>
              <w:bottom w:val="nil"/>
              <w:right w:val="nil"/>
            </w:tcBorders>
          </w:tcPr>
          <w:p w14:paraId="20F6EE46" w14:textId="77777777" w:rsidR="00893877" w:rsidRPr="00A67F27" w:rsidRDefault="00893877" w:rsidP="00244682">
            <w:pPr>
              <w:tabs>
                <w:tab w:val="left" w:pos="2610"/>
              </w:tabs>
              <w:spacing w:before="60" w:after="120"/>
              <w:ind w:left="0" w:firstLine="0"/>
              <w:rPr>
                <w:rStyle w:val="Table"/>
                <w:rFonts w:asciiTheme="majorBidi" w:hAnsiTheme="majorBidi" w:cstheme="majorBidi"/>
                <w:b/>
                <w:bCs/>
                <w:spacing w:val="-2"/>
                <w:sz w:val="24"/>
                <w:szCs w:val="24"/>
              </w:rPr>
            </w:pPr>
            <w:r w:rsidRPr="00A67F27">
              <w:rPr>
                <w:rStyle w:val="Table"/>
                <w:rFonts w:asciiTheme="majorBidi" w:hAnsiTheme="majorBidi" w:cstheme="majorBidi"/>
                <w:b/>
                <w:bCs/>
                <w:spacing w:val="-2"/>
                <w:sz w:val="24"/>
                <w:szCs w:val="24"/>
              </w:rPr>
              <w:t>Nom du fabricant</w:t>
            </w:r>
          </w:p>
        </w:tc>
        <w:tc>
          <w:tcPr>
            <w:tcW w:w="3690" w:type="dxa"/>
            <w:tcBorders>
              <w:top w:val="single" w:sz="6" w:space="0" w:color="auto"/>
              <w:left w:val="single" w:sz="6" w:space="0" w:color="auto"/>
              <w:bottom w:val="nil"/>
              <w:right w:val="single" w:sz="6" w:space="0" w:color="auto"/>
            </w:tcBorders>
          </w:tcPr>
          <w:p w14:paraId="3C1FB9B7" w14:textId="77777777" w:rsidR="00893877" w:rsidRPr="00A67F27" w:rsidRDefault="00893877" w:rsidP="00244682">
            <w:pPr>
              <w:tabs>
                <w:tab w:val="left" w:pos="2610"/>
              </w:tabs>
              <w:spacing w:before="60" w:after="120"/>
              <w:ind w:left="0" w:firstLine="0"/>
              <w:rPr>
                <w:rStyle w:val="Table"/>
                <w:rFonts w:asciiTheme="majorBidi" w:hAnsiTheme="majorBidi" w:cstheme="majorBidi"/>
                <w:b/>
                <w:bCs/>
                <w:spacing w:val="-2"/>
                <w:sz w:val="24"/>
                <w:szCs w:val="24"/>
              </w:rPr>
            </w:pPr>
            <w:r w:rsidRPr="00A67F27">
              <w:rPr>
                <w:rStyle w:val="Table"/>
                <w:rFonts w:asciiTheme="majorBidi" w:hAnsiTheme="majorBidi" w:cstheme="majorBidi"/>
                <w:b/>
                <w:bCs/>
                <w:spacing w:val="-2"/>
                <w:sz w:val="24"/>
                <w:szCs w:val="24"/>
              </w:rPr>
              <w:t>Modèle et puissance</w:t>
            </w:r>
          </w:p>
        </w:tc>
      </w:tr>
      <w:tr w:rsidR="00893877" w:rsidRPr="00A67F27" w14:paraId="1B2F734E" w14:textId="77777777" w:rsidTr="008E1AD4">
        <w:trPr>
          <w:cantSplit/>
        </w:trPr>
        <w:tc>
          <w:tcPr>
            <w:tcW w:w="1710" w:type="dxa"/>
            <w:tcBorders>
              <w:top w:val="nil"/>
              <w:left w:val="single" w:sz="6" w:space="0" w:color="auto"/>
              <w:bottom w:val="nil"/>
              <w:right w:val="nil"/>
            </w:tcBorders>
          </w:tcPr>
          <w:p w14:paraId="1709B397" w14:textId="77777777" w:rsidR="00893877" w:rsidRPr="00A67F27" w:rsidRDefault="00893877" w:rsidP="00244682">
            <w:pPr>
              <w:tabs>
                <w:tab w:val="left" w:pos="2610"/>
              </w:tabs>
              <w:spacing w:before="60" w:after="120"/>
              <w:ind w:left="0" w:firstLine="0"/>
              <w:rPr>
                <w:rStyle w:val="Table"/>
                <w:rFonts w:asciiTheme="majorBidi" w:hAnsiTheme="majorBidi" w:cstheme="majorBidi"/>
                <w:b/>
                <w:bCs/>
                <w:spacing w:val="-2"/>
                <w:sz w:val="24"/>
                <w:szCs w:val="24"/>
              </w:rPr>
            </w:pPr>
          </w:p>
        </w:tc>
        <w:tc>
          <w:tcPr>
            <w:tcW w:w="3690" w:type="dxa"/>
            <w:tcBorders>
              <w:top w:val="single" w:sz="6" w:space="0" w:color="auto"/>
              <w:left w:val="single" w:sz="6" w:space="0" w:color="auto"/>
              <w:bottom w:val="nil"/>
              <w:right w:val="nil"/>
            </w:tcBorders>
          </w:tcPr>
          <w:p w14:paraId="6A3B6106" w14:textId="77777777" w:rsidR="00893877" w:rsidRPr="00A67F27" w:rsidRDefault="00893877" w:rsidP="00244682">
            <w:pPr>
              <w:tabs>
                <w:tab w:val="left" w:pos="2610"/>
              </w:tabs>
              <w:spacing w:before="60" w:after="120"/>
              <w:ind w:left="0" w:firstLine="0"/>
              <w:rPr>
                <w:rStyle w:val="Table"/>
                <w:rFonts w:asciiTheme="majorBidi" w:hAnsiTheme="majorBidi" w:cstheme="majorBidi"/>
                <w:b/>
                <w:bCs/>
                <w:spacing w:val="-2"/>
                <w:sz w:val="24"/>
                <w:szCs w:val="24"/>
              </w:rPr>
            </w:pPr>
            <w:r w:rsidRPr="00A67F27">
              <w:rPr>
                <w:rStyle w:val="Table"/>
                <w:rFonts w:asciiTheme="majorBidi" w:hAnsiTheme="majorBidi" w:cstheme="majorBidi"/>
                <w:b/>
                <w:bCs/>
                <w:spacing w:val="-2"/>
                <w:sz w:val="24"/>
                <w:szCs w:val="24"/>
              </w:rPr>
              <w:t>Capacité</w:t>
            </w:r>
          </w:p>
        </w:tc>
        <w:tc>
          <w:tcPr>
            <w:tcW w:w="3690" w:type="dxa"/>
            <w:tcBorders>
              <w:top w:val="single" w:sz="6" w:space="0" w:color="auto"/>
              <w:left w:val="single" w:sz="6" w:space="0" w:color="auto"/>
              <w:bottom w:val="nil"/>
              <w:right w:val="single" w:sz="6" w:space="0" w:color="auto"/>
            </w:tcBorders>
          </w:tcPr>
          <w:p w14:paraId="030613BA" w14:textId="77777777" w:rsidR="00893877" w:rsidRPr="00A67F27" w:rsidRDefault="00893877" w:rsidP="00244682">
            <w:pPr>
              <w:tabs>
                <w:tab w:val="left" w:pos="2610"/>
              </w:tabs>
              <w:spacing w:before="60" w:after="120"/>
              <w:ind w:left="0" w:firstLine="0"/>
              <w:rPr>
                <w:rStyle w:val="Table"/>
                <w:rFonts w:asciiTheme="majorBidi" w:hAnsiTheme="majorBidi" w:cstheme="majorBidi"/>
                <w:b/>
                <w:bCs/>
                <w:spacing w:val="-2"/>
                <w:sz w:val="24"/>
                <w:szCs w:val="24"/>
              </w:rPr>
            </w:pPr>
            <w:r w:rsidRPr="00A67F27">
              <w:rPr>
                <w:rStyle w:val="Table"/>
                <w:rFonts w:asciiTheme="majorBidi" w:hAnsiTheme="majorBidi" w:cstheme="majorBidi"/>
                <w:b/>
                <w:bCs/>
                <w:spacing w:val="-2"/>
                <w:sz w:val="24"/>
                <w:szCs w:val="24"/>
              </w:rPr>
              <w:t>Année de fabrication</w:t>
            </w:r>
          </w:p>
        </w:tc>
      </w:tr>
      <w:tr w:rsidR="00893877" w:rsidRPr="00A67F27" w14:paraId="3D970BB8" w14:textId="77777777" w:rsidTr="008E1AD4">
        <w:trPr>
          <w:cantSplit/>
        </w:trPr>
        <w:tc>
          <w:tcPr>
            <w:tcW w:w="1710" w:type="dxa"/>
            <w:tcBorders>
              <w:top w:val="single" w:sz="6" w:space="0" w:color="auto"/>
              <w:left w:val="single" w:sz="6" w:space="0" w:color="auto"/>
              <w:bottom w:val="nil"/>
              <w:right w:val="nil"/>
            </w:tcBorders>
          </w:tcPr>
          <w:p w14:paraId="06673BAD" w14:textId="77777777" w:rsidR="00893877" w:rsidRPr="00A67F27" w:rsidRDefault="00893877" w:rsidP="00244682">
            <w:pPr>
              <w:tabs>
                <w:tab w:val="left" w:pos="2610"/>
              </w:tabs>
              <w:spacing w:before="60" w:after="120"/>
              <w:ind w:left="0" w:firstLine="0"/>
              <w:rPr>
                <w:rStyle w:val="Table"/>
                <w:rFonts w:asciiTheme="majorBidi" w:hAnsiTheme="majorBidi" w:cstheme="majorBidi"/>
                <w:b/>
                <w:bCs/>
                <w:spacing w:val="-2"/>
                <w:sz w:val="24"/>
                <w:szCs w:val="24"/>
              </w:rPr>
            </w:pPr>
            <w:r w:rsidRPr="00A67F27">
              <w:rPr>
                <w:rStyle w:val="Table"/>
                <w:rFonts w:asciiTheme="majorBidi" w:hAnsiTheme="majorBidi" w:cstheme="majorBidi"/>
                <w:b/>
                <w:bCs/>
                <w:spacing w:val="-2"/>
                <w:sz w:val="24"/>
                <w:szCs w:val="24"/>
              </w:rPr>
              <w:t>Position courante</w:t>
            </w:r>
          </w:p>
        </w:tc>
        <w:tc>
          <w:tcPr>
            <w:tcW w:w="7380" w:type="dxa"/>
            <w:gridSpan w:val="2"/>
            <w:tcBorders>
              <w:top w:val="single" w:sz="6" w:space="0" w:color="auto"/>
              <w:left w:val="single" w:sz="6" w:space="0" w:color="auto"/>
              <w:bottom w:val="nil"/>
              <w:right w:val="single" w:sz="6" w:space="0" w:color="auto"/>
            </w:tcBorders>
          </w:tcPr>
          <w:p w14:paraId="41691924" w14:textId="77777777" w:rsidR="00893877" w:rsidRPr="00A67F27" w:rsidRDefault="00893877" w:rsidP="00244682">
            <w:pPr>
              <w:tabs>
                <w:tab w:val="left" w:pos="2610"/>
              </w:tabs>
              <w:spacing w:before="60" w:after="120"/>
              <w:ind w:left="0" w:firstLine="0"/>
              <w:rPr>
                <w:rStyle w:val="Table"/>
                <w:rFonts w:asciiTheme="majorBidi" w:hAnsiTheme="majorBidi" w:cstheme="majorBidi"/>
                <w:b/>
                <w:bCs/>
                <w:spacing w:val="-2"/>
                <w:sz w:val="24"/>
                <w:szCs w:val="24"/>
              </w:rPr>
            </w:pPr>
            <w:r w:rsidRPr="00A67F27">
              <w:rPr>
                <w:rStyle w:val="Table"/>
                <w:rFonts w:asciiTheme="majorBidi" w:hAnsiTheme="majorBidi" w:cstheme="majorBidi"/>
                <w:b/>
                <w:bCs/>
                <w:spacing w:val="-2"/>
                <w:sz w:val="24"/>
                <w:szCs w:val="24"/>
              </w:rPr>
              <w:t>Localisation présente</w:t>
            </w:r>
          </w:p>
          <w:p w14:paraId="77F643E1" w14:textId="77777777" w:rsidR="00893877" w:rsidRPr="00A67F27" w:rsidRDefault="00893877" w:rsidP="00244682">
            <w:pPr>
              <w:tabs>
                <w:tab w:val="left" w:pos="2610"/>
              </w:tabs>
              <w:spacing w:before="60" w:after="120"/>
              <w:ind w:left="0" w:firstLine="0"/>
              <w:rPr>
                <w:rStyle w:val="Table"/>
                <w:rFonts w:asciiTheme="majorBidi" w:hAnsiTheme="majorBidi" w:cstheme="majorBidi"/>
                <w:b/>
                <w:bCs/>
                <w:spacing w:val="-2"/>
                <w:sz w:val="24"/>
                <w:szCs w:val="24"/>
              </w:rPr>
            </w:pPr>
          </w:p>
        </w:tc>
      </w:tr>
      <w:tr w:rsidR="00893877" w:rsidRPr="00A67F27" w14:paraId="01464B97" w14:textId="77777777" w:rsidTr="008E1AD4">
        <w:trPr>
          <w:cantSplit/>
        </w:trPr>
        <w:tc>
          <w:tcPr>
            <w:tcW w:w="1710" w:type="dxa"/>
            <w:tcBorders>
              <w:top w:val="nil"/>
              <w:left w:val="single" w:sz="6" w:space="0" w:color="auto"/>
              <w:bottom w:val="nil"/>
              <w:right w:val="nil"/>
            </w:tcBorders>
          </w:tcPr>
          <w:p w14:paraId="66A96AC8" w14:textId="77777777" w:rsidR="00893877" w:rsidRPr="00A67F27" w:rsidRDefault="00893877" w:rsidP="00244682">
            <w:pPr>
              <w:tabs>
                <w:tab w:val="left" w:pos="2610"/>
              </w:tabs>
              <w:spacing w:before="60" w:after="120"/>
              <w:ind w:left="0" w:firstLine="0"/>
              <w:rPr>
                <w:rStyle w:val="Table"/>
                <w:rFonts w:asciiTheme="majorBidi" w:hAnsiTheme="majorBidi" w:cstheme="majorBidi"/>
                <w:b/>
                <w:bCs/>
                <w:spacing w:val="-2"/>
                <w:sz w:val="24"/>
                <w:szCs w:val="24"/>
              </w:rPr>
            </w:pPr>
          </w:p>
        </w:tc>
        <w:tc>
          <w:tcPr>
            <w:tcW w:w="7380" w:type="dxa"/>
            <w:gridSpan w:val="2"/>
            <w:tcBorders>
              <w:top w:val="single" w:sz="6" w:space="0" w:color="auto"/>
              <w:left w:val="single" w:sz="6" w:space="0" w:color="auto"/>
              <w:bottom w:val="nil"/>
              <w:right w:val="single" w:sz="6" w:space="0" w:color="auto"/>
            </w:tcBorders>
          </w:tcPr>
          <w:p w14:paraId="0C726BCD" w14:textId="77777777" w:rsidR="00893877" w:rsidRPr="00A67F27" w:rsidRDefault="00893877" w:rsidP="00244682">
            <w:pPr>
              <w:tabs>
                <w:tab w:val="left" w:pos="2610"/>
              </w:tabs>
              <w:spacing w:before="60" w:after="120"/>
              <w:ind w:left="0" w:firstLine="0"/>
              <w:rPr>
                <w:rStyle w:val="Table"/>
                <w:rFonts w:asciiTheme="majorBidi" w:hAnsiTheme="majorBidi" w:cstheme="majorBidi"/>
                <w:b/>
                <w:bCs/>
                <w:spacing w:val="-2"/>
                <w:sz w:val="24"/>
                <w:szCs w:val="24"/>
              </w:rPr>
            </w:pPr>
            <w:r w:rsidRPr="00A67F27">
              <w:rPr>
                <w:rStyle w:val="Table"/>
                <w:rFonts w:asciiTheme="majorBidi" w:hAnsiTheme="majorBidi" w:cstheme="majorBidi"/>
                <w:b/>
                <w:bCs/>
                <w:spacing w:val="-2"/>
                <w:sz w:val="24"/>
                <w:szCs w:val="24"/>
              </w:rPr>
              <w:t>Détails sur les engagements courants</w:t>
            </w:r>
          </w:p>
          <w:p w14:paraId="1C9E5597" w14:textId="77777777" w:rsidR="00893877" w:rsidRPr="00A67F27" w:rsidRDefault="00893877" w:rsidP="00244682">
            <w:pPr>
              <w:tabs>
                <w:tab w:val="left" w:pos="2610"/>
              </w:tabs>
              <w:spacing w:before="60" w:after="120"/>
              <w:ind w:left="0" w:firstLine="0"/>
              <w:rPr>
                <w:rStyle w:val="Table"/>
                <w:rFonts w:asciiTheme="majorBidi" w:hAnsiTheme="majorBidi" w:cstheme="majorBidi"/>
                <w:b/>
                <w:bCs/>
                <w:spacing w:val="-2"/>
                <w:sz w:val="24"/>
                <w:szCs w:val="24"/>
              </w:rPr>
            </w:pPr>
          </w:p>
        </w:tc>
      </w:tr>
      <w:tr w:rsidR="00893877" w:rsidRPr="00A67F27" w14:paraId="7ACEC5FA" w14:textId="77777777" w:rsidTr="008E1AD4">
        <w:trPr>
          <w:cantSplit/>
        </w:trPr>
        <w:tc>
          <w:tcPr>
            <w:tcW w:w="1710" w:type="dxa"/>
            <w:tcBorders>
              <w:top w:val="nil"/>
              <w:left w:val="single" w:sz="6" w:space="0" w:color="auto"/>
              <w:bottom w:val="nil"/>
              <w:right w:val="nil"/>
            </w:tcBorders>
          </w:tcPr>
          <w:p w14:paraId="00CE8925" w14:textId="77777777" w:rsidR="00893877" w:rsidRPr="00A67F27" w:rsidRDefault="00893877" w:rsidP="00244682">
            <w:pPr>
              <w:tabs>
                <w:tab w:val="left" w:pos="2610"/>
              </w:tabs>
              <w:spacing w:before="60" w:after="120"/>
              <w:ind w:left="0" w:firstLine="0"/>
              <w:rPr>
                <w:rStyle w:val="Table"/>
                <w:rFonts w:asciiTheme="majorBidi" w:hAnsiTheme="majorBidi" w:cstheme="majorBidi"/>
                <w:b/>
                <w:bCs/>
                <w:spacing w:val="-2"/>
                <w:sz w:val="24"/>
                <w:szCs w:val="24"/>
              </w:rPr>
            </w:pPr>
          </w:p>
        </w:tc>
        <w:tc>
          <w:tcPr>
            <w:tcW w:w="7380" w:type="dxa"/>
            <w:gridSpan w:val="2"/>
            <w:tcBorders>
              <w:top w:val="nil"/>
              <w:left w:val="single" w:sz="6" w:space="0" w:color="auto"/>
              <w:bottom w:val="nil"/>
              <w:right w:val="single" w:sz="6" w:space="0" w:color="auto"/>
            </w:tcBorders>
          </w:tcPr>
          <w:p w14:paraId="0E700725" w14:textId="77777777" w:rsidR="00893877" w:rsidRPr="00A67F27" w:rsidRDefault="00893877" w:rsidP="00244682">
            <w:pPr>
              <w:tabs>
                <w:tab w:val="left" w:pos="2610"/>
              </w:tabs>
              <w:spacing w:before="60" w:after="120"/>
              <w:ind w:left="0" w:firstLine="0"/>
              <w:rPr>
                <w:rStyle w:val="Table"/>
                <w:rFonts w:asciiTheme="majorBidi" w:hAnsiTheme="majorBidi" w:cstheme="majorBidi"/>
                <w:b/>
                <w:bCs/>
                <w:spacing w:val="-2"/>
                <w:sz w:val="24"/>
                <w:szCs w:val="24"/>
              </w:rPr>
            </w:pPr>
          </w:p>
        </w:tc>
      </w:tr>
      <w:tr w:rsidR="00893877" w:rsidRPr="00A67F27" w14:paraId="262DFA45" w14:textId="77777777" w:rsidTr="008E1AD4">
        <w:trPr>
          <w:cantSplit/>
        </w:trPr>
        <w:tc>
          <w:tcPr>
            <w:tcW w:w="1710" w:type="dxa"/>
            <w:tcBorders>
              <w:top w:val="single" w:sz="6" w:space="0" w:color="auto"/>
              <w:left w:val="single" w:sz="6" w:space="0" w:color="auto"/>
              <w:bottom w:val="single" w:sz="6" w:space="0" w:color="auto"/>
              <w:right w:val="nil"/>
            </w:tcBorders>
          </w:tcPr>
          <w:p w14:paraId="698E0DD4" w14:textId="77777777" w:rsidR="00893877" w:rsidRPr="00A67F27" w:rsidRDefault="00893877" w:rsidP="00244682">
            <w:pPr>
              <w:tabs>
                <w:tab w:val="left" w:pos="2610"/>
              </w:tabs>
              <w:spacing w:before="60" w:after="120"/>
              <w:ind w:left="0" w:firstLine="0"/>
              <w:rPr>
                <w:rStyle w:val="Table"/>
                <w:rFonts w:asciiTheme="majorBidi" w:hAnsiTheme="majorBidi" w:cstheme="majorBidi"/>
                <w:b/>
                <w:bCs/>
                <w:spacing w:val="-2"/>
                <w:sz w:val="24"/>
                <w:szCs w:val="24"/>
              </w:rPr>
            </w:pPr>
            <w:r w:rsidRPr="00A67F27">
              <w:rPr>
                <w:rStyle w:val="Table"/>
                <w:rFonts w:asciiTheme="majorBidi" w:hAnsiTheme="majorBidi" w:cstheme="majorBidi"/>
                <w:b/>
                <w:bCs/>
                <w:spacing w:val="-2"/>
                <w:sz w:val="24"/>
                <w:szCs w:val="24"/>
              </w:rPr>
              <w:t>Provenance</w:t>
            </w:r>
          </w:p>
        </w:tc>
        <w:tc>
          <w:tcPr>
            <w:tcW w:w="7380" w:type="dxa"/>
            <w:gridSpan w:val="2"/>
            <w:tcBorders>
              <w:top w:val="single" w:sz="6" w:space="0" w:color="auto"/>
              <w:left w:val="single" w:sz="6" w:space="0" w:color="auto"/>
              <w:bottom w:val="single" w:sz="6" w:space="0" w:color="auto"/>
              <w:right w:val="single" w:sz="6" w:space="0" w:color="auto"/>
            </w:tcBorders>
          </w:tcPr>
          <w:p w14:paraId="09B565F2" w14:textId="77777777" w:rsidR="00893877" w:rsidRPr="00A67F27" w:rsidRDefault="00893877" w:rsidP="00244682">
            <w:pPr>
              <w:tabs>
                <w:tab w:val="left" w:pos="2610"/>
              </w:tabs>
              <w:spacing w:before="60" w:after="120"/>
              <w:ind w:left="0" w:firstLine="0"/>
              <w:rPr>
                <w:rStyle w:val="Table"/>
                <w:rFonts w:asciiTheme="majorBidi" w:hAnsiTheme="majorBidi" w:cstheme="majorBidi"/>
                <w:b/>
                <w:bCs/>
                <w:spacing w:val="-2"/>
                <w:sz w:val="24"/>
                <w:szCs w:val="24"/>
              </w:rPr>
            </w:pPr>
            <w:r w:rsidRPr="00A67F27">
              <w:rPr>
                <w:rStyle w:val="Table"/>
                <w:rFonts w:asciiTheme="majorBidi" w:hAnsiTheme="majorBidi" w:cstheme="majorBidi"/>
                <w:b/>
                <w:bCs/>
                <w:spacing w:val="-2"/>
                <w:sz w:val="24"/>
                <w:szCs w:val="24"/>
              </w:rPr>
              <w:t>Indiquer la provenance du matériel</w:t>
            </w:r>
          </w:p>
          <w:p w14:paraId="42754291" w14:textId="77777777" w:rsidR="00244682" w:rsidRPr="00A67F27" w:rsidRDefault="00893877" w:rsidP="00244682">
            <w:pPr>
              <w:pStyle w:val="En-tte"/>
              <w:tabs>
                <w:tab w:val="left" w:pos="-1440"/>
                <w:tab w:val="left" w:pos="-720"/>
                <w:tab w:val="left" w:pos="288"/>
                <w:tab w:val="left" w:pos="1638"/>
                <w:tab w:val="left" w:pos="2610"/>
                <w:tab w:val="left" w:pos="2898"/>
                <w:tab w:val="left" w:pos="4338"/>
              </w:tabs>
              <w:spacing w:before="60" w:after="120"/>
              <w:ind w:left="0" w:firstLine="0"/>
              <w:rPr>
                <w:rStyle w:val="Table"/>
                <w:rFonts w:asciiTheme="majorBidi" w:hAnsiTheme="majorBidi" w:cstheme="majorBidi"/>
                <w:b/>
                <w:bCs/>
                <w:spacing w:val="-2"/>
                <w:sz w:val="24"/>
                <w:szCs w:val="24"/>
              </w:rPr>
            </w:pPr>
            <w:r w:rsidRPr="00142BB6">
              <w:rPr>
                <w:rStyle w:val="Table"/>
                <w:rFonts w:asciiTheme="majorBidi" w:hAnsiTheme="majorBidi" w:cstheme="majorBidi"/>
                <w:b/>
                <w:bCs/>
                <w:spacing w:val="-2"/>
                <w:sz w:val="24"/>
                <w:szCs w:val="24"/>
              </w:rPr>
              <w:fldChar w:fldCharType="begin"/>
            </w:r>
            <w:r w:rsidRPr="00A67F27">
              <w:rPr>
                <w:rStyle w:val="Table"/>
                <w:rFonts w:asciiTheme="majorBidi" w:hAnsiTheme="majorBidi" w:cstheme="majorBidi"/>
                <w:b/>
                <w:bCs/>
                <w:spacing w:val="-2"/>
                <w:sz w:val="24"/>
                <w:szCs w:val="24"/>
              </w:rPr>
              <w:instrText>symbol 111 \f "Wingdings" \s 12</w:instrText>
            </w:r>
            <w:r w:rsidRPr="00142BB6">
              <w:rPr>
                <w:rStyle w:val="Table"/>
                <w:rFonts w:asciiTheme="majorBidi" w:hAnsiTheme="majorBidi" w:cstheme="majorBidi"/>
                <w:b/>
                <w:bCs/>
                <w:spacing w:val="-2"/>
                <w:sz w:val="24"/>
                <w:szCs w:val="24"/>
              </w:rPr>
              <w:fldChar w:fldCharType="separate"/>
            </w:r>
            <w:r w:rsidRPr="00A67F27">
              <w:rPr>
                <w:rStyle w:val="Table"/>
                <w:rFonts w:asciiTheme="majorBidi" w:hAnsiTheme="majorBidi" w:cstheme="majorBidi"/>
                <w:b/>
                <w:bCs/>
                <w:spacing w:val="-2"/>
                <w:sz w:val="24"/>
                <w:szCs w:val="24"/>
              </w:rPr>
              <w:t>o</w:t>
            </w:r>
            <w:r w:rsidRPr="00142BB6">
              <w:rPr>
                <w:rStyle w:val="Table"/>
                <w:rFonts w:asciiTheme="majorBidi" w:hAnsiTheme="majorBidi" w:cstheme="majorBidi"/>
                <w:b/>
                <w:bCs/>
                <w:spacing w:val="-2"/>
                <w:sz w:val="24"/>
                <w:szCs w:val="24"/>
              </w:rPr>
              <w:fldChar w:fldCharType="end"/>
            </w:r>
            <w:r w:rsidRPr="00A67F27">
              <w:rPr>
                <w:rStyle w:val="Table"/>
                <w:rFonts w:asciiTheme="majorBidi" w:hAnsiTheme="majorBidi" w:cstheme="majorBidi"/>
                <w:b/>
                <w:bCs/>
                <w:spacing w:val="-2"/>
                <w:sz w:val="24"/>
                <w:szCs w:val="24"/>
              </w:rPr>
              <w:t xml:space="preserve"> en possession</w:t>
            </w:r>
            <w:r w:rsidRPr="00142BB6">
              <w:rPr>
                <w:rStyle w:val="Table"/>
                <w:rFonts w:asciiTheme="majorBidi" w:hAnsiTheme="majorBidi" w:cstheme="majorBidi"/>
                <w:b/>
                <w:bCs/>
                <w:spacing w:val="-2"/>
                <w:sz w:val="24"/>
                <w:szCs w:val="24"/>
              </w:rPr>
              <w:fldChar w:fldCharType="begin"/>
            </w:r>
            <w:r w:rsidRPr="00A67F27">
              <w:rPr>
                <w:rStyle w:val="Table"/>
                <w:rFonts w:asciiTheme="majorBidi" w:hAnsiTheme="majorBidi" w:cstheme="majorBidi"/>
                <w:b/>
                <w:bCs/>
                <w:spacing w:val="-2"/>
                <w:sz w:val="24"/>
                <w:szCs w:val="24"/>
              </w:rPr>
              <w:instrText>symbol 111 \f "Wingdings" \s 12</w:instrText>
            </w:r>
            <w:r w:rsidRPr="00142BB6">
              <w:rPr>
                <w:rStyle w:val="Table"/>
                <w:rFonts w:asciiTheme="majorBidi" w:hAnsiTheme="majorBidi" w:cstheme="majorBidi"/>
                <w:b/>
                <w:bCs/>
                <w:spacing w:val="-2"/>
                <w:sz w:val="24"/>
                <w:szCs w:val="24"/>
              </w:rPr>
              <w:fldChar w:fldCharType="separate"/>
            </w:r>
            <w:r w:rsidRPr="00A67F27">
              <w:rPr>
                <w:rStyle w:val="Table"/>
                <w:rFonts w:asciiTheme="majorBidi" w:hAnsiTheme="majorBidi" w:cstheme="majorBidi"/>
                <w:b/>
                <w:bCs/>
                <w:spacing w:val="-2"/>
                <w:sz w:val="24"/>
                <w:szCs w:val="24"/>
              </w:rPr>
              <w:t>o</w:t>
            </w:r>
            <w:r w:rsidRPr="00142BB6">
              <w:rPr>
                <w:rStyle w:val="Table"/>
                <w:rFonts w:asciiTheme="majorBidi" w:hAnsiTheme="majorBidi" w:cstheme="majorBidi"/>
                <w:b/>
                <w:bCs/>
                <w:spacing w:val="-2"/>
                <w:sz w:val="24"/>
                <w:szCs w:val="24"/>
              </w:rPr>
              <w:fldChar w:fldCharType="end"/>
            </w:r>
            <w:r w:rsidRPr="00A67F27">
              <w:rPr>
                <w:rStyle w:val="Table"/>
                <w:rFonts w:asciiTheme="majorBidi" w:hAnsiTheme="majorBidi" w:cstheme="majorBidi"/>
                <w:b/>
                <w:bCs/>
                <w:spacing w:val="-2"/>
                <w:sz w:val="24"/>
                <w:szCs w:val="24"/>
              </w:rPr>
              <w:t xml:space="preserve"> en location</w:t>
            </w:r>
            <w:r w:rsidRPr="00142BB6">
              <w:rPr>
                <w:rStyle w:val="Table"/>
                <w:rFonts w:asciiTheme="majorBidi" w:hAnsiTheme="majorBidi" w:cstheme="majorBidi"/>
                <w:b/>
                <w:bCs/>
                <w:spacing w:val="-2"/>
                <w:sz w:val="24"/>
                <w:szCs w:val="24"/>
              </w:rPr>
              <w:fldChar w:fldCharType="begin"/>
            </w:r>
            <w:r w:rsidRPr="00A67F27">
              <w:rPr>
                <w:rStyle w:val="Table"/>
                <w:rFonts w:asciiTheme="majorBidi" w:hAnsiTheme="majorBidi" w:cstheme="majorBidi"/>
                <w:b/>
                <w:bCs/>
                <w:spacing w:val="-2"/>
                <w:sz w:val="24"/>
                <w:szCs w:val="24"/>
              </w:rPr>
              <w:instrText>symbol 111 \f "Wingdings" \s 12</w:instrText>
            </w:r>
            <w:r w:rsidRPr="00142BB6">
              <w:rPr>
                <w:rStyle w:val="Table"/>
                <w:rFonts w:asciiTheme="majorBidi" w:hAnsiTheme="majorBidi" w:cstheme="majorBidi"/>
                <w:b/>
                <w:bCs/>
                <w:spacing w:val="-2"/>
                <w:sz w:val="24"/>
                <w:szCs w:val="24"/>
              </w:rPr>
              <w:fldChar w:fldCharType="separate"/>
            </w:r>
            <w:r w:rsidRPr="00A67F27">
              <w:rPr>
                <w:rStyle w:val="Table"/>
                <w:rFonts w:asciiTheme="majorBidi" w:hAnsiTheme="majorBidi" w:cstheme="majorBidi"/>
                <w:b/>
                <w:bCs/>
                <w:spacing w:val="-2"/>
                <w:sz w:val="24"/>
                <w:szCs w:val="24"/>
              </w:rPr>
              <w:t>o</w:t>
            </w:r>
            <w:r w:rsidRPr="00142BB6">
              <w:rPr>
                <w:rStyle w:val="Table"/>
                <w:rFonts w:asciiTheme="majorBidi" w:hAnsiTheme="majorBidi" w:cstheme="majorBidi"/>
                <w:b/>
                <w:bCs/>
                <w:spacing w:val="-2"/>
                <w:sz w:val="24"/>
                <w:szCs w:val="24"/>
              </w:rPr>
              <w:fldChar w:fldCharType="end"/>
            </w:r>
            <w:r w:rsidRPr="00A67F27">
              <w:rPr>
                <w:rStyle w:val="Table"/>
                <w:rFonts w:asciiTheme="majorBidi" w:hAnsiTheme="majorBidi" w:cstheme="majorBidi"/>
                <w:b/>
                <w:bCs/>
                <w:spacing w:val="-2"/>
                <w:sz w:val="24"/>
                <w:szCs w:val="24"/>
              </w:rPr>
              <w:t xml:space="preserve"> en location-vente </w:t>
            </w:r>
          </w:p>
          <w:p w14:paraId="0F14A5EC" w14:textId="046F7201" w:rsidR="00893877" w:rsidRPr="00A67F27" w:rsidRDefault="00893877" w:rsidP="00244682">
            <w:pPr>
              <w:pStyle w:val="En-tte"/>
              <w:tabs>
                <w:tab w:val="left" w:pos="-1440"/>
                <w:tab w:val="left" w:pos="-720"/>
                <w:tab w:val="left" w:pos="288"/>
                <w:tab w:val="left" w:pos="1638"/>
                <w:tab w:val="left" w:pos="2610"/>
                <w:tab w:val="left" w:pos="2898"/>
                <w:tab w:val="left" w:pos="4338"/>
              </w:tabs>
              <w:spacing w:before="60" w:after="120"/>
              <w:ind w:left="0" w:firstLine="0"/>
              <w:rPr>
                <w:rStyle w:val="Table"/>
                <w:rFonts w:asciiTheme="majorBidi" w:hAnsiTheme="majorBidi" w:cstheme="majorBidi"/>
                <w:b/>
                <w:bCs/>
                <w:spacing w:val="-2"/>
                <w:sz w:val="24"/>
                <w:szCs w:val="24"/>
              </w:rPr>
            </w:pPr>
            <w:r w:rsidRPr="00142BB6">
              <w:rPr>
                <w:rStyle w:val="Table"/>
                <w:rFonts w:asciiTheme="majorBidi" w:hAnsiTheme="majorBidi" w:cstheme="majorBidi"/>
                <w:b/>
                <w:bCs/>
                <w:spacing w:val="-2"/>
                <w:sz w:val="24"/>
                <w:szCs w:val="24"/>
              </w:rPr>
              <w:fldChar w:fldCharType="begin"/>
            </w:r>
            <w:r w:rsidRPr="00A67F27">
              <w:rPr>
                <w:rStyle w:val="Table"/>
                <w:rFonts w:asciiTheme="majorBidi" w:hAnsiTheme="majorBidi" w:cstheme="majorBidi"/>
                <w:b/>
                <w:bCs/>
                <w:spacing w:val="-2"/>
                <w:sz w:val="24"/>
                <w:szCs w:val="24"/>
              </w:rPr>
              <w:instrText>symbol 111 \f "Wingdings" \s 12</w:instrText>
            </w:r>
            <w:r w:rsidRPr="00142BB6">
              <w:rPr>
                <w:rStyle w:val="Table"/>
                <w:rFonts w:asciiTheme="majorBidi" w:hAnsiTheme="majorBidi" w:cstheme="majorBidi"/>
                <w:b/>
                <w:bCs/>
                <w:spacing w:val="-2"/>
                <w:sz w:val="24"/>
                <w:szCs w:val="24"/>
              </w:rPr>
              <w:fldChar w:fldCharType="separate"/>
            </w:r>
            <w:r w:rsidRPr="00A67F27">
              <w:rPr>
                <w:rStyle w:val="Table"/>
                <w:rFonts w:asciiTheme="majorBidi" w:hAnsiTheme="majorBidi" w:cstheme="majorBidi"/>
                <w:b/>
                <w:bCs/>
                <w:spacing w:val="-2"/>
                <w:sz w:val="24"/>
                <w:szCs w:val="24"/>
              </w:rPr>
              <w:t>o</w:t>
            </w:r>
            <w:r w:rsidRPr="00142BB6">
              <w:rPr>
                <w:rStyle w:val="Table"/>
                <w:rFonts w:asciiTheme="majorBidi" w:hAnsiTheme="majorBidi" w:cstheme="majorBidi"/>
                <w:b/>
                <w:bCs/>
                <w:spacing w:val="-2"/>
                <w:sz w:val="24"/>
                <w:szCs w:val="24"/>
              </w:rPr>
              <w:fldChar w:fldCharType="end"/>
            </w:r>
            <w:r w:rsidRPr="00A67F27">
              <w:rPr>
                <w:rStyle w:val="Table"/>
                <w:rFonts w:asciiTheme="majorBidi" w:hAnsiTheme="majorBidi" w:cstheme="majorBidi"/>
                <w:b/>
                <w:bCs/>
                <w:spacing w:val="-2"/>
                <w:sz w:val="24"/>
                <w:szCs w:val="24"/>
              </w:rPr>
              <w:t xml:space="preserve"> fabriqué spécialement</w:t>
            </w:r>
          </w:p>
        </w:tc>
      </w:tr>
    </w:tbl>
    <w:p w14:paraId="01EEA9AD" w14:textId="77777777" w:rsidR="00893877" w:rsidRPr="00A67F27" w:rsidRDefault="00893877" w:rsidP="00893877">
      <w:pPr>
        <w:tabs>
          <w:tab w:val="left" w:pos="2610"/>
        </w:tabs>
        <w:rPr>
          <w:rStyle w:val="Table"/>
          <w:rFonts w:asciiTheme="majorBidi" w:hAnsiTheme="majorBidi" w:cstheme="majorBidi"/>
          <w:spacing w:val="-2"/>
        </w:rPr>
      </w:pPr>
    </w:p>
    <w:p w14:paraId="3BEFF4EA" w14:textId="77777777" w:rsidR="00893877" w:rsidRPr="00A67F27" w:rsidRDefault="00893877" w:rsidP="00893877">
      <w:pPr>
        <w:tabs>
          <w:tab w:val="left" w:pos="2610"/>
        </w:tabs>
        <w:rPr>
          <w:rFonts w:asciiTheme="majorBidi" w:hAnsiTheme="majorBidi" w:cstheme="majorBidi"/>
        </w:rPr>
      </w:pPr>
      <w:r w:rsidRPr="005C1A32">
        <w:rPr>
          <w:rFonts w:asciiTheme="majorBidi" w:hAnsiTheme="majorBidi" w:cstheme="majorBidi"/>
        </w:rPr>
        <w:t>Les renseignements suivants seront omis pour le matériel en possession du Soumissionnaire.</w:t>
      </w:r>
    </w:p>
    <w:tbl>
      <w:tblPr>
        <w:tblW w:w="0" w:type="auto"/>
        <w:tblInd w:w="72" w:type="dxa"/>
        <w:tblLayout w:type="fixed"/>
        <w:tblCellMar>
          <w:left w:w="72" w:type="dxa"/>
          <w:right w:w="72" w:type="dxa"/>
        </w:tblCellMar>
        <w:tblLook w:val="0000" w:firstRow="0" w:lastRow="0" w:firstColumn="0" w:lastColumn="0" w:noHBand="0" w:noVBand="0"/>
      </w:tblPr>
      <w:tblGrid>
        <w:gridCol w:w="1710"/>
        <w:gridCol w:w="3690"/>
        <w:gridCol w:w="3690"/>
      </w:tblGrid>
      <w:tr w:rsidR="00893877" w:rsidRPr="00A67F27" w14:paraId="7E990A2F" w14:textId="77777777" w:rsidTr="008E1AD4">
        <w:trPr>
          <w:cantSplit/>
        </w:trPr>
        <w:tc>
          <w:tcPr>
            <w:tcW w:w="1710" w:type="dxa"/>
            <w:tcBorders>
              <w:top w:val="single" w:sz="6" w:space="0" w:color="auto"/>
              <w:left w:val="single" w:sz="6" w:space="0" w:color="auto"/>
              <w:bottom w:val="nil"/>
              <w:right w:val="nil"/>
            </w:tcBorders>
          </w:tcPr>
          <w:p w14:paraId="7F938F25" w14:textId="77777777" w:rsidR="00893877" w:rsidRPr="00A67F27" w:rsidRDefault="00893877" w:rsidP="008E1AD4">
            <w:pPr>
              <w:tabs>
                <w:tab w:val="left" w:pos="2610"/>
              </w:tabs>
              <w:spacing w:before="60" w:after="60"/>
              <w:ind w:left="0" w:firstLine="0"/>
              <w:rPr>
                <w:rStyle w:val="Table"/>
                <w:rFonts w:asciiTheme="majorBidi" w:hAnsiTheme="majorBidi" w:cstheme="majorBidi"/>
                <w:b/>
                <w:bCs/>
                <w:spacing w:val="-2"/>
                <w:sz w:val="24"/>
                <w:szCs w:val="24"/>
              </w:rPr>
            </w:pPr>
            <w:r w:rsidRPr="00A67F27">
              <w:rPr>
                <w:rStyle w:val="Table"/>
                <w:rFonts w:asciiTheme="majorBidi" w:hAnsiTheme="majorBidi" w:cstheme="majorBidi"/>
                <w:b/>
                <w:bCs/>
                <w:spacing w:val="-2"/>
                <w:sz w:val="24"/>
                <w:szCs w:val="24"/>
              </w:rPr>
              <w:t>Propriétaire</w:t>
            </w:r>
          </w:p>
        </w:tc>
        <w:tc>
          <w:tcPr>
            <w:tcW w:w="7380" w:type="dxa"/>
            <w:gridSpan w:val="2"/>
            <w:tcBorders>
              <w:top w:val="single" w:sz="6" w:space="0" w:color="auto"/>
              <w:left w:val="single" w:sz="6" w:space="0" w:color="auto"/>
              <w:bottom w:val="nil"/>
              <w:right w:val="single" w:sz="6" w:space="0" w:color="auto"/>
            </w:tcBorders>
          </w:tcPr>
          <w:p w14:paraId="5AE782FD" w14:textId="77777777" w:rsidR="00893877" w:rsidRPr="00A67F27" w:rsidRDefault="00893877" w:rsidP="008E1AD4">
            <w:pPr>
              <w:tabs>
                <w:tab w:val="left" w:pos="2610"/>
              </w:tabs>
              <w:spacing w:before="60" w:after="60"/>
              <w:ind w:left="0" w:firstLine="0"/>
              <w:rPr>
                <w:rStyle w:val="Table"/>
                <w:rFonts w:asciiTheme="majorBidi" w:hAnsiTheme="majorBidi" w:cstheme="majorBidi"/>
                <w:b/>
                <w:bCs/>
                <w:spacing w:val="-2"/>
                <w:sz w:val="24"/>
                <w:szCs w:val="24"/>
              </w:rPr>
            </w:pPr>
            <w:r w:rsidRPr="00A67F27">
              <w:rPr>
                <w:rStyle w:val="Table"/>
                <w:rFonts w:asciiTheme="majorBidi" w:hAnsiTheme="majorBidi" w:cstheme="majorBidi"/>
                <w:b/>
                <w:bCs/>
                <w:spacing w:val="-2"/>
                <w:sz w:val="24"/>
                <w:szCs w:val="24"/>
              </w:rPr>
              <w:t>Nom du Propriétaire</w:t>
            </w:r>
          </w:p>
        </w:tc>
      </w:tr>
      <w:tr w:rsidR="00893877" w:rsidRPr="00A67F27" w14:paraId="6D9F5FB3" w14:textId="77777777" w:rsidTr="008E1AD4">
        <w:trPr>
          <w:cantSplit/>
        </w:trPr>
        <w:tc>
          <w:tcPr>
            <w:tcW w:w="1710" w:type="dxa"/>
            <w:tcBorders>
              <w:top w:val="nil"/>
              <w:left w:val="single" w:sz="6" w:space="0" w:color="auto"/>
              <w:bottom w:val="nil"/>
              <w:right w:val="nil"/>
            </w:tcBorders>
          </w:tcPr>
          <w:p w14:paraId="5028AAF4" w14:textId="77777777" w:rsidR="00893877" w:rsidRPr="00A67F27" w:rsidRDefault="00893877" w:rsidP="008E1AD4">
            <w:pPr>
              <w:tabs>
                <w:tab w:val="left" w:pos="2610"/>
              </w:tabs>
              <w:spacing w:before="60" w:after="60"/>
              <w:ind w:left="0" w:firstLine="0"/>
              <w:rPr>
                <w:rStyle w:val="Table"/>
                <w:rFonts w:asciiTheme="majorBidi" w:hAnsiTheme="majorBidi" w:cstheme="majorBidi"/>
                <w:b/>
                <w:bCs/>
                <w:spacing w:val="-2"/>
                <w:sz w:val="24"/>
                <w:szCs w:val="24"/>
              </w:rPr>
            </w:pPr>
          </w:p>
        </w:tc>
        <w:tc>
          <w:tcPr>
            <w:tcW w:w="7380" w:type="dxa"/>
            <w:gridSpan w:val="2"/>
            <w:tcBorders>
              <w:top w:val="single" w:sz="6" w:space="0" w:color="auto"/>
              <w:left w:val="single" w:sz="6" w:space="0" w:color="auto"/>
              <w:bottom w:val="nil"/>
              <w:right w:val="single" w:sz="6" w:space="0" w:color="auto"/>
            </w:tcBorders>
          </w:tcPr>
          <w:p w14:paraId="43333279" w14:textId="77777777" w:rsidR="00893877" w:rsidRPr="00A67F27" w:rsidRDefault="00893877" w:rsidP="008E1AD4">
            <w:pPr>
              <w:tabs>
                <w:tab w:val="left" w:pos="2610"/>
              </w:tabs>
              <w:spacing w:before="60" w:after="60"/>
              <w:ind w:left="0" w:firstLine="0"/>
              <w:rPr>
                <w:rStyle w:val="Table"/>
                <w:rFonts w:asciiTheme="majorBidi" w:hAnsiTheme="majorBidi" w:cstheme="majorBidi"/>
                <w:b/>
                <w:bCs/>
                <w:spacing w:val="-2"/>
                <w:sz w:val="24"/>
                <w:szCs w:val="24"/>
              </w:rPr>
            </w:pPr>
            <w:r w:rsidRPr="00A67F27">
              <w:rPr>
                <w:rStyle w:val="Table"/>
                <w:rFonts w:asciiTheme="majorBidi" w:hAnsiTheme="majorBidi" w:cstheme="majorBidi"/>
                <w:b/>
                <w:bCs/>
                <w:spacing w:val="-2"/>
                <w:sz w:val="24"/>
                <w:szCs w:val="24"/>
              </w:rPr>
              <w:t>Adresse du Propriétaire</w:t>
            </w:r>
          </w:p>
          <w:p w14:paraId="1E243203" w14:textId="77777777" w:rsidR="00893877" w:rsidRPr="00A67F27" w:rsidRDefault="00893877" w:rsidP="008E1AD4">
            <w:pPr>
              <w:tabs>
                <w:tab w:val="left" w:pos="2610"/>
              </w:tabs>
              <w:spacing w:before="60" w:after="60"/>
              <w:ind w:left="0" w:firstLine="0"/>
              <w:rPr>
                <w:rStyle w:val="Table"/>
                <w:rFonts w:asciiTheme="majorBidi" w:hAnsiTheme="majorBidi" w:cstheme="majorBidi"/>
                <w:b/>
                <w:bCs/>
                <w:spacing w:val="-2"/>
                <w:sz w:val="24"/>
                <w:szCs w:val="24"/>
              </w:rPr>
            </w:pPr>
          </w:p>
        </w:tc>
      </w:tr>
      <w:tr w:rsidR="00893877" w:rsidRPr="00A67F27" w14:paraId="3EF55F64" w14:textId="77777777" w:rsidTr="008E1AD4">
        <w:trPr>
          <w:cantSplit/>
        </w:trPr>
        <w:tc>
          <w:tcPr>
            <w:tcW w:w="1710" w:type="dxa"/>
            <w:tcBorders>
              <w:top w:val="nil"/>
              <w:left w:val="single" w:sz="6" w:space="0" w:color="auto"/>
              <w:bottom w:val="nil"/>
              <w:right w:val="nil"/>
            </w:tcBorders>
          </w:tcPr>
          <w:p w14:paraId="1627423A" w14:textId="77777777" w:rsidR="00893877" w:rsidRPr="00A67F27" w:rsidRDefault="00893877" w:rsidP="008E1AD4">
            <w:pPr>
              <w:tabs>
                <w:tab w:val="left" w:pos="2610"/>
              </w:tabs>
              <w:spacing w:before="60" w:after="60"/>
              <w:ind w:left="0" w:firstLine="0"/>
              <w:rPr>
                <w:rStyle w:val="Table"/>
                <w:rFonts w:asciiTheme="majorBidi" w:hAnsiTheme="majorBidi" w:cstheme="majorBidi"/>
                <w:b/>
                <w:bCs/>
                <w:spacing w:val="-2"/>
                <w:sz w:val="24"/>
                <w:szCs w:val="24"/>
              </w:rPr>
            </w:pPr>
          </w:p>
        </w:tc>
        <w:tc>
          <w:tcPr>
            <w:tcW w:w="7380" w:type="dxa"/>
            <w:gridSpan w:val="2"/>
            <w:tcBorders>
              <w:top w:val="nil"/>
              <w:left w:val="single" w:sz="6" w:space="0" w:color="auto"/>
              <w:bottom w:val="nil"/>
              <w:right w:val="single" w:sz="6" w:space="0" w:color="auto"/>
            </w:tcBorders>
          </w:tcPr>
          <w:p w14:paraId="7B2469A2" w14:textId="77777777" w:rsidR="00893877" w:rsidRPr="00A67F27" w:rsidRDefault="00893877" w:rsidP="008E1AD4">
            <w:pPr>
              <w:tabs>
                <w:tab w:val="left" w:pos="2610"/>
              </w:tabs>
              <w:spacing w:before="60" w:after="60"/>
              <w:ind w:left="0" w:firstLine="0"/>
              <w:rPr>
                <w:rStyle w:val="Table"/>
                <w:rFonts w:asciiTheme="majorBidi" w:hAnsiTheme="majorBidi" w:cstheme="majorBidi"/>
                <w:b/>
                <w:bCs/>
                <w:spacing w:val="-2"/>
                <w:sz w:val="24"/>
                <w:szCs w:val="24"/>
              </w:rPr>
            </w:pPr>
          </w:p>
        </w:tc>
      </w:tr>
      <w:tr w:rsidR="00893877" w:rsidRPr="00A67F27" w14:paraId="44559B2C" w14:textId="77777777" w:rsidTr="00244682">
        <w:trPr>
          <w:cantSplit/>
          <w:trHeight w:val="1063"/>
        </w:trPr>
        <w:tc>
          <w:tcPr>
            <w:tcW w:w="1710" w:type="dxa"/>
            <w:tcBorders>
              <w:top w:val="nil"/>
              <w:left w:val="single" w:sz="6" w:space="0" w:color="auto"/>
              <w:bottom w:val="nil"/>
              <w:right w:val="nil"/>
            </w:tcBorders>
          </w:tcPr>
          <w:p w14:paraId="66595CC3" w14:textId="77777777" w:rsidR="00893877" w:rsidRPr="00A67F27" w:rsidRDefault="00893877" w:rsidP="008E1AD4">
            <w:pPr>
              <w:tabs>
                <w:tab w:val="left" w:pos="2610"/>
              </w:tabs>
              <w:spacing w:before="60" w:after="60"/>
              <w:ind w:left="0" w:firstLine="0"/>
              <w:rPr>
                <w:rStyle w:val="Table"/>
                <w:rFonts w:asciiTheme="majorBidi" w:hAnsiTheme="majorBidi" w:cstheme="majorBidi"/>
                <w:b/>
                <w:bCs/>
                <w:spacing w:val="-2"/>
                <w:sz w:val="24"/>
                <w:szCs w:val="24"/>
              </w:rPr>
            </w:pPr>
          </w:p>
        </w:tc>
        <w:tc>
          <w:tcPr>
            <w:tcW w:w="3690" w:type="dxa"/>
            <w:tcBorders>
              <w:top w:val="single" w:sz="6" w:space="0" w:color="auto"/>
              <w:left w:val="single" w:sz="6" w:space="0" w:color="auto"/>
              <w:bottom w:val="nil"/>
              <w:right w:val="nil"/>
            </w:tcBorders>
          </w:tcPr>
          <w:p w14:paraId="0D489217" w14:textId="77777777" w:rsidR="00893877" w:rsidRPr="00A67F27" w:rsidRDefault="00893877" w:rsidP="008E1AD4">
            <w:pPr>
              <w:tabs>
                <w:tab w:val="left" w:pos="2610"/>
              </w:tabs>
              <w:spacing w:before="60" w:after="60"/>
              <w:ind w:left="0" w:firstLine="0"/>
              <w:rPr>
                <w:rStyle w:val="Table"/>
                <w:rFonts w:asciiTheme="majorBidi" w:hAnsiTheme="majorBidi" w:cstheme="majorBidi"/>
                <w:b/>
                <w:bCs/>
                <w:spacing w:val="-2"/>
                <w:sz w:val="24"/>
                <w:szCs w:val="24"/>
              </w:rPr>
            </w:pPr>
            <w:r w:rsidRPr="00A67F27">
              <w:rPr>
                <w:rStyle w:val="Table"/>
                <w:rFonts w:asciiTheme="majorBidi" w:hAnsiTheme="majorBidi" w:cstheme="majorBidi"/>
                <w:b/>
                <w:bCs/>
                <w:spacing w:val="-2"/>
                <w:sz w:val="24"/>
                <w:szCs w:val="24"/>
              </w:rPr>
              <w:t>Téléphone</w:t>
            </w:r>
          </w:p>
        </w:tc>
        <w:tc>
          <w:tcPr>
            <w:tcW w:w="3690" w:type="dxa"/>
            <w:tcBorders>
              <w:top w:val="single" w:sz="6" w:space="0" w:color="auto"/>
              <w:left w:val="single" w:sz="6" w:space="0" w:color="auto"/>
              <w:bottom w:val="nil"/>
              <w:right w:val="single" w:sz="6" w:space="0" w:color="auto"/>
            </w:tcBorders>
          </w:tcPr>
          <w:p w14:paraId="34192963" w14:textId="77777777" w:rsidR="00893877" w:rsidRPr="00A67F27" w:rsidRDefault="00893877" w:rsidP="00244682">
            <w:pPr>
              <w:tabs>
                <w:tab w:val="left" w:pos="2610"/>
              </w:tabs>
              <w:spacing w:before="60" w:after="60"/>
              <w:ind w:left="0" w:firstLine="0"/>
              <w:jc w:val="left"/>
              <w:rPr>
                <w:rStyle w:val="Table"/>
                <w:rFonts w:asciiTheme="majorBidi" w:hAnsiTheme="majorBidi" w:cstheme="majorBidi"/>
                <w:b/>
                <w:bCs/>
                <w:spacing w:val="-2"/>
                <w:sz w:val="24"/>
                <w:szCs w:val="24"/>
              </w:rPr>
            </w:pPr>
            <w:r w:rsidRPr="00A67F27">
              <w:rPr>
                <w:rStyle w:val="Table"/>
                <w:rFonts w:asciiTheme="majorBidi" w:hAnsiTheme="majorBidi" w:cstheme="majorBidi"/>
                <w:b/>
                <w:bCs/>
                <w:spacing w:val="-2"/>
                <w:sz w:val="24"/>
                <w:szCs w:val="24"/>
              </w:rPr>
              <w:t>Nom et titre de la personne à contacter</w:t>
            </w:r>
          </w:p>
        </w:tc>
      </w:tr>
      <w:tr w:rsidR="00893877" w:rsidRPr="00A67F27" w14:paraId="5D392F3E" w14:textId="77777777" w:rsidTr="008E1AD4">
        <w:trPr>
          <w:cantSplit/>
        </w:trPr>
        <w:tc>
          <w:tcPr>
            <w:tcW w:w="1710" w:type="dxa"/>
            <w:tcBorders>
              <w:top w:val="nil"/>
              <w:left w:val="single" w:sz="6" w:space="0" w:color="auto"/>
              <w:bottom w:val="nil"/>
              <w:right w:val="nil"/>
            </w:tcBorders>
          </w:tcPr>
          <w:p w14:paraId="232EC984" w14:textId="77777777" w:rsidR="00893877" w:rsidRPr="00A67F27" w:rsidRDefault="00893877" w:rsidP="008E1AD4">
            <w:pPr>
              <w:tabs>
                <w:tab w:val="left" w:pos="2610"/>
              </w:tabs>
              <w:spacing w:before="60" w:after="60"/>
              <w:ind w:left="0" w:firstLine="0"/>
              <w:rPr>
                <w:rStyle w:val="Table"/>
                <w:rFonts w:asciiTheme="majorBidi" w:hAnsiTheme="majorBidi" w:cstheme="majorBidi"/>
                <w:b/>
                <w:bCs/>
                <w:spacing w:val="-2"/>
                <w:sz w:val="24"/>
                <w:szCs w:val="24"/>
              </w:rPr>
            </w:pPr>
          </w:p>
        </w:tc>
        <w:tc>
          <w:tcPr>
            <w:tcW w:w="3690" w:type="dxa"/>
            <w:tcBorders>
              <w:top w:val="single" w:sz="6" w:space="0" w:color="auto"/>
              <w:left w:val="single" w:sz="6" w:space="0" w:color="auto"/>
              <w:bottom w:val="nil"/>
              <w:right w:val="nil"/>
            </w:tcBorders>
          </w:tcPr>
          <w:p w14:paraId="54F5A152" w14:textId="77777777" w:rsidR="00893877" w:rsidRPr="00A67F27" w:rsidRDefault="00893877" w:rsidP="008E1AD4">
            <w:pPr>
              <w:tabs>
                <w:tab w:val="left" w:pos="2610"/>
              </w:tabs>
              <w:spacing w:before="60" w:after="60"/>
              <w:ind w:left="0" w:firstLine="0"/>
              <w:rPr>
                <w:rStyle w:val="Table"/>
                <w:rFonts w:asciiTheme="majorBidi" w:hAnsiTheme="majorBidi" w:cstheme="majorBidi"/>
                <w:b/>
                <w:bCs/>
                <w:spacing w:val="-2"/>
                <w:sz w:val="24"/>
                <w:szCs w:val="24"/>
              </w:rPr>
            </w:pPr>
            <w:r w:rsidRPr="00A67F27">
              <w:rPr>
                <w:rStyle w:val="Table"/>
                <w:rFonts w:asciiTheme="majorBidi" w:hAnsiTheme="majorBidi" w:cstheme="majorBidi"/>
                <w:b/>
                <w:bCs/>
                <w:spacing w:val="-2"/>
                <w:sz w:val="24"/>
                <w:szCs w:val="24"/>
              </w:rPr>
              <w:t>Télécopie</w:t>
            </w:r>
          </w:p>
        </w:tc>
        <w:tc>
          <w:tcPr>
            <w:tcW w:w="3690" w:type="dxa"/>
            <w:tcBorders>
              <w:top w:val="single" w:sz="6" w:space="0" w:color="auto"/>
              <w:left w:val="single" w:sz="6" w:space="0" w:color="auto"/>
              <w:bottom w:val="nil"/>
              <w:right w:val="single" w:sz="6" w:space="0" w:color="auto"/>
            </w:tcBorders>
          </w:tcPr>
          <w:p w14:paraId="6E3AB4DB" w14:textId="77777777" w:rsidR="00893877" w:rsidRPr="00A67F27" w:rsidRDefault="00893877" w:rsidP="008E1AD4">
            <w:pPr>
              <w:tabs>
                <w:tab w:val="left" w:pos="2610"/>
              </w:tabs>
              <w:spacing w:before="60" w:after="60"/>
              <w:ind w:left="0" w:firstLine="0"/>
              <w:rPr>
                <w:rStyle w:val="Table"/>
                <w:rFonts w:asciiTheme="majorBidi" w:hAnsiTheme="majorBidi" w:cstheme="majorBidi"/>
                <w:b/>
                <w:bCs/>
                <w:spacing w:val="-2"/>
                <w:sz w:val="24"/>
                <w:szCs w:val="24"/>
              </w:rPr>
            </w:pPr>
            <w:r w:rsidRPr="00A67F27">
              <w:rPr>
                <w:rStyle w:val="Table"/>
                <w:rFonts w:asciiTheme="majorBidi" w:hAnsiTheme="majorBidi" w:cstheme="majorBidi"/>
                <w:b/>
                <w:bCs/>
                <w:spacing w:val="-2"/>
                <w:sz w:val="24"/>
                <w:szCs w:val="24"/>
              </w:rPr>
              <w:t>Télex</w:t>
            </w:r>
          </w:p>
        </w:tc>
      </w:tr>
      <w:tr w:rsidR="00893877" w:rsidRPr="00A67F27" w14:paraId="61E73689" w14:textId="77777777" w:rsidTr="008E1AD4">
        <w:trPr>
          <w:cantSplit/>
        </w:trPr>
        <w:tc>
          <w:tcPr>
            <w:tcW w:w="1710" w:type="dxa"/>
            <w:tcBorders>
              <w:top w:val="single" w:sz="6" w:space="0" w:color="auto"/>
              <w:left w:val="single" w:sz="6" w:space="0" w:color="auto"/>
              <w:bottom w:val="nil"/>
              <w:right w:val="nil"/>
            </w:tcBorders>
          </w:tcPr>
          <w:p w14:paraId="75D636C3" w14:textId="77777777" w:rsidR="00893877" w:rsidRPr="00A67F27" w:rsidRDefault="00893877" w:rsidP="008E1AD4">
            <w:pPr>
              <w:tabs>
                <w:tab w:val="left" w:pos="2610"/>
              </w:tabs>
              <w:spacing w:before="60" w:after="60"/>
              <w:ind w:left="0" w:firstLine="0"/>
              <w:rPr>
                <w:rStyle w:val="Table"/>
                <w:rFonts w:asciiTheme="majorBidi" w:hAnsiTheme="majorBidi" w:cstheme="majorBidi"/>
                <w:b/>
                <w:bCs/>
                <w:spacing w:val="-2"/>
                <w:sz w:val="24"/>
                <w:szCs w:val="24"/>
              </w:rPr>
            </w:pPr>
            <w:r w:rsidRPr="00A67F27">
              <w:rPr>
                <w:rStyle w:val="Table"/>
                <w:rFonts w:asciiTheme="majorBidi" w:hAnsiTheme="majorBidi" w:cstheme="majorBidi"/>
                <w:b/>
                <w:bCs/>
                <w:spacing w:val="-2"/>
                <w:sz w:val="24"/>
                <w:szCs w:val="24"/>
              </w:rPr>
              <w:t>Accords</w:t>
            </w:r>
          </w:p>
        </w:tc>
        <w:tc>
          <w:tcPr>
            <w:tcW w:w="7380" w:type="dxa"/>
            <w:gridSpan w:val="2"/>
            <w:tcBorders>
              <w:top w:val="single" w:sz="6" w:space="0" w:color="auto"/>
              <w:left w:val="single" w:sz="6" w:space="0" w:color="auto"/>
              <w:bottom w:val="nil"/>
              <w:right w:val="single" w:sz="6" w:space="0" w:color="auto"/>
            </w:tcBorders>
          </w:tcPr>
          <w:p w14:paraId="2F155EEB" w14:textId="6B89CADD" w:rsidR="00893877" w:rsidRPr="00A67F27" w:rsidRDefault="00893877" w:rsidP="00244682">
            <w:pPr>
              <w:tabs>
                <w:tab w:val="left" w:pos="2610"/>
              </w:tabs>
              <w:spacing w:before="60" w:after="60"/>
              <w:ind w:left="0" w:firstLine="0"/>
              <w:rPr>
                <w:rStyle w:val="Table"/>
                <w:rFonts w:asciiTheme="majorBidi" w:hAnsiTheme="majorBidi" w:cstheme="majorBidi"/>
                <w:b/>
                <w:bCs/>
                <w:spacing w:val="-2"/>
                <w:sz w:val="24"/>
                <w:szCs w:val="24"/>
              </w:rPr>
            </w:pPr>
            <w:r w:rsidRPr="00A67F27">
              <w:rPr>
                <w:rStyle w:val="Table"/>
                <w:rFonts w:asciiTheme="majorBidi" w:hAnsiTheme="majorBidi" w:cstheme="majorBidi"/>
                <w:b/>
                <w:bCs/>
                <w:spacing w:val="-2"/>
                <w:sz w:val="24"/>
                <w:szCs w:val="24"/>
              </w:rPr>
              <w:t>Détails de la location / location-vente / accord de fabrication</w:t>
            </w:r>
          </w:p>
        </w:tc>
      </w:tr>
      <w:tr w:rsidR="00893877" w:rsidRPr="00A67F27" w14:paraId="4EA6ADD4" w14:textId="77777777" w:rsidTr="008E1AD4">
        <w:trPr>
          <w:cantSplit/>
        </w:trPr>
        <w:tc>
          <w:tcPr>
            <w:tcW w:w="1710" w:type="dxa"/>
            <w:tcBorders>
              <w:top w:val="dotted" w:sz="6" w:space="0" w:color="auto"/>
              <w:left w:val="single" w:sz="6" w:space="0" w:color="auto"/>
              <w:bottom w:val="dotted" w:sz="6" w:space="0" w:color="auto"/>
              <w:right w:val="nil"/>
            </w:tcBorders>
          </w:tcPr>
          <w:p w14:paraId="7E240573" w14:textId="77777777" w:rsidR="00893877" w:rsidRPr="00A67F27" w:rsidRDefault="00893877" w:rsidP="008E1AD4">
            <w:pPr>
              <w:tabs>
                <w:tab w:val="left" w:pos="2610"/>
              </w:tabs>
              <w:spacing w:before="60" w:after="60"/>
              <w:rPr>
                <w:rStyle w:val="Table"/>
                <w:rFonts w:asciiTheme="majorBidi" w:hAnsiTheme="majorBidi" w:cstheme="majorBidi"/>
                <w:b/>
                <w:bCs/>
                <w:i/>
                <w:spacing w:val="-2"/>
                <w:sz w:val="24"/>
                <w:szCs w:val="24"/>
              </w:rPr>
            </w:pPr>
          </w:p>
        </w:tc>
        <w:tc>
          <w:tcPr>
            <w:tcW w:w="7380" w:type="dxa"/>
            <w:gridSpan w:val="2"/>
            <w:tcBorders>
              <w:top w:val="dotted" w:sz="6" w:space="0" w:color="auto"/>
              <w:left w:val="single" w:sz="6" w:space="0" w:color="auto"/>
              <w:bottom w:val="dotted" w:sz="6" w:space="0" w:color="auto"/>
              <w:right w:val="single" w:sz="6" w:space="0" w:color="auto"/>
            </w:tcBorders>
          </w:tcPr>
          <w:p w14:paraId="46F20B42" w14:textId="77777777" w:rsidR="00893877" w:rsidRPr="00A67F27" w:rsidRDefault="00893877" w:rsidP="008E1AD4">
            <w:pPr>
              <w:tabs>
                <w:tab w:val="left" w:pos="2610"/>
              </w:tabs>
              <w:spacing w:before="60" w:after="60"/>
              <w:rPr>
                <w:rStyle w:val="Table"/>
                <w:rFonts w:asciiTheme="majorBidi" w:hAnsiTheme="majorBidi" w:cstheme="majorBidi"/>
                <w:b/>
                <w:bCs/>
                <w:spacing w:val="-2"/>
                <w:sz w:val="24"/>
                <w:szCs w:val="24"/>
              </w:rPr>
            </w:pPr>
          </w:p>
        </w:tc>
      </w:tr>
      <w:tr w:rsidR="00893877" w:rsidRPr="00A67F27" w14:paraId="7B968B33" w14:textId="77777777" w:rsidTr="008E1AD4">
        <w:trPr>
          <w:cantSplit/>
        </w:trPr>
        <w:tc>
          <w:tcPr>
            <w:tcW w:w="1710" w:type="dxa"/>
            <w:tcBorders>
              <w:top w:val="nil"/>
              <w:left w:val="single" w:sz="6" w:space="0" w:color="auto"/>
              <w:bottom w:val="single" w:sz="6" w:space="0" w:color="auto"/>
              <w:right w:val="nil"/>
            </w:tcBorders>
          </w:tcPr>
          <w:p w14:paraId="6B678976" w14:textId="77777777" w:rsidR="00893877" w:rsidRPr="00A67F27" w:rsidRDefault="00893877" w:rsidP="008E1AD4">
            <w:pPr>
              <w:tabs>
                <w:tab w:val="left" w:pos="2610"/>
              </w:tabs>
              <w:spacing w:before="60" w:after="60"/>
              <w:rPr>
                <w:rStyle w:val="Table"/>
                <w:rFonts w:asciiTheme="majorBidi" w:hAnsiTheme="majorBidi" w:cstheme="majorBidi"/>
                <w:b/>
                <w:bCs/>
                <w:i/>
                <w:spacing w:val="-2"/>
                <w:sz w:val="24"/>
                <w:szCs w:val="24"/>
              </w:rPr>
            </w:pPr>
          </w:p>
        </w:tc>
        <w:tc>
          <w:tcPr>
            <w:tcW w:w="7380" w:type="dxa"/>
            <w:gridSpan w:val="2"/>
            <w:tcBorders>
              <w:top w:val="nil"/>
              <w:left w:val="single" w:sz="6" w:space="0" w:color="auto"/>
              <w:bottom w:val="single" w:sz="6" w:space="0" w:color="auto"/>
              <w:right w:val="single" w:sz="6" w:space="0" w:color="auto"/>
            </w:tcBorders>
          </w:tcPr>
          <w:p w14:paraId="7E115FD6" w14:textId="77777777" w:rsidR="00893877" w:rsidRPr="00A67F27" w:rsidRDefault="00893877" w:rsidP="008E1AD4">
            <w:pPr>
              <w:tabs>
                <w:tab w:val="left" w:pos="2610"/>
              </w:tabs>
              <w:spacing w:before="60" w:after="60"/>
              <w:rPr>
                <w:rStyle w:val="Table"/>
                <w:rFonts w:asciiTheme="majorBidi" w:hAnsiTheme="majorBidi" w:cstheme="majorBidi"/>
                <w:b/>
                <w:bCs/>
                <w:spacing w:val="-2"/>
                <w:sz w:val="24"/>
                <w:szCs w:val="24"/>
              </w:rPr>
            </w:pPr>
          </w:p>
        </w:tc>
      </w:tr>
    </w:tbl>
    <w:p w14:paraId="236D34E0" w14:textId="65D5430A" w:rsidR="00DE5C38" w:rsidRPr="00A67F27" w:rsidRDefault="00893877" w:rsidP="00893877">
      <w:pPr>
        <w:tabs>
          <w:tab w:val="left" w:pos="2127"/>
        </w:tabs>
        <w:spacing w:before="120" w:after="120"/>
        <w:ind w:left="0" w:firstLine="0"/>
        <w:rPr>
          <w:rFonts w:asciiTheme="majorBidi" w:hAnsiTheme="majorBidi" w:cstheme="majorBidi"/>
          <w:b/>
        </w:rPr>
      </w:pPr>
      <w:r w:rsidRPr="005C1A32">
        <w:rPr>
          <w:rFonts w:asciiTheme="majorBidi" w:hAnsiTheme="majorBidi" w:cstheme="majorBidi"/>
        </w:rPr>
        <w:lastRenderedPageBreak/>
        <w:br w:type="page"/>
      </w:r>
    </w:p>
    <w:p w14:paraId="0685393F" w14:textId="77777777" w:rsidR="004A7F6C" w:rsidRPr="00A67F27" w:rsidRDefault="004A7F6C" w:rsidP="004A7F6C">
      <w:pPr>
        <w:pStyle w:val="Style8"/>
        <w:rPr>
          <w:sz w:val="32"/>
          <w:szCs w:val="32"/>
        </w:rPr>
      </w:pPr>
      <w:bookmarkStart w:id="496" w:name="_Toc327863869"/>
      <w:bookmarkStart w:id="497" w:name="_Toc479112135"/>
      <w:bookmarkStart w:id="498" w:name="_Toc473887076"/>
      <w:bookmarkStart w:id="499" w:name="_Toc488658193"/>
      <w:bookmarkStart w:id="500" w:name="_Toc483210394"/>
      <w:r w:rsidRPr="00A67F27">
        <w:rPr>
          <w:sz w:val="32"/>
          <w:szCs w:val="32"/>
        </w:rPr>
        <w:lastRenderedPageBreak/>
        <w:t>Organisation des travaux sur site</w:t>
      </w:r>
      <w:bookmarkEnd w:id="496"/>
      <w:bookmarkEnd w:id="497"/>
    </w:p>
    <w:p w14:paraId="3FF1DF35" w14:textId="77777777" w:rsidR="004A7F6C" w:rsidRPr="00A67F27" w:rsidRDefault="004A7F6C" w:rsidP="004A7F6C">
      <w:pPr>
        <w:jc w:val="center"/>
        <w:rPr>
          <w:b/>
          <w:i/>
        </w:rPr>
      </w:pPr>
      <w:r w:rsidRPr="00A67F27">
        <w:rPr>
          <w:b/>
          <w:i/>
        </w:rPr>
        <w:t>[Insérer les informations sur l’organisation des travaux sur site]</w:t>
      </w:r>
    </w:p>
    <w:p w14:paraId="3D0CCC5F" w14:textId="77777777" w:rsidR="004A7F6C" w:rsidRPr="00A67F27" w:rsidRDefault="004A7F6C" w:rsidP="004A7F6C">
      <w:pPr>
        <w:pStyle w:val="Style8"/>
        <w:rPr>
          <w:sz w:val="32"/>
          <w:szCs w:val="32"/>
        </w:rPr>
      </w:pPr>
      <w:r w:rsidRPr="00A67F27">
        <w:br w:type="page"/>
      </w:r>
      <w:bookmarkStart w:id="501" w:name="_Toc327863870"/>
      <w:bookmarkStart w:id="502" w:name="_Toc479112136"/>
      <w:r w:rsidRPr="00A67F27">
        <w:rPr>
          <w:sz w:val="32"/>
          <w:szCs w:val="32"/>
        </w:rPr>
        <w:lastRenderedPageBreak/>
        <w:t>Méthode de Réalisation</w:t>
      </w:r>
      <w:bookmarkEnd w:id="501"/>
      <w:bookmarkEnd w:id="502"/>
      <w:r w:rsidRPr="00A67F27">
        <w:rPr>
          <w:sz w:val="32"/>
          <w:szCs w:val="32"/>
        </w:rPr>
        <w:t xml:space="preserve"> </w:t>
      </w:r>
    </w:p>
    <w:p w14:paraId="2F09235E" w14:textId="77777777" w:rsidR="004A7F6C" w:rsidRPr="00A67F27" w:rsidRDefault="004A7F6C" w:rsidP="004A7F6C">
      <w:pPr>
        <w:jc w:val="center"/>
        <w:rPr>
          <w:b/>
          <w:i/>
        </w:rPr>
      </w:pPr>
      <w:r w:rsidRPr="00A67F27">
        <w:rPr>
          <w:b/>
          <w:i/>
        </w:rPr>
        <w:t>[Insérer les informations sur la(les) méthode(s) de réalisation]</w:t>
      </w:r>
    </w:p>
    <w:p w14:paraId="0C9E923C" w14:textId="77777777" w:rsidR="004A7F6C" w:rsidRPr="00A67F27" w:rsidRDefault="004A7F6C" w:rsidP="004A7F6C">
      <w:pPr>
        <w:pStyle w:val="Style8"/>
      </w:pPr>
    </w:p>
    <w:p w14:paraId="3A5CCD68" w14:textId="77777777" w:rsidR="004A7F6C" w:rsidRPr="00A67F27" w:rsidRDefault="004A7F6C" w:rsidP="004A7F6C">
      <w:pPr>
        <w:pStyle w:val="Style8"/>
        <w:rPr>
          <w:sz w:val="32"/>
          <w:szCs w:val="32"/>
        </w:rPr>
      </w:pPr>
      <w:r w:rsidRPr="00A67F27">
        <w:br w:type="page"/>
      </w:r>
      <w:bookmarkStart w:id="503" w:name="_Toc479112137"/>
      <w:r w:rsidRPr="00A67F27">
        <w:rPr>
          <w:sz w:val="32"/>
          <w:szCs w:val="32"/>
        </w:rPr>
        <w:lastRenderedPageBreak/>
        <w:t>Calendrier de Mobilisation</w:t>
      </w:r>
      <w:bookmarkEnd w:id="503"/>
    </w:p>
    <w:p w14:paraId="1540DECF" w14:textId="77777777" w:rsidR="004A7F6C" w:rsidRPr="00A67F27" w:rsidRDefault="004A7F6C" w:rsidP="004A7F6C">
      <w:pPr>
        <w:jc w:val="center"/>
        <w:rPr>
          <w:b/>
          <w:i/>
        </w:rPr>
      </w:pPr>
      <w:r w:rsidRPr="00A67F27">
        <w:rPr>
          <w:b/>
          <w:i/>
        </w:rPr>
        <w:t>[Insérer les informations sur le calendrier de mobilisation]</w:t>
      </w:r>
    </w:p>
    <w:p w14:paraId="74B05E5F" w14:textId="77777777" w:rsidR="004A7F6C" w:rsidRPr="00A67F27" w:rsidRDefault="004A7F6C" w:rsidP="004A7F6C">
      <w:pPr>
        <w:pStyle w:val="Style8"/>
        <w:rPr>
          <w:sz w:val="32"/>
          <w:szCs w:val="32"/>
        </w:rPr>
      </w:pPr>
      <w:r w:rsidRPr="00A67F27">
        <w:br w:type="page"/>
      </w:r>
      <w:bookmarkStart w:id="504" w:name="_Toc327863872"/>
      <w:bookmarkStart w:id="505" w:name="_Toc479112138"/>
      <w:r w:rsidRPr="00A67F27">
        <w:rPr>
          <w:sz w:val="32"/>
          <w:szCs w:val="32"/>
        </w:rPr>
        <w:lastRenderedPageBreak/>
        <w:t>Calendrier d’Exécution</w:t>
      </w:r>
      <w:bookmarkEnd w:id="504"/>
      <w:bookmarkEnd w:id="505"/>
      <w:r w:rsidRPr="00A67F27">
        <w:rPr>
          <w:sz w:val="32"/>
          <w:szCs w:val="32"/>
        </w:rPr>
        <w:t xml:space="preserve"> </w:t>
      </w:r>
    </w:p>
    <w:p w14:paraId="2D21650A" w14:textId="77777777" w:rsidR="004A7F6C" w:rsidRPr="00A67F27" w:rsidRDefault="004A7F6C" w:rsidP="004A7F6C">
      <w:pPr>
        <w:jc w:val="center"/>
        <w:rPr>
          <w:b/>
          <w:i/>
        </w:rPr>
      </w:pPr>
      <w:r w:rsidRPr="00A67F27">
        <w:rPr>
          <w:b/>
          <w:i/>
        </w:rPr>
        <w:t>[Insérer les informations sur le calendrier d’exécution]</w:t>
      </w:r>
    </w:p>
    <w:bookmarkEnd w:id="498"/>
    <w:bookmarkEnd w:id="499"/>
    <w:p w14:paraId="42CBF74C" w14:textId="77777777" w:rsidR="002D0FA2" w:rsidRPr="00A67F27" w:rsidRDefault="002D0FA2" w:rsidP="002D0FA2">
      <w:pPr>
        <w:pStyle w:val="S4-Header2"/>
        <w:rPr>
          <w:b w:val="0"/>
          <w:bCs/>
          <w:color w:val="000000"/>
          <w:lang w:val="fr-FR"/>
        </w:rPr>
      </w:pPr>
      <w:r w:rsidRPr="00A67F27">
        <w:rPr>
          <w:b w:val="0"/>
          <w:bCs/>
          <w:color w:val="000000"/>
          <w:lang w:val="fr-FR"/>
        </w:rPr>
        <w:br w:type="page"/>
      </w:r>
    </w:p>
    <w:p w14:paraId="1E14D56C" w14:textId="1C81A06E" w:rsidR="00DE5C38" w:rsidRPr="00724934" w:rsidRDefault="00DE5C38" w:rsidP="0061520F">
      <w:pPr>
        <w:pStyle w:val="S4-Header2"/>
        <w:rPr>
          <w:bCs/>
          <w:lang w:val="fr-FR"/>
        </w:rPr>
      </w:pPr>
      <w:bookmarkStart w:id="506" w:name="_Toc487641620"/>
      <w:r w:rsidRPr="00724934">
        <w:rPr>
          <w:bCs/>
          <w:lang w:val="fr-FR"/>
        </w:rPr>
        <w:lastRenderedPageBreak/>
        <w:t>Stratégies de management et plans de mise en œuvre ESHS</w:t>
      </w:r>
      <w:bookmarkEnd w:id="500"/>
      <w:bookmarkEnd w:id="506"/>
    </w:p>
    <w:p w14:paraId="204C565F" w14:textId="2A07E7D9" w:rsidR="00DE5C38" w:rsidRPr="00A67F27" w:rsidRDefault="00DE5C38" w:rsidP="00327FAF">
      <w:pPr>
        <w:spacing w:after="120"/>
        <w:ind w:left="0" w:firstLine="0"/>
        <w:rPr>
          <w:rFonts w:asciiTheme="majorBidi" w:hAnsiTheme="majorBidi" w:cstheme="majorBidi"/>
          <w:iCs/>
          <w:spacing w:val="-2"/>
        </w:rPr>
      </w:pPr>
      <w:r w:rsidRPr="00A67F27">
        <w:rPr>
          <w:rFonts w:asciiTheme="majorBidi" w:hAnsiTheme="majorBidi" w:cstheme="majorBidi"/>
          <w:iCs/>
          <w:spacing w:val="-2"/>
        </w:rPr>
        <w:t xml:space="preserve">Le Soumissionnaire devra soumettre les stratégies de management et plans de mise en œuvre dans </w:t>
      </w:r>
      <w:r w:rsidR="005C3889" w:rsidRPr="00A67F27">
        <w:rPr>
          <w:rFonts w:asciiTheme="majorBidi" w:hAnsiTheme="majorBidi" w:cstheme="majorBidi"/>
          <w:iCs/>
          <w:spacing w:val="-2"/>
        </w:rPr>
        <w:t>les domaines environnementaux</w:t>
      </w:r>
      <w:r w:rsidRPr="00A67F27">
        <w:rPr>
          <w:rFonts w:asciiTheme="majorBidi" w:hAnsiTheme="majorBidi" w:cstheme="majorBidi"/>
          <w:iCs/>
          <w:spacing w:val="-2"/>
        </w:rPr>
        <w:t>, social, hygiène et sécurité (ESHS) te</w:t>
      </w:r>
      <w:r w:rsidR="00BE0E78">
        <w:rPr>
          <w:rFonts w:asciiTheme="majorBidi" w:hAnsiTheme="majorBidi" w:cstheme="majorBidi"/>
          <w:iCs/>
          <w:spacing w:val="-2"/>
        </w:rPr>
        <w:t>l que demandé à la Clause 11.1 (i)</w:t>
      </w:r>
      <w:r w:rsidRPr="00A67F27">
        <w:rPr>
          <w:rFonts w:asciiTheme="majorBidi" w:hAnsiTheme="majorBidi" w:cstheme="majorBidi"/>
          <w:iCs/>
          <w:spacing w:val="-2"/>
        </w:rPr>
        <w:t xml:space="preserve"> des DPAO.</w:t>
      </w:r>
      <w:r w:rsidR="009B2302" w:rsidRPr="00A67F27">
        <w:rPr>
          <w:rFonts w:asciiTheme="majorBidi" w:hAnsiTheme="majorBidi" w:cstheme="majorBidi"/>
          <w:iCs/>
          <w:spacing w:val="-2"/>
        </w:rPr>
        <w:t xml:space="preserve"> </w:t>
      </w:r>
      <w:r w:rsidRPr="00A67F27">
        <w:rPr>
          <w:rFonts w:asciiTheme="majorBidi" w:hAnsiTheme="majorBidi" w:cstheme="majorBidi"/>
          <w:iCs/>
          <w:spacing w:val="-2"/>
        </w:rPr>
        <w:t>Lesdits stratégies et plans décriront en détail les actions, matériaux, matériels, procédés de gestion etc. qui seront mis en œuvre par l’Entrepreneur et ses sous-traitants.</w:t>
      </w:r>
    </w:p>
    <w:p w14:paraId="2B9A2E97" w14:textId="370133B0" w:rsidR="00DE5C38" w:rsidRPr="00A67F27" w:rsidRDefault="00DE5C38" w:rsidP="00327FAF">
      <w:pPr>
        <w:spacing w:after="120"/>
        <w:ind w:left="0" w:firstLine="0"/>
        <w:rPr>
          <w:rFonts w:asciiTheme="majorBidi" w:hAnsiTheme="majorBidi" w:cstheme="majorBidi"/>
          <w:iCs/>
        </w:rPr>
      </w:pPr>
      <w:r w:rsidRPr="00A67F27">
        <w:rPr>
          <w:rFonts w:asciiTheme="majorBidi" w:hAnsiTheme="majorBidi" w:cstheme="majorBidi"/>
          <w:iCs/>
        </w:rPr>
        <w:t>Lors de la préparation de ces stratégies et plans, le Soumissionnaire devra prendre en compte les dispositions ESHS dans le marché, y compris celles qui pourraient être décrites en détail dans l</w:t>
      </w:r>
      <w:r w:rsidR="00175401" w:rsidRPr="00A67F27">
        <w:rPr>
          <w:rFonts w:asciiTheme="majorBidi" w:hAnsiTheme="majorBidi" w:cstheme="majorBidi"/>
          <w:iCs/>
        </w:rPr>
        <w:t>a section VII</w:t>
      </w:r>
      <w:r w:rsidR="001A1639">
        <w:rPr>
          <w:rFonts w:asciiTheme="majorBidi" w:hAnsiTheme="majorBidi" w:cstheme="majorBidi"/>
          <w:iCs/>
        </w:rPr>
        <w:t>.</w:t>
      </w:r>
    </w:p>
    <w:p w14:paraId="0062BD40" w14:textId="77777777" w:rsidR="00DE5C38" w:rsidRPr="00A67F27" w:rsidRDefault="00DE5C38" w:rsidP="00DE5C38">
      <w:pPr>
        <w:tabs>
          <w:tab w:val="left" w:pos="2127"/>
        </w:tabs>
        <w:spacing w:before="120" w:after="120"/>
        <w:rPr>
          <w:rFonts w:asciiTheme="majorBidi" w:hAnsiTheme="majorBidi" w:cstheme="majorBidi"/>
        </w:rPr>
      </w:pPr>
    </w:p>
    <w:p w14:paraId="652C8806" w14:textId="7DAA4716" w:rsidR="00DE5C38" w:rsidRPr="00D94CE7" w:rsidRDefault="00327FAF" w:rsidP="00960482">
      <w:pPr>
        <w:rPr>
          <w:rFonts w:asciiTheme="majorBidi" w:hAnsiTheme="majorBidi" w:cstheme="majorBidi"/>
          <w:bCs/>
        </w:rPr>
      </w:pPr>
      <w:r w:rsidRPr="00A67F27">
        <w:rPr>
          <w:rFonts w:asciiTheme="majorBidi" w:hAnsiTheme="majorBidi" w:cstheme="majorBidi"/>
          <w:b/>
        </w:rPr>
        <w:br w:type="page"/>
      </w:r>
      <w:bookmarkStart w:id="507" w:name="_Toc487641621"/>
      <w:r w:rsidR="00DE5C38" w:rsidRPr="001627D7">
        <w:lastRenderedPageBreak/>
        <w:t>Code de Conduite (ESHS)</w:t>
      </w:r>
      <w:bookmarkEnd w:id="507"/>
    </w:p>
    <w:p w14:paraId="23D097CF" w14:textId="49B10DCB" w:rsidR="00175401" w:rsidRPr="008432AC" w:rsidRDefault="00DE5C38" w:rsidP="00327FAF">
      <w:pPr>
        <w:spacing w:after="120"/>
        <w:ind w:left="0" w:firstLine="0"/>
        <w:rPr>
          <w:rFonts w:asciiTheme="majorBidi" w:hAnsiTheme="majorBidi" w:cstheme="majorBidi"/>
          <w:iCs/>
        </w:rPr>
      </w:pPr>
      <w:r w:rsidRPr="00835449">
        <w:rPr>
          <w:rFonts w:asciiTheme="majorBidi" w:hAnsiTheme="majorBidi" w:cstheme="majorBidi"/>
          <w:iCs/>
        </w:rPr>
        <w:t>Le Soumissionnaire devra soumettre le Code de Conduite applicable à ses employés et sous-traitants, tel que demandé à la Clause 11.1 (</w:t>
      </w:r>
      <w:r w:rsidR="00750408" w:rsidRPr="00D6752B">
        <w:rPr>
          <w:rFonts w:asciiTheme="majorBidi" w:hAnsiTheme="majorBidi" w:cstheme="majorBidi"/>
          <w:iCs/>
        </w:rPr>
        <w:t>h</w:t>
      </w:r>
      <w:r w:rsidRPr="00D6752B">
        <w:rPr>
          <w:rFonts w:asciiTheme="majorBidi" w:hAnsiTheme="majorBidi" w:cstheme="majorBidi"/>
          <w:iCs/>
        </w:rPr>
        <w:t>) des DPAO.</w:t>
      </w:r>
      <w:r w:rsidR="009B2302" w:rsidRPr="00013AB1">
        <w:rPr>
          <w:rFonts w:asciiTheme="majorBidi" w:hAnsiTheme="majorBidi" w:cstheme="majorBidi"/>
          <w:iCs/>
        </w:rPr>
        <w:t xml:space="preserve"> </w:t>
      </w:r>
      <w:r w:rsidRPr="00013AB1">
        <w:rPr>
          <w:rFonts w:asciiTheme="majorBidi" w:hAnsiTheme="majorBidi" w:cstheme="majorBidi"/>
          <w:iCs/>
        </w:rPr>
        <w:t xml:space="preserve">Le </w:t>
      </w:r>
      <w:r w:rsidRPr="008432AC">
        <w:rPr>
          <w:rFonts w:asciiTheme="majorBidi" w:hAnsiTheme="majorBidi" w:cstheme="majorBidi"/>
          <w:iCs/>
        </w:rPr>
        <w:t xml:space="preserve">Code de Conduite devra assurer la conformité aux dispositions ESHS dans le marché, y compris celles qui pourraient être décrites en détail dans </w:t>
      </w:r>
      <w:r w:rsidR="00175401" w:rsidRPr="008432AC">
        <w:rPr>
          <w:rFonts w:asciiTheme="majorBidi" w:hAnsiTheme="majorBidi" w:cstheme="majorBidi"/>
          <w:iCs/>
        </w:rPr>
        <w:t>la Section VII.</w:t>
      </w:r>
    </w:p>
    <w:p w14:paraId="2B711BA4" w14:textId="03291EA6" w:rsidR="00561B9B" w:rsidRPr="00D75174" w:rsidRDefault="000A0B07" w:rsidP="002A45C1">
      <w:pPr>
        <w:pStyle w:val="Paragraphedeliste"/>
        <w:numPr>
          <w:ilvl w:val="0"/>
          <w:numId w:val="57"/>
        </w:numPr>
        <w:spacing w:before="200" w:after="120"/>
        <w:ind w:left="714" w:hanging="357"/>
        <w:contextualSpacing w:val="0"/>
        <w:jc w:val="left"/>
        <w:rPr>
          <w:rFonts w:asciiTheme="majorBidi" w:hAnsiTheme="majorBidi" w:cstheme="majorBidi"/>
          <w:b/>
          <w:szCs w:val="24"/>
        </w:rPr>
      </w:pPr>
      <w:r w:rsidRPr="00D75174">
        <w:rPr>
          <w:rFonts w:asciiTheme="majorBidi" w:hAnsiTheme="majorBidi" w:cstheme="majorBidi"/>
          <w:b/>
          <w:szCs w:val="24"/>
        </w:rPr>
        <w:t>Les</w:t>
      </w:r>
      <w:r w:rsidR="00561B9B" w:rsidRPr="00D75174">
        <w:rPr>
          <w:rFonts w:asciiTheme="majorBidi" w:hAnsiTheme="majorBidi" w:cstheme="majorBidi"/>
          <w:b/>
          <w:szCs w:val="24"/>
        </w:rPr>
        <w:t xml:space="preserve"> Spécifications des Travaux décrites dans la Section VII ;</w:t>
      </w:r>
    </w:p>
    <w:p w14:paraId="32953CCA" w14:textId="555ACE78" w:rsidR="00DE5C38" w:rsidRPr="00043C85" w:rsidRDefault="00DE5C38" w:rsidP="00327FAF">
      <w:pPr>
        <w:spacing w:after="120"/>
        <w:ind w:left="0" w:firstLine="0"/>
        <w:rPr>
          <w:rFonts w:asciiTheme="majorBidi" w:hAnsiTheme="majorBidi" w:cstheme="majorBidi"/>
          <w:iCs/>
        </w:rPr>
      </w:pPr>
      <w:r w:rsidRPr="001627D7">
        <w:rPr>
          <w:rFonts w:asciiTheme="majorBidi" w:hAnsiTheme="majorBidi" w:cstheme="majorBidi"/>
          <w:iCs/>
        </w:rPr>
        <w:t>En outre, le Soumissionnaire devra indiquer les grandes lignes de la manière dont le Code sera mis en œuvre.</w:t>
      </w:r>
      <w:r w:rsidR="009B2302" w:rsidRPr="00C7522E">
        <w:rPr>
          <w:rFonts w:asciiTheme="majorBidi" w:hAnsiTheme="majorBidi" w:cstheme="majorBidi"/>
          <w:iCs/>
        </w:rPr>
        <w:t xml:space="preserve"> </w:t>
      </w:r>
      <w:r w:rsidRPr="00C7522E">
        <w:rPr>
          <w:rFonts w:asciiTheme="majorBidi" w:hAnsiTheme="majorBidi" w:cstheme="majorBidi"/>
          <w:iCs/>
        </w:rPr>
        <w:t>Cela doit comprendre la manière dont il sera présenté dans les termes d’embauche et le contrat de travail, la formation qui sera fournie, le suivi et la manière do</w:t>
      </w:r>
      <w:r w:rsidRPr="00043C85">
        <w:rPr>
          <w:rFonts w:asciiTheme="majorBidi" w:hAnsiTheme="majorBidi" w:cstheme="majorBidi"/>
          <w:iCs/>
        </w:rPr>
        <w:t>nt l’Entrepreneur envisage de remédier aux infractions éventuelles.</w:t>
      </w:r>
    </w:p>
    <w:p w14:paraId="2249E8FA" w14:textId="77777777" w:rsidR="00DE5C38" w:rsidRPr="00442531" w:rsidRDefault="00DE5C38" w:rsidP="00DE5C38">
      <w:pPr>
        <w:pStyle w:val="Style11"/>
        <w:spacing w:before="120" w:after="120"/>
        <w:jc w:val="left"/>
        <w:rPr>
          <w:rFonts w:asciiTheme="majorBidi" w:hAnsiTheme="majorBidi" w:cstheme="majorBidi"/>
          <w:b w:val="0"/>
          <w:sz w:val="24"/>
          <w:szCs w:val="24"/>
          <w:lang w:val="fr-FR"/>
        </w:rPr>
      </w:pPr>
    </w:p>
    <w:p w14:paraId="07BCF426" w14:textId="33A9FF4A" w:rsidR="000A450A" w:rsidRPr="00132A9B" w:rsidRDefault="000A450A" w:rsidP="00DE5C38">
      <w:pPr>
        <w:pStyle w:val="SectionIVHeader"/>
        <w:tabs>
          <w:tab w:val="left" w:pos="2610"/>
        </w:tabs>
        <w:rPr>
          <w:rFonts w:asciiTheme="majorBidi" w:hAnsiTheme="majorBidi" w:cstheme="majorBidi"/>
          <w:b w:val="0"/>
          <w:i/>
          <w:sz w:val="28"/>
        </w:rPr>
      </w:pPr>
      <w:r w:rsidRPr="00442531">
        <w:rPr>
          <w:rFonts w:asciiTheme="majorBidi" w:hAnsiTheme="majorBidi" w:cstheme="majorBidi"/>
          <w:i/>
        </w:rPr>
        <w:br w:type="page"/>
      </w:r>
    </w:p>
    <w:p w14:paraId="2D7E583D" w14:textId="77777777" w:rsidR="00D546A5" w:rsidRDefault="00D546A5" w:rsidP="00706DAB">
      <w:pPr>
        <w:ind w:left="0" w:firstLine="0"/>
        <w:jc w:val="center"/>
        <w:rPr>
          <w:b/>
          <w:sz w:val="32"/>
          <w:szCs w:val="24"/>
          <w:lang w:eastAsia="en-US"/>
        </w:rPr>
      </w:pPr>
      <w:bookmarkStart w:id="508" w:name="_Toc483210395"/>
      <w:bookmarkStart w:id="509" w:name="_Toc327863883"/>
    </w:p>
    <w:p w14:paraId="442E8912" w14:textId="55F4DAE5" w:rsidR="00706DAB" w:rsidRPr="00835449" w:rsidRDefault="004A7F6C" w:rsidP="00706DAB">
      <w:pPr>
        <w:ind w:left="0" w:firstLine="0"/>
        <w:jc w:val="center"/>
        <w:rPr>
          <w:b/>
          <w:sz w:val="32"/>
          <w:szCs w:val="24"/>
          <w:lang w:eastAsia="en-US"/>
        </w:rPr>
      </w:pPr>
      <w:r w:rsidRPr="00132A9B">
        <w:rPr>
          <w:b/>
          <w:sz w:val="32"/>
          <w:szCs w:val="24"/>
          <w:lang w:eastAsia="en-US"/>
        </w:rPr>
        <w:t>Autres</w:t>
      </w:r>
    </w:p>
    <w:p w14:paraId="484D3E59" w14:textId="77777777" w:rsidR="00706DAB" w:rsidRPr="00D6752B" w:rsidRDefault="00706DAB" w:rsidP="00706DAB">
      <w:pPr>
        <w:spacing w:before="120" w:after="240"/>
        <w:ind w:left="0" w:firstLine="0"/>
        <w:jc w:val="center"/>
        <w:rPr>
          <w:b/>
          <w:sz w:val="36"/>
          <w:lang w:eastAsia="en-US"/>
        </w:rPr>
      </w:pPr>
    </w:p>
    <w:p w14:paraId="3CF9CA73" w14:textId="565DA8C2" w:rsidR="005001E0" w:rsidRPr="00A67F27" w:rsidRDefault="00706DAB" w:rsidP="00706DAB">
      <w:pPr>
        <w:pStyle w:val="S4-header1"/>
        <w:rPr>
          <w:lang w:val="fr-FR"/>
        </w:rPr>
      </w:pPr>
      <w:r w:rsidRPr="00A67F27">
        <w:rPr>
          <w:b w:val="0"/>
          <w:sz w:val="24"/>
          <w:szCs w:val="24"/>
          <w:lang w:val="fr-FR"/>
        </w:rPr>
        <w:br w:type="page"/>
      </w:r>
      <w:bookmarkStart w:id="510" w:name="_Toc487641622"/>
      <w:r w:rsidR="00327FAF" w:rsidRPr="00A67F27">
        <w:rPr>
          <w:lang w:val="fr-FR"/>
        </w:rPr>
        <w:lastRenderedPageBreak/>
        <w:t xml:space="preserve">Formulaires de </w:t>
      </w:r>
      <w:r w:rsidR="00D7705E" w:rsidRPr="00A67F27">
        <w:rPr>
          <w:lang w:val="fr-FR"/>
        </w:rPr>
        <w:t>Qualification des Soumissionnaires</w:t>
      </w:r>
      <w:bookmarkEnd w:id="508"/>
      <w:bookmarkEnd w:id="510"/>
      <w:r w:rsidR="00D7705E" w:rsidRPr="00A67F27">
        <w:rPr>
          <w:lang w:val="fr-FR"/>
        </w:rPr>
        <w:t xml:space="preserve"> </w:t>
      </w:r>
      <w:bookmarkEnd w:id="509"/>
    </w:p>
    <w:p w14:paraId="4ED9A43D" w14:textId="6F178092" w:rsidR="00A61F95" w:rsidRPr="00A67F27" w:rsidRDefault="00D7705E" w:rsidP="00A61F95">
      <w:pPr>
        <w:ind w:left="0" w:firstLine="0"/>
        <w:rPr>
          <w:rFonts w:asciiTheme="majorBidi" w:hAnsiTheme="majorBidi" w:cstheme="majorBidi"/>
        </w:rPr>
      </w:pPr>
      <w:r w:rsidRPr="00A67F27">
        <w:rPr>
          <w:rFonts w:asciiTheme="majorBidi" w:hAnsiTheme="majorBidi" w:cstheme="majorBidi"/>
        </w:rPr>
        <w:t>Le Soumissionnaire fournira les informations requises conformément aux fiches d’information incluses ci-après</w:t>
      </w:r>
      <w:r w:rsidR="009B2302" w:rsidRPr="00A67F27">
        <w:rPr>
          <w:rFonts w:asciiTheme="majorBidi" w:hAnsiTheme="majorBidi" w:cstheme="majorBidi"/>
        </w:rPr>
        <w:t> ;</w:t>
      </w:r>
      <w:r w:rsidRPr="00A67F27">
        <w:rPr>
          <w:rFonts w:asciiTheme="majorBidi" w:hAnsiTheme="majorBidi" w:cstheme="majorBidi"/>
        </w:rPr>
        <w:t xml:space="preserve"> l’objectif étant d’établir ses qualifications pour l’exécution du marché et conformément à la Section III. Critères d’évaluation et de qualification.</w:t>
      </w:r>
    </w:p>
    <w:p w14:paraId="68DFA332" w14:textId="0E7E9F44" w:rsidR="00543ED0" w:rsidRPr="00A67F27" w:rsidRDefault="00A177B7" w:rsidP="00A61F95">
      <w:pPr>
        <w:ind w:left="0" w:firstLine="0"/>
        <w:rPr>
          <w:rFonts w:asciiTheme="majorBidi" w:hAnsiTheme="majorBidi" w:cstheme="majorBidi"/>
        </w:rPr>
      </w:pPr>
      <w:r w:rsidRPr="00A67F27">
        <w:rPr>
          <w:rFonts w:asciiTheme="majorBidi" w:hAnsiTheme="majorBidi" w:cstheme="majorBidi"/>
        </w:rPr>
        <w:br w:type="page"/>
      </w:r>
    </w:p>
    <w:p w14:paraId="07496136" w14:textId="35946ADC" w:rsidR="00543ED0" w:rsidRPr="00A67F27" w:rsidRDefault="00543ED0" w:rsidP="00AF04A6">
      <w:pPr>
        <w:pStyle w:val="S4-Header2"/>
        <w:rPr>
          <w:szCs w:val="32"/>
          <w:lang w:val="fr-FR"/>
        </w:rPr>
      </w:pPr>
      <w:bookmarkStart w:id="511" w:name="_Toc327863884"/>
      <w:bookmarkStart w:id="512" w:name="_Toc487641623"/>
      <w:r w:rsidRPr="00A67F27">
        <w:rPr>
          <w:szCs w:val="32"/>
          <w:lang w:val="fr-FR"/>
        </w:rPr>
        <w:lastRenderedPageBreak/>
        <w:t>Formulaire ELI – 1.1</w:t>
      </w:r>
      <w:r w:rsidR="009B2302" w:rsidRPr="00A67F27">
        <w:rPr>
          <w:szCs w:val="32"/>
          <w:lang w:val="fr-FR"/>
        </w:rPr>
        <w:t> :</w:t>
      </w:r>
      <w:r w:rsidRPr="00A67F27">
        <w:rPr>
          <w:szCs w:val="32"/>
          <w:lang w:val="fr-FR"/>
        </w:rPr>
        <w:t xml:space="preserve"> </w:t>
      </w:r>
      <w:r w:rsidRPr="00A67F27">
        <w:rPr>
          <w:szCs w:val="32"/>
          <w:lang w:val="fr-FR"/>
        </w:rPr>
        <w:br/>
        <w:t>Fiche de renseignements sur le soumissionnaire</w:t>
      </w:r>
      <w:bookmarkEnd w:id="511"/>
      <w:bookmarkEnd w:id="512"/>
    </w:p>
    <w:p w14:paraId="18766590" w14:textId="15D1925A" w:rsidR="00066524" w:rsidRPr="00A67F27" w:rsidRDefault="00066524" w:rsidP="00AF04A6">
      <w:pPr>
        <w:spacing w:after="0"/>
        <w:jc w:val="right"/>
        <w:rPr>
          <w:rFonts w:asciiTheme="majorBidi" w:hAnsiTheme="majorBidi" w:cstheme="majorBidi"/>
        </w:rPr>
      </w:pPr>
      <w:r w:rsidRPr="00A67F27">
        <w:rPr>
          <w:rFonts w:asciiTheme="majorBidi" w:hAnsiTheme="majorBidi" w:cstheme="majorBidi"/>
        </w:rPr>
        <w:t>Date</w:t>
      </w:r>
      <w:r w:rsidR="009B2302" w:rsidRPr="00A67F27">
        <w:rPr>
          <w:rFonts w:asciiTheme="majorBidi" w:hAnsiTheme="majorBidi" w:cstheme="majorBidi"/>
        </w:rPr>
        <w:t> :</w:t>
      </w:r>
      <w:r w:rsidRPr="00A67F27">
        <w:rPr>
          <w:rFonts w:asciiTheme="majorBidi" w:hAnsiTheme="majorBidi" w:cstheme="majorBidi"/>
        </w:rPr>
        <w:t xml:space="preserve"> </w:t>
      </w:r>
      <w:r w:rsidRPr="00A67F27">
        <w:rPr>
          <w:rFonts w:asciiTheme="majorBidi" w:hAnsiTheme="majorBidi" w:cstheme="majorBidi"/>
          <w:i/>
          <w:iCs/>
        </w:rPr>
        <w:t>[insérer la date (jour, mois, année) de remise de l’offre]</w:t>
      </w:r>
    </w:p>
    <w:p w14:paraId="1122F1D3" w14:textId="0CBCC243" w:rsidR="00066524" w:rsidRPr="00A67F27" w:rsidRDefault="00066524" w:rsidP="00AF04A6">
      <w:pPr>
        <w:spacing w:after="0"/>
        <w:jc w:val="right"/>
        <w:rPr>
          <w:rFonts w:asciiTheme="majorBidi" w:hAnsiTheme="majorBidi" w:cstheme="majorBidi"/>
          <w:i/>
          <w:iCs/>
        </w:rPr>
      </w:pPr>
      <w:r w:rsidRPr="00A67F27">
        <w:rPr>
          <w:rFonts w:asciiTheme="majorBidi" w:hAnsiTheme="majorBidi" w:cstheme="majorBidi"/>
        </w:rPr>
        <w:t>AO No.</w:t>
      </w:r>
      <w:r w:rsidR="009B2302" w:rsidRPr="00A67F27">
        <w:rPr>
          <w:rFonts w:asciiTheme="majorBidi" w:hAnsiTheme="majorBidi" w:cstheme="majorBidi"/>
        </w:rPr>
        <w:t> :</w:t>
      </w:r>
      <w:r w:rsidRPr="00A67F27">
        <w:rPr>
          <w:rFonts w:asciiTheme="majorBidi" w:hAnsiTheme="majorBidi" w:cstheme="majorBidi"/>
        </w:rPr>
        <w:t xml:space="preserve"> </w:t>
      </w:r>
      <w:r w:rsidRPr="00A67F27">
        <w:rPr>
          <w:rFonts w:asciiTheme="majorBidi" w:hAnsiTheme="majorBidi" w:cstheme="majorBidi"/>
          <w:i/>
          <w:iCs/>
        </w:rPr>
        <w:t>[</w:t>
      </w:r>
      <w:proofErr w:type="gramStart"/>
      <w:r w:rsidRPr="00A67F27">
        <w:rPr>
          <w:rFonts w:asciiTheme="majorBidi" w:hAnsiTheme="majorBidi" w:cstheme="majorBidi"/>
          <w:i/>
          <w:iCs/>
        </w:rPr>
        <w:t>insérer</w:t>
      </w:r>
      <w:proofErr w:type="gramEnd"/>
      <w:r w:rsidRPr="00A67F27">
        <w:rPr>
          <w:rFonts w:asciiTheme="majorBidi" w:hAnsiTheme="majorBidi" w:cstheme="majorBidi"/>
          <w:i/>
          <w:iCs/>
        </w:rPr>
        <w:t xml:space="preserve"> le numéro de l’Appel d’Offres]</w:t>
      </w:r>
    </w:p>
    <w:p w14:paraId="407539FD" w14:textId="50EB4247" w:rsidR="00AF04A6" w:rsidRPr="00A67F27" w:rsidRDefault="004A7F6C" w:rsidP="00AF04A6">
      <w:pPr>
        <w:spacing w:after="0"/>
        <w:jc w:val="right"/>
        <w:rPr>
          <w:spacing w:val="-2"/>
        </w:rPr>
      </w:pPr>
      <w:r w:rsidRPr="00A67F27">
        <w:rPr>
          <w:spacing w:val="-2"/>
        </w:rPr>
        <w:t>Page</w:t>
      </w:r>
      <w:r w:rsidRPr="00A67F27">
        <w:rPr>
          <w:i/>
          <w:spacing w:val="-2"/>
        </w:rPr>
        <w:t xml:space="preserve"> </w:t>
      </w:r>
      <w:r w:rsidRPr="00A67F27">
        <w:rPr>
          <w:i/>
        </w:rPr>
        <w:t>__________de</w:t>
      </w:r>
      <w:r w:rsidRPr="00A67F27">
        <w:rPr>
          <w:spacing w:val="-2"/>
        </w:rPr>
        <w:t xml:space="preserve"> </w:t>
      </w:r>
      <w:r w:rsidRPr="00A67F27">
        <w:rPr>
          <w:i/>
          <w:spacing w:val="1"/>
        </w:rPr>
        <w:t>_______________</w:t>
      </w:r>
      <w:r w:rsidRPr="00A67F27">
        <w:rPr>
          <w:spacing w:val="-2"/>
        </w:rPr>
        <w:t>pages</w:t>
      </w:r>
    </w:p>
    <w:p w14:paraId="1D188DA5" w14:textId="77777777" w:rsidR="00066524" w:rsidRPr="00A67F27" w:rsidRDefault="00066524" w:rsidP="00AF04A6">
      <w:pPr>
        <w:spacing w:after="0"/>
        <w:rPr>
          <w:rFonts w:asciiTheme="majorBidi" w:hAnsiTheme="majorBidi" w:cstheme="majorBidi"/>
          <w:spacing w:val="-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464"/>
      </w:tblGrid>
      <w:tr w:rsidR="00066524" w:rsidRPr="00A67F27" w14:paraId="35CC744C" w14:textId="77777777" w:rsidTr="004231AA">
        <w:trPr>
          <w:cantSplit/>
          <w:trHeight w:val="440"/>
        </w:trPr>
        <w:tc>
          <w:tcPr>
            <w:tcW w:w="9464" w:type="dxa"/>
            <w:tcBorders>
              <w:top w:val="single" w:sz="6" w:space="0" w:color="auto"/>
              <w:left w:val="single" w:sz="6" w:space="0" w:color="auto"/>
              <w:bottom w:val="nil"/>
              <w:right w:val="single" w:sz="6" w:space="0" w:color="auto"/>
            </w:tcBorders>
          </w:tcPr>
          <w:p w14:paraId="51FEC4B0" w14:textId="2F95AAEE" w:rsidR="00066524" w:rsidRPr="00A67F27" w:rsidRDefault="00066524" w:rsidP="00D8235A">
            <w:pPr>
              <w:numPr>
                <w:ilvl w:val="12"/>
                <w:numId w:val="0"/>
              </w:numPr>
              <w:tabs>
                <w:tab w:val="left" w:pos="2610"/>
              </w:tabs>
              <w:spacing w:before="120" w:after="120"/>
              <w:rPr>
                <w:rFonts w:asciiTheme="majorBidi" w:hAnsiTheme="majorBidi" w:cstheme="majorBidi"/>
                <w:spacing w:val="-2"/>
              </w:rPr>
            </w:pPr>
            <w:r w:rsidRPr="00A67F27">
              <w:rPr>
                <w:rFonts w:asciiTheme="majorBidi" w:hAnsiTheme="majorBidi" w:cstheme="majorBidi"/>
                <w:spacing w:val="-2"/>
              </w:rPr>
              <w:t>Nom du Soumissionnaire</w:t>
            </w:r>
            <w:r w:rsidR="009B2302" w:rsidRPr="00A67F27">
              <w:rPr>
                <w:rFonts w:asciiTheme="majorBidi" w:hAnsiTheme="majorBidi" w:cstheme="majorBidi"/>
                <w:spacing w:val="-2"/>
              </w:rPr>
              <w:t> :</w:t>
            </w:r>
            <w:r w:rsidRPr="00A67F27">
              <w:rPr>
                <w:rFonts w:asciiTheme="majorBidi" w:hAnsiTheme="majorBidi" w:cstheme="majorBidi"/>
                <w:spacing w:val="-2"/>
              </w:rPr>
              <w:t xml:space="preserve"> [</w:t>
            </w:r>
            <w:r w:rsidRPr="00A67F27">
              <w:rPr>
                <w:rFonts w:asciiTheme="majorBidi" w:hAnsiTheme="majorBidi" w:cstheme="majorBidi"/>
                <w:i/>
                <w:spacing w:val="-2"/>
              </w:rPr>
              <w:t>insérer le nom légal du Soumissionnaire</w:t>
            </w:r>
            <w:r w:rsidRPr="00A67F27">
              <w:rPr>
                <w:rFonts w:asciiTheme="majorBidi" w:hAnsiTheme="majorBidi" w:cstheme="majorBidi"/>
                <w:spacing w:val="-2"/>
              </w:rPr>
              <w:t>]</w:t>
            </w:r>
          </w:p>
        </w:tc>
      </w:tr>
      <w:tr w:rsidR="00066524" w:rsidRPr="00A67F27" w14:paraId="44C9A59C" w14:textId="77777777" w:rsidTr="004231AA">
        <w:trPr>
          <w:cantSplit/>
          <w:trHeight w:val="440"/>
        </w:trPr>
        <w:tc>
          <w:tcPr>
            <w:tcW w:w="9464" w:type="dxa"/>
            <w:tcBorders>
              <w:top w:val="single" w:sz="6" w:space="0" w:color="auto"/>
              <w:left w:val="single" w:sz="6" w:space="0" w:color="auto"/>
              <w:bottom w:val="nil"/>
              <w:right w:val="single" w:sz="6" w:space="0" w:color="auto"/>
            </w:tcBorders>
          </w:tcPr>
          <w:p w14:paraId="7F9651B6" w14:textId="5B27E9B9" w:rsidR="00066524" w:rsidRPr="00A67F27" w:rsidRDefault="00066524" w:rsidP="00D8235A">
            <w:pPr>
              <w:numPr>
                <w:ilvl w:val="12"/>
                <w:numId w:val="0"/>
              </w:numPr>
              <w:tabs>
                <w:tab w:val="left" w:pos="2610"/>
              </w:tabs>
              <w:spacing w:before="120" w:after="120"/>
              <w:rPr>
                <w:rFonts w:asciiTheme="majorBidi" w:hAnsiTheme="majorBidi" w:cstheme="majorBidi"/>
                <w:spacing w:val="-2"/>
              </w:rPr>
            </w:pPr>
            <w:r w:rsidRPr="00A67F27">
              <w:rPr>
                <w:rFonts w:asciiTheme="majorBidi" w:hAnsiTheme="majorBidi" w:cstheme="majorBidi"/>
                <w:spacing w:val="-2"/>
              </w:rPr>
              <w:t>En cas de groupement, noms de tous les membres</w:t>
            </w:r>
            <w:r w:rsidR="009B2302" w:rsidRPr="00A67F27">
              <w:rPr>
                <w:rFonts w:asciiTheme="majorBidi" w:hAnsiTheme="majorBidi" w:cstheme="majorBidi"/>
                <w:spacing w:val="-2"/>
              </w:rPr>
              <w:t> :</w:t>
            </w:r>
            <w:r w:rsidRPr="00A67F27">
              <w:rPr>
                <w:rFonts w:asciiTheme="majorBidi" w:hAnsiTheme="majorBidi" w:cstheme="majorBidi"/>
                <w:spacing w:val="-2"/>
              </w:rPr>
              <w:t xml:space="preserve"> [</w:t>
            </w:r>
            <w:r w:rsidRPr="00A67F27">
              <w:rPr>
                <w:rFonts w:asciiTheme="majorBidi" w:hAnsiTheme="majorBidi" w:cstheme="majorBidi"/>
                <w:i/>
                <w:spacing w:val="-2"/>
              </w:rPr>
              <w:t>insérer le nom légal de chaque membre du groupement</w:t>
            </w:r>
            <w:r w:rsidRPr="00A67F27">
              <w:rPr>
                <w:rFonts w:asciiTheme="majorBidi" w:hAnsiTheme="majorBidi" w:cstheme="majorBidi"/>
                <w:spacing w:val="-2"/>
              </w:rPr>
              <w:t>]</w:t>
            </w:r>
          </w:p>
        </w:tc>
      </w:tr>
      <w:tr w:rsidR="00066524" w:rsidRPr="00A67F27" w14:paraId="516E3044" w14:textId="77777777" w:rsidTr="004231AA">
        <w:trPr>
          <w:cantSplit/>
          <w:trHeight w:val="440"/>
        </w:trPr>
        <w:tc>
          <w:tcPr>
            <w:tcW w:w="9464" w:type="dxa"/>
            <w:tcBorders>
              <w:top w:val="single" w:sz="6" w:space="0" w:color="auto"/>
              <w:left w:val="single" w:sz="6" w:space="0" w:color="auto"/>
              <w:bottom w:val="nil"/>
              <w:right w:val="single" w:sz="6" w:space="0" w:color="auto"/>
            </w:tcBorders>
          </w:tcPr>
          <w:p w14:paraId="06E31A22" w14:textId="18387AAC" w:rsidR="00066524" w:rsidRPr="00A67F27" w:rsidRDefault="00066524" w:rsidP="00D8235A">
            <w:pPr>
              <w:numPr>
                <w:ilvl w:val="12"/>
                <w:numId w:val="0"/>
              </w:numPr>
              <w:tabs>
                <w:tab w:val="left" w:pos="2610"/>
              </w:tabs>
              <w:spacing w:before="120" w:after="120"/>
              <w:rPr>
                <w:rFonts w:asciiTheme="majorBidi" w:hAnsiTheme="majorBidi" w:cstheme="majorBidi"/>
                <w:spacing w:val="-2"/>
              </w:rPr>
            </w:pPr>
            <w:r w:rsidRPr="00A67F27">
              <w:rPr>
                <w:rFonts w:asciiTheme="majorBidi" w:hAnsiTheme="majorBidi" w:cstheme="majorBidi"/>
                <w:spacing w:val="-2"/>
              </w:rPr>
              <w:t>Pays où le Soumissionnaire est, ou sera légalement enregistré</w:t>
            </w:r>
            <w:r w:rsidR="009B2302" w:rsidRPr="00A67F27">
              <w:rPr>
                <w:rFonts w:asciiTheme="majorBidi" w:hAnsiTheme="majorBidi" w:cstheme="majorBidi"/>
                <w:spacing w:val="-2"/>
              </w:rPr>
              <w:t> :</w:t>
            </w:r>
            <w:r w:rsidRPr="00A67F27">
              <w:rPr>
                <w:rFonts w:asciiTheme="majorBidi" w:hAnsiTheme="majorBidi" w:cstheme="majorBidi"/>
                <w:spacing w:val="-2"/>
              </w:rPr>
              <w:t xml:space="preserve"> [</w:t>
            </w:r>
            <w:r w:rsidRPr="00A67F27">
              <w:rPr>
                <w:rFonts w:asciiTheme="majorBidi" w:hAnsiTheme="majorBidi" w:cstheme="majorBidi"/>
                <w:i/>
                <w:spacing w:val="-2"/>
              </w:rPr>
              <w:t>insérer le nom du pays d’enregistrement</w:t>
            </w:r>
            <w:r w:rsidRPr="00A67F27">
              <w:rPr>
                <w:rFonts w:asciiTheme="majorBidi" w:hAnsiTheme="majorBidi" w:cstheme="majorBidi"/>
                <w:spacing w:val="-2"/>
              </w:rPr>
              <w:t>]</w:t>
            </w:r>
          </w:p>
        </w:tc>
      </w:tr>
      <w:tr w:rsidR="00066524" w:rsidRPr="00A67F27" w14:paraId="766BBE1D" w14:textId="77777777" w:rsidTr="004231AA">
        <w:trPr>
          <w:cantSplit/>
          <w:trHeight w:val="440"/>
        </w:trPr>
        <w:tc>
          <w:tcPr>
            <w:tcW w:w="9464" w:type="dxa"/>
            <w:tcBorders>
              <w:top w:val="single" w:sz="6" w:space="0" w:color="auto"/>
              <w:left w:val="single" w:sz="6" w:space="0" w:color="auto"/>
              <w:bottom w:val="nil"/>
              <w:right w:val="single" w:sz="6" w:space="0" w:color="auto"/>
            </w:tcBorders>
          </w:tcPr>
          <w:p w14:paraId="0B3E7719" w14:textId="0B8DBA47" w:rsidR="00066524" w:rsidRPr="00A67F27" w:rsidRDefault="00066524" w:rsidP="00D8235A">
            <w:pPr>
              <w:numPr>
                <w:ilvl w:val="12"/>
                <w:numId w:val="0"/>
              </w:numPr>
              <w:tabs>
                <w:tab w:val="left" w:pos="2610"/>
              </w:tabs>
              <w:spacing w:before="120" w:after="120"/>
              <w:rPr>
                <w:rFonts w:asciiTheme="majorBidi" w:hAnsiTheme="majorBidi" w:cstheme="majorBidi"/>
                <w:spacing w:val="-2"/>
              </w:rPr>
            </w:pPr>
            <w:r w:rsidRPr="00A67F27">
              <w:rPr>
                <w:rFonts w:asciiTheme="majorBidi" w:hAnsiTheme="majorBidi" w:cstheme="majorBidi"/>
                <w:spacing w:val="-2"/>
              </w:rPr>
              <w:t>Année d’enregistrement du Soumissionnaire</w:t>
            </w:r>
            <w:r w:rsidR="009B2302" w:rsidRPr="00A67F27">
              <w:rPr>
                <w:rFonts w:asciiTheme="majorBidi" w:hAnsiTheme="majorBidi" w:cstheme="majorBidi"/>
                <w:spacing w:val="-2"/>
              </w:rPr>
              <w:t> :</w:t>
            </w:r>
            <w:r w:rsidRPr="00A67F27">
              <w:rPr>
                <w:rFonts w:asciiTheme="majorBidi" w:hAnsiTheme="majorBidi" w:cstheme="majorBidi"/>
                <w:spacing w:val="-2"/>
              </w:rPr>
              <w:t xml:space="preserve"> [</w:t>
            </w:r>
            <w:r w:rsidRPr="00A67F27">
              <w:rPr>
                <w:rFonts w:asciiTheme="majorBidi" w:hAnsiTheme="majorBidi" w:cstheme="majorBidi"/>
                <w:i/>
                <w:spacing w:val="-2"/>
              </w:rPr>
              <w:t>insérer l’année d’enregistrement</w:t>
            </w:r>
            <w:r w:rsidRPr="00A67F27">
              <w:rPr>
                <w:rFonts w:asciiTheme="majorBidi" w:hAnsiTheme="majorBidi" w:cstheme="majorBidi"/>
                <w:spacing w:val="-2"/>
              </w:rPr>
              <w:t>]</w:t>
            </w:r>
          </w:p>
        </w:tc>
      </w:tr>
      <w:tr w:rsidR="00066524" w:rsidRPr="00A67F27" w14:paraId="4AFCCF10" w14:textId="77777777" w:rsidTr="004231AA">
        <w:trPr>
          <w:cantSplit/>
          <w:trHeight w:val="440"/>
        </w:trPr>
        <w:tc>
          <w:tcPr>
            <w:tcW w:w="9464" w:type="dxa"/>
            <w:tcBorders>
              <w:top w:val="single" w:sz="6" w:space="0" w:color="auto"/>
              <w:left w:val="single" w:sz="6" w:space="0" w:color="auto"/>
              <w:bottom w:val="nil"/>
              <w:right w:val="single" w:sz="6" w:space="0" w:color="auto"/>
            </w:tcBorders>
          </w:tcPr>
          <w:p w14:paraId="1E695C0B" w14:textId="562AC870" w:rsidR="00066524" w:rsidRPr="00A67F27" w:rsidRDefault="00066524" w:rsidP="00D8235A">
            <w:pPr>
              <w:numPr>
                <w:ilvl w:val="12"/>
                <w:numId w:val="0"/>
              </w:numPr>
              <w:tabs>
                <w:tab w:val="left" w:pos="2610"/>
              </w:tabs>
              <w:spacing w:before="120" w:after="120"/>
              <w:rPr>
                <w:rFonts w:asciiTheme="majorBidi" w:hAnsiTheme="majorBidi" w:cstheme="majorBidi"/>
                <w:spacing w:val="-2"/>
              </w:rPr>
            </w:pPr>
            <w:r w:rsidRPr="00A67F27">
              <w:rPr>
                <w:rFonts w:asciiTheme="majorBidi" w:hAnsiTheme="majorBidi" w:cstheme="majorBidi"/>
                <w:spacing w:val="-2"/>
              </w:rPr>
              <w:t>Adresse officielle du Soumissionnaire dans le pays d’enregistrement</w:t>
            </w:r>
            <w:r w:rsidR="009B2302" w:rsidRPr="00A67F27">
              <w:rPr>
                <w:rFonts w:asciiTheme="majorBidi" w:hAnsiTheme="majorBidi" w:cstheme="majorBidi"/>
                <w:spacing w:val="-2"/>
              </w:rPr>
              <w:t> :</w:t>
            </w:r>
            <w:r w:rsidRPr="00A67F27">
              <w:rPr>
                <w:rFonts w:asciiTheme="majorBidi" w:hAnsiTheme="majorBidi" w:cstheme="majorBidi"/>
                <w:spacing w:val="-2"/>
              </w:rPr>
              <w:t xml:space="preserve"> [</w:t>
            </w:r>
            <w:r w:rsidRPr="00A67F27">
              <w:rPr>
                <w:rFonts w:asciiTheme="majorBidi" w:hAnsiTheme="majorBidi" w:cstheme="majorBidi"/>
                <w:i/>
                <w:spacing w:val="-2"/>
              </w:rPr>
              <w:t>insérer l’adresse légale du Soumissionnaire dans le pays d’enregistrement</w:t>
            </w:r>
            <w:r w:rsidRPr="00A67F27">
              <w:rPr>
                <w:rFonts w:asciiTheme="majorBidi" w:hAnsiTheme="majorBidi" w:cstheme="majorBidi"/>
                <w:spacing w:val="-2"/>
              </w:rPr>
              <w:t>]</w:t>
            </w:r>
          </w:p>
        </w:tc>
      </w:tr>
      <w:tr w:rsidR="00066524" w:rsidRPr="00A67F27" w14:paraId="6D31B4D4" w14:textId="77777777" w:rsidTr="004231AA">
        <w:trPr>
          <w:cantSplit/>
          <w:trHeight w:val="440"/>
        </w:trPr>
        <w:tc>
          <w:tcPr>
            <w:tcW w:w="9464" w:type="dxa"/>
            <w:tcBorders>
              <w:top w:val="single" w:sz="6" w:space="0" w:color="auto"/>
              <w:left w:val="single" w:sz="6" w:space="0" w:color="auto"/>
              <w:bottom w:val="single" w:sz="6" w:space="0" w:color="auto"/>
              <w:right w:val="single" w:sz="6" w:space="0" w:color="auto"/>
            </w:tcBorders>
          </w:tcPr>
          <w:p w14:paraId="5FA07413" w14:textId="136AE606" w:rsidR="00066524" w:rsidRPr="00A67F27" w:rsidRDefault="00066524" w:rsidP="00D8235A">
            <w:pPr>
              <w:numPr>
                <w:ilvl w:val="12"/>
                <w:numId w:val="0"/>
              </w:numPr>
              <w:tabs>
                <w:tab w:val="left" w:pos="2610"/>
              </w:tabs>
              <w:spacing w:before="120" w:after="120"/>
              <w:rPr>
                <w:rFonts w:asciiTheme="majorBidi" w:hAnsiTheme="majorBidi" w:cstheme="majorBidi"/>
                <w:spacing w:val="-2"/>
              </w:rPr>
            </w:pPr>
            <w:r w:rsidRPr="00A67F27">
              <w:rPr>
                <w:rFonts w:asciiTheme="majorBidi" w:hAnsiTheme="majorBidi" w:cstheme="majorBidi"/>
                <w:spacing w:val="-2"/>
              </w:rPr>
              <w:t>Renseignement sur le représentant dûment habilité du Soumissionnaire</w:t>
            </w:r>
            <w:r w:rsidR="009B2302" w:rsidRPr="00A67F27">
              <w:rPr>
                <w:rFonts w:asciiTheme="majorBidi" w:hAnsiTheme="majorBidi" w:cstheme="majorBidi"/>
                <w:spacing w:val="-2"/>
              </w:rPr>
              <w:t> :</w:t>
            </w:r>
            <w:r w:rsidRPr="00A67F27">
              <w:rPr>
                <w:rFonts w:asciiTheme="majorBidi" w:hAnsiTheme="majorBidi" w:cstheme="majorBidi"/>
                <w:spacing w:val="-2"/>
              </w:rPr>
              <w:t xml:space="preserve"> </w:t>
            </w:r>
          </w:p>
          <w:p w14:paraId="2991DFE2" w14:textId="1B081F7A" w:rsidR="00066524" w:rsidRPr="00A67F27" w:rsidRDefault="00066524" w:rsidP="00D8235A">
            <w:pPr>
              <w:numPr>
                <w:ilvl w:val="12"/>
                <w:numId w:val="0"/>
              </w:numPr>
              <w:tabs>
                <w:tab w:val="left" w:pos="2610"/>
              </w:tabs>
              <w:spacing w:before="120" w:after="120"/>
              <w:rPr>
                <w:rFonts w:asciiTheme="majorBidi" w:hAnsiTheme="majorBidi" w:cstheme="majorBidi"/>
                <w:spacing w:val="-2"/>
              </w:rPr>
            </w:pPr>
            <w:r w:rsidRPr="00A67F27">
              <w:rPr>
                <w:rFonts w:asciiTheme="majorBidi" w:hAnsiTheme="majorBidi" w:cstheme="majorBidi"/>
                <w:spacing w:val="-2"/>
              </w:rPr>
              <w:t>Nom</w:t>
            </w:r>
            <w:r w:rsidR="009B2302" w:rsidRPr="00A67F27">
              <w:rPr>
                <w:rFonts w:asciiTheme="majorBidi" w:hAnsiTheme="majorBidi" w:cstheme="majorBidi"/>
                <w:spacing w:val="-2"/>
              </w:rPr>
              <w:t> :</w:t>
            </w:r>
            <w:r w:rsidRPr="00A67F27">
              <w:rPr>
                <w:rFonts w:asciiTheme="majorBidi" w:hAnsiTheme="majorBidi" w:cstheme="majorBidi"/>
                <w:spacing w:val="-2"/>
              </w:rPr>
              <w:t xml:space="preserve"> [</w:t>
            </w:r>
            <w:r w:rsidRPr="00A67F27">
              <w:rPr>
                <w:rFonts w:asciiTheme="majorBidi" w:hAnsiTheme="majorBidi" w:cstheme="majorBidi"/>
                <w:i/>
                <w:spacing w:val="-2"/>
              </w:rPr>
              <w:t>insérer le nom du représentant du Soumissionnaire</w:t>
            </w:r>
            <w:r w:rsidRPr="00A67F27">
              <w:rPr>
                <w:rFonts w:asciiTheme="majorBidi" w:hAnsiTheme="majorBidi" w:cstheme="majorBidi"/>
                <w:spacing w:val="-2"/>
              </w:rPr>
              <w:t>]</w:t>
            </w:r>
          </w:p>
          <w:p w14:paraId="5C46B8EB" w14:textId="7F17F932" w:rsidR="00066524" w:rsidRPr="00A67F27" w:rsidRDefault="00066524" w:rsidP="00D8235A">
            <w:pPr>
              <w:numPr>
                <w:ilvl w:val="12"/>
                <w:numId w:val="0"/>
              </w:numPr>
              <w:tabs>
                <w:tab w:val="left" w:pos="2610"/>
              </w:tabs>
              <w:spacing w:before="120" w:after="120"/>
              <w:rPr>
                <w:rFonts w:asciiTheme="majorBidi" w:hAnsiTheme="majorBidi" w:cstheme="majorBidi"/>
                <w:spacing w:val="-2"/>
              </w:rPr>
            </w:pPr>
            <w:r w:rsidRPr="00A67F27">
              <w:rPr>
                <w:rFonts w:asciiTheme="majorBidi" w:hAnsiTheme="majorBidi" w:cstheme="majorBidi"/>
                <w:spacing w:val="-2"/>
              </w:rPr>
              <w:t>Adresse</w:t>
            </w:r>
            <w:r w:rsidR="009B2302" w:rsidRPr="00A67F27">
              <w:rPr>
                <w:rFonts w:asciiTheme="majorBidi" w:hAnsiTheme="majorBidi" w:cstheme="majorBidi"/>
                <w:spacing w:val="-2"/>
              </w:rPr>
              <w:t> :</w:t>
            </w:r>
            <w:r w:rsidRPr="00A67F27">
              <w:rPr>
                <w:rFonts w:asciiTheme="majorBidi" w:hAnsiTheme="majorBidi" w:cstheme="majorBidi"/>
                <w:spacing w:val="-2"/>
              </w:rPr>
              <w:t xml:space="preserve"> [</w:t>
            </w:r>
            <w:r w:rsidRPr="00A67F27">
              <w:rPr>
                <w:rFonts w:asciiTheme="majorBidi" w:hAnsiTheme="majorBidi" w:cstheme="majorBidi"/>
                <w:i/>
                <w:spacing w:val="-2"/>
              </w:rPr>
              <w:t>insérer l’adresse du représentant du Soumissionnaire</w:t>
            </w:r>
            <w:r w:rsidRPr="00A67F27">
              <w:rPr>
                <w:rFonts w:asciiTheme="majorBidi" w:hAnsiTheme="majorBidi" w:cstheme="majorBidi"/>
                <w:spacing w:val="-2"/>
              </w:rPr>
              <w:t>]</w:t>
            </w:r>
          </w:p>
          <w:p w14:paraId="2030E4B7" w14:textId="186E9BED" w:rsidR="00066524" w:rsidRPr="00A67F27" w:rsidRDefault="00066524" w:rsidP="00D8235A">
            <w:pPr>
              <w:numPr>
                <w:ilvl w:val="12"/>
                <w:numId w:val="0"/>
              </w:numPr>
              <w:tabs>
                <w:tab w:val="left" w:pos="2610"/>
              </w:tabs>
              <w:spacing w:before="120" w:after="120"/>
              <w:jc w:val="left"/>
              <w:rPr>
                <w:rFonts w:asciiTheme="majorBidi" w:hAnsiTheme="majorBidi" w:cstheme="majorBidi"/>
                <w:spacing w:val="-2"/>
              </w:rPr>
            </w:pPr>
            <w:r w:rsidRPr="00A67F27">
              <w:rPr>
                <w:rFonts w:asciiTheme="majorBidi" w:hAnsiTheme="majorBidi" w:cstheme="majorBidi"/>
                <w:spacing w:val="-2"/>
              </w:rPr>
              <w:t>Téléphone/Fac-similé</w:t>
            </w:r>
            <w:r w:rsidR="009B2302" w:rsidRPr="00A67F27">
              <w:rPr>
                <w:rFonts w:asciiTheme="majorBidi" w:hAnsiTheme="majorBidi" w:cstheme="majorBidi"/>
                <w:spacing w:val="-2"/>
              </w:rPr>
              <w:t> :</w:t>
            </w:r>
            <w:r w:rsidRPr="00A67F27">
              <w:rPr>
                <w:rFonts w:asciiTheme="majorBidi" w:hAnsiTheme="majorBidi" w:cstheme="majorBidi"/>
                <w:spacing w:val="-2"/>
              </w:rPr>
              <w:t xml:space="preserve"> [</w:t>
            </w:r>
            <w:r w:rsidRPr="00A67F27">
              <w:rPr>
                <w:rFonts w:asciiTheme="majorBidi" w:hAnsiTheme="majorBidi" w:cstheme="majorBidi"/>
                <w:i/>
                <w:spacing w:val="-2"/>
              </w:rPr>
              <w:t>insérer le no de téléphone/fac-similé du représentant du Soumissionnaire</w:t>
            </w:r>
            <w:r w:rsidRPr="00A67F27">
              <w:rPr>
                <w:rFonts w:asciiTheme="majorBidi" w:hAnsiTheme="majorBidi" w:cstheme="majorBidi"/>
                <w:spacing w:val="-2"/>
              </w:rPr>
              <w:t>]</w:t>
            </w:r>
          </w:p>
          <w:p w14:paraId="0EC3160D" w14:textId="2A6D1101" w:rsidR="00066524" w:rsidRPr="00A67F27" w:rsidRDefault="00066524" w:rsidP="00D8235A">
            <w:pPr>
              <w:numPr>
                <w:ilvl w:val="12"/>
                <w:numId w:val="0"/>
              </w:numPr>
              <w:tabs>
                <w:tab w:val="left" w:pos="2610"/>
              </w:tabs>
              <w:spacing w:before="120" w:after="120"/>
              <w:rPr>
                <w:rFonts w:asciiTheme="majorBidi" w:hAnsiTheme="majorBidi" w:cstheme="majorBidi"/>
                <w:spacing w:val="-2"/>
              </w:rPr>
            </w:pPr>
            <w:r w:rsidRPr="00A67F27">
              <w:rPr>
                <w:rFonts w:asciiTheme="majorBidi" w:hAnsiTheme="majorBidi" w:cstheme="majorBidi"/>
                <w:spacing w:val="-2"/>
              </w:rPr>
              <w:t>Adresse électronique</w:t>
            </w:r>
            <w:r w:rsidR="009B2302" w:rsidRPr="00A67F27">
              <w:rPr>
                <w:rFonts w:asciiTheme="majorBidi" w:hAnsiTheme="majorBidi" w:cstheme="majorBidi"/>
                <w:spacing w:val="-2"/>
              </w:rPr>
              <w:t> :</w:t>
            </w:r>
            <w:r w:rsidRPr="00A67F27">
              <w:rPr>
                <w:rFonts w:asciiTheme="majorBidi" w:hAnsiTheme="majorBidi" w:cstheme="majorBidi"/>
                <w:spacing w:val="-2"/>
              </w:rPr>
              <w:t xml:space="preserve"> [</w:t>
            </w:r>
            <w:r w:rsidRPr="00A67F27">
              <w:rPr>
                <w:rFonts w:asciiTheme="majorBidi" w:hAnsiTheme="majorBidi" w:cstheme="majorBidi"/>
                <w:i/>
                <w:spacing w:val="-2"/>
              </w:rPr>
              <w:t>insérer l’adresse électronique du représentant du Soumissionnaire</w:t>
            </w:r>
            <w:r w:rsidRPr="00A67F27">
              <w:rPr>
                <w:rFonts w:asciiTheme="majorBidi" w:hAnsiTheme="majorBidi" w:cstheme="majorBidi"/>
                <w:spacing w:val="-2"/>
              </w:rPr>
              <w:t>]</w:t>
            </w:r>
          </w:p>
        </w:tc>
      </w:tr>
      <w:tr w:rsidR="00066524" w:rsidRPr="00A67F27" w14:paraId="59932384" w14:textId="77777777" w:rsidTr="004231AA">
        <w:trPr>
          <w:cantSplit/>
          <w:trHeight w:val="440"/>
        </w:trPr>
        <w:tc>
          <w:tcPr>
            <w:tcW w:w="9464" w:type="dxa"/>
            <w:tcBorders>
              <w:top w:val="single" w:sz="6" w:space="0" w:color="auto"/>
              <w:left w:val="single" w:sz="6" w:space="0" w:color="auto"/>
              <w:bottom w:val="single" w:sz="4" w:space="0" w:color="auto"/>
              <w:right w:val="single" w:sz="6" w:space="0" w:color="auto"/>
            </w:tcBorders>
          </w:tcPr>
          <w:p w14:paraId="26F32D7E" w14:textId="487FF5A5" w:rsidR="00066524" w:rsidRPr="00A67F27" w:rsidRDefault="008E1AD4" w:rsidP="00D8235A">
            <w:pPr>
              <w:numPr>
                <w:ilvl w:val="12"/>
                <w:numId w:val="0"/>
              </w:numPr>
              <w:tabs>
                <w:tab w:val="left" w:pos="2610"/>
              </w:tabs>
              <w:spacing w:before="120" w:after="120"/>
              <w:rPr>
                <w:rFonts w:asciiTheme="majorBidi" w:hAnsiTheme="majorBidi" w:cstheme="majorBidi"/>
                <w:spacing w:val="-2"/>
              </w:rPr>
            </w:pPr>
            <w:r w:rsidRPr="00A67F27">
              <w:rPr>
                <w:rFonts w:asciiTheme="majorBidi" w:hAnsiTheme="majorBidi" w:cstheme="majorBidi"/>
                <w:spacing w:val="-2"/>
              </w:rPr>
              <w:t>1</w:t>
            </w:r>
            <w:r w:rsidR="00066524" w:rsidRPr="00A67F27">
              <w:rPr>
                <w:rFonts w:asciiTheme="majorBidi" w:hAnsiTheme="majorBidi" w:cstheme="majorBidi"/>
                <w:spacing w:val="-2"/>
              </w:rPr>
              <w:t>. Ci-joint copie des originaux des documents ci-après</w:t>
            </w:r>
            <w:r w:rsidR="009B2302" w:rsidRPr="00A67F27">
              <w:rPr>
                <w:rFonts w:asciiTheme="majorBidi" w:hAnsiTheme="majorBidi" w:cstheme="majorBidi"/>
                <w:spacing w:val="-2"/>
              </w:rPr>
              <w:t> :</w:t>
            </w:r>
            <w:r w:rsidR="00066524" w:rsidRPr="00A67F27">
              <w:rPr>
                <w:rFonts w:asciiTheme="majorBidi" w:hAnsiTheme="majorBidi" w:cstheme="majorBidi"/>
                <w:spacing w:val="-2"/>
              </w:rPr>
              <w:t xml:space="preserve"> [</w:t>
            </w:r>
            <w:r w:rsidR="00066524" w:rsidRPr="00A67F27">
              <w:rPr>
                <w:rFonts w:asciiTheme="majorBidi" w:hAnsiTheme="majorBidi" w:cstheme="majorBidi"/>
                <w:i/>
                <w:spacing w:val="-2"/>
              </w:rPr>
              <w:t>marquer la (les) case(s) correspondant aux documents originaux joints</w:t>
            </w:r>
            <w:r w:rsidR="00066524" w:rsidRPr="00A67F27">
              <w:rPr>
                <w:rFonts w:asciiTheme="majorBidi" w:hAnsiTheme="majorBidi" w:cstheme="majorBidi"/>
                <w:spacing w:val="-2"/>
              </w:rPr>
              <w:t>]</w:t>
            </w:r>
          </w:p>
          <w:p w14:paraId="5A24F3A5" w14:textId="05669F19" w:rsidR="00066524" w:rsidRPr="00A67F27" w:rsidRDefault="00066524" w:rsidP="002A45C1">
            <w:pPr>
              <w:pStyle w:val="Paragraphedeliste"/>
              <w:numPr>
                <w:ilvl w:val="0"/>
                <w:numId w:val="72"/>
              </w:numPr>
              <w:tabs>
                <w:tab w:val="left" w:pos="2610"/>
              </w:tabs>
              <w:spacing w:before="120" w:after="120"/>
              <w:ind w:left="426"/>
              <w:rPr>
                <w:rFonts w:asciiTheme="majorBidi" w:hAnsiTheme="majorBidi" w:cstheme="majorBidi"/>
                <w:spacing w:val="-2"/>
              </w:rPr>
            </w:pPr>
            <w:r w:rsidRPr="00A67F27">
              <w:rPr>
                <w:rFonts w:asciiTheme="majorBidi" w:hAnsiTheme="majorBidi" w:cstheme="majorBidi"/>
                <w:spacing w:val="-2"/>
              </w:rPr>
              <w:t>Document d’enregistrement, d’inscription ou de constitution de la firme nommée en 1 ci-dessus, en conformité avec l’article 4.4 des IS</w:t>
            </w:r>
          </w:p>
          <w:p w14:paraId="56A3D59C" w14:textId="77777777" w:rsidR="00066524" w:rsidRPr="00A67F27" w:rsidRDefault="00066524" w:rsidP="002A45C1">
            <w:pPr>
              <w:pStyle w:val="Paragraphedeliste"/>
              <w:numPr>
                <w:ilvl w:val="0"/>
                <w:numId w:val="72"/>
              </w:numPr>
              <w:spacing w:before="120" w:after="120"/>
              <w:ind w:left="426"/>
              <w:rPr>
                <w:rFonts w:asciiTheme="majorBidi" w:hAnsiTheme="majorBidi" w:cstheme="majorBidi"/>
                <w:spacing w:val="-2"/>
              </w:rPr>
            </w:pPr>
            <w:r w:rsidRPr="00A67F27">
              <w:rPr>
                <w:rFonts w:asciiTheme="majorBidi" w:hAnsiTheme="majorBidi" w:cstheme="majorBidi"/>
                <w:spacing w:val="-2"/>
              </w:rPr>
              <w:t>En cas de groupement, lettre d’intention de constituer un groupement, ou accord de groupement, en conformité avec l’article 4.1 des IS.</w:t>
            </w:r>
          </w:p>
          <w:p w14:paraId="6646A540" w14:textId="77777777" w:rsidR="00066524" w:rsidRPr="00A67F27" w:rsidRDefault="00066524" w:rsidP="002A45C1">
            <w:pPr>
              <w:pStyle w:val="Paragraphedeliste"/>
              <w:numPr>
                <w:ilvl w:val="0"/>
                <w:numId w:val="72"/>
              </w:numPr>
              <w:spacing w:before="120" w:after="120"/>
              <w:ind w:left="426"/>
              <w:rPr>
                <w:rFonts w:asciiTheme="majorBidi" w:hAnsiTheme="majorBidi" w:cstheme="majorBidi"/>
                <w:spacing w:val="-2"/>
              </w:rPr>
            </w:pPr>
            <w:r w:rsidRPr="00A67F27">
              <w:rPr>
                <w:rFonts w:asciiTheme="majorBidi" w:hAnsiTheme="majorBidi" w:cstheme="majorBidi"/>
                <w:spacing w:val="-2"/>
              </w:rPr>
              <w:t xml:space="preserve">Dans le cas d’une entreprise publique du pays du </w:t>
            </w:r>
            <w:r w:rsidRPr="00A67F27">
              <w:rPr>
                <w:rFonts w:asciiTheme="majorBidi" w:hAnsiTheme="majorBidi" w:cstheme="majorBidi"/>
              </w:rPr>
              <w:t>Maître de l’Ouvrage</w:t>
            </w:r>
            <w:r w:rsidRPr="00A67F27">
              <w:rPr>
                <w:rFonts w:asciiTheme="majorBidi" w:hAnsiTheme="majorBidi" w:cstheme="majorBidi"/>
                <w:spacing w:val="-2"/>
              </w:rPr>
              <w:t xml:space="preserve">, documents établissant qu’elle est juridiquement et financièrement autonome, et administrée selon les règles du droit commercial, et qu’elle n’est pas sous la tutelle du </w:t>
            </w:r>
            <w:r w:rsidRPr="00A67F27">
              <w:rPr>
                <w:rFonts w:asciiTheme="majorBidi" w:hAnsiTheme="majorBidi" w:cstheme="majorBidi"/>
              </w:rPr>
              <w:t>Maître de l’Ouvrage</w:t>
            </w:r>
            <w:r w:rsidRPr="00A67F27">
              <w:rPr>
                <w:rFonts w:asciiTheme="majorBidi" w:hAnsiTheme="majorBidi" w:cstheme="majorBidi"/>
                <w:spacing w:val="-2"/>
              </w:rPr>
              <w:t xml:space="preserve"> l’Acheteur, en conformité avec l’article 4.6 des IS.</w:t>
            </w:r>
          </w:p>
          <w:p w14:paraId="3F3E7173" w14:textId="7F19F490" w:rsidR="00066524" w:rsidRPr="00A67F27" w:rsidRDefault="00D8235A" w:rsidP="00D8235A">
            <w:pPr>
              <w:numPr>
                <w:ilvl w:val="12"/>
                <w:numId w:val="0"/>
              </w:numPr>
              <w:tabs>
                <w:tab w:val="left" w:pos="2610"/>
              </w:tabs>
              <w:spacing w:before="120" w:after="120"/>
              <w:rPr>
                <w:rFonts w:asciiTheme="majorBidi" w:hAnsiTheme="majorBidi" w:cstheme="majorBidi"/>
                <w:spacing w:val="-2"/>
              </w:rPr>
            </w:pPr>
            <w:r w:rsidRPr="00A67F27">
              <w:rPr>
                <w:rFonts w:asciiTheme="majorBidi" w:hAnsiTheme="majorBidi" w:cstheme="majorBidi"/>
                <w:spacing w:val="-2"/>
              </w:rPr>
              <w:t xml:space="preserve">2. </w:t>
            </w:r>
            <w:r w:rsidR="00066524" w:rsidRPr="00A67F27">
              <w:rPr>
                <w:rFonts w:asciiTheme="majorBidi" w:hAnsiTheme="majorBidi" w:cstheme="majorBidi"/>
                <w:spacing w:val="-2"/>
              </w:rPr>
              <w:t>Diagramme organisationnel, liste des membres du conseil d’administration et propriété bénéficiaire</w:t>
            </w:r>
          </w:p>
        </w:tc>
      </w:tr>
    </w:tbl>
    <w:p w14:paraId="4E2A4D6E" w14:textId="77777777" w:rsidR="00543ED0" w:rsidRPr="00A67F27" w:rsidRDefault="00543ED0" w:rsidP="00543ED0">
      <w:pPr>
        <w:numPr>
          <w:ilvl w:val="12"/>
          <w:numId w:val="0"/>
        </w:numPr>
        <w:tabs>
          <w:tab w:val="left" w:pos="2610"/>
        </w:tabs>
        <w:rPr>
          <w:rFonts w:asciiTheme="majorBidi" w:hAnsiTheme="majorBidi" w:cstheme="majorBidi"/>
        </w:rPr>
      </w:pPr>
    </w:p>
    <w:p w14:paraId="47E957A4" w14:textId="52D4465C" w:rsidR="00543ED0" w:rsidRPr="00A67F27" w:rsidRDefault="00543ED0" w:rsidP="00F42969">
      <w:pPr>
        <w:pStyle w:val="S4-Header2"/>
        <w:rPr>
          <w:szCs w:val="32"/>
          <w:lang w:val="fr-FR"/>
        </w:rPr>
      </w:pPr>
      <w:r w:rsidRPr="00A67F27">
        <w:rPr>
          <w:rFonts w:asciiTheme="majorBidi" w:hAnsiTheme="majorBidi" w:cstheme="majorBidi"/>
          <w:lang w:val="fr-FR"/>
        </w:rPr>
        <w:br w:type="page"/>
      </w:r>
      <w:bookmarkStart w:id="513" w:name="_Toc327863885"/>
      <w:bookmarkStart w:id="514" w:name="_Toc487641624"/>
      <w:r w:rsidRPr="00A67F27">
        <w:rPr>
          <w:szCs w:val="32"/>
          <w:lang w:val="fr-FR"/>
        </w:rPr>
        <w:lastRenderedPageBreak/>
        <w:t>Formulaire ELI – 1.2</w:t>
      </w:r>
      <w:r w:rsidR="009B2302" w:rsidRPr="00A67F27">
        <w:rPr>
          <w:szCs w:val="32"/>
          <w:lang w:val="fr-FR"/>
        </w:rPr>
        <w:t> :</w:t>
      </w:r>
      <w:r w:rsidRPr="00A67F27">
        <w:rPr>
          <w:szCs w:val="32"/>
          <w:lang w:val="fr-FR"/>
        </w:rPr>
        <w:t xml:space="preserve"> Fiche de renseignements sur chaque </w:t>
      </w:r>
      <w:r w:rsidR="00F42969" w:rsidRPr="00A67F27">
        <w:rPr>
          <w:szCs w:val="32"/>
          <w:lang w:val="fr-FR"/>
        </w:rPr>
        <w:br/>
      </w:r>
      <w:r w:rsidRPr="00A67F27">
        <w:rPr>
          <w:szCs w:val="32"/>
          <w:lang w:val="fr-FR"/>
        </w:rPr>
        <w:t>Partie d’un GE/ sous-traitants spécialisés</w:t>
      </w:r>
      <w:bookmarkEnd w:id="513"/>
      <w:bookmarkEnd w:id="514"/>
    </w:p>
    <w:p w14:paraId="77F426A6" w14:textId="77777777" w:rsidR="004A7F6C" w:rsidRPr="00A67F27" w:rsidRDefault="004A7F6C" w:rsidP="004A7F6C">
      <w:pPr>
        <w:jc w:val="center"/>
      </w:pPr>
      <w:r w:rsidRPr="00A67F27">
        <w:t>(</w:t>
      </w:r>
      <w:proofErr w:type="gramStart"/>
      <w:r w:rsidRPr="00A67F27">
        <w:t>à</w:t>
      </w:r>
      <w:proofErr w:type="gramEnd"/>
      <w:r w:rsidRPr="00A67F27">
        <w:t xml:space="preserve"> remplir pour chaque membre d’un Groupement d’Entreprises)</w:t>
      </w:r>
    </w:p>
    <w:p w14:paraId="176FE589" w14:textId="2809C2EF" w:rsidR="00066524" w:rsidRPr="00A67F27" w:rsidRDefault="00066524" w:rsidP="00F42969">
      <w:pPr>
        <w:spacing w:after="0"/>
        <w:jc w:val="right"/>
        <w:rPr>
          <w:rFonts w:asciiTheme="majorBidi" w:hAnsiTheme="majorBidi" w:cstheme="majorBidi"/>
        </w:rPr>
      </w:pPr>
      <w:r w:rsidRPr="00A67F27">
        <w:rPr>
          <w:rFonts w:asciiTheme="majorBidi" w:hAnsiTheme="majorBidi" w:cstheme="majorBidi"/>
        </w:rPr>
        <w:t>Date</w:t>
      </w:r>
      <w:r w:rsidR="009B2302" w:rsidRPr="00A67F27">
        <w:rPr>
          <w:rFonts w:asciiTheme="majorBidi" w:hAnsiTheme="majorBidi" w:cstheme="majorBidi"/>
        </w:rPr>
        <w:t> :</w:t>
      </w:r>
      <w:r w:rsidRPr="00A67F27">
        <w:rPr>
          <w:rFonts w:asciiTheme="majorBidi" w:hAnsiTheme="majorBidi" w:cstheme="majorBidi"/>
        </w:rPr>
        <w:t xml:space="preserve"> </w:t>
      </w:r>
      <w:r w:rsidRPr="00A67F27">
        <w:rPr>
          <w:rFonts w:asciiTheme="majorBidi" w:hAnsiTheme="majorBidi" w:cstheme="majorBidi"/>
          <w:i/>
          <w:iCs/>
        </w:rPr>
        <w:t>[insérer la date (jour, mois, année) de remise de l’offre]</w:t>
      </w:r>
    </w:p>
    <w:p w14:paraId="3AC5649A" w14:textId="09DCDF7A" w:rsidR="00066524" w:rsidRPr="00A67F27" w:rsidRDefault="00066524" w:rsidP="00F42969">
      <w:pPr>
        <w:spacing w:after="0"/>
        <w:jc w:val="right"/>
        <w:rPr>
          <w:rFonts w:asciiTheme="majorBidi" w:hAnsiTheme="majorBidi" w:cstheme="majorBidi"/>
        </w:rPr>
      </w:pPr>
      <w:r w:rsidRPr="00A67F27">
        <w:rPr>
          <w:rFonts w:asciiTheme="majorBidi" w:hAnsiTheme="majorBidi" w:cstheme="majorBidi"/>
        </w:rPr>
        <w:t>AO No.</w:t>
      </w:r>
      <w:r w:rsidR="009B2302" w:rsidRPr="00A67F27">
        <w:rPr>
          <w:rFonts w:asciiTheme="majorBidi" w:hAnsiTheme="majorBidi" w:cstheme="majorBidi"/>
        </w:rPr>
        <w:t> :</w:t>
      </w:r>
      <w:r w:rsidRPr="00A67F27">
        <w:rPr>
          <w:rFonts w:asciiTheme="majorBidi" w:hAnsiTheme="majorBidi" w:cstheme="majorBidi"/>
        </w:rPr>
        <w:t xml:space="preserve"> </w:t>
      </w:r>
      <w:r w:rsidRPr="00A67F27">
        <w:rPr>
          <w:rFonts w:asciiTheme="majorBidi" w:hAnsiTheme="majorBidi" w:cstheme="majorBidi"/>
          <w:bCs/>
          <w:i/>
          <w:iCs/>
        </w:rPr>
        <w:t>[</w:t>
      </w:r>
      <w:proofErr w:type="gramStart"/>
      <w:r w:rsidRPr="00A67F27">
        <w:rPr>
          <w:rFonts w:asciiTheme="majorBidi" w:hAnsiTheme="majorBidi" w:cstheme="majorBidi"/>
          <w:bCs/>
          <w:i/>
          <w:iCs/>
        </w:rPr>
        <w:t>insérer</w:t>
      </w:r>
      <w:proofErr w:type="gramEnd"/>
      <w:r w:rsidRPr="00A67F27">
        <w:rPr>
          <w:rFonts w:asciiTheme="majorBidi" w:hAnsiTheme="majorBidi" w:cstheme="majorBidi"/>
          <w:bCs/>
          <w:i/>
          <w:iCs/>
        </w:rPr>
        <w:t xml:space="preserve"> le numéro de l’Appel d’Offres]</w:t>
      </w:r>
    </w:p>
    <w:p w14:paraId="41B14BC0" w14:textId="6C5A89FD" w:rsidR="00066524" w:rsidRPr="00A67F27" w:rsidRDefault="004A7F6C" w:rsidP="00F42969">
      <w:pPr>
        <w:spacing w:after="0"/>
        <w:ind w:right="72"/>
        <w:jc w:val="right"/>
        <w:rPr>
          <w:rFonts w:asciiTheme="majorBidi" w:hAnsiTheme="majorBidi" w:cstheme="majorBidi"/>
          <w:bCs/>
          <w:i/>
          <w:iCs/>
        </w:rPr>
      </w:pPr>
      <w:r w:rsidRPr="00A67F27">
        <w:rPr>
          <w:spacing w:val="-2"/>
        </w:rPr>
        <w:t>Page</w:t>
      </w:r>
      <w:r w:rsidRPr="00A67F27">
        <w:rPr>
          <w:i/>
          <w:spacing w:val="-2"/>
        </w:rPr>
        <w:t xml:space="preserve"> </w:t>
      </w:r>
      <w:r w:rsidRPr="00A67F27">
        <w:rPr>
          <w:i/>
        </w:rPr>
        <w:t>__________de</w:t>
      </w:r>
      <w:r w:rsidRPr="00A67F27">
        <w:rPr>
          <w:spacing w:val="-2"/>
        </w:rPr>
        <w:t xml:space="preserve"> </w:t>
      </w:r>
      <w:r w:rsidRPr="00A67F27">
        <w:rPr>
          <w:i/>
          <w:spacing w:val="1"/>
        </w:rPr>
        <w:t>_______________</w:t>
      </w:r>
      <w:r w:rsidRPr="00A67F27">
        <w:rPr>
          <w:spacing w:val="-2"/>
        </w:rPr>
        <w:t>pages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88"/>
      </w:tblGrid>
      <w:tr w:rsidR="00066524" w:rsidRPr="00A67F27" w14:paraId="7AB2C6DE" w14:textId="77777777" w:rsidTr="004231AA">
        <w:trPr>
          <w:cantSplit/>
          <w:trHeight w:val="440"/>
        </w:trPr>
        <w:tc>
          <w:tcPr>
            <w:tcW w:w="9588" w:type="dxa"/>
          </w:tcPr>
          <w:p w14:paraId="7559377E" w14:textId="7948D32D" w:rsidR="00066524" w:rsidRPr="00A67F27" w:rsidRDefault="00066524" w:rsidP="008C2246">
            <w:pPr>
              <w:spacing w:before="120" w:after="120"/>
              <w:ind w:left="0" w:firstLine="0"/>
              <w:jc w:val="left"/>
              <w:rPr>
                <w:rFonts w:asciiTheme="majorBidi" w:hAnsiTheme="majorBidi" w:cstheme="majorBidi"/>
                <w:bCs/>
                <w:i/>
                <w:iCs/>
              </w:rPr>
            </w:pPr>
            <w:r w:rsidRPr="00A67F27">
              <w:rPr>
                <w:rFonts w:asciiTheme="majorBidi" w:hAnsiTheme="majorBidi" w:cstheme="majorBidi"/>
                <w:spacing w:val="-2"/>
              </w:rPr>
              <w:t>Nom du Soumissionnaire</w:t>
            </w:r>
            <w:r w:rsidR="009B2302" w:rsidRPr="00A67F27">
              <w:rPr>
                <w:rFonts w:asciiTheme="majorBidi" w:hAnsiTheme="majorBidi" w:cstheme="majorBidi"/>
                <w:spacing w:val="-2"/>
              </w:rPr>
              <w:t> :</w:t>
            </w:r>
            <w:r w:rsidRPr="00A67F27">
              <w:rPr>
                <w:rFonts w:asciiTheme="majorBidi" w:hAnsiTheme="majorBidi" w:cstheme="majorBidi"/>
              </w:rPr>
              <w:t xml:space="preserve"> </w:t>
            </w:r>
            <w:r w:rsidRPr="00A67F27">
              <w:rPr>
                <w:rFonts w:asciiTheme="majorBidi" w:hAnsiTheme="majorBidi" w:cstheme="majorBidi"/>
                <w:bCs/>
                <w:i/>
                <w:iCs/>
              </w:rPr>
              <w:t>[insérer le nom légal du Soumissionnaire]</w:t>
            </w:r>
          </w:p>
        </w:tc>
      </w:tr>
      <w:tr w:rsidR="00066524" w:rsidRPr="00A67F27" w14:paraId="056F508B" w14:textId="77777777" w:rsidTr="004231AA">
        <w:trPr>
          <w:cantSplit/>
          <w:trHeight w:val="674"/>
        </w:trPr>
        <w:tc>
          <w:tcPr>
            <w:tcW w:w="9588" w:type="dxa"/>
          </w:tcPr>
          <w:p w14:paraId="66CA997D" w14:textId="0079CE44" w:rsidR="00066524" w:rsidRPr="00A67F27" w:rsidRDefault="00066524" w:rsidP="008C2246">
            <w:pPr>
              <w:spacing w:before="120" w:after="120"/>
              <w:ind w:left="0" w:firstLine="0"/>
              <w:jc w:val="left"/>
              <w:rPr>
                <w:rFonts w:asciiTheme="majorBidi" w:hAnsiTheme="majorBidi" w:cstheme="majorBidi"/>
                <w:bCs/>
                <w:i/>
                <w:iCs/>
                <w:spacing w:val="-2"/>
              </w:rPr>
            </w:pPr>
            <w:r w:rsidRPr="00A67F27">
              <w:rPr>
                <w:rFonts w:asciiTheme="majorBidi" w:hAnsiTheme="majorBidi" w:cstheme="majorBidi"/>
                <w:spacing w:val="-2"/>
              </w:rPr>
              <w:t>Nom du membre du groupement</w:t>
            </w:r>
            <w:r w:rsidR="009B2302" w:rsidRPr="00A67F27">
              <w:rPr>
                <w:rFonts w:asciiTheme="majorBidi" w:hAnsiTheme="majorBidi" w:cstheme="majorBidi"/>
                <w:spacing w:val="-2"/>
              </w:rPr>
              <w:t> :</w:t>
            </w:r>
            <w:r w:rsidRPr="00A67F27">
              <w:rPr>
                <w:rFonts w:asciiTheme="majorBidi" w:hAnsiTheme="majorBidi" w:cstheme="majorBidi"/>
                <w:spacing w:val="-2"/>
              </w:rPr>
              <w:t xml:space="preserve"> </w:t>
            </w:r>
            <w:r w:rsidRPr="00A67F27">
              <w:rPr>
                <w:rFonts w:asciiTheme="majorBidi" w:hAnsiTheme="majorBidi" w:cstheme="majorBidi"/>
                <w:bCs/>
                <w:i/>
                <w:iCs/>
              </w:rPr>
              <w:t>[insérer le nom légal du membre du groupement]</w:t>
            </w:r>
          </w:p>
        </w:tc>
      </w:tr>
      <w:tr w:rsidR="00066524" w:rsidRPr="00A67F27" w14:paraId="109B5742" w14:textId="77777777" w:rsidTr="004231AA">
        <w:trPr>
          <w:cantSplit/>
          <w:trHeight w:val="674"/>
        </w:trPr>
        <w:tc>
          <w:tcPr>
            <w:tcW w:w="9588" w:type="dxa"/>
          </w:tcPr>
          <w:p w14:paraId="1A7188D7" w14:textId="47990FE9" w:rsidR="00066524" w:rsidRPr="00A67F27" w:rsidRDefault="00066524" w:rsidP="008C2246">
            <w:pPr>
              <w:spacing w:before="120" w:after="120"/>
              <w:ind w:left="0" w:firstLine="0"/>
              <w:jc w:val="left"/>
              <w:rPr>
                <w:rFonts w:asciiTheme="majorBidi" w:hAnsiTheme="majorBidi" w:cstheme="majorBidi"/>
              </w:rPr>
            </w:pPr>
            <w:r w:rsidRPr="00A67F27">
              <w:rPr>
                <w:rFonts w:asciiTheme="majorBidi" w:hAnsiTheme="majorBidi" w:cstheme="majorBidi"/>
              </w:rPr>
              <w:t xml:space="preserve">Pays où le </w:t>
            </w:r>
            <w:r w:rsidRPr="00A67F27">
              <w:rPr>
                <w:rFonts w:asciiTheme="majorBidi" w:hAnsiTheme="majorBidi" w:cstheme="majorBidi"/>
                <w:spacing w:val="-2"/>
              </w:rPr>
              <w:t>membre du groupement</w:t>
            </w:r>
            <w:r w:rsidRPr="00A67F27">
              <w:rPr>
                <w:rFonts w:asciiTheme="majorBidi" w:hAnsiTheme="majorBidi" w:cstheme="majorBidi"/>
              </w:rPr>
              <w:t xml:space="preserve"> est, ou sera légalement enregistré</w:t>
            </w:r>
            <w:r w:rsidR="009B2302" w:rsidRPr="00A67F27">
              <w:rPr>
                <w:rFonts w:asciiTheme="majorBidi" w:hAnsiTheme="majorBidi" w:cstheme="majorBidi"/>
                <w:spacing w:val="-2"/>
              </w:rPr>
              <w:t> :</w:t>
            </w:r>
            <w:r w:rsidRPr="00A67F27">
              <w:rPr>
                <w:rFonts w:asciiTheme="majorBidi" w:hAnsiTheme="majorBidi" w:cstheme="majorBidi"/>
                <w:spacing w:val="-2"/>
              </w:rPr>
              <w:t xml:space="preserve"> </w:t>
            </w:r>
            <w:r w:rsidRPr="00A67F27">
              <w:rPr>
                <w:rFonts w:asciiTheme="majorBidi" w:hAnsiTheme="majorBidi" w:cstheme="majorBidi"/>
                <w:bCs/>
                <w:i/>
                <w:iCs/>
              </w:rPr>
              <w:t>[insérer le nom du pays d’enregistrement du membre du groupement]</w:t>
            </w:r>
          </w:p>
        </w:tc>
      </w:tr>
      <w:tr w:rsidR="00066524" w:rsidRPr="00A67F27" w14:paraId="6D237281" w14:textId="77777777" w:rsidTr="004231AA">
        <w:trPr>
          <w:cantSplit/>
          <w:trHeight w:val="674"/>
        </w:trPr>
        <w:tc>
          <w:tcPr>
            <w:tcW w:w="9588" w:type="dxa"/>
          </w:tcPr>
          <w:p w14:paraId="326F2677" w14:textId="1AE61AC0" w:rsidR="00066524" w:rsidRPr="00A67F27" w:rsidRDefault="00066524" w:rsidP="008C2246">
            <w:pPr>
              <w:spacing w:before="120" w:after="120"/>
              <w:ind w:left="0" w:firstLine="0"/>
              <w:jc w:val="left"/>
              <w:rPr>
                <w:rFonts w:asciiTheme="majorBidi" w:hAnsiTheme="majorBidi" w:cstheme="majorBidi"/>
                <w:spacing w:val="-2"/>
              </w:rPr>
            </w:pPr>
            <w:r w:rsidRPr="00A67F27">
              <w:rPr>
                <w:rFonts w:asciiTheme="majorBidi" w:hAnsiTheme="majorBidi" w:cstheme="majorBidi"/>
                <w:spacing w:val="-2"/>
              </w:rPr>
              <w:t>Année d’enregistrement du membre du groupement</w:t>
            </w:r>
            <w:r w:rsidR="009B2302" w:rsidRPr="00A67F27">
              <w:rPr>
                <w:rFonts w:asciiTheme="majorBidi" w:hAnsiTheme="majorBidi" w:cstheme="majorBidi"/>
                <w:spacing w:val="-2"/>
              </w:rPr>
              <w:t> :</w:t>
            </w:r>
            <w:r w:rsidRPr="00A67F27">
              <w:rPr>
                <w:rFonts w:asciiTheme="majorBidi" w:hAnsiTheme="majorBidi" w:cstheme="majorBidi"/>
                <w:spacing w:val="-2"/>
              </w:rPr>
              <w:t xml:space="preserve"> </w:t>
            </w:r>
            <w:r w:rsidRPr="00A67F27">
              <w:rPr>
                <w:rFonts w:asciiTheme="majorBidi" w:hAnsiTheme="majorBidi" w:cstheme="majorBidi"/>
                <w:bCs/>
                <w:i/>
                <w:iCs/>
              </w:rPr>
              <w:t>[insérer l’année d’enregistrement du membre du groupement]</w:t>
            </w:r>
          </w:p>
        </w:tc>
      </w:tr>
      <w:tr w:rsidR="00066524" w:rsidRPr="00A67F27" w14:paraId="27ADB780" w14:textId="77777777" w:rsidTr="004231AA">
        <w:trPr>
          <w:cantSplit/>
        </w:trPr>
        <w:tc>
          <w:tcPr>
            <w:tcW w:w="9588" w:type="dxa"/>
          </w:tcPr>
          <w:p w14:paraId="03EC9F73" w14:textId="363F3C8F" w:rsidR="00066524" w:rsidRPr="00A67F27" w:rsidRDefault="00066524" w:rsidP="008C2246">
            <w:pPr>
              <w:spacing w:before="120" w:after="120"/>
              <w:ind w:left="0" w:firstLine="0"/>
              <w:jc w:val="left"/>
              <w:rPr>
                <w:rFonts w:asciiTheme="majorBidi" w:hAnsiTheme="majorBidi" w:cstheme="majorBidi"/>
                <w:spacing w:val="-2"/>
              </w:rPr>
            </w:pPr>
            <w:r w:rsidRPr="00A67F27">
              <w:rPr>
                <w:rFonts w:asciiTheme="majorBidi" w:hAnsiTheme="majorBidi" w:cstheme="majorBidi"/>
                <w:spacing w:val="-2"/>
              </w:rPr>
              <w:t>Adresse officielle du membre du groupement dans le pays d’enregistrement</w:t>
            </w:r>
            <w:r w:rsidR="009B2302" w:rsidRPr="00A67F27">
              <w:rPr>
                <w:rFonts w:asciiTheme="majorBidi" w:hAnsiTheme="majorBidi" w:cstheme="majorBidi"/>
                <w:spacing w:val="-2"/>
              </w:rPr>
              <w:t> :</w:t>
            </w:r>
            <w:r w:rsidRPr="00A67F27">
              <w:rPr>
                <w:rFonts w:asciiTheme="majorBidi" w:hAnsiTheme="majorBidi" w:cstheme="majorBidi"/>
                <w:spacing w:val="-2"/>
              </w:rPr>
              <w:t xml:space="preserve"> </w:t>
            </w:r>
            <w:r w:rsidRPr="00A67F27">
              <w:rPr>
                <w:rFonts w:asciiTheme="majorBidi" w:hAnsiTheme="majorBidi" w:cstheme="majorBidi"/>
                <w:bCs/>
                <w:i/>
                <w:iCs/>
              </w:rPr>
              <w:t>[insérer l’adresse légale du membre du groupement dans le pays d’enregistrement]</w:t>
            </w:r>
          </w:p>
        </w:tc>
      </w:tr>
      <w:tr w:rsidR="00066524" w:rsidRPr="00A67F27" w14:paraId="3C0FCB68" w14:textId="77777777" w:rsidTr="004231AA">
        <w:trPr>
          <w:cantSplit/>
        </w:trPr>
        <w:tc>
          <w:tcPr>
            <w:tcW w:w="9588" w:type="dxa"/>
          </w:tcPr>
          <w:p w14:paraId="4E65703B" w14:textId="1EE971B2" w:rsidR="00066524" w:rsidRPr="00A67F27" w:rsidRDefault="00066524" w:rsidP="008C2246">
            <w:pPr>
              <w:pStyle w:val="Outline"/>
              <w:suppressAutoHyphens/>
              <w:spacing w:before="120" w:after="120"/>
              <w:ind w:left="0" w:firstLine="0"/>
              <w:rPr>
                <w:rFonts w:asciiTheme="majorBidi" w:hAnsiTheme="majorBidi" w:cstheme="majorBidi"/>
                <w:spacing w:val="-2"/>
                <w:kern w:val="0"/>
              </w:rPr>
            </w:pPr>
            <w:r w:rsidRPr="00A67F27">
              <w:rPr>
                <w:rFonts w:asciiTheme="majorBidi" w:hAnsiTheme="majorBidi" w:cstheme="majorBidi"/>
                <w:spacing w:val="-2"/>
                <w:kern w:val="0"/>
              </w:rPr>
              <w:t xml:space="preserve">Renseignement sur le représentant dûment habilité du </w:t>
            </w:r>
            <w:r w:rsidRPr="00A67F27">
              <w:rPr>
                <w:rFonts w:asciiTheme="majorBidi" w:hAnsiTheme="majorBidi" w:cstheme="majorBidi"/>
                <w:spacing w:val="-2"/>
              </w:rPr>
              <w:t>membre du groupement</w:t>
            </w:r>
            <w:r w:rsidR="009B2302" w:rsidRPr="00A67F27">
              <w:rPr>
                <w:rFonts w:asciiTheme="majorBidi" w:hAnsiTheme="majorBidi" w:cstheme="majorBidi"/>
                <w:spacing w:val="-2"/>
                <w:kern w:val="0"/>
              </w:rPr>
              <w:t> :</w:t>
            </w:r>
            <w:r w:rsidRPr="00A67F27">
              <w:rPr>
                <w:rFonts w:asciiTheme="majorBidi" w:hAnsiTheme="majorBidi" w:cstheme="majorBidi"/>
                <w:spacing w:val="-2"/>
                <w:kern w:val="0"/>
              </w:rPr>
              <w:t xml:space="preserve"> </w:t>
            </w:r>
          </w:p>
          <w:p w14:paraId="248F7342" w14:textId="0DBCEC81" w:rsidR="00066524" w:rsidRPr="00A67F27" w:rsidRDefault="00066524" w:rsidP="008C2246">
            <w:pPr>
              <w:pStyle w:val="Outline1"/>
              <w:keepNext w:val="0"/>
              <w:suppressAutoHyphens/>
              <w:spacing w:before="120" w:after="120"/>
              <w:ind w:left="0" w:firstLine="0"/>
              <w:rPr>
                <w:rFonts w:asciiTheme="majorBidi" w:hAnsiTheme="majorBidi" w:cstheme="majorBidi"/>
                <w:spacing w:val="-2"/>
                <w:kern w:val="0"/>
              </w:rPr>
            </w:pPr>
            <w:r w:rsidRPr="00A67F27">
              <w:rPr>
                <w:rFonts w:asciiTheme="majorBidi" w:hAnsiTheme="majorBidi" w:cstheme="majorBidi"/>
                <w:spacing w:val="-2"/>
                <w:kern w:val="0"/>
              </w:rPr>
              <w:t>Nom</w:t>
            </w:r>
            <w:r w:rsidR="009B2302" w:rsidRPr="00A67F27">
              <w:rPr>
                <w:rFonts w:asciiTheme="majorBidi" w:hAnsiTheme="majorBidi" w:cstheme="majorBidi"/>
                <w:spacing w:val="-2"/>
                <w:kern w:val="0"/>
              </w:rPr>
              <w:t> :</w:t>
            </w:r>
            <w:r w:rsidRPr="00A67F27">
              <w:rPr>
                <w:rFonts w:asciiTheme="majorBidi" w:hAnsiTheme="majorBidi" w:cstheme="majorBidi"/>
                <w:b/>
              </w:rPr>
              <w:t xml:space="preserve"> </w:t>
            </w:r>
            <w:r w:rsidRPr="00A67F27">
              <w:rPr>
                <w:rFonts w:asciiTheme="majorBidi" w:hAnsiTheme="majorBidi" w:cstheme="majorBidi"/>
                <w:bCs/>
                <w:i/>
                <w:iCs/>
              </w:rPr>
              <w:t>[insérer le nom du représentant du membre du groupement]</w:t>
            </w:r>
          </w:p>
          <w:p w14:paraId="2E456D11" w14:textId="3AF52E71" w:rsidR="00066524" w:rsidRPr="00A67F27" w:rsidRDefault="00066524" w:rsidP="008C2246">
            <w:pPr>
              <w:spacing w:before="120" w:after="120"/>
              <w:ind w:left="0" w:firstLine="0"/>
              <w:jc w:val="left"/>
              <w:rPr>
                <w:rFonts w:asciiTheme="majorBidi" w:hAnsiTheme="majorBidi" w:cstheme="majorBidi"/>
                <w:spacing w:val="-2"/>
              </w:rPr>
            </w:pPr>
            <w:r w:rsidRPr="00A67F27">
              <w:rPr>
                <w:rFonts w:asciiTheme="majorBidi" w:hAnsiTheme="majorBidi" w:cstheme="majorBidi"/>
                <w:spacing w:val="-2"/>
              </w:rPr>
              <w:t>Adresse</w:t>
            </w:r>
            <w:r w:rsidR="009B2302" w:rsidRPr="00A67F27">
              <w:rPr>
                <w:rFonts w:asciiTheme="majorBidi" w:hAnsiTheme="majorBidi" w:cstheme="majorBidi"/>
                <w:spacing w:val="-2"/>
              </w:rPr>
              <w:t> :</w:t>
            </w:r>
            <w:r w:rsidRPr="00A67F27">
              <w:rPr>
                <w:rFonts w:asciiTheme="majorBidi" w:hAnsiTheme="majorBidi" w:cstheme="majorBidi"/>
                <w:b/>
              </w:rPr>
              <w:t xml:space="preserve"> </w:t>
            </w:r>
            <w:r w:rsidRPr="00A67F27">
              <w:rPr>
                <w:rFonts w:asciiTheme="majorBidi" w:hAnsiTheme="majorBidi" w:cstheme="majorBidi"/>
                <w:bCs/>
                <w:i/>
                <w:iCs/>
              </w:rPr>
              <w:t xml:space="preserve">[insérer l’adresse du </w:t>
            </w:r>
            <w:r w:rsidRPr="00A67F27">
              <w:rPr>
                <w:rFonts w:asciiTheme="majorBidi" w:hAnsiTheme="majorBidi" w:cstheme="majorBidi"/>
                <w:bCs/>
                <w:i/>
                <w:iCs/>
                <w:kern w:val="28"/>
              </w:rPr>
              <w:t xml:space="preserve">représentant </w:t>
            </w:r>
            <w:r w:rsidRPr="00A67F27">
              <w:rPr>
                <w:rFonts w:asciiTheme="majorBidi" w:hAnsiTheme="majorBidi" w:cstheme="majorBidi"/>
                <w:bCs/>
                <w:i/>
                <w:iCs/>
              </w:rPr>
              <w:t>du membre du groupement]</w:t>
            </w:r>
          </w:p>
          <w:p w14:paraId="3875E098" w14:textId="7B4964C6" w:rsidR="00066524" w:rsidRPr="00A67F27" w:rsidRDefault="00066524" w:rsidP="008C2246">
            <w:pPr>
              <w:spacing w:before="120" w:after="120"/>
              <w:ind w:left="0" w:firstLine="0"/>
              <w:jc w:val="left"/>
              <w:rPr>
                <w:rFonts w:asciiTheme="majorBidi" w:hAnsiTheme="majorBidi" w:cstheme="majorBidi"/>
                <w:bCs/>
                <w:i/>
                <w:iCs/>
                <w:spacing w:val="-2"/>
              </w:rPr>
            </w:pPr>
            <w:r w:rsidRPr="00A67F27">
              <w:rPr>
                <w:rFonts w:asciiTheme="majorBidi" w:hAnsiTheme="majorBidi" w:cstheme="majorBidi"/>
                <w:spacing w:val="-2"/>
              </w:rPr>
              <w:t>Téléphone/Fac-similé</w:t>
            </w:r>
            <w:r w:rsidR="009B2302" w:rsidRPr="00A67F27">
              <w:rPr>
                <w:rFonts w:asciiTheme="majorBidi" w:hAnsiTheme="majorBidi" w:cstheme="majorBidi"/>
                <w:spacing w:val="-2"/>
              </w:rPr>
              <w:t> :</w:t>
            </w:r>
            <w:r w:rsidRPr="00A67F27">
              <w:rPr>
                <w:rFonts w:asciiTheme="majorBidi" w:hAnsiTheme="majorBidi" w:cstheme="majorBidi"/>
                <w:b/>
              </w:rPr>
              <w:t xml:space="preserve"> </w:t>
            </w:r>
            <w:r w:rsidRPr="00A67F27">
              <w:rPr>
                <w:rFonts w:asciiTheme="majorBidi" w:hAnsiTheme="majorBidi" w:cstheme="majorBidi"/>
                <w:bCs/>
                <w:i/>
                <w:iCs/>
              </w:rPr>
              <w:t>[insérer le no</w:t>
            </w:r>
            <w:r w:rsidRPr="00A67F27">
              <w:rPr>
                <w:rFonts w:asciiTheme="majorBidi" w:hAnsiTheme="majorBidi" w:cstheme="majorBidi"/>
                <w:bCs/>
                <w:i/>
                <w:iCs/>
                <w:spacing w:val="-2"/>
              </w:rPr>
              <w:t xml:space="preserve"> </w:t>
            </w:r>
            <w:r w:rsidRPr="00A67F27">
              <w:rPr>
                <w:rFonts w:asciiTheme="majorBidi" w:hAnsiTheme="majorBidi" w:cstheme="majorBidi"/>
                <w:bCs/>
                <w:i/>
                <w:iCs/>
              </w:rPr>
              <w:t xml:space="preserve">de téléphone/fac-similé du </w:t>
            </w:r>
            <w:r w:rsidRPr="00A67F27">
              <w:rPr>
                <w:rFonts w:asciiTheme="majorBidi" w:hAnsiTheme="majorBidi" w:cstheme="majorBidi"/>
                <w:bCs/>
                <w:i/>
                <w:iCs/>
                <w:kern w:val="28"/>
              </w:rPr>
              <w:t xml:space="preserve">représentant </w:t>
            </w:r>
            <w:r w:rsidRPr="00A67F27">
              <w:rPr>
                <w:rFonts w:asciiTheme="majorBidi" w:hAnsiTheme="majorBidi" w:cstheme="majorBidi"/>
                <w:bCs/>
                <w:i/>
                <w:iCs/>
              </w:rPr>
              <w:t>du membre du groupement]</w:t>
            </w:r>
          </w:p>
          <w:p w14:paraId="1D3602A2" w14:textId="2D15FAF1" w:rsidR="00066524" w:rsidRPr="00A67F27" w:rsidRDefault="00066524" w:rsidP="008C2246">
            <w:pPr>
              <w:spacing w:before="120" w:after="120"/>
              <w:ind w:left="0" w:firstLine="0"/>
              <w:jc w:val="left"/>
              <w:rPr>
                <w:rFonts w:asciiTheme="majorBidi" w:hAnsiTheme="majorBidi" w:cstheme="majorBidi"/>
                <w:spacing w:val="-2"/>
              </w:rPr>
            </w:pPr>
            <w:r w:rsidRPr="00A67F27">
              <w:rPr>
                <w:rFonts w:asciiTheme="majorBidi" w:hAnsiTheme="majorBidi" w:cstheme="majorBidi"/>
                <w:spacing w:val="-2"/>
              </w:rPr>
              <w:t>Adresse électronique</w:t>
            </w:r>
            <w:r w:rsidR="009B2302" w:rsidRPr="00A67F27">
              <w:rPr>
                <w:rFonts w:asciiTheme="majorBidi" w:hAnsiTheme="majorBidi" w:cstheme="majorBidi"/>
                <w:spacing w:val="-2"/>
              </w:rPr>
              <w:t> :</w:t>
            </w:r>
            <w:r w:rsidRPr="00A67F27">
              <w:rPr>
                <w:rFonts w:asciiTheme="majorBidi" w:hAnsiTheme="majorBidi" w:cstheme="majorBidi"/>
                <w:b/>
              </w:rPr>
              <w:t xml:space="preserve"> </w:t>
            </w:r>
            <w:r w:rsidRPr="00A67F27">
              <w:rPr>
                <w:rFonts w:asciiTheme="majorBidi" w:hAnsiTheme="majorBidi" w:cstheme="majorBidi"/>
                <w:bCs/>
                <w:i/>
                <w:iCs/>
              </w:rPr>
              <w:t xml:space="preserve">[insérer l’adresse électronique du </w:t>
            </w:r>
            <w:r w:rsidRPr="00A67F27">
              <w:rPr>
                <w:rFonts w:asciiTheme="majorBidi" w:hAnsiTheme="majorBidi" w:cstheme="majorBidi"/>
                <w:bCs/>
                <w:i/>
                <w:iCs/>
                <w:kern w:val="28"/>
              </w:rPr>
              <w:t xml:space="preserve">représentant </w:t>
            </w:r>
            <w:r w:rsidRPr="00A67F27">
              <w:rPr>
                <w:rFonts w:asciiTheme="majorBidi" w:hAnsiTheme="majorBidi" w:cstheme="majorBidi"/>
                <w:bCs/>
                <w:i/>
                <w:iCs/>
              </w:rPr>
              <w:t>du membre du groupement]</w:t>
            </w:r>
          </w:p>
        </w:tc>
      </w:tr>
      <w:tr w:rsidR="00066524" w:rsidRPr="00A67F27" w14:paraId="007415F5" w14:textId="77777777" w:rsidTr="004231AA">
        <w:tc>
          <w:tcPr>
            <w:tcW w:w="9588" w:type="dxa"/>
          </w:tcPr>
          <w:p w14:paraId="44FB245B" w14:textId="3C8BC553" w:rsidR="00066524" w:rsidRPr="00A67F27" w:rsidRDefault="008C2246" w:rsidP="008C2246">
            <w:pPr>
              <w:spacing w:before="120" w:after="120"/>
              <w:ind w:left="0" w:firstLine="0"/>
              <w:jc w:val="left"/>
              <w:rPr>
                <w:rFonts w:asciiTheme="majorBidi" w:hAnsiTheme="majorBidi" w:cstheme="majorBidi"/>
                <w:bCs/>
                <w:i/>
                <w:iCs/>
              </w:rPr>
            </w:pPr>
            <w:r w:rsidRPr="00A67F27">
              <w:rPr>
                <w:rFonts w:asciiTheme="majorBidi" w:hAnsiTheme="majorBidi" w:cstheme="majorBidi"/>
              </w:rPr>
              <w:t xml:space="preserve">1. </w:t>
            </w:r>
            <w:r w:rsidR="00066524" w:rsidRPr="00A67F27">
              <w:rPr>
                <w:rFonts w:asciiTheme="majorBidi" w:hAnsiTheme="majorBidi" w:cstheme="majorBidi"/>
              </w:rPr>
              <w:t>Ci-joint copie des originaux des documents ci-après</w:t>
            </w:r>
            <w:r w:rsidR="009B2302" w:rsidRPr="00A67F27">
              <w:rPr>
                <w:rFonts w:asciiTheme="majorBidi" w:hAnsiTheme="majorBidi" w:cstheme="majorBidi"/>
              </w:rPr>
              <w:t> :</w:t>
            </w:r>
            <w:r w:rsidR="00066524" w:rsidRPr="00A67F27">
              <w:rPr>
                <w:rFonts w:asciiTheme="majorBidi" w:hAnsiTheme="majorBidi" w:cstheme="majorBidi"/>
              </w:rPr>
              <w:t xml:space="preserve"> </w:t>
            </w:r>
            <w:r w:rsidR="00066524" w:rsidRPr="00A67F27">
              <w:rPr>
                <w:rFonts w:asciiTheme="majorBidi" w:hAnsiTheme="majorBidi" w:cstheme="majorBidi"/>
                <w:bCs/>
                <w:i/>
                <w:iCs/>
              </w:rPr>
              <w:t>[marquer la (les) case(s) correspondant aux documents originaux joints]</w:t>
            </w:r>
          </w:p>
          <w:p w14:paraId="71AE8D26" w14:textId="75447A92" w:rsidR="00066524" w:rsidRPr="00A67F27" w:rsidRDefault="00066524" w:rsidP="002A45C1">
            <w:pPr>
              <w:pStyle w:val="Paragraphedeliste"/>
              <w:numPr>
                <w:ilvl w:val="0"/>
                <w:numId w:val="73"/>
              </w:numPr>
              <w:tabs>
                <w:tab w:val="left" w:pos="432"/>
              </w:tabs>
              <w:spacing w:before="120" w:after="120"/>
              <w:ind w:left="410"/>
              <w:jc w:val="left"/>
              <w:rPr>
                <w:rFonts w:asciiTheme="majorBidi" w:hAnsiTheme="majorBidi" w:cstheme="majorBidi"/>
                <w:spacing w:val="-2"/>
              </w:rPr>
            </w:pPr>
            <w:r w:rsidRPr="00A67F27">
              <w:rPr>
                <w:rFonts w:asciiTheme="majorBidi" w:hAnsiTheme="majorBidi" w:cstheme="majorBidi"/>
              </w:rPr>
              <w:t xml:space="preserve">Document d’enregistrement, d’inscription ou de constitution de la firme nommée en 2 </w:t>
            </w:r>
            <w:r w:rsidR="004231AA" w:rsidRPr="00A67F27">
              <w:rPr>
                <w:rFonts w:asciiTheme="majorBidi" w:hAnsiTheme="majorBidi" w:cstheme="majorBidi"/>
              </w:rPr>
              <w:br/>
            </w:r>
            <w:r w:rsidRPr="00A67F27">
              <w:rPr>
                <w:rFonts w:asciiTheme="majorBidi" w:hAnsiTheme="majorBidi" w:cstheme="majorBidi"/>
              </w:rPr>
              <w:t>ci-dessus, en conformité avec l’article 4.4 des IS</w:t>
            </w:r>
          </w:p>
          <w:p w14:paraId="5069DFB1" w14:textId="77777777" w:rsidR="00066524" w:rsidRPr="00A67F27" w:rsidRDefault="00066524" w:rsidP="002A45C1">
            <w:pPr>
              <w:pStyle w:val="Paragraphedeliste"/>
              <w:numPr>
                <w:ilvl w:val="0"/>
                <w:numId w:val="73"/>
              </w:numPr>
              <w:tabs>
                <w:tab w:val="left" w:pos="432"/>
              </w:tabs>
              <w:spacing w:before="120" w:after="120"/>
              <w:ind w:left="410"/>
              <w:jc w:val="left"/>
              <w:rPr>
                <w:rFonts w:asciiTheme="majorBidi" w:hAnsiTheme="majorBidi" w:cstheme="majorBidi"/>
                <w:spacing w:val="-2"/>
              </w:rPr>
            </w:pPr>
            <w:r w:rsidRPr="00A67F27">
              <w:rPr>
                <w:rFonts w:asciiTheme="majorBidi" w:hAnsiTheme="majorBidi" w:cstheme="majorBidi"/>
              </w:rPr>
              <w:t>Dans le cas d’une entreprise publique du pays du Maître de l’Ouvrage, documents établissant qu’elle est juridiquement et financièrement autonome, administrée selon les règles du droit commercial, et qu’elle n’est pas sous la tutelle du Maître de l’Ouvrage en conformité avec l’article 4.6 des IS</w:t>
            </w:r>
            <w:r w:rsidRPr="00A67F27">
              <w:rPr>
                <w:rFonts w:asciiTheme="majorBidi" w:hAnsiTheme="majorBidi" w:cstheme="majorBidi"/>
                <w:spacing w:val="-2"/>
              </w:rPr>
              <w:t>.</w:t>
            </w:r>
          </w:p>
          <w:p w14:paraId="08B770EE" w14:textId="19C4641F" w:rsidR="00066524" w:rsidRPr="00A67F27" w:rsidRDefault="008C2246" w:rsidP="008C2246">
            <w:pPr>
              <w:tabs>
                <w:tab w:val="left" w:pos="432"/>
              </w:tabs>
              <w:spacing w:before="120" w:after="120"/>
              <w:ind w:left="0" w:firstLine="0"/>
              <w:jc w:val="left"/>
              <w:rPr>
                <w:rFonts w:asciiTheme="majorBidi" w:hAnsiTheme="majorBidi" w:cstheme="majorBidi"/>
                <w:spacing w:val="-2"/>
              </w:rPr>
            </w:pPr>
            <w:r w:rsidRPr="00A67F27">
              <w:rPr>
                <w:rFonts w:asciiTheme="majorBidi" w:hAnsiTheme="majorBidi" w:cstheme="majorBidi"/>
                <w:spacing w:val="-2"/>
              </w:rPr>
              <w:t xml:space="preserve">2. </w:t>
            </w:r>
            <w:r w:rsidR="00066524" w:rsidRPr="00A67F27">
              <w:rPr>
                <w:rFonts w:asciiTheme="majorBidi" w:hAnsiTheme="majorBidi" w:cstheme="majorBidi"/>
                <w:spacing w:val="-2"/>
              </w:rPr>
              <w:t>Diagramme organisationnel, liste des membres du conseil d’administration et propriété bénéficiaire</w:t>
            </w:r>
          </w:p>
        </w:tc>
      </w:tr>
    </w:tbl>
    <w:p w14:paraId="1303B8DD" w14:textId="15C2F4BD" w:rsidR="00543ED0" w:rsidRPr="00A67F27" w:rsidRDefault="00543ED0" w:rsidP="009748FC">
      <w:pPr>
        <w:pStyle w:val="S4-Header2"/>
        <w:rPr>
          <w:szCs w:val="32"/>
          <w:lang w:val="fr-FR"/>
        </w:rPr>
      </w:pPr>
      <w:r w:rsidRPr="00A67F27">
        <w:rPr>
          <w:rFonts w:asciiTheme="majorBidi" w:hAnsiTheme="majorBidi" w:cstheme="majorBidi"/>
          <w:lang w:val="fr-FR"/>
        </w:rPr>
        <w:br w:type="page"/>
      </w:r>
      <w:bookmarkStart w:id="515" w:name="_Toc327863886"/>
      <w:bookmarkStart w:id="516" w:name="_Toc487641625"/>
      <w:r w:rsidRPr="00A67F27">
        <w:rPr>
          <w:szCs w:val="32"/>
          <w:lang w:val="fr-FR"/>
        </w:rPr>
        <w:lastRenderedPageBreak/>
        <w:t>Formulaire ANT-2</w:t>
      </w:r>
      <w:r w:rsidR="009B2302" w:rsidRPr="00A67F27">
        <w:rPr>
          <w:szCs w:val="32"/>
          <w:lang w:val="fr-FR"/>
        </w:rPr>
        <w:t> :</w:t>
      </w:r>
      <w:r w:rsidRPr="00A67F27">
        <w:rPr>
          <w:szCs w:val="32"/>
          <w:lang w:val="fr-FR"/>
        </w:rPr>
        <w:t xml:space="preserve"> Antécédents de marchés non exécutés, </w:t>
      </w:r>
      <w:r w:rsidR="009748FC" w:rsidRPr="00A67F27">
        <w:rPr>
          <w:szCs w:val="32"/>
          <w:lang w:val="fr-FR"/>
        </w:rPr>
        <w:br/>
      </w:r>
      <w:r w:rsidRPr="00A67F27">
        <w:rPr>
          <w:szCs w:val="32"/>
          <w:lang w:val="fr-FR"/>
        </w:rPr>
        <w:t>de litiges en instance et d’antécédents de litiges</w:t>
      </w:r>
      <w:bookmarkEnd w:id="515"/>
      <w:bookmarkEnd w:id="516"/>
    </w:p>
    <w:p w14:paraId="07C80A7C" w14:textId="1062ECEC" w:rsidR="00543ED0" w:rsidRPr="00A67F27" w:rsidRDefault="00543ED0" w:rsidP="009748FC">
      <w:pPr>
        <w:tabs>
          <w:tab w:val="left" w:pos="2610"/>
        </w:tabs>
        <w:spacing w:after="0"/>
        <w:jc w:val="left"/>
        <w:rPr>
          <w:rFonts w:asciiTheme="majorBidi" w:hAnsiTheme="majorBidi" w:cstheme="majorBidi"/>
        </w:rPr>
      </w:pPr>
      <w:r w:rsidRPr="00A67F27">
        <w:rPr>
          <w:rFonts w:asciiTheme="majorBidi" w:hAnsiTheme="majorBidi" w:cstheme="majorBidi"/>
        </w:rPr>
        <w:t xml:space="preserve">Nom légal du </w:t>
      </w:r>
      <w:r w:rsidR="008C28A6" w:rsidRPr="00A67F27">
        <w:rPr>
          <w:rFonts w:asciiTheme="majorBidi" w:hAnsiTheme="majorBidi" w:cstheme="majorBidi"/>
        </w:rPr>
        <w:t>Soumissionnaire</w:t>
      </w:r>
      <w:r w:rsidR="009B2302" w:rsidRPr="00A67F27">
        <w:rPr>
          <w:rFonts w:asciiTheme="majorBidi" w:hAnsiTheme="majorBidi" w:cstheme="majorBidi"/>
        </w:rPr>
        <w:t> :</w:t>
      </w:r>
      <w:r w:rsidRPr="00A67F27">
        <w:rPr>
          <w:rFonts w:asciiTheme="majorBidi" w:hAnsiTheme="majorBidi" w:cstheme="majorBidi"/>
        </w:rPr>
        <w:t xml:space="preserve"> </w:t>
      </w:r>
      <w:r w:rsidRPr="00A67F27">
        <w:rPr>
          <w:rFonts w:asciiTheme="majorBidi" w:hAnsiTheme="majorBidi" w:cstheme="majorBidi"/>
          <w:i/>
        </w:rPr>
        <w:t>[insérer le nom complet]</w:t>
      </w:r>
    </w:p>
    <w:p w14:paraId="2046EAE6" w14:textId="16E46EB5" w:rsidR="00543ED0" w:rsidRPr="00A67F27" w:rsidRDefault="00543ED0" w:rsidP="009748FC">
      <w:pPr>
        <w:tabs>
          <w:tab w:val="left" w:pos="2610"/>
        </w:tabs>
        <w:spacing w:after="0"/>
        <w:jc w:val="left"/>
        <w:rPr>
          <w:rFonts w:asciiTheme="majorBidi" w:hAnsiTheme="majorBidi" w:cstheme="majorBidi"/>
        </w:rPr>
      </w:pPr>
      <w:r w:rsidRPr="00A67F27">
        <w:rPr>
          <w:rFonts w:asciiTheme="majorBidi" w:hAnsiTheme="majorBidi" w:cstheme="majorBidi"/>
        </w:rPr>
        <w:t>Date</w:t>
      </w:r>
      <w:r w:rsidR="009B2302" w:rsidRPr="00A67F27">
        <w:rPr>
          <w:rFonts w:asciiTheme="majorBidi" w:hAnsiTheme="majorBidi" w:cstheme="majorBidi"/>
        </w:rPr>
        <w:t> :</w:t>
      </w:r>
      <w:r w:rsidRPr="00A67F27">
        <w:rPr>
          <w:rFonts w:asciiTheme="majorBidi" w:hAnsiTheme="majorBidi" w:cstheme="majorBidi"/>
        </w:rPr>
        <w:t xml:space="preserve"> </w:t>
      </w:r>
      <w:r w:rsidRPr="00A67F27">
        <w:rPr>
          <w:rFonts w:asciiTheme="majorBidi" w:hAnsiTheme="majorBidi" w:cstheme="majorBidi"/>
          <w:i/>
        </w:rPr>
        <w:t>[insérer jour, mois, année]</w:t>
      </w:r>
    </w:p>
    <w:p w14:paraId="4801AF8A" w14:textId="142A5A31" w:rsidR="00543ED0" w:rsidRPr="00A67F27" w:rsidRDefault="00543ED0" w:rsidP="009748FC">
      <w:pPr>
        <w:tabs>
          <w:tab w:val="left" w:pos="2610"/>
        </w:tabs>
        <w:spacing w:after="0"/>
        <w:jc w:val="left"/>
        <w:rPr>
          <w:rFonts w:asciiTheme="majorBidi" w:hAnsiTheme="majorBidi" w:cstheme="majorBidi"/>
        </w:rPr>
      </w:pPr>
      <w:r w:rsidRPr="00A67F27">
        <w:rPr>
          <w:rFonts w:asciiTheme="majorBidi" w:hAnsiTheme="majorBidi" w:cstheme="majorBidi"/>
        </w:rPr>
        <w:t>Nom légal de la Partie au GE</w:t>
      </w:r>
      <w:r w:rsidR="009B2302" w:rsidRPr="00A67F27">
        <w:rPr>
          <w:rFonts w:asciiTheme="majorBidi" w:hAnsiTheme="majorBidi" w:cstheme="majorBidi"/>
        </w:rPr>
        <w:t> :</w:t>
      </w:r>
      <w:r w:rsidRPr="00A67F27">
        <w:rPr>
          <w:rFonts w:asciiTheme="majorBidi" w:hAnsiTheme="majorBidi" w:cstheme="majorBidi"/>
        </w:rPr>
        <w:t xml:space="preserve"> </w:t>
      </w:r>
      <w:r w:rsidRPr="00A67F27">
        <w:rPr>
          <w:rFonts w:asciiTheme="majorBidi" w:hAnsiTheme="majorBidi" w:cstheme="majorBidi"/>
          <w:i/>
        </w:rPr>
        <w:t>[insérer le nom complet]</w:t>
      </w:r>
    </w:p>
    <w:p w14:paraId="03B8113C" w14:textId="2D4380FB" w:rsidR="00543ED0" w:rsidRPr="00A67F27" w:rsidRDefault="00543ED0" w:rsidP="009748FC">
      <w:pPr>
        <w:tabs>
          <w:tab w:val="left" w:pos="2610"/>
        </w:tabs>
        <w:spacing w:after="0"/>
        <w:jc w:val="left"/>
        <w:rPr>
          <w:rFonts w:asciiTheme="majorBidi" w:hAnsiTheme="majorBidi" w:cstheme="majorBidi"/>
          <w:i/>
        </w:rPr>
      </w:pPr>
      <w:r w:rsidRPr="00A67F27">
        <w:rPr>
          <w:rFonts w:asciiTheme="majorBidi" w:hAnsiTheme="majorBidi" w:cstheme="majorBidi"/>
        </w:rPr>
        <w:t>No. AO et titre</w:t>
      </w:r>
      <w:r w:rsidR="009B2302" w:rsidRPr="00A67F27">
        <w:rPr>
          <w:rFonts w:asciiTheme="majorBidi" w:hAnsiTheme="majorBidi" w:cstheme="majorBidi"/>
        </w:rPr>
        <w:t> :</w:t>
      </w:r>
      <w:r w:rsidRPr="00A67F27">
        <w:rPr>
          <w:rFonts w:asciiTheme="majorBidi" w:hAnsiTheme="majorBidi" w:cstheme="majorBidi"/>
        </w:rPr>
        <w:t xml:space="preserve"> </w:t>
      </w:r>
      <w:r w:rsidRPr="00A67F27">
        <w:rPr>
          <w:rFonts w:asciiTheme="majorBidi" w:hAnsiTheme="majorBidi" w:cstheme="majorBidi"/>
          <w:i/>
        </w:rPr>
        <w:t>[numéro et titre de l’AO]</w:t>
      </w:r>
    </w:p>
    <w:p w14:paraId="4779E4F1" w14:textId="77777777" w:rsidR="00543ED0" w:rsidRPr="00A67F27" w:rsidRDefault="00543ED0" w:rsidP="009748FC">
      <w:pPr>
        <w:tabs>
          <w:tab w:val="left" w:pos="2610"/>
        </w:tabs>
        <w:spacing w:after="0"/>
        <w:jc w:val="left"/>
        <w:rPr>
          <w:rFonts w:asciiTheme="majorBidi" w:hAnsiTheme="majorBidi" w:cstheme="majorBidi"/>
          <w:i/>
          <w:spacing w:val="-2"/>
        </w:rPr>
      </w:pPr>
      <w:r w:rsidRPr="00A67F27">
        <w:rPr>
          <w:rFonts w:asciiTheme="majorBidi" w:hAnsiTheme="majorBidi" w:cstheme="majorBidi"/>
        </w:rPr>
        <w:t xml:space="preserve">Page </w:t>
      </w:r>
      <w:r w:rsidRPr="00A67F27">
        <w:rPr>
          <w:rFonts w:asciiTheme="majorBidi" w:hAnsiTheme="majorBidi" w:cstheme="majorBidi"/>
          <w:i/>
        </w:rPr>
        <w:t>[numéro de la page]</w:t>
      </w:r>
      <w:r w:rsidRPr="00A67F27">
        <w:rPr>
          <w:rFonts w:asciiTheme="majorBidi" w:hAnsiTheme="majorBidi" w:cstheme="majorBidi"/>
        </w:rPr>
        <w:t xml:space="preserve"> de </w:t>
      </w:r>
      <w:r w:rsidRPr="00A67F27">
        <w:rPr>
          <w:rFonts w:asciiTheme="majorBidi" w:hAnsiTheme="majorBidi" w:cstheme="majorBidi"/>
          <w:i/>
        </w:rPr>
        <w:t>[nombre total de pages]</w:t>
      </w:r>
      <w:r w:rsidRPr="00A67F27">
        <w:rPr>
          <w:rFonts w:asciiTheme="majorBidi" w:hAnsiTheme="majorBidi" w:cstheme="majorBidi"/>
        </w:rPr>
        <w:t xml:space="preserve"> pages</w:t>
      </w:r>
    </w:p>
    <w:p w14:paraId="2A50C998" w14:textId="77777777" w:rsidR="00543ED0" w:rsidRPr="00A67F27" w:rsidRDefault="00543ED0" w:rsidP="009748FC">
      <w:pPr>
        <w:tabs>
          <w:tab w:val="left" w:pos="2610"/>
        </w:tabs>
        <w:spacing w:after="0"/>
        <w:rPr>
          <w:rFonts w:asciiTheme="majorBidi" w:hAnsiTheme="majorBidi" w:cstheme="majorBidi"/>
          <w:i/>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1620"/>
        <w:gridCol w:w="4950"/>
        <w:gridCol w:w="1890"/>
      </w:tblGrid>
      <w:tr w:rsidR="00543ED0" w:rsidRPr="00A67F27" w14:paraId="126F2504" w14:textId="77777777" w:rsidTr="003A5BA2">
        <w:trPr>
          <w:cantSplit/>
          <w:trHeight w:val="440"/>
        </w:trPr>
        <w:tc>
          <w:tcPr>
            <w:tcW w:w="9558" w:type="dxa"/>
            <w:gridSpan w:val="4"/>
          </w:tcPr>
          <w:p w14:paraId="7852901A" w14:textId="77777777" w:rsidR="00543ED0" w:rsidRPr="00A67F27" w:rsidRDefault="00543ED0" w:rsidP="00BE4B6F">
            <w:pPr>
              <w:pStyle w:val="titulo"/>
              <w:tabs>
                <w:tab w:val="left" w:pos="2610"/>
              </w:tabs>
              <w:suppressAutoHyphens/>
              <w:spacing w:before="60" w:after="60"/>
              <w:ind w:left="0" w:firstLine="0"/>
              <w:rPr>
                <w:rFonts w:asciiTheme="majorBidi" w:hAnsiTheme="majorBidi" w:cstheme="majorBidi"/>
                <w:b w:val="0"/>
                <w:bCs/>
                <w:spacing w:val="-2"/>
                <w:lang w:val="fr-FR"/>
              </w:rPr>
            </w:pPr>
            <w:r w:rsidRPr="00A67F27">
              <w:rPr>
                <w:rFonts w:asciiTheme="majorBidi" w:hAnsiTheme="majorBidi" w:cstheme="majorBidi"/>
                <w:b w:val="0"/>
                <w:bCs/>
                <w:spacing w:val="-2"/>
                <w:lang w:val="fr-FR"/>
              </w:rPr>
              <w:t xml:space="preserve">Marchés non exécutés selon les dispositions de la Section III, Critères d’évaluation et de qualification </w:t>
            </w:r>
          </w:p>
        </w:tc>
      </w:tr>
      <w:tr w:rsidR="00543ED0" w:rsidRPr="00A67F27" w14:paraId="262DD4B9" w14:textId="77777777" w:rsidTr="003A5BA2">
        <w:trPr>
          <w:cantSplit/>
          <w:trHeight w:val="440"/>
        </w:trPr>
        <w:tc>
          <w:tcPr>
            <w:tcW w:w="9558" w:type="dxa"/>
            <w:gridSpan w:val="4"/>
          </w:tcPr>
          <w:p w14:paraId="4C6AAB6B" w14:textId="71E69096" w:rsidR="000F0E70" w:rsidRPr="00A67F27" w:rsidRDefault="000F0E70" w:rsidP="002A45C1">
            <w:pPr>
              <w:pStyle w:val="Paragraphedeliste"/>
              <w:numPr>
                <w:ilvl w:val="0"/>
                <w:numId w:val="74"/>
              </w:numPr>
              <w:tabs>
                <w:tab w:val="left" w:pos="2610"/>
              </w:tabs>
              <w:spacing w:before="60" w:after="60"/>
              <w:ind w:left="426"/>
              <w:jc w:val="left"/>
              <w:rPr>
                <w:rFonts w:asciiTheme="majorBidi" w:hAnsiTheme="majorBidi" w:cstheme="majorBidi"/>
                <w:spacing w:val="-2"/>
              </w:rPr>
            </w:pPr>
            <w:r w:rsidRPr="00A67F27">
              <w:rPr>
                <w:rFonts w:asciiTheme="majorBidi" w:hAnsiTheme="majorBidi" w:cstheme="majorBidi"/>
                <w:spacing w:val="-2"/>
              </w:rPr>
              <w:t xml:space="preserve">Il n’y a pas eu de </w:t>
            </w:r>
            <w:r w:rsidR="00994494" w:rsidRPr="00A67F27">
              <w:rPr>
                <w:rFonts w:asciiTheme="majorBidi" w:hAnsiTheme="majorBidi" w:cstheme="majorBidi"/>
                <w:spacing w:val="-2"/>
              </w:rPr>
              <w:t>marché non exécuté</w:t>
            </w:r>
            <w:r w:rsidRPr="00A67F27">
              <w:rPr>
                <w:rFonts w:asciiTheme="majorBidi" w:hAnsiTheme="majorBidi" w:cstheme="majorBidi"/>
                <w:spacing w:val="-2"/>
              </w:rPr>
              <w:t xml:space="preserve"> depuis le 1</w:t>
            </w:r>
            <w:r w:rsidRPr="00A67F27">
              <w:rPr>
                <w:rFonts w:asciiTheme="majorBidi" w:hAnsiTheme="majorBidi" w:cstheme="majorBidi"/>
                <w:spacing w:val="-2"/>
                <w:vertAlign w:val="superscript"/>
              </w:rPr>
              <w:t>er</w:t>
            </w:r>
            <w:r w:rsidRPr="00A67F27">
              <w:rPr>
                <w:rFonts w:asciiTheme="majorBidi" w:hAnsiTheme="majorBidi" w:cstheme="majorBidi"/>
                <w:spacing w:val="-2"/>
              </w:rPr>
              <w:t xml:space="preserve"> janvier </w:t>
            </w:r>
            <w:r w:rsidRPr="00A67F27">
              <w:rPr>
                <w:rFonts w:asciiTheme="majorBidi" w:hAnsiTheme="majorBidi" w:cstheme="majorBidi"/>
                <w:i/>
                <w:spacing w:val="-2"/>
              </w:rPr>
              <w:t>[insérer l’année]</w:t>
            </w:r>
            <w:r w:rsidRPr="00A67F27">
              <w:rPr>
                <w:rFonts w:asciiTheme="majorBidi" w:hAnsiTheme="majorBidi" w:cstheme="majorBidi"/>
                <w:spacing w:val="-2"/>
              </w:rPr>
              <w:t xml:space="preserve"> tel que spécifié au critère 2.1 de la Section III, Critères d’évaluation et de qualification.</w:t>
            </w:r>
          </w:p>
          <w:p w14:paraId="0D8E465B" w14:textId="7D71F1A7" w:rsidR="00543ED0" w:rsidRPr="00A67F27" w:rsidRDefault="000F0E70" w:rsidP="002A45C1">
            <w:pPr>
              <w:pStyle w:val="Paragraphedeliste"/>
              <w:numPr>
                <w:ilvl w:val="0"/>
                <w:numId w:val="74"/>
              </w:numPr>
              <w:tabs>
                <w:tab w:val="left" w:pos="2610"/>
              </w:tabs>
              <w:spacing w:before="60" w:after="60"/>
              <w:ind w:left="426"/>
              <w:jc w:val="left"/>
              <w:rPr>
                <w:rFonts w:asciiTheme="majorBidi" w:hAnsiTheme="majorBidi" w:cstheme="majorBidi"/>
                <w:spacing w:val="-2"/>
              </w:rPr>
            </w:pPr>
            <w:r w:rsidRPr="00A67F27">
              <w:rPr>
                <w:rFonts w:asciiTheme="majorBidi" w:hAnsiTheme="majorBidi" w:cstheme="majorBidi"/>
                <w:spacing w:val="-2"/>
              </w:rPr>
              <w:t>Marché(s) non exécuté(s) depuis le 1</w:t>
            </w:r>
            <w:r w:rsidRPr="00A67F27">
              <w:rPr>
                <w:rFonts w:asciiTheme="majorBidi" w:hAnsiTheme="majorBidi" w:cstheme="majorBidi"/>
                <w:spacing w:val="-2"/>
                <w:vertAlign w:val="superscript"/>
              </w:rPr>
              <w:t>er</w:t>
            </w:r>
            <w:r w:rsidRPr="00A67F27">
              <w:rPr>
                <w:rFonts w:asciiTheme="majorBidi" w:hAnsiTheme="majorBidi" w:cstheme="majorBidi"/>
                <w:spacing w:val="-2"/>
              </w:rPr>
              <w:t xml:space="preserve"> janvier </w:t>
            </w:r>
            <w:r w:rsidRPr="00A67F27">
              <w:rPr>
                <w:rFonts w:asciiTheme="majorBidi" w:hAnsiTheme="majorBidi" w:cstheme="majorBidi"/>
                <w:i/>
                <w:spacing w:val="-2"/>
              </w:rPr>
              <w:t xml:space="preserve">[insérer l’année] </w:t>
            </w:r>
            <w:r w:rsidRPr="00A67F27">
              <w:rPr>
                <w:rFonts w:asciiTheme="majorBidi" w:hAnsiTheme="majorBidi" w:cstheme="majorBidi"/>
                <w:spacing w:val="-2"/>
              </w:rPr>
              <w:t>tel que spécifié au critère 2.1 de la Section III, Critères d’évaluation et de qualification</w:t>
            </w:r>
            <w:r w:rsidR="009B2302" w:rsidRPr="00A67F27">
              <w:rPr>
                <w:rFonts w:asciiTheme="majorBidi" w:hAnsiTheme="majorBidi" w:cstheme="majorBidi"/>
                <w:spacing w:val="-2"/>
              </w:rPr>
              <w:t> :</w:t>
            </w:r>
          </w:p>
        </w:tc>
      </w:tr>
      <w:tr w:rsidR="00543ED0" w:rsidRPr="00A67F27" w14:paraId="4675F7A1" w14:textId="77777777" w:rsidTr="003A5BA2">
        <w:trPr>
          <w:cantSplit/>
          <w:trHeight w:val="440"/>
        </w:trPr>
        <w:tc>
          <w:tcPr>
            <w:tcW w:w="1098" w:type="dxa"/>
          </w:tcPr>
          <w:p w14:paraId="47467182" w14:textId="77777777" w:rsidR="00543ED0" w:rsidRPr="00A67F27" w:rsidRDefault="00543ED0" w:rsidP="00BE4B6F">
            <w:pPr>
              <w:pStyle w:val="titulo"/>
              <w:tabs>
                <w:tab w:val="left" w:pos="2610"/>
              </w:tabs>
              <w:suppressAutoHyphens/>
              <w:spacing w:before="60" w:after="60"/>
              <w:ind w:left="0" w:firstLine="0"/>
              <w:rPr>
                <w:rFonts w:asciiTheme="majorBidi" w:hAnsiTheme="majorBidi" w:cstheme="majorBidi"/>
                <w:spacing w:val="-2"/>
                <w:lang w:val="fr-FR"/>
              </w:rPr>
            </w:pPr>
            <w:r w:rsidRPr="00A67F27">
              <w:rPr>
                <w:rFonts w:asciiTheme="majorBidi" w:hAnsiTheme="majorBidi" w:cstheme="majorBidi"/>
                <w:spacing w:val="-2"/>
                <w:lang w:val="fr-FR"/>
              </w:rPr>
              <w:t>Année</w:t>
            </w:r>
          </w:p>
        </w:tc>
        <w:tc>
          <w:tcPr>
            <w:tcW w:w="1620" w:type="dxa"/>
          </w:tcPr>
          <w:p w14:paraId="747D59D2" w14:textId="77777777" w:rsidR="00543ED0" w:rsidRPr="00A67F27" w:rsidRDefault="00543ED0" w:rsidP="00BE4B6F">
            <w:pPr>
              <w:pStyle w:val="titulo"/>
              <w:tabs>
                <w:tab w:val="left" w:pos="2610"/>
              </w:tabs>
              <w:suppressAutoHyphens/>
              <w:spacing w:before="60" w:after="60"/>
              <w:ind w:left="0" w:firstLine="0"/>
              <w:rPr>
                <w:rFonts w:asciiTheme="majorBidi" w:hAnsiTheme="majorBidi" w:cstheme="majorBidi"/>
                <w:spacing w:val="-2"/>
                <w:lang w:val="fr-FR"/>
              </w:rPr>
            </w:pPr>
            <w:r w:rsidRPr="00A67F27">
              <w:rPr>
                <w:rFonts w:asciiTheme="majorBidi" w:hAnsiTheme="majorBidi" w:cstheme="majorBidi"/>
                <w:spacing w:val="-2"/>
                <w:lang w:val="fr-FR"/>
              </w:rPr>
              <w:t>Fraction non exécutée du contrat</w:t>
            </w:r>
          </w:p>
        </w:tc>
        <w:tc>
          <w:tcPr>
            <w:tcW w:w="4950" w:type="dxa"/>
          </w:tcPr>
          <w:p w14:paraId="07EBC614" w14:textId="77777777" w:rsidR="00543ED0" w:rsidRPr="00A67F27" w:rsidRDefault="00543ED0" w:rsidP="00BE4B6F">
            <w:pPr>
              <w:pStyle w:val="titulo"/>
              <w:tabs>
                <w:tab w:val="left" w:pos="2610"/>
              </w:tabs>
              <w:suppressAutoHyphens/>
              <w:spacing w:before="60" w:after="60"/>
              <w:ind w:left="0" w:firstLine="0"/>
              <w:rPr>
                <w:rFonts w:asciiTheme="majorBidi" w:hAnsiTheme="majorBidi" w:cstheme="majorBidi"/>
                <w:spacing w:val="-2"/>
                <w:lang w:val="fr-FR"/>
              </w:rPr>
            </w:pPr>
            <w:r w:rsidRPr="00A67F27">
              <w:rPr>
                <w:rFonts w:asciiTheme="majorBidi" w:hAnsiTheme="majorBidi" w:cstheme="majorBidi"/>
                <w:spacing w:val="-2"/>
                <w:lang w:val="fr-FR"/>
              </w:rPr>
              <w:t>Identification du contrat</w:t>
            </w:r>
          </w:p>
        </w:tc>
        <w:tc>
          <w:tcPr>
            <w:tcW w:w="1890" w:type="dxa"/>
          </w:tcPr>
          <w:p w14:paraId="7B1A993F" w14:textId="486F3E60" w:rsidR="00543ED0" w:rsidRPr="00A67F27" w:rsidRDefault="00543ED0" w:rsidP="00BE4B6F">
            <w:pPr>
              <w:tabs>
                <w:tab w:val="left" w:pos="2610"/>
              </w:tabs>
              <w:spacing w:before="60" w:after="60"/>
              <w:ind w:left="0" w:firstLine="0"/>
              <w:jc w:val="center"/>
              <w:rPr>
                <w:rFonts w:asciiTheme="majorBidi" w:hAnsiTheme="majorBidi" w:cstheme="majorBidi"/>
                <w:b/>
                <w:spacing w:val="-2"/>
              </w:rPr>
            </w:pPr>
            <w:r w:rsidRPr="00A67F27">
              <w:rPr>
                <w:rFonts w:asciiTheme="majorBidi" w:hAnsiTheme="majorBidi" w:cstheme="majorBidi"/>
                <w:b/>
                <w:spacing w:val="-2"/>
              </w:rPr>
              <w:t xml:space="preserve">Montant total du contrat (valeur actuelle, monnaie, taux de change et montant équivalent </w:t>
            </w:r>
            <w:r w:rsidR="009748FC" w:rsidRPr="00A67F27">
              <w:rPr>
                <w:rFonts w:asciiTheme="majorBidi" w:hAnsiTheme="majorBidi" w:cstheme="majorBidi"/>
                <w:b/>
                <w:spacing w:val="-2"/>
              </w:rPr>
              <w:br/>
            </w:r>
            <w:r w:rsidRPr="00A67F27">
              <w:rPr>
                <w:rFonts w:asciiTheme="majorBidi" w:hAnsiTheme="majorBidi" w:cstheme="majorBidi"/>
                <w:b/>
                <w:spacing w:val="-2"/>
              </w:rPr>
              <w:t>$EU ou €)</w:t>
            </w:r>
          </w:p>
        </w:tc>
      </w:tr>
      <w:tr w:rsidR="00543ED0" w:rsidRPr="00A67F27" w14:paraId="727D1BC0" w14:textId="77777777" w:rsidTr="003A5BA2">
        <w:trPr>
          <w:cantSplit/>
          <w:trHeight w:val="935"/>
        </w:trPr>
        <w:tc>
          <w:tcPr>
            <w:tcW w:w="1098" w:type="dxa"/>
          </w:tcPr>
          <w:p w14:paraId="36A9AB23" w14:textId="464BAAE4" w:rsidR="00543ED0" w:rsidRPr="00A67F27" w:rsidRDefault="00543ED0" w:rsidP="00BE4B6F">
            <w:pPr>
              <w:tabs>
                <w:tab w:val="left" w:pos="2610"/>
              </w:tabs>
              <w:spacing w:before="60" w:after="60"/>
              <w:ind w:left="0" w:firstLine="0"/>
              <w:jc w:val="center"/>
              <w:rPr>
                <w:rFonts w:asciiTheme="majorBidi" w:hAnsiTheme="majorBidi" w:cstheme="majorBidi"/>
                <w:i/>
                <w:spacing w:val="-2"/>
              </w:rPr>
            </w:pPr>
          </w:p>
        </w:tc>
        <w:tc>
          <w:tcPr>
            <w:tcW w:w="1620" w:type="dxa"/>
          </w:tcPr>
          <w:p w14:paraId="26173AC7" w14:textId="6F4BB42A" w:rsidR="00543ED0" w:rsidRPr="00A67F27" w:rsidRDefault="00543ED0" w:rsidP="00BE4B6F">
            <w:pPr>
              <w:tabs>
                <w:tab w:val="left" w:pos="2610"/>
              </w:tabs>
              <w:spacing w:before="60" w:after="60"/>
              <w:ind w:left="0" w:firstLine="0"/>
              <w:jc w:val="left"/>
              <w:rPr>
                <w:rFonts w:asciiTheme="majorBidi" w:hAnsiTheme="majorBidi" w:cstheme="majorBidi"/>
                <w:i/>
                <w:spacing w:val="-2"/>
              </w:rPr>
            </w:pPr>
          </w:p>
        </w:tc>
        <w:tc>
          <w:tcPr>
            <w:tcW w:w="4950" w:type="dxa"/>
          </w:tcPr>
          <w:p w14:paraId="6436AEB2" w14:textId="4EEC8D35" w:rsidR="00543ED0" w:rsidRPr="00A67F27" w:rsidRDefault="00543ED0" w:rsidP="00BE4B6F">
            <w:pPr>
              <w:tabs>
                <w:tab w:val="left" w:pos="2610"/>
              </w:tabs>
              <w:spacing w:before="60" w:after="60"/>
              <w:ind w:left="0" w:firstLine="0"/>
              <w:jc w:val="left"/>
              <w:rPr>
                <w:rFonts w:asciiTheme="majorBidi" w:hAnsiTheme="majorBidi" w:cstheme="majorBidi"/>
                <w:i/>
                <w:spacing w:val="-2"/>
              </w:rPr>
            </w:pPr>
            <w:r w:rsidRPr="00A67F27">
              <w:rPr>
                <w:rFonts w:asciiTheme="majorBidi" w:hAnsiTheme="majorBidi" w:cstheme="majorBidi"/>
                <w:spacing w:val="-2"/>
              </w:rPr>
              <w:t>Identification du marché</w:t>
            </w:r>
            <w:r w:rsidR="009B2302" w:rsidRPr="00A67F27">
              <w:rPr>
                <w:rFonts w:asciiTheme="majorBidi" w:hAnsiTheme="majorBidi" w:cstheme="majorBidi"/>
                <w:spacing w:val="-2"/>
              </w:rPr>
              <w:t> :</w:t>
            </w:r>
            <w:r w:rsidR="009748FC" w:rsidRPr="00A67F27">
              <w:rPr>
                <w:rFonts w:asciiTheme="majorBidi" w:hAnsiTheme="majorBidi" w:cstheme="majorBidi"/>
                <w:spacing w:val="-2"/>
              </w:rPr>
              <w:t xml:space="preserve"> </w:t>
            </w:r>
            <w:r w:rsidRPr="00A67F27">
              <w:rPr>
                <w:rFonts w:asciiTheme="majorBidi" w:hAnsiTheme="majorBidi" w:cstheme="majorBidi"/>
                <w:i/>
                <w:spacing w:val="-2"/>
              </w:rPr>
              <w:t xml:space="preserve">[indiquer le nom complet/numéro du marché et les autres formes d’identification] </w:t>
            </w:r>
          </w:p>
          <w:p w14:paraId="20D8CAAB" w14:textId="2F97009E" w:rsidR="00543ED0" w:rsidRPr="00A67F27" w:rsidRDefault="00543ED0" w:rsidP="00BE4B6F">
            <w:pPr>
              <w:tabs>
                <w:tab w:val="left" w:pos="2610"/>
              </w:tabs>
              <w:spacing w:before="60" w:after="60"/>
              <w:ind w:left="0" w:firstLine="0"/>
              <w:jc w:val="left"/>
              <w:rPr>
                <w:rFonts w:asciiTheme="majorBidi" w:hAnsiTheme="majorBidi" w:cstheme="majorBidi"/>
                <w:i/>
                <w:spacing w:val="-2"/>
              </w:rPr>
            </w:pPr>
            <w:r w:rsidRPr="00A67F27">
              <w:rPr>
                <w:rFonts w:asciiTheme="majorBidi" w:hAnsiTheme="majorBidi" w:cstheme="majorBidi"/>
                <w:spacing w:val="-2"/>
              </w:rPr>
              <w:t>Nom du Maître de l’Ouvrage</w:t>
            </w:r>
            <w:r w:rsidR="009B2302" w:rsidRPr="00A67F27">
              <w:rPr>
                <w:rFonts w:asciiTheme="majorBidi" w:hAnsiTheme="majorBidi" w:cstheme="majorBidi"/>
                <w:spacing w:val="-2"/>
              </w:rPr>
              <w:t> :</w:t>
            </w:r>
            <w:r w:rsidR="009748FC" w:rsidRPr="00A67F27">
              <w:rPr>
                <w:rFonts w:asciiTheme="majorBidi" w:hAnsiTheme="majorBidi" w:cstheme="majorBidi"/>
                <w:spacing w:val="-2"/>
              </w:rPr>
              <w:t xml:space="preserve"> </w:t>
            </w:r>
            <w:r w:rsidRPr="00A67F27">
              <w:rPr>
                <w:rFonts w:asciiTheme="majorBidi" w:hAnsiTheme="majorBidi" w:cstheme="majorBidi"/>
                <w:i/>
                <w:spacing w:val="-2"/>
              </w:rPr>
              <w:t xml:space="preserve">[nom complet] </w:t>
            </w:r>
          </w:p>
          <w:p w14:paraId="37E3BA18" w14:textId="3E509789" w:rsidR="00543ED0" w:rsidRPr="00A67F27" w:rsidRDefault="00543ED0" w:rsidP="00BE4B6F">
            <w:pPr>
              <w:tabs>
                <w:tab w:val="left" w:pos="2610"/>
              </w:tabs>
              <w:spacing w:before="60" w:after="60"/>
              <w:ind w:left="0" w:firstLine="0"/>
              <w:jc w:val="left"/>
              <w:rPr>
                <w:rFonts w:asciiTheme="majorBidi" w:hAnsiTheme="majorBidi" w:cstheme="majorBidi"/>
                <w:i/>
                <w:spacing w:val="-2"/>
              </w:rPr>
            </w:pPr>
            <w:r w:rsidRPr="00A67F27">
              <w:rPr>
                <w:rFonts w:asciiTheme="majorBidi" w:hAnsiTheme="majorBidi" w:cstheme="majorBidi"/>
                <w:spacing w:val="-2"/>
              </w:rPr>
              <w:t>Adresse du Maître de l’Ouvrage</w:t>
            </w:r>
            <w:r w:rsidR="009B2302" w:rsidRPr="00A67F27">
              <w:rPr>
                <w:rFonts w:asciiTheme="majorBidi" w:hAnsiTheme="majorBidi" w:cstheme="majorBidi"/>
                <w:spacing w:val="-2"/>
              </w:rPr>
              <w:t> :</w:t>
            </w:r>
            <w:r w:rsidR="009748FC" w:rsidRPr="00A67F27">
              <w:rPr>
                <w:rFonts w:asciiTheme="majorBidi" w:hAnsiTheme="majorBidi" w:cstheme="majorBidi"/>
                <w:spacing w:val="-2"/>
              </w:rPr>
              <w:t xml:space="preserve"> </w:t>
            </w:r>
            <w:r w:rsidRPr="00A67F27">
              <w:rPr>
                <w:rFonts w:asciiTheme="majorBidi" w:hAnsiTheme="majorBidi" w:cstheme="majorBidi"/>
                <w:i/>
                <w:spacing w:val="-2"/>
              </w:rPr>
              <w:t xml:space="preserve">[rue, numéro, ville, pays] </w:t>
            </w:r>
          </w:p>
          <w:p w14:paraId="3666F87F" w14:textId="5E902C94" w:rsidR="00543ED0" w:rsidRPr="00A67F27" w:rsidRDefault="00543ED0" w:rsidP="00BE4B6F">
            <w:pPr>
              <w:tabs>
                <w:tab w:val="left" w:pos="2610"/>
              </w:tabs>
              <w:spacing w:before="60" w:after="60"/>
              <w:ind w:left="0" w:firstLine="0"/>
              <w:jc w:val="left"/>
              <w:rPr>
                <w:rFonts w:asciiTheme="majorBidi" w:hAnsiTheme="majorBidi" w:cstheme="majorBidi"/>
                <w:i/>
                <w:spacing w:val="-2"/>
              </w:rPr>
            </w:pPr>
            <w:r w:rsidRPr="00A67F27">
              <w:rPr>
                <w:rFonts w:asciiTheme="majorBidi" w:hAnsiTheme="majorBidi" w:cstheme="majorBidi"/>
                <w:spacing w:val="-2"/>
              </w:rPr>
              <w:t xml:space="preserve">Motifs de </w:t>
            </w:r>
            <w:r w:rsidR="00994494" w:rsidRPr="00A67F27">
              <w:rPr>
                <w:rFonts w:asciiTheme="majorBidi" w:hAnsiTheme="majorBidi" w:cstheme="majorBidi"/>
                <w:spacing w:val="-2"/>
              </w:rPr>
              <w:t>non-exécution</w:t>
            </w:r>
            <w:r w:rsidR="009B2302" w:rsidRPr="00A67F27">
              <w:rPr>
                <w:rFonts w:asciiTheme="majorBidi" w:hAnsiTheme="majorBidi" w:cstheme="majorBidi"/>
                <w:spacing w:val="-2"/>
              </w:rPr>
              <w:t> :</w:t>
            </w:r>
            <w:r w:rsidR="009748FC" w:rsidRPr="00A67F27">
              <w:rPr>
                <w:rFonts w:asciiTheme="majorBidi" w:hAnsiTheme="majorBidi" w:cstheme="majorBidi"/>
                <w:spacing w:val="-2"/>
              </w:rPr>
              <w:t xml:space="preserve"> </w:t>
            </w:r>
            <w:r w:rsidRPr="00A67F27">
              <w:rPr>
                <w:rFonts w:asciiTheme="majorBidi" w:hAnsiTheme="majorBidi" w:cstheme="majorBidi"/>
                <w:i/>
                <w:spacing w:val="-2"/>
              </w:rPr>
              <w:t>[indiquer le (les) motif(s) principal (aux)]</w:t>
            </w:r>
          </w:p>
        </w:tc>
        <w:tc>
          <w:tcPr>
            <w:tcW w:w="1890" w:type="dxa"/>
          </w:tcPr>
          <w:p w14:paraId="2757E872" w14:textId="77777777" w:rsidR="00543ED0" w:rsidRPr="00A67F27" w:rsidRDefault="00543ED0" w:rsidP="00BE4B6F">
            <w:pPr>
              <w:tabs>
                <w:tab w:val="left" w:pos="2610"/>
              </w:tabs>
              <w:spacing w:before="60" w:after="60"/>
              <w:ind w:left="0" w:firstLine="0"/>
              <w:jc w:val="left"/>
              <w:rPr>
                <w:rFonts w:asciiTheme="majorBidi" w:hAnsiTheme="majorBidi" w:cstheme="majorBidi"/>
                <w:i/>
                <w:spacing w:val="-2"/>
              </w:rPr>
            </w:pPr>
          </w:p>
        </w:tc>
      </w:tr>
      <w:tr w:rsidR="00543ED0" w:rsidRPr="00A67F27" w14:paraId="137D1E1D" w14:textId="77777777" w:rsidTr="003A5BA2">
        <w:trPr>
          <w:cantSplit/>
        </w:trPr>
        <w:tc>
          <w:tcPr>
            <w:tcW w:w="9558" w:type="dxa"/>
            <w:gridSpan w:val="4"/>
          </w:tcPr>
          <w:p w14:paraId="449E99BF" w14:textId="77777777" w:rsidR="00543ED0" w:rsidRPr="00A67F27" w:rsidRDefault="00543ED0" w:rsidP="00BE4B6F">
            <w:pPr>
              <w:pStyle w:val="titulo"/>
              <w:tabs>
                <w:tab w:val="left" w:pos="2610"/>
              </w:tabs>
              <w:suppressAutoHyphens/>
              <w:spacing w:before="60" w:after="60"/>
              <w:ind w:left="0" w:firstLine="0"/>
              <w:rPr>
                <w:rFonts w:asciiTheme="majorBidi" w:hAnsiTheme="majorBidi" w:cstheme="majorBidi"/>
                <w:b w:val="0"/>
                <w:bCs/>
                <w:spacing w:val="-2"/>
                <w:lang w:val="fr-FR"/>
              </w:rPr>
            </w:pPr>
            <w:r w:rsidRPr="00A67F27">
              <w:rPr>
                <w:rFonts w:asciiTheme="majorBidi" w:hAnsiTheme="majorBidi" w:cstheme="majorBidi"/>
                <w:b w:val="0"/>
                <w:bCs/>
                <w:spacing w:val="-2"/>
                <w:lang w:val="fr-FR"/>
              </w:rPr>
              <w:t>Litiges en instance, en vertu de la Section III, Critères d’évaluation et de qualification</w:t>
            </w:r>
          </w:p>
        </w:tc>
      </w:tr>
      <w:tr w:rsidR="00543ED0" w:rsidRPr="00A67F27" w14:paraId="2B989C47" w14:textId="77777777" w:rsidTr="003A5BA2">
        <w:tc>
          <w:tcPr>
            <w:tcW w:w="9558" w:type="dxa"/>
            <w:gridSpan w:val="4"/>
          </w:tcPr>
          <w:p w14:paraId="1EA0BE8B" w14:textId="18B26BA5" w:rsidR="000F0E70" w:rsidRPr="00A67F27" w:rsidRDefault="000F0E70" w:rsidP="002A45C1">
            <w:pPr>
              <w:pStyle w:val="Paragraphedeliste"/>
              <w:numPr>
                <w:ilvl w:val="0"/>
                <w:numId w:val="75"/>
              </w:numPr>
              <w:tabs>
                <w:tab w:val="left" w:pos="2610"/>
              </w:tabs>
              <w:spacing w:before="60" w:after="60"/>
              <w:ind w:left="426"/>
              <w:rPr>
                <w:rFonts w:asciiTheme="majorBidi" w:hAnsiTheme="majorBidi" w:cstheme="majorBidi"/>
                <w:spacing w:val="-2"/>
              </w:rPr>
            </w:pPr>
            <w:r w:rsidRPr="00A67F27">
              <w:rPr>
                <w:rFonts w:asciiTheme="majorBidi" w:hAnsiTheme="majorBidi" w:cstheme="majorBidi"/>
                <w:spacing w:val="-2"/>
              </w:rPr>
              <w:t>Pas de litige en instance tel que spécifié au critère 2.3 de la Section III, Critères d’évaluation et de qualification</w:t>
            </w:r>
          </w:p>
          <w:p w14:paraId="17BC3DB9" w14:textId="4CA77E45" w:rsidR="00543ED0" w:rsidRPr="00A67F27" w:rsidRDefault="000F0E70" w:rsidP="002A45C1">
            <w:pPr>
              <w:pStyle w:val="Paragraphedeliste"/>
              <w:numPr>
                <w:ilvl w:val="0"/>
                <w:numId w:val="75"/>
              </w:numPr>
              <w:tabs>
                <w:tab w:val="left" w:pos="2610"/>
              </w:tabs>
              <w:spacing w:before="60" w:after="60"/>
              <w:ind w:left="426"/>
              <w:rPr>
                <w:rFonts w:asciiTheme="majorBidi" w:hAnsiTheme="majorBidi" w:cstheme="majorBidi"/>
                <w:spacing w:val="-2"/>
              </w:rPr>
            </w:pPr>
            <w:r w:rsidRPr="00A67F27">
              <w:rPr>
                <w:rFonts w:asciiTheme="majorBidi" w:hAnsiTheme="majorBidi" w:cstheme="majorBidi"/>
                <w:spacing w:val="-2"/>
              </w:rPr>
              <w:t>Litige(s) en instance tel que spécifié au critère 2.3 de la Section III, Critères d’évaluation et de qualification</w:t>
            </w:r>
            <w:r w:rsidR="009B2302" w:rsidRPr="00A67F27">
              <w:rPr>
                <w:rFonts w:asciiTheme="majorBidi" w:hAnsiTheme="majorBidi" w:cstheme="majorBidi"/>
                <w:spacing w:val="-2"/>
              </w:rPr>
              <w:t> :</w:t>
            </w:r>
          </w:p>
        </w:tc>
      </w:tr>
    </w:tbl>
    <w:p w14:paraId="575FEF99" w14:textId="77777777" w:rsidR="00E86892" w:rsidRPr="00A67F27" w:rsidRDefault="00E86892" w:rsidP="00543ED0">
      <w:pPr>
        <w:pStyle w:val="SectionIVHeader-2"/>
        <w:rPr>
          <w:rFonts w:asciiTheme="majorBidi" w:hAnsiTheme="majorBidi" w:cstheme="majorBidi"/>
        </w:rPr>
      </w:pPr>
    </w:p>
    <w:p w14:paraId="1E3A14EF" w14:textId="77777777" w:rsidR="00543ED0" w:rsidRPr="00A67F27" w:rsidRDefault="00543ED0" w:rsidP="00543ED0">
      <w:pPr>
        <w:pStyle w:val="SectionIVHeader-2"/>
        <w:rPr>
          <w:rFonts w:asciiTheme="majorBidi" w:hAnsiTheme="majorBidi" w:cstheme="majorBidi"/>
        </w:rPr>
      </w:pPr>
      <w:r w:rsidRPr="00A67F27">
        <w:rPr>
          <w:rFonts w:asciiTheme="majorBidi" w:hAnsiTheme="majorBidi" w:cstheme="majorBidi"/>
        </w:rPr>
        <w:br w:type="page"/>
      </w:r>
    </w:p>
    <w:p w14:paraId="347E9926" w14:textId="060F27DE" w:rsidR="000F0E70" w:rsidRPr="00A67F27" w:rsidRDefault="000F0E70" w:rsidP="002D5A6F">
      <w:pPr>
        <w:pStyle w:val="S4-Header2"/>
        <w:rPr>
          <w:lang w:val="fr-FR"/>
        </w:rPr>
      </w:pPr>
      <w:bookmarkStart w:id="517" w:name="_Toc473817421"/>
      <w:bookmarkStart w:id="518" w:name="_Toc477253636"/>
      <w:bookmarkStart w:id="519" w:name="_Toc487641626"/>
      <w:bookmarkStart w:id="520" w:name="_Toc327863887"/>
      <w:r w:rsidRPr="00A67F27">
        <w:rPr>
          <w:lang w:val="fr-FR"/>
        </w:rPr>
        <w:lastRenderedPageBreak/>
        <w:t>Formulaire ANT 3</w:t>
      </w:r>
      <w:r w:rsidR="002D5A6F" w:rsidRPr="00A67F27">
        <w:rPr>
          <w:lang w:val="fr-FR"/>
        </w:rPr>
        <w:t xml:space="preserve"> </w:t>
      </w:r>
      <w:r w:rsidR="002D5A6F" w:rsidRPr="00A67F27">
        <w:rPr>
          <w:lang w:val="fr-FR"/>
        </w:rPr>
        <w:br/>
      </w:r>
      <w:r w:rsidRPr="00A67F27">
        <w:rPr>
          <w:lang w:val="fr-FR"/>
        </w:rPr>
        <w:t xml:space="preserve">Déclaration de performance </w:t>
      </w:r>
      <w:bookmarkEnd w:id="517"/>
      <w:r w:rsidRPr="00A67F27">
        <w:rPr>
          <w:lang w:val="fr-FR"/>
        </w:rPr>
        <w:t>ESHS</w:t>
      </w:r>
      <w:bookmarkEnd w:id="518"/>
      <w:bookmarkEnd w:id="519"/>
      <w:r w:rsidRPr="00A67F27">
        <w:rPr>
          <w:lang w:val="fr-FR"/>
        </w:rPr>
        <w:t xml:space="preserve"> </w:t>
      </w:r>
    </w:p>
    <w:p w14:paraId="77C61ED8" w14:textId="6834375E" w:rsidR="000F0E70" w:rsidRPr="00A67F27" w:rsidRDefault="000F0E70" w:rsidP="002D5A6F">
      <w:pPr>
        <w:ind w:left="0" w:firstLine="0"/>
        <w:jc w:val="center"/>
        <w:rPr>
          <w:rFonts w:asciiTheme="majorBidi" w:hAnsiTheme="majorBidi" w:cstheme="majorBidi"/>
          <w:i/>
        </w:rPr>
      </w:pPr>
      <w:r w:rsidRPr="00A67F27">
        <w:rPr>
          <w:rFonts w:asciiTheme="majorBidi" w:hAnsiTheme="majorBidi" w:cstheme="majorBidi"/>
          <w:i/>
        </w:rPr>
        <w:t>[Le formulaire ci-dessous doit être rempli par le Soumissionnaire et par chaque partenaire dans le cas d’un GE et chaque Sous-traitant spécialisé]</w:t>
      </w:r>
    </w:p>
    <w:p w14:paraId="52707B76" w14:textId="77777777" w:rsidR="002D5A6F" w:rsidRPr="00A67F27" w:rsidRDefault="002D5A6F" w:rsidP="002D5A6F">
      <w:pPr>
        <w:spacing w:after="0"/>
        <w:jc w:val="center"/>
        <w:rPr>
          <w:rFonts w:asciiTheme="majorBidi" w:hAnsiTheme="majorBidi" w:cstheme="majorBidi"/>
        </w:rPr>
      </w:pPr>
    </w:p>
    <w:p w14:paraId="069A2EB9" w14:textId="7DCD923F" w:rsidR="000F0E70" w:rsidRPr="00A67F27" w:rsidRDefault="000F0E70" w:rsidP="002D5A6F">
      <w:pPr>
        <w:spacing w:after="0"/>
        <w:jc w:val="right"/>
        <w:rPr>
          <w:rFonts w:asciiTheme="majorBidi" w:hAnsiTheme="majorBidi" w:cstheme="majorBidi"/>
        </w:rPr>
      </w:pPr>
      <w:r w:rsidRPr="00A67F27">
        <w:rPr>
          <w:rFonts w:asciiTheme="majorBidi" w:hAnsiTheme="majorBidi" w:cstheme="majorBidi"/>
        </w:rPr>
        <w:t>Nom du Soumissionnaire</w:t>
      </w:r>
      <w:r w:rsidR="009B2302" w:rsidRPr="00A67F27">
        <w:rPr>
          <w:rFonts w:asciiTheme="majorBidi" w:hAnsiTheme="majorBidi" w:cstheme="majorBidi"/>
        </w:rPr>
        <w:t> :</w:t>
      </w:r>
      <w:r w:rsidRPr="00A67F27">
        <w:rPr>
          <w:rFonts w:asciiTheme="majorBidi" w:hAnsiTheme="majorBidi" w:cstheme="majorBidi"/>
        </w:rPr>
        <w:t xml:space="preserve"> </w:t>
      </w:r>
      <w:r w:rsidRPr="00A67F27">
        <w:rPr>
          <w:rFonts w:asciiTheme="majorBidi" w:hAnsiTheme="majorBidi" w:cstheme="majorBidi"/>
          <w:i/>
        </w:rPr>
        <w:t>[insérer le nom complet]</w:t>
      </w:r>
    </w:p>
    <w:p w14:paraId="63FF1232" w14:textId="15971884" w:rsidR="000F0E70" w:rsidRPr="00A67F27" w:rsidRDefault="000F0E70" w:rsidP="002D5A6F">
      <w:pPr>
        <w:spacing w:after="0"/>
        <w:jc w:val="right"/>
        <w:rPr>
          <w:rFonts w:asciiTheme="majorBidi" w:hAnsiTheme="majorBidi" w:cstheme="majorBidi"/>
        </w:rPr>
      </w:pPr>
      <w:r w:rsidRPr="00A67F27">
        <w:rPr>
          <w:rFonts w:asciiTheme="majorBidi" w:hAnsiTheme="majorBidi" w:cstheme="majorBidi"/>
        </w:rPr>
        <w:t>Date</w:t>
      </w:r>
      <w:r w:rsidR="009B2302" w:rsidRPr="00A67F27">
        <w:rPr>
          <w:rFonts w:asciiTheme="majorBidi" w:hAnsiTheme="majorBidi" w:cstheme="majorBidi"/>
        </w:rPr>
        <w:t> :</w:t>
      </w:r>
      <w:r w:rsidRPr="00A67F27">
        <w:rPr>
          <w:rFonts w:asciiTheme="majorBidi" w:hAnsiTheme="majorBidi" w:cstheme="majorBidi"/>
        </w:rPr>
        <w:t xml:space="preserve"> </w:t>
      </w:r>
      <w:r w:rsidRPr="00A67F27">
        <w:rPr>
          <w:rFonts w:asciiTheme="majorBidi" w:hAnsiTheme="majorBidi" w:cstheme="majorBidi"/>
          <w:i/>
        </w:rPr>
        <w:t>[insérer jour, mois, année]</w:t>
      </w:r>
    </w:p>
    <w:p w14:paraId="4B6A01B3" w14:textId="34AA84EA" w:rsidR="000F0E70" w:rsidRPr="00A67F27" w:rsidRDefault="000F0E70" w:rsidP="002D5A6F">
      <w:pPr>
        <w:spacing w:after="0"/>
        <w:jc w:val="right"/>
        <w:rPr>
          <w:rFonts w:asciiTheme="majorBidi" w:hAnsiTheme="majorBidi" w:cstheme="majorBidi"/>
        </w:rPr>
      </w:pPr>
      <w:r w:rsidRPr="00A67F27">
        <w:rPr>
          <w:rFonts w:asciiTheme="majorBidi" w:hAnsiTheme="majorBidi" w:cstheme="majorBidi"/>
        </w:rPr>
        <w:t>Nom de la Partie au GE ou Sous-traitant spécialisé</w:t>
      </w:r>
      <w:r w:rsidR="009B2302" w:rsidRPr="00A67F27">
        <w:rPr>
          <w:rFonts w:asciiTheme="majorBidi" w:hAnsiTheme="majorBidi" w:cstheme="majorBidi"/>
        </w:rPr>
        <w:t> :</w:t>
      </w:r>
      <w:r w:rsidRPr="00A67F27">
        <w:rPr>
          <w:rFonts w:asciiTheme="majorBidi" w:hAnsiTheme="majorBidi" w:cstheme="majorBidi"/>
        </w:rPr>
        <w:t xml:space="preserve"> </w:t>
      </w:r>
      <w:r w:rsidRPr="00A67F27">
        <w:rPr>
          <w:rFonts w:asciiTheme="majorBidi" w:hAnsiTheme="majorBidi" w:cstheme="majorBidi"/>
          <w:i/>
        </w:rPr>
        <w:t>[insérer le nom complet]</w:t>
      </w:r>
    </w:p>
    <w:p w14:paraId="3CCFFB55" w14:textId="254B712E" w:rsidR="000F0E70" w:rsidRPr="00A67F27" w:rsidRDefault="000F0E70" w:rsidP="002D5A6F">
      <w:pPr>
        <w:spacing w:after="0"/>
        <w:jc w:val="right"/>
        <w:rPr>
          <w:rFonts w:asciiTheme="majorBidi" w:hAnsiTheme="majorBidi" w:cstheme="majorBidi"/>
          <w:i/>
        </w:rPr>
      </w:pPr>
      <w:r w:rsidRPr="00A67F27">
        <w:rPr>
          <w:rFonts w:asciiTheme="majorBidi" w:hAnsiTheme="majorBidi" w:cstheme="majorBidi"/>
        </w:rPr>
        <w:t>No. AO et titre</w:t>
      </w:r>
      <w:r w:rsidR="009B2302" w:rsidRPr="00A67F27">
        <w:rPr>
          <w:rFonts w:asciiTheme="majorBidi" w:hAnsiTheme="majorBidi" w:cstheme="majorBidi"/>
        </w:rPr>
        <w:t> :</w:t>
      </w:r>
      <w:r w:rsidRPr="00A67F27">
        <w:rPr>
          <w:rFonts w:asciiTheme="majorBidi" w:hAnsiTheme="majorBidi" w:cstheme="majorBidi"/>
        </w:rPr>
        <w:t xml:space="preserve"> </w:t>
      </w:r>
      <w:r w:rsidRPr="00A67F27">
        <w:rPr>
          <w:rFonts w:asciiTheme="majorBidi" w:hAnsiTheme="majorBidi" w:cstheme="majorBidi"/>
          <w:i/>
        </w:rPr>
        <w:t>[numéro et titre de l’AO]</w:t>
      </w:r>
    </w:p>
    <w:p w14:paraId="686A394E" w14:textId="77777777" w:rsidR="004A7F6C" w:rsidRPr="00A67F27" w:rsidRDefault="004A7F6C" w:rsidP="004A7F6C">
      <w:pPr>
        <w:spacing w:after="0"/>
        <w:ind w:right="72"/>
        <w:jc w:val="right"/>
        <w:rPr>
          <w:rFonts w:asciiTheme="majorBidi" w:hAnsiTheme="majorBidi" w:cstheme="majorBidi"/>
          <w:bCs/>
          <w:i/>
          <w:iCs/>
        </w:rPr>
      </w:pPr>
      <w:r w:rsidRPr="00A67F27">
        <w:rPr>
          <w:spacing w:val="-2"/>
        </w:rPr>
        <w:t>Page</w:t>
      </w:r>
      <w:r w:rsidRPr="00A67F27">
        <w:rPr>
          <w:i/>
          <w:spacing w:val="-2"/>
        </w:rPr>
        <w:t xml:space="preserve"> </w:t>
      </w:r>
      <w:r w:rsidRPr="00A67F27">
        <w:rPr>
          <w:i/>
        </w:rPr>
        <w:t>__________de</w:t>
      </w:r>
      <w:r w:rsidRPr="00A67F27">
        <w:rPr>
          <w:spacing w:val="-2"/>
        </w:rPr>
        <w:t xml:space="preserve"> </w:t>
      </w:r>
      <w:r w:rsidRPr="00A67F27">
        <w:rPr>
          <w:i/>
          <w:spacing w:val="1"/>
        </w:rPr>
        <w:t>_______________</w:t>
      </w:r>
      <w:r w:rsidRPr="00A67F27">
        <w:rPr>
          <w:spacing w:val="-2"/>
        </w:rPr>
        <w:t>pages</w:t>
      </w:r>
    </w:p>
    <w:tbl>
      <w:tblPr>
        <w:tblW w:w="9356" w:type="dxa"/>
        <w:tblInd w:w="3" w:type="dxa"/>
        <w:tblLayout w:type="fixed"/>
        <w:tblCellMar>
          <w:left w:w="0" w:type="dxa"/>
          <w:right w:w="0" w:type="dxa"/>
        </w:tblCellMar>
        <w:tblLook w:val="0000" w:firstRow="0" w:lastRow="0" w:firstColumn="0" w:lastColumn="0" w:noHBand="0" w:noVBand="0"/>
      </w:tblPr>
      <w:tblGrid>
        <w:gridCol w:w="968"/>
        <w:gridCol w:w="1530"/>
        <w:gridCol w:w="5128"/>
        <w:gridCol w:w="1730"/>
      </w:tblGrid>
      <w:tr w:rsidR="000F0E70" w:rsidRPr="00A67F27" w14:paraId="6F01795A" w14:textId="77777777" w:rsidTr="00E47BAA">
        <w:tc>
          <w:tcPr>
            <w:tcW w:w="9356" w:type="dxa"/>
            <w:gridSpan w:val="4"/>
            <w:tcBorders>
              <w:top w:val="single" w:sz="2" w:space="0" w:color="auto"/>
              <w:left w:val="single" w:sz="2" w:space="0" w:color="auto"/>
              <w:bottom w:val="single" w:sz="2" w:space="0" w:color="auto"/>
              <w:right w:val="single" w:sz="2" w:space="0" w:color="auto"/>
            </w:tcBorders>
          </w:tcPr>
          <w:p w14:paraId="11E9B46A" w14:textId="77777777" w:rsidR="000F0E70" w:rsidRPr="00A67F27" w:rsidRDefault="000F0E70" w:rsidP="00500D8A">
            <w:pPr>
              <w:spacing w:before="80" w:after="0"/>
              <w:ind w:left="0" w:firstLine="0"/>
              <w:jc w:val="center"/>
              <w:rPr>
                <w:spacing w:val="-4"/>
                <w:sz w:val="32"/>
                <w:szCs w:val="32"/>
                <w:lang w:eastAsia="en-US"/>
              </w:rPr>
            </w:pPr>
            <w:r w:rsidRPr="00A67F27">
              <w:rPr>
                <w:spacing w:val="-4"/>
                <w:sz w:val="32"/>
                <w:szCs w:val="32"/>
                <w:lang w:eastAsia="en-US"/>
              </w:rPr>
              <w:t xml:space="preserve">Déclaration de performance environnementale, sociale, hygiène et sécurité </w:t>
            </w:r>
          </w:p>
          <w:p w14:paraId="1818159A" w14:textId="4DC16296" w:rsidR="000F0E70" w:rsidRPr="00A67F27" w:rsidRDefault="000F0E70" w:rsidP="00500D8A">
            <w:pPr>
              <w:pStyle w:val="titulo"/>
              <w:suppressAutoHyphens/>
              <w:spacing w:after="120"/>
              <w:rPr>
                <w:rFonts w:asciiTheme="majorBidi" w:hAnsiTheme="majorBidi" w:cstheme="majorBidi"/>
                <w:b w:val="0"/>
                <w:bCs/>
                <w:spacing w:val="-2"/>
                <w:lang w:val="fr-FR"/>
              </w:rPr>
            </w:pPr>
            <w:r w:rsidRPr="00A67F27">
              <w:rPr>
                <w:rFonts w:asciiTheme="majorBidi" w:hAnsiTheme="majorBidi" w:cstheme="majorBidi"/>
                <w:b w:val="0"/>
                <w:bCs/>
                <w:spacing w:val="-2"/>
                <w:lang w:val="fr-FR"/>
              </w:rPr>
              <w:t>selon les dispositions de la Section III, Critères d’évaluation et de qualification</w:t>
            </w:r>
          </w:p>
        </w:tc>
      </w:tr>
      <w:tr w:rsidR="000F0E70" w:rsidRPr="00A67F27" w14:paraId="252B7389" w14:textId="77777777" w:rsidTr="00E47BAA">
        <w:tc>
          <w:tcPr>
            <w:tcW w:w="9356" w:type="dxa"/>
            <w:gridSpan w:val="4"/>
            <w:tcBorders>
              <w:top w:val="single" w:sz="2" w:space="0" w:color="auto"/>
              <w:left w:val="single" w:sz="2" w:space="0" w:color="auto"/>
              <w:bottom w:val="single" w:sz="2" w:space="0" w:color="auto"/>
              <w:right w:val="single" w:sz="2" w:space="0" w:color="auto"/>
            </w:tcBorders>
          </w:tcPr>
          <w:p w14:paraId="26996BAE" w14:textId="04727858" w:rsidR="000F0E70" w:rsidRPr="00442531" w:rsidRDefault="000F0E70" w:rsidP="00500D8A">
            <w:pPr>
              <w:spacing w:before="40" w:after="120"/>
              <w:ind w:left="540" w:right="139" w:hanging="441"/>
              <w:rPr>
                <w:rFonts w:asciiTheme="majorBidi" w:hAnsiTheme="majorBidi" w:cstheme="majorBidi"/>
                <w:spacing w:val="-4"/>
              </w:rPr>
            </w:pPr>
            <w:r w:rsidRPr="00A67F27">
              <w:rPr>
                <w:rFonts w:asciiTheme="majorBidi" w:eastAsia="MS Mincho" w:hAnsiTheme="majorBidi" w:cstheme="majorBidi"/>
                <w:spacing w:val="-2"/>
              </w:rPr>
              <w:sym w:font="Wingdings" w:char="F0A8"/>
            </w:r>
            <w:r w:rsidRPr="00A67F27">
              <w:rPr>
                <w:rFonts w:asciiTheme="majorBidi" w:eastAsia="MS Mincho" w:hAnsiTheme="majorBidi" w:cstheme="majorBidi"/>
                <w:spacing w:val="-2"/>
              </w:rPr>
              <w:tab/>
            </w:r>
            <w:r w:rsidRPr="00A67F27">
              <w:rPr>
                <w:rFonts w:asciiTheme="majorBidi" w:hAnsiTheme="majorBidi" w:cstheme="majorBidi"/>
                <w:b/>
                <w:spacing w:val="-6"/>
              </w:rPr>
              <w:t>Pas de suspension ou résignation de march</w:t>
            </w:r>
            <w:r w:rsidRPr="00435C9E">
              <w:rPr>
                <w:rFonts w:asciiTheme="majorBidi" w:hAnsiTheme="majorBidi" w:cstheme="majorBidi"/>
                <w:b/>
                <w:spacing w:val="-6"/>
              </w:rPr>
              <w:t>é</w:t>
            </w:r>
            <w:r w:rsidR="009B2302" w:rsidRPr="00435C9E">
              <w:rPr>
                <w:rFonts w:asciiTheme="majorBidi" w:hAnsiTheme="majorBidi" w:cstheme="majorBidi"/>
                <w:spacing w:val="-6"/>
              </w:rPr>
              <w:t> :</w:t>
            </w:r>
            <w:r w:rsidRPr="00435C9E">
              <w:rPr>
                <w:rFonts w:asciiTheme="majorBidi" w:hAnsiTheme="majorBidi" w:cstheme="majorBidi"/>
                <w:spacing w:val="-6"/>
              </w:rPr>
              <w:t xml:space="preserve"> </w:t>
            </w:r>
            <w:r w:rsidRPr="00435C9E">
              <w:rPr>
                <w:rFonts w:asciiTheme="majorBidi" w:hAnsiTheme="majorBidi" w:cstheme="majorBidi"/>
                <w:spacing w:val="-2"/>
              </w:rPr>
              <w:t>Il n’y a pas eu de marché suspendu ou résilié ou faisant l’objet de saisie de garantie de performance depuis le 1</w:t>
            </w:r>
            <w:r w:rsidRPr="001627D7">
              <w:rPr>
                <w:rFonts w:asciiTheme="majorBidi" w:hAnsiTheme="majorBidi" w:cstheme="majorBidi"/>
                <w:spacing w:val="-2"/>
                <w:vertAlign w:val="superscript"/>
              </w:rPr>
              <w:t>er</w:t>
            </w:r>
            <w:r w:rsidRPr="001627D7">
              <w:rPr>
                <w:rFonts w:asciiTheme="majorBidi" w:hAnsiTheme="majorBidi" w:cstheme="majorBidi"/>
                <w:spacing w:val="-2"/>
              </w:rPr>
              <w:t xml:space="preserve"> janvier </w:t>
            </w:r>
            <w:r w:rsidRPr="00C7522E">
              <w:rPr>
                <w:rFonts w:asciiTheme="majorBidi" w:hAnsiTheme="majorBidi" w:cstheme="majorBidi"/>
                <w:i/>
                <w:spacing w:val="-2"/>
              </w:rPr>
              <w:t>[insérer l’année]</w:t>
            </w:r>
            <w:r w:rsidRPr="00C7522E">
              <w:rPr>
                <w:rFonts w:asciiTheme="majorBidi" w:hAnsiTheme="majorBidi" w:cstheme="majorBidi"/>
                <w:spacing w:val="-2"/>
              </w:rPr>
              <w:t xml:space="preserve"> pour de</w:t>
            </w:r>
            <w:r w:rsidRPr="00043C85">
              <w:rPr>
                <w:rFonts w:asciiTheme="majorBidi" w:hAnsiTheme="majorBidi" w:cstheme="majorBidi"/>
                <w:spacing w:val="-2"/>
              </w:rPr>
              <w:t xml:space="preserve">s motifs liés à la performance environnementale, sociale, hygiène et sécurité comme stipulé à la Section III, Critères d’évaluation et de qualification, critère 2.5. </w:t>
            </w:r>
          </w:p>
          <w:p w14:paraId="66C4C0F5" w14:textId="398D2B8E" w:rsidR="000F0E70" w:rsidRPr="00132A9B" w:rsidRDefault="000F0E70" w:rsidP="00500D8A">
            <w:pPr>
              <w:spacing w:before="40" w:after="120"/>
              <w:ind w:left="540" w:right="139" w:hanging="441"/>
              <w:rPr>
                <w:rFonts w:asciiTheme="majorBidi" w:hAnsiTheme="majorBidi" w:cstheme="majorBidi"/>
                <w:spacing w:val="-4"/>
              </w:rPr>
            </w:pPr>
            <w:r w:rsidRPr="00A67F27">
              <w:rPr>
                <w:rFonts w:asciiTheme="majorBidi" w:eastAsia="MS Mincho" w:hAnsiTheme="majorBidi" w:cstheme="majorBidi"/>
                <w:spacing w:val="-2"/>
              </w:rPr>
              <w:sym w:font="Wingdings" w:char="F0A8"/>
            </w:r>
            <w:r w:rsidRPr="00A67F27">
              <w:rPr>
                <w:rFonts w:asciiTheme="majorBidi" w:hAnsiTheme="majorBidi" w:cstheme="majorBidi"/>
                <w:spacing w:val="-4"/>
              </w:rPr>
              <w:tab/>
            </w:r>
            <w:r w:rsidRPr="00A67F27">
              <w:rPr>
                <w:rFonts w:asciiTheme="majorBidi" w:hAnsiTheme="majorBidi" w:cstheme="majorBidi"/>
                <w:b/>
                <w:spacing w:val="-4"/>
              </w:rPr>
              <w:t xml:space="preserve">Déclaration de </w:t>
            </w:r>
            <w:r w:rsidRPr="00435C9E">
              <w:rPr>
                <w:rFonts w:asciiTheme="majorBidi" w:hAnsiTheme="majorBidi" w:cstheme="majorBidi"/>
                <w:b/>
                <w:spacing w:val="-6"/>
              </w:rPr>
              <w:t>suspension ou résiliation de marché</w:t>
            </w:r>
            <w:r w:rsidR="009B2302" w:rsidRPr="00435C9E">
              <w:rPr>
                <w:rFonts w:asciiTheme="majorBidi" w:hAnsiTheme="majorBidi" w:cstheme="majorBidi"/>
                <w:spacing w:val="-6"/>
              </w:rPr>
              <w:t xml:space="preserve"> : </w:t>
            </w:r>
            <w:r w:rsidRPr="00435C9E">
              <w:rPr>
                <w:rFonts w:asciiTheme="majorBidi" w:hAnsiTheme="majorBidi" w:cstheme="majorBidi"/>
                <w:spacing w:val="-2"/>
              </w:rPr>
              <w:t>Le(s) marché(s) ci-après ont fait l’objet de suspension ou résiliation ou de saisie de garantie de performance depuis le 1</w:t>
            </w:r>
            <w:r w:rsidRPr="001627D7">
              <w:rPr>
                <w:rFonts w:asciiTheme="majorBidi" w:hAnsiTheme="majorBidi" w:cstheme="majorBidi"/>
                <w:spacing w:val="-2"/>
                <w:vertAlign w:val="superscript"/>
              </w:rPr>
              <w:t>er</w:t>
            </w:r>
            <w:r w:rsidRPr="001627D7">
              <w:rPr>
                <w:rFonts w:asciiTheme="majorBidi" w:hAnsiTheme="majorBidi" w:cstheme="majorBidi"/>
                <w:spacing w:val="-2"/>
              </w:rPr>
              <w:t xml:space="preserve"> janvier </w:t>
            </w:r>
            <w:r w:rsidRPr="00C7522E">
              <w:rPr>
                <w:rFonts w:asciiTheme="majorBidi" w:hAnsiTheme="majorBidi" w:cstheme="majorBidi"/>
                <w:i/>
                <w:spacing w:val="-2"/>
              </w:rPr>
              <w:t>[insérer l’année]</w:t>
            </w:r>
            <w:r w:rsidRPr="00C7522E">
              <w:rPr>
                <w:rFonts w:asciiTheme="majorBidi" w:hAnsiTheme="majorBidi" w:cstheme="majorBidi"/>
                <w:spacing w:val="-2"/>
              </w:rPr>
              <w:t xml:space="preserve"> pour des motifs liés à la performance environnementale, sociale, hygiène et sécurité comme stipulé à la Section III, Critères d’évaluation </w:t>
            </w:r>
            <w:r w:rsidRPr="00043C85">
              <w:rPr>
                <w:rFonts w:asciiTheme="majorBidi" w:hAnsiTheme="majorBidi" w:cstheme="majorBidi"/>
                <w:spacing w:val="-2"/>
              </w:rPr>
              <w:t>et de qualification, critère 2.5</w:t>
            </w:r>
            <w:r w:rsidRPr="00442531">
              <w:rPr>
                <w:rFonts w:asciiTheme="majorBidi" w:hAnsiTheme="majorBidi" w:cstheme="majorBidi"/>
                <w:spacing w:val="-4"/>
              </w:rPr>
              <w:t>. Les détails sont fournis ci-après</w:t>
            </w:r>
            <w:r w:rsidR="009B2302" w:rsidRPr="00442531">
              <w:rPr>
                <w:rFonts w:asciiTheme="majorBidi" w:hAnsiTheme="majorBidi" w:cstheme="majorBidi"/>
                <w:spacing w:val="-4"/>
              </w:rPr>
              <w:t> :</w:t>
            </w:r>
          </w:p>
        </w:tc>
      </w:tr>
      <w:tr w:rsidR="000F0E70" w:rsidRPr="00A67F27" w14:paraId="519A4E86" w14:textId="77777777" w:rsidTr="00E47BAA">
        <w:trPr>
          <w:trHeight w:val="971"/>
        </w:trPr>
        <w:tc>
          <w:tcPr>
            <w:tcW w:w="968" w:type="dxa"/>
            <w:tcBorders>
              <w:top w:val="single" w:sz="2" w:space="0" w:color="auto"/>
              <w:left w:val="single" w:sz="2" w:space="0" w:color="auto"/>
              <w:bottom w:val="single" w:sz="2" w:space="0" w:color="auto"/>
              <w:right w:val="single" w:sz="2" w:space="0" w:color="auto"/>
            </w:tcBorders>
          </w:tcPr>
          <w:p w14:paraId="0EFC2444" w14:textId="77777777" w:rsidR="000F0E70" w:rsidRPr="00A67F27" w:rsidRDefault="000F0E70" w:rsidP="00500D8A">
            <w:pPr>
              <w:spacing w:before="40" w:after="120"/>
              <w:ind w:left="0" w:firstLine="0"/>
              <w:jc w:val="center"/>
              <w:rPr>
                <w:rFonts w:asciiTheme="majorBidi" w:hAnsiTheme="majorBidi" w:cstheme="majorBidi"/>
                <w:b/>
                <w:bCs/>
                <w:spacing w:val="-4"/>
              </w:rPr>
            </w:pPr>
            <w:r w:rsidRPr="00A67F27">
              <w:rPr>
                <w:rFonts w:asciiTheme="majorBidi" w:hAnsiTheme="majorBidi" w:cstheme="majorBidi"/>
                <w:b/>
                <w:spacing w:val="-2"/>
              </w:rPr>
              <w:t>Année</w:t>
            </w:r>
          </w:p>
        </w:tc>
        <w:tc>
          <w:tcPr>
            <w:tcW w:w="1530" w:type="dxa"/>
            <w:tcBorders>
              <w:top w:val="single" w:sz="2" w:space="0" w:color="auto"/>
              <w:left w:val="single" w:sz="2" w:space="0" w:color="auto"/>
              <w:bottom w:val="single" w:sz="2" w:space="0" w:color="auto"/>
              <w:right w:val="single" w:sz="2" w:space="0" w:color="auto"/>
            </w:tcBorders>
          </w:tcPr>
          <w:p w14:paraId="7A0801D7" w14:textId="77777777" w:rsidR="000F0E70" w:rsidRPr="00A67F27" w:rsidRDefault="000F0E70" w:rsidP="00500D8A">
            <w:pPr>
              <w:spacing w:before="40" w:after="120"/>
              <w:ind w:left="0" w:firstLine="0"/>
              <w:jc w:val="center"/>
              <w:rPr>
                <w:rFonts w:asciiTheme="majorBidi" w:hAnsiTheme="majorBidi" w:cstheme="majorBidi"/>
                <w:b/>
                <w:bCs/>
                <w:spacing w:val="-4"/>
              </w:rPr>
            </w:pPr>
            <w:r w:rsidRPr="00A67F27">
              <w:rPr>
                <w:rFonts w:asciiTheme="majorBidi" w:hAnsiTheme="majorBidi" w:cstheme="majorBidi"/>
                <w:b/>
                <w:spacing w:val="-2"/>
              </w:rPr>
              <w:t>Fraction non exécutée du contrat</w:t>
            </w:r>
          </w:p>
        </w:tc>
        <w:tc>
          <w:tcPr>
            <w:tcW w:w="5128" w:type="dxa"/>
            <w:tcBorders>
              <w:top w:val="single" w:sz="2" w:space="0" w:color="auto"/>
              <w:left w:val="single" w:sz="2" w:space="0" w:color="auto"/>
              <w:bottom w:val="single" w:sz="2" w:space="0" w:color="auto"/>
              <w:right w:val="single" w:sz="2" w:space="0" w:color="auto"/>
            </w:tcBorders>
          </w:tcPr>
          <w:p w14:paraId="203B9DB4" w14:textId="77777777" w:rsidR="000F0E70" w:rsidRPr="00A67F27" w:rsidRDefault="000F0E70" w:rsidP="00500D8A">
            <w:pPr>
              <w:spacing w:before="40" w:after="120"/>
              <w:ind w:left="0" w:firstLine="0"/>
              <w:jc w:val="center"/>
              <w:rPr>
                <w:rFonts w:asciiTheme="majorBidi" w:hAnsiTheme="majorBidi" w:cstheme="majorBidi"/>
                <w:b/>
                <w:i/>
                <w:iCs/>
                <w:spacing w:val="-6"/>
              </w:rPr>
            </w:pPr>
            <w:r w:rsidRPr="00A67F27">
              <w:rPr>
                <w:rFonts w:asciiTheme="majorBidi" w:hAnsiTheme="majorBidi" w:cstheme="majorBidi"/>
                <w:b/>
                <w:spacing w:val="-2"/>
              </w:rPr>
              <w:t>Identification du marché</w:t>
            </w:r>
          </w:p>
        </w:tc>
        <w:tc>
          <w:tcPr>
            <w:tcW w:w="1730" w:type="dxa"/>
            <w:tcBorders>
              <w:top w:val="single" w:sz="2" w:space="0" w:color="auto"/>
              <w:left w:val="single" w:sz="2" w:space="0" w:color="auto"/>
              <w:bottom w:val="single" w:sz="2" w:space="0" w:color="auto"/>
              <w:right w:val="single" w:sz="2" w:space="0" w:color="auto"/>
            </w:tcBorders>
          </w:tcPr>
          <w:p w14:paraId="2A1DBAF7" w14:textId="77777777" w:rsidR="000F0E70" w:rsidRPr="00A67F27" w:rsidRDefault="000F0E70" w:rsidP="00500D8A">
            <w:pPr>
              <w:spacing w:before="40" w:after="120"/>
              <w:ind w:left="0" w:firstLine="0"/>
              <w:jc w:val="center"/>
              <w:rPr>
                <w:rFonts w:asciiTheme="majorBidi" w:hAnsiTheme="majorBidi" w:cstheme="majorBidi"/>
                <w:b/>
                <w:i/>
                <w:iCs/>
                <w:spacing w:val="-6"/>
              </w:rPr>
            </w:pPr>
            <w:r w:rsidRPr="00A67F27">
              <w:rPr>
                <w:rFonts w:asciiTheme="majorBidi" w:hAnsiTheme="majorBidi" w:cstheme="majorBidi"/>
                <w:b/>
                <w:spacing w:val="-2"/>
              </w:rPr>
              <w:t>Montant total du contrat (valeur actuelle en équivalent $US)</w:t>
            </w:r>
          </w:p>
        </w:tc>
      </w:tr>
      <w:tr w:rsidR="000F0E70" w:rsidRPr="00A67F27" w14:paraId="0E085969" w14:textId="77777777" w:rsidTr="00E47BAA">
        <w:tc>
          <w:tcPr>
            <w:tcW w:w="968" w:type="dxa"/>
            <w:tcBorders>
              <w:top w:val="single" w:sz="2" w:space="0" w:color="auto"/>
              <w:left w:val="single" w:sz="2" w:space="0" w:color="auto"/>
              <w:bottom w:val="single" w:sz="2" w:space="0" w:color="auto"/>
              <w:right w:val="single" w:sz="2" w:space="0" w:color="auto"/>
            </w:tcBorders>
          </w:tcPr>
          <w:p w14:paraId="27C35EBF" w14:textId="77777777" w:rsidR="000F0E70" w:rsidRPr="00A67F27" w:rsidRDefault="000F0E70" w:rsidP="00500D8A">
            <w:pPr>
              <w:spacing w:before="60" w:after="60"/>
              <w:ind w:left="0" w:firstLine="0"/>
              <w:jc w:val="left"/>
              <w:rPr>
                <w:rFonts w:asciiTheme="majorBidi" w:hAnsiTheme="majorBidi" w:cstheme="majorBidi"/>
              </w:rPr>
            </w:pPr>
            <w:r w:rsidRPr="00A67F27">
              <w:rPr>
                <w:rFonts w:asciiTheme="majorBidi" w:hAnsiTheme="majorBidi" w:cstheme="majorBidi"/>
                <w:i/>
                <w:spacing w:val="-2"/>
              </w:rPr>
              <w:t>[insérer l’année]</w:t>
            </w:r>
          </w:p>
        </w:tc>
        <w:tc>
          <w:tcPr>
            <w:tcW w:w="1530" w:type="dxa"/>
            <w:tcBorders>
              <w:top w:val="single" w:sz="2" w:space="0" w:color="auto"/>
              <w:left w:val="single" w:sz="2" w:space="0" w:color="auto"/>
              <w:bottom w:val="single" w:sz="2" w:space="0" w:color="auto"/>
              <w:right w:val="single" w:sz="2" w:space="0" w:color="auto"/>
            </w:tcBorders>
          </w:tcPr>
          <w:p w14:paraId="0D1686BA" w14:textId="77777777" w:rsidR="000F0E70" w:rsidRPr="00A67F27" w:rsidRDefault="000F0E70" w:rsidP="00500D8A">
            <w:pPr>
              <w:spacing w:before="60" w:after="60"/>
              <w:ind w:left="0" w:firstLine="0"/>
              <w:jc w:val="left"/>
              <w:rPr>
                <w:rFonts w:asciiTheme="majorBidi" w:hAnsiTheme="majorBidi" w:cstheme="majorBidi"/>
              </w:rPr>
            </w:pPr>
            <w:r w:rsidRPr="00A67F27">
              <w:rPr>
                <w:rFonts w:asciiTheme="majorBidi" w:hAnsiTheme="majorBidi" w:cstheme="majorBidi"/>
                <w:i/>
                <w:spacing w:val="-2"/>
              </w:rPr>
              <w:t>[indiquer le montant et pourcentage]</w:t>
            </w:r>
          </w:p>
        </w:tc>
        <w:tc>
          <w:tcPr>
            <w:tcW w:w="5128" w:type="dxa"/>
            <w:tcBorders>
              <w:top w:val="single" w:sz="2" w:space="0" w:color="auto"/>
              <w:left w:val="single" w:sz="2" w:space="0" w:color="auto"/>
              <w:bottom w:val="single" w:sz="2" w:space="0" w:color="auto"/>
              <w:right w:val="single" w:sz="2" w:space="0" w:color="auto"/>
            </w:tcBorders>
          </w:tcPr>
          <w:p w14:paraId="343B5008" w14:textId="5A7ECA51" w:rsidR="000F0E70" w:rsidRPr="00A67F27" w:rsidRDefault="000F0E70" w:rsidP="00500D8A">
            <w:pPr>
              <w:spacing w:before="60" w:after="60"/>
              <w:ind w:left="0" w:firstLine="0"/>
              <w:jc w:val="left"/>
              <w:rPr>
                <w:rFonts w:asciiTheme="majorBidi" w:hAnsiTheme="majorBidi" w:cstheme="majorBidi"/>
                <w:i/>
                <w:spacing w:val="-2"/>
              </w:rPr>
            </w:pPr>
            <w:r w:rsidRPr="00A67F27">
              <w:rPr>
                <w:rFonts w:asciiTheme="majorBidi" w:hAnsiTheme="majorBidi" w:cstheme="majorBidi"/>
                <w:spacing w:val="-2"/>
              </w:rPr>
              <w:t>Identification du marché</w:t>
            </w:r>
            <w:r w:rsidR="009B2302" w:rsidRPr="00A67F27">
              <w:rPr>
                <w:rFonts w:asciiTheme="majorBidi" w:hAnsiTheme="majorBidi" w:cstheme="majorBidi"/>
                <w:spacing w:val="-2"/>
              </w:rPr>
              <w:t> </w:t>
            </w:r>
            <w:proofErr w:type="gramStart"/>
            <w:r w:rsidR="009B2302" w:rsidRPr="00A67F27">
              <w:rPr>
                <w:rFonts w:asciiTheme="majorBidi" w:hAnsiTheme="majorBidi" w:cstheme="majorBidi"/>
                <w:spacing w:val="-2"/>
              </w:rPr>
              <w:t>:</w:t>
            </w:r>
            <w:r w:rsidRPr="00A67F27">
              <w:rPr>
                <w:rFonts w:asciiTheme="majorBidi" w:hAnsiTheme="majorBidi" w:cstheme="majorBidi"/>
                <w:i/>
                <w:spacing w:val="-2"/>
              </w:rPr>
              <w:t>[</w:t>
            </w:r>
            <w:proofErr w:type="gramEnd"/>
            <w:r w:rsidRPr="00A67F27">
              <w:rPr>
                <w:rFonts w:asciiTheme="majorBidi" w:hAnsiTheme="majorBidi" w:cstheme="majorBidi"/>
                <w:i/>
                <w:spacing w:val="-2"/>
              </w:rPr>
              <w:t>indiquer le nom complet/numéro du marché et les autres formes d’identification]</w:t>
            </w:r>
          </w:p>
          <w:p w14:paraId="627A212A" w14:textId="012D933F" w:rsidR="000F0E70" w:rsidRPr="00A67F27" w:rsidRDefault="000F0E70" w:rsidP="00500D8A">
            <w:pPr>
              <w:spacing w:before="60" w:after="60"/>
              <w:ind w:left="0" w:firstLine="0"/>
              <w:jc w:val="left"/>
              <w:rPr>
                <w:rFonts w:asciiTheme="majorBidi" w:hAnsiTheme="majorBidi" w:cstheme="majorBidi"/>
                <w:i/>
                <w:spacing w:val="-2"/>
              </w:rPr>
            </w:pPr>
            <w:r w:rsidRPr="00A67F27">
              <w:rPr>
                <w:rFonts w:asciiTheme="majorBidi" w:hAnsiTheme="majorBidi" w:cstheme="majorBidi"/>
                <w:spacing w:val="-2"/>
              </w:rPr>
              <w:t>Nom du Maître de l’Ouvrage</w:t>
            </w:r>
            <w:r w:rsidR="009B2302" w:rsidRPr="00A67F27">
              <w:rPr>
                <w:rFonts w:asciiTheme="majorBidi" w:hAnsiTheme="majorBidi" w:cstheme="majorBidi"/>
                <w:spacing w:val="-2"/>
              </w:rPr>
              <w:t xml:space="preserve"> :</w:t>
            </w:r>
            <w:r w:rsidRPr="00A67F27">
              <w:rPr>
                <w:rFonts w:asciiTheme="majorBidi" w:hAnsiTheme="majorBidi" w:cstheme="majorBidi"/>
                <w:spacing w:val="-2"/>
              </w:rPr>
              <w:t xml:space="preserve"> </w:t>
            </w:r>
            <w:r w:rsidRPr="00A67F27">
              <w:rPr>
                <w:rFonts w:asciiTheme="majorBidi" w:hAnsiTheme="majorBidi" w:cstheme="majorBidi"/>
                <w:i/>
                <w:spacing w:val="-2"/>
              </w:rPr>
              <w:t>[nom complet]</w:t>
            </w:r>
          </w:p>
          <w:p w14:paraId="0257356F" w14:textId="78046087" w:rsidR="000F0E70" w:rsidRPr="00A67F27" w:rsidRDefault="000F0E70" w:rsidP="00500D8A">
            <w:pPr>
              <w:spacing w:before="60" w:after="60"/>
              <w:ind w:left="0" w:firstLine="0"/>
              <w:jc w:val="left"/>
              <w:rPr>
                <w:rFonts w:asciiTheme="majorBidi" w:hAnsiTheme="majorBidi" w:cstheme="majorBidi"/>
                <w:i/>
                <w:spacing w:val="-2"/>
              </w:rPr>
            </w:pPr>
            <w:r w:rsidRPr="00A67F27">
              <w:rPr>
                <w:rFonts w:asciiTheme="majorBidi" w:hAnsiTheme="majorBidi" w:cstheme="majorBidi"/>
                <w:spacing w:val="-2"/>
              </w:rPr>
              <w:t>Adresse du Maître de l’Ouvrage</w:t>
            </w:r>
            <w:r w:rsidR="009B2302" w:rsidRPr="00A67F27">
              <w:rPr>
                <w:rFonts w:asciiTheme="majorBidi" w:hAnsiTheme="majorBidi" w:cstheme="majorBidi"/>
                <w:spacing w:val="-2"/>
              </w:rPr>
              <w:t xml:space="preserve"> :</w:t>
            </w:r>
            <w:r w:rsidRPr="00A67F27">
              <w:rPr>
                <w:rFonts w:asciiTheme="majorBidi" w:hAnsiTheme="majorBidi" w:cstheme="majorBidi"/>
                <w:spacing w:val="-2"/>
              </w:rPr>
              <w:t xml:space="preserve"> </w:t>
            </w:r>
            <w:r w:rsidRPr="00A67F27">
              <w:rPr>
                <w:rFonts w:asciiTheme="majorBidi" w:hAnsiTheme="majorBidi" w:cstheme="majorBidi"/>
                <w:i/>
                <w:spacing w:val="-2"/>
              </w:rPr>
              <w:t>[rue, numéro, ville, pays]</w:t>
            </w:r>
          </w:p>
          <w:p w14:paraId="66A98963" w14:textId="49E8CDAE" w:rsidR="000F0E70" w:rsidRPr="00A67F27" w:rsidRDefault="000F0E70" w:rsidP="00500D8A">
            <w:pPr>
              <w:spacing w:before="60" w:after="60"/>
              <w:ind w:left="0" w:firstLine="0"/>
              <w:jc w:val="left"/>
              <w:rPr>
                <w:rFonts w:asciiTheme="majorBidi" w:hAnsiTheme="majorBidi" w:cstheme="majorBidi"/>
              </w:rPr>
            </w:pPr>
            <w:r w:rsidRPr="00A67F27">
              <w:rPr>
                <w:rFonts w:asciiTheme="majorBidi" w:hAnsiTheme="majorBidi" w:cstheme="majorBidi"/>
                <w:spacing w:val="-2"/>
              </w:rPr>
              <w:t>Motifs de suspension ou résiliation</w:t>
            </w:r>
            <w:r w:rsidR="009B2302" w:rsidRPr="00A67F27">
              <w:rPr>
                <w:rFonts w:asciiTheme="majorBidi" w:hAnsiTheme="majorBidi" w:cstheme="majorBidi"/>
                <w:spacing w:val="-2"/>
              </w:rPr>
              <w:t> :</w:t>
            </w:r>
            <w:r w:rsidRPr="00A67F27">
              <w:rPr>
                <w:rFonts w:asciiTheme="majorBidi" w:hAnsiTheme="majorBidi" w:cstheme="majorBidi"/>
                <w:spacing w:val="-2"/>
              </w:rPr>
              <w:t xml:space="preserve"> </w:t>
            </w:r>
            <w:r w:rsidRPr="00A67F27">
              <w:rPr>
                <w:rFonts w:asciiTheme="majorBidi" w:hAnsiTheme="majorBidi" w:cstheme="majorBidi"/>
                <w:i/>
                <w:spacing w:val="-2"/>
              </w:rPr>
              <w:t>[indiquer le (les) motif(s) principal (aux)]</w:t>
            </w:r>
          </w:p>
        </w:tc>
        <w:tc>
          <w:tcPr>
            <w:tcW w:w="1730" w:type="dxa"/>
            <w:tcBorders>
              <w:top w:val="single" w:sz="2" w:space="0" w:color="auto"/>
              <w:left w:val="single" w:sz="2" w:space="0" w:color="auto"/>
              <w:bottom w:val="single" w:sz="2" w:space="0" w:color="auto"/>
              <w:right w:val="single" w:sz="2" w:space="0" w:color="auto"/>
            </w:tcBorders>
          </w:tcPr>
          <w:p w14:paraId="11087F4D" w14:textId="77777777" w:rsidR="000F0E70" w:rsidRPr="00A67F27" w:rsidRDefault="000F0E70" w:rsidP="00500D8A">
            <w:pPr>
              <w:spacing w:before="60" w:after="60"/>
              <w:ind w:left="0" w:firstLine="0"/>
              <w:jc w:val="left"/>
              <w:rPr>
                <w:rFonts w:asciiTheme="majorBidi" w:hAnsiTheme="majorBidi" w:cstheme="majorBidi"/>
              </w:rPr>
            </w:pPr>
            <w:r w:rsidRPr="00A67F27">
              <w:rPr>
                <w:rFonts w:asciiTheme="majorBidi" w:hAnsiTheme="majorBidi" w:cstheme="majorBidi"/>
                <w:i/>
                <w:iCs/>
                <w:spacing w:val="-6"/>
              </w:rPr>
              <w:t>[insérer le montant]</w:t>
            </w:r>
          </w:p>
        </w:tc>
      </w:tr>
      <w:tr w:rsidR="000F0E70" w:rsidRPr="00A67F27" w14:paraId="1DF556A9" w14:textId="77777777" w:rsidTr="00E47BAA">
        <w:tc>
          <w:tcPr>
            <w:tcW w:w="968" w:type="dxa"/>
            <w:tcBorders>
              <w:top w:val="single" w:sz="2" w:space="0" w:color="auto"/>
              <w:left w:val="single" w:sz="2" w:space="0" w:color="auto"/>
              <w:bottom w:val="single" w:sz="2" w:space="0" w:color="auto"/>
              <w:right w:val="single" w:sz="2" w:space="0" w:color="auto"/>
            </w:tcBorders>
          </w:tcPr>
          <w:p w14:paraId="715AB99A" w14:textId="77777777" w:rsidR="000F0E70" w:rsidRPr="00A67F27" w:rsidRDefault="000F0E70" w:rsidP="00500D8A">
            <w:pPr>
              <w:spacing w:before="60" w:after="60"/>
              <w:ind w:left="0" w:firstLine="0"/>
              <w:jc w:val="left"/>
              <w:rPr>
                <w:rFonts w:asciiTheme="majorBidi" w:hAnsiTheme="majorBidi" w:cstheme="majorBidi"/>
                <w:i/>
                <w:iCs/>
                <w:spacing w:val="-6"/>
              </w:rPr>
            </w:pPr>
            <w:r w:rsidRPr="00A67F27">
              <w:rPr>
                <w:rFonts w:asciiTheme="majorBidi" w:hAnsiTheme="majorBidi" w:cstheme="majorBidi"/>
                <w:i/>
                <w:spacing w:val="-2"/>
              </w:rPr>
              <w:t>[insérer l’année]</w:t>
            </w:r>
          </w:p>
        </w:tc>
        <w:tc>
          <w:tcPr>
            <w:tcW w:w="1530" w:type="dxa"/>
            <w:tcBorders>
              <w:top w:val="single" w:sz="2" w:space="0" w:color="auto"/>
              <w:left w:val="single" w:sz="2" w:space="0" w:color="auto"/>
              <w:bottom w:val="single" w:sz="2" w:space="0" w:color="auto"/>
              <w:right w:val="single" w:sz="2" w:space="0" w:color="auto"/>
            </w:tcBorders>
          </w:tcPr>
          <w:p w14:paraId="408F4C72" w14:textId="77777777" w:rsidR="000F0E70" w:rsidRPr="00A67F27" w:rsidRDefault="000F0E70" w:rsidP="00500D8A">
            <w:pPr>
              <w:spacing w:before="60" w:after="60"/>
              <w:ind w:left="0" w:firstLine="0"/>
              <w:jc w:val="left"/>
              <w:rPr>
                <w:rFonts w:asciiTheme="majorBidi" w:hAnsiTheme="majorBidi" w:cstheme="majorBidi"/>
                <w:i/>
                <w:iCs/>
                <w:spacing w:val="-6"/>
              </w:rPr>
            </w:pPr>
            <w:r w:rsidRPr="00A67F27">
              <w:rPr>
                <w:rFonts w:asciiTheme="majorBidi" w:hAnsiTheme="majorBidi" w:cstheme="majorBidi"/>
                <w:i/>
                <w:spacing w:val="-2"/>
              </w:rPr>
              <w:t>[indiquer le montant et pourcentage]</w:t>
            </w:r>
          </w:p>
        </w:tc>
        <w:tc>
          <w:tcPr>
            <w:tcW w:w="5128" w:type="dxa"/>
            <w:tcBorders>
              <w:top w:val="single" w:sz="2" w:space="0" w:color="auto"/>
              <w:left w:val="single" w:sz="2" w:space="0" w:color="auto"/>
              <w:bottom w:val="single" w:sz="2" w:space="0" w:color="auto"/>
              <w:right w:val="single" w:sz="2" w:space="0" w:color="auto"/>
            </w:tcBorders>
          </w:tcPr>
          <w:p w14:paraId="547482DC" w14:textId="088F980F" w:rsidR="000F0E70" w:rsidRPr="00A67F27" w:rsidRDefault="000F0E70" w:rsidP="00500D8A">
            <w:pPr>
              <w:spacing w:before="60" w:after="60"/>
              <w:ind w:left="0" w:firstLine="0"/>
              <w:jc w:val="left"/>
              <w:rPr>
                <w:rFonts w:asciiTheme="majorBidi" w:hAnsiTheme="majorBidi" w:cstheme="majorBidi"/>
                <w:i/>
                <w:spacing w:val="-2"/>
              </w:rPr>
            </w:pPr>
            <w:r w:rsidRPr="00A67F27">
              <w:rPr>
                <w:rFonts w:asciiTheme="majorBidi" w:hAnsiTheme="majorBidi" w:cstheme="majorBidi"/>
                <w:spacing w:val="-2"/>
              </w:rPr>
              <w:t>Identification du marché</w:t>
            </w:r>
            <w:r w:rsidR="009B2302" w:rsidRPr="00A67F27">
              <w:rPr>
                <w:rFonts w:asciiTheme="majorBidi" w:hAnsiTheme="majorBidi" w:cstheme="majorBidi"/>
                <w:spacing w:val="-2"/>
              </w:rPr>
              <w:t> </w:t>
            </w:r>
            <w:proofErr w:type="gramStart"/>
            <w:r w:rsidR="009B2302" w:rsidRPr="00A67F27">
              <w:rPr>
                <w:rFonts w:asciiTheme="majorBidi" w:hAnsiTheme="majorBidi" w:cstheme="majorBidi"/>
                <w:spacing w:val="-2"/>
              </w:rPr>
              <w:t>:</w:t>
            </w:r>
            <w:r w:rsidRPr="00A67F27">
              <w:rPr>
                <w:rFonts w:asciiTheme="majorBidi" w:hAnsiTheme="majorBidi" w:cstheme="majorBidi"/>
                <w:i/>
                <w:spacing w:val="-2"/>
              </w:rPr>
              <w:t>[</w:t>
            </w:r>
            <w:proofErr w:type="gramEnd"/>
            <w:r w:rsidRPr="00A67F27">
              <w:rPr>
                <w:rFonts w:asciiTheme="majorBidi" w:hAnsiTheme="majorBidi" w:cstheme="majorBidi"/>
                <w:i/>
                <w:spacing w:val="-2"/>
              </w:rPr>
              <w:t>indiquer le nom complet/numéro du marché et les autres formes d’identification]</w:t>
            </w:r>
          </w:p>
          <w:p w14:paraId="14CD1CC6" w14:textId="7ACFB67D" w:rsidR="000F0E70" w:rsidRPr="00A67F27" w:rsidRDefault="000F0E70" w:rsidP="00500D8A">
            <w:pPr>
              <w:spacing w:before="60" w:after="60"/>
              <w:ind w:left="0" w:firstLine="0"/>
              <w:jc w:val="left"/>
              <w:rPr>
                <w:rFonts w:asciiTheme="majorBidi" w:hAnsiTheme="majorBidi" w:cstheme="majorBidi"/>
                <w:i/>
                <w:spacing w:val="-2"/>
              </w:rPr>
            </w:pPr>
            <w:r w:rsidRPr="00A67F27">
              <w:rPr>
                <w:rFonts w:asciiTheme="majorBidi" w:hAnsiTheme="majorBidi" w:cstheme="majorBidi"/>
                <w:spacing w:val="-2"/>
              </w:rPr>
              <w:t>Nom du Maître de l’Ouvrage</w:t>
            </w:r>
            <w:r w:rsidR="009B2302" w:rsidRPr="00A67F27">
              <w:rPr>
                <w:rFonts w:asciiTheme="majorBidi" w:hAnsiTheme="majorBidi" w:cstheme="majorBidi"/>
                <w:spacing w:val="-2"/>
              </w:rPr>
              <w:t xml:space="preserve"> :</w:t>
            </w:r>
            <w:r w:rsidRPr="00A67F27">
              <w:rPr>
                <w:rFonts w:asciiTheme="majorBidi" w:hAnsiTheme="majorBidi" w:cstheme="majorBidi"/>
                <w:spacing w:val="-2"/>
              </w:rPr>
              <w:t xml:space="preserve"> </w:t>
            </w:r>
            <w:r w:rsidRPr="00A67F27">
              <w:rPr>
                <w:rFonts w:asciiTheme="majorBidi" w:hAnsiTheme="majorBidi" w:cstheme="majorBidi"/>
                <w:i/>
                <w:spacing w:val="-2"/>
              </w:rPr>
              <w:t>[nom complet]</w:t>
            </w:r>
          </w:p>
          <w:p w14:paraId="1BD58C28" w14:textId="3DC13843" w:rsidR="000F0E70" w:rsidRPr="00A67F27" w:rsidRDefault="000F0E70" w:rsidP="00500D8A">
            <w:pPr>
              <w:spacing w:before="60" w:after="60"/>
              <w:ind w:left="0" w:firstLine="0"/>
              <w:jc w:val="left"/>
              <w:rPr>
                <w:rFonts w:asciiTheme="majorBidi" w:hAnsiTheme="majorBidi" w:cstheme="majorBidi"/>
                <w:i/>
                <w:spacing w:val="-2"/>
              </w:rPr>
            </w:pPr>
            <w:r w:rsidRPr="00A67F27">
              <w:rPr>
                <w:rFonts w:asciiTheme="majorBidi" w:hAnsiTheme="majorBidi" w:cstheme="majorBidi"/>
                <w:spacing w:val="-2"/>
              </w:rPr>
              <w:t>Adresse du Maître de l’Ouvrage</w:t>
            </w:r>
            <w:r w:rsidR="009B2302" w:rsidRPr="00A67F27">
              <w:rPr>
                <w:rFonts w:asciiTheme="majorBidi" w:hAnsiTheme="majorBidi" w:cstheme="majorBidi"/>
                <w:spacing w:val="-2"/>
              </w:rPr>
              <w:t xml:space="preserve"> :</w:t>
            </w:r>
            <w:r w:rsidRPr="00A67F27">
              <w:rPr>
                <w:rFonts w:asciiTheme="majorBidi" w:hAnsiTheme="majorBidi" w:cstheme="majorBidi"/>
                <w:spacing w:val="-2"/>
              </w:rPr>
              <w:t xml:space="preserve"> </w:t>
            </w:r>
            <w:r w:rsidRPr="00A67F27">
              <w:rPr>
                <w:rFonts w:asciiTheme="majorBidi" w:hAnsiTheme="majorBidi" w:cstheme="majorBidi"/>
                <w:i/>
                <w:spacing w:val="-2"/>
              </w:rPr>
              <w:t>[rue, numéro, ville, pays]</w:t>
            </w:r>
          </w:p>
          <w:p w14:paraId="6A6EA528" w14:textId="77741349" w:rsidR="000F0E70" w:rsidRPr="00A67F27" w:rsidRDefault="000F0E70" w:rsidP="00500D8A">
            <w:pPr>
              <w:spacing w:before="60" w:after="60"/>
              <w:ind w:left="0" w:firstLine="0"/>
              <w:jc w:val="left"/>
              <w:rPr>
                <w:rFonts w:asciiTheme="majorBidi" w:hAnsiTheme="majorBidi" w:cstheme="majorBidi"/>
                <w:spacing w:val="-4"/>
              </w:rPr>
            </w:pPr>
            <w:r w:rsidRPr="00A67F27">
              <w:rPr>
                <w:rFonts w:asciiTheme="majorBidi" w:hAnsiTheme="majorBidi" w:cstheme="majorBidi"/>
                <w:spacing w:val="-2"/>
              </w:rPr>
              <w:t>Motifs de suspension ou résiliation</w:t>
            </w:r>
            <w:r w:rsidR="009B2302" w:rsidRPr="00A67F27">
              <w:rPr>
                <w:rFonts w:asciiTheme="majorBidi" w:hAnsiTheme="majorBidi" w:cstheme="majorBidi"/>
                <w:spacing w:val="-2"/>
              </w:rPr>
              <w:t> :</w:t>
            </w:r>
            <w:r w:rsidRPr="00A67F27">
              <w:rPr>
                <w:rFonts w:asciiTheme="majorBidi" w:hAnsiTheme="majorBidi" w:cstheme="majorBidi"/>
                <w:spacing w:val="-2"/>
              </w:rPr>
              <w:t xml:space="preserve"> </w:t>
            </w:r>
            <w:r w:rsidRPr="00A67F27">
              <w:rPr>
                <w:rFonts w:asciiTheme="majorBidi" w:hAnsiTheme="majorBidi" w:cstheme="majorBidi"/>
                <w:i/>
                <w:spacing w:val="-2"/>
              </w:rPr>
              <w:t xml:space="preserve">[indiquer le (les) </w:t>
            </w:r>
            <w:r w:rsidRPr="00A67F27">
              <w:rPr>
                <w:rFonts w:asciiTheme="majorBidi" w:hAnsiTheme="majorBidi" w:cstheme="majorBidi"/>
                <w:i/>
                <w:spacing w:val="-2"/>
              </w:rPr>
              <w:lastRenderedPageBreak/>
              <w:t>motif(s) principal (aux)]</w:t>
            </w:r>
          </w:p>
        </w:tc>
        <w:tc>
          <w:tcPr>
            <w:tcW w:w="1730" w:type="dxa"/>
            <w:tcBorders>
              <w:top w:val="single" w:sz="2" w:space="0" w:color="auto"/>
              <w:left w:val="single" w:sz="2" w:space="0" w:color="auto"/>
              <w:bottom w:val="single" w:sz="2" w:space="0" w:color="auto"/>
              <w:right w:val="single" w:sz="2" w:space="0" w:color="auto"/>
            </w:tcBorders>
          </w:tcPr>
          <w:p w14:paraId="31C2EC70" w14:textId="77777777" w:rsidR="000F0E70" w:rsidRPr="00A67F27" w:rsidRDefault="000F0E70" w:rsidP="00500D8A">
            <w:pPr>
              <w:spacing w:before="60" w:after="60"/>
              <w:ind w:left="0" w:firstLine="0"/>
              <w:jc w:val="left"/>
              <w:rPr>
                <w:rFonts w:asciiTheme="majorBidi" w:hAnsiTheme="majorBidi" w:cstheme="majorBidi"/>
                <w:i/>
                <w:iCs/>
                <w:spacing w:val="-6"/>
              </w:rPr>
            </w:pPr>
            <w:r w:rsidRPr="00A67F27">
              <w:rPr>
                <w:rFonts w:asciiTheme="majorBidi" w:hAnsiTheme="majorBidi" w:cstheme="majorBidi"/>
                <w:i/>
                <w:iCs/>
                <w:spacing w:val="-6"/>
              </w:rPr>
              <w:lastRenderedPageBreak/>
              <w:t>[insérer le montant]</w:t>
            </w:r>
          </w:p>
        </w:tc>
      </w:tr>
      <w:tr w:rsidR="000F0E70" w:rsidRPr="00A67F27" w14:paraId="1FC30AAF" w14:textId="77777777" w:rsidTr="00E47BAA">
        <w:tc>
          <w:tcPr>
            <w:tcW w:w="968" w:type="dxa"/>
            <w:tcBorders>
              <w:top w:val="single" w:sz="2" w:space="0" w:color="auto"/>
              <w:left w:val="single" w:sz="2" w:space="0" w:color="auto"/>
              <w:bottom w:val="single" w:sz="2" w:space="0" w:color="auto"/>
              <w:right w:val="single" w:sz="2" w:space="0" w:color="auto"/>
            </w:tcBorders>
          </w:tcPr>
          <w:p w14:paraId="680A604B" w14:textId="77777777" w:rsidR="000F0E70" w:rsidRPr="00A67F27" w:rsidRDefault="000F0E70" w:rsidP="00500D8A">
            <w:pPr>
              <w:spacing w:before="40" w:after="120"/>
              <w:ind w:left="0" w:firstLine="0"/>
              <w:rPr>
                <w:rFonts w:asciiTheme="majorBidi" w:hAnsiTheme="majorBidi" w:cstheme="majorBidi"/>
                <w:i/>
                <w:iCs/>
                <w:spacing w:val="-6"/>
              </w:rPr>
            </w:pPr>
            <w:r w:rsidRPr="00A67F27">
              <w:rPr>
                <w:rFonts w:asciiTheme="majorBidi" w:hAnsiTheme="majorBidi" w:cstheme="majorBidi"/>
                <w:i/>
                <w:iCs/>
                <w:spacing w:val="-6"/>
              </w:rPr>
              <w:lastRenderedPageBreak/>
              <w:t>…</w:t>
            </w:r>
          </w:p>
        </w:tc>
        <w:tc>
          <w:tcPr>
            <w:tcW w:w="1530" w:type="dxa"/>
            <w:tcBorders>
              <w:top w:val="single" w:sz="2" w:space="0" w:color="auto"/>
              <w:left w:val="single" w:sz="2" w:space="0" w:color="auto"/>
              <w:bottom w:val="single" w:sz="2" w:space="0" w:color="auto"/>
              <w:right w:val="single" w:sz="2" w:space="0" w:color="auto"/>
            </w:tcBorders>
          </w:tcPr>
          <w:p w14:paraId="711D0159" w14:textId="77777777" w:rsidR="000F0E70" w:rsidRPr="00A67F27" w:rsidRDefault="000F0E70" w:rsidP="00500D8A">
            <w:pPr>
              <w:spacing w:before="40" w:after="120"/>
              <w:ind w:left="0" w:firstLine="0"/>
              <w:rPr>
                <w:rFonts w:asciiTheme="majorBidi" w:hAnsiTheme="majorBidi" w:cstheme="majorBidi"/>
                <w:i/>
                <w:iCs/>
                <w:spacing w:val="-6"/>
              </w:rPr>
            </w:pPr>
            <w:r w:rsidRPr="00A67F27">
              <w:rPr>
                <w:rFonts w:asciiTheme="majorBidi" w:hAnsiTheme="majorBidi" w:cstheme="majorBidi"/>
                <w:i/>
                <w:iCs/>
                <w:spacing w:val="-6"/>
              </w:rPr>
              <w:t>…</w:t>
            </w:r>
          </w:p>
        </w:tc>
        <w:tc>
          <w:tcPr>
            <w:tcW w:w="5128" w:type="dxa"/>
            <w:tcBorders>
              <w:top w:val="single" w:sz="2" w:space="0" w:color="auto"/>
              <w:left w:val="single" w:sz="2" w:space="0" w:color="auto"/>
              <w:bottom w:val="single" w:sz="2" w:space="0" w:color="auto"/>
              <w:right w:val="single" w:sz="2" w:space="0" w:color="auto"/>
            </w:tcBorders>
          </w:tcPr>
          <w:p w14:paraId="00C9A6F3" w14:textId="77777777" w:rsidR="000F0E70" w:rsidRPr="00A67F27" w:rsidRDefault="000F0E70" w:rsidP="00500D8A">
            <w:pPr>
              <w:spacing w:before="40" w:after="120"/>
              <w:ind w:left="0" w:firstLine="0"/>
              <w:jc w:val="left"/>
              <w:rPr>
                <w:rFonts w:asciiTheme="majorBidi" w:hAnsiTheme="majorBidi" w:cstheme="majorBidi"/>
                <w:i/>
                <w:spacing w:val="-4"/>
              </w:rPr>
            </w:pPr>
            <w:r w:rsidRPr="00A67F27">
              <w:rPr>
                <w:rFonts w:asciiTheme="majorBidi" w:hAnsiTheme="majorBidi" w:cstheme="majorBidi"/>
                <w:i/>
                <w:spacing w:val="-4"/>
              </w:rPr>
              <w:t>[fournir la liste de tous les marchés concernés]</w:t>
            </w:r>
          </w:p>
        </w:tc>
        <w:tc>
          <w:tcPr>
            <w:tcW w:w="1730" w:type="dxa"/>
            <w:tcBorders>
              <w:top w:val="single" w:sz="2" w:space="0" w:color="auto"/>
              <w:left w:val="single" w:sz="2" w:space="0" w:color="auto"/>
              <w:bottom w:val="single" w:sz="2" w:space="0" w:color="auto"/>
              <w:right w:val="single" w:sz="2" w:space="0" w:color="auto"/>
            </w:tcBorders>
          </w:tcPr>
          <w:p w14:paraId="5316763E" w14:textId="77777777" w:rsidR="000F0E70" w:rsidRPr="00A67F27" w:rsidRDefault="000F0E70" w:rsidP="00500D8A">
            <w:pPr>
              <w:spacing w:before="40" w:after="120"/>
              <w:ind w:left="0" w:firstLine="0"/>
              <w:rPr>
                <w:rFonts w:asciiTheme="majorBidi" w:hAnsiTheme="majorBidi" w:cstheme="majorBidi"/>
                <w:i/>
                <w:iCs/>
                <w:spacing w:val="-6"/>
              </w:rPr>
            </w:pPr>
            <w:r w:rsidRPr="00A67F27">
              <w:rPr>
                <w:rFonts w:asciiTheme="majorBidi" w:hAnsiTheme="majorBidi" w:cstheme="majorBidi"/>
                <w:i/>
                <w:iCs/>
                <w:spacing w:val="-6"/>
              </w:rPr>
              <w:t>…</w:t>
            </w:r>
          </w:p>
        </w:tc>
      </w:tr>
      <w:tr w:rsidR="000F0E70" w:rsidRPr="00A67F27" w14:paraId="2552C6F9" w14:textId="77777777" w:rsidTr="00E47BAA">
        <w:tc>
          <w:tcPr>
            <w:tcW w:w="9356" w:type="dxa"/>
            <w:gridSpan w:val="4"/>
            <w:tcBorders>
              <w:top w:val="single" w:sz="2" w:space="0" w:color="auto"/>
              <w:left w:val="single" w:sz="2" w:space="0" w:color="auto"/>
              <w:bottom w:val="single" w:sz="2" w:space="0" w:color="auto"/>
              <w:right w:val="single" w:sz="2" w:space="0" w:color="auto"/>
            </w:tcBorders>
          </w:tcPr>
          <w:p w14:paraId="187D9892" w14:textId="77777777" w:rsidR="000F0E70" w:rsidRPr="00A67F27" w:rsidRDefault="000F0E70" w:rsidP="00500D8A">
            <w:pPr>
              <w:spacing w:before="40" w:after="120"/>
              <w:ind w:left="0" w:right="139" w:firstLine="0"/>
              <w:rPr>
                <w:rFonts w:asciiTheme="majorBidi" w:hAnsiTheme="majorBidi" w:cstheme="majorBidi"/>
                <w:b/>
                <w:spacing w:val="-2"/>
              </w:rPr>
            </w:pPr>
            <w:r w:rsidRPr="00A67F27">
              <w:rPr>
                <w:rFonts w:asciiTheme="majorBidi" w:hAnsiTheme="majorBidi" w:cstheme="majorBidi"/>
                <w:b/>
                <w:spacing w:val="-2"/>
              </w:rPr>
              <w:t>Saisie de garantie de performance par le Maître d’Ouvrage pour des motifs liés à la performance ESHS</w:t>
            </w:r>
          </w:p>
        </w:tc>
      </w:tr>
      <w:tr w:rsidR="000F0E70" w:rsidRPr="00A67F27" w14:paraId="3FA34E06" w14:textId="77777777" w:rsidTr="00E47BAA">
        <w:tc>
          <w:tcPr>
            <w:tcW w:w="968" w:type="dxa"/>
            <w:tcBorders>
              <w:top w:val="single" w:sz="2" w:space="0" w:color="auto"/>
              <w:left w:val="single" w:sz="2" w:space="0" w:color="auto"/>
              <w:bottom w:val="single" w:sz="2" w:space="0" w:color="auto"/>
              <w:right w:val="single" w:sz="2" w:space="0" w:color="auto"/>
            </w:tcBorders>
          </w:tcPr>
          <w:p w14:paraId="73A7FF31" w14:textId="77777777" w:rsidR="000F0E70" w:rsidRPr="00A67F27" w:rsidRDefault="000F0E70" w:rsidP="00500D8A">
            <w:pPr>
              <w:spacing w:before="40" w:after="120"/>
              <w:ind w:left="0" w:firstLine="0"/>
              <w:jc w:val="center"/>
              <w:rPr>
                <w:rFonts w:asciiTheme="majorBidi" w:hAnsiTheme="majorBidi" w:cstheme="majorBidi"/>
                <w:b/>
                <w:i/>
                <w:iCs/>
                <w:spacing w:val="-6"/>
              </w:rPr>
            </w:pPr>
            <w:r w:rsidRPr="00A67F27">
              <w:rPr>
                <w:rFonts w:asciiTheme="majorBidi" w:hAnsiTheme="majorBidi" w:cstheme="majorBidi"/>
                <w:b/>
                <w:spacing w:val="-4"/>
              </w:rPr>
              <w:t>Année</w:t>
            </w:r>
          </w:p>
        </w:tc>
        <w:tc>
          <w:tcPr>
            <w:tcW w:w="6658" w:type="dxa"/>
            <w:gridSpan w:val="2"/>
            <w:tcBorders>
              <w:top w:val="single" w:sz="2" w:space="0" w:color="auto"/>
              <w:left w:val="single" w:sz="2" w:space="0" w:color="auto"/>
              <w:bottom w:val="single" w:sz="2" w:space="0" w:color="auto"/>
              <w:right w:val="single" w:sz="2" w:space="0" w:color="auto"/>
            </w:tcBorders>
          </w:tcPr>
          <w:p w14:paraId="0D4F2B40" w14:textId="0E42498C" w:rsidR="000F0E70" w:rsidRPr="00A67F27" w:rsidRDefault="000F0E70" w:rsidP="00500D8A">
            <w:pPr>
              <w:ind w:left="0" w:firstLine="0"/>
              <w:jc w:val="center"/>
              <w:rPr>
                <w:rFonts w:asciiTheme="majorBidi" w:hAnsiTheme="majorBidi" w:cstheme="majorBidi"/>
                <w:b/>
                <w:spacing w:val="-2"/>
              </w:rPr>
            </w:pPr>
            <w:r w:rsidRPr="00A67F27">
              <w:rPr>
                <w:rFonts w:asciiTheme="majorBidi" w:hAnsiTheme="majorBidi" w:cstheme="majorBidi"/>
                <w:b/>
                <w:spacing w:val="-2"/>
              </w:rPr>
              <w:t>Identification du marché</w:t>
            </w:r>
          </w:p>
        </w:tc>
        <w:tc>
          <w:tcPr>
            <w:tcW w:w="1730" w:type="dxa"/>
            <w:tcBorders>
              <w:top w:val="single" w:sz="2" w:space="0" w:color="auto"/>
              <w:left w:val="single" w:sz="2" w:space="0" w:color="auto"/>
              <w:bottom w:val="single" w:sz="2" w:space="0" w:color="auto"/>
              <w:right w:val="single" w:sz="2" w:space="0" w:color="auto"/>
            </w:tcBorders>
          </w:tcPr>
          <w:p w14:paraId="313B0108" w14:textId="77777777" w:rsidR="000F0E70" w:rsidRPr="00A67F27" w:rsidRDefault="000F0E70" w:rsidP="00500D8A">
            <w:pPr>
              <w:spacing w:before="40" w:after="120"/>
              <w:ind w:left="0" w:firstLine="0"/>
              <w:jc w:val="center"/>
              <w:rPr>
                <w:rFonts w:asciiTheme="majorBidi" w:hAnsiTheme="majorBidi" w:cstheme="majorBidi"/>
                <w:b/>
                <w:i/>
                <w:iCs/>
                <w:spacing w:val="-6"/>
              </w:rPr>
            </w:pPr>
            <w:r w:rsidRPr="00A67F27">
              <w:rPr>
                <w:rFonts w:asciiTheme="majorBidi" w:hAnsiTheme="majorBidi" w:cstheme="majorBidi"/>
                <w:b/>
                <w:spacing w:val="-2"/>
              </w:rPr>
              <w:t>Montant total du marché (valeur actuelle, équivalent en $US)</w:t>
            </w:r>
          </w:p>
        </w:tc>
      </w:tr>
      <w:tr w:rsidR="000F0E70" w:rsidRPr="00A67F27" w14:paraId="0072B4E6" w14:textId="77777777" w:rsidTr="00E47BAA">
        <w:tc>
          <w:tcPr>
            <w:tcW w:w="968" w:type="dxa"/>
            <w:tcBorders>
              <w:top w:val="single" w:sz="2" w:space="0" w:color="auto"/>
              <w:left w:val="single" w:sz="2" w:space="0" w:color="auto"/>
              <w:bottom w:val="single" w:sz="2" w:space="0" w:color="auto"/>
              <w:right w:val="single" w:sz="2" w:space="0" w:color="auto"/>
            </w:tcBorders>
          </w:tcPr>
          <w:p w14:paraId="76F505E8" w14:textId="77777777" w:rsidR="000F0E70" w:rsidRPr="00A67F27" w:rsidRDefault="000F0E70" w:rsidP="00500D8A">
            <w:pPr>
              <w:spacing w:before="40" w:after="120"/>
              <w:ind w:left="0" w:firstLine="0"/>
              <w:rPr>
                <w:rFonts w:asciiTheme="majorBidi" w:hAnsiTheme="majorBidi" w:cstheme="majorBidi"/>
                <w:i/>
                <w:iCs/>
                <w:spacing w:val="-6"/>
              </w:rPr>
            </w:pPr>
            <w:r w:rsidRPr="00A67F27">
              <w:rPr>
                <w:rFonts w:asciiTheme="majorBidi" w:hAnsiTheme="majorBidi" w:cstheme="majorBidi"/>
                <w:i/>
                <w:spacing w:val="-2"/>
              </w:rPr>
              <w:t>[insérer l’année]</w:t>
            </w:r>
          </w:p>
        </w:tc>
        <w:tc>
          <w:tcPr>
            <w:tcW w:w="6658" w:type="dxa"/>
            <w:gridSpan w:val="2"/>
            <w:tcBorders>
              <w:top w:val="single" w:sz="2" w:space="0" w:color="auto"/>
              <w:left w:val="single" w:sz="2" w:space="0" w:color="auto"/>
              <w:bottom w:val="single" w:sz="2" w:space="0" w:color="auto"/>
              <w:right w:val="single" w:sz="2" w:space="0" w:color="auto"/>
            </w:tcBorders>
          </w:tcPr>
          <w:p w14:paraId="30F08B4B" w14:textId="4B107CD0" w:rsidR="000F0E70" w:rsidRPr="00A67F27" w:rsidRDefault="000F0E70" w:rsidP="00500D8A">
            <w:pPr>
              <w:spacing w:before="60" w:after="60"/>
              <w:ind w:left="0" w:firstLine="0"/>
              <w:jc w:val="left"/>
              <w:rPr>
                <w:rFonts w:asciiTheme="majorBidi" w:hAnsiTheme="majorBidi" w:cstheme="majorBidi"/>
                <w:i/>
                <w:spacing w:val="-2"/>
              </w:rPr>
            </w:pPr>
            <w:r w:rsidRPr="00A67F27">
              <w:rPr>
                <w:rFonts w:asciiTheme="majorBidi" w:hAnsiTheme="majorBidi" w:cstheme="majorBidi"/>
                <w:spacing w:val="-2"/>
              </w:rPr>
              <w:t>Identification du marché</w:t>
            </w:r>
            <w:r w:rsidR="009B2302" w:rsidRPr="00A67F27">
              <w:rPr>
                <w:rFonts w:asciiTheme="majorBidi" w:hAnsiTheme="majorBidi" w:cstheme="majorBidi"/>
                <w:spacing w:val="-2"/>
              </w:rPr>
              <w:t> :</w:t>
            </w:r>
            <w:r w:rsidRPr="00A67F27">
              <w:rPr>
                <w:rFonts w:asciiTheme="majorBidi" w:hAnsiTheme="majorBidi" w:cstheme="majorBidi"/>
                <w:spacing w:val="-2"/>
              </w:rPr>
              <w:t xml:space="preserve"> </w:t>
            </w:r>
            <w:r w:rsidRPr="00A67F27">
              <w:rPr>
                <w:rFonts w:asciiTheme="majorBidi" w:hAnsiTheme="majorBidi" w:cstheme="majorBidi"/>
                <w:i/>
                <w:spacing w:val="-2"/>
              </w:rPr>
              <w:t xml:space="preserve">[indiquer le nom complet/numéro du marché et les autres formes d’identification] </w:t>
            </w:r>
          </w:p>
          <w:p w14:paraId="171C9963" w14:textId="3FE8494F" w:rsidR="000F0E70" w:rsidRPr="00A67F27" w:rsidRDefault="000F0E70" w:rsidP="00500D8A">
            <w:pPr>
              <w:spacing w:before="60" w:after="60"/>
              <w:ind w:left="0" w:firstLine="0"/>
              <w:jc w:val="left"/>
              <w:rPr>
                <w:rFonts w:asciiTheme="majorBidi" w:hAnsiTheme="majorBidi" w:cstheme="majorBidi"/>
                <w:i/>
                <w:spacing w:val="-2"/>
              </w:rPr>
            </w:pPr>
            <w:r w:rsidRPr="00A67F27">
              <w:rPr>
                <w:rFonts w:asciiTheme="majorBidi" w:hAnsiTheme="majorBidi" w:cstheme="majorBidi"/>
                <w:spacing w:val="-2"/>
              </w:rPr>
              <w:t>Nom du Maître de l’Ouvrage</w:t>
            </w:r>
            <w:r w:rsidR="009B2302" w:rsidRPr="00A67F27">
              <w:rPr>
                <w:rFonts w:asciiTheme="majorBidi" w:hAnsiTheme="majorBidi" w:cstheme="majorBidi"/>
                <w:spacing w:val="-2"/>
              </w:rPr>
              <w:t xml:space="preserve"> :</w:t>
            </w:r>
            <w:r w:rsidRPr="00A67F27">
              <w:rPr>
                <w:rFonts w:asciiTheme="majorBidi" w:hAnsiTheme="majorBidi" w:cstheme="majorBidi"/>
                <w:spacing w:val="-2"/>
              </w:rPr>
              <w:t xml:space="preserve"> </w:t>
            </w:r>
            <w:r w:rsidRPr="00A67F27">
              <w:rPr>
                <w:rFonts w:asciiTheme="majorBidi" w:hAnsiTheme="majorBidi" w:cstheme="majorBidi"/>
                <w:i/>
                <w:spacing w:val="-2"/>
              </w:rPr>
              <w:t xml:space="preserve">[nom complet] </w:t>
            </w:r>
          </w:p>
          <w:p w14:paraId="3F3515F9" w14:textId="415A0B77" w:rsidR="000F0E70" w:rsidRPr="00A67F27" w:rsidRDefault="000F0E70" w:rsidP="00500D8A">
            <w:pPr>
              <w:spacing w:before="60" w:after="60"/>
              <w:ind w:left="0" w:firstLine="0"/>
              <w:jc w:val="left"/>
              <w:rPr>
                <w:rFonts w:asciiTheme="majorBidi" w:hAnsiTheme="majorBidi" w:cstheme="majorBidi"/>
                <w:i/>
                <w:spacing w:val="-2"/>
              </w:rPr>
            </w:pPr>
            <w:r w:rsidRPr="00A67F27">
              <w:rPr>
                <w:rFonts w:asciiTheme="majorBidi" w:hAnsiTheme="majorBidi" w:cstheme="majorBidi"/>
                <w:spacing w:val="-2"/>
              </w:rPr>
              <w:t>Adresse du Maître de l’Ouvrage</w:t>
            </w:r>
            <w:r w:rsidR="009B2302" w:rsidRPr="00A67F27">
              <w:rPr>
                <w:rFonts w:asciiTheme="majorBidi" w:hAnsiTheme="majorBidi" w:cstheme="majorBidi"/>
                <w:spacing w:val="-2"/>
              </w:rPr>
              <w:t xml:space="preserve"> :</w:t>
            </w:r>
            <w:r w:rsidRPr="00A67F27">
              <w:rPr>
                <w:rFonts w:asciiTheme="majorBidi" w:hAnsiTheme="majorBidi" w:cstheme="majorBidi"/>
                <w:spacing w:val="-2"/>
              </w:rPr>
              <w:t xml:space="preserve"> </w:t>
            </w:r>
            <w:r w:rsidRPr="00A67F27">
              <w:rPr>
                <w:rFonts w:asciiTheme="majorBidi" w:hAnsiTheme="majorBidi" w:cstheme="majorBidi"/>
                <w:i/>
                <w:spacing w:val="-2"/>
              </w:rPr>
              <w:t xml:space="preserve">[rue, numéro, ville, pays] </w:t>
            </w:r>
          </w:p>
          <w:p w14:paraId="7298D555" w14:textId="795CCDDC" w:rsidR="000F0E70" w:rsidRPr="00A67F27" w:rsidRDefault="000F0E70" w:rsidP="00500D8A">
            <w:pPr>
              <w:spacing w:before="60" w:after="60"/>
              <w:ind w:left="0" w:firstLine="0"/>
              <w:rPr>
                <w:rFonts w:asciiTheme="majorBidi" w:hAnsiTheme="majorBidi" w:cstheme="majorBidi"/>
                <w:i/>
                <w:spacing w:val="-4"/>
              </w:rPr>
            </w:pPr>
            <w:r w:rsidRPr="00A67F27">
              <w:rPr>
                <w:rFonts w:asciiTheme="majorBidi" w:hAnsiTheme="majorBidi" w:cstheme="majorBidi"/>
                <w:spacing w:val="-2"/>
              </w:rPr>
              <w:t>Motifs de saisie de garantie</w:t>
            </w:r>
            <w:r w:rsidR="009B2302" w:rsidRPr="00A67F27">
              <w:rPr>
                <w:rFonts w:asciiTheme="majorBidi" w:hAnsiTheme="majorBidi" w:cstheme="majorBidi"/>
                <w:spacing w:val="-2"/>
              </w:rPr>
              <w:t> :</w:t>
            </w:r>
            <w:r w:rsidRPr="00A67F27">
              <w:rPr>
                <w:rFonts w:asciiTheme="majorBidi" w:hAnsiTheme="majorBidi" w:cstheme="majorBidi"/>
                <w:spacing w:val="-2"/>
              </w:rPr>
              <w:t xml:space="preserve"> </w:t>
            </w:r>
            <w:r w:rsidRPr="00A67F27">
              <w:rPr>
                <w:rFonts w:asciiTheme="majorBidi" w:hAnsiTheme="majorBidi" w:cstheme="majorBidi"/>
                <w:i/>
                <w:spacing w:val="-2"/>
              </w:rPr>
              <w:t>[indiquer le (les) motif(s) principal (aux)]</w:t>
            </w:r>
          </w:p>
        </w:tc>
        <w:tc>
          <w:tcPr>
            <w:tcW w:w="1730" w:type="dxa"/>
            <w:tcBorders>
              <w:top w:val="single" w:sz="2" w:space="0" w:color="auto"/>
              <w:left w:val="single" w:sz="2" w:space="0" w:color="auto"/>
              <w:bottom w:val="single" w:sz="2" w:space="0" w:color="auto"/>
              <w:right w:val="single" w:sz="2" w:space="0" w:color="auto"/>
            </w:tcBorders>
          </w:tcPr>
          <w:p w14:paraId="6C3D22F3" w14:textId="77777777" w:rsidR="000F0E70" w:rsidRPr="00A67F27" w:rsidRDefault="000F0E70" w:rsidP="00500D8A">
            <w:pPr>
              <w:spacing w:before="40" w:after="120"/>
              <w:ind w:left="0" w:firstLine="0"/>
              <w:rPr>
                <w:rFonts w:asciiTheme="majorBidi" w:hAnsiTheme="majorBidi" w:cstheme="majorBidi"/>
                <w:i/>
                <w:iCs/>
                <w:spacing w:val="-6"/>
              </w:rPr>
            </w:pPr>
            <w:r w:rsidRPr="00A67F27">
              <w:rPr>
                <w:rFonts w:asciiTheme="majorBidi" w:hAnsiTheme="majorBidi" w:cstheme="majorBidi"/>
                <w:i/>
                <w:iCs/>
                <w:spacing w:val="-6"/>
              </w:rPr>
              <w:t>[insérer le montant]</w:t>
            </w:r>
          </w:p>
        </w:tc>
      </w:tr>
      <w:tr w:rsidR="000F0E70" w:rsidRPr="00A67F27" w14:paraId="224953C8" w14:textId="77777777" w:rsidTr="00E47BAA">
        <w:tc>
          <w:tcPr>
            <w:tcW w:w="968" w:type="dxa"/>
            <w:tcBorders>
              <w:top w:val="single" w:sz="2" w:space="0" w:color="auto"/>
              <w:left w:val="single" w:sz="2" w:space="0" w:color="auto"/>
              <w:bottom w:val="single" w:sz="2" w:space="0" w:color="auto"/>
              <w:right w:val="single" w:sz="2" w:space="0" w:color="auto"/>
            </w:tcBorders>
          </w:tcPr>
          <w:p w14:paraId="4B928F54" w14:textId="77777777" w:rsidR="000F0E70" w:rsidRPr="00A67F27" w:rsidRDefault="000F0E70" w:rsidP="00500D8A">
            <w:pPr>
              <w:spacing w:before="40" w:after="120"/>
              <w:ind w:left="0" w:firstLine="0"/>
              <w:rPr>
                <w:rFonts w:asciiTheme="majorBidi" w:hAnsiTheme="majorBidi" w:cstheme="majorBidi"/>
                <w:i/>
                <w:iCs/>
                <w:spacing w:val="-6"/>
              </w:rPr>
            </w:pPr>
          </w:p>
        </w:tc>
        <w:tc>
          <w:tcPr>
            <w:tcW w:w="6658" w:type="dxa"/>
            <w:gridSpan w:val="2"/>
            <w:tcBorders>
              <w:top w:val="single" w:sz="2" w:space="0" w:color="auto"/>
              <w:left w:val="single" w:sz="2" w:space="0" w:color="auto"/>
              <w:bottom w:val="single" w:sz="2" w:space="0" w:color="auto"/>
              <w:right w:val="single" w:sz="2" w:space="0" w:color="auto"/>
            </w:tcBorders>
          </w:tcPr>
          <w:p w14:paraId="50917710" w14:textId="77777777" w:rsidR="000F0E70" w:rsidRPr="00A67F27" w:rsidRDefault="000F0E70" w:rsidP="00500D8A">
            <w:pPr>
              <w:spacing w:before="40" w:after="120"/>
              <w:ind w:left="0" w:firstLine="0"/>
              <w:rPr>
                <w:rFonts w:asciiTheme="majorBidi" w:hAnsiTheme="majorBidi" w:cstheme="majorBidi"/>
                <w:i/>
                <w:spacing w:val="-4"/>
              </w:rPr>
            </w:pPr>
          </w:p>
        </w:tc>
        <w:tc>
          <w:tcPr>
            <w:tcW w:w="1730" w:type="dxa"/>
            <w:tcBorders>
              <w:top w:val="single" w:sz="2" w:space="0" w:color="auto"/>
              <w:left w:val="single" w:sz="2" w:space="0" w:color="auto"/>
              <w:bottom w:val="single" w:sz="2" w:space="0" w:color="auto"/>
              <w:right w:val="single" w:sz="2" w:space="0" w:color="auto"/>
            </w:tcBorders>
          </w:tcPr>
          <w:p w14:paraId="7791752E" w14:textId="77777777" w:rsidR="000F0E70" w:rsidRPr="00A67F27" w:rsidRDefault="000F0E70" w:rsidP="00500D8A">
            <w:pPr>
              <w:spacing w:before="40" w:after="120"/>
              <w:ind w:left="0" w:firstLine="0"/>
              <w:rPr>
                <w:rFonts w:asciiTheme="majorBidi" w:hAnsiTheme="majorBidi" w:cstheme="majorBidi"/>
                <w:i/>
                <w:iCs/>
                <w:spacing w:val="-6"/>
              </w:rPr>
            </w:pPr>
          </w:p>
        </w:tc>
      </w:tr>
    </w:tbl>
    <w:p w14:paraId="721FF30C" w14:textId="77777777" w:rsidR="000F0E70" w:rsidRPr="00A67F27" w:rsidRDefault="000F0E70" w:rsidP="000F0E70">
      <w:pPr>
        <w:rPr>
          <w:rFonts w:asciiTheme="majorBidi" w:hAnsiTheme="majorBidi" w:cstheme="majorBidi"/>
        </w:rPr>
      </w:pPr>
    </w:p>
    <w:p w14:paraId="69DA6A00" w14:textId="77777777" w:rsidR="003B1170" w:rsidRPr="00A67F27" w:rsidRDefault="000F0E70" w:rsidP="00E254E2">
      <w:pPr>
        <w:pStyle w:val="S4-Header2"/>
        <w:rPr>
          <w:szCs w:val="32"/>
          <w:lang w:val="fr-FR"/>
        </w:rPr>
      </w:pPr>
      <w:r w:rsidRPr="00A67F27">
        <w:rPr>
          <w:rFonts w:asciiTheme="majorBidi" w:hAnsiTheme="majorBidi" w:cstheme="majorBidi"/>
          <w:lang w:val="fr-FR"/>
        </w:rPr>
        <w:br w:type="page"/>
      </w:r>
      <w:bookmarkStart w:id="521" w:name="_Toc327863890"/>
      <w:bookmarkStart w:id="522" w:name="_Toc487641627"/>
      <w:r w:rsidR="003B1170" w:rsidRPr="00A67F27">
        <w:rPr>
          <w:szCs w:val="32"/>
          <w:lang w:val="fr-FR"/>
        </w:rPr>
        <w:lastRenderedPageBreak/>
        <w:t>Formulaire FIN – 3.4 : Charge de travail / travaux en cours</w:t>
      </w:r>
      <w:bookmarkEnd w:id="521"/>
      <w:bookmarkEnd w:id="522"/>
    </w:p>
    <w:p w14:paraId="7B217E4E" w14:textId="77777777" w:rsidR="003B1170" w:rsidRPr="00A67F27" w:rsidRDefault="003B1170" w:rsidP="003B1170">
      <w:pPr>
        <w:rPr>
          <w:rFonts w:asciiTheme="majorBidi" w:hAnsiTheme="majorBidi" w:cstheme="majorBidi"/>
        </w:rPr>
      </w:pPr>
    </w:p>
    <w:p w14:paraId="4EF75D49" w14:textId="77777777" w:rsidR="003B1170" w:rsidRPr="00A67F27" w:rsidRDefault="003B1170" w:rsidP="003B1170">
      <w:pPr>
        <w:ind w:left="0" w:firstLine="0"/>
        <w:rPr>
          <w:rFonts w:asciiTheme="majorBidi" w:hAnsiTheme="majorBidi" w:cstheme="majorBidi"/>
        </w:rPr>
      </w:pPr>
      <w:r w:rsidRPr="00A67F27">
        <w:rPr>
          <w:rFonts w:asciiTheme="majorBidi" w:hAnsiTheme="majorBidi" w:cstheme="majorBidi"/>
        </w:rPr>
        <w:t>Les Soumissionnaires, ainsi que chacun des membres d’un groupement fourniront les informations au sujet de leurs engagements et charge de travail actuels liés aux marchés qui leur ont été attribués, pour lesquels une notification d’attribution a été reçue, ou en cours d’achèvement mais qui n’ont pas encore fait l’objet d’une réception provisoire.</w:t>
      </w:r>
    </w:p>
    <w:p w14:paraId="00EEDBD1" w14:textId="2B150BB5" w:rsidR="003B1170" w:rsidRPr="00A67F27" w:rsidRDefault="003B1170" w:rsidP="003B1170">
      <w:pPr>
        <w:spacing w:before="60" w:after="60"/>
        <w:jc w:val="center"/>
        <w:rPr>
          <w:rFonts w:asciiTheme="majorBidi" w:hAnsiTheme="majorBidi" w:cstheme="majorBidi"/>
        </w:rPr>
      </w:pPr>
    </w:p>
    <w:p w14:paraId="616EF31F" w14:textId="77777777" w:rsidR="00E254E2" w:rsidRPr="00A67F27" w:rsidRDefault="00E254E2" w:rsidP="003B1170">
      <w:pPr>
        <w:spacing w:before="60" w:after="60"/>
        <w:jc w:val="center"/>
        <w:rPr>
          <w:rFonts w:asciiTheme="majorBidi" w:hAnsiTheme="majorBidi" w:cstheme="majorBidi"/>
        </w:rPr>
      </w:pPr>
    </w:p>
    <w:tbl>
      <w:tblPr>
        <w:tblpPr w:leftFromText="180" w:rightFromText="180" w:vertAnchor="text" w:tblpXSpec="center" w:tblpY="1"/>
        <w:tblOverlap w:val="never"/>
        <w:tblW w:w="9360" w:type="dxa"/>
        <w:tblLayout w:type="fixed"/>
        <w:tblCellMar>
          <w:left w:w="72" w:type="dxa"/>
          <w:right w:w="72" w:type="dxa"/>
        </w:tblCellMar>
        <w:tblLook w:val="0000" w:firstRow="0" w:lastRow="0" w:firstColumn="0" w:lastColumn="0" w:noHBand="0" w:noVBand="0"/>
      </w:tblPr>
      <w:tblGrid>
        <w:gridCol w:w="522"/>
        <w:gridCol w:w="2033"/>
        <w:gridCol w:w="2127"/>
        <w:gridCol w:w="1486"/>
        <w:gridCol w:w="1559"/>
        <w:gridCol w:w="1633"/>
      </w:tblGrid>
      <w:tr w:rsidR="003B1170" w:rsidRPr="00A67F27" w14:paraId="5B2E0DE6" w14:textId="77777777" w:rsidTr="00E254E2">
        <w:trPr>
          <w:cantSplit/>
        </w:trPr>
        <w:tc>
          <w:tcPr>
            <w:tcW w:w="522" w:type="dxa"/>
            <w:tcBorders>
              <w:top w:val="single" w:sz="4" w:space="0" w:color="auto"/>
              <w:left w:val="single" w:sz="12" w:space="0" w:color="auto"/>
              <w:bottom w:val="single" w:sz="12" w:space="0" w:color="auto"/>
              <w:right w:val="single" w:sz="6" w:space="0" w:color="auto"/>
            </w:tcBorders>
          </w:tcPr>
          <w:p w14:paraId="66739BBF" w14:textId="77777777" w:rsidR="003B1170" w:rsidRPr="00A67F27" w:rsidRDefault="003B1170" w:rsidP="00E254E2">
            <w:pPr>
              <w:spacing w:before="60" w:after="60"/>
              <w:ind w:left="0" w:firstLine="0"/>
              <w:jc w:val="left"/>
              <w:outlineLvl w:val="2"/>
              <w:rPr>
                <w:rFonts w:asciiTheme="majorBidi" w:hAnsiTheme="majorBidi" w:cstheme="majorBidi"/>
                <w:bCs/>
                <w:szCs w:val="24"/>
                <w:lang w:eastAsia="en-US"/>
              </w:rPr>
            </w:pPr>
            <w:r w:rsidRPr="00A67F27">
              <w:rPr>
                <w:rFonts w:asciiTheme="majorBidi" w:hAnsiTheme="majorBidi" w:cstheme="majorBidi"/>
                <w:bCs/>
                <w:szCs w:val="24"/>
                <w:lang w:eastAsia="en-US"/>
              </w:rPr>
              <w:t>No.</w:t>
            </w:r>
          </w:p>
        </w:tc>
        <w:tc>
          <w:tcPr>
            <w:tcW w:w="2033" w:type="dxa"/>
            <w:tcBorders>
              <w:top w:val="single" w:sz="4" w:space="0" w:color="auto"/>
              <w:left w:val="single" w:sz="6" w:space="0" w:color="auto"/>
              <w:bottom w:val="single" w:sz="12" w:space="0" w:color="auto"/>
              <w:right w:val="single" w:sz="6" w:space="0" w:color="auto"/>
            </w:tcBorders>
          </w:tcPr>
          <w:p w14:paraId="7C2ACF69" w14:textId="77777777" w:rsidR="003B1170" w:rsidRPr="00A67F27" w:rsidRDefault="003B1170" w:rsidP="00E254E2">
            <w:pPr>
              <w:spacing w:before="60" w:after="60"/>
              <w:ind w:left="0" w:firstLine="0"/>
              <w:jc w:val="left"/>
              <w:outlineLvl w:val="2"/>
              <w:rPr>
                <w:rFonts w:asciiTheme="majorBidi" w:hAnsiTheme="majorBidi" w:cstheme="majorBidi"/>
                <w:bCs/>
                <w:szCs w:val="24"/>
                <w:lang w:eastAsia="en-US"/>
              </w:rPr>
            </w:pPr>
            <w:r w:rsidRPr="00A67F27">
              <w:rPr>
                <w:rFonts w:asciiTheme="majorBidi" w:hAnsiTheme="majorBidi" w:cstheme="majorBidi"/>
                <w:bCs/>
                <w:szCs w:val="24"/>
                <w:lang w:eastAsia="en-US"/>
              </w:rPr>
              <w:t>Nom du marché</w:t>
            </w:r>
          </w:p>
        </w:tc>
        <w:tc>
          <w:tcPr>
            <w:tcW w:w="2127" w:type="dxa"/>
            <w:tcBorders>
              <w:top w:val="single" w:sz="4" w:space="0" w:color="auto"/>
              <w:bottom w:val="single" w:sz="12" w:space="0" w:color="auto"/>
            </w:tcBorders>
          </w:tcPr>
          <w:p w14:paraId="1163E4DC" w14:textId="77777777" w:rsidR="003B1170" w:rsidRPr="00A67F27" w:rsidRDefault="003B1170" w:rsidP="00E254E2">
            <w:pPr>
              <w:spacing w:before="60" w:after="60"/>
              <w:ind w:left="0" w:firstLine="0"/>
              <w:jc w:val="left"/>
              <w:rPr>
                <w:rFonts w:asciiTheme="majorBidi" w:hAnsiTheme="majorBidi" w:cstheme="majorBidi"/>
                <w:bCs/>
                <w:spacing w:val="-2"/>
                <w:szCs w:val="24"/>
                <w:lang w:eastAsia="en-US"/>
              </w:rPr>
            </w:pPr>
            <w:r w:rsidRPr="00A67F27">
              <w:rPr>
                <w:rFonts w:asciiTheme="majorBidi" w:hAnsiTheme="majorBidi" w:cstheme="majorBidi"/>
                <w:bCs/>
                <w:szCs w:val="24"/>
                <w:lang w:eastAsia="en-US"/>
              </w:rPr>
              <w:t xml:space="preserve">Adresse, </w:t>
            </w:r>
            <w:proofErr w:type="gramStart"/>
            <w:r w:rsidRPr="00A67F27">
              <w:rPr>
                <w:rFonts w:asciiTheme="majorBidi" w:hAnsiTheme="majorBidi" w:cstheme="majorBidi"/>
                <w:bCs/>
                <w:szCs w:val="24"/>
                <w:lang w:eastAsia="en-US"/>
              </w:rPr>
              <w:t>tel.,</w:t>
            </w:r>
            <w:proofErr w:type="gramEnd"/>
            <w:r w:rsidRPr="00A67F27">
              <w:rPr>
                <w:rFonts w:asciiTheme="majorBidi" w:hAnsiTheme="majorBidi" w:cstheme="majorBidi"/>
                <w:bCs/>
                <w:szCs w:val="24"/>
                <w:lang w:eastAsia="en-US"/>
              </w:rPr>
              <w:t xml:space="preserve"> fax du maître de l’ouvrage</w:t>
            </w:r>
          </w:p>
        </w:tc>
        <w:tc>
          <w:tcPr>
            <w:tcW w:w="1486" w:type="dxa"/>
            <w:tcBorders>
              <w:top w:val="single" w:sz="4" w:space="0" w:color="auto"/>
              <w:left w:val="single" w:sz="6" w:space="0" w:color="auto"/>
              <w:bottom w:val="single" w:sz="12" w:space="0" w:color="auto"/>
            </w:tcBorders>
          </w:tcPr>
          <w:p w14:paraId="404F8D2F" w14:textId="77777777" w:rsidR="003B1170" w:rsidRPr="00A67F27" w:rsidRDefault="003B1170" w:rsidP="00E254E2">
            <w:pPr>
              <w:spacing w:before="60" w:after="60"/>
              <w:ind w:left="0" w:firstLine="0"/>
              <w:jc w:val="left"/>
              <w:rPr>
                <w:rFonts w:asciiTheme="majorBidi" w:hAnsiTheme="majorBidi" w:cstheme="majorBidi"/>
                <w:bCs/>
                <w:spacing w:val="-2"/>
                <w:szCs w:val="24"/>
                <w:lang w:eastAsia="en-US"/>
              </w:rPr>
            </w:pPr>
            <w:r w:rsidRPr="00A67F27">
              <w:rPr>
                <w:rFonts w:asciiTheme="majorBidi" w:hAnsiTheme="majorBidi" w:cstheme="majorBidi"/>
                <w:bCs/>
                <w:spacing w:val="-2"/>
                <w:szCs w:val="24"/>
                <w:lang w:eastAsia="en-US"/>
              </w:rPr>
              <w:t>Montant des travaux à achever [équivalent US$]</w:t>
            </w:r>
          </w:p>
        </w:tc>
        <w:tc>
          <w:tcPr>
            <w:tcW w:w="1559" w:type="dxa"/>
            <w:tcBorders>
              <w:top w:val="single" w:sz="4" w:space="0" w:color="auto"/>
              <w:left w:val="single" w:sz="6" w:space="0" w:color="auto"/>
              <w:bottom w:val="single" w:sz="12" w:space="0" w:color="auto"/>
            </w:tcBorders>
          </w:tcPr>
          <w:p w14:paraId="46E825EE" w14:textId="77777777" w:rsidR="003B1170" w:rsidRPr="00A67F27" w:rsidRDefault="003B1170" w:rsidP="00E254E2">
            <w:pPr>
              <w:spacing w:before="60" w:after="60"/>
              <w:ind w:left="0" w:firstLine="0"/>
              <w:jc w:val="left"/>
              <w:rPr>
                <w:rFonts w:asciiTheme="majorBidi" w:hAnsiTheme="majorBidi" w:cstheme="majorBidi"/>
                <w:bCs/>
                <w:spacing w:val="-2"/>
                <w:szCs w:val="24"/>
                <w:lang w:eastAsia="en-US"/>
              </w:rPr>
            </w:pPr>
            <w:r w:rsidRPr="00A67F27">
              <w:rPr>
                <w:rFonts w:asciiTheme="majorBidi" w:hAnsiTheme="majorBidi" w:cstheme="majorBidi"/>
                <w:bCs/>
                <w:spacing w:val="-2"/>
                <w:szCs w:val="24"/>
                <w:lang w:eastAsia="en-US"/>
              </w:rPr>
              <w:t>Date d’achèvement estimé</w:t>
            </w:r>
          </w:p>
        </w:tc>
        <w:tc>
          <w:tcPr>
            <w:tcW w:w="1633" w:type="dxa"/>
            <w:tcBorders>
              <w:top w:val="single" w:sz="4" w:space="0" w:color="auto"/>
              <w:left w:val="single" w:sz="6" w:space="0" w:color="auto"/>
              <w:bottom w:val="single" w:sz="12" w:space="0" w:color="auto"/>
              <w:right w:val="single" w:sz="12" w:space="0" w:color="auto"/>
            </w:tcBorders>
          </w:tcPr>
          <w:p w14:paraId="5303FDD7" w14:textId="77777777" w:rsidR="003B1170" w:rsidRPr="00A67F27" w:rsidRDefault="003B1170" w:rsidP="00E254E2">
            <w:pPr>
              <w:spacing w:before="60" w:after="60"/>
              <w:ind w:left="0" w:firstLine="0"/>
              <w:jc w:val="left"/>
              <w:rPr>
                <w:rFonts w:asciiTheme="majorBidi" w:hAnsiTheme="majorBidi" w:cstheme="majorBidi"/>
                <w:bCs/>
                <w:spacing w:val="-2"/>
                <w:szCs w:val="24"/>
                <w:lang w:eastAsia="en-US"/>
              </w:rPr>
            </w:pPr>
            <w:r w:rsidRPr="00A67F27">
              <w:rPr>
                <w:rFonts w:asciiTheme="majorBidi" w:hAnsiTheme="majorBidi" w:cstheme="majorBidi"/>
                <w:bCs/>
                <w:spacing w:val="-2"/>
                <w:szCs w:val="24"/>
                <w:lang w:eastAsia="en-US"/>
              </w:rPr>
              <w:t>Montant moyen de la facturation mensuelle au cours des 6 derniers mois (US$/mois)</w:t>
            </w:r>
          </w:p>
        </w:tc>
      </w:tr>
      <w:tr w:rsidR="003B1170" w:rsidRPr="00A67F27" w14:paraId="6EA456CD" w14:textId="77777777" w:rsidTr="00E254E2">
        <w:trPr>
          <w:cantSplit/>
        </w:trPr>
        <w:tc>
          <w:tcPr>
            <w:tcW w:w="522" w:type="dxa"/>
            <w:tcBorders>
              <w:top w:val="single" w:sz="12" w:space="0" w:color="auto"/>
              <w:left w:val="single" w:sz="6" w:space="0" w:color="auto"/>
              <w:bottom w:val="single" w:sz="6" w:space="0" w:color="auto"/>
              <w:right w:val="single" w:sz="6" w:space="0" w:color="auto"/>
            </w:tcBorders>
          </w:tcPr>
          <w:p w14:paraId="10D826DF" w14:textId="77777777" w:rsidR="003B1170" w:rsidRPr="00A67F27" w:rsidRDefault="003B1170" w:rsidP="00E254E2">
            <w:pPr>
              <w:spacing w:before="120" w:after="120"/>
              <w:ind w:left="0" w:firstLine="0"/>
              <w:jc w:val="left"/>
              <w:rPr>
                <w:rFonts w:asciiTheme="majorBidi" w:hAnsiTheme="majorBidi" w:cstheme="majorBidi"/>
                <w:spacing w:val="-2"/>
                <w:szCs w:val="24"/>
                <w:lang w:eastAsia="en-US"/>
              </w:rPr>
            </w:pPr>
            <w:r w:rsidRPr="00A67F27">
              <w:rPr>
                <w:rFonts w:asciiTheme="majorBidi" w:hAnsiTheme="majorBidi" w:cstheme="majorBidi"/>
                <w:spacing w:val="-2"/>
                <w:szCs w:val="24"/>
                <w:lang w:eastAsia="en-US"/>
              </w:rPr>
              <w:t>1</w:t>
            </w:r>
          </w:p>
        </w:tc>
        <w:tc>
          <w:tcPr>
            <w:tcW w:w="2033" w:type="dxa"/>
            <w:tcBorders>
              <w:top w:val="single" w:sz="12" w:space="0" w:color="auto"/>
              <w:left w:val="single" w:sz="6" w:space="0" w:color="auto"/>
              <w:bottom w:val="single" w:sz="6" w:space="0" w:color="auto"/>
              <w:right w:val="single" w:sz="6" w:space="0" w:color="auto"/>
            </w:tcBorders>
            <w:vAlign w:val="center"/>
          </w:tcPr>
          <w:p w14:paraId="4F57E538" w14:textId="77777777" w:rsidR="003B1170" w:rsidRPr="00A67F27" w:rsidRDefault="003B1170" w:rsidP="00E254E2">
            <w:pPr>
              <w:spacing w:before="120" w:after="120"/>
              <w:ind w:left="0" w:firstLine="0"/>
              <w:jc w:val="left"/>
              <w:rPr>
                <w:rFonts w:asciiTheme="majorBidi" w:hAnsiTheme="majorBidi" w:cstheme="majorBidi"/>
                <w:spacing w:val="-2"/>
                <w:szCs w:val="24"/>
                <w:lang w:eastAsia="en-US"/>
              </w:rPr>
            </w:pPr>
          </w:p>
        </w:tc>
        <w:tc>
          <w:tcPr>
            <w:tcW w:w="2127" w:type="dxa"/>
            <w:tcBorders>
              <w:top w:val="single" w:sz="12" w:space="0" w:color="auto"/>
            </w:tcBorders>
          </w:tcPr>
          <w:p w14:paraId="7A0175A0" w14:textId="77777777" w:rsidR="003B1170" w:rsidRPr="00A67F27" w:rsidRDefault="003B1170" w:rsidP="00E254E2">
            <w:pPr>
              <w:spacing w:before="120" w:after="120"/>
              <w:ind w:left="0" w:firstLine="0"/>
              <w:jc w:val="left"/>
              <w:rPr>
                <w:rFonts w:asciiTheme="majorBidi" w:hAnsiTheme="majorBidi" w:cstheme="majorBidi"/>
                <w:spacing w:val="-2"/>
                <w:szCs w:val="24"/>
                <w:lang w:eastAsia="en-US"/>
              </w:rPr>
            </w:pPr>
          </w:p>
        </w:tc>
        <w:tc>
          <w:tcPr>
            <w:tcW w:w="1486" w:type="dxa"/>
            <w:tcBorders>
              <w:top w:val="single" w:sz="12" w:space="0" w:color="auto"/>
              <w:left w:val="single" w:sz="6" w:space="0" w:color="auto"/>
            </w:tcBorders>
          </w:tcPr>
          <w:p w14:paraId="250A64A0" w14:textId="77777777" w:rsidR="003B1170" w:rsidRPr="00A67F27" w:rsidRDefault="003B1170" w:rsidP="00E254E2">
            <w:pPr>
              <w:spacing w:before="120" w:after="120"/>
              <w:ind w:left="0" w:firstLine="0"/>
              <w:jc w:val="left"/>
              <w:rPr>
                <w:rFonts w:asciiTheme="majorBidi" w:hAnsiTheme="majorBidi" w:cstheme="majorBidi"/>
                <w:spacing w:val="-2"/>
                <w:szCs w:val="24"/>
                <w:lang w:eastAsia="en-US"/>
              </w:rPr>
            </w:pPr>
          </w:p>
        </w:tc>
        <w:tc>
          <w:tcPr>
            <w:tcW w:w="1559" w:type="dxa"/>
            <w:tcBorders>
              <w:top w:val="single" w:sz="12" w:space="0" w:color="auto"/>
              <w:left w:val="single" w:sz="6" w:space="0" w:color="auto"/>
            </w:tcBorders>
          </w:tcPr>
          <w:p w14:paraId="1AC31E60" w14:textId="77777777" w:rsidR="003B1170" w:rsidRPr="00A67F27" w:rsidRDefault="003B1170" w:rsidP="00E254E2">
            <w:pPr>
              <w:spacing w:before="120" w:after="120"/>
              <w:ind w:left="0" w:firstLine="0"/>
              <w:jc w:val="left"/>
              <w:rPr>
                <w:rFonts w:asciiTheme="majorBidi" w:hAnsiTheme="majorBidi" w:cstheme="majorBidi"/>
                <w:spacing w:val="-2"/>
                <w:szCs w:val="24"/>
                <w:lang w:eastAsia="en-US"/>
              </w:rPr>
            </w:pPr>
          </w:p>
        </w:tc>
        <w:tc>
          <w:tcPr>
            <w:tcW w:w="1633" w:type="dxa"/>
            <w:tcBorders>
              <w:top w:val="single" w:sz="12" w:space="0" w:color="auto"/>
              <w:left w:val="single" w:sz="6" w:space="0" w:color="auto"/>
              <w:bottom w:val="single" w:sz="6" w:space="0" w:color="auto"/>
              <w:right w:val="single" w:sz="6" w:space="0" w:color="auto"/>
            </w:tcBorders>
          </w:tcPr>
          <w:p w14:paraId="4A7110F5" w14:textId="77777777" w:rsidR="003B1170" w:rsidRPr="00A67F27" w:rsidRDefault="003B1170" w:rsidP="00E254E2">
            <w:pPr>
              <w:spacing w:before="120" w:after="120"/>
              <w:ind w:left="0" w:firstLine="0"/>
              <w:jc w:val="left"/>
              <w:rPr>
                <w:rFonts w:asciiTheme="majorBidi" w:hAnsiTheme="majorBidi" w:cstheme="majorBidi"/>
                <w:spacing w:val="-2"/>
                <w:szCs w:val="24"/>
                <w:lang w:eastAsia="en-US"/>
              </w:rPr>
            </w:pPr>
          </w:p>
        </w:tc>
      </w:tr>
      <w:tr w:rsidR="003B1170" w:rsidRPr="00A67F27" w14:paraId="611A436D" w14:textId="77777777" w:rsidTr="00E254E2">
        <w:trPr>
          <w:cantSplit/>
        </w:trPr>
        <w:tc>
          <w:tcPr>
            <w:tcW w:w="522" w:type="dxa"/>
            <w:tcBorders>
              <w:top w:val="single" w:sz="6" w:space="0" w:color="auto"/>
              <w:left w:val="single" w:sz="6" w:space="0" w:color="auto"/>
              <w:bottom w:val="single" w:sz="6" w:space="0" w:color="auto"/>
              <w:right w:val="single" w:sz="6" w:space="0" w:color="auto"/>
            </w:tcBorders>
          </w:tcPr>
          <w:p w14:paraId="31A2E179" w14:textId="77777777" w:rsidR="003B1170" w:rsidRPr="00A67F27" w:rsidRDefault="003B1170" w:rsidP="00E254E2">
            <w:pPr>
              <w:spacing w:before="120" w:after="120"/>
              <w:ind w:left="0" w:firstLine="0"/>
              <w:jc w:val="left"/>
              <w:rPr>
                <w:rFonts w:asciiTheme="majorBidi" w:hAnsiTheme="majorBidi" w:cstheme="majorBidi"/>
                <w:spacing w:val="-2"/>
                <w:szCs w:val="24"/>
                <w:lang w:eastAsia="en-US"/>
              </w:rPr>
            </w:pPr>
            <w:r w:rsidRPr="00A67F27">
              <w:rPr>
                <w:rFonts w:asciiTheme="majorBidi" w:hAnsiTheme="majorBidi" w:cstheme="majorBidi"/>
                <w:spacing w:val="-2"/>
                <w:szCs w:val="24"/>
                <w:lang w:eastAsia="en-US"/>
              </w:rPr>
              <w:t>2</w:t>
            </w:r>
          </w:p>
        </w:tc>
        <w:tc>
          <w:tcPr>
            <w:tcW w:w="2033" w:type="dxa"/>
            <w:tcBorders>
              <w:top w:val="single" w:sz="6" w:space="0" w:color="auto"/>
              <w:left w:val="single" w:sz="6" w:space="0" w:color="auto"/>
              <w:bottom w:val="single" w:sz="6" w:space="0" w:color="auto"/>
              <w:right w:val="single" w:sz="6" w:space="0" w:color="auto"/>
            </w:tcBorders>
            <w:vAlign w:val="center"/>
          </w:tcPr>
          <w:p w14:paraId="50B0A11E" w14:textId="77777777" w:rsidR="003B1170" w:rsidRPr="00A67F27" w:rsidRDefault="003B1170" w:rsidP="00E254E2">
            <w:pPr>
              <w:spacing w:before="120" w:after="120"/>
              <w:ind w:left="0" w:firstLine="0"/>
              <w:jc w:val="left"/>
              <w:rPr>
                <w:rFonts w:asciiTheme="majorBidi" w:hAnsiTheme="majorBidi" w:cstheme="majorBidi"/>
                <w:spacing w:val="-2"/>
                <w:szCs w:val="24"/>
                <w:lang w:eastAsia="en-US"/>
              </w:rPr>
            </w:pPr>
          </w:p>
        </w:tc>
        <w:tc>
          <w:tcPr>
            <w:tcW w:w="2127" w:type="dxa"/>
            <w:tcBorders>
              <w:top w:val="single" w:sz="6" w:space="0" w:color="auto"/>
            </w:tcBorders>
          </w:tcPr>
          <w:p w14:paraId="2321E4A6" w14:textId="77777777" w:rsidR="003B1170" w:rsidRPr="00A67F27" w:rsidRDefault="003B1170" w:rsidP="00E254E2">
            <w:pPr>
              <w:spacing w:before="120" w:after="120"/>
              <w:ind w:left="0" w:firstLine="0"/>
              <w:jc w:val="left"/>
              <w:rPr>
                <w:rFonts w:asciiTheme="majorBidi" w:hAnsiTheme="majorBidi" w:cstheme="majorBidi"/>
                <w:spacing w:val="-2"/>
                <w:szCs w:val="24"/>
                <w:lang w:eastAsia="en-US"/>
              </w:rPr>
            </w:pPr>
          </w:p>
        </w:tc>
        <w:tc>
          <w:tcPr>
            <w:tcW w:w="1486" w:type="dxa"/>
            <w:tcBorders>
              <w:top w:val="single" w:sz="6" w:space="0" w:color="auto"/>
              <w:left w:val="single" w:sz="6" w:space="0" w:color="auto"/>
            </w:tcBorders>
          </w:tcPr>
          <w:p w14:paraId="664D8B98" w14:textId="77777777" w:rsidR="003B1170" w:rsidRPr="00A67F27" w:rsidRDefault="003B1170" w:rsidP="00E254E2">
            <w:pPr>
              <w:spacing w:before="120" w:after="120"/>
              <w:ind w:left="0" w:firstLine="0"/>
              <w:jc w:val="left"/>
              <w:rPr>
                <w:rFonts w:asciiTheme="majorBidi" w:hAnsiTheme="majorBidi" w:cstheme="majorBidi"/>
                <w:spacing w:val="-2"/>
                <w:szCs w:val="24"/>
                <w:lang w:eastAsia="en-US"/>
              </w:rPr>
            </w:pPr>
          </w:p>
        </w:tc>
        <w:tc>
          <w:tcPr>
            <w:tcW w:w="1559" w:type="dxa"/>
            <w:tcBorders>
              <w:top w:val="single" w:sz="6" w:space="0" w:color="auto"/>
              <w:left w:val="single" w:sz="6" w:space="0" w:color="auto"/>
            </w:tcBorders>
          </w:tcPr>
          <w:p w14:paraId="47F13783" w14:textId="77777777" w:rsidR="003B1170" w:rsidRPr="00A67F27" w:rsidRDefault="003B1170" w:rsidP="00E254E2">
            <w:pPr>
              <w:spacing w:before="120" w:after="120"/>
              <w:ind w:left="0" w:firstLine="0"/>
              <w:jc w:val="left"/>
              <w:rPr>
                <w:rFonts w:asciiTheme="majorBidi" w:hAnsiTheme="majorBidi" w:cstheme="majorBidi"/>
                <w:spacing w:val="-2"/>
                <w:szCs w:val="24"/>
                <w:lang w:eastAsia="en-US"/>
              </w:rPr>
            </w:pPr>
          </w:p>
        </w:tc>
        <w:tc>
          <w:tcPr>
            <w:tcW w:w="1633" w:type="dxa"/>
            <w:tcBorders>
              <w:top w:val="single" w:sz="6" w:space="0" w:color="auto"/>
              <w:left w:val="single" w:sz="6" w:space="0" w:color="auto"/>
              <w:bottom w:val="single" w:sz="6" w:space="0" w:color="auto"/>
              <w:right w:val="single" w:sz="6" w:space="0" w:color="auto"/>
            </w:tcBorders>
          </w:tcPr>
          <w:p w14:paraId="0BEB68A5" w14:textId="77777777" w:rsidR="003B1170" w:rsidRPr="00A67F27" w:rsidRDefault="003B1170" w:rsidP="00E254E2">
            <w:pPr>
              <w:spacing w:before="120" w:after="120"/>
              <w:ind w:left="0" w:firstLine="0"/>
              <w:jc w:val="left"/>
              <w:rPr>
                <w:rFonts w:asciiTheme="majorBidi" w:hAnsiTheme="majorBidi" w:cstheme="majorBidi"/>
                <w:spacing w:val="-2"/>
                <w:szCs w:val="24"/>
                <w:lang w:eastAsia="en-US"/>
              </w:rPr>
            </w:pPr>
          </w:p>
        </w:tc>
      </w:tr>
      <w:tr w:rsidR="003B1170" w:rsidRPr="00A67F27" w14:paraId="17D23502" w14:textId="77777777" w:rsidTr="00E254E2">
        <w:trPr>
          <w:cantSplit/>
        </w:trPr>
        <w:tc>
          <w:tcPr>
            <w:tcW w:w="522" w:type="dxa"/>
            <w:tcBorders>
              <w:top w:val="single" w:sz="6" w:space="0" w:color="auto"/>
              <w:left w:val="single" w:sz="6" w:space="0" w:color="auto"/>
              <w:bottom w:val="single" w:sz="6" w:space="0" w:color="auto"/>
              <w:right w:val="single" w:sz="6" w:space="0" w:color="auto"/>
            </w:tcBorders>
          </w:tcPr>
          <w:p w14:paraId="4799A35C" w14:textId="77777777" w:rsidR="003B1170" w:rsidRPr="00A67F27" w:rsidRDefault="003B1170" w:rsidP="00E254E2">
            <w:pPr>
              <w:spacing w:before="120" w:after="120"/>
              <w:ind w:left="0" w:firstLine="0"/>
              <w:jc w:val="left"/>
              <w:rPr>
                <w:rFonts w:asciiTheme="majorBidi" w:hAnsiTheme="majorBidi" w:cstheme="majorBidi"/>
                <w:spacing w:val="-2"/>
                <w:szCs w:val="24"/>
                <w:lang w:eastAsia="en-US"/>
              </w:rPr>
            </w:pPr>
            <w:r w:rsidRPr="00A67F27">
              <w:rPr>
                <w:rFonts w:asciiTheme="majorBidi" w:hAnsiTheme="majorBidi" w:cstheme="majorBidi"/>
                <w:spacing w:val="-2"/>
                <w:szCs w:val="24"/>
                <w:lang w:eastAsia="en-US"/>
              </w:rPr>
              <w:t>3</w:t>
            </w:r>
          </w:p>
        </w:tc>
        <w:tc>
          <w:tcPr>
            <w:tcW w:w="2033" w:type="dxa"/>
            <w:tcBorders>
              <w:top w:val="single" w:sz="6" w:space="0" w:color="auto"/>
              <w:left w:val="single" w:sz="6" w:space="0" w:color="auto"/>
              <w:bottom w:val="single" w:sz="6" w:space="0" w:color="auto"/>
              <w:right w:val="single" w:sz="6" w:space="0" w:color="auto"/>
            </w:tcBorders>
            <w:vAlign w:val="center"/>
          </w:tcPr>
          <w:p w14:paraId="6C1CD670" w14:textId="77777777" w:rsidR="003B1170" w:rsidRPr="00A67F27" w:rsidRDefault="003B1170" w:rsidP="00E254E2">
            <w:pPr>
              <w:spacing w:before="120" w:after="120"/>
              <w:ind w:left="0" w:firstLine="0"/>
              <w:jc w:val="left"/>
              <w:rPr>
                <w:rFonts w:asciiTheme="majorBidi" w:hAnsiTheme="majorBidi" w:cstheme="majorBidi"/>
                <w:spacing w:val="-2"/>
                <w:szCs w:val="24"/>
                <w:lang w:eastAsia="en-US"/>
              </w:rPr>
            </w:pPr>
          </w:p>
        </w:tc>
        <w:tc>
          <w:tcPr>
            <w:tcW w:w="2127" w:type="dxa"/>
            <w:tcBorders>
              <w:top w:val="single" w:sz="6" w:space="0" w:color="auto"/>
            </w:tcBorders>
          </w:tcPr>
          <w:p w14:paraId="295B749C" w14:textId="77777777" w:rsidR="003B1170" w:rsidRPr="00A67F27" w:rsidRDefault="003B1170" w:rsidP="00E254E2">
            <w:pPr>
              <w:spacing w:before="120" w:after="120"/>
              <w:ind w:left="0" w:firstLine="0"/>
              <w:jc w:val="left"/>
              <w:rPr>
                <w:rFonts w:asciiTheme="majorBidi" w:hAnsiTheme="majorBidi" w:cstheme="majorBidi"/>
                <w:spacing w:val="-2"/>
                <w:szCs w:val="24"/>
                <w:lang w:eastAsia="en-US"/>
              </w:rPr>
            </w:pPr>
          </w:p>
        </w:tc>
        <w:tc>
          <w:tcPr>
            <w:tcW w:w="1486" w:type="dxa"/>
            <w:tcBorders>
              <w:top w:val="single" w:sz="6" w:space="0" w:color="auto"/>
              <w:left w:val="single" w:sz="6" w:space="0" w:color="auto"/>
            </w:tcBorders>
          </w:tcPr>
          <w:p w14:paraId="34954A22" w14:textId="77777777" w:rsidR="003B1170" w:rsidRPr="00A67F27" w:rsidRDefault="003B1170" w:rsidP="00E254E2">
            <w:pPr>
              <w:spacing w:before="120" w:after="120"/>
              <w:ind w:left="0" w:firstLine="0"/>
              <w:jc w:val="left"/>
              <w:rPr>
                <w:rFonts w:asciiTheme="majorBidi" w:hAnsiTheme="majorBidi" w:cstheme="majorBidi"/>
                <w:spacing w:val="-2"/>
                <w:szCs w:val="24"/>
                <w:lang w:eastAsia="en-US"/>
              </w:rPr>
            </w:pPr>
          </w:p>
        </w:tc>
        <w:tc>
          <w:tcPr>
            <w:tcW w:w="1559" w:type="dxa"/>
            <w:tcBorders>
              <w:top w:val="single" w:sz="6" w:space="0" w:color="auto"/>
              <w:left w:val="single" w:sz="6" w:space="0" w:color="auto"/>
            </w:tcBorders>
          </w:tcPr>
          <w:p w14:paraId="5E49BC70" w14:textId="77777777" w:rsidR="003B1170" w:rsidRPr="00A67F27" w:rsidRDefault="003B1170" w:rsidP="00E254E2">
            <w:pPr>
              <w:spacing w:before="120" w:after="120"/>
              <w:ind w:left="0" w:firstLine="0"/>
              <w:jc w:val="left"/>
              <w:rPr>
                <w:rFonts w:asciiTheme="majorBidi" w:hAnsiTheme="majorBidi" w:cstheme="majorBidi"/>
                <w:spacing w:val="-2"/>
                <w:szCs w:val="24"/>
                <w:lang w:eastAsia="en-US"/>
              </w:rPr>
            </w:pPr>
          </w:p>
        </w:tc>
        <w:tc>
          <w:tcPr>
            <w:tcW w:w="1633" w:type="dxa"/>
            <w:tcBorders>
              <w:top w:val="single" w:sz="6" w:space="0" w:color="auto"/>
              <w:left w:val="single" w:sz="6" w:space="0" w:color="auto"/>
              <w:bottom w:val="single" w:sz="6" w:space="0" w:color="auto"/>
              <w:right w:val="single" w:sz="6" w:space="0" w:color="auto"/>
            </w:tcBorders>
          </w:tcPr>
          <w:p w14:paraId="4DCEF678" w14:textId="77777777" w:rsidR="003B1170" w:rsidRPr="00A67F27" w:rsidRDefault="003B1170" w:rsidP="00E254E2">
            <w:pPr>
              <w:spacing w:before="120" w:after="120"/>
              <w:ind w:left="0" w:firstLine="0"/>
              <w:jc w:val="left"/>
              <w:rPr>
                <w:rFonts w:asciiTheme="majorBidi" w:hAnsiTheme="majorBidi" w:cstheme="majorBidi"/>
                <w:spacing w:val="-2"/>
                <w:szCs w:val="24"/>
                <w:lang w:eastAsia="en-US"/>
              </w:rPr>
            </w:pPr>
          </w:p>
        </w:tc>
      </w:tr>
      <w:tr w:rsidR="003B1170" w:rsidRPr="00A67F27" w14:paraId="601884A2" w14:textId="77777777" w:rsidTr="00E254E2">
        <w:trPr>
          <w:cantSplit/>
        </w:trPr>
        <w:tc>
          <w:tcPr>
            <w:tcW w:w="522" w:type="dxa"/>
            <w:tcBorders>
              <w:top w:val="single" w:sz="6" w:space="0" w:color="auto"/>
              <w:left w:val="single" w:sz="6" w:space="0" w:color="auto"/>
              <w:bottom w:val="single" w:sz="6" w:space="0" w:color="auto"/>
              <w:right w:val="single" w:sz="6" w:space="0" w:color="auto"/>
            </w:tcBorders>
          </w:tcPr>
          <w:p w14:paraId="76485847" w14:textId="77777777" w:rsidR="003B1170" w:rsidRPr="00A67F27" w:rsidRDefault="003B1170" w:rsidP="00E254E2">
            <w:pPr>
              <w:spacing w:before="120" w:after="120"/>
              <w:ind w:left="0" w:firstLine="0"/>
              <w:jc w:val="left"/>
              <w:rPr>
                <w:rFonts w:asciiTheme="majorBidi" w:hAnsiTheme="majorBidi" w:cstheme="majorBidi"/>
                <w:spacing w:val="-2"/>
                <w:szCs w:val="24"/>
                <w:lang w:eastAsia="en-US"/>
              </w:rPr>
            </w:pPr>
            <w:r w:rsidRPr="00A67F27">
              <w:rPr>
                <w:rFonts w:asciiTheme="majorBidi" w:hAnsiTheme="majorBidi" w:cstheme="majorBidi"/>
                <w:spacing w:val="-2"/>
                <w:szCs w:val="24"/>
                <w:lang w:eastAsia="en-US"/>
              </w:rPr>
              <w:t>4</w:t>
            </w:r>
          </w:p>
        </w:tc>
        <w:tc>
          <w:tcPr>
            <w:tcW w:w="2033" w:type="dxa"/>
            <w:tcBorders>
              <w:top w:val="single" w:sz="6" w:space="0" w:color="auto"/>
              <w:left w:val="single" w:sz="6" w:space="0" w:color="auto"/>
              <w:bottom w:val="single" w:sz="6" w:space="0" w:color="auto"/>
              <w:right w:val="single" w:sz="6" w:space="0" w:color="auto"/>
            </w:tcBorders>
            <w:vAlign w:val="center"/>
          </w:tcPr>
          <w:p w14:paraId="506F91BB" w14:textId="77777777" w:rsidR="003B1170" w:rsidRPr="00A67F27" w:rsidRDefault="003B1170" w:rsidP="00E254E2">
            <w:pPr>
              <w:spacing w:before="120" w:after="120"/>
              <w:ind w:left="0" w:firstLine="0"/>
              <w:jc w:val="left"/>
              <w:rPr>
                <w:rFonts w:asciiTheme="majorBidi" w:hAnsiTheme="majorBidi" w:cstheme="majorBidi"/>
                <w:spacing w:val="-2"/>
                <w:szCs w:val="24"/>
                <w:lang w:eastAsia="en-US"/>
              </w:rPr>
            </w:pPr>
          </w:p>
        </w:tc>
        <w:tc>
          <w:tcPr>
            <w:tcW w:w="2127" w:type="dxa"/>
            <w:tcBorders>
              <w:top w:val="single" w:sz="6" w:space="0" w:color="auto"/>
            </w:tcBorders>
          </w:tcPr>
          <w:p w14:paraId="6336892D" w14:textId="77777777" w:rsidR="003B1170" w:rsidRPr="00A67F27" w:rsidRDefault="003B1170" w:rsidP="00E254E2">
            <w:pPr>
              <w:spacing w:before="120" w:after="120"/>
              <w:ind w:left="0" w:firstLine="0"/>
              <w:jc w:val="left"/>
              <w:rPr>
                <w:rFonts w:asciiTheme="majorBidi" w:hAnsiTheme="majorBidi" w:cstheme="majorBidi"/>
                <w:spacing w:val="-2"/>
                <w:szCs w:val="24"/>
                <w:lang w:eastAsia="en-US"/>
              </w:rPr>
            </w:pPr>
          </w:p>
        </w:tc>
        <w:tc>
          <w:tcPr>
            <w:tcW w:w="1486" w:type="dxa"/>
            <w:tcBorders>
              <w:top w:val="single" w:sz="6" w:space="0" w:color="auto"/>
              <w:left w:val="single" w:sz="6" w:space="0" w:color="auto"/>
            </w:tcBorders>
          </w:tcPr>
          <w:p w14:paraId="3E395FCF" w14:textId="77777777" w:rsidR="003B1170" w:rsidRPr="00A67F27" w:rsidRDefault="003B1170" w:rsidP="00E254E2">
            <w:pPr>
              <w:spacing w:before="120" w:after="120"/>
              <w:ind w:left="0" w:firstLine="0"/>
              <w:jc w:val="left"/>
              <w:rPr>
                <w:rFonts w:asciiTheme="majorBidi" w:hAnsiTheme="majorBidi" w:cstheme="majorBidi"/>
                <w:spacing w:val="-2"/>
                <w:szCs w:val="24"/>
                <w:lang w:eastAsia="en-US"/>
              </w:rPr>
            </w:pPr>
          </w:p>
        </w:tc>
        <w:tc>
          <w:tcPr>
            <w:tcW w:w="1559" w:type="dxa"/>
            <w:tcBorders>
              <w:top w:val="single" w:sz="6" w:space="0" w:color="auto"/>
              <w:left w:val="single" w:sz="6" w:space="0" w:color="auto"/>
            </w:tcBorders>
          </w:tcPr>
          <w:p w14:paraId="3A1D6795" w14:textId="77777777" w:rsidR="003B1170" w:rsidRPr="00A67F27" w:rsidRDefault="003B1170" w:rsidP="00E254E2">
            <w:pPr>
              <w:spacing w:before="120" w:after="120"/>
              <w:ind w:left="0" w:firstLine="0"/>
              <w:jc w:val="left"/>
              <w:rPr>
                <w:rFonts w:asciiTheme="majorBidi" w:hAnsiTheme="majorBidi" w:cstheme="majorBidi"/>
                <w:spacing w:val="-2"/>
                <w:szCs w:val="24"/>
                <w:lang w:eastAsia="en-US"/>
              </w:rPr>
            </w:pPr>
          </w:p>
        </w:tc>
        <w:tc>
          <w:tcPr>
            <w:tcW w:w="1633" w:type="dxa"/>
            <w:tcBorders>
              <w:top w:val="single" w:sz="6" w:space="0" w:color="auto"/>
              <w:left w:val="single" w:sz="6" w:space="0" w:color="auto"/>
              <w:bottom w:val="single" w:sz="6" w:space="0" w:color="auto"/>
              <w:right w:val="single" w:sz="6" w:space="0" w:color="auto"/>
            </w:tcBorders>
          </w:tcPr>
          <w:p w14:paraId="151BA1BD" w14:textId="77777777" w:rsidR="003B1170" w:rsidRPr="00A67F27" w:rsidRDefault="003B1170" w:rsidP="00E254E2">
            <w:pPr>
              <w:spacing w:before="120" w:after="120"/>
              <w:ind w:left="0" w:firstLine="0"/>
              <w:jc w:val="left"/>
              <w:rPr>
                <w:rFonts w:asciiTheme="majorBidi" w:hAnsiTheme="majorBidi" w:cstheme="majorBidi"/>
                <w:spacing w:val="-2"/>
                <w:szCs w:val="24"/>
                <w:lang w:eastAsia="en-US"/>
              </w:rPr>
            </w:pPr>
          </w:p>
        </w:tc>
      </w:tr>
      <w:tr w:rsidR="003B1170" w:rsidRPr="00A67F27" w14:paraId="56243EBD" w14:textId="77777777" w:rsidTr="00E254E2">
        <w:trPr>
          <w:cantSplit/>
        </w:trPr>
        <w:tc>
          <w:tcPr>
            <w:tcW w:w="522" w:type="dxa"/>
            <w:tcBorders>
              <w:top w:val="single" w:sz="6" w:space="0" w:color="auto"/>
              <w:left w:val="single" w:sz="6" w:space="0" w:color="auto"/>
              <w:bottom w:val="single" w:sz="6" w:space="0" w:color="auto"/>
              <w:right w:val="single" w:sz="6" w:space="0" w:color="auto"/>
            </w:tcBorders>
          </w:tcPr>
          <w:p w14:paraId="27A524CD" w14:textId="77777777" w:rsidR="003B1170" w:rsidRPr="00A67F27" w:rsidRDefault="003B1170" w:rsidP="00E254E2">
            <w:pPr>
              <w:spacing w:before="120" w:after="120"/>
              <w:ind w:left="0" w:firstLine="0"/>
              <w:jc w:val="left"/>
              <w:rPr>
                <w:rFonts w:asciiTheme="majorBidi" w:hAnsiTheme="majorBidi" w:cstheme="majorBidi"/>
                <w:spacing w:val="-2"/>
                <w:szCs w:val="24"/>
                <w:lang w:eastAsia="en-US"/>
              </w:rPr>
            </w:pPr>
            <w:r w:rsidRPr="00A67F27">
              <w:rPr>
                <w:rFonts w:asciiTheme="majorBidi" w:hAnsiTheme="majorBidi" w:cstheme="majorBidi"/>
                <w:spacing w:val="-2"/>
                <w:szCs w:val="24"/>
                <w:lang w:eastAsia="en-US"/>
              </w:rPr>
              <w:t>5</w:t>
            </w:r>
          </w:p>
        </w:tc>
        <w:tc>
          <w:tcPr>
            <w:tcW w:w="2033" w:type="dxa"/>
            <w:tcBorders>
              <w:top w:val="single" w:sz="6" w:space="0" w:color="auto"/>
              <w:left w:val="single" w:sz="6" w:space="0" w:color="auto"/>
              <w:bottom w:val="single" w:sz="6" w:space="0" w:color="auto"/>
              <w:right w:val="single" w:sz="6" w:space="0" w:color="auto"/>
            </w:tcBorders>
            <w:vAlign w:val="center"/>
          </w:tcPr>
          <w:p w14:paraId="0581A02C" w14:textId="77777777" w:rsidR="003B1170" w:rsidRPr="00A67F27" w:rsidRDefault="003B1170" w:rsidP="00E254E2">
            <w:pPr>
              <w:spacing w:before="120" w:after="120"/>
              <w:ind w:left="0" w:firstLine="0"/>
              <w:jc w:val="left"/>
              <w:rPr>
                <w:rFonts w:asciiTheme="majorBidi" w:hAnsiTheme="majorBidi" w:cstheme="majorBidi"/>
                <w:spacing w:val="-2"/>
                <w:szCs w:val="24"/>
                <w:lang w:eastAsia="en-US"/>
              </w:rPr>
            </w:pPr>
          </w:p>
        </w:tc>
        <w:tc>
          <w:tcPr>
            <w:tcW w:w="2127" w:type="dxa"/>
            <w:tcBorders>
              <w:top w:val="single" w:sz="6" w:space="0" w:color="auto"/>
            </w:tcBorders>
          </w:tcPr>
          <w:p w14:paraId="58EA6756" w14:textId="77777777" w:rsidR="003B1170" w:rsidRPr="00A67F27" w:rsidRDefault="003B1170" w:rsidP="00E254E2">
            <w:pPr>
              <w:spacing w:before="120" w:after="120"/>
              <w:ind w:left="0" w:firstLine="0"/>
              <w:jc w:val="left"/>
              <w:rPr>
                <w:rFonts w:asciiTheme="majorBidi" w:hAnsiTheme="majorBidi" w:cstheme="majorBidi"/>
                <w:spacing w:val="-2"/>
                <w:szCs w:val="24"/>
                <w:lang w:eastAsia="en-US"/>
              </w:rPr>
            </w:pPr>
          </w:p>
        </w:tc>
        <w:tc>
          <w:tcPr>
            <w:tcW w:w="1486" w:type="dxa"/>
            <w:tcBorders>
              <w:top w:val="single" w:sz="6" w:space="0" w:color="auto"/>
              <w:left w:val="single" w:sz="6" w:space="0" w:color="auto"/>
            </w:tcBorders>
          </w:tcPr>
          <w:p w14:paraId="338B46A7" w14:textId="77777777" w:rsidR="003B1170" w:rsidRPr="00A67F27" w:rsidRDefault="003B1170" w:rsidP="00E254E2">
            <w:pPr>
              <w:spacing w:before="120" w:after="120"/>
              <w:ind w:left="0" w:firstLine="0"/>
              <w:jc w:val="left"/>
              <w:rPr>
                <w:rFonts w:asciiTheme="majorBidi" w:hAnsiTheme="majorBidi" w:cstheme="majorBidi"/>
                <w:spacing w:val="-2"/>
                <w:szCs w:val="24"/>
                <w:lang w:eastAsia="en-US"/>
              </w:rPr>
            </w:pPr>
          </w:p>
        </w:tc>
        <w:tc>
          <w:tcPr>
            <w:tcW w:w="1559" w:type="dxa"/>
            <w:tcBorders>
              <w:top w:val="single" w:sz="6" w:space="0" w:color="auto"/>
              <w:left w:val="single" w:sz="6" w:space="0" w:color="auto"/>
            </w:tcBorders>
          </w:tcPr>
          <w:p w14:paraId="01224A8A" w14:textId="77777777" w:rsidR="003B1170" w:rsidRPr="00A67F27" w:rsidRDefault="003B1170" w:rsidP="00E254E2">
            <w:pPr>
              <w:spacing w:before="120" w:after="120"/>
              <w:ind w:left="0" w:firstLine="0"/>
              <w:jc w:val="left"/>
              <w:rPr>
                <w:rFonts w:asciiTheme="majorBidi" w:hAnsiTheme="majorBidi" w:cstheme="majorBidi"/>
                <w:spacing w:val="-2"/>
                <w:szCs w:val="24"/>
                <w:lang w:eastAsia="en-US"/>
              </w:rPr>
            </w:pPr>
          </w:p>
        </w:tc>
        <w:tc>
          <w:tcPr>
            <w:tcW w:w="1633" w:type="dxa"/>
            <w:tcBorders>
              <w:top w:val="single" w:sz="6" w:space="0" w:color="auto"/>
              <w:left w:val="single" w:sz="6" w:space="0" w:color="auto"/>
              <w:bottom w:val="single" w:sz="6" w:space="0" w:color="auto"/>
              <w:right w:val="single" w:sz="6" w:space="0" w:color="auto"/>
            </w:tcBorders>
          </w:tcPr>
          <w:p w14:paraId="1B9249C1" w14:textId="77777777" w:rsidR="003B1170" w:rsidRPr="00A67F27" w:rsidRDefault="003B1170" w:rsidP="00E254E2">
            <w:pPr>
              <w:spacing w:before="120" w:after="120"/>
              <w:ind w:left="0" w:firstLine="0"/>
              <w:jc w:val="left"/>
              <w:rPr>
                <w:rFonts w:asciiTheme="majorBidi" w:hAnsiTheme="majorBidi" w:cstheme="majorBidi"/>
                <w:spacing w:val="-2"/>
                <w:szCs w:val="24"/>
                <w:lang w:eastAsia="en-US"/>
              </w:rPr>
            </w:pPr>
          </w:p>
        </w:tc>
      </w:tr>
      <w:tr w:rsidR="003B1170" w:rsidRPr="00A67F27" w14:paraId="5237BDFD" w14:textId="77777777" w:rsidTr="00E254E2">
        <w:trPr>
          <w:cantSplit/>
        </w:trPr>
        <w:tc>
          <w:tcPr>
            <w:tcW w:w="522" w:type="dxa"/>
            <w:tcBorders>
              <w:top w:val="single" w:sz="6" w:space="0" w:color="auto"/>
              <w:left w:val="single" w:sz="6" w:space="0" w:color="auto"/>
              <w:bottom w:val="single" w:sz="6" w:space="0" w:color="auto"/>
              <w:right w:val="single" w:sz="6" w:space="0" w:color="auto"/>
            </w:tcBorders>
          </w:tcPr>
          <w:p w14:paraId="4787C4E5" w14:textId="77777777" w:rsidR="003B1170" w:rsidRPr="00A67F27" w:rsidRDefault="003B1170" w:rsidP="00E254E2">
            <w:pPr>
              <w:spacing w:before="120" w:after="120"/>
              <w:ind w:left="0" w:firstLine="0"/>
              <w:jc w:val="left"/>
              <w:rPr>
                <w:rFonts w:asciiTheme="majorBidi" w:hAnsiTheme="majorBidi" w:cstheme="majorBidi"/>
                <w:spacing w:val="-2"/>
                <w:szCs w:val="24"/>
                <w:lang w:eastAsia="en-US"/>
              </w:rPr>
            </w:pPr>
          </w:p>
        </w:tc>
        <w:tc>
          <w:tcPr>
            <w:tcW w:w="2033" w:type="dxa"/>
            <w:tcBorders>
              <w:top w:val="single" w:sz="6" w:space="0" w:color="auto"/>
              <w:left w:val="single" w:sz="6" w:space="0" w:color="auto"/>
              <w:bottom w:val="single" w:sz="6" w:space="0" w:color="auto"/>
              <w:right w:val="single" w:sz="6" w:space="0" w:color="auto"/>
            </w:tcBorders>
            <w:vAlign w:val="center"/>
          </w:tcPr>
          <w:p w14:paraId="3E995A76" w14:textId="77777777" w:rsidR="003B1170" w:rsidRPr="00A67F27" w:rsidRDefault="003B1170" w:rsidP="00E254E2">
            <w:pPr>
              <w:spacing w:before="120" w:after="120"/>
              <w:ind w:left="0" w:firstLine="0"/>
              <w:jc w:val="left"/>
              <w:rPr>
                <w:rFonts w:asciiTheme="majorBidi" w:hAnsiTheme="majorBidi" w:cstheme="majorBidi"/>
                <w:spacing w:val="-2"/>
                <w:szCs w:val="24"/>
                <w:lang w:eastAsia="en-US"/>
              </w:rPr>
            </w:pPr>
          </w:p>
        </w:tc>
        <w:tc>
          <w:tcPr>
            <w:tcW w:w="2127" w:type="dxa"/>
            <w:tcBorders>
              <w:top w:val="single" w:sz="6" w:space="0" w:color="auto"/>
              <w:bottom w:val="single" w:sz="6" w:space="0" w:color="auto"/>
            </w:tcBorders>
          </w:tcPr>
          <w:p w14:paraId="1C302F78" w14:textId="77777777" w:rsidR="003B1170" w:rsidRPr="00A67F27" w:rsidRDefault="003B1170" w:rsidP="00E254E2">
            <w:pPr>
              <w:spacing w:before="120" w:after="120"/>
              <w:ind w:left="0" w:firstLine="0"/>
              <w:jc w:val="left"/>
              <w:rPr>
                <w:rFonts w:asciiTheme="majorBidi" w:hAnsiTheme="majorBidi" w:cstheme="majorBidi"/>
                <w:spacing w:val="-2"/>
                <w:szCs w:val="24"/>
                <w:lang w:eastAsia="en-US"/>
              </w:rPr>
            </w:pPr>
          </w:p>
        </w:tc>
        <w:tc>
          <w:tcPr>
            <w:tcW w:w="1486" w:type="dxa"/>
            <w:tcBorders>
              <w:top w:val="single" w:sz="6" w:space="0" w:color="auto"/>
              <w:left w:val="single" w:sz="6" w:space="0" w:color="auto"/>
              <w:bottom w:val="single" w:sz="6" w:space="0" w:color="auto"/>
            </w:tcBorders>
          </w:tcPr>
          <w:p w14:paraId="7F99D6D2" w14:textId="77777777" w:rsidR="003B1170" w:rsidRPr="00A67F27" w:rsidRDefault="003B1170" w:rsidP="00E254E2">
            <w:pPr>
              <w:spacing w:before="120" w:after="120"/>
              <w:ind w:left="0" w:firstLine="0"/>
              <w:jc w:val="left"/>
              <w:rPr>
                <w:rFonts w:asciiTheme="majorBidi" w:hAnsiTheme="majorBidi" w:cstheme="majorBidi"/>
                <w:spacing w:val="-2"/>
                <w:szCs w:val="24"/>
                <w:lang w:eastAsia="en-US"/>
              </w:rPr>
            </w:pPr>
          </w:p>
        </w:tc>
        <w:tc>
          <w:tcPr>
            <w:tcW w:w="1559" w:type="dxa"/>
            <w:tcBorders>
              <w:top w:val="single" w:sz="6" w:space="0" w:color="auto"/>
              <w:left w:val="single" w:sz="6" w:space="0" w:color="auto"/>
              <w:bottom w:val="single" w:sz="6" w:space="0" w:color="auto"/>
            </w:tcBorders>
          </w:tcPr>
          <w:p w14:paraId="4BD33A63" w14:textId="77777777" w:rsidR="003B1170" w:rsidRPr="00A67F27" w:rsidRDefault="003B1170" w:rsidP="00E254E2">
            <w:pPr>
              <w:spacing w:before="120" w:after="120"/>
              <w:ind w:left="0" w:firstLine="0"/>
              <w:jc w:val="left"/>
              <w:rPr>
                <w:rFonts w:asciiTheme="majorBidi" w:hAnsiTheme="majorBidi" w:cstheme="majorBidi"/>
                <w:spacing w:val="-2"/>
                <w:szCs w:val="24"/>
                <w:lang w:eastAsia="en-US"/>
              </w:rPr>
            </w:pPr>
          </w:p>
        </w:tc>
        <w:tc>
          <w:tcPr>
            <w:tcW w:w="1633" w:type="dxa"/>
            <w:tcBorders>
              <w:top w:val="single" w:sz="6" w:space="0" w:color="auto"/>
              <w:left w:val="single" w:sz="6" w:space="0" w:color="auto"/>
              <w:bottom w:val="single" w:sz="6" w:space="0" w:color="auto"/>
              <w:right w:val="single" w:sz="6" w:space="0" w:color="auto"/>
            </w:tcBorders>
          </w:tcPr>
          <w:p w14:paraId="0173CACD" w14:textId="77777777" w:rsidR="003B1170" w:rsidRPr="00A67F27" w:rsidRDefault="003B1170" w:rsidP="00E254E2">
            <w:pPr>
              <w:spacing w:before="120" w:after="120"/>
              <w:ind w:left="0" w:firstLine="0"/>
              <w:jc w:val="left"/>
              <w:rPr>
                <w:rFonts w:asciiTheme="majorBidi" w:hAnsiTheme="majorBidi" w:cstheme="majorBidi"/>
                <w:spacing w:val="-2"/>
                <w:szCs w:val="24"/>
                <w:lang w:eastAsia="en-US"/>
              </w:rPr>
            </w:pPr>
          </w:p>
        </w:tc>
      </w:tr>
    </w:tbl>
    <w:p w14:paraId="3F80707F" w14:textId="77777777" w:rsidR="003B1170" w:rsidRPr="00A67F27" w:rsidRDefault="003B1170" w:rsidP="003B1170">
      <w:pPr>
        <w:rPr>
          <w:rFonts w:asciiTheme="majorBidi" w:hAnsiTheme="majorBidi" w:cstheme="majorBidi"/>
        </w:rPr>
      </w:pPr>
    </w:p>
    <w:p w14:paraId="3D68986C" w14:textId="77777777" w:rsidR="003B1170" w:rsidRPr="00A67F27" w:rsidRDefault="003B1170" w:rsidP="003B1170">
      <w:pPr>
        <w:rPr>
          <w:rFonts w:asciiTheme="majorBidi" w:hAnsiTheme="majorBidi" w:cstheme="majorBidi"/>
          <w:b/>
        </w:rPr>
      </w:pPr>
      <w:r w:rsidRPr="00A67F27">
        <w:rPr>
          <w:rFonts w:asciiTheme="majorBidi" w:hAnsiTheme="majorBidi" w:cstheme="majorBidi"/>
        </w:rPr>
        <w:br w:type="page"/>
      </w:r>
    </w:p>
    <w:p w14:paraId="3541D3D7" w14:textId="5D28CFA1" w:rsidR="00543ED0" w:rsidRPr="00A67F27" w:rsidRDefault="00543ED0" w:rsidP="00234F6E">
      <w:pPr>
        <w:pStyle w:val="S4-Header2"/>
        <w:rPr>
          <w:szCs w:val="32"/>
          <w:lang w:val="fr-FR"/>
        </w:rPr>
      </w:pPr>
      <w:bookmarkStart w:id="523" w:name="_Toc487641628"/>
      <w:r w:rsidRPr="00A67F27">
        <w:rPr>
          <w:szCs w:val="32"/>
          <w:lang w:val="fr-FR"/>
        </w:rPr>
        <w:lastRenderedPageBreak/>
        <w:t>Formulaire FIN – 3.1</w:t>
      </w:r>
      <w:r w:rsidR="009B2302" w:rsidRPr="00A67F27">
        <w:rPr>
          <w:szCs w:val="32"/>
          <w:lang w:val="fr-FR"/>
        </w:rPr>
        <w:t> :</w:t>
      </w:r>
      <w:r w:rsidRPr="00A67F27">
        <w:rPr>
          <w:szCs w:val="32"/>
          <w:lang w:val="fr-FR"/>
        </w:rPr>
        <w:t xml:space="preserve"> Situation et Performance financières</w:t>
      </w:r>
      <w:bookmarkEnd w:id="520"/>
      <w:bookmarkEnd w:id="523"/>
    </w:p>
    <w:p w14:paraId="0F2E402B" w14:textId="77777777" w:rsidR="00234F6E" w:rsidRPr="00A67F27" w:rsidRDefault="00543ED0" w:rsidP="00234F6E">
      <w:pPr>
        <w:tabs>
          <w:tab w:val="left" w:pos="2610"/>
        </w:tabs>
        <w:spacing w:after="0"/>
        <w:ind w:right="162"/>
        <w:jc w:val="right"/>
        <w:rPr>
          <w:rFonts w:asciiTheme="majorBidi" w:hAnsiTheme="majorBidi" w:cstheme="majorBidi"/>
        </w:rPr>
      </w:pPr>
      <w:r w:rsidRPr="00A67F27">
        <w:rPr>
          <w:rFonts w:asciiTheme="majorBidi" w:hAnsiTheme="majorBidi" w:cstheme="majorBidi"/>
        </w:rPr>
        <w:t>Nom légal du soumissionnaire</w:t>
      </w:r>
      <w:r w:rsidR="009B2302" w:rsidRPr="00A67F27">
        <w:rPr>
          <w:rFonts w:asciiTheme="majorBidi" w:hAnsiTheme="majorBidi" w:cstheme="majorBidi"/>
        </w:rPr>
        <w:t> :</w:t>
      </w:r>
      <w:r w:rsidRPr="00A67F27">
        <w:rPr>
          <w:rFonts w:asciiTheme="majorBidi" w:hAnsiTheme="majorBidi" w:cstheme="majorBidi"/>
        </w:rPr>
        <w:t xml:space="preserve"> _______________________</w:t>
      </w:r>
      <w:r w:rsidR="009B2302" w:rsidRPr="00A67F27">
        <w:rPr>
          <w:rFonts w:asciiTheme="majorBidi" w:hAnsiTheme="majorBidi" w:cstheme="majorBidi"/>
        </w:rPr>
        <w:t xml:space="preserve">  </w:t>
      </w:r>
      <w:r w:rsidRPr="00A67F27">
        <w:rPr>
          <w:rFonts w:asciiTheme="majorBidi" w:hAnsiTheme="majorBidi" w:cstheme="majorBidi"/>
        </w:rPr>
        <w:t xml:space="preserve"> </w:t>
      </w:r>
    </w:p>
    <w:p w14:paraId="002A5D7F" w14:textId="402965AC" w:rsidR="00543ED0" w:rsidRPr="00A67F27" w:rsidRDefault="00543ED0" w:rsidP="00234F6E">
      <w:pPr>
        <w:tabs>
          <w:tab w:val="left" w:pos="2610"/>
        </w:tabs>
        <w:spacing w:after="0"/>
        <w:ind w:right="162"/>
        <w:jc w:val="right"/>
        <w:rPr>
          <w:rFonts w:asciiTheme="majorBidi" w:hAnsiTheme="majorBidi" w:cstheme="majorBidi"/>
        </w:rPr>
      </w:pPr>
      <w:r w:rsidRPr="00A67F27">
        <w:rPr>
          <w:rFonts w:asciiTheme="majorBidi" w:hAnsiTheme="majorBidi" w:cstheme="majorBidi"/>
        </w:rPr>
        <w:t>Date</w:t>
      </w:r>
      <w:r w:rsidR="009B2302" w:rsidRPr="00A67F27">
        <w:rPr>
          <w:rFonts w:asciiTheme="majorBidi" w:hAnsiTheme="majorBidi" w:cstheme="majorBidi"/>
        </w:rPr>
        <w:t> :</w:t>
      </w:r>
      <w:r w:rsidRPr="00A67F27">
        <w:rPr>
          <w:rFonts w:asciiTheme="majorBidi" w:hAnsiTheme="majorBidi" w:cstheme="majorBidi"/>
        </w:rPr>
        <w:t xml:space="preserve"> _________________</w:t>
      </w:r>
    </w:p>
    <w:p w14:paraId="1B2DD07A" w14:textId="77777777" w:rsidR="00234F6E" w:rsidRPr="00A67F27" w:rsidRDefault="00543ED0" w:rsidP="00234F6E">
      <w:pPr>
        <w:tabs>
          <w:tab w:val="left" w:pos="2610"/>
        </w:tabs>
        <w:spacing w:after="0"/>
        <w:ind w:right="162"/>
        <w:jc w:val="right"/>
        <w:rPr>
          <w:rFonts w:asciiTheme="majorBidi" w:hAnsiTheme="majorBidi" w:cstheme="majorBidi"/>
        </w:rPr>
      </w:pPr>
      <w:r w:rsidRPr="00A67F27">
        <w:rPr>
          <w:rFonts w:asciiTheme="majorBidi" w:hAnsiTheme="majorBidi" w:cstheme="majorBidi"/>
        </w:rPr>
        <w:t>Nom légal de la partie au GE</w:t>
      </w:r>
      <w:r w:rsidR="009B2302" w:rsidRPr="00A67F27">
        <w:rPr>
          <w:rFonts w:asciiTheme="majorBidi" w:hAnsiTheme="majorBidi" w:cstheme="majorBidi"/>
        </w:rPr>
        <w:t> :</w:t>
      </w:r>
      <w:r w:rsidRPr="00A67F27">
        <w:rPr>
          <w:rFonts w:asciiTheme="majorBidi" w:hAnsiTheme="majorBidi" w:cstheme="majorBidi"/>
        </w:rPr>
        <w:t xml:space="preserve"> ___________________ __</w:t>
      </w:r>
    </w:p>
    <w:p w14:paraId="74518C54" w14:textId="7950CCA8" w:rsidR="00543ED0" w:rsidRPr="00A67F27" w:rsidRDefault="00543ED0" w:rsidP="00234F6E">
      <w:pPr>
        <w:tabs>
          <w:tab w:val="left" w:pos="2610"/>
        </w:tabs>
        <w:spacing w:after="0"/>
        <w:ind w:right="162"/>
        <w:jc w:val="right"/>
        <w:rPr>
          <w:rFonts w:asciiTheme="majorBidi" w:hAnsiTheme="majorBidi" w:cstheme="majorBidi"/>
        </w:rPr>
      </w:pPr>
      <w:r w:rsidRPr="00A67F27">
        <w:rPr>
          <w:rFonts w:asciiTheme="majorBidi" w:hAnsiTheme="majorBidi" w:cstheme="majorBidi"/>
        </w:rPr>
        <w:t>No. AO</w:t>
      </w:r>
      <w:r w:rsidR="009B2302" w:rsidRPr="00A67F27">
        <w:rPr>
          <w:rFonts w:asciiTheme="majorBidi" w:hAnsiTheme="majorBidi" w:cstheme="majorBidi"/>
        </w:rPr>
        <w:t> :</w:t>
      </w:r>
      <w:r w:rsidRPr="00A67F27">
        <w:rPr>
          <w:rFonts w:asciiTheme="majorBidi" w:hAnsiTheme="majorBidi" w:cstheme="majorBidi"/>
        </w:rPr>
        <w:t xml:space="preserve"> ___</w:t>
      </w:r>
      <w:r w:rsidR="00234F6E" w:rsidRPr="00A67F27">
        <w:rPr>
          <w:rFonts w:asciiTheme="majorBidi" w:hAnsiTheme="majorBidi" w:cstheme="majorBidi"/>
        </w:rPr>
        <w:t>___________________</w:t>
      </w:r>
    </w:p>
    <w:p w14:paraId="4E2556C7" w14:textId="77777777" w:rsidR="004A7F6C" w:rsidRPr="00A67F27" w:rsidRDefault="004A7F6C" w:rsidP="004A7F6C">
      <w:pPr>
        <w:spacing w:after="0"/>
        <w:ind w:right="72"/>
        <w:jc w:val="right"/>
        <w:rPr>
          <w:rFonts w:asciiTheme="majorBidi" w:hAnsiTheme="majorBidi" w:cstheme="majorBidi"/>
          <w:bCs/>
          <w:i/>
          <w:iCs/>
        </w:rPr>
      </w:pPr>
      <w:r w:rsidRPr="00A67F27">
        <w:rPr>
          <w:spacing w:val="-2"/>
        </w:rPr>
        <w:t>Page</w:t>
      </w:r>
      <w:r w:rsidRPr="00A67F27">
        <w:rPr>
          <w:i/>
          <w:spacing w:val="-2"/>
        </w:rPr>
        <w:t xml:space="preserve"> </w:t>
      </w:r>
      <w:r w:rsidRPr="00A67F27">
        <w:rPr>
          <w:i/>
        </w:rPr>
        <w:t>__________de</w:t>
      </w:r>
      <w:r w:rsidRPr="00A67F27">
        <w:rPr>
          <w:spacing w:val="-2"/>
        </w:rPr>
        <w:t xml:space="preserve"> </w:t>
      </w:r>
      <w:r w:rsidRPr="00A67F27">
        <w:rPr>
          <w:i/>
          <w:spacing w:val="1"/>
        </w:rPr>
        <w:t>_______________</w:t>
      </w:r>
      <w:r w:rsidRPr="00A67F27">
        <w:rPr>
          <w:spacing w:val="-2"/>
        </w:rPr>
        <w:t>pages</w:t>
      </w:r>
    </w:p>
    <w:p w14:paraId="39353E58" w14:textId="77777777" w:rsidR="00543ED0" w:rsidRPr="00A67F27" w:rsidRDefault="00543ED0" w:rsidP="007B104D">
      <w:pPr>
        <w:tabs>
          <w:tab w:val="left" w:pos="2610"/>
        </w:tabs>
        <w:spacing w:after="0"/>
        <w:rPr>
          <w:rFonts w:asciiTheme="majorBidi" w:hAnsiTheme="majorBidi" w:cstheme="majorBidi"/>
        </w:rPr>
      </w:pPr>
    </w:p>
    <w:p w14:paraId="4AA586AB" w14:textId="77777777" w:rsidR="00543ED0" w:rsidRPr="00A67F27" w:rsidRDefault="00543ED0" w:rsidP="00543ED0">
      <w:pPr>
        <w:tabs>
          <w:tab w:val="left" w:pos="2610"/>
        </w:tabs>
        <w:rPr>
          <w:rFonts w:asciiTheme="majorBidi" w:hAnsiTheme="majorBidi" w:cstheme="majorBidi"/>
          <w:b/>
        </w:rPr>
      </w:pPr>
      <w:r w:rsidRPr="00A67F27">
        <w:rPr>
          <w:rFonts w:asciiTheme="majorBidi" w:hAnsiTheme="majorBidi" w:cstheme="majorBidi"/>
          <w:b/>
        </w:rPr>
        <w:t>1. Données financières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59"/>
        <w:gridCol w:w="1146"/>
        <w:gridCol w:w="1146"/>
        <w:gridCol w:w="1146"/>
        <w:gridCol w:w="1146"/>
        <w:gridCol w:w="1147"/>
      </w:tblGrid>
      <w:tr w:rsidR="00543ED0" w:rsidRPr="00A67F27" w14:paraId="5B39F8CC" w14:textId="77777777" w:rsidTr="00234F6E">
        <w:trPr>
          <w:cantSplit/>
          <w:trHeight w:val="200"/>
        </w:trPr>
        <w:tc>
          <w:tcPr>
            <w:tcW w:w="2959" w:type="dxa"/>
          </w:tcPr>
          <w:p w14:paraId="75E0D2BD" w14:textId="77777777" w:rsidR="00543ED0" w:rsidRPr="00A67F27" w:rsidRDefault="00543ED0" w:rsidP="007B104D">
            <w:pPr>
              <w:pStyle w:val="Outline"/>
              <w:tabs>
                <w:tab w:val="left" w:pos="2610"/>
              </w:tabs>
              <w:suppressAutoHyphens/>
              <w:spacing w:before="60"/>
              <w:ind w:left="0" w:firstLine="0"/>
              <w:jc w:val="center"/>
              <w:rPr>
                <w:rFonts w:asciiTheme="majorBidi" w:hAnsiTheme="majorBidi" w:cstheme="majorBidi"/>
                <w:b/>
                <w:i/>
                <w:spacing w:val="-2"/>
                <w:kern w:val="0"/>
              </w:rPr>
            </w:pPr>
            <w:r w:rsidRPr="00A67F27">
              <w:rPr>
                <w:rFonts w:asciiTheme="majorBidi" w:hAnsiTheme="majorBidi" w:cstheme="majorBidi"/>
                <w:b/>
                <w:spacing w:val="-2"/>
                <w:kern w:val="0"/>
              </w:rPr>
              <w:t xml:space="preserve">Données financières en </w:t>
            </w:r>
            <w:r w:rsidRPr="00A67F27">
              <w:rPr>
                <w:rFonts w:asciiTheme="majorBidi" w:hAnsiTheme="majorBidi" w:cstheme="majorBidi"/>
                <w:b/>
                <w:i/>
                <w:spacing w:val="-2"/>
                <w:kern w:val="0"/>
              </w:rPr>
              <w:t>[préciser la monnaie]</w:t>
            </w:r>
          </w:p>
        </w:tc>
        <w:tc>
          <w:tcPr>
            <w:tcW w:w="5731" w:type="dxa"/>
            <w:gridSpan w:val="5"/>
          </w:tcPr>
          <w:p w14:paraId="4D0189E8" w14:textId="77777777" w:rsidR="00543ED0" w:rsidRPr="00A67F27" w:rsidRDefault="00543ED0" w:rsidP="007B104D">
            <w:pPr>
              <w:tabs>
                <w:tab w:val="left" w:pos="2610"/>
              </w:tabs>
              <w:spacing w:before="60"/>
              <w:ind w:left="0" w:firstLine="0"/>
              <w:jc w:val="center"/>
              <w:rPr>
                <w:rFonts w:asciiTheme="majorBidi" w:hAnsiTheme="majorBidi" w:cstheme="majorBidi"/>
                <w:b/>
                <w:spacing w:val="-2"/>
              </w:rPr>
            </w:pPr>
            <w:r w:rsidRPr="00A67F27">
              <w:rPr>
                <w:rFonts w:asciiTheme="majorBidi" w:hAnsiTheme="majorBidi" w:cstheme="majorBidi"/>
                <w:b/>
                <w:spacing w:val="-2"/>
              </w:rPr>
              <w:t>Antécédents pour les ______ (__) dernières années</w:t>
            </w:r>
          </w:p>
          <w:p w14:paraId="4F145CD3" w14:textId="76165A4C" w:rsidR="00543ED0" w:rsidRPr="00A67F27" w:rsidRDefault="00543ED0" w:rsidP="007B104D">
            <w:pPr>
              <w:pStyle w:val="titulo"/>
              <w:tabs>
                <w:tab w:val="left" w:pos="2610"/>
              </w:tabs>
              <w:suppressAutoHyphens/>
              <w:spacing w:before="60" w:after="200"/>
              <w:ind w:left="0" w:firstLine="0"/>
              <w:rPr>
                <w:rFonts w:asciiTheme="majorBidi" w:hAnsiTheme="majorBidi" w:cstheme="majorBidi"/>
                <w:strike/>
                <w:spacing w:val="-2"/>
                <w:lang w:val="fr-FR"/>
              </w:rPr>
            </w:pPr>
            <w:r w:rsidRPr="00A67F27">
              <w:rPr>
                <w:rFonts w:asciiTheme="majorBidi" w:hAnsiTheme="majorBidi" w:cstheme="majorBidi"/>
                <w:spacing w:val="-2"/>
                <w:lang w:val="fr-FR"/>
              </w:rPr>
              <w:t xml:space="preserve">(montant en </w:t>
            </w:r>
            <w:r w:rsidRPr="00A67F27">
              <w:rPr>
                <w:rFonts w:asciiTheme="majorBidi" w:hAnsiTheme="majorBidi" w:cstheme="majorBidi"/>
                <w:i/>
                <w:spacing w:val="-2"/>
                <w:lang w:val="fr-FR"/>
              </w:rPr>
              <w:t>[préciser la monnaie, le taux de change et le montant</w:t>
            </w:r>
            <w:proofErr w:type="gramStart"/>
            <w:r w:rsidRPr="00A67F27">
              <w:rPr>
                <w:rFonts w:asciiTheme="majorBidi" w:hAnsiTheme="majorBidi" w:cstheme="majorBidi"/>
                <w:i/>
                <w:spacing w:val="-2"/>
                <w:lang w:val="fr-FR"/>
              </w:rPr>
              <w:t>]</w:t>
            </w:r>
            <w:r w:rsidRPr="00A67F27">
              <w:rPr>
                <w:rFonts w:asciiTheme="majorBidi" w:hAnsiTheme="majorBidi" w:cstheme="majorBidi"/>
                <w:spacing w:val="-2"/>
                <w:lang w:val="fr-FR"/>
              </w:rPr>
              <w:t>équivalent</w:t>
            </w:r>
            <w:proofErr w:type="gramEnd"/>
            <w:r w:rsidRPr="00A67F27">
              <w:rPr>
                <w:rFonts w:asciiTheme="majorBidi" w:hAnsiTheme="majorBidi" w:cstheme="majorBidi"/>
                <w:spacing w:val="-2"/>
                <w:lang w:val="fr-FR"/>
              </w:rPr>
              <w:t xml:space="preserve"> en $ E.U.)</w:t>
            </w:r>
          </w:p>
        </w:tc>
      </w:tr>
      <w:tr w:rsidR="00543ED0" w:rsidRPr="00A67F27" w14:paraId="15CADBE8" w14:textId="77777777" w:rsidTr="00234F6E">
        <w:trPr>
          <w:cantSplit/>
        </w:trPr>
        <w:tc>
          <w:tcPr>
            <w:tcW w:w="2959" w:type="dxa"/>
          </w:tcPr>
          <w:p w14:paraId="5A0A8466" w14:textId="77777777" w:rsidR="00543ED0" w:rsidRPr="00A67F27" w:rsidRDefault="00543ED0" w:rsidP="007B104D">
            <w:pPr>
              <w:pStyle w:val="Subtitle2"/>
              <w:tabs>
                <w:tab w:val="left" w:pos="2610"/>
              </w:tabs>
              <w:spacing w:before="60"/>
              <w:jc w:val="left"/>
              <w:rPr>
                <w:rFonts w:asciiTheme="majorBidi" w:hAnsiTheme="majorBidi" w:cstheme="majorBidi"/>
                <w:b w:val="0"/>
                <w:sz w:val="24"/>
              </w:rPr>
            </w:pPr>
          </w:p>
        </w:tc>
        <w:tc>
          <w:tcPr>
            <w:tcW w:w="1146" w:type="dxa"/>
          </w:tcPr>
          <w:p w14:paraId="6086122C" w14:textId="77777777" w:rsidR="00543ED0" w:rsidRPr="00A67F27" w:rsidRDefault="00543ED0" w:rsidP="007B104D">
            <w:pPr>
              <w:pStyle w:val="Subtitle2"/>
              <w:tabs>
                <w:tab w:val="left" w:pos="2610"/>
              </w:tabs>
              <w:spacing w:before="60"/>
              <w:rPr>
                <w:rFonts w:asciiTheme="majorBidi" w:hAnsiTheme="majorBidi" w:cstheme="majorBidi"/>
                <w:b w:val="0"/>
                <w:sz w:val="24"/>
              </w:rPr>
            </w:pPr>
            <w:bookmarkStart w:id="524" w:name="_Toc487641817"/>
            <w:r w:rsidRPr="00A67F27">
              <w:rPr>
                <w:rFonts w:asciiTheme="majorBidi" w:hAnsiTheme="majorBidi" w:cstheme="majorBidi"/>
                <w:b w:val="0"/>
                <w:sz w:val="24"/>
              </w:rPr>
              <w:t>Année 1</w:t>
            </w:r>
            <w:bookmarkEnd w:id="524"/>
          </w:p>
        </w:tc>
        <w:tc>
          <w:tcPr>
            <w:tcW w:w="1146" w:type="dxa"/>
          </w:tcPr>
          <w:p w14:paraId="12740904" w14:textId="77777777" w:rsidR="00543ED0" w:rsidRPr="00A67F27" w:rsidRDefault="00543ED0" w:rsidP="007B104D">
            <w:pPr>
              <w:pStyle w:val="Subtitle2"/>
              <w:tabs>
                <w:tab w:val="left" w:pos="2610"/>
              </w:tabs>
              <w:spacing w:before="60"/>
              <w:rPr>
                <w:rFonts w:asciiTheme="majorBidi" w:hAnsiTheme="majorBidi" w:cstheme="majorBidi"/>
                <w:b w:val="0"/>
                <w:sz w:val="24"/>
              </w:rPr>
            </w:pPr>
            <w:bookmarkStart w:id="525" w:name="_Toc487641818"/>
            <w:r w:rsidRPr="00A67F27">
              <w:rPr>
                <w:rFonts w:asciiTheme="majorBidi" w:hAnsiTheme="majorBidi" w:cstheme="majorBidi"/>
                <w:b w:val="0"/>
                <w:sz w:val="24"/>
              </w:rPr>
              <w:t>Année 2</w:t>
            </w:r>
            <w:bookmarkEnd w:id="525"/>
          </w:p>
        </w:tc>
        <w:tc>
          <w:tcPr>
            <w:tcW w:w="1146" w:type="dxa"/>
          </w:tcPr>
          <w:p w14:paraId="088A8891" w14:textId="77777777" w:rsidR="00543ED0" w:rsidRPr="00A67F27" w:rsidRDefault="00543ED0" w:rsidP="007B104D">
            <w:pPr>
              <w:pStyle w:val="Subtitle2"/>
              <w:tabs>
                <w:tab w:val="left" w:pos="2610"/>
              </w:tabs>
              <w:spacing w:before="60"/>
              <w:rPr>
                <w:rFonts w:asciiTheme="majorBidi" w:hAnsiTheme="majorBidi" w:cstheme="majorBidi"/>
                <w:b w:val="0"/>
                <w:sz w:val="24"/>
              </w:rPr>
            </w:pPr>
            <w:bookmarkStart w:id="526" w:name="_Toc487641819"/>
            <w:r w:rsidRPr="00A67F27">
              <w:rPr>
                <w:rFonts w:asciiTheme="majorBidi" w:hAnsiTheme="majorBidi" w:cstheme="majorBidi"/>
                <w:b w:val="0"/>
                <w:sz w:val="24"/>
              </w:rPr>
              <w:t>Année 3</w:t>
            </w:r>
            <w:bookmarkEnd w:id="526"/>
          </w:p>
        </w:tc>
        <w:tc>
          <w:tcPr>
            <w:tcW w:w="1146" w:type="dxa"/>
          </w:tcPr>
          <w:p w14:paraId="45A5D94C" w14:textId="1AAB39F7" w:rsidR="00543ED0" w:rsidRPr="00A67F27" w:rsidRDefault="00543ED0" w:rsidP="007B104D">
            <w:pPr>
              <w:pStyle w:val="Subtitle2"/>
              <w:tabs>
                <w:tab w:val="left" w:pos="2610"/>
              </w:tabs>
              <w:spacing w:before="60"/>
              <w:rPr>
                <w:rFonts w:asciiTheme="majorBidi" w:hAnsiTheme="majorBidi" w:cstheme="majorBidi"/>
                <w:b w:val="0"/>
                <w:sz w:val="24"/>
              </w:rPr>
            </w:pPr>
            <w:bookmarkStart w:id="527" w:name="_Toc487641820"/>
            <w:r w:rsidRPr="00A67F27">
              <w:rPr>
                <w:rFonts w:asciiTheme="majorBidi" w:hAnsiTheme="majorBidi" w:cstheme="majorBidi"/>
                <w:b w:val="0"/>
                <w:sz w:val="24"/>
              </w:rPr>
              <w:t xml:space="preserve">Année </w:t>
            </w:r>
            <w:r w:rsidR="007B104D" w:rsidRPr="00A67F27">
              <w:rPr>
                <w:rFonts w:asciiTheme="majorBidi" w:hAnsiTheme="majorBidi" w:cstheme="majorBidi"/>
                <w:b w:val="0"/>
                <w:sz w:val="24"/>
              </w:rPr>
              <w:t>4</w:t>
            </w:r>
            <w:bookmarkEnd w:id="527"/>
          </w:p>
        </w:tc>
        <w:tc>
          <w:tcPr>
            <w:tcW w:w="1147" w:type="dxa"/>
          </w:tcPr>
          <w:p w14:paraId="068E2269" w14:textId="73DE65E2" w:rsidR="00543ED0" w:rsidRPr="00A67F27" w:rsidRDefault="00543ED0" w:rsidP="007B104D">
            <w:pPr>
              <w:pStyle w:val="Subtitle2"/>
              <w:tabs>
                <w:tab w:val="left" w:pos="2610"/>
              </w:tabs>
              <w:spacing w:before="60"/>
              <w:rPr>
                <w:rFonts w:asciiTheme="majorBidi" w:hAnsiTheme="majorBidi" w:cstheme="majorBidi"/>
                <w:b w:val="0"/>
                <w:sz w:val="24"/>
              </w:rPr>
            </w:pPr>
            <w:bookmarkStart w:id="528" w:name="_Toc487641821"/>
            <w:r w:rsidRPr="00A67F27">
              <w:rPr>
                <w:rFonts w:asciiTheme="majorBidi" w:hAnsiTheme="majorBidi" w:cstheme="majorBidi"/>
                <w:b w:val="0"/>
                <w:sz w:val="24"/>
              </w:rPr>
              <w:t xml:space="preserve">Année </w:t>
            </w:r>
            <w:r w:rsidR="007B104D" w:rsidRPr="00A67F27">
              <w:rPr>
                <w:rFonts w:asciiTheme="majorBidi" w:hAnsiTheme="majorBidi" w:cstheme="majorBidi"/>
                <w:b w:val="0"/>
                <w:sz w:val="24"/>
              </w:rPr>
              <w:t>5</w:t>
            </w:r>
            <w:bookmarkEnd w:id="528"/>
          </w:p>
        </w:tc>
      </w:tr>
      <w:tr w:rsidR="00543ED0" w:rsidRPr="00A67F27" w14:paraId="4CA52B09" w14:textId="77777777" w:rsidTr="00234F6E">
        <w:trPr>
          <w:cantSplit/>
        </w:trPr>
        <w:tc>
          <w:tcPr>
            <w:tcW w:w="8690" w:type="dxa"/>
            <w:gridSpan w:val="6"/>
          </w:tcPr>
          <w:p w14:paraId="22630AE1" w14:textId="77777777" w:rsidR="00543ED0" w:rsidRPr="00A67F27" w:rsidRDefault="00543ED0" w:rsidP="007B104D">
            <w:pPr>
              <w:pStyle w:val="Subtitle2"/>
              <w:tabs>
                <w:tab w:val="left" w:pos="2610"/>
              </w:tabs>
              <w:spacing w:before="60"/>
              <w:rPr>
                <w:rFonts w:asciiTheme="majorBidi" w:hAnsiTheme="majorBidi" w:cstheme="majorBidi"/>
                <w:b w:val="0"/>
                <w:sz w:val="24"/>
              </w:rPr>
            </w:pPr>
            <w:bookmarkStart w:id="529" w:name="_Toc487641822"/>
            <w:r w:rsidRPr="00A67F27">
              <w:rPr>
                <w:rFonts w:asciiTheme="majorBidi" w:hAnsiTheme="majorBidi" w:cstheme="majorBidi"/>
                <w:b w:val="0"/>
                <w:sz w:val="24"/>
              </w:rPr>
              <w:t>Situation financière (Information du bilan)</w:t>
            </w:r>
            <w:bookmarkEnd w:id="529"/>
          </w:p>
        </w:tc>
      </w:tr>
      <w:tr w:rsidR="00543ED0" w:rsidRPr="00A67F27" w14:paraId="360DEAAF" w14:textId="77777777" w:rsidTr="00234F6E">
        <w:trPr>
          <w:cantSplit/>
          <w:trHeight w:val="485"/>
        </w:trPr>
        <w:tc>
          <w:tcPr>
            <w:tcW w:w="2959" w:type="dxa"/>
          </w:tcPr>
          <w:p w14:paraId="7770D52D" w14:textId="77777777" w:rsidR="00543ED0" w:rsidRPr="00A67F27" w:rsidRDefault="00543ED0" w:rsidP="007B104D">
            <w:pPr>
              <w:pStyle w:val="Subtitle2"/>
              <w:tabs>
                <w:tab w:val="left" w:pos="2610"/>
              </w:tabs>
              <w:spacing w:before="60"/>
              <w:jc w:val="left"/>
              <w:rPr>
                <w:rFonts w:asciiTheme="majorBidi" w:hAnsiTheme="majorBidi" w:cstheme="majorBidi"/>
                <w:b w:val="0"/>
                <w:sz w:val="24"/>
              </w:rPr>
            </w:pPr>
            <w:bookmarkStart w:id="530" w:name="_Toc487641823"/>
            <w:r w:rsidRPr="00A67F27">
              <w:rPr>
                <w:rFonts w:asciiTheme="majorBidi" w:hAnsiTheme="majorBidi" w:cstheme="majorBidi"/>
                <w:b w:val="0"/>
                <w:sz w:val="24"/>
              </w:rPr>
              <w:t>Total actif (TA)</w:t>
            </w:r>
            <w:bookmarkEnd w:id="530"/>
          </w:p>
        </w:tc>
        <w:tc>
          <w:tcPr>
            <w:tcW w:w="1146" w:type="dxa"/>
          </w:tcPr>
          <w:p w14:paraId="3EAF288B" w14:textId="77777777" w:rsidR="00543ED0" w:rsidRPr="00A67F27" w:rsidRDefault="00543ED0" w:rsidP="007B104D">
            <w:pPr>
              <w:pStyle w:val="Subtitle2"/>
              <w:tabs>
                <w:tab w:val="left" w:pos="2610"/>
              </w:tabs>
              <w:spacing w:before="60"/>
              <w:rPr>
                <w:rFonts w:asciiTheme="majorBidi" w:hAnsiTheme="majorBidi" w:cstheme="majorBidi"/>
                <w:b w:val="0"/>
                <w:sz w:val="24"/>
              </w:rPr>
            </w:pPr>
          </w:p>
        </w:tc>
        <w:tc>
          <w:tcPr>
            <w:tcW w:w="1146" w:type="dxa"/>
          </w:tcPr>
          <w:p w14:paraId="60B32673" w14:textId="77777777" w:rsidR="00543ED0" w:rsidRPr="00A67F27" w:rsidRDefault="00543ED0" w:rsidP="007B104D">
            <w:pPr>
              <w:pStyle w:val="Subtitle2"/>
              <w:tabs>
                <w:tab w:val="left" w:pos="2610"/>
              </w:tabs>
              <w:spacing w:before="60"/>
              <w:rPr>
                <w:rFonts w:asciiTheme="majorBidi" w:hAnsiTheme="majorBidi" w:cstheme="majorBidi"/>
                <w:b w:val="0"/>
                <w:sz w:val="24"/>
              </w:rPr>
            </w:pPr>
          </w:p>
        </w:tc>
        <w:tc>
          <w:tcPr>
            <w:tcW w:w="1146" w:type="dxa"/>
          </w:tcPr>
          <w:p w14:paraId="53D6EE55" w14:textId="77777777" w:rsidR="00543ED0" w:rsidRPr="00A67F27" w:rsidRDefault="00543ED0" w:rsidP="007B104D">
            <w:pPr>
              <w:pStyle w:val="Subtitle2"/>
              <w:tabs>
                <w:tab w:val="left" w:pos="2610"/>
              </w:tabs>
              <w:spacing w:before="60"/>
              <w:rPr>
                <w:rFonts w:asciiTheme="majorBidi" w:hAnsiTheme="majorBidi" w:cstheme="majorBidi"/>
                <w:b w:val="0"/>
                <w:sz w:val="24"/>
              </w:rPr>
            </w:pPr>
          </w:p>
        </w:tc>
        <w:tc>
          <w:tcPr>
            <w:tcW w:w="1146" w:type="dxa"/>
          </w:tcPr>
          <w:p w14:paraId="77820393" w14:textId="77777777" w:rsidR="00543ED0" w:rsidRPr="00A67F27" w:rsidRDefault="00543ED0" w:rsidP="007B104D">
            <w:pPr>
              <w:pStyle w:val="Subtitle2"/>
              <w:tabs>
                <w:tab w:val="left" w:pos="2610"/>
              </w:tabs>
              <w:spacing w:before="60"/>
              <w:rPr>
                <w:rFonts w:asciiTheme="majorBidi" w:hAnsiTheme="majorBidi" w:cstheme="majorBidi"/>
                <w:b w:val="0"/>
                <w:sz w:val="24"/>
              </w:rPr>
            </w:pPr>
          </w:p>
        </w:tc>
        <w:tc>
          <w:tcPr>
            <w:tcW w:w="1147" w:type="dxa"/>
          </w:tcPr>
          <w:p w14:paraId="51D0104B" w14:textId="77777777" w:rsidR="00543ED0" w:rsidRPr="00A67F27" w:rsidRDefault="00543ED0" w:rsidP="007B104D">
            <w:pPr>
              <w:pStyle w:val="Subtitle2"/>
              <w:tabs>
                <w:tab w:val="left" w:pos="2610"/>
              </w:tabs>
              <w:spacing w:before="60"/>
              <w:rPr>
                <w:rFonts w:asciiTheme="majorBidi" w:hAnsiTheme="majorBidi" w:cstheme="majorBidi"/>
                <w:b w:val="0"/>
                <w:sz w:val="24"/>
              </w:rPr>
            </w:pPr>
          </w:p>
        </w:tc>
      </w:tr>
      <w:tr w:rsidR="00543ED0" w:rsidRPr="00A67F27" w14:paraId="37545885" w14:textId="77777777" w:rsidTr="00234F6E">
        <w:trPr>
          <w:cantSplit/>
          <w:trHeight w:val="440"/>
        </w:trPr>
        <w:tc>
          <w:tcPr>
            <w:tcW w:w="2959" w:type="dxa"/>
          </w:tcPr>
          <w:p w14:paraId="4EF10275" w14:textId="77777777" w:rsidR="00543ED0" w:rsidRPr="00A67F27" w:rsidRDefault="00543ED0" w:rsidP="007B104D">
            <w:pPr>
              <w:pStyle w:val="Subtitle2"/>
              <w:tabs>
                <w:tab w:val="left" w:pos="2610"/>
              </w:tabs>
              <w:spacing w:before="60"/>
              <w:jc w:val="left"/>
              <w:rPr>
                <w:rFonts w:asciiTheme="majorBidi" w:hAnsiTheme="majorBidi" w:cstheme="majorBidi"/>
                <w:b w:val="0"/>
                <w:sz w:val="24"/>
              </w:rPr>
            </w:pPr>
            <w:bookmarkStart w:id="531" w:name="_Toc487641824"/>
            <w:r w:rsidRPr="00A67F27">
              <w:rPr>
                <w:rFonts w:asciiTheme="majorBidi" w:hAnsiTheme="majorBidi" w:cstheme="majorBidi"/>
                <w:b w:val="0"/>
                <w:sz w:val="24"/>
              </w:rPr>
              <w:t>Total passif (TP)</w:t>
            </w:r>
            <w:bookmarkEnd w:id="531"/>
          </w:p>
        </w:tc>
        <w:tc>
          <w:tcPr>
            <w:tcW w:w="1146" w:type="dxa"/>
          </w:tcPr>
          <w:p w14:paraId="0EF815E7" w14:textId="77777777" w:rsidR="00543ED0" w:rsidRPr="00A67F27" w:rsidRDefault="00543ED0" w:rsidP="007B104D">
            <w:pPr>
              <w:pStyle w:val="Subtitle2"/>
              <w:tabs>
                <w:tab w:val="left" w:pos="2610"/>
              </w:tabs>
              <w:spacing w:before="60"/>
              <w:rPr>
                <w:rFonts w:asciiTheme="majorBidi" w:hAnsiTheme="majorBidi" w:cstheme="majorBidi"/>
                <w:b w:val="0"/>
                <w:sz w:val="24"/>
              </w:rPr>
            </w:pPr>
          </w:p>
        </w:tc>
        <w:tc>
          <w:tcPr>
            <w:tcW w:w="1146" w:type="dxa"/>
          </w:tcPr>
          <w:p w14:paraId="5E6CF8C3" w14:textId="77777777" w:rsidR="00543ED0" w:rsidRPr="00A67F27" w:rsidRDefault="00543ED0" w:rsidP="007B104D">
            <w:pPr>
              <w:pStyle w:val="Subtitle2"/>
              <w:tabs>
                <w:tab w:val="left" w:pos="2610"/>
              </w:tabs>
              <w:spacing w:before="60"/>
              <w:rPr>
                <w:rFonts w:asciiTheme="majorBidi" w:hAnsiTheme="majorBidi" w:cstheme="majorBidi"/>
                <w:b w:val="0"/>
                <w:sz w:val="24"/>
              </w:rPr>
            </w:pPr>
          </w:p>
        </w:tc>
        <w:tc>
          <w:tcPr>
            <w:tcW w:w="1146" w:type="dxa"/>
          </w:tcPr>
          <w:p w14:paraId="15903360" w14:textId="77777777" w:rsidR="00543ED0" w:rsidRPr="00A67F27" w:rsidRDefault="00543ED0" w:rsidP="007B104D">
            <w:pPr>
              <w:pStyle w:val="Subtitle2"/>
              <w:tabs>
                <w:tab w:val="left" w:pos="2610"/>
              </w:tabs>
              <w:spacing w:before="60"/>
              <w:rPr>
                <w:rFonts w:asciiTheme="majorBidi" w:hAnsiTheme="majorBidi" w:cstheme="majorBidi"/>
                <w:b w:val="0"/>
                <w:sz w:val="24"/>
              </w:rPr>
            </w:pPr>
          </w:p>
        </w:tc>
        <w:tc>
          <w:tcPr>
            <w:tcW w:w="1146" w:type="dxa"/>
          </w:tcPr>
          <w:p w14:paraId="580F97E1" w14:textId="77777777" w:rsidR="00543ED0" w:rsidRPr="00A67F27" w:rsidRDefault="00543ED0" w:rsidP="007B104D">
            <w:pPr>
              <w:pStyle w:val="Subtitle2"/>
              <w:tabs>
                <w:tab w:val="left" w:pos="2610"/>
              </w:tabs>
              <w:spacing w:before="60"/>
              <w:rPr>
                <w:rFonts w:asciiTheme="majorBidi" w:hAnsiTheme="majorBidi" w:cstheme="majorBidi"/>
                <w:b w:val="0"/>
                <w:sz w:val="24"/>
              </w:rPr>
            </w:pPr>
          </w:p>
        </w:tc>
        <w:tc>
          <w:tcPr>
            <w:tcW w:w="1147" w:type="dxa"/>
          </w:tcPr>
          <w:p w14:paraId="694280CE" w14:textId="77777777" w:rsidR="00543ED0" w:rsidRPr="00A67F27" w:rsidRDefault="00543ED0" w:rsidP="007B104D">
            <w:pPr>
              <w:pStyle w:val="Subtitle2"/>
              <w:tabs>
                <w:tab w:val="left" w:pos="2610"/>
              </w:tabs>
              <w:spacing w:before="60"/>
              <w:rPr>
                <w:rFonts w:asciiTheme="majorBidi" w:hAnsiTheme="majorBidi" w:cstheme="majorBidi"/>
                <w:b w:val="0"/>
                <w:sz w:val="24"/>
              </w:rPr>
            </w:pPr>
          </w:p>
        </w:tc>
      </w:tr>
      <w:tr w:rsidR="00543ED0" w:rsidRPr="00A67F27" w14:paraId="09DC4AEB" w14:textId="77777777" w:rsidTr="00234F6E">
        <w:trPr>
          <w:cantSplit/>
          <w:trHeight w:val="440"/>
        </w:trPr>
        <w:tc>
          <w:tcPr>
            <w:tcW w:w="2959" w:type="dxa"/>
          </w:tcPr>
          <w:p w14:paraId="39D4BF8F" w14:textId="6B4AA5B6" w:rsidR="00543ED0" w:rsidRPr="00A67F27" w:rsidRDefault="00E86892" w:rsidP="007B104D">
            <w:pPr>
              <w:pStyle w:val="Subtitle2"/>
              <w:tabs>
                <w:tab w:val="left" w:pos="2610"/>
              </w:tabs>
              <w:spacing w:before="60"/>
              <w:jc w:val="left"/>
              <w:rPr>
                <w:rFonts w:asciiTheme="majorBidi" w:hAnsiTheme="majorBidi" w:cstheme="majorBidi"/>
                <w:b w:val="0"/>
                <w:sz w:val="24"/>
              </w:rPr>
            </w:pPr>
            <w:bookmarkStart w:id="532" w:name="_Toc487641825"/>
            <w:r w:rsidRPr="00A67F27">
              <w:rPr>
                <w:rFonts w:asciiTheme="majorBidi" w:hAnsiTheme="majorBidi" w:cstheme="majorBidi"/>
                <w:b w:val="0"/>
                <w:sz w:val="24"/>
              </w:rPr>
              <w:t xml:space="preserve">Avoirs </w:t>
            </w:r>
            <w:r w:rsidR="00543ED0" w:rsidRPr="00A67F27">
              <w:rPr>
                <w:rFonts w:asciiTheme="majorBidi" w:hAnsiTheme="majorBidi" w:cstheme="majorBidi"/>
                <w:b w:val="0"/>
                <w:sz w:val="24"/>
              </w:rPr>
              <w:t>net</w:t>
            </w:r>
            <w:r w:rsidRPr="00A67F27">
              <w:rPr>
                <w:rFonts w:asciiTheme="majorBidi" w:hAnsiTheme="majorBidi" w:cstheme="majorBidi"/>
                <w:b w:val="0"/>
                <w:sz w:val="24"/>
              </w:rPr>
              <w:t>s</w:t>
            </w:r>
            <w:r w:rsidR="00543ED0" w:rsidRPr="00A67F27">
              <w:rPr>
                <w:rFonts w:asciiTheme="majorBidi" w:hAnsiTheme="majorBidi" w:cstheme="majorBidi"/>
                <w:b w:val="0"/>
                <w:sz w:val="24"/>
              </w:rPr>
              <w:t xml:space="preserve"> (</w:t>
            </w:r>
            <w:r w:rsidRPr="00A67F27">
              <w:rPr>
                <w:rFonts w:asciiTheme="majorBidi" w:hAnsiTheme="majorBidi" w:cstheme="majorBidi"/>
                <w:b w:val="0"/>
                <w:sz w:val="24"/>
              </w:rPr>
              <w:t>A</w:t>
            </w:r>
            <w:r w:rsidR="00543ED0" w:rsidRPr="00A67F27">
              <w:rPr>
                <w:rFonts w:asciiTheme="majorBidi" w:hAnsiTheme="majorBidi" w:cstheme="majorBidi"/>
                <w:b w:val="0"/>
                <w:sz w:val="24"/>
              </w:rPr>
              <w:t>N)</w:t>
            </w:r>
            <w:bookmarkEnd w:id="532"/>
          </w:p>
        </w:tc>
        <w:tc>
          <w:tcPr>
            <w:tcW w:w="1146" w:type="dxa"/>
          </w:tcPr>
          <w:p w14:paraId="31C5913D" w14:textId="77777777" w:rsidR="00543ED0" w:rsidRPr="00A67F27" w:rsidRDefault="00543ED0" w:rsidP="007B104D">
            <w:pPr>
              <w:pStyle w:val="Subtitle2"/>
              <w:tabs>
                <w:tab w:val="left" w:pos="2610"/>
              </w:tabs>
              <w:spacing w:before="60"/>
              <w:rPr>
                <w:rFonts w:asciiTheme="majorBidi" w:hAnsiTheme="majorBidi" w:cstheme="majorBidi"/>
                <w:b w:val="0"/>
                <w:sz w:val="24"/>
              </w:rPr>
            </w:pPr>
          </w:p>
        </w:tc>
        <w:tc>
          <w:tcPr>
            <w:tcW w:w="1146" w:type="dxa"/>
          </w:tcPr>
          <w:p w14:paraId="0361A529" w14:textId="77777777" w:rsidR="00543ED0" w:rsidRPr="00A67F27" w:rsidRDefault="00543ED0" w:rsidP="007B104D">
            <w:pPr>
              <w:pStyle w:val="Subtitle2"/>
              <w:tabs>
                <w:tab w:val="left" w:pos="2610"/>
              </w:tabs>
              <w:spacing w:before="60"/>
              <w:rPr>
                <w:rFonts w:asciiTheme="majorBidi" w:hAnsiTheme="majorBidi" w:cstheme="majorBidi"/>
                <w:b w:val="0"/>
                <w:sz w:val="24"/>
              </w:rPr>
            </w:pPr>
          </w:p>
        </w:tc>
        <w:tc>
          <w:tcPr>
            <w:tcW w:w="1146" w:type="dxa"/>
          </w:tcPr>
          <w:p w14:paraId="5409BAC2" w14:textId="77777777" w:rsidR="00543ED0" w:rsidRPr="00A67F27" w:rsidRDefault="00543ED0" w:rsidP="007B104D">
            <w:pPr>
              <w:pStyle w:val="Subtitle2"/>
              <w:tabs>
                <w:tab w:val="left" w:pos="2610"/>
              </w:tabs>
              <w:spacing w:before="60"/>
              <w:rPr>
                <w:rFonts w:asciiTheme="majorBidi" w:hAnsiTheme="majorBidi" w:cstheme="majorBidi"/>
                <w:b w:val="0"/>
                <w:sz w:val="24"/>
              </w:rPr>
            </w:pPr>
          </w:p>
        </w:tc>
        <w:tc>
          <w:tcPr>
            <w:tcW w:w="1146" w:type="dxa"/>
          </w:tcPr>
          <w:p w14:paraId="144E8C68" w14:textId="77777777" w:rsidR="00543ED0" w:rsidRPr="00A67F27" w:rsidRDefault="00543ED0" w:rsidP="007B104D">
            <w:pPr>
              <w:pStyle w:val="Subtitle2"/>
              <w:tabs>
                <w:tab w:val="left" w:pos="2610"/>
              </w:tabs>
              <w:spacing w:before="60"/>
              <w:rPr>
                <w:rFonts w:asciiTheme="majorBidi" w:hAnsiTheme="majorBidi" w:cstheme="majorBidi"/>
                <w:b w:val="0"/>
                <w:sz w:val="24"/>
              </w:rPr>
            </w:pPr>
          </w:p>
        </w:tc>
        <w:tc>
          <w:tcPr>
            <w:tcW w:w="1147" w:type="dxa"/>
          </w:tcPr>
          <w:p w14:paraId="246D22C9" w14:textId="77777777" w:rsidR="00543ED0" w:rsidRPr="00A67F27" w:rsidRDefault="00543ED0" w:rsidP="007B104D">
            <w:pPr>
              <w:pStyle w:val="Subtitle2"/>
              <w:tabs>
                <w:tab w:val="left" w:pos="2610"/>
              </w:tabs>
              <w:spacing w:before="60"/>
              <w:rPr>
                <w:rFonts w:asciiTheme="majorBidi" w:hAnsiTheme="majorBidi" w:cstheme="majorBidi"/>
                <w:b w:val="0"/>
                <w:sz w:val="24"/>
              </w:rPr>
            </w:pPr>
          </w:p>
        </w:tc>
      </w:tr>
      <w:tr w:rsidR="00543ED0" w:rsidRPr="00A67F27" w14:paraId="3C1743AE" w14:textId="77777777" w:rsidTr="00234F6E">
        <w:trPr>
          <w:cantSplit/>
          <w:trHeight w:val="440"/>
        </w:trPr>
        <w:tc>
          <w:tcPr>
            <w:tcW w:w="2959" w:type="dxa"/>
          </w:tcPr>
          <w:p w14:paraId="6332E14D" w14:textId="77777777" w:rsidR="00543ED0" w:rsidRPr="00A67F27" w:rsidRDefault="00543ED0" w:rsidP="007B104D">
            <w:pPr>
              <w:pStyle w:val="Subtitle2"/>
              <w:tabs>
                <w:tab w:val="left" w:pos="2610"/>
              </w:tabs>
              <w:spacing w:before="60"/>
              <w:jc w:val="left"/>
              <w:rPr>
                <w:rFonts w:asciiTheme="majorBidi" w:hAnsiTheme="majorBidi" w:cstheme="majorBidi"/>
                <w:b w:val="0"/>
                <w:sz w:val="24"/>
              </w:rPr>
            </w:pPr>
            <w:bookmarkStart w:id="533" w:name="_Toc487641826"/>
            <w:r w:rsidRPr="00A67F27">
              <w:rPr>
                <w:rFonts w:asciiTheme="majorBidi" w:hAnsiTheme="majorBidi" w:cstheme="majorBidi"/>
                <w:b w:val="0"/>
                <w:sz w:val="24"/>
              </w:rPr>
              <w:t>Disponibilités (D)</w:t>
            </w:r>
            <w:bookmarkEnd w:id="533"/>
          </w:p>
        </w:tc>
        <w:tc>
          <w:tcPr>
            <w:tcW w:w="1146" w:type="dxa"/>
          </w:tcPr>
          <w:p w14:paraId="31FA2F33" w14:textId="77777777" w:rsidR="00543ED0" w:rsidRPr="00A67F27" w:rsidRDefault="00543ED0" w:rsidP="007B104D">
            <w:pPr>
              <w:pStyle w:val="Subtitle2"/>
              <w:tabs>
                <w:tab w:val="left" w:pos="2610"/>
              </w:tabs>
              <w:spacing w:before="60"/>
              <w:rPr>
                <w:rFonts w:asciiTheme="majorBidi" w:hAnsiTheme="majorBidi" w:cstheme="majorBidi"/>
                <w:b w:val="0"/>
                <w:sz w:val="24"/>
              </w:rPr>
            </w:pPr>
          </w:p>
        </w:tc>
        <w:tc>
          <w:tcPr>
            <w:tcW w:w="1146" w:type="dxa"/>
          </w:tcPr>
          <w:p w14:paraId="65F18467" w14:textId="77777777" w:rsidR="00543ED0" w:rsidRPr="00A67F27" w:rsidRDefault="00543ED0" w:rsidP="007B104D">
            <w:pPr>
              <w:pStyle w:val="Subtitle2"/>
              <w:tabs>
                <w:tab w:val="left" w:pos="2610"/>
              </w:tabs>
              <w:spacing w:before="60"/>
              <w:rPr>
                <w:rFonts w:asciiTheme="majorBidi" w:hAnsiTheme="majorBidi" w:cstheme="majorBidi"/>
                <w:b w:val="0"/>
                <w:sz w:val="24"/>
              </w:rPr>
            </w:pPr>
          </w:p>
        </w:tc>
        <w:tc>
          <w:tcPr>
            <w:tcW w:w="1146" w:type="dxa"/>
          </w:tcPr>
          <w:p w14:paraId="7D714B31" w14:textId="77777777" w:rsidR="00543ED0" w:rsidRPr="00A67F27" w:rsidRDefault="00543ED0" w:rsidP="007B104D">
            <w:pPr>
              <w:pStyle w:val="Subtitle2"/>
              <w:tabs>
                <w:tab w:val="left" w:pos="2610"/>
              </w:tabs>
              <w:spacing w:before="60"/>
              <w:rPr>
                <w:rFonts w:asciiTheme="majorBidi" w:hAnsiTheme="majorBidi" w:cstheme="majorBidi"/>
                <w:b w:val="0"/>
                <w:sz w:val="24"/>
              </w:rPr>
            </w:pPr>
          </w:p>
        </w:tc>
        <w:tc>
          <w:tcPr>
            <w:tcW w:w="1146" w:type="dxa"/>
          </w:tcPr>
          <w:p w14:paraId="7E5E8697" w14:textId="77777777" w:rsidR="00543ED0" w:rsidRPr="00A67F27" w:rsidRDefault="00543ED0" w:rsidP="007B104D">
            <w:pPr>
              <w:pStyle w:val="Subtitle2"/>
              <w:tabs>
                <w:tab w:val="left" w:pos="2610"/>
              </w:tabs>
              <w:spacing w:before="60"/>
              <w:rPr>
                <w:rFonts w:asciiTheme="majorBidi" w:hAnsiTheme="majorBidi" w:cstheme="majorBidi"/>
                <w:b w:val="0"/>
                <w:sz w:val="24"/>
              </w:rPr>
            </w:pPr>
          </w:p>
        </w:tc>
        <w:tc>
          <w:tcPr>
            <w:tcW w:w="1147" w:type="dxa"/>
          </w:tcPr>
          <w:p w14:paraId="0B5E4F5C" w14:textId="77777777" w:rsidR="00543ED0" w:rsidRPr="00A67F27" w:rsidRDefault="00543ED0" w:rsidP="007B104D">
            <w:pPr>
              <w:pStyle w:val="Subtitle2"/>
              <w:tabs>
                <w:tab w:val="left" w:pos="2610"/>
              </w:tabs>
              <w:spacing w:before="60"/>
              <w:rPr>
                <w:rFonts w:asciiTheme="majorBidi" w:hAnsiTheme="majorBidi" w:cstheme="majorBidi"/>
                <w:b w:val="0"/>
                <w:sz w:val="24"/>
              </w:rPr>
            </w:pPr>
          </w:p>
        </w:tc>
      </w:tr>
      <w:tr w:rsidR="00543ED0" w:rsidRPr="00A67F27" w14:paraId="20C968F9" w14:textId="77777777" w:rsidTr="00234F6E">
        <w:trPr>
          <w:cantSplit/>
          <w:trHeight w:val="440"/>
        </w:trPr>
        <w:tc>
          <w:tcPr>
            <w:tcW w:w="2959" w:type="dxa"/>
          </w:tcPr>
          <w:p w14:paraId="638C3A15" w14:textId="77777777" w:rsidR="00543ED0" w:rsidRPr="00A67F27" w:rsidRDefault="00543ED0" w:rsidP="007B104D">
            <w:pPr>
              <w:pStyle w:val="Subtitle2"/>
              <w:tabs>
                <w:tab w:val="left" w:pos="2610"/>
              </w:tabs>
              <w:spacing w:before="60"/>
              <w:jc w:val="left"/>
              <w:rPr>
                <w:rFonts w:asciiTheme="majorBidi" w:hAnsiTheme="majorBidi" w:cstheme="majorBidi"/>
                <w:b w:val="0"/>
                <w:sz w:val="24"/>
              </w:rPr>
            </w:pPr>
            <w:bookmarkStart w:id="534" w:name="_Toc487641827"/>
            <w:r w:rsidRPr="00A67F27">
              <w:rPr>
                <w:rFonts w:asciiTheme="majorBidi" w:hAnsiTheme="majorBidi" w:cstheme="majorBidi"/>
                <w:b w:val="0"/>
                <w:sz w:val="24"/>
              </w:rPr>
              <w:t>Engagements (E)</w:t>
            </w:r>
            <w:bookmarkEnd w:id="534"/>
          </w:p>
        </w:tc>
        <w:tc>
          <w:tcPr>
            <w:tcW w:w="1146" w:type="dxa"/>
          </w:tcPr>
          <w:p w14:paraId="159D2999" w14:textId="77777777" w:rsidR="00543ED0" w:rsidRPr="00A67F27" w:rsidRDefault="00543ED0" w:rsidP="007B104D">
            <w:pPr>
              <w:pStyle w:val="Subtitle2"/>
              <w:tabs>
                <w:tab w:val="left" w:pos="2610"/>
              </w:tabs>
              <w:spacing w:before="60"/>
              <w:rPr>
                <w:rFonts w:asciiTheme="majorBidi" w:hAnsiTheme="majorBidi" w:cstheme="majorBidi"/>
                <w:b w:val="0"/>
                <w:sz w:val="24"/>
              </w:rPr>
            </w:pPr>
          </w:p>
        </w:tc>
        <w:tc>
          <w:tcPr>
            <w:tcW w:w="1146" w:type="dxa"/>
          </w:tcPr>
          <w:p w14:paraId="4951909F" w14:textId="77777777" w:rsidR="00543ED0" w:rsidRPr="00A67F27" w:rsidRDefault="00543ED0" w:rsidP="007B104D">
            <w:pPr>
              <w:pStyle w:val="Subtitle2"/>
              <w:tabs>
                <w:tab w:val="left" w:pos="2610"/>
              </w:tabs>
              <w:spacing w:before="60"/>
              <w:rPr>
                <w:rFonts w:asciiTheme="majorBidi" w:hAnsiTheme="majorBidi" w:cstheme="majorBidi"/>
                <w:b w:val="0"/>
                <w:sz w:val="24"/>
              </w:rPr>
            </w:pPr>
          </w:p>
        </w:tc>
        <w:tc>
          <w:tcPr>
            <w:tcW w:w="1146" w:type="dxa"/>
          </w:tcPr>
          <w:p w14:paraId="59260CE3" w14:textId="77777777" w:rsidR="00543ED0" w:rsidRPr="00A67F27" w:rsidRDefault="00543ED0" w:rsidP="007B104D">
            <w:pPr>
              <w:pStyle w:val="Subtitle2"/>
              <w:tabs>
                <w:tab w:val="left" w:pos="2610"/>
              </w:tabs>
              <w:spacing w:before="60"/>
              <w:rPr>
                <w:rFonts w:asciiTheme="majorBidi" w:hAnsiTheme="majorBidi" w:cstheme="majorBidi"/>
                <w:b w:val="0"/>
                <w:sz w:val="24"/>
              </w:rPr>
            </w:pPr>
          </w:p>
        </w:tc>
        <w:tc>
          <w:tcPr>
            <w:tcW w:w="1146" w:type="dxa"/>
          </w:tcPr>
          <w:p w14:paraId="23C9343D" w14:textId="77777777" w:rsidR="00543ED0" w:rsidRPr="00A67F27" w:rsidRDefault="00543ED0" w:rsidP="007B104D">
            <w:pPr>
              <w:pStyle w:val="Subtitle2"/>
              <w:tabs>
                <w:tab w:val="left" w:pos="2610"/>
              </w:tabs>
              <w:spacing w:before="60"/>
              <w:rPr>
                <w:rFonts w:asciiTheme="majorBidi" w:hAnsiTheme="majorBidi" w:cstheme="majorBidi"/>
                <w:b w:val="0"/>
                <w:sz w:val="24"/>
              </w:rPr>
            </w:pPr>
          </w:p>
        </w:tc>
        <w:tc>
          <w:tcPr>
            <w:tcW w:w="1147" w:type="dxa"/>
          </w:tcPr>
          <w:p w14:paraId="78E5BE7B" w14:textId="77777777" w:rsidR="00543ED0" w:rsidRPr="00A67F27" w:rsidRDefault="00543ED0" w:rsidP="007B104D">
            <w:pPr>
              <w:pStyle w:val="Subtitle2"/>
              <w:tabs>
                <w:tab w:val="left" w:pos="2610"/>
              </w:tabs>
              <w:spacing w:before="60"/>
              <w:rPr>
                <w:rFonts w:asciiTheme="majorBidi" w:hAnsiTheme="majorBidi" w:cstheme="majorBidi"/>
                <w:b w:val="0"/>
                <w:sz w:val="24"/>
              </w:rPr>
            </w:pPr>
          </w:p>
        </w:tc>
      </w:tr>
      <w:tr w:rsidR="00543ED0" w:rsidRPr="00A67F27" w14:paraId="6698BA74" w14:textId="77777777" w:rsidTr="00234F6E">
        <w:trPr>
          <w:cantSplit/>
          <w:trHeight w:val="440"/>
        </w:trPr>
        <w:tc>
          <w:tcPr>
            <w:tcW w:w="2959" w:type="dxa"/>
          </w:tcPr>
          <w:p w14:paraId="69CCEEB3" w14:textId="77777777" w:rsidR="00543ED0" w:rsidRPr="00A67F27" w:rsidRDefault="00543ED0" w:rsidP="007B104D">
            <w:pPr>
              <w:pStyle w:val="Subtitle2"/>
              <w:tabs>
                <w:tab w:val="left" w:pos="2610"/>
              </w:tabs>
              <w:spacing w:before="60"/>
              <w:jc w:val="left"/>
              <w:rPr>
                <w:rFonts w:asciiTheme="majorBidi" w:hAnsiTheme="majorBidi" w:cstheme="majorBidi"/>
                <w:b w:val="0"/>
                <w:sz w:val="24"/>
              </w:rPr>
            </w:pPr>
            <w:bookmarkStart w:id="535" w:name="_Toc487641828"/>
            <w:r w:rsidRPr="00A67F27">
              <w:rPr>
                <w:rFonts w:asciiTheme="majorBidi" w:hAnsiTheme="majorBidi" w:cstheme="majorBidi"/>
                <w:b w:val="0"/>
                <w:sz w:val="24"/>
              </w:rPr>
              <w:t>Fonds de Roulement (FR)</w:t>
            </w:r>
            <w:bookmarkEnd w:id="535"/>
          </w:p>
        </w:tc>
        <w:tc>
          <w:tcPr>
            <w:tcW w:w="1146" w:type="dxa"/>
          </w:tcPr>
          <w:p w14:paraId="75EE257C" w14:textId="77777777" w:rsidR="00543ED0" w:rsidRPr="00A67F27" w:rsidRDefault="00543ED0" w:rsidP="007B104D">
            <w:pPr>
              <w:pStyle w:val="Subtitle2"/>
              <w:tabs>
                <w:tab w:val="left" w:pos="2610"/>
              </w:tabs>
              <w:spacing w:before="60"/>
              <w:rPr>
                <w:rFonts w:asciiTheme="majorBidi" w:hAnsiTheme="majorBidi" w:cstheme="majorBidi"/>
                <w:b w:val="0"/>
                <w:sz w:val="24"/>
              </w:rPr>
            </w:pPr>
          </w:p>
        </w:tc>
        <w:tc>
          <w:tcPr>
            <w:tcW w:w="1146" w:type="dxa"/>
          </w:tcPr>
          <w:p w14:paraId="4C210BCB" w14:textId="77777777" w:rsidR="00543ED0" w:rsidRPr="00A67F27" w:rsidRDefault="00543ED0" w:rsidP="007B104D">
            <w:pPr>
              <w:pStyle w:val="Subtitle2"/>
              <w:tabs>
                <w:tab w:val="left" w:pos="2610"/>
              </w:tabs>
              <w:spacing w:before="60"/>
              <w:rPr>
                <w:rFonts w:asciiTheme="majorBidi" w:hAnsiTheme="majorBidi" w:cstheme="majorBidi"/>
                <w:b w:val="0"/>
                <w:sz w:val="24"/>
              </w:rPr>
            </w:pPr>
          </w:p>
        </w:tc>
        <w:tc>
          <w:tcPr>
            <w:tcW w:w="1146" w:type="dxa"/>
          </w:tcPr>
          <w:p w14:paraId="2ACE4D6E" w14:textId="77777777" w:rsidR="00543ED0" w:rsidRPr="00A67F27" w:rsidRDefault="00543ED0" w:rsidP="007B104D">
            <w:pPr>
              <w:pStyle w:val="Subtitle2"/>
              <w:tabs>
                <w:tab w:val="left" w:pos="2610"/>
              </w:tabs>
              <w:spacing w:before="60"/>
              <w:rPr>
                <w:rFonts w:asciiTheme="majorBidi" w:hAnsiTheme="majorBidi" w:cstheme="majorBidi"/>
                <w:b w:val="0"/>
                <w:sz w:val="24"/>
              </w:rPr>
            </w:pPr>
          </w:p>
        </w:tc>
        <w:tc>
          <w:tcPr>
            <w:tcW w:w="1146" w:type="dxa"/>
          </w:tcPr>
          <w:p w14:paraId="477D30E7" w14:textId="77777777" w:rsidR="00543ED0" w:rsidRPr="00A67F27" w:rsidRDefault="00543ED0" w:rsidP="007B104D">
            <w:pPr>
              <w:pStyle w:val="Subtitle2"/>
              <w:tabs>
                <w:tab w:val="left" w:pos="2610"/>
              </w:tabs>
              <w:spacing w:before="60"/>
              <w:rPr>
                <w:rFonts w:asciiTheme="majorBidi" w:hAnsiTheme="majorBidi" w:cstheme="majorBidi"/>
                <w:b w:val="0"/>
                <w:sz w:val="24"/>
              </w:rPr>
            </w:pPr>
          </w:p>
        </w:tc>
        <w:tc>
          <w:tcPr>
            <w:tcW w:w="1147" w:type="dxa"/>
          </w:tcPr>
          <w:p w14:paraId="28C9F3BF" w14:textId="77777777" w:rsidR="00543ED0" w:rsidRPr="00A67F27" w:rsidRDefault="00543ED0" w:rsidP="007B104D">
            <w:pPr>
              <w:pStyle w:val="Subtitle2"/>
              <w:tabs>
                <w:tab w:val="left" w:pos="2610"/>
              </w:tabs>
              <w:spacing w:before="60"/>
              <w:rPr>
                <w:rFonts w:asciiTheme="majorBidi" w:hAnsiTheme="majorBidi" w:cstheme="majorBidi"/>
                <w:b w:val="0"/>
                <w:sz w:val="24"/>
              </w:rPr>
            </w:pPr>
          </w:p>
        </w:tc>
      </w:tr>
      <w:tr w:rsidR="00543ED0" w:rsidRPr="00A67F27" w14:paraId="0BC672D6" w14:textId="77777777" w:rsidTr="00234F6E">
        <w:trPr>
          <w:cantSplit/>
          <w:trHeight w:val="440"/>
        </w:trPr>
        <w:tc>
          <w:tcPr>
            <w:tcW w:w="8690" w:type="dxa"/>
            <w:gridSpan w:val="6"/>
          </w:tcPr>
          <w:p w14:paraId="0C35ECB4" w14:textId="77777777" w:rsidR="00543ED0" w:rsidRPr="00A67F27" w:rsidRDefault="00543ED0" w:rsidP="007B104D">
            <w:pPr>
              <w:pStyle w:val="Subtitle2"/>
              <w:tabs>
                <w:tab w:val="left" w:pos="2610"/>
              </w:tabs>
              <w:spacing w:before="60"/>
              <w:rPr>
                <w:rFonts w:asciiTheme="majorBidi" w:hAnsiTheme="majorBidi" w:cstheme="majorBidi"/>
                <w:b w:val="0"/>
                <w:sz w:val="24"/>
              </w:rPr>
            </w:pPr>
            <w:bookmarkStart w:id="536" w:name="_Toc487641829"/>
            <w:r w:rsidRPr="00A67F27">
              <w:rPr>
                <w:rFonts w:asciiTheme="majorBidi" w:hAnsiTheme="majorBidi" w:cstheme="majorBidi"/>
                <w:b w:val="0"/>
                <w:sz w:val="24"/>
              </w:rPr>
              <w:t>Information des comptes de résultats</w:t>
            </w:r>
            <w:bookmarkEnd w:id="536"/>
          </w:p>
        </w:tc>
      </w:tr>
      <w:tr w:rsidR="00543ED0" w:rsidRPr="00A67F27" w14:paraId="0B047099" w14:textId="77777777" w:rsidTr="00234F6E">
        <w:trPr>
          <w:cantSplit/>
          <w:trHeight w:val="458"/>
        </w:trPr>
        <w:tc>
          <w:tcPr>
            <w:tcW w:w="2959" w:type="dxa"/>
          </w:tcPr>
          <w:p w14:paraId="57302D1E" w14:textId="77777777" w:rsidR="00543ED0" w:rsidRPr="00A67F27" w:rsidRDefault="00543ED0" w:rsidP="007B104D">
            <w:pPr>
              <w:pStyle w:val="Subtitle2"/>
              <w:tabs>
                <w:tab w:val="left" w:pos="2610"/>
              </w:tabs>
              <w:spacing w:before="60"/>
              <w:jc w:val="left"/>
              <w:rPr>
                <w:rFonts w:asciiTheme="majorBidi" w:hAnsiTheme="majorBidi" w:cstheme="majorBidi"/>
                <w:b w:val="0"/>
                <w:sz w:val="24"/>
              </w:rPr>
            </w:pPr>
            <w:bookmarkStart w:id="537" w:name="_Toc487641830"/>
            <w:r w:rsidRPr="00A67F27">
              <w:rPr>
                <w:rFonts w:asciiTheme="majorBidi" w:hAnsiTheme="majorBidi" w:cstheme="majorBidi"/>
                <w:b w:val="0"/>
                <w:sz w:val="24"/>
              </w:rPr>
              <w:t>Recettes totales (RT)</w:t>
            </w:r>
            <w:bookmarkEnd w:id="537"/>
          </w:p>
        </w:tc>
        <w:tc>
          <w:tcPr>
            <w:tcW w:w="1146" w:type="dxa"/>
          </w:tcPr>
          <w:p w14:paraId="6E3FCCA2" w14:textId="77777777" w:rsidR="00543ED0" w:rsidRPr="00A67F27" w:rsidRDefault="00543ED0" w:rsidP="007B104D">
            <w:pPr>
              <w:pStyle w:val="Subtitle2"/>
              <w:tabs>
                <w:tab w:val="left" w:pos="2610"/>
              </w:tabs>
              <w:spacing w:before="60"/>
              <w:rPr>
                <w:rFonts w:asciiTheme="majorBidi" w:hAnsiTheme="majorBidi" w:cstheme="majorBidi"/>
                <w:b w:val="0"/>
                <w:sz w:val="24"/>
              </w:rPr>
            </w:pPr>
          </w:p>
        </w:tc>
        <w:tc>
          <w:tcPr>
            <w:tcW w:w="1146" w:type="dxa"/>
          </w:tcPr>
          <w:p w14:paraId="209A62E8" w14:textId="77777777" w:rsidR="00543ED0" w:rsidRPr="00A67F27" w:rsidRDefault="00543ED0" w:rsidP="007B104D">
            <w:pPr>
              <w:pStyle w:val="Subtitle2"/>
              <w:tabs>
                <w:tab w:val="left" w:pos="2610"/>
              </w:tabs>
              <w:spacing w:before="60"/>
              <w:rPr>
                <w:rFonts w:asciiTheme="majorBidi" w:hAnsiTheme="majorBidi" w:cstheme="majorBidi"/>
                <w:b w:val="0"/>
                <w:sz w:val="24"/>
              </w:rPr>
            </w:pPr>
          </w:p>
        </w:tc>
        <w:tc>
          <w:tcPr>
            <w:tcW w:w="1146" w:type="dxa"/>
          </w:tcPr>
          <w:p w14:paraId="5DD12217" w14:textId="77777777" w:rsidR="00543ED0" w:rsidRPr="00A67F27" w:rsidRDefault="00543ED0" w:rsidP="007B104D">
            <w:pPr>
              <w:pStyle w:val="Subtitle2"/>
              <w:tabs>
                <w:tab w:val="left" w:pos="2610"/>
              </w:tabs>
              <w:spacing w:before="60"/>
              <w:rPr>
                <w:rFonts w:asciiTheme="majorBidi" w:hAnsiTheme="majorBidi" w:cstheme="majorBidi"/>
                <w:b w:val="0"/>
                <w:sz w:val="24"/>
              </w:rPr>
            </w:pPr>
          </w:p>
        </w:tc>
        <w:tc>
          <w:tcPr>
            <w:tcW w:w="1146" w:type="dxa"/>
          </w:tcPr>
          <w:p w14:paraId="3B15B4F5" w14:textId="77777777" w:rsidR="00543ED0" w:rsidRPr="00A67F27" w:rsidRDefault="00543ED0" w:rsidP="007B104D">
            <w:pPr>
              <w:pStyle w:val="Subtitle2"/>
              <w:tabs>
                <w:tab w:val="left" w:pos="2610"/>
              </w:tabs>
              <w:spacing w:before="60"/>
              <w:rPr>
                <w:rFonts w:asciiTheme="majorBidi" w:hAnsiTheme="majorBidi" w:cstheme="majorBidi"/>
                <w:b w:val="0"/>
                <w:sz w:val="24"/>
              </w:rPr>
            </w:pPr>
          </w:p>
        </w:tc>
        <w:tc>
          <w:tcPr>
            <w:tcW w:w="1147" w:type="dxa"/>
          </w:tcPr>
          <w:p w14:paraId="4ACBE45C" w14:textId="77777777" w:rsidR="00543ED0" w:rsidRPr="00A67F27" w:rsidRDefault="00543ED0" w:rsidP="007B104D">
            <w:pPr>
              <w:pStyle w:val="Subtitle2"/>
              <w:tabs>
                <w:tab w:val="left" w:pos="2610"/>
              </w:tabs>
              <w:spacing w:before="60"/>
              <w:rPr>
                <w:rFonts w:asciiTheme="majorBidi" w:hAnsiTheme="majorBidi" w:cstheme="majorBidi"/>
                <w:b w:val="0"/>
                <w:sz w:val="24"/>
              </w:rPr>
            </w:pPr>
          </w:p>
        </w:tc>
      </w:tr>
      <w:tr w:rsidR="00543ED0" w:rsidRPr="00A67F27" w14:paraId="662B649D" w14:textId="77777777" w:rsidTr="00234F6E">
        <w:trPr>
          <w:cantSplit/>
          <w:trHeight w:val="530"/>
        </w:trPr>
        <w:tc>
          <w:tcPr>
            <w:tcW w:w="2959" w:type="dxa"/>
          </w:tcPr>
          <w:p w14:paraId="44604286" w14:textId="77777777" w:rsidR="00543ED0" w:rsidRPr="00A67F27" w:rsidRDefault="00543ED0" w:rsidP="007B104D">
            <w:pPr>
              <w:pStyle w:val="Subtitle2"/>
              <w:tabs>
                <w:tab w:val="left" w:pos="2610"/>
              </w:tabs>
              <w:spacing w:before="60"/>
              <w:ind w:left="0" w:firstLine="0"/>
              <w:jc w:val="left"/>
              <w:rPr>
                <w:rFonts w:asciiTheme="majorBidi" w:hAnsiTheme="majorBidi" w:cstheme="majorBidi"/>
                <w:b w:val="0"/>
                <w:sz w:val="24"/>
              </w:rPr>
            </w:pPr>
            <w:bookmarkStart w:id="538" w:name="_Toc487641831"/>
            <w:r w:rsidRPr="00A67F27">
              <w:rPr>
                <w:rFonts w:asciiTheme="majorBidi" w:hAnsiTheme="majorBidi" w:cstheme="majorBidi"/>
                <w:b w:val="0"/>
                <w:sz w:val="24"/>
              </w:rPr>
              <w:t>Bénéfices avant impôts (BAI)</w:t>
            </w:r>
            <w:bookmarkEnd w:id="538"/>
          </w:p>
        </w:tc>
        <w:tc>
          <w:tcPr>
            <w:tcW w:w="1146" w:type="dxa"/>
          </w:tcPr>
          <w:p w14:paraId="3BE4D736" w14:textId="77777777" w:rsidR="00543ED0" w:rsidRPr="00A67F27" w:rsidRDefault="00543ED0" w:rsidP="007B104D">
            <w:pPr>
              <w:pStyle w:val="Subtitle2"/>
              <w:tabs>
                <w:tab w:val="left" w:pos="2610"/>
              </w:tabs>
              <w:spacing w:before="60"/>
              <w:rPr>
                <w:rFonts w:asciiTheme="majorBidi" w:hAnsiTheme="majorBidi" w:cstheme="majorBidi"/>
                <w:b w:val="0"/>
                <w:sz w:val="24"/>
              </w:rPr>
            </w:pPr>
          </w:p>
        </w:tc>
        <w:tc>
          <w:tcPr>
            <w:tcW w:w="1146" w:type="dxa"/>
          </w:tcPr>
          <w:p w14:paraId="552105DD" w14:textId="77777777" w:rsidR="00543ED0" w:rsidRPr="00A67F27" w:rsidRDefault="00543ED0" w:rsidP="007B104D">
            <w:pPr>
              <w:pStyle w:val="Subtitle2"/>
              <w:tabs>
                <w:tab w:val="left" w:pos="2610"/>
              </w:tabs>
              <w:spacing w:before="60"/>
              <w:rPr>
                <w:rFonts w:asciiTheme="majorBidi" w:hAnsiTheme="majorBidi" w:cstheme="majorBidi"/>
                <w:b w:val="0"/>
                <w:sz w:val="24"/>
              </w:rPr>
            </w:pPr>
          </w:p>
        </w:tc>
        <w:tc>
          <w:tcPr>
            <w:tcW w:w="1146" w:type="dxa"/>
          </w:tcPr>
          <w:p w14:paraId="6EEAC18E" w14:textId="77777777" w:rsidR="00543ED0" w:rsidRPr="00A67F27" w:rsidRDefault="00543ED0" w:rsidP="007B104D">
            <w:pPr>
              <w:pStyle w:val="Subtitle2"/>
              <w:tabs>
                <w:tab w:val="left" w:pos="2610"/>
              </w:tabs>
              <w:spacing w:before="60"/>
              <w:rPr>
                <w:rFonts w:asciiTheme="majorBidi" w:hAnsiTheme="majorBidi" w:cstheme="majorBidi"/>
                <w:b w:val="0"/>
                <w:sz w:val="24"/>
              </w:rPr>
            </w:pPr>
          </w:p>
        </w:tc>
        <w:tc>
          <w:tcPr>
            <w:tcW w:w="1146" w:type="dxa"/>
          </w:tcPr>
          <w:p w14:paraId="3F104F5C" w14:textId="77777777" w:rsidR="00543ED0" w:rsidRPr="00A67F27" w:rsidRDefault="00543ED0" w:rsidP="007B104D">
            <w:pPr>
              <w:pStyle w:val="Subtitle2"/>
              <w:tabs>
                <w:tab w:val="left" w:pos="2610"/>
              </w:tabs>
              <w:spacing w:before="60"/>
              <w:rPr>
                <w:rFonts w:asciiTheme="majorBidi" w:hAnsiTheme="majorBidi" w:cstheme="majorBidi"/>
                <w:b w:val="0"/>
                <w:sz w:val="24"/>
              </w:rPr>
            </w:pPr>
          </w:p>
        </w:tc>
        <w:tc>
          <w:tcPr>
            <w:tcW w:w="1147" w:type="dxa"/>
          </w:tcPr>
          <w:p w14:paraId="6FC1501D" w14:textId="77777777" w:rsidR="00543ED0" w:rsidRPr="00A67F27" w:rsidRDefault="00543ED0" w:rsidP="007B104D">
            <w:pPr>
              <w:pStyle w:val="Subtitle2"/>
              <w:tabs>
                <w:tab w:val="left" w:pos="2610"/>
              </w:tabs>
              <w:spacing w:before="60"/>
              <w:rPr>
                <w:rFonts w:asciiTheme="majorBidi" w:hAnsiTheme="majorBidi" w:cstheme="majorBidi"/>
                <w:b w:val="0"/>
                <w:sz w:val="24"/>
              </w:rPr>
            </w:pPr>
          </w:p>
        </w:tc>
      </w:tr>
      <w:tr w:rsidR="00543ED0" w:rsidRPr="00A67F27" w14:paraId="3F1F9248" w14:textId="77777777" w:rsidTr="00234F6E">
        <w:trPr>
          <w:cantSplit/>
          <w:trHeight w:val="530"/>
        </w:trPr>
        <w:tc>
          <w:tcPr>
            <w:tcW w:w="8690" w:type="dxa"/>
            <w:gridSpan w:val="6"/>
          </w:tcPr>
          <w:p w14:paraId="29BFD372" w14:textId="77777777" w:rsidR="00543ED0" w:rsidRPr="00A67F27" w:rsidRDefault="00543ED0" w:rsidP="007B104D">
            <w:pPr>
              <w:pStyle w:val="Subtitle2"/>
              <w:spacing w:before="60"/>
              <w:rPr>
                <w:rFonts w:asciiTheme="majorBidi" w:hAnsiTheme="majorBidi" w:cstheme="majorBidi"/>
                <w:b w:val="0"/>
                <w:sz w:val="24"/>
              </w:rPr>
            </w:pPr>
            <w:bookmarkStart w:id="539" w:name="_Toc487641832"/>
            <w:r w:rsidRPr="00A67F27">
              <w:rPr>
                <w:rFonts w:asciiTheme="majorBidi" w:hAnsiTheme="majorBidi" w:cstheme="majorBidi"/>
                <w:b w:val="0"/>
                <w:sz w:val="24"/>
              </w:rPr>
              <w:t>Information sur la capacité de financement</w:t>
            </w:r>
            <w:bookmarkEnd w:id="539"/>
          </w:p>
        </w:tc>
      </w:tr>
      <w:tr w:rsidR="00543ED0" w:rsidRPr="00A67F27" w14:paraId="22B67678" w14:textId="77777777" w:rsidTr="00234F6E">
        <w:trPr>
          <w:cantSplit/>
          <w:trHeight w:val="530"/>
        </w:trPr>
        <w:tc>
          <w:tcPr>
            <w:tcW w:w="2959" w:type="dxa"/>
          </w:tcPr>
          <w:p w14:paraId="393BB424" w14:textId="77777777" w:rsidR="00543ED0" w:rsidRPr="00A67F27" w:rsidRDefault="00543ED0" w:rsidP="007B104D">
            <w:pPr>
              <w:pStyle w:val="Subtitle2"/>
              <w:spacing w:before="60"/>
              <w:ind w:left="0" w:firstLine="0"/>
              <w:jc w:val="left"/>
              <w:rPr>
                <w:rFonts w:asciiTheme="majorBidi" w:hAnsiTheme="majorBidi" w:cstheme="majorBidi"/>
                <w:b w:val="0"/>
                <w:sz w:val="24"/>
              </w:rPr>
            </w:pPr>
            <w:bookmarkStart w:id="540" w:name="_Toc487641833"/>
            <w:r w:rsidRPr="00A67F27">
              <w:rPr>
                <w:rFonts w:asciiTheme="majorBidi" w:hAnsiTheme="majorBidi" w:cstheme="majorBidi"/>
                <w:b w:val="0"/>
                <w:sz w:val="24"/>
              </w:rPr>
              <w:t>Capacité de financement générée par les activités opérationnelles</w:t>
            </w:r>
            <w:bookmarkEnd w:id="540"/>
          </w:p>
        </w:tc>
        <w:tc>
          <w:tcPr>
            <w:tcW w:w="1146" w:type="dxa"/>
          </w:tcPr>
          <w:p w14:paraId="427A96B4" w14:textId="77777777" w:rsidR="00543ED0" w:rsidRPr="00A67F27" w:rsidRDefault="00543ED0" w:rsidP="007B104D">
            <w:pPr>
              <w:pStyle w:val="Subtitle2"/>
              <w:spacing w:before="60"/>
              <w:rPr>
                <w:rFonts w:asciiTheme="majorBidi" w:hAnsiTheme="majorBidi" w:cstheme="majorBidi"/>
                <w:b w:val="0"/>
                <w:sz w:val="24"/>
              </w:rPr>
            </w:pPr>
          </w:p>
        </w:tc>
        <w:tc>
          <w:tcPr>
            <w:tcW w:w="1146" w:type="dxa"/>
          </w:tcPr>
          <w:p w14:paraId="73F4581F" w14:textId="77777777" w:rsidR="00543ED0" w:rsidRPr="00A67F27" w:rsidRDefault="00543ED0" w:rsidP="007B104D">
            <w:pPr>
              <w:pStyle w:val="Subtitle2"/>
              <w:spacing w:before="60"/>
              <w:rPr>
                <w:rFonts w:asciiTheme="majorBidi" w:hAnsiTheme="majorBidi" w:cstheme="majorBidi"/>
                <w:b w:val="0"/>
                <w:sz w:val="24"/>
              </w:rPr>
            </w:pPr>
          </w:p>
        </w:tc>
        <w:tc>
          <w:tcPr>
            <w:tcW w:w="1146" w:type="dxa"/>
          </w:tcPr>
          <w:p w14:paraId="7FE58A34" w14:textId="77777777" w:rsidR="00543ED0" w:rsidRPr="00A67F27" w:rsidRDefault="00543ED0" w:rsidP="007B104D">
            <w:pPr>
              <w:pStyle w:val="Subtitle2"/>
              <w:spacing w:before="60"/>
              <w:rPr>
                <w:rFonts w:asciiTheme="majorBidi" w:hAnsiTheme="majorBidi" w:cstheme="majorBidi"/>
                <w:b w:val="0"/>
                <w:sz w:val="24"/>
              </w:rPr>
            </w:pPr>
          </w:p>
        </w:tc>
        <w:tc>
          <w:tcPr>
            <w:tcW w:w="1146" w:type="dxa"/>
          </w:tcPr>
          <w:p w14:paraId="23F3F14A" w14:textId="77777777" w:rsidR="00543ED0" w:rsidRPr="00A67F27" w:rsidRDefault="00543ED0" w:rsidP="007B104D">
            <w:pPr>
              <w:pStyle w:val="Subtitle2"/>
              <w:spacing w:before="60"/>
              <w:rPr>
                <w:rFonts w:asciiTheme="majorBidi" w:hAnsiTheme="majorBidi" w:cstheme="majorBidi"/>
                <w:b w:val="0"/>
                <w:sz w:val="24"/>
              </w:rPr>
            </w:pPr>
          </w:p>
        </w:tc>
        <w:tc>
          <w:tcPr>
            <w:tcW w:w="1147" w:type="dxa"/>
          </w:tcPr>
          <w:p w14:paraId="607C7C39" w14:textId="77777777" w:rsidR="00543ED0" w:rsidRPr="00A67F27" w:rsidRDefault="00543ED0" w:rsidP="007B104D">
            <w:pPr>
              <w:pStyle w:val="Subtitle2"/>
              <w:spacing w:before="60"/>
              <w:rPr>
                <w:rFonts w:asciiTheme="majorBidi" w:hAnsiTheme="majorBidi" w:cstheme="majorBidi"/>
                <w:b w:val="0"/>
                <w:sz w:val="24"/>
              </w:rPr>
            </w:pPr>
          </w:p>
        </w:tc>
      </w:tr>
    </w:tbl>
    <w:p w14:paraId="4CEB9250" w14:textId="77777777" w:rsidR="00543ED0" w:rsidRPr="00A67F27" w:rsidRDefault="00543ED0" w:rsidP="00543ED0">
      <w:pPr>
        <w:pStyle w:val="En-tte"/>
        <w:tabs>
          <w:tab w:val="left" w:pos="2610"/>
        </w:tabs>
        <w:rPr>
          <w:rFonts w:asciiTheme="majorBidi" w:hAnsiTheme="majorBidi" w:cstheme="majorBidi"/>
        </w:rPr>
      </w:pPr>
    </w:p>
    <w:p w14:paraId="4B149680" w14:textId="77777777" w:rsidR="00543ED0" w:rsidRPr="00A67F27" w:rsidRDefault="00543ED0" w:rsidP="00543ED0">
      <w:pPr>
        <w:jc w:val="left"/>
        <w:rPr>
          <w:rFonts w:asciiTheme="majorBidi" w:hAnsiTheme="majorBidi" w:cstheme="majorBidi"/>
          <w:b/>
          <w:szCs w:val="24"/>
        </w:rPr>
      </w:pPr>
      <w:r w:rsidRPr="00A67F27">
        <w:rPr>
          <w:rFonts w:asciiTheme="majorBidi" w:hAnsiTheme="majorBidi" w:cstheme="majorBidi"/>
          <w:b/>
          <w:szCs w:val="24"/>
        </w:rPr>
        <w:br w:type="page"/>
      </w:r>
    </w:p>
    <w:p w14:paraId="6FDE8297" w14:textId="77777777" w:rsidR="00543ED0" w:rsidRPr="00A67F27" w:rsidRDefault="00543ED0" w:rsidP="00543ED0">
      <w:pPr>
        <w:pStyle w:val="En-tte"/>
        <w:tabs>
          <w:tab w:val="left" w:pos="2610"/>
        </w:tabs>
        <w:rPr>
          <w:rFonts w:asciiTheme="majorBidi" w:hAnsiTheme="majorBidi" w:cstheme="majorBidi"/>
          <w:sz w:val="24"/>
          <w:szCs w:val="24"/>
        </w:rPr>
      </w:pPr>
      <w:r w:rsidRPr="00A67F27">
        <w:rPr>
          <w:rFonts w:asciiTheme="majorBidi" w:hAnsiTheme="majorBidi" w:cstheme="majorBidi"/>
          <w:b/>
          <w:sz w:val="24"/>
          <w:szCs w:val="24"/>
        </w:rPr>
        <w:lastRenderedPageBreak/>
        <w:t>2. Sources de financement</w:t>
      </w:r>
    </w:p>
    <w:p w14:paraId="5002EC46" w14:textId="647DEE23" w:rsidR="00543ED0" w:rsidRPr="00A67F27" w:rsidRDefault="00543ED0" w:rsidP="00EA698F">
      <w:pPr>
        <w:tabs>
          <w:tab w:val="left" w:pos="2610"/>
        </w:tabs>
        <w:spacing w:after="180"/>
        <w:ind w:left="0" w:firstLine="0"/>
        <w:rPr>
          <w:rFonts w:asciiTheme="majorBidi" w:hAnsiTheme="majorBidi" w:cstheme="majorBidi"/>
        </w:rPr>
      </w:pPr>
      <w:r w:rsidRPr="00A67F27">
        <w:rPr>
          <w:rFonts w:asciiTheme="majorBidi" w:hAnsiTheme="majorBidi" w:cstheme="majorBidi"/>
        </w:rPr>
        <w:t>Indiquer les sources de financement permettant de satisfaire les besoins de trésorerie liés aux travaux en cours et les engagements de marchés à venir</w:t>
      </w:r>
      <w:r w:rsidR="009B2302" w:rsidRPr="00A67F27">
        <w:rPr>
          <w:rFonts w:asciiTheme="majorBidi" w:hAnsiTheme="majorBidi" w:cstheme="majorBidi"/>
        </w:rPr>
        <w:t> :</w:t>
      </w:r>
      <w:r w:rsidRPr="00A67F27">
        <w:rPr>
          <w:rFonts w:asciiTheme="majorBidi" w:hAnsiTheme="majorBidi" w:cstheme="majorBidi"/>
        </w:rPr>
        <w:t xml:space="preserve"> </w:t>
      </w:r>
    </w:p>
    <w:tbl>
      <w:tblPr>
        <w:tblW w:w="9450" w:type="dxa"/>
        <w:tblInd w:w="72" w:type="dxa"/>
        <w:tblLayout w:type="fixed"/>
        <w:tblCellMar>
          <w:left w:w="72" w:type="dxa"/>
          <w:right w:w="72" w:type="dxa"/>
        </w:tblCellMar>
        <w:tblLook w:val="0000" w:firstRow="0" w:lastRow="0" w:firstColumn="0" w:lastColumn="0" w:noHBand="0" w:noVBand="0"/>
      </w:tblPr>
      <w:tblGrid>
        <w:gridCol w:w="6480"/>
        <w:gridCol w:w="2970"/>
      </w:tblGrid>
      <w:tr w:rsidR="00543ED0" w:rsidRPr="00A67F27" w14:paraId="24164564" w14:textId="77777777" w:rsidTr="00956352">
        <w:trPr>
          <w:cantSplit/>
        </w:trPr>
        <w:tc>
          <w:tcPr>
            <w:tcW w:w="6480" w:type="dxa"/>
            <w:tcBorders>
              <w:top w:val="single" w:sz="6" w:space="0" w:color="auto"/>
              <w:left w:val="single" w:sz="6" w:space="0" w:color="auto"/>
              <w:bottom w:val="nil"/>
              <w:right w:val="nil"/>
            </w:tcBorders>
          </w:tcPr>
          <w:p w14:paraId="1B2F263A" w14:textId="77777777" w:rsidR="00543ED0" w:rsidRPr="00A67F27" w:rsidRDefault="00543ED0" w:rsidP="007B104D">
            <w:pPr>
              <w:tabs>
                <w:tab w:val="left" w:pos="2610"/>
              </w:tabs>
              <w:spacing w:before="60" w:after="60"/>
              <w:ind w:left="0" w:firstLine="0"/>
              <w:jc w:val="center"/>
              <w:rPr>
                <w:rStyle w:val="Table"/>
                <w:rFonts w:asciiTheme="majorBidi" w:hAnsiTheme="majorBidi" w:cstheme="majorBidi"/>
                <w:b/>
                <w:bCs/>
                <w:spacing w:val="-2"/>
              </w:rPr>
            </w:pPr>
            <w:r w:rsidRPr="003C4F3B">
              <w:rPr>
                <w:rFonts w:asciiTheme="majorBidi" w:hAnsiTheme="majorBidi" w:cstheme="majorBidi"/>
                <w:b/>
                <w:bCs/>
              </w:rPr>
              <w:t>Source de financement</w:t>
            </w:r>
          </w:p>
        </w:tc>
        <w:tc>
          <w:tcPr>
            <w:tcW w:w="2970" w:type="dxa"/>
            <w:tcBorders>
              <w:top w:val="single" w:sz="6" w:space="0" w:color="auto"/>
              <w:left w:val="single" w:sz="6" w:space="0" w:color="auto"/>
              <w:bottom w:val="nil"/>
              <w:right w:val="single" w:sz="6" w:space="0" w:color="auto"/>
            </w:tcBorders>
          </w:tcPr>
          <w:p w14:paraId="7ADA4F04" w14:textId="430CCB13" w:rsidR="00543ED0" w:rsidRPr="00A67F27" w:rsidRDefault="00543ED0" w:rsidP="007B104D">
            <w:pPr>
              <w:tabs>
                <w:tab w:val="left" w:pos="2610"/>
              </w:tabs>
              <w:spacing w:before="60" w:after="60"/>
              <w:ind w:left="0" w:firstLine="0"/>
              <w:jc w:val="center"/>
              <w:rPr>
                <w:rStyle w:val="Table"/>
                <w:rFonts w:asciiTheme="majorBidi" w:hAnsiTheme="majorBidi" w:cstheme="majorBidi"/>
                <w:b/>
                <w:bCs/>
                <w:spacing w:val="-2"/>
                <w:sz w:val="24"/>
                <w:szCs w:val="24"/>
              </w:rPr>
            </w:pPr>
            <w:r w:rsidRPr="00A67F27">
              <w:rPr>
                <w:rStyle w:val="Table"/>
                <w:rFonts w:asciiTheme="majorBidi" w:hAnsiTheme="majorBidi" w:cstheme="majorBidi"/>
                <w:b/>
                <w:bCs/>
                <w:spacing w:val="-2"/>
                <w:sz w:val="24"/>
                <w:szCs w:val="24"/>
              </w:rPr>
              <w:t xml:space="preserve">Montant </w:t>
            </w:r>
            <w:r w:rsidR="007B104D" w:rsidRPr="00A67F27">
              <w:rPr>
                <w:rStyle w:val="Table"/>
                <w:rFonts w:asciiTheme="majorBidi" w:hAnsiTheme="majorBidi" w:cstheme="majorBidi"/>
                <w:b/>
                <w:bCs/>
                <w:spacing w:val="-2"/>
                <w:sz w:val="24"/>
                <w:szCs w:val="24"/>
              </w:rPr>
              <w:br/>
            </w:r>
            <w:r w:rsidRPr="00A67F27">
              <w:rPr>
                <w:rStyle w:val="Table"/>
                <w:rFonts w:asciiTheme="majorBidi" w:hAnsiTheme="majorBidi" w:cstheme="majorBidi"/>
                <w:b/>
                <w:bCs/>
                <w:spacing w:val="-2"/>
                <w:sz w:val="24"/>
                <w:szCs w:val="24"/>
              </w:rPr>
              <w:t>(équivalent en US$)</w:t>
            </w:r>
          </w:p>
        </w:tc>
      </w:tr>
      <w:tr w:rsidR="00543ED0" w:rsidRPr="00A67F27" w14:paraId="3C078178" w14:textId="77777777" w:rsidTr="00956352">
        <w:trPr>
          <w:cantSplit/>
        </w:trPr>
        <w:tc>
          <w:tcPr>
            <w:tcW w:w="6480" w:type="dxa"/>
            <w:tcBorders>
              <w:top w:val="single" w:sz="6" w:space="0" w:color="auto"/>
              <w:left w:val="single" w:sz="6" w:space="0" w:color="auto"/>
              <w:bottom w:val="nil"/>
              <w:right w:val="nil"/>
            </w:tcBorders>
          </w:tcPr>
          <w:p w14:paraId="0570C767" w14:textId="77777777" w:rsidR="00543ED0" w:rsidRPr="00A67F27" w:rsidRDefault="00543ED0" w:rsidP="00BE4B6F">
            <w:pPr>
              <w:tabs>
                <w:tab w:val="left" w:pos="2610"/>
              </w:tabs>
              <w:spacing w:before="60" w:after="60"/>
              <w:rPr>
                <w:rStyle w:val="Table"/>
                <w:rFonts w:asciiTheme="majorBidi" w:hAnsiTheme="majorBidi" w:cstheme="majorBidi"/>
                <w:spacing w:val="-2"/>
                <w:sz w:val="22"/>
              </w:rPr>
            </w:pPr>
            <w:r w:rsidRPr="00A67F27">
              <w:rPr>
                <w:rStyle w:val="Table"/>
                <w:rFonts w:asciiTheme="majorBidi" w:hAnsiTheme="majorBidi" w:cstheme="majorBidi"/>
                <w:spacing w:val="-2"/>
                <w:sz w:val="22"/>
              </w:rPr>
              <w:t>1.</w:t>
            </w:r>
          </w:p>
          <w:p w14:paraId="529E6520" w14:textId="77777777" w:rsidR="00543ED0" w:rsidRPr="00A67F27" w:rsidRDefault="00543ED0" w:rsidP="00BE4B6F">
            <w:pPr>
              <w:tabs>
                <w:tab w:val="left" w:pos="2610"/>
              </w:tabs>
              <w:spacing w:before="60" w:after="60"/>
              <w:rPr>
                <w:rStyle w:val="Table"/>
                <w:rFonts w:asciiTheme="majorBidi" w:hAnsiTheme="majorBidi" w:cstheme="majorBidi"/>
                <w:spacing w:val="-2"/>
                <w:sz w:val="22"/>
              </w:rPr>
            </w:pPr>
          </w:p>
        </w:tc>
        <w:tc>
          <w:tcPr>
            <w:tcW w:w="2970" w:type="dxa"/>
            <w:tcBorders>
              <w:top w:val="single" w:sz="6" w:space="0" w:color="auto"/>
              <w:left w:val="single" w:sz="6" w:space="0" w:color="auto"/>
              <w:bottom w:val="nil"/>
              <w:right w:val="single" w:sz="6" w:space="0" w:color="auto"/>
            </w:tcBorders>
          </w:tcPr>
          <w:p w14:paraId="219A6AFF" w14:textId="77777777" w:rsidR="00543ED0" w:rsidRPr="00A67F27" w:rsidRDefault="00543ED0" w:rsidP="00BE4B6F">
            <w:pPr>
              <w:tabs>
                <w:tab w:val="left" w:pos="2610"/>
              </w:tabs>
              <w:spacing w:before="60" w:after="60"/>
              <w:rPr>
                <w:rStyle w:val="Table"/>
                <w:rFonts w:asciiTheme="majorBidi" w:hAnsiTheme="majorBidi" w:cstheme="majorBidi"/>
                <w:spacing w:val="-2"/>
                <w:sz w:val="22"/>
              </w:rPr>
            </w:pPr>
          </w:p>
        </w:tc>
      </w:tr>
      <w:tr w:rsidR="00543ED0" w:rsidRPr="00A67F27" w14:paraId="4A13019D" w14:textId="77777777" w:rsidTr="00956352">
        <w:trPr>
          <w:cantSplit/>
        </w:trPr>
        <w:tc>
          <w:tcPr>
            <w:tcW w:w="6480" w:type="dxa"/>
            <w:tcBorders>
              <w:top w:val="single" w:sz="6" w:space="0" w:color="auto"/>
              <w:left w:val="single" w:sz="6" w:space="0" w:color="auto"/>
              <w:bottom w:val="nil"/>
              <w:right w:val="nil"/>
            </w:tcBorders>
          </w:tcPr>
          <w:p w14:paraId="06FEA15A" w14:textId="77777777" w:rsidR="00543ED0" w:rsidRPr="00A67F27" w:rsidRDefault="00543ED0" w:rsidP="00BE4B6F">
            <w:pPr>
              <w:tabs>
                <w:tab w:val="left" w:pos="2610"/>
              </w:tabs>
              <w:spacing w:before="60" w:after="60"/>
              <w:rPr>
                <w:rStyle w:val="Table"/>
                <w:rFonts w:asciiTheme="majorBidi" w:hAnsiTheme="majorBidi" w:cstheme="majorBidi"/>
                <w:spacing w:val="-2"/>
                <w:sz w:val="22"/>
              </w:rPr>
            </w:pPr>
            <w:r w:rsidRPr="00A67F27">
              <w:rPr>
                <w:rStyle w:val="Table"/>
                <w:rFonts w:asciiTheme="majorBidi" w:hAnsiTheme="majorBidi" w:cstheme="majorBidi"/>
                <w:spacing w:val="-2"/>
                <w:sz w:val="22"/>
              </w:rPr>
              <w:t>2.</w:t>
            </w:r>
          </w:p>
          <w:p w14:paraId="7180BB7B" w14:textId="77777777" w:rsidR="00543ED0" w:rsidRPr="00A67F27" w:rsidRDefault="00543ED0" w:rsidP="00BE4B6F">
            <w:pPr>
              <w:tabs>
                <w:tab w:val="left" w:pos="2610"/>
              </w:tabs>
              <w:spacing w:before="60" w:after="60"/>
              <w:rPr>
                <w:rStyle w:val="Table"/>
                <w:rFonts w:asciiTheme="majorBidi" w:hAnsiTheme="majorBidi" w:cstheme="majorBidi"/>
                <w:spacing w:val="-2"/>
                <w:sz w:val="22"/>
              </w:rPr>
            </w:pPr>
          </w:p>
        </w:tc>
        <w:tc>
          <w:tcPr>
            <w:tcW w:w="2970" w:type="dxa"/>
            <w:tcBorders>
              <w:top w:val="single" w:sz="6" w:space="0" w:color="auto"/>
              <w:left w:val="single" w:sz="6" w:space="0" w:color="auto"/>
              <w:bottom w:val="nil"/>
              <w:right w:val="single" w:sz="6" w:space="0" w:color="auto"/>
            </w:tcBorders>
          </w:tcPr>
          <w:p w14:paraId="72A549F4" w14:textId="77777777" w:rsidR="00543ED0" w:rsidRPr="00A67F27" w:rsidRDefault="00543ED0" w:rsidP="00BE4B6F">
            <w:pPr>
              <w:tabs>
                <w:tab w:val="left" w:pos="2610"/>
              </w:tabs>
              <w:spacing w:before="60" w:after="60"/>
              <w:rPr>
                <w:rStyle w:val="Table"/>
                <w:rFonts w:asciiTheme="majorBidi" w:hAnsiTheme="majorBidi" w:cstheme="majorBidi"/>
                <w:spacing w:val="-2"/>
                <w:sz w:val="22"/>
              </w:rPr>
            </w:pPr>
          </w:p>
        </w:tc>
      </w:tr>
      <w:tr w:rsidR="00543ED0" w:rsidRPr="00A67F27" w14:paraId="345C369E" w14:textId="77777777" w:rsidTr="00956352">
        <w:trPr>
          <w:cantSplit/>
        </w:trPr>
        <w:tc>
          <w:tcPr>
            <w:tcW w:w="6480" w:type="dxa"/>
            <w:tcBorders>
              <w:top w:val="single" w:sz="6" w:space="0" w:color="auto"/>
              <w:left w:val="single" w:sz="6" w:space="0" w:color="auto"/>
              <w:bottom w:val="nil"/>
              <w:right w:val="nil"/>
            </w:tcBorders>
          </w:tcPr>
          <w:p w14:paraId="5631B422" w14:textId="77777777" w:rsidR="00543ED0" w:rsidRPr="00A67F27" w:rsidRDefault="00543ED0" w:rsidP="00BE4B6F">
            <w:pPr>
              <w:tabs>
                <w:tab w:val="left" w:pos="2610"/>
              </w:tabs>
              <w:spacing w:before="60" w:after="60"/>
              <w:rPr>
                <w:rStyle w:val="Table"/>
                <w:rFonts w:asciiTheme="majorBidi" w:hAnsiTheme="majorBidi" w:cstheme="majorBidi"/>
                <w:spacing w:val="-2"/>
                <w:sz w:val="22"/>
              </w:rPr>
            </w:pPr>
            <w:r w:rsidRPr="00A67F27">
              <w:rPr>
                <w:rStyle w:val="Table"/>
                <w:rFonts w:asciiTheme="majorBidi" w:hAnsiTheme="majorBidi" w:cstheme="majorBidi"/>
                <w:spacing w:val="-2"/>
                <w:sz w:val="22"/>
              </w:rPr>
              <w:t>3.</w:t>
            </w:r>
          </w:p>
          <w:p w14:paraId="4BD85CDC" w14:textId="77777777" w:rsidR="00543ED0" w:rsidRPr="00A67F27" w:rsidRDefault="00543ED0" w:rsidP="00BE4B6F">
            <w:pPr>
              <w:tabs>
                <w:tab w:val="left" w:pos="2610"/>
              </w:tabs>
              <w:spacing w:before="60" w:after="60"/>
              <w:rPr>
                <w:rStyle w:val="Table"/>
                <w:rFonts w:asciiTheme="majorBidi" w:hAnsiTheme="majorBidi" w:cstheme="majorBidi"/>
                <w:spacing w:val="-2"/>
                <w:sz w:val="22"/>
              </w:rPr>
            </w:pPr>
          </w:p>
        </w:tc>
        <w:tc>
          <w:tcPr>
            <w:tcW w:w="2970" w:type="dxa"/>
            <w:tcBorders>
              <w:top w:val="single" w:sz="6" w:space="0" w:color="auto"/>
              <w:left w:val="single" w:sz="6" w:space="0" w:color="auto"/>
              <w:bottom w:val="nil"/>
              <w:right w:val="single" w:sz="6" w:space="0" w:color="auto"/>
            </w:tcBorders>
          </w:tcPr>
          <w:p w14:paraId="466F3BF6" w14:textId="77777777" w:rsidR="00543ED0" w:rsidRPr="00A67F27" w:rsidRDefault="00543ED0" w:rsidP="00BE4B6F">
            <w:pPr>
              <w:tabs>
                <w:tab w:val="left" w:pos="2610"/>
              </w:tabs>
              <w:spacing w:before="60" w:after="60"/>
              <w:rPr>
                <w:rStyle w:val="Table"/>
                <w:rFonts w:asciiTheme="majorBidi" w:hAnsiTheme="majorBidi" w:cstheme="majorBidi"/>
                <w:spacing w:val="-2"/>
                <w:sz w:val="22"/>
              </w:rPr>
            </w:pPr>
          </w:p>
        </w:tc>
      </w:tr>
      <w:tr w:rsidR="00543ED0" w:rsidRPr="00A67F27" w14:paraId="77A710C6" w14:textId="77777777" w:rsidTr="00956352">
        <w:trPr>
          <w:cantSplit/>
        </w:trPr>
        <w:tc>
          <w:tcPr>
            <w:tcW w:w="6480" w:type="dxa"/>
            <w:tcBorders>
              <w:top w:val="single" w:sz="6" w:space="0" w:color="auto"/>
              <w:left w:val="single" w:sz="6" w:space="0" w:color="auto"/>
              <w:bottom w:val="single" w:sz="6" w:space="0" w:color="auto"/>
              <w:right w:val="nil"/>
            </w:tcBorders>
          </w:tcPr>
          <w:p w14:paraId="50A8149A" w14:textId="77777777" w:rsidR="00543ED0" w:rsidRPr="00A67F27" w:rsidRDefault="00543ED0" w:rsidP="00BE4B6F">
            <w:pPr>
              <w:tabs>
                <w:tab w:val="left" w:pos="2610"/>
              </w:tabs>
              <w:spacing w:before="60" w:after="60"/>
              <w:rPr>
                <w:rStyle w:val="Table"/>
                <w:rFonts w:asciiTheme="majorBidi" w:hAnsiTheme="majorBidi" w:cstheme="majorBidi"/>
                <w:spacing w:val="-2"/>
                <w:sz w:val="22"/>
              </w:rPr>
            </w:pPr>
            <w:r w:rsidRPr="00A67F27">
              <w:rPr>
                <w:rStyle w:val="Table"/>
                <w:rFonts w:asciiTheme="majorBidi" w:hAnsiTheme="majorBidi" w:cstheme="majorBidi"/>
                <w:spacing w:val="-2"/>
                <w:sz w:val="22"/>
              </w:rPr>
              <w:t>4.</w:t>
            </w:r>
          </w:p>
          <w:p w14:paraId="5B2B438A" w14:textId="77777777" w:rsidR="00543ED0" w:rsidRPr="00A67F27" w:rsidRDefault="00543ED0" w:rsidP="00BE4B6F">
            <w:pPr>
              <w:tabs>
                <w:tab w:val="left" w:pos="2610"/>
              </w:tabs>
              <w:spacing w:before="60" w:after="60"/>
              <w:rPr>
                <w:rStyle w:val="Table"/>
                <w:rFonts w:asciiTheme="majorBidi" w:hAnsiTheme="majorBidi" w:cstheme="majorBidi"/>
                <w:spacing w:val="-2"/>
                <w:sz w:val="22"/>
              </w:rPr>
            </w:pPr>
          </w:p>
        </w:tc>
        <w:tc>
          <w:tcPr>
            <w:tcW w:w="2970" w:type="dxa"/>
            <w:tcBorders>
              <w:top w:val="single" w:sz="6" w:space="0" w:color="auto"/>
              <w:left w:val="single" w:sz="6" w:space="0" w:color="auto"/>
              <w:bottom w:val="single" w:sz="6" w:space="0" w:color="auto"/>
              <w:right w:val="single" w:sz="6" w:space="0" w:color="auto"/>
            </w:tcBorders>
          </w:tcPr>
          <w:p w14:paraId="25CAFF0B" w14:textId="77777777" w:rsidR="00543ED0" w:rsidRPr="00A67F27" w:rsidRDefault="00543ED0" w:rsidP="00BE4B6F">
            <w:pPr>
              <w:tabs>
                <w:tab w:val="left" w:pos="2610"/>
              </w:tabs>
              <w:spacing w:before="60" w:after="60"/>
              <w:rPr>
                <w:rStyle w:val="Table"/>
                <w:rFonts w:asciiTheme="majorBidi" w:hAnsiTheme="majorBidi" w:cstheme="majorBidi"/>
                <w:spacing w:val="-2"/>
                <w:sz w:val="22"/>
              </w:rPr>
            </w:pPr>
          </w:p>
        </w:tc>
      </w:tr>
    </w:tbl>
    <w:p w14:paraId="5F3B7C94" w14:textId="77777777" w:rsidR="00543ED0" w:rsidRPr="00A67F27" w:rsidRDefault="00543ED0" w:rsidP="00543ED0">
      <w:pPr>
        <w:pStyle w:val="SectionIVHeader-2"/>
        <w:tabs>
          <w:tab w:val="left" w:pos="2610"/>
        </w:tabs>
        <w:rPr>
          <w:rFonts w:asciiTheme="majorBidi" w:hAnsiTheme="majorBidi" w:cstheme="majorBidi"/>
        </w:rPr>
      </w:pPr>
    </w:p>
    <w:p w14:paraId="08273553" w14:textId="77777777" w:rsidR="00543ED0" w:rsidRPr="00A67F27" w:rsidRDefault="00543ED0" w:rsidP="00543ED0">
      <w:pPr>
        <w:pStyle w:val="En-tte"/>
        <w:tabs>
          <w:tab w:val="left" w:pos="2610"/>
        </w:tabs>
        <w:rPr>
          <w:rFonts w:asciiTheme="majorBidi" w:hAnsiTheme="majorBidi" w:cstheme="majorBidi"/>
          <w:b/>
          <w:sz w:val="24"/>
          <w:szCs w:val="24"/>
        </w:rPr>
      </w:pPr>
      <w:r w:rsidRPr="00A67F27">
        <w:rPr>
          <w:rFonts w:asciiTheme="majorBidi" w:hAnsiTheme="majorBidi" w:cstheme="majorBidi"/>
          <w:b/>
          <w:sz w:val="24"/>
          <w:szCs w:val="24"/>
        </w:rPr>
        <w:t>3. Documents financiers</w:t>
      </w:r>
    </w:p>
    <w:p w14:paraId="15678360" w14:textId="6B0A0F7E" w:rsidR="00543ED0" w:rsidRPr="00A67F27" w:rsidRDefault="00543ED0" w:rsidP="001C3A5F">
      <w:pPr>
        <w:pStyle w:val="Subtitle2"/>
        <w:tabs>
          <w:tab w:val="left" w:pos="2610"/>
        </w:tabs>
        <w:spacing w:before="40" w:after="40"/>
        <w:ind w:left="0" w:firstLine="0"/>
        <w:jc w:val="both"/>
        <w:rPr>
          <w:rFonts w:asciiTheme="majorBidi" w:hAnsiTheme="majorBidi" w:cstheme="majorBidi"/>
          <w:b w:val="0"/>
          <w:sz w:val="24"/>
        </w:rPr>
      </w:pPr>
      <w:bookmarkStart w:id="541" w:name="_Toc487641834"/>
      <w:r w:rsidRPr="00A67F27">
        <w:rPr>
          <w:rFonts w:asciiTheme="majorBidi" w:hAnsiTheme="majorBidi" w:cstheme="majorBidi"/>
          <w:b w:val="0"/>
          <w:spacing w:val="-2"/>
          <w:sz w:val="24"/>
          <w:szCs w:val="24"/>
        </w:rPr>
        <w:t xml:space="preserve">Le </w:t>
      </w:r>
      <w:r w:rsidR="008C28A6" w:rsidRPr="00A67F27">
        <w:rPr>
          <w:rFonts w:asciiTheme="majorBidi" w:hAnsiTheme="majorBidi" w:cstheme="majorBidi"/>
          <w:b w:val="0"/>
          <w:spacing w:val="-2"/>
          <w:sz w:val="24"/>
          <w:szCs w:val="24"/>
        </w:rPr>
        <w:t>Soumissionnaire</w:t>
      </w:r>
      <w:r w:rsidRPr="00A67F27">
        <w:rPr>
          <w:rFonts w:asciiTheme="majorBidi" w:hAnsiTheme="majorBidi" w:cstheme="majorBidi"/>
          <w:b w:val="0"/>
          <w:spacing w:val="-2"/>
          <w:sz w:val="24"/>
          <w:szCs w:val="24"/>
        </w:rPr>
        <w:t>, y compris les parties du GE,</w:t>
      </w:r>
      <w:r w:rsidRPr="00A67F27">
        <w:rPr>
          <w:rFonts w:asciiTheme="majorBidi" w:hAnsiTheme="majorBidi" w:cstheme="majorBidi"/>
          <w:b w:val="0"/>
          <w:spacing w:val="-2"/>
        </w:rPr>
        <w:t xml:space="preserve"> </w:t>
      </w:r>
      <w:r w:rsidRPr="00A67F27">
        <w:rPr>
          <w:rFonts w:asciiTheme="majorBidi" w:hAnsiTheme="majorBidi" w:cstheme="majorBidi"/>
          <w:b w:val="0"/>
          <w:sz w:val="24"/>
        </w:rPr>
        <w:t>fournira les copies des états financiers (bilans, y compris toutes les notes y afférents, et comptes de résultats) pour les [</w:t>
      </w:r>
      <w:r w:rsidRPr="00A67F27">
        <w:rPr>
          <w:rFonts w:asciiTheme="majorBidi" w:hAnsiTheme="majorBidi" w:cstheme="majorBidi"/>
          <w:b w:val="0"/>
          <w:i/>
          <w:sz w:val="24"/>
        </w:rPr>
        <w:t>indiquer le nombre]</w:t>
      </w:r>
      <w:r w:rsidRPr="00A67F27">
        <w:rPr>
          <w:rFonts w:asciiTheme="majorBidi" w:hAnsiTheme="majorBidi" w:cstheme="majorBidi"/>
          <w:b w:val="0"/>
          <w:sz w:val="24"/>
        </w:rPr>
        <w:t xml:space="preserve"> années conformément aux dispositions de la Section III. Critères d’évaluation et de qualification, paragraphe </w:t>
      </w:r>
      <w:r w:rsidR="00E86892" w:rsidRPr="00A67F27">
        <w:rPr>
          <w:rFonts w:asciiTheme="majorBidi" w:hAnsiTheme="majorBidi" w:cstheme="majorBidi"/>
          <w:b w:val="0"/>
          <w:sz w:val="24"/>
        </w:rPr>
        <w:t>3.2</w:t>
      </w:r>
      <w:r w:rsidRPr="00A67F27">
        <w:rPr>
          <w:rFonts w:asciiTheme="majorBidi" w:hAnsiTheme="majorBidi" w:cstheme="majorBidi"/>
          <w:b w:val="0"/>
          <w:sz w:val="24"/>
        </w:rPr>
        <w:t>. Les états financiers doivent</w:t>
      </w:r>
      <w:r w:rsidR="009B2302" w:rsidRPr="00A67F27">
        <w:rPr>
          <w:rFonts w:asciiTheme="majorBidi" w:hAnsiTheme="majorBidi" w:cstheme="majorBidi"/>
          <w:b w:val="0"/>
          <w:sz w:val="24"/>
        </w:rPr>
        <w:t> :</w:t>
      </w:r>
      <w:bookmarkEnd w:id="541"/>
    </w:p>
    <w:p w14:paraId="3F27B0DF" w14:textId="1B7539CF" w:rsidR="00543ED0" w:rsidRPr="00A67F27" w:rsidRDefault="00F706C9" w:rsidP="00D510E8">
      <w:pPr>
        <w:pStyle w:val="Subtitle2"/>
        <w:numPr>
          <w:ilvl w:val="0"/>
          <w:numId w:val="56"/>
        </w:numPr>
        <w:tabs>
          <w:tab w:val="left" w:pos="900"/>
          <w:tab w:val="left" w:pos="2610"/>
          <w:tab w:val="center" w:pos="4752"/>
          <w:tab w:val="right" w:pos="9864"/>
        </w:tabs>
        <w:spacing w:before="240" w:after="240"/>
        <w:ind w:left="540" w:hanging="540"/>
        <w:jc w:val="both"/>
        <w:rPr>
          <w:rFonts w:asciiTheme="majorBidi" w:hAnsiTheme="majorBidi" w:cstheme="majorBidi"/>
          <w:b w:val="0"/>
          <w:sz w:val="24"/>
        </w:rPr>
      </w:pPr>
      <w:bookmarkStart w:id="542" w:name="_Toc487641835"/>
      <w:r w:rsidRPr="00A67F27">
        <w:rPr>
          <w:rFonts w:asciiTheme="majorBidi" w:hAnsiTheme="majorBidi" w:cstheme="majorBidi"/>
          <w:b w:val="0"/>
          <w:sz w:val="24"/>
        </w:rPr>
        <w:t>Refléter</w:t>
      </w:r>
      <w:r w:rsidR="00543ED0" w:rsidRPr="00A67F27">
        <w:rPr>
          <w:rFonts w:asciiTheme="majorBidi" w:hAnsiTheme="majorBidi" w:cstheme="majorBidi"/>
          <w:b w:val="0"/>
          <w:sz w:val="24"/>
        </w:rPr>
        <w:t xml:space="preserve"> la situation financière du soumissionnaire ou de la Partie au GE, et non d’une société affiliée (telle que la maison-mère ou membre d’un groupe)</w:t>
      </w:r>
      <w:bookmarkEnd w:id="542"/>
    </w:p>
    <w:p w14:paraId="70B94149" w14:textId="11EB5BCB" w:rsidR="00543ED0" w:rsidRPr="00A67F27" w:rsidRDefault="00F706C9" w:rsidP="00D510E8">
      <w:pPr>
        <w:pStyle w:val="Subtitle2"/>
        <w:numPr>
          <w:ilvl w:val="0"/>
          <w:numId w:val="56"/>
        </w:numPr>
        <w:tabs>
          <w:tab w:val="left" w:pos="900"/>
          <w:tab w:val="left" w:pos="2610"/>
          <w:tab w:val="center" w:pos="4752"/>
          <w:tab w:val="right" w:pos="9864"/>
        </w:tabs>
        <w:spacing w:before="240" w:after="240"/>
        <w:ind w:left="540" w:hanging="540"/>
        <w:jc w:val="both"/>
        <w:rPr>
          <w:rFonts w:asciiTheme="majorBidi" w:hAnsiTheme="majorBidi" w:cstheme="majorBidi"/>
          <w:b w:val="0"/>
          <w:sz w:val="24"/>
        </w:rPr>
      </w:pPr>
      <w:bookmarkStart w:id="543" w:name="_Toc487641836"/>
      <w:r w:rsidRPr="00A67F27">
        <w:rPr>
          <w:rFonts w:asciiTheme="majorBidi" w:hAnsiTheme="majorBidi" w:cstheme="majorBidi"/>
          <w:b w:val="0"/>
          <w:sz w:val="24"/>
        </w:rPr>
        <w:t>Être</w:t>
      </w:r>
      <w:r w:rsidR="00543ED0" w:rsidRPr="00A67F27">
        <w:rPr>
          <w:rFonts w:asciiTheme="majorBidi" w:hAnsiTheme="majorBidi" w:cstheme="majorBidi"/>
          <w:b w:val="0"/>
          <w:sz w:val="24"/>
        </w:rPr>
        <w:t xml:space="preserve"> vérifiés par un expert-comptable agréé conformément à la législation locale</w:t>
      </w:r>
      <w:r w:rsidR="009B2302" w:rsidRPr="00A67F27">
        <w:rPr>
          <w:rFonts w:asciiTheme="majorBidi" w:hAnsiTheme="majorBidi" w:cstheme="majorBidi"/>
          <w:b w:val="0"/>
          <w:sz w:val="24"/>
        </w:rPr>
        <w:t> ;</w:t>
      </w:r>
      <w:bookmarkEnd w:id="543"/>
    </w:p>
    <w:p w14:paraId="0E0A8B67" w14:textId="357528F2" w:rsidR="00543ED0" w:rsidRPr="00A67F27" w:rsidRDefault="00F706C9" w:rsidP="00D510E8">
      <w:pPr>
        <w:pStyle w:val="Subtitle2"/>
        <w:numPr>
          <w:ilvl w:val="0"/>
          <w:numId w:val="56"/>
        </w:numPr>
        <w:tabs>
          <w:tab w:val="left" w:pos="900"/>
          <w:tab w:val="left" w:pos="2610"/>
          <w:tab w:val="center" w:pos="4752"/>
          <w:tab w:val="right" w:pos="9864"/>
        </w:tabs>
        <w:spacing w:before="240" w:after="240"/>
        <w:ind w:left="540" w:hanging="540"/>
        <w:jc w:val="both"/>
        <w:rPr>
          <w:rFonts w:asciiTheme="majorBidi" w:hAnsiTheme="majorBidi" w:cstheme="majorBidi"/>
          <w:b w:val="0"/>
          <w:sz w:val="24"/>
        </w:rPr>
      </w:pPr>
      <w:bookmarkStart w:id="544" w:name="_Toc487641837"/>
      <w:r w:rsidRPr="00A67F27">
        <w:rPr>
          <w:rFonts w:asciiTheme="majorBidi" w:hAnsiTheme="majorBidi" w:cstheme="majorBidi"/>
          <w:b w:val="0"/>
          <w:sz w:val="24"/>
        </w:rPr>
        <w:t>Être</w:t>
      </w:r>
      <w:r w:rsidR="00543ED0" w:rsidRPr="00A67F27">
        <w:rPr>
          <w:rFonts w:asciiTheme="majorBidi" w:hAnsiTheme="majorBidi" w:cstheme="majorBidi"/>
          <w:b w:val="0"/>
          <w:sz w:val="24"/>
        </w:rPr>
        <w:t xml:space="preserve"> complets et inclure toutes les notes qui leur ont été ajoutées</w:t>
      </w:r>
      <w:bookmarkEnd w:id="544"/>
      <w:r w:rsidR="00543ED0" w:rsidRPr="00A67F27">
        <w:rPr>
          <w:rFonts w:asciiTheme="majorBidi" w:hAnsiTheme="majorBidi" w:cstheme="majorBidi"/>
          <w:b w:val="0"/>
          <w:sz w:val="24"/>
        </w:rPr>
        <w:t xml:space="preserve"> </w:t>
      </w:r>
    </w:p>
    <w:p w14:paraId="4592A7E3" w14:textId="77777777" w:rsidR="00543ED0" w:rsidRPr="00A67F27" w:rsidRDefault="00543ED0" w:rsidP="00D510E8">
      <w:pPr>
        <w:pStyle w:val="Subtitle2"/>
        <w:numPr>
          <w:ilvl w:val="0"/>
          <w:numId w:val="56"/>
        </w:numPr>
        <w:tabs>
          <w:tab w:val="left" w:pos="900"/>
          <w:tab w:val="left" w:pos="2610"/>
          <w:tab w:val="center" w:pos="4752"/>
          <w:tab w:val="right" w:pos="9864"/>
        </w:tabs>
        <w:spacing w:before="240" w:after="240"/>
        <w:ind w:left="540" w:hanging="540"/>
        <w:jc w:val="both"/>
        <w:rPr>
          <w:rFonts w:asciiTheme="majorBidi" w:hAnsiTheme="majorBidi" w:cstheme="majorBidi"/>
          <w:b w:val="0"/>
          <w:sz w:val="24"/>
        </w:rPr>
      </w:pPr>
      <w:bookmarkStart w:id="545" w:name="_Toc487641838"/>
      <w:r w:rsidRPr="00A67F27">
        <w:rPr>
          <w:rFonts w:asciiTheme="majorBidi" w:hAnsiTheme="majorBidi" w:cstheme="majorBidi"/>
          <w:b w:val="0"/>
          <w:sz w:val="24"/>
        </w:rPr>
        <w:t>Les états financiers doivent correspondre aux périodes comptables déjà terminées et vérifiées (les états financiers de périodes partielles ne seront ni demandés ni acceptés)</w:t>
      </w:r>
      <w:bookmarkEnd w:id="545"/>
      <w:r w:rsidRPr="00A67F27">
        <w:rPr>
          <w:rFonts w:asciiTheme="majorBidi" w:hAnsiTheme="majorBidi" w:cstheme="majorBidi"/>
          <w:b w:val="0"/>
          <w:sz w:val="24"/>
        </w:rPr>
        <w:t xml:space="preserve"> </w:t>
      </w:r>
    </w:p>
    <w:p w14:paraId="263F9585" w14:textId="77777777" w:rsidR="00543ED0" w:rsidRPr="00A67F27" w:rsidRDefault="00543ED0" w:rsidP="00520988">
      <w:pPr>
        <w:pStyle w:val="Subtitle2"/>
        <w:numPr>
          <w:ilvl w:val="0"/>
          <w:numId w:val="22"/>
        </w:numPr>
        <w:tabs>
          <w:tab w:val="left" w:pos="2610"/>
          <w:tab w:val="center" w:pos="4752"/>
          <w:tab w:val="right" w:pos="9864"/>
        </w:tabs>
        <w:spacing w:before="40" w:after="40"/>
        <w:ind w:left="426"/>
        <w:jc w:val="both"/>
        <w:rPr>
          <w:rFonts w:asciiTheme="majorBidi" w:hAnsiTheme="majorBidi" w:cstheme="majorBidi"/>
          <w:b w:val="0"/>
          <w:sz w:val="24"/>
        </w:rPr>
      </w:pPr>
      <w:bookmarkStart w:id="546" w:name="_Toc487641839"/>
      <w:r w:rsidRPr="00A67F27">
        <w:rPr>
          <w:rFonts w:asciiTheme="majorBidi" w:hAnsiTheme="majorBidi" w:cstheme="majorBidi"/>
          <w:b w:val="0"/>
          <w:sz w:val="24"/>
        </w:rPr>
        <w:t>On trouvera ci-après les copies des états financiers</w:t>
      </w:r>
      <w:r w:rsidRPr="00A67F27">
        <w:rPr>
          <w:rStyle w:val="Appelnotedebasdep"/>
          <w:rFonts w:asciiTheme="majorBidi" w:hAnsiTheme="majorBidi" w:cstheme="majorBidi"/>
          <w:b w:val="0"/>
          <w:sz w:val="24"/>
        </w:rPr>
        <w:footnoteReference w:id="18"/>
      </w:r>
      <w:r w:rsidRPr="00A67F27">
        <w:rPr>
          <w:rFonts w:asciiTheme="majorBidi" w:hAnsiTheme="majorBidi" w:cstheme="majorBidi"/>
          <w:b w:val="0"/>
          <w:sz w:val="24"/>
        </w:rPr>
        <w:t xml:space="preserve"> pour </w:t>
      </w:r>
      <w:r w:rsidRPr="00A67F27">
        <w:rPr>
          <w:rFonts w:asciiTheme="majorBidi" w:hAnsiTheme="majorBidi" w:cstheme="majorBidi"/>
          <w:b w:val="0"/>
          <w:i/>
          <w:sz w:val="24"/>
        </w:rPr>
        <w:t>[insérer le nombre d’années]</w:t>
      </w:r>
      <w:r w:rsidRPr="00A67F27">
        <w:rPr>
          <w:rFonts w:asciiTheme="majorBidi" w:hAnsiTheme="majorBidi" w:cstheme="majorBidi"/>
          <w:b w:val="0"/>
          <w:sz w:val="24"/>
        </w:rPr>
        <w:t xml:space="preserve"> années telles que requises ci-dessus et en conformité avec la Section III. Critères d’évaluation et de qualification.</w:t>
      </w:r>
      <w:bookmarkEnd w:id="546"/>
    </w:p>
    <w:p w14:paraId="7057D1ED" w14:textId="77777777" w:rsidR="00543ED0" w:rsidRPr="00A67F27" w:rsidRDefault="00543ED0" w:rsidP="00543ED0">
      <w:pPr>
        <w:tabs>
          <w:tab w:val="left" w:pos="2610"/>
        </w:tabs>
        <w:rPr>
          <w:rFonts w:asciiTheme="majorBidi" w:hAnsiTheme="majorBidi" w:cstheme="majorBidi"/>
        </w:rPr>
      </w:pPr>
    </w:p>
    <w:p w14:paraId="439AEA99" w14:textId="4CB50B15" w:rsidR="00543ED0" w:rsidRPr="00A67F27" w:rsidRDefault="00543ED0" w:rsidP="00543ED0">
      <w:pPr>
        <w:pStyle w:val="SectionIVHeader-2"/>
        <w:tabs>
          <w:tab w:val="left" w:pos="2610"/>
        </w:tabs>
        <w:rPr>
          <w:rFonts w:asciiTheme="majorBidi" w:hAnsiTheme="majorBidi" w:cstheme="majorBidi"/>
        </w:rPr>
      </w:pPr>
      <w:r w:rsidRPr="00A67F27">
        <w:rPr>
          <w:rFonts w:asciiTheme="majorBidi" w:hAnsiTheme="majorBidi" w:cstheme="majorBidi"/>
        </w:rPr>
        <w:br w:type="page"/>
      </w:r>
      <w:bookmarkStart w:id="547" w:name="_Toc327863888"/>
      <w:r w:rsidRPr="00A67F27">
        <w:rPr>
          <w:rFonts w:asciiTheme="majorBidi" w:hAnsiTheme="majorBidi" w:cstheme="majorBidi"/>
        </w:rPr>
        <w:lastRenderedPageBreak/>
        <w:t>Formulaire FIN – 3.2</w:t>
      </w:r>
      <w:r w:rsidR="009B2302" w:rsidRPr="00A67F27">
        <w:rPr>
          <w:rFonts w:asciiTheme="majorBidi" w:hAnsiTheme="majorBidi" w:cstheme="majorBidi"/>
        </w:rPr>
        <w:t> :</w:t>
      </w:r>
      <w:r w:rsidRPr="00A67F27">
        <w:rPr>
          <w:rFonts w:asciiTheme="majorBidi" w:hAnsiTheme="majorBidi" w:cstheme="majorBidi"/>
        </w:rPr>
        <w:t xml:space="preserve"> </w:t>
      </w:r>
      <w:r w:rsidRPr="00A67F27">
        <w:rPr>
          <w:rFonts w:asciiTheme="majorBidi" w:hAnsiTheme="majorBidi" w:cstheme="majorBidi"/>
        </w:rPr>
        <w:br/>
        <w:t>Chiffre d’affaires annuel moyen des activités de construction</w:t>
      </w:r>
      <w:bookmarkEnd w:id="547"/>
    </w:p>
    <w:p w14:paraId="2926D3D6" w14:textId="77777777" w:rsidR="00543ED0" w:rsidRPr="00A67F27" w:rsidRDefault="00543ED0" w:rsidP="00543ED0">
      <w:pPr>
        <w:tabs>
          <w:tab w:val="left" w:pos="2610"/>
        </w:tabs>
        <w:jc w:val="center"/>
        <w:rPr>
          <w:rFonts w:asciiTheme="majorBidi" w:hAnsiTheme="majorBidi" w:cstheme="majorBidi"/>
          <w:spacing w:val="-2"/>
          <w:sz w:val="28"/>
        </w:rPr>
      </w:pPr>
    </w:p>
    <w:p w14:paraId="519993EE" w14:textId="01399C0B" w:rsidR="00543ED0" w:rsidRPr="00A67F27" w:rsidRDefault="00543ED0" w:rsidP="00543ED0">
      <w:pPr>
        <w:tabs>
          <w:tab w:val="left" w:pos="2610"/>
        </w:tabs>
        <w:jc w:val="right"/>
        <w:rPr>
          <w:rFonts w:asciiTheme="majorBidi" w:hAnsiTheme="majorBidi" w:cstheme="majorBidi"/>
        </w:rPr>
      </w:pPr>
      <w:r w:rsidRPr="00A67F27">
        <w:rPr>
          <w:rFonts w:asciiTheme="majorBidi" w:hAnsiTheme="majorBidi" w:cstheme="majorBidi"/>
        </w:rPr>
        <w:t>Nom légal du soumissionnaire</w:t>
      </w:r>
      <w:r w:rsidR="009B2302" w:rsidRPr="00A67F27">
        <w:rPr>
          <w:rFonts w:asciiTheme="majorBidi" w:hAnsiTheme="majorBidi" w:cstheme="majorBidi"/>
        </w:rPr>
        <w:t> :</w:t>
      </w:r>
      <w:r w:rsidRPr="00A67F27">
        <w:rPr>
          <w:rFonts w:asciiTheme="majorBidi" w:hAnsiTheme="majorBidi" w:cstheme="majorBidi"/>
        </w:rPr>
        <w:t xml:space="preserve"> ________________________</w:t>
      </w:r>
      <w:r w:rsidR="009B2302" w:rsidRPr="00A67F27">
        <w:rPr>
          <w:rFonts w:asciiTheme="majorBidi" w:hAnsiTheme="majorBidi" w:cstheme="majorBidi"/>
        </w:rPr>
        <w:t xml:space="preserve"> </w:t>
      </w:r>
      <w:r w:rsidRPr="00A67F27">
        <w:rPr>
          <w:rFonts w:asciiTheme="majorBidi" w:hAnsiTheme="majorBidi" w:cstheme="majorBidi"/>
        </w:rPr>
        <w:t>Date</w:t>
      </w:r>
      <w:r w:rsidR="009B2302" w:rsidRPr="00A67F27">
        <w:rPr>
          <w:rFonts w:asciiTheme="majorBidi" w:hAnsiTheme="majorBidi" w:cstheme="majorBidi"/>
        </w:rPr>
        <w:t> :</w:t>
      </w:r>
      <w:r w:rsidRPr="00A67F27">
        <w:rPr>
          <w:rFonts w:asciiTheme="majorBidi" w:hAnsiTheme="majorBidi" w:cstheme="majorBidi"/>
        </w:rPr>
        <w:t xml:space="preserve"> _________________</w:t>
      </w:r>
    </w:p>
    <w:p w14:paraId="0BCCED7A" w14:textId="35DE5871" w:rsidR="00543ED0" w:rsidRPr="00A67F27" w:rsidRDefault="00543ED0" w:rsidP="00543ED0">
      <w:pPr>
        <w:tabs>
          <w:tab w:val="left" w:pos="2610"/>
        </w:tabs>
        <w:jc w:val="right"/>
        <w:rPr>
          <w:rFonts w:asciiTheme="majorBidi" w:hAnsiTheme="majorBidi" w:cstheme="majorBidi"/>
        </w:rPr>
      </w:pPr>
      <w:r w:rsidRPr="00A67F27">
        <w:rPr>
          <w:rFonts w:asciiTheme="majorBidi" w:hAnsiTheme="majorBidi" w:cstheme="majorBidi"/>
          <w:spacing w:val="-2"/>
        </w:rPr>
        <w:t>Nom légal de la partie au GE</w:t>
      </w:r>
      <w:r w:rsidR="009B2302" w:rsidRPr="00A67F27">
        <w:rPr>
          <w:rFonts w:asciiTheme="majorBidi" w:hAnsiTheme="majorBidi" w:cstheme="majorBidi"/>
          <w:spacing w:val="-2"/>
        </w:rPr>
        <w:t> :</w:t>
      </w:r>
      <w:r w:rsidRPr="00A67F27">
        <w:rPr>
          <w:rFonts w:asciiTheme="majorBidi" w:hAnsiTheme="majorBidi" w:cstheme="majorBidi"/>
          <w:spacing w:val="-2"/>
        </w:rPr>
        <w:t xml:space="preserve"> _________________</w:t>
      </w:r>
      <w:r w:rsidRPr="00A67F27">
        <w:rPr>
          <w:rFonts w:asciiTheme="majorBidi" w:hAnsiTheme="majorBidi" w:cstheme="majorBidi"/>
          <w:spacing w:val="-2"/>
        </w:rPr>
        <w:tab/>
      </w:r>
      <w:r w:rsidRPr="00A67F27">
        <w:rPr>
          <w:rFonts w:asciiTheme="majorBidi" w:hAnsiTheme="majorBidi" w:cstheme="majorBidi"/>
          <w:i/>
        </w:rPr>
        <w:tab/>
      </w:r>
      <w:r w:rsidRPr="00A67F27">
        <w:rPr>
          <w:rFonts w:asciiTheme="majorBidi" w:hAnsiTheme="majorBidi" w:cstheme="majorBidi"/>
        </w:rPr>
        <w:t>No. AO</w:t>
      </w:r>
      <w:r w:rsidR="009B2302" w:rsidRPr="00A67F27">
        <w:rPr>
          <w:rFonts w:asciiTheme="majorBidi" w:hAnsiTheme="majorBidi" w:cstheme="majorBidi"/>
        </w:rPr>
        <w:t> :</w:t>
      </w:r>
      <w:r w:rsidRPr="00A67F27">
        <w:rPr>
          <w:rFonts w:asciiTheme="majorBidi" w:hAnsiTheme="majorBidi" w:cstheme="majorBidi"/>
        </w:rPr>
        <w:t xml:space="preserve"> ___</w:t>
      </w:r>
    </w:p>
    <w:p w14:paraId="4FBF16E5" w14:textId="77777777" w:rsidR="00543ED0" w:rsidRPr="00A67F27" w:rsidRDefault="00543ED0" w:rsidP="00543ED0">
      <w:pPr>
        <w:tabs>
          <w:tab w:val="left" w:pos="2610"/>
        </w:tabs>
        <w:jc w:val="right"/>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494"/>
        <w:gridCol w:w="5166"/>
        <w:gridCol w:w="2412"/>
      </w:tblGrid>
      <w:tr w:rsidR="00543ED0" w:rsidRPr="00A67F27" w14:paraId="151E11FD" w14:textId="77777777" w:rsidTr="00EA698F">
        <w:trPr>
          <w:cantSplit/>
        </w:trPr>
        <w:tc>
          <w:tcPr>
            <w:tcW w:w="9072" w:type="dxa"/>
            <w:gridSpan w:val="3"/>
          </w:tcPr>
          <w:p w14:paraId="70DE2428" w14:textId="77777777" w:rsidR="00543ED0" w:rsidRPr="00A67F27" w:rsidRDefault="00543ED0" w:rsidP="00BE4B6F">
            <w:pPr>
              <w:pStyle w:val="Corpsdetexte"/>
              <w:tabs>
                <w:tab w:val="left" w:pos="2610"/>
              </w:tabs>
              <w:spacing w:before="60" w:after="60"/>
              <w:jc w:val="center"/>
              <w:rPr>
                <w:rFonts w:asciiTheme="majorBidi" w:hAnsiTheme="majorBidi" w:cstheme="majorBidi"/>
                <w:lang w:val="fr-FR"/>
              </w:rPr>
            </w:pPr>
            <w:r w:rsidRPr="00A67F27">
              <w:rPr>
                <w:rFonts w:asciiTheme="majorBidi" w:hAnsiTheme="majorBidi" w:cstheme="majorBidi"/>
                <w:lang w:val="fr-FR"/>
              </w:rPr>
              <w:t>Données sur le chiffre d’affaires annuel (construction uniquement)</w:t>
            </w:r>
          </w:p>
        </w:tc>
      </w:tr>
      <w:tr w:rsidR="00543ED0" w:rsidRPr="00A67F27" w14:paraId="0DEF24C6" w14:textId="77777777" w:rsidTr="00EA698F">
        <w:trPr>
          <w:cantSplit/>
        </w:trPr>
        <w:tc>
          <w:tcPr>
            <w:tcW w:w="1494" w:type="dxa"/>
          </w:tcPr>
          <w:p w14:paraId="3DA4C956" w14:textId="77777777" w:rsidR="00543ED0" w:rsidRPr="00A67F27" w:rsidRDefault="00543ED0" w:rsidP="00BE4B6F">
            <w:pPr>
              <w:pStyle w:val="Corpsdetexte"/>
              <w:tabs>
                <w:tab w:val="left" w:pos="2610"/>
              </w:tabs>
              <w:spacing w:before="60" w:after="60"/>
              <w:jc w:val="center"/>
              <w:rPr>
                <w:rFonts w:asciiTheme="majorBidi" w:hAnsiTheme="majorBidi" w:cstheme="majorBidi"/>
                <w:lang w:val="fr-FR"/>
              </w:rPr>
            </w:pPr>
            <w:r w:rsidRPr="00A67F27">
              <w:rPr>
                <w:rFonts w:asciiTheme="majorBidi" w:hAnsiTheme="majorBidi" w:cstheme="majorBidi"/>
                <w:lang w:val="fr-FR"/>
              </w:rPr>
              <w:t>Année</w:t>
            </w:r>
          </w:p>
        </w:tc>
        <w:tc>
          <w:tcPr>
            <w:tcW w:w="5166" w:type="dxa"/>
          </w:tcPr>
          <w:p w14:paraId="75CCCB72" w14:textId="77777777" w:rsidR="00543ED0" w:rsidRPr="00A67F27" w:rsidRDefault="00543ED0" w:rsidP="00BE4B6F">
            <w:pPr>
              <w:pStyle w:val="Corpsdetexte"/>
              <w:tabs>
                <w:tab w:val="left" w:pos="2610"/>
              </w:tabs>
              <w:spacing w:before="60" w:after="60"/>
              <w:jc w:val="center"/>
              <w:rPr>
                <w:rFonts w:asciiTheme="majorBidi" w:hAnsiTheme="majorBidi" w:cstheme="majorBidi"/>
                <w:lang w:val="fr-FR"/>
              </w:rPr>
            </w:pPr>
            <w:r w:rsidRPr="00A67F27">
              <w:rPr>
                <w:rFonts w:asciiTheme="majorBidi" w:hAnsiTheme="majorBidi" w:cstheme="majorBidi"/>
                <w:lang w:val="fr-FR"/>
              </w:rPr>
              <w:t>Montant et monnaie</w:t>
            </w:r>
          </w:p>
        </w:tc>
        <w:tc>
          <w:tcPr>
            <w:tcW w:w="2412" w:type="dxa"/>
          </w:tcPr>
          <w:p w14:paraId="4CA5C122" w14:textId="77777777" w:rsidR="00543ED0" w:rsidRPr="00A67F27" w:rsidRDefault="00543ED0" w:rsidP="00BE4B6F">
            <w:pPr>
              <w:pStyle w:val="Corpsdetexte"/>
              <w:tabs>
                <w:tab w:val="left" w:pos="2610"/>
              </w:tabs>
              <w:spacing w:before="60" w:after="60"/>
              <w:jc w:val="center"/>
              <w:rPr>
                <w:rFonts w:asciiTheme="majorBidi" w:hAnsiTheme="majorBidi" w:cstheme="majorBidi"/>
                <w:lang w:val="fr-FR"/>
              </w:rPr>
            </w:pPr>
            <w:r w:rsidRPr="00A67F27">
              <w:rPr>
                <w:rFonts w:asciiTheme="majorBidi" w:hAnsiTheme="majorBidi" w:cstheme="majorBidi"/>
                <w:lang w:val="fr-FR"/>
              </w:rPr>
              <w:t>Equivalent US$</w:t>
            </w:r>
          </w:p>
        </w:tc>
      </w:tr>
      <w:tr w:rsidR="00543ED0" w:rsidRPr="00A67F27" w14:paraId="3B2EB6F9" w14:textId="77777777" w:rsidTr="00EA698F">
        <w:trPr>
          <w:cantSplit/>
        </w:trPr>
        <w:tc>
          <w:tcPr>
            <w:tcW w:w="1494" w:type="dxa"/>
          </w:tcPr>
          <w:p w14:paraId="2A62773A" w14:textId="77777777" w:rsidR="00543ED0" w:rsidRPr="00A67F27" w:rsidRDefault="00543ED0" w:rsidP="00BE4B6F">
            <w:pPr>
              <w:pStyle w:val="Corpsdetexte"/>
              <w:tabs>
                <w:tab w:val="left" w:pos="2610"/>
              </w:tabs>
              <w:spacing w:before="60" w:after="60"/>
              <w:rPr>
                <w:rFonts w:asciiTheme="majorBidi" w:hAnsiTheme="majorBidi" w:cstheme="majorBidi"/>
                <w:lang w:val="fr-FR"/>
              </w:rPr>
            </w:pPr>
          </w:p>
        </w:tc>
        <w:tc>
          <w:tcPr>
            <w:tcW w:w="5166" w:type="dxa"/>
          </w:tcPr>
          <w:p w14:paraId="1E84C7DC" w14:textId="77777777" w:rsidR="00543ED0" w:rsidRPr="00A67F27" w:rsidRDefault="00543ED0" w:rsidP="00BE4B6F">
            <w:pPr>
              <w:pStyle w:val="Corpsdetexte"/>
              <w:tabs>
                <w:tab w:val="left" w:pos="2610"/>
              </w:tabs>
              <w:spacing w:before="60" w:after="60"/>
              <w:rPr>
                <w:rFonts w:asciiTheme="majorBidi" w:hAnsiTheme="majorBidi" w:cstheme="majorBidi"/>
                <w:lang w:val="fr-FR"/>
              </w:rPr>
            </w:pPr>
            <w:r w:rsidRPr="00A67F27">
              <w:rPr>
                <w:rFonts w:asciiTheme="majorBidi" w:hAnsiTheme="majorBidi" w:cstheme="majorBidi"/>
                <w:lang w:val="fr-FR"/>
              </w:rPr>
              <w:t xml:space="preserve"> _________________________________________</w:t>
            </w:r>
          </w:p>
        </w:tc>
        <w:tc>
          <w:tcPr>
            <w:tcW w:w="2412" w:type="dxa"/>
          </w:tcPr>
          <w:p w14:paraId="66F409F4" w14:textId="77777777" w:rsidR="00543ED0" w:rsidRPr="00A67F27" w:rsidRDefault="00543ED0" w:rsidP="00BE4B6F">
            <w:pPr>
              <w:pStyle w:val="Corpsdetexte"/>
              <w:tabs>
                <w:tab w:val="left" w:pos="2610"/>
              </w:tabs>
              <w:spacing w:before="60" w:after="60"/>
              <w:rPr>
                <w:rFonts w:asciiTheme="majorBidi" w:hAnsiTheme="majorBidi" w:cstheme="majorBidi"/>
                <w:lang w:val="fr-FR"/>
              </w:rPr>
            </w:pPr>
            <w:r w:rsidRPr="00A67F27">
              <w:rPr>
                <w:rFonts w:asciiTheme="majorBidi" w:hAnsiTheme="majorBidi" w:cstheme="majorBidi"/>
                <w:lang w:val="fr-FR"/>
              </w:rPr>
              <w:t>__________________</w:t>
            </w:r>
          </w:p>
        </w:tc>
      </w:tr>
      <w:tr w:rsidR="00543ED0" w:rsidRPr="00A67F27" w14:paraId="05C03005" w14:textId="77777777" w:rsidTr="00EA698F">
        <w:trPr>
          <w:cantSplit/>
        </w:trPr>
        <w:tc>
          <w:tcPr>
            <w:tcW w:w="1494" w:type="dxa"/>
          </w:tcPr>
          <w:p w14:paraId="0A2E466D" w14:textId="77777777" w:rsidR="00543ED0" w:rsidRPr="00A67F27" w:rsidRDefault="00543ED0" w:rsidP="00BE4B6F">
            <w:pPr>
              <w:pStyle w:val="Corpsdetexte"/>
              <w:tabs>
                <w:tab w:val="left" w:pos="2610"/>
              </w:tabs>
              <w:spacing w:before="60" w:after="60"/>
              <w:rPr>
                <w:rFonts w:asciiTheme="majorBidi" w:hAnsiTheme="majorBidi" w:cstheme="majorBidi"/>
                <w:lang w:val="fr-FR"/>
              </w:rPr>
            </w:pPr>
          </w:p>
        </w:tc>
        <w:tc>
          <w:tcPr>
            <w:tcW w:w="5166" w:type="dxa"/>
          </w:tcPr>
          <w:p w14:paraId="2C508084" w14:textId="77777777" w:rsidR="00543ED0" w:rsidRPr="00A67F27" w:rsidRDefault="00543ED0" w:rsidP="00BE4B6F">
            <w:pPr>
              <w:pStyle w:val="Corpsdetexte"/>
              <w:tabs>
                <w:tab w:val="left" w:pos="2610"/>
              </w:tabs>
              <w:spacing w:before="60" w:after="60"/>
              <w:rPr>
                <w:rFonts w:asciiTheme="majorBidi" w:hAnsiTheme="majorBidi" w:cstheme="majorBidi"/>
                <w:lang w:val="fr-FR"/>
              </w:rPr>
            </w:pPr>
            <w:r w:rsidRPr="00A67F27">
              <w:rPr>
                <w:rFonts w:asciiTheme="majorBidi" w:hAnsiTheme="majorBidi" w:cstheme="majorBidi"/>
                <w:lang w:val="fr-FR"/>
              </w:rPr>
              <w:t xml:space="preserve"> _________________________________________</w:t>
            </w:r>
          </w:p>
        </w:tc>
        <w:tc>
          <w:tcPr>
            <w:tcW w:w="2412" w:type="dxa"/>
          </w:tcPr>
          <w:p w14:paraId="275F1548" w14:textId="77777777" w:rsidR="00543ED0" w:rsidRPr="00A67F27" w:rsidRDefault="00543ED0" w:rsidP="00BE4B6F">
            <w:pPr>
              <w:pStyle w:val="Corpsdetexte"/>
              <w:tabs>
                <w:tab w:val="left" w:pos="2610"/>
              </w:tabs>
              <w:spacing w:before="60" w:after="60"/>
              <w:rPr>
                <w:rFonts w:asciiTheme="majorBidi" w:hAnsiTheme="majorBidi" w:cstheme="majorBidi"/>
                <w:lang w:val="fr-FR"/>
              </w:rPr>
            </w:pPr>
            <w:r w:rsidRPr="00A67F27">
              <w:rPr>
                <w:rFonts w:asciiTheme="majorBidi" w:hAnsiTheme="majorBidi" w:cstheme="majorBidi"/>
                <w:lang w:val="fr-FR"/>
              </w:rPr>
              <w:t>__________________</w:t>
            </w:r>
          </w:p>
        </w:tc>
      </w:tr>
      <w:tr w:rsidR="00543ED0" w:rsidRPr="00A67F27" w14:paraId="7583AC8F" w14:textId="77777777" w:rsidTr="00EA698F">
        <w:trPr>
          <w:cantSplit/>
        </w:trPr>
        <w:tc>
          <w:tcPr>
            <w:tcW w:w="1494" w:type="dxa"/>
          </w:tcPr>
          <w:p w14:paraId="38FEE085" w14:textId="77777777" w:rsidR="00543ED0" w:rsidRPr="00A67F27" w:rsidRDefault="00543ED0" w:rsidP="00BE4B6F">
            <w:pPr>
              <w:pStyle w:val="Corpsdetexte"/>
              <w:tabs>
                <w:tab w:val="left" w:pos="2610"/>
              </w:tabs>
              <w:spacing w:before="60" w:after="60"/>
              <w:rPr>
                <w:rFonts w:asciiTheme="majorBidi" w:hAnsiTheme="majorBidi" w:cstheme="majorBidi"/>
                <w:lang w:val="fr-FR"/>
              </w:rPr>
            </w:pPr>
          </w:p>
        </w:tc>
        <w:tc>
          <w:tcPr>
            <w:tcW w:w="5166" w:type="dxa"/>
          </w:tcPr>
          <w:p w14:paraId="24F82AB4" w14:textId="77777777" w:rsidR="00543ED0" w:rsidRPr="00A67F27" w:rsidRDefault="00543ED0" w:rsidP="00BE4B6F">
            <w:pPr>
              <w:pStyle w:val="Corpsdetexte"/>
              <w:tabs>
                <w:tab w:val="left" w:pos="2610"/>
              </w:tabs>
              <w:spacing w:before="60" w:after="60"/>
              <w:rPr>
                <w:rFonts w:asciiTheme="majorBidi" w:hAnsiTheme="majorBidi" w:cstheme="majorBidi"/>
                <w:lang w:val="fr-FR"/>
              </w:rPr>
            </w:pPr>
            <w:r w:rsidRPr="00A67F27">
              <w:rPr>
                <w:rFonts w:asciiTheme="majorBidi" w:hAnsiTheme="majorBidi" w:cstheme="majorBidi"/>
                <w:lang w:val="fr-FR"/>
              </w:rPr>
              <w:t xml:space="preserve"> _________________________________________</w:t>
            </w:r>
          </w:p>
        </w:tc>
        <w:tc>
          <w:tcPr>
            <w:tcW w:w="2412" w:type="dxa"/>
          </w:tcPr>
          <w:p w14:paraId="5F8B13CE" w14:textId="77777777" w:rsidR="00543ED0" w:rsidRPr="00A67F27" w:rsidRDefault="00543ED0" w:rsidP="00BE4B6F">
            <w:pPr>
              <w:pStyle w:val="Corpsdetexte"/>
              <w:tabs>
                <w:tab w:val="left" w:pos="2610"/>
              </w:tabs>
              <w:spacing w:before="60" w:after="60"/>
              <w:rPr>
                <w:rFonts w:asciiTheme="majorBidi" w:hAnsiTheme="majorBidi" w:cstheme="majorBidi"/>
                <w:lang w:val="fr-FR"/>
              </w:rPr>
            </w:pPr>
            <w:r w:rsidRPr="00A67F27">
              <w:rPr>
                <w:rFonts w:asciiTheme="majorBidi" w:hAnsiTheme="majorBidi" w:cstheme="majorBidi"/>
                <w:lang w:val="fr-FR"/>
              </w:rPr>
              <w:t>__________________</w:t>
            </w:r>
          </w:p>
        </w:tc>
      </w:tr>
      <w:tr w:rsidR="00543ED0" w:rsidRPr="00A67F27" w14:paraId="5AC5CD2F" w14:textId="77777777" w:rsidTr="00EA698F">
        <w:trPr>
          <w:cantSplit/>
        </w:trPr>
        <w:tc>
          <w:tcPr>
            <w:tcW w:w="1494" w:type="dxa"/>
          </w:tcPr>
          <w:p w14:paraId="577FEB46" w14:textId="77777777" w:rsidR="00543ED0" w:rsidRPr="00A67F27" w:rsidRDefault="00543ED0" w:rsidP="00BE4B6F">
            <w:pPr>
              <w:pStyle w:val="Corpsdetexte"/>
              <w:tabs>
                <w:tab w:val="left" w:pos="2610"/>
              </w:tabs>
              <w:spacing w:before="60" w:after="60"/>
              <w:rPr>
                <w:rFonts w:asciiTheme="majorBidi" w:hAnsiTheme="majorBidi" w:cstheme="majorBidi"/>
                <w:lang w:val="fr-FR"/>
              </w:rPr>
            </w:pPr>
          </w:p>
        </w:tc>
        <w:tc>
          <w:tcPr>
            <w:tcW w:w="5166" w:type="dxa"/>
          </w:tcPr>
          <w:p w14:paraId="6171CA0C" w14:textId="77777777" w:rsidR="00543ED0" w:rsidRPr="00A67F27" w:rsidRDefault="00543ED0" w:rsidP="00BE4B6F">
            <w:pPr>
              <w:pStyle w:val="Corpsdetexte"/>
              <w:tabs>
                <w:tab w:val="left" w:pos="2610"/>
              </w:tabs>
              <w:spacing w:before="60" w:after="60"/>
              <w:rPr>
                <w:rFonts w:asciiTheme="majorBidi" w:hAnsiTheme="majorBidi" w:cstheme="majorBidi"/>
                <w:lang w:val="fr-FR"/>
              </w:rPr>
            </w:pPr>
            <w:r w:rsidRPr="00A67F27">
              <w:rPr>
                <w:rFonts w:asciiTheme="majorBidi" w:hAnsiTheme="majorBidi" w:cstheme="majorBidi"/>
                <w:lang w:val="fr-FR"/>
              </w:rPr>
              <w:t xml:space="preserve"> _________________________________________</w:t>
            </w:r>
          </w:p>
        </w:tc>
        <w:tc>
          <w:tcPr>
            <w:tcW w:w="2412" w:type="dxa"/>
          </w:tcPr>
          <w:p w14:paraId="65612498" w14:textId="77777777" w:rsidR="00543ED0" w:rsidRPr="00A67F27" w:rsidRDefault="00543ED0" w:rsidP="00BE4B6F">
            <w:pPr>
              <w:pStyle w:val="Corpsdetexte"/>
              <w:tabs>
                <w:tab w:val="left" w:pos="2610"/>
              </w:tabs>
              <w:spacing w:before="60" w:after="60"/>
              <w:rPr>
                <w:rFonts w:asciiTheme="majorBidi" w:hAnsiTheme="majorBidi" w:cstheme="majorBidi"/>
                <w:lang w:val="fr-FR"/>
              </w:rPr>
            </w:pPr>
            <w:r w:rsidRPr="00A67F27">
              <w:rPr>
                <w:rFonts w:asciiTheme="majorBidi" w:hAnsiTheme="majorBidi" w:cstheme="majorBidi"/>
                <w:lang w:val="fr-FR"/>
              </w:rPr>
              <w:t>__________________</w:t>
            </w:r>
          </w:p>
        </w:tc>
      </w:tr>
      <w:tr w:rsidR="00543ED0" w:rsidRPr="00A67F27" w14:paraId="2F47EDA2" w14:textId="77777777" w:rsidTr="00EA698F">
        <w:tc>
          <w:tcPr>
            <w:tcW w:w="1494" w:type="dxa"/>
          </w:tcPr>
          <w:p w14:paraId="715D687A" w14:textId="77777777" w:rsidR="00543ED0" w:rsidRPr="00A67F27" w:rsidRDefault="00543ED0" w:rsidP="00BE4B6F">
            <w:pPr>
              <w:pStyle w:val="Corpsdetexte"/>
              <w:tabs>
                <w:tab w:val="left" w:pos="2610"/>
              </w:tabs>
              <w:spacing w:before="60" w:after="60"/>
              <w:rPr>
                <w:rFonts w:asciiTheme="majorBidi" w:hAnsiTheme="majorBidi" w:cstheme="majorBidi"/>
                <w:lang w:val="fr-FR"/>
              </w:rPr>
            </w:pPr>
          </w:p>
        </w:tc>
        <w:tc>
          <w:tcPr>
            <w:tcW w:w="5166" w:type="dxa"/>
          </w:tcPr>
          <w:p w14:paraId="277DF972" w14:textId="77777777" w:rsidR="00543ED0" w:rsidRPr="00A67F27" w:rsidRDefault="00543ED0" w:rsidP="00BE4B6F">
            <w:pPr>
              <w:pStyle w:val="Corpsdetexte"/>
              <w:tabs>
                <w:tab w:val="left" w:pos="2610"/>
              </w:tabs>
              <w:spacing w:before="60" w:after="60"/>
              <w:rPr>
                <w:rFonts w:asciiTheme="majorBidi" w:hAnsiTheme="majorBidi" w:cstheme="majorBidi"/>
                <w:lang w:val="fr-FR"/>
              </w:rPr>
            </w:pPr>
            <w:r w:rsidRPr="00A67F27">
              <w:rPr>
                <w:rFonts w:asciiTheme="majorBidi" w:hAnsiTheme="majorBidi" w:cstheme="majorBidi"/>
                <w:lang w:val="fr-FR"/>
              </w:rPr>
              <w:t xml:space="preserve"> _________________________________________</w:t>
            </w:r>
          </w:p>
        </w:tc>
        <w:tc>
          <w:tcPr>
            <w:tcW w:w="2412" w:type="dxa"/>
          </w:tcPr>
          <w:p w14:paraId="26D75E43" w14:textId="77777777" w:rsidR="00543ED0" w:rsidRPr="00A67F27" w:rsidRDefault="00543ED0" w:rsidP="00BE4B6F">
            <w:pPr>
              <w:pStyle w:val="Corpsdetexte"/>
              <w:tabs>
                <w:tab w:val="left" w:pos="2610"/>
              </w:tabs>
              <w:spacing w:before="60" w:after="60"/>
              <w:rPr>
                <w:rFonts w:asciiTheme="majorBidi" w:hAnsiTheme="majorBidi" w:cstheme="majorBidi"/>
                <w:lang w:val="fr-FR"/>
              </w:rPr>
            </w:pPr>
            <w:r w:rsidRPr="00A67F27">
              <w:rPr>
                <w:rFonts w:asciiTheme="majorBidi" w:hAnsiTheme="majorBidi" w:cstheme="majorBidi"/>
                <w:lang w:val="fr-FR"/>
              </w:rPr>
              <w:t>__________________</w:t>
            </w:r>
          </w:p>
        </w:tc>
      </w:tr>
      <w:tr w:rsidR="00543ED0" w:rsidRPr="00A67F27" w14:paraId="059C98AB" w14:textId="77777777" w:rsidTr="00EA698F">
        <w:tc>
          <w:tcPr>
            <w:tcW w:w="6660" w:type="dxa"/>
            <w:gridSpan w:val="2"/>
          </w:tcPr>
          <w:p w14:paraId="757429A7" w14:textId="77777777" w:rsidR="00543ED0" w:rsidRPr="00A67F27" w:rsidRDefault="00543ED0" w:rsidP="00BE4B6F">
            <w:pPr>
              <w:pStyle w:val="Corpsdetexte"/>
              <w:tabs>
                <w:tab w:val="left" w:pos="2610"/>
              </w:tabs>
              <w:spacing w:before="60" w:after="60"/>
              <w:jc w:val="left"/>
              <w:rPr>
                <w:rFonts w:asciiTheme="majorBidi" w:hAnsiTheme="majorBidi" w:cstheme="majorBidi"/>
                <w:lang w:val="fr-FR"/>
              </w:rPr>
            </w:pPr>
            <w:r w:rsidRPr="00A67F27">
              <w:rPr>
                <w:rFonts w:asciiTheme="majorBidi" w:hAnsiTheme="majorBidi" w:cstheme="majorBidi"/>
                <w:lang w:val="fr-FR"/>
              </w:rPr>
              <w:t>Chiffre d’affaires annuel moyen des activités de construction</w:t>
            </w:r>
          </w:p>
          <w:p w14:paraId="046EE8A7" w14:textId="77777777" w:rsidR="00543ED0" w:rsidRPr="00A67F27" w:rsidRDefault="00543ED0" w:rsidP="00BE4B6F">
            <w:pPr>
              <w:pStyle w:val="Corpsdetexte"/>
              <w:tabs>
                <w:tab w:val="left" w:pos="2610"/>
              </w:tabs>
              <w:spacing w:before="60" w:after="60"/>
              <w:rPr>
                <w:rFonts w:asciiTheme="majorBidi" w:hAnsiTheme="majorBidi" w:cstheme="majorBidi"/>
                <w:lang w:val="fr-FR"/>
              </w:rPr>
            </w:pPr>
            <w:r w:rsidRPr="00A67F27">
              <w:rPr>
                <w:rFonts w:asciiTheme="majorBidi" w:hAnsiTheme="majorBidi" w:cstheme="majorBidi"/>
                <w:lang w:val="fr-FR"/>
              </w:rPr>
              <w:t xml:space="preserve"> _________________________________________</w:t>
            </w:r>
          </w:p>
        </w:tc>
        <w:tc>
          <w:tcPr>
            <w:tcW w:w="2412" w:type="dxa"/>
          </w:tcPr>
          <w:p w14:paraId="2DE0013F" w14:textId="77777777" w:rsidR="00543ED0" w:rsidRPr="00A67F27" w:rsidRDefault="00543ED0" w:rsidP="00BE4B6F">
            <w:pPr>
              <w:pStyle w:val="Corpsdetexte"/>
              <w:tabs>
                <w:tab w:val="left" w:pos="2610"/>
              </w:tabs>
              <w:spacing w:before="60" w:after="60"/>
              <w:ind w:left="0" w:firstLine="0"/>
              <w:rPr>
                <w:rFonts w:asciiTheme="majorBidi" w:hAnsiTheme="majorBidi" w:cstheme="majorBidi"/>
                <w:b/>
                <w:lang w:val="fr-FR"/>
              </w:rPr>
            </w:pPr>
            <w:r w:rsidRPr="00A67F27">
              <w:rPr>
                <w:rFonts w:asciiTheme="majorBidi" w:hAnsiTheme="majorBidi" w:cstheme="majorBidi"/>
                <w:b/>
                <w:lang w:val="fr-FR"/>
              </w:rPr>
              <w:t>__________________</w:t>
            </w:r>
          </w:p>
        </w:tc>
      </w:tr>
    </w:tbl>
    <w:p w14:paraId="6399963C" w14:textId="77777777" w:rsidR="00543ED0" w:rsidRPr="00A67F27" w:rsidRDefault="00543ED0" w:rsidP="00543ED0">
      <w:pPr>
        <w:tabs>
          <w:tab w:val="left" w:pos="2610"/>
        </w:tabs>
        <w:rPr>
          <w:rFonts w:asciiTheme="majorBidi" w:hAnsiTheme="majorBidi" w:cstheme="majorBidi"/>
        </w:rPr>
      </w:pPr>
    </w:p>
    <w:p w14:paraId="4CABFA61" w14:textId="77777777" w:rsidR="00543ED0" w:rsidRPr="00A67F27" w:rsidRDefault="00543ED0">
      <w:pPr>
        <w:jc w:val="left"/>
        <w:rPr>
          <w:rFonts w:asciiTheme="majorBidi" w:hAnsiTheme="majorBidi" w:cstheme="majorBidi"/>
        </w:rPr>
      </w:pPr>
      <w:r w:rsidRPr="00A67F27">
        <w:rPr>
          <w:rFonts w:asciiTheme="majorBidi" w:hAnsiTheme="majorBidi" w:cstheme="majorBidi"/>
        </w:rPr>
        <w:br w:type="page"/>
      </w:r>
    </w:p>
    <w:p w14:paraId="38BDAA5D" w14:textId="7BDCB541" w:rsidR="005001E0" w:rsidRPr="00A67F27" w:rsidRDefault="00A177B7" w:rsidP="00185F60">
      <w:pPr>
        <w:pStyle w:val="S4-Header2"/>
        <w:rPr>
          <w:szCs w:val="32"/>
          <w:lang w:val="fr-FR"/>
        </w:rPr>
      </w:pPr>
      <w:bookmarkStart w:id="548" w:name="_Toc327863889"/>
      <w:bookmarkStart w:id="549" w:name="_Toc487641629"/>
      <w:r w:rsidRPr="00A67F27">
        <w:rPr>
          <w:szCs w:val="32"/>
          <w:lang w:val="fr-FR"/>
        </w:rPr>
        <w:lastRenderedPageBreak/>
        <w:t>Formulaire FIN – 3.3</w:t>
      </w:r>
      <w:r w:rsidR="009B2302" w:rsidRPr="00A67F27">
        <w:rPr>
          <w:szCs w:val="32"/>
          <w:lang w:val="fr-FR"/>
        </w:rPr>
        <w:t> :</w:t>
      </w:r>
      <w:r w:rsidRPr="00A67F27">
        <w:rPr>
          <w:szCs w:val="32"/>
          <w:lang w:val="fr-FR"/>
        </w:rPr>
        <w:t xml:space="preserve"> Ressources financières</w:t>
      </w:r>
      <w:bookmarkEnd w:id="548"/>
      <w:bookmarkEnd w:id="549"/>
    </w:p>
    <w:p w14:paraId="5F3D901E" w14:textId="77777777" w:rsidR="005001E0" w:rsidRPr="00A67F27" w:rsidRDefault="005001E0" w:rsidP="00185F60">
      <w:pPr>
        <w:spacing w:after="0"/>
        <w:rPr>
          <w:rFonts w:asciiTheme="majorBidi" w:hAnsiTheme="majorBidi" w:cstheme="majorBidi"/>
        </w:rPr>
      </w:pPr>
    </w:p>
    <w:p w14:paraId="57CEC309" w14:textId="77777777" w:rsidR="005001E0" w:rsidRPr="00A67F27" w:rsidRDefault="00A177B7" w:rsidP="00EA698F">
      <w:pPr>
        <w:ind w:left="0" w:firstLine="0"/>
        <w:rPr>
          <w:rFonts w:asciiTheme="majorBidi" w:hAnsiTheme="majorBidi" w:cstheme="majorBidi"/>
          <w:szCs w:val="24"/>
        </w:rPr>
      </w:pPr>
      <w:r w:rsidRPr="00A67F27">
        <w:rPr>
          <w:rFonts w:asciiTheme="majorBidi" w:hAnsiTheme="majorBidi" w:cstheme="majorBidi"/>
        </w:rPr>
        <w:t xml:space="preserve">Spécifier les sources de financement, tels que les avoirs liquides, </w:t>
      </w:r>
      <w:r w:rsidRPr="00A67F27">
        <w:rPr>
          <w:rFonts w:asciiTheme="majorBidi" w:hAnsiTheme="majorBidi" w:cstheme="majorBidi"/>
          <w:szCs w:val="24"/>
        </w:rPr>
        <w:t>des actifs non grevés ou des lignes de crédit, et autres moyens financiers, net des engagements financiers en cours, disponibles pour les besoins de trésoreries des travaux objet du(es) marché(s) telles que spécifiées à la Section III. Critères d’évaluation et de qualification.</w:t>
      </w:r>
    </w:p>
    <w:tbl>
      <w:tblPr>
        <w:tblW w:w="9360" w:type="dxa"/>
        <w:jc w:val="center"/>
        <w:tblCellMar>
          <w:left w:w="72" w:type="dxa"/>
          <w:right w:w="72" w:type="dxa"/>
        </w:tblCellMar>
        <w:tblLook w:val="0000" w:firstRow="0" w:lastRow="0" w:firstColumn="0" w:lastColumn="0" w:noHBand="0" w:noVBand="0"/>
      </w:tblPr>
      <w:tblGrid>
        <w:gridCol w:w="536"/>
        <w:gridCol w:w="5640"/>
        <w:gridCol w:w="3184"/>
      </w:tblGrid>
      <w:tr w:rsidR="00A177B7" w:rsidRPr="00A67F27" w14:paraId="000F0EBC" w14:textId="77777777" w:rsidTr="00A177B7">
        <w:trPr>
          <w:cantSplit/>
          <w:jc w:val="center"/>
        </w:trPr>
        <w:tc>
          <w:tcPr>
            <w:tcW w:w="536" w:type="dxa"/>
            <w:tcBorders>
              <w:top w:val="single" w:sz="6" w:space="0" w:color="auto"/>
              <w:left w:val="single" w:sz="6" w:space="0" w:color="auto"/>
              <w:bottom w:val="single" w:sz="6" w:space="0" w:color="auto"/>
            </w:tcBorders>
            <w:vAlign w:val="center"/>
          </w:tcPr>
          <w:p w14:paraId="5D44B449" w14:textId="77777777" w:rsidR="00A177B7" w:rsidRPr="00A67F27" w:rsidRDefault="00D86EDA" w:rsidP="00185F60">
            <w:pPr>
              <w:spacing w:before="60" w:after="60"/>
              <w:jc w:val="left"/>
              <w:rPr>
                <w:rFonts w:asciiTheme="majorBidi" w:hAnsiTheme="majorBidi" w:cstheme="majorBidi"/>
                <w:color w:val="000000"/>
                <w:spacing w:val="-2"/>
                <w:szCs w:val="24"/>
                <w:lang w:eastAsia="en-US"/>
              </w:rPr>
            </w:pPr>
            <w:r w:rsidRPr="00A67F27">
              <w:rPr>
                <w:rFonts w:asciiTheme="majorBidi" w:hAnsiTheme="majorBidi" w:cstheme="majorBidi"/>
                <w:color w:val="000000"/>
                <w:spacing w:val="-2"/>
                <w:szCs w:val="24"/>
                <w:lang w:eastAsia="en-US"/>
              </w:rPr>
              <w:t>No.</w:t>
            </w:r>
          </w:p>
        </w:tc>
        <w:tc>
          <w:tcPr>
            <w:tcW w:w="5640" w:type="dxa"/>
            <w:tcBorders>
              <w:top w:val="single" w:sz="6" w:space="0" w:color="auto"/>
              <w:left w:val="single" w:sz="6" w:space="0" w:color="auto"/>
              <w:bottom w:val="single" w:sz="6" w:space="0" w:color="auto"/>
            </w:tcBorders>
          </w:tcPr>
          <w:p w14:paraId="2FC548A9" w14:textId="77777777" w:rsidR="00A177B7" w:rsidRPr="00A67F27" w:rsidRDefault="00D86EDA" w:rsidP="00185F60">
            <w:pPr>
              <w:spacing w:before="60" w:after="60"/>
              <w:jc w:val="left"/>
              <w:rPr>
                <w:rFonts w:asciiTheme="majorBidi" w:hAnsiTheme="majorBidi" w:cstheme="majorBidi"/>
                <w:color w:val="000000"/>
                <w:spacing w:val="-2"/>
                <w:szCs w:val="24"/>
                <w:lang w:eastAsia="en-US"/>
              </w:rPr>
            </w:pPr>
            <w:r w:rsidRPr="00A67F27">
              <w:rPr>
                <w:rFonts w:asciiTheme="majorBidi" w:hAnsiTheme="majorBidi" w:cstheme="majorBidi"/>
                <w:color w:val="000000"/>
                <w:spacing w:val="-2"/>
                <w:szCs w:val="24"/>
                <w:lang w:eastAsia="en-US"/>
              </w:rPr>
              <w:t xml:space="preserve">Source </w:t>
            </w:r>
            <w:r w:rsidR="00A177B7" w:rsidRPr="00A67F27">
              <w:rPr>
                <w:rFonts w:asciiTheme="majorBidi" w:hAnsiTheme="majorBidi" w:cstheme="majorBidi"/>
                <w:color w:val="000000"/>
                <w:spacing w:val="-2"/>
                <w:szCs w:val="24"/>
                <w:lang w:eastAsia="en-US"/>
              </w:rPr>
              <w:t>de financement</w:t>
            </w:r>
          </w:p>
        </w:tc>
        <w:tc>
          <w:tcPr>
            <w:tcW w:w="3184" w:type="dxa"/>
            <w:tcBorders>
              <w:top w:val="single" w:sz="6" w:space="0" w:color="auto"/>
              <w:left w:val="single" w:sz="6" w:space="0" w:color="auto"/>
              <w:bottom w:val="single" w:sz="6" w:space="0" w:color="auto"/>
              <w:right w:val="single" w:sz="6" w:space="0" w:color="auto"/>
            </w:tcBorders>
          </w:tcPr>
          <w:p w14:paraId="3E8143B3" w14:textId="77777777" w:rsidR="00A177B7" w:rsidRPr="00A67F27" w:rsidRDefault="00A177B7" w:rsidP="00185F60">
            <w:pPr>
              <w:spacing w:before="60" w:after="60"/>
              <w:jc w:val="left"/>
              <w:rPr>
                <w:rFonts w:asciiTheme="majorBidi" w:hAnsiTheme="majorBidi" w:cstheme="majorBidi"/>
                <w:color w:val="000000"/>
                <w:spacing w:val="-2"/>
                <w:szCs w:val="24"/>
                <w:lang w:eastAsia="en-US"/>
              </w:rPr>
            </w:pPr>
            <w:r w:rsidRPr="00A67F27">
              <w:rPr>
                <w:rFonts w:asciiTheme="majorBidi" w:hAnsiTheme="majorBidi" w:cstheme="majorBidi"/>
                <w:color w:val="000000"/>
                <w:spacing w:val="-2"/>
                <w:szCs w:val="24"/>
                <w:lang w:eastAsia="en-US"/>
              </w:rPr>
              <w:t>Montant</w:t>
            </w:r>
            <w:r w:rsidR="00D86EDA" w:rsidRPr="00A67F27">
              <w:rPr>
                <w:rFonts w:asciiTheme="majorBidi" w:hAnsiTheme="majorBidi" w:cstheme="majorBidi"/>
                <w:color w:val="000000"/>
                <w:spacing w:val="-2"/>
                <w:szCs w:val="24"/>
                <w:lang w:eastAsia="en-US"/>
              </w:rPr>
              <w:t xml:space="preserve"> (US$ </w:t>
            </w:r>
            <w:r w:rsidR="00D41D68" w:rsidRPr="00A67F27">
              <w:rPr>
                <w:rFonts w:asciiTheme="majorBidi" w:hAnsiTheme="majorBidi" w:cstheme="majorBidi"/>
                <w:color w:val="000000"/>
                <w:spacing w:val="-2"/>
                <w:szCs w:val="24"/>
                <w:lang w:eastAsia="en-US"/>
              </w:rPr>
              <w:t>équivalent</w:t>
            </w:r>
            <w:r w:rsidR="00D86EDA" w:rsidRPr="00A67F27">
              <w:rPr>
                <w:rFonts w:asciiTheme="majorBidi" w:hAnsiTheme="majorBidi" w:cstheme="majorBidi"/>
                <w:color w:val="000000"/>
                <w:spacing w:val="-2"/>
                <w:szCs w:val="24"/>
                <w:lang w:eastAsia="en-US"/>
              </w:rPr>
              <w:t>)</w:t>
            </w:r>
          </w:p>
        </w:tc>
      </w:tr>
      <w:tr w:rsidR="00A177B7" w:rsidRPr="00A67F27" w14:paraId="58F8BF10" w14:textId="77777777" w:rsidTr="00185F60">
        <w:trPr>
          <w:cantSplit/>
          <w:jc w:val="center"/>
        </w:trPr>
        <w:tc>
          <w:tcPr>
            <w:tcW w:w="536" w:type="dxa"/>
            <w:tcBorders>
              <w:top w:val="single" w:sz="6" w:space="0" w:color="auto"/>
              <w:left w:val="single" w:sz="6" w:space="0" w:color="auto"/>
            </w:tcBorders>
          </w:tcPr>
          <w:p w14:paraId="5CB4FA91" w14:textId="77777777" w:rsidR="00A177B7" w:rsidRPr="00A67F27" w:rsidRDefault="00D86EDA" w:rsidP="00185F60">
            <w:pPr>
              <w:spacing w:before="60" w:after="60"/>
              <w:jc w:val="left"/>
              <w:rPr>
                <w:rFonts w:asciiTheme="majorBidi" w:hAnsiTheme="majorBidi" w:cstheme="majorBidi"/>
                <w:spacing w:val="-2"/>
                <w:szCs w:val="24"/>
                <w:lang w:eastAsia="en-US"/>
              </w:rPr>
            </w:pPr>
            <w:r w:rsidRPr="00A67F27">
              <w:rPr>
                <w:rFonts w:asciiTheme="majorBidi" w:hAnsiTheme="majorBidi" w:cstheme="majorBidi"/>
                <w:spacing w:val="-2"/>
                <w:szCs w:val="24"/>
                <w:lang w:eastAsia="en-US"/>
              </w:rPr>
              <w:t>1</w:t>
            </w:r>
          </w:p>
        </w:tc>
        <w:tc>
          <w:tcPr>
            <w:tcW w:w="5640" w:type="dxa"/>
            <w:tcBorders>
              <w:top w:val="single" w:sz="6" w:space="0" w:color="auto"/>
              <w:left w:val="single" w:sz="6" w:space="0" w:color="auto"/>
            </w:tcBorders>
          </w:tcPr>
          <w:p w14:paraId="25FD7654" w14:textId="77777777" w:rsidR="00A177B7" w:rsidRPr="00A67F27" w:rsidRDefault="00A177B7" w:rsidP="00BE4B6F">
            <w:pPr>
              <w:spacing w:before="60" w:after="60"/>
              <w:rPr>
                <w:rFonts w:asciiTheme="majorBidi" w:hAnsiTheme="majorBidi" w:cstheme="majorBidi"/>
                <w:spacing w:val="-2"/>
                <w:szCs w:val="24"/>
                <w:lang w:eastAsia="en-US"/>
              </w:rPr>
            </w:pPr>
          </w:p>
          <w:p w14:paraId="07B139FA" w14:textId="77777777" w:rsidR="00A177B7" w:rsidRPr="00A67F27" w:rsidRDefault="00A177B7" w:rsidP="00BE4B6F">
            <w:pPr>
              <w:spacing w:before="60" w:after="60"/>
              <w:rPr>
                <w:rFonts w:asciiTheme="majorBidi" w:hAnsiTheme="majorBidi" w:cstheme="majorBidi"/>
                <w:spacing w:val="-2"/>
                <w:szCs w:val="24"/>
                <w:lang w:eastAsia="en-US"/>
              </w:rPr>
            </w:pPr>
          </w:p>
        </w:tc>
        <w:tc>
          <w:tcPr>
            <w:tcW w:w="3184" w:type="dxa"/>
            <w:tcBorders>
              <w:top w:val="single" w:sz="6" w:space="0" w:color="auto"/>
              <w:left w:val="single" w:sz="6" w:space="0" w:color="auto"/>
              <w:right w:val="single" w:sz="6" w:space="0" w:color="auto"/>
            </w:tcBorders>
          </w:tcPr>
          <w:p w14:paraId="3509EDE8" w14:textId="77777777" w:rsidR="00A177B7" w:rsidRPr="00A67F27" w:rsidRDefault="00A177B7" w:rsidP="00BE4B6F">
            <w:pPr>
              <w:spacing w:before="60" w:after="60"/>
              <w:rPr>
                <w:rFonts w:asciiTheme="majorBidi" w:hAnsiTheme="majorBidi" w:cstheme="majorBidi"/>
                <w:spacing w:val="-2"/>
                <w:szCs w:val="24"/>
                <w:lang w:eastAsia="en-US"/>
              </w:rPr>
            </w:pPr>
          </w:p>
        </w:tc>
      </w:tr>
      <w:tr w:rsidR="00A177B7" w:rsidRPr="00A67F27" w14:paraId="3281F4CA" w14:textId="77777777" w:rsidTr="00185F60">
        <w:trPr>
          <w:cantSplit/>
          <w:jc w:val="center"/>
        </w:trPr>
        <w:tc>
          <w:tcPr>
            <w:tcW w:w="536" w:type="dxa"/>
            <w:tcBorders>
              <w:top w:val="single" w:sz="6" w:space="0" w:color="auto"/>
              <w:left w:val="single" w:sz="6" w:space="0" w:color="auto"/>
            </w:tcBorders>
          </w:tcPr>
          <w:p w14:paraId="59C6A439" w14:textId="77777777" w:rsidR="00A177B7" w:rsidRPr="00A67F27" w:rsidRDefault="00D86EDA" w:rsidP="00185F60">
            <w:pPr>
              <w:spacing w:before="60" w:after="60"/>
              <w:jc w:val="left"/>
              <w:rPr>
                <w:rFonts w:asciiTheme="majorBidi" w:hAnsiTheme="majorBidi" w:cstheme="majorBidi"/>
                <w:spacing w:val="-2"/>
                <w:szCs w:val="24"/>
                <w:lang w:eastAsia="en-US"/>
              </w:rPr>
            </w:pPr>
            <w:r w:rsidRPr="00A67F27">
              <w:rPr>
                <w:rFonts w:asciiTheme="majorBidi" w:hAnsiTheme="majorBidi" w:cstheme="majorBidi"/>
                <w:spacing w:val="-2"/>
                <w:szCs w:val="24"/>
                <w:lang w:eastAsia="en-US"/>
              </w:rPr>
              <w:t>2</w:t>
            </w:r>
          </w:p>
        </w:tc>
        <w:tc>
          <w:tcPr>
            <w:tcW w:w="5640" w:type="dxa"/>
            <w:tcBorders>
              <w:top w:val="single" w:sz="6" w:space="0" w:color="auto"/>
              <w:left w:val="single" w:sz="6" w:space="0" w:color="auto"/>
            </w:tcBorders>
          </w:tcPr>
          <w:p w14:paraId="34970FA0" w14:textId="77777777" w:rsidR="00A177B7" w:rsidRPr="00A67F27" w:rsidRDefault="00A177B7" w:rsidP="00BE4B6F">
            <w:pPr>
              <w:spacing w:before="60" w:after="60"/>
              <w:rPr>
                <w:rFonts w:asciiTheme="majorBidi" w:hAnsiTheme="majorBidi" w:cstheme="majorBidi"/>
                <w:spacing w:val="-2"/>
                <w:szCs w:val="24"/>
                <w:lang w:eastAsia="en-US"/>
              </w:rPr>
            </w:pPr>
          </w:p>
          <w:p w14:paraId="223F3CB3" w14:textId="77777777" w:rsidR="00A177B7" w:rsidRPr="00A67F27" w:rsidRDefault="00A177B7" w:rsidP="00BE4B6F">
            <w:pPr>
              <w:spacing w:before="60" w:after="60"/>
              <w:rPr>
                <w:rFonts w:asciiTheme="majorBidi" w:hAnsiTheme="majorBidi" w:cstheme="majorBidi"/>
                <w:spacing w:val="-2"/>
                <w:szCs w:val="24"/>
                <w:lang w:eastAsia="en-US"/>
              </w:rPr>
            </w:pPr>
          </w:p>
        </w:tc>
        <w:tc>
          <w:tcPr>
            <w:tcW w:w="3184" w:type="dxa"/>
            <w:tcBorders>
              <w:top w:val="single" w:sz="6" w:space="0" w:color="auto"/>
              <w:left w:val="single" w:sz="6" w:space="0" w:color="auto"/>
              <w:right w:val="single" w:sz="6" w:space="0" w:color="auto"/>
            </w:tcBorders>
          </w:tcPr>
          <w:p w14:paraId="6F08751E" w14:textId="77777777" w:rsidR="00A177B7" w:rsidRPr="00A67F27" w:rsidRDefault="00A177B7" w:rsidP="00BE4B6F">
            <w:pPr>
              <w:spacing w:before="60" w:after="60"/>
              <w:rPr>
                <w:rFonts w:asciiTheme="majorBidi" w:hAnsiTheme="majorBidi" w:cstheme="majorBidi"/>
                <w:spacing w:val="-2"/>
                <w:szCs w:val="24"/>
                <w:lang w:eastAsia="en-US"/>
              </w:rPr>
            </w:pPr>
          </w:p>
        </w:tc>
      </w:tr>
      <w:tr w:rsidR="00A177B7" w:rsidRPr="00A67F27" w14:paraId="0F23C535" w14:textId="77777777" w:rsidTr="00185F60">
        <w:trPr>
          <w:cantSplit/>
          <w:jc w:val="center"/>
        </w:trPr>
        <w:tc>
          <w:tcPr>
            <w:tcW w:w="536" w:type="dxa"/>
            <w:tcBorders>
              <w:top w:val="single" w:sz="6" w:space="0" w:color="auto"/>
              <w:left w:val="single" w:sz="6" w:space="0" w:color="auto"/>
            </w:tcBorders>
          </w:tcPr>
          <w:p w14:paraId="3E98AAA5" w14:textId="77777777" w:rsidR="00A177B7" w:rsidRPr="00A67F27" w:rsidRDefault="00D86EDA" w:rsidP="00185F60">
            <w:pPr>
              <w:spacing w:before="60" w:after="60"/>
              <w:jc w:val="left"/>
              <w:rPr>
                <w:rFonts w:asciiTheme="majorBidi" w:hAnsiTheme="majorBidi" w:cstheme="majorBidi"/>
                <w:spacing w:val="-2"/>
                <w:szCs w:val="24"/>
                <w:lang w:eastAsia="en-US"/>
              </w:rPr>
            </w:pPr>
            <w:r w:rsidRPr="00A67F27">
              <w:rPr>
                <w:rFonts w:asciiTheme="majorBidi" w:hAnsiTheme="majorBidi" w:cstheme="majorBidi"/>
                <w:spacing w:val="-2"/>
                <w:szCs w:val="24"/>
                <w:lang w:eastAsia="en-US"/>
              </w:rPr>
              <w:t>3</w:t>
            </w:r>
          </w:p>
        </w:tc>
        <w:tc>
          <w:tcPr>
            <w:tcW w:w="5640" w:type="dxa"/>
            <w:tcBorders>
              <w:top w:val="single" w:sz="6" w:space="0" w:color="auto"/>
              <w:left w:val="single" w:sz="6" w:space="0" w:color="auto"/>
            </w:tcBorders>
          </w:tcPr>
          <w:p w14:paraId="01D75DCD" w14:textId="77777777" w:rsidR="00A177B7" w:rsidRPr="00A67F27" w:rsidRDefault="00A177B7" w:rsidP="00BE4B6F">
            <w:pPr>
              <w:spacing w:before="60" w:after="60"/>
              <w:rPr>
                <w:rFonts w:asciiTheme="majorBidi" w:hAnsiTheme="majorBidi" w:cstheme="majorBidi"/>
                <w:spacing w:val="-2"/>
                <w:szCs w:val="24"/>
                <w:lang w:eastAsia="en-US"/>
              </w:rPr>
            </w:pPr>
          </w:p>
          <w:p w14:paraId="3E363D7E" w14:textId="77777777" w:rsidR="00A177B7" w:rsidRPr="00A67F27" w:rsidRDefault="00A177B7" w:rsidP="00BE4B6F">
            <w:pPr>
              <w:spacing w:before="60" w:after="60"/>
              <w:rPr>
                <w:rFonts w:asciiTheme="majorBidi" w:hAnsiTheme="majorBidi" w:cstheme="majorBidi"/>
                <w:spacing w:val="-2"/>
                <w:szCs w:val="24"/>
                <w:lang w:eastAsia="en-US"/>
              </w:rPr>
            </w:pPr>
          </w:p>
        </w:tc>
        <w:tc>
          <w:tcPr>
            <w:tcW w:w="3184" w:type="dxa"/>
            <w:tcBorders>
              <w:top w:val="single" w:sz="6" w:space="0" w:color="auto"/>
              <w:left w:val="single" w:sz="6" w:space="0" w:color="auto"/>
              <w:right w:val="single" w:sz="6" w:space="0" w:color="auto"/>
            </w:tcBorders>
          </w:tcPr>
          <w:p w14:paraId="41E1D135" w14:textId="77777777" w:rsidR="00A177B7" w:rsidRPr="00A67F27" w:rsidRDefault="00A177B7" w:rsidP="00BE4B6F">
            <w:pPr>
              <w:spacing w:before="60" w:after="60"/>
              <w:rPr>
                <w:rFonts w:asciiTheme="majorBidi" w:hAnsiTheme="majorBidi" w:cstheme="majorBidi"/>
                <w:spacing w:val="-2"/>
                <w:szCs w:val="24"/>
                <w:lang w:eastAsia="en-US"/>
              </w:rPr>
            </w:pPr>
          </w:p>
        </w:tc>
      </w:tr>
      <w:tr w:rsidR="00A177B7" w:rsidRPr="00A67F27" w14:paraId="52D6BFDA" w14:textId="77777777" w:rsidTr="00185F60">
        <w:trPr>
          <w:cantSplit/>
          <w:jc w:val="center"/>
        </w:trPr>
        <w:tc>
          <w:tcPr>
            <w:tcW w:w="536" w:type="dxa"/>
            <w:tcBorders>
              <w:top w:val="single" w:sz="6" w:space="0" w:color="auto"/>
              <w:left w:val="single" w:sz="6" w:space="0" w:color="auto"/>
              <w:bottom w:val="single" w:sz="6" w:space="0" w:color="auto"/>
            </w:tcBorders>
          </w:tcPr>
          <w:p w14:paraId="6A514BC2" w14:textId="7566CC5B" w:rsidR="00A177B7" w:rsidRPr="00A67F27" w:rsidRDefault="00185F60" w:rsidP="00185F60">
            <w:pPr>
              <w:spacing w:before="60" w:after="60"/>
              <w:jc w:val="left"/>
              <w:rPr>
                <w:rFonts w:asciiTheme="majorBidi" w:hAnsiTheme="majorBidi" w:cstheme="majorBidi"/>
                <w:spacing w:val="-2"/>
                <w:szCs w:val="24"/>
                <w:lang w:eastAsia="en-US"/>
              </w:rPr>
            </w:pPr>
            <w:r w:rsidRPr="00A67F27">
              <w:rPr>
                <w:rFonts w:asciiTheme="majorBidi" w:hAnsiTheme="majorBidi" w:cstheme="majorBidi"/>
                <w:spacing w:val="-2"/>
                <w:szCs w:val="24"/>
                <w:lang w:eastAsia="en-US"/>
              </w:rPr>
              <w:t>4</w:t>
            </w:r>
          </w:p>
        </w:tc>
        <w:tc>
          <w:tcPr>
            <w:tcW w:w="5640" w:type="dxa"/>
            <w:tcBorders>
              <w:top w:val="single" w:sz="6" w:space="0" w:color="auto"/>
              <w:left w:val="single" w:sz="6" w:space="0" w:color="auto"/>
              <w:bottom w:val="single" w:sz="6" w:space="0" w:color="auto"/>
            </w:tcBorders>
          </w:tcPr>
          <w:p w14:paraId="4BD43295" w14:textId="77777777" w:rsidR="00A177B7" w:rsidRPr="00A67F27" w:rsidRDefault="00A177B7" w:rsidP="00BE4B6F">
            <w:pPr>
              <w:spacing w:before="60" w:after="60"/>
              <w:rPr>
                <w:rFonts w:asciiTheme="majorBidi" w:hAnsiTheme="majorBidi" w:cstheme="majorBidi"/>
                <w:spacing w:val="-2"/>
                <w:szCs w:val="24"/>
                <w:lang w:eastAsia="en-US"/>
              </w:rPr>
            </w:pPr>
          </w:p>
          <w:p w14:paraId="26A5678E" w14:textId="77777777" w:rsidR="00A177B7" w:rsidRPr="00A67F27" w:rsidRDefault="00A177B7" w:rsidP="00BE4B6F">
            <w:pPr>
              <w:spacing w:before="60" w:after="60"/>
              <w:rPr>
                <w:rFonts w:asciiTheme="majorBidi" w:hAnsiTheme="majorBidi" w:cstheme="majorBidi"/>
                <w:spacing w:val="-2"/>
                <w:szCs w:val="24"/>
                <w:lang w:eastAsia="en-US"/>
              </w:rPr>
            </w:pPr>
          </w:p>
        </w:tc>
        <w:tc>
          <w:tcPr>
            <w:tcW w:w="3184" w:type="dxa"/>
            <w:tcBorders>
              <w:top w:val="single" w:sz="6" w:space="0" w:color="auto"/>
              <w:left w:val="single" w:sz="6" w:space="0" w:color="auto"/>
              <w:bottom w:val="single" w:sz="6" w:space="0" w:color="auto"/>
              <w:right w:val="single" w:sz="6" w:space="0" w:color="auto"/>
            </w:tcBorders>
          </w:tcPr>
          <w:p w14:paraId="32827BDE" w14:textId="77777777" w:rsidR="00A177B7" w:rsidRPr="00A67F27" w:rsidRDefault="00A177B7" w:rsidP="00BE4B6F">
            <w:pPr>
              <w:spacing w:before="60" w:after="60"/>
              <w:rPr>
                <w:rFonts w:asciiTheme="majorBidi" w:hAnsiTheme="majorBidi" w:cstheme="majorBidi"/>
                <w:spacing w:val="-2"/>
                <w:szCs w:val="24"/>
                <w:lang w:eastAsia="en-US"/>
              </w:rPr>
            </w:pPr>
          </w:p>
        </w:tc>
      </w:tr>
    </w:tbl>
    <w:p w14:paraId="138ADD9F" w14:textId="77777777" w:rsidR="006B7AAC" w:rsidRPr="00A67F27" w:rsidRDefault="006B7AAC" w:rsidP="00A177B7">
      <w:pPr>
        <w:rPr>
          <w:rFonts w:asciiTheme="majorBidi" w:hAnsiTheme="majorBidi" w:cstheme="majorBidi"/>
        </w:rPr>
      </w:pPr>
    </w:p>
    <w:p w14:paraId="5164E4EB" w14:textId="77777777" w:rsidR="006B7AAC" w:rsidRPr="00A67F27" w:rsidRDefault="006B7AAC">
      <w:pPr>
        <w:jc w:val="left"/>
        <w:rPr>
          <w:rFonts w:asciiTheme="majorBidi" w:hAnsiTheme="majorBidi" w:cstheme="majorBidi"/>
        </w:rPr>
      </w:pPr>
      <w:r w:rsidRPr="00A67F27">
        <w:rPr>
          <w:rFonts w:asciiTheme="majorBidi" w:hAnsiTheme="majorBidi" w:cstheme="majorBidi"/>
        </w:rPr>
        <w:br w:type="page"/>
      </w:r>
    </w:p>
    <w:p w14:paraId="64B006E2" w14:textId="0940B13A" w:rsidR="000A450A" w:rsidRPr="00A67F27" w:rsidRDefault="000A450A" w:rsidP="00DA134A">
      <w:pPr>
        <w:pStyle w:val="S4-Header2"/>
        <w:rPr>
          <w:szCs w:val="32"/>
          <w:lang w:val="fr-FR"/>
        </w:rPr>
      </w:pPr>
      <w:bookmarkStart w:id="550" w:name="_Toc327863891"/>
      <w:bookmarkStart w:id="551" w:name="_Toc487641630"/>
      <w:r w:rsidRPr="00A67F27">
        <w:rPr>
          <w:szCs w:val="32"/>
          <w:lang w:val="fr-FR"/>
        </w:rPr>
        <w:lastRenderedPageBreak/>
        <w:t>Formulaire EXP – 4.1</w:t>
      </w:r>
      <w:r w:rsidR="009B2302" w:rsidRPr="00A67F27">
        <w:rPr>
          <w:szCs w:val="32"/>
          <w:lang w:val="fr-FR"/>
        </w:rPr>
        <w:t> :</w:t>
      </w:r>
      <w:r w:rsidR="00543ED0" w:rsidRPr="00A67F27">
        <w:rPr>
          <w:szCs w:val="32"/>
          <w:lang w:val="fr-FR"/>
        </w:rPr>
        <w:t xml:space="preserve"> </w:t>
      </w:r>
      <w:r w:rsidRPr="00A67F27">
        <w:rPr>
          <w:szCs w:val="32"/>
          <w:lang w:val="fr-FR"/>
        </w:rPr>
        <w:t>Expérience générale de construction</w:t>
      </w:r>
      <w:bookmarkEnd w:id="550"/>
      <w:bookmarkEnd w:id="551"/>
    </w:p>
    <w:p w14:paraId="50050A21" w14:textId="77777777" w:rsidR="000A450A" w:rsidRPr="00A67F27" w:rsidRDefault="000A450A" w:rsidP="00122D67">
      <w:pPr>
        <w:tabs>
          <w:tab w:val="left" w:pos="2610"/>
        </w:tabs>
        <w:jc w:val="center"/>
        <w:rPr>
          <w:rFonts w:asciiTheme="majorBidi" w:hAnsiTheme="majorBidi" w:cstheme="majorBidi"/>
        </w:rPr>
      </w:pPr>
    </w:p>
    <w:p w14:paraId="549C3A4D" w14:textId="77777777" w:rsidR="00DA134A" w:rsidRPr="00A67F27" w:rsidRDefault="000A450A" w:rsidP="00DA134A">
      <w:pPr>
        <w:tabs>
          <w:tab w:val="left" w:pos="2610"/>
        </w:tabs>
        <w:spacing w:after="0"/>
        <w:jc w:val="right"/>
        <w:rPr>
          <w:rFonts w:asciiTheme="majorBidi" w:hAnsiTheme="majorBidi" w:cstheme="majorBidi"/>
        </w:rPr>
      </w:pPr>
      <w:r w:rsidRPr="00A67F27">
        <w:rPr>
          <w:rFonts w:asciiTheme="majorBidi" w:hAnsiTheme="majorBidi" w:cstheme="majorBidi"/>
        </w:rPr>
        <w:t>Nom légal du soumissionnaire</w:t>
      </w:r>
      <w:r w:rsidR="009B2302" w:rsidRPr="00A67F27">
        <w:rPr>
          <w:rFonts w:asciiTheme="majorBidi" w:hAnsiTheme="majorBidi" w:cstheme="majorBidi"/>
        </w:rPr>
        <w:t> :</w:t>
      </w:r>
      <w:r w:rsidRPr="00A67F27">
        <w:rPr>
          <w:rFonts w:asciiTheme="majorBidi" w:hAnsiTheme="majorBidi" w:cstheme="majorBidi"/>
        </w:rPr>
        <w:t xml:space="preserve"> ________________________</w:t>
      </w:r>
    </w:p>
    <w:p w14:paraId="1A18CD4A" w14:textId="336569E5" w:rsidR="000A450A" w:rsidRPr="00A67F27" w:rsidRDefault="000A450A" w:rsidP="00DA134A">
      <w:pPr>
        <w:tabs>
          <w:tab w:val="left" w:pos="2610"/>
        </w:tabs>
        <w:spacing w:after="0"/>
        <w:jc w:val="right"/>
        <w:rPr>
          <w:rFonts w:asciiTheme="majorBidi" w:hAnsiTheme="majorBidi" w:cstheme="majorBidi"/>
        </w:rPr>
      </w:pPr>
      <w:r w:rsidRPr="00A67F27">
        <w:rPr>
          <w:rFonts w:asciiTheme="majorBidi" w:hAnsiTheme="majorBidi" w:cstheme="majorBidi"/>
        </w:rPr>
        <w:t>Date</w:t>
      </w:r>
      <w:r w:rsidR="009B2302" w:rsidRPr="00A67F27">
        <w:rPr>
          <w:rFonts w:asciiTheme="majorBidi" w:hAnsiTheme="majorBidi" w:cstheme="majorBidi"/>
        </w:rPr>
        <w:t> :</w:t>
      </w:r>
      <w:r w:rsidRPr="00A67F27">
        <w:rPr>
          <w:rFonts w:asciiTheme="majorBidi" w:hAnsiTheme="majorBidi" w:cstheme="majorBidi"/>
        </w:rPr>
        <w:t xml:space="preserve"> __________________</w:t>
      </w:r>
    </w:p>
    <w:p w14:paraId="0BA32BD9" w14:textId="77777777" w:rsidR="00DA134A" w:rsidRPr="00A67F27" w:rsidRDefault="000A450A" w:rsidP="00DA134A">
      <w:pPr>
        <w:tabs>
          <w:tab w:val="left" w:pos="2610"/>
        </w:tabs>
        <w:spacing w:after="0"/>
        <w:jc w:val="right"/>
        <w:rPr>
          <w:rFonts w:asciiTheme="majorBidi" w:hAnsiTheme="majorBidi" w:cstheme="majorBidi"/>
          <w:i/>
        </w:rPr>
      </w:pPr>
      <w:r w:rsidRPr="00A67F27">
        <w:rPr>
          <w:rFonts w:asciiTheme="majorBidi" w:hAnsiTheme="majorBidi" w:cstheme="majorBidi"/>
        </w:rPr>
        <w:t>Nom légal de la partie au GE</w:t>
      </w:r>
      <w:r w:rsidR="009B2302" w:rsidRPr="00A67F27">
        <w:rPr>
          <w:rFonts w:asciiTheme="majorBidi" w:hAnsiTheme="majorBidi" w:cstheme="majorBidi"/>
        </w:rPr>
        <w:t> :</w:t>
      </w:r>
      <w:r w:rsidRPr="00A67F27">
        <w:rPr>
          <w:rFonts w:asciiTheme="majorBidi" w:hAnsiTheme="majorBidi" w:cstheme="majorBidi"/>
        </w:rPr>
        <w:t xml:space="preserve"> ______________ _________</w:t>
      </w:r>
    </w:p>
    <w:p w14:paraId="4488533E" w14:textId="6E30AAEF" w:rsidR="000A450A" w:rsidRPr="00A67F27" w:rsidRDefault="000A450A" w:rsidP="00DA134A">
      <w:pPr>
        <w:tabs>
          <w:tab w:val="left" w:pos="2610"/>
        </w:tabs>
        <w:spacing w:after="0"/>
        <w:jc w:val="right"/>
        <w:rPr>
          <w:rFonts w:asciiTheme="majorBidi" w:hAnsiTheme="majorBidi" w:cstheme="majorBidi"/>
        </w:rPr>
      </w:pPr>
      <w:r w:rsidRPr="00A67F27">
        <w:rPr>
          <w:rFonts w:asciiTheme="majorBidi" w:hAnsiTheme="majorBidi" w:cstheme="majorBidi"/>
        </w:rPr>
        <w:t>No. AO</w:t>
      </w:r>
      <w:r w:rsidR="009B2302" w:rsidRPr="00A67F27">
        <w:rPr>
          <w:rFonts w:asciiTheme="majorBidi" w:hAnsiTheme="majorBidi" w:cstheme="majorBidi"/>
        </w:rPr>
        <w:t> :</w:t>
      </w:r>
      <w:r w:rsidRPr="00A67F27">
        <w:rPr>
          <w:rFonts w:asciiTheme="majorBidi" w:hAnsiTheme="majorBidi" w:cstheme="majorBidi"/>
        </w:rPr>
        <w:t xml:space="preserve"> </w:t>
      </w:r>
      <w:r w:rsidR="00DA134A" w:rsidRPr="00A67F27">
        <w:rPr>
          <w:rFonts w:asciiTheme="majorBidi" w:hAnsiTheme="majorBidi" w:cstheme="majorBidi"/>
        </w:rPr>
        <w:t>__________________</w:t>
      </w:r>
    </w:p>
    <w:p w14:paraId="097EEA49" w14:textId="77777777" w:rsidR="004A7F6C" w:rsidRPr="00A67F27" w:rsidRDefault="004A7F6C" w:rsidP="004A7F6C">
      <w:pPr>
        <w:spacing w:after="0"/>
        <w:ind w:right="72"/>
        <w:jc w:val="right"/>
        <w:rPr>
          <w:rFonts w:asciiTheme="majorBidi" w:hAnsiTheme="majorBidi" w:cstheme="majorBidi"/>
          <w:bCs/>
          <w:i/>
          <w:iCs/>
        </w:rPr>
      </w:pPr>
      <w:r w:rsidRPr="00A67F27">
        <w:rPr>
          <w:spacing w:val="-2"/>
        </w:rPr>
        <w:t>Page</w:t>
      </w:r>
      <w:r w:rsidRPr="00A67F27">
        <w:rPr>
          <w:i/>
          <w:spacing w:val="-2"/>
        </w:rPr>
        <w:t xml:space="preserve"> </w:t>
      </w:r>
      <w:r w:rsidRPr="00A67F27">
        <w:rPr>
          <w:i/>
        </w:rPr>
        <w:t>__________de</w:t>
      </w:r>
      <w:r w:rsidRPr="00A67F27">
        <w:rPr>
          <w:spacing w:val="-2"/>
        </w:rPr>
        <w:t xml:space="preserve"> </w:t>
      </w:r>
      <w:r w:rsidRPr="00A67F27">
        <w:rPr>
          <w:i/>
          <w:spacing w:val="1"/>
        </w:rPr>
        <w:t>_______________</w:t>
      </w:r>
      <w:r w:rsidRPr="00A67F27">
        <w:rPr>
          <w:spacing w:val="-2"/>
        </w:rPr>
        <w:t>pages</w:t>
      </w:r>
    </w:p>
    <w:p w14:paraId="317CD762" w14:textId="7BC149C7" w:rsidR="000A450A" w:rsidRPr="00A67F27" w:rsidRDefault="000A450A" w:rsidP="00122D67">
      <w:pPr>
        <w:tabs>
          <w:tab w:val="left" w:pos="2610"/>
        </w:tabs>
        <w:jc w:val="right"/>
        <w:rPr>
          <w:rFonts w:asciiTheme="majorBidi" w:hAnsiTheme="majorBidi" w:cstheme="majorBidi"/>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70"/>
        <w:gridCol w:w="990"/>
        <w:gridCol w:w="5040"/>
        <w:gridCol w:w="1980"/>
      </w:tblGrid>
      <w:tr w:rsidR="000A450A" w:rsidRPr="00A67F27" w14:paraId="6C0BD246" w14:textId="77777777">
        <w:trPr>
          <w:cantSplit/>
          <w:trHeight w:val="440"/>
          <w:tblHeader/>
          <w:jc w:val="center"/>
        </w:trPr>
        <w:tc>
          <w:tcPr>
            <w:tcW w:w="1170" w:type="dxa"/>
          </w:tcPr>
          <w:p w14:paraId="7A314957" w14:textId="529C61F0" w:rsidR="000A450A" w:rsidRPr="00A67F27" w:rsidRDefault="000A450A" w:rsidP="00DA134A">
            <w:pPr>
              <w:tabs>
                <w:tab w:val="left" w:pos="2610"/>
              </w:tabs>
              <w:spacing w:before="60" w:after="60"/>
              <w:ind w:left="0" w:firstLine="0"/>
              <w:jc w:val="center"/>
              <w:rPr>
                <w:rFonts w:asciiTheme="majorBidi" w:hAnsiTheme="majorBidi" w:cstheme="majorBidi"/>
                <w:bCs/>
                <w:spacing w:val="-2"/>
                <w:szCs w:val="24"/>
              </w:rPr>
            </w:pPr>
            <w:r w:rsidRPr="00A67F27">
              <w:rPr>
                <w:rFonts w:asciiTheme="majorBidi" w:hAnsiTheme="majorBidi" w:cstheme="majorBidi"/>
                <w:bCs/>
                <w:spacing w:val="-2"/>
                <w:szCs w:val="24"/>
              </w:rPr>
              <w:t>Mois/</w:t>
            </w:r>
            <w:r w:rsidR="00DA134A" w:rsidRPr="00A67F27">
              <w:rPr>
                <w:rFonts w:asciiTheme="majorBidi" w:hAnsiTheme="majorBidi" w:cstheme="majorBidi"/>
                <w:bCs/>
                <w:spacing w:val="-2"/>
                <w:szCs w:val="24"/>
              </w:rPr>
              <w:t xml:space="preserve"> </w:t>
            </w:r>
            <w:r w:rsidRPr="00A67F27">
              <w:rPr>
                <w:rFonts w:asciiTheme="majorBidi" w:hAnsiTheme="majorBidi" w:cstheme="majorBidi"/>
                <w:bCs/>
                <w:spacing w:val="-2"/>
                <w:szCs w:val="24"/>
              </w:rPr>
              <w:t>année de départ*</w:t>
            </w:r>
          </w:p>
        </w:tc>
        <w:tc>
          <w:tcPr>
            <w:tcW w:w="990" w:type="dxa"/>
          </w:tcPr>
          <w:p w14:paraId="18E24BBA" w14:textId="5B08241C" w:rsidR="000A450A" w:rsidRPr="00A67F27" w:rsidRDefault="000A450A" w:rsidP="00DA134A">
            <w:pPr>
              <w:tabs>
                <w:tab w:val="left" w:pos="2610"/>
              </w:tabs>
              <w:spacing w:before="60" w:after="60"/>
              <w:ind w:left="0" w:firstLine="0"/>
              <w:jc w:val="center"/>
              <w:rPr>
                <w:rFonts w:asciiTheme="majorBidi" w:hAnsiTheme="majorBidi" w:cstheme="majorBidi"/>
                <w:bCs/>
                <w:spacing w:val="-2"/>
                <w:szCs w:val="24"/>
              </w:rPr>
            </w:pPr>
            <w:r w:rsidRPr="00A67F27">
              <w:rPr>
                <w:rFonts w:asciiTheme="majorBidi" w:hAnsiTheme="majorBidi" w:cstheme="majorBidi"/>
                <w:bCs/>
                <w:spacing w:val="-2"/>
                <w:szCs w:val="24"/>
              </w:rPr>
              <w:t>Mois/</w:t>
            </w:r>
            <w:r w:rsidR="00DA134A" w:rsidRPr="00A67F27">
              <w:rPr>
                <w:rFonts w:asciiTheme="majorBidi" w:hAnsiTheme="majorBidi" w:cstheme="majorBidi"/>
                <w:bCs/>
                <w:spacing w:val="-2"/>
                <w:szCs w:val="24"/>
              </w:rPr>
              <w:t xml:space="preserve"> </w:t>
            </w:r>
            <w:r w:rsidRPr="00A67F27">
              <w:rPr>
                <w:rFonts w:asciiTheme="majorBidi" w:hAnsiTheme="majorBidi" w:cstheme="majorBidi"/>
                <w:bCs/>
                <w:spacing w:val="-2"/>
                <w:szCs w:val="24"/>
              </w:rPr>
              <w:t>année final(e)</w:t>
            </w:r>
          </w:p>
        </w:tc>
        <w:tc>
          <w:tcPr>
            <w:tcW w:w="5040" w:type="dxa"/>
          </w:tcPr>
          <w:p w14:paraId="3C7FEE4B" w14:textId="01ABFA44" w:rsidR="000A450A" w:rsidRPr="00A67F27" w:rsidRDefault="000A450A" w:rsidP="00BE4B6F">
            <w:pPr>
              <w:tabs>
                <w:tab w:val="left" w:pos="2610"/>
              </w:tabs>
              <w:spacing w:before="60" w:after="60"/>
              <w:ind w:left="0" w:firstLine="0"/>
              <w:jc w:val="center"/>
              <w:rPr>
                <w:rFonts w:asciiTheme="majorBidi" w:hAnsiTheme="majorBidi" w:cstheme="majorBidi"/>
                <w:bCs/>
                <w:spacing w:val="-2"/>
                <w:szCs w:val="24"/>
              </w:rPr>
            </w:pPr>
            <w:r w:rsidRPr="00A67F27">
              <w:rPr>
                <w:rFonts w:asciiTheme="majorBidi" w:hAnsiTheme="majorBidi" w:cstheme="majorBidi"/>
                <w:bCs/>
                <w:spacing w:val="-2"/>
                <w:szCs w:val="24"/>
              </w:rPr>
              <w:t>Identification du marché</w:t>
            </w:r>
          </w:p>
          <w:p w14:paraId="12E59747" w14:textId="77777777" w:rsidR="000A450A" w:rsidRPr="00A67F27" w:rsidRDefault="000A450A" w:rsidP="00BE4B6F">
            <w:pPr>
              <w:tabs>
                <w:tab w:val="left" w:pos="2610"/>
              </w:tabs>
              <w:spacing w:before="60" w:after="60"/>
              <w:ind w:left="0" w:firstLine="0"/>
              <w:jc w:val="center"/>
              <w:rPr>
                <w:rFonts w:asciiTheme="majorBidi" w:hAnsiTheme="majorBidi" w:cstheme="majorBidi"/>
                <w:bCs/>
                <w:spacing w:val="-2"/>
                <w:szCs w:val="24"/>
              </w:rPr>
            </w:pPr>
          </w:p>
        </w:tc>
        <w:tc>
          <w:tcPr>
            <w:tcW w:w="1980" w:type="dxa"/>
          </w:tcPr>
          <w:p w14:paraId="0CE94514" w14:textId="77777777" w:rsidR="000A450A" w:rsidRPr="00A67F27" w:rsidRDefault="000A450A" w:rsidP="00BE4B6F">
            <w:pPr>
              <w:tabs>
                <w:tab w:val="left" w:pos="2610"/>
              </w:tabs>
              <w:spacing w:before="60" w:after="60"/>
              <w:ind w:left="0" w:firstLine="0"/>
              <w:jc w:val="center"/>
              <w:rPr>
                <w:rFonts w:asciiTheme="majorBidi" w:hAnsiTheme="majorBidi" w:cstheme="majorBidi"/>
                <w:bCs/>
                <w:spacing w:val="-2"/>
                <w:szCs w:val="24"/>
              </w:rPr>
            </w:pPr>
            <w:r w:rsidRPr="00A67F27">
              <w:rPr>
                <w:rFonts w:asciiTheme="majorBidi" w:hAnsiTheme="majorBidi" w:cstheme="majorBidi"/>
                <w:bCs/>
                <w:spacing w:val="-2"/>
                <w:szCs w:val="24"/>
              </w:rPr>
              <w:t>Rôle du soumissionnaire</w:t>
            </w:r>
          </w:p>
        </w:tc>
      </w:tr>
      <w:tr w:rsidR="000A450A" w:rsidRPr="00A67F27" w14:paraId="15B79B08" w14:textId="77777777">
        <w:trPr>
          <w:cantSplit/>
          <w:jc w:val="center"/>
        </w:trPr>
        <w:tc>
          <w:tcPr>
            <w:tcW w:w="1170" w:type="dxa"/>
          </w:tcPr>
          <w:p w14:paraId="2CB2C1D8" w14:textId="5F95341D" w:rsidR="000A450A" w:rsidRPr="00A67F27" w:rsidRDefault="000A450A" w:rsidP="00BE4B6F">
            <w:pPr>
              <w:tabs>
                <w:tab w:val="left" w:pos="2610"/>
              </w:tabs>
              <w:spacing w:before="60" w:after="60"/>
              <w:ind w:left="0" w:firstLine="0"/>
              <w:jc w:val="left"/>
              <w:rPr>
                <w:rFonts w:asciiTheme="majorBidi" w:hAnsiTheme="majorBidi" w:cstheme="majorBidi"/>
                <w:spacing w:val="-2"/>
                <w:szCs w:val="24"/>
              </w:rPr>
            </w:pPr>
          </w:p>
        </w:tc>
        <w:tc>
          <w:tcPr>
            <w:tcW w:w="990" w:type="dxa"/>
          </w:tcPr>
          <w:p w14:paraId="3E53C467" w14:textId="2B2FB08F" w:rsidR="000A450A" w:rsidRPr="00A67F27" w:rsidRDefault="000A450A" w:rsidP="00BE4B6F">
            <w:pPr>
              <w:tabs>
                <w:tab w:val="left" w:pos="2610"/>
              </w:tabs>
              <w:spacing w:before="60" w:after="60"/>
              <w:ind w:left="0" w:firstLine="0"/>
              <w:jc w:val="left"/>
              <w:rPr>
                <w:rFonts w:asciiTheme="majorBidi" w:hAnsiTheme="majorBidi" w:cstheme="majorBidi"/>
                <w:spacing w:val="-2"/>
                <w:szCs w:val="24"/>
              </w:rPr>
            </w:pPr>
          </w:p>
        </w:tc>
        <w:tc>
          <w:tcPr>
            <w:tcW w:w="5040" w:type="dxa"/>
          </w:tcPr>
          <w:p w14:paraId="2EA267C1" w14:textId="5E550FDE" w:rsidR="000A450A" w:rsidRPr="00A67F27" w:rsidRDefault="000A450A" w:rsidP="00BE4B6F">
            <w:pPr>
              <w:tabs>
                <w:tab w:val="left" w:pos="2610"/>
              </w:tabs>
              <w:spacing w:before="60" w:after="60"/>
              <w:ind w:left="0" w:firstLine="0"/>
              <w:jc w:val="left"/>
              <w:rPr>
                <w:rFonts w:asciiTheme="majorBidi" w:hAnsiTheme="majorBidi" w:cstheme="majorBidi"/>
                <w:spacing w:val="-2"/>
                <w:szCs w:val="24"/>
              </w:rPr>
            </w:pPr>
            <w:r w:rsidRPr="00A67F27">
              <w:rPr>
                <w:rFonts w:asciiTheme="majorBidi" w:hAnsiTheme="majorBidi" w:cstheme="majorBidi"/>
                <w:spacing w:val="-2"/>
                <w:szCs w:val="24"/>
              </w:rPr>
              <w:t>Nom du marché</w:t>
            </w:r>
            <w:r w:rsidR="009B2302" w:rsidRPr="00A67F27">
              <w:rPr>
                <w:rFonts w:asciiTheme="majorBidi" w:hAnsiTheme="majorBidi" w:cstheme="majorBidi"/>
                <w:spacing w:val="-2"/>
                <w:szCs w:val="24"/>
              </w:rPr>
              <w:t> :</w:t>
            </w:r>
          </w:p>
          <w:p w14:paraId="277323C4" w14:textId="635DE0FE" w:rsidR="000A450A" w:rsidRPr="00A67F27" w:rsidRDefault="000A450A" w:rsidP="00BE4B6F">
            <w:pPr>
              <w:tabs>
                <w:tab w:val="left" w:pos="2610"/>
              </w:tabs>
              <w:spacing w:before="60" w:after="60"/>
              <w:ind w:left="0" w:firstLine="0"/>
              <w:jc w:val="left"/>
              <w:rPr>
                <w:rFonts w:asciiTheme="majorBidi" w:hAnsiTheme="majorBidi" w:cstheme="majorBidi"/>
                <w:spacing w:val="-2"/>
                <w:szCs w:val="24"/>
              </w:rPr>
            </w:pPr>
            <w:r w:rsidRPr="00A67F27">
              <w:rPr>
                <w:rFonts w:asciiTheme="majorBidi" w:hAnsiTheme="majorBidi" w:cstheme="majorBidi"/>
                <w:spacing w:val="-2"/>
                <w:szCs w:val="24"/>
              </w:rPr>
              <w:t>Brève description des Travaux réalisés par le soumissionnaire</w:t>
            </w:r>
            <w:r w:rsidR="009B2302" w:rsidRPr="00A67F27">
              <w:rPr>
                <w:rFonts w:asciiTheme="majorBidi" w:hAnsiTheme="majorBidi" w:cstheme="majorBidi"/>
                <w:spacing w:val="-2"/>
                <w:szCs w:val="24"/>
              </w:rPr>
              <w:t> :</w:t>
            </w:r>
          </w:p>
          <w:p w14:paraId="072FE914" w14:textId="7F3B90C3" w:rsidR="000A450A" w:rsidRPr="00A67F27" w:rsidRDefault="000A450A" w:rsidP="00BE4B6F">
            <w:pPr>
              <w:tabs>
                <w:tab w:val="left" w:pos="2610"/>
              </w:tabs>
              <w:spacing w:before="60" w:after="60"/>
              <w:ind w:left="0" w:firstLine="0"/>
              <w:jc w:val="left"/>
              <w:rPr>
                <w:rFonts w:asciiTheme="majorBidi" w:hAnsiTheme="majorBidi" w:cstheme="majorBidi"/>
                <w:i/>
                <w:spacing w:val="-2"/>
                <w:szCs w:val="24"/>
              </w:rPr>
            </w:pPr>
            <w:r w:rsidRPr="00A67F27">
              <w:rPr>
                <w:rFonts w:asciiTheme="majorBidi" w:hAnsiTheme="majorBidi" w:cstheme="majorBidi"/>
                <w:spacing w:val="-2"/>
                <w:szCs w:val="24"/>
              </w:rPr>
              <w:t>Montant du marché</w:t>
            </w:r>
            <w:r w:rsidR="009B2302" w:rsidRPr="00A67F27">
              <w:rPr>
                <w:rFonts w:asciiTheme="majorBidi" w:hAnsiTheme="majorBidi" w:cstheme="majorBidi"/>
                <w:spacing w:val="-2"/>
                <w:szCs w:val="24"/>
              </w:rPr>
              <w:t> :</w:t>
            </w:r>
            <w:r w:rsidRPr="00A67F27">
              <w:rPr>
                <w:rFonts w:asciiTheme="majorBidi" w:hAnsiTheme="majorBidi" w:cstheme="majorBidi"/>
                <w:spacing w:val="-2"/>
                <w:szCs w:val="24"/>
              </w:rPr>
              <w:t> </w:t>
            </w:r>
            <w:r w:rsidRPr="00A67F27">
              <w:rPr>
                <w:rFonts w:asciiTheme="majorBidi" w:hAnsiTheme="majorBidi" w:cstheme="majorBidi"/>
                <w:i/>
                <w:spacing w:val="-2"/>
                <w:szCs w:val="24"/>
              </w:rPr>
              <w:t>[insérer le montant en [préciser la monnaie, le taux de change et l’équivalent en $ E.U.]</w:t>
            </w:r>
          </w:p>
          <w:p w14:paraId="540D53B2" w14:textId="0B3490AA" w:rsidR="000A450A" w:rsidRPr="00A67F27" w:rsidRDefault="000A450A" w:rsidP="00BE4B6F">
            <w:pPr>
              <w:tabs>
                <w:tab w:val="left" w:pos="2610"/>
              </w:tabs>
              <w:spacing w:before="60" w:after="60"/>
              <w:ind w:left="0" w:firstLine="0"/>
              <w:jc w:val="left"/>
              <w:rPr>
                <w:rFonts w:asciiTheme="majorBidi" w:hAnsiTheme="majorBidi" w:cstheme="majorBidi"/>
                <w:spacing w:val="-2"/>
                <w:szCs w:val="24"/>
              </w:rPr>
            </w:pPr>
            <w:r w:rsidRPr="00A67F27">
              <w:rPr>
                <w:rFonts w:asciiTheme="majorBidi" w:hAnsiTheme="majorBidi" w:cstheme="majorBidi"/>
                <w:spacing w:val="-2"/>
                <w:szCs w:val="24"/>
              </w:rPr>
              <w:t>Nom du Maître de l’Ouvrage</w:t>
            </w:r>
            <w:r w:rsidR="009B2302" w:rsidRPr="00A67F27">
              <w:rPr>
                <w:rFonts w:asciiTheme="majorBidi" w:hAnsiTheme="majorBidi" w:cstheme="majorBidi"/>
                <w:spacing w:val="-2"/>
                <w:szCs w:val="24"/>
              </w:rPr>
              <w:t> :</w:t>
            </w:r>
          </w:p>
          <w:p w14:paraId="1E50ACAE" w14:textId="2B90AB7B" w:rsidR="000A450A" w:rsidRPr="00A67F27" w:rsidRDefault="000A450A" w:rsidP="00BE4B6F">
            <w:pPr>
              <w:tabs>
                <w:tab w:val="left" w:pos="2610"/>
              </w:tabs>
              <w:spacing w:before="60" w:after="60"/>
              <w:ind w:left="0" w:firstLine="0"/>
              <w:jc w:val="left"/>
              <w:rPr>
                <w:rFonts w:asciiTheme="majorBidi" w:hAnsiTheme="majorBidi" w:cstheme="majorBidi"/>
                <w:spacing w:val="-2"/>
                <w:szCs w:val="24"/>
              </w:rPr>
            </w:pPr>
            <w:r w:rsidRPr="00A67F27">
              <w:rPr>
                <w:rFonts w:asciiTheme="majorBidi" w:hAnsiTheme="majorBidi" w:cstheme="majorBidi"/>
                <w:spacing w:val="-2"/>
                <w:szCs w:val="24"/>
              </w:rPr>
              <w:t>Adresse</w:t>
            </w:r>
            <w:r w:rsidR="009B2302" w:rsidRPr="00A67F27">
              <w:rPr>
                <w:rFonts w:asciiTheme="majorBidi" w:hAnsiTheme="majorBidi" w:cstheme="majorBidi"/>
                <w:spacing w:val="-2"/>
                <w:szCs w:val="24"/>
              </w:rPr>
              <w:t> :</w:t>
            </w:r>
          </w:p>
        </w:tc>
        <w:tc>
          <w:tcPr>
            <w:tcW w:w="1980" w:type="dxa"/>
          </w:tcPr>
          <w:p w14:paraId="5E58F4E3" w14:textId="77777777" w:rsidR="000A450A" w:rsidRPr="00A67F27" w:rsidRDefault="000A450A" w:rsidP="00DA134A">
            <w:pPr>
              <w:tabs>
                <w:tab w:val="left" w:pos="2610"/>
              </w:tabs>
              <w:spacing w:before="60" w:after="60"/>
              <w:ind w:left="0" w:firstLine="0"/>
              <w:jc w:val="left"/>
              <w:rPr>
                <w:rFonts w:asciiTheme="majorBidi" w:hAnsiTheme="majorBidi" w:cstheme="majorBidi"/>
                <w:spacing w:val="-2"/>
                <w:szCs w:val="24"/>
              </w:rPr>
            </w:pPr>
          </w:p>
        </w:tc>
      </w:tr>
      <w:tr w:rsidR="000A450A" w:rsidRPr="00A67F27" w14:paraId="6EC71E6A" w14:textId="77777777">
        <w:trPr>
          <w:cantSplit/>
          <w:jc w:val="center"/>
        </w:trPr>
        <w:tc>
          <w:tcPr>
            <w:tcW w:w="1170" w:type="dxa"/>
          </w:tcPr>
          <w:p w14:paraId="3FC35155" w14:textId="77777777" w:rsidR="000A450A" w:rsidRPr="00A67F27" w:rsidRDefault="000A450A" w:rsidP="00BE4B6F">
            <w:pPr>
              <w:tabs>
                <w:tab w:val="left" w:pos="2610"/>
              </w:tabs>
              <w:spacing w:before="60" w:after="60"/>
              <w:ind w:left="0" w:firstLine="0"/>
              <w:jc w:val="left"/>
              <w:rPr>
                <w:rFonts w:asciiTheme="majorBidi" w:hAnsiTheme="majorBidi" w:cstheme="majorBidi"/>
                <w:spacing w:val="-2"/>
                <w:szCs w:val="24"/>
              </w:rPr>
            </w:pPr>
          </w:p>
        </w:tc>
        <w:tc>
          <w:tcPr>
            <w:tcW w:w="990" w:type="dxa"/>
          </w:tcPr>
          <w:p w14:paraId="4313F209" w14:textId="77777777" w:rsidR="000A450A" w:rsidRPr="00A67F27" w:rsidRDefault="000A450A" w:rsidP="00BE4B6F">
            <w:pPr>
              <w:tabs>
                <w:tab w:val="left" w:pos="2610"/>
              </w:tabs>
              <w:spacing w:before="60" w:after="60"/>
              <w:ind w:left="0" w:firstLine="0"/>
              <w:jc w:val="left"/>
              <w:rPr>
                <w:rFonts w:asciiTheme="majorBidi" w:hAnsiTheme="majorBidi" w:cstheme="majorBidi"/>
                <w:spacing w:val="-2"/>
                <w:szCs w:val="24"/>
              </w:rPr>
            </w:pPr>
          </w:p>
        </w:tc>
        <w:tc>
          <w:tcPr>
            <w:tcW w:w="5040" w:type="dxa"/>
          </w:tcPr>
          <w:p w14:paraId="46B0D052" w14:textId="77777777" w:rsidR="00DA134A" w:rsidRPr="00A67F27" w:rsidRDefault="00DA134A" w:rsidP="00DA134A">
            <w:pPr>
              <w:tabs>
                <w:tab w:val="left" w:pos="2610"/>
              </w:tabs>
              <w:spacing w:before="60" w:after="60"/>
              <w:ind w:left="0" w:firstLine="0"/>
              <w:jc w:val="left"/>
              <w:rPr>
                <w:rFonts w:asciiTheme="majorBidi" w:hAnsiTheme="majorBidi" w:cstheme="majorBidi"/>
                <w:spacing w:val="-2"/>
                <w:szCs w:val="24"/>
              </w:rPr>
            </w:pPr>
            <w:r w:rsidRPr="00A67F27">
              <w:rPr>
                <w:rFonts w:asciiTheme="majorBidi" w:hAnsiTheme="majorBidi" w:cstheme="majorBidi"/>
                <w:spacing w:val="-2"/>
                <w:szCs w:val="24"/>
              </w:rPr>
              <w:t>Nom du marché :</w:t>
            </w:r>
          </w:p>
          <w:p w14:paraId="0834A1E0" w14:textId="77777777" w:rsidR="00DA134A" w:rsidRPr="00A67F27" w:rsidRDefault="00DA134A" w:rsidP="00DA134A">
            <w:pPr>
              <w:tabs>
                <w:tab w:val="left" w:pos="2610"/>
              </w:tabs>
              <w:spacing w:before="60" w:after="60"/>
              <w:ind w:left="0" w:firstLine="0"/>
              <w:jc w:val="left"/>
              <w:rPr>
                <w:rFonts w:asciiTheme="majorBidi" w:hAnsiTheme="majorBidi" w:cstheme="majorBidi"/>
                <w:spacing w:val="-2"/>
                <w:szCs w:val="24"/>
              </w:rPr>
            </w:pPr>
            <w:r w:rsidRPr="00A67F27">
              <w:rPr>
                <w:rFonts w:asciiTheme="majorBidi" w:hAnsiTheme="majorBidi" w:cstheme="majorBidi"/>
                <w:spacing w:val="-2"/>
                <w:szCs w:val="24"/>
              </w:rPr>
              <w:t>Brève description des Travaux réalisés par le soumissionnaire :</w:t>
            </w:r>
          </w:p>
          <w:p w14:paraId="6632B7CF" w14:textId="77777777" w:rsidR="00DA134A" w:rsidRPr="00A67F27" w:rsidRDefault="00DA134A" w:rsidP="00DA134A">
            <w:pPr>
              <w:tabs>
                <w:tab w:val="left" w:pos="2610"/>
              </w:tabs>
              <w:spacing w:before="60" w:after="60"/>
              <w:ind w:left="0" w:firstLine="0"/>
              <w:jc w:val="left"/>
              <w:rPr>
                <w:rFonts w:asciiTheme="majorBidi" w:hAnsiTheme="majorBidi" w:cstheme="majorBidi"/>
                <w:i/>
                <w:spacing w:val="-2"/>
                <w:szCs w:val="24"/>
              </w:rPr>
            </w:pPr>
            <w:r w:rsidRPr="00A67F27">
              <w:rPr>
                <w:rFonts w:asciiTheme="majorBidi" w:hAnsiTheme="majorBidi" w:cstheme="majorBidi"/>
                <w:spacing w:val="-2"/>
                <w:szCs w:val="24"/>
              </w:rPr>
              <w:t>Montant du marché : </w:t>
            </w:r>
            <w:r w:rsidRPr="00A67F27">
              <w:rPr>
                <w:rFonts w:asciiTheme="majorBidi" w:hAnsiTheme="majorBidi" w:cstheme="majorBidi"/>
                <w:i/>
                <w:spacing w:val="-2"/>
                <w:szCs w:val="24"/>
              </w:rPr>
              <w:t>[insérer le montant en [préciser la monnaie, le taux de change et l’équivalent en $ E.U.]</w:t>
            </w:r>
          </w:p>
          <w:p w14:paraId="42C26B32" w14:textId="77777777" w:rsidR="00DA134A" w:rsidRPr="00A67F27" w:rsidRDefault="00DA134A" w:rsidP="00DA134A">
            <w:pPr>
              <w:tabs>
                <w:tab w:val="left" w:pos="2610"/>
              </w:tabs>
              <w:spacing w:before="60" w:after="60"/>
              <w:ind w:left="0" w:firstLine="0"/>
              <w:jc w:val="left"/>
              <w:rPr>
                <w:rFonts w:asciiTheme="majorBidi" w:hAnsiTheme="majorBidi" w:cstheme="majorBidi"/>
                <w:spacing w:val="-2"/>
                <w:szCs w:val="24"/>
              </w:rPr>
            </w:pPr>
            <w:r w:rsidRPr="00A67F27">
              <w:rPr>
                <w:rFonts w:asciiTheme="majorBidi" w:hAnsiTheme="majorBidi" w:cstheme="majorBidi"/>
                <w:spacing w:val="-2"/>
                <w:szCs w:val="24"/>
              </w:rPr>
              <w:t>Nom du Maître de l’Ouvrage :</w:t>
            </w:r>
          </w:p>
          <w:p w14:paraId="6F391A09" w14:textId="379745B1" w:rsidR="000A450A" w:rsidRPr="00A67F27" w:rsidRDefault="00DA134A" w:rsidP="00DA134A">
            <w:pPr>
              <w:tabs>
                <w:tab w:val="left" w:pos="2610"/>
              </w:tabs>
              <w:spacing w:before="60" w:after="60"/>
              <w:ind w:left="0" w:firstLine="0"/>
              <w:jc w:val="left"/>
              <w:rPr>
                <w:rFonts w:asciiTheme="majorBidi" w:hAnsiTheme="majorBidi" w:cstheme="majorBidi"/>
                <w:spacing w:val="-2"/>
                <w:szCs w:val="24"/>
              </w:rPr>
            </w:pPr>
            <w:r w:rsidRPr="00A67F27">
              <w:rPr>
                <w:rFonts w:asciiTheme="majorBidi" w:hAnsiTheme="majorBidi" w:cstheme="majorBidi"/>
                <w:spacing w:val="-2"/>
                <w:szCs w:val="24"/>
              </w:rPr>
              <w:t>Adresse :</w:t>
            </w:r>
          </w:p>
        </w:tc>
        <w:tc>
          <w:tcPr>
            <w:tcW w:w="1980" w:type="dxa"/>
          </w:tcPr>
          <w:p w14:paraId="7CA8B225" w14:textId="77777777" w:rsidR="000A450A" w:rsidRPr="00A67F27" w:rsidRDefault="000A450A" w:rsidP="00BE4B6F">
            <w:pPr>
              <w:tabs>
                <w:tab w:val="left" w:pos="2610"/>
              </w:tabs>
              <w:spacing w:before="60" w:after="60"/>
              <w:ind w:left="0" w:firstLine="0"/>
              <w:jc w:val="left"/>
              <w:rPr>
                <w:rFonts w:asciiTheme="majorBidi" w:hAnsiTheme="majorBidi" w:cstheme="majorBidi"/>
                <w:spacing w:val="-2"/>
                <w:szCs w:val="24"/>
              </w:rPr>
            </w:pPr>
          </w:p>
        </w:tc>
      </w:tr>
      <w:tr w:rsidR="000A450A" w:rsidRPr="00A67F27" w14:paraId="706BED55" w14:textId="77777777">
        <w:trPr>
          <w:cantSplit/>
          <w:jc w:val="center"/>
        </w:trPr>
        <w:tc>
          <w:tcPr>
            <w:tcW w:w="1170" w:type="dxa"/>
          </w:tcPr>
          <w:p w14:paraId="67E6B4C7" w14:textId="77777777" w:rsidR="000A450A" w:rsidRPr="00A67F27" w:rsidRDefault="000A450A" w:rsidP="00BE4B6F">
            <w:pPr>
              <w:tabs>
                <w:tab w:val="left" w:pos="2610"/>
              </w:tabs>
              <w:spacing w:before="60" w:after="60"/>
              <w:ind w:left="0" w:firstLine="0"/>
              <w:jc w:val="left"/>
              <w:rPr>
                <w:rFonts w:asciiTheme="majorBidi" w:hAnsiTheme="majorBidi" w:cstheme="majorBidi"/>
                <w:spacing w:val="-2"/>
                <w:szCs w:val="24"/>
              </w:rPr>
            </w:pPr>
          </w:p>
        </w:tc>
        <w:tc>
          <w:tcPr>
            <w:tcW w:w="990" w:type="dxa"/>
          </w:tcPr>
          <w:p w14:paraId="18B22244" w14:textId="77777777" w:rsidR="000A450A" w:rsidRPr="00A67F27" w:rsidRDefault="000A450A" w:rsidP="00BE4B6F">
            <w:pPr>
              <w:tabs>
                <w:tab w:val="left" w:pos="2610"/>
              </w:tabs>
              <w:spacing w:before="60" w:after="60"/>
              <w:ind w:left="0" w:firstLine="0"/>
              <w:jc w:val="left"/>
              <w:rPr>
                <w:rFonts w:asciiTheme="majorBidi" w:hAnsiTheme="majorBidi" w:cstheme="majorBidi"/>
                <w:spacing w:val="-2"/>
                <w:szCs w:val="24"/>
              </w:rPr>
            </w:pPr>
          </w:p>
        </w:tc>
        <w:tc>
          <w:tcPr>
            <w:tcW w:w="5040" w:type="dxa"/>
          </w:tcPr>
          <w:p w14:paraId="28DEF7D9" w14:textId="77777777" w:rsidR="00DA134A" w:rsidRPr="00A67F27" w:rsidRDefault="00DA134A" w:rsidP="00DA134A">
            <w:pPr>
              <w:tabs>
                <w:tab w:val="left" w:pos="2610"/>
              </w:tabs>
              <w:spacing w:before="60" w:after="60"/>
              <w:ind w:left="0" w:firstLine="0"/>
              <w:jc w:val="left"/>
              <w:rPr>
                <w:rFonts w:asciiTheme="majorBidi" w:hAnsiTheme="majorBidi" w:cstheme="majorBidi"/>
                <w:spacing w:val="-2"/>
                <w:szCs w:val="24"/>
              </w:rPr>
            </w:pPr>
            <w:r w:rsidRPr="00A67F27">
              <w:rPr>
                <w:rFonts w:asciiTheme="majorBidi" w:hAnsiTheme="majorBidi" w:cstheme="majorBidi"/>
                <w:spacing w:val="-2"/>
                <w:szCs w:val="24"/>
              </w:rPr>
              <w:t>Nom du marché :</w:t>
            </w:r>
          </w:p>
          <w:p w14:paraId="0CD715B4" w14:textId="77777777" w:rsidR="00DA134A" w:rsidRPr="00A67F27" w:rsidRDefault="00DA134A" w:rsidP="00DA134A">
            <w:pPr>
              <w:tabs>
                <w:tab w:val="left" w:pos="2610"/>
              </w:tabs>
              <w:spacing w:before="60" w:after="60"/>
              <w:ind w:left="0" w:firstLine="0"/>
              <w:jc w:val="left"/>
              <w:rPr>
                <w:rFonts w:asciiTheme="majorBidi" w:hAnsiTheme="majorBidi" w:cstheme="majorBidi"/>
                <w:spacing w:val="-2"/>
                <w:szCs w:val="24"/>
              </w:rPr>
            </w:pPr>
            <w:r w:rsidRPr="00A67F27">
              <w:rPr>
                <w:rFonts w:asciiTheme="majorBidi" w:hAnsiTheme="majorBidi" w:cstheme="majorBidi"/>
                <w:spacing w:val="-2"/>
                <w:szCs w:val="24"/>
              </w:rPr>
              <w:t>Brève description des Travaux réalisés par le soumissionnaire :</w:t>
            </w:r>
          </w:p>
          <w:p w14:paraId="32685403" w14:textId="77777777" w:rsidR="00DA134A" w:rsidRPr="00A67F27" w:rsidRDefault="00DA134A" w:rsidP="00DA134A">
            <w:pPr>
              <w:tabs>
                <w:tab w:val="left" w:pos="2610"/>
              </w:tabs>
              <w:spacing w:before="60" w:after="60"/>
              <w:ind w:left="0" w:firstLine="0"/>
              <w:jc w:val="left"/>
              <w:rPr>
                <w:rFonts w:asciiTheme="majorBidi" w:hAnsiTheme="majorBidi" w:cstheme="majorBidi"/>
                <w:i/>
                <w:spacing w:val="-2"/>
                <w:szCs w:val="24"/>
              </w:rPr>
            </w:pPr>
            <w:r w:rsidRPr="00A67F27">
              <w:rPr>
                <w:rFonts w:asciiTheme="majorBidi" w:hAnsiTheme="majorBidi" w:cstheme="majorBidi"/>
                <w:spacing w:val="-2"/>
                <w:szCs w:val="24"/>
              </w:rPr>
              <w:t>Montant du marché : </w:t>
            </w:r>
            <w:r w:rsidRPr="00A67F27">
              <w:rPr>
                <w:rFonts w:asciiTheme="majorBidi" w:hAnsiTheme="majorBidi" w:cstheme="majorBidi"/>
                <w:i/>
                <w:spacing w:val="-2"/>
                <w:szCs w:val="24"/>
              </w:rPr>
              <w:t>[insérer le montant en [préciser la monnaie, le taux de change et l’équivalent en $ E.U.]</w:t>
            </w:r>
          </w:p>
          <w:p w14:paraId="676BC4B7" w14:textId="77777777" w:rsidR="00DA134A" w:rsidRPr="00A67F27" w:rsidRDefault="00DA134A" w:rsidP="00DA134A">
            <w:pPr>
              <w:tabs>
                <w:tab w:val="left" w:pos="2610"/>
              </w:tabs>
              <w:spacing w:before="60" w:after="60"/>
              <w:ind w:left="0" w:firstLine="0"/>
              <w:jc w:val="left"/>
              <w:rPr>
                <w:rFonts w:asciiTheme="majorBidi" w:hAnsiTheme="majorBidi" w:cstheme="majorBidi"/>
                <w:spacing w:val="-2"/>
                <w:szCs w:val="24"/>
              </w:rPr>
            </w:pPr>
            <w:r w:rsidRPr="00A67F27">
              <w:rPr>
                <w:rFonts w:asciiTheme="majorBidi" w:hAnsiTheme="majorBidi" w:cstheme="majorBidi"/>
                <w:spacing w:val="-2"/>
                <w:szCs w:val="24"/>
              </w:rPr>
              <w:t>Nom du Maître de l’Ouvrage :</w:t>
            </w:r>
          </w:p>
          <w:p w14:paraId="04D95ABB" w14:textId="2C668137" w:rsidR="000A450A" w:rsidRPr="00A67F27" w:rsidRDefault="00DA134A" w:rsidP="00DA134A">
            <w:pPr>
              <w:tabs>
                <w:tab w:val="left" w:pos="2610"/>
              </w:tabs>
              <w:spacing w:before="60" w:after="60"/>
              <w:ind w:left="0" w:firstLine="0"/>
              <w:jc w:val="left"/>
              <w:rPr>
                <w:rFonts w:asciiTheme="majorBidi" w:hAnsiTheme="majorBidi" w:cstheme="majorBidi"/>
                <w:spacing w:val="-2"/>
                <w:szCs w:val="24"/>
              </w:rPr>
            </w:pPr>
            <w:r w:rsidRPr="00A67F27">
              <w:rPr>
                <w:rFonts w:asciiTheme="majorBidi" w:hAnsiTheme="majorBidi" w:cstheme="majorBidi"/>
                <w:spacing w:val="-2"/>
                <w:szCs w:val="24"/>
              </w:rPr>
              <w:t>Adresse :</w:t>
            </w:r>
          </w:p>
        </w:tc>
        <w:tc>
          <w:tcPr>
            <w:tcW w:w="1980" w:type="dxa"/>
          </w:tcPr>
          <w:p w14:paraId="217A6B1D" w14:textId="77777777" w:rsidR="000A450A" w:rsidRPr="00A67F27" w:rsidRDefault="000A450A" w:rsidP="00BE4B6F">
            <w:pPr>
              <w:tabs>
                <w:tab w:val="left" w:pos="2610"/>
              </w:tabs>
              <w:spacing w:before="60" w:after="60"/>
              <w:ind w:left="0" w:firstLine="0"/>
              <w:jc w:val="left"/>
              <w:rPr>
                <w:rFonts w:asciiTheme="majorBidi" w:hAnsiTheme="majorBidi" w:cstheme="majorBidi"/>
                <w:spacing w:val="-2"/>
                <w:szCs w:val="24"/>
              </w:rPr>
            </w:pPr>
          </w:p>
        </w:tc>
      </w:tr>
    </w:tbl>
    <w:p w14:paraId="17FAFEC4" w14:textId="77777777" w:rsidR="000A450A" w:rsidRPr="00A67F27" w:rsidRDefault="000A450A" w:rsidP="00122D67">
      <w:pPr>
        <w:tabs>
          <w:tab w:val="left" w:pos="2610"/>
        </w:tabs>
        <w:rPr>
          <w:rFonts w:asciiTheme="majorBidi" w:hAnsiTheme="majorBidi" w:cstheme="majorBidi"/>
          <w:spacing w:val="-2"/>
        </w:rPr>
      </w:pPr>
    </w:p>
    <w:p w14:paraId="130C6A37" w14:textId="77777777" w:rsidR="000A450A" w:rsidRPr="00A67F27" w:rsidRDefault="000A450A" w:rsidP="00122D67">
      <w:pPr>
        <w:pStyle w:val="Outline"/>
        <w:tabs>
          <w:tab w:val="left" w:pos="2610"/>
        </w:tabs>
        <w:suppressAutoHyphens/>
        <w:spacing w:before="0"/>
        <w:rPr>
          <w:rFonts w:asciiTheme="majorBidi" w:hAnsiTheme="majorBidi" w:cstheme="majorBidi"/>
        </w:rPr>
      </w:pPr>
      <w:r w:rsidRPr="00A67F27">
        <w:rPr>
          <w:rFonts w:asciiTheme="majorBidi" w:hAnsiTheme="majorBidi" w:cstheme="majorBidi"/>
          <w:kern w:val="0"/>
        </w:rPr>
        <w:br w:type="page"/>
      </w:r>
    </w:p>
    <w:p w14:paraId="5E537E9E" w14:textId="579AD4D5" w:rsidR="000A450A" w:rsidRPr="00A67F27" w:rsidRDefault="000A450A" w:rsidP="00EC2413">
      <w:pPr>
        <w:pStyle w:val="S4-Header2"/>
        <w:rPr>
          <w:szCs w:val="32"/>
          <w:lang w:val="fr-FR"/>
        </w:rPr>
      </w:pPr>
      <w:bookmarkStart w:id="552" w:name="_Toc327863892"/>
      <w:bookmarkStart w:id="553" w:name="_Toc487641631"/>
      <w:r w:rsidRPr="00A67F27">
        <w:rPr>
          <w:szCs w:val="32"/>
          <w:lang w:val="fr-FR"/>
        </w:rPr>
        <w:lastRenderedPageBreak/>
        <w:t>Formulaire EXP – 4.2 a)</w:t>
      </w:r>
      <w:r w:rsidR="009B2302" w:rsidRPr="00A67F27">
        <w:rPr>
          <w:szCs w:val="32"/>
          <w:lang w:val="fr-FR"/>
        </w:rPr>
        <w:t> :</w:t>
      </w:r>
      <w:r w:rsidR="00543ED0" w:rsidRPr="00A67F27">
        <w:rPr>
          <w:szCs w:val="32"/>
          <w:lang w:val="fr-FR"/>
        </w:rPr>
        <w:t xml:space="preserve"> </w:t>
      </w:r>
      <w:r w:rsidRPr="00A67F27">
        <w:rPr>
          <w:szCs w:val="32"/>
          <w:lang w:val="fr-FR"/>
        </w:rPr>
        <w:t xml:space="preserve">Expérience spécifique </w:t>
      </w:r>
      <w:r w:rsidR="00EC2413" w:rsidRPr="00A67F27">
        <w:rPr>
          <w:szCs w:val="32"/>
          <w:lang w:val="fr-FR"/>
        </w:rPr>
        <w:br/>
      </w:r>
      <w:r w:rsidRPr="00A67F27">
        <w:rPr>
          <w:szCs w:val="32"/>
          <w:lang w:val="fr-FR"/>
        </w:rPr>
        <w:t>en tant qu’Entrepreneur ou Ensemblier</w:t>
      </w:r>
      <w:bookmarkEnd w:id="552"/>
      <w:bookmarkEnd w:id="553"/>
      <w:r w:rsidRPr="00A67F27">
        <w:rPr>
          <w:szCs w:val="32"/>
          <w:lang w:val="fr-FR"/>
        </w:rPr>
        <w:t xml:space="preserve"> </w:t>
      </w:r>
    </w:p>
    <w:p w14:paraId="4558B6D7" w14:textId="77777777" w:rsidR="0021710C" w:rsidRPr="00A67F27" w:rsidRDefault="000A450A" w:rsidP="0021710C">
      <w:pPr>
        <w:tabs>
          <w:tab w:val="left" w:pos="2610"/>
        </w:tabs>
        <w:spacing w:after="0"/>
        <w:jc w:val="right"/>
        <w:rPr>
          <w:rFonts w:asciiTheme="majorBidi" w:hAnsiTheme="majorBidi" w:cstheme="majorBidi"/>
        </w:rPr>
      </w:pPr>
      <w:r w:rsidRPr="00A67F27">
        <w:rPr>
          <w:rFonts w:asciiTheme="majorBidi" w:hAnsiTheme="majorBidi" w:cstheme="majorBidi"/>
        </w:rPr>
        <w:t>Nom légal du soumissionnaire</w:t>
      </w:r>
      <w:r w:rsidR="009B2302" w:rsidRPr="00A67F27">
        <w:rPr>
          <w:rFonts w:asciiTheme="majorBidi" w:hAnsiTheme="majorBidi" w:cstheme="majorBidi"/>
        </w:rPr>
        <w:t> :</w:t>
      </w:r>
      <w:r w:rsidRPr="00A67F27">
        <w:rPr>
          <w:rFonts w:asciiTheme="majorBidi" w:hAnsiTheme="majorBidi" w:cstheme="majorBidi"/>
        </w:rPr>
        <w:t xml:space="preserve"> _________________________</w:t>
      </w:r>
    </w:p>
    <w:p w14:paraId="32A6FE33" w14:textId="64EF2484" w:rsidR="000A450A" w:rsidRPr="00A67F27" w:rsidRDefault="000A450A" w:rsidP="0021710C">
      <w:pPr>
        <w:tabs>
          <w:tab w:val="left" w:pos="2610"/>
        </w:tabs>
        <w:spacing w:after="0"/>
        <w:jc w:val="right"/>
        <w:rPr>
          <w:rFonts w:asciiTheme="majorBidi" w:hAnsiTheme="majorBidi" w:cstheme="majorBidi"/>
        </w:rPr>
      </w:pPr>
      <w:r w:rsidRPr="00A67F27">
        <w:rPr>
          <w:rFonts w:asciiTheme="majorBidi" w:hAnsiTheme="majorBidi" w:cstheme="majorBidi"/>
        </w:rPr>
        <w:t>Date</w:t>
      </w:r>
      <w:r w:rsidR="009B2302" w:rsidRPr="00A67F27">
        <w:rPr>
          <w:rFonts w:asciiTheme="majorBidi" w:hAnsiTheme="majorBidi" w:cstheme="majorBidi"/>
        </w:rPr>
        <w:t> :</w:t>
      </w:r>
      <w:r w:rsidRPr="00A67F27">
        <w:rPr>
          <w:rFonts w:asciiTheme="majorBidi" w:hAnsiTheme="majorBidi" w:cstheme="majorBidi"/>
        </w:rPr>
        <w:t xml:space="preserve"> ________________</w:t>
      </w:r>
    </w:p>
    <w:p w14:paraId="78C097BF" w14:textId="77777777" w:rsidR="0021710C" w:rsidRPr="00A67F27" w:rsidRDefault="000A450A" w:rsidP="0021710C">
      <w:pPr>
        <w:tabs>
          <w:tab w:val="left" w:pos="2610"/>
        </w:tabs>
        <w:spacing w:after="0"/>
        <w:jc w:val="right"/>
        <w:rPr>
          <w:rFonts w:asciiTheme="majorBidi" w:hAnsiTheme="majorBidi" w:cstheme="majorBidi"/>
          <w:i/>
        </w:rPr>
      </w:pPr>
      <w:r w:rsidRPr="00A67F27">
        <w:rPr>
          <w:rFonts w:asciiTheme="majorBidi" w:hAnsiTheme="majorBidi" w:cstheme="majorBidi"/>
        </w:rPr>
        <w:t>Nom légal de la partie au GE</w:t>
      </w:r>
      <w:r w:rsidR="009B2302" w:rsidRPr="00A67F27">
        <w:rPr>
          <w:rFonts w:asciiTheme="majorBidi" w:hAnsiTheme="majorBidi" w:cstheme="majorBidi"/>
        </w:rPr>
        <w:t> :</w:t>
      </w:r>
      <w:r w:rsidRPr="00A67F27">
        <w:rPr>
          <w:rFonts w:asciiTheme="majorBidi" w:hAnsiTheme="majorBidi" w:cstheme="majorBidi"/>
        </w:rPr>
        <w:t xml:space="preserve"> ____________________</w:t>
      </w:r>
    </w:p>
    <w:p w14:paraId="4B72B561" w14:textId="1695A114" w:rsidR="000A450A" w:rsidRPr="00A67F27" w:rsidRDefault="000A450A" w:rsidP="0021710C">
      <w:pPr>
        <w:tabs>
          <w:tab w:val="left" w:pos="2610"/>
        </w:tabs>
        <w:spacing w:after="0"/>
        <w:jc w:val="right"/>
        <w:rPr>
          <w:rFonts w:asciiTheme="majorBidi" w:hAnsiTheme="majorBidi" w:cstheme="majorBidi"/>
        </w:rPr>
      </w:pPr>
      <w:r w:rsidRPr="00A67F27">
        <w:rPr>
          <w:rFonts w:asciiTheme="majorBidi" w:hAnsiTheme="majorBidi" w:cstheme="majorBidi"/>
        </w:rPr>
        <w:t>No. AO</w:t>
      </w:r>
      <w:r w:rsidR="009B2302" w:rsidRPr="00A67F27">
        <w:rPr>
          <w:rFonts w:asciiTheme="majorBidi" w:hAnsiTheme="majorBidi" w:cstheme="majorBidi"/>
        </w:rPr>
        <w:t> :</w:t>
      </w:r>
      <w:r w:rsidRPr="00A67F27">
        <w:rPr>
          <w:rFonts w:asciiTheme="majorBidi" w:hAnsiTheme="majorBidi" w:cstheme="majorBidi"/>
        </w:rPr>
        <w:t xml:space="preserve"> ________</w:t>
      </w:r>
    </w:p>
    <w:p w14:paraId="64EEABC3" w14:textId="77777777" w:rsidR="004A7F6C" w:rsidRPr="00A67F27" w:rsidRDefault="004A7F6C" w:rsidP="004A7F6C">
      <w:pPr>
        <w:spacing w:after="0"/>
        <w:ind w:right="72"/>
        <w:jc w:val="right"/>
        <w:rPr>
          <w:rFonts w:asciiTheme="majorBidi" w:hAnsiTheme="majorBidi" w:cstheme="majorBidi"/>
          <w:bCs/>
          <w:i/>
          <w:iCs/>
        </w:rPr>
      </w:pPr>
      <w:r w:rsidRPr="00A67F27">
        <w:rPr>
          <w:spacing w:val="-2"/>
        </w:rPr>
        <w:t>Page</w:t>
      </w:r>
      <w:r w:rsidRPr="00A67F27">
        <w:rPr>
          <w:i/>
          <w:spacing w:val="-2"/>
        </w:rPr>
        <w:t xml:space="preserve"> </w:t>
      </w:r>
      <w:r w:rsidRPr="00A67F27">
        <w:rPr>
          <w:i/>
        </w:rPr>
        <w:t>__________de</w:t>
      </w:r>
      <w:r w:rsidRPr="00A67F27">
        <w:rPr>
          <w:spacing w:val="-2"/>
        </w:rPr>
        <w:t xml:space="preserve"> </w:t>
      </w:r>
      <w:r w:rsidRPr="00A67F27">
        <w:rPr>
          <w:i/>
          <w:spacing w:val="1"/>
        </w:rPr>
        <w:t>_______________</w:t>
      </w:r>
      <w:r w:rsidRPr="00A67F27">
        <w:rPr>
          <w:spacing w:val="-2"/>
        </w:rPr>
        <w:t>pages</w:t>
      </w:r>
    </w:p>
    <w:p w14:paraId="0AA535B0" w14:textId="77777777" w:rsidR="000A450A" w:rsidRPr="00A67F27" w:rsidRDefault="000A450A" w:rsidP="00122D67">
      <w:pPr>
        <w:tabs>
          <w:tab w:val="left" w:pos="2610"/>
        </w:tabs>
        <w:ind w:right="162"/>
        <w:jc w:val="right"/>
        <w:rPr>
          <w:rFonts w:asciiTheme="majorBidi" w:hAnsiTheme="majorBidi" w:cstheme="majorBidi"/>
        </w:rPr>
      </w:pPr>
    </w:p>
    <w:tbl>
      <w:tblPr>
        <w:tblW w:w="0" w:type="auto"/>
        <w:tblInd w:w="72" w:type="dxa"/>
        <w:tblLayout w:type="fixed"/>
        <w:tblCellMar>
          <w:left w:w="72" w:type="dxa"/>
          <w:right w:w="72" w:type="dxa"/>
        </w:tblCellMar>
        <w:tblLook w:val="0000" w:firstRow="0" w:lastRow="0" w:firstColumn="0" w:lastColumn="0" w:noHBand="0" w:noVBand="0"/>
      </w:tblPr>
      <w:tblGrid>
        <w:gridCol w:w="3330"/>
        <w:gridCol w:w="1490"/>
        <w:gridCol w:w="16"/>
        <w:gridCol w:w="1507"/>
        <w:gridCol w:w="1506"/>
        <w:gridCol w:w="1509"/>
      </w:tblGrid>
      <w:tr w:rsidR="000A450A" w:rsidRPr="00A67F27" w14:paraId="43202FA4" w14:textId="77777777" w:rsidTr="0021710C">
        <w:trPr>
          <w:cantSplit/>
          <w:tblHeader/>
        </w:trPr>
        <w:tc>
          <w:tcPr>
            <w:tcW w:w="3330" w:type="dxa"/>
            <w:tcBorders>
              <w:top w:val="single" w:sz="6" w:space="0" w:color="auto"/>
              <w:left w:val="single" w:sz="6" w:space="0" w:color="auto"/>
              <w:bottom w:val="single" w:sz="6" w:space="0" w:color="auto"/>
              <w:right w:val="single" w:sz="6" w:space="0" w:color="auto"/>
            </w:tcBorders>
          </w:tcPr>
          <w:p w14:paraId="7F09668B" w14:textId="3BB63F08" w:rsidR="000A450A" w:rsidRPr="00A67F27" w:rsidRDefault="000A450A" w:rsidP="0021710C">
            <w:pPr>
              <w:tabs>
                <w:tab w:val="left" w:pos="2610"/>
              </w:tabs>
              <w:spacing w:before="60" w:after="60"/>
              <w:ind w:left="0" w:firstLine="0"/>
              <w:rPr>
                <w:rFonts w:asciiTheme="majorBidi" w:hAnsiTheme="majorBidi" w:cstheme="majorBidi"/>
                <w:b/>
                <w:bCs/>
                <w:spacing w:val="-2"/>
              </w:rPr>
            </w:pPr>
            <w:r w:rsidRPr="00A67F27">
              <w:rPr>
                <w:rFonts w:asciiTheme="majorBidi" w:hAnsiTheme="majorBidi" w:cstheme="majorBidi"/>
                <w:b/>
                <w:bCs/>
                <w:spacing w:val="-2"/>
              </w:rPr>
              <w:t>Numéro de marché similaire</w:t>
            </w:r>
            <w:r w:rsidR="009B2302" w:rsidRPr="00A67F27">
              <w:rPr>
                <w:rFonts w:asciiTheme="majorBidi" w:hAnsiTheme="majorBidi" w:cstheme="majorBidi"/>
                <w:b/>
                <w:bCs/>
                <w:spacing w:val="-2"/>
              </w:rPr>
              <w:t> :</w:t>
            </w:r>
            <w:r w:rsidRPr="00A67F27">
              <w:rPr>
                <w:rFonts w:asciiTheme="majorBidi" w:hAnsiTheme="majorBidi" w:cstheme="majorBidi"/>
                <w:b/>
                <w:bCs/>
                <w:spacing w:val="-2"/>
              </w:rPr>
              <w:t xml:space="preserve"> </w:t>
            </w:r>
          </w:p>
        </w:tc>
        <w:tc>
          <w:tcPr>
            <w:tcW w:w="6026" w:type="dxa"/>
            <w:gridSpan w:val="5"/>
            <w:tcBorders>
              <w:top w:val="single" w:sz="6" w:space="0" w:color="auto"/>
              <w:left w:val="single" w:sz="6" w:space="0" w:color="auto"/>
              <w:bottom w:val="single" w:sz="6" w:space="0" w:color="auto"/>
              <w:right w:val="single" w:sz="6" w:space="0" w:color="auto"/>
            </w:tcBorders>
          </w:tcPr>
          <w:p w14:paraId="26AFD8E2" w14:textId="77777777" w:rsidR="000A450A" w:rsidRPr="00A67F27" w:rsidRDefault="000A450A" w:rsidP="00BE4B6F">
            <w:pPr>
              <w:tabs>
                <w:tab w:val="left" w:pos="2610"/>
              </w:tabs>
              <w:spacing w:before="60" w:after="60"/>
              <w:ind w:left="0" w:firstLine="0"/>
              <w:jc w:val="center"/>
              <w:rPr>
                <w:rFonts w:asciiTheme="majorBidi" w:hAnsiTheme="majorBidi" w:cstheme="majorBidi"/>
                <w:b/>
                <w:bCs/>
                <w:spacing w:val="-2"/>
              </w:rPr>
            </w:pPr>
            <w:r w:rsidRPr="00A67F27">
              <w:rPr>
                <w:rFonts w:asciiTheme="majorBidi" w:hAnsiTheme="majorBidi" w:cstheme="majorBidi"/>
                <w:b/>
                <w:bCs/>
                <w:spacing w:val="-2"/>
              </w:rPr>
              <w:t>Information</w:t>
            </w:r>
          </w:p>
        </w:tc>
      </w:tr>
      <w:tr w:rsidR="000A450A" w:rsidRPr="00A67F27" w14:paraId="0DB43280" w14:textId="77777777" w:rsidTr="0021710C">
        <w:trPr>
          <w:cantSplit/>
        </w:trPr>
        <w:tc>
          <w:tcPr>
            <w:tcW w:w="3330" w:type="dxa"/>
            <w:tcBorders>
              <w:top w:val="single" w:sz="6" w:space="0" w:color="auto"/>
              <w:left w:val="single" w:sz="6" w:space="0" w:color="auto"/>
              <w:bottom w:val="single" w:sz="6" w:space="0" w:color="auto"/>
              <w:right w:val="single" w:sz="6" w:space="0" w:color="auto"/>
            </w:tcBorders>
          </w:tcPr>
          <w:p w14:paraId="44D082BD" w14:textId="77777777" w:rsidR="000A450A" w:rsidRPr="00A67F27" w:rsidRDefault="000A450A" w:rsidP="00BE4B6F">
            <w:pPr>
              <w:pStyle w:val="Corpsdetexte"/>
              <w:tabs>
                <w:tab w:val="left" w:pos="2610"/>
              </w:tabs>
              <w:spacing w:before="60" w:after="60"/>
              <w:ind w:left="0" w:firstLine="0"/>
              <w:rPr>
                <w:rFonts w:asciiTheme="majorBidi" w:hAnsiTheme="majorBidi" w:cstheme="majorBidi"/>
                <w:lang w:val="fr-FR"/>
              </w:rPr>
            </w:pPr>
            <w:r w:rsidRPr="00A67F27">
              <w:rPr>
                <w:rFonts w:asciiTheme="majorBidi" w:hAnsiTheme="majorBidi" w:cstheme="majorBidi"/>
                <w:lang w:val="fr-FR"/>
              </w:rPr>
              <w:t>Identification du marché</w:t>
            </w:r>
          </w:p>
        </w:tc>
        <w:tc>
          <w:tcPr>
            <w:tcW w:w="6026" w:type="dxa"/>
            <w:gridSpan w:val="5"/>
            <w:tcBorders>
              <w:top w:val="single" w:sz="6" w:space="0" w:color="auto"/>
              <w:left w:val="single" w:sz="6" w:space="0" w:color="auto"/>
              <w:bottom w:val="single" w:sz="6" w:space="0" w:color="auto"/>
              <w:right w:val="single" w:sz="6" w:space="0" w:color="auto"/>
            </w:tcBorders>
          </w:tcPr>
          <w:p w14:paraId="0E34768A" w14:textId="5BA69324" w:rsidR="000A450A" w:rsidRPr="00A67F27" w:rsidRDefault="000A450A" w:rsidP="00BE4B6F">
            <w:pPr>
              <w:pStyle w:val="Corpsdetexte"/>
              <w:tabs>
                <w:tab w:val="left" w:pos="2610"/>
              </w:tabs>
              <w:spacing w:before="60" w:after="60"/>
              <w:ind w:left="0" w:firstLine="0"/>
              <w:rPr>
                <w:rFonts w:asciiTheme="majorBidi" w:hAnsiTheme="majorBidi" w:cstheme="majorBidi"/>
                <w:lang w:val="fr-FR"/>
              </w:rPr>
            </w:pPr>
          </w:p>
        </w:tc>
      </w:tr>
      <w:tr w:rsidR="000A450A" w:rsidRPr="00A67F27" w14:paraId="4611ABCD" w14:textId="77777777" w:rsidTr="0021710C">
        <w:trPr>
          <w:cantSplit/>
        </w:trPr>
        <w:tc>
          <w:tcPr>
            <w:tcW w:w="3330" w:type="dxa"/>
            <w:tcBorders>
              <w:top w:val="single" w:sz="6" w:space="0" w:color="auto"/>
              <w:left w:val="single" w:sz="6" w:space="0" w:color="auto"/>
              <w:bottom w:val="single" w:sz="6" w:space="0" w:color="auto"/>
              <w:right w:val="single" w:sz="6" w:space="0" w:color="auto"/>
            </w:tcBorders>
          </w:tcPr>
          <w:p w14:paraId="4A92477E" w14:textId="2E586627" w:rsidR="000A450A" w:rsidRPr="00A67F27" w:rsidRDefault="000A450A" w:rsidP="0021710C">
            <w:pPr>
              <w:pStyle w:val="Corpsdetexte"/>
              <w:tabs>
                <w:tab w:val="left" w:pos="2610"/>
              </w:tabs>
              <w:spacing w:before="60" w:after="60"/>
              <w:ind w:left="0" w:firstLine="0"/>
              <w:rPr>
                <w:rFonts w:asciiTheme="majorBidi" w:hAnsiTheme="majorBidi" w:cstheme="majorBidi"/>
                <w:lang w:val="fr-FR"/>
              </w:rPr>
            </w:pPr>
            <w:r w:rsidRPr="00A67F27">
              <w:rPr>
                <w:rFonts w:asciiTheme="majorBidi" w:hAnsiTheme="majorBidi" w:cstheme="majorBidi"/>
                <w:lang w:val="fr-FR"/>
              </w:rPr>
              <w:t xml:space="preserve">Date d’attribution </w:t>
            </w:r>
          </w:p>
        </w:tc>
        <w:tc>
          <w:tcPr>
            <w:tcW w:w="6026" w:type="dxa"/>
            <w:gridSpan w:val="5"/>
            <w:tcBorders>
              <w:top w:val="single" w:sz="6" w:space="0" w:color="auto"/>
              <w:left w:val="nil"/>
              <w:bottom w:val="single" w:sz="6" w:space="0" w:color="auto"/>
              <w:right w:val="single" w:sz="6" w:space="0" w:color="auto"/>
            </w:tcBorders>
          </w:tcPr>
          <w:p w14:paraId="2FA0C77C" w14:textId="2067B402" w:rsidR="000A450A" w:rsidRPr="00A67F27" w:rsidRDefault="000A450A" w:rsidP="0021710C">
            <w:pPr>
              <w:pStyle w:val="Corpsdetexte"/>
              <w:tabs>
                <w:tab w:val="left" w:pos="2610"/>
              </w:tabs>
              <w:spacing w:before="60" w:after="60"/>
              <w:ind w:left="0" w:firstLine="0"/>
              <w:rPr>
                <w:rFonts w:asciiTheme="majorBidi" w:hAnsiTheme="majorBidi" w:cstheme="majorBidi"/>
                <w:lang w:val="fr-FR"/>
              </w:rPr>
            </w:pPr>
          </w:p>
        </w:tc>
      </w:tr>
      <w:tr w:rsidR="000A450A" w:rsidRPr="00A67F27" w14:paraId="7BCD4EE9" w14:textId="77777777" w:rsidTr="0021710C">
        <w:trPr>
          <w:cantSplit/>
        </w:trPr>
        <w:tc>
          <w:tcPr>
            <w:tcW w:w="3330" w:type="dxa"/>
            <w:tcBorders>
              <w:top w:val="single" w:sz="6" w:space="0" w:color="auto"/>
              <w:left w:val="single" w:sz="6" w:space="0" w:color="auto"/>
              <w:bottom w:val="single" w:sz="6" w:space="0" w:color="auto"/>
              <w:right w:val="single" w:sz="6" w:space="0" w:color="auto"/>
            </w:tcBorders>
          </w:tcPr>
          <w:p w14:paraId="2EF8A374" w14:textId="0C0B63EB" w:rsidR="000A450A" w:rsidRPr="00A67F27" w:rsidRDefault="0021710C" w:rsidP="00BE4B6F">
            <w:pPr>
              <w:pStyle w:val="Corpsdetexte"/>
              <w:tabs>
                <w:tab w:val="left" w:pos="2610"/>
              </w:tabs>
              <w:spacing w:before="60" w:after="60"/>
              <w:ind w:left="0" w:firstLine="0"/>
              <w:rPr>
                <w:rFonts w:asciiTheme="majorBidi" w:hAnsiTheme="majorBidi" w:cstheme="majorBidi"/>
                <w:lang w:val="fr-FR"/>
              </w:rPr>
            </w:pPr>
            <w:r w:rsidRPr="00A67F27">
              <w:rPr>
                <w:rFonts w:asciiTheme="majorBidi" w:hAnsiTheme="majorBidi" w:cstheme="majorBidi"/>
                <w:lang w:val="fr-FR"/>
              </w:rPr>
              <w:t>Date d’achèvement</w:t>
            </w:r>
          </w:p>
        </w:tc>
        <w:tc>
          <w:tcPr>
            <w:tcW w:w="6026" w:type="dxa"/>
            <w:gridSpan w:val="5"/>
            <w:tcBorders>
              <w:top w:val="single" w:sz="6" w:space="0" w:color="auto"/>
              <w:left w:val="nil"/>
              <w:bottom w:val="single" w:sz="6" w:space="0" w:color="auto"/>
              <w:right w:val="single" w:sz="6" w:space="0" w:color="auto"/>
            </w:tcBorders>
          </w:tcPr>
          <w:p w14:paraId="13A353AA" w14:textId="457161BB" w:rsidR="000A450A" w:rsidRPr="00A67F27" w:rsidRDefault="000A450A" w:rsidP="00BE4B6F">
            <w:pPr>
              <w:pStyle w:val="Corpsdetexte"/>
              <w:tabs>
                <w:tab w:val="left" w:pos="2610"/>
              </w:tabs>
              <w:spacing w:before="60" w:after="60"/>
              <w:ind w:left="0" w:firstLine="0"/>
              <w:rPr>
                <w:rFonts w:asciiTheme="majorBidi" w:hAnsiTheme="majorBidi" w:cstheme="majorBidi"/>
                <w:lang w:val="fr-FR"/>
              </w:rPr>
            </w:pPr>
          </w:p>
        </w:tc>
      </w:tr>
      <w:tr w:rsidR="00807561" w:rsidRPr="00A67F27" w14:paraId="0E5F6E62" w14:textId="77777777" w:rsidTr="0021710C">
        <w:trPr>
          <w:cantSplit/>
        </w:trPr>
        <w:tc>
          <w:tcPr>
            <w:tcW w:w="3330" w:type="dxa"/>
            <w:tcBorders>
              <w:top w:val="single" w:sz="6" w:space="0" w:color="auto"/>
              <w:left w:val="single" w:sz="6" w:space="0" w:color="auto"/>
              <w:bottom w:val="single" w:sz="6" w:space="0" w:color="auto"/>
              <w:right w:val="single" w:sz="6" w:space="0" w:color="auto"/>
            </w:tcBorders>
          </w:tcPr>
          <w:p w14:paraId="0E593CA7" w14:textId="77777777" w:rsidR="00807561" w:rsidRPr="00A67F27" w:rsidRDefault="00807561" w:rsidP="00BE4B6F">
            <w:pPr>
              <w:tabs>
                <w:tab w:val="left" w:pos="2610"/>
              </w:tabs>
              <w:spacing w:before="60" w:after="60"/>
              <w:ind w:left="0" w:firstLine="0"/>
              <w:rPr>
                <w:rFonts w:asciiTheme="majorBidi" w:hAnsiTheme="majorBidi" w:cstheme="majorBidi"/>
                <w:spacing w:val="-2"/>
              </w:rPr>
            </w:pPr>
            <w:r w:rsidRPr="00A67F27">
              <w:rPr>
                <w:rFonts w:asciiTheme="majorBidi" w:hAnsiTheme="majorBidi" w:cstheme="majorBidi"/>
                <w:spacing w:val="-2"/>
              </w:rPr>
              <w:t>Rôle dans le marché</w:t>
            </w:r>
          </w:p>
        </w:tc>
        <w:tc>
          <w:tcPr>
            <w:tcW w:w="1506" w:type="dxa"/>
            <w:gridSpan w:val="2"/>
            <w:tcBorders>
              <w:top w:val="single" w:sz="6" w:space="0" w:color="auto"/>
              <w:left w:val="nil"/>
              <w:bottom w:val="single" w:sz="6" w:space="0" w:color="auto"/>
              <w:right w:val="single" w:sz="6" w:space="0" w:color="auto"/>
            </w:tcBorders>
          </w:tcPr>
          <w:p w14:paraId="10789DD3" w14:textId="65F68AD2" w:rsidR="00807561" w:rsidRPr="00A67F27" w:rsidRDefault="00807561" w:rsidP="0021710C">
            <w:pPr>
              <w:tabs>
                <w:tab w:val="left" w:pos="2610"/>
              </w:tabs>
              <w:spacing w:before="60" w:after="60"/>
              <w:ind w:left="0" w:firstLine="0"/>
              <w:jc w:val="center"/>
              <w:rPr>
                <w:rFonts w:asciiTheme="majorBidi" w:hAnsiTheme="majorBidi" w:cstheme="majorBidi"/>
                <w:sz w:val="36"/>
              </w:rPr>
            </w:pPr>
            <w:r w:rsidRPr="00A67F27">
              <w:rPr>
                <w:rFonts w:asciiTheme="majorBidi" w:hAnsiTheme="majorBidi" w:cstheme="majorBidi"/>
                <w:sz w:val="36"/>
                <w:szCs w:val="36"/>
              </w:rPr>
              <w:sym w:font="Symbol" w:char="F07F"/>
            </w:r>
            <w:r w:rsidRPr="00A67F27">
              <w:rPr>
                <w:rFonts w:asciiTheme="majorBidi" w:hAnsiTheme="majorBidi" w:cstheme="majorBidi"/>
                <w:sz w:val="36"/>
              </w:rPr>
              <w:t xml:space="preserve"> </w:t>
            </w:r>
            <w:r w:rsidRPr="00A67F27">
              <w:rPr>
                <w:rFonts w:asciiTheme="majorBidi" w:hAnsiTheme="majorBidi" w:cstheme="majorBidi"/>
                <w:sz w:val="36"/>
              </w:rPr>
              <w:br/>
            </w:r>
            <w:r w:rsidRPr="00A67F27">
              <w:rPr>
                <w:rFonts w:asciiTheme="majorBidi" w:hAnsiTheme="majorBidi" w:cstheme="majorBidi"/>
              </w:rPr>
              <w:t xml:space="preserve">Entrepreneur </w:t>
            </w:r>
            <w:r w:rsidR="0021710C" w:rsidRPr="00A67F27">
              <w:rPr>
                <w:rFonts w:asciiTheme="majorBidi" w:hAnsiTheme="majorBidi" w:cstheme="majorBidi"/>
              </w:rPr>
              <w:br/>
            </w:r>
            <w:r w:rsidRPr="00A67F27">
              <w:rPr>
                <w:rFonts w:asciiTheme="majorBidi" w:hAnsiTheme="majorBidi" w:cstheme="majorBidi"/>
              </w:rPr>
              <w:t>Principal</w:t>
            </w:r>
          </w:p>
        </w:tc>
        <w:tc>
          <w:tcPr>
            <w:tcW w:w="1507" w:type="dxa"/>
            <w:tcBorders>
              <w:top w:val="single" w:sz="6" w:space="0" w:color="auto"/>
              <w:left w:val="nil"/>
              <w:bottom w:val="single" w:sz="6" w:space="0" w:color="auto"/>
              <w:right w:val="single" w:sz="6" w:space="0" w:color="auto"/>
            </w:tcBorders>
          </w:tcPr>
          <w:p w14:paraId="7E4B623E" w14:textId="4BB9E0B6" w:rsidR="00807561" w:rsidRPr="00A67F27" w:rsidRDefault="00807561" w:rsidP="0021710C">
            <w:pPr>
              <w:tabs>
                <w:tab w:val="left" w:pos="2610"/>
              </w:tabs>
              <w:spacing w:before="60" w:after="60"/>
              <w:ind w:left="0" w:firstLine="0"/>
              <w:jc w:val="center"/>
              <w:rPr>
                <w:rFonts w:asciiTheme="majorBidi" w:hAnsiTheme="majorBidi" w:cstheme="majorBidi"/>
                <w:spacing w:val="-2"/>
                <w:sz w:val="36"/>
              </w:rPr>
            </w:pPr>
            <w:r w:rsidRPr="00A67F27">
              <w:rPr>
                <w:rFonts w:asciiTheme="majorBidi" w:hAnsiTheme="majorBidi" w:cstheme="majorBidi"/>
                <w:sz w:val="36"/>
                <w:szCs w:val="36"/>
              </w:rPr>
              <w:sym w:font="Symbol" w:char="F07F"/>
            </w:r>
            <w:r w:rsidRPr="00A67F27">
              <w:rPr>
                <w:rFonts w:asciiTheme="majorBidi" w:hAnsiTheme="majorBidi" w:cstheme="majorBidi"/>
                <w:sz w:val="36"/>
              </w:rPr>
              <w:t xml:space="preserve"> </w:t>
            </w:r>
            <w:r w:rsidRPr="00A67F27">
              <w:rPr>
                <w:rFonts w:asciiTheme="majorBidi" w:hAnsiTheme="majorBidi" w:cstheme="majorBidi"/>
                <w:sz w:val="36"/>
              </w:rPr>
              <w:br/>
            </w:r>
            <w:r w:rsidRPr="00A67F27">
              <w:rPr>
                <w:rFonts w:asciiTheme="majorBidi" w:hAnsiTheme="majorBidi" w:cstheme="majorBidi"/>
              </w:rPr>
              <w:t xml:space="preserve">Membre </w:t>
            </w:r>
            <w:r w:rsidR="0021710C" w:rsidRPr="00A67F27">
              <w:rPr>
                <w:rFonts w:asciiTheme="majorBidi" w:hAnsiTheme="majorBidi" w:cstheme="majorBidi"/>
              </w:rPr>
              <w:br/>
            </w:r>
            <w:r w:rsidRPr="00A67F27">
              <w:rPr>
                <w:rFonts w:asciiTheme="majorBidi" w:hAnsiTheme="majorBidi" w:cstheme="majorBidi"/>
              </w:rPr>
              <w:t>d’un GE</w:t>
            </w:r>
          </w:p>
        </w:tc>
        <w:tc>
          <w:tcPr>
            <w:tcW w:w="1506" w:type="dxa"/>
            <w:tcBorders>
              <w:top w:val="single" w:sz="6" w:space="0" w:color="auto"/>
              <w:left w:val="single" w:sz="6" w:space="0" w:color="auto"/>
              <w:bottom w:val="single" w:sz="6" w:space="0" w:color="auto"/>
            </w:tcBorders>
          </w:tcPr>
          <w:p w14:paraId="2D04E660" w14:textId="77777777" w:rsidR="00807561" w:rsidRPr="00A67F27" w:rsidRDefault="00807561" w:rsidP="0021710C">
            <w:pPr>
              <w:tabs>
                <w:tab w:val="left" w:pos="2610"/>
              </w:tabs>
              <w:spacing w:before="60" w:after="60"/>
              <w:ind w:left="0" w:firstLine="0"/>
              <w:jc w:val="center"/>
              <w:rPr>
                <w:rFonts w:asciiTheme="majorBidi" w:hAnsiTheme="majorBidi" w:cstheme="majorBidi"/>
              </w:rPr>
            </w:pPr>
            <w:r w:rsidRPr="00A67F27">
              <w:rPr>
                <w:rFonts w:asciiTheme="majorBidi" w:hAnsiTheme="majorBidi" w:cstheme="majorBidi"/>
                <w:sz w:val="36"/>
                <w:szCs w:val="36"/>
              </w:rPr>
              <w:sym w:font="Symbol" w:char="F07F"/>
            </w:r>
            <w:r w:rsidRPr="00A67F27">
              <w:rPr>
                <w:rFonts w:asciiTheme="majorBidi" w:hAnsiTheme="majorBidi" w:cstheme="majorBidi"/>
                <w:sz w:val="36"/>
              </w:rPr>
              <w:t xml:space="preserve"> </w:t>
            </w:r>
            <w:r w:rsidRPr="00A67F27">
              <w:rPr>
                <w:rFonts w:asciiTheme="majorBidi" w:hAnsiTheme="majorBidi" w:cstheme="majorBidi"/>
                <w:sz w:val="36"/>
              </w:rPr>
              <w:br/>
            </w:r>
            <w:r w:rsidRPr="00A67F27">
              <w:rPr>
                <w:rFonts w:asciiTheme="majorBidi" w:hAnsiTheme="majorBidi" w:cstheme="majorBidi"/>
              </w:rPr>
              <w:t>Sous-traitant</w:t>
            </w:r>
          </w:p>
        </w:tc>
        <w:tc>
          <w:tcPr>
            <w:tcW w:w="1507" w:type="dxa"/>
            <w:tcBorders>
              <w:top w:val="single" w:sz="6" w:space="0" w:color="auto"/>
              <w:left w:val="single" w:sz="6" w:space="0" w:color="auto"/>
              <w:bottom w:val="single" w:sz="6" w:space="0" w:color="auto"/>
              <w:right w:val="single" w:sz="4" w:space="0" w:color="auto"/>
            </w:tcBorders>
          </w:tcPr>
          <w:p w14:paraId="3006C279" w14:textId="77777777" w:rsidR="00807561" w:rsidRPr="00A67F27" w:rsidRDefault="00807561" w:rsidP="0021710C">
            <w:pPr>
              <w:tabs>
                <w:tab w:val="left" w:pos="2610"/>
              </w:tabs>
              <w:spacing w:before="60" w:after="60"/>
              <w:ind w:left="0" w:firstLine="0"/>
              <w:jc w:val="center"/>
              <w:rPr>
                <w:rFonts w:asciiTheme="majorBidi" w:hAnsiTheme="majorBidi" w:cstheme="majorBidi"/>
                <w:spacing w:val="-2"/>
                <w:sz w:val="36"/>
              </w:rPr>
            </w:pPr>
            <w:r w:rsidRPr="00A67F27">
              <w:rPr>
                <w:rFonts w:asciiTheme="majorBidi" w:hAnsiTheme="majorBidi" w:cstheme="majorBidi"/>
                <w:sz w:val="36"/>
                <w:szCs w:val="36"/>
              </w:rPr>
              <w:sym w:font="Symbol" w:char="F07F"/>
            </w:r>
            <w:r w:rsidRPr="00A67F27">
              <w:rPr>
                <w:rFonts w:asciiTheme="majorBidi" w:hAnsiTheme="majorBidi" w:cstheme="majorBidi"/>
                <w:sz w:val="36"/>
              </w:rPr>
              <w:t xml:space="preserve"> </w:t>
            </w:r>
            <w:r w:rsidRPr="00A67F27">
              <w:rPr>
                <w:rFonts w:asciiTheme="majorBidi" w:hAnsiTheme="majorBidi" w:cstheme="majorBidi"/>
              </w:rPr>
              <w:t>Ensemblier</w:t>
            </w:r>
          </w:p>
        </w:tc>
      </w:tr>
      <w:tr w:rsidR="000A450A" w:rsidRPr="00A67F27" w14:paraId="73FB0474" w14:textId="77777777" w:rsidTr="0021710C">
        <w:trPr>
          <w:cantSplit/>
        </w:trPr>
        <w:tc>
          <w:tcPr>
            <w:tcW w:w="3330" w:type="dxa"/>
            <w:tcBorders>
              <w:top w:val="single" w:sz="6" w:space="0" w:color="auto"/>
              <w:left w:val="single" w:sz="6" w:space="0" w:color="auto"/>
              <w:bottom w:val="single" w:sz="6" w:space="0" w:color="auto"/>
              <w:right w:val="single" w:sz="6" w:space="0" w:color="auto"/>
            </w:tcBorders>
          </w:tcPr>
          <w:p w14:paraId="7E1A5195" w14:textId="77777777" w:rsidR="000A450A" w:rsidRPr="00A67F27" w:rsidRDefault="000A450A" w:rsidP="00BE4B6F">
            <w:pPr>
              <w:pStyle w:val="Corpsdetexte"/>
              <w:tabs>
                <w:tab w:val="left" w:pos="2610"/>
              </w:tabs>
              <w:spacing w:before="60" w:after="60"/>
              <w:ind w:left="0" w:firstLine="0"/>
              <w:rPr>
                <w:rFonts w:asciiTheme="majorBidi" w:hAnsiTheme="majorBidi" w:cstheme="majorBidi"/>
                <w:lang w:val="fr-FR"/>
              </w:rPr>
            </w:pPr>
            <w:r w:rsidRPr="00A67F27">
              <w:rPr>
                <w:rFonts w:asciiTheme="majorBidi" w:hAnsiTheme="majorBidi" w:cstheme="majorBidi"/>
                <w:lang w:val="fr-FR"/>
              </w:rPr>
              <w:t>Montant total du marché</w:t>
            </w:r>
          </w:p>
        </w:tc>
        <w:tc>
          <w:tcPr>
            <w:tcW w:w="3013" w:type="dxa"/>
            <w:gridSpan w:val="3"/>
            <w:tcBorders>
              <w:top w:val="single" w:sz="6" w:space="0" w:color="auto"/>
              <w:left w:val="nil"/>
              <w:bottom w:val="single" w:sz="6" w:space="0" w:color="auto"/>
              <w:right w:val="single" w:sz="6" w:space="0" w:color="auto"/>
            </w:tcBorders>
          </w:tcPr>
          <w:p w14:paraId="52B8B2DF" w14:textId="505654D2" w:rsidR="000A450A" w:rsidRPr="00A67F27" w:rsidRDefault="000A450A" w:rsidP="00BE4B6F">
            <w:pPr>
              <w:pStyle w:val="Corpsdetexte"/>
              <w:tabs>
                <w:tab w:val="left" w:pos="2610"/>
              </w:tabs>
              <w:spacing w:before="60" w:after="60"/>
              <w:ind w:left="0" w:firstLine="0"/>
              <w:jc w:val="left"/>
              <w:rPr>
                <w:rFonts w:asciiTheme="majorBidi" w:hAnsiTheme="majorBidi" w:cstheme="majorBidi"/>
                <w:lang w:val="fr-FR"/>
              </w:rPr>
            </w:pPr>
          </w:p>
        </w:tc>
        <w:tc>
          <w:tcPr>
            <w:tcW w:w="3013" w:type="dxa"/>
            <w:gridSpan w:val="2"/>
            <w:tcBorders>
              <w:top w:val="single" w:sz="6" w:space="0" w:color="auto"/>
              <w:left w:val="single" w:sz="6" w:space="0" w:color="auto"/>
              <w:bottom w:val="single" w:sz="6" w:space="0" w:color="auto"/>
              <w:right w:val="single" w:sz="6" w:space="0" w:color="auto"/>
            </w:tcBorders>
          </w:tcPr>
          <w:p w14:paraId="322ED238" w14:textId="77777777" w:rsidR="000A450A" w:rsidRPr="00A67F27" w:rsidRDefault="0021710C" w:rsidP="00BE4B6F">
            <w:pPr>
              <w:pStyle w:val="Corpsdetexte"/>
              <w:tabs>
                <w:tab w:val="left" w:pos="2610"/>
              </w:tabs>
              <w:spacing w:before="60" w:after="60"/>
              <w:ind w:left="0" w:firstLine="0"/>
              <w:rPr>
                <w:rFonts w:asciiTheme="majorBidi" w:hAnsiTheme="majorBidi" w:cstheme="majorBidi"/>
                <w:iCs/>
                <w:lang w:val="fr-FR"/>
              </w:rPr>
            </w:pPr>
            <w:r w:rsidRPr="00A67F27">
              <w:rPr>
                <w:rFonts w:asciiTheme="majorBidi" w:hAnsiTheme="majorBidi" w:cstheme="majorBidi"/>
                <w:iCs/>
                <w:lang w:val="fr-FR"/>
              </w:rPr>
              <w:t>US$ *</w:t>
            </w:r>
          </w:p>
          <w:p w14:paraId="12B2E4AA" w14:textId="049062E6" w:rsidR="0021710C" w:rsidRPr="00A67F27" w:rsidRDefault="0021710C" w:rsidP="00BE4B6F">
            <w:pPr>
              <w:pStyle w:val="Corpsdetexte"/>
              <w:tabs>
                <w:tab w:val="left" w:pos="2610"/>
              </w:tabs>
              <w:spacing w:before="60" w:after="60"/>
              <w:ind w:left="0" w:firstLine="0"/>
              <w:rPr>
                <w:rFonts w:asciiTheme="majorBidi" w:hAnsiTheme="majorBidi" w:cstheme="majorBidi"/>
                <w:lang w:val="fr-FR"/>
              </w:rPr>
            </w:pPr>
          </w:p>
        </w:tc>
      </w:tr>
      <w:tr w:rsidR="000A450A" w:rsidRPr="00A67F27" w14:paraId="34E2C787" w14:textId="77777777" w:rsidTr="0021710C">
        <w:trPr>
          <w:cantSplit/>
        </w:trPr>
        <w:tc>
          <w:tcPr>
            <w:tcW w:w="3330" w:type="dxa"/>
            <w:tcBorders>
              <w:top w:val="single" w:sz="6" w:space="0" w:color="auto"/>
              <w:left w:val="single" w:sz="6" w:space="0" w:color="auto"/>
              <w:bottom w:val="single" w:sz="6" w:space="0" w:color="auto"/>
              <w:right w:val="single" w:sz="6" w:space="0" w:color="auto"/>
            </w:tcBorders>
          </w:tcPr>
          <w:p w14:paraId="7FE6C6E7" w14:textId="77777777" w:rsidR="000A450A" w:rsidRPr="00A67F27" w:rsidRDefault="000A450A" w:rsidP="00BE4B6F">
            <w:pPr>
              <w:pStyle w:val="Corpsdetexte"/>
              <w:tabs>
                <w:tab w:val="left" w:pos="2610"/>
              </w:tabs>
              <w:spacing w:before="60" w:after="60"/>
              <w:ind w:left="0" w:firstLine="0"/>
              <w:rPr>
                <w:rFonts w:asciiTheme="majorBidi" w:hAnsiTheme="majorBidi" w:cstheme="majorBidi"/>
                <w:lang w:val="fr-FR"/>
              </w:rPr>
            </w:pPr>
            <w:r w:rsidRPr="00A67F27">
              <w:rPr>
                <w:rFonts w:asciiTheme="majorBidi" w:hAnsiTheme="majorBidi" w:cstheme="majorBidi"/>
                <w:lang w:val="fr-FR"/>
              </w:rPr>
              <w:t>Dans le cas d’une partie à un GE</w:t>
            </w:r>
            <w:r w:rsidRPr="00A67F27">
              <w:rPr>
                <w:rFonts w:asciiTheme="majorBidi" w:hAnsiTheme="majorBidi" w:cstheme="majorBidi"/>
                <w:spacing w:val="-2"/>
                <w:lang w:val="fr-FR"/>
              </w:rPr>
              <w:t xml:space="preserve"> ou d’un sous-traitant</w:t>
            </w:r>
            <w:r w:rsidRPr="00A67F27">
              <w:rPr>
                <w:rFonts w:asciiTheme="majorBidi" w:hAnsiTheme="majorBidi" w:cstheme="majorBidi"/>
                <w:lang w:val="fr-FR"/>
              </w:rPr>
              <w:t>, préciser la participation au montant total du marché</w:t>
            </w:r>
          </w:p>
        </w:tc>
        <w:tc>
          <w:tcPr>
            <w:tcW w:w="1490" w:type="dxa"/>
            <w:tcBorders>
              <w:top w:val="single" w:sz="6" w:space="0" w:color="auto"/>
              <w:left w:val="nil"/>
              <w:bottom w:val="single" w:sz="6" w:space="0" w:color="auto"/>
              <w:right w:val="single" w:sz="6" w:space="0" w:color="auto"/>
            </w:tcBorders>
          </w:tcPr>
          <w:p w14:paraId="15537A71" w14:textId="1ED3791A" w:rsidR="000A450A" w:rsidRPr="00A67F27" w:rsidRDefault="000A450A" w:rsidP="00BE4B6F">
            <w:pPr>
              <w:pStyle w:val="Corpsdetexte"/>
              <w:tabs>
                <w:tab w:val="left" w:pos="2610"/>
              </w:tabs>
              <w:spacing w:before="60" w:after="60"/>
              <w:ind w:left="0" w:firstLine="0"/>
              <w:rPr>
                <w:rFonts w:asciiTheme="majorBidi" w:hAnsiTheme="majorBidi" w:cstheme="majorBidi"/>
                <w:lang w:val="fr-FR"/>
              </w:rPr>
            </w:pPr>
          </w:p>
        </w:tc>
        <w:tc>
          <w:tcPr>
            <w:tcW w:w="1521" w:type="dxa"/>
            <w:gridSpan w:val="2"/>
            <w:tcBorders>
              <w:top w:val="single" w:sz="6" w:space="0" w:color="auto"/>
              <w:left w:val="single" w:sz="6" w:space="0" w:color="auto"/>
              <w:bottom w:val="single" w:sz="6" w:space="0" w:color="auto"/>
              <w:right w:val="single" w:sz="6" w:space="0" w:color="auto"/>
            </w:tcBorders>
          </w:tcPr>
          <w:p w14:paraId="3F2C209F" w14:textId="398AD9D4" w:rsidR="000A450A" w:rsidRPr="00A67F27" w:rsidRDefault="000A450A" w:rsidP="00BE4B6F">
            <w:pPr>
              <w:pStyle w:val="Corpsdetexte"/>
              <w:tabs>
                <w:tab w:val="left" w:pos="2610"/>
              </w:tabs>
              <w:spacing w:before="60" w:after="60"/>
              <w:ind w:left="0" w:firstLine="0"/>
              <w:rPr>
                <w:rFonts w:asciiTheme="majorBidi" w:hAnsiTheme="majorBidi" w:cstheme="majorBidi"/>
                <w:lang w:val="fr-FR"/>
              </w:rPr>
            </w:pPr>
          </w:p>
        </w:tc>
        <w:tc>
          <w:tcPr>
            <w:tcW w:w="3015" w:type="dxa"/>
            <w:gridSpan w:val="2"/>
            <w:tcBorders>
              <w:top w:val="single" w:sz="6" w:space="0" w:color="auto"/>
              <w:left w:val="single" w:sz="6" w:space="0" w:color="auto"/>
              <w:bottom w:val="single" w:sz="6" w:space="0" w:color="auto"/>
              <w:right w:val="single" w:sz="6" w:space="0" w:color="auto"/>
            </w:tcBorders>
          </w:tcPr>
          <w:p w14:paraId="7791F14B" w14:textId="6C19EC4B" w:rsidR="000A450A" w:rsidRPr="00A67F27" w:rsidRDefault="000A450A" w:rsidP="00BE4B6F">
            <w:pPr>
              <w:pStyle w:val="Corpsdetexte"/>
              <w:tabs>
                <w:tab w:val="left" w:pos="2610"/>
              </w:tabs>
              <w:spacing w:before="60" w:after="60"/>
              <w:ind w:left="0" w:firstLine="0"/>
              <w:rPr>
                <w:rFonts w:asciiTheme="majorBidi" w:hAnsiTheme="majorBidi" w:cstheme="majorBidi"/>
                <w:lang w:val="fr-FR"/>
              </w:rPr>
            </w:pPr>
          </w:p>
        </w:tc>
      </w:tr>
      <w:tr w:rsidR="000A450A" w:rsidRPr="00A67F27" w14:paraId="4CEDD016" w14:textId="77777777" w:rsidTr="0021710C">
        <w:trPr>
          <w:cantSplit/>
        </w:trPr>
        <w:tc>
          <w:tcPr>
            <w:tcW w:w="3330" w:type="dxa"/>
            <w:tcBorders>
              <w:top w:val="single" w:sz="6" w:space="0" w:color="auto"/>
              <w:left w:val="single" w:sz="6" w:space="0" w:color="auto"/>
              <w:bottom w:val="single" w:sz="6" w:space="0" w:color="auto"/>
              <w:right w:val="single" w:sz="6" w:space="0" w:color="auto"/>
            </w:tcBorders>
          </w:tcPr>
          <w:p w14:paraId="7B0D547D" w14:textId="1B0FCDC4" w:rsidR="000A450A" w:rsidRPr="00A67F27" w:rsidRDefault="000A450A" w:rsidP="00BE4B6F">
            <w:pPr>
              <w:pStyle w:val="Corpsdetexte"/>
              <w:tabs>
                <w:tab w:val="left" w:pos="2610"/>
              </w:tabs>
              <w:spacing w:before="60" w:after="60"/>
              <w:ind w:left="0" w:firstLine="0"/>
              <w:rPr>
                <w:rFonts w:asciiTheme="majorBidi" w:hAnsiTheme="majorBidi" w:cstheme="majorBidi"/>
                <w:lang w:val="fr-FR"/>
              </w:rPr>
            </w:pPr>
            <w:r w:rsidRPr="00A67F27">
              <w:rPr>
                <w:rFonts w:asciiTheme="majorBidi" w:hAnsiTheme="majorBidi" w:cstheme="majorBidi"/>
                <w:lang w:val="fr-FR"/>
              </w:rPr>
              <w:t>Nom du Maître de l’Ouvrage</w:t>
            </w:r>
            <w:r w:rsidR="009B2302" w:rsidRPr="00A67F27">
              <w:rPr>
                <w:rFonts w:asciiTheme="majorBidi" w:hAnsiTheme="majorBidi" w:cstheme="majorBidi"/>
                <w:lang w:val="fr-FR"/>
              </w:rPr>
              <w:t> :</w:t>
            </w:r>
          </w:p>
        </w:tc>
        <w:tc>
          <w:tcPr>
            <w:tcW w:w="6026" w:type="dxa"/>
            <w:gridSpan w:val="5"/>
            <w:tcBorders>
              <w:top w:val="single" w:sz="6" w:space="0" w:color="auto"/>
              <w:left w:val="nil"/>
              <w:bottom w:val="single" w:sz="6" w:space="0" w:color="auto"/>
              <w:right w:val="single" w:sz="6" w:space="0" w:color="auto"/>
            </w:tcBorders>
          </w:tcPr>
          <w:p w14:paraId="496F466E" w14:textId="71876FA0" w:rsidR="000A450A" w:rsidRPr="00A67F27" w:rsidRDefault="000A450A" w:rsidP="00BE4B6F">
            <w:pPr>
              <w:pStyle w:val="Corpsdetexte"/>
              <w:tabs>
                <w:tab w:val="left" w:pos="2610"/>
              </w:tabs>
              <w:spacing w:before="60" w:after="60"/>
              <w:ind w:left="0" w:firstLine="0"/>
              <w:rPr>
                <w:rFonts w:asciiTheme="majorBidi" w:hAnsiTheme="majorBidi" w:cstheme="majorBidi"/>
                <w:lang w:val="fr-FR"/>
              </w:rPr>
            </w:pPr>
          </w:p>
        </w:tc>
      </w:tr>
      <w:tr w:rsidR="000A450A" w:rsidRPr="00A67F27" w14:paraId="42053C3A" w14:textId="77777777" w:rsidTr="0021710C">
        <w:trPr>
          <w:cantSplit/>
        </w:trPr>
        <w:tc>
          <w:tcPr>
            <w:tcW w:w="3330" w:type="dxa"/>
            <w:tcBorders>
              <w:top w:val="single" w:sz="6" w:space="0" w:color="auto"/>
              <w:left w:val="single" w:sz="6" w:space="0" w:color="auto"/>
              <w:bottom w:val="single" w:sz="6" w:space="0" w:color="auto"/>
              <w:right w:val="single" w:sz="6" w:space="0" w:color="auto"/>
            </w:tcBorders>
          </w:tcPr>
          <w:p w14:paraId="5A54CBEF" w14:textId="18A7F82C" w:rsidR="000A450A" w:rsidRPr="00A67F27" w:rsidRDefault="000A450A" w:rsidP="00BE4B6F">
            <w:pPr>
              <w:pStyle w:val="Corpsdetexte"/>
              <w:tabs>
                <w:tab w:val="left" w:pos="2610"/>
              </w:tabs>
              <w:spacing w:before="60" w:after="60"/>
              <w:ind w:left="0" w:firstLine="0"/>
              <w:rPr>
                <w:rFonts w:asciiTheme="majorBidi" w:hAnsiTheme="majorBidi" w:cstheme="majorBidi"/>
                <w:lang w:val="fr-FR"/>
              </w:rPr>
            </w:pPr>
            <w:r w:rsidRPr="00A67F27">
              <w:rPr>
                <w:rFonts w:asciiTheme="majorBidi" w:hAnsiTheme="majorBidi" w:cstheme="majorBidi"/>
                <w:lang w:val="fr-FR"/>
              </w:rPr>
              <w:t>Adresse</w:t>
            </w:r>
            <w:r w:rsidR="009B2302" w:rsidRPr="00A67F27">
              <w:rPr>
                <w:rFonts w:asciiTheme="majorBidi" w:hAnsiTheme="majorBidi" w:cstheme="majorBidi"/>
                <w:lang w:val="fr-FR"/>
              </w:rPr>
              <w:t> :</w:t>
            </w:r>
          </w:p>
          <w:p w14:paraId="32A497DC" w14:textId="78DE048B" w:rsidR="000A450A" w:rsidRPr="00A67F27" w:rsidRDefault="000A450A" w:rsidP="00BE4B6F">
            <w:pPr>
              <w:pStyle w:val="Corpsdetexte"/>
              <w:tabs>
                <w:tab w:val="left" w:pos="2610"/>
              </w:tabs>
              <w:spacing w:before="60" w:after="60"/>
              <w:ind w:left="0" w:firstLine="0"/>
              <w:rPr>
                <w:rFonts w:asciiTheme="majorBidi" w:hAnsiTheme="majorBidi" w:cstheme="majorBidi"/>
                <w:lang w:val="fr-FR"/>
              </w:rPr>
            </w:pPr>
            <w:r w:rsidRPr="00A67F27">
              <w:rPr>
                <w:rFonts w:asciiTheme="majorBidi" w:hAnsiTheme="majorBidi" w:cstheme="majorBidi"/>
                <w:lang w:val="fr-FR"/>
              </w:rPr>
              <w:t>Numéro de téléphone/télécopie</w:t>
            </w:r>
            <w:r w:rsidR="009B2302" w:rsidRPr="00A67F27">
              <w:rPr>
                <w:rFonts w:asciiTheme="majorBidi" w:hAnsiTheme="majorBidi" w:cstheme="majorBidi"/>
                <w:lang w:val="fr-FR"/>
              </w:rPr>
              <w:t> :</w:t>
            </w:r>
          </w:p>
          <w:p w14:paraId="78614759" w14:textId="77777777" w:rsidR="0021710C" w:rsidRPr="00A67F27" w:rsidRDefault="0021710C" w:rsidP="00BE4B6F">
            <w:pPr>
              <w:pStyle w:val="Corpsdetexte"/>
              <w:tabs>
                <w:tab w:val="left" w:pos="2610"/>
              </w:tabs>
              <w:spacing w:before="60" w:after="60"/>
              <w:ind w:left="0" w:firstLine="0"/>
              <w:rPr>
                <w:rFonts w:asciiTheme="majorBidi" w:hAnsiTheme="majorBidi" w:cstheme="majorBidi"/>
                <w:lang w:val="fr-FR"/>
              </w:rPr>
            </w:pPr>
          </w:p>
          <w:p w14:paraId="6F629C93" w14:textId="5C702335" w:rsidR="000A450A" w:rsidRPr="00A67F27" w:rsidRDefault="000A450A" w:rsidP="00BE4B6F">
            <w:pPr>
              <w:pStyle w:val="Corpsdetexte"/>
              <w:tabs>
                <w:tab w:val="left" w:pos="2610"/>
              </w:tabs>
              <w:spacing w:before="60" w:after="60"/>
              <w:ind w:left="0" w:firstLine="0"/>
              <w:rPr>
                <w:rFonts w:asciiTheme="majorBidi" w:hAnsiTheme="majorBidi" w:cstheme="majorBidi"/>
                <w:lang w:val="fr-FR"/>
              </w:rPr>
            </w:pPr>
            <w:r w:rsidRPr="00A67F27">
              <w:rPr>
                <w:rFonts w:asciiTheme="majorBidi" w:hAnsiTheme="majorBidi" w:cstheme="majorBidi"/>
                <w:lang w:val="fr-FR"/>
              </w:rPr>
              <w:t>Adresse électronique</w:t>
            </w:r>
            <w:r w:rsidR="009B2302" w:rsidRPr="00A67F27">
              <w:rPr>
                <w:rFonts w:asciiTheme="majorBidi" w:hAnsiTheme="majorBidi" w:cstheme="majorBidi"/>
                <w:lang w:val="fr-FR"/>
              </w:rPr>
              <w:t> :</w:t>
            </w:r>
          </w:p>
        </w:tc>
        <w:tc>
          <w:tcPr>
            <w:tcW w:w="6026" w:type="dxa"/>
            <w:gridSpan w:val="5"/>
            <w:tcBorders>
              <w:top w:val="single" w:sz="6" w:space="0" w:color="auto"/>
              <w:left w:val="nil"/>
              <w:bottom w:val="single" w:sz="6" w:space="0" w:color="auto"/>
              <w:right w:val="single" w:sz="6" w:space="0" w:color="auto"/>
            </w:tcBorders>
          </w:tcPr>
          <w:p w14:paraId="505AAF55" w14:textId="73D2545E" w:rsidR="000A450A" w:rsidRPr="00A67F27" w:rsidRDefault="000A450A" w:rsidP="00BE4B6F">
            <w:pPr>
              <w:pStyle w:val="Corpsdetexte"/>
              <w:tabs>
                <w:tab w:val="left" w:pos="2610"/>
              </w:tabs>
              <w:spacing w:before="60" w:after="60"/>
              <w:ind w:left="0" w:firstLine="0"/>
              <w:rPr>
                <w:rFonts w:asciiTheme="majorBidi" w:hAnsiTheme="majorBidi" w:cstheme="majorBidi"/>
                <w:lang w:val="fr-FR"/>
              </w:rPr>
            </w:pPr>
          </w:p>
        </w:tc>
      </w:tr>
    </w:tbl>
    <w:p w14:paraId="19E75157" w14:textId="056004D7" w:rsidR="000A450A" w:rsidRPr="00A67F27" w:rsidRDefault="000A450A" w:rsidP="00F5565B">
      <w:pPr>
        <w:spacing w:after="0"/>
        <w:ind w:left="0" w:firstLine="0"/>
        <w:jc w:val="center"/>
        <w:rPr>
          <w:b/>
          <w:sz w:val="32"/>
          <w:szCs w:val="32"/>
          <w:lang w:eastAsia="en-US"/>
        </w:rPr>
      </w:pPr>
      <w:r w:rsidRPr="00A67F27">
        <w:rPr>
          <w:rFonts w:asciiTheme="majorBidi" w:hAnsiTheme="majorBidi" w:cstheme="majorBidi"/>
        </w:rPr>
        <w:br w:type="page"/>
      </w:r>
      <w:r w:rsidRPr="00A67F27">
        <w:rPr>
          <w:b/>
          <w:sz w:val="32"/>
          <w:szCs w:val="32"/>
          <w:lang w:eastAsia="en-US"/>
        </w:rPr>
        <w:lastRenderedPageBreak/>
        <w:t>Formulaire EXP – 4.2 a) (suite)</w:t>
      </w:r>
      <w:r w:rsidR="009B2302" w:rsidRPr="00A67F27">
        <w:rPr>
          <w:b/>
          <w:sz w:val="32"/>
          <w:szCs w:val="32"/>
          <w:lang w:eastAsia="en-US"/>
        </w:rPr>
        <w:t> :</w:t>
      </w:r>
      <w:r w:rsidR="00543ED0" w:rsidRPr="00A67F27">
        <w:rPr>
          <w:b/>
          <w:sz w:val="32"/>
          <w:szCs w:val="32"/>
          <w:lang w:eastAsia="en-US"/>
        </w:rPr>
        <w:t xml:space="preserve"> </w:t>
      </w:r>
      <w:r w:rsidR="00543ED0" w:rsidRPr="00A67F27">
        <w:rPr>
          <w:b/>
          <w:sz w:val="32"/>
          <w:szCs w:val="32"/>
          <w:lang w:eastAsia="en-US"/>
        </w:rPr>
        <w:br/>
      </w:r>
      <w:r w:rsidRPr="00A67F27">
        <w:rPr>
          <w:b/>
          <w:sz w:val="32"/>
          <w:szCs w:val="32"/>
          <w:lang w:eastAsia="en-US"/>
        </w:rPr>
        <w:t>Expérience en tant qu’Entrepreneur et d’Ensemblier (suite)</w:t>
      </w:r>
    </w:p>
    <w:p w14:paraId="5DD7015D" w14:textId="77777777" w:rsidR="000A450A" w:rsidRPr="00A67F27" w:rsidRDefault="000A450A" w:rsidP="00122D67">
      <w:pPr>
        <w:tabs>
          <w:tab w:val="left" w:pos="2610"/>
        </w:tabs>
        <w:rPr>
          <w:rFonts w:asciiTheme="majorBidi" w:hAnsiTheme="majorBidi" w:cstheme="majorBidi"/>
        </w:rPr>
      </w:pPr>
    </w:p>
    <w:tbl>
      <w:tblPr>
        <w:tblW w:w="0" w:type="auto"/>
        <w:tblInd w:w="72" w:type="dxa"/>
        <w:tblLayout w:type="fixed"/>
        <w:tblCellMar>
          <w:left w:w="72" w:type="dxa"/>
          <w:right w:w="72" w:type="dxa"/>
        </w:tblCellMar>
        <w:tblLook w:val="0000" w:firstRow="0" w:lastRow="0" w:firstColumn="0" w:lastColumn="0" w:noHBand="0" w:noVBand="0"/>
      </w:tblPr>
      <w:tblGrid>
        <w:gridCol w:w="4212"/>
        <w:gridCol w:w="5058"/>
      </w:tblGrid>
      <w:tr w:rsidR="000A450A" w:rsidRPr="00A67F27" w14:paraId="21633CF3" w14:textId="77777777">
        <w:trPr>
          <w:cantSplit/>
          <w:tblHeader/>
        </w:trPr>
        <w:tc>
          <w:tcPr>
            <w:tcW w:w="4212" w:type="dxa"/>
            <w:tcBorders>
              <w:top w:val="single" w:sz="6" w:space="0" w:color="auto"/>
              <w:left w:val="single" w:sz="6" w:space="0" w:color="auto"/>
              <w:bottom w:val="single" w:sz="6" w:space="0" w:color="auto"/>
              <w:right w:val="single" w:sz="6" w:space="0" w:color="auto"/>
            </w:tcBorders>
          </w:tcPr>
          <w:p w14:paraId="1C5C3982" w14:textId="329FC17A" w:rsidR="000A450A" w:rsidRPr="00A67F27" w:rsidRDefault="000A450A" w:rsidP="00F5565B">
            <w:pPr>
              <w:pStyle w:val="Outline"/>
              <w:tabs>
                <w:tab w:val="left" w:pos="2610"/>
              </w:tabs>
              <w:suppressAutoHyphens/>
              <w:spacing w:before="60" w:after="60"/>
              <w:ind w:left="0" w:firstLine="0"/>
              <w:jc w:val="center"/>
              <w:rPr>
                <w:rFonts w:asciiTheme="majorBidi" w:hAnsiTheme="majorBidi" w:cstheme="majorBidi"/>
                <w:b/>
                <w:bCs/>
                <w:spacing w:val="-2"/>
                <w:kern w:val="0"/>
                <w:szCs w:val="24"/>
              </w:rPr>
            </w:pPr>
            <w:r w:rsidRPr="00A67F27">
              <w:rPr>
                <w:rFonts w:asciiTheme="majorBidi" w:hAnsiTheme="majorBidi" w:cstheme="majorBidi"/>
                <w:b/>
                <w:bCs/>
                <w:spacing w:val="-2"/>
                <w:kern w:val="0"/>
                <w:szCs w:val="24"/>
              </w:rPr>
              <w:t>No. du marché similaire</w:t>
            </w:r>
            <w:r w:rsidR="009B2302" w:rsidRPr="00A67F27">
              <w:rPr>
                <w:rFonts w:asciiTheme="majorBidi" w:hAnsiTheme="majorBidi" w:cstheme="majorBidi"/>
                <w:b/>
                <w:bCs/>
                <w:spacing w:val="-2"/>
                <w:kern w:val="0"/>
                <w:szCs w:val="24"/>
              </w:rPr>
              <w:t> :</w:t>
            </w:r>
          </w:p>
        </w:tc>
        <w:tc>
          <w:tcPr>
            <w:tcW w:w="5058" w:type="dxa"/>
            <w:tcBorders>
              <w:top w:val="single" w:sz="6" w:space="0" w:color="auto"/>
              <w:left w:val="single" w:sz="6" w:space="0" w:color="auto"/>
              <w:bottom w:val="single" w:sz="6" w:space="0" w:color="auto"/>
              <w:right w:val="single" w:sz="6" w:space="0" w:color="auto"/>
            </w:tcBorders>
          </w:tcPr>
          <w:p w14:paraId="1916F936" w14:textId="77777777" w:rsidR="000A450A" w:rsidRPr="00A67F27" w:rsidRDefault="000A450A" w:rsidP="00F5565B">
            <w:pPr>
              <w:tabs>
                <w:tab w:val="left" w:pos="2610"/>
              </w:tabs>
              <w:spacing w:before="60" w:after="60"/>
              <w:ind w:left="0" w:firstLine="0"/>
              <w:jc w:val="center"/>
              <w:rPr>
                <w:rFonts w:asciiTheme="majorBidi" w:hAnsiTheme="majorBidi" w:cstheme="majorBidi"/>
                <w:b/>
                <w:bCs/>
                <w:spacing w:val="-2"/>
                <w:szCs w:val="24"/>
              </w:rPr>
            </w:pPr>
            <w:r w:rsidRPr="00A67F27">
              <w:rPr>
                <w:rFonts w:asciiTheme="majorBidi" w:hAnsiTheme="majorBidi" w:cstheme="majorBidi"/>
                <w:b/>
                <w:bCs/>
                <w:spacing w:val="-2"/>
                <w:szCs w:val="24"/>
              </w:rPr>
              <w:t>Information</w:t>
            </w:r>
          </w:p>
        </w:tc>
      </w:tr>
      <w:tr w:rsidR="000A450A" w:rsidRPr="00A67F27" w14:paraId="707313A0" w14:textId="77777777">
        <w:trPr>
          <w:cantSplit/>
          <w:trHeight w:val="699"/>
        </w:trPr>
        <w:tc>
          <w:tcPr>
            <w:tcW w:w="4212" w:type="dxa"/>
            <w:tcBorders>
              <w:top w:val="single" w:sz="6" w:space="0" w:color="auto"/>
              <w:left w:val="single" w:sz="6" w:space="0" w:color="auto"/>
              <w:bottom w:val="single" w:sz="6" w:space="0" w:color="auto"/>
              <w:right w:val="nil"/>
            </w:tcBorders>
          </w:tcPr>
          <w:p w14:paraId="7725EFD2" w14:textId="0B9C76AF" w:rsidR="000A450A" w:rsidRPr="00A67F27" w:rsidRDefault="000A450A" w:rsidP="00F5565B">
            <w:pPr>
              <w:pStyle w:val="Outline"/>
              <w:keepNext/>
              <w:tabs>
                <w:tab w:val="left" w:pos="2610"/>
              </w:tabs>
              <w:spacing w:before="120" w:after="120"/>
              <w:ind w:left="0" w:firstLine="0"/>
              <w:rPr>
                <w:rFonts w:asciiTheme="majorBidi" w:hAnsiTheme="majorBidi" w:cstheme="majorBidi"/>
                <w:spacing w:val="-2"/>
                <w:kern w:val="0"/>
                <w:szCs w:val="24"/>
              </w:rPr>
            </w:pPr>
            <w:r w:rsidRPr="00A67F27">
              <w:rPr>
                <w:rFonts w:asciiTheme="majorBidi" w:hAnsiTheme="majorBidi" w:cstheme="majorBidi"/>
                <w:kern w:val="0"/>
                <w:szCs w:val="24"/>
              </w:rPr>
              <w:t>Description de la similitude</w:t>
            </w:r>
            <w:r w:rsidR="000F0E70" w:rsidRPr="00A67F27">
              <w:rPr>
                <w:rFonts w:asciiTheme="majorBidi" w:hAnsiTheme="majorBidi" w:cstheme="majorBidi"/>
                <w:kern w:val="0"/>
                <w:szCs w:val="24"/>
              </w:rPr>
              <w:t xml:space="preserve"> en référence au critère 4.2(a) de la Section III</w:t>
            </w:r>
            <w:r w:rsidR="009B2302" w:rsidRPr="00A67F27">
              <w:rPr>
                <w:rFonts w:asciiTheme="majorBidi" w:hAnsiTheme="majorBidi" w:cstheme="majorBidi"/>
                <w:kern w:val="0"/>
                <w:szCs w:val="24"/>
              </w:rPr>
              <w:t> :</w:t>
            </w:r>
          </w:p>
        </w:tc>
        <w:tc>
          <w:tcPr>
            <w:tcW w:w="5058" w:type="dxa"/>
            <w:tcBorders>
              <w:top w:val="single" w:sz="6" w:space="0" w:color="auto"/>
              <w:left w:val="single" w:sz="6" w:space="0" w:color="auto"/>
              <w:bottom w:val="single" w:sz="6" w:space="0" w:color="auto"/>
              <w:right w:val="single" w:sz="6" w:space="0" w:color="auto"/>
            </w:tcBorders>
          </w:tcPr>
          <w:p w14:paraId="056E3850" w14:textId="77777777" w:rsidR="000A450A" w:rsidRPr="00A67F27" w:rsidRDefault="000A450A" w:rsidP="00F5565B">
            <w:pPr>
              <w:tabs>
                <w:tab w:val="left" w:pos="2610"/>
              </w:tabs>
              <w:spacing w:before="120" w:after="120"/>
              <w:ind w:left="0" w:firstLine="0"/>
              <w:rPr>
                <w:rFonts w:asciiTheme="majorBidi" w:hAnsiTheme="majorBidi" w:cstheme="majorBidi"/>
                <w:spacing w:val="-2"/>
                <w:szCs w:val="24"/>
              </w:rPr>
            </w:pPr>
          </w:p>
        </w:tc>
      </w:tr>
      <w:tr w:rsidR="000A450A" w:rsidRPr="00A67F27" w14:paraId="50FA540C" w14:textId="77777777">
        <w:trPr>
          <w:cantSplit/>
          <w:trHeight w:val="699"/>
        </w:trPr>
        <w:tc>
          <w:tcPr>
            <w:tcW w:w="4212" w:type="dxa"/>
            <w:tcBorders>
              <w:top w:val="single" w:sz="6" w:space="0" w:color="auto"/>
              <w:left w:val="single" w:sz="6" w:space="0" w:color="auto"/>
              <w:bottom w:val="single" w:sz="6" w:space="0" w:color="auto"/>
              <w:right w:val="nil"/>
            </w:tcBorders>
          </w:tcPr>
          <w:p w14:paraId="09C4D4AB" w14:textId="3F383B7A" w:rsidR="000A450A" w:rsidRPr="00A67F27" w:rsidRDefault="00F5565B" w:rsidP="00F5565B">
            <w:pPr>
              <w:pStyle w:val="Liste"/>
              <w:tabs>
                <w:tab w:val="left" w:pos="864"/>
                <w:tab w:val="left" w:pos="936"/>
                <w:tab w:val="left" w:pos="2610"/>
              </w:tabs>
              <w:ind w:left="0" w:firstLine="0"/>
              <w:jc w:val="left"/>
              <w:rPr>
                <w:rFonts w:asciiTheme="majorBidi" w:hAnsiTheme="majorBidi" w:cstheme="majorBidi"/>
                <w:szCs w:val="24"/>
                <w:lang w:val="fr-FR"/>
              </w:rPr>
            </w:pPr>
            <w:r w:rsidRPr="00A67F27">
              <w:rPr>
                <w:rFonts w:asciiTheme="majorBidi" w:hAnsiTheme="majorBidi" w:cstheme="majorBidi"/>
                <w:szCs w:val="24"/>
                <w:lang w:val="fr-FR"/>
              </w:rPr>
              <w:t xml:space="preserve">1. </w:t>
            </w:r>
            <w:r w:rsidR="000A450A" w:rsidRPr="00A67F27">
              <w:rPr>
                <w:rFonts w:asciiTheme="majorBidi" w:hAnsiTheme="majorBidi" w:cstheme="majorBidi"/>
                <w:szCs w:val="24"/>
                <w:lang w:val="fr-FR"/>
              </w:rPr>
              <w:t>Montant </w:t>
            </w:r>
          </w:p>
        </w:tc>
        <w:tc>
          <w:tcPr>
            <w:tcW w:w="5058" w:type="dxa"/>
            <w:tcBorders>
              <w:top w:val="single" w:sz="6" w:space="0" w:color="auto"/>
              <w:left w:val="single" w:sz="6" w:space="0" w:color="auto"/>
              <w:bottom w:val="single" w:sz="6" w:space="0" w:color="auto"/>
              <w:right w:val="single" w:sz="6" w:space="0" w:color="auto"/>
            </w:tcBorders>
          </w:tcPr>
          <w:p w14:paraId="5F1F5B31" w14:textId="6CFF3815" w:rsidR="000A450A" w:rsidRPr="00A67F27" w:rsidRDefault="000A450A" w:rsidP="00F5565B">
            <w:pPr>
              <w:tabs>
                <w:tab w:val="left" w:pos="2610"/>
              </w:tabs>
              <w:spacing w:before="120" w:after="120"/>
              <w:ind w:left="0" w:firstLine="0"/>
              <w:jc w:val="left"/>
              <w:rPr>
                <w:rFonts w:asciiTheme="majorBidi" w:hAnsiTheme="majorBidi" w:cstheme="majorBidi"/>
                <w:spacing w:val="-2"/>
                <w:szCs w:val="24"/>
              </w:rPr>
            </w:pPr>
          </w:p>
        </w:tc>
      </w:tr>
      <w:tr w:rsidR="000A450A" w:rsidRPr="00A67F27" w14:paraId="3AF1C352" w14:textId="77777777">
        <w:trPr>
          <w:cantSplit/>
          <w:trHeight w:val="699"/>
        </w:trPr>
        <w:tc>
          <w:tcPr>
            <w:tcW w:w="4212" w:type="dxa"/>
            <w:tcBorders>
              <w:top w:val="single" w:sz="6" w:space="0" w:color="auto"/>
              <w:left w:val="single" w:sz="6" w:space="0" w:color="auto"/>
              <w:bottom w:val="single" w:sz="6" w:space="0" w:color="auto"/>
              <w:right w:val="nil"/>
            </w:tcBorders>
          </w:tcPr>
          <w:p w14:paraId="2E7723C2" w14:textId="567C931F" w:rsidR="000A450A" w:rsidRPr="00A67F27" w:rsidRDefault="00F5565B" w:rsidP="00F5565B">
            <w:pPr>
              <w:pStyle w:val="Liste"/>
              <w:tabs>
                <w:tab w:val="left" w:pos="864"/>
                <w:tab w:val="left" w:pos="936"/>
                <w:tab w:val="left" w:pos="2610"/>
              </w:tabs>
              <w:ind w:left="0" w:firstLine="0"/>
              <w:jc w:val="left"/>
              <w:rPr>
                <w:rFonts w:asciiTheme="majorBidi" w:hAnsiTheme="majorBidi" w:cstheme="majorBidi"/>
                <w:spacing w:val="-2"/>
                <w:szCs w:val="24"/>
                <w:lang w:val="fr-FR"/>
              </w:rPr>
            </w:pPr>
            <w:r w:rsidRPr="00A67F27">
              <w:rPr>
                <w:rFonts w:asciiTheme="majorBidi" w:hAnsiTheme="majorBidi" w:cstheme="majorBidi"/>
                <w:szCs w:val="24"/>
                <w:lang w:val="fr-FR"/>
              </w:rPr>
              <w:t xml:space="preserve">2. </w:t>
            </w:r>
            <w:r w:rsidR="000A450A" w:rsidRPr="00A67F27">
              <w:rPr>
                <w:rFonts w:asciiTheme="majorBidi" w:hAnsiTheme="majorBidi" w:cstheme="majorBidi"/>
                <w:szCs w:val="24"/>
                <w:lang w:val="fr-FR"/>
              </w:rPr>
              <w:t>Taille physique des ouvrages ou nature de travaux requis</w:t>
            </w:r>
          </w:p>
        </w:tc>
        <w:tc>
          <w:tcPr>
            <w:tcW w:w="5058" w:type="dxa"/>
            <w:tcBorders>
              <w:top w:val="single" w:sz="6" w:space="0" w:color="auto"/>
              <w:left w:val="single" w:sz="6" w:space="0" w:color="auto"/>
              <w:bottom w:val="single" w:sz="6" w:space="0" w:color="auto"/>
              <w:right w:val="single" w:sz="6" w:space="0" w:color="auto"/>
            </w:tcBorders>
          </w:tcPr>
          <w:p w14:paraId="2BA38353" w14:textId="16175E11" w:rsidR="000A450A" w:rsidRPr="00A67F27" w:rsidRDefault="000A450A" w:rsidP="00F5565B">
            <w:pPr>
              <w:tabs>
                <w:tab w:val="left" w:pos="2610"/>
              </w:tabs>
              <w:spacing w:before="120" w:after="120"/>
              <w:ind w:left="0" w:firstLine="0"/>
              <w:jc w:val="left"/>
              <w:rPr>
                <w:rFonts w:asciiTheme="majorBidi" w:hAnsiTheme="majorBidi" w:cstheme="majorBidi"/>
                <w:spacing w:val="-2"/>
                <w:szCs w:val="24"/>
              </w:rPr>
            </w:pPr>
          </w:p>
        </w:tc>
      </w:tr>
      <w:tr w:rsidR="000A450A" w:rsidRPr="00A67F27" w14:paraId="33FB0044" w14:textId="77777777">
        <w:trPr>
          <w:cantSplit/>
          <w:trHeight w:val="699"/>
        </w:trPr>
        <w:tc>
          <w:tcPr>
            <w:tcW w:w="4212" w:type="dxa"/>
            <w:tcBorders>
              <w:top w:val="single" w:sz="6" w:space="0" w:color="auto"/>
              <w:left w:val="single" w:sz="6" w:space="0" w:color="auto"/>
              <w:bottom w:val="single" w:sz="6" w:space="0" w:color="auto"/>
              <w:right w:val="nil"/>
            </w:tcBorders>
          </w:tcPr>
          <w:p w14:paraId="67DEF528" w14:textId="05FF32DA" w:rsidR="000A450A" w:rsidRPr="00A67F27" w:rsidRDefault="00F5565B" w:rsidP="00F5565B">
            <w:pPr>
              <w:pStyle w:val="Liste"/>
              <w:tabs>
                <w:tab w:val="left" w:pos="864"/>
                <w:tab w:val="left" w:pos="936"/>
                <w:tab w:val="left" w:pos="2610"/>
              </w:tabs>
              <w:ind w:left="0" w:firstLine="0"/>
              <w:jc w:val="left"/>
              <w:rPr>
                <w:rFonts w:asciiTheme="majorBidi" w:hAnsiTheme="majorBidi" w:cstheme="majorBidi"/>
                <w:spacing w:val="-2"/>
                <w:szCs w:val="24"/>
                <w:lang w:val="fr-FR"/>
              </w:rPr>
            </w:pPr>
            <w:r w:rsidRPr="00A67F27">
              <w:rPr>
                <w:rFonts w:asciiTheme="majorBidi" w:hAnsiTheme="majorBidi" w:cstheme="majorBidi"/>
                <w:szCs w:val="24"/>
                <w:lang w:val="fr-FR"/>
              </w:rPr>
              <w:t xml:space="preserve">3. </w:t>
            </w:r>
            <w:r w:rsidR="000A450A" w:rsidRPr="00A67F27">
              <w:rPr>
                <w:rFonts w:asciiTheme="majorBidi" w:hAnsiTheme="majorBidi" w:cstheme="majorBidi"/>
                <w:szCs w:val="24"/>
                <w:lang w:val="fr-FR"/>
              </w:rPr>
              <w:t>Complexité</w:t>
            </w:r>
          </w:p>
        </w:tc>
        <w:tc>
          <w:tcPr>
            <w:tcW w:w="5058" w:type="dxa"/>
            <w:tcBorders>
              <w:top w:val="single" w:sz="6" w:space="0" w:color="auto"/>
              <w:left w:val="single" w:sz="6" w:space="0" w:color="auto"/>
              <w:bottom w:val="single" w:sz="6" w:space="0" w:color="auto"/>
              <w:right w:val="single" w:sz="6" w:space="0" w:color="auto"/>
            </w:tcBorders>
          </w:tcPr>
          <w:p w14:paraId="6F6FED99" w14:textId="19805CF6" w:rsidR="000A450A" w:rsidRPr="00A67F27" w:rsidRDefault="000A450A" w:rsidP="00F5565B">
            <w:pPr>
              <w:tabs>
                <w:tab w:val="left" w:pos="2610"/>
              </w:tabs>
              <w:spacing w:before="120" w:after="120"/>
              <w:ind w:left="0" w:firstLine="0"/>
              <w:rPr>
                <w:rFonts w:asciiTheme="majorBidi" w:hAnsiTheme="majorBidi" w:cstheme="majorBidi"/>
                <w:spacing w:val="-2"/>
                <w:szCs w:val="24"/>
              </w:rPr>
            </w:pPr>
          </w:p>
        </w:tc>
      </w:tr>
      <w:tr w:rsidR="000A450A" w:rsidRPr="00A67F27" w14:paraId="5C1D23E2" w14:textId="77777777">
        <w:trPr>
          <w:cantSplit/>
          <w:trHeight w:val="699"/>
        </w:trPr>
        <w:tc>
          <w:tcPr>
            <w:tcW w:w="4212" w:type="dxa"/>
            <w:tcBorders>
              <w:top w:val="single" w:sz="6" w:space="0" w:color="auto"/>
              <w:left w:val="single" w:sz="6" w:space="0" w:color="auto"/>
              <w:bottom w:val="single" w:sz="6" w:space="0" w:color="auto"/>
              <w:right w:val="nil"/>
            </w:tcBorders>
          </w:tcPr>
          <w:p w14:paraId="3F4609F1" w14:textId="550F0B84" w:rsidR="000A450A" w:rsidRPr="00A67F27" w:rsidRDefault="00F5565B" w:rsidP="00F5565B">
            <w:pPr>
              <w:pStyle w:val="Liste"/>
              <w:tabs>
                <w:tab w:val="left" w:pos="864"/>
                <w:tab w:val="left" w:pos="936"/>
                <w:tab w:val="left" w:pos="2610"/>
              </w:tabs>
              <w:ind w:left="0" w:firstLine="0"/>
              <w:jc w:val="left"/>
              <w:rPr>
                <w:rFonts w:asciiTheme="majorBidi" w:hAnsiTheme="majorBidi" w:cstheme="majorBidi"/>
                <w:spacing w:val="-2"/>
                <w:szCs w:val="24"/>
                <w:lang w:val="fr-FR"/>
              </w:rPr>
            </w:pPr>
            <w:r w:rsidRPr="00A67F27">
              <w:rPr>
                <w:rFonts w:asciiTheme="majorBidi" w:hAnsiTheme="majorBidi" w:cstheme="majorBidi"/>
                <w:spacing w:val="-2"/>
                <w:szCs w:val="24"/>
                <w:lang w:val="fr-FR"/>
              </w:rPr>
              <w:t xml:space="preserve">4. </w:t>
            </w:r>
            <w:r w:rsidR="000A450A" w:rsidRPr="00A67F27">
              <w:rPr>
                <w:rFonts w:asciiTheme="majorBidi" w:hAnsiTheme="majorBidi" w:cstheme="majorBidi"/>
                <w:spacing w:val="-2"/>
                <w:szCs w:val="24"/>
                <w:lang w:val="fr-FR"/>
              </w:rPr>
              <w:t>Méthodes/Technologie</w:t>
            </w:r>
          </w:p>
        </w:tc>
        <w:tc>
          <w:tcPr>
            <w:tcW w:w="5058" w:type="dxa"/>
            <w:tcBorders>
              <w:top w:val="single" w:sz="6" w:space="0" w:color="auto"/>
              <w:left w:val="single" w:sz="6" w:space="0" w:color="auto"/>
              <w:bottom w:val="single" w:sz="6" w:space="0" w:color="auto"/>
              <w:right w:val="single" w:sz="6" w:space="0" w:color="auto"/>
            </w:tcBorders>
          </w:tcPr>
          <w:p w14:paraId="7CF84933" w14:textId="6C7B1857" w:rsidR="000A450A" w:rsidRPr="00A67F27" w:rsidRDefault="000A450A" w:rsidP="00F5565B">
            <w:pPr>
              <w:tabs>
                <w:tab w:val="left" w:pos="2610"/>
              </w:tabs>
              <w:spacing w:before="120" w:after="120"/>
              <w:ind w:left="0" w:firstLine="0"/>
              <w:rPr>
                <w:rFonts w:asciiTheme="majorBidi" w:hAnsiTheme="majorBidi" w:cstheme="majorBidi"/>
                <w:spacing w:val="-2"/>
                <w:szCs w:val="24"/>
              </w:rPr>
            </w:pPr>
          </w:p>
        </w:tc>
      </w:tr>
      <w:tr w:rsidR="000A450A" w:rsidRPr="00A67F27" w14:paraId="01801E55" w14:textId="77777777">
        <w:trPr>
          <w:cantSplit/>
          <w:trHeight w:val="699"/>
        </w:trPr>
        <w:tc>
          <w:tcPr>
            <w:tcW w:w="4212" w:type="dxa"/>
            <w:tcBorders>
              <w:top w:val="single" w:sz="6" w:space="0" w:color="auto"/>
              <w:left w:val="single" w:sz="6" w:space="0" w:color="auto"/>
              <w:bottom w:val="single" w:sz="6" w:space="0" w:color="auto"/>
              <w:right w:val="nil"/>
            </w:tcBorders>
          </w:tcPr>
          <w:p w14:paraId="64F686C4" w14:textId="5D2623E6" w:rsidR="000A450A" w:rsidRPr="00A67F27" w:rsidRDefault="00F5565B" w:rsidP="00F5565B">
            <w:pPr>
              <w:pStyle w:val="Liste"/>
              <w:tabs>
                <w:tab w:val="left" w:pos="864"/>
                <w:tab w:val="left" w:pos="936"/>
                <w:tab w:val="left" w:pos="2610"/>
              </w:tabs>
              <w:ind w:left="0" w:firstLine="0"/>
              <w:jc w:val="left"/>
              <w:rPr>
                <w:rFonts w:asciiTheme="majorBidi" w:hAnsiTheme="majorBidi" w:cstheme="majorBidi"/>
                <w:spacing w:val="-2"/>
                <w:szCs w:val="24"/>
                <w:lang w:val="fr-FR"/>
              </w:rPr>
            </w:pPr>
            <w:r w:rsidRPr="00A67F27">
              <w:rPr>
                <w:rFonts w:asciiTheme="majorBidi" w:hAnsiTheme="majorBidi" w:cstheme="majorBidi"/>
                <w:spacing w:val="-2"/>
                <w:szCs w:val="24"/>
                <w:lang w:val="fr-FR"/>
              </w:rPr>
              <w:t xml:space="preserve">5. </w:t>
            </w:r>
            <w:r w:rsidR="000A450A" w:rsidRPr="00A67F27">
              <w:rPr>
                <w:rFonts w:asciiTheme="majorBidi" w:hAnsiTheme="majorBidi" w:cstheme="majorBidi"/>
                <w:spacing w:val="-2"/>
                <w:szCs w:val="24"/>
                <w:lang w:val="fr-FR"/>
              </w:rPr>
              <w:t>Taux de construction des activités principales</w:t>
            </w:r>
          </w:p>
        </w:tc>
        <w:tc>
          <w:tcPr>
            <w:tcW w:w="5058" w:type="dxa"/>
            <w:tcBorders>
              <w:top w:val="single" w:sz="6" w:space="0" w:color="auto"/>
              <w:left w:val="single" w:sz="6" w:space="0" w:color="auto"/>
              <w:bottom w:val="single" w:sz="6" w:space="0" w:color="auto"/>
              <w:right w:val="single" w:sz="6" w:space="0" w:color="auto"/>
            </w:tcBorders>
          </w:tcPr>
          <w:p w14:paraId="609CFC18" w14:textId="77777777" w:rsidR="000A450A" w:rsidRPr="00A67F27" w:rsidRDefault="000A450A" w:rsidP="00F5565B">
            <w:pPr>
              <w:tabs>
                <w:tab w:val="left" w:pos="2610"/>
              </w:tabs>
              <w:spacing w:before="120" w:after="120"/>
              <w:ind w:left="0" w:firstLine="0"/>
              <w:rPr>
                <w:rFonts w:asciiTheme="majorBidi" w:hAnsiTheme="majorBidi" w:cstheme="majorBidi"/>
                <w:spacing w:val="-2"/>
                <w:szCs w:val="24"/>
              </w:rPr>
            </w:pPr>
          </w:p>
        </w:tc>
      </w:tr>
      <w:tr w:rsidR="000A450A" w:rsidRPr="00A67F27" w14:paraId="56BC9B02" w14:textId="77777777">
        <w:trPr>
          <w:cantSplit/>
          <w:trHeight w:val="699"/>
        </w:trPr>
        <w:tc>
          <w:tcPr>
            <w:tcW w:w="4212" w:type="dxa"/>
            <w:tcBorders>
              <w:top w:val="single" w:sz="6" w:space="0" w:color="auto"/>
              <w:left w:val="single" w:sz="6" w:space="0" w:color="auto"/>
              <w:bottom w:val="single" w:sz="6" w:space="0" w:color="auto"/>
              <w:right w:val="nil"/>
            </w:tcBorders>
          </w:tcPr>
          <w:p w14:paraId="5E935FCB" w14:textId="5C6BFA0A" w:rsidR="000A450A" w:rsidRPr="00A67F27" w:rsidRDefault="00F5565B" w:rsidP="00F5565B">
            <w:pPr>
              <w:pStyle w:val="Liste"/>
              <w:tabs>
                <w:tab w:val="left" w:pos="864"/>
                <w:tab w:val="left" w:pos="936"/>
                <w:tab w:val="left" w:pos="2610"/>
              </w:tabs>
              <w:ind w:left="0" w:firstLine="0"/>
              <w:jc w:val="left"/>
              <w:rPr>
                <w:rFonts w:asciiTheme="majorBidi" w:hAnsiTheme="majorBidi" w:cstheme="majorBidi"/>
                <w:spacing w:val="-2"/>
                <w:szCs w:val="24"/>
                <w:lang w:val="fr-FR"/>
              </w:rPr>
            </w:pPr>
            <w:r w:rsidRPr="00A67F27">
              <w:rPr>
                <w:rFonts w:asciiTheme="majorBidi" w:hAnsiTheme="majorBidi" w:cstheme="majorBidi"/>
                <w:spacing w:val="-2"/>
                <w:szCs w:val="24"/>
                <w:lang w:val="fr-FR"/>
              </w:rPr>
              <w:t xml:space="preserve">6. </w:t>
            </w:r>
            <w:r w:rsidR="000A450A" w:rsidRPr="00A67F27">
              <w:rPr>
                <w:rFonts w:asciiTheme="majorBidi" w:hAnsiTheme="majorBidi" w:cstheme="majorBidi"/>
                <w:spacing w:val="-2"/>
                <w:szCs w:val="24"/>
                <w:lang w:val="fr-FR"/>
              </w:rPr>
              <w:t>Autres caractéristiques</w:t>
            </w:r>
          </w:p>
        </w:tc>
        <w:tc>
          <w:tcPr>
            <w:tcW w:w="5058" w:type="dxa"/>
            <w:tcBorders>
              <w:top w:val="single" w:sz="6" w:space="0" w:color="auto"/>
              <w:left w:val="single" w:sz="6" w:space="0" w:color="auto"/>
              <w:bottom w:val="single" w:sz="6" w:space="0" w:color="auto"/>
              <w:right w:val="single" w:sz="6" w:space="0" w:color="auto"/>
            </w:tcBorders>
          </w:tcPr>
          <w:p w14:paraId="56CECDDE" w14:textId="4961ACAE" w:rsidR="000A450A" w:rsidRPr="00A67F27" w:rsidRDefault="000A450A" w:rsidP="00F5565B">
            <w:pPr>
              <w:tabs>
                <w:tab w:val="left" w:pos="2610"/>
              </w:tabs>
              <w:spacing w:before="120" w:after="120"/>
              <w:ind w:left="0" w:firstLine="0"/>
              <w:jc w:val="left"/>
              <w:rPr>
                <w:rFonts w:asciiTheme="majorBidi" w:hAnsiTheme="majorBidi" w:cstheme="majorBidi"/>
                <w:spacing w:val="-2"/>
                <w:szCs w:val="24"/>
              </w:rPr>
            </w:pPr>
          </w:p>
        </w:tc>
      </w:tr>
    </w:tbl>
    <w:p w14:paraId="1C938202" w14:textId="77777777" w:rsidR="000A450A" w:rsidRPr="00A67F27" w:rsidRDefault="000A450A" w:rsidP="00122D67">
      <w:pPr>
        <w:tabs>
          <w:tab w:val="left" w:pos="2610"/>
        </w:tabs>
        <w:rPr>
          <w:rFonts w:asciiTheme="majorBidi" w:hAnsiTheme="majorBidi" w:cstheme="majorBidi"/>
        </w:rPr>
      </w:pPr>
    </w:p>
    <w:p w14:paraId="61EF37E1" w14:textId="77777777" w:rsidR="000A450A" w:rsidRPr="00A67F27" w:rsidRDefault="000A450A" w:rsidP="00122D67">
      <w:pPr>
        <w:tabs>
          <w:tab w:val="left" w:pos="2610"/>
        </w:tabs>
        <w:rPr>
          <w:rFonts w:asciiTheme="majorBidi" w:hAnsiTheme="majorBidi" w:cstheme="majorBidi"/>
        </w:rPr>
      </w:pPr>
    </w:p>
    <w:p w14:paraId="313F9293" w14:textId="77777777" w:rsidR="000A450A" w:rsidRPr="00A67F27" w:rsidRDefault="000A450A" w:rsidP="00122D67">
      <w:pPr>
        <w:tabs>
          <w:tab w:val="left" w:pos="2610"/>
        </w:tabs>
        <w:rPr>
          <w:rFonts w:asciiTheme="majorBidi" w:hAnsiTheme="majorBidi" w:cstheme="majorBidi"/>
        </w:rPr>
      </w:pPr>
    </w:p>
    <w:p w14:paraId="6EE6D117" w14:textId="7499FE64" w:rsidR="000A450A" w:rsidRPr="00A67F27" w:rsidRDefault="000A450A" w:rsidP="00D902A1">
      <w:pPr>
        <w:pStyle w:val="S4-Header2"/>
        <w:rPr>
          <w:szCs w:val="32"/>
          <w:lang w:val="fr-FR"/>
        </w:rPr>
      </w:pPr>
      <w:r w:rsidRPr="00A67F27">
        <w:rPr>
          <w:rFonts w:asciiTheme="majorBidi" w:hAnsiTheme="majorBidi" w:cstheme="majorBidi"/>
          <w:lang w:val="fr-FR"/>
        </w:rPr>
        <w:br w:type="page"/>
      </w:r>
      <w:bookmarkStart w:id="554" w:name="_Toc327863893"/>
      <w:bookmarkStart w:id="555" w:name="_Toc487641632"/>
      <w:r w:rsidRPr="00A67F27">
        <w:rPr>
          <w:szCs w:val="32"/>
          <w:lang w:val="fr-FR"/>
        </w:rPr>
        <w:lastRenderedPageBreak/>
        <w:t>Formulaire EXP – 4.2 b)</w:t>
      </w:r>
      <w:r w:rsidR="009B2302" w:rsidRPr="00A67F27">
        <w:rPr>
          <w:szCs w:val="32"/>
          <w:lang w:val="fr-FR"/>
        </w:rPr>
        <w:t> :</w:t>
      </w:r>
      <w:r w:rsidR="00543ED0" w:rsidRPr="00A67F27">
        <w:rPr>
          <w:szCs w:val="32"/>
          <w:lang w:val="fr-FR"/>
        </w:rPr>
        <w:t xml:space="preserve"> </w:t>
      </w:r>
      <w:r w:rsidR="00543ED0" w:rsidRPr="00A67F27">
        <w:rPr>
          <w:szCs w:val="32"/>
          <w:lang w:val="fr-FR"/>
        </w:rPr>
        <w:br/>
      </w:r>
      <w:r w:rsidRPr="00A67F27">
        <w:rPr>
          <w:szCs w:val="32"/>
          <w:lang w:val="fr-FR"/>
        </w:rPr>
        <w:t xml:space="preserve">Expérience spécifique de construction dans les activités </w:t>
      </w:r>
      <w:r w:rsidR="00160015" w:rsidRPr="00A67F27">
        <w:rPr>
          <w:szCs w:val="32"/>
          <w:lang w:val="fr-FR"/>
        </w:rPr>
        <w:t>clé</w:t>
      </w:r>
      <w:bookmarkEnd w:id="554"/>
      <w:r w:rsidR="00E86892" w:rsidRPr="00A67F27">
        <w:rPr>
          <w:szCs w:val="32"/>
          <w:lang w:val="fr-FR"/>
        </w:rPr>
        <w:t>s</w:t>
      </w:r>
      <w:bookmarkEnd w:id="555"/>
    </w:p>
    <w:p w14:paraId="0A4F76B4" w14:textId="77777777" w:rsidR="00D902A1" w:rsidRPr="00A67F27" w:rsidRDefault="00E816A5" w:rsidP="008D3C98">
      <w:pPr>
        <w:tabs>
          <w:tab w:val="left" w:pos="2610"/>
        </w:tabs>
        <w:spacing w:after="0"/>
        <w:jc w:val="right"/>
        <w:rPr>
          <w:rFonts w:asciiTheme="majorBidi" w:hAnsiTheme="majorBidi" w:cstheme="majorBidi"/>
        </w:rPr>
      </w:pPr>
      <w:r w:rsidRPr="00A67F27">
        <w:rPr>
          <w:rFonts w:asciiTheme="majorBidi" w:hAnsiTheme="majorBidi" w:cstheme="majorBidi"/>
        </w:rPr>
        <w:t>Nom légal du soumissionnaire</w:t>
      </w:r>
      <w:r w:rsidR="009B2302" w:rsidRPr="00A67F27">
        <w:rPr>
          <w:rFonts w:asciiTheme="majorBidi" w:hAnsiTheme="majorBidi" w:cstheme="majorBidi"/>
        </w:rPr>
        <w:t> :</w:t>
      </w:r>
      <w:r w:rsidRPr="00A67F27">
        <w:rPr>
          <w:rFonts w:asciiTheme="majorBidi" w:hAnsiTheme="majorBidi" w:cstheme="majorBidi"/>
        </w:rPr>
        <w:t xml:space="preserve"> ________________________</w:t>
      </w:r>
    </w:p>
    <w:p w14:paraId="4813AAC9" w14:textId="659117EB" w:rsidR="00E816A5" w:rsidRPr="00A67F27" w:rsidRDefault="00E816A5" w:rsidP="008D3C98">
      <w:pPr>
        <w:tabs>
          <w:tab w:val="left" w:pos="2610"/>
        </w:tabs>
        <w:spacing w:after="0"/>
        <w:jc w:val="right"/>
        <w:rPr>
          <w:rFonts w:asciiTheme="majorBidi" w:hAnsiTheme="majorBidi" w:cstheme="majorBidi"/>
        </w:rPr>
      </w:pPr>
      <w:r w:rsidRPr="00A67F27">
        <w:rPr>
          <w:rFonts w:asciiTheme="majorBidi" w:hAnsiTheme="majorBidi" w:cstheme="majorBidi"/>
        </w:rPr>
        <w:t>Date</w:t>
      </w:r>
      <w:r w:rsidR="009B2302" w:rsidRPr="00A67F27">
        <w:rPr>
          <w:rFonts w:asciiTheme="majorBidi" w:hAnsiTheme="majorBidi" w:cstheme="majorBidi"/>
        </w:rPr>
        <w:t> :</w:t>
      </w:r>
      <w:r w:rsidRPr="00A67F27">
        <w:rPr>
          <w:rFonts w:asciiTheme="majorBidi" w:hAnsiTheme="majorBidi" w:cstheme="majorBidi"/>
        </w:rPr>
        <w:t xml:space="preserve"> __________________</w:t>
      </w:r>
    </w:p>
    <w:p w14:paraId="2B0D1B6F" w14:textId="40FF20A8" w:rsidR="00D902A1" w:rsidRPr="00A67F27" w:rsidRDefault="00E816A5" w:rsidP="008D3C98">
      <w:pPr>
        <w:tabs>
          <w:tab w:val="left" w:pos="2610"/>
        </w:tabs>
        <w:spacing w:after="0"/>
        <w:jc w:val="right"/>
        <w:rPr>
          <w:rFonts w:asciiTheme="majorBidi" w:hAnsiTheme="majorBidi" w:cstheme="majorBidi"/>
        </w:rPr>
      </w:pPr>
      <w:r w:rsidRPr="00A67F27">
        <w:rPr>
          <w:rFonts w:asciiTheme="majorBidi" w:hAnsiTheme="majorBidi" w:cstheme="majorBidi"/>
        </w:rPr>
        <w:t>Nom légal de la partie au GE / sous-traitant</w:t>
      </w:r>
      <w:r w:rsidR="009B2302" w:rsidRPr="00A67F27">
        <w:rPr>
          <w:rFonts w:asciiTheme="majorBidi" w:hAnsiTheme="majorBidi" w:cstheme="majorBidi"/>
        </w:rPr>
        <w:t> :</w:t>
      </w:r>
      <w:r w:rsidR="00D902A1" w:rsidRPr="00A67F27">
        <w:rPr>
          <w:rFonts w:asciiTheme="majorBidi" w:hAnsiTheme="majorBidi" w:cstheme="majorBidi"/>
        </w:rPr>
        <w:t xml:space="preserve"> ______________</w:t>
      </w:r>
      <w:r w:rsidRPr="00A67F27">
        <w:rPr>
          <w:rFonts w:asciiTheme="majorBidi" w:hAnsiTheme="majorBidi" w:cstheme="majorBidi"/>
        </w:rPr>
        <w:t>_________</w:t>
      </w:r>
    </w:p>
    <w:p w14:paraId="572AA79D" w14:textId="5ABAC0A2" w:rsidR="008D3C98" w:rsidRPr="00A67F27" w:rsidRDefault="004A7F6C" w:rsidP="008D3C98">
      <w:pPr>
        <w:spacing w:after="0" w:line="264" w:lineRule="exact"/>
        <w:jc w:val="right"/>
        <w:rPr>
          <w:bCs/>
          <w:i/>
          <w:iCs/>
        </w:rPr>
      </w:pPr>
      <w:r w:rsidRPr="00A67F27">
        <w:rPr>
          <w:bCs/>
          <w:spacing w:val="-2"/>
        </w:rPr>
        <w:t>Nom des Sous-Traitants (selon articles 34.2 et 34.3 des IS</w:t>
      </w:r>
      <w:r w:rsidR="008D3C98" w:rsidRPr="00A67F27">
        <w:rPr>
          <w:bCs/>
          <w:spacing w:val="-2"/>
        </w:rPr>
        <w:t xml:space="preserve">): </w:t>
      </w:r>
      <w:r w:rsidR="008D3C98" w:rsidRPr="00A67F27">
        <w:rPr>
          <w:bCs/>
          <w:i/>
          <w:iCs/>
        </w:rPr>
        <w:t>________________</w:t>
      </w:r>
    </w:p>
    <w:p w14:paraId="16949FAE" w14:textId="77777777" w:rsidR="008D3C98" w:rsidRPr="00A67F27" w:rsidRDefault="008D3C98" w:rsidP="008D3C98">
      <w:pPr>
        <w:tabs>
          <w:tab w:val="left" w:pos="2610"/>
        </w:tabs>
        <w:spacing w:after="0"/>
        <w:jc w:val="right"/>
        <w:rPr>
          <w:rFonts w:asciiTheme="majorBidi" w:hAnsiTheme="majorBidi" w:cstheme="majorBidi"/>
        </w:rPr>
      </w:pPr>
    </w:p>
    <w:p w14:paraId="358BCCEB" w14:textId="27B613FA" w:rsidR="00E816A5" w:rsidRPr="00A67F27" w:rsidRDefault="00E816A5" w:rsidP="008D3C98">
      <w:pPr>
        <w:tabs>
          <w:tab w:val="left" w:pos="2610"/>
        </w:tabs>
        <w:spacing w:after="0"/>
        <w:jc w:val="right"/>
        <w:rPr>
          <w:rFonts w:asciiTheme="majorBidi" w:hAnsiTheme="majorBidi" w:cstheme="majorBidi"/>
        </w:rPr>
      </w:pPr>
      <w:r w:rsidRPr="00A67F27">
        <w:rPr>
          <w:rFonts w:asciiTheme="majorBidi" w:hAnsiTheme="majorBidi" w:cstheme="majorBidi"/>
        </w:rPr>
        <w:t>No. AAO</w:t>
      </w:r>
      <w:r w:rsidR="009B2302" w:rsidRPr="00A67F27">
        <w:rPr>
          <w:rFonts w:asciiTheme="majorBidi" w:hAnsiTheme="majorBidi" w:cstheme="majorBidi"/>
        </w:rPr>
        <w:t> :</w:t>
      </w:r>
      <w:r w:rsidRPr="00A67F27">
        <w:rPr>
          <w:rFonts w:asciiTheme="majorBidi" w:hAnsiTheme="majorBidi" w:cstheme="majorBidi"/>
        </w:rPr>
        <w:t xml:space="preserve"> </w:t>
      </w:r>
      <w:r w:rsidR="008D3C98" w:rsidRPr="00A67F27">
        <w:rPr>
          <w:bCs/>
          <w:i/>
          <w:iCs/>
        </w:rPr>
        <w:t>________________</w:t>
      </w:r>
    </w:p>
    <w:p w14:paraId="33404F5A" w14:textId="77777777" w:rsidR="004A7F6C" w:rsidRPr="00A67F27" w:rsidRDefault="004A7F6C" w:rsidP="004A7F6C">
      <w:pPr>
        <w:spacing w:after="0"/>
        <w:ind w:right="72"/>
        <w:jc w:val="right"/>
        <w:rPr>
          <w:rFonts w:asciiTheme="majorBidi" w:hAnsiTheme="majorBidi" w:cstheme="majorBidi"/>
          <w:bCs/>
          <w:i/>
          <w:iCs/>
        </w:rPr>
      </w:pPr>
      <w:r w:rsidRPr="00A67F27">
        <w:rPr>
          <w:spacing w:val="-2"/>
        </w:rPr>
        <w:t>Page</w:t>
      </w:r>
      <w:r w:rsidRPr="00A67F27">
        <w:rPr>
          <w:i/>
          <w:spacing w:val="-2"/>
        </w:rPr>
        <w:t xml:space="preserve"> </w:t>
      </w:r>
      <w:r w:rsidRPr="00A67F27">
        <w:rPr>
          <w:i/>
        </w:rPr>
        <w:t>__________de</w:t>
      </w:r>
      <w:r w:rsidRPr="00A67F27">
        <w:rPr>
          <w:spacing w:val="-2"/>
        </w:rPr>
        <w:t xml:space="preserve"> </w:t>
      </w:r>
      <w:r w:rsidRPr="00A67F27">
        <w:rPr>
          <w:i/>
          <w:spacing w:val="1"/>
        </w:rPr>
        <w:t>_______________</w:t>
      </w:r>
      <w:r w:rsidRPr="00A67F27">
        <w:rPr>
          <w:spacing w:val="-2"/>
        </w:rPr>
        <w:t>pages</w:t>
      </w:r>
    </w:p>
    <w:p w14:paraId="4530FEAB" w14:textId="77777777" w:rsidR="004A7F6C" w:rsidRPr="00A67F27" w:rsidRDefault="004A7F6C" w:rsidP="000F0E70">
      <w:pPr>
        <w:tabs>
          <w:tab w:val="left" w:pos="2610"/>
          <w:tab w:val="right" w:pos="9090"/>
        </w:tabs>
        <w:ind w:left="0" w:right="162" w:firstLine="0"/>
        <w:rPr>
          <w:rFonts w:asciiTheme="majorBidi" w:hAnsiTheme="majorBidi" w:cstheme="majorBidi"/>
        </w:rPr>
      </w:pPr>
    </w:p>
    <w:p w14:paraId="0FEC5F43" w14:textId="5300791D" w:rsidR="00E816A5" w:rsidRPr="00A67F27" w:rsidRDefault="00E816A5" w:rsidP="000F0E70">
      <w:pPr>
        <w:tabs>
          <w:tab w:val="left" w:pos="2610"/>
          <w:tab w:val="right" w:pos="9090"/>
        </w:tabs>
        <w:ind w:left="0" w:right="162" w:firstLine="0"/>
        <w:rPr>
          <w:rFonts w:asciiTheme="majorBidi" w:hAnsiTheme="majorBidi" w:cstheme="majorBidi"/>
        </w:rPr>
      </w:pPr>
      <w:r w:rsidRPr="00A67F27">
        <w:rPr>
          <w:rFonts w:asciiTheme="majorBidi" w:hAnsiTheme="majorBidi" w:cstheme="majorBidi"/>
        </w:rPr>
        <w:t xml:space="preserve">Tout sous-traitant </w:t>
      </w:r>
      <w:r w:rsidR="00E86892" w:rsidRPr="00A67F27">
        <w:rPr>
          <w:rFonts w:asciiTheme="majorBidi" w:hAnsiTheme="majorBidi" w:cstheme="majorBidi"/>
        </w:rPr>
        <w:t>spécialisé</w:t>
      </w:r>
      <w:r w:rsidRPr="00A67F27">
        <w:rPr>
          <w:rFonts w:asciiTheme="majorBidi" w:hAnsiTheme="majorBidi" w:cstheme="majorBidi"/>
        </w:rPr>
        <w:t xml:space="preserve"> doit compléter ce formulaire</w:t>
      </w:r>
      <w:r w:rsidR="000F0E70" w:rsidRPr="00A67F27">
        <w:rPr>
          <w:rFonts w:asciiTheme="majorBidi" w:hAnsiTheme="majorBidi" w:cstheme="majorBidi"/>
        </w:rPr>
        <w:t xml:space="preserve"> en application de</w:t>
      </w:r>
      <w:r w:rsidR="00A17AE2" w:rsidRPr="00A67F27">
        <w:rPr>
          <w:rFonts w:asciiTheme="majorBidi" w:hAnsiTheme="majorBidi" w:cstheme="majorBidi"/>
        </w:rPr>
        <w:t>s</w:t>
      </w:r>
      <w:r w:rsidR="000F0E70" w:rsidRPr="00A67F27">
        <w:rPr>
          <w:rFonts w:asciiTheme="majorBidi" w:hAnsiTheme="majorBidi" w:cstheme="majorBidi"/>
        </w:rPr>
        <w:t xml:space="preserve"> article</w:t>
      </w:r>
      <w:r w:rsidR="00A17AE2" w:rsidRPr="00A67F27">
        <w:rPr>
          <w:rFonts w:asciiTheme="majorBidi" w:hAnsiTheme="majorBidi" w:cstheme="majorBidi"/>
        </w:rPr>
        <w:t>s</w:t>
      </w:r>
      <w:r w:rsidR="000F0E70" w:rsidRPr="00A67F27">
        <w:rPr>
          <w:rFonts w:asciiTheme="majorBidi" w:hAnsiTheme="majorBidi" w:cstheme="majorBidi"/>
        </w:rPr>
        <w:t xml:space="preserve"> </w:t>
      </w:r>
      <w:r w:rsidR="00A17AE2" w:rsidRPr="00A67F27">
        <w:rPr>
          <w:rFonts w:asciiTheme="majorBidi" w:hAnsiTheme="majorBidi" w:cstheme="majorBidi"/>
        </w:rPr>
        <w:t xml:space="preserve">34.2 et </w:t>
      </w:r>
      <w:r w:rsidR="000F0E70" w:rsidRPr="00A67F27">
        <w:rPr>
          <w:rFonts w:asciiTheme="majorBidi" w:hAnsiTheme="majorBidi" w:cstheme="majorBidi"/>
        </w:rPr>
        <w:t>3</w:t>
      </w:r>
      <w:r w:rsidR="00A17AE2" w:rsidRPr="00A67F27">
        <w:rPr>
          <w:rFonts w:asciiTheme="majorBidi" w:hAnsiTheme="majorBidi" w:cstheme="majorBidi"/>
        </w:rPr>
        <w:t>4</w:t>
      </w:r>
      <w:r w:rsidR="000F0E70" w:rsidRPr="00A67F27">
        <w:rPr>
          <w:rFonts w:asciiTheme="majorBidi" w:hAnsiTheme="majorBidi" w:cstheme="majorBidi"/>
        </w:rPr>
        <w:t>.3 des IS et de la Section III, critère 4.2</w:t>
      </w:r>
      <w:r w:rsidRPr="00A67F27">
        <w:rPr>
          <w:rFonts w:asciiTheme="majorBidi" w:hAnsiTheme="majorBidi" w:cstheme="majorBidi"/>
        </w:rPr>
        <w:t>.</w:t>
      </w:r>
    </w:p>
    <w:p w14:paraId="3681203C" w14:textId="66FD0438" w:rsidR="00E816A5" w:rsidRPr="00A67F27" w:rsidRDefault="00E816A5" w:rsidP="008D3C98">
      <w:pPr>
        <w:tabs>
          <w:tab w:val="left" w:pos="4536"/>
        </w:tabs>
        <w:spacing w:after="360"/>
        <w:ind w:right="162"/>
        <w:rPr>
          <w:rFonts w:asciiTheme="majorBidi" w:hAnsiTheme="majorBidi" w:cstheme="majorBidi"/>
          <w:i/>
        </w:rPr>
      </w:pPr>
      <w:r w:rsidRPr="00A67F27">
        <w:rPr>
          <w:rFonts w:asciiTheme="majorBidi" w:hAnsiTheme="majorBidi" w:cstheme="majorBidi"/>
        </w:rPr>
        <w:t>1. Activité clé No. 1</w:t>
      </w:r>
      <w:r w:rsidR="009B2302" w:rsidRPr="00A67F27">
        <w:rPr>
          <w:rFonts w:asciiTheme="majorBidi" w:hAnsiTheme="majorBidi" w:cstheme="majorBidi"/>
        </w:rPr>
        <w:t> :</w:t>
      </w:r>
      <w:r w:rsidRPr="00A67F27">
        <w:rPr>
          <w:rFonts w:asciiTheme="majorBidi" w:hAnsiTheme="majorBidi" w:cstheme="majorBidi"/>
        </w:rPr>
        <w:t xml:space="preserve"> </w:t>
      </w:r>
      <w:r w:rsidRPr="00A67F27">
        <w:rPr>
          <w:rFonts w:asciiTheme="majorBidi" w:hAnsiTheme="majorBidi" w:cstheme="majorBidi"/>
          <w:u w:val="single"/>
        </w:rPr>
        <w:tab/>
      </w:r>
    </w:p>
    <w:tbl>
      <w:tblPr>
        <w:tblW w:w="9451" w:type="dxa"/>
        <w:tblInd w:w="72" w:type="dxa"/>
        <w:tblLayout w:type="fixed"/>
        <w:tblCellMar>
          <w:left w:w="72" w:type="dxa"/>
          <w:right w:w="72" w:type="dxa"/>
        </w:tblCellMar>
        <w:tblLook w:val="0000" w:firstRow="0" w:lastRow="0" w:firstColumn="0" w:lastColumn="0" w:noHBand="0" w:noVBand="0"/>
      </w:tblPr>
      <w:tblGrid>
        <w:gridCol w:w="3633"/>
        <w:gridCol w:w="1455"/>
        <w:gridCol w:w="483"/>
        <w:gridCol w:w="972"/>
        <w:gridCol w:w="967"/>
        <w:gridCol w:w="487"/>
        <w:gridCol w:w="1454"/>
      </w:tblGrid>
      <w:tr w:rsidR="00E816A5" w:rsidRPr="00A67F27" w14:paraId="0A853E10" w14:textId="77777777" w:rsidTr="00B14F81">
        <w:trPr>
          <w:cantSplit/>
          <w:trHeight w:val="251"/>
        </w:trPr>
        <w:tc>
          <w:tcPr>
            <w:tcW w:w="3633" w:type="dxa"/>
            <w:tcBorders>
              <w:top w:val="single" w:sz="6" w:space="0" w:color="auto"/>
              <w:left w:val="single" w:sz="6" w:space="0" w:color="auto"/>
              <w:bottom w:val="single" w:sz="6" w:space="0" w:color="auto"/>
              <w:right w:val="single" w:sz="6" w:space="0" w:color="auto"/>
            </w:tcBorders>
          </w:tcPr>
          <w:p w14:paraId="311FECF5" w14:textId="77777777" w:rsidR="00E816A5" w:rsidRPr="00A67F27" w:rsidRDefault="00E816A5" w:rsidP="00B14F81">
            <w:pPr>
              <w:tabs>
                <w:tab w:val="left" w:pos="2610"/>
              </w:tabs>
              <w:spacing w:after="0"/>
              <w:ind w:left="0" w:firstLine="0"/>
              <w:rPr>
                <w:rFonts w:asciiTheme="majorBidi" w:hAnsiTheme="majorBidi" w:cstheme="majorBidi"/>
                <w:spacing w:val="-2"/>
                <w:sz w:val="28"/>
              </w:rPr>
            </w:pPr>
          </w:p>
        </w:tc>
        <w:tc>
          <w:tcPr>
            <w:tcW w:w="5818" w:type="dxa"/>
            <w:gridSpan w:val="6"/>
            <w:tcBorders>
              <w:top w:val="single" w:sz="6" w:space="0" w:color="auto"/>
              <w:left w:val="single" w:sz="6" w:space="0" w:color="auto"/>
              <w:bottom w:val="single" w:sz="6" w:space="0" w:color="auto"/>
              <w:right w:val="single" w:sz="6" w:space="0" w:color="auto"/>
            </w:tcBorders>
          </w:tcPr>
          <w:p w14:paraId="30D22FEC" w14:textId="77777777" w:rsidR="00E816A5" w:rsidRPr="00A67F27" w:rsidRDefault="00E816A5" w:rsidP="00B14F81">
            <w:pPr>
              <w:tabs>
                <w:tab w:val="left" w:pos="2610"/>
              </w:tabs>
              <w:spacing w:after="0"/>
              <w:ind w:left="0" w:firstLine="0"/>
              <w:jc w:val="center"/>
              <w:rPr>
                <w:rFonts w:asciiTheme="majorBidi" w:hAnsiTheme="majorBidi" w:cstheme="majorBidi"/>
                <w:b/>
                <w:bCs/>
                <w:spacing w:val="-2"/>
                <w:sz w:val="28"/>
              </w:rPr>
            </w:pPr>
            <w:r w:rsidRPr="00A67F27">
              <w:rPr>
                <w:rFonts w:asciiTheme="majorBidi" w:hAnsiTheme="majorBidi" w:cstheme="majorBidi"/>
                <w:b/>
                <w:bCs/>
              </w:rPr>
              <w:t>Information</w:t>
            </w:r>
          </w:p>
        </w:tc>
      </w:tr>
      <w:tr w:rsidR="00E816A5" w:rsidRPr="00A67F27" w14:paraId="616B369C" w14:textId="77777777" w:rsidTr="00B14F81">
        <w:trPr>
          <w:cantSplit/>
          <w:trHeight w:val="224"/>
        </w:trPr>
        <w:tc>
          <w:tcPr>
            <w:tcW w:w="3633" w:type="dxa"/>
            <w:tcBorders>
              <w:top w:val="single" w:sz="6" w:space="0" w:color="auto"/>
              <w:left w:val="single" w:sz="6" w:space="0" w:color="auto"/>
              <w:bottom w:val="single" w:sz="6" w:space="0" w:color="auto"/>
              <w:right w:val="single" w:sz="6" w:space="0" w:color="auto"/>
            </w:tcBorders>
          </w:tcPr>
          <w:p w14:paraId="34AAB0AC" w14:textId="77777777" w:rsidR="00E816A5" w:rsidRPr="00A67F27" w:rsidRDefault="00E816A5" w:rsidP="00B14F81">
            <w:pPr>
              <w:tabs>
                <w:tab w:val="left" w:pos="2610"/>
              </w:tabs>
              <w:spacing w:after="0"/>
              <w:ind w:left="0" w:firstLine="0"/>
              <w:rPr>
                <w:rFonts w:asciiTheme="majorBidi" w:hAnsiTheme="majorBidi" w:cstheme="majorBidi"/>
              </w:rPr>
            </w:pPr>
            <w:r w:rsidRPr="00A67F27">
              <w:rPr>
                <w:rFonts w:asciiTheme="majorBidi" w:hAnsiTheme="majorBidi" w:cstheme="majorBidi"/>
              </w:rPr>
              <w:t>Identification du marché</w:t>
            </w:r>
          </w:p>
        </w:tc>
        <w:tc>
          <w:tcPr>
            <w:tcW w:w="5818" w:type="dxa"/>
            <w:gridSpan w:val="6"/>
            <w:tcBorders>
              <w:top w:val="single" w:sz="6" w:space="0" w:color="auto"/>
              <w:left w:val="single" w:sz="6" w:space="0" w:color="auto"/>
              <w:bottom w:val="single" w:sz="6" w:space="0" w:color="auto"/>
              <w:right w:val="single" w:sz="6" w:space="0" w:color="auto"/>
            </w:tcBorders>
          </w:tcPr>
          <w:p w14:paraId="13488D8E" w14:textId="1FFB3438" w:rsidR="00E816A5" w:rsidRPr="00A67F27" w:rsidRDefault="00E816A5" w:rsidP="00B14F81">
            <w:pPr>
              <w:tabs>
                <w:tab w:val="left" w:pos="2610"/>
              </w:tabs>
              <w:spacing w:after="0"/>
              <w:ind w:left="0" w:firstLine="0"/>
              <w:rPr>
                <w:rFonts w:asciiTheme="majorBidi" w:hAnsiTheme="majorBidi" w:cstheme="majorBidi"/>
              </w:rPr>
            </w:pPr>
          </w:p>
        </w:tc>
      </w:tr>
      <w:tr w:rsidR="00E816A5" w:rsidRPr="00A67F27" w14:paraId="584BCAA3" w14:textId="77777777" w:rsidTr="00B14F81">
        <w:trPr>
          <w:cantSplit/>
          <w:trHeight w:val="214"/>
        </w:trPr>
        <w:tc>
          <w:tcPr>
            <w:tcW w:w="3633" w:type="dxa"/>
            <w:tcBorders>
              <w:top w:val="single" w:sz="6" w:space="0" w:color="auto"/>
              <w:left w:val="single" w:sz="6" w:space="0" w:color="auto"/>
              <w:bottom w:val="single" w:sz="6" w:space="0" w:color="auto"/>
              <w:right w:val="single" w:sz="6" w:space="0" w:color="auto"/>
            </w:tcBorders>
          </w:tcPr>
          <w:p w14:paraId="45BA4DB8" w14:textId="76200A9A" w:rsidR="00E816A5" w:rsidRPr="00A67F27" w:rsidRDefault="00E816A5" w:rsidP="00B14F81">
            <w:pPr>
              <w:tabs>
                <w:tab w:val="left" w:pos="2610"/>
              </w:tabs>
              <w:spacing w:after="0"/>
              <w:ind w:left="0" w:firstLine="0"/>
              <w:rPr>
                <w:rFonts w:asciiTheme="majorBidi" w:hAnsiTheme="majorBidi" w:cstheme="majorBidi"/>
              </w:rPr>
            </w:pPr>
            <w:r w:rsidRPr="00A67F27">
              <w:rPr>
                <w:rFonts w:asciiTheme="majorBidi" w:hAnsiTheme="majorBidi" w:cstheme="majorBidi"/>
              </w:rPr>
              <w:t>Date d’attribution</w:t>
            </w:r>
          </w:p>
        </w:tc>
        <w:tc>
          <w:tcPr>
            <w:tcW w:w="5818" w:type="dxa"/>
            <w:gridSpan w:val="6"/>
            <w:tcBorders>
              <w:top w:val="single" w:sz="6" w:space="0" w:color="auto"/>
              <w:left w:val="nil"/>
              <w:bottom w:val="single" w:sz="6" w:space="0" w:color="auto"/>
              <w:right w:val="single" w:sz="6" w:space="0" w:color="auto"/>
            </w:tcBorders>
          </w:tcPr>
          <w:p w14:paraId="3628DA4F" w14:textId="030F0544" w:rsidR="00E816A5" w:rsidRPr="00A67F27" w:rsidRDefault="00E816A5" w:rsidP="00B14F81">
            <w:pPr>
              <w:tabs>
                <w:tab w:val="left" w:pos="2610"/>
              </w:tabs>
              <w:spacing w:after="0"/>
              <w:ind w:left="0" w:firstLine="0"/>
              <w:rPr>
                <w:rFonts w:asciiTheme="majorBidi" w:hAnsiTheme="majorBidi" w:cstheme="majorBidi"/>
              </w:rPr>
            </w:pPr>
          </w:p>
        </w:tc>
      </w:tr>
      <w:tr w:rsidR="00E9043B" w:rsidRPr="00A67F27" w14:paraId="784C29C5" w14:textId="77777777" w:rsidTr="00B14F81">
        <w:trPr>
          <w:cantSplit/>
          <w:trHeight w:val="214"/>
        </w:trPr>
        <w:tc>
          <w:tcPr>
            <w:tcW w:w="3633" w:type="dxa"/>
            <w:tcBorders>
              <w:top w:val="single" w:sz="6" w:space="0" w:color="auto"/>
              <w:left w:val="single" w:sz="6" w:space="0" w:color="auto"/>
              <w:bottom w:val="single" w:sz="6" w:space="0" w:color="auto"/>
              <w:right w:val="single" w:sz="6" w:space="0" w:color="auto"/>
            </w:tcBorders>
          </w:tcPr>
          <w:p w14:paraId="79FAB66D" w14:textId="61918D77" w:rsidR="00E9043B" w:rsidRPr="00A67F27" w:rsidRDefault="00E9043B" w:rsidP="00B14F81">
            <w:pPr>
              <w:tabs>
                <w:tab w:val="left" w:pos="2610"/>
              </w:tabs>
              <w:spacing w:after="0"/>
              <w:ind w:left="0" w:firstLine="0"/>
              <w:rPr>
                <w:rFonts w:asciiTheme="majorBidi" w:hAnsiTheme="majorBidi" w:cstheme="majorBidi"/>
              </w:rPr>
            </w:pPr>
            <w:r w:rsidRPr="00A67F27">
              <w:rPr>
                <w:rFonts w:asciiTheme="majorBidi" w:hAnsiTheme="majorBidi" w:cstheme="majorBidi"/>
              </w:rPr>
              <w:t>Date d’achèvement</w:t>
            </w:r>
          </w:p>
        </w:tc>
        <w:tc>
          <w:tcPr>
            <w:tcW w:w="5818" w:type="dxa"/>
            <w:gridSpan w:val="6"/>
            <w:tcBorders>
              <w:top w:val="single" w:sz="6" w:space="0" w:color="auto"/>
              <w:left w:val="nil"/>
              <w:bottom w:val="single" w:sz="6" w:space="0" w:color="auto"/>
              <w:right w:val="single" w:sz="6" w:space="0" w:color="auto"/>
            </w:tcBorders>
          </w:tcPr>
          <w:p w14:paraId="22357813" w14:textId="77777777" w:rsidR="00E9043B" w:rsidRPr="00A67F27" w:rsidRDefault="00E9043B" w:rsidP="00B14F81">
            <w:pPr>
              <w:tabs>
                <w:tab w:val="left" w:pos="2610"/>
              </w:tabs>
              <w:spacing w:after="0"/>
              <w:ind w:left="0" w:firstLine="0"/>
              <w:rPr>
                <w:rFonts w:asciiTheme="majorBidi" w:hAnsiTheme="majorBidi" w:cstheme="majorBidi"/>
              </w:rPr>
            </w:pPr>
          </w:p>
        </w:tc>
      </w:tr>
      <w:tr w:rsidR="00E9043B" w:rsidRPr="00A67F27" w14:paraId="3304C09F" w14:textId="77777777" w:rsidTr="00B14F81">
        <w:trPr>
          <w:cantSplit/>
          <w:trHeight w:val="986"/>
        </w:trPr>
        <w:tc>
          <w:tcPr>
            <w:tcW w:w="3633" w:type="dxa"/>
            <w:tcBorders>
              <w:top w:val="single" w:sz="6" w:space="0" w:color="auto"/>
              <w:left w:val="single" w:sz="6" w:space="0" w:color="auto"/>
              <w:bottom w:val="single" w:sz="6" w:space="0" w:color="auto"/>
              <w:right w:val="single" w:sz="6" w:space="0" w:color="auto"/>
            </w:tcBorders>
          </w:tcPr>
          <w:p w14:paraId="6EA9A30F" w14:textId="77777777" w:rsidR="00E9043B" w:rsidRPr="00A67F27" w:rsidRDefault="00E9043B" w:rsidP="00B14F81">
            <w:pPr>
              <w:tabs>
                <w:tab w:val="left" w:pos="2610"/>
              </w:tabs>
              <w:spacing w:after="0"/>
              <w:ind w:left="0" w:firstLine="0"/>
              <w:rPr>
                <w:rFonts w:asciiTheme="majorBidi" w:hAnsiTheme="majorBidi" w:cstheme="majorBidi"/>
                <w:spacing w:val="-2"/>
              </w:rPr>
            </w:pPr>
            <w:r w:rsidRPr="00A67F27">
              <w:rPr>
                <w:rFonts w:asciiTheme="majorBidi" w:hAnsiTheme="majorBidi" w:cstheme="majorBidi"/>
                <w:spacing w:val="-2"/>
              </w:rPr>
              <w:t>Rôle dans le marché</w:t>
            </w:r>
          </w:p>
        </w:tc>
        <w:tc>
          <w:tcPr>
            <w:tcW w:w="1455" w:type="dxa"/>
            <w:tcBorders>
              <w:top w:val="single" w:sz="6" w:space="0" w:color="auto"/>
              <w:left w:val="nil"/>
              <w:bottom w:val="single" w:sz="6" w:space="0" w:color="auto"/>
              <w:right w:val="single" w:sz="6" w:space="0" w:color="auto"/>
            </w:tcBorders>
          </w:tcPr>
          <w:p w14:paraId="7CE15A1A" w14:textId="77777777" w:rsidR="00E9043B" w:rsidRPr="00A67F27" w:rsidRDefault="00E9043B" w:rsidP="00B14F81">
            <w:pPr>
              <w:tabs>
                <w:tab w:val="left" w:pos="2610"/>
              </w:tabs>
              <w:spacing w:after="0"/>
              <w:ind w:left="0" w:firstLine="0"/>
              <w:jc w:val="center"/>
              <w:rPr>
                <w:rFonts w:asciiTheme="majorBidi" w:hAnsiTheme="majorBidi" w:cstheme="majorBidi"/>
                <w:sz w:val="36"/>
              </w:rPr>
            </w:pPr>
            <w:r w:rsidRPr="00A67F27">
              <w:rPr>
                <w:rFonts w:asciiTheme="majorBidi" w:hAnsiTheme="majorBidi" w:cstheme="majorBidi"/>
                <w:sz w:val="36"/>
                <w:szCs w:val="36"/>
              </w:rPr>
              <w:sym w:font="Symbol" w:char="F07F"/>
            </w:r>
            <w:r w:rsidRPr="00A67F27">
              <w:rPr>
                <w:rFonts w:asciiTheme="majorBidi" w:hAnsiTheme="majorBidi" w:cstheme="majorBidi"/>
                <w:sz w:val="36"/>
              </w:rPr>
              <w:t xml:space="preserve"> </w:t>
            </w:r>
            <w:r w:rsidRPr="00A67F27">
              <w:rPr>
                <w:rFonts w:asciiTheme="majorBidi" w:hAnsiTheme="majorBidi" w:cstheme="majorBidi"/>
                <w:sz w:val="36"/>
              </w:rPr>
              <w:br/>
            </w:r>
            <w:r w:rsidRPr="00A67F27">
              <w:rPr>
                <w:rFonts w:asciiTheme="majorBidi" w:hAnsiTheme="majorBidi" w:cstheme="majorBidi"/>
              </w:rPr>
              <w:t xml:space="preserve">Entrepreneur </w:t>
            </w:r>
          </w:p>
        </w:tc>
        <w:tc>
          <w:tcPr>
            <w:tcW w:w="1455" w:type="dxa"/>
            <w:gridSpan w:val="2"/>
            <w:tcBorders>
              <w:top w:val="single" w:sz="6" w:space="0" w:color="auto"/>
              <w:left w:val="nil"/>
              <w:bottom w:val="single" w:sz="6" w:space="0" w:color="auto"/>
              <w:right w:val="single" w:sz="6" w:space="0" w:color="auto"/>
            </w:tcBorders>
          </w:tcPr>
          <w:p w14:paraId="6C4A87C3" w14:textId="57B62D1C" w:rsidR="00E9043B" w:rsidRPr="00A67F27" w:rsidRDefault="00E9043B" w:rsidP="00B14F81">
            <w:pPr>
              <w:tabs>
                <w:tab w:val="left" w:pos="2610"/>
              </w:tabs>
              <w:spacing w:after="0"/>
              <w:ind w:left="0" w:firstLine="0"/>
              <w:jc w:val="center"/>
              <w:rPr>
                <w:rFonts w:asciiTheme="majorBidi" w:hAnsiTheme="majorBidi" w:cstheme="majorBidi"/>
                <w:spacing w:val="-2"/>
                <w:sz w:val="36"/>
              </w:rPr>
            </w:pPr>
            <w:r w:rsidRPr="00A67F27">
              <w:rPr>
                <w:rFonts w:asciiTheme="majorBidi" w:hAnsiTheme="majorBidi" w:cstheme="majorBidi"/>
                <w:sz w:val="36"/>
                <w:szCs w:val="36"/>
              </w:rPr>
              <w:sym w:font="Symbol" w:char="F07F"/>
            </w:r>
            <w:r w:rsidRPr="00A67F27">
              <w:rPr>
                <w:rFonts w:asciiTheme="majorBidi" w:hAnsiTheme="majorBidi" w:cstheme="majorBidi"/>
                <w:sz w:val="36"/>
              </w:rPr>
              <w:t xml:space="preserve"> </w:t>
            </w:r>
            <w:r w:rsidRPr="00A67F27">
              <w:rPr>
                <w:rFonts w:asciiTheme="majorBidi" w:hAnsiTheme="majorBidi" w:cstheme="majorBidi"/>
                <w:sz w:val="36"/>
              </w:rPr>
              <w:br/>
            </w:r>
            <w:r w:rsidRPr="00A67F27">
              <w:rPr>
                <w:rFonts w:asciiTheme="majorBidi" w:hAnsiTheme="majorBidi" w:cstheme="majorBidi"/>
              </w:rPr>
              <w:t>Membre d’</w:t>
            </w:r>
            <w:r w:rsidR="004A7F6C" w:rsidRPr="00A67F27">
              <w:rPr>
                <w:rFonts w:asciiTheme="majorBidi" w:hAnsiTheme="majorBidi" w:cstheme="majorBidi"/>
              </w:rPr>
              <w:t>u</w:t>
            </w:r>
            <w:r w:rsidRPr="00A67F27">
              <w:rPr>
                <w:rFonts w:asciiTheme="majorBidi" w:hAnsiTheme="majorBidi" w:cstheme="majorBidi"/>
              </w:rPr>
              <w:t>n groupement</w:t>
            </w:r>
          </w:p>
        </w:tc>
        <w:tc>
          <w:tcPr>
            <w:tcW w:w="1454" w:type="dxa"/>
            <w:gridSpan w:val="2"/>
            <w:tcBorders>
              <w:top w:val="single" w:sz="6" w:space="0" w:color="auto"/>
              <w:left w:val="single" w:sz="6" w:space="0" w:color="auto"/>
              <w:bottom w:val="single" w:sz="4" w:space="0" w:color="auto"/>
              <w:right w:val="single" w:sz="4" w:space="0" w:color="auto"/>
            </w:tcBorders>
          </w:tcPr>
          <w:p w14:paraId="7FD4AD82" w14:textId="197C88D6" w:rsidR="00E9043B" w:rsidRPr="00A67F27" w:rsidRDefault="00E9043B" w:rsidP="00B14F81">
            <w:pPr>
              <w:spacing w:after="0"/>
              <w:ind w:left="0" w:firstLine="0"/>
              <w:jc w:val="center"/>
              <w:rPr>
                <w:bCs/>
                <w:spacing w:val="-4"/>
              </w:rPr>
            </w:pPr>
            <w:r w:rsidRPr="00A67F27">
              <w:rPr>
                <w:rFonts w:asciiTheme="majorBidi" w:hAnsiTheme="majorBidi" w:cstheme="majorBidi"/>
                <w:sz w:val="36"/>
                <w:szCs w:val="36"/>
              </w:rPr>
              <w:sym w:font="Symbol" w:char="F07F"/>
            </w:r>
            <w:r w:rsidRPr="00A67F27">
              <w:rPr>
                <w:rFonts w:asciiTheme="majorBidi" w:hAnsiTheme="majorBidi" w:cstheme="majorBidi"/>
                <w:sz w:val="36"/>
              </w:rPr>
              <w:t xml:space="preserve"> </w:t>
            </w:r>
            <w:r w:rsidRPr="00A67F27">
              <w:rPr>
                <w:rFonts w:asciiTheme="majorBidi" w:hAnsiTheme="majorBidi" w:cstheme="majorBidi"/>
                <w:sz w:val="36"/>
              </w:rPr>
              <w:br/>
            </w:r>
            <w:r w:rsidR="004A7F6C" w:rsidRPr="00A67F27">
              <w:rPr>
                <w:bCs/>
                <w:spacing w:val="-4"/>
              </w:rPr>
              <w:t>Ensemblier</w:t>
            </w:r>
          </w:p>
        </w:tc>
        <w:tc>
          <w:tcPr>
            <w:tcW w:w="1454" w:type="dxa"/>
            <w:tcBorders>
              <w:top w:val="single" w:sz="6" w:space="0" w:color="auto"/>
              <w:left w:val="single" w:sz="6" w:space="0" w:color="auto"/>
              <w:bottom w:val="single" w:sz="4" w:space="0" w:color="auto"/>
              <w:right w:val="single" w:sz="4" w:space="0" w:color="auto"/>
            </w:tcBorders>
          </w:tcPr>
          <w:p w14:paraId="7EE85B55" w14:textId="2A256C8A" w:rsidR="00E9043B" w:rsidRPr="00A67F27" w:rsidRDefault="00E9043B" w:rsidP="00B14F81">
            <w:pPr>
              <w:tabs>
                <w:tab w:val="left" w:pos="2610"/>
              </w:tabs>
              <w:spacing w:after="0"/>
              <w:ind w:left="0" w:firstLine="0"/>
              <w:rPr>
                <w:rFonts w:asciiTheme="majorBidi" w:hAnsiTheme="majorBidi" w:cstheme="majorBidi"/>
                <w:spacing w:val="-2"/>
                <w:sz w:val="36"/>
              </w:rPr>
            </w:pPr>
            <w:r w:rsidRPr="00A67F27">
              <w:rPr>
                <w:rFonts w:asciiTheme="majorBidi" w:hAnsiTheme="majorBidi" w:cstheme="majorBidi"/>
                <w:sz w:val="36"/>
                <w:szCs w:val="36"/>
              </w:rPr>
              <w:sym w:font="Symbol" w:char="F07F"/>
            </w:r>
            <w:r w:rsidRPr="00A67F27">
              <w:rPr>
                <w:rFonts w:asciiTheme="majorBidi" w:hAnsiTheme="majorBidi" w:cstheme="majorBidi"/>
                <w:sz w:val="36"/>
              </w:rPr>
              <w:t xml:space="preserve"> </w:t>
            </w:r>
            <w:r w:rsidRPr="00A67F27">
              <w:rPr>
                <w:rFonts w:asciiTheme="majorBidi" w:hAnsiTheme="majorBidi" w:cstheme="majorBidi"/>
                <w:sz w:val="36"/>
              </w:rPr>
              <w:br/>
            </w:r>
            <w:r w:rsidRPr="00A67F27">
              <w:rPr>
                <w:rFonts w:asciiTheme="majorBidi" w:hAnsiTheme="majorBidi" w:cstheme="majorBidi"/>
              </w:rPr>
              <w:t>Sous-traitant</w:t>
            </w:r>
          </w:p>
        </w:tc>
      </w:tr>
      <w:tr w:rsidR="00E9043B" w:rsidRPr="00A67F27" w14:paraId="3C2B25D7" w14:textId="77777777" w:rsidTr="00B14F81">
        <w:trPr>
          <w:cantSplit/>
          <w:trHeight w:val="553"/>
        </w:trPr>
        <w:tc>
          <w:tcPr>
            <w:tcW w:w="3633" w:type="dxa"/>
            <w:tcBorders>
              <w:top w:val="single" w:sz="6" w:space="0" w:color="auto"/>
              <w:left w:val="single" w:sz="6" w:space="0" w:color="auto"/>
              <w:bottom w:val="single" w:sz="6" w:space="0" w:color="auto"/>
              <w:right w:val="single" w:sz="6" w:space="0" w:color="auto"/>
            </w:tcBorders>
          </w:tcPr>
          <w:p w14:paraId="585E5E2A" w14:textId="77777777" w:rsidR="00E9043B" w:rsidRPr="00A67F27" w:rsidRDefault="00E9043B" w:rsidP="00B14F81">
            <w:pPr>
              <w:tabs>
                <w:tab w:val="left" w:pos="2610"/>
              </w:tabs>
              <w:spacing w:after="0"/>
              <w:ind w:left="0" w:firstLine="0"/>
              <w:rPr>
                <w:rFonts w:asciiTheme="majorBidi" w:hAnsiTheme="majorBidi" w:cstheme="majorBidi"/>
              </w:rPr>
            </w:pPr>
            <w:r w:rsidRPr="00A67F27">
              <w:rPr>
                <w:rFonts w:asciiTheme="majorBidi" w:hAnsiTheme="majorBidi" w:cstheme="majorBidi"/>
              </w:rPr>
              <w:t>Montant total du marché</w:t>
            </w:r>
          </w:p>
        </w:tc>
        <w:tc>
          <w:tcPr>
            <w:tcW w:w="2910" w:type="dxa"/>
            <w:gridSpan w:val="3"/>
            <w:tcBorders>
              <w:top w:val="single" w:sz="6" w:space="0" w:color="auto"/>
              <w:left w:val="nil"/>
              <w:bottom w:val="single" w:sz="6" w:space="0" w:color="auto"/>
              <w:right w:val="single" w:sz="6" w:space="0" w:color="auto"/>
            </w:tcBorders>
          </w:tcPr>
          <w:p w14:paraId="374F5942" w14:textId="1CB71EA7" w:rsidR="00E9043B" w:rsidRPr="00A67F27" w:rsidRDefault="00E9043B" w:rsidP="00B14F81">
            <w:pPr>
              <w:tabs>
                <w:tab w:val="left" w:pos="2610"/>
              </w:tabs>
              <w:spacing w:after="0"/>
              <w:ind w:left="0" w:firstLine="0"/>
              <w:rPr>
                <w:rFonts w:asciiTheme="majorBidi" w:hAnsiTheme="majorBidi" w:cstheme="majorBidi"/>
              </w:rPr>
            </w:pPr>
          </w:p>
        </w:tc>
        <w:tc>
          <w:tcPr>
            <w:tcW w:w="2908" w:type="dxa"/>
            <w:gridSpan w:val="3"/>
            <w:tcBorders>
              <w:top w:val="single" w:sz="4" w:space="0" w:color="auto"/>
              <w:left w:val="single" w:sz="6" w:space="0" w:color="auto"/>
              <w:bottom w:val="single" w:sz="6" w:space="0" w:color="auto"/>
              <w:right w:val="single" w:sz="4" w:space="0" w:color="auto"/>
            </w:tcBorders>
          </w:tcPr>
          <w:p w14:paraId="7A20174F" w14:textId="60A8B5A7" w:rsidR="00E9043B" w:rsidRPr="00A67F27" w:rsidRDefault="00E9043B" w:rsidP="00B14F81">
            <w:pPr>
              <w:tabs>
                <w:tab w:val="left" w:pos="2610"/>
              </w:tabs>
              <w:spacing w:after="0"/>
              <w:ind w:left="0" w:firstLine="0"/>
              <w:rPr>
                <w:rFonts w:asciiTheme="majorBidi" w:hAnsiTheme="majorBidi" w:cstheme="majorBidi"/>
                <w:highlight w:val="yellow"/>
              </w:rPr>
            </w:pPr>
            <w:r w:rsidRPr="00A67F27">
              <w:rPr>
                <w:rFonts w:asciiTheme="majorBidi" w:hAnsiTheme="majorBidi" w:cstheme="majorBidi"/>
              </w:rPr>
              <w:t>US$</w:t>
            </w:r>
          </w:p>
        </w:tc>
      </w:tr>
      <w:tr w:rsidR="00E9043B" w:rsidRPr="00A67F27" w14:paraId="1C19095C" w14:textId="77777777" w:rsidTr="00B14F81">
        <w:trPr>
          <w:cantSplit/>
          <w:trHeight w:val="1301"/>
        </w:trPr>
        <w:tc>
          <w:tcPr>
            <w:tcW w:w="3633" w:type="dxa"/>
            <w:tcBorders>
              <w:top w:val="single" w:sz="6" w:space="0" w:color="auto"/>
              <w:left w:val="single" w:sz="6" w:space="0" w:color="auto"/>
              <w:bottom w:val="single" w:sz="6" w:space="0" w:color="auto"/>
              <w:right w:val="single" w:sz="6" w:space="0" w:color="auto"/>
            </w:tcBorders>
          </w:tcPr>
          <w:p w14:paraId="5E57718F" w14:textId="77777777" w:rsidR="00E9043B" w:rsidRPr="00A67F27" w:rsidRDefault="00E9043B" w:rsidP="00B14F81">
            <w:pPr>
              <w:tabs>
                <w:tab w:val="left" w:pos="2610"/>
              </w:tabs>
              <w:spacing w:after="0"/>
              <w:ind w:left="0" w:firstLine="0"/>
              <w:jc w:val="left"/>
              <w:rPr>
                <w:rFonts w:asciiTheme="majorBidi" w:hAnsiTheme="majorBidi" w:cstheme="majorBidi"/>
              </w:rPr>
            </w:pPr>
            <w:r w:rsidRPr="00A67F27">
              <w:rPr>
                <w:rFonts w:asciiTheme="majorBidi" w:hAnsiTheme="majorBidi" w:cstheme="majorBidi"/>
              </w:rPr>
              <w:t>Quantité (volume ou taux de production, le cas échéant) mise en œuvre dans le cadre du marché par an (ou toute autre période inférieure à un an)</w:t>
            </w:r>
          </w:p>
        </w:tc>
        <w:tc>
          <w:tcPr>
            <w:tcW w:w="1938" w:type="dxa"/>
            <w:gridSpan w:val="2"/>
            <w:tcBorders>
              <w:top w:val="single" w:sz="6" w:space="0" w:color="auto"/>
              <w:left w:val="nil"/>
              <w:bottom w:val="single" w:sz="6" w:space="0" w:color="auto"/>
              <w:right w:val="single" w:sz="6" w:space="0" w:color="auto"/>
            </w:tcBorders>
          </w:tcPr>
          <w:p w14:paraId="00F51041" w14:textId="77777777" w:rsidR="00E9043B" w:rsidRPr="00A67F27" w:rsidRDefault="00E9043B" w:rsidP="00B14F81">
            <w:pPr>
              <w:tabs>
                <w:tab w:val="left" w:pos="2610"/>
              </w:tabs>
              <w:spacing w:after="0"/>
              <w:ind w:left="0" w:firstLine="0"/>
              <w:jc w:val="center"/>
              <w:rPr>
                <w:rFonts w:asciiTheme="majorBidi" w:hAnsiTheme="majorBidi" w:cstheme="majorBidi"/>
              </w:rPr>
            </w:pPr>
            <w:r w:rsidRPr="00A67F27">
              <w:rPr>
                <w:rFonts w:asciiTheme="majorBidi" w:hAnsiTheme="majorBidi" w:cstheme="majorBidi"/>
              </w:rPr>
              <w:t>Quantité totale dans le cadre du marché</w:t>
            </w:r>
          </w:p>
          <w:p w14:paraId="547D2B49" w14:textId="77777777" w:rsidR="00E9043B" w:rsidRPr="00A67F27" w:rsidRDefault="00E9043B" w:rsidP="00B14F81">
            <w:pPr>
              <w:tabs>
                <w:tab w:val="left" w:pos="2610"/>
              </w:tabs>
              <w:spacing w:after="0"/>
              <w:ind w:left="0" w:firstLine="0"/>
              <w:jc w:val="center"/>
              <w:rPr>
                <w:rFonts w:asciiTheme="majorBidi" w:hAnsiTheme="majorBidi" w:cstheme="majorBidi"/>
              </w:rPr>
            </w:pPr>
            <w:r w:rsidRPr="00A67F27">
              <w:rPr>
                <w:rFonts w:asciiTheme="majorBidi" w:hAnsiTheme="majorBidi" w:cstheme="majorBidi"/>
              </w:rPr>
              <w:t>(i)</w:t>
            </w:r>
          </w:p>
        </w:tc>
        <w:tc>
          <w:tcPr>
            <w:tcW w:w="1939" w:type="dxa"/>
            <w:gridSpan w:val="2"/>
            <w:tcBorders>
              <w:top w:val="single" w:sz="6" w:space="0" w:color="auto"/>
              <w:left w:val="single" w:sz="6" w:space="0" w:color="auto"/>
              <w:bottom w:val="single" w:sz="6" w:space="0" w:color="auto"/>
              <w:right w:val="single" w:sz="6" w:space="0" w:color="auto"/>
            </w:tcBorders>
          </w:tcPr>
          <w:p w14:paraId="416F627F" w14:textId="77777777" w:rsidR="00E9043B" w:rsidRPr="00A67F27" w:rsidRDefault="00E9043B" w:rsidP="00B14F81">
            <w:pPr>
              <w:tabs>
                <w:tab w:val="left" w:pos="2610"/>
              </w:tabs>
              <w:spacing w:after="0"/>
              <w:ind w:left="0" w:firstLine="0"/>
              <w:jc w:val="center"/>
              <w:rPr>
                <w:rFonts w:asciiTheme="majorBidi" w:hAnsiTheme="majorBidi" w:cstheme="majorBidi"/>
              </w:rPr>
            </w:pPr>
            <w:r w:rsidRPr="00A67F27">
              <w:rPr>
                <w:rFonts w:asciiTheme="majorBidi" w:hAnsiTheme="majorBidi" w:cstheme="majorBidi"/>
              </w:rPr>
              <w:t>Pourcentage de participation</w:t>
            </w:r>
          </w:p>
          <w:p w14:paraId="5CF5E3F7" w14:textId="69226D5D" w:rsidR="00E9043B" w:rsidRPr="00A67F27" w:rsidRDefault="00E9043B" w:rsidP="00B14F81">
            <w:pPr>
              <w:tabs>
                <w:tab w:val="left" w:pos="2610"/>
              </w:tabs>
              <w:spacing w:after="0"/>
              <w:ind w:left="0" w:firstLine="0"/>
              <w:jc w:val="center"/>
              <w:rPr>
                <w:rFonts w:asciiTheme="majorBidi" w:hAnsiTheme="majorBidi" w:cstheme="majorBidi"/>
              </w:rPr>
            </w:pPr>
            <w:r w:rsidRPr="00A67F27">
              <w:rPr>
                <w:rFonts w:asciiTheme="majorBidi" w:hAnsiTheme="majorBidi" w:cstheme="majorBidi"/>
              </w:rPr>
              <w:t>(ii)</w:t>
            </w:r>
          </w:p>
        </w:tc>
        <w:tc>
          <w:tcPr>
            <w:tcW w:w="1939" w:type="dxa"/>
            <w:gridSpan w:val="2"/>
            <w:tcBorders>
              <w:top w:val="single" w:sz="6" w:space="0" w:color="auto"/>
              <w:left w:val="single" w:sz="6" w:space="0" w:color="auto"/>
              <w:bottom w:val="single" w:sz="6" w:space="0" w:color="auto"/>
              <w:right w:val="single" w:sz="6" w:space="0" w:color="auto"/>
            </w:tcBorders>
          </w:tcPr>
          <w:p w14:paraId="36E718FB" w14:textId="4485679E" w:rsidR="00E9043B" w:rsidRPr="00A67F27" w:rsidRDefault="00E9043B" w:rsidP="00B14F81">
            <w:pPr>
              <w:tabs>
                <w:tab w:val="left" w:pos="2610"/>
              </w:tabs>
              <w:spacing w:after="0"/>
              <w:ind w:left="0" w:firstLine="0"/>
              <w:jc w:val="center"/>
              <w:rPr>
                <w:rFonts w:asciiTheme="majorBidi" w:hAnsiTheme="majorBidi" w:cstheme="majorBidi"/>
              </w:rPr>
            </w:pPr>
            <w:r w:rsidRPr="00A67F27">
              <w:rPr>
                <w:rFonts w:asciiTheme="majorBidi" w:hAnsiTheme="majorBidi" w:cstheme="majorBidi"/>
              </w:rPr>
              <w:t>Quantité effective mise en œuvre</w:t>
            </w:r>
          </w:p>
          <w:p w14:paraId="636E5E00" w14:textId="3141730A" w:rsidR="00E9043B" w:rsidRPr="00A67F27" w:rsidRDefault="00E9043B" w:rsidP="00B14F81">
            <w:pPr>
              <w:tabs>
                <w:tab w:val="left" w:pos="2610"/>
              </w:tabs>
              <w:spacing w:after="0"/>
              <w:ind w:left="0" w:firstLine="0"/>
              <w:jc w:val="center"/>
              <w:rPr>
                <w:rFonts w:asciiTheme="majorBidi" w:hAnsiTheme="majorBidi" w:cstheme="majorBidi"/>
              </w:rPr>
            </w:pPr>
            <w:r w:rsidRPr="00A67F27">
              <w:rPr>
                <w:rFonts w:asciiTheme="majorBidi" w:hAnsiTheme="majorBidi" w:cstheme="majorBidi"/>
              </w:rPr>
              <w:t>(i) x (ii)</w:t>
            </w:r>
          </w:p>
        </w:tc>
      </w:tr>
      <w:tr w:rsidR="00E816A5" w:rsidRPr="00A67F27" w14:paraId="223FE451" w14:textId="77777777" w:rsidTr="00B14F81">
        <w:trPr>
          <w:cantSplit/>
          <w:trHeight w:val="214"/>
        </w:trPr>
        <w:tc>
          <w:tcPr>
            <w:tcW w:w="3633" w:type="dxa"/>
            <w:tcBorders>
              <w:top w:val="single" w:sz="6" w:space="0" w:color="auto"/>
              <w:left w:val="single" w:sz="6" w:space="0" w:color="auto"/>
              <w:bottom w:val="single" w:sz="6" w:space="0" w:color="auto"/>
              <w:right w:val="single" w:sz="6" w:space="0" w:color="auto"/>
            </w:tcBorders>
          </w:tcPr>
          <w:p w14:paraId="0788BC5B" w14:textId="77777777" w:rsidR="00E816A5" w:rsidRPr="00A67F27" w:rsidRDefault="00E816A5" w:rsidP="00B14F81">
            <w:pPr>
              <w:tabs>
                <w:tab w:val="left" w:pos="2610"/>
              </w:tabs>
              <w:spacing w:after="0"/>
              <w:ind w:left="0" w:firstLine="0"/>
              <w:jc w:val="center"/>
              <w:rPr>
                <w:rFonts w:asciiTheme="majorBidi" w:hAnsiTheme="majorBidi" w:cstheme="majorBidi"/>
              </w:rPr>
            </w:pPr>
            <w:r w:rsidRPr="00A67F27">
              <w:rPr>
                <w:rFonts w:asciiTheme="majorBidi" w:hAnsiTheme="majorBidi" w:cstheme="majorBidi"/>
              </w:rPr>
              <w:t>1</w:t>
            </w:r>
            <w:r w:rsidRPr="00A67F27">
              <w:rPr>
                <w:rFonts w:asciiTheme="majorBidi" w:hAnsiTheme="majorBidi" w:cstheme="majorBidi"/>
                <w:vertAlign w:val="superscript"/>
              </w:rPr>
              <w:t>ère</w:t>
            </w:r>
            <w:r w:rsidRPr="00A67F27">
              <w:rPr>
                <w:rFonts w:asciiTheme="majorBidi" w:hAnsiTheme="majorBidi" w:cstheme="majorBidi"/>
              </w:rPr>
              <w:t xml:space="preserve"> année</w:t>
            </w:r>
          </w:p>
        </w:tc>
        <w:tc>
          <w:tcPr>
            <w:tcW w:w="1938" w:type="dxa"/>
            <w:gridSpan w:val="2"/>
            <w:tcBorders>
              <w:top w:val="single" w:sz="6" w:space="0" w:color="auto"/>
              <w:left w:val="nil"/>
              <w:bottom w:val="single" w:sz="6" w:space="0" w:color="auto"/>
              <w:right w:val="single" w:sz="6" w:space="0" w:color="auto"/>
            </w:tcBorders>
          </w:tcPr>
          <w:p w14:paraId="23AEAFCC" w14:textId="77777777" w:rsidR="00E816A5" w:rsidRPr="00A67F27" w:rsidRDefault="00E816A5" w:rsidP="00B14F81">
            <w:pPr>
              <w:tabs>
                <w:tab w:val="left" w:pos="2610"/>
              </w:tabs>
              <w:spacing w:after="0"/>
              <w:ind w:left="0" w:firstLine="0"/>
              <w:rPr>
                <w:rFonts w:asciiTheme="majorBidi" w:hAnsiTheme="majorBidi" w:cstheme="majorBidi"/>
              </w:rPr>
            </w:pPr>
          </w:p>
        </w:tc>
        <w:tc>
          <w:tcPr>
            <w:tcW w:w="1939" w:type="dxa"/>
            <w:gridSpan w:val="2"/>
            <w:tcBorders>
              <w:top w:val="single" w:sz="6" w:space="0" w:color="auto"/>
              <w:left w:val="single" w:sz="6" w:space="0" w:color="auto"/>
              <w:bottom w:val="single" w:sz="6" w:space="0" w:color="auto"/>
              <w:right w:val="single" w:sz="6" w:space="0" w:color="auto"/>
            </w:tcBorders>
          </w:tcPr>
          <w:p w14:paraId="7F9AFC8C" w14:textId="77777777" w:rsidR="00E816A5" w:rsidRPr="00A67F27" w:rsidRDefault="00E816A5" w:rsidP="00B14F81">
            <w:pPr>
              <w:tabs>
                <w:tab w:val="left" w:pos="2610"/>
              </w:tabs>
              <w:spacing w:after="0"/>
              <w:ind w:left="0" w:firstLine="0"/>
              <w:rPr>
                <w:rFonts w:asciiTheme="majorBidi" w:hAnsiTheme="majorBidi" w:cstheme="majorBidi"/>
              </w:rPr>
            </w:pPr>
          </w:p>
        </w:tc>
        <w:tc>
          <w:tcPr>
            <w:tcW w:w="1939" w:type="dxa"/>
            <w:gridSpan w:val="2"/>
            <w:tcBorders>
              <w:top w:val="single" w:sz="6" w:space="0" w:color="auto"/>
              <w:left w:val="single" w:sz="6" w:space="0" w:color="auto"/>
              <w:bottom w:val="single" w:sz="6" w:space="0" w:color="auto"/>
              <w:right w:val="single" w:sz="6" w:space="0" w:color="auto"/>
            </w:tcBorders>
          </w:tcPr>
          <w:p w14:paraId="77D78616" w14:textId="77777777" w:rsidR="00E816A5" w:rsidRPr="00A67F27" w:rsidRDefault="00E816A5" w:rsidP="00B14F81">
            <w:pPr>
              <w:tabs>
                <w:tab w:val="left" w:pos="2610"/>
              </w:tabs>
              <w:spacing w:after="0"/>
              <w:ind w:left="0" w:firstLine="0"/>
              <w:rPr>
                <w:rFonts w:asciiTheme="majorBidi" w:hAnsiTheme="majorBidi" w:cstheme="majorBidi"/>
              </w:rPr>
            </w:pPr>
          </w:p>
        </w:tc>
      </w:tr>
      <w:tr w:rsidR="00E816A5" w:rsidRPr="00A67F27" w14:paraId="404BD3FB" w14:textId="77777777" w:rsidTr="00B14F81">
        <w:trPr>
          <w:cantSplit/>
          <w:trHeight w:val="214"/>
        </w:trPr>
        <w:tc>
          <w:tcPr>
            <w:tcW w:w="3633" w:type="dxa"/>
            <w:tcBorders>
              <w:top w:val="single" w:sz="6" w:space="0" w:color="auto"/>
              <w:left w:val="single" w:sz="6" w:space="0" w:color="auto"/>
              <w:bottom w:val="single" w:sz="6" w:space="0" w:color="auto"/>
              <w:right w:val="single" w:sz="6" w:space="0" w:color="auto"/>
            </w:tcBorders>
          </w:tcPr>
          <w:p w14:paraId="0826C7AD" w14:textId="71D52823" w:rsidR="00E816A5" w:rsidRPr="00A67F27" w:rsidRDefault="00E816A5" w:rsidP="00B14F81">
            <w:pPr>
              <w:tabs>
                <w:tab w:val="left" w:pos="2610"/>
              </w:tabs>
              <w:spacing w:after="0"/>
              <w:ind w:left="0" w:firstLine="0"/>
              <w:jc w:val="center"/>
              <w:rPr>
                <w:rFonts w:asciiTheme="majorBidi" w:hAnsiTheme="majorBidi" w:cstheme="majorBidi"/>
              </w:rPr>
            </w:pPr>
            <w:r w:rsidRPr="00A67F27">
              <w:rPr>
                <w:rFonts w:asciiTheme="majorBidi" w:hAnsiTheme="majorBidi" w:cstheme="majorBidi"/>
              </w:rPr>
              <w:t>2</w:t>
            </w:r>
            <w:r w:rsidRPr="00A67F27">
              <w:rPr>
                <w:rFonts w:asciiTheme="majorBidi" w:hAnsiTheme="majorBidi" w:cstheme="majorBidi"/>
                <w:vertAlign w:val="superscript"/>
              </w:rPr>
              <w:t>ème</w:t>
            </w:r>
            <w:r w:rsidR="009B2302" w:rsidRPr="00A67F27">
              <w:rPr>
                <w:rFonts w:asciiTheme="majorBidi" w:hAnsiTheme="majorBidi" w:cstheme="majorBidi"/>
              </w:rPr>
              <w:t xml:space="preserve"> </w:t>
            </w:r>
            <w:r w:rsidRPr="00A67F27">
              <w:rPr>
                <w:rFonts w:asciiTheme="majorBidi" w:hAnsiTheme="majorBidi" w:cstheme="majorBidi"/>
              </w:rPr>
              <w:t>année</w:t>
            </w:r>
          </w:p>
        </w:tc>
        <w:tc>
          <w:tcPr>
            <w:tcW w:w="1938" w:type="dxa"/>
            <w:gridSpan w:val="2"/>
            <w:tcBorders>
              <w:top w:val="single" w:sz="6" w:space="0" w:color="auto"/>
              <w:left w:val="nil"/>
              <w:bottom w:val="single" w:sz="6" w:space="0" w:color="auto"/>
              <w:right w:val="single" w:sz="6" w:space="0" w:color="auto"/>
            </w:tcBorders>
          </w:tcPr>
          <w:p w14:paraId="52C6FFEE" w14:textId="77777777" w:rsidR="00E816A5" w:rsidRPr="00A67F27" w:rsidRDefault="00E816A5" w:rsidP="00B14F81">
            <w:pPr>
              <w:tabs>
                <w:tab w:val="left" w:pos="2610"/>
              </w:tabs>
              <w:spacing w:after="0"/>
              <w:ind w:left="0" w:firstLine="0"/>
              <w:rPr>
                <w:rFonts w:asciiTheme="majorBidi" w:hAnsiTheme="majorBidi" w:cstheme="majorBidi"/>
              </w:rPr>
            </w:pPr>
          </w:p>
        </w:tc>
        <w:tc>
          <w:tcPr>
            <w:tcW w:w="1939" w:type="dxa"/>
            <w:gridSpan w:val="2"/>
            <w:tcBorders>
              <w:top w:val="single" w:sz="6" w:space="0" w:color="auto"/>
              <w:left w:val="single" w:sz="6" w:space="0" w:color="auto"/>
              <w:bottom w:val="single" w:sz="6" w:space="0" w:color="auto"/>
              <w:right w:val="single" w:sz="6" w:space="0" w:color="auto"/>
            </w:tcBorders>
          </w:tcPr>
          <w:p w14:paraId="37551D43" w14:textId="77777777" w:rsidR="00E816A5" w:rsidRPr="00A67F27" w:rsidRDefault="00E816A5" w:rsidP="00B14F81">
            <w:pPr>
              <w:tabs>
                <w:tab w:val="left" w:pos="2610"/>
              </w:tabs>
              <w:spacing w:after="0"/>
              <w:ind w:left="0" w:firstLine="0"/>
              <w:rPr>
                <w:rFonts w:asciiTheme="majorBidi" w:hAnsiTheme="majorBidi" w:cstheme="majorBidi"/>
              </w:rPr>
            </w:pPr>
          </w:p>
        </w:tc>
        <w:tc>
          <w:tcPr>
            <w:tcW w:w="1939" w:type="dxa"/>
            <w:gridSpan w:val="2"/>
            <w:tcBorders>
              <w:top w:val="single" w:sz="6" w:space="0" w:color="auto"/>
              <w:left w:val="single" w:sz="6" w:space="0" w:color="auto"/>
              <w:bottom w:val="single" w:sz="6" w:space="0" w:color="auto"/>
              <w:right w:val="single" w:sz="6" w:space="0" w:color="auto"/>
            </w:tcBorders>
          </w:tcPr>
          <w:p w14:paraId="575057F9" w14:textId="77777777" w:rsidR="00E816A5" w:rsidRPr="00A67F27" w:rsidRDefault="00E816A5" w:rsidP="00B14F81">
            <w:pPr>
              <w:tabs>
                <w:tab w:val="left" w:pos="2610"/>
              </w:tabs>
              <w:spacing w:after="0"/>
              <w:ind w:left="0" w:firstLine="0"/>
              <w:rPr>
                <w:rFonts w:asciiTheme="majorBidi" w:hAnsiTheme="majorBidi" w:cstheme="majorBidi"/>
              </w:rPr>
            </w:pPr>
          </w:p>
        </w:tc>
      </w:tr>
      <w:tr w:rsidR="00E816A5" w:rsidRPr="00A67F27" w14:paraId="5C58A61A" w14:textId="77777777" w:rsidTr="00B14F81">
        <w:trPr>
          <w:cantSplit/>
          <w:trHeight w:val="224"/>
        </w:trPr>
        <w:tc>
          <w:tcPr>
            <w:tcW w:w="3633" w:type="dxa"/>
            <w:tcBorders>
              <w:top w:val="single" w:sz="6" w:space="0" w:color="auto"/>
              <w:left w:val="single" w:sz="6" w:space="0" w:color="auto"/>
              <w:bottom w:val="single" w:sz="6" w:space="0" w:color="auto"/>
              <w:right w:val="single" w:sz="6" w:space="0" w:color="auto"/>
            </w:tcBorders>
          </w:tcPr>
          <w:p w14:paraId="38102CEF" w14:textId="3BDAC346" w:rsidR="00E816A5" w:rsidRPr="00A67F27" w:rsidRDefault="00E816A5" w:rsidP="00B14F81">
            <w:pPr>
              <w:tabs>
                <w:tab w:val="left" w:pos="2610"/>
              </w:tabs>
              <w:spacing w:after="0"/>
              <w:ind w:left="0" w:firstLine="0"/>
              <w:jc w:val="center"/>
              <w:rPr>
                <w:rFonts w:asciiTheme="majorBidi" w:hAnsiTheme="majorBidi" w:cstheme="majorBidi"/>
              </w:rPr>
            </w:pPr>
            <w:r w:rsidRPr="00A67F27">
              <w:rPr>
                <w:rFonts w:asciiTheme="majorBidi" w:hAnsiTheme="majorBidi" w:cstheme="majorBidi"/>
              </w:rPr>
              <w:t>3</w:t>
            </w:r>
            <w:r w:rsidRPr="00A67F27">
              <w:rPr>
                <w:rFonts w:asciiTheme="majorBidi" w:hAnsiTheme="majorBidi" w:cstheme="majorBidi"/>
                <w:vertAlign w:val="superscript"/>
              </w:rPr>
              <w:t>ème</w:t>
            </w:r>
            <w:r w:rsidR="009B2302" w:rsidRPr="00A67F27">
              <w:rPr>
                <w:rFonts w:asciiTheme="majorBidi" w:hAnsiTheme="majorBidi" w:cstheme="majorBidi"/>
              </w:rPr>
              <w:t xml:space="preserve"> </w:t>
            </w:r>
            <w:r w:rsidRPr="00A67F27">
              <w:rPr>
                <w:rFonts w:asciiTheme="majorBidi" w:hAnsiTheme="majorBidi" w:cstheme="majorBidi"/>
              </w:rPr>
              <w:t>année</w:t>
            </w:r>
          </w:p>
        </w:tc>
        <w:tc>
          <w:tcPr>
            <w:tcW w:w="1938" w:type="dxa"/>
            <w:gridSpan w:val="2"/>
            <w:tcBorders>
              <w:top w:val="single" w:sz="6" w:space="0" w:color="auto"/>
              <w:left w:val="nil"/>
              <w:bottom w:val="single" w:sz="6" w:space="0" w:color="auto"/>
              <w:right w:val="single" w:sz="6" w:space="0" w:color="auto"/>
            </w:tcBorders>
          </w:tcPr>
          <w:p w14:paraId="5F98A41D" w14:textId="77777777" w:rsidR="00E816A5" w:rsidRPr="00A67F27" w:rsidRDefault="00E816A5" w:rsidP="00B14F81">
            <w:pPr>
              <w:tabs>
                <w:tab w:val="left" w:pos="2610"/>
              </w:tabs>
              <w:spacing w:after="0"/>
              <w:ind w:left="0" w:firstLine="0"/>
              <w:rPr>
                <w:rFonts w:asciiTheme="majorBidi" w:hAnsiTheme="majorBidi" w:cstheme="majorBidi"/>
              </w:rPr>
            </w:pPr>
          </w:p>
        </w:tc>
        <w:tc>
          <w:tcPr>
            <w:tcW w:w="1939" w:type="dxa"/>
            <w:gridSpan w:val="2"/>
            <w:tcBorders>
              <w:top w:val="single" w:sz="6" w:space="0" w:color="auto"/>
              <w:left w:val="single" w:sz="6" w:space="0" w:color="auto"/>
              <w:bottom w:val="single" w:sz="6" w:space="0" w:color="auto"/>
              <w:right w:val="single" w:sz="6" w:space="0" w:color="auto"/>
            </w:tcBorders>
          </w:tcPr>
          <w:p w14:paraId="7DDCDDD3" w14:textId="77777777" w:rsidR="00E816A5" w:rsidRPr="00A67F27" w:rsidRDefault="00E816A5" w:rsidP="00B14F81">
            <w:pPr>
              <w:tabs>
                <w:tab w:val="left" w:pos="2610"/>
              </w:tabs>
              <w:spacing w:after="0"/>
              <w:ind w:left="0" w:firstLine="0"/>
              <w:rPr>
                <w:rFonts w:asciiTheme="majorBidi" w:hAnsiTheme="majorBidi" w:cstheme="majorBidi"/>
              </w:rPr>
            </w:pPr>
          </w:p>
        </w:tc>
        <w:tc>
          <w:tcPr>
            <w:tcW w:w="1939" w:type="dxa"/>
            <w:gridSpan w:val="2"/>
            <w:tcBorders>
              <w:top w:val="single" w:sz="6" w:space="0" w:color="auto"/>
              <w:left w:val="single" w:sz="6" w:space="0" w:color="auto"/>
              <w:bottom w:val="single" w:sz="6" w:space="0" w:color="auto"/>
              <w:right w:val="single" w:sz="6" w:space="0" w:color="auto"/>
            </w:tcBorders>
          </w:tcPr>
          <w:p w14:paraId="1D36DA12" w14:textId="77777777" w:rsidR="00E816A5" w:rsidRPr="00A67F27" w:rsidRDefault="00E816A5" w:rsidP="00B14F81">
            <w:pPr>
              <w:tabs>
                <w:tab w:val="left" w:pos="2610"/>
              </w:tabs>
              <w:spacing w:after="0"/>
              <w:ind w:left="0" w:firstLine="0"/>
              <w:rPr>
                <w:rFonts w:asciiTheme="majorBidi" w:hAnsiTheme="majorBidi" w:cstheme="majorBidi"/>
              </w:rPr>
            </w:pPr>
          </w:p>
        </w:tc>
      </w:tr>
      <w:tr w:rsidR="00E816A5" w:rsidRPr="00A67F27" w14:paraId="6CD4C31E" w14:textId="77777777" w:rsidTr="00B14F81">
        <w:trPr>
          <w:cantSplit/>
          <w:trHeight w:val="214"/>
        </w:trPr>
        <w:tc>
          <w:tcPr>
            <w:tcW w:w="3633" w:type="dxa"/>
            <w:tcBorders>
              <w:top w:val="single" w:sz="6" w:space="0" w:color="auto"/>
              <w:left w:val="single" w:sz="6" w:space="0" w:color="auto"/>
              <w:bottom w:val="single" w:sz="6" w:space="0" w:color="auto"/>
              <w:right w:val="single" w:sz="6" w:space="0" w:color="auto"/>
            </w:tcBorders>
          </w:tcPr>
          <w:p w14:paraId="4FE90AD0" w14:textId="68BFAD05" w:rsidR="00E816A5" w:rsidRPr="00A67F27" w:rsidRDefault="00E816A5" w:rsidP="00B14F81">
            <w:pPr>
              <w:tabs>
                <w:tab w:val="left" w:pos="2610"/>
              </w:tabs>
              <w:spacing w:after="0"/>
              <w:ind w:left="0" w:firstLine="0"/>
              <w:jc w:val="center"/>
              <w:rPr>
                <w:rFonts w:asciiTheme="majorBidi" w:hAnsiTheme="majorBidi" w:cstheme="majorBidi"/>
              </w:rPr>
            </w:pPr>
            <w:r w:rsidRPr="00A67F27">
              <w:rPr>
                <w:rFonts w:asciiTheme="majorBidi" w:hAnsiTheme="majorBidi" w:cstheme="majorBidi"/>
              </w:rPr>
              <w:t>4</w:t>
            </w:r>
            <w:r w:rsidRPr="00A67F27">
              <w:rPr>
                <w:rFonts w:asciiTheme="majorBidi" w:hAnsiTheme="majorBidi" w:cstheme="majorBidi"/>
                <w:vertAlign w:val="superscript"/>
              </w:rPr>
              <w:t>ème</w:t>
            </w:r>
            <w:r w:rsidR="009B2302" w:rsidRPr="00A67F27">
              <w:rPr>
                <w:rFonts w:asciiTheme="majorBidi" w:hAnsiTheme="majorBidi" w:cstheme="majorBidi"/>
              </w:rPr>
              <w:t xml:space="preserve"> </w:t>
            </w:r>
            <w:r w:rsidRPr="00A67F27">
              <w:rPr>
                <w:rFonts w:asciiTheme="majorBidi" w:hAnsiTheme="majorBidi" w:cstheme="majorBidi"/>
              </w:rPr>
              <w:t>année</w:t>
            </w:r>
          </w:p>
        </w:tc>
        <w:tc>
          <w:tcPr>
            <w:tcW w:w="1938" w:type="dxa"/>
            <w:gridSpan w:val="2"/>
            <w:tcBorders>
              <w:top w:val="single" w:sz="6" w:space="0" w:color="auto"/>
              <w:left w:val="nil"/>
              <w:bottom w:val="single" w:sz="6" w:space="0" w:color="auto"/>
              <w:right w:val="single" w:sz="6" w:space="0" w:color="auto"/>
            </w:tcBorders>
          </w:tcPr>
          <w:p w14:paraId="3A509F76" w14:textId="77777777" w:rsidR="00E816A5" w:rsidRPr="00A67F27" w:rsidRDefault="00E816A5" w:rsidP="00B14F81">
            <w:pPr>
              <w:tabs>
                <w:tab w:val="left" w:pos="2610"/>
              </w:tabs>
              <w:spacing w:after="0"/>
              <w:ind w:left="0" w:firstLine="0"/>
              <w:rPr>
                <w:rFonts w:asciiTheme="majorBidi" w:hAnsiTheme="majorBidi" w:cstheme="majorBidi"/>
              </w:rPr>
            </w:pPr>
          </w:p>
        </w:tc>
        <w:tc>
          <w:tcPr>
            <w:tcW w:w="1939" w:type="dxa"/>
            <w:gridSpan w:val="2"/>
            <w:tcBorders>
              <w:top w:val="single" w:sz="6" w:space="0" w:color="auto"/>
              <w:left w:val="single" w:sz="6" w:space="0" w:color="auto"/>
              <w:bottom w:val="single" w:sz="6" w:space="0" w:color="auto"/>
              <w:right w:val="single" w:sz="6" w:space="0" w:color="auto"/>
            </w:tcBorders>
          </w:tcPr>
          <w:p w14:paraId="420239CC" w14:textId="77777777" w:rsidR="00E816A5" w:rsidRPr="00A67F27" w:rsidRDefault="00E816A5" w:rsidP="00B14F81">
            <w:pPr>
              <w:tabs>
                <w:tab w:val="left" w:pos="2610"/>
              </w:tabs>
              <w:spacing w:after="0"/>
              <w:ind w:left="0" w:firstLine="0"/>
              <w:rPr>
                <w:rFonts w:asciiTheme="majorBidi" w:hAnsiTheme="majorBidi" w:cstheme="majorBidi"/>
              </w:rPr>
            </w:pPr>
          </w:p>
        </w:tc>
        <w:tc>
          <w:tcPr>
            <w:tcW w:w="1939" w:type="dxa"/>
            <w:gridSpan w:val="2"/>
            <w:tcBorders>
              <w:top w:val="single" w:sz="6" w:space="0" w:color="auto"/>
              <w:left w:val="single" w:sz="6" w:space="0" w:color="auto"/>
              <w:bottom w:val="single" w:sz="6" w:space="0" w:color="auto"/>
              <w:right w:val="single" w:sz="6" w:space="0" w:color="auto"/>
            </w:tcBorders>
          </w:tcPr>
          <w:p w14:paraId="6A702F55" w14:textId="77777777" w:rsidR="00E816A5" w:rsidRPr="00A67F27" w:rsidRDefault="00E816A5" w:rsidP="00B14F81">
            <w:pPr>
              <w:tabs>
                <w:tab w:val="left" w:pos="2610"/>
              </w:tabs>
              <w:spacing w:after="0"/>
              <w:ind w:left="0" w:firstLine="0"/>
              <w:rPr>
                <w:rFonts w:asciiTheme="majorBidi" w:hAnsiTheme="majorBidi" w:cstheme="majorBidi"/>
              </w:rPr>
            </w:pPr>
          </w:p>
        </w:tc>
      </w:tr>
      <w:tr w:rsidR="00E816A5" w:rsidRPr="00A67F27" w14:paraId="7BA560CD" w14:textId="77777777" w:rsidTr="00B14F81">
        <w:trPr>
          <w:cantSplit/>
          <w:trHeight w:val="646"/>
        </w:trPr>
        <w:tc>
          <w:tcPr>
            <w:tcW w:w="3633" w:type="dxa"/>
            <w:tcBorders>
              <w:top w:val="single" w:sz="6" w:space="0" w:color="auto"/>
              <w:left w:val="single" w:sz="6" w:space="0" w:color="auto"/>
              <w:bottom w:val="single" w:sz="6" w:space="0" w:color="auto"/>
              <w:right w:val="single" w:sz="6" w:space="0" w:color="auto"/>
            </w:tcBorders>
          </w:tcPr>
          <w:p w14:paraId="394E3DAD" w14:textId="41C03706" w:rsidR="00E816A5" w:rsidRPr="00A67F27" w:rsidRDefault="00E816A5" w:rsidP="00B14F81">
            <w:pPr>
              <w:tabs>
                <w:tab w:val="left" w:pos="2610"/>
              </w:tabs>
              <w:spacing w:after="0"/>
              <w:ind w:left="0" w:firstLine="0"/>
              <w:rPr>
                <w:rFonts w:asciiTheme="majorBidi" w:hAnsiTheme="majorBidi" w:cstheme="majorBidi"/>
              </w:rPr>
            </w:pPr>
            <w:r w:rsidRPr="00A67F27">
              <w:rPr>
                <w:rFonts w:asciiTheme="majorBidi" w:hAnsiTheme="majorBidi" w:cstheme="majorBidi"/>
              </w:rPr>
              <w:t>Nom du Maître de l’Ouvrage</w:t>
            </w:r>
            <w:r w:rsidR="009B2302" w:rsidRPr="00A67F27">
              <w:rPr>
                <w:rFonts w:asciiTheme="majorBidi" w:hAnsiTheme="majorBidi" w:cstheme="majorBidi"/>
              </w:rPr>
              <w:t> :</w:t>
            </w:r>
          </w:p>
        </w:tc>
        <w:tc>
          <w:tcPr>
            <w:tcW w:w="5818" w:type="dxa"/>
            <w:gridSpan w:val="6"/>
            <w:tcBorders>
              <w:top w:val="single" w:sz="6" w:space="0" w:color="auto"/>
              <w:left w:val="nil"/>
              <w:bottom w:val="single" w:sz="6" w:space="0" w:color="auto"/>
              <w:right w:val="single" w:sz="6" w:space="0" w:color="auto"/>
            </w:tcBorders>
          </w:tcPr>
          <w:p w14:paraId="09A0DF5B" w14:textId="7A774616" w:rsidR="00E816A5" w:rsidRPr="00A67F27" w:rsidRDefault="00E816A5" w:rsidP="00B14F81">
            <w:pPr>
              <w:tabs>
                <w:tab w:val="left" w:pos="2610"/>
              </w:tabs>
              <w:spacing w:after="0"/>
              <w:ind w:left="0" w:firstLine="0"/>
              <w:rPr>
                <w:rFonts w:asciiTheme="majorBidi" w:hAnsiTheme="majorBidi" w:cstheme="majorBidi"/>
              </w:rPr>
            </w:pPr>
          </w:p>
        </w:tc>
      </w:tr>
      <w:tr w:rsidR="00E816A5" w:rsidRPr="00A67F27" w14:paraId="1D054B6D" w14:textId="77777777" w:rsidTr="00B14F81">
        <w:trPr>
          <w:cantSplit/>
          <w:trHeight w:val="1076"/>
        </w:trPr>
        <w:tc>
          <w:tcPr>
            <w:tcW w:w="3633" w:type="dxa"/>
            <w:tcBorders>
              <w:top w:val="single" w:sz="6" w:space="0" w:color="auto"/>
              <w:left w:val="single" w:sz="6" w:space="0" w:color="auto"/>
              <w:bottom w:val="single" w:sz="6" w:space="0" w:color="auto"/>
              <w:right w:val="single" w:sz="6" w:space="0" w:color="auto"/>
            </w:tcBorders>
          </w:tcPr>
          <w:p w14:paraId="127F81E6" w14:textId="0D150958" w:rsidR="00E816A5" w:rsidRPr="00A67F27" w:rsidRDefault="00E816A5" w:rsidP="00B14F81">
            <w:pPr>
              <w:tabs>
                <w:tab w:val="left" w:pos="2610"/>
              </w:tabs>
              <w:spacing w:after="0"/>
              <w:ind w:left="0" w:firstLine="0"/>
              <w:rPr>
                <w:rFonts w:asciiTheme="majorBidi" w:hAnsiTheme="majorBidi" w:cstheme="majorBidi"/>
              </w:rPr>
            </w:pPr>
            <w:r w:rsidRPr="00A67F27">
              <w:rPr>
                <w:rFonts w:asciiTheme="majorBidi" w:hAnsiTheme="majorBidi" w:cstheme="majorBidi"/>
              </w:rPr>
              <w:t>Adresse</w:t>
            </w:r>
            <w:r w:rsidR="009B2302" w:rsidRPr="00A67F27">
              <w:rPr>
                <w:rFonts w:asciiTheme="majorBidi" w:hAnsiTheme="majorBidi" w:cstheme="majorBidi"/>
              </w:rPr>
              <w:t> :</w:t>
            </w:r>
          </w:p>
          <w:p w14:paraId="40A71DE9" w14:textId="77777777" w:rsidR="00E816A5" w:rsidRPr="00A67F27" w:rsidRDefault="00E816A5" w:rsidP="00B14F81">
            <w:pPr>
              <w:tabs>
                <w:tab w:val="left" w:pos="2610"/>
              </w:tabs>
              <w:spacing w:after="0"/>
              <w:ind w:left="0" w:firstLine="0"/>
              <w:rPr>
                <w:rFonts w:asciiTheme="majorBidi" w:hAnsiTheme="majorBidi" w:cstheme="majorBidi"/>
              </w:rPr>
            </w:pPr>
          </w:p>
          <w:p w14:paraId="663346D0" w14:textId="112B8DDB" w:rsidR="00E816A5" w:rsidRPr="00A67F27" w:rsidRDefault="00E816A5" w:rsidP="00B14F81">
            <w:pPr>
              <w:tabs>
                <w:tab w:val="left" w:pos="2610"/>
              </w:tabs>
              <w:spacing w:after="0"/>
              <w:ind w:left="0" w:firstLine="0"/>
              <w:rPr>
                <w:rFonts w:asciiTheme="majorBidi" w:hAnsiTheme="majorBidi" w:cstheme="majorBidi"/>
              </w:rPr>
            </w:pPr>
            <w:r w:rsidRPr="00A67F27">
              <w:rPr>
                <w:rFonts w:asciiTheme="majorBidi" w:hAnsiTheme="majorBidi" w:cstheme="majorBidi"/>
              </w:rPr>
              <w:t>Numéro de téléphone/télécopie</w:t>
            </w:r>
            <w:r w:rsidR="009B2302" w:rsidRPr="00A67F27">
              <w:rPr>
                <w:rFonts w:asciiTheme="majorBidi" w:hAnsiTheme="majorBidi" w:cstheme="majorBidi"/>
              </w:rPr>
              <w:t> :</w:t>
            </w:r>
          </w:p>
          <w:p w14:paraId="2E8374C4" w14:textId="77777777" w:rsidR="00E9043B" w:rsidRPr="00A67F27" w:rsidRDefault="00E9043B" w:rsidP="00B14F81">
            <w:pPr>
              <w:tabs>
                <w:tab w:val="left" w:pos="2610"/>
              </w:tabs>
              <w:spacing w:after="0"/>
              <w:ind w:left="0" w:firstLine="0"/>
              <w:rPr>
                <w:rFonts w:asciiTheme="majorBidi" w:hAnsiTheme="majorBidi" w:cstheme="majorBidi"/>
              </w:rPr>
            </w:pPr>
          </w:p>
          <w:p w14:paraId="58308B3A" w14:textId="15796CC3" w:rsidR="00E816A5" w:rsidRPr="00A67F27" w:rsidRDefault="00E816A5" w:rsidP="00B14F81">
            <w:pPr>
              <w:tabs>
                <w:tab w:val="left" w:pos="2610"/>
              </w:tabs>
              <w:spacing w:after="0"/>
              <w:ind w:left="0" w:firstLine="0"/>
              <w:rPr>
                <w:rFonts w:asciiTheme="majorBidi" w:hAnsiTheme="majorBidi" w:cstheme="majorBidi"/>
              </w:rPr>
            </w:pPr>
            <w:r w:rsidRPr="00A67F27">
              <w:rPr>
                <w:rFonts w:asciiTheme="majorBidi" w:hAnsiTheme="majorBidi" w:cstheme="majorBidi"/>
              </w:rPr>
              <w:t>Adresse électronique</w:t>
            </w:r>
            <w:r w:rsidR="009B2302" w:rsidRPr="00A67F27">
              <w:rPr>
                <w:rFonts w:asciiTheme="majorBidi" w:hAnsiTheme="majorBidi" w:cstheme="majorBidi"/>
              </w:rPr>
              <w:t> :</w:t>
            </w:r>
          </w:p>
        </w:tc>
        <w:tc>
          <w:tcPr>
            <w:tcW w:w="5818" w:type="dxa"/>
            <w:gridSpan w:val="6"/>
            <w:tcBorders>
              <w:top w:val="single" w:sz="6" w:space="0" w:color="auto"/>
              <w:left w:val="nil"/>
              <w:bottom w:val="single" w:sz="6" w:space="0" w:color="auto"/>
              <w:right w:val="single" w:sz="6" w:space="0" w:color="auto"/>
            </w:tcBorders>
          </w:tcPr>
          <w:p w14:paraId="227C7E48" w14:textId="6BB2C3DD" w:rsidR="00E816A5" w:rsidRPr="00A67F27" w:rsidRDefault="00E816A5" w:rsidP="00B14F81">
            <w:pPr>
              <w:tabs>
                <w:tab w:val="left" w:pos="2610"/>
              </w:tabs>
              <w:spacing w:after="0"/>
              <w:ind w:left="0" w:firstLine="0"/>
              <w:rPr>
                <w:rFonts w:asciiTheme="majorBidi" w:hAnsiTheme="majorBidi" w:cstheme="majorBidi"/>
              </w:rPr>
            </w:pPr>
          </w:p>
        </w:tc>
      </w:tr>
    </w:tbl>
    <w:p w14:paraId="6F2B6212" w14:textId="547F73FE" w:rsidR="006B03D9" w:rsidRPr="00A67F27" w:rsidRDefault="006B03D9" w:rsidP="00E816A5">
      <w:pPr>
        <w:tabs>
          <w:tab w:val="left" w:pos="2610"/>
        </w:tabs>
        <w:spacing w:before="120"/>
        <w:rPr>
          <w:rFonts w:asciiTheme="majorBidi" w:hAnsiTheme="majorBidi" w:cstheme="majorBidi"/>
          <w:b/>
          <w:sz w:val="32"/>
        </w:rPr>
      </w:pPr>
      <w:r w:rsidRPr="00A67F27">
        <w:rPr>
          <w:rFonts w:asciiTheme="majorBidi" w:hAnsiTheme="majorBidi" w:cstheme="majorBidi"/>
          <w:b/>
          <w:sz w:val="32"/>
        </w:rPr>
        <w:br w:type="page"/>
      </w:r>
    </w:p>
    <w:tbl>
      <w:tblPr>
        <w:tblW w:w="9360" w:type="dxa"/>
        <w:tblInd w:w="72" w:type="dxa"/>
        <w:tblLayout w:type="fixed"/>
        <w:tblCellMar>
          <w:left w:w="72" w:type="dxa"/>
          <w:right w:w="72" w:type="dxa"/>
        </w:tblCellMar>
        <w:tblLook w:val="0000" w:firstRow="0" w:lastRow="0" w:firstColumn="0" w:lastColumn="0" w:noHBand="0" w:noVBand="0"/>
      </w:tblPr>
      <w:tblGrid>
        <w:gridCol w:w="3598"/>
        <w:gridCol w:w="5762"/>
      </w:tblGrid>
      <w:tr w:rsidR="006B03D9" w:rsidRPr="00A67F27" w14:paraId="62951806" w14:textId="77777777" w:rsidTr="00EB632D">
        <w:trPr>
          <w:cantSplit/>
          <w:tblHeader/>
        </w:trPr>
        <w:tc>
          <w:tcPr>
            <w:tcW w:w="3598" w:type="dxa"/>
            <w:tcBorders>
              <w:top w:val="single" w:sz="6" w:space="0" w:color="auto"/>
              <w:left w:val="single" w:sz="6" w:space="0" w:color="auto"/>
              <w:bottom w:val="single" w:sz="6" w:space="0" w:color="auto"/>
              <w:right w:val="single" w:sz="6" w:space="0" w:color="auto"/>
            </w:tcBorders>
          </w:tcPr>
          <w:p w14:paraId="46F98E06" w14:textId="77777777" w:rsidR="006B03D9" w:rsidRPr="00A67F27" w:rsidRDefault="006B03D9" w:rsidP="00EB632D">
            <w:pPr>
              <w:tabs>
                <w:tab w:val="left" w:pos="2610"/>
              </w:tabs>
              <w:spacing w:before="60" w:after="60"/>
              <w:ind w:left="0" w:firstLine="0"/>
              <w:rPr>
                <w:rFonts w:asciiTheme="majorBidi" w:hAnsiTheme="majorBidi" w:cstheme="majorBidi"/>
                <w:spacing w:val="-2"/>
                <w:sz w:val="28"/>
              </w:rPr>
            </w:pPr>
          </w:p>
        </w:tc>
        <w:tc>
          <w:tcPr>
            <w:tcW w:w="5762" w:type="dxa"/>
            <w:tcBorders>
              <w:top w:val="single" w:sz="6" w:space="0" w:color="auto"/>
              <w:left w:val="single" w:sz="6" w:space="0" w:color="auto"/>
              <w:bottom w:val="single" w:sz="6" w:space="0" w:color="auto"/>
              <w:right w:val="single" w:sz="6" w:space="0" w:color="auto"/>
            </w:tcBorders>
          </w:tcPr>
          <w:p w14:paraId="6ECA5112" w14:textId="77777777" w:rsidR="006B03D9" w:rsidRPr="00A67F27" w:rsidRDefault="006B03D9" w:rsidP="00EB632D">
            <w:pPr>
              <w:tabs>
                <w:tab w:val="left" w:pos="2610"/>
              </w:tabs>
              <w:spacing w:before="60" w:after="60"/>
              <w:ind w:left="0" w:firstLine="0"/>
              <w:jc w:val="center"/>
              <w:rPr>
                <w:rFonts w:asciiTheme="majorBidi" w:hAnsiTheme="majorBidi" w:cstheme="majorBidi"/>
                <w:b/>
                <w:bCs/>
                <w:spacing w:val="-2"/>
                <w:sz w:val="28"/>
              </w:rPr>
            </w:pPr>
            <w:r w:rsidRPr="00A67F27">
              <w:rPr>
                <w:rFonts w:asciiTheme="majorBidi" w:hAnsiTheme="majorBidi" w:cstheme="majorBidi"/>
                <w:b/>
                <w:bCs/>
              </w:rPr>
              <w:t>Information</w:t>
            </w:r>
          </w:p>
        </w:tc>
      </w:tr>
      <w:tr w:rsidR="006B03D9" w:rsidRPr="00A67F27" w14:paraId="4B5B469E" w14:textId="77777777" w:rsidTr="00EB632D">
        <w:trPr>
          <w:cantSplit/>
          <w:trHeight w:val="830"/>
        </w:trPr>
        <w:tc>
          <w:tcPr>
            <w:tcW w:w="3598" w:type="dxa"/>
            <w:tcBorders>
              <w:top w:val="single" w:sz="6" w:space="0" w:color="auto"/>
              <w:left w:val="single" w:sz="6" w:space="0" w:color="auto"/>
              <w:bottom w:val="single" w:sz="6" w:space="0" w:color="auto"/>
              <w:right w:val="single" w:sz="6" w:space="0" w:color="auto"/>
            </w:tcBorders>
          </w:tcPr>
          <w:p w14:paraId="4C7ACC18" w14:textId="77777777" w:rsidR="006B03D9" w:rsidRPr="00A67F27" w:rsidRDefault="006B03D9" w:rsidP="00EB632D">
            <w:pPr>
              <w:tabs>
                <w:tab w:val="left" w:pos="2610"/>
              </w:tabs>
              <w:spacing w:before="60" w:after="60"/>
              <w:ind w:left="0" w:firstLine="0"/>
              <w:rPr>
                <w:rFonts w:asciiTheme="majorBidi" w:hAnsiTheme="majorBidi" w:cstheme="majorBidi"/>
              </w:rPr>
            </w:pPr>
            <w:r w:rsidRPr="00A67F27">
              <w:rPr>
                <w:rFonts w:asciiTheme="majorBidi" w:hAnsiTheme="majorBidi" w:cstheme="majorBidi"/>
              </w:rPr>
              <w:t>Nom du Maître de l’Ouvrage :</w:t>
            </w:r>
          </w:p>
        </w:tc>
        <w:tc>
          <w:tcPr>
            <w:tcW w:w="5762" w:type="dxa"/>
            <w:tcBorders>
              <w:top w:val="single" w:sz="6" w:space="0" w:color="auto"/>
              <w:left w:val="nil"/>
              <w:bottom w:val="single" w:sz="6" w:space="0" w:color="auto"/>
              <w:right w:val="single" w:sz="6" w:space="0" w:color="auto"/>
            </w:tcBorders>
          </w:tcPr>
          <w:p w14:paraId="1DF49740" w14:textId="77777777" w:rsidR="006B03D9" w:rsidRPr="00A67F27" w:rsidRDefault="006B03D9" w:rsidP="00EB632D">
            <w:pPr>
              <w:tabs>
                <w:tab w:val="left" w:pos="2610"/>
              </w:tabs>
              <w:spacing w:before="60" w:after="60"/>
              <w:ind w:left="0" w:firstLine="0"/>
              <w:rPr>
                <w:rFonts w:asciiTheme="majorBidi" w:hAnsiTheme="majorBidi" w:cstheme="majorBidi"/>
              </w:rPr>
            </w:pPr>
          </w:p>
        </w:tc>
      </w:tr>
      <w:tr w:rsidR="006B03D9" w:rsidRPr="00A67F27" w14:paraId="647D08AF" w14:textId="77777777" w:rsidTr="00EB632D">
        <w:trPr>
          <w:cantSplit/>
        </w:trPr>
        <w:tc>
          <w:tcPr>
            <w:tcW w:w="3598" w:type="dxa"/>
            <w:tcBorders>
              <w:top w:val="single" w:sz="6" w:space="0" w:color="auto"/>
              <w:left w:val="single" w:sz="6" w:space="0" w:color="auto"/>
              <w:bottom w:val="single" w:sz="6" w:space="0" w:color="auto"/>
              <w:right w:val="single" w:sz="6" w:space="0" w:color="auto"/>
            </w:tcBorders>
          </w:tcPr>
          <w:p w14:paraId="07B10979" w14:textId="77777777" w:rsidR="006B03D9" w:rsidRPr="00A67F27" w:rsidRDefault="006B03D9" w:rsidP="00EB632D">
            <w:pPr>
              <w:tabs>
                <w:tab w:val="left" w:pos="2610"/>
              </w:tabs>
              <w:spacing w:before="60" w:after="60"/>
              <w:ind w:left="0" w:firstLine="0"/>
              <w:rPr>
                <w:rFonts w:asciiTheme="majorBidi" w:hAnsiTheme="majorBidi" w:cstheme="majorBidi"/>
              </w:rPr>
            </w:pPr>
            <w:r w:rsidRPr="00A67F27">
              <w:rPr>
                <w:rFonts w:asciiTheme="majorBidi" w:hAnsiTheme="majorBidi" w:cstheme="majorBidi"/>
              </w:rPr>
              <w:t>Adresse :</w:t>
            </w:r>
          </w:p>
          <w:p w14:paraId="2DC513EA" w14:textId="77777777" w:rsidR="006B03D9" w:rsidRPr="00A67F27" w:rsidRDefault="006B03D9" w:rsidP="00EB632D">
            <w:pPr>
              <w:tabs>
                <w:tab w:val="left" w:pos="2610"/>
              </w:tabs>
              <w:spacing w:before="60" w:after="60"/>
              <w:ind w:left="0" w:firstLine="0"/>
              <w:rPr>
                <w:rFonts w:asciiTheme="majorBidi" w:hAnsiTheme="majorBidi" w:cstheme="majorBidi"/>
              </w:rPr>
            </w:pPr>
          </w:p>
          <w:p w14:paraId="7C99D13E" w14:textId="77777777" w:rsidR="006B03D9" w:rsidRPr="00A67F27" w:rsidRDefault="006B03D9" w:rsidP="00EB632D">
            <w:pPr>
              <w:tabs>
                <w:tab w:val="left" w:pos="2610"/>
              </w:tabs>
              <w:spacing w:before="60" w:after="60"/>
              <w:ind w:left="0" w:firstLine="0"/>
              <w:rPr>
                <w:rFonts w:asciiTheme="majorBidi" w:hAnsiTheme="majorBidi" w:cstheme="majorBidi"/>
              </w:rPr>
            </w:pPr>
            <w:r w:rsidRPr="00A67F27">
              <w:rPr>
                <w:rFonts w:asciiTheme="majorBidi" w:hAnsiTheme="majorBidi" w:cstheme="majorBidi"/>
              </w:rPr>
              <w:t>Numéro de téléphone/télécopie :</w:t>
            </w:r>
          </w:p>
          <w:p w14:paraId="33FD448A" w14:textId="77777777" w:rsidR="006B03D9" w:rsidRPr="00A67F27" w:rsidRDefault="006B03D9" w:rsidP="00EB632D">
            <w:pPr>
              <w:tabs>
                <w:tab w:val="left" w:pos="2610"/>
              </w:tabs>
              <w:spacing w:before="60" w:after="60"/>
              <w:ind w:left="0" w:firstLine="0"/>
              <w:rPr>
                <w:rFonts w:asciiTheme="majorBidi" w:hAnsiTheme="majorBidi" w:cstheme="majorBidi"/>
              </w:rPr>
            </w:pPr>
          </w:p>
          <w:p w14:paraId="163B3648" w14:textId="77777777" w:rsidR="006B03D9" w:rsidRPr="00A67F27" w:rsidRDefault="006B03D9" w:rsidP="00EB632D">
            <w:pPr>
              <w:tabs>
                <w:tab w:val="left" w:pos="2610"/>
              </w:tabs>
              <w:spacing w:before="60" w:after="60"/>
              <w:ind w:left="0" w:firstLine="0"/>
              <w:rPr>
                <w:rFonts w:asciiTheme="majorBidi" w:hAnsiTheme="majorBidi" w:cstheme="majorBidi"/>
              </w:rPr>
            </w:pPr>
            <w:r w:rsidRPr="00A67F27">
              <w:rPr>
                <w:rFonts w:asciiTheme="majorBidi" w:hAnsiTheme="majorBidi" w:cstheme="majorBidi"/>
              </w:rPr>
              <w:t>Adresse électronique :</w:t>
            </w:r>
          </w:p>
        </w:tc>
        <w:tc>
          <w:tcPr>
            <w:tcW w:w="5762" w:type="dxa"/>
            <w:tcBorders>
              <w:top w:val="single" w:sz="6" w:space="0" w:color="auto"/>
              <w:left w:val="nil"/>
              <w:bottom w:val="single" w:sz="6" w:space="0" w:color="auto"/>
              <w:right w:val="single" w:sz="6" w:space="0" w:color="auto"/>
            </w:tcBorders>
          </w:tcPr>
          <w:p w14:paraId="789E1AF4" w14:textId="77777777" w:rsidR="006B03D9" w:rsidRPr="00A67F27" w:rsidRDefault="006B03D9" w:rsidP="00EB632D">
            <w:pPr>
              <w:tabs>
                <w:tab w:val="left" w:pos="2610"/>
              </w:tabs>
              <w:spacing w:before="60" w:after="60"/>
              <w:ind w:left="0" w:firstLine="0"/>
              <w:rPr>
                <w:rFonts w:asciiTheme="majorBidi" w:hAnsiTheme="majorBidi" w:cstheme="majorBidi"/>
              </w:rPr>
            </w:pPr>
          </w:p>
        </w:tc>
      </w:tr>
    </w:tbl>
    <w:p w14:paraId="4C52264D" w14:textId="77777777" w:rsidR="006B03D9" w:rsidRPr="00A67F27" w:rsidRDefault="006B03D9" w:rsidP="006B03D9">
      <w:pPr>
        <w:tabs>
          <w:tab w:val="left" w:pos="2610"/>
        </w:tabs>
        <w:spacing w:before="120"/>
        <w:rPr>
          <w:rFonts w:asciiTheme="majorBidi" w:hAnsiTheme="majorBidi" w:cstheme="majorBidi"/>
          <w:szCs w:val="24"/>
        </w:rPr>
      </w:pPr>
    </w:p>
    <w:p w14:paraId="6F9FFBE1" w14:textId="648E90B4" w:rsidR="006B03D9" w:rsidRPr="00A67F27" w:rsidRDefault="006B03D9" w:rsidP="006B03D9">
      <w:pPr>
        <w:tabs>
          <w:tab w:val="left" w:pos="2610"/>
        </w:tabs>
        <w:spacing w:before="120"/>
        <w:rPr>
          <w:rFonts w:asciiTheme="majorBidi" w:hAnsiTheme="majorBidi" w:cstheme="majorBidi"/>
          <w:szCs w:val="24"/>
        </w:rPr>
      </w:pPr>
      <w:r w:rsidRPr="00A67F27">
        <w:rPr>
          <w:rFonts w:asciiTheme="majorBidi" w:hAnsiTheme="majorBidi" w:cstheme="majorBidi"/>
          <w:szCs w:val="24"/>
        </w:rPr>
        <w:t>2. Activité clé No 2</w:t>
      </w:r>
    </w:p>
    <w:p w14:paraId="5339138B" w14:textId="67424353" w:rsidR="006B03D9" w:rsidRPr="00A67F27" w:rsidRDefault="006B03D9" w:rsidP="006B03D9">
      <w:pPr>
        <w:tabs>
          <w:tab w:val="left" w:pos="2610"/>
        </w:tabs>
        <w:spacing w:before="120"/>
        <w:rPr>
          <w:rFonts w:asciiTheme="majorBidi" w:hAnsiTheme="majorBidi" w:cstheme="majorBidi"/>
          <w:szCs w:val="24"/>
        </w:rPr>
      </w:pPr>
      <w:r w:rsidRPr="00A67F27">
        <w:rPr>
          <w:rFonts w:asciiTheme="majorBidi" w:hAnsiTheme="majorBidi" w:cstheme="majorBidi"/>
          <w:szCs w:val="24"/>
        </w:rPr>
        <w:t>3. ……….</w:t>
      </w:r>
    </w:p>
    <w:p w14:paraId="741DB4D8" w14:textId="77777777" w:rsidR="006B03D9" w:rsidRPr="00A67F27" w:rsidRDefault="006B03D9" w:rsidP="006B03D9">
      <w:pPr>
        <w:tabs>
          <w:tab w:val="left" w:pos="2610"/>
        </w:tabs>
        <w:spacing w:before="120"/>
        <w:rPr>
          <w:rFonts w:asciiTheme="majorBidi" w:hAnsiTheme="majorBidi" w:cstheme="majorBidi"/>
          <w:b/>
          <w:sz w:val="32"/>
        </w:rPr>
      </w:pPr>
    </w:p>
    <w:tbl>
      <w:tblPr>
        <w:tblW w:w="9460" w:type="dxa"/>
        <w:tblInd w:w="72" w:type="dxa"/>
        <w:tblLayout w:type="fixed"/>
        <w:tblCellMar>
          <w:left w:w="72" w:type="dxa"/>
          <w:right w:w="72" w:type="dxa"/>
        </w:tblCellMar>
        <w:tblLook w:val="0000" w:firstRow="0" w:lastRow="0" w:firstColumn="0" w:lastColumn="0" w:noHBand="0" w:noVBand="0"/>
      </w:tblPr>
      <w:tblGrid>
        <w:gridCol w:w="3598"/>
        <w:gridCol w:w="5862"/>
      </w:tblGrid>
      <w:tr w:rsidR="00E816A5" w:rsidRPr="00A67F27" w14:paraId="48BC37EE" w14:textId="77777777" w:rsidTr="006B03D9">
        <w:trPr>
          <w:cantSplit/>
          <w:tblHeader/>
        </w:trPr>
        <w:tc>
          <w:tcPr>
            <w:tcW w:w="3598" w:type="dxa"/>
            <w:tcBorders>
              <w:top w:val="single" w:sz="6" w:space="0" w:color="auto"/>
              <w:left w:val="single" w:sz="6" w:space="0" w:color="auto"/>
              <w:bottom w:val="single" w:sz="6" w:space="0" w:color="auto"/>
              <w:right w:val="single" w:sz="6" w:space="0" w:color="auto"/>
            </w:tcBorders>
          </w:tcPr>
          <w:p w14:paraId="758172B4" w14:textId="77777777" w:rsidR="00E816A5" w:rsidRPr="00A67F27" w:rsidRDefault="00E816A5" w:rsidP="00BE4B6F">
            <w:pPr>
              <w:tabs>
                <w:tab w:val="left" w:pos="2610"/>
              </w:tabs>
              <w:spacing w:before="60" w:after="60"/>
              <w:rPr>
                <w:rFonts w:asciiTheme="majorBidi" w:hAnsiTheme="majorBidi" w:cstheme="majorBidi"/>
                <w:spacing w:val="-2"/>
                <w:sz w:val="28"/>
              </w:rPr>
            </w:pPr>
          </w:p>
        </w:tc>
        <w:tc>
          <w:tcPr>
            <w:tcW w:w="5862" w:type="dxa"/>
            <w:tcBorders>
              <w:top w:val="single" w:sz="6" w:space="0" w:color="auto"/>
              <w:left w:val="single" w:sz="6" w:space="0" w:color="auto"/>
              <w:bottom w:val="single" w:sz="6" w:space="0" w:color="auto"/>
              <w:right w:val="single" w:sz="6" w:space="0" w:color="auto"/>
            </w:tcBorders>
          </w:tcPr>
          <w:p w14:paraId="021A5F07" w14:textId="77777777" w:rsidR="00E816A5" w:rsidRPr="00A67F27" w:rsidRDefault="00E816A5" w:rsidP="00BE4B6F">
            <w:pPr>
              <w:tabs>
                <w:tab w:val="left" w:pos="2610"/>
              </w:tabs>
              <w:spacing w:before="60" w:after="60"/>
              <w:ind w:left="288"/>
              <w:jc w:val="center"/>
              <w:rPr>
                <w:rFonts w:asciiTheme="majorBidi" w:hAnsiTheme="majorBidi" w:cstheme="majorBidi"/>
                <w:b/>
                <w:bCs/>
                <w:spacing w:val="-2"/>
                <w:sz w:val="28"/>
              </w:rPr>
            </w:pPr>
            <w:r w:rsidRPr="00A67F27">
              <w:rPr>
                <w:rFonts w:asciiTheme="majorBidi" w:hAnsiTheme="majorBidi" w:cstheme="majorBidi"/>
                <w:b/>
                <w:bCs/>
              </w:rPr>
              <w:t>Information</w:t>
            </w:r>
          </w:p>
        </w:tc>
      </w:tr>
      <w:tr w:rsidR="00E816A5" w:rsidRPr="00A67F27" w14:paraId="6AA98CFC" w14:textId="77777777" w:rsidTr="006B03D9">
        <w:trPr>
          <w:cantSplit/>
          <w:trHeight w:val="699"/>
        </w:trPr>
        <w:tc>
          <w:tcPr>
            <w:tcW w:w="3598" w:type="dxa"/>
            <w:tcBorders>
              <w:top w:val="single" w:sz="6" w:space="0" w:color="auto"/>
              <w:left w:val="single" w:sz="6" w:space="0" w:color="auto"/>
              <w:bottom w:val="single" w:sz="6" w:space="0" w:color="auto"/>
              <w:right w:val="nil"/>
            </w:tcBorders>
          </w:tcPr>
          <w:p w14:paraId="77BA7BA1" w14:textId="2E6D02A1" w:rsidR="00E816A5" w:rsidRPr="00A67F27" w:rsidRDefault="00E816A5" w:rsidP="006B03D9">
            <w:pPr>
              <w:keepNext/>
              <w:tabs>
                <w:tab w:val="left" w:pos="2610"/>
              </w:tabs>
              <w:spacing w:before="60" w:after="60"/>
              <w:ind w:left="0" w:firstLine="0"/>
              <w:jc w:val="left"/>
              <w:rPr>
                <w:rFonts w:asciiTheme="majorBidi" w:hAnsiTheme="majorBidi" w:cstheme="majorBidi"/>
                <w:spacing w:val="-2"/>
              </w:rPr>
            </w:pPr>
            <w:r w:rsidRPr="00A67F27">
              <w:rPr>
                <w:rFonts w:asciiTheme="majorBidi" w:hAnsiTheme="majorBidi" w:cstheme="majorBidi"/>
              </w:rPr>
              <w:t xml:space="preserve">Description des activités principales conformément au </w:t>
            </w:r>
            <w:r w:rsidR="006B03D9" w:rsidRPr="00A67F27">
              <w:rPr>
                <w:rFonts w:asciiTheme="majorBidi" w:hAnsiTheme="majorBidi" w:cstheme="majorBidi"/>
              </w:rPr>
              <w:br/>
            </w:r>
            <w:r w:rsidRPr="00A67F27">
              <w:rPr>
                <w:rFonts w:asciiTheme="majorBidi" w:hAnsiTheme="majorBidi" w:cstheme="majorBidi"/>
              </w:rPr>
              <w:t xml:space="preserve">Sous-critère 4.2 (b) de la </w:t>
            </w:r>
            <w:r w:rsidR="006B03D9" w:rsidRPr="00A67F27">
              <w:rPr>
                <w:rFonts w:asciiTheme="majorBidi" w:hAnsiTheme="majorBidi" w:cstheme="majorBidi"/>
              </w:rPr>
              <w:br/>
            </w:r>
            <w:r w:rsidRPr="00A67F27">
              <w:rPr>
                <w:rFonts w:asciiTheme="majorBidi" w:hAnsiTheme="majorBidi" w:cstheme="majorBidi"/>
              </w:rPr>
              <w:t>Section III</w:t>
            </w:r>
            <w:r w:rsidR="009B2302" w:rsidRPr="00A67F27">
              <w:rPr>
                <w:rFonts w:asciiTheme="majorBidi" w:hAnsiTheme="majorBidi" w:cstheme="majorBidi"/>
              </w:rPr>
              <w:t> :</w:t>
            </w:r>
            <w:r w:rsidRPr="00A67F27">
              <w:rPr>
                <w:rFonts w:asciiTheme="majorBidi" w:hAnsiTheme="majorBidi" w:cstheme="majorBidi"/>
              </w:rPr>
              <w:t xml:space="preserve"> </w:t>
            </w:r>
          </w:p>
        </w:tc>
        <w:tc>
          <w:tcPr>
            <w:tcW w:w="5862" w:type="dxa"/>
            <w:tcBorders>
              <w:top w:val="single" w:sz="6" w:space="0" w:color="auto"/>
              <w:left w:val="single" w:sz="6" w:space="0" w:color="auto"/>
              <w:bottom w:val="single" w:sz="6" w:space="0" w:color="auto"/>
              <w:right w:val="single" w:sz="6" w:space="0" w:color="auto"/>
            </w:tcBorders>
          </w:tcPr>
          <w:p w14:paraId="4825BBFC" w14:textId="77777777" w:rsidR="00E816A5" w:rsidRPr="00A67F27" w:rsidRDefault="00E816A5" w:rsidP="00BE4B6F">
            <w:pPr>
              <w:tabs>
                <w:tab w:val="left" w:pos="2610"/>
              </w:tabs>
              <w:spacing w:before="60" w:after="60"/>
              <w:rPr>
                <w:rFonts w:asciiTheme="majorBidi" w:hAnsiTheme="majorBidi" w:cstheme="majorBidi"/>
                <w:spacing w:val="-2"/>
              </w:rPr>
            </w:pPr>
          </w:p>
        </w:tc>
      </w:tr>
      <w:tr w:rsidR="00E816A5" w:rsidRPr="00A67F27" w14:paraId="5525D328" w14:textId="77777777" w:rsidTr="006B03D9">
        <w:trPr>
          <w:cantSplit/>
          <w:trHeight w:val="699"/>
        </w:trPr>
        <w:tc>
          <w:tcPr>
            <w:tcW w:w="3598" w:type="dxa"/>
            <w:tcBorders>
              <w:top w:val="single" w:sz="6" w:space="0" w:color="auto"/>
              <w:left w:val="single" w:sz="6" w:space="0" w:color="auto"/>
              <w:bottom w:val="single" w:sz="6" w:space="0" w:color="auto"/>
              <w:right w:val="nil"/>
            </w:tcBorders>
          </w:tcPr>
          <w:p w14:paraId="0592829B" w14:textId="77777777" w:rsidR="00E816A5" w:rsidRPr="00A67F27" w:rsidRDefault="00E816A5" w:rsidP="00BE4B6F">
            <w:pPr>
              <w:tabs>
                <w:tab w:val="left" w:pos="2610"/>
              </w:tabs>
              <w:spacing w:before="60" w:after="60"/>
              <w:rPr>
                <w:rFonts w:asciiTheme="majorBidi" w:hAnsiTheme="majorBidi" w:cstheme="majorBidi"/>
              </w:rPr>
            </w:pPr>
          </w:p>
        </w:tc>
        <w:tc>
          <w:tcPr>
            <w:tcW w:w="5862" w:type="dxa"/>
            <w:tcBorders>
              <w:top w:val="single" w:sz="6" w:space="0" w:color="auto"/>
              <w:left w:val="single" w:sz="6" w:space="0" w:color="auto"/>
              <w:bottom w:val="single" w:sz="6" w:space="0" w:color="auto"/>
              <w:right w:val="single" w:sz="6" w:space="0" w:color="auto"/>
            </w:tcBorders>
          </w:tcPr>
          <w:p w14:paraId="60A92CBA" w14:textId="77777777" w:rsidR="00E816A5" w:rsidRPr="00A67F27" w:rsidRDefault="00E816A5" w:rsidP="00BE4B6F">
            <w:pPr>
              <w:tabs>
                <w:tab w:val="left" w:pos="2610"/>
              </w:tabs>
              <w:spacing w:before="60" w:after="60"/>
              <w:rPr>
                <w:rFonts w:asciiTheme="majorBidi" w:hAnsiTheme="majorBidi" w:cstheme="majorBidi"/>
                <w:spacing w:val="-2"/>
              </w:rPr>
            </w:pPr>
          </w:p>
        </w:tc>
      </w:tr>
      <w:tr w:rsidR="00E816A5" w:rsidRPr="00A67F27" w14:paraId="04872F27" w14:textId="77777777" w:rsidTr="006B03D9">
        <w:trPr>
          <w:cantSplit/>
          <w:trHeight w:val="699"/>
        </w:trPr>
        <w:tc>
          <w:tcPr>
            <w:tcW w:w="3598" w:type="dxa"/>
            <w:tcBorders>
              <w:top w:val="single" w:sz="6" w:space="0" w:color="auto"/>
              <w:left w:val="single" w:sz="6" w:space="0" w:color="auto"/>
              <w:bottom w:val="single" w:sz="6" w:space="0" w:color="auto"/>
              <w:right w:val="nil"/>
            </w:tcBorders>
          </w:tcPr>
          <w:p w14:paraId="27227B7A" w14:textId="77777777" w:rsidR="00E816A5" w:rsidRPr="00A67F27" w:rsidRDefault="00E816A5" w:rsidP="00BE4B6F">
            <w:pPr>
              <w:tabs>
                <w:tab w:val="left" w:pos="2610"/>
              </w:tabs>
              <w:spacing w:before="60" w:after="60"/>
              <w:rPr>
                <w:rFonts w:asciiTheme="majorBidi" w:hAnsiTheme="majorBidi" w:cstheme="majorBidi"/>
                <w:i/>
                <w:spacing w:val="-2"/>
              </w:rPr>
            </w:pPr>
          </w:p>
        </w:tc>
        <w:tc>
          <w:tcPr>
            <w:tcW w:w="5862" w:type="dxa"/>
            <w:tcBorders>
              <w:top w:val="single" w:sz="6" w:space="0" w:color="auto"/>
              <w:left w:val="single" w:sz="6" w:space="0" w:color="auto"/>
              <w:bottom w:val="single" w:sz="6" w:space="0" w:color="auto"/>
              <w:right w:val="single" w:sz="6" w:space="0" w:color="auto"/>
            </w:tcBorders>
          </w:tcPr>
          <w:p w14:paraId="70E7B7E8" w14:textId="77777777" w:rsidR="00E816A5" w:rsidRPr="00A67F27" w:rsidRDefault="00E816A5" w:rsidP="00BE4B6F">
            <w:pPr>
              <w:tabs>
                <w:tab w:val="left" w:pos="2610"/>
              </w:tabs>
              <w:spacing w:before="60" w:after="60"/>
              <w:rPr>
                <w:rFonts w:asciiTheme="majorBidi" w:hAnsiTheme="majorBidi" w:cstheme="majorBidi"/>
                <w:spacing w:val="-2"/>
              </w:rPr>
            </w:pPr>
          </w:p>
        </w:tc>
      </w:tr>
      <w:tr w:rsidR="00E816A5" w:rsidRPr="00A67F27" w14:paraId="58E876B5" w14:textId="77777777" w:rsidTr="006B03D9">
        <w:trPr>
          <w:cantSplit/>
          <w:trHeight w:val="699"/>
        </w:trPr>
        <w:tc>
          <w:tcPr>
            <w:tcW w:w="3598" w:type="dxa"/>
            <w:tcBorders>
              <w:top w:val="single" w:sz="6" w:space="0" w:color="auto"/>
              <w:left w:val="single" w:sz="6" w:space="0" w:color="auto"/>
              <w:bottom w:val="single" w:sz="6" w:space="0" w:color="auto"/>
              <w:right w:val="nil"/>
            </w:tcBorders>
          </w:tcPr>
          <w:p w14:paraId="5128A5FC" w14:textId="77777777" w:rsidR="00E816A5" w:rsidRPr="00A67F27" w:rsidRDefault="00E816A5" w:rsidP="00BE4B6F">
            <w:pPr>
              <w:tabs>
                <w:tab w:val="left" w:pos="2610"/>
              </w:tabs>
              <w:spacing w:before="60" w:after="60"/>
              <w:rPr>
                <w:rFonts w:asciiTheme="majorBidi" w:hAnsiTheme="majorBidi" w:cstheme="majorBidi"/>
                <w:i/>
                <w:spacing w:val="-2"/>
              </w:rPr>
            </w:pPr>
          </w:p>
        </w:tc>
        <w:tc>
          <w:tcPr>
            <w:tcW w:w="5862" w:type="dxa"/>
            <w:tcBorders>
              <w:top w:val="single" w:sz="6" w:space="0" w:color="auto"/>
              <w:left w:val="single" w:sz="6" w:space="0" w:color="auto"/>
              <w:bottom w:val="single" w:sz="6" w:space="0" w:color="auto"/>
              <w:right w:val="single" w:sz="6" w:space="0" w:color="auto"/>
            </w:tcBorders>
          </w:tcPr>
          <w:p w14:paraId="1F74A4F1" w14:textId="77777777" w:rsidR="00E816A5" w:rsidRPr="00A67F27" w:rsidRDefault="00E816A5" w:rsidP="00BE4B6F">
            <w:pPr>
              <w:tabs>
                <w:tab w:val="left" w:pos="2610"/>
              </w:tabs>
              <w:spacing w:before="60" w:after="60"/>
              <w:rPr>
                <w:rFonts w:asciiTheme="majorBidi" w:hAnsiTheme="majorBidi" w:cstheme="majorBidi"/>
                <w:spacing w:val="-2"/>
              </w:rPr>
            </w:pPr>
          </w:p>
        </w:tc>
      </w:tr>
      <w:tr w:rsidR="00E816A5" w:rsidRPr="00A67F27" w14:paraId="44C39C97" w14:textId="77777777" w:rsidTr="006B03D9">
        <w:trPr>
          <w:cantSplit/>
          <w:trHeight w:val="699"/>
        </w:trPr>
        <w:tc>
          <w:tcPr>
            <w:tcW w:w="3598" w:type="dxa"/>
            <w:tcBorders>
              <w:top w:val="single" w:sz="6" w:space="0" w:color="auto"/>
              <w:left w:val="single" w:sz="6" w:space="0" w:color="auto"/>
              <w:bottom w:val="single" w:sz="6" w:space="0" w:color="auto"/>
              <w:right w:val="nil"/>
            </w:tcBorders>
          </w:tcPr>
          <w:p w14:paraId="691EF0B1" w14:textId="77777777" w:rsidR="00E816A5" w:rsidRPr="00A67F27" w:rsidRDefault="00E816A5" w:rsidP="00BE4B6F">
            <w:pPr>
              <w:tabs>
                <w:tab w:val="left" w:pos="2610"/>
              </w:tabs>
              <w:spacing w:before="60" w:after="60"/>
              <w:rPr>
                <w:rFonts w:asciiTheme="majorBidi" w:hAnsiTheme="majorBidi" w:cstheme="majorBidi"/>
                <w:i/>
                <w:spacing w:val="-2"/>
              </w:rPr>
            </w:pPr>
          </w:p>
        </w:tc>
        <w:tc>
          <w:tcPr>
            <w:tcW w:w="5862" w:type="dxa"/>
            <w:tcBorders>
              <w:top w:val="single" w:sz="6" w:space="0" w:color="auto"/>
              <w:left w:val="single" w:sz="6" w:space="0" w:color="auto"/>
              <w:bottom w:val="single" w:sz="6" w:space="0" w:color="auto"/>
              <w:right w:val="single" w:sz="6" w:space="0" w:color="auto"/>
            </w:tcBorders>
          </w:tcPr>
          <w:p w14:paraId="6304A891" w14:textId="77777777" w:rsidR="00E816A5" w:rsidRPr="00A67F27" w:rsidRDefault="00E816A5" w:rsidP="00BE4B6F">
            <w:pPr>
              <w:tabs>
                <w:tab w:val="left" w:pos="2610"/>
              </w:tabs>
              <w:spacing w:before="60" w:after="60"/>
              <w:rPr>
                <w:rFonts w:asciiTheme="majorBidi" w:hAnsiTheme="majorBidi" w:cstheme="majorBidi"/>
                <w:spacing w:val="-2"/>
              </w:rPr>
            </w:pPr>
          </w:p>
        </w:tc>
      </w:tr>
      <w:tr w:rsidR="00E816A5" w:rsidRPr="00A67F27" w14:paraId="312109D5" w14:textId="77777777" w:rsidTr="006B03D9">
        <w:trPr>
          <w:cantSplit/>
          <w:trHeight w:val="699"/>
        </w:trPr>
        <w:tc>
          <w:tcPr>
            <w:tcW w:w="3598" w:type="dxa"/>
            <w:tcBorders>
              <w:top w:val="single" w:sz="6" w:space="0" w:color="auto"/>
              <w:left w:val="single" w:sz="6" w:space="0" w:color="auto"/>
              <w:bottom w:val="single" w:sz="6" w:space="0" w:color="auto"/>
              <w:right w:val="nil"/>
            </w:tcBorders>
          </w:tcPr>
          <w:p w14:paraId="06BA4E69" w14:textId="77777777" w:rsidR="00E816A5" w:rsidRPr="00A67F27" w:rsidRDefault="00E816A5" w:rsidP="00BE4B6F">
            <w:pPr>
              <w:tabs>
                <w:tab w:val="left" w:pos="2610"/>
              </w:tabs>
              <w:spacing w:before="60" w:after="60"/>
              <w:rPr>
                <w:rFonts w:asciiTheme="majorBidi" w:hAnsiTheme="majorBidi" w:cstheme="majorBidi"/>
                <w:i/>
              </w:rPr>
            </w:pPr>
          </w:p>
        </w:tc>
        <w:tc>
          <w:tcPr>
            <w:tcW w:w="5862" w:type="dxa"/>
            <w:tcBorders>
              <w:top w:val="single" w:sz="6" w:space="0" w:color="auto"/>
              <w:left w:val="single" w:sz="6" w:space="0" w:color="auto"/>
              <w:bottom w:val="single" w:sz="6" w:space="0" w:color="auto"/>
              <w:right w:val="single" w:sz="6" w:space="0" w:color="auto"/>
            </w:tcBorders>
          </w:tcPr>
          <w:p w14:paraId="345EBA62" w14:textId="77777777" w:rsidR="00E816A5" w:rsidRPr="00A67F27" w:rsidRDefault="00E816A5" w:rsidP="00BE4B6F">
            <w:pPr>
              <w:tabs>
                <w:tab w:val="left" w:pos="2610"/>
              </w:tabs>
              <w:spacing w:before="60" w:after="60"/>
              <w:rPr>
                <w:rFonts w:asciiTheme="majorBidi" w:hAnsiTheme="majorBidi" w:cstheme="majorBidi"/>
                <w:spacing w:val="-2"/>
              </w:rPr>
            </w:pPr>
          </w:p>
        </w:tc>
      </w:tr>
    </w:tbl>
    <w:p w14:paraId="5B830E1D" w14:textId="77777777" w:rsidR="00E816A5" w:rsidRPr="00A67F27" w:rsidRDefault="00E816A5" w:rsidP="00E816A5">
      <w:pPr>
        <w:tabs>
          <w:tab w:val="left" w:pos="2610"/>
        </w:tabs>
        <w:rPr>
          <w:rFonts w:asciiTheme="majorBidi" w:hAnsiTheme="majorBidi" w:cstheme="majorBidi"/>
        </w:rPr>
      </w:pPr>
    </w:p>
    <w:p w14:paraId="7F31A890" w14:textId="77777777" w:rsidR="00B60B01" w:rsidRPr="00A67F27" w:rsidRDefault="00B60B01">
      <w:pPr>
        <w:jc w:val="left"/>
        <w:rPr>
          <w:rFonts w:asciiTheme="majorBidi" w:hAnsiTheme="majorBidi" w:cstheme="majorBidi"/>
          <w:szCs w:val="24"/>
        </w:rPr>
      </w:pPr>
    </w:p>
    <w:p w14:paraId="2F1C9A6B" w14:textId="77777777" w:rsidR="009D2E8A" w:rsidRPr="00A67F27" w:rsidRDefault="009D2E8A">
      <w:pPr>
        <w:jc w:val="left"/>
        <w:rPr>
          <w:rFonts w:asciiTheme="majorBidi" w:hAnsiTheme="majorBidi" w:cstheme="majorBidi"/>
          <w:szCs w:val="24"/>
        </w:rPr>
        <w:sectPr w:rsidR="009D2E8A" w:rsidRPr="00A67F27" w:rsidSect="004B0AEE">
          <w:headerReference w:type="even" r:id="rId26"/>
          <w:headerReference w:type="default" r:id="rId27"/>
          <w:headerReference w:type="first" r:id="rId28"/>
          <w:footnotePr>
            <w:numRestart w:val="eachPage"/>
          </w:footnotePr>
          <w:endnotePr>
            <w:numFmt w:val="decimal"/>
          </w:endnotePr>
          <w:pgSz w:w="12240" w:h="15840" w:code="1"/>
          <w:pgMar w:top="1418" w:right="1750" w:bottom="1418" w:left="1701" w:header="720" w:footer="720" w:gutter="0"/>
          <w:cols w:space="720"/>
          <w:titlePg/>
        </w:sectPr>
      </w:pPr>
    </w:p>
    <w:p w14:paraId="5EBD0E8A" w14:textId="77777777" w:rsidR="000A450A" w:rsidRPr="00A67F27" w:rsidRDefault="000A450A" w:rsidP="00641026">
      <w:pPr>
        <w:pStyle w:val="Sous-titre"/>
        <w:spacing w:before="120" w:after="240"/>
        <w:ind w:left="180" w:right="288" w:firstLine="0"/>
        <w:rPr>
          <w:rFonts w:cs="Arial"/>
          <w:sz w:val="36"/>
          <w:lang w:val="fr-FR" w:eastAsia="en-US"/>
        </w:rPr>
      </w:pPr>
      <w:bookmarkStart w:id="556" w:name="_Toc77392473"/>
      <w:bookmarkStart w:id="557" w:name="_Toc77493054"/>
      <w:bookmarkStart w:id="558" w:name="_Toc156027996"/>
      <w:bookmarkStart w:id="559" w:name="_Toc156372852"/>
      <w:bookmarkStart w:id="560" w:name="_Toc326657865"/>
      <w:bookmarkStart w:id="561" w:name="_Toc483210557"/>
      <w:bookmarkStart w:id="562" w:name="_Toc487641845"/>
      <w:bookmarkStart w:id="563" w:name="_Toc438266926"/>
      <w:bookmarkStart w:id="564" w:name="_Toc438267900"/>
      <w:bookmarkStart w:id="565" w:name="_Toc438366668"/>
      <w:bookmarkStart w:id="566" w:name="_Toc438954446"/>
      <w:r w:rsidRPr="00A67F27">
        <w:rPr>
          <w:rFonts w:cs="Arial"/>
          <w:sz w:val="36"/>
          <w:lang w:val="fr-FR" w:eastAsia="en-US"/>
        </w:rPr>
        <w:t>Section V. Pays éligibles</w:t>
      </w:r>
      <w:bookmarkEnd w:id="556"/>
      <w:bookmarkEnd w:id="557"/>
      <w:bookmarkEnd w:id="558"/>
      <w:bookmarkEnd w:id="559"/>
      <w:bookmarkEnd w:id="560"/>
      <w:bookmarkEnd w:id="561"/>
      <w:bookmarkEnd w:id="562"/>
    </w:p>
    <w:p w14:paraId="15E3B414" w14:textId="77777777" w:rsidR="000A450A" w:rsidRPr="00A67F27" w:rsidRDefault="000A450A">
      <w:pPr>
        <w:jc w:val="center"/>
        <w:rPr>
          <w:rFonts w:asciiTheme="majorBidi" w:hAnsiTheme="majorBidi" w:cstheme="majorBidi"/>
          <w:sz w:val="40"/>
        </w:rPr>
      </w:pPr>
    </w:p>
    <w:p w14:paraId="5B8024FA" w14:textId="36C4E959" w:rsidR="004F75DC" w:rsidRPr="00A67F27" w:rsidRDefault="004F75DC" w:rsidP="00641026">
      <w:pPr>
        <w:pStyle w:val="SectionXHeader3"/>
        <w:ind w:left="0" w:firstLine="0"/>
        <w:rPr>
          <w:rFonts w:asciiTheme="majorBidi" w:hAnsiTheme="majorBidi" w:cstheme="majorBidi"/>
          <w:sz w:val="24"/>
          <w:szCs w:val="24"/>
        </w:rPr>
      </w:pPr>
      <w:bookmarkStart w:id="567" w:name="_Toc77492590"/>
      <w:bookmarkStart w:id="568" w:name="_Toc156372183"/>
      <w:r w:rsidRPr="00A67F27">
        <w:rPr>
          <w:rFonts w:asciiTheme="majorBidi" w:hAnsiTheme="majorBidi" w:cstheme="majorBidi"/>
          <w:sz w:val="24"/>
          <w:szCs w:val="24"/>
        </w:rPr>
        <w:t xml:space="preserve">Eligibilité en matière de passation des marchés de fournitures, </w:t>
      </w:r>
      <w:r w:rsidR="00641026" w:rsidRPr="00A67F27">
        <w:rPr>
          <w:rFonts w:asciiTheme="majorBidi" w:hAnsiTheme="majorBidi" w:cstheme="majorBidi"/>
          <w:sz w:val="24"/>
          <w:szCs w:val="24"/>
        </w:rPr>
        <w:br/>
      </w:r>
      <w:r w:rsidRPr="00A67F27">
        <w:rPr>
          <w:rFonts w:asciiTheme="majorBidi" w:hAnsiTheme="majorBidi" w:cstheme="majorBidi"/>
          <w:sz w:val="24"/>
          <w:szCs w:val="24"/>
        </w:rPr>
        <w:t>travaux et Services financés par la Banque mondiale.</w:t>
      </w:r>
    </w:p>
    <w:p w14:paraId="5E17701F" w14:textId="082E5809" w:rsidR="004F75DC" w:rsidRPr="00A67F27" w:rsidRDefault="004F75DC" w:rsidP="00641026">
      <w:pPr>
        <w:jc w:val="center"/>
        <w:rPr>
          <w:rFonts w:asciiTheme="majorBidi" w:hAnsiTheme="majorBidi" w:cstheme="majorBidi"/>
        </w:rPr>
      </w:pPr>
    </w:p>
    <w:p w14:paraId="44354548" w14:textId="77777777" w:rsidR="004F75DC" w:rsidRPr="00A67F27" w:rsidRDefault="004F75DC" w:rsidP="00641026">
      <w:pPr>
        <w:jc w:val="center"/>
        <w:rPr>
          <w:rFonts w:asciiTheme="majorBidi" w:hAnsiTheme="majorBidi" w:cstheme="majorBidi"/>
          <w:b/>
        </w:rPr>
      </w:pPr>
    </w:p>
    <w:p w14:paraId="4AAFA3D6" w14:textId="6180DFD5" w:rsidR="004F75DC" w:rsidRPr="00A67F27" w:rsidRDefault="004F75DC" w:rsidP="00641026">
      <w:pPr>
        <w:spacing w:before="120" w:after="240"/>
        <w:ind w:left="0" w:firstLine="0"/>
        <w:rPr>
          <w:rFonts w:asciiTheme="majorBidi" w:hAnsiTheme="majorBidi" w:cstheme="majorBidi"/>
        </w:rPr>
      </w:pPr>
      <w:r w:rsidRPr="00A67F27">
        <w:rPr>
          <w:rFonts w:asciiTheme="majorBidi" w:hAnsiTheme="majorBidi" w:cstheme="majorBidi"/>
        </w:rPr>
        <w:t>Aux fins d’information des emprunteurs et des soumissionnaires, en référence aux articles 4.</w:t>
      </w:r>
      <w:r w:rsidR="00750408" w:rsidRPr="00A67F27">
        <w:rPr>
          <w:rFonts w:asciiTheme="majorBidi" w:hAnsiTheme="majorBidi" w:cstheme="majorBidi"/>
        </w:rPr>
        <w:t>7</w:t>
      </w:r>
      <w:r w:rsidRPr="00A67F27">
        <w:rPr>
          <w:rFonts w:asciiTheme="majorBidi" w:hAnsiTheme="majorBidi" w:cstheme="majorBidi"/>
        </w:rPr>
        <w:t xml:space="preserve"> et 5.1 des IS, les firmes, biens et services des pays suivants ne sont pas éligibles pour concourir dans le cadre de ce projet</w:t>
      </w:r>
      <w:r w:rsidR="009B2302" w:rsidRPr="00A67F27">
        <w:rPr>
          <w:rFonts w:asciiTheme="majorBidi" w:hAnsiTheme="majorBidi" w:cstheme="majorBidi"/>
        </w:rPr>
        <w:t xml:space="preserve"> :</w:t>
      </w:r>
    </w:p>
    <w:p w14:paraId="12AE3321" w14:textId="7EF08778" w:rsidR="004F75DC" w:rsidRPr="00A67F27" w:rsidRDefault="004F75DC" w:rsidP="00641026">
      <w:pPr>
        <w:pStyle w:val="Retraitcorpsdetexte"/>
        <w:spacing w:before="120" w:after="240"/>
        <w:ind w:left="4253" w:hanging="3553"/>
        <w:rPr>
          <w:rFonts w:asciiTheme="majorBidi" w:hAnsiTheme="majorBidi" w:cstheme="majorBidi"/>
          <w:lang w:val="fr-FR"/>
        </w:rPr>
      </w:pPr>
      <w:proofErr w:type="gramStart"/>
      <w:r w:rsidRPr="00A67F27">
        <w:rPr>
          <w:rFonts w:asciiTheme="majorBidi" w:hAnsiTheme="majorBidi" w:cstheme="majorBidi"/>
          <w:lang w:val="fr-FR"/>
        </w:rPr>
        <w:t>au</w:t>
      </w:r>
      <w:proofErr w:type="gramEnd"/>
      <w:r w:rsidRPr="00A67F27">
        <w:rPr>
          <w:rFonts w:asciiTheme="majorBidi" w:hAnsiTheme="majorBidi" w:cstheme="majorBidi"/>
          <w:lang w:val="fr-FR"/>
        </w:rPr>
        <w:t xml:space="preserve"> titre des IS articles 4.</w:t>
      </w:r>
      <w:r w:rsidR="00750408" w:rsidRPr="00A67F27">
        <w:rPr>
          <w:rFonts w:asciiTheme="majorBidi" w:hAnsiTheme="majorBidi" w:cstheme="majorBidi"/>
          <w:lang w:val="fr-FR"/>
        </w:rPr>
        <w:t>7</w:t>
      </w:r>
      <w:r w:rsidRPr="00A67F27">
        <w:rPr>
          <w:rFonts w:asciiTheme="majorBidi" w:hAnsiTheme="majorBidi" w:cstheme="majorBidi"/>
          <w:lang w:val="fr-FR"/>
        </w:rPr>
        <w:t>(a) et 5.1</w:t>
      </w:r>
      <w:r w:rsidR="009B2302" w:rsidRPr="00A67F27">
        <w:rPr>
          <w:rFonts w:asciiTheme="majorBidi" w:hAnsiTheme="majorBidi" w:cstheme="majorBidi"/>
          <w:lang w:val="fr-FR"/>
        </w:rPr>
        <w:t> :</w:t>
      </w:r>
      <w:r w:rsidRPr="00A67F27">
        <w:rPr>
          <w:rFonts w:asciiTheme="majorBidi" w:hAnsiTheme="majorBidi" w:cstheme="majorBidi"/>
          <w:lang w:val="fr-FR"/>
        </w:rPr>
        <w:t xml:space="preserve"> </w:t>
      </w:r>
      <w:r w:rsidR="005D0AEC">
        <w:rPr>
          <w:rFonts w:asciiTheme="majorBidi" w:hAnsiTheme="majorBidi" w:cstheme="majorBidi"/>
          <w:i/>
          <w:iCs/>
          <w:lang w:val="fr-FR"/>
        </w:rPr>
        <w:t>A</w:t>
      </w:r>
      <w:r w:rsidRPr="00A67F27">
        <w:rPr>
          <w:rFonts w:asciiTheme="majorBidi" w:hAnsiTheme="majorBidi" w:cstheme="majorBidi"/>
          <w:i/>
          <w:iCs/>
          <w:lang w:val="fr-FR"/>
        </w:rPr>
        <w:t>ucun</w:t>
      </w:r>
      <w:r w:rsidR="009B2302" w:rsidRPr="00A67F27">
        <w:rPr>
          <w:rFonts w:asciiTheme="majorBidi" w:hAnsiTheme="majorBidi" w:cstheme="majorBidi"/>
          <w:i/>
          <w:iCs/>
          <w:lang w:val="fr-FR"/>
        </w:rPr>
        <w:t> </w:t>
      </w:r>
    </w:p>
    <w:p w14:paraId="65190461" w14:textId="716A8E7F" w:rsidR="004F75DC" w:rsidRPr="00A67F27" w:rsidRDefault="004F75DC" w:rsidP="00641026">
      <w:pPr>
        <w:pStyle w:val="Retraitcorpsdetexte"/>
        <w:spacing w:before="120" w:after="240"/>
        <w:ind w:left="4253" w:hanging="3553"/>
        <w:rPr>
          <w:rFonts w:asciiTheme="majorBidi" w:hAnsiTheme="majorBidi" w:cstheme="majorBidi"/>
          <w:i/>
          <w:iCs/>
          <w:lang w:val="fr-FR"/>
        </w:rPr>
      </w:pPr>
      <w:proofErr w:type="gramStart"/>
      <w:r w:rsidRPr="00A67F27">
        <w:rPr>
          <w:rFonts w:asciiTheme="majorBidi" w:hAnsiTheme="majorBidi" w:cstheme="majorBidi"/>
          <w:lang w:val="fr-FR"/>
        </w:rPr>
        <w:t>au</w:t>
      </w:r>
      <w:proofErr w:type="gramEnd"/>
      <w:r w:rsidRPr="00A67F27">
        <w:rPr>
          <w:rFonts w:asciiTheme="majorBidi" w:hAnsiTheme="majorBidi" w:cstheme="majorBidi"/>
          <w:lang w:val="fr-FR"/>
        </w:rPr>
        <w:t xml:space="preserve"> titre des </w:t>
      </w:r>
      <w:r w:rsidR="00750408" w:rsidRPr="00A67F27">
        <w:rPr>
          <w:rFonts w:asciiTheme="majorBidi" w:hAnsiTheme="majorBidi" w:cstheme="majorBidi"/>
          <w:lang w:val="fr-FR"/>
        </w:rPr>
        <w:t>IS 4.7</w:t>
      </w:r>
      <w:r w:rsidRPr="00A67F27">
        <w:rPr>
          <w:rFonts w:asciiTheme="majorBidi" w:hAnsiTheme="majorBidi" w:cstheme="majorBidi"/>
          <w:lang w:val="fr-FR"/>
        </w:rPr>
        <w:t>(b) et 5.1</w:t>
      </w:r>
      <w:r w:rsidR="009B2302" w:rsidRPr="00A67F27">
        <w:rPr>
          <w:rFonts w:asciiTheme="majorBidi" w:hAnsiTheme="majorBidi" w:cstheme="majorBidi"/>
          <w:lang w:val="fr-FR"/>
        </w:rPr>
        <w:t> :</w:t>
      </w:r>
      <w:r w:rsidRPr="00A67F27">
        <w:rPr>
          <w:rFonts w:asciiTheme="majorBidi" w:hAnsiTheme="majorBidi" w:cstheme="majorBidi"/>
          <w:lang w:val="fr-FR"/>
        </w:rPr>
        <w:t xml:space="preserve"> </w:t>
      </w:r>
      <w:r w:rsidR="005D0AEC">
        <w:rPr>
          <w:rFonts w:asciiTheme="majorBidi" w:hAnsiTheme="majorBidi" w:cstheme="majorBidi"/>
          <w:i/>
          <w:iCs/>
          <w:lang w:val="fr-FR"/>
        </w:rPr>
        <w:t>A</w:t>
      </w:r>
      <w:r w:rsidRPr="00A67F27">
        <w:rPr>
          <w:rFonts w:asciiTheme="majorBidi" w:hAnsiTheme="majorBidi" w:cstheme="majorBidi"/>
          <w:i/>
          <w:iCs/>
          <w:lang w:val="fr-FR"/>
        </w:rPr>
        <w:t>ucun</w:t>
      </w:r>
    </w:p>
    <w:p w14:paraId="7E6E8A0F" w14:textId="77777777" w:rsidR="00A17AE2" w:rsidRPr="00A67F27" w:rsidRDefault="00A17AE2" w:rsidP="00312D33">
      <w:pPr>
        <w:pStyle w:val="Retraitcorpsdetexte"/>
        <w:ind w:left="576" w:firstLine="0"/>
        <w:rPr>
          <w:rFonts w:asciiTheme="majorBidi" w:hAnsiTheme="majorBidi" w:cstheme="majorBidi"/>
          <w:i/>
          <w:iCs/>
          <w:lang w:val="fr-FR"/>
        </w:rPr>
      </w:pPr>
    </w:p>
    <w:p w14:paraId="1A6060CE" w14:textId="77777777" w:rsidR="00A17AE2" w:rsidRPr="00A67F27" w:rsidRDefault="00A17AE2">
      <w:pPr>
        <w:rPr>
          <w:rFonts w:asciiTheme="majorBidi" w:hAnsiTheme="majorBidi" w:cstheme="majorBidi"/>
          <w:b/>
          <w:sz w:val="44"/>
        </w:rPr>
        <w:sectPr w:rsidR="00A17AE2" w:rsidRPr="00A67F27" w:rsidSect="00641026">
          <w:headerReference w:type="even" r:id="rId29"/>
          <w:headerReference w:type="default" r:id="rId30"/>
          <w:endnotePr>
            <w:numFmt w:val="decimal"/>
          </w:endnotePr>
          <w:pgSz w:w="12240" w:h="15840" w:code="1"/>
          <w:pgMar w:top="1418" w:right="1418" w:bottom="1418" w:left="1418" w:header="720" w:footer="720" w:gutter="0"/>
          <w:cols w:space="720"/>
          <w:titlePg/>
          <w:docGrid w:linePitch="326"/>
        </w:sectPr>
      </w:pPr>
      <w:bookmarkStart w:id="569" w:name="_Toc326657866"/>
      <w:bookmarkEnd w:id="567"/>
      <w:bookmarkEnd w:id="568"/>
    </w:p>
    <w:p w14:paraId="6ED4330D" w14:textId="09132288" w:rsidR="00294BAD" w:rsidRPr="00A67F27" w:rsidRDefault="00294BAD" w:rsidP="009761DC">
      <w:pPr>
        <w:pStyle w:val="Header1"/>
        <w:rPr>
          <w:sz w:val="36"/>
          <w:szCs w:val="36"/>
          <w:lang w:val="fr-FR"/>
        </w:rPr>
      </w:pPr>
      <w:bookmarkStart w:id="570" w:name="_Toc483210558"/>
      <w:r w:rsidRPr="00A67F27">
        <w:rPr>
          <w:sz w:val="36"/>
          <w:szCs w:val="36"/>
          <w:lang w:val="fr-FR"/>
        </w:rPr>
        <w:t xml:space="preserve">Section VI. </w:t>
      </w:r>
      <w:r w:rsidR="00DC602E" w:rsidRPr="00A67F27">
        <w:rPr>
          <w:sz w:val="36"/>
          <w:szCs w:val="36"/>
          <w:lang w:val="fr-FR"/>
        </w:rPr>
        <w:t xml:space="preserve">Règles de la Banque en matière de </w:t>
      </w:r>
      <w:r w:rsidR="009761DC" w:rsidRPr="00A67F27">
        <w:rPr>
          <w:sz w:val="36"/>
          <w:szCs w:val="36"/>
          <w:lang w:val="fr-FR"/>
        </w:rPr>
        <w:br/>
      </w:r>
      <w:r w:rsidRPr="00A67F27">
        <w:rPr>
          <w:sz w:val="36"/>
          <w:szCs w:val="36"/>
          <w:lang w:val="fr-FR"/>
        </w:rPr>
        <w:t>Fraude et Corruption</w:t>
      </w:r>
      <w:bookmarkEnd w:id="569"/>
      <w:bookmarkEnd w:id="570"/>
    </w:p>
    <w:p w14:paraId="28C1B371" w14:textId="10805581" w:rsidR="005A7E23" w:rsidRPr="00A67F27" w:rsidRDefault="005A7E23" w:rsidP="00D75174">
      <w:pPr>
        <w:pStyle w:val="Titre4"/>
        <w:numPr>
          <w:ilvl w:val="0"/>
          <w:numId w:val="0"/>
        </w:numPr>
        <w:tabs>
          <w:tab w:val="clear" w:pos="1512"/>
          <w:tab w:val="left" w:pos="90"/>
        </w:tabs>
        <w:rPr>
          <w:rFonts w:asciiTheme="majorBidi" w:hAnsiTheme="majorBidi" w:cstheme="majorBidi"/>
          <w:b/>
        </w:rPr>
      </w:pPr>
      <w:r w:rsidRPr="00DC4973">
        <w:rPr>
          <w:rFonts w:asciiTheme="majorBidi" w:hAnsiTheme="majorBidi" w:cstheme="majorBidi"/>
          <w:b/>
          <w:lang w:val="fr-FR"/>
        </w:rPr>
        <w:t>Fraude</w:t>
      </w:r>
      <w:r w:rsidRPr="00A67F27">
        <w:rPr>
          <w:rFonts w:asciiTheme="majorBidi" w:hAnsiTheme="majorBidi" w:cstheme="majorBidi"/>
          <w:b/>
        </w:rPr>
        <w:t xml:space="preserve"> et Corruption</w:t>
      </w:r>
    </w:p>
    <w:tbl>
      <w:tblPr>
        <w:tblW w:w="9630" w:type="dxa"/>
        <w:tblLayout w:type="fixed"/>
        <w:tblLook w:val="0000" w:firstRow="0" w:lastRow="0" w:firstColumn="0" w:lastColumn="0" w:noHBand="0" w:noVBand="0"/>
      </w:tblPr>
      <w:tblGrid>
        <w:gridCol w:w="9630"/>
      </w:tblGrid>
      <w:tr w:rsidR="005A7E23" w:rsidRPr="00A67F27" w14:paraId="1ED407A0" w14:textId="77777777" w:rsidTr="006372B7">
        <w:tc>
          <w:tcPr>
            <w:tcW w:w="9630" w:type="dxa"/>
          </w:tcPr>
          <w:p w14:paraId="6E7474EE" w14:textId="284490B1" w:rsidR="005A7E23" w:rsidRPr="00A67F27" w:rsidRDefault="00AB60A2" w:rsidP="00AB60A2">
            <w:pPr>
              <w:pStyle w:val="Corpsdetexte"/>
              <w:tabs>
                <w:tab w:val="left" w:pos="576"/>
              </w:tabs>
              <w:spacing w:after="160"/>
              <w:rPr>
                <w:rFonts w:asciiTheme="majorBidi" w:hAnsiTheme="majorBidi" w:cstheme="majorBidi"/>
                <w:lang w:val="fr-FR"/>
              </w:rPr>
            </w:pPr>
            <w:r w:rsidRPr="00A67F27">
              <w:rPr>
                <w:rFonts w:asciiTheme="majorBidi" w:hAnsiTheme="majorBidi" w:cstheme="majorBidi"/>
                <w:lang w:val="fr-FR"/>
              </w:rPr>
              <w:t>1.16</w:t>
            </w:r>
            <w:r w:rsidRPr="00A67F27">
              <w:rPr>
                <w:rFonts w:asciiTheme="majorBidi" w:hAnsiTheme="majorBidi" w:cstheme="majorBidi"/>
                <w:lang w:val="fr-FR"/>
              </w:rPr>
              <w:tab/>
            </w:r>
            <w:r w:rsidR="005A7E23" w:rsidRPr="00A67F27">
              <w:rPr>
                <w:rFonts w:asciiTheme="majorBidi" w:hAnsiTheme="majorBidi" w:cstheme="majorBidi"/>
                <w:lang w:val="fr-FR"/>
              </w:rPr>
              <w:t xml:space="preserve">La Banque a pour principe, dans le cadre des marchés qu’elle finance, de demander aux Emprunteurs (y compris les bénéficiaires de ses prêts) ainsi qu’aux soumissionnaires, fournisseurs, prestataires de services, entrepreneurs et leurs </w:t>
            </w:r>
            <w:r w:rsidR="005A7E23" w:rsidRPr="00A67F27">
              <w:rPr>
                <w:rFonts w:asciiTheme="majorBidi" w:hAnsiTheme="majorBidi" w:cstheme="majorBidi"/>
                <w:szCs w:val="24"/>
                <w:lang w:val="fr-FR"/>
              </w:rPr>
              <w:t xml:space="preserve">agents (déclarés ou non), personnel, </w:t>
            </w:r>
            <w:r w:rsidR="005A7E23" w:rsidRPr="00A67F27">
              <w:rPr>
                <w:rFonts w:asciiTheme="majorBidi" w:hAnsiTheme="majorBidi" w:cstheme="majorBidi"/>
                <w:lang w:val="fr-FR"/>
              </w:rPr>
              <w:t xml:space="preserve">sous-traitants </w:t>
            </w:r>
            <w:r w:rsidR="005A7E23" w:rsidRPr="00A67F27">
              <w:rPr>
                <w:rFonts w:asciiTheme="majorBidi" w:hAnsiTheme="majorBidi" w:cstheme="majorBidi"/>
                <w:szCs w:val="24"/>
                <w:lang w:val="fr-FR"/>
              </w:rPr>
              <w:t xml:space="preserve">et fournisseurs </w:t>
            </w:r>
            <w:r w:rsidR="005A7E23" w:rsidRPr="00A67F27">
              <w:rPr>
                <w:rFonts w:asciiTheme="majorBidi" w:hAnsiTheme="majorBidi" w:cstheme="majorBidi"/>
                <w:lang w:val="fr-FR"/>
              </w:rPr>
              <w:t>d’observer, lors de la passation et de</w:t>
            </w:r>
            <w:r w:rsidR="009B2302" w:rsidRPr="00A67F27">
              <w:rPr>
                <w:rFonts w:asciiTheme="majorBidi" w:hAnsiTheme="majorBidi" w:cstheme="majorBidi"/>
                <w:lang w:val="fr-FR"/>
              </w:rPr>
              <w:t xml:space="preserve"> </w:t>
            </w:r>
            <w:r w:rsidR="005A7E23" w:rsidRPr="00A67F27">
              <w:rPr>
                <w:rFonts w:asciiTheme="majorBidi" w:hAnsiTheme="majorBidi" w:cstheme="majorBidi"/>
                <w:lang w:val="fr-FR"/>
              </w:rPr>
              <w:t>l’exécution de ces marchés, les règles d’éthique professionnelle les plus strictes</w:t>
            </w:r>
            <w:r w:rsidR="005A7E23" w:rsidRPr="00A67F27">
              <w:rPr>
                <w:rStyle w:val="Appelnotedebasdep"/>
                <w:rFonts w:asciiTheme="majorBidi" w:hAnsiTheme="majorBidi" w:cstheme="majorBidi"/>
                <w:lang w:val="fr-FR"/>
              </w:rPr>
              <w:footnoteReference w:id="19"/>
            </w:r>
            <w:r w:rsidR="005A7E23" w:rsidRPr="00A67F27">
              <w:rPr>
                <w:rFonts w:asciiTheme="majorBidi" w:hAnsiTheme="majorBidi" w:cstheme="majorBidi"/>
                <w:lang w:val="fr-FR"/>
              </w:rPr>
              <w:t xml:space="preserve">. En vertu de ce principe, la Banque </w:t>
            </w:r>
          </w:p>
          <w:p w14:paraId="04B6BB7C" w14:textId="2B084407" w:rsidR="005A7E23" w:rsidRPr="00A67F27" w:rsidRDefault="005A7E23" w:rsidP="00520988">
            <w:pPr>
              <w:pStyle w:val="Corpsdetexte"/>
              <w:numPr>
                <w:ilvl w:val="0"/>
                <w:numId w:val="21"/>
              </w:numPr>
              <w:overflowPunct w:val="0"/>
              <w:autoSpaceDE w:val="0"/>
              <w:autoSpaceDN w:val="0"/>
              <w:adjustRightInd w:val="0"/>
              <w:spacing w:after="160"/>
              <w:ind w:left="924"/>
              <w:textAlignment w:val="baseline"/>
              <w:rPr>
                <w:rFonts w:asciiTheme="majorBidi" w:hAnsiTheme="majorBidi" w:cstheme="majorBidi"/>
                <w:szCs w:val="24"/>
                <w:lang w:val="fr-FR"/>
              </w:rPr>
            </w:pPr>
            <w:r w:rsidRPr="00A67F27">
              <w:rPr>
                <w:rFonts w:asciiTheme="majorBidi" w:hAnsiTheme="majorBidi" w:cstheme="majorBidi"/>
                <w:lang w:val="fr-FR"/>
              </w:rPr>
              <w:t xml:space="preserve">aux fins d’application de la présente disposition, définit </w:t>
            </w:r>
            <w:r w:rsidRPr="00A67F27">
              <w:rPr>
                <w:rFonts w:asciiTheme="majorBidi" w:hAnsiTheme="majorBidi" w:cstheme="majorBidi"/>
                <w:szCs w:val="24"/>
                <w:lang w:val="fr-FR"/>
              </w:rPr>
              <w:t>comme suit les expressions suivantes</w:t>
            </w:r>
            <w:r w:rsidR="009B2302" w:rsidRPr="00A67F27">
              <w:rPr>
                <w:rFonts w:asciiTheme="majorBidi" w:hAnsiTheme="majorBidi" w:cstheme="majorBidi"/>
                <w:szCs w:val="24"/>
                <w:lang w:val="fr-FR"/>
              </w:rPr>
              <w:t xml:space="preserve"> :</w:t>
            </w:r>
          </w:p>
          <w:p w14:paraId="7143429C" w14:textId="51A88877" w:rsidR="005A7E23" w:rsidRPr="00A67F27" w:rsidRDefault="005A7E23" w:rsidP="00D93B60">
            <w:pPr>
              <w:pStyle w:val="Notedebasdepage"/>
              <w:spacing w:after="160"/>
              <w:ind w:left="1484" w:hanging="522"/>
              <w:rPr>
                <w:rFonts w:asciiTheme="majorBidi" w:hAnsiTheme="majorBidi" w:cstheme="majorBidi"/>
              </w:rPr>
            </w:pPr>
            <w:r w:rsidRPr="00A67F27">
              <w:rPr>
                <w:rFonts w:asciiTheme="majorBidi" w:hAnsiTheme="majorBidi" w:cstheme="majorBidi"/>
                <w:sz w:val="24"/>
                <w:szCs w:val="24"/>
              </w:rPr>
              <w:t>(i)</w:t>
            </w:r>
            <w:r w:rsidRPr="00A67F27">
              <w:rPr>
                <w:rFonts w:asciiTheme="majorBidi" w:hAnsiTheme="majorBidi" w:cstheme="majorBidi"/>
                <w:sz w:val="24"/>
                <w:szCs w:val="24"/>
              </w:rPr>
              <w:tab/>
              <w:t xml:space="preserve">est coupable de </w:t>
            </w:r>
            <w:r w:rsidR="009B2302" w:rsidRPr="00A67F27">
              <w:rPr>
                <w:rFonts w:asciiTheme="majorBidi" w:hAnsiTheme="majorBidi" w:cstheme="majorBidi"/>
                <w:sz w:val="24"/>
                <w:szCs w:val="24"/>
              </w:rPr>
              <w:t>« </w:t>
            </w:r>
            <w:r w:rsidRPr="00A67F27">
              <w:rPr>
                <w:rFonts w:asciiTheme="majorBidi" w:hAnsiTheme="majorBidi" w:cstheme="majorBidi"/>
                <w:sz w:val="24"/>
                <w:szCs w:val="24"/>
              </w:rPr>
              <w:t>corruption</w:t>
            </w:r>
            <w:r w:rsidR="009B2302" w:rsidRPr="00A67F27">
              <w:rPr>
                <w:rFonts w:asciiTheme="majorBidi" w:hAnsiTheme="majorBidi" w:cstheme="majorBidi"/>
                <w:sz w:val="24"/>
                <w:szCs w:val="24"/>
              </w:rPr>
              <w:t> »</w:t>
            </w:r>
            <w:r w:rsidRPr="00A67F27">
              <w:rPr>
                <w:rFonts w:asciiTheme="majorBidi" w:hAnsiTheme="majorBidi" w:cstheme="majorBidi"/>
                <w:sz w:val="24"/>
                <w:szCs w:val="24"/>
              </w:rPr>
              <w:t xml:space="preserve"> quiconque offre, donne, sollicite ou accepte, directement ou indirectement, un quelconque avantage en vue d’influer indûment sur l’action d’une autre personne ou entité</w:t>
            </w:r>
            <w:r w:rsidR="009B2302" w:rsidRPr="00A67F27">
              <w:rPr>
                <w:rFonts w:asciiTheme="majorBidi" w:hAnsiTheme="majorBidi" w:cstheme="majorBidi"/>
                <w:sz w:val="24"/>
                <w:szCs w:val="24"/>
              </w:rPr>
              <w:t xml:space="preserve"> ; </w:t>
            </w:r>
            <w:r w:rsidRPr="00A67F27">
              <w:rPr>
                <w:rFonts w:asciiTheme="majorBidi" w:hAnsiTheme="majorBidi" w:cstheme="majorBidi"/>
                <w:sz w:val="24"/>
                <w:szCs w:val="24"/>
              </w:rPr>
              <w:t>le terme</w:t>
            </w:r>
            <w:r w:rsidR="009B2302" w:rsidRPr="00435C9E">
              <w:rPr>
                <w:rFonts w:asciiTheme="majorBidi" w:hAnsiTheme="majorBidi" w:cstheme="majorBidi"/>
                <w:sz w:val="24"/>
                <w:szCs w:val="24"/>
              </w:rPr>
              <w:t xml:space="preserve"> « </w:t>
            </w:r>
            <w:r w:rsidRPr="00435C9E">
              <w:rPr>
                <w:rFonts w:asciiTheme="majorBidi" w:hAnsiTheme="majorBidi" w:cstheme="majorBidi"/>
                <w:sz w:val="24"/>
                <w:szCs w:val="24"/>
              </w:rPr>
              <w:t>une autre personne ou entité</w:t>
            </w:r>
            <w:r w:rsidR="009B2302" w:rsidRPr="00435C9E">
              <w:rPr>
                <w:rFonts w:asciiTheme="majorBidi" w:hAnsiTheme="majorBidi" w:cstheme="majorBidi"/>
                <w:sz w:val="24"/>
                <w:szCs w:val="24"/>
              </w:rPr>
              <w:t> »</w:t>
            </w:r>
            <w:r w:rsidRPr="00435C9E">
              <w:rPr>
                <w:rFonts w:asciiTheme="majorBidi" w:hAnsiTheme="majorBidi" w:cstheme="majorBidi"/>
                <w:sz w:val="24"/>
                <w:szCs w:val="24"/>
              </w:rPr>
              <w:t xml:space="preserve"> fait référence à un agent public agissant dans le cadre de l’attribution ou de l’exécution d’un marché public et inclut le personnel de la Banque et les employés d’autres organisations qui prennent des décisions relatives à la passation de marchés ou les examinent</w:t>
            </w:r>
            <w:r w:rsidR="009B2302" w:rsidRPr="00435C9E">
              <w:rPr>
                <w:rFonts w:asciiTheme="majorBidi" w:hAnsiTheme="majorBidi" w:cstheme="majorBidi"/>
              </w:rPr>
              <w:t> ;</w:t>
            </w:r>
            <w:r w:rsidR="00E93C85" w:rsidRPr="00A67F27">
              <w:rPr>
                <w:rStyle w:val="Appelnotedebasdep"/>
              </w:rPr>
              <w:footnoteReference w:id="20"/>
            </w:r>
            <w:r w:rsidRPr="00A67F27">
              <w:rPr>
                <w:rFonts w:asciiTheme="majorBidi" w:hAnsiTheme="majorBidi" w:cstheme="majorBidi"/>
              </w:rPr>
              <w:t xml:space="preserve"> </w:t>
            </w:r>
          </w:p>
          <w:p w14:paraId="3C5F4E36" w14:textId="0FE5E21F" w:rsidR="005A7E23" w:rsidRPr="00A67F27" w:rsidRDefault="005A7E23" w:rsidP="00D93B60">
            <w:pPr>
              <w:tabs>
                <w:tab w:val="left" w:pos="1692"/>
              </w:tabs>
              <w:spacing w:after="160"/>
              <w:ind w:left="1484" w:hanging="522"/>
              <w:rPr>
                <w:rFonts w:asciiTheme="majorBidi" w:hAnsiTheme="majorBidi" w:cstheme="majorBidi"/>
                <w:spacing w:val="-2"/>
              </w:rPr>
            </w:pPr>
            <w:r w:rsidRPr="00A67F27">
              <w:rPr>
                <w:rFonts w:asciiTheme="majorBidi" w:hAnsiTheme="majorBidi" w:cstheme="majorBidi"/>
              </w:rPr>
              <w:t xml:space="preserve">(ii) </w:t>
            </w:r>
            <w:r w:rsidRPr="00A67F27">
              <w:rPr>
                <w:rFonts w:asciiTheme="majorBidi" w:hAnsiTheme="majorBidi" w:cstheme="majorBidi"/>
              </w:rPr>
              <w:tab/>
            </w:r>
            <w:r w:rsidRPr="00A67F27">
              <w:rPr>
                <w:rFonts w:asciiTheme="majorBidi" w:hAnsiTheme="majorBidi" w:cstheme="majorBidi"/>
                <w:spacing w:val="-2"/>
              </w:rPr>
              <w:t xml:space="preserve">se livre </w:t>
            </w:r>
            <w:r w:rsidRPr="00A67F27">
              <w:rPr>
                <w:rFonts w:asciiTheme="majorBidi" w:hAnsiTheme="majorBidi" w:cstheme="majorBidi"/>
                <w:color w:val="000000"/>
                <w:spacing w:val="-2"/>
              </w:rPr>
              <w:t xml:space="preserve">à des </w:t>
            </w:r>
            <w:r w:rsidR="009B2302" w:rsidRPr="00A67F27">
              <w:rPr>
                <w:rFonts w:asciiTheme="majorBidi" w:hAnsiTheme="majorBidi" w:cstheme="majorBidi"/>
                <w:color w:val="000000"/>
                <w:spacing w:val="-2"/>
              </w:rPr>
              <w:t>« </w:t>
            </w:r>
            <w:r w:rsidRPr="00A67F27">
              <w:rPr>
                <w:rFonts w:asciiTheme="majorBidi" w:hAnsiTheme="majorBidi" w:cstheme="majorBidi"/>
                <w:color w:val="000000"/>
                <w:spacing w:val="-2"/>
              </w:rPr>
              <w:t>manœuvres frauduleuses</w:t>
            </w:r>
            <w:r w:rsidR="009B2302" w:rsidRPr="00A67F27">
              <w:rPr>
                <w:rFonts w:asciiTheme="majorBidi" w:hAnsiTheme="majorBidi" w:cstheme="majorBidi"/>
                <w:color w:val="000000"/>
                <w:spacing w:val="-2"/>
              </w:rPr>
              <w:t> »</w:t>
            </w:r>
            <w:r w:rsidRPr="00A67F27">
              <w:rPr>
                <w:rFonts w:asciiTheme="majorBidi" w:hAnsiTheme="majorBidi" w:cstheme="majorBidi"/>
                <w:color w:val="000000"/>
                <w:spacing w:val="-2"/>
              </w:rPr>
              <w:t xml:space="preserve"> quiconque agit, ou dénature des faits, délibérément</w:t>
            </w:r>
            <w:r w:rsidR="009B2302" w:rsidRPr="00A67F27">
              <w:rPr>
                <w:rFonts w:asciiTheme="majorBidi" w:hAnsiTheme="majorBidi" w:cstheme="majorBidi"/>
                <w:color w:val="000000"/>
                <w:spacing w:val="-2"/>
              </w:rPr>
              <w:t xml:space="preserve"> </w:t>
            </w:r>
            <w:r w:rsidRPr="00A67F27">
              <w:rPr>
                <w:rFonts w:asciiTheme="majorBidi" w:hAnsiTheme="majorBidi" w:cstheme="majorBidi"/>
                <w:color w:val="000000"/>
                <w:spacing w:val="-2"/>
              </w:rPr>
              <w:t>ou par négligence grave,</w:t>
            </w:r>
            <w:r w:rsidRPr="00A67F27">
              <w:rPr>
                <w:rFonts w:asciiTheme="majorBidi" w:hAnsiTheme="majorBidi" w:cstheme="majorBidi"/>
                <w:b/>
                <w:i/>
                <w:color w:val="000000"/>
                <w:spacing w:val="-2"/>
              </w:rPr>
              <w:t xml:space="preserve"> </w:t>
            </w:r>
            <w:r w:rsidRPr="00A67F27">
              <w:rPr>
                <w:rFonts w:asciiTheme="majorBidi" w:hAnsiTheme="majorBidi" w:cstheme="majorBidi"/>
                <w:color w:val="000000"/>
                <w:spacing w:val="-2"/>
              </w:rPr>
              <w:t>ou tente d’induire en erreur une personne</w:t>
            </w:r>
            <w:r w:rsidR="009B2302" w:rsidRPr="00A67F27">
              <w:rPr>
                <w:rFonts w:asciiTheme="majorBidi" w:hAnsiTheme="majorBidi" w:cstheme="majorBidi"/>
                <w:color w:val="000000"/>
                <w:spacing w:val="-2"/>
              </w:rPr>
              <w:t xml:space="preserve"> </w:t>
            </w:r>
            <w:r w:rsidRPr="00A67F27">
              <w:rPr>
                <w:rFonts w:asciiTheme="majorBidi" w:hAnsiTheme="majorBidi" w:cstheme="majorBidi"/>
                <w:color w:val="000000"/>
                <w:spacing w:val="-2"/>
              </w:rPr>
              <w:t xml:space="preserve">ou </w:t>
            </w:r>
            <w:r w:rsidRPr="00435C9E">
              <w:rPr>
                <w:rFonts w:asciiTheme="majorBidi" w:hAnsiTheme="majorBidi" w:cstheme="majorBidi"/>
                <w:color w:val="000000"/>
                <w:spacing w:val="-2"/>
              </w:rPr>
              <w:t xml:space="preserve">une entité afin d’en retirer un avantage financier ou de toute autre nature, ou se dérober à une obligation </w:t>
            </w:r>
            <w:r w:rsidRPr="00435C9E">
              <w:rPr>
                <w:rFonts w:asciiTheme="majorBidi" w:hAnsiTheme="majorBidi" w:cstheme="majorBidi"/>
                <w:spacing w:val="-2"/>
              </w:rPr>
              <w:t>(le terme</w:t>
            </w:r>
            <w:r w:rsidR="009B2302" w:rsidRPr="00435C9E">
              <w:rPr>
                <w:rFonts w:asciiTheme="majorBidi" w:hAnsiTheme="majorBidi" w:cstheme="majorBidi"/>
                <w:spacing w:val="-2"/>
              </w:rPr>
              <w:t xml:space="preserve"> « </w:t>
            </w:r>
            <w:r w:rsidRPr="00435C9E">
              <w:rPr>
                <w:rFonts w:asciiTheme="majorBidi" w:hAnsiTheme="majorBidi" w:cstheme="majorBidi"/>
                <w:color w:val="000000"/>
                <w:spacing w:val="-2"/>
              </w:rPr>
              <w:t>personne</w:t>
            </w:r>
            <w:r w:rsidR="009B2302" w:rsidRPr="00435C9E">
              <w:rPr>
                <w:rFonts w:asciiTheme="majorBidi" w:hAnsiTheme="majorBidi" w:cstheme="majorBidi"/>
                <w:color w:val="000000"/>
                <w:spacing w:val="-2"/>
              </w:rPr>
              <w:t xml:space="preserve"> » </w:t>
            </w:r>
            <w:r w:rsidRPr="00435C9E">
              <w:rPr>
                <w:rFonts w:asciiTheme="majorBidi" w:hAnsiTheme="majorBidi" w:cstheme="majorBidi"/>
                <w:color w:val="000000"/>
                <w:spacing w:val="-2"/>
              </w:rPr>
              <w:t xml:space="preserve">ou </w:t>
            </w:r>
            <w:r w:rsidR="009B2302" w:rsidRPr="00435C9E">
              <w:rPr>
                <w:rFonts w:asciiTheme="majorBidi" w:hAnsiTheme="majorBidi" w:cstheme="majorBidi"/>
                <w:color w:val="000000"/>
                <w:spacing w:val="-2"/>
              </w:rPr>
              <w:t>« </w:t>
            </w:r>
            <w:r w:rsidRPr="00435C9E">
              <w:rPr>
                <w:rFonts w:asciiTheme="majorBidi" w:hAnsiTheme="majorBidi" w:cstheme="majorBidi"/>
                <w:color w:val="000000"/>
                <w:spacing w:val="-2"/>
              </w:rPr>
              <w:t>entité</w:t>
            </w:r>
            <w:r w:rsidR="009B2302" w:rsidRPr="00435C9E">
              <w:rPr>
                <w:rFonts w:asciiTheme="majorBidi" w:hAnsiTheme="majorBidi" w:cstheme="majorBidi"/>
                <w:spacing w:val="-2"/>
              </w:rPr>
              <w:t> »</w:t>
            </w:r>
            <w:r w:rsidRPr="00435C9E">
              <w:rPr>
                <w:rFonts w:asciiTheme="majorBidi" w:hAnsiTheme="majorBidi" w:cstheme="majorBidi"/>
                <w:spacing w:val="-2"/>
              </w:rPr>
              <w:t xml:space="preserve"> fait référence à un agent public agissant dans le cadre de l’attribution ou de l’exécution d’un marché public</w:t>
            </w:r>
            <w:r w:rsidR="009B2302" w:rsidRPr="00435C9E">
              <w:rPr>
                <w:rFonts w:asciiTheme="majorBidi" w:hAnsiTheme="majorBidi" w:cstheme="majorBidi"/>
                <w:spacing w:val="-2"/>
              </w:rPr>
              <w:t> ;</w:t>
            </w:r>
            <w:r w:rsidRPr="00435C9E">
              <w:rPr>
                <w:rFonts w:asciiTheme="majorBidi" w:hAnsiTheme="majorBidi" w:cstheme="majorBidi"/>
                <w:spacing w:val="-2"/>
              </w:rPr>
              <w:t xml:space="preserve"> les termes </w:t>
            </w:r>
            <w:r w:rsidR="009B2302" w:rsidRPr="00435C9E">
              <w:rPr>
                <w:rFonts w:asciiTheme="majorBidi" w:hAnsiTheme="majorBidi" w:cstheme="majorBidi"/>
                <w:spacing w:val="-2"/>
              </w:rPr>
              <w:t>« </w:t>
            </w:r>
            <w:r w:rsidRPr="00435C9E">
              <w:rPr>
                <w:rFonts w:asciiTheme="majorBidi" w:hAnsiTheme="majorBidi" w:cstheme="majorBidi"/>
                <w:spacing w:val="-2"/>
              </w:rPr>
              <w:t>avantage</w:t>
            </w:r>
            <w:r w:rsidR="009B2302" w:rsidRPr="001627D7">
              <w:rPr>
                <w:rFonts w:asciiTheme="majorBidi" w:hAnsiTheme="majorBidi" w:cstheme="majorBidi"/>
                <w:spacing w:val="-2"/>
              </w:rPr>
              <w:t> »</w:t>
            </w:r>
            <w:r w:rsidRPr="00043C85">
              <w:rPr>
                <w:rFonts w:asciiTheme="majorBidi" w:hAnsiTheme="majorBidi" w:cstheme="majorBidi"/>
                <w:spacing w:val="-2"/>
              </w:rPr>
              <w:t xml:space="preserve"> et </w:t>
            </w:r>
            <w:r w:rsidR="009B2302" w:rsidRPr="00043C85">
              <w:rPr>
                <w:rFonts w:asciiTheme="majorBidi" w:hAnsiTheme="majorBidi" w:cstheme="majorBidi"/>
                <w:spacing w:val="-2"/>
              </w:rPr>
              <w:t>« </w:t>
            </w:r>
            <w:r w:rsidRPr="00043C85">
              <w:rPr>
                <w:rFonts w:asciiTheme="majorBidi" w:hAnsiTheme="majorBidi" w:cstheme="majorBidi"/>
                <w:spacing w:val="-2"/>
              </w:rPr>
              <w:t>obligation</w:t>
            </w:r>
            <w:r w:rsidR="009B2302" w:rsidRPr="00043C85">
              <w:rPr>
                <w:rFonts w:asciiTheme="majorBidi" w:hAnsiTheme="majorBidi" w:cstheme="majorBidi"/>
                <w:spacing w:val="-2"/>
              </w:rPr>
              <w:t> »</w:t>
            </w:r>
            <w:r w:rsidRPr="00043C85">
              <w:rPr>
                <w:rFonts w:asciiTheme="majorBidi" w:hAnsiTheme="majorBidi" w:cstheme="majorBidi"/>
                <w:spacing w:val="-2"/>
              </w:rPr>
              <w:t xml:space="preserve"> se réfèrent au processus d’attribution ou à l’exécution du marché, et le terme </w:t>
            </w:r>
            <w:r w:rsidR="009B2302" w:rsidRPr="00EB4FEC">
              <w:rPr>
                <w:rFonts w:asciiTheme="majorBidi" w:hAnsiTheme="majorBidi" w:cstheme="majorBidi"/>
                <w:spacing w:val="-2"/>
              </w:rPr>
              <w:t>« </w:t>
            </w:r>
            <w:r w:rsidRPr="00EB4FEC">
              <w:rPr>
                <w:rFonts w:asciiTheme="majorBidi" w:hAnsiTheme="majorBidi" w:cstheme="majorBidi"/>
                <w:spacing w:val="-2"/>
              </w:rPr>
              <w:t>agit</w:t>
            </w:r>
            <w:r w:rsidR="009B2302" w:rsidRPr="00EB4FEC">
              <w:rPr>
                <w:rFonts w:asciiTheme="majorBidi" w:hAnsiTheme="majorBidi" w:cstheme="majorBidi"/>
                <w:spacing w:val="-2"/>
              </w:rPr>
              <w:t> »</w:t>
            </w:r>
            <w:r w:rsidRPr="00EB4FEC">
              <w:rPr>
                <w:rFonts w:asciiTheme="majorBidi" w:hAnsiTheme="majorBidi" w:cstheme="majorBidi"/>
                <w:spacing w:val="-2"/>
              </w:rPr>
              <w:t xml:space="preserve"> se réfère à</w:t>
            </w:r>
            <w:r w:rsidR="009B2302" w:rsidRPr="00EB4FEC">
              <w:rPr>
                <w:rFonts w:asciiTheme="majorBidi" w:hAnsiTheme="majorBidi" w:cstheme="majorBidi"/>
                <w:spacing w:val="-2"/>
              </w:rPr>
              <w:t xml:space="preserve"> </w:t>
            </w:r>
            <w:r w:rsidRPr="00EB4FEC">
              <w:rPr>
                <w:rFonts w:asciiTheme="majorBidi" w:hAnsiTheme="majorBidi" w:cstheme="majorBidi"/>
                <w:spacing w:val="-2"/>
              </w:rPr>
              <w:t>toute action ou omission destinée à influer sur l’attribution du marché ou son exécution)</w:t>
            </w:r>
            <w:r w:rsidR="009B2302" w:rsidRPr="00EB4FEC">
              <w:rPr>
                <w:rFonts w:asciiTheme="majorBidi" w:hAnsiTheme="majorBidi" w:cstheme="majorBidi"/>
                <w:spacing w:val="-2"/>
              </w:rPr>
              <w:t> ;</w:t>
            </w:r>
            <w:r w:rsidR="00E93C85" w:rsidRPr="00A67F27">
              <w:rPr>
                <w:rStyle w:val="Appelnotedebasdep"/>
                <w:spacing w:val="-2"/>
              </w:rPr>
              <w:footnoteReference w:id="21"/>
            </w:r>
          </w:p>
          <w:p w14:paraId="2F484B0E" w14:textId="671A76A4" w:rsidR="005A7E23" w:rsidRPr="00A67F27" w:rsidRDefault="005A7E23" w:rsidP="00AB60A2">
            <w:pPr>
              <w:tabs>
                <w:tab w:val="left" w:pos="1692"/>
              </w:tabs>
              <w:spacing w:after="160"/>
              <w:ind w:left="1484" w:hanging="522"/>
              <w:rPr>
                <w:rFonts w:asciiTheme="majorBidi" w:hAnsiTheme="majorBidi" w:cstheme="majorBidi"/>
              </w:rPr>
            </w:pPr>
            <w:r w:rsidRPr="00A67F27">
              <w:rPr>
                <w:rFonts w:asciiTheme="majorBidi" w:hAnsiTheme="majorBidi" w:cstheme="majorBidi"/>
                <w:color w:val="000000"/>
              </w:rPr>
              <w:t>(iii)</w:t>
            </w:r>
            <w:r w:rsidRPr="00A67F27">
              <w:rPr>
                <w:rFonts w:asciiTheme="majorBidi" w:hAnsiTheme="majorBidi" w:cstheme="majorBidi"/>
                <w:color w:val="000000"/>
              </w:rPr>
              <w:tab/>
              <w:t>se livrent</w:t>
            </w:r>
            <w:r w:rsidR="009B2302" w:rsidRPr="00A67F27">
              <w:rPr>
                <w:rFonts w:asciiTheme="majorBidi" w:hAnsiTheme="majorBidi" w:cstheme="majorBidi"/>
                <w:color w:val="000000"/>
              </w:rPr>
              <w:t xml:space="preserve"> </w:t>
            </w:r>
            <w:r w:rsidRPr="00A67F27">
              <w:rPr>
                <w:rFonts w:asciiTheme="majorBidi" w:hAnsiTheme="majorBidi" w:cstheme="majorBidi"/>
                <w:color w:val="000000"/>
              </w:rPr>
              <w:t>à des</w:t>
            </w:r>
            <w:r w:rsidR="009B2302" w:rsidRPr="00A67F27">
              <w:rPr>
                <w:rFonts w:asciiTheme="majorBidi" w:hAnsiTheme="majorBidi" w:cstheme="majorBidi"/>
                <w:color w:val="000000"/>
              </w:rPr>
              <w:t xml:space="preserve"> « </w:t>
            </w:r>
            <w:r w:rsidRPr="00A67F27">
              <w:rPr>
                <w:rFonts w:asciiTheme="majorBidi" w:hAnsiTheme="majorBidi" w:cstheme="majorBidi"/>
                <w:color w:val="000000"/>
              </w:rPr>
              <w:t>manœuvres collusoires</w:t>
            </w:r>
            <w:r w:rsidR="009B2302" w:rsidRPr="00A67F27">
              <w:rPr>
                <w:rFonts w:asciiTheme="majorBidi" w:hAnsiTheme="majorBidi" w:cstheme="majorBidi"/>
                <w:color w:val="000000"/>
              </w:rPr>
              <w:t xml:space="preserve"> » </w:t>
            </w:r>
            <w:r w:rsidRPr="00A67F27">
              <w:rPr>
                <w:rFonts w:asciiTheme="majorBidi" w:hAnsiTheme="majorBidi" w:cstheme="majorBidi"/>
                <w:color w:val="000000"/>
              </w:rPr>
              <w:t>les personnes ou entités qui s’entendent afin d’atteindre un objectif illicite, notamment en influant</w:t>
            </w:r>
            <w:r w:rsidR="009B2302" w:rsidRPr="00A67F27">
              <w:rPr>
                <w:rFonts w:asciiTheme="majorBidi" w:hAnsiTheme="majorBidi" w:cstheme="majorBidi"/>
                <w:color w:val="000000"/>
              </w:rPr>
              <w:t xml:space="preserve"> </w:t>
            </w:r>
            <w:r w:rsidRPr="00A67F27">
              <w:rPr>
                <w:rFonts w:asciiTheme="majorBidi" w:hAnsiTheme="majorBidi" w:cstheme="majorBidi"/>
                <w:color w:val="000000"/>
              </w:rPr>
              <w:t>indûment sur</w:t>
            </w:r>
            <w:r w:rsidR="009B2302" w:rsidRPr="00A67F27">
              <w:rPr>
                <w:rFonts w:asciiTheme="majorBidi" w:hAnsiTheme="majorBidi" w:cstheme="majorBidi"/>
                <w:color w:val="000000"/>
              </w:rPr>
              <w:t xml:space="preserve"> </w:t>
            </w:r>
            <w:r w:rsidRPr="00A67F27">
              <w:rPr>
                <w:rFonts w:asciiTheme="majorBidi" w:hAnsiTheme="majorBidi" w:cstheme="majorBidi"/>
                <w:color w:val="000000"/>
              </w:rPr>
              <w:t>l’action d’autres personnes ou entités (</w:t>
            </w:r>
            <w:r w:rsidRPr="00A67F27">
              <w:rPr>
                <w:rFonts w:asciiTheme="majorBidi" w:hAnsiTheme="majorBidi" w:cstheme="majorBidi"/>
              </w:rPr>
              <w:t xml:space="preserve">le terme </w:t>
            </w:r>
            <w:r w:rsidR="009B2302" w:rsidRPr="00435C9E">
              <w:rPr>
                <w:rFonts w:asciiTheme="majorBidi" w:hAnsiTheme="majorBidi" w:cstheme="majorBidi"/>
              </w:rPr>
              <w:t>« </w:t>
            </w:r>
            <w:r w:rsidRPr="00435C9E">
              <w:rPr>
                <w:rFonts w:asciiTheme="majorBidi" w:hAnsiTheme="majorBidi" w:cstheme="majorBidi"/>
              </w:rPr>
              <w:t>personnes ou entités</w:t>
            </w:r>
            <w:r w:rsidR="009B2302" w:rsidRPr="00435C9E">
              <w:rPr>
                <w:rFonts w:asciiTheme="majorBidi" w:hAnsiTheme="majorBidi" w:cstheme="majorBidi"/>
              </w:rPr>
              <w:t> »</w:t>
            </w:r>
            <w:r w:rsidRPr="00435C9E">
              <w:rPr>
                <w:rFonts w:asciiTheme="majorBidi" w:hAnsiTheme="majorBidi" w:cstheme="majorBidi"/>
              </w:rPr>
              <w:t xml:space="preserve"> fait référence à toutes les personnes ou entités qui participent au processus d’attribution des marchés, soit</w:t>
            </w:r>
            <w:r w:rsidR="009B2302" w:rsidRPr="00435C9E">
              <w:rPr>
                <w:rFonts w:asciiTheme="majorBidi" w:hAnsiTheme="majorBidi" w:cstheme="majorBidi"/>
              </w:rPr>
              <w:t xml:space="preserve"> </w:t>
            </w:r>
            <w:r w:rsidRPr="00435C9E">
              <w:rPr>
                <w:rFonts w:asciiTheme="majorBidi" w:hAnsiTheme="majorBidi" w:cstheme="majorBidi"/>
              </w:rPr>
              <w:t>en tant qu’ attributaires potentiels, soit en tant qu’agents publics, et entreprennent d’établir le montant des offres à un niveau artificiel et non compétitif et qui tentent soit elles-mêmes, soit par l’intermédiaire d’une personne ou entité ne participant pas au processus de passation des marchés, de simuler la concurrence ou de fixer le montant des offres à un niveau artificiel ou non-compétitif , ou qui se tiennent au courant du montant ou des autres conditions de leurs offres respectives)</w:t>
            </w:r>
            <w:r w:rsidR="009B2302" w:rsidRPr="00435C9E">
              <w:rPr>
                <w:rFonts w:asciiTheme="majorBidi" w:hAnsiTheme="majorBidi" w:cstheme="majorBidi"/>
              </w:rPr>
              <w:t xml:space="preserve"> ;</w:t>
            </w:r>
            <w:r w:rsidR="00D93B60" w:rsidRPr="00A67F27">
              <w:rPr>
                <w:rStyle w:val="Appelnotedebasdep"/>
                <w:sz w:val="23"/>
                <w:szCs w:val="23"/>
              </w:rPr>
              <w:footnoteReference w:id="22"/>
            </w:r>
          </w:p>
          <w:p w14:paraId="03741EF9" w14:textId="12BB3455" w:rsidR="005A7E23" w:rsidRPr="00A67F27" w:rsidRDefault="005A7E23" w:rsidP="00D93B60">
            <w:pPr>
              <w:tabs>
                <w:tab w:val="left" w:pos="1692"/>
              </w:tabs>
              <w:spacing w:after="160"/>
              <w:ind w:left="1484" w:hanging="522"/>
              <w:rPr>
                <w:rFonts w:asciiTheme="majorBidi" w:hAnsiTheme="majorBidi" w:cstheme="majorBidi"/>
              </w:rPr>
            </w:pPr>
            <w:r w:rsidRPr="00A67F27">
              <w:rPr>
                <w:rFonts w:asciiTheme="majorBidi" w:hAnsiTheme="majorBidi" w:cstheme="majorBidi"/>
              </w:rPr>
              <w:t xml:space="preserve">(iv) </w:t>
            </w:r>
            <w:r w:rsidRPr="00A67F27">
              <w:rPr>
                <w:rFonts w:asciiTheme="majorBidi" w:hAnsiTheme="majorBidi" w:cstheme="majorBidi"/>
              </w:rPr>
              <w:tab/>
              <w:t>se livre</w:t>
            </w:r>
            <w:r w:rsidR="009B2302" w:rsidRPr="00A67F27">
              <w:rPr>
                <w:rFonts w:asciiTheme="majorBidi" w:hAnsiTheme="majorBidi" w:cstheme="majorBidi"/>
              </w:rPr>
              <w:t xml:space="preserve"> </w:t>
            </w:r>
            <w:r w:rsidRPr="00A67F27">
              <w:rPr>
                <w:rFonts w:asciiTheme="majorBidi" w:hAnsiTheme="majorBidi" w:cstheme="majorBidi"/>
              </w:rPr>
              <w:t>à des</w:t>
            </w:r>
            <w:r w:rsidR="009B2302" w:rsidRPr="00A67F27">
              <w:rPr>
                <w:rFonts w:asciiTheme="majorBidi" w:hAnsiTheme="majorBidi" w:cstheme="majorBidi"/>
              </w:rPr>
              <w:t xml:space="preserve"> « </w:t>
            </w:r>
            <w:r w:rsidRPr="00A67F27">
              <w:rPr>
                <w:rFonts w:asciiTheme="majorBidi" w:hAnsiTheme="majorBidi" w:cstheme="majorBidi"/>
              </w:rPr>
              <w:t>manœuvres coercitives</w:t>
            </w:r>
            <w:r w:rsidR="009B2302" w:rsidRPr="00A67F27">
              <w:rPr>
                <w:rFonts w:asciiTheme="majorBidi" w:hAnsiTheme="majorBidi" w:cstheme="majorBidi"/>
              </w:rPr>
              <w:t> »</w:t>
            </w:r>
            <w:r w:rsidRPr="00A67F27">
              <w:rPr>
                <w:rFonts w:asciiTheme="majorBidi" w:hAnsiTheme="majorBidi" w:cstheme="majorBidi"/>
              </w:rPr>
              <w:t xml:space="preserve"> quiconque nuit ou porte préjudice, ou menace de nuire ou de porter préjudice, directement ou indirectement, à une personne ou à ses biens en vue d’en influer indûment les actions</w:t>
            </w:r>
            <w:r w:rsidR="009B2302" w:rsidRPr="00A67F27">
              <w:rPr>
                <w:rFonts w:asciiTheme="majorBidi" w:hAnsiTheme="majorBidi" w:cstheme="majorBidi"/>
              </w:rPr>
              <w:t xml:space="preserve"> </w:t>
            </w:r>
            <w:r w:rsidRPr="00A67F27">
              <w:rPr>
                <w:rFonts w:asciiTheme="majorBidi" w:hAnsiTheme="majorBidi" w:cstheme="majorBidi"/>
              </w:rPr>
              <w:t xml:space="preserve">(le terme </w:t>
            </w:r>
            <w:r w:rsidR="009B2302" w:rsidRPr="00A67F27">
              <w:rPr>
                <w:rFonts w:asciiTheme="majorBidi" w:hAnsiTheme="majorBidi" w:cstheme="majorBidi"/>
              </w:rPr>
              <w:t>« </w:t>
            </w:r>
            <w:r w:rsidRPr="00A67F27">
              <w:rPr>
                <w:rFonts w:asciiTheme="majorBidi" w:hAnsiTheme="majorBidi" w:cstheme="majorBidi"/>
              </w:rPr>
              <w:t>personne</w:t>
            </w:r>
            <w:r w:rsidR="009B2302" w:rsidRPr="00A67F27">
              <w:rPr>
                <w:rFonts w:asciiTheme="majorBidi" w:hAnsiTheme="majorBidi" w:cstheme="majorBidi"/>
              </w:rPr>
              <w:t> »</w:t>
            </w:r>
            <w:r w:rsidRPr="00435C9E">
              <w:rPr>
                <w:rFonts w:asciiTheme="majorBidi" w:hAnsiTheme="majorBidi" w:cstheme="majorBidi"/>
              </w:rPr>
              <w:t xml:space="preserve"> fait référence à toute personne</w:t>
            </w:r>
            <w:r w:rsidR="009B2302" w:rsidRPr="00435C9E">
              <w:rPr>
                <w:rFonts w:asciiTheme="majorBidi" w:hAnsiTheme="majorBidi" w:cstheme="majorBidi"/>
              </w:rPr>
              <w:t xml:space="preserve"> </w:t>
            </w:r>
            <w:r w:rsidRPr="00435C9E">
              <w:rPr>
                <w:rFonts w:asciiTheme="majorBidi" w:hAnsiTheme="majorBidi" w:cstheme="majorBidi"/>
              </w:rPr>
              <w:t>qui participe au processus d’attribution des marchés ou à leur exécution)</w:t>
            </w:r>
            <w:r w:rsidR="009B2302" w:rsidRPr="00435C9E">
              <w:rPr>
                <w:rFonts w:asciiTheme="majorBidi" w:hAnsiTheme="majorBidi" w:cstheme="majorBidi"/>
              </w:rPr>
              <w:t> ;</w:t>
            </w:r>
            <w:r w:rsidR="00D93B60" w:rsidRPr="00A67F27">
              <w:rPr>
                <w:rStyle w:val="Appelnotedebasdep"/>
              </w:rPr>
              <w:footnoteReference w:id="23"/>
            </w:r>
            <w:r w:rsidRPr="00A67F27">
              <w:rPr>
                <w:rFonts w:asciiTheme="majorBidi" w:hAnsiTheme="majorBidi" w:cstheme="majorBidi"/>
              </w:rPr>
              <w:t xml:space="preserve"> et</w:t>
            </w:r>
          </w:p>
          <w:p w14:paraId="18D4E37E" w14:textId="09842259" w:rsidR="005A7E23" w:rsidRPr="00A67F27" w:rsidRDefault="005A7E23" w:rsidP="00AB60A2">
            <w:pPr>
              <w:tabs>
                <w:tab w:val="left" w:pos="1692"/>
              </w:tabs>
              <w:spacing w:after="160"/>
              <w:ind w:left="1484" w:hanging="522"/>
              <w:rPr>
                <w:rFonts w:asciiTheme="majorBidi" w:hAnsiTheme="majorBidi" w:cstheme="majorBidi"/>
                <w:color w:val="000000"/>
              </w:rPr>
            </w:pPr>
            <w:r w:rsidRPr="00A67F27">
              <w:rPr>
                <w:rFonts w:asciiTheme="majorBidi" w:hAnsiTheme="majorBidi" w:cstheme="majorBidi"/>
                <w:color w:val="000000"/>
              </w:rPr>
              <w:t xml:space="preserve">(v) </w:t>
            </w:r>
            <w:r w:rsidRPr="00A67F27">
              <w:rPr>
                <w:rFonts w:asciiTheme="majorBidi" w:hAnsiTheme="majorBidi" w:cstheme="majorBidi"/>
                <w:color w:val="000000"/>
              </w:rPr>
              <w:tab/>
              <w:t xml:space="preserve">et se livre à des </w:t>
            </w:r>
            <w:r w:rsidR="009B2302" w:rsidRPr="00A67F27">
              <w:rPr>
                <w:rFonts w:asciiTheme="majorBidi" w:hAnsiTheme="majorBidi" w:cstheme="majorBidi"/>
                <w:color w:val="000000"/>
              </w:rPr>
              <w:t>« </w:t>
            </w:r>
            <w:r w:rsidRPr="00A67F27">
              <w:rPr>
                <w:rFonts w:asciiTheme="majorBidi" w:hAnsiTheme="majorBidi" w:cstheme="majorBidi"/>
                <w:color w:val="000000"/>
              </w:rPr>
              <w:t>manœuvres obstructives</w:t>
            </w:r>
            <w:r w:rsidR="009B2302" w:rsidRPr="00A67F27">
              <w:rPr>
                <w:rFonts w:asciiTheme="majorBidi" w:hAnsiTheme="majorBidi" w:cstheme="majorBidi"/>
                <w:color w:val="000000"/>
              </w:rPr>
              <w:t> »</w:t>
            </w:r>
          </w:p>
          <w:p w14:paraId="3A28129E" w14:textId="35945593" w:rsidR="005A7E23" w:rsidRPr="00435C9E" w:rsidRDefault="005A7E23" w:rsidP="001F44BA">
            <w:pPr>
              <w:spacing w:after="160"/>
              <w:ind w:left="2212" w:hanging="720"/>
              <w:rPr>
                <w:rFonts w:asciiTheme="majorBidi" w:hAnsiTheme="majorBidi" w:cstheme="majorBidi"/>
                <w:color w:val="000000"/>
              </w:rPr>
            </w:pPr>
            <w:r w:rsidRPr="00A67F27">
              <w:rPr>
                <w:rFonts w:asciiTheme="majorBidi" w:hAnsiTheme="majorBidi" w:cstheme="majorBidi"/>
                <w:color w:val="000000"/>
              </w:rPr>
              <w:t>(</w:t>
            </w:r>
            <w:proofErr w:type="spellStart"/>
            <w:r w:rsidRPr="00A67F27">
              <w:rPr>
                <w:rFonts w:asciiTheme="majorBidi" w:hAnsiTheme="majorBidi" w:cstheme="majorBidi"/>
                <w:color w:val="000000"/>
              </w:rPr>
              <w:t>aa</w:t>
            </w:r>
            <w:proofErr w:type="spellEnd"/>
            <w:r w:rsidRPr="00A67F27">
              <w:rPr>
                <w:rFonts w:asciiTheme="majorBidi" w:hAnsiTheme="majorBidi" w:cstheme="majorBidi"/>
                <w:color w:val="000000"/>
              </w:rPr>
              <w:t>)</w:t>
            </w:r>
            <w:r w:rsidRPr="00A67F27">
              <w:rPr>
                <w:rFonts w:asciiTheme="majorBidi" w:hAnsiTheme="majorBidi" w:cstheme="majorBidi"/>
                <w:color w:val="000000"/>
              </w:rPr>
              <w:tab/>
              <w:t>quiconque détruit, falsifie, altère ou dissimule délibérément les preuves sur lesquelles se base une enquête de la Banque en matière de corruption ou de manœuvres frauduleuses, coercitives ou collusives, ou fait de fausses déclarations à ses enquêteurs destinées à entraver son enquête</w:t>
            </w:r>
            <w:r w:rsidR="009B2302" w:rsidRPr="00A67F27">
              <w:rPr>
                <w:rFonts w:asciiTheme="majorBidi" w:hAnsiTheme="majorBidi" w:cstheme="majorBidi"/>
                <w:color w:val="000000"/>
              </w:rPr>
              <w:t> ;</w:t>
            </w:r>
            <w:r w:rsidRPr="00A67F27">
              <w:rPr>
                <w:rFonts w:asciiTheme="majorBidi" w:hAnsiTheme="majorBidi" w:cstheme="majorBidi"/>
                <w:color w:val="000000"/>
              </w:rPr>
              <w:t xml:space="preserve"> ou bien</w:t>
            </w:r>
            <w:r w:rsidR="009B2302" w:rsidRPr="00A67F27">
              <w:rPr>
                <w:rFonts w:asciiTheme="majorBidi" w:hAnsiTheme="majorBidi" w:cstheme="majorBidi"/>
                <w:color w:val="000000"/>
              </w:rPr>
              <w:t xml:space="preserve"> </w:t>
            </w:r>
            <w:r w:rsidRPr="00A67F27">
              <w:rPr>
                <w:rFonts w:asciiTheme="majorBidi" w:hAnsiTheme="majorBidi" w:cstheme="majorBidi"/>
                <w:color w:val="000000"/>
              </w:rPr>
              <w:t>menace,</w:t>
            </w:r>
            <w:r w:rsidRPr="00A67F27">
              <w:rPr>
                <w:rFonts w:asciiTheme="majorBidi" w:hAnsiTheme="majorBidi" w:cstheme="majorBidi"/>
                <w:b/>
                <w:color w:val="000000"/>
              </w:rPr>
              <w:t xml:space="preserve"> </w:t>
            </w:r>
            <w:r w:rsidRPr="00435C9E">
              <w:rPr>
                <w:rFonts w:asciiTheme="majorBidi" w:hAnsiTheme="majorBidi" w:cstheme="majorBidi"/>
                <w:color w:val="000000"/>
              </w:rPr>
              <w:t>harcèle ou intimide quelqu’un aux fins de l’empêcher de faire part d’informations relatives à cette enquête, ou bien de poursuivre l’enquête</w:t>
            </w:r>
            <w:r w:rsidR="009B2302" w:rsidRPr="00435C9E">
              <w:rPr>
                <w:rFonts w:asciiTheme="majorBidi" w:hAnsiTheme="majorBidi" w:cstheme="majorBidi"/>
                <w:color w:val="000000"/>
              </w:rPr>
              <w:t> ;</w:t>
            </w:r>
            <w:r w:rsidRPr="00435C9E">
              <w:rPr>
                <w:rFonts w:asciiTheme="majorBidi" w:hAnsiTheme="majorBidi" w:cstheme="majorBidi"/>
                <w:color w:val="000000"/>
              </w:rPr>
              <w:t xml:space="preserve"> ou</w:t>
            </w:r>
            <w:r w:rsidR="009B2302" w:rsidRPr="00435C9E">
              <w:rPr>
                <w:rFonts w:asciiTheme="majorBidi" w:hAnsiTheme="majorBidi" w:cstheme="majorBidi"/>
                <w:color w:val="000000"/>
              </w:rPr>
              <w:t xml:space="preserve">  </w:t>
            </w:r>
          </w:p>
          <w:p w14:paraId="2E5F19EE" w14:textId="0FDA180A" w:rsidR="005A7E23" w:rsidRPr="00435C9E" w:rsidRDefault="005A7E23" w:rsidP="001F44BA">
            <w:pPr>
              <w:tabs>
                <w:tab w:val="left" w:pos="576"/>
              </w:tabs>
              <w:spacing w:after="160"/>
              <w:ind w:left="2212" w:hanging="648"/>
              <w:rPr>
                <w:rFonts w:asciiTheme="majorBidi" w:hAnsiTheme="majorBidi" w:cstheme="majorBidi"/>
              </w:rPr>
            </w:pPr>
            <w:r w:rsidRPr="00435C9E">
              <w:rPr>
                <w:rFonts w:asciiTheme="majorBidi" w:hAnsiTheme="majorBidi" w:cstheme="majorBidi"/>
                <w:color w:val="000000"/>
              </w:rPr>
              <w:t>(</w:t>
            </w:r>
            <w:proofErr w:type="spellStart"/>
            <w:r w:rsidRPr="00435C9E">
              <w:rPr>
                <w:rFonts w:asciiTheme="majorBidi" w:hAnsiTheme="majorBidi" w:cstheme="majorBidi"/>
                <w:color w:val="000000"/>
              </w:rPr>
              <w:t>bb</w:t>
            </w:r>
            <w:proofErr w:type="spellEnd"/>
            <w:r w:rsidRPr="00435C9E">
              <w:rPr>
                <w:rFonts w:asciiTheme="majorBidi" w:hAnsiTheme="majorBidi" w:cstheme="majorBidi"/>
                <w:color w:val="000000"/>
              </w:rPr>
              <w:t xml:space="preserve">) </w:t>
            </w:r>
            <w:r w:rsidRPr="00435C9E">
              <w:rPr>
                <w:rFonts w:asciiTheme="majorBidi" w:hAnsiTheme="majorBidi" w:cstheme="majorBidi"/>
                <w:color w:val="000000"/>
              </w:rPr>
              <w:tab/>
              <w:t>celui qui entrave délibérément l’exercice par la Banque de son droit d’examen tel que stipulé au paragraphe 1.16 (e) ci-dessous</w:t>
            </w:r>
            <w:r w:rsidR="009B2302" w:rsidRPr="00435C9E">
              <w:rPr>
                <w:rFonts w:asciiTheme="majorBidi" w:hAnsiTheme="majorBidi" w:cstheme="majorBidi"/>
              </w:rPr>
              <w:t> ;</w:t>
            </w:r>
            <w:r w:rsidRPr="00435C9E">
              <w:rPr>
                <w:rFonts w:asciiTheme="majorBidi" w:hAnsiTheme="majorBidi" w:cstheme="majorBidi"/>
              </w:rPr>
              <w:t xml:space="preserve"> et</w:t>
            </w:r>
          </w:p>
          <w:p w14:paraId="117293D5" w14:textId="23375802" w:rsidR="005A7E23" w:rsidRPr="001627D7" w:rsidRDefault="005A7E23" w:rsidP="00520988">
            <w:pPr>
              <w:pStyle w:val="Corpsdetexte"/>
              <w:numPr>
                <w:ilvl w:val="0"/>
                <w:numId w:val="21"/>
              </w:numPr>
              <w:tabs>
                <w:tab w:val="left" w:pos="576"/>
              </w:tabs>
              <w:overflowPunct w:val="0"/>
              <w:autoSpaceDE w:val="0"/>
              <w:autoSpaceDN w:val="0"/>
              <w:adjustRightInd w:val="0"/>
              <w:spacing w:after="160"/>
              <w:ind w:left="938" w:hanging="364"/>
              <w:textAlignment w:val="baseline"/>
              <w:rPr>
                <w:rFonts w:asciiTheme="majorBidi" w:hAnsiTheme="majorBidi" w:cstheme="majorBidi"/>
                <w:lang w:val="fr-FR"/>
              </w:rPr>
            </w:pPr>
            <w:r w:rsidRPr="00435C9E">
              <w:rPr>
                <w:rFonts w:asciiTheme="majorBidi" w:hAnsiTheme="majorBidi" w:cstheme="majorBidi"/>
                <w:lang w:val="fr-FR"/>
              </w:rPr>
              <w:t>rejettera la proposition d’attribution du marché si elle établit que le soumissionnaire auquel il est recommandé d’attribuer le marché est coupable de corruption, directement ou par l’intermédiaire d’un agent, ou s’est</w:t>
            </w:r>
            <w:r w:rsidR="009B2302" w:rsidRPr="00435C9E">
              <w:rPr>
                <w:rFonts w:asciiTheme="majorBidi" w:hAnsiTheme="majorBidi" w:cstheme="majorBidi"/>
                <w:lang w:val="fr-FR"/>
              </w:rPr>
              <w:t xml:space="preserve"> </w:t>
            </w:r>
            <w:r w:rsidRPr="00435C9E">
              <w:rPr>
                <w:rFonts w:asciiTheme="majorBidi" w:hAnsiTheme="majorBidi" w:cstheme="majorBidi"/>
                <w:lang w:val="fr-FR"/>
              </w:rPr>
              <w:t>livré à des manœuvres frauduleuses, collusoires, coercitives ou obstructives en vue de l’obtention de ce marché</w:t>
            </w:r>
            <w:r w:rsidR="009B2302" w:rsidRPr="00435C9E">
              <w:rPr>
                <w:rFonts w:asciiTheme="majorBidi" w:hAnsiTheme="majorBidi" w:cstheme="majorBidi"/>
                <w:lang w:val="fr-FR"/>
              </w:rPr>
              <w:t> ;</w:t>
            </w:r>
            <w:r w:rsidRPr="001627D7">
              <w:rPr>
                <w:rFonts w:asciiTheme="majorBidi" w:hAnsiTheme="majorBidi" w:cstheme="majorBidi"/>
                <w:lang w:val="fr-FR"/>
              </w:rPr>
              <w:t xml:space="preserve"> </w:t>
            </w:r>
          </w:p>
          <w:p w14:paraId="739E1A15" w14:textId="661EA895" w:rsidR="005A7E23" w:rsidRPr="00442531" w:rsidRDefault="005A7E23" w:rsidP="00520988">
            <w:pPr>
              <w:pStyle w:val="Corpsdetexte"/>
              <w:numPr>
                <w:ilvl w:val="0"/>
                <w:numId w:val="21"/>
              </w:numPr>
              <w:tabs>
                <w:tab w:val="left" w:pos="576"/>
              </w:tabs>
              <w:overflowPunct w:val="0"/>
              <w:autoSpaceDE w:val="0"/>
              <w:autoSpaceDN w:val="0"/>
              <w:adjustRightInd w:val="0"/>
              <w:spacing w:after="160"/>
              <w:ind w:left="938" w:hanging="364"/>
              <w:textAlignment w:val="baseline"/>
              <w:rPr>
                <w:rFonts w:asciiTheme="majorBidi" w:hAnsiTheme="majorBidi" w:cstheme="majorBidi"/>
                <w:lang w:val="fr-FR"/>
              </w:rPr>
            </w:pPr>
            <w:r w:rsidRPr="00043C85">
              <w:rPr>
                <w:rFonts w:asciiTheme="majorBidi" w:hAnsiTheme="majorBidi" w:cstheme="majorBidi"/>
                <w:lang w:val="fr-FR"/>
              </w:rPr>
              <w:t>déclarera la passation du marché non-conforme et annulera la fraction du prêt allouée à celui-ci si elle détermine, à un moment quelconque, que les représentants de l’Emprunteur ou d’un bénéficiaire du prêt s’est livré à la corruption ou à des manœuvres frauduleuses, collusoires ou coercitives pendant la procédure de passation du marché ou l’exécution du marché sans que l’Emprunteur ait pris, en temps voulu et à la satisfaction de la Banque, les mesures nécessaires pour remédier à cette situation , y compris en manquant à son devoir d’informer la Banque lorsqu’il a eu connaissance de telles manœuvres</w:t>
            </w:r>
            <w:r w:rsidR="009B2302" w:rsidRPr="00442531">
              <w:rPr>
                <w:rFonts w:asciiTheme="majorBidi" w:hAnsiTheme="majorBidi" w:cstheme="majorBidi"/>
                <w:lang w:val="fr-FR"/>
              </w:rPr>
              <w:t> ;</w:t>
            </w:r>
          </w:p>
          <w:p w14:paraId="135B9151" w14:textId="5C337321" w:rsidR="005A7E23" w:rsidRPr="00A67F27" w:rsidRDefault="005A7E23" w:rsidP="00520988">
            <w:pPr>
              <w:pStyle w:val="Corpsdetexte"/>
              <w:numPr>
                <w:ilvl w:val="0"/>
                <w:numId w:val="21"/>
              </w:numPr>
              <w:tabs>
                <w:tab w:val="left" w:pos="576"/>
              </w:tabs>
              <w:overflowPunct w:val="0"/>
              <w:autoSpaceDE w:val="0"/>
              <w:autoSpaceDN w:val="0"/>
              <w:adjustRightInd w:val="0"/>
              <w:spacing w:after="160"/>
              <w:ind w:left="952" w:hanging="364"/>
              <w:textAlignment w:val="baseline"/>
              <w:rPr>
                <w:rFonts w:asciiTheme="majorBidi" w:hAnsiTheme="majorBidi" w:cstheme="majorBidi"/>
                <w:szCs w:val="24"/>
                <w:lang w:val="fr-FR"/>
              </w:rPr>
            </w:pPr>
            <w:r w:rsidRPr="00442531">
              <w:rPr>
                <w:rFonts w:asciiTheme="majorBidi" w:hAnsiTheme="majorBidi" w:cstheme="majorBidi"/>
                <w:lang w:val="fr-FR"/>
              </w:rPr>
              <w:t xml:space="preserve">sanctionnera une entreprise </w:t>
            </w:r>
            <w:r w:rsidRPr="00132A9B">
              <w:rPr>
                <w:rFonts w:asciiTheme="majorBidi" w:hAnsiTheme="majorBidi" w:cstheme="majorBidi"/>
                <w:szCs w:val="24"/>
                <w:lang w:val="fr-FR"/>
              </w:rPr>
              <w:t>ou un individu, à tout moment et conformément aux procédures de sanctions de la Banque</w:t>
            </w:r>
            <w:r w:rsidR="001F44BA" w:rsidRPr="00A67F27">
              <w:rPr>
                <w:rStyle w:val="Appelnotedebasdep"/>
                <w:lang w:val="fr-FR"/>
              </w:rPr>
              <w:footnoteReference w:id="24"/>
            </w:r>
            <w:r w:rsidRPr="00A67F27">
              <w:rPr>
                <w:rFonts w:asciiTheme="majorBidi" w:hAnsiTheme="majorBidi" w:cstheme="majorBidi"/>
                <w:szCs w:val="24"/>
                <w:lang w:val="fr-FR"/>
              </w:rPr>
              <w:t>, y compris en déclarant publiquement l’exclusion de l’entreprise ou de l’individu pour une période indéfinie ou déterminée (i) de toute attribution des marchés financés par la Banque, et (ii)</w:t>
            </w:r>
            <w:r w:rsidR="009B2302" w:rsidRPr="00A67F27">
              <w:rPr>
                <w:rFonts w:asciiTheme="majorBidi" w:hAnsiTheme="majorBidi" w:cstheme="majorBidi"/>
                <w:szCs w:val="24"/>
                <w:lang w:val="fr-FR"/>
              </w:rPr>
              <w:t xml:space="preserve"> </w:t>
            </w:r>
            <w:r w:rsidRPr="00A67F27">
              <w:rPr>
                <w:rFonts w:asciiTheme="majorBidi" w:hAnsiTheme="majorBidi" w:cstheme="majorBidi"/>
                <w:szCs w:val="24"/>
                <w:lang w:val="fr-FR"/>
              </w:rPr>
              <w:t>de toute désignation</w:t>
            </w:r>
            <w:r w:rsidRPr="00A67F27">
              <w:rPr>
                <w:rStyle w:val="Appelnotedebasdep"/>
                <w:rFonts w:asciiTheme="majorBidi" w:hAnsiTheme="majorBidi" w:cstheme="majorBidi"/>
                <w:szCs w:val="24"/>
                <w:lang w:val="fr-FR"/>
              </w:rPr>
              <w:footnoteReference w:id="25"/>
            </w:r>
            <w:r w:rsidR="009B2302" w:rsidRPr="00A67F27">
              <w:rPr>
                <w:rFonts w:asciiTheme="majorBidi" w:hAnsiTheme="majorBidi" w:cstheme="majorBidi"/>
                <w:szCs w:val="24"/>
                <w:lang w:val="fr-FR"/>
              </w:rPr>
              <w:t xml:space="preserve"> </w:t>
            </w:r>
            <w:r w:rsidRPr="00A67F27">
              <w:rPr>
                <w:rFonts w:asciiTheme="majorBidi" w:hAnsiTheme="majorBidi" w:cstheme="majorBidi"/>
                <w:szCs w:val="24"/>
                <w:lang w:val="fr-FR"/>
              </w:rPr>
              <w:t>comme sous-traitant, consultant, fabricant ou fournisseur de biens ou prestataire de services d’une entreprise par ailleurs éligible à l’attribution d’un marché financé par la Banque</w:t>
            </w:r>
            <w:r w:rsidR="009B2302" w:rsidRPr="00A67F27">
              <w:rPr>
                <w:rFonts w:asciiTheme="majorBidi" w:hAnsiTheme="majorBidi" w:cstheme="majorBidi"/>
                <w:szCs w:val="24"/>
                <w:lang w:val="fr-FR"/>
              </w:rPr>
              <w:t> ;</w:t>
            </w:r>
            <w:r w:rsidRPr="00A67F27">
              <w:rPr>
                <w:rFonts w:asciiTheme="majorBidi" w:hAnsiTheme="majorBidi" w:cstheme="majorBidi"/>
                <w:szCs w:val="24"/>
                <w:lang w:val="fr-FR"/>
              </w:rPr>
              <w:t xml:space="preserve"> </w:t>
            </w:r>
          </w:p>
          <w:p w14:paraId="3AE2834D" w14:textId="43C1DCDB" w:rsidR="005A7E23" w:rsidRPr="00435C9E" w:rsidRDefault="005A7E23" w:rsidP="00520988">
            <w:pPr>
              <w:pStyle w:val="Corpsdetexte"/>
              <w:numPr>
                <w:ilvl w:val="0"/>
                <w:numId w:val="21"/>
              </w:numPr>
              <w:tabs>
                <w:tab w:val="left" w:pos="576"/>
              </w:tabs>
              <w:overflowPunct w:val="0"/>
              <w:autoSpaceDE w:val="0"/>
              <w:autoSpaceDN w:val="0"/>
              <w:adjustRightInd w:val="0"/>
              <w:spacing w:after="160"/>
              <w:ind w:left="952" w:hanging="364"/>
              <w:textAlignment w:val="baseline"/>
              <w:rPr>
                <w:rFonts w:asciiTheme="majorBidi" w:hAnsiTheme="majorBidi" w:cstheme="majorBidi"/>
                <w:lang w:val="fr-FR"/>
              </w:rPr>
            </w:pPr>
            <w:r w:rsidRPr="00A67F27">
              <w:rPr>
                <w:rFonts w:asciiTheme="majorBidi" w:hAnsiTheme="majorBidi" w:cstheme="majorBidi"/>
                <w:lang w:val="fr-FR"/>
              </w:rPr>
              <w:t>pourra exiger que les dossiers d’appel d’offres et les marchés financés par la Banque contiennent une</w:t>
            </w:r>
            <w:r w:rsidR="009B2302" w:rsidRPr="00A67F27">
              <w:rPr>
                <w:rFonts w:asciiTheme="majorBidi" w:hAnsiTheme="majorBidi" w:cstheme="majorBidi"/>
                <w:lang w:val="fr-FR"/>
              </w:rPr>
              <w:t xml:space="preserve"> </w:t>
            </w:r>
            <w:r w:rsidRPr="00A67F27">
              <w:rPr>
                <w:rFonts w:asciiTheme="majorBidi" w:hAnsiTheme="majorBidi" w:cstheme="majorBidi"/>
                <w:lang w:val="fr-FR"/>
              </w:rPr>
              <w:t>disposition requérant des</w:t>
            </w:r>
            <w:r w:rsidR="009B2302" w:rsidRPr="00A67F27">
              <w:rPr>
                <w:rFonts w:asciiTheme="majorBidi" w:hAnsiTheme="majorBidi" w:cstheme="majorBidi"/>
                <w:lang w:val="fr-FR"/>
              </w:rPr>
              <w:t xml:space="preserve"> </w:t>
            </w:r>
            <w:r w:rsidRPr="00A67F27">
              <w:rPr>
                <w:rFonts w:asciiTheme="majorBidi" w:hAnsiTheme="majorBidi" w:cstheme="majorBidi"/>
                <w:lang w:val="fr-FR"/>
              </w:rPr>
              <w:t>soumissionnaires, fournisseurs et entrepreneurs qu’ils</w:t>
            </w:r>
            <w:r w:rsidR="009B2302" w:rsidRPr="00A67F27">
              <w:rPr>
                <w:rFonts w:asciiTheme="majorBidi" w:hAnsiTheme="majorBidi" w:cstheme="majorBidi"/>
                <w:lang w:val="fr-FR"/>
              </w:rPr>
              <w:t xml:space="preserve"> </w:t>
            </w:r>
            <w:r w:rsidRPr="00A67F27">
              <w:rPr>
                <w:rFonts w:asciiTheme="majorBidi" w:hAnsiTheme="majorBidi" w:cstheme="majorBidi"/>
                <w:lang w:val="fr-FR"/>
              </w:rPr>
              <w:t>autorisent la Banque à examiner les documents et pièces comptables et autres documents relatifs à la soumission de l’offre et à l’exécution du marché et de les soumettre pour vérification à des auditeurs désignés par la Banque.</w:t>
            </w:r>
            <w:r w:rsidRPr="00435C9E">
              <w:rPr>
                <w:rFonts w:asciiTheme="majorBidi" w:hAnsiTheme="majorBidi" w:cstheme="majorBidi"/>
                <w:lang w:val="fr-FR"/>
              </w:rPr>
              <w:t xml:space="preserve"> </w:t>
            </w:r>
          </w:p>
        </w:tc>
      </w:tr>
      <w:tr w:rsidR="005A7E23" w:rsidRPr="00A67F27" w14:paraId="64A8C57D" w14:textId="77777777" w:rsidTr="006372B7">
        <w:tc>
          <w:tcPr>
            <w:tcW w:w="9630" w:type="dxa"/>
          </w:tcPr>
          <w:p w14:paraId="4735591F" w14:textId="77777777" w:rsidR="005A7E23" w:rsidRPr="00A67F27" w:rsidRDefault="005A7E23" w:rsidP="006372B7">
            <w:pPr>
              <w:pStyle w:val="Corpsdetexte"/>
              <w:tabs>
                <w:tab w:val="left" w:pos="576"/>
              </w:tabs>
              <w:rPr>
                <w:rFonts w:asciiTheme="majorBidi" w:hAnsiTheme="majorBidi" w:cstheme="majorBidi"/>
                <w:i/>
                <w:spacing w:val="-4"/>
                <w:lang w:val="fr-FR"/>
              </w:rPr>
            </w:pPr>
          </w:p>
        </w:tc>
      </w:tr>
      <w:tr w:rsidR="005A7E23" w:rsidRPr="00A67F27" w14:paraId="44BD9E9C" w14:textId="77777777" w:rsidTr="006372B7">
        <w:tc>
          <w:tcPr>
            <w:tcW w:w="9630" w:type="dxa"/>
          </w:tcPr>
          <w:p w14:paraId="39AD3456" w14:textId="77777777" w:rsidR="005A7E23" w:rsidRPr="00A67F27" w:rsidRDefault="005A7E23" w:rsidP="006372B7">
            <w:pPr>
              <w:pStyle w:val="Corpsdetexte"/>
              <w:tabs>
                <w:tab w:val="left" w:pos="576"/>
              </w:tabs>
              <w:rPr>
                <w:rFonts w:asciiTheme="majorBidi" w:hAnsiTheme="majorBidi" w:cstheme="majorBidi"/>
                <w:i/>
                <w:spacing w:val="-4"/>
                <w:lang w:val="fr-FR"/>
              </w:rPr>
            </w:pPr>
          </w:p>
        </w:tc>
      </w:tr>
    </w:tbl>
    <w:p w14:paraId="3001D5E7" w14:textId="77777777" w:rsidR="00312D33" w:rsidRPr="00A67F27" w:rsidRDefault="00312D33" w:rsidP="00294BAD">
      <w:pPr>
        <w:pStyle w:val="Corpsdetexte"/>
        <w:tabs>
          <w:tab w:val="left" w:pos="576"/>
        </w:tabs>
        <w:rPr>
          <w:rFonts w:asciiTheme="majorBidi" w:hAnsiTheme="majorBidi" w:cstheme="majorBidi"/>
          <w:i/>
          <w:spacing w:val="-4"/>
          <w:lang w:val="fr-FR"/>
        </w:rPr>
      </w:pPr>
    </w:p>
    <w:p w14:paraId="0D6C8A11" w14:textId="76DBC137" w:rsidR="000A450A" w:rsidRDefault="000A450A" w:rsidP="00E05669">
      <w:pPr>
        <w:rPr>
          <w:rFonts w:asciiTheme="majorBidi" w:hAnsiTheme="majorBidi" w:cstheme="majorBidi"/>
        </w:rPr>
      </w:pPr>
    </w:p>
    <w:p w14:paraId="3E8B43EC" w14:textId="77777777" w:rsidR="003230B4" w:rsidRDefault="003230B4" w:rsidP="000F78BD">
      <w:pPr>
        <w:pStyle w:val="Part"/>
        <w:keepNext/>
        <w:spacing w:before="2280" w:after="0"/>
        <w:ind w:left="0" w:firstLine="0"/>
        <w:rPr>
          <w:sz w:val="52"/>
          <w:szCs w:val="24"/>
          <w:lang w:eastAsia="en-US"/>
        </w:rPr>
      </w:pPr>
      <w:bookmarkStart w:id="571" w:name="_Toc494778741"/>
      <w:bookmarkStart w:id="572" w:name="_Toc499607138"/>
      <w:bookmarkStart w:id="573" w:name="_Toc499608191"/>
      <w:bookmarkStart w:id="574" w:name="_Toc326657867"/>
      <w:bookmarkStart w:id="575" w:name="_Toc483210559"/>
      <w:bookmarkStart w:id="576" w:name="_Toc487641846"/>
      <w:bookmarkStart w:id="577" w:name="_Toc438529602"/>
      <w:bookmarkStart w:id="578" w:name="_Toc438725758"/>
      <w:bookmarkStart w:id="579" w:name="_Toc438817753"/>
      <w:bookmarkStart w:id="580" w:name="_Toc438954447"/>
      <w:bookmarkStart w:id="581" w:name="_Toc461939622"/>
      <w:bookmarkStart w:id="582" w:name="_Toc156372853"/>
      <w:bookmarkEnd w:id="563"/>
      <w:bookmarkEnd w:id="564"/>
      <w:bookmarkEnd w:id="565"/>
      <w:bookmarkEnd w:id="566"/>
    </w:p>
    <w:p w14:paraId="3FCEC3CA" w14:textId="77777777" w:rsidR="003230B4" w:rsidRDefault="003230B4" w:rsidP="000F78BD">
      <w:pPr>
        <w:pStyle w:val="Part"/>
        <w:keepNext/>
        <w:spacing w:before="2280" w:after="0"/>
        <w:ind w:left="0" w:firstLine="0"/>
        <w:rPr>
          <w:sz w:val="52"/>
          <w:szCs w:val="24"/>
          <w:lang w:eastAsia="en-US"/>
        </w:rPr>
      </w:pPr>
    </w:p>
    <w:p w14:paraId="06A8D8DE" w14:textId="546EF58B" w:rsidR="000A450A" w:rsidRPr="00A67F27" w:rsidRDefault="000A450A" w:rsidP="000F78BD">
      <w:pPr>
        <w:pStyle w:val="Part"/>
        <w:keepNext/>
        <w:spacing w:before="2280" w:after="0"/>
        <w:ind w:left="0" w:firstLine="0"/>
        <w:rPr>
          <w:sz w:val="52"/>
          <w:szCs w:val="24"/>
          <w:lang w:eastAsia="en-US"/>
        </w:rPr>
      </w:pPr>
      <w:r w:rsidRPr="00A67F27">
        <w:rPr>
          <w:sz w:val="52"/>
          <w:szCs w:val="24"/>
          <w:lang w:eastAsia="en-US"/>
        </w:rPr>
        <w:t>PARTIE</w:t>
      </w:r>
      <w:bookmarkEnd w:id="571"/>
      <w:bookmarkEnd w:id="572"/>
      <w:bookmarkEnd w:id="573"/>
      <w:r w:rsidRPr="00A67F27">
        <w:rPr>
          <w:sz w:val="52"/>
          <w:szCs w:val="24"/>
          <w:lang w:eastAsia="en-US"/>
        </w:rPr>
        <w:t xml:space="preserve"> </w:t>
      </w:r>
      <w:r w:rsidR="004F75DC" w:rsidRPr="00A67F27">
        <w:rPr>
          <w:sz w:val="52"/>
          <w:szCs w:val="24"/>
          <w:lang w:eastAsia="en-US"/>
        </w:rPr>
        <w:t xml:space="preserve">2 </w:t>
      </w:r>
      <w:r w:rsidRPr="00A67F27">
        <w:rPr>
          <w:sz w:val="52"/>
          <w:szCs w:val="24"/>
          <w:lang w:eastAsia="en-US"/>
        </w:rPr>
        <w:t>– Spécifications des Travaux</w:t>
      </w:r>
      <w:bookmarkEnd w:id="574"/>
      <w:bookmarkEnd w:id="575"/>
      <w:bookmarkEnd w:id="576"/>
    </w:p>
    <w:bookmarkEnd w:id="577"/>
    <w:bookmarkEnd w:id="578"/>
    <w:bookmarkEnd w:id="579"/>
    <w:bookmarkEnd w:id="580"/>
    <w:bookmarkEnd w:id="581"/>
    <w:bookmarkEnd w:id="582"/>
    <w:p w14:paraId="169465A3" w14:textId="77777777" w:rsidR="000A450A" w:rsidRPr="00A67F27" w:rsidRDefault="000A450A">
      <w:pPr>
        <w:rPr>
          <w:rFonts w:asciiTheme="majorBidi" w:hAnsiTheme="majorBidi" w:cstheme="majorBidi"/>
        </w:rPr>
      </w:pPr>
    </w:p>
    <w:p w14:paraId="560BDF67" w14:textId="77777777" w:rsidR="000A450A" w:rsidRPr="00A67F27" w:rsidRDefault="000A450A">
      <w:pPr>
        <w:rPr>
          <w:rFonts w:asciiTheme="majorBidi" w:hAnsiTheme="majorBidi" w:cstheme="majorBidi"/>
        </w:rPr>
      </w:pPr>
    </w:p>
    <w:p w14:paraId="6DD64E08" w14:textId="77777777" w:rsidR="00737D08" w:rsidRPr="00A67F27" w:rsidRDefault="00737D08">
      <w:pPr>
        <w:rPr>
          <w:rFonts w:asciiTheme="majorBidi" w:hAnsiTheme="majorBidi" w:cstheme="majorBidi"/>
        </w:rPr>
        <w:sectPr w:rsidR="00737D08" w:rsidRPr="00A67F27" w:rsidSect="008D2EE3">
          <w:footnotePr>
            <w:numRestart w:val="eachPage"/>
          </w:footnotePr>
          <w:endnotePr>
            <w:numFmt w:val="decimal"/>
          </w:endnotePr>
          <w:type w:val="oddPage"/>
          <w:pgSz w:w="12240" w:h="15840" w:code="1"/>
          <w:pgMar w:top="1418" w:right="1418" w:bottom="1418" w:left="1418" w:header="720" w:footer="720" w:gutter="0"/>
          <w:cols w:space="720"/>
          <w:titlePg/>
        </w:sectPr>
      </w:pPr>
    </w:p>
    <w:tbl>
      <w:tblPr>
        <w:tblW w:w="0" w:type="auto"/>
        <w:tblLayout w:type="fixed"/>
        <w:tblLook w:val="0000" w:firstRow="0" w:lastRow="0" w:firstColumn="0" w:lastColumn="0" w:noHBand="0" w:noVBand="0"/>
      </w:tblPr>
      <w:tblGrid>
        <w:gridCol w:w="9198"/>
      </w:tblGrid>
      <w:tr w:rsidR="000A450A" w:rsidRPr="00A67F27" w14:paraId="5B508FD6" w14:textId="77777777">
        <w:trPr>
          <w:trHeight w:val="800"/>
        </w:trPr>
        <w:tc>
          <w:tcPr>
            <w:tcW w:w="9198" w:type="dxa"/>
            <w:tcBorders>
              <w:top w:val="nil"/>
              <w:left w:val="nil"/>
              <w:bottom w:val="nil"/>
              <w:right w:val="nil"/>
            </w:tcBorders>
          </w:tcPr>
          <w:p w14:paraId="20864D4F" w14:textId="4F9243DD" w:rsidR="000A450A" w:rsidRPr="00043C85" w:rsidRDefault="000A450A">
            <w:pPr>
              <w:pStyle w:val="Sous-titre"/>
              <w:spacing w:before="120" w:after="240"/>
              <w:ind w:left="180" w:right="288" w:firstLine="0"/>
              <w:rPr>
                <w:rFonts w:cs="Arial"/>
                <w:sz w:val="36"/>
                <w:lang w:val="fr-FR" w:eastAsia="en-US"/>
              </w:rPr>
            </w:pPr>
            <w:bookmarkStart w:id="583" w:name="_Toc156027997"/>
            <w:bookmarkStart w:id="584" w:name="_Toc156372854"/>
            <w:bookmarkStart w:id="585" w:name="_Toc326657868"/>
            <w:bookmarkStart w:id="586" w:name="_Toc483210560"/>
            <w:bookmarkStart w:id="587" w:name="_Toc487641847"/>
            <w:r w:rsidRPr="00A67F27">
              <w:rPr>
                <w:rFonts w:cs="Arial"/>
                <w:sz w:val="36"/>
                <w:lang w:val="fr-FR" w:eastAsia="en-US"/>
              </w:rPr>
              <w:t>Section VII. Spécifications</w:t>
            </w:r>
            <w:bookmarkEnd w:id="583"/>
            <w:bookmarkEnd w:id="584"/>
            <w:bookmarkEnd w:id="585"/>
            <w:r w:rsidR="009B2302" w:rsidRPr="00A67F27">
              <w:rPr>
                <w:rFonts w:cs="Arial"/>
                <w:sz w:val="36"/>
                <w:lang w:val="fr-FR" w:eastAsia="en-US"/>
              </w:rPr>
              <w:t xml:space="preserve"> </w:t>
            </w:r>
            <w:r w:rsidR="009E0B83" w:rsidRPr="00A67F27">
              <w:rPr>
                <w:rFonts w:cs="Arial"/>
                <w:sz w:val="36"/>
                <w:lang w:val="fr-FR" w:eastAsia="en-US"/>
              </w:rPr>
              <w:t xml:space="preserve">techniques </w:t>
            </w:r>
            <w:r w:rsidR="009E0B83" w:rsidRPr="00043C85">
              <w:rPr>
                <w:rFonts w:cs="Arial"/>
                <w:sz w:val="36"/>
                <w:lang w:val="fr-FR" w:eastAsia="en-US"/>
              </w:rPr>
              <w:t>et plan</w:t>
            </w:r>
            <w:bookmarkEnd w:id="586"/>
            <w:bookmarkEnd w:id="587"/>
          </w:p>
        </w:tc>
      </w:tr>
    </w:tbl>
    <w:p w14:paraId="122B0AFF" w14:textId="77777777" w:rsidR="00B07019" w:rsidRPr="00A67F27" w:rsidRDefault="00B07019" w:rsidP="00B07019">
      <w:pPr>
        <w:spacing w:after="0"/>
        <w:ind w:left="180" w:right="288" w:firstLine="0"/>
        <w:jc w:val="left"/>
        <w:rPr>
          <w:rFonts w:ascii="Arial" w:hAnsi="Arial" w:cs="Arial"/>
          <w:sz w:val="20"/>
          <w:szCs w:val="24"/>
          <w:lang w:eastAsia="en-US"/>
        </w:rPr>
      </w:pPr>
      <w:bookmarkStart w:id="588" w:name="_Toc494778743"/>
    </w:p>
    <w:p w14:paraId="18518CF0" w14:textId="77777777" w:rsidR="00B07019" w:rsidRPr="00A67F27" w:rsidRDefault="00B07019" w:rsidP="00B07019">
      <w:pPr>
        <w:spacing w:after="0"/>
        <w:ind w:left="180" w:right="288" w:firstLine="0"/>
        <w:jc w:val="left"/>
        <w:rPr>
          <w:rFonts w:ascii="Arial" w:hAnsi="Arial" w:cs="Arial"/>
          <w:sz w:val="20"/>
          <w:szCs w:val="24"/>
          <w:u w:val="single"/>
          <w:lang w:eastAsia="en-US"/>
        </w:rPr>
      </w:pPr>
    </w:p>
    <w:p w14:paraId="04F2ABBB" w14:textId="77777777" w:rsidR="000A450A" w:rsidRPr="00A67F27" w:rsidRDefault="000A450A" w:rsidP="00B07019">
      <w:pPr>
        <w:spacing w:after="0"/>
        <w:ind w:left="0" w:firstLine="0"/>
        <w:jc w:val="center"/>
        <w:rPr>
          <w:b/>
          <w:sz w:val="28"/>
          <w:szCs w:val="28"/>
          <w:lang w:eastAsia="en-US"/>
        </w:rPr>
      </w:pPr>
      <w:r w:rsidRPr="00A67F27">
        <w:rPr>
          <w:b/>
          <w:sz w:val="28"/>
          <w:szCs w:val="28"/>
          <w:lang w:eastAsia="en-US"/>
        </w:rPr>
        <w:t>Table des matières</w:t>
      </w:r>
      <w:bookmarkEnd w:id="588"/>
    </w:p>
    <w:p w14:paraId="00E11341" w14:textId="47FF3245" w:rsidR="00B93A54" w:rsidRPr="00A67F27" w:rsidRDefault="00B07019">
      <w:pPr>
        <w:pStyle w:val="TM1"/>
        <w:rPr>
          <w:rFonts w:asciiTheme="minorHAnsi" w:eastAsiaTheme="minorEastAsia" w:hAnsiTheme="minorHAnsi" w:cstheme="minorBidi"/>
          <w:b w:val="0"/>
          <w:noProof/>
          <w:sz w:val="22"/>
          <w:szCs w:val="22"/>
          <w:lang w:eastAsia="zh-CN"/>
        </w:rPr>
      </w:pPr>
      <w:r w:rsidRPr="00A67F27">
        <w:rPr>
          <w:b w:val="0"/>
          <w:lang w:eastAsia="en-US"/>
        </w:rPr>
        <w:fldChar w:fldCharType="begin"/>
      </w:r>
      <w:r w:rsidRPr="00A67F27">
        <w:rPr>
          <w:b w:val="0"/>
          <w:lang w:eastAsia="en-US"/>
        </w:rPr>
        <w:instrText xml:space="preserve"> TOC \h \z \t "S6-Header 1,1" </w:instrText>
      </w:r>
      <w:r w:rsidRPr="00A67F27">
        <w:rPr>
          <w:b w:val="0"/>
          <w:lang w:eastAsia="en-US"/>
        </w:rPr>
        <w:fldChar w:fldCharType="separate"/>
      </w:r>
      <w:hyperlink w:anchor="_Toc487641562" w:history="1">
        <w:r w:rsidR="00B93A54" w:rsidRPr="00A67F27">
          <w:rPr>
            <w:rStyle w:val="Lienhypertexte"/>
            <w:noProof/>
          </w:rPr>
          <w:t>Sp</w:t>
        </w:r>
        <w:r w:rsidR="00B93A54" w:rsidRPr="00A67F27">
          <w:rPr>
            <w:rStyle w:val="Lienhypertexte"/>
            <w:rFonts w:hint="eastAsia"/>
            <w:noProof/>
          </w:rPr>
          <w:t>é</w:t>
        </w:r>
        <w:r w:rsidR="00B93A54" w:rsidRPr="00A67F27">
          <w:rPr>
            <w:rStyle w:val="Lienhypertexte"/>
            <w:noProof/>
          </w:rPr>
          <w:t>cifications</w:t>
        </w:r>
      </w:hyperlink>
      <w:r w:rsidR="00D53AAC" w:rsidRPr="00A67F27">
        <w:rPr>
          <w:noProof/>
        </w:rPr>
        <w:t xml:space="preserve"> Techniques</w:t>
      </w:r>
      <w:r w:rsidR="005A28D3" w:rsidRPr="00A67F27">
        <w:rPr>
          <w:noProof/>
        </w:rPr>
        <w:t>…………………………………………………………..…14</w:t>
      </w:r>
      <w:r w:rsidR="00386293">
        <w:rPr>
          <w:noProof/>
        </w:rPr>
        <w:t>6</w:t>
      </w:r>
    </w:p>
    <w:p w14:paraId="4D2CD984" w14:textId="3651BA22" w:rsidR="00B93A54" w:rsidRPr="002260EA" w:rsidRDefault="00B37E92" w:rsidP="0011427A">
      <w:pPr>
        <w:pStyle w:val="TM1"/>
        <w:rPr>
          <w:rFonts w:asciiTheme="minorHAnsi" w:eastAsiaTheme="minorEastAsia" w:hAnsiTheme="minorHAnsi" w:cstheme="minorBidi"/>
          <w:b w:val="0"/>
          <w:noProof/>
          <w:sz w:val="22"/>
          <w:szCs w:val="22"/>
          <w:lang w:eastAsia="zh-CN"/>
        </w:rPr>
      </w:pPr>
      <w:hyperlink w:anchor="_Toc487641563" w:history="1">
        <w:r w:rsidR="00B93A54" w:rsidRPr="002260EA">
          <w:rPr>
            <w:rStyle w:val="Lienhypertexte"/>
            <w:noProof/>
            <w:color w:val="auto"/>
          </w:rPr>
          <w:t>Exigences environnementales, sociales, hygiene et securite (ESHS)</w:t>
        </w:r>
        <w:r w:rsidR="00B93A54" w:rsidRPr="002260EA">
          <w:rPr>
            <w:noProof/>
            <w:webHidden/>
          </w:rPr>
          <w:tab/>
        </w:r>
      </w:hyperlink>
      <w:r w:rsidR="005A28D3" w:rsidRPr="002260EA">
        <w:rPr>
          <w:noProof/>
        </w:rPr>
        <w:t>210</w:t>
      </w:r>
    </w:p>
    <w:p w14:paraId="4CA16E53" w14:textId="785E76B3" w:rsidR="00B93A54" w:rsidRPr="00A67F27" w:rsidRDefault="00B93A54">
      <w:pPr>
        <w:pStyle w:val="TM1"/>
        <w:rPr>
          <w:rFonts w:asciiTheme="minorHAnsi" w:eastAsiaTheme="minorEastAsia" w:hAnsiTheme="minorHAnsi" w:cstheme="minorBidi"/>
          <w:b w:val="0"/>
          <w:noProof/>
          <w:sz w:val="22"/>
          <w:szCs w:val="22"/>
          <w:lang w:eastAsia="zh-CN"/>
        </w:rPr>
      </w:pPr>
    </w:p>
    <w:p w14:paraId="2BCA9168" w14:textId="51749766" w:rsidR="000A450A" w:rsidRPr="00A67F27" w:rsidRDefault="00B07019" w:rsidP="00B07019">
      <w:pPr>
        <w:pStyle w:val="TM2"/>
        <w:spacing w:before="60" w:after="60"/>
        <w:rPr>
          <w:rFonts w:asciiTheme="majorBidi" w:hAnsiTheme="majorBidi" w:cstheme="majorBidi"/>
        </w:rPr>
      </w:pPr>
      <w:r w:rsidRPr="00A67F27">
        <w:rPr>
          <w:szCs w:val="24"/>
          <w:lang w:eastAsia="en-US"/>
        </w:rPr>
        <w:fldChar w:fldCharType="end"/>
      </w:r>
    </w:p>
    <w:p w14:paraId="1B79ED8D" w14:textId="77777777" w:rsidR="00D53AAC" w:rsidRPr="00A67F27" w:rsidRDefault="00D53AAC" w:rsidP="00E938A9">
      <w:pPr>
        <w:pStyle w:val="SectionVIHeader"/>
        <w:rPr>
          <w:rFonts w:asciiTheme="majorBidi" w:hAnsiTheme="majorBidi" w:cstheme="majorBidi"/>
          <w:szCs w:val="36"/>
          <w:lang w:val="fr-FR"/>
        </w:rPr>
      </w:pPr>
    </w:p>
    <w:p w14:paraId="2F9AEA54" w14:textId="77777777" w:rsidR="00D53AAC" w:rsidRPr="0011427A" w:rsidRDefault="00D53AAC" w:rsidP="00E938A9">
      <w:pPr>
        <w:pStyle w:val="SectionVIHeader"/>
        <w:rPr>
          <w:sz w:val="24"/>
          <w:szCs w:val="24"/>
          <w:lang w:val="fr-FR"/>
        </w:rPr>
      </w:pPr>
    </w:p>
    <w:p w14:paraId="651C6384" w14:textId="77777777" w:rsidR="00D53AAC" w:rsidRPr="0011427A" w:rsidRDefault="00D53AAC" w:rsidP="00E938A9">
      <w:pPr>
        <w:pStyle w:val="SectionVIHeader"/>
        <w:rPr>
          <w:sz w:val="24"/>
          <w:szCs w:val="24"/>
          <w:lang w:val="fr-FR"/>
        </w:rPr>
      </w:pPr>
    </w:p>
    <w:p w14:paraId="0D22B857" w14:textId="77777777" w:rsidR="00D53AAC" w:rsidRPr="0011427A" w:rsidRDefault="00D53AAC" w:rsidP="00E938A9">
      <w:pPr>
        <w:pStyle w:val="SectionVIHeader"/>
        <w:rPr>
          <w:sz w:val="24"/>
          <w:szCs w:val="24"/>
          <w:lang w:val="fr-FR"/>
        </w:rPr>
      </w:pPr>
    </w:p>
    <w:p w14:paraId="517C7421" w14:textId="77777777" w:rsidR="00737D08" w:rsidRPr="0011427A" w:rsidRDefault="00737D08" w:rsidP="00E938A9">
      <w:pPr>
        <w:pStyle w:val="SectionVIHeader"/>
        <w:rPr>
          <w:sz w:val="24"/>
          <w:szCs w:val="24"/>
          <w:lang w:val="fr-FR"/>
        </w:rPr>
      </w:pPr>
    </w:p>
    <w:p w14:paraId="2E7FED22" w14:textId="77777777" w:rsidR="00737D08" w:rsidRPr="0011427A" w:rsidRDefault="00737D08" w:rsidP="00E938A9">
      <w:pPr>
        <w:pStyle w:val="SectionVIHeader"/>
        <w:rPr>
          <w:sz w:val="24"/>
          <w:szCs w:val="24"/>
          <w:lang w:val="fr-FR"/>
        </w:rPr>
      </w:pPr>
    </w:p>
    <w:p w14:paraId="7CB8EE57" w14:textId="77777777" w:rsidR="00737D08" w:rsidRPr="0011427A" w:rsidRDefault="00737D08" w:rsidP="00E938A9">
      <w:pPr>
        <w:pStyle w:val="SectionVIHeader"/>
        <w:rPr>
          <w:sz w:val="24"/>
          <w:szCs w:val="24"/>
          <w:lang w:val="fr-FR"/>
        </w:rPr>
      </w:pPr>
    </w:p>
    <w:p w14:paraId="5D9C7A43" w14:textId="77777777" w:rsidR="00737D08" w:rsidRPr="0011427A" w:rsidRDefault="00737D08" w:rsidP="00E938A9">
      <w:pPr>
        <w:pStyle w:val="SectionVIHeader"/>
        <w:rPr>
          <w:sz w:val="24"/>
          <w:szCs w:val="24"/>
          <w:lang w:val="fr-FR"/>
        </w:rPr>
      </w:pPr>
    </w:p>
    <w:p w14:paraId="570B4384" w14:textId="77777777" w:rsidR="00737D08" w:rsidRPr="00AF12F7" w:rsidRDefault="00737D08" w:rsidP="00E938A9">
      <w:pPr>
        <w:pStyle w:val="SectionVIHeader"/>
        <w:rPr>
          <w:sz w:val="24"/>
          <w:szCs w:val="24"/>
          <w:lang w:val="fr-FR"/>
        </w:rPr>
      </w:pPr>
    </w:p>
    <w:p w14:paraId="6629FD5C" w14:textId="77777777" w:rsidR="00737D08" w:rsidRPr="00AF12F7" w:rsidRDefault="00737D08" w:rsidP="00E938A9">
      <w:pPr>
        <w:pStyle w:val="SectionVIHeader"/>
        <w:rPr>
          <w:sz w:val="24"/>
          <w:szCs w:val="24"/>
          <w:lang w:val="fr-FR"/>
        </w:rPr>
      </w:pPr>
    </w:p>
    <w:p w14:paraId="73E9AD87" w14:textId="77777777" w:rsidR="00737D08" w:rsidRPr="00AF12F7" w:rsidRDefault="00737D08" w:rsidP="00E938A9">
      <w:pPr>
        <w:pStyle w:val="SectionVIHeader"/>
        <w:rPr>
          <w:sz w:val="24"/>
          <w:szCs w:val="24"/>
          <w:lang w:val="fr-FR"/>
        </w:rPr>
      </w:pPr>
    </w:p>
    <w:p w14:paraId="66B2FE97" w14:textId="77777777" w:rsidR="00737D08" w:rsidRPr="00AF12F7" w:rsidRDefault="00737D08" w:rsidP="00E938A9">
      <w:pPr>
        <w:pStyle w:val="SectionVIHeader"/>
        <w:rPr>
          <w:sz w:val="24"/>
          <w:szCs w:val="24"/>
          <w:lang w:val="fr-FR"/>
        </w:rPr>
      </w:pPr>
    </w:p>
    <w:p w14:paraId="7564AC37" w14:textId="77777777" w:rsidR="00737D08" w:rsidRPr="00AF12F7" w:rsidRDefault="00737D08" w:rsidP="00E938A9">
      <w:pPr>
        <w:pStyle w:val="SectionVIHeader"/>
        <w:rPr>
          <w:sz w:val="24"/>
          <w:szCs w:val="24"/>
          <w:lang w:val="fr-FR"/>
        </w:rPr>
      </w:pPr>
    </w:p>
    <w:p w14:paraId="322FBBD5" w14:textId="77777777" w:rsidR="00737D08" w:rsidRPr="00AF12F7" w:rsidRDefault="00737D08" w:rsidP="00E938A9">
      <w:pPr>
        <w:pStyle w:val="SectionVIHeader"/>
        <w:rPr>
          <w:sz w:val="24"/>
          <w:szCs w:val="24"/>
          <w:lang w:val="fr-FR"/>
        </w:rPr>
      </w:pPr>
    </w:p>
    <w:p w14:paraId="6C45ABF9" w14:textId="77777777" w:rsidR="00737D08" w:rsidRPr="00AF12F7" w:rsidRDefault="00737D08" w:rsidP="00E938A9">
      <w:pPr>
        <w:pStyle w:val="SectionVIHeader"/>
        <w:rPr>
          <w:sz w:val="24"/>
          <w:szCs w:val="24"/>
          <w:lang w:val="fr-FR"/>
        </w:rPr>
      </w:pPr>
    </w:p>
    <w:p w14:paraId="47E3683E" w14:textId="77777777" w:rsidR="00737D08" w:rsidRPr="00AF12F7" w:rsidRDefault="00737D08" w:rsidP="00E938A9">
      <w:pPr>
        <w:pStyle w:val="SectionVIHeader"/>
        <w:rPr>
          <w:sz w:val="24"/>
          <w:szCs w:val="24"/>
          <w:lang w:val="fr-FR"/>
        </w:rPr>
      </w:pPr>
    </w:p>
    <w:p w14:paraId="1F72013D" w14:textId="77777777" w:rsidR="005A28D3" w:rsidRPr="00AF12F7" w:rsidRDefault="005A28D3" w:rsidP="00E938A9">
      <w:pPr>
        <w:pStyle w:val="SectionVIHeader"/>
        <w:rPr>
          <w:sz w:val="24"/>
          <w:szCs w:val="24"/>
          <w:lang w:val="fr-FR"/>
        </w:rPr>
      </w:pPr>
    </w:p>
    <w:p w14:paraId="7BDDCC15" w14:textId="77777777" w:rsidR="00737D08" w:rsidRPr="00AF12F7" w:rsidRDefault="00737D08" w:rsidP="00E938A9">
      <w:pPr>
        <w:pStyle w:val="SectionVIHeader"/>
        <w:rPr>
          <w:sz w:val="24"/>
          <w:szCs w:val="24"/>
          <w:lang w:val="fr-FR"/>
        </w:rPr>
      </w:pPr>
    </w:p>
    <w:p w14:paraId="2F2D2C0D" w14:textId="77777777" w:rsidR="00DC4973" w:rsidRPr="00AF12F7" w:rsidRDefault="00DC4973" w:rsidP="00737D08">
      <w:pPr>
        <w:pStyle w:val="TM1"/>
      </w:pPr>
    </w:p>
    <w:p w14:paraId="40BF9C26" w14:textId="07F077B6" w:rsidR="00737D08" w:rsidRPr="00AF12F7" w:rsidRDefault="00B37E92" w:rsidP="00737D08">
      <w:pPr>
        <w:pStyle w:val="TM1"/>
        <w:rPr>
          <w:rFonts w:ascii="Times New Roman" w:eastAsiaTheme="minorEastAsia" w:hAnsi="Times New Roman"/>
          <w:b w:val="0"/>
          <w:noProof/>
          <w:szCs w:val="24"/>
          <w:u w:val="single"/>
          <w:lang w:eastAsia="zh-CN"/>
        </w:rPr>
      </w:pPr>
      <w:hyperlink w:anchor="_Toc487641562" w:history="1">
        <w:r w:rsidR="005A28D3" w:rsidRPr="00AF12F7">
          <w:rPr>
            <w:rStyle w:val="Lienhypertexte"/>
            <w:rFonts w:ascii="Times New Roman" w:hAnsi="Times New Roman"/>
            <w:noProof/>
            <w:color w:val="auto"/>
            <w:szCs w:val="24"/>
          </w:rPr>
          <w:t>SPECIFICATIONS</w:t>
        </w:r>
      </w:hyperlink>
      <w:r w:rsidR="005A28D3" w:rsidRPr="00AF12F7">
        <w:rPr>
          <w:rFonts w:ascii="Times New Roman" w:hAnsi="Times New Roman"/>
          <w:noProof/>
          <w:szCs w:val="24"/>
          <w:u w:val="single"/>
        </w:rPr>
        <w:t xml:space="preserve"> TECHNIQUES</w:t>
      </w:r>
    </w:p>
    <w:p w14:paraId="11D6249D" w14:textId="77777777" w:rsidR="00737D08" w:rsidRPr="00AF12F7" w:rsidRDefault="00737D08" w:rsidP="00737D08">
      <w:pPr>
        <w:spacing w:after="0"/>
        <w:rPr>
          <w:b/>
          <w:szCs w:val="24"/>
        </w:rPr>
      </w:pPr>
      <w:r w:rsidRPr="00AF12F7">
        <w:rPr>
          <w:b/>
          <w:szCs w:val="24"/>
        </w:rPr>
        <w:t xml:space="preserve">GENERALITES </w:t>
      </w:r>
    </w:p>
    <w:p w14:paraId="5F476776" w14:textId="503D149E" w:rsidR="00737D08" w:rsidRPr="00AF12F7" w:rsidRDefault="00737D08" w:rsidP="00CF7235">
      <w:pPr>
        <w:ind w:left="0" w:firstLine="0"/>
      </w:pPr>
      <w:r w:rsidRPr="00AF12F7">
        <w:t>Les pr</w:t>
      </w:r>
      <w:r w:rsidRPr="00AF12F7">
        <w:rPr>
          <w:rFonts w:hint="eastAsia"/>
        </w:rPr>
        <w:t>é</w:t>
      </w:r>
      <w:r w:rsidRPr="00AF12F7">
        <w:t>sentes Sp</w:t>
      </w:r>
      <w:r w:rsidRPr="00AF12F7">
        <w:rPr>
          <w:rFonts w:hint="eastAsia"/>
        </w:rPr>
        <w:t>é</w:t>
      </w:r>
      <w:r w:rsidRPr="00AF12F7">
        <w:t>cifications sont g</w:t>
      </w:r>
      <w:r w:rsidRPr="00AF12F7">
        <w:rPr>
          <w:rFonts w:hint="eastAsia"/>
        </w:rPr>
        <w:t>é</w:t>
      </w:r>
      <w:r w:rsidRPr="00AF12F7">
        <w:t>n</w:t>
      </w:r>
      <w:r w:rsidRPr="00AF12F7">
        <w:rPr>
          <w:rFonts w:hint="eastAsia"/>
        </w:rPr>
        <w:t>é</w:t>
      </w:r>
      <w:r w:rsidRPr="00AF12F7">
        <w:t xml:space="preserve">rales et applicables </w:t>
      </w:r>
      <w:r w:rsidRPr="00AF12F7">
        <w:rPr>
          <w:rFonts w:hint="eastAsia"/>
        </w:rPr>
        <w:t>à</w:t>
      </w:r>
      <w:r w:rsidRPr="00AF12F7">
        <w:t xml:space="preserve"> tous les travaux. Les diff</w:t>
      </w:r>
      <w:r w:rsidRPr="00AF12F7">
        <w:rPr>
          <w:rFonts w:hint="eastAsia"/>
        </w:rPr>
        <w:t>é</w:t>
      </w:r>
      <w:r w:rsidRPr="00AF12F7">
        <w:t>rentes descriptions et exigences ne sont pas n</w:t>
      </w:r>
      <w:r w:rsidRPr="00AF12F7">
        <w:rPr>
          <w:rFonts w:hint="eastAsia"/>
        </w:rPr>
        <w:t>é</w:t>
      </w:r>
      <w:r w:rsidRPr="00AF12F7">
        <w:t>cessairement r</w:t>
      </w:r>
      <w:r w:rsidRPr="00AF12F7">
        <w:rPr>
          <w:rFonts w:hint="eastAsia"/>
        </w:rPr>
        <w:t>é</w:t>
      </w:r>
      <w:r w:rsidRPr="00AF12F7">
        <w:t>p</w:t>
      </w:r>
      <w:r w:rsidRPr="00AF12F7">
        <w:rPr>
          <w:rFonts w:hint="eastAsia"/>
        </w:rPr>
        <w:t>é</w:t>
      </w:r>
      <w:r w:rsidRPr="00AF12F7">
        <w:t>t</w:t>
      </w:r>
      <w:r w:rsidRPr="00AF12F7">
        <w:rPr>
          <w:rFonts w:hint="eastAsia"/>
        </w:rPr>
        <w:t>é</w:t>
      </w:r>
      <w:r w:rsidRPr="00AF12F7">
        <w:t>es pour chaque partie de travaux ; elles s</w:t>
      </w:r>
      <w:r w:rsidRPr="00AF12F7">
        <w:rPr>
          <w:rFonts w:hint="eastAsia"/>
        </w:rPr>
        <w:t>’</w:t>
      </w:r>
      <w:r w:rsidRPr="00AF12F7">
        <w:t xml:space="preserve">appliquent </w:t>
      </w:r>
      <w:r w:rsidRPr="00AF12F7">
        <w:rPr>
          <w:rFonts w:hint="eastAsia"/>
        </w:rPr>
        <w:t>à</w:t>
      </w:r>
      <w:r w:rsidRPr="00AF12F7">
        <w:t xml:space="preserve"> toute partie de travaux o</w:t>
      </w:r>
      <w:r w:rsidRPr="00AF12F7">
        <w:rPr>
          <w:rFonts w:hint="eastAsia"/>
        </w:rPr>
        <w:t>ù</w:t>
      </w:r>
      <w:r w:rsidRPr="00AF12F7">
        <w:t xml:space="preserve"> elles sont applicables, m</w:t>
      </w:r>
      <w:r w:rsidRPr="00AF12F7">
        <w:rPr>
          <w:rFonts w:hint="eastAsia"/>
        </w:rPr>
        <w:t>ê</w:t>
      </w:r>
      <w:r w:rsidRPr="00AF12F7">
        <w:t>me s</w:t>
      </w:r>
      <w:r w:rsidRPr="00AF12F7">
        <w:rPr>
          <w:rFonts w:hint="eastAsia"/>
        </w:rPr>
        <w:t>’</w:t>
      </w:r>
      <w:r w:rsidRPr="00AF12F7">
        <w:t>il n</w:t>
      </w:r>
      <w:r w:rsidRPr="00AF12F7">
        <w:rPr>
          <w:rFonts w:hint="eastAsia"/>
        </w:rPr>
        <w:t>’</w:t>
      </w:r>
      <w:r w:rsidRPr="00AF12F7">
        <w:t>y est pas fait r</w:t>
      </w:r>
      <w:r w:rsidRPr="00AF12F7">
        <w:rPr>
          <w:rFonts w:hint="eastAsia"/>
        </w:rPr>
        <w:t>é</w:t>
      </w:r>
      <w:r w:rsidRPr="00AF12F7">
        <w:t>f</w:t>
      </w:r>
      <w:r w:rsidRPr="00AF12F7">
        <w:rPr>
          <w:rFonts w:hint="eastAsia"/>
        </w:rPr>
        <w:t>é</w:t>
      </w:r>
      <w:r w:rsidRPr="00AF12F7">
        <w:t xml:space="preserve">rence. </w:t>
      </w:r>
    </w:p>
    <w:p w14:paraId="5158FE32" w14:textId="77777777" w:rsidR="00737D08" w:rsidRPr="00AF12F7" w:rsidRDefault="00737D08" w:rsidP="00737D08">
      <w:pPr>
        <w:spacing w:after="0"/>
        <w:rPr>
          <w:szCs w:val="24"/>
        </w:rPr>
      </w:pPr>
    </w:p>
    <w:p w14:paraId="5E1CA652" w14:textId="77777777" w:rsidR="00737D08" w:rsidRPr="00AF12F7" w:rsidRDefault="00737D08" w:rsidP="00737D08">
      <w:pPr>
        <w:spacing w:after="0"/>
        <w:rPr>
          <w:b/>
          <w:szCs w:val="24"/>
        </w:rPr>
      </w:pPr>
      <w:r w:rsidRPr="00AF12F7">
        <w:rPr>
          <w:b/>
          <w:szCs w:val="24"/>
        </w:rPr>
        <w:t xml:space="preserve">2. FORCE MAJEURE </w:t>
      </w:r>
    </w:p>
    <w:p w14:paraId="0C256FAF" w14:textId="77777777" w:rsidR="00737D08" w:rsidRPr="00AF12F7" w:rsidRDefault="00737D08" w:rsidP="00CF7235">
      <w:pPr>
        <w:ind w:left="0" w:firstLine="0"/>
        <w:rPr>
          <w:szCs w:val="24"/>
        </w:rPr>
      </w:pPr>
      <w:r w:rsidRPr="00AF12F7">
        <w:rPr>
          <w:szCs w:val="24"/>
        </w:rPr>
        <w:t>Sont consid</w:t>
      </w:r>
      <w:r w:rsidRPr="00AF12F7">
        <w:rPr>
          <w:rFonts w:hint="eastAsia"/>
          <w:szCs w:val="24"/>
        </w:rPr>
        <w:t>é</w:t>
      </w:r>
      <w:r w:rsidRPr="00AF12F7">
        <w:rPr>
          <w:szCs w:val="24"/>
        </w:rPr>
        <w:t>r</w:t>
      </w:r>
      <w:r w:rsidRPr="00AF12F7">
        <w:rPr>
          <w:rFonts w:hint="eastAsia"/>
          <w:szCs w:val="24"/>
        </w:rPr>
        <w:t>é</w:t>
      </w:r>
      <w:r w:rsidRPr="00AF12F7">
        <w:rPr>
          <w:szCs w:val="24"/>
        </w:rPr>
        <w:t>s comme cas de Force Majeure, tels que d</w:t>
      </w:r>
      <w:r w:rsidRPr="00AF12F7">
        <w:rPr>
          <w:rFonts w:hint="eastAsia"/>
          <w:szCs w:val="24"/>
        </w:rPr>
        <w:t>é</w:t>
      </w:r>
      <w:r w:rsidRPr="00AF12F7">
        <w:rPr>
          <w:szCs w:val="24"/>
        </w:rPr>
        <w:t xml:space="preserve">finis </w:t>
      </w:r>
      <w:r w:rsidRPr="00AF12F7">
        <w:rPr>
          <w:rFonts w:hint="eastAsia"/>
          <w:szCs w:val="24"/>
        </w:rPr>
        <w:t>à</w:t>
      </w:r>
      <w:r w:rsidRPr="00AF12F7">
        <w:rPr>
          <w:szCs w:val="24"/>
        </w:rPr>
        <w:t xml:space="preserve"> l</w:t>
      </w:r>
      <w:r w:rsidRPr="00AF12F7">
        <w:rPr>
          <w:rFonts w:hint="eastAsia"/>
          <w:szCs w:val="24"/>
        </w:rPr>
        <w:t>’</w:t>
      </w:r>
      <w:r w:rsidRPr="00AF12F7">
        <w:rPr>
          <w:szCs w:val="24"/>
        </w:rPr>
        <w:t>Article 18.3 du CCAG les cas ci-apr</w:t>
      </w:r>
      <w:r w:rsidRPr="00AF12F7">
        <w:rPr>
          <w:rFonts w:hint="eastAsia"/>
          <w:szCs w:val="24"/>
        </w:rPr>
        <w:t>è</w:t>
      </w:r>
      <w:r w:rsidRPr="00AF12F7">
        <w:rPr>
          <w:szCs w:val="24"/>
        </w:rPr>
        <w:t xml:space="preserve">s : les guerres ou tout autre </w:t>
      </w:r>
      <w:r w:rsidRPr="00AF12F7">
        <w:rPr>
          <w:rFonts w:hint="eastAsia"/>
          <w:szCs w:val="24"/>
        </w:rPr>
        <w:t>é</w:t>
      </w:r>
      <w:r w:rsidRPr="00AF12F7">
        <w:rPr>
          <w:szCs w:val="24"/>
        </w:rPr>
        <w:t>v</w:t>
      </w:r>
      <w:r w:rsidRPr="00AF12F7">
        <w:rPr>
          <w:rFonts w:hint="eastAsia"/>
          <w:szCs w:val="24"/>
        </w:rPr>
        <w:t>é</w:t>
      </w:r>
      <w:r w:rsidRPr="00AF12F7">
        <w:rPr>
          <w:szCs w:val="24"/>
        </w:rPr>
        <w:t>nement que ni le Ma</w:t>
      </w:r>
      <w:r w:rsidRPr="00AF12F7">
        <w:rPr>
          <w:rFonts w:hint="eastAsia"/>
          <w:szCs w:val="24"/>
        </w:rPr>
        <w:t>î</w:t>
      </w:r>
      <w:r w:rsidRPr="00AF12F7">
        <w:rPr>
          <w:szCs w:val="24"/>
        </w:rPr>
        <w:t>tre d</w:t>
      </w:r>
      <w:r w:rsidRPr="00AF12F7">
        <w:rPr>
          <w:rFonts w:hint="eastAsia"/>
          <w:szCs w:val="24"/>
        </w:rPr>
        <w:t>’</w:t>
      </w:r>
      <w:r w:rsidRPr="00AF12F7">
        <w:rPr>
          <w:szCs w:val="24"/>
        </w:rPr>
        <w:t>Ouvrage D</w:t>
      </w:r>
      <w:r w:rsidRPr="00AF12F7">
        <w:rPr>
          <w:rFonts w:hint="eastAsia"/>
          <w:szCs w:val="24"/>
        </w:rPr>
        <w:t>é</w:t>
      </w:r>
      <w:r w:rsidRPr="00AF12F7">
        <w:rPr>
          <w:szCs w:val="24"/>
        </w:rPr>
        <w:t>l</w:t>
      </w:r>
      <w:r w:rsidRPr="00AF12F7">
        <w:rPr>
          <w:rFonts w:hint="eastAsia"/>
          <w:szCs w:val="24"/>
        </w:rPr>
        <w:t>é</w:t>
      </w:r>
      <w:r w:rsidRPr="00AF12F7">
        <w:rPr>
          <w:szCs w:val="24"/>
        </w:rPr>
        <w:t>gu</w:t>
      </w:r>
      <w:r w:rsidRPr="00AF12F7">
        <w:rPr>
          <w:rFonts w:hint="eastAsia"/>
          <w:szCs w:val="24"/>
        </w:rPr>
        <w:t>é</w:t>
      </w:r>
      <w:r w:rsidRPr="00AF12F7">
        <w:rPr>
          <w:szCs w:val="24"/>
        </w:rPr>
        <w:t xml:space="preserve"> ni l</w:t>
      </w:r>
      <w:r w:rsidRPr="00AF12F7">
        <w:rPr>
          <w:rFonts w:hint="eastAsia"/>
          <w:szCs w:val="24"/>
        </w:rPr>
        <w:t>’</w:t>
      </w:r>
      <w:r w:rsidRPr="00AF12F7">
        <w:rPr>
          <w:szCs w:val="24"/>
        </w:rPr>
        <w:t>Entrepreneur ne peuvent contr</w:t>
      </w:r>
      <w:r w:rsidRPr="00AF12F7">
        <w:rPr>
          <w:rFonts w:hint="eastAsia"/>
          <w:szCs w:val="24"/>
        </w:rPr>
        <w:t>ô</w:t>
      </w:r>
      <w:r w:rsidRPr="00AF12F7">
        <w:rPr>
          <w:szCs w:val="24"/>
        </w:rPr>
        <w:t xml:space="preserve">ler. </w:t>
      </w:r>
    </w:p>
    <w:p w14:paraId="133A4287" w14:textId="77777777" w:rsidR="00737D08" w:rsidRPr="00AF12F7" w:rsidRDefault="00737D08" w:rsidP="00737D08">
      <w:pPr>
        <w:spacing w:after="0"/>
        <w:rPr>
          <w:szCs w:val="24"/>
        </w:rPr>
      </w:pPr>
    </w:p>
    <w:p w14:paraId="3D0B9127" w14:textId="4876226C" w:rsidR="00713677" w:rsidRPr="00AF12F7" w:rsidRDefault="00737D08" w:rsidP="002A45C1">
      <w:pPr>
        <w:pStyle w:val="Paragraphedeliste"/>
        <w:numPr>
          <w:ilvl w:val="0"/>
          <w:numId w:val="57"/>
        </w:numPr>
        <w:spacing w:after="0"/>
        <w:rPr>
          <w:szCs w:val="24"/>
        </w:rPr>
      </w:pPr>
      <w:r w:rsidRPr="00AF12F7">
        <w:rPr>
          <w:b/>
          <w:szCs w:val="24"/>
        </w:rPr>
        <w:t>EMPLACEMENT DES TRAVAUX</w:t>
      </w:r>
      <w:r w:rsidRPr="00AF12F7">
        <w:rPr>
          <w:szCs w:val="24"/>
        </w:rPr>
        <w:t xml:space="preserve"> </w:t>
      </w:r>
    </w:p>
    <w:p w14:paraId="7713628C" w14:textId="77777777" w:rsidR="00713677" w:rsidRPr="00AF12F7" w:rsidRDefault="00713677" w:rsidP="00713677">
      <w:pPr>
        <w:spacing w:after="0"/>
        <w:ind w:left="360" w:firstLine="0"/>
        <w:rPr>
          <w:szCs w:val="24"/>
        </w:rPr>
      </w:pPr>
    </w:p>
    <w:p w14:paraId="341192E8" w14:textId="700B9543" w:rsidR="00F706C9" w:rsidRPr="002240A9" w:rsidRDefault="00F706C9" w:rsidP="00F706C9">
      <w:pPr>
        <w:spacing w:after="0"/>
        <w:rPr>
          <w:szCs w:val="24"/>
        </w:rPr>
      </w:pPr>
      <w:r w:rsidRPr="002240A9">
        <w:rPr>
          <w:szCs w:val="24"/>
        </w:rPr>
        <w:t xml:space="preserve">Le site à aménager est situé dans la commune de </w:t>
      </w:r>
      <w:proofErr w:type="spellStart"/>
      <w:r w:rsidRPr="002240A9">
        <w:rPr>
          <w:szCs w:val="24"/>
        </w:rPr>
        <w:t>Benkadi</w:t>
      </w:r>
      <w:proofErr w:type="spellEnd"/>
      <w:r w:rsidRPr="002240A9">
        <w:rPr>
          <w:szCs w:val="24"/>
        </w:rPr>
        <w:t xml:space="preserve">, </w:t>
      </w:r>
      <w:r w:rsidR="00AB1A40">
        <w:rPr>
          <w:szCs w:val="24"/>
        </w:rPr>
        <w:t xml:space="preserve">Région de </w:t>
      </w:r>
      <w:proofErr w:type="spellStart"/>
      <w:r w:rsidR="00AB1A40">
        <w:rPr>
          <w:szCs w:val="24"/>
        </w:rPr>
        <w:t>Dioïla</w:t>
      </w:r>
      <w:proofErr w:type="spellEnd"/>
      <w:r w:rsidRPr="002240A9">
        <w:rPr>
          <w:szCs w:val="24"/>
        </w:rPr>
        <w:t>. Il s’agit de :</w:t>
      </w:r>
    </w:p>
    <w:p w14:paraId="213D8CEC" w14:textId="076A2494" w:rsidR="00F706C9" w:rsidRPr="002240A9" w:rsidRDefault="00F706C9" w:rsidP="00F706C9">
      <w:pPr>
        <w:pStyle w:val="S1-Header2"/>
        <w:numPr>
          <w:ilvl w:val="0"/>
          <w:numId w:val="0"/>
        </w:numPr>
        <w:spacing w:after="0"/>
        <w:rPr>
          <w:lang w:val="fr-FR"/>
        </w:rPr>
      </w:pPr>
      <w:r w:rsidRPr="002240A9">
        <w:rPr>
          <w:lang w:val="fr-FR" w:eastAsia="fr-FR"/>
        </w:rPr>
        <w:t>Travaux d’</w:t>
      </w:r>
      <w:proofErr w:type="spellStart"/>
      <w:r w:rsidRPr="002240A9">
        <w:rPr>
          <w:lang w:val="fr-FR" w:eastAsia="fr-FR"/>
        </w:rPr>
        <w:t>amenagement</w:t>
      </w:r>
      <w:proofErr w:type="spellEnd"/>
      <w:r w:rsidRPr="002240A9">
        <w:rPr>
          <w:lang w:val="fr-FR" w:eastAsia="fr-FR"/>
        </w:rPr>
        <w:t xml:space="preserve"> hydro agricole du bas fond de </w:t>
      </w:r>
      <w:proofErr w:type="spellStart"/>
      <w:r w:rsidRPr="002240A9">
        <w:rPr>
          <w:lang w:val="fr-FR" w:eastAsia="fr-FR"/>
        </w:rPr>
        <w:t>Kissakoro</w:t>
      </w:r>
      <w:proofErr w:type="spellEnd"/>
      <w:r w:rsidRPr="002240A9">
        <w:rPr>
          <w:lang w:val="fr-FR" w:eastAsia="fr-FR"/>
        </w:rPr>
        <w:t xml:space="preserve"> (212 ha) et construction d'un magasin de stockage et de conservation d’échalote de 30 tonnes - commune de </w:t>
      </w:r>
      <w:proofErr w:type="spellStart"/>
      <w:r w:rsidRPr="002240A9">
        <w:rPr>
          <w:lang w:val="fr-FR" w:eastAsia="fr-FR"/>
        </w:rPr>
        <w:t>Benkadi</w:t>
      </w:r>
      <w:proofErr w:type="spellEnd"/>
      <w:r w:rsidRPr="002240A9">
        <w:rPr>
          <w:lang w:val="fr-FR" w:eastAsia="fr-FR"/>
        </w:rPr>
        <w:t xml:space="preserve"> - </w:t>
      </w:r>
      <w:r w:rsidR="00AB1A40">
        <w:rPr>
          <w:lang w:val="fr-FR" w:eastAsia="fr-FR"/>
        </w:rPr>
        <w:t>Région de Dioïla</w:t>
      </w:r>
    </w:p>
    <w:p w14:paraId="51540DE1" w14:textId="77777777" w:rsidR="00F706C9" w:rsidRPr="002240A9" w:rsidRDefault="00F706C9" w:rsidP="00F706C9">
      <w:pPr>
        <w:spacing w:after="0"/>
        <w:rPr>
          <w:szCs w:val="24"/>
        </w:rPr>
      </w:pPr>
    </w:p>
    <w:p w14:paraId="20A549E8" w14:textId="77777777" w:rsidR="00F706C9" w:rsidRPr="002240A9" w:rsidRDefault="00F706C9" w:rsidP="00F706C9">
      <w:pPr>
        <w:spacing w:after="0"/>
        <w:rPr>
          <w:szCs w:val="24"/>
        </w:rPr>
      </w:pPr>
      <w:r w:rsidRPr="002240A9">
        <w:rPr>
          <w:szCs w:val="24"/>
        </w:rPr>
        <w:t>L’objectif sp</w:t>
      </w:r>
      <w:r w:rsidRPr="002240A9">
        <w:rPr>
          <w:rFonts w:hint="eastAsia"/>
          <w:szCs w:val="24"/>
        </w:rPr>
        <w:t>é</w:t>
      </w:r>
      <w:r w:rsidRPr="002240A9">
        <w:rPr>
          <w:szCs w:val="24"/>
        </w:rPr>
        <w:t xml:space="preserve">cifique du Projet est d’aménager 212 ha de </w:t>
      </w:r>
      <w:proofErr w:type="spellStart"/>
      <w:r w:rsidRPr="002240A9">
        <w:rPr>
          <w:szCs w:val="24"/>
        </w:rPr>
        <w:t>bas fonds</w:t>
      </w:r>
      <w:proofErr w:type="spellEnd"/>
      <w:r w:rsidRPr="002240A9">
        <w:rPr>
          <w:szCs w:val="24"/>
        </w:rPr>
        <w:t xml:space="preserve"> </w:t>
      </w:r>
      <w:r w:rsidRPr="002240A9">
        <w:t>et construction d'un magasin de stockage et de conservation d’échalote</w:t>
      </w:r>
      <w:r w:rsidRPr="002240A9">
        <w:rPr>
          <w:szCs w:val="24"/>
        </w:rPr>
        <w:t xml:space="preserve"> pour les besoins de :</w:t>
      </w:r>
    </w:p>
    <w:p w14:paraId="0011029B" w14:textId="77777777" w:rsidR="00F706C9" w:rsidRPr="002240A9" w:rsidRDefault="00F706C9" w:rsidP="002A45C1">
      <w:pPr>
        <w:numPr>
          <w:ilvl w:val="0"/>
          <w:numId w:val="81"/>
        </w:numPr>
        <w:spacing w:after="0"/>
        <w:jc w:val="left"/>
        <w:rPr>
          <w:szCs w:val="24"/>
        </w:rPr>
      </w:pPr>
      <w:r w:rsidRPr="002240A9">
        <w:rPr>
          <w:szCs w:val="24"/>
        </w:rPr>
        <w:t>La riziculture en hivernage ;</w:t>
      </w:r>
    </w:p>
    <w:p w14:paraId="279DA610" w14:textId="77777777" w:rsidR="00F706C9" w:rsidRPr="002240A9" w:rsidRDefault="00F706C9" w:rsidP="002A45C1">
      <w:pPr>
        <w:numPr>
          <w:ilvl w:val="0"/>
          <w:numId w:val="81"/>
        </w:numPr>
        <w:spacing w:after="0"/>
        <w:jc w:val="left"/>
        <w:rPr>
          <w:szCs w:val="24"/>
        </w:rPr>
      </w:pPr>
      <w:r w:rsidRPr="002240A9">
        <w:rPr>
          <w:szCs w:val="24"/>
        </w:rPr>
        <w:t>Le maraichage de contre saison ;</w:t>
      </w:r>
    </w:p>
    <w:p w14:paraId="65F87EAA" w14:textId="77777777" w:rsidR="00F706C9" w:rsidRPr="002240A9" w:rsidRDefault="00F706C9" w:rsidP="002A45C1">
      <w:pPr>
        <w:numPr>
          <w:ilvl w:val="0"/>
          <w:numId w:val="81"/>
        </w:numPr>
        <w:spacing w:after="0"/>
        <w:jc w:val="left"/>
        <w:rPr>
          <w:szCs w:val="24"/>
        </w:rPr>
      </w:pPr>
      <w:r w:rsidRPr="002240A9">
        <w:rPr>
          <w:szCs w:val="24"/>
        </w:rPr>
        <w:t>La recharge de la nappe phréatique.</w:t>
      </w:r>
    </w:p>
    <w:p w14:paraId="092038D8" w14:textId="77777777" w:rsidR="00F706C9" w:rsidRPr="002240A9" w:rsidRDefault="00F706C9" w:rsidP="00F706C9">
      <w:pPr>
        <w:spacing w:after="0"/>
      </w:pPr>
    </w:p>
    <w:p w14:paraId="34317E53" w14:textId="77777777" w:rsidR="00F706C9" w:rsidRPr="002240A9" w:rsidRDefault="00F706C9" w:rsidP="002A45C1">
      <w:pPr>
        <w:pStyle w:val="Paragraphedeliste"/>
        <w:numPr>
          <w:ilvl w:val="0"/>
          <w:numId w:val="111"/>
        </w:numPr>
        <w:spacing w:after="0"/>
        <w:rPr>
          <w:szCs w:val="24"/>
        </w:rPr>
      </w:pPr>
      <w:r w:rsidRPr="002240A9">
        <w:rPr>
          <w:szCs w:val="24"/>
        </w:rPr>
        <w:t>Le site, objet de l’étude forme une plaine inondable à l’Ouest du village. Le site prévu pour l’aménagement se situe à environ 500 m du village. Les coordonnées géographiques du site sont :</w:t>
      </w:r>
    </w:p>
    <w:p w14:paraId="69C81768" w14:textId="77777777" w:rsidR="00F706C9" w:rsidRPr="002240A9" w:rsidRDefault="00F706C9" w:rsidP="002A45C1">
      <w:pPr>
        <w:numPr>
          <w:ilvl w:val="0"/>
          <w:numId w:val="108"/>
        </w:numPr>
        <w:spacing w:after="0"/>
        <w:rPr>
          <w:szCs w:val="24"/>
        </w:rPr>
      </w:pPr>
      <w:r w:rsidRPr="002240A9">
        <w:rPr>
          <w:szCs w:val="24"/>
        </w:rPr>
        <w:t>X</w:t>
      </w:r>
      <w:r w:rsidRPr="002240A9">
        <w:rPr>
          <w:szCs w:val="24"/>
        </w:rPr>
        <w:tab/>
      </w:r>
      <w:r w:rsidRPr="002240A9">
        <w:rPr>
          <w:szCs w:val="24"/>
        </w:rPr>
        <w:tab/>
        <w:t>= 776731,892 m</w:t>
      </w:r>
    </w:p>
    <w:p w14:paraId="3C36E824" w14:textId="77777777" w:rsidR="00F706C9" w:rsidRPr="002240A9" w:rsidRDefault="00F706C9" w:rsidP="002A45C1">
      <w:pPr>
        <w:numPr>
          <w:ilvl w:val="0"/>
          <w:numId w:val="108"/>
        </w:numPr>
        <w:spacing w:after="0"/>
        <w:rPr>
          <w:szCs w:val="24"/>
        </w:rPr>
      </w:pPr>
      <w:r w:rsidRPr="002240A9">
        <w:rPr>
          <w:szCs w:val="24"/>
        </w:rPr>
        <w:t>Y</w:t>
      </w:r>
      <w:r w:rsidRPr="002240A9">
        <w:rPr>
          <w:szCs w:val="24"/>
        </w:rPr>
        <w:tab/>
      </w:r>
      <w:r w:rsidRPr="002240A9">
        <w:rPr>
          <w:szCs w:val="24"/>
        </w:rPr>
        <w:tab/>
        <w:t>= 1360889,333 m</w:t>
      </w:r>
    </w:p>
    <w:p w14:paraId="2174947B" w14:textId="77777777" w:rsidR="00F706C9" w:rsidRPr="002240A9" w:rsidRDefault="00F706C9" w:rsidP="002A45C1">
      <w:pPr>
        <w:numPr>
          <w:ilvl w:val="0"/>
          <w:numId w:val="108"/>
        </w:numPr>
        <w:spacing w:after="0"/>
        <w:rPr>
          <w:szCs w:val="24"/>
        </w:rPr>
      </w:pPr>
      <w:r w:rsidRPr="002240A9">
        <w:rPr>
          <w:szCs w:val="24"/>
        </w:rPr>
        <w:t>L’Altitude</w:t>
      </w:r>
      <w:r w:rsidRPr="002240A9">
        <w:rPr>
          <w:szCs w:val="24"/>
        </w:rPr>
        <w:tab/>
        <w:t>= 290, 7348 m.</w:t>
      </w:r>
    </w:p>
    <w:p w14:paraId="623837D1" w14:textId="3C12E222" w:rsidR="00FD5C4C" w:rsidRPr="002240A9" w:rsidRDefault="00FD5C4C" w:rsidP="00C94F98">
      <w:pPr>
        <w:spacing w:after="0"/>
        <w:ind w:left="0" w:firstLine="0"/>
        <w:rPr>
          <w:szCs w:val="24"/>
        </w:rPr>
      </w:pPr>
    </w:p>
    <w:p w14:paraId="763BAEB6" w14:textId="77777777" w:rsidR="00737D08" w:rsidRPr="00AF12F7" w:rsidRDefault="00737D08" w:rsidP="00737D08">
      <w:pPr>
        <w:spacing w:after="0"/>
        <w:rPr>
          <w:b/>
          <w:szCs w:val="24"/>
        </w:rPr>
      </w:pPr>
      <w:r w:rsidRPr="00AF12F7">
        <w:rPr>
          <w:b/>
          <w:szCs w:val="24"/>
        </w:rPr>
        <w:t xml:space="preserve">4. CONDITIONS DE TRANSPORT ET DE DESSERTE DU CHANTIER </w:t>
      </w:r>
    </w:p>
    <w:p w14:paraId="2209155B" w14:textId="77777777" w:rsidR="00442531" w:rsidRPr="00AF12F7" w:rsidRDefault="00442531" w:rsidP="00737D08">
      <w:pPr>
        <w:spacing w:after="0"/>
        <w:rPr>
          <w:szCs w:val="24"/>
        </w:rPr>
      </w:pPr>
    </w:p>
    <w:p w14:paraId="7716CD90" w14:textId="77777777" w:rsidR="003A18ED" w:rsidRPr="00F10DF0" w:rsidRDefault="003A18ED" w:rsidP="002240A9">
      <w:pPr>
        <w:ind w:left="0" w:firstLine="0"/>
      </w:pPr>
      <w:r w:rsidRPr="00F10DF0">
        <w:t xml:space="preserve">Le village de </w:t>
      </w:r>
      <w:proofErr w:type="spellStart"/>
      <w:r w:rsidRPr="00F10DF0">
        <w:t>Kissakoro</w:t>
      </w:r>
      <w:proofErr w:type="spellEnd"/>
      <w:r w:rsidRPr="00F10DF0">
        <w:t xml:space="preserve"> est situé à environ 10 km au Sud de </w:t>
      </w:r>
      <w:proofErr w:type="spellStart"/>
      <w:r w:rsidRPr="00F10DF0">
        <w:t>Kotoula</w:t>
      </w:r>
      <w:proofErr w:type="spellEnd"/>
      <w:r w:rsidRPr="00F10DF0">
        <w:t xml:space="preserve"> son chef-lieu de commune et à 50 environ au Sud-est de </w:t>
      </w:r>
      <w:proofErr w:type="spellStart"/>
      <w:r w:rsidRPr="00F10DF0">
        <w:t>Dioila</w:t>
      </w:r>
      <w:proofErr w:type="spellEnd"/>
      <w:r w:rsidRPr="00F10DF0">
        <w:t xml:space="preserve"> son Chef-lieu de cercle. On y accède à partir de Fana par la RL250 (route latéritiques) jusqu’à </w:t>
      </w:r>
      <w:proofErr w:type="spellStart"/>
      <w:r w:rsidRPr="00F10DF0">
        <w:t>Béléco</w:t>
      </w:r>
      <w:proofErr w:type="spellEnd"/>
      <w:r w:rsidRPr="00F10DF0">
        <w:t xml:space="preserve"> à 75 km. La liaison </w:t>
      </w:r>
      <w:proofErr w:type="spellStart"/>
      <w:r w:rsidRPr="00F10DF0">
        <w:t>Béléco</w:t>
      </w:r>
      <w:proofErr w:type="spellEnd"/>
      <w:r w:rsidRPr="00F10DF0">
        <w:t xml:space="preserve"> – </w:t>
      </w:r>
      <w:proofErr w:type="spellStart"/>
      <w:r w:rsidRPr="00F10DF0">
        <w:t>Kissakoro</w:t>
      </w:r>
      <w:proofErr w:type="spellEnd"/>
      <w:r w:rsidRPr="00F10DF0">
        <w:t xml:space="preserve"> se fait par une piste non aménagée difficilement praticable sur 20 km.</w:t>
      </w:r>
    </w:p>
    <w:p w14:paraId="253FF7DA" w14:textId="77777777" w:rsidR="00737D08" w:rsidRPr="00AF12F7" w:rsidRDefault="00737D08" w:rsidP="00737D08">
      <w:pPr>
        <w:spacing w:after="0"/>
        <w:rPr>
          <w:szCs w:val="24"/>
        </w:rPr>
      </w:pPr>
    </w:p>
    <w:p w14:paraId="275A2879" w14:textId="75B2AD26" w:rsidR="00713677" w:rsidRPr="00AF12F7" w:rsidRDefault="00737D08" w:rsidP="00D510E8">
      <w:pPr>
        <w:pStyle w:val="Paragraphedeliste"/>
        <w:numPr>
          <w:ilvl w:val="0"/>
          <w:numId w:val="30"/>
        </w:numPr>
        <w:spacing w:after="0"/>
        <w:rPr>
          <w:b/>
          <w:szCs w:val="24"/>
        </w:rPr>
      </w:pPr>
      <w:r w:rsidRPr="00AF12F7">
        <w:rPr>
          <w:b/>
          <w:szCs w:val="24"/>
        </w:rPr>
        <w:t xml:space="preserve">DESCRIPTION SOMMAIRE DES TRAVAUX </w:t>
      </w:r>
    </w:p>
    <w:p w14:paraId="62A9829D" w14:textId="77777777" w:rsidR="00713677" w:rsidRPr="00AF12F7" w:rsidRDefault="00713677" w:rsidP="00713677">
      <w:pPr>
        <w:spacing w:after="0"/>
        <w:ind w:left="0" w:firstLine="0"/>
        <w:rPr>
          <w:b/>
          <w:szCs w:val="24"/>
        </w:rPr>
      </w:pPr>
    </w:p>
    <w:p w14:paraId="6B02DE6A" w14:textId="0E09F159" w:rsidR="000B7943" w:rsidRPr="002240A9" w:rsidRDefault="000B7943" w:rsidP="002240A9">
      <w:pPr>
        <w:pStyle w:val="S1-Header2"/>
        <w:numPr>
          <w:ilvl w:val="0"/>
          <w:numId w:val="0"/>
        </w:numPr>
        <w:spacing w:after="0"/>
        <w:rPr>
          <w:lang w:val="fr-FR"/>
        </w:rPr>
      </w:pPr>
      <w:r w:rsidRPr="002240A9">
        <w:rPr>
          <w:lang w:val="fr-FR" w:eastAsia="fr-FR"/>
        </w:rPr>
        <w:t>Travaux d’</w:t>
      </w:r>
      <w:proofErr w:type="spellStart"/>
      <w:r w:rsidRPr="002240A9">
        <w:rPr>
          <w:lang w:val="fr-FR" w:eastAsia="fr-FR"/>
        </w:rPr>
        <w:t>amenagement</w:t>
      </w:r>
      <w:proofErr w:type="spellEnd"/>
      <w:r w:rsidRPr="002240A9">
        <w:rPr>
          <w:lang w:val="fr-FR" w:eastAsia="fr-FR"/>
        </w:rPr>
        <w:t xml:space="preserve"> hydro agricole du bas fond de </w:t>
      </w:r>
      <w:proofErr w:type="spellStart"/>
      <w:r w:rsidRPr="002240A9">
        <w:rPr>
          <w:lang w:val="fr-FR" w:eastAsia="fr-FR"/>
        </w:rPr>
        <w:t>Kissakoro</w:t>
      </w:r>
      <w:proofErr w:type="spellEnd"/>
      <w:r w:rsidRPr="002240A9">
        <w:rPr>
          <w:lang w:val="fr-FR" w:eastAsia="fr-FR"/>
        </w:rPr>
        <w:t xml:space="preserve"> (212 ha) et construction d'un magasin de stockage et de conservation d’échalote de 30 tonnes- commune de </w:t>
      </w:r>
      <w:proofErr w:type="spellStart"/>
      <w:r w:rsidRPr="002240A9">
        <w:rPr>
          <w:lang w:val="fr-FR" w:eastAsia="fr-FR"/>
        </w:rPr>
        <w:t>Benkadi</w:t>
      </w:r>
      <w:proofErr w:type="spellEnd"/>
      <w:r w:rsidRPr="002240A9">
        <w:rPr>
          <w:lang w:val="fr-FR" w:eastAsia="fr-FR"/>
        </w:rPr>
        <w:t xml:space="preserve"> - </w:t>
      </w:r>
      <w:r w:rsidR="00AB1A40">
        <w:rPr>
          <w:lang w:val="fr-FR" w:eastAsia="fr-FR"/>
        </w:rPr>
        <w:t>Région de Dioïla</w:t>
      </w:r>
    </w:p>
    <w:p w14:paraId="681B7946" w14:textId="77777777" w:rsidR="000B7943" w:rsidRPr="002240A9" w:rsidRDefault="000B7943" w:rsidP="002240A9">
      <w:pPr>
        <w:spacing w:after="0"/>
        <w:ind w:left="0" w:firstLine="0"/>
        <w:jc w:val="left"/>
        <w:rPr>
          <w:szCs w:val="24"/>
        </w:rPr>
      </w:pPr>
      <w:bookmarkStart w:id="589" w:name="_Hlk41827245"/>
      <w:proofErr w:type="gramStart"/>
      <w:r w:rsidRPr="002240A9">
        <w:rPr>
          <w:szCs w:val="24"/>
        </w:rPr>
        <w:t>L’aménagement projetés</w:t>
      </w:r>
      <w:proofErr w:type="gramEnd"/>
      <w:r w:rsidRPr="002240A9">
        <w:rPr>
          <w:szCs w:val="24"/>
        </w:rPr>
        <w:t xml:space="preserve"> comprend :</w:t>
      </w:r>
    </w:p>
    <w:p w14:paraId="01085A82" w14:textId="77777777" w:rsidR="000B7943" w:rsidRPr="002240A9" w:rsidRDefault="000B7943" w:rsidP="000B7943">
      <w:pPr>
        <w:rPr>
          <w:rFonts w:ascii="Arial Narrow" w:hAnsi="Arial Narrow"/>
          <w:b/>
          <w:bCs/>
          <w:szCs w:val="24"/>
          <w:u w:val="single"/>
        </w:rPr>
      </w:pPr>
    </w:p>
    <w:p w14:paraId="3884EC2B" w14:textId="77777777" w:rsidR="000B7943" w:rsidRPr="00552284" w:rsidRDefault="000B7943" w:rsidP="000B7943">
      <w:pPr>
        <w:rPr>
          <w:b/>
          <w:bCs/>
          <w:szCs w:val="24"/>
          <w:u w:val="single"/>
        </w:rPr>
      </w:pPr>
      <w:r w:rsidRPr="00552284">
        <w:rPr>
          <w:b/>
          <w:bCs/>
          <w:szCs w:val="24"/>
          <w:u w:val="single"/>
        </w:rPr>
        <w:t>Digue N°01 </w:t>
      </w:r>
      <w:r w:rsidRPr="00552284">
        <w:rPr>
          <w:b/>
          <w:bCs/>
          <w:szCs w:val="24"/>
        </w:rPr>
        <w:t>: Digue de récupération amont</w:t>
      </w:r>
    </w:p>
    <w:p w14:paraId="5E64F746" w14:textId="77777777" w:rsidR="000B7943" w:rsidRPr="00552284" w:rsidRDefault="000B7943" w:rsidP="000B7943">
      <w:pPr>
        <w:ind w:left="360"/>
        <w:rPr>
          <w:b/>
          <w:szCs w:val="24"/>
          <w:u w:val="single"/>
        </w:rPr>
      </w:pPr>
      <w:r w:rsidRPr="00552284">
        <w:rPr>
          <w:bCs/>
          <w:szCs w:val="24"/>
        </w:rPr>
        <w:t>Il est prévu</w:t>
      </w:r>
    </w:p>
    <w:p w14:paraId="626F32F0" w14:textId="77777777" w:rsidR="000B7943" w:rsidRPr="00552284" w:rsidRDefault="000B7943" w:rsidP="002A45C1">
      <w:pPr>
        <w:numPr>
          <w:ilvl w:val="0"/>
          <w:numId w:val="121"/>
        </w:numPr>
        <w:spacing w:after="0"/>
        <w:rPr>
          <w:b/>
          <w:szCs w:val="24"/>
        </w:rPr>
      </w:pPr>
      <w:r w:rsidRPr="00552284">
        <w:rPr>
          <w:szCs w:val="24"/>
        </w:rPr>
        <w:t xml:space="preserve">La réalisation d’une digue implantée en arc et reliant les butes de part et d’autre de la plaine. D’une longueur totale de 1 550,0 mètres (digue) avec une largeur en crête de 3 mètres, la digue est constituée d’un remblai d’argile homogène compacté recouverte par une couche de roulement en graveleux </w:t>
      </w:r>
      <w:proofErr w:type="spellStart"/>
      <w:r w:rsidRPr="00552284">
        <w:rPr>
          <w:szCs w:val="24"/>
        </w:rPr>
        <w:t>latérique</w:t>
      </w:r>
      <w:proofErr w:type="spellEnd"/>
      <w:r w:rsidRPr="00552284">
        <w:rPr>
          <w:szCs w:val="24"/>
        </w:rPr>
        <w:t> ;</w:t>
      </w:r>
    </w:p>
    <w:p w14:paraId="5F01FA5A" w14:textId="77777777" w:rsidR="000B7943" w:rsidRPr="00552284" w:rsidRDefault="000B7943" w:rsidP="002A45C1">
      <w:pPr>
        <w:numPr>
          <w:ilvl w:val="0"/>
          <w:numId w:val="121"/>
        </w:numPr>
        <w:spacing w:after="0"/>
        <w:rPr>
          <w:b/>
          <w:szCs w:val="24"/>
        </w:rPr>
      </w:pPr>
      <w:r w:rsidRPr="00552284">
        <w:rPr>
          <w:szCs w:val="24"/>
        </w:rPr>
        <w:t xml:space="preserve">La réalisation de deux déversoirs centraux de 100 mètres chacun calé à la côte 291,60 m. la longueur </w:t>
      </w:r>
      <w:proofErr w:type="spellStart"/>
      <w:r w:rsidRPr="00552284">
        <w:rPr>
          <w:szCs w:val="24"/>
        </w:rPr>
        <w:t>déversante</w:t>
      </w:r>
      <w:proofErr w:type="spellEnd"/>
      <w:r w:rsidRPr="00552284">
        <w:rPr>
          <w:szCs w:val="24"/>
        </w:rPr>
        <w:t xml:space="preserve"> totale est de 200 mètres ;</w:t>
      </w:r>
    </w:p>
    <w:p w14:paraId="69EE2E60" w14:textId="77777777" w:rsidR="000B7943" w:rsidRPr="00552284" w:rsidRDefault="000B7943" w:rsidP="002A45C1">
      <w:pPr>
        <w:numPr>
          <w:ilvl w:val="0"/>
          <w:numId w:val="121"/>
        </w:numPr>
        <w:spacing w:after="0"/>
        <w:rPr>
          <w:b/>
          <w:szCs w:val="24"/>
        </w:rPr>
      </w:pPr>
      <w:r w:rsidRPr="00552284">
        <w:rPr>
          <w:szCs w:val="24"/>
        </w:rPr>
        <w:t>La réalisation des raccordements nécessaires ;</w:t>
      </w:r>
    </w:p>
    <w:p w14:paraId="7176175A" w14:textId="77777777" w:rsidR="000B7943" w:rsidRPr="00552284" w:rsidRDefault="000B7943" w:rsidP="002A45C1">
      <w:pPr>
        <w:numPr>
          <w:ilvl w:val="0"/>
          <w:numId w:val="121"/>
        </w:numPr>
        <w:spacing w:after="0"/>
        <w:rPr>
          <w:b/>
          <w:szCs w:val="24"/>
        </w:rPr>
      </w:pPr>
      <w:r w:rsidRPr="00552284">
        <w:rPr>
          <w:szCs w:val="24"/>
        </w:rPr>
        <w:t>La réalisation des protections avale nécessaires (bassin de dissipation aval le long des déversoirs et protection avale en gabion et enrochement libre) ;</w:t>
      </w:r>
    </w:p>
    <w:p w14:paraId="5A6AC8E9" w14:textId="77777777" w:rsidR="000B7943" w:rsidRPr="00552284" w:rsidRDefault="000B7943" w:rsidP="002A45C1">
      <w:pPr>
        <w:numPr>
          <w:ilvl w:val="0"/>
          <w:numId w:val="121"/>
        </w:numPr>
        <w:spacing w:after="0"/>
        <w:rPr>
          <w:b/>
          <w:szCs w:val="24"/>
        </w:rPr>
      </w:pPr>
      <w:r w:rsidRPr="00552284">
        <w:rPr>
          <w:szCs w:val="24"/>
        </w:rPr>
        <w:t>La régulation du plan d’eau s’effectuera au moyen de quatre (04) pertuis de 1,50 m de large munis de batardeaux métalliques à la partie basse de chaque déversoir.</w:t>
      </w:r>
    </w:p>
    <w:p w14:paraId="4DAA7E2B" w14:textId="77777777" w:rsidR="000B7943" w:rsidRPr="00552284" w:rsidRDefault="000B7943" w:rsidP="000B7943">
      <w:pPr>
        <w:spacing w:before="240" w:after="0"/>
        <w:ind w:left="0" w:firstLine="0"/>
        <w:jc w:val="left"/>
        <w:rPr>
          <w:color w:val="00B050"/>
          <w:szCs w:val="24"/>
        </w:rPr>
      </w:pPr>
      <w:r w:rsidRPr="00552284">
        <w:rPr>
          <w:szCs w:val="24"/>
        </w:rPr>
        <w:t xml:space="preserve">L’ouvrage réalisé aura une longueur totale de 1750 mètres (digue et déversoirs), une hauteur maximale de 1,37 m et une largeur de crête 3,00 m. </w:t>
      </w:r>
      <w:r w:rsidRPr="00552284">
        <w:rPr>
          <w:b/>
          <w:bCs/>
          <w:szCs w:val="24"/>
        </w:rPr>
        <w:t>Le plan d’eau crée par l’ouvrage est d’environ 40 hectares</w:t>
      </w:r>
    </w:p>
    <w:p w14:paraId="20B70433" w14:textId="77777777" w:rsidR="000B7943" w:rsidRPr="00552284" w:rsidRDefault="000B7943" w:rsidP="000B7943">
      <w:pPr>
        <w:spacing w:before="240" w:after="0"/>
        <w:ind w:left="0" w:firstLine="0"/>
        <w:jc w:val="left"/>
        <w:rPr>
          <w:color w:val="00B050"/>
          <w:szCs w:val="24"/>
        </w:rPr>
      </w:pPr>
      <w:r w:rsidRPr="00552284">
        <w:rPr>
          <w:b/>
          <w:bCs/>
          <w:szCs w:val="24"/>
          <w:u w:val="single"/>
        </w:rPr>
        <w:t>Digue N°02 </w:t>
      </w:r>
      <w:r w:rsidRPr="00552284">
        <w:rPr>
          <w:b/>
          <w:bCs/>
          <w:szCs w:val="24"/>
        </w:rPr>
        <w:t>: Digue de Ceinture Avale</w:t>
      </w:r>
    </w:p>
    <w:p w14:paraId="2828E46E" w14:textId="77777777" w:rsidR="000B7943" w:rsidRPr="00552284" w:rsidRDefault="000B7943" w:rsidP="000B7943">
      <w:pPr>
        <w:spacing w:after="0"/>
        <w:rPr>
          <w:bCs/>
          <w:szCs w:val="24"/>
        </w:rPr>
      </w:pPr>
      <w:r w:rsidRPr="00552284">
        <w:rPr>
          <w:bCs/>
          <w:szCs w:val="24"/>
        </w:rPr>
        <w:t>Il est prévu :</w:t>
      </w:r>
    </w:p>
    <w:p w14:paraId="43D029E0" w14:textId="77777777" w:rsidR="000B7943" w:rsidRPr="00552284" w:rsidRDefault="000B7943" w:rsidP="002A45C1">
      <w:pPr>
        <w:numPr>
          <w:ilvl w:val="0"/>
          <w:numId w:val="121"/>
        </w:numPr>
        <w:spacing w:after="0"/>
        <w:rPr>
          <w:b/>
          <w:szCs w:val="24"/>
        </w:rPr>
      </w:pPr>
      <w:r w:rsidRPr="00552284">
        <w:rPr>
          <w:szCs w:val="24"/>
        </w:rPr>
        <w:t xml:space="preserve">La réalisation d’une digue de ceinture limitant le site à aménager reliant les </w:t>
      </w:r>
      <w:proofErr w:type="gramStart"/>
      <w:r w:rsidRPr="00552284">
        <w:rPr>
          <w:szCs w:val="24"/>
        </w:rPr>
        <w:t>butes</w:t>
      </w:r>
      <w:proofErr w:type="gramEnd"/>
      <w:r w:rsidRPr="00552284">
        <w:rPr>
          <w:szCs w:val="24"/>
        </w:rPr>
        <w:t xml:space="preserve"> de part et d’autre de la plaine. D’une longueur totale de 3 865,30 mètres avec une largeur en crête de 3 mètres, la digue est constituée d’un remblai d’argile homogène compacté recouverte par une couche de roulement en graveleux </w:t>
      </w:r>
      <w:proofErr w:type="spellStart"/>
      <w:r w:rsidRPr="00552284">
        <w:rPr>
          <w:szCs w:val="24"/>
        </w:rPr>
        <w:t>latérique</w:t>
      </w:r>
      <w:proofErr w:type="spellEnd"/>
      <w:r w:rsidRPr="00552284">
        <w:rPr>
          <w:szCs w:val="24"/>
        </w:rPr>
        <w:t> ;</w:t>
      </w:r>
    </w:p>
    <w:p w14:paraId="23E34F04" w14:textId="77777777" w:rsidR="000B7943" w:rsidRPr="00552284" w:rsidRDefault="000B7943" w:rsidP="002A45C1">
      <w:pPr>
        <w:numPr>
          <w:ilvl w:val="0"/>
          <w:numId w:val="121"/>
        </w:numPr>
        <w:spacing w:after="0"/>
        <w:rPr>
          <w:b/>
          <w:szCs w:val="24"/>
        </w:rPr>
      </w:pPr>
      <w:r w:rsidRPr="00552284">
        <w:rPr>
          <w:szCs w:val="24"/>
        </w:rPr>
        <w:t>La réalisation d’un déversoir central de 200 mètres calé à la côte 291,00 m ;</w:t>
      </w:r>
    </w:p>
    <w:p w14:paraId="625B21B8" w14:textId="77777777" w:rsidR="000B7943" w:rsidRPr="00552284" w:rsidRDefault="000B7943" w:rsidP="002A45C1">
      <w:pPr>
        <w:numPr>
          <w:ilvl w:val="0"/>
          <w:numId w:val="121"/>
        </w:numPr>
        <w:spacing w:after="0"/>
        <w:rPr>
          <w:b/>
          <w:szCs w:val="24"/>
        </w:rPr>
      </w:pPr>
      <w:r w:rsidRPr="00552284">
        <w:rPr>
          <w:szCs w:val="24"/>
        </w:rPr>
        <w:t>La réalisation des raccordements nécessaires ;</w:t>
      </w:r>
    </w:p>
    <w:p w14:paraId="5D2984CE" w14:textId="77777777" w:rsidR="000B7943" w:rsidRPr="00552284" w:rsidRDefault="000B7943" w:rsidP="002A45C1">
      <w:pPr>
        <w:numPr>
          <w:ilvl w:val="0"/>
          <w:numId w:val="121"/>
        </w:numPr>
        <w:spacing w:after="0"/>
        <w:rPr>
          <w:b/>
          <w:szCs w:val="24"/>
        </w:rPr>
      </w:pPr>
      <w:r w:rsidRPr="00552284">
        <w:rPr>
          <w:szCs w:val="24"/>
        </w:rPr>
        <w:t>La réalisation des protections avale nécessaires (bassin de dissipation aval le long du déversoir et protection avale en gabion et enrochement libre) ;</w:t>
      </w:r>
    </w:p>
    <w:p w14:paraId="1CD8C16F" w14:textId="77777777" w:rsidR="000B7943" w:rsidRPr="00552284" w:rsidRDefault="000B7943" w:rsidP="002A45C1">
      <w:pPr>
        <w:numPr>
          <w:ilvl w:val="0"/>
          <w:numId w:val="121"/>
        </w:numPr>
        <w:spacing w:after="0"/>
        <w:rPr>
          <w:b/>
          <w:szCs w:val="24"/>
        </w:rPr>
      </w:pPr>
      <w:r w:rsidRPr="00552284">
        <w:rPr>
          <w:szCs w:val="24"/>
        </w:rPr>
        <w:t>La régulation du plan d’eau s’effectuera au moyen de dix (10) pertuis de 1,50 m de large munis de batardeaux métalliques à la partie basse du déversoir.</w:t>
      </w:r>
    </w:p>
    <w:p w14:paraId="428176B2" w14:textId="77777777" w:rsidR="000B7943" w:rsidRPr="00552284" w:rsidRDefault="000B7943" w:rsidP="000B7943">
      <w:pPr>
        <w:spacing w:before="240" w:after="0"/>
        <w:ind w:left="0" w:firstLine="0"/>
        <w:jc w:val="left"/>
        <w:rPr>
          <w:color w:val="00B050"/>
          <w:szCs w:val="24"/>
        </w:rPr>
      </w:pPr>
      <w:r w:rsidRPr="00552284">
        <w:rPr>
          <w:szCs w:val="24"/>
        </w:rPr>
        <w:t xml:space="preserve">L’ouvrage réalisé aura une longueur totale de 4 065,30 mètres (digue et déversoirs), une hauteur maximale de 1,54 m et une largeur de crête 3,00 m (digue). </w:t>
      </w:r>
      <w:r w:rsidRPr="00552284">
        <w:rPr>
          <w:b/>
          <w:bCs/>
          <w:szCs w:val="24"/>
        </w:rPr>
        <w:t>Le plan d’eau crée par l’ouvrage est d’environ 154 hectares.</w:t>
      </w:r>
    </w:p>
    <w:p w14:paraId="7BB36D6B" w14:textId="77777777" w:rsidR="000B7943" w:rsidRPr="00552284" w:rsidRDefault="000B7943" w:rsidP="000B7943">
      <w:pPr>
        <w:spacing w:after="0"/>
        <w:rPr>
          <w:rFonts w:ascii="Arial Narrow" w:hAnsi="Arial Narrow"/>
          <w:b/>
          <w:bCs/>
          <w:szCs w:val="24"/>
          <w:u w:val="single"/>
        </w:rPr>
      </w:pPr>
    </w:p>
    <w:p w14:paraId="2D798B26" w14:textId="77777777" w:rsidR="000B7943" w:rsidRPr="00552284" w:rsidRDefault="000B7943" w:rsidP="000B7943">
      <w:pPr>
        <w:rPr>
          <w:b/>
          <w:bCs/>
          <w:szCs w:val="24"/>
          <w:u w:val="single"/>
        </w:rPr>
      </w:pPr>
      <w:r w:rsidRPr="00552284">
        <w:rPr>
          <w:b/>
          <w:bCs/>
          <w:szCs w:val="24"/>
          <w:u w:val="single"/>
        </w:rPr>
        <w:t>Magasin de conservation de 30 tonnes d’</w:t>
      </w:r>
      <w:proofErr w:type="spellStart"/>
      <w:r w:rsidRPr="00552284">
        <w:rPr>
          <w:b/>
          <w:bCs/>
          <w:szCs w:val="24"/>
          <w:u w:val="single"/>
        </w:rPr>
        <w:t>échalotte</w:t>
      </w:r>
      <w:proofErr w:type="spellEnd"/>
    </w:p>
    <w:p w14:paraId="2ADBEC39" w14:textId="77777777" w:rsidR="000B7943" w:rsidRDefault="000B7943" w:rsidP="000B7943">
      <w:pPr>
        <w:spacing w:after="0"/>
        <w:rPr>
          <w:bCs/>
          <w:szCs w:val="24"/>
        </w:rPr>
      </w:pPr>
      <w:r w:rsidRPr="00552284">
        <w:rPr>
          <w:bCs/>
          <w:szCs w:val="24"/>
        </w:rPr>
        <w:t>Il est prévu :</w:t>
      </w:r>
    </w:p>
    <w:p w14:paraId="5202221E" w14:textId="77777777" w:rsidR="000B7943" w:rsidRPr="00552284" w:rsidRDefault="000B7943" w:rsidP="000B7943">
      <w:pPr>
        <w:spacing w:after="0"/>
        <w:rPr>
          <w:bCs/>
          <w:szCs w:val="24"/>
        </w:rPr>
      </w:pPr>
    </w:p>
    <w:p w14:paraId="36E3C9D1" w14:textId="77777777" w:rsidR="000B7943" w:rsidRPr="00552284" w:rsidRDefault="000B7943" w:rsidP="002A45C1">
      <w:pPr>
        <w:pStyle w:val="Paragraphedeliste"/>
        <w:numPr>
          <w:ilvl w:val="0"/>
          <w:numId w:val="111"/>
        </w:numPr>
        <w:rPr>
          <w:b/>
          <w:szCs w:val="24"/>
        </w:rPr>
      </w:pPr>
      <w:r w:rsidRPr="00552284">
        <w:rPr>
          <w:szCs w:val="24"/>
        </w:rPr>
        <w:t>La réalisation d’un magasin de 203 m</w:t>
      </w:r>
      <w:r w:rsidRPr="00552284">
        <w:rPr>
          <w:szCs w:val="24"/>
          <w:vertAlign w:val="superscript"/>
        </w:rPr>
        <w:t>2</w:t>
      </w:r>
      <w:r w:rsidRPr="00552284">
        <w:rPr>
          <w:szCs w:val="24"/>
        </w:rPr>
        <w:t xml:space="preserve"> en dur avec toiture en tôle bac auto portant avec faux plafond pour la conservation de 30 tonnes d’</w:t>
      </w:r>
      <w:proofErr w:type="spellStart"/>
      <w:r w:rsidRPr="00552284">
        <w:rPr>
          <w:szCs w:val="24"/>
        </w:rPr>
        <w:t>échalotte</w:t>
      </w:r>
      <w:proofErr w:type="spellEnd"/>
      <w:r w:rsidRPr="00552284">
        <w:rPr>
          <w:szCs w:val="24"/>
        </w:rPr>
        <w:t xml:space="preserve">. </w:t>
      </w:r>
    </w:p>
    <w:p w14:paraId="5BC22680" w14:textId="77777777" w:rsidR="000B7943" w:rsidRPr="00552284" w:rsidRDefault="000B7943" w:rsidP="000B7943">
      <w:pPr>
        <w:spacing w:after="0"/>
        <w:ind w:hanging="216"/>
        <w:rPr>
          <w:szCs w:val="24"/>
        </w:rPr>
      </w:pPr>
      <w:r w:rsidRPr="00552284">
        <w:rPr>
          <w:szCs w:val="24"/>
        </w:rPr>
        <w:t>Le magasin est équipé de :</w:t>
      </w:r>
    </w:p>
    <w:p w14:paraId="424BD298" w14:textId="77777777" w:rsidR="000B7943" w:rsidRPr="00552284" w:rsidRDefault="000B7943" w:rsidP="002A45C1">
      <w:pPr>
        <w:numPr>
          <w:ilvl w:val="0"/>
          <w:numId w:val="121"/>
        </w:numPr>
        <w:spacing w:after="0"/>
        <w:jc w:val="left"/>
        <w:rPr>
          <w:szCs w:val="24"/>
        </w:rPr>
      </w:pPr>
      <w:r w:rsidRPr="00552284">
        <w:rPr>
          <w:szCs w:val="24"/>
        </w:rPr>
        <w:t>Quarante-deux (42) unités de claies métalliques à huit (08) casiers de 1,20 x 1,00 m. Chaque casier à une capacité de 90 Kg d’</w:t>
      </w:r>
      <w:proofErr w:type="spellStart"/>
      <w:r w:rsidRPr="00552284">
        <w:rPr>
          <w:szCs w:val="24"/>
        </w:rPr>
        <w:t>échalotte</w:t>
      </w:r>
      <w:proofErr w:type="spellEnd"/>
      <w:r w:rsidRPr="00552284">
        <w:rPr>
          <w:szCs w:val="24"/>
        </w:rPr>
        <w:t> ;</w:t>
      </w:r>
    </w:p>
    <w:p w14:paraId="71DADFBE" w14:textId="77777777" w:rsidR="000B7943" w:rsidRPr="00552284" w:rsidRDefault="000B7943" w:rsidP="002A45C1">
      <w:pPr>
        <w:numPr>
          <w:ilvl w:val="0"/>
          <w:numId w:val="121"/>
        </w:numPr>
        <w:spacing w:after="0"/>
        <w:rPr>
          <w:szCs w:val="24"/>
        </w:rPr>
      </w:pPr>
      <w:r w:rsidRPr="00552284">
        <w:rPr>
          <w:szCs w:val="24"/>
        </w:rPr>
        <w:t>Une (01) bascule de 500 Kg ;</w:t>
      </w:r>
    </w:p>
    <w:p w14:paraId="74C663A5" w14:textId="77777777" w:rsidR="000B7943" w:rsidRPr="00552284" w:rsidRDefault="000B7943" w:rsidP="002A45C1">
      <w:pPr>
        <w:numPr>
          <w:ilvl w:val="0"/>
          <w:numId w:val="121"/>
        </w:numPr>
        <w:spacing w:after="0"/>
        <w:rPr>
          <w:szCs w:val="24"/>
        </w:rPr>
      </w:pPr>
      <w:r w:rsidRPr="00552284">
        <w:rPr>
          <w:szCs w:val="24"/>
        </w:rPr>
        <w:t>Une (01) balance de 100 Kg ;</w:t>
      </w:r>
    </w:p>
    <w:p w14:paraId="79E9B93C" w14:textId="77777777" w:rsidR="000B7943" w:rsidRPr="00552284" w:rsidRDefault="000B7943" w:rsidP="002A45C1">
      <w:pPr>
        <w:numPr>
          <w:ilvl w:val="0"/>
          <w:numId w:val="121"/>
        </w:numPr>
        <w:spacing w:after="0"/>
        <w:rPr>
          <w:szCs w:val="24"/>
        </w:rPr>
      </w:pPr>
      <w:r w:rsidRPr="00552284">
        <w:rPr>
          <w:szCs w:val="24"/>
        </w:rPr>
        <w:t>Deux (02) échelles d’accès aux claies ;</w:t>
      </w:r>
    </w:p>
    <w:p w14:paraId="16741C39" w14:textId="77777777" w:rsidR="000B7943" w:rsidRPr="00552284" w:rsidRDefault="000B7943" w:rsidP="002A45C1">
      <w:pPr>
        <w:numPr>
          <w:ilvl w:val="0"/>
          <w:numId w:val="121"/>
        </w:numPr>
        <w:spacing w:after="0"/>
        <w:rPr>
          <w:szCs w:val="24"/>
        </w:rPr>
      </w:pPr>
      <w:r w:rsidRPr="00552284">
        <w:rPr>
          <w:szCs w:val="24"/>
        </w:rPr>
        <w:t>Deux (02) bancs métalliques.</w:t>
      </w:r>
    </w:p>
    <w:p w14:paraId="7F6B800F" w14:textId="77777777" w:rsidR="000B7943" w:rsidRPr="00552284" w:rsidRDefault="000B7943" w:rsidP="000B7943">
      <w:pPr>
        <w:spacing w:after="0"/>
        <w:rPr>
          <w:szCs w:val="24"/>
        </w:rPr>
      </w:pPr>
    </w:p>
    <w:p w14:paraId="5A1CB8FB" w14:textId="77777777" w:rsidR="000B7943" w:rsidRPr="00552284" w:rsidRDefault="000B7943" w:rsidP="002A45C1">
      <w:pPr>
        <w:pStyle w:val="Paragraphedeliste"/>
        <w:numPr>
          <w:ilvl w:val="0"/>
          <w:numId w:val="111"/>
        </w:numPr>
        <w:rPr>
          <w:szCs w:val="24"/>
        </w:rPr>
      </w:pPr>
      <w:r w:rsidRPr="00552284">
        <w:rPr>
          <w:szCs w:val="24"/>
        </w:rPr>
        <w:t>La réalisation d’un bureau de 13,70 m</w:t>
      </w:r>
      <w:r w:rsidRPr="00552284">
        <w:rPr>
          <w:szCs w:val="24"/>
          <w:vertAlign w:val="superscript"/>
        </w:rPr>
        <w:t>2</w:t>
      </w:r>
      <w:r w:rsidRPr="00552284">
        <w:rPr>
          <w:szCs w:val="24"/>
        </w:rPr>
        <w:t xml:space="preserve"> en dur avec toiture en tôle bac auto portant avec faux plafond équipé de :</w:t>
      </w:r>
    </w:p>
    <w:p w14:paraId="1AF16701" w14:textId="77777777" w:rsidR="000B7943" w:rsidRPr="00552284" w:rsidRDefault="000B7943" w:rsidP="002A45C1">
      <w:pPr>
        <w:numPr>
          <w:ilvl w:val="0"/>
          <w:numId w:val="121"/>
        </w:numPr>
        <w:spacing w:after="0"/>
        <w:jc w:val="left"/>
        <w:rPr>
          <w:szCs w:val="24"/>
        </w:rPr>
      </w:pPr>
      <w:r w:rsidRPr="00552284">
        <w:rPr>
          <w:szCs w:val="24"/>
        </w:rPr>
        <w:t>Trois (03) chaises ;</w:t>
      </w:r>
    </w:p>
    <w:p w14:paraId="3A094178" w14:textId="77777777" w:rsidR="000B7943" w:rsidRPr="00552284" w:rsidRDefault="000B7943" w:rsidP="002A45C1">
      <w:pPr>
        <w:numPr>
          <w:ilvl w:val="0"/>
          <w:numId w:val="121"/>
        </w:numPr>
        <w:spacing w:after="0"/>
        <w:jc w:val="left"/>
        <w:rPr>
          <w:color w:val="00B050"/>
          <w:szCs w:val="24"/>
        </w:rPr>
      </w:pPr>
      <w:r w:rsidRPr="00552284">
        <w:rPr>
          <w:szCs w:val="24"/>
        </w:rPr>
        <w:t>Une (01) table métallique.</w:t>
      </w:r>
    </w:p>
    <w:bookmarkEnd w:id="589"/>
    <w:p w14:paraId="1021639A" w14:textId="77777777" w:rsidR="000B7943" w:rsidRPr="002240A9" w:rsidRDefault="000B7943" w:rsidP="000B7943">
      <w:pPr>
        <w:spacing w:before="240" w:after="0"/>
        <w:rPr>
          <w:szCs w:val="24"/>
        </w:rPr>
      </w:pPr>
      <w:r w:rsidRPr="002240A9">
        <w:rPr>
          <w:szCs w:val="24"/>
        </w:rPr>
        <w:t>Les caractéristiques des ouvrages sont :</w:t>
      </w:r>
    </w:p>
    <w:p w14:paraId="6BF6B79A" w14:textId="77777777" w:rsidR="000B7943" w:rsidRPr="002240A9" w:rsidRDefault="000B7943" w:rsidP="000B7943">
      <w:pPr>
        <w:keepNext/>
        <w:tabs>
          <w:tab w:val="left" w:pos="284"/>
        </w:tabs>
        <w:spacing w:before="240" w:after="0"/>
        <w:jc w:val="left"/>
        <w:outlineLvl w:val="2"/>
        <w:rPr>
          <w:b/>
          <w:szCs w:val="24"/>
          <w:u w:val="single"/>
        </w:rPr>
      </w:pPr>
      <w:bookmarkStart w:id="590" w:name="_Toc35617685"/>
      <w:bookmarkStart w:id="591" w:name="_Toc42528817"/>
      <w:r w:rsidRPr="002240A9">
        <w:rPr>
          <w:b/>
          <w:szCs w:val="24"/>
        </w:rPr>
        <w:t>1-</w:t>
      </w:r>
      <w:r w:rsidRPr="002240A9">
        <w:rPr>
          <w:b/>
          <w:szCs w:val="24"/>
          <w:u w:val="single"/>
        </w:rPr>
        <w:t xml:space="preserve"> Digue N°01</w:t>
      </w:r>
      <w:r w:rsidRPr="002240A9">
        <w:rPr>
          <w:b/>
          <w:szCs w:val="24"/>
        </w:rPr>
        <w:t>- Digue de récupération amont muni de deux (02) déversoir</w:t>
      </w:r>
      <w:bookmarkEnd w:id="590"/>
      <w:r w:rsidRPr="002240A9">
        <w:rPr>
          <w:b/>
          <w:szCs w:val="24"/>
        </w:rPr>
        <w:t>s</w:t>
      </w:r>
      <w:bookmarkEnd w:id="591"/>
    </w:p>
    <w:p w14:paraId="72EE72AC" w14:textId="77777777" w:rsidR="000B7943" w:rsidRPr="002240A9" w:rsidRDefault="000B7943" w:rsidP="000B7943">
      <w:pPr>
        <w:keepNext/>
        <w:spacing w:before="240" w:after="0"/>
        <w:jc w:val="left"/>
        <w:outlineLvl w:val="2"/>
        <w:rPr>
          <w:b/>
          <w:szCs w:val="24"/>
          <w:u w:val="single"/>
        </w:rPr>
      </w:pPr>
      <w:bookmarkStart w:id="592" w:name="_Toc35617686"/>
      <w:bookmarkStart w:id="593" w:name="_Toc42528818"/>
      <w:r w:rsidRPr="002240A9">
        <w:rPr>
          <w:b/>
          <w:szCs w:val="24"/>
          <w:u w:val="single"/>
        </w:rPr>
        <w:t>Déversoir de 200 m de long en béton cyclopéen</w:t>
      </w:r>
      <w:bookmarkEnd w:id="592"/>
      <w:bookmarkEnd w:id="593"/>
      <w:r w:rsidRPr="002240A9">
        <w:rPr>
          <w:b/>
          <w:szCs w:val="24"/>
          <w:u w:val="single"/>
        </w:rPr>
        <w:t xml:space="preserve"> </w:t>
      </w:r>
    </w:p>
    <w:p w14:paraId="40B227B2" w14:textId="77777777" w:rsidR="000B7943" w:rsidRPr="002240A9" w:rsidRDefault="000B7943" w:rsidP="002A45C1">
      <w:pPr>
        <w:numPr>
          <w:ilvl w:val="0"/>
          <w:numId w:val="112"/>
        </w:numPr>
        <w:tabs>
          <w:tab w:val="num" w:pos="284"/>
        </w:tabs>
        <w:spacing w:after="0"/>
        <w:ind w:left="502"/>
        <w:jc w:val="left"/>
        <w:rPr>
          <w:szCs w:val="24"/>
        </w:rPr>
      </w:pPr>
      <w:r w:rsidRPr="002240A9">
        <w:rPr>
          <w:szCs w:val="24"/>
        </w:rPr>
        <w:t>Débit de dimensionnement</w:t>
      </w:r>
      <w:r w:rsidRPr="002240A9">
        <w:rPr>
          <w:szCs w:val="24"/>
        </w:rPr>
        <w:tab/>
      </w:r>
      <w:r w:rsidRPr="002240A9">
        <w:rPr>
          <w:szCs w:val="24"/>
        </w:rPr>
        <w:tab/>
      </w:r>
      <w:r w:rsidRPr="002240A9">
        <w:rPr>
          <w:szCs w:val="24"/>
        </w:rPr>
        <w:tab/>
      </w:r>
      <w:r w:rsidRPr="002240A9">
        <w:rPr>
          <w:szCs w:val="24"/>
        </w:rPr>
        <w:tab/>
        <w:t xml:space="preserve">          </w:t>
      </w:r>
      <w:proofErr w:type="spellStart"/>
      <w:r w:rsidRPr="002240A9">
        <w:rPr>
          <w:szCs w:val="24"/>
        </w:rPr>
        <w:t>Qp</w:t>
      </w:r>
      <w:proofErr w:type="spellEnd"/>
      <w:r w:rsidRPr="002240A9">
        <w:rPr>
          <w:szCs w:val="24"/>
        </w:rPr>
        <w:t>= 83,72</w:t>
      </w:r>
      <w:r w:rsidRPr="002240A9">
        <w:rPr>
          <w:b/>
          <w:szCs w:val="24"/>
        </w:rPr>
        <w:t xml:space="preserve"> </w:t>
      </w:r>
      <w:r w:rsidRPr="002240A9">
        <w:rPr>
          <w:szCs w:val="24"/>
        </w:rPr>
        <w:t>m3/s</w:t>
      </w:r>
    </w:p>
    <w:p w14:paraId="0DA9B135" w14:textId="77777777" w:rsidR="000B7943" w:rsidRPr="002240A9" w:rsidRDefault="000B7943" w:rsidP="002A45C1">
      <w:pPr>
        <w:numPr>
          <w:ilvl w:val="0"/>
          <w:numId w:val="112"/>
        </w:numPr>
        <w:tabs>
          <w:tab w:val="num" w:pos="284"/>
        </w:tabs>
        <w:spacing w:after="0"/>
        <w:ind w:left="502"/>
        <w:jc w:val="left"/>
        <w:rPr>
          <w:szCs w:val="24"/>
        </w:rPr>
      </w:pPr>
      <w:r w:rsidRPr="002240A9">
        <w:rPr>
          <w:szCs w:val="24"/>
        </w:rPr>
        <w:t>Longueur de déversement – Dev N°01                              L= 100 m ;</w:t>
      </w:r>
    </w:p>
    <w:p w14:paraId="41FFF40D" w14:textId="77777777" w:rsidR="000B7943" w:rsidRPr="002240A9" w:rsidRDefault="000B7943" w:rsidP="002A45C1">
      <w:pPr>
        <w:numPr>
          <w:ilvl w:val="0"/>
          <w:numId w:val="112"/>
        </w:numPr>
        <w:tabs>
          <w:tab w:val="num" w:pos="284"/>
        </w:tabs>
        <w:spacing w:after="0"/>
        <w:ind w:left="502"/>
        <w:jc w:val="left"/>
        <w:rPr>
          <w:szCs w:val="24"/>
        </w:rPr>
      </w:pPr>
      <w:r w:rsidRPr="002240A9">
        <w:rPr>
          <w:szCs w:val="24"/>
        </w:rPr>
        <w:t>Longueur de déversement – Dev °02                                 L= 100 m ;</w:t>
      </w:r>
    </w:p>
    <w:p w14:paraId="13428099" w14:textId="77777777" w:rsidR="000B7943" w:rsidRPr="002240A9" w:rsidRDefault="000B7943" w:rsidP="002A45C1">
      <w:pPr>
        <w:numPr>
          <w:ilvl w:val="0"/>
          <w:numId w:val="112"/>
        </w:numPr>
        <w:tabs>
          <w:tab w:val="num" w:pos="284"/>
        </w:tabs>
        <w:spacing w:after="0"/>
        <w:ind w:left="502"/>
        <w:jc w:val="left"/>
        <w:rPr>
          <w:szCs w:val="24"/>
        </w:rPr>
      </w:pPr>
      <w:r w:rsidRPr="002240A9">
        <w:rPr>
          <w:szCs w:val="24"/>
        </w:rPr>
        <w:t>Charge maximale</w:t>
      </w:r>
      <w:r w:rsidRPr="002240A9">
        <w:rPr>
          <w:szCs w:val="24"/>
        </w:rPr>
        <w:tab/>
      </w:r>
      <w:r w:rsidRPr="002240A9">
        <w:rPr>
          <w:szCs w:val="24"/>
        </w:rPr>
        <w:tab/>
      </w:r>
      <w:r w:rsidRPr="002240A9">
        <w:rPr>
          <w:szCs w:val="24"/>
        </w:rPr>
        <w:tab/>
      </w:r>
      <w:r w:rsidRPr="002240A9">
        <w:rPr>
          <w:szCs w:val="24"/>
        </w:rPr>
        <w:tab/>
        <w:t xml:space="preserve">                         h = 0,35 m ;</w:t>
      </w:r>
    </w:p>
    <w:p w14:paraId="794C3A4E" w14:textId="77777777" w:rsidR="000B7943" w:rsidRPr="002240A9" w:rsidRDefault="000B7943" w:rsidP="002A45C1">
      <w:pPr>
        <w:numPr>
          <w:ilvl w:val="0"/>
          <w:numId w:val="112"/>
        </w:numPr>
        <w:tabs>
          <w:tab w:val="num" w:pos="284"/>
        </w:tabs>
        <w:spacing w:after="0"/>
        <w:ind w:left="502"/>
        <w:jc w:val="left"/>
        <w:rPr>
          <w:szCs w:val="24"/>
        </w:rPr>
      </w:pPr>
      <w:r w:rsidRPr="002240A9">
        <w:rPr>
          <w:szCs w:val="24"/>
        </w:rPr>
        <w:t>Largeur en crête</w:t>
      </w:r>
      <w:r w:rsidRPr="002240A9">
        <w:rPr>
          <w:szCs w:val="24"/>
        </w:rPr>
        <w:tab/>
      </w:r>
      <w:r w:rsidRPr="002240A9">
        <w:rPr>
          <w:szCs w:val="24"/>
        </w:rPr>
        <w:tab/>
      </w:r>
      <w:r w:rsidRPr="002240A9">
        <w:rPr>
          <w:szCs w:val="24"/>
        </w:rPr>
        <w:tab/>
      </w:r>
      <w:r w:rsidRPr="002240A9">
        <w:rPr>
          <w:szCs w:val="24"/>
        </w:rPr>
        <w:tab/>
      </w:r>
      <w:r w:rsidRPr="002240A9">
        <w:rPr>
          <w:szCs w:val="24"/>
        </w:rPr>
        <w:tab/>
        <w:t xml:space="preserve">               = 0,50 m ;</w:t>
      </w:r>
    </w:p>
    <w:p w14:paraId="7C65C289" w14:textId="77777777" w:rsidR="000B7943" w:rsidRPr="002240A9" w:rsidRDefault="000B7943" w:rsidP="002A45C1">
      <w:pPr>
        <w:numPr>
          <w:ilvl w:val="0"/>
          <w:numId w:val="112"/>
        </w:numPr>
        <w:tabs>
          <w:tab w:val="num" w:pos="284"/>
        </w:tabs>
        <w:spacing w:after="0"/>
        <w:ind w:left="502"/>
        <w:jc w:val="left"/>
        <w:rPr>
          <w:szCs w:val="24"/>
        </w:rPr>
      </w:pPr>
      <w:r w:rsidRPr="002240A9">
        <w:rPr>
          <w:szCs w:val="24"/>
        </w:rPr>
        <w:t>Hauteur maxi / TN (déversoir N°01)</w:t>
      </w:r>
      <w:r w:rsidRPr="002240A9">
        <w:rPr>
          <w:szCs w:val="24"/>
        </w:rPr>
        <w:tab/>
      </w:r>
      <w:r w:rsidRPr="002240A9">
        <w:rPr>
          <w:szCs w:val="24"/>
        </w:rPr>
        <w:tab/>
      </w:r>
      <w:r w:rsidRPr="002240A9">
        <w:rPr>
          <w:szCs w:val="24"/>
        </w:rPr>
        <w:tab/>
        <w:t xml:space="preserve">   = 0,88 m ;</w:t>
      </w:r>
    </w:p>
    <w:p w14:paraId="66E4F9E1" w14:textId="77777777" w:rsidR="000B7943" w:rsidRPr="002240A9" w:rsidRDefault="000B7943" w:rsidP="002A45C1">
      <w:pPr>
        <w:numPr>
          <w:ilvl w:val="0"/>
          <w:numId w:val="112"/>
        </w:numPr>
        <w:tabs>
          <w:tab w:val="num" w:pos="284"/>
        </w:tabs>
        <w:spacing w:after="0"/>
        <w:ind w:left="502"/>
        <w:jc w:val="left"/>
        <w:rPr>
          <w:szCs w:val="24"/>
        </w:rPr>
      </w:pPr>
      <w:r w:rsidRPr="002240A9">
        <w:rPr>
          <w:szCs w:val="24"/>
        </w:rPr>
        <w:t>Hauteur maxi / TN (déversoir N°02)</w:t>
      </w:r>
      <w:r w:rsidRPr="002240A9">
        <w:rPr>
          <w:szCs w:val="24"/>
        </w:rPr>
        <w:tab/>
      </w:r>
      <w:r w:rsidRPr="002240A9">
        <w:rPr>
          <w:szCs w:val="24"/>
        </w:rPr>
        <w:tab/>
      </w:r>
      <w:r w:rsidRPr="002240A9">
        <w:rPr>
          <w:szCs w:val="24"/>
        </w:rPr>
        <w:tab/>
        <w:t xml:space="preserve">   = 0,95 m ;</w:t>
      </w:r>
    </w:p>
    <w:p w14:paraId="79530D2B" w14:textId="77777777" w:rsidR="000B7943" w:rsidRPr="002240A9" w:rsidRDefault="000B7943" w:rsidP="002A45C1">
      <w:pPr>
        <w:numPr>
          <w:ilvl w:val="0"/>
          <w:numId w:val="112"/>
        </w:numPr>
        <w:tabs>
          <w:tab w:val="num" w:pos="284"/>
        </w:tabs>
        <w:spacing w:after="0"/>
        <w:ind w:left="502"/>
        <w:jc w:val="left"/>
        <w:rPr>
          <w:szCs w:val="24"/>
        </w:rPr>
      </w:pPr>
      <w:r w:rsidRPr="002240A9">
        <w:rPr>
          <w:szCs w:val="24"/>
        </w:rPr>
        <w:t>Talus amont (V/H)</w:t>
      </w:r>
      <w:r w:rsidRPr="002240A9">
        <w:rPr>
          <w:szCs w:val="24"/>
        </w:rPr>
        <w:tab/>
      </w:r>
      <w:r w:rsidRPr="002240A9">
        <w:rPr>
          <w:szCs w:val="24"/>
        </w:rPr>
        <w:tab/>
      </w:r>
      <w:r w:rsidRPr="002240A9">
        <w:rPr>
          <w:szCs w:val="24"/>
        </w:rPr>
        <w:tab/>
      </w:r>
      <w:r w:rsidRPr="002240A9">
        <w:rPr>
          <w:szCs w:val="24"/>
        </w:rPr>
        <w:tab/>
      </w:r>
      <w:r w:rsidRPr="002240A9">
        <w:rPr>
          <w:szCs w:val="24"/>
        </w:rPr>
        <w:tab/>
        <w:t xml:space="preserve">               = Vertical ;</w:t>
      </w:r>
    </w:p>
    <w:p w14:paraId="022D2210" w14:textId="77777777" w:rsidR="000B7943" w:rsidRPr="002240A9" w:rsidRDefault="000B7943" w:rsidP="002A45C1">
      <w:pPr>
        <w:numPr>
          <w:ilvl w:val="0"/>
          <w:numId w:val="112"/>
        </w:numPr>
        <w:tabs>
          <w:tab w:val="num" w:pos="284"/>
        </w:tabs>
        <w:spacing w:after="0"/>
        <w:ind w:left="502"/>
        <w:jc w:val="left"/>
        <w:rPr>
          <w:szCs w:val="24"/>
        </w:rPr>
      </w:pPr>
      <w:r w:rsidRPr="002240A9">
        <w:rPr>
          <w:szCs w:val="24"/>
        </w:rPr>
        <w:t>Talus aval (V/H)</w:t>
      </w:r>
      <w:r w:rsidRPr="002240A9">
        <w:rPr>
          <w:szCs w:val="24"/>
        </w:rPr>
        <w:tab/>
      </w:r>
      <w:r w:rsidRPr="002240A9">
        <w:rPr>
          <w:szCs w:val="24"/>
        </w:rPr>
        <w:tab/>
      </w:r>
      <w:r w:rsidRPr="002240A9">
        <w:rPr>
          <w:szCs w:val="24"/>
        </w:rPr>
        <w:tab/>
      </w:r>
      <w:r w:rsidRPr="002240A9">
        <w:rPr>
          <w:szCs w:val="24"/>
        </w:rPr>
        <w:tab/>
      </w:r>
      <w:r w:rsidRPr="002240A9">
        <w:rPr>
          <w:szCs w:val="24"/>
        </w:rPr>
        <w:tab/>
        <w:t xml:space="preserve">               = 1/1 ;</w:t>
      </w:r>
    </w:p>
    <w:p w14:paraId="1880619C" w14:textId="77777777" w:rsidR="000B7943" w:rsidRPr="002240A9" w:rsidRDefault="000B7943" w:rsidP="002A45C1">
      <w:pPr>
        <w:numPr>
          <w:ilvl w:val="0"/>
          <w:numId w:val="112"/>
        </w:numPr>
        <w:tabs>
          <w:tab w:val="num" w:pos="284"/>
        </w:tabs>
        <w:spacing w:after="0"/>
        <w:ind w:left="502"/>
        <w:jc w:val="left"/>
        <w:rPr>
          <w:szCs w:val="24"/>
        </w:rPr>
      </w:pPr>
      <w:r w:rsidRPr="002240A9">
        <w:rPr>
          <w:szCs w:val="24"/>
        </w:rPr>
        <w:t>Tranchée d’encrage : profondeur maxi</w:t>
      </w:r>
      <w:r w:rsidRPr="002240A9">
        <w:rPr>
          <w:szCs w:val="24"/>
        </w:rPr>
        <w:tab/>
        <w:t xml:space="preserve">                           = 1,50 m.</w:t>
      </w:r>
    </w:p>
    <w:p w14:paraId="102D4E15" w14:textId="77777777" w:rsidR="000B7943" w:rsidRPr="002240A9" w:rsidRDefault="000B7943" w:rsidP="000B7943">
      <w:pPr>
        <w:keepNext/>
        <w:spacing w:before="240" w:after="0"/>
        <w:jc w:val="left"/>
        <w:outlineLvl w:val="2"/>
        <w:rPr>
          <w:b/>
          <w:szCs w:val="24"/>
          <w:u w:val="single"/>
        </w:rPr>
      </w:pPr>
      <w:bookmarkStart w:id="594" w:name="_Toc35617687"/>
      <w:bookmarkStart w:id="595" w:name="_Toc42528819"/>
      <w:r w:rsidRPr="002240A9">
        <w:rPr>
          <w:b/>
          <w:szCs w:val="24"/>
          <w:u w:val="single"/>
        </w:rPr>
        <w:t>Ouvrage de protection - Bassin de dissipation</w:t>
      </w:r>
      <w:bookmarkEnd w:id="594"/>
      <w:bookmarkEnd w:id="595"/>
    </w:p>
    <w:p w14:paraId="35192CC8" w14:textId="77777777" w:rsidR="000B7943" w:rsidRPr="002240A9" w:rsidRDefault="000B7943" w:rsidP="000B7943">
      <w:pPr>
        <w:spacing w:after="0"/>
        <w:ind w:left="-567" w:firstLine="0"/>
        <w:jc w:val="left"/>
        <w:rPr>
          <w:szCs w:val="24"/>
        </w:rPr>
      </w:pPr>
      <w:r w:rsidRPr="002240A9">
        <w:rPr>
          <w:szCs w:val="24"/>
        </w:rPr>
        <w:t>Les calculs nous donnent un bassin à ressaut de type I, pour une longueur maxi 2,50 m au niveau du lit mineur. Sa longueur minimale est de 2,00 m au niveau des rives.</w:t>
      </w:r>
    </w:p>
    <w:p w14:paraId="21D7D47E" w14:textId="77777777" w:rsidR="000B7943" w:rsidRPr="002240A9" w:rsidRDefault="000B7943" w:rsidP="000B7943">
      <w:pPr>
        <w:spacing w:after="0"/>
        <w:ind w:left="-567" w:firstLine="0"/>
        <w:jc w:val="left"/>
        <w:rPr>
          <w:szCs w:val="24"/>
        </w:rPr>
      </w:pPr>
      <w:r w:rsidRPr="002240A9">
        <w:rPr>
          <w:szCs w:val="24"/>
        </w:rPr>
        <w:t>Les bassins de dissipation seront réalisés en béton cyclopéen de rapport pierre / béton égale à 50/50. L’épaisseur de bassin est de 30 cm.</w:t>
      </w:r>
    </w:p>
    <w:p w14:paraId="6FFFA576" w14:textId="77777777" w:rsidR="000B7943" w:rsidRPr="002240A9" w:rsidRDefault="000B7943" w:rsidP="000B7943">
      <w:pPr>
        <w:spacing w:after="0"/>
        <w:ind w:left="-567" w:firstLine="0"/>
        <w:jc w:val="left"/>
        <w:rPr>
          <w:szCs w:val="24"/>
        </w:rPr>
      </w:pPr>
      <w:r w:rsidRPr="002240A9">
        <w:rPr>
          <w:szCs w:val="24"/>
        </w:rPr>
        <w:t>Chaque bassin de dissipation comportera les éléments suivants pour dissiper l’énergie résiduelle de l’eau à la sortie du bassin :</w:t>
      </w:r>
    </w:p>
    <w:p w14:paraId="3D7B88D8" w14:textId="77777777" w:rsidR="000B7943" w:rsidRPr="002240A9" w:rsidRDefault="000B7943" w:rsidP="002A45C1">
      <w:pPr>
        <w:numPr>
          <w:ilvl w:val="0"/>
          <w:numId w:val="112"/>
        </w:numPr>
        <w:tabs>
          <w:tab w:val="num" w:pos="284"/>
        </w:tabs>
        <w:spacing w:after="0"/>
        <w:ind w:left="502"/>
        <w:jc w:val="left"/>
        <w:rPr>
          <w:szCs w:val="24"/>
        </w:rPr>
      </w:pPr>
      <w:r w:rsidRPr="002240A9">
        <w:rPr>
          <w:szCs w:val="24"/>
        </w:rPr>
        <w:t>A l’aval du bassin, il sera réalisé une ligne de gabionnage de 1,00 m de large sur 6 m de long au droit du pertuis ;</w:t>
      </w:r>
    </w:p>
    <w:p w14:paraId="473D8C60" w14:textId="77777777" w:rsidR="000B7943" w:rsidRPr="002240A9" w:rsidRDefault="000B7943" w:rsidP="002A45C1">
      <w:pPr>
        <w:numPr>
          <w:ilvl w:val="0"/>
          <w:numId w:val="112"/>
        </w:numPr>
        <w:tabs>
          <w:tab w:val="num" w:pos="284"/>
        </w:tabs>
        <w:spacing w:after="0"/>
        <w:ind w:left="502"/>
        <w:jc w:val="left"/>
        <w:rPr>
          <w:szCs w:val="24"/>
        </w:rPr>
      </w:pPr>
      <w:r w:rsidRPr="002240A9">
        <w:rPr>
          <w:szCs w:val="24"/>
        </w:rPr>
        <w:t>Ce gabionnage sera suivi d’un enrochement libre de 2,00 m de long ;</w:t>
      </w:r>
    </w:p>
    <w:p w14:paraId="1F3F2AC6" w14:textId="77777777" w:rsidR="000B7943" w:rsidRPr="002240A9" w:rsidRDefault="000B7943" w:rsidP="002A45C1">
      <w:pPr>
        <w:numPr>
          <w:ilvl w:val="0"/>
          <w:numId w:val="112"/>
        </w:numPr>
        <w:tabs>
          <w:tab w:val="num" w:pos="284"/>
        </w:tabs>
        <w:spacing w:after="0"/>
        <w:ind w:left="502"/>
        <w:jc w:val="left"/>
        <w:rPr>
          <w:szCs w:val="24"/>
        </w:rPr>
      </w:pPr>
      <w:r w:rsidRPr="002240A9">
        <w:rPr>
          <w:szCs w:val="24"/>
        </w:rPr>
        <w:t>Bloc de chute de 25x20 cm espacés de 20 cm ;</w:t>
      </w:r>
    </w:p>
    <w:p w14:paraId="5558B6FC" w14:textId="77777777" w:rsidR="000B7943" w:rsidRPr="002240A9" w:rsidRDefault="000B7943" w:rsidP="002A45C1">
      <w:pPr>
        <w:numPr>
          <w:ilvl w:val="0"/>
          <w:numId w:val="112"/>
        </w:numPr>
        <w:tabs>
          <w:tab w:val="num" w:pos="284"/>
        </w:tabs>
        <w:spacing w:after="0"/>
        <w:ind w:left="502"/>
        <w:jc w:val="left"/>
        <w:rPr>
          <w:szCs w:val="24"/>
        </w:rPr>
      </w:pPr>
      <w:r w:rsidRPr="002240A9">
        <w:rPr>
          <w:szCs w:val="24"/>
        </w:rPr>
        <w:t>Filtre pour éviter la production des sous pression épaisseur 10 cm.</w:t>
      </w:r>
    </w:p>
    <w:p w14:paraId="4770BF35" w14:textId="77777777" w:rsidR="000B7943" w:rsidRPr="002240A9" w:rsidRDefault="000B7943" w:rsidP="000B7943">
      <w:pPr>
        <w:keepNext/>
        <w:spacing w:before="240" w:after="0"/>
        <w:jc w:val="left"/>
        <w:outlineLvl w:val="2"/>
        <w:rPr>
          <w:b/>
          <w:szCs w:val="24"/>
          <w:u w:val="single"/>
        </w:rPr>
      </w:pPr>
      <w:bookmarkStart w:id="596" w:name="_Toc522116986"/>
      <w:bookmarkStart w:id="597" w:name="_Toc35617688"/>
      <w:bookmarkStart w:id="598" w:name="_Toc42528820"/>
      <w:bookmarkStart w:id="599" w:name="_Hlk35174982"/>
      <w:r w:rsidRPr="002240A9">
        <w:rPr>
          <w:b/>
          <w:szCs w:val="24"/>
          <w:u w:val="single"/>
        </w:rPr>
        <w:t>La digue de raccordements</w:t>
      </w:r>
      <w:bookmarkEnd w:id="596"/>
      <w:bookmarkEnd w:id="597"/>
      <w:bookmarkEnd w:id="598"/>
    </w:p>
    <w:bookmarkEnd w:id="599"/>
    <w:p w14:paraId="4B64300A" w14:textId="77777777" w:rsidR="000B7943" w:rsidRPr="002240A9" w:rsidRDefault="000B7943" w:rsidP="000B7943">
      <w:pPr>
        <w:spacing w:before="240"/>
        <w:ind w:left="-567" w:firstLine="0"/>
        <w:jc w:val="left"/>
        <w:rPr>
          <w:szCs w:val="24"/>
        </w:rPr>
      </w:pPr>
      <w:r w:rsidRPr="002240A9">
        <w:rPr>
          <w:szCs w:val="24"/>
        </w:rPr>
        <w:t>Le raccordement entre les déversoirs et sur les rives est assuré par une digue.</w:t>
      </w:r>
    </w:p>
    <w:p w14:paraId="5D93DD07" w14:textId="77777777" w:rsidR="000B7943" w:rsidRPr="002240A9" w:rsidRDefault="000B7943" w:rsidP="000B7943">
      <w:pPr>
        <w:pBdr>
          <w:top w:val="single" w:sz="4" w:space="1" w:color="auto"/>
          <w:left w:val="single" w:sz="4" w:space="4" w:color="auto"/>
          <w:bottom w:val="single" w:sz="4" w:space="1" w:color="auto"/>
          <w:right w:val="single" w:sz="4" w:space="4" w:color="auto"/>
        </w:pBdr>
        <w:spacing w:after="0"/>
        <w:ind w:left="-567" w:firstLine="0"/>
        <w:jc w:val="left"/>
        <w:rPr>
          <w:b/>
          <w:bCs/>
          <w:iCs/>
          <w:szCs w:val="24"/>
        </w:rPr>
      </w:pPr>
      <w:r w:rsidRPr="002240A9">
        <w:rPr>
          <w:b/>
          <w:bCs/>
          <w:iCs/>
          <w:szCs w:val="24"/>
        </w:rPr>
        <w:t>Nature du matériau</w:t>
      </w:r>
      <w:r w:rsidRPr="002240A9">
        <w:rPr>
          <w:b/>
          <w:bCs/>
          <w:iCs/>
          <w:szCs w:val="24"/>
        </w:rPr>
        <w:tab/>
        <w:t xml:space="preserve">= argile homogène compactée aux engins surmontés d’une couche de roulement en graveleux latéritique de 20cm d’épaisseur </w:t>
      </w:r>
    </w:p>
    <w:p w14:paraId="0C9336E1" w14:textId="77777777" w:rsidR="000B7943" w:rsidRPr="002240A9" w:rsidRDefault="000B7943" w:rsidP="000B7943">
      <w:pPr>
        <w:pBdr>
          <w:top w:val="single" w:sz="4" w:space="1" w:color="auto"/>
          <w:left w:val="single" w:sz="4" w:space="4" w:color="auto"/>
          <w:bottom w:val="single" w:sz="4" w:space="1" w:color="auto"/>
          <w:right w:val="single" w:sz="4" w:space="4" w:color="auto"/>
        </w:pBdr>
        <w:spacing w:after="0"/>
        <w:ind w:left="-567" w:firstLine="0"/>
        <w:jc w:val="left"/>
        <w:rPr>
          <w:b/>
          <w:bCs/>
          <w:iCs/>
          <w:szCs w:val="24"/>
        </w:rPr>
      </w:pPr>
      <w:r w:rsidRPr="002240A9">
        <w:rPr>
          <w:b/>
          <w:bCs/>
          <w:iCs/>
          <w:szCs w:val="24"/>
        </w:rPr>
        <w:t>Largeur en crête</w:t>
      </w:r>
      <w:r w:rsidRPr="002240A9">
        <w:rPr>
          <w:b/>
          <w:bCs/>
          <w:iCs/>
          <w:szCs w:val="24"/>
        </w:rPr>
        <w:tab/>
      </w:r>
      <w:r w:rsidRPr="002240A9">
        <w:rPr>
          <w:b/>
          <w:bCs/>
          <w:iCs/>
          <w:szCs w:val="24"/>
        </w:rPr>
        <w:tab/>
        <w:t xml:space="preserve">   = 3,0 m</w:t>
      </w:r>
    </w:p>
    <w:p w14:paraId="06AD0758" w14:textId="77777777" w:rsidR="000B7943" w:rsidRPr="002240A9" w:rsidRDefault="000B7943" w:rsidP="000B7943">
      <w:pPr>
        <w:pBdr>
          <w:top w:val="single" w:sz="4" w:space="1" w:color="auto"/>
          <w:left w:val="single" w:sz="4" w:space="4" w:color="auto"/>
          <w:bottom w:val="single" w:sz="4" w:space="1" w:color="auto"/>
          <w:right w:val="single" w:sz="4" w:space="4" w:color="auto"/>
        </w:pBdr>
        <w:spacing w:after="0"/>
        <w:ind w:left="-567" w:firstLine="0"/>
        <w:jc w:val="left"/>
        <w:rPr>
          <w:b/>
          <w:bCs/>
          <w:iCs/>
          <w:szCs w:val="24"/>
        </w:rPr>
      </w:pPr>
      <w:r w:rsidRPr="002240A9">
        <w:rPr>
          <w:b/>
          <w:bCs/>
          <w:iCs/>
          <w:szCs w:val="24"/>
        </w:rPr>
        <w:t xml:space="preserve">Hauteur maxi/TN           </w:t>
      </w:r>
      <w:r w:rsidRPr="002240A9">
        <w:rPr>
          <w:b/>
          <w:bCs/>
          <w:iCs/>
          <w:szCs w:val="24"/>
        </w:rPr>
        <w:tab/>
        <w:t xml:space="preserve">   = 1,52 m</w:t>
      </w:r>
    </w:p>
    <w:p w14:paraId="36FF77E3" w14:textId="77777777" w:rsidR="000B7943" w:rsidRPr="002240A9" w:rsidRDefault="000B7943" w:rsidP="000B7943">
      <w:pPr>
        <w:pBdr>
          <w:top w:val="single" w:sz="4" w:space="1" w:color="auto"/>
          <w:left w:val="single" w:sz="4" w:space="4" w:color="auto"/>
          <w:bottom w:val="single" w:sz="4" w:space="1" w:color="auto"/>
          <w:right w:val="single" w:sz="4" w:space="4" w:color="auto"/>
        </w:pBdr>
        <w:spacing w:after="0"/>
        <w:ind w:left="-567" w:firstLine="0"/>
        <w:jc w:val="left"/>
        <w:rPr>
          <w:b/>
          <w:bCs/>
          <w:iCs/>
          <w:szCs w:val="24"/>
        </w:rPr>
      </w:pPr>
      <w:r w:rsidRPr="002240A9">
        <w:rPr>
          <w:b/>
          <w:bCs/>
          <w:iCs/>
          <w:szCs w:val="24"/>
        </w:rPr>
        <w:t>Parement amont (H/V)</w:t>
      </w:r>
      <w:r w:rsidRPr="002240A9">
        <w:rPr>
          <w:b/>
          <w:bCs/>
          <w:iCs/>
          <w:szCs w:val="24"/>
        </w:rPr>
        <w:tab/>
        <w:t xml:space="preserve">   = 2/1</w:t>
      </w:r>
    </w:p>
    <w:p w14:paraId="01A70CCC" w14:textId="77777777" w:rsidR="000B7943" w:rsidRPr="002240A9" w:rsidRDefault="000B7943" w:rsidP="000B7943">
      <w:pPr>
        <w:pBdr>
          <w:top w:val="single" w:sz="4" w:space="1" w:color="auto"/>
          <w:left w:val="single" w:sz="4" w:space="4" w:color="auto"/>
          <w:bottom w:val="single" w:sz="4" w:space="1" w:color="auto"/>
          <w:right w:val="single" w:sz="4" w:space="4" w:color="auto"/>
        </w:pBdr>
        <w:spacing w:after="0"/>
        <w:ind w:left="-567" w:firstLine="0"/>
        <w:jc w:val="left"/>
        <w:rPr>
          <w:b/>
          <w:bCs/>
          <w:iCs/>
          <w:szCs w:val="24"/>
        </w:rPr>
      </w:pPr>
      <w:r w:rsidRPr="002240A9">
        <w:rPr>
          <w:b/>
          <w:bCs/>
          <w:iCs/>
          <w:szCs w:val="24"/>
        </w:rPr>
        <w:t>Parement aval (H/V)</w:t>
      </w:r>
      <w:r w:rsidRPr="002240A9">
        <w:rPr>
          <w:b/>
          <w:bCs/>
          <w:iCs/>
          <w:szCs w:val="24"/>
        </w:rPr>
        <w:tab/>
        <w:t xml:space="preserve">   = 2/1</w:t>
      </w:r>
    </w:p>
    <w:p w14:paraId="00A28C9C" w14:textId="77777777" w:rsidR="000B7943" w:rsidRPr="002240A9" w:rsidRDefault="000B7943" w:rsidP="000B7943">
      <w:pPr>
        <w:pBdr>
          <w:top w:val="single" w:sz="4" w:space="1" w:color="auto"/>
          <w:left w:val="single" w:sz="4" w:space="4" w:color="auto"/>
          <w:bottom w:val="single" w:sz="4" w:space="1" w:color="auto"/>
          <w:right w:val="single" w:sz="4" w:space="4" w:color="auto"/>
        </w:pBdr>
        <w:spacing w:after="0"/>
        <w:ind w:left="-567" w:firstLine="0"/>
        <w:jc w:val="left"/>
        <w:rPr>
          <w:b/>
          <w:bCs/>
          <w:iCs/>
          <w:szCs w:val="24"/>
        </w:rPr>
      </w:pPr>
      <w:r w:rsidRPr="002240A9">
        <w:rPr>
          <w:b/>
          <w:bCs/>
          <w:iCs/>
          <w:szCs w:val="24"/>
        </w:rPr>
        <w:t>Longueur totale</w:t>
      </w:r>
      <w:r w:rsidRPr="002240A9">
        <w:rPr>
          <w:b/>
          <w:bCs/>
          <w:iCs/>
          <w:szCs w:val="24"/>
        </w:rPr>
        <w:tab/>
        <w:t xml:space="preserve">               = 1 550,0 m</w:t>
      </w:r>
    </w:p>
    <w:p w14:paraId="76F8ED60" w14:textId="77777777" w:rsidR="000B7943" w:rsidRPr="002240A9" w:rsidRDefault="000B7943" w:rsidP="000B7943">
      <w:pPr>
        <w:pBdr>
          <w:top w:val="single" w:sz="4" w:space="1" w:color="auto"/>
          <w:left w:val="single" w:sz="4" w:space="4" w:color="auto"/>
          <w:bottom w:val="single" w:sz="4" w:space="1" w:color="auto"/>
          <w:right w:val="single" w:sz="4" w:space="4" w:color="auto"/>
        </w:pBdr>
        <w:spacing w:after="0"/>
        <w:ind w:left="-567" w:firstLine="0"/>
        <w:jc w:val="left"/>
        <w:rPr>
          <w:b/>
          <w:bCs/>
          <w:iCs/>
          <w:szCs w:val="24"/>
        </w:rPr>
      </w:pPr>
      <w:r w:rsidRPr="002240A9">
        <w:rPr>
          <w:b/>
          <w:bCs/>
          <w:iCs/>
          <w:szCs w:val="24"/>
        </w:rPr>
        <w:t>Digue rive gauche                  = 649,20 m ;</w:t>
      </w:r>
    </w:p>
    <w:p w14:paraId="46B763C3" w14:textId="77777777" w:rsidR="000B7943" w:rsidRPr="002240A9" w:rsidRDefault="000B7943" w:rsidP="000B7943">
      <w:pPr>
        <w:pBdr>
          <w:top w:val="single" w:sz="4" w:space="1" w:color="auto"/>
          <w:left w:val="single" w:sz="4" w:space="4" w:color="auto"/>
          <w:bottom w:val="single" w:sz="4" w:space="1" w:color="auto"/>
          <w:right w:val="single" w:sz="4" w:space="4" w:color="auto"/>
        </w:pBdr>
        <w:spacing w:after="0"/>
        <w:ind w:left="-567" w:firstLine="0"/>
        <w:jc w:val="left"/>
        <w:rPr>
          <w:b/>
          <w:bCs/>
          <w:iCs/>
          <w:szCs w:val="24"/>
        </w:rPr>
      </w:pPr>
      <w:r w:rsidRPr="002240A9">
        <w:rPr>
          <w:b/>
          <w:bCs/>
          <w:iCs/>
          <w:szCs w:val="24"/>
        </w:rPr>
        <w:t>Digue centrale                        = 380,0 m ;</w:t>
      </w:r>
    </w:p>
    <w:p w14:paraId="047AFFF1" w14:textId="77777777" w:rsidR="000B7943" w:rsidRPr="002240A9" w:rsidRDefault="000B7943" w:rsidP="000B7943">
      <w:pPr>
        <w:pBdr>
          <w:top w:val="single" w:sz="4" w:space="1" w:color="auto"/>
          <w:left w:val="single" w:sz="4" w:space="4" w:color="auto"/>
          <w:bottom w:val="single" w:sz="4" w:space="1" w:color="auto"/>
          <w:right w:val="single" w:sz="4" w:space="4" w:color="auto"/>
        </w:pBdr>
        <w:spacing w:after="0"/>
        <w:ind w:left="-567" w:firstLine="0"/>
        <w:jc w:val="left"/>
        <w:rPr>
          <w:b/>
          <w:bCs/>
          <w:iCs/>
          <w:szCs w:val="24"/>
        </w:rPr>
      </w:pPr>
      <w:r w:rsidRPr="002240A9">
        <w:rPr>
          <w:b/>
          <w:bCs/>
          <w:iCs/>
          <w:szCs w:val="24"/>
        </w:rPr>
        <w:t>Digue rive droite                     = 520,73 m.</w:t>
      </w:r>
    </w:p>
    <w:p w14:paraId="7DB97AB1" w14:textId="77777777" w:rsidR="000B7943" w:rsidRPr="002240A9" w:rsidRDefault="000B7943" w:rsidP="000B7943">
      <w:pPr>
        <w:keepNext/>
        <w:spacing w:before="240" w:after="0"/>
        <w:jc w:val="left"/>
        <w:outlineLvl w:val="2"/>
        <w:rPr>
          <w:b/>
          <w:szCs w:val="24"/>
          <w:u w:val="single"/>
        </w:rPr>
      </w:pPr>
      <w:bookmarkStart w:id="600" w:name="_Toc35617689"/>
      <w:bookmarkStart w:id="601" w:name="_Toc42528821"/>
      <w:r w:rsidRPr="002240A9">
        <w:rPr>
          <w:b/>
          <w:szCs w:val="24"/>
          <w:u w:val="single"/>
        </w:rPr>
        <w:t>Ouvrage de régulation :</w:t>
      </w:r>
      <w:bookmarkEnd w:id="600"/>
      <w:bookmarkEnd w:id="601"/>
      <w:r w:rsidRPr="002240A9">
        <w:rPr>
          <w:b/>
          <w:szCs w:val="24"/>
          <w:u w:val="single"/>
        </w:rPr>
        <w:t xml:space="preserve"> </w:t>
      </w:r>
    </w:p>
    <w:p w14:paraId="4FA4D6B4" w14:textId="77777777" w:rsidR="000B7943" w:rsidRPr="002240A9" w:rsidRDefault="000B7943" w:rsidP="000B7943">
      <w:pPr>
        <w:spacing w:after="0"/>
        <w:ind w:left="-567" w:firstLine="0"/>
        <w:jc w:val="left"/>
        <w:rPr>
          <w:szCs w:val="24"/>
        </w:rPr>
      </w:pPr>
      <w:r w:rsidRPr="002240A9">
        <w:rPr>
          <w:szCs w:val="24"/>
        </w:rPr>
        <w:t xml:space="preserve">Il est constitué de quatre (04) pertuis de 150x75 cm dont deux (02) au niveau de chaque déversoir. </w:t>
      </w:r>
    </w:p>
    <w:p w14:paraId="01CDA1B8" w14:textId="77777777" w:rsidR="000B7943" w:rsidRPr="002240A9" w:rsidRDefault="000B7943" w:rsidP="000B7943">
      <w:pPr>
        <w:spacing w:after="0"/>
        <w:ind w:left="-567" w:firstLine="0"/>
        <w:jc w:val="left"/>
        <w:rPr>
          <w:szCs w:val="24"/>
        </w:rPr>
      </w:pPr>
      <w:r w:rsidRPr="002240A9">
        <w:rPr>
          <w:szCs w:val="24"/>
        </w:rPr>
        <w:t>Les caractéristiques sont les suivants :</w:t>
      </w:r>
    </w:p>
    <w:p w14:paraId="48C1B9A7" w14:textId="77777777" w:rsidR="000B7943" w:rsidRPr="002240A9" w:rsidRDefault="000B7943" w:rsidP="000B7943">
      <w:pPr>
        <w:spacing w:after="0"/>
        <w:ind w:left="-567" w:firstLine="0"/>
        <w:jc w:val="left"/>
        <w:rPr>
          <w:szCs w:val="24"/>
        </w:rPr>
      </w:pPr>
    </w:p>
    <w:tbl>
      <w:tblPr>
        <w:tblW w:w="8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84"/>
        <w:gridCol w:w="1944"/>
        <w:gridCol w:w="2288"/>
        <w:gridCol w:w="2324"/>
      </w:tblGrid>
      <w:tr w:rsidR="002240A9" w:rsidRPr="002240A9" w14:paraId="10E6773E" w14:textId="77777777" w:rsidTr="002240A9">
        <w:trPr>
          <w:jc w:val="center"/>
        </w:trPr>
        <w:tc>
          <w:tcPr>
            <w:tcW w:w="2284" w:type="dxa"/>
          </w:tcPr>
          <w:p w14:paraId="4AFC2325" w14:textId="77777777" w:rsidR="000B7943" w:rsidRPr="002240A9" w:rsidRDefault="000B7943" w:rsidP="002240A9">
            <w:pPr>
              <w:spacing w:after="0"/>
              <w:ind w:left="-567" w:firstLine="0"/>
              <w:jc w:val="center"/>
              <w:rPr>
                <w:b/>
                <w:bCs/>
                <w:szCs w:val="24"/>
              </w:rPr>
            </w:pPr>
            <w:r w:rsidRPr="002240A9">
              <w:rPr>
                <w:b/>
                <w:bCs/>
                <w:szCs w:val="24"/>
              </w:rPr>
              <w:t>Désignation</w:t>
            </w:r>
          </w:p>
        </w:tc>
        <w:tc>
          <w:tcPr>
            <w:tcW w:w="1944" w:type="dxa"/>
          </w:tcPr>
          <w:p w14:paraId="45DD2D5D" w14:textId="77777777" w:rsidR="000B7943" w:rsidRPr="002240A9" w:rsidRDefault="000B7943" w:rsidP="002240A9">
            <w:pPr>
              <w:spacing w:after="0"/>
              <w:ind w:left="0" w:firstLine="0"/>
              <w:jc w:val="left"/>
              <w:rPr>
                <w:b/>
                <w:bCs/>
                <w:szCs w:val="24"/>
              </w:rPr>
            </w:pPr>
            <w:r w:rsidRPr="002240A9">
              <w:rPr>
                <w:b/>
                <w:bCs/>
                <w:szCs w:val="24"/>
              </w:rPr>
              <w:t>Position du pertuis</w:t>
            </w:r>
          </w:p>
        </w:tc>
        <w:tc>
          <w:tcPr>
            <w:tcW w:w="2288" w:type="dxa"/>
          </w:tcPr>
          <w:p w14:paraId="51222A57" w14:textId="77777777" w:rsidR="000B7943" w:rsidRPr="002240A9" w:rsidRDefault="000B7943" w:rsidP="002240A9">
            <w:pPr>
              <w:spacing w:after="0"/>
              <w:ind w:left="0" w:firstLine="0"/>
              <w:jc w:val="left"/>
              <w:rPr>
                <w:b/>
                <w:bCs/>
                <w:szCs w:val="24"/>
              </w:rPr>
            </w:pPr>
            <w:r w:rsidRPr="002240A9">
              <w:rPr>
                <w:b/>
                <w:bCs/>
                <w:szCs w:val="24"/>
              </w:rPr>
              <w:t>Dimension du pertuis</w:t>
            </w:r>
          </w:p>
        </w:tc>
        <w:tc>
          <w:tcPr>
            <w:tcW w:w="2324" w:type="dxa"/>
          </w:tcPr>
          <w:p w14:paraId="26BF387A" w14:textId="77777777" w:rsidR="000B7943" w:rsidRPr="002240A9" w:rsidRDefault="000B7943" w:rsidP="002240A9">
            <w:pPr>
              <w:spacing w:after="0"/>
              <w:ind w:left="0" w:firstLine="0"/>
              <w:jc w:val="left"/>
              <w:rPr>
                <w:b/>
                <w:bCs/>
                <w:szCs w:val="24"/>
              </w:rPr>
            </w:pPr>
            <w:r w:rsidRPr="002240A9">
              <w:rPr>
                <w:b/>
                <w:bCs/>
                <w:szCs w:val="24"/>
              </w:rPr>
              <w:t>Ouvrage de régulation</w:t>
            </w:r>
          </w:p>
        </w:tc>
      </w:tr>
      <w:tr w:rsidR="002240A9" w:rsidRPr="002240A9" w14:paraId="1FE93082" w14:textId="77777777" w:rsidTr="002240A9">
        <w:trPr>
          <w:jc w:val="center"/>
        </w:trPr>
        <w:tc>
          <w:tcPr>
            <w:tcW w:w="2284" w:type="dxa"/>
            <w:vAlign w:val="center"/>
          </w:tcPr>
          <w:p w14:paraId="74792D9B" w14:textId="77777777" w:rsidR="000B7943" w:rsidRPr="002240A9" w:rsidRDefault="000B7943" w:rsidP="002240A9">
            <w:pPr>
              <w:spacing w:after="0"/>
              <w:ind w:left="0" w:firstLine="0"/>
              <w:jc w:val="center"/>
              <w:rPr>
                <w:szCs w:val="24"/>
                <w:lang w:val="nl-NL"/>
              </w:rPr>
            </w:pPr>
            <w:r w:rsidRPr="002240A9">
              <w:rPr>
                <w:szCs w:val="24"/>
                <w:lang w:val="fr-ML"/>
              </w:rPr>
              <w:t>Pertuis de vidange N°01</w:t>
            </w:r>
          </w:p>
        </w:tc>
        <w:tc>
          <w:tcPr>
            <w:tcW w:w="1944" w:type="dxa"/>
            <w:vAlign w:val="center"/>
          </w:tcPr>
          <w:p w14:paraId="67D79A54" w14:textId="77777777" w:rsidR="000B7943" w:rsidRPr="002240A9" w:rsidRDefault="000B7943" w:rsidP="002240A9">
            <w:pPr>
              <w:spacing w:after="0"/>
              <w:ind w:left="0" w:firstLine="0"/>
              <w:jc w:val="center"/>
              <w:rPr>
                <w:szCs w:val="24"/>
                <w:lang w:val="fr-ML"/>
              </w:rPr>
            </w:pPr>
            <w:r w:rsidRPr="002240A9">
              <w:rPr>
                <w:szCs w:val="24"/>
                <w:lang w:val="fr-ML"/>
              </w:rPr>
              <w:t>Profil N°37</w:t>
            </w:r>
          </w:p>
        </w:tc>
        <w:tc>
          <w:tcPr>
            <w:tcW w:w="2288" w:type="dxa"/>
            <w:vAlign w:val="center"/>
          </w:tcPr>
          <w:p w14:paraId="55486EA4" w14:textId="77777777" w:rsidR="000B7943" w:rsidRPr="002240A9" w:rsidRDefault="000B7943" w:rsidP="002240A9">
            <w:pPr>
              <w:spacing w:after="0"/>
              <w:ind w:left="0" w:firstLine="0"/>
              <w:jc w:val="center"/>
              <w:rPr>
                <w:szCs w:val="24"/>
                <w:lang w:val="fr-ML"/>
              </w:rPr>
            </w:pPr>
            <w:r w:rsidRPr="002240A9">
              <w:rPr>
                <w:szCs w:val="24"/>
                <w:lang w:val="fr-ML"/>
              </w:rPr>
              <w:t>Pertuis de 150 x 75 cm</w:t>
            </w:r>
          </w:p>
        </w:tc>
        <w:tc>
          <w:tcPr>
            <w:tcW w:w="2324" w:type="dxa"/>
            <w:vAlign w:val="center"/>
          </w:tcPr>
          <w:p w14:paraId="56C97985" w14:textId="77777777" w:rsidR="000B7943" w:rsidRPr="002240A9" w:rsidRDefault="000B7943" w:rsidP="002240A9">
            <w:pPr>
              <w:spacing w:after="0"/>
              <w:ind w:left="0" w:firstLine="0"/>
              <w:jc w:val="left"/>
              <w:rPr>
                <w:szCs w:val="24"/>
                <w:lang w:val="fr-ML"/>
              </w:rPr>
            </w:pPr>
            <w:r w:rsidRPr="002240A9">
              <w:rPr>
                <w:szCs w:val="24"/>
                <w:lang w:val="fr-ML"/>
              </w:rPr>
              <w:t>Batardeau métallique munis glissière</w:t>
            </w:r>
          </w:p>
          <w:p w14:paraId="0A47CB65" w14:textId="77777777" w:rsidR="000B7943" w:rsidRPr="002240A9" w:rsidRDefault="000B7943" w:rsidP="002240A9">
            <w:pPr>
              <w:spacing w:after="0"/>
              <w:ind w:left="0" w:firstLine="0"/>
              <w:jc w:val="left"/>
              <w:rPr>
                <w:szCs w:val="24"/>
                <w:lang w:val="fr-ML"/>
              </w:rPr>
            </w:pPr>
            <w:r w:rsidRPr="002240A9">
              <w:rPr>
                <w:szCs w:val="24"/>
                <w:lang w:val="fr-ML"/>
              </w:rPr>
              <w:t>Nombre= 6</w:t>
            </w:r>
          </w:p>
          <w:p w14:paraId="7F52A0A1" w14:textId="77777777" w:rsidR="000B7943" w:rsidRPr="002240A9" w:rsidRDefault="000B7943" w:rsidP="002240A9">
            <w:pPr>
              <w:spacing w:after="0"/>
              <w:ind w:left="0" w:firstLine="0"/>
              <w:jc w:val="left"/>
              <w:rPr>
                <w:szCs w:val="24"/>
                <w:lang w:val="fr-ML"/>
              </w:rPr>
            </w:pPr>
            <w:r w:rsidRPr="002240A9">
              <w:rPr>
                <w:szCs w:val="24"/>
                <w:lang w:val="fr-ML"/>
              </w:rPr>
              <w:t>Dimensions : 25x170cm</w:t>
            </w:r>
          </w:p>
        </w:tc>
      </w:tr>
      <w:tr w:rsidR="002240A9" w:rsidRPr="002240A9" w14:paraId="4A66D38F" w14:textId="77777777" w:rsidTr="002240A9">
        <w:trPr>
          <w:jc w:val="center"/>
        </w:trPr>
        <w:tc>
          <w:tcPr>
            <w:tcW w:w="2284" w:type="dxa"/>
            <w:vAlign w:val="center"/>
          </w:tcPr>
          <w:p w14:paraId="4FF6B3FB" w14:textId="77777777" w:rsidR="000B7943" w:rsidRPr="002240A9" w:rsidRDefault="000B7943" w:rsidP="002240A9">
            <w:pPr>
              <w:spacing w:after="0"/>
              <w:ind w:left="0" w:firstLine="0"/>
              <w:jc w:val="center"/>
              <w:rPr>
                <w:szCs w:val="24"/>
                <w:lang w:val="nl-NL"/>
              </w:rPr>
            </w:pPr>
            <w:r w:rsidRPr="002240A9">
              <w:rPr>
                <w:szCs w:val="24"/>
                <w:lang w:val="fr-ML"/>
              </w:rPr>
              <w:t>Pertuis de vidange N°02</w:t>
            </w:r>
          </w:p>
        </w:tc>
        <w:tc>
          <w:tcPr>
            <w:tcW w:w="1944" w:type="dxa"/>
            <w:vAlign w:val="center"/>
          </w:tcPr>
          <w:p w14:paraId="46638C55" w14:textId="77777777" w:rsidR="000B7943" w:rsidRPr="002240A9" w:rsidRDefault="000B7943" w:rsidP="002240A9">
            <w:pPr>
              <w:spacing w:after="0"/>
              <w:ind w:left="0" w:firstLine="0"/>
              <w:jc w:val="center"/>
              <w:rPr>
                <w:szCs w:val="24"/>
                <w:lang w:val="fr-ML"/>
              </w:rPr>
            </w:pPr>
            <w:r w:rsidRPr="002240A9">
              <w:rPr>
                <w:szCs w:val="24"/>
                <w:lang w:val="fr-ML"/>
              </w:rPr>
              <w:t>Profil N°61</w:t>
            </w:r>
          </w:p>
        </w:tc>
        <w:tc>
          <w:tcPr>
            <w:tcW w:w="2288" w:type="dxa"/>
            <w:vAlign w:val="center"/>
          </w:tcPr>
          <w:p w14:paraId="740B8526" w14:textId="77777777" w:rsidR="000B7943" w:rsidRPr="002240A9" w:rsidRDefault="000B7943" w:rsidP="002240A9">
            <w:pPr>
              <w:spacing w:after="0"/>
              <w:ind w:left="0" w:firstLine="0"/>
              <w:jc w:val="center"/>
              <w:rPr>
                <w:szCs w:val="24"/>
                <w:lang w:val="fr-ML"/>
              </w:rPr>
            </w:pPr>
            <w:r w:rsidRPr="002240A9">
              <w:rPr>
                <w:szCs w:val="24"/>
                <w:lang w:val="fr-ML"/>
              </w:rPr>
              <w:t>Pertuis de 150 x 75 cm</w:t>
            </w:r>
          </w:p>
        </w:tc>
        <w:tc>
          <w:tcPr>
            <w:tcW w:w="2324" w:type="dxa"/>
            <w:vAlign w:val="center"/>
          </w:tcPr>
          <w:p w14:paraId="78FFEEB3" w14:textId="77777777" w:rsidR="000B7943" w:rsidRPr="002240A9" w:rsidRDefault="000B7943" w:rsidP="002240A9">
            <w:pPr>
              <w:spacing w:after="0"/>
              <w:ind w:left="0" w:firstLine="0"/>
              <w:jc w:val="left"/>
              <w:rPr>
                <w:szCs w:val="24"/>
                <w:lang w:val="fr-ML"/>
              </w:rPr>
            </w:pPr>
            <w:r w:rsidRPr="002240A9">
              <w:rPr>
                <w:szCs w:val="24"/>
                <w:lang w:val="fr-ML"/>
              </w:rPr>
              <w:t>Batardeau métallique munis glissière</w:t>
            </w:r>
          </w:p>
          <w:p w14:paraId="0D753873" w14:textId="77777777" w:rsidR="000B7943" w:rsidRPr="002240A9" w:rsidRDefault="000B7943" w:rsidP="002240A9">
            <w:pPr>
              <w:spacing w:after="0"/>
              <w:ind w:left="0" w:firstLine="0"/>
              <w:jc w:val="left"/>
              <w:rPr>
                <w:szCs w:val="24"/>
                <w:lang w:val="fr-ML"/>
              </w:rPr>
            </w:pPr>
            <w:r w:rsidRPr="002240A9">
              <w:rPr>
                <w:szCs w:val="24"/>
                <w:lang w:val="fr-ML"/>
              </w:rPr>
              <w:t>Nombre= 6</w:t>
            </w:r>
          </w:p>
          <w:p w14:paraId="65034B26" w14:textId="77777777" w:rsidR="000B7943" w:rsidRPr="002240A9" w:rsidRDefault="000B7943" w:rsidP="002240A9">
            <w:pPr>
              <w:spacing w:after="0"/>
              <w:ind w:left="0" w:firstLine="0"/>
              <w:jc w:val="left"/>
              <w:rPr>
                <w:szCs w:val="24"/>
                <w:lang w:val="fr-ML"/>
              </w:rPr>
            </w:pPr>
            <w:r w:rsidRPr="002240A9">
              <w:rPr>
                <w:szCs w:val="24"/>
                <w:lang w:val="fr-ML"/>
              </w:rPr>
              <w:t>Dimensions : 25x170cm</w:t>
            </w:r>
          </w:p>
        </w:tc>
      </w:tr>
      <w:tr w:rsidR="002240A9" w:rsidRPr="002240A9" w14:paraId="62F860F3" w14:textId="77777777" w:rsidTr="002240A9">
        <w:trPr>
          <w:jc w:val="center"/>
        </w:trPr>
        <w:tc>
          <w:tcPr>
            <w:tcW w:w="6516" w:type="dxa"/>
            <w:gridSpan w:val="3"/>
          </w:tcPr>
          <w:p w14:paraId="65CEFE39" w14:textId="77777777" w:rsidR="000B7943" w:rsidRPr="002240A9" w:rsidRDefault="000B7943" w:rsidP="002240A9">
            <w:pPr>
              <w:spacing w:after="0"/>
              <w:ind w:left="0" w:firstLine="0"/>
              <w:jc w:val="left"/>
              <w:rPr>
                <w:szCs w:val="24"/>
                <w:lang w:val="fr-ML"/>
              </w:rPr>
            </w:pPr>
            <w:r w:rsidRPr="002240A9">
              <w:rPr>
                <w:b/>
                <w:bCs/>
                <w:szCs w:val="24"/>
                <w:lang w:val="fr-ML"/>
              </w:rPr>
              <w:t>Temps pour une vidange de la retenue à la côte des pertuis</w:t>
            </w:r>
          </w:p>
        </w:tc>
        <w:tc>
          <w:tcPr>
            <w:tcW w:w="2324" w:type="dxa"/>
          </w:tcPr>
          <w:p w14:paraId="50FBB26A" w14:textId="77777777" w:rsidR="000B7943" w:rsidRPr="002240A9" w:rsidRDefault="000B7943" w:rsidP="002240A9">
            <w:pPr>
              <w:spacing w:after="0"/>
              <w:ind w:left="0" w:firstLine="0"/>
              <w:jc w:val="left"/>
              <w:rPr>
                <w:szCs w:val="24"/>
                <w:lang w:val="fr-ML"/>
              </w:rPr>
            </w:pPr>
            <w:r w:rsidRPr="002240A9">
              <w:rPr>
                <w:b/>
                <w:bCs/>
                <w:szCs w:val="24"/>
                <w:lang w:val="fr-ML"/>
              </w:rPr>
              <w:t>15 heures</w:t>
            </w:r>
          </w:p>
        </w:tc>
      </w:tr>
    </w:tbl>
    <w:p w14:paraId="6DAC3F50" w14:textId="77777777" w:rsidR="000B7943" w:rsidRPr="002240A9" w:rsidRDefault="000B7943" w:rsidP="000B7943">
      <w:pPr>
        <w:spacing w:before="240"/>
        <w:ind w:left="-567" w:firstLine="0"/>
        <w:jc w:val="left"/>
        <w:rPr>
          <w:szCs w:val="24"/>
        </w:rPr>
      </w:pPr>
      <w:r w:rsidRPr="002240A9">
        <w:rPr>
          <w:szCs w:val="24"/>
          <w:lang w:val="fr-ML"/>
        </w:rPr>
        <w:t>Les batardeaux seront réalisés en tôle noire de 3 mm d’épaisseur sur encadrement en IPN 80 ou en UPE 80. Ils recevront deux (02) couches de peinture anticorrosive et trois (03) couches de peinture à huile. Ils seront munis d’anneaux pour le démontage. Les batardeaux seront livrés avec les tiges de démontage et les joints étanches de montage.</w:t>
      </w:r>
    </w:p>
    <w:p w14:paraId="0405D5A1" w14:textId="77777777" w:rsidR="000B7943" w:rsidRPr="002240A9" w:rsidRDefault="000B7943" w:rsidP="000B7943">
      <w:pPr>
        <w:keepNext/>
        <w:tabs>
          <w:tab w:val="left" w:pos="284"/>
        </w:tabs>
        <w:spacing w:before="240"/>
        <w:jc w:val="left"/>
        <w:outlineLvl w:val="2"/>
        <w:rPr>
          <w:b/>
          <w:szCs w:val="24"/>
          <w:u w:val="single"/>
        </w:rPr>
      </w:pPr>
      <w:bookmarkStart w:id="602" w:name="_Toc35617690"/>
      <w:bookmarkStart w:id="603" w:name="_Toc42528822"/>
      <w:r w:rsidRPr="002240A9">
        <w:rPr>
          <w:b/>
          <w:szCs w:val="24"/>
        </w:rPr>
        <w:t>2-</w:t>
      </w:r>
      <w:r w:rsidRPr="002240A9">
        <w:rPr>
          <w:b/>
          <w:szCs w:val="24"/>
          <w:u w:val="single"/>
        </w:rPr>
        <w:t xml:space="preserve"> Digue N°02- Digue de Ceinture Avale muni de déversoir</w:t>
      </w:r>
      <w:bookmarkEnd w:id="602"/>
      <w:bookmarkEnd w:id="603"/>
    </w:p>
    <w:p w14:paraId="6EE134D0" w14:textId="77777777" w:rsidR="000B7943" w:rsidRPr="002240A9" w:rsidRDefault="000B7943" w:rsidP="000B7943">
      <w:pPr>
        <w:keepNext/>
        <w:spacing w:before="240"/>
        <w:jc w:val="left"/>
        <w:outlineLvl w:val="2"/>
        <w:rPr>
          <w:b/>
          <w:szCs w:val="24"/>
          <w:u w:val="single"/>
        </w:rPr>
      </w:pPr>
      <w:bookmarkStart w:id="604" w:name="_Toc35617691"/>
      <w:bookmarkStart w:id="605" w:name="_Toc42528823"/>
      <w:r w:rsidRPr="002240A9">
        <w:rPr>
          <w:b/>
          <w:szCs w:val="24"/>
          <w:u w:val="single"/>
        </w:rPr>
        <w:t>Déversoir de 350 m de long en béton cyclopéen</w:t>
      </w:r>
      <w:bookmarkEnd w:id="604"/>
      <w:bookmarkEnd w:id="605"/>
      <w:r w:rsidRPr="002240A9">
        <w:rPr>
          <w:b/>
          <w:szCs w:val="24"/>
          <w:u w:val="single"/>
        </w:rPr>
        <w:t xml:space="preserve"> </w:t>
      </w:r>
    </w:p>
    <w:p w14:paraId="50B3F9A9" w14:textId="77777777" w:rsidR="000B7943" w:rsidRPr="002240A9" w:rsidRDefault="000B7943" w:rsidP="002A45C1">
      <w:pPr>
        <w:numPr>
          <w:ilvl w:val="0"/>
          <w:numId w:val="112"/>
        </w:numPr>
        <w:tabs>
          <w:tab w:val="num" w:pos="284"/>
        </w:tabs>
        <w:spacing w:after="0"/>
        <w:ind w:left="502"/>
        <w:jc w:val="left"/>
        <w:rPr>
          <w:szCs w:val="24"/>
        </w:rPr>
      </w:pPr>
      <w:r w:rsidRPr="002240A9">
        <w:rPr>
          <w:szCs w:val="24"/>
        </w:rPr>
        <w:t>Débit de dimensionnement</w:t>
      </w:r>
      <w:r w:rsidRPr="002240A9">
        <w:rPr>
          <w:szCs w:val="24"/>
        </w:rPr>
        <w:tab/>
      </w:r>
      <w:r w:rsidRPr="002240A9">
        <w:rPr>
          <w:szCs w:val="24"/>
        </w:rPr>
        <w:tab/>
      </w:r>
      <w:r w:rsidRPr="002240A9">
        <w:rPr>
          <w:szCs w:val="24"/>
        </w:rPr>
        <w:tab/>
      </w:r>
      <w:r w:rsidRPr="002240A9">
        <w:rPr>
          <w:szCs w:val="24"/>
        </w:rPr>
        <w:tab/>
        <w:t xml:space="preserve">          </w:t>
      </w:r>
      <w:proofErr w:type="spellStart"/>
      <w:r w:rsidRPr="002240A9">
        <w:rPr>
          <w:szCs w:val="24"/>
        </w:rPr>
        <w:t>Qp</w:t>
      </w:r>
      <w:proofErr w:type="spellEnd"/>
      <w:r w:rsidRPr="002240A9">
        <w:rPr>
          <w:szCs w:val="24"/>
        </w:rPr>
        <w:t>= 83,72</w:t>
      </w:r>
      <w:r w:rsidRPr="002240A9">
        <w:rPr>
          <w:b/>
          <w:szCs w:val="24"/>
        </w:rPr>
        <w:t xml:space="preserve"> </w:t>
      </w:r>
      <w:r w:rsidRPr="002240A9">
        <w:rPr>
          <w:szCs w:val="24"/>
        </w:rPr>
        <w:t>m3/s</w:t>
      </w:r>
    </w:p>
    <w:p w14:paraId="237DAA07" w14:textId="77777777" w:rsidR="000B7943" w:rsidRPr="002240A9" w:rsidRDefault="000B7943" w:rsidP="002A45C1">
      <w:pPr>
        <w:numPr>
          <w:ilvl w:val="0"/>
          <w:numId w:val="112"/>
        </w:numPr>
        <w:tabs>
          <w:tab w:val="num" w:pos="284"/>
        </w:tabs>
        <w:spacing w:after="0"/>
        <w:ind w:left="502"/>
        <w:jc w:val="left"/>
        <w:rPr>
          <w:szCs w:val="24"/>
        </w:rPr>
      </w:pPr>
      <w:r w:rsidRPr="002240A9">
        <w:rPr>
          <w:szCs w:val="24"/>
        </w:rPr>
        <w:t>Longueur de déversement                                                   L= 200 m ;</w:t>
      </w:r>
    </w:p>
    <w:p w14:paraId="26F09C05" w14:textId="77777777" w:rsidR="000B7943" w:rsidRPr="002240A9" w:rsidRDefault="000B7943" w:rsidP="002A45C1">
      <w:pPr>
        <w:numPr>
          <w:ilvl w:val="0"/>
          <w:numId w:val="112"/>
        </w:numPr>
        <w:tabs>
          <w:tab w:val="num" w:pos="284"/>
        </w:tabs>
        <w:spacing w:after="0"/>
        <w:ind w:left="502"/>
        <w:jc w:val="left"/>
        <w:rPr>
          <w:szCs w:val="24"/>
        </w:rPr>
      </w:pPr>
      <w:r w:rsidRPr="002240A9">
        <w:rPr>
          <w:szCs w:val="24"/>
        </w:rPr>
        <w:t>Charge maximale</w:t>
      </w:r>
      <w:r w:rsidRPr="002240A9">
        <w:rPr>
          <w:szCs w:val="24"/>
        </w:rPr>
        <w:tab/>
      </w:r>
      <w:r w:rsidRPr="002240A9">
        <w:rPr>
          <w:szCs w:val="24"/>
        </w:rPr>
        <w:tab/>
      </w:r>
      <w:r w:rsidRPr="002240A9">
        <w:rPr>
          <w:szCs w:val="24"/>
        </w:rPr>
        <w:tab/>
      </w:r>
      <w:r w:rsidRPr="002240A9">
        <w:rPr>
          <w:szCs w:val="24"/>
        </w:rPr>
        <w:tab/>
        <w:t xml:space="preserve">                         h = 0,35 m ;</w:t>
      </w:r>
    </w:p>
    <w:p w14:paraId="779E3E9C" w14:textId="77777777" w:rsidR="000B7943" w:rsidRPr="002240A9" w:rsidRDefault="000B7943" w:rsidP="002A45C1">
      <w:pPr>
        <w:numPr>
          <w:ilvl w:val="0"/>
          <w:numId w:val="112"/>
        </w:numPr>
        <w:tabs>
          <w:tab w:val="num" w:pos="284"/>
        </w:tabs>
        <w:spacing w:after="0"/>
        <w:ind w:left="502"/>
        <w:jc w:val="left"/>
        <w:rPr>
          <w:szCs w:val="24"/>
        </w:rPr>
      </w:pPr>
      <w:r w:rsidRPr="002240A9">
        <w:rPr>
          <w:szCs w:val="24"/>
        </w:rPr>
        <w:t>Largeur en crête</w:t>
      </w:r>
      <w:r w:rsidRPr="002240A9">
        <w:rPr>
          <w:szCs w:val="24"/>
        </w:rPr>
        <w:tab/>
      </w:r>
      <w:r w:rsidRPr="002240A9">
        <w:rPr>
          <w:szCs w:val="24"/>
        </w:rPr>
        <w:tab/>
      </w:r>
      <w:r w:rsidRPr="002240A9">
        <w:rPr>
          <w:szCs w:val="24"/>
        </w:rPr>
        <w:tab/>
      </w:r>
      <w:r w:rsidRPr="002240A9">
        <w:rPr>
          <w:szCs w:val="24"/>
        </w:rPr>
        <w:tab/>
      </w:r>
      <w:r w:rsidRPr="002240A9">
        <w:rPr>
          <w:szCs w:val="24"/>
        </w:rPr>
        <w:tab/>
        <w:t xml:space="preserve">               = 0,50 m ;</w:t>
      </w:r>
    </w:p>
    <w:p w14:paraId="0CD4DBDD" w14:textId="77777777" w:rsidR="000B7943" w:rsidRPr="002240A9" w:rsidRDefault="000B7943" w:rsidP="002A45C1">
      <w:pPr>
        <w:numPr>
          <w:ilvl w:val="0"/>
          <w:numId w:val="112"/>
        </w:numPr>
        <w:tabs>
          <w:tab w:val="num" w:pos="284"/>
        </w:tabs>
        <w:spacing w:after="0"/>
        <w:ind w:left="502"/>
        <w:jc w:val="left"/>
        <w:rPr>
          <w:szCs w:val="24"/>
        </w:rPr>
      </w:pPr>
      <w:r w:rsidRPr="002240A9">
        <w:rPr>
          <w:szCs w:val="24"/>
        </w:rPr>
        <w:t xml:space="preserve">Hauteur maxi / TN                  </w:t>
      </w:r>
      <w:r w:rsidRPr="002240A9">
        <w:rPr>
          <w:szCs w:val="24"/>
        </w:rPr>
        <w:tab/>
      </w:r>
      <w:r w:rsidRPr="002240A9">
        <w:rPr>
          <w:szCs w:val="24"/>
        </w:rPr>
        <w:tab/>
      </w:r>
      <w:r w:rsidRPr="002240A9">
        <w:rPr>
          <w:szCs w:val="24"/>
        </w:rPr>
        <w:tab/>
        <w:t xml:space="preserve">               = 0,68 m ;</w:t>
      </w:r>
    </w:p>
    <w:p w14:paraId="5D03640E" w14:textId="77777777" w:rsidR="000B7943" w:rsidRPr="002240A9" w:rsidRDefault="000B7943" w:rsidP="002A45C1">
      <w:pPr>
        <w:numPr>
          <w:ilvl w:val="0"/>
          <w:numId w:val="112"/>
        </w:numPr>
        <w:tabs>
          <w:tab w:val="num" w:pos="284"/>
        </w:tabs>
        <w:spacing w:after="0"/>
        <w:ind w:left="502"/>
        <w:jc w:val="left"/>
        <w:rPr>
          <w:szCs w:val="24"/>
        </w:rPr>
      </w:pPr>
      <w:r w:rsidRPr="002240A9">
        <w:rPr>
          <w:szCs w:val="24"/>
        </w:rPr>
        <w:t>Talus amont (V/H)</w:t>
      </w:r>
      <w:r w:rsidRPr="002240A9">
        <w:rPr>
          <w:szCs w:val="24"/>
        </w:rPr>
        <w:tab/>
      </w:r>
      <w:r w:rsidRPr="002240A9">
        <w:rPr>
          <w:szCs w:val="24"/>
        </w:rPr>
        <w:tab/>
      </w:r>
      <w:r w:rsidRPr="002240A9">
        <w:rPr>
          <w:szCs w:val="24"/>
        </w:rPr>
        <w:tab/>
      </w:r>
      <w:r w:rsidRPr="002240A9">
        <w:rPr>
          <w:szCs w:val="24"/>
        </w:rPr>
        <w:tab/>
      </w:r>
      <w:r w:rsidRPr="002240A9">
        <w:rPr>
          <w:szCs w:val="24"/>
        </w:rPr>
        <w:tab/>
        <w:t xml:space="preserve">               = Vertical ;</w:t>
      </w:r>
    </w:p>
    <w:p w14:paraId="662264D2" w14:textId="77777777" w:rsidR="000B7943" w:rsidRPr="002240A9" w:rsidRDefault="000B7943" w:rsidP="002A45C1">
      <w:pPr>
        <w:numPr>
          <w:ilvl w:val="0"/>
          <w:numId w:val="112"/>
        </w:numPr>
        <w:tabs>
          <w:tab w:val="num" w:pos="284"/>
        </w:tabs>
        <w:spacing w:after="0"/>
        <w:ind w:left="502"/>
        <w:jc w:val="left"/>
        <w:rPr>
          <w:szCs w:val="24"/>
        </w:rPr>
      </w:pPr>
      <w:r w:rsidRPr="002240A9">
        <w:rPr>
          <w:szCs w:val="24"/>
        </w:rPr>
        <w:t>Talus aval (V/H)</w:t>
      </w:r>
      <w:r w:rsidRPr="002240A9">
        <w:rPr>
          <w:szCs w:val="24"/>
        </w:rPr>
        <w:tab/>
      </w:r>
      <w:r w:rsidRPr="002240A9">
        <w:rPr>
          <w:szCs w:val="24"/>
        </w:rPr>
        <w:tab/>
      </w:r>
      <w:r w:rsidRPr="002240A9">
        <w:rPr>
          <w:szCs w:val="24"/>
        </w:rPr>
        <w:tab/>
      </w:r>
      <w:r w:rsidRPr="002240A9">
        <w:rPr>
          <w:szCs w:val="24"/>
        </w:rPr>
        <w:tab/>
      </w:r>
      <w:r w:rsidRPr="002240A9">
        <w:rPr>
          <w:szCs w:val="24"/>
        </w:rPr>
        <w:tab/>
        <w:t xml:space="preserve">               = 1/1 ;</w:t>
      </w:r>
    </w:p>
    <w:p w14:paraId="5082B02B" w14:textId="77777777" w:rsidR="000B7943" w:rsidRPr="002240A9" w:rsidRDefault="000B7943" w:rsidP="002A45C1">
      <w:pPr>
        <w:numPr>
          <w:ilvl w:val="0"/>
          <w:numId w:val="112"/>
        </w:numPr>
        <w:tabs>
          <w:tab w:val="num" w:pos="284"/>
        </w:tabs>
        <w:spacing w:after="0"/>
        <w:ind w:left="502"/>
        <w:jc w:val="left"/>
        <w:rPr>
          <w:szCs w:val="24"/>
        </w:rPr>
      </w:pPr>
      <w:r w:rsidRPr="002240A9">
        <w:rPr>
          <w:szCs w:val="24"/>
        </w:rPr>
        <w:t>Tranchée d’encrage : profondeur maxi</w:t>
      </w:r>
      <w:r w:rsidRPr="002240A9">
        <w:rPr>
          <w:szCs w:val="24"/>
        </w:rPr>
        <w:tab/>
        <w:t xml:space="preserve">                            = 1,50 m.</w:t>
      </w:r>
    </w:p>
    <w:p w14:paraId="40AD4055" w14:textId="77777777" w:rsidR="000B7943" w:rsidRPr="002240A9" w:rsidRDefault="000B7943" w:rsidP="000B7943">
      <w:pPr>
        <w:spacing w:after="0"/>
      </w:pPr>
    </w:p>
    <w:p w14:paraId="5189C722" w14:textId="77777777" w:rsidR="000B7943" w:rsidRPr="002240A9" w:rsidRDefault="000B7943" w:rsidP="000B7943">
      <w:pPr>
        <w:keepNext/>
        <w:spacing w:before="240"/>
        <w:jc w:val="left"/>
        <w:outlineLvl w:val="2"/>
        <w:rPr>
          <w:b/>
          <w:szCs w:val="24"/>
          <w:u w:val="single"/>
        </w:rPr>
      </w:pPr>
      <w:bookmarkStart w:id="606" w:name="_Toc35617692"/>
      <w:bookmarkStart w:id="607" w:name="_Toc42528824"/>
      <w:r w:rsidRPr="002240A9">
        <w:rPr>
          <w:b/>
          <w:szCs w:val="24"/>
          <w:u w:val="single"/>
        </w:rPr>
        <w:t>Ouvrage de protection - Bassin de dissipation</w:t>
      </w:r>
      <w:bookmarkEnd w:id="606"/>
      <w:bookmarkEnd w:id="607"/>
    </w:p>
    <w:p w14:paraId="2DA93D6B" w14:textId="77777777" w:rsidR="000B7943" w:rsidRPr="002240A9" w:rsidRDefault="000B7943" w:rsidP="000B7943">
      <w:pPr>
        <w:spacing w:after="0"/>
        <w:ind w:left="-567" w:firstLine="0"/>
        <w:jc w:val="left"/>
        <w:rPr>
          <w:szCs w:val="24"/>
        </w:rPr>
      </w:pPr>
      <w:r w:rsidRPr="002240A9">
        <w:rPr>
          <w:szCs w:val="24"/>
        </w:rPr>
        <w:t>Les calculs nous donnent un bassin à ressaut de type I, pour une longueur maxi 2,50 m au niveau du lit mineur. Sa longueur minimale est de 2,00 m au niveau des rives.</w:t>
      </w:r>
    </w:p>
    <w:p w14:paraId="50A5F215" w14:textId="77777777" w:rsidR="000B7943" w:rsidRPr="002240A9" w:rsidRDefault="000B7943" w:rsidP="000B7943">
      <w:pPr>
        <w:spacing w:after="0"/>
        <w:ind w:left="-567" w:firstLine="0"/>
        <w:jc w:val="left"/>
        <w:rPr>
          <w:szCs w:val="24"/>
        </w:rPr>
      </w:pPr>
      <w:r w:rsidRPr="002240A9">
        <w:rPr>
          <w:szCs w:val="24"/>
        </w:rPr>
        <w:t>Le bassin de dissipation sera réalisé en béton cyclopéen de rapport pierre / béton égale à 50/50. L’épaisseur de bassin est de 30 cm.</w:t>
      </w:r>
    </w:p>
    <w:p w14:paraId="09450306" w14:textId="77777777" w:rsidR="000B7943" w:rsidRPr="002240A9" w:rsidRDefault="000B7943" w:rsidP="000B7943">
      <w:pPr>
        <w:spacing w:after="0"/>
        <w:ind w:left="-567" w:firstLine="0"/>
        <w:jc w:val="left"/>
        <w:rPr>
          <w:szCs w:val="24"/>
        </w:rPr>
      </w:pPr>
      <w:r w:rsidRPr="002240A9">
        <w:rPr>
          <w:szCs w:val="24"/>
        </w:rPr>
        <w:t>Le bassin de dissipation comportera les éléments suivants pour dissiper l’énergie résiduelle de l’eau à la sortie du bassin :</w:t>
      </w:r>
    </w:p>
    <w:p w14:paraId="3791A62B" w14:textId="77777777" w:rsidR="000B7943" w:rsidRPr="002240A9" w:rsidRDefault="000B7943" w:rsidP="002A45C1">
      <w:pPr>
        <w:numPr>
          <w:ilvl w:val="0"/>
          <w:numId w:val="112"/>
        </w:numPr>
        <w:tabs>
          <w:tab w:val="num" w:pos="284"/>
        </w:tabs>
        <w:spacing w:after="0"/>
        <w:ind w:left="502"/>
        <w:jc w:val="left"/>
        <w:rPr>
          <w:szCs w:val="24"/>
        </w:rPr>
      </w:pPr>
      <w:r w:rsidRPr="002240A9">
        <w:rPr>
          <w:szCs w:val="24"/>
        </w:rPr>
        <w:t>A l’aval du bassin, il sera réalisé une ligne de gabionnage de 1,00 m de large sur 10 m de long au droit des pertuis ;</w:t>
      </w:r>
    </w:p>
    <w:p w14:paraId="69A080CE" w14:textId="77777777" w:rsidR="000B7943" w:rsidRPr="002240A9" w:rsidRDefault="000B7943" w:rsidP="002A45C1">
      <w:pPr>
        <w:numPr>
          <w:ilvl w:val="0"/>
          <w:numId w:val="112"/>
        </w:numPr>
        <w:tabs>
          <w:tab w:val="num" w:pos="284"/>
        </w:tabs>
        <w:spacing w:after="0"/>
        <w:ind w:left="502"/>
        <w:jc w:val="left"/>
        <w:rPr>
          <w:szCs w:val="24"/>
        </w:rPr>
      </w:pPr>
      <w:r w:rsidRPr="002240A9">
        <w:rPr>
          <w:szCs w:val="24"/>
        </w:rPr>
        <w:t>Ce gabionnage sera suivi d’un enrochement libre de 2,00 m de long ;</w:t>
      </w:r>
    </w:p>
    <w:p w14:paraId="4D7A6016" w14:textId="77777777" w:rsidR="000B7943" w:rsidRPr="002240A9" w:rsidRDefault="000B7943" w:rsidP="002A45C1">
      <w:pPr>
        <w:numPr>
          <w:ilvl w:val="0"/>
          <w:numId w:val="112"/>
        </w:numPr>
        <w:tabs>
          <w:tab w:val="num" w:pos="284"/>
        </w:tabs>
        <w:spacing w:after="0"/>
        <w:ind w:left="502"/>
        <w:jc w:val="left"/>
        <w:rPr>
          <w:szCs w:val="24"/>
        </w:rPr>
      </w:pPr>
      <w:r w:rsidRPr="002240A9">
        <w:rPr>
          <w:szCs w:val="24"/>
        </w:rPr>
        <w:t>Bloc de chute de 25x20 cm espacés de 20 cm ;</w:t>
      </w:r>
    </w:p>
    <w:p w14:paraId="6AC5127E" w14:textId="77777777" w:rsidR="000B7943" w:rsidRPr="002240A9" w:rsidRDefault="000B7943" w:rsidP="002A45C1">
      <w:pPr>
        <w:numPr>
          <w:ilvl w:val="0"/>
          <w:numId w:val="112"/>
        </w:numPr>
        <w:tabs>
          <w:tab w:val="num" w:pos="284"/>
        </w:tabs>
        <w:spacing w:after="0"/>
        <w:ind w:left="502"/>
        <w:jc w:val="left"/>
        <w:rPr>
          <w:szCs w:val="24"/>
        </w:rPr>
      </w:pPr>
      <w:r w:rsidRPr="002240A9">
        <w:rPr>
          <w:szCs w:val="24"/>
        </w:rPr>
        <w:t>Filtre pour éviter la production des sous pression épaisseur 10 cm.</w:t>
      </w:r>
    </w:p>
    <w:p w14:paraId="25635832" w14:textId="77777777" w:rsidR="000B7943" w:rsidRPr="002240A9" w:rsidRDefault="000B7943" w:rsidP="002A45C1">
      <w:pPr>
        <w:keepNext/>
        <w:numPr>
          <w:ilvl w:val="0"/>
          <w:numId w:val="120"/>
        </w:numPr>
        <w:spacing w:before="240"/>
        <w:jc w:val="left"/>
        <w:outlineLvl w:val="2"/>
        <w:rPr>
          <w:b/>
          <w:szCs w:val="24"/>
          <w:u w:val="single"/>
        </w:rPr>
      </w:pPr>
      <w:bookmarkStart w:id="608" w:name="_Toc35617693"/>
      <w:bookmarkStart w:id="609" w:name="_Toc42528825"/>
      <w:r w:rsidRPr="002240A9">
        <w:rPr>
          <w:b/>
          <w:szCs w:val="24"/>
          <w:u w:val="single"/>
        </w:rPr>
        <w:t>La digue de raccordements</w:t>
      </w:r>
      <w:bookmarkEnd w:id="608"/>
      <w:bookmarkEnd w:id="609"/>
    </w:p>
    <w:p w14:paraId="6F3B49B5" w14:textId="77777777" w:rsidR="000B7943" w:rsidRPr="002240A9" w:rsidRDefault="000B7943" w:rsidP="000B7943">
      <w:pPr>
        <w:spacing w:before="240"/>
        <w:ind w:left="-567" w:firstLine="0"/>
        <w:jc w:val="left"/>
        <w:rPr>
          <w:szCs w:val="24"/>
        </w:rPr>
      </w:pPr>
      <w:r w:rsidRPr="002240A9">
        <w:rPr>
          <w:szCs w:val="24"/>
        </w:rPr>
        <w:t>Le raccordement sur les rives est assuré par une digue.</w:t>
      </w:r>
    </w:p>
    <w:p w14:paraId="508792E6" w14:textId="77777777" w:rsidR="000B7943" w:rsidRPr="002240A9" w:rsidRDefault="000B7943" w:rsidP="000B7943">
      <w:pPr>
        <w:pBdr>
          <w:top w:val="single" w:sz="4" w:space="1" w:color="auto"/>
          <w:left w:val="single" w:sz="4" w:space="4" w:color="auto"/>
          <w:bottom w:val="single" w:sz="4" w:space="1" w:color="auto"/>
          <w:right w:val="single" w:sz="4" w:space="4" w:color="auto"/>
        </w:pBdr>
        <w:spacing w:after="0"/>
        <w:ind w:left="-567" w:firstLine="0"/>
        <w:jc w:val="left"/>
        <w:rPr>
          <w:b/>
          <w:bCs/>
          <w:iCs/>
          <w:szCs w:val="24"/>
        </w:rPr>
      </w:pPr>
      <w:r w:rsidRPr="002240A9">
        <w:rPr>
          <w:b/>
          <w:bCs/>
          <w:iCs/>
          <w:szCs w:val="24"/>
        </w:rPr>
        <w:t>Nature du matériau</w:t>
      </w:r>
      <w:r w:rsidRPr="002240A9">
        <w:rPr>
          <w:b/>
          <w:bCs/>
          <w:iCs/>
          <w:szCs w:val="24"/>
        </w:rPr>
        <w:tab/>
        <w:t xml:space="preserve">= argile homogène compactée aux engins surmontés d’une couche de roulement en graveleux latéritique de 20cm d’épaisseur </w:t>
      </w:r>
    </w:p>
    <w:p w14:paraId="7C1B5BFD" w14:textId="77777777" w:rsidR="000B7943" w:rsidRPr="002240A9" w:rsidRDefault="000B7943" w:rsidP="000B7943">
      <w:pPr>
        <w:pBdr>
          <w:top w:val="single" w:sz="4" w:space="1" w:color="auto"/>
          <w:left w:val="single" w:sz="4" w:space="4" w:color="auto"/>
          <w:bottom w:val="single" w:sz="4" w:space="1" w:color="auto"/>
          <w:right w:val="single" w:sz="4" w:space="4" w:color="auto"/>
        </w:pBdr>
        <w:spacing w:after="0"/>
        <w:ind w:left="-567" w:firstLine="0"/>
        <w:jc w:val="left"/>
        <w:rPr>
          <w:b/>
          <w:bCs/>
          <w:iCs/>
          <w:szCs w:val="24"/>
        </w:rPr>
      </w:pPr>
      <w:r w:rsidRPr="002240A9">
        <w:rPr>
          <w:b/>
          <w:bCs/>
          <w:iCs/>
          <w:szCs w:val="24"/>
        </w:rPr>
        <w:t>Largeur en crête</w:t>
      </w:r>
      <w:r w:rsidRPr="002240A9">
        <w:rPr>
          <w:b/>
          <w:bCs/>
          <w:iCs/>
          <w:szCs w:val="24"/>
        </w:rPr>
        <w:tab/>
      </w:r>
      <w:r w:rsidRPr="002240A9">
        <w:rPr>
          <w:b/>
          <w:bCs/>
          <w:iCs/>
          <w:szCs w:val="24"/>
        </w:rPr>
        <w:tab/>
        <w:t xml:space="preserve">   = 3,0 m</w:t>
      </w:r>
    </w:p>
    <w:p w14:paraId="40A50254" w14:textId="77777777" w:rsidR="000B7943" w:rsidRPr="002240A9" w:rsidRDefault="000B7943" w:rsidP="000B7943">
      <w:pPr>
        <w:pBdr>
          <w:top w:val="single" w:sz="4" w:space="1" w:color="auto"/>
          <w:left w:val="single" w:sz="4" w:space="4" w:color="auto"/>
          <w:bottom w:val="single" w:sz="4" w:space="1" w:color="auto"/>
          <w:right w:val="single" w:sz="4" w:space="4" w:color="auto"/>
        </w:pBdr>
        <w:spacing w:after="0"/>
        <w:ind w:left="-567" w:firstLine="0"/>
        <w:jc w:val="left"/>
        <w:rPr>
          <w:b/>
          <w:bCs/>
          <w:iCs/>
          <w:szCs w:val="24"/>
        </w:rPr>
      </w:pPr>
      <w:r w:rsidRPr="002240A9">
        <w:rPr>
          <w:b/>
          <w:bCs/>
          <w:iCs/>
          <w:szCs w:val="24"/>
        </w:rPr>
        <w:t xml:space="preserve">Hauteur maxi/TN           </w:t>
      </w:r>
      <w:r w:rsidRPr="002240A9">
        <w:rPr>
          <w:b/>
          <w:bCs/>
          <w:iCs/>
          <w:szCs w:val="24"/>
        </w:rPr>
        <w:tab/>
        <w:t xml:space="preserve">   = 1,73 m</w:t>
      </w:r>
    </w:p>
    <w:p w14:paraId="15572F74" w14:textId="77777777" w:rsidR="000B7943" w:rsidRPr="002240A9" w:rsidRDefault="000B7943" w:rsidP="000B7943">
      <w:pPr>
        <w:pBdr>
          <w:top w:val="single" w:sz="4" w:space="1" w:color="auto"/>
          <w:left w:val="single" w:sz="4" w:space="4" w:color="auto"/>
          <w:bottom w:val="single" w:sz="4" w:space="1" w:color="auto"/>
          <w:right w:val="single" w:sz="4" w:space="4" w:color="auto"/>
        </w:pBdr>
        <w:spacing w:after="0"/>
        <w:ind w:left="-567" w:firstLine="0"/>
        <w:jc w:val="left"/>
        <w:rPr>
          <w:b/>
          <w:bCs/>
          <w:iCs/>
          <w:szCs w:val="24"/>
        </w:rPr>
      </w:pPr>
      <w:r w:rsidRPr="002240A9">
        <w:rPr>
          <w:b/>
          <w:bCs/>
          <w:iCs/>
          <w:szCs w:val="24"/>
        </w:rPr>
        <w:t>Parement amont (H/V)</w:t>
      </w:r>
      <w:r w:rsidRPr="002240A9">
        <w:rPr>
          <w:b/>
          <w:bCs/>
          <w:iCs/>
          <w:szCs w:val="24"/>
        </w:rPr>
        <w:tab/>
        <w:t xml:space="preserve">   = 2/1</w:t>
      </w:r>
    </w:p>
    <w:p w14:paraId="4CC42DF0" w14:textId="77777777" w:rsidR="000B7943" w:rsidRPr="002240A9" w:rsidRDefault="000B7943" w:rsidP="000B7943">
      <w:pPr>
        <w:pBdr>
          <w:top w:val="single" w:sz="4" w:space="1" w:color="auto"/>
          <w:left w:val="single" w:sz="4" w:space="4" w:color="auto"/>
          <w:bottom w:val="single" w:sz="4" w:space="1" w:color="auto"/>
          <w:right w:val="single" w:sz="4" w:space="4" w:color="auto"/>
        </w:pBdr>
        <w:spacing w:after="0"/>
        <w:ind w:left="-567" w:firstLine="0"/>
        <w:jc w:val="left"/>
        <w:rPr>
          <w:b/>
          <w:bCs/>
          <w:iCs/>
          <w:szCs w:val="24"/>
        </w:rPr>
      </w:pPr>
      <w:r w:rsidRPr="002240A9">
        <w:rPr>
          <w:b/>
          <w:bCs/>
          <w:iCs/>
          <w:szCs w:val="24"/>
        </w:rPr>
        <w:t>Parement aval (H/V)</w:t>
      </w:r>
      <w:r w:rsidRPr="002240A9">
        <w:rPr>
          <w:b/>
          <w:bCs/>
          <w:iCs/>
          <w:szCs w:val="24"/>
        </w:rPr>
        <w:tab/>
        <w:t xml:space="preserve">   = 2/1</w:t>
      </w:r>
    </w:p>
    <w:p w14:paraId="1D231DE4" w14:textId="77777777" w:rsidR="000B7943" w:rsidRPr="002240A9" w:rsidRDefault="000B7943" w:rsidP="000B7943">
      <w:pPr>
        <w:pBdr>
          <w:top w:val="single" w:sz="4" w:space="1" w:color="auto"/>
          <w:left w:val="single" w:sz="4" w:space="4" w:color="auto"/>
          <w:bottom w:val="single" w:sz="4" w:space="1" w:color="auto"/>
          <w:right w:val="single" w:sz="4" w:space="4" w:color="auto"/>
        </w:pBdr>
        <w:spacing w:after="0"/>
        <w:ind w:left="-567" w:firstLine="0"/>
        <w:jc w:val="left"/>
        <w:rPr>
          <w:b/>
          <w:bCs/>
          <w:iCs/>
          <w:szCs w:val="24"/>
        </w:rPr>
      </w:pPr>
      <w:r w:rsidRPr="002240A9">
        <w:rPr>
          <w:b/>
          <w:bCs/>
          <w:iCs/>
          <w:szCs w:val="24"/>
        </w:rPr>
        <w:t>Longueur totale</w:t>
      </w:r>
      <w:r w:rsidRPr="002240A9">
        <w:rPr>
          <w:b/>
          <w:bCs/>
          <w:iCs/>
          <w:szCs w:val="24"/>
        </w:rPr>
        <w:tab/>
        <w:t xml:space="preserve">               = 3 865,30 m</w:t>
      </w:r>
    </w:p>
    <w:p w14:paraId="673E752A" w14:textId="77777777" w:rsidR="000B7943" w:rsidRPr="002240A9" w:rsidRDefault="000B7943" w:rsidP="000B7943">
      <w:pPr>
        <w:pBdr>
          <w:top w:val="single" w:sz="4" w:space="1" w:color="auto"/>
          <w:left w:val="single" w:sz="4" w:space="4" w:color="auto"/>
          <w:bottom w:val="single" w:sz="4" w:space="1" w:color="auto"/>
          <w:right w:val="single" w:sz="4" w:space="4" w:color="auto"/>
        </w:pBdr>
        <w:spacing w:after="0"/>
        <w:ind w:left="-567" w:firstLine="0"/>
        <w:jc w:val="left"/>
        <w:rPr>
          <w:b/>
          <w:bCs/>
          <w:iCs/>
          <w:szCs w:val="24"/>
        </w:rPr>
      </w:pPr>
      <w:r w:rsidRPr="002240A9">
        <w:rPr>
          <w:b/>
          <w:bCs/>
          <w:iCs/>
          <w:szCs w:val="24"/>
        </w:rPr>
        <w:t>Digue rive gauche                  = 1 392,20 m ;</w:t>
      </w:r>
    </w:p>
    <w:p w14:paraId="6221B515" w14:textId="77777777" w:rsidR="000B7943" w:rsidRPr="002240A9" w:rsidRDefault="000B7943" w:rsidP="000B7943">
      <w:pPr>
        <w:pBdr>
          <w:top w:val="single" w:sz="4" w:space="1" w:color="auto"/>
          <w:left w:val="single" w:sz="4" w:space="4" w:color="auto"/>
          <w:bottom w:val="single" w:sz="4" w:space="1" w:color="auto"/>
          <w:right w:val="single" w:sz="4" w:space="4" w:color="auto"/>
        </w:pBdr>
        <w:spacing w:after="0"/>
        <w:ind w:left="-567" w:firstLine="0"/>
        <w:jc w:val="left"/>
        <w:rPr>
          <w:b/>
          <w:bCs/>
          <w:iCs/>
          <w:szCs w:val="24"/>
        </w:rPr>
      </w:pPr>
      <w:r w:rsidRPr="002240A9">
        <w:rPr>
          <w:b/>
          <w:bCs/>
          <w:iCs/>
          <w:szCs w:val="24"/>
        </w:rPr>
        <w:t>Digue rive droite                    = 2 473,10 m.</w:t>
      </w:r>
    </w:p>
    <w:p w14:paraId="422CC4E4" w14:textId="77777777" w:rsidR="000B7943" w:rsidRPr="002240A9" w:rsidRDefault="000B7943" w:rsidP="000B7943">
      <w:pPr>
        <w:keepNext/>
        <w:spacing w:after="0"/>
        <w:ind w:left="153" w:firstLine="0"/>
        <w:jc w:val="left"/>
        <w:outlineLvl w:val="2"/>
        <w:rPr>
          <w:b/>
          <w:szCs w:val="24"/>
          <w:u w:val="single"/>
        </w:rPr>
      </w:pPr>
      <w:bookmarkStart w:id="610" w:name="_Toc35617694"/>
      <w:bookmarkStart w:id="611" w:name="_Toc42528826"/>
    </w:p>
    <w:p w14:paraId="4A8A25A3" w14:textId="77777777" w:rsidR="000B7943" w:rsidRPr="002240A9" w:rsidRDefault="000B7943" w:rsidP="002A45C1">
      <w:pPr>
        <w:keepNext/>
        <w:numPr>
          <w:ilvl w:val="0"/>
          <w:numId w:val="120"/>
        </w:numPr>
        <w:spacing w:before="240"/>
        <w:jc w:val="left"/>
        <w:outlineLvl w:val="2"/>
        <w:rPr>
          <w:b/>
          <w:szCs w:val="24"/>
          <w:u w:val="single"/>
        </w:rPr>
      </w:pPr>
      <w:r w:rsidRPr="002240A9">
        <w:rPr>
          <w:b/>
          <w:szCs w:val="24"/>
          <w:u w:val="single"/>
        </w:rPr>
        <w:t>Ouvrage de régulation :</w:t>
      </w:r>
      <w:bookmarkEnd w:id="610"/>
      <w:bookmarkEnd w:id="611"/>
      <w:r w:rsidRPr="002240A9">
        <w:rPr>
          <w:b/>
          <w:szCs w:val="24"/>
          <w:u w:val="single"/>
        </w:rPr>
        <w:t xml:space="preserve"> </w:t>
      </w:r>
    </w:p>
    <w:p w14:paraId="30D2AAA5" w14:textId="77777777" w:rsidR="000B7943" w:rsidRPr="002240A9" w:rsidRDefault="000B7943" w:rsidP="000B7943">
      <w:pPr>
        <w:spacing w:before="240" w:after="0"/>
        <w:ind w:left="-567" w:firstLine="0"/>
        <w:jc w:val="left"/>
        <w:rPr>
          <w:szCs w:val="24"/>
        </w:rPr>
      </w:pPr>
      <w:r w:rsidRPr="002240A9">
        <w:rPr>
          <w:szCs w:val="24"/>
        </w:rPr>
        <w:t>Il est constitué de dix (10) pertuis de 150x50 cm. Les caractéristiques sont les suivants :</w:t>
      </w:r>
    </w:p>
    <w:p w14:paraId="1CE939E9" w14:textId="77777777" w:rsidR="000B7943" w:rsidRPr="002240A9" w:rsidRDefault="000B7943" w:rsidP="000B7943">
      <w:pPr>
        <w:spacing w:after="0"/>
        <w:ind w:left="-567" w:firstLine="0"/>
        <w:jc w:val="left"/>
        <w:rPr>
          <w:szCs w:val="24"/>
        </w:rPr>
      </w:pPr>
    </w:p>
    <w:tbl>
      <w:tblPr>
        <w:tblW w:w="9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75"/>
        <w:gridCol w:w="1843"/>
        <w:gridCol w:w="2257"/>
        <w:gridCol w:w="2835"/>
      </w:tblGrid>
      <w:tr w:rsidR="002240A9" w:rsidRPr="002240A9" w14:paraId="5DB6060A" w14:textId="77777777" w:rsidTr="002240A9">
        <w:trPr>
          <w:jc w:val="center"/>
        </w:trPr>
        <w:tc>
          <w:tcPr>
            <w:tcW w:w="2575" w:type="dxa"/>
          </w:tcPr>
          <w:p w14:paraId="3A5F5B70" w14:textId="77777777" w:rsidR="000B7943" w:rsidRPr="002240A9" w:rsidRDefault="000B7943" w:rsidP="002240A9">
            <w:pPr>
              <w:spacing w:after="0"/>
              <w:ind w:left="-567" w:firstLine="0"/>
              <w:jc w:val="center"/>
              <w:rPr>
                <w:b/>
                <w:bCs/>
                <w:szCs w:val="24"/>
              </w:rPr>
            </w:pPr>
            <w:r w:rsidRPr="002240A9">
              <w:rPr>
                <w:b/>
                <w:bCs/>
                <w:szCs w:val="24"/>
              </w:rPr>
              <w:t>Désignation</w:t>
            </w:r>
          </w:p>
        </w:tc>
        <w:tc>
          <w:tcPr>
            <w:tcW w:w="1843" w:type="dxa"/>
          </w:tcPr>
          <w:p w14:paraId="7743AF93" w14:textId="77777777" w:rsidR="000B7943" w:rsidRPr="002240A9" w:rsidRDefault="000B7943" w:rsidP="002240A9">
            <w:pPr>
              <w:spacing w:after="0"/>
              <w:ind w:left="0" w:firstLine="0"/>
              <w:jc w:val="left"/>
              <w:rPr>
                <w:b/>
                <w:bCs/>
                <w:szCs w:val="24"/>
              </w:rPr>
            </w:pPr>
            <w:r w:rsidRPr="002240A9">
              <w:rPr>
                <w:b/>
                <w:bCs/>
                <w:szCs w:val="24"/>
              </w:rPr>
              <w:t>Position du pertuis</w:t>
            </w:r>
          </w:p>
        </w:tc>
        <w:tc>
          <w:tcPr>
            <w:tcW w:w="2257" w:type="dxa"/>
          </w:tcPr>
          <w:p w14:paraId="7AB39D13" w14:textId="77777777" w:rsidR="000B7943" w:rsidRPr="002240A9" w:rsidRDefault="000B7943" w:rsidP="002240A9">
            <w:pPr>
              <w:spacing w:after="0"/>
              <w:ind w:left="0" w:firstLine="0"/>
              <w:jc w:val="left"/>
              <w:rPr>
                <w:b/>
                <w:bCs/>
                <w:szCs w:val="24"/>
              </w:rPr>
            </w:pPr>
            <w:r w:rsidRPr="002240A9">
              <w:rPr>
                <w:b/>
                <w:bCs/>
                <w:szCs w:val="24"/>
              </w:rPr>
              <w:t>Dimension du pertuis</w:t>
            </w:r>
          </w:p>
        </w:tc>
        <w:tc>
          <w:tcPr>
            <w:tcW w:w="2835" w:type="dxa"/>
          </w:tcPr>
          <w:p w14:paraId="579DD9B6" w14:textId="77777777" w:rsidR="000B7943" w:rsidRPr="002240A9" w:rsidRDefault="000B7943" w:rsidP="002240A9">
            <w:pPr>
              <w:spacing w:after="0"/>
              <w:ind w:left="0" w:firstLine="0"/>
              <w:jc w:val="left"/>
              <w:rPr>
                <w:b/>
                <w:bCs/>
                <w:szCs w:val="24"/>
              </w:rPr>
            </w:pPr>
            <w:r w:rsidRPr="002240A9">
              <w:rPr>
                <w:b/>
                <w:bCs/>
                <w:szCs w:val="24"/>
              </w:rPr>
              <w:t>Ouvrage de régulation</w:t>
            </w:r>
          </w:p>
        </w:tc>
      </w:tr>
      <w:tr w:rsidR="002240A9" w:rsidRPr="002240A9" w14:paraId="2753CAFC" w14:textId="77777777" w:rsidTr="002240A9">
        <w:trPr>
          <w:jc w:val="center"/>
        </w:trPr>
        <w:tc>
          <w:tcPr>
            <w:tcW w:w="2575" w:type="dxa"/>
          </w:tcPr>
          <w:p w14:paraId="2B128F31" w14:textId="77777777" w:rsidR="000B7943" w:rsidRPr="002240A9" w:rsidRDefault="000B7943" w:rsidP="002240A9">
            <w:pPr>
              <w:spacing w:after="0"/>
              <w:ind w:left="0" w:firstLine="0"/>
              <w:jc w:val="left"/>
              <w:rPr>
                <w:szCs w:val="24"/>
                <w:lang w:val="fr-ML"/>
              </w:rPr>
            </w:pPr>
            <w:r w:rsidRPr="002240A9">
              <w:rPr>
                <w:szCs w:val="24"/>
                <w:lang w:val="fr-ML"/>
              </w:rPr>
              <w:t xml:space="preserve">Pertuis de vidange </w:t>
            </w:r>
          </w:p>
          <w:p w14:paraId="020C1150" w14:textId="77777777" w:rsidR="000B7943" w:rsidRPr="002240A9" w:rsidRDefault="000B7943" w:rsidP="002240A9">
            <w:pPr>
              <w:spacing w:after="0"/>
              <w:ind w:left="0" w:firstLine="0"/>
              <w:jc w:val="left"/>
              <w:rPr>
                <w:szCs w:val="24"/>
                <w:lang w:val="nl-NL"/>
              </w:rPr>
            </w:pPr>
            <w:r w:rsidRPr="002240A9">
              <w:rPr>
                <w:szCs w:val="24"/>
                <w:lang w:val="fr-ML"/>
              </w:rPr>
              <w:t>N°01, N°02, N°03, N°04, N°05, N°06, N°07, N°08, N°09 et N°10</w:t>
            </w:r>
          </w:p>
        </w:tc>
        <w:tc>
          <w:tcPr>
            <w:tcW w:w="1843" w:type="dxa"/>
            <w:vAlign w:val="center"/>
          </w:tcPr>
          <w:p w14:paraId="2400DA9E" w14:textId="77777777" w:rsidR="000B7943" w:rsidRPr="002240A9" w:rsidRDefault="000B7943" w:rsidP="002240A9">
            <w:pPr>
              <w:spacing w:after="0"/>
              <w:ind w:left="0" w:firstLine="0"/>
              <w:jc w:val="left"/>
              <w:rPr>
                <w:szCs w:val="24"/>
                <w:lang w:val="fr-ML"/>
              </w:rPr>
            </w:pPr>
            <w:r w:rsidRPr="002240A9">
              <w:rPr>
                <w:szCs w:val="24"/>
                <w:lang w:val="fr-ML"/>
              </w:rPr>
              <w:t>Profil N°79</w:t>
            </w:r>
          </w:p>
        </w:tc>
        <w:tc>
          <w:tcPr>
            <w:tcW w:w="2257" w:type="dxa"/>
            <w:vAlign w:val="center"/>
          </w:tcPr>
          <w:p w14:paraId="4FCFADDA" w14:textId="77777777" w:rsidR="000B7943" w:rsidRPr="002240A9" w:rsidRDefault="000B7943" w:rsidP="002240A9">
            <w:pPr>
              <w:spacing w:after="0"/>
              <w:ind w:left="0" w:firstLine="0"/>
              <w:jc w:val="left"/>
              <w:rPr>
                <w:szCs w:val="24"/>
                <w:lang w:val="fr-ML"/>
              </w:rPr>
            </w:pPr>
            <w:r w:rsidRPr="002240A9">
              <w:rPr>
                <w:szCs w:val="24"/>
                <w:lang w:val="fr-ML"/>
              </w:rPr>
              <w:t>10 pertuis de (150 x 50 cm)</w:t>
            </w:r>
          </w:p>
          <w:p w14:paraId="6D4D557D" w14:textId="77777777" w:rsidR="000B7943" w:rsidRPr="002240A9" w:rsidRDefault="000B7943" w:rsidP="002240A9">
            <w:pPr>
              <w:spacing w:after="0"/>
              <w:ind w:left="0" w:firstLine="0"/>
              <w:jc w:val="left"/>
              <w:rPr>
                <w:szCs w:val="24"/>
                <w:lang w:val="fr-ML"/>
              </w:rPr>
            </w:pPr>
          </w:p>
        </w:tc>
        <w:tc>
          <w:tcPr>
            <w:tcW w:w="2835" w:type="dxa"/>
            <w:vAlign w:val="center"/>
          </w:tcPr>
          <w:p w14:paraId="4AD59FAF" w14:textId="77777777" w:rsidR="000B7943" w:rsidRPr="002240A9" w:rsidRDefault="000B7943" w:rsidP="002240A9">
            <w:pPr>
              <w:spacing w:after="0"/>
              <w:ind w:left="0" w:firstLine="0"/>
              <w:jc w:val="left"/>
              <w:rPr>
                <w:szCs w:val="24"/>
                <w:lang w:val="fr-ML"/>
              </w:rPr>
            </w:pPr>
            <w:r w:rsidRPr="002240A9">
              <w:rPr>
                <w:szCs w:val="24"/>
                <w:lang w:val="fr-ML"/>
              </w:rPr>
              <w:t>Batardeau métallique munis glissière</w:t>
            </w:r>
          </w:p>
          <w:p w14:paraId="005BDF69" w14:textId="77777777" w:rsidR="000B7943" w:rsidRPr="002240A9" w:rsidRDefault="000B7943" w:rsidP="002240A9">
            <w:pPr>
              <w:spacing w:after="0"/>
              <w:ind w:left="0" w:firstLine="0"/>
              <w:jc w:val="left"/>
              <w:rPr>
                <w:szCs w:val="24"/>
                <w:lang w:val="fr-ML"/>
              </w:rPr>
            </w:pPr>
            <w:r w:rsidRPr="002240A9">
              <w:rPr>
                <w:szCs w:val="24"/>
                <w:lang w:val="fr-ML"/>
              </w:rPr>
              <w:t>Nombre= 20</w:t>
            </w:r>
          </w:p>
          <w:p w14:paraId="5F9662A9" w14:textId="77777777" w:rsidR="000B7943" w:rsidRPr="002240A9" w:rsidRDefault="000B7943" w:rsidP="002240A9">
            <w:pPr>
              <w:spacing w:after="0"/>
              <w:ind w:left="0" w:firstLine="0"/>
              <w:jc w:val="left"/>
              <w:rPr>
                <w:szCs w:val="24"/>
                <w:lang w:val="fr-ML"/>
              </w:rPr>
            </w:pPr>
            <w:r w:rsidRPr="002240A9">
              <w:rPr>
                <w:szCs w:val="24"/>
                <w:lang w:val="fr-ML"/>
              </w:rPr>
              <w:t>Dimensions : 25x170cm</w:t>
            </w:r>
          </w:p>
        </w:tc>
      </w:tr>
    </w:tbl>
    <w:p w14:paraId="549EE263" w14:textId="77777777" w:rsidR="000B7943" w:rsidRPr="002240A9" w:rsidRDefault="000B7943" w:rsidP="000B7943">
      <w:pPr>
        <w:spacing w:before="240"/>
        <w:ind w:left="0" w:firstLine="0"/>
        <w:jc w:val="left"/>
        <w:rPr>
          <w:szCs w:val="24"/>
          <w:lang w:val="fr-ML"/>
        </w:rPr>
      </w:pPr>
      <w:r w:rsidRPr="002240A9">
        <w:rPr>
          <w:szCs w:val="24"/>
        </w:rPr>
        <w:t>Les batardeaux seront réalisés en tôle noire de 3 mm d’épaisseur sur encadrement en IPN 80</w:t>
      </w:r>
      <w:r w:rsidRPr="002240A9">
        <w:rPr>
          <w:szCs w:val="24"/>
          <w:lang w:val="fr-ML"/>
        </w:rPr>
        <w:t xml:space="preserve"> ou en UPE 80. Ils recevront deux (02) couches de peinture anticorrosive et trois (03) couches de peinture à huile. Ils seront munis d’anneaux pour le démontage. Les batardeaux seront livrés avec les tiges de démontage et les joints étanches de montage.</w:t>
      </w:r>
    </w:p>
    <w:p w14:paraId="6E5FDCAF" w14:textId="77777777" w:rsidR="000B7943" w:rsidRPr="002240A9" w:rsidRDefault="000B7943" w:rsidP="000B7943">
      <w:pPr>
        <w:spacing w:before="240"/>
        <w:ind w:left="0" w:firstLine="0"/>
        <w:jc w:val="left"/>
        <w:rPr>
          <w:szCs w:val="24"/>
          <w:lang w:val="fr-ML"/>
        </w:rPr>
      </w:pPr>
    </w:p>
    <w:p w14:paraId="5B095236" w14:textId="77777777" w:rsidR="000B7943" w:rsidRPr="002240A9" w:rsidRDefault="000B7943" w:rsidP="000B7943">
      <w:pPr>
        <w:keepNext/>
        <w:tabs>
          <w:tab w:val="left" w:pos="284"/>
        </w:tabs>
        <w:spacing w:before="240"/>
        <w:jc w:val="left"/>
        <w:outlineLvl w:val="2"/>
        <w:rPr>
          <w:b/>
          <w:szCs w:val="24"/>
        </w:rPr>
      </w:pPr>
      <w:bookmarkStart w:id="612" w:name="_Toc48575432"/>
      <w:r w:rsidRPr="002240A9">
        <w:rPr>
          <w:b/>
          <w:szCs w:val="24"/>
        </w:rPr>
        <w:t xml:space="preserve">3- </w:t>
      </w:r>
      <w:r w:rsidRPr="002240A9">
        <w:rPr>
          <w:b/>
          <w:szCs w:val="24"/>
          <w:u w:val="single"/>
        </w:rPr>
        <w:t>Magasin de conservation de 30 tonnes d’</w:t>
      </w:r>
      <w:proofErr w:type="spellStart"/>
      <w:r w:rsidRPr="002240A9">
        <w:rPr>
          <w:b/>
          <w:szCs w:val="24"/>
          <w:u w:val="single"/>
        </w:rPr>
        <w:t>échalotte</w:t>
      </w:r>
      <w:proofErr w:type="spellEnd"/>
      <w:r w:rsidRPr="002240A9">
        <w:rPr>
          <w:b/>
          <w:szCs w:val="24"/>
          <w:u w:val="single"/>
        </w:rPr>
        <w:t xml:space="preserve"> et bureau pour gestionnaire</w:t>
      </w:r>
      <w:bookmarkEnd w:id="612"/>
    </w:p>
    <w:p w14:paraId="0FA3CF8A" w14:textId="77777777" w:rsidR="000B7943" w:rsidRPr="002240A9" w:rsidRDefault="000B7943" w:rsidP="000B7943">
      <w:pPr>
        <w:rPr>
          <w:rFonts w:ascii="Arial Narrow" w:hAnsi="Arial Narrow"/>
          <w:sz w:val="22"/>
          <w:szCs w:val="22"/>
        </w:rPr>
      </w:pPr>
      <w:r w:rsidRPr="002240A9">
        <w:rPr>
          <w:rFonts w:ascii="Arial Narrow" w:hAnsi="Arial Narrow"/>
          <w:sz w:val="22"/>
          <w:szCs w:val="22"/>
        </w:rPr>
        <w:t>Les travaux comprennent :</w:t>
      </w:r>
    </w:p>
    <w:p w14:paraId="1A5DA685" w14:textId="77777777" w:rsidR="000B7943" w:rsidRDefault="000B7943" w:rsidP="002A45C1">
      <w:pPr>
        <w:keepNext/>
        <w:numPr>
          <w:ilvl w:val="0"/>
          <w:numId w:val="120"/>
        </w:numPr>
        <w:spacing w:after="0"/>
        <w:jc w:val="left"/>
        <w:outlineLvl w:val="2"/>
        <w:rPr>
          <w:rFonts w:ascii="Arial Narrow" w:hAnsi="Arial Narrow"/>
          <w:b/>
          <w:i/>
          <w:sz w:val="22"/>
          <w:szCs w:val="22"/>
          <w:u w:val="single"/>
        </w:rPr>
      </w:pPr>
      <w:bookmarkStart w:id="613" w:name="_Toc48575433"/>
      <w:r>
        <w:rPr>
          <w:rFonts w:ascii="Arial Narrow" w:hAnsi="Arial Narrow"/>
          <w:b/>
          <w:i/>
          <w:sz w:val="22"/>
          <w:szCs w:val="22"/>
          <w:u w:val="single"/>
        </w:rPr>
        <w:t>M</w:t>
      </w:r>
      <w:r w:rsidRPr="00792285">
        <w:rPr>
          <w:rFonts w:ascii="Arial Narrow" w:hAnsi="Arial Narrow"/>
          <w:b/>
          <w:i/>
          <w:sz w:val="22"/>
          <w:szCs w:val="22"/>
          <w:u w:val="single"/>
        </w:rPr>
        <w:t>agasin de conservation</w:t>
      </w:r>
      <w:r>
        <w:rPr>
          <w:rFonts w:ascii="Arial Narrow" w:hAnsi="Arial Narrow"/>
          <w:b/>
          <w:i/>
          <w:sz w:val="22"/>
          <w:szCs w:val="22"/>
          <w:u w:val="single"/>
        </w:rPr>
        <w:t xml:space="preserve"> de 30 tonnes d’</w:t>
      </w:r>
      <w:proofErr w:type="spellStart"/>
      <w:r>
        <w:rPr>
          <w:rFonts w:ascii="Arial Narrow" w:hAnsi="Arial Narrow"/>
          <w:b/>
          <w:i/>
          <w:sz w:val="22"/>
          <w:szCs w:val="22"/>
          <w:u w:val="single"/>
        </w:rPr>
        <w:t>échalotte</w:t>
      </w:r>
      <w:proofErr w:type="spellEnd"/>
      <w:r>
        <w:rPr>
          <w:rFonts w:ascii="Arial Narrow" w:hAnsi="Arial Narrow"/>
          <w:b/>
          <w:i/>
          <w:sz w:val="22"/>
          <w:szCs w:val="22"/>
          <w:u w:val="single"/>
        </w:rPr>
        <w:t xml:space="preserve"> : </w:t>
      </w:r>
      <w:r>
        <w:rPr>
          <w:rFonts w:ascii="Arial Narrow" w:hAnsi="Arial Narrow"/>
          <w:bCs/>
          <w:iCs/>
          <w:sz w:val="22"/>
          <w:szCs w:val="22"/>
        </w:rPr>
        <w:t>Il est prévu la construction d’un magasin en dur de 30 tonnes d’</w:t>
      </w:r>
      <w:proofErr w:type="spellStart"/>
      <w:r>
        <w:rPr>
          <w:rFonts w:ascii="Arial Narrow" w:hAnsi="Arial Narrow"/>
          <w:bCs/>
          <w:iCs/>
          <w:sz w:val="22"/>
          <w:szCs w:val="22"/>
        </w:rPr>
        <w:t>échalotte</w:t>
      </w:r>
      <w:proofErr w:type="spellEnd"/>
      <w:r w:rsidRPr="00E6541B">
        <w:rPr>
          <w:rFonts w:ascii="Arial Narrow" w:hAnsi="Arial Narrow"/>
          <w:sz w:val="22"/>
          <w:szCs w:val="22"/>
        </w:rPr>
        <w:t xml:space="preserve"> </w:t>
      </w:r>
      <w:r>
        <w:rPr>
          <w:rFonts w:ascii="Arial Narrow" w:hAnsi="Arial Narrow"/>
          <w:sz w:val="22"/>
          <w:szCs w:val="22"/>
        </w:rPr>
        <w:t>de 10,55m x 19,25 m avec :</w:t>
      </w:r>
      <w:bookmarkEnd w:id="613"/>
    </w:p>
    <w:p w14:paraId="15C9F770" w14:textId="77777777" w:rsidR="000B7943" w:rsidRDefault="000B7943" w:rsidP="002A45C1">
      <w:pPr>
        <w:numPr>
          <w:ilvl w:val="0"/>
          <w:numId w:val="112"/>
        </w:numPr>
        <w:tabs>
          <w:tab w:val="clear" w:pos="1770"/>
          <w:tab w:val="num" w:pos="284"/>
        </w:tabs>
        <w:spacing w:after="0"/>
        <w:ind w:left="502"/>
        <w:jc w:val="left"/>
        <w:rPr>
          <w:rFonts w:ascii="Arial Narrow" w:hAnsi="Arial Narrow"/>
          <w:sz w:val="22"/>
          <w:szCs w:val="22"/>
        </w:rPr>
      </w:pPr>
      <w:r>
        <w:rPr>
          <w:rFonts w:ascii="Arial Narrow" w:hAnsi="Arial Narrow"/>
          <w:bCs/>
          <w:iCs/>
          <w:sz w:val="22"/>
          <w:szCs w:val="22"/>
        </w:rPr>
        <w:t>Une toiture en tôle bac auto portant avec faux plafond ;</w:t>
      </w:r>
    </w:p>
    <w:p w14:paraId="0026433B" w14:textId="77777777" w:rsidR="000B7943" w:rsidRDefault="000B7943" w:rsidP="002A45C1">
      <w:pPr>
        <w:numPr>
          <w:ilvl w:val="0"/>
          <w:numId w:val="112"/>
        </w:numPr>
        <w:tabs>
          <w:tab w:val="clear" w:pos="1770"/>
          <w:tab w:val="num" w:pos="284"/>
        </w:tabs>
        <w:spacing w:after="0"/>
        <w:ind w:left="502"/>
        <w:jc w:val="left"/>
        <w:rPr>
          <w:rFonts w:ascii="Arial Narrow" w:hAnsi="Arial Narrow"/>
          <w:sz w:val="22"/>
          <w:szCs w:val="22"/>
        </w:rPr>
      </w:pPr>
      <w:r>
        <w:rPr>
          <w:rFonts w:ascii="Arial Narrow" w:hAnsi="Arial Narrow"/>
          <w:sz w:val="22"/>
          <w:szCs w:val="22"/>
        </w:rPr>
        <w:t>Une terrasse découverte de 3,50 x 19,25 m devant le magasin ;</w:t>
      </w:r>
    </w:p>
    <w:p w14:paraId="56EDE31B" w14:textId="77777777" w:rsidR="000B7943" w:rsidRDefault="000B7943" w:rsidP="002A45C1">
      <w:pPr>
        <w:numPr>
          <w:ilvl w:val="0"/>
          <w:numId w:val="112"/>
        </w:numPr>
        <w:tabs>
          <w:tab w:val="clear" w:pos="1770"/>
          <w:tab w:val="num" w:pos="284"/>
        </w:tabs>
        <w:spacing w:after="0"/>
        <w:ind w:left="502"/>
        <w:jc w:val="left"/>
        <w:rPr>
          <w:rFonts w:ascii="Arial Narrow" w:hAnsi="Arial Narrow"/>
          <w:sz w:val="22"/>
          <w:szCs w:val="22"/>
        </w:rPr>
      </w:pPr>
      <w:r>
        <w:rPr>
          <w:rFonts w:ascii="Arial Narrow" w:hAnsi="Arial Narrow"/>
          <w:sz w:val="22"/>
          <w:szCs w:val="22"/>
        </w:rPr>
        <w:t>Perron d’accès ;</w:t>
      </w:r>
    </w:p>
    <w:p w14:paraId="7F2E773F" w14:textId="77777777" w:rsidR="000B7943" w:rsidRDefault="000B7943" w:rsidP="002A45C1">
      <w:pPr>
        <w:numPr>
          <w:ilvl w:val="0"/>
          <w:numId w:val="112"/>
        </w:numPr>
        <w:tabs>
          <w:tab w:val="clear" w:pos="1770"/>
          <w:tab w:val="num" w:pos="284"/>
        </w:tabs>
        <w:spacing w:after="0"/>
        <w:ind w:left="502"/>
        <w:jc w:val="left"/>
        <w:rPr>
          <w:rFonts w:ascii="Arial Narrow" w:hAnsi="Arial Narrow"/>
          <w:sz w:val="22"/>
          <w:szCs w:val="22"/>
        </w:rPr>
      </w:pPr>
      <w:r>
        <w:rPr>
          <w:rFonts w:ascii="Arial Narrow" w:hAnsi="Arial Narrow"/>
          <w:sz w:val="22"/>
          <w:szCs w:val="22"/>
        </w:rPr>
        <w:t>Deux portes métallique persienne orientable de 2,00 x 2,20 m avec grille moustiquaire ;</w:t>
      </w:r>
    </w:p>
    <w:p w14:paraId="34A19E74" w14:textId="77777777" w:rsidR="000B7943" w:rsidRDefault="000B7943" w:rsidP="002A45C1">
      <w:pPr>
        <w:numPr>
          <w:ilvl w:val="0"/>
          <w:numId w:val="112"/>
        </w:numPr>
        <w:tabs>
          <w:tab w:val="clear" w:pos="1770"/>
          <w:tab w:val="num" w:pos="284"/>
        </w:tabs>
        <w:spacing w:after="0"/>
        <w:ind w:left="502"/>
        <w:jc w:val="left"/>
        <w:rPr>
          <w:rFonts w:ascii="Arial Narrow" w:hAnsi="Arial Narrow"/>
          <w:sz w:val="22"/>
          <w:szCs w:val="22"/>
        </w:rPr>
      </w:pPr>
      <w:r>
        <w:rPr>
          <w:rFonts w:ascii="Arial Narrow" w:hAnsi="Arial Narrow"/>
          <w:sz w:val="22"/>
          <w:szCs w:val="22"/>
        </w:rPr>
        <w:t>Treize (13) fenêtres métallique persienne orientale de 0,80 x2</w:t>
      </w:r>
      <w:proofErr w:type="gramStart"/>
      <w:r>
        <w:rPr>
          <w:rFonts w:ascii="Arial Narrow" w:hAnsi="Arial Narrow"/>
          <w:sz w:val="22"/>
          <w:szCs w:val="22"/>
        </w:rPr>
        <w:t>,20</w:t>
      </w:r>
      <w:proofErr w:type="gramEnd"/>
      <w:r>
        <w:rPr>
          <w:rFonts w:ascii="Arial Narrow" w:hAnsi="Arial Narrow"/>
          <w:sz w:val="22"/>
          <w:szCs w:val="22"/>
        </w:rPr>
        <w:t xml:space="preserve"> m avec grille moustiquaire ;</w:t>
      </w:r>
    </w:p>
    <w:p w14:paraId="374897A4" w14:textId="77777777" w:rsidR="000B7943" w:rsidRDefault="000B7943" w:rsidP="002A45C1">
      <w:pPr>
        <w:numPr>
          <w:ilvl w:val="0"/>
          <w:numId w:val="112"/>
        </w:numPr>
        <w:tabs>
          <w:tab w:val="clear" w:pos="1770"/>
          <w:tab w:val="num" w:pos="284"/>
        </w:tabs>
        <w:spacing w:after="0"/>
        <w:ind w:left="502"/>
        <w:jc w:val="left"/>
        <w:rPr>
          <w:rFonts w:ascii="Arial Narrow" w:hAnsi="Arial Narrow"/>
          <w:sz w:val="22"/>
          <w:szCs w:val="22"/>
        </w:rPr>
      </w:pPr>
      <w:r>
        <w:rPr>
          <w:rFonts w:ascii="Arial Narrow" w:hAnsi="Arial Narrow"/>
          <w:sz w:val="22"/>
          <w:szCs w:val="22"/>
        </w:rPr>
        <w:t>Dix (10) impostes métallique persienne orientale de 2,00 x0</w:t>
      </w:r>
      <w:proofErr w:type="gramStart"/>
      <w:r>
        <w:rPr>
          <w:rFonts w:ascii="Arial Narrow" w:hAnsi="Arial Narrow"/>
          <w:sz w:val="22"/>
          <w:szCs w:val="22"/>
        </w:rPr>
        <w:t>,45</w:t>
      </w:r>
      <w:proofErr w:type="gramEnd"/>
      <w:r>
        <w:rPr>
          <w:rFonts w:ascii="Arial Narrow" w:hAnsi="Arial Narrow"/>
          <w:sz w:val="22"/>
          <w:szCs w:val="22"/>
        </w:rPr>
        <w:t xml:space="preserve"> m avec grille moustiquaire ; </w:t>
      </w:r>
    </w:p>
    <w:p w14:paraId="76EE3DB3" w14:textId="77777777" w:rsidR="000B7943" w:rsidRDefault="000B7943" w:rsidP="002A45C1">
      <w:pPr>
        <w:numPr>
          <w:ilvl w:val="0"/>
          <w:numId w:val="112"/>
        </w:numPr>
        <w:tabs>
          <w:tab w:val="clear" w:pos="1770"/>
          <w:tab w:val="num" w:pos="284"/>
        </w:tabs>
        <w:spacing w:after="0"/>
        <w:ind w:left="502"/>
        <w:jc w:val="left"/>
        <w:rPr>
          <w:rFonts w:ascii="Arial Narrow" w:hAnsi="Arial Narrow"/>
          <w:sz w:val="22"/>
          <w:szCs w:val="22"/>
        </w:rPr>
      </w:pPr>
      <w:r>
        <w:rPr>
          <w:rFonts w:ascii="Arial Narrow" w:hAnsi="Arial Narrow"/>
          <w:sz w:val="22"/>
          <w:szCs w:val="22"/>
        </w:rPr>
        <w:t>Quarante-deux (42) unités de claies métalliques à huit (08) casiers de 1,20 x 1,00 m. Chaque casier à une capacité de 90 Kg d’</w:t>
      </w:r>
      <w:proofErr w:type="spellStart"/>
      <w:r>
        <w:rPr>
          <w:rFonts w:ascii="Arial Narrow" w:hAnsi="Arial Narrow"/>
          <w:sz w:val="22"/>
          <w:szCs w:val="22"/>
        </w:rPr>
        <w:t>échalotte</w:t>
      </w:r>
      <w:proofErr w:type="spellEnd"/>
      <w:r>
        <w:rPr>
          <w:rFonts w:ascii="Arial Narrow" w:hAnsi="Arial Narrow"/>
          <w:sz w:val="22"/>
          <w:szCs w:val="22"/>
        </w:rPr>
        <w:t> ;</w:t>
      </w:r>
    </w:p>
    <w:p w14:paraId="2CC1F50A" w14:textId="77777777" w:rsidR="000B7943" w:rsidRDefault="000B7943" w:rsidP="002A45C1">
      <w:pPr>
        <w:numPr>
          <w:ilvl w:val="0"/>
          <w:numId w:val="112"/>
        </w:numPr>
        <w:tabs>
          <w:tab w:val="clear" w:pos="1770"/>
          <w:tab w:val="num" w:pos="284"/>
        </w:tabs>
        <w:spacing w:after="0"/>
        <w:ind w:left="502"/>
        <w:jc w:val="left"/>
        <w:rPr>
          <w:rFonts w:ascii="Arial Narrow" w:hAnsi="Arial Narrow"/>
          <w:sz w:val="22"/>
          <w:szCs w:val="22"/>
        </w:rPr>
      </w:pPr>
      <w:r>
        <w:rPr>
          <w:rFonts w:ascii="Arial Narrow" w:hAnsi="Arial Narrow"/>
          <w:sz w:val="22"/>
          <w:szCs w:val="22"/>
        </w:rPr>
        <w:t>Une bascule 500 Kg ;</w:t>
      </w:r>
    </w:p>
    <w:p w14:paraId="27E24199" w14:textId="77777777" w:rsidR="000B7943" w:rsidRDefault="000B7943" w:rsidP="002A45C1">
      <w:pPr>
        <w:numPr>
          <w:ilvl w:val="0"/>
          <w:numId w:val="112"/>
        </w:numPr>
        <w:tabs>
          <w:tab w:val="clear" w:pos="1770"/>
          <w:tab w:val="num" w:pos="284"/>
        </w:tabs>
        <w:spacing w:after="0"/>
        <w:ind w:left="502"/>
        <w:jc w:val="left"/>
        <w:rPr>
          <w:rFonts w:ascii="Arial Narrow" w:hAnsi="Arial Narrow"/>
          <w:sz w:val="22"/>
          <w:szCs w:val="22"/>
        </w:rPr>
      </w:pPr>
      <w:r>
        <w:rPr>
          <w:rFonts w:ascii="Arial Narrow" w:hAnsi="Arial Narrow"/>
          <w:sz w:val="22"/>
          <w:szCs w:val="22"/>
        </w:rPr>
        <w:t>Une balance de 100 Kg ;</w:t>
      </w:r>
    </w:p>
    <w:p w14:paraId="2DFB5091" w14:textId="77777777" w:rsidR="000B7943" w:rsidRDefault="000B7943" w:rsidP="002A45C1">
      <w:pPr>
        <w:numPr>
          <w:ilvl w:val="0"/>
          <w:numId w:val="112"/>
        </w:numPr>
        <w:tabs>
          <w:tab w:val="clear" w:pos="1770"/>
          <w:tab w:val="num" w:pos="284"/>
        </w:tabs>
        <w:spacing w:after="0"/>
        <w:ind w:left="502"/>
        <w:jc w:val="left"/>
        <w:rPr>
          <w:rFonts w:ascii="Arial Narrow" w:hAnsi="Arial Narrow"/>
          <w:sz w:val="22"/>
          <w:szCs w:val="22"/>
        </w:rPr>
      </w:pPr>
      <w:r>
        <w:rPr>
          <w:rFonts w:ascii="Arial Narrow" w:hAnsi="Arial Narrow"/>
          <w:sz w:val="22"/>
          <w:szCs w:val="22"/>
        </w:rPr>
        <w:t>Deux (02) échelles d’accès aux claies ;</w:t>
      </w:r>
    </w:p>
    <w:p w14:paraId="1D4E972E" w14:textId="77777777" w:rsidR="000B7943" w:rsidRPr="00671827" w:rsidRDefault="000B7943" w:rsidP="002A45C1">
      <w:pPr>
        <w:numPr>
          <w:ilvl w:val="0"/>
          <w:numId w:val="112"/>
        </w:numPr>
        <w:tabs>
          <w:tab w:val="clear" w:pos="1770"/>
          <w:tab w:val="num" w:pos="284"/>
        </w:tabs>
        <w:spacing w:after="0"/>
        <w:ind w:left="502"/>
        <w:jc w:val="left"/>
        <w:rPr>
          <w:rFonts w:ascii="Arial Narrow" w:hAnsi="Arial Narrow"/>
          <w:sz w:val="22"/>
          <w:szCs w:val="22"/>
        </w:rPr>
      </w:pPr>
      <w:r>
        <w:rPr>
          <w:rFonts w:ascii="Arial Narrow" w:hAnsi="Arial Narrow"/>
          <w:sz w:val="22"/>
          <w:szCs w:val="22"/>
        </w:rPr>
        <w:t>Deux (02) bancs métalliques.</w:t>
      </w:r>
    </w:p>
    <w:p w14:paraId="6B0A84A5" w14:textId="77777777" w:rsidR="000B7943" w:rsidRDefault="000B7943" w:rsidP="000B7943">
      <w:pPr>
        <w:spacing w:after="0"/>
        <w:rPr>
          <w:rFonts w:ascii="Arial Narrow" w:hAnsi="Arial Narrow"/>
          <w:sz w:val="22"/>
          <w:szCs w:val="22"/>
        </w:rPr>
      </w:pPr>
    </w:p>
    <w:p w14:paraId="0D8F8BFB" w14:textId="77777777" w:rsidR="000B7943" w:rsidRDefault="000B7943" w:rsidP="002A45C1">
      <w:pPr>
        <w:keepNext/>
        <w:numPr>
          <w:ilvl w:val="0"/>
          <w:numId w:val="120"/>
        </w:numPr>
        <w:spacing w:after="0"/>
        <w:jc w:val="left"/>
        <w:outlineLvl w:val="2"/>
        <w:rPr>
          <w:rFonts w:ascii="Arial Narrow" w:hAnsi="Arial Narrow"/>
          <w:sz w:val="22"/>
          <w:szCs w:val="22"/>
        </w:rPr>
      </w:pPr>
      <w:bookmarkStart w:id="614" w:name="_Toc48575434"/>
      <w:r>
        <w:rPr>
          <w:rFonts w:ascii="Arial Narrow" w:hAnsi="Arial Narrow"/>
          <w:b/>
          <w:i/>
          <w:sz w:val="22"/>
          <w:szCs w:val="22"/>
          <w:u w:val="single"/>
        </w:rPr>
        <w:t>Bureau pour gestionnaire</w:t>
      </w:r>
      <w:r w:rsidRPr="008F2DDE">
        <w:rPr>
          <w:rFonts w:ascii="Arial Narrow" w:hAnsi="Arial Narrow"/>
          <w:bCs/>
          <w:iCs/>
          <w:sz w:val="22"/>
          <w:szCs w:val="22"/>
        </w:rPr>
        <w:t xml:space="preserve"> </w:t>
      </w:r>
      <w:r>
        <w:rPr>
          <w:rFonts w:ascii="Arial Narrow" w:hAnsi="Arial Narrow"/>
          <w:bCs/>
          <w:iCs/>
          <w:sz w:val="22"/>
          <w:szCs w:val="22"/>
        </w:rPr>
        <w:t>Il est prévu la construction d’un bureau en dur pour gestionnaire</w:t>
      </w:r>
      <w:r w:rsidRPr="00E6541B">
        <w:rPr>
          <w:rFonts w:ascii="Arial Narrow" w:hAnsi="Arial Narrow"/>
          <w:sz w:val="22"/>
          <w:szCs w:val="22"/>
        </w:rPr>
        <w:t xml:space="preserve"> </w:t>
      </w:r>
      <w:r>
        <w:rPr>
          <w:rFonts w:ascii="Arial Narrow" w:hAnsi="Arial Narrow"/>
          <w:sz w:val="22"/>
          <w:szCs w:val="22"/>
        </w:rPr>
        <w:t>de 3,70 x3</w:t>
      </w:r>
      <w:proofErr w:type="gramStart"/>
      <w:r>
        <w:rPr>
          <w:rFonts w:ascii="Arial Narrow" w:hAnsi="Arial Narrow"/>
          <w:sz w:val="22"/>
          <w:szCs w:val="22"/>
        </w:rPr>
        <w:t>,70</w:t>
      </w:r>
      <w:proofErr w:type="gramEnd"/>
      <w:r>
        <w:rPr>
          <w:rFonts w:ascii="Arial Narrow" w:hAnsi="Arial Narrow"/>
          <w:sz w:val="22"/>
          <w:szCs w:val="22"/>
        </w:rPr>
        <w:t xml:space="preserve"> m :</w:t>
      </w:r>
      <w:bookmarkEnd w:id="614"/>
    </w:p>
    <w:p w14:paraId="56F9CE29" w14:textId="77777777" w:rsidR="000B7943" w:rsidRDefault="000B7943" w:rsidP="002A45C1">
      <w:pPr>
        <w:numPr>
          <w:ilvl w:val="0"/>
          <w:numId w:val="112"/>
        </w:numPr>
        <w:tabs>
          <w:tab w:val="clear" w:pos="1770"/>
          <w:tab w:val="num" w:pos="284"/>
        </w:tabs>
        <w:spacing w:after="0"/>
        <w:ind w:left="502"/>
        <w:jc w:val="left"/>
        <w:rPr>
          <w:rFonts w:ascii="Arial Narrow" w:hAnsi="Arial Narrow"/>
          <w:sz w:val="22"/>
          <w:szCs w:val="22"/>
        </w:rPr>
      </w:pPr>
      <w:r>
        <w:rPr>
          <w:rFonts w:ascii="Arial Narrow" w:hAnsi="Arial Narrow"/>
          <w:bCs/>
          <w:iCs/>
          <w:sz w:val="22"/>
          <w:szCs w:val="22"/>
        </w:rPr>
        <w:t>Une toiture en tôle bac auto portant avec faux plafond ;</w:t>
      </w:r>
    </w:p>
    <w:p w14:paraId="4866DAA7" w14:textId="77777777" w:rsidR="000B7943" w:rsidRDefault="000B7943" w:rsidP="002A45C1">
      <w:pPr>
        <w:numPr>
          <w:ilvl w:val="0"/>
          <w:numId w:val="112"/>
        </w:numPr>
        <w:tabs>
          <w:tab w:val="clear" w:pos="1770"/>
          <w:tab w:val="num" w:pos="284"/>
        </w:tabs>
        <w:spacing w:after="0"/>
        <w:ind w:left="502"/>
        <w:jc w:val="left"/>
        <w:rPr>
          <w:rFonts w:ascii="Arial Narrow" w:hAnsi="Arial Narrow"/>
          <w:sz w:val="22"/>
          <w:szCs w:val="22"/>
        </w:rPr>
      </w:pPr>
      <w:r>
        <w:rPr>
          <w:rFonts w:ascii="Arial Narrow" w:hAnsi="Arial Narrow"/>
          <w:sz w:val="22"/>
          <w:szCs w:val="22"/>
        </w:rPr>
        <w:t>Une terrasse couverte de 3,65 x 6,80 m au droit du bureau ;</w:t>
      </w:r>
    </w:p>
    <w:p w14:paraId="2CDF17C1" w14:textId="77777777" w:rsidR="000B7943" w:rsidRDefault="000B7943" w:rsidP="002A45C1">
      <w:pPr>
        <w:numPr>
          <w:ilvl w:val="0"/>
          <w:numId w:val="112"/>
        </w:numPr>
        <w:tabs>
          <w:tab w:val="clear" w:pos="1770"/>
          <w:tab w:val="num" w:pos="284"/>
        </w:tabs>
        <w:spacing w:after="0"/>
        <w:ind w:left="502"/>
        <w:jc w:val="left"/>
        <w:rPr>
          <w:rFonts w:ascii="Arial Narrow" w:hAnsi="Arial Narrow"/>
          <w:sz w:val="22"/>
          <w:szCs w:val="22"/>
        </w:rPr>
      </w:pPr>
      <w:r>
        <w:rPr>
          <w:rFonts w:ascii="Arial Narrow" w:hAnsi="Arial Narrow"/>
          <w:sz w:val="22"/>
          <w:szCs w:val="22"/>
        </w:rPr>
        <w:t>Perron d’accès ;</w:t>
      </w:r>
    </w:p>
    <w:p w14:paraId="059F0DD9" w14:textId="77777777" w:rsidR="000B7943" w:rsidRDefault="000B7943" w:rsidP="002A45C1">
      <w:pPr>
        <w:numPr>
          <w:ilvl w:val="0"/>
          <w:numId w:val="112"/>
        </w:numPr>
        <w:tabs>
          <w:tab w:val="clear" w:pos="1770"/>
          <w:tab w:val="num" w:pos="284"/>
        </w:tabs>
        <w:spacing w:after="0"/>
        <w:ind w:left="502"/>
        <w:jc w:val="left"/>
        <w:rPr>
          <w:rFonts w:ascii="Arial Narrow" w:hAnsi="Arial Narrow"/>
          <w:sz w:val="22"/>
          <w:szCs w:val="22"/>
        </w:rPr>
      </w:pPr>
      <w:r>
        <w:rPr>
          <w:rFonts w:ascii="Arial Narrow" w:hAnsi="Arial Narrow"/>
          <w:sz w:val="22"/>
          <w:szCs w:val="22"/>
        </w:rPr>
        <w:t>Une (01) porte métallique persienne orientable de 0,80 x 2,20 m avec grille moustiquaire ;</w:t>
      </w:r>
    </w:p>
    <w:p w14:paraId="41E3034A" w14:textId="77777777" w:rsidR="000B7943" w:rsidRDefault="000B7943" w:rsidP="002A45C1">
      <w:pPr>
        <w:numPr>
          <w:ilvl w:val="0"/>
          <w:numId w:val="112"/>
        </w:numPr>
        <w:tabs>
          <w:tab w:val="clear" w:pos="1770"/>
          <w:tab w:val="num" w:pos="284"/>
        </w:tabs>
        <w:spacing w:after="0"/>
        <w:ind w:left="502"/>
        <w:jc w:val="left"/>
        <w:rPr>
          <w:rFonts w:ascii="Arial Narrow" w:hAnsi="Arial Narrow"/>
          <w:sz w:val="22"/>
          <w:szCs w:val="22"/>
        </w:rPr>
      </w:pPr>
      <w:r>
        <w:rPr>
          <w:rFonts w:ascii="Arial Narrow" w:hAnsi="Arial Narrow"/>
          <w:sz w:val="22"/>
          <w:szCs w:val="22"/>
        </w:rPr>
        <w:t>Deux (02) fenêtres métallique persienne orientale de 1,20 x1</w:t>
      </w:r>
      <w:proofErr w:type="gramStart"/>
      <w:r>
        <w:rPr>
          <w:rFonts w:ascii="Arial Narrow" w:hAnsi="Arial Narrow"/>
          <w:sz w:val="22"/>
          <w:szCs w:val="22"/>
        </w:rPr>
        <w:t>,20</w:t>
      </w:r>
      <w:proofErr w:type="gramEnd"/>
      <w:r>
        <w:rPr>
          <w:rFonts w:ascii="Arial Narrow" w:hAnsi="Arial Narrow"/>
          <w:sz w:val="22"/>
          <w:szCs w:val="22"/>
        </w:rPr>
        <w:t xml:space="preserve"> m avec grille moustiquaire ;</w:t>
      </w:r>
    </w:p>
    <w:p w14:paraId="3D021655" w14:textId="77777777" w:rsidR="000B7943" w:rsidRDefault="000B7943" w:rsidP="002A45C1">
      <w:pPr>
        <w:numPr>
          <w:ilvl w:val="0"/>
          <w:numId w:val="112"/>
        </w:numPr>
        <w:tabs>
          <w:tab w:val="clear" w:pos="1770"/>
          <w:tab w:val="num" w:pos="284"/>
        </w:tabs>
        <w:spacing w:after="0"/>
        <w:ind w:left="502"/>
        <w:jc w:val="left"/>
        <w:rPr>
          <w:rFonts w:ascii="Arial Narrow" w:hAnsi="Arial Narrow"/>
          <w:sz w:val="22"/>
          <w:szCs w:val="22"/>
        </w:rPr>
      </w:pPr>
      <w:r>
        <w:rPr>
          <w:rFonts w:ascii="Arial Narrow" w:hAnsi="Arial Narrow"/>
          <w:sz w:val="22"/>
          <w:szCs w:val="22"/>
        </w:rPr>
        <w:t>Deux (02) impostes métallique persienne orientale de 1,20 x0</w:t>
      </w:r>
      <w:proofErr w:type="gramStart"/>
      <w:r>
        <w:rPr>
          <w:rFonts w:ascii="Arial Narrow" w:hAnsi="Arial Narrow"/>
          <w:sz w:val="22"/>
          <w:szCs w:val="22"/>
        </w:rPr>
        <w:t>,45</w:t>
      </w:r>
      <w:proofErr w:type="gramEnd"/>
      <w:r>
        <w:rPr>
          <w:rFonts w:ascii="Arial Narrow" w:hAnsi="Arial Narrow"/>
          <w:sz w:val="22"/>
          <w:szCs w:val="22"/>
        </w:rPr>
        <w:t xml:space="preserve"> m avec grille moustiquaire ; </w:t>
      </w:r>
    </w:p>
    <w:p w14:paraId="141F9CAA" w14:textId="77777777" w:rsidR="000B7943" w:rsidRDefault="000B7943" w:rsidP="002A45C1">
      <w:pPr>
        <w:numPr>
          <w:ilvl w:val="0"/>
          <w:numId w:val="112"/>
        </w:numPr>
        <w:tabs>
          <w:tab w:val="clear" w:pos="1770"/>
          <w:tab w:val="num" w:pos="284"/>
        </w:tabs>
        <w:spacing w:after="0"/>
        <w:ind w:left="502"/>
        <w:jc w:val="left"/>
        <w:rPr>
          <w:rFonts w:ascii="Arial Narrow" w:hAnsi="Arial Narrow"/>
          <w:sz w:val="22"/>
          <w:szCs w:val="22"/>
        </w:rPr>
      </w:pPr>
      <w:r>
        <w:rPr>
          <w:rFonts w:ascii="Arial Narrow" w:hAnsi="Arial Narrow"/>
          <w:sz w:val="22"/>
          <w:szCs w:val="22"/>
        </w:rPr>
        <w:t>Trois (03) chaises pour le bureau ;</w:t>
      </w:r>
    </w:p>
    <w:p w14:paraId="1BC9DACF" w14:textId="77777777" w:rsidR="000B7943" w:rsidRPr="005572B1" w:rsidRDefault="000B7943" w:rsidP="002A45C1">
      <w:pPr>
        <w:numPr>
          <w:ilvl w:val="0"/>
          <w:numId w:val="112"/>
        </w:numPr>
        <w:tabs>
          <w:tab w:val="clear" w:pos="1770"/>
          <w:tab w:val="num" w:pos="284"/>
        </w:tabs>
        <w:spacing w:after="0"/>
        <w:ind w:left="502"/>
        <w:jc w:val="left"/>
        <w:rPr>
          <w:rFonts w:ascii="Arial Narrow" w:hAnsi="Arial Narrow"/>
          <w:sz w:val="22"/>
          <w:szCs w:val="22"/>
        </w:rPr>
      </w:pPr>
      <w:r>
        <w:rPr>
          <w:rFonts w:ascii="Arial Narrow" w:hAnsi="Arial Narrow"/>
          <w:sz w:val="22"/>
          <w:szCs w:val="22"/>
        </w:rPr>
        <w:t>Une (01) table métallique pour le bureau.</w:t>
      </w:r>
    </w:p>
    <w:p w14:paraId="0A7D4DED" w14:textId="09C380A9" w:rsidR="00577457" w:rsidRPr="001A50EA" w:rsidRDefault="00577457" w:rsidP="00737D08">
      <w:pPr>
        <w:spacing w:after="0"/>
        <w:rPr>
          <w:b/>
          <w:szCs w:val="24"/>
        </w:rPr>
      </w:pPr>
    </w:p>
    <w:p w14:paraId="3546B57B" w14:textId="77777777" w:rsidR="00737D08" w:rsidRPr="001A50EA" w:rsidRDefault="00737D08" w:rsidP="00737D08">
      <w:pPr>
        <w:spacing w:after="0"/>
        <w:rPr>
          <w:b/>
          <w:szCs w:val="24"/>
        </w:rPr>
      </w:pPr>
      <w:r w:rsidRPr="001A50EA">
        <w:rPr>
          <w:b/>
          <w:szCs w:val="24"/>
        </w:rPr>
        <w:t>5.1 CHAPITRE I : DESCRIPTIONS DES TRAVAUX</w:t>
      </w:r>
    </w:p>
    <w:p w14:paraId="4F13E91C" w14:textId="77777777" w:rsidR="00442531" w:rsidRPr="001A50EA" w:rsidRDefault="00442531" w:rsidP="00737D08">
      <w:pPr>
        <w:spacing w:after="0"/>
        <w:rPr>
          <w:szCs w:val="24"/>
        </w:rPr>
      </w:pPr>
    </w:p>
    <w:p w14:paraId="1B469805" w14:textId="77777777" w:rsidR="00445CBE" w:rsidRPr="001A50EA" w:rsidRDefault="00445CBE" w:rsidP="00445CBE">
      <w:pPr>
        <w:spacing w:line="276" w:lineRule="auto"/>
      </w:pPr>
      <w:r w:rsidRPr="001A50EA">
        <w:t>Les travaux à réaliser comportent essentiellement :</w:t>
      </w:r>
    </w:p>
    <w:p w14:paraId="2B7199F9" w14:textId="77777777" w:rsidR="005A2C4D" w:rsidRPr="001F59E2" w:rsidRDefault="005A2C4D" w:rsidP="002A45C1">
      <w:pPr>
        <w:numPr>
          <w:ilvl w:val="0"/>
          <w:numId w:val="113"/>
        </w:numPr>
        <w:overflowPunct w:val="0"/>
        <w:autoSpaceDE w:val="0"/>
        <w:autoSpaceDN w:val="0"/>
        <w:adjustRightInd w:val="0"/>
        <w:spacing w:after="0" w:line="276" w:lineRule="auto"/>
        <w:textAlignment w:val="baseline"/>
      </w:pPr>
      <w:r w:rsidRPr="001F59E2">
        <w:t>Installation et repli de chantier ;</w:t>
      </w:r>
    </w:p>
    <w:p w14:paraId="402CB4A8" w14:textId="77777777" w:rsidR="005A2C4D" w:rsidRPr="001F59E2" w:rsidRDefault="005A2C4D" w:rsidP="002A45C1">
      <w:pPr>
        <w:numPr>
          <w:ilvl w:val="0"/>
          <w:numId w:val="113"/>
        </w:numPr>
        <w:overflowPunct w:val="0"/>
        <w:autoSpaceDE w:val="0"/>
        <w:autoSpaceDN w:val="0"/>
        <w:adjustRightInd w:val="0"/>
        <w:spacing w:after="0" w:line="276" w:lineRule="auto"/>
        <w:textAlignment w:val="baseline"/>
      </w:pPr>
      <w:r w:rsidRPr="001F59E2">
        <w:t>Travaux de déblais en terrain meuble et rocheux (mécanique et manuel) ;</w:t>
      </w:r>
    </w:p>
    <w:p w14:paraId="0E1B6AA6" w14:textId="77777777" w:rsidR="005A2C4D" w:rsidRPr="001F59E2" w:rsidRDefault="005A2C4D" w:rsidP="002A45C1">
      <w:pPr>
        <w:numPr>
          <w:ilvl w:val="0"/>
          <w:numId w:val="113"/>
        </w:numPr>
        <w:overflowPunct w:val="0"/>
        <w:autoSpaceDE w:val="0"/>
        <w:autoSpaceDN w:val="0"/>
        <w:adjustRightInd w:val="0"/>
        <w:spacing w:after="0" w:line="276" w:lineRule="auto"/>
        <w:textAlignment w:val="baseline"/>
      </w:pPr>
      <w:r w:rsidRPr="001F59E2">
        <w:t>Travaux de réalisation des écrans souterrains en béton cyclopéen ;</w:t>
      </w:r>
    </w:p>
    <w:p w14:paraId="4CD71F12" w14:textId="77777777" w:rsidR="005A2C4D" w:rsidRPr="001F59E2" w:rsidRDefault="005A2C4D" w:rsidP="002A45C1">
      <w:pPr>
        <w:numPr>
          <w:ilvl w:val="0"/>
          <w:numId w:val="113"/>
        </w:numPr>
        <w:overflowPunct w:val="0"/>
        <w:autoSpaceDE w:val="0"/>
        <w:autoSpaceDN w:val="0"/>
        <w:adjustRightInd w:val="0"/>
        <w:spacing w:after="0" w:line="276" w:lineRule="auto"/>
        <w:textAlignment w:val="baseline"/>
      </w:pPr>
      <w:r w:rsidRPr="001F59E2">
        <w:t>Fourniture de joint water stop sceller dans un élément de béton à tous les 10 mètres y compris toutes sujétions ;</w:t>
      </w:r>
    </w:p>
    <w:p w14:paraId="73CFDB4A" w14:textId="77777777" w:rsidR="005A2C4D" w:rsidRPr="001F59E2" w:rsidRDefault="005A2C4D" w:rsidP="002A45C1">
      <w:pPr>
        <w:numPr>
          <w:ilvl w:val="0"/>
          <w:numId w:val="113"/>
        </w:numPr>
        <w:overflowPunct w:val="0"/>
        <w:autoSpaceDE w:val="0"/>
        <w:autoSpaceDN w:val="0"/>
        <w:adjustRightInd w:val="0"/>
        <w:spacing w:after="0" w:line="276" w:lineRule="auto"/>
        <w:textAlignment w:val="baseline"/>
      </w:pPr>
      <w:r w:rsidRPr="001F59E2">
        <w:t xml:space="preserve">Les travaux de béton (béton cyclopéen dosé à 350 kg/m3 avec un rapport pierre/béton de 50/50, béton armé dosé à 350 kg/m3, béton ordinaire) avec ajout de </w:t>
      </w:r>
      <w:proofErr w:type="spellStart"/>
      <w:r w:rsidRPr="001F59E2">
        <w:t>sikhalite</w:t>
      </w:r>
      <w:proofErr w:type="spellEnd"/>
      <w:r w:rsidRPr="001F59E2">
        <w:t xml:space="preserve"> dans la masse pour le mur d’étanchéité, massif aval et bassin de dissipation ;</w:t>
      </w:r>
    </w:p>
    <w:p w14:paraId="081C995A" w14:textId="77777777" w:rsidR="005A2C4D" w:rsidRPr="001F59E2" w:rsidRDefault="005A2C4D" w:rsidP="002A45C1">
      <w:pPr>
        <w:numPr>
          <w:ilvl w:val="0"/>
          <w:numId w:val="113"/>
        </w:numPr>
        <w:overflowPunct w:val="0"/>
        <w:autoSpaceDE w:val="0"/>
        <w:autoSpaceDN w:val="0"/>
        <w:adjustRightInd w:val="0"/>
        <w:spacing w:after="0" w:line="276" w:lineRule="auto"/>
        <w:textAlignment w:val="baseline"/>
      </w:pPr>
      <w:r w:rsidRPr="001F59E2">
        <w:t xml:space="preserve">Enduit au mortier de ciment avec ajout de </w:t>
      </w:r>
      <w:proofErr w:type="spellStart"/>
      <w:r w:rsidRPr="001F59E2">
        <w:t>Sikhalite</w:t>
      </w:r>
      <w:proofErr w:type="spellEnd"/>
      <w:r w:rsidRPr="001F59E2">
        <w:t xml:space="preserve"> ;</w:t>
      </w:r>
    </w:p>
    <w:p w14:paraId="4C33C1B9" w14:textId="77777777" w:rsidR="005A2C4D" w:rsidRPr="001F59E2" w:rsidRDefault="005A2C4D" w:rsidP="002A45C1">
      <w:pPr>
        <w:numPr>
          <w:ilvl w:val="0"/>
          <w:numId w:val="113"/>
        </w:numPr>
        <w:overflowPunct w:val="0"/>
        <w:autoSpaceDE w:val="0"/>
        <w:autoSpaceDN w:val="0"/>
        <w:adjustRightInd w:val="0"/>
        <w:spacing w:after="0" w:line="276" w:lineRule="auto"/>
        <w:textAlignment w:val="baseline"/>
      </w:pPr>
      <w:r w:rsidRPr="001F59E2">
        <w:t>Travaux de gabionnage (confection des cages, pose des enrochements, ligatures) pour la mise en œuvre des protections de l’ouvrage et du chenal ;</w:t>
      </w:r>
    </w:p>
    <w:p w14:paraId="789BC09A" w14:textId="77777777" w:rsidR="005A2C4D" w:rsidRPr="001F59E2" w:rsidRDefault="005A2C4D" w:rsidP="002A45C1">
      <w:pPr>
        <w:numPr>
          <w:ilvl w:val="0"/>
          <w:numId w:val="113"/>
        </w:numPr>
        <w:overflowPunct w:val="0"/>
        <w:autoSpaceDE w:val="0"/>
        <w:autoSpaceDN w:val="0"/>
        <w:adjustRightInd w:val="0"/>
        <w:spacing w:after="0" w:line="276" w:lineRule="auto"/>
        <w:textAlignment w:val="baseline"/>
      </w:pPr>
      <w:r w:rsidRPr="001F59E2">
        <w:t>Les travaux de perrés maçonnés de protection ;</w:t>
      </w:r>
    </w:p>
    <w:p w14:paraId="0A38D174" w14:textId="77777777" w:rsidR="005A2C4D" w:rsidRPr="001F59E2" w:rsidRDefault="005A2C4D" w:rsidP="002A45C1">
      <w:pPr>
        <w:numPr>
          <w:ilvl w:val="0"/>
          <w:numId w:val="113"/>
        </w:numPr>
        <w:overflowPunct w:val="0"/>
        <w:autoSpaceDE w:val="0"/>
        <w:autoSpaceDN w:val="0"/>
        <w:adjustRightInd w:val="0"/>
        <w:spacing w:after="0" w:line="276" w:lineRule="auto"/>
        <w:textAlignment w:val="baseline"/>
      </w:pPr>
      <w:r w:rsidRPr="001F59E2">
        <w:t>Travaux de protection en enrochement libre de l’ouvrage ;</w:t>
      </w:r>
    </w:p>
    <w:p w14:paraId="40C80C35" w14:textId="77777777" w:rsidR="005A2C4D" w:rsidRPr="001F59E2" w:rsidRDefault="005A2C4D" w:rsidP="002A45C1">
      <w:pPr>
        <w:numPr>
          <w:ilvl w:val="0"/>
          <w:numId w:val="113"/>
        </w:numPr>
        <w:overflowPunct w:val="0"/>
        <w:autoSpaceDE w:val="0"/>
        <w:autoSpaceDN w:val="0"/>
        <w:adjustRightInd w:val="0"/>
        <w:spacing w:after="0" w:line="276" w:lineRule="auto"/>
        <w:textAlignment w:val="baseline"/>
      </w:pPr>
      <w:r w:rsidRPr="001F59E2">
        <w:t>Fourniture et pose de cadres métalliques, batardeaux, échelle d’accès, échelles de crue et garde-corps métalliques ;</w:t>
      </w:r>
    </w:p>
    <w:p w14:paraId="55892884" w14:textId="77777777" w:rsidR="005A2C4D" w:rsidRPr="001F59E2" w:rsidRDefault="005A2C4D" w:rsidP="002A45C1">
      <w:pPr>
        <w:numPr>
          <w:ilvl w:val="0"/>
          <w:numId w:val="113"/>
        </w:numPr>
        <w:overflowPunct w:val="0"/>
        <w:autoSpaceDE w:val="0"/>
        <w:autoSpaceDN w:val="0"/>
        <w:adjustRightInd w:val="0"/>
        <w:spacing w:after="0" w:line="276" w:lineRule="auto"/>
        <w:textAlignment w:val="baseline"/>
      </w:pPr>
      <w:r w:rsidRPr="001F59E2">
        <w:t>Travaux de béton armé (dalle de franchissement) ;</w:t>
      </w:r>
    </w:p>
    <w:p w14:paraId="1282D2A5" w14:textId="77777777" w:rsidR="005A2C4D" w:rsidRPr="001F59E2" w:rsidRDefault="005A2C4D" w:rsidP="002A45C1">
      <w:pPr>
        <w:numPr>
          <w:ilvl w:val="0"/>
          <w:numId w:val="113"/>
        </w:numPr>
        <w:overflowPunct w:val="0"/>
        <w:autoSpaceDE w:val="0"/>
        <w:autoSpaceDN w:val="0"/>
        <w:adjustRightInd w:val="0"/>
        <w:spacing w:after="0" w:line="276" w:lineRule="auto"/>
        <w:textAlignment w:val="baseline"/>
      </w:pPr>
      <w:r w:rsidRPr="001F59E2">
        <w:t xml:space="preserve">Travaux de réalisation des remblais d’argile et latéritiques pour digues de raccordement compactés avec les engins lourds à l’OPM ; </w:t>
      </w:r>
    </w:p>
    <w:p w14:paraId="3FD7B2EC" w14:textId="77777777" w:rsidR="005A2C4D" w:rsidRPr="001F59E2" w:rsidRDefault="005A2C4D" w:rsidP="002A45C1">
      <w:pPr>
        <w:numPr>
          <w:ilvl w:val="0"/>
          <w:numId w:val="113"/>
        </w:numPr>
        <w:overflowPunct w:val="0"/>
        <w:autoSpaceDE w:val="0"/>
        <w:autoSpaceDN w:val="0"/>
        <w:adjustRightInd w:val="0"/>
        <w:spacing w:after="0" w:line="276" w:lineRule="auto"/>
        <w:textAlignment w:val="baseline"/>
      </w:pPr>
      <w:r w:rsidRPr="001F59E2">
        <w:t xml:space="preserve">Les travaux de </w:t>
      </w:r>
      <w:proofErr w:type="spellStart"/>
      <w:r w:rsidRPr="001F59E2">
        <w:t>genie</w:t>
      </w:r>
      <w:proofErr w:type="spellEnd"/>
      <w:r w:rsidRPr="001F59E2">
        <w:t xml:space="preserve"> civil du magasin de conservation (fondation, soubassement, élévation, toiture, finition et peinture etc.</w:t>
      </w:r>
    </w:p>
    <w:p w14:paraId="50F7DD4D" w14:textId="77777777" w:rsidR="005A2C4D" w:rsidRPr="001F59E2" w:rsidRDefault="005A2C4D" w:rsidP="002A45C1">
      <w:pPr>
        <w:numPr>
          <w:ilvl w:val="0"/>
          <w:numId w:val="113"/>
        </w:numPr>
        <w:overflowPunct w:val="0"/>
        <w:autoSpaceDE w:val="0"/>
        <w:autoSpaceDN w:val="0"/>
        <w:adjustRightInd w:val="0"/>
        <w:spacing w:after="0" w:line="276" w:lineRule="auto"/>
        <w:textAlignment w:val="baseline"/>
      </w:pPr>
      <w:r w:rsidRPr="001F59E2">
        <w:t>Les travaux d’équipement du magasin ;</w:t>
      </w:r>
    </w:p>
    <w:p w14:paraId="4FF1BD72" w14:textId="77777777" w:rsidR="005A2C4D" w:rsidRPr="001F59E2" w:rsidRDefault="005A2C4D" w:rsidP="002A45C1">
      <w:pPr>
        <w:numPr>
          <w:ilvl w:val="0"/>
          <w:numId w:val="113"/>
        </w:numPr>
        <w:overflowPunct w:val="0"/>
        <w:autoSpaceDE w:val="0"/>
        <w:autoSpaceDN w:val="0"/>
        <w:adjustRightInd w:val="0"/>
        <w:spacing w:after="0" w:line="276" w:lineRule="auto"/>
        <w:textAlignment w:val="baseline"/>
      </w:pPr>
      <w:r w:rsidRPr="001F59E2">
        <w:t>Fourniture et pose des panneaux d’indication et des panneaux d’identification.</w:t>
      </w:r>
    </w:p>
    <w:p w14:paraId="131188F2" w14:textId="23C5EC62" w:rsidR="00737D08" w:rsidRPr="001A50EA" w:rsidRDefault="00737D08" w:rsidP="00737D08">
      <w:pPr>
        <w:spacing w:after="0"/>
        <w:rPr>
          <w:szCs w:val="24"/>
        </w:rPr>
      </w:pPr>
    </w:p>
    <w:p w14:paraId="152F1428" w14:textId="77777777" w:rsidR="0058524C" w:rsidRPr="001F59E2" w:rsidRDefault="0058524C" w:rsidP="0058524C">
      <w:pPr>
        <w:spacing w:after="0"/>
        <w:rPr>
          <w:b/>
          <w:szCs w:val="24"/>
        </w:rPr>
      </w:pPr>
      <w:r w:rsidRPr="001F59E2">
        <w:rPr>
          <w:b/>
          <w:szCs w:val="24"/>
        </w:rPr>
        <w:t xml:space="preserve">5.2 CHAPITRE II : DISPOSIONS ET OBLIGATIONS    </w:t>
      </w:r>
    </w:p>
    <w:p w14:paraId="4A24F0D6" w14:textId="77777777" w:rsidR="0058524C" w:rsidRPr="001F59E2" w:rsidRDefault="0058524C" w:rsidP="0058524C">
      <w:pPr>
        <w:spacing w:after="0"/>
        <w:rPr>
          <w:szCs w:val="24"/>
        </w:rPr>
      </w:pPr>
      <w:r w:rsidRPr="001F59E2">
        <w:rPr>
          <w:szCs w:val="24"/>
        </w:rPr>
        <w:t xml:space="preserve">D’une manière générale les attributaires des marchés auront à remplir les obligations suivantes : </w:t>
      </w:r>
    </w:p>
    <w:p w14:paraId="06382553" w14:textId="77777777" w:rsidR="0058524C" w:rsidRPr="001F59E2" w:rsidRDefault="0058524C" w:rsidP="002A45C1">
      <w:pPr>
        <w:pStyle w:val="Paragraphedeliste"/>
        <w:numPr>
          <w:ilvl w:val="0"/>
          <w:numId w:val="105"/>
        </w:numPr>
        <w:spacing w:after="0"/>
        <w:rPr>
          <w:szCs w:val="24"/>
        </w:rPr>
      </w:pPr>
      <w:r w:rsidRPr="001F59E2">
        <w:rPr>
          <w:szCs w:val="24"/>
        </w:rPr>
        <w:t>Les études d’exécutions relatives aux travaux décrits ci-dessus, se rapportant à chaque aménagement ;</w:t>
      </w:r>
    </w:p>
    <w:p w14:paraId="32FCA3FD" w14:textId="77777777" w:rsidR="0058524C" w:rsidRPr="001F59E2" w:rsidRDefault="0058524C" w:rsidP="002A45C1">
      <w:pPr>
        <w:pStyle w:val="Paragraphedeliste"/>
        <w:numPr>
          <w:ilvl w:val="0"/>
          <w:numId w:val="105"/>
        </w:numPr>
        <w:spacing w:after="0"/>
        <w:rPr>
          <w:szCs w:val="24"/>
        </w:rPr>
      </w:pPr>
      <w:r w:rsidRPr="001F59E2">
        <w:rPr>
          <w:szCs w:val="24"/>
        </w:rPr>
        <w:t xml:space="preserve">Le planning général de déroulement prévisionnel du contrat ; </w:t>
      </w:r>
    </w:p>
    <w:p w14:paraId="212BFBA7" w14:textId="77777777" w:rsidR="0058524C" w:rsidRPr="001F59E2" w:rsidRDefault="0058524C" w:rsidP="002A45C1">
      <w:pPr>
        <w:pStyle w:val="Paragraphedeliste"/>
        <w:numPr>
          <w:ilvl w:val="0"/>
          <w:numId w:val="105"/>
        </w:numPr>
        <w:spacing w:after="0"/>
        <w:rPr>
          <w:szCs w:val="24"/>
        </w:rPr>
      </w:pPr>
      <w:r w:rsidRPr="001F59E2">
        <w:rPr>
          <w:szCs w:val="24"/>
        </w:rPr>
        <w:t xml:space="preserve">Les fournitures de matériels et accessoires ;   </w:t>
      </w:r>
    </w:p>
    <w:p w14:paraId="2F61E7DF" w14:textId="77777777" w:rsidR="0058524C" w:rsidRPr="001F59E2" w:rsidRDefault="0058524C" w:rsidP="002A45C1">
      <w:pPr>
        <w:pStyle w:val="Paragraphedeliste"/>
        <w:numPr>
          <w:ilvl w:val="0"/>
          <w:numId w:val="105"/>
        </w:numPr>
        <w:spacing w:after="0"/>
        <w:rPr>
          <w:szCs w:val="24"/>
        </w:rPr>
      </w:pPr>
      <w:r w:rsidRPr="001F59E2">
        <w:rPr>
          <w:szCs w:val="24"/>
        </w:rPr>
        <w:t xml:space="preserve">Les démontages des équipements à remplacer ou à réviser ;  </w:t>
      </w:r>
    </w:p>
    <w:p w14:paraId="5A09244F" w14:textId="77777777" w:rsidR="0058524C" w:rsidRPr="001F59E2" w:rsidRDefault="0058524C" w:rsidP="002A45C1">
      <w:pPr>
        <w:pStyle w:val="Paragraphedeliste"/>
        <w:numPr>
          <w:ilvl w:val="0"/>
          <w:numId w:val="105"/>
        </w:numPr>
        <w:spacing w:after="0"/>
        <w:rPr>
          <w:szCs w:val="24"/>
        </w:rPr>
      </w:pPr>
      <w:r w:rsidRPr="001F59E2">
        <w:rPr>
          <w:szCs w:val="24"/>
        </w:rPr>
        <w:t xml:space="preserve">Les essais, mesures et réglages y compris mise en service ;  </w:t>
      </w:r>
    </w:p>
    <w:p w14:paraId="2BC2E3C9" w14:textId="77777777" w:rsidR="0058524C" w:rsidRPr="001F59E2" w:rsidRDefault="0058524C" w:rsidP="002A45C1">
      <w:pPr>
        <w:pStyle w:val="Paragraphedeliste"/>
        <w:numPr>
          <w:ilvl w:val="0"/>
          <w:numId w:val="105"/>
        </w:numPr>
        <w:spacing w:after="0"/>
        <w:rPr>
          <w:szCs w:val="24"/>
        </w:rPr>
      </w:pPr>
      <w:r w:rsidRPr="001F59E2">
        <w:rPr>
          <w:szCs w:val="24"/>
        </w:rPr>
        <w:t xml:space="preserve">L’établissement des dossiers définitifs. </w:t>
      </w:r>
    </w:p>
    <w:p w14:paraId="6EA95DE0" w14:textId="77777777" w:rsidR="0058524C" w:rsidRPr="001F59E2" w:rsidRDefault="0058524C" w:rsidP="0058524C">
      <w:pPr>
        <w:spacing w:after="0"/>
        <w:rPr>
          <w:szCs w:val="24"/>
        </w:rPr>
      </w:pPr>
      <w:r w:rsidRPr="001F59E2">
        <w:rPr>
          <w:szCs w:val="24"/>
        </w:rPr>
        <w:t xml:space="preserve"> </w:t>
      </w:r>
    </w:p>
    <w:p w14:paraId="72833BA1" w14:textId="77777777" w:rsidR="0058524C" w:rsidRPr="001F59E2" w:rsidRDefault="0058524C" w:rsidP="0058524C">
      <w:pPr>
        <w:spacing w:after="0"/>
        <w:rPr>
          <w:b/>
          <w:szCs w:val="24"/>
        </w:rPr>
      </w:pPr>
      <w:r w:rsidRPr="001F59E2">
        <w:rPr>
          <w:b/>
          <w:szCs w:val="24"/>
        </w:rPr>
        <w:t xml:space="preserve">5.3 CHAPITRE III : CONDITIONS GENERALES  </w:t>
      </w:r>
    </w:p>
    <w:p w14:paraId="2F938700" w14:textId="77777777" w:rsidR="0058524C" w:rsidRPr="001F59E2" w:rsidRDefault="0058524C" w:rsidP="0058524C">
      <w:pPr>
        <w:spacing w:after="0"/>
        <w:rPr>
          <w:b/>
          <w:szCs w:val="24"/>
        </w:rPr>
      </w:pPr>
    </w:p>
    <w:p w14:paraId="49AEDA0D" w14:textId="77777777" w:rsidR="0058524C" w:rsidRPr="001F59E2" w:rsidRDefault="0058524C" w:rsidP="0058524C">
      <w:pPr>
        <w:spacing w:after="0"/>
        <w:rPr>
          <w:b/>
          <w:szCs w:val="24"/>
        </w:rPr>
      </w:pPr>
      <w:r w:rsidRPr="001F59E2">
        <w:rPr>
          <w:b/>
          <w:szCs w:val="24"/>
        </w:rPr>
        <w:t xml:space="preserve">5.3.1 Objet  </w:t>
      </w:r>
    </w:p>
    <w:p w14:paraId="53EFF066" w14:textId="77777777" w:rsidR="0058524C" w:rsidRPr="001F59E2" w:rsidRDefault="0058524C" w:rsidP="0058524C">
      <w:pPr>
        <w:spacing w:after="0"/>
        <w:rPr>
          <w:szCs w:val="24"/>
        </w:rPr>
      </w:pPr>
      <w:r w:rsidRPr="001F59E2">
        <w:rPr>
          <w:szCs w:val="24"/>
        </w:rPr>
        <w:t xml:space="preserve">Le présent cahier a pour objet de préciser les conditions d’exécution des travaux. </w:t>
      </w:r>
    </w:p>
    <w:p w14:paraId="36E6646E" w14:textId="77777777" w:rsidR="0058524C" w:rsidRPr="001F59E2" w:rsidRDefault="0058524C" w:rsidP="0058524C">
      <w:pPr>
        <w:spacing w:after="0"/>
        <w:rPr>
          <w:szCs w:val="24"/>
        </w:rPr>
      </w:pPr>
      <w:r w:rsidRPr="001F59E2">
        <w:rPr>
          <w:szCs w:val="24"/>
        </w:rPr>
        <w:t xml:space="preserve"> </w:t>
      </w:r>
    </w:p>
    <w:p w14:paraId="3FA78E9A" w14:textId="77777777" w:rsidR="0058524C" w:rsidRPr="001F59E2" w:rsidRDefault="0058524C" w:rsidP="0058524C">
      <w:pPr>
        <w:spacing w:after="0"/>
        <w:rPr>
          <w:b/>
          <w:szCs w:val="24"/>
        </w:rPr>
      </w:pPr>
      <w:r w:rsidRPr="001F59E2">
        <w:rPr>
          <w:b/>
          <w:szCs w:val="24"/>
        </w:rPr>
        <w:t xml:space="preserve">5.3.2 Référence aux textes généraux  </w:t>
      </w:r>
    </w:p>
    <w:p w14:paraId="1A167E18" w14:textId="77777777" w:rsidR="0058524C" w:rsidRPr="001F59E2" w:rsidRDefault="0058524C" w:rsidP="0058524C">
      <w:pPr>
        <w:spacing w:after="0"/>
        <w:ind w:left="0" w:firstLine="0"/>
        <w:rPr>
          <w:szCs w:val="24"/>
        </w:rPr>
      </w:pPr>
      <w:r w:rsidRPr="001F59E2">
        <w:rPr>
          <w:szCs w:val="24"/>
        </w:rPr>
        <w:t xml:space="preserve">Pour tout ce qui n’est pas contraire au présent devis, l’entrepreneur reste soumis aux termes réglementaires applicables en la matière. Les calculs seront établis conformément aux règles en vigueur en la matière mais en aucun cas le taux de travail à la compression simple de béton dosé à 350 kg de ciment de la classe 325 ne dépassera 60 kg/cm². </w:t>
      </w:r>
    </w:p>
    <w:p w14:paraId="6BF01185" w14:textId="77777777" w:rsidR="0058524C" w:rsidRPr="001F59E2" w:rsidRDefault="0058524C" w:rsidP="0058524C">
      <w:pPr>
        <w:spacing w:after="0"/>
        <w:rPr>
          <w:szCs w:val="24"/>
        </w:rPr>
      </w:pPr>
    </w:p>
    <w:p w14:paraId="73DCFAFF" w14:textId="77777777" w:rsidR="0058524C" w:rsidRPr="001F59E2" w:rsidRDefault="0058524C" w:rsidP="0058524C">
      <w:pPr>
        <w:spacing w:after="0"/>
        <w:rPr>
          <w:b/>
          <w:szCs w:val="24"/>
        </w:rPr>
      </w:pPr>
      <w:r w:rsidRPr="001F59E2">
        <w:rPr>
          <w:b/>
          <w:szCs w:val="24"/>
        </w:rPr>
        <w:t xml:space="preserve">5.3.3 Conditions générales d’exécution  </w:t>
      </w:r>
    </w:p>
    <w:p w14:paraId="7F960730" w14:textId="77777777" w:rsidR="0058524C" w:rsidRPr="001F59E2" w:rsidRDefault="0058524C" w:rsidP="0058524C">
      <w:pPr>
        <w:spacing w:after="0"/>
        <w:ind w:left="0" w:firstLine="0"/>
        <w:rPr>
          <w:szCs w:val="24"/>
        </w:rPr>
      </w:pPr>
      <w:r w:rsidRPr="001F59E2">
        <w:rPr>
          <w:szCs w:val="24"/>
        </w:rPr>
        <w:t xml:space="preserve">L’entrepreneur est considéré connaître le terrain (sol, topographie, etc.).  </w:t>
      </w:r>
    </w:p>
    <w:p w14:paraId="399EB4B3" w14:textId="77777777" w:rsidR="0058524C" w:rsidRPr="001F59E2" w:rsidRDefault="0058524C" w:rsidP="0058524C">
      <w:pPr>
        <w:spacing w:after="0"/>
        <w:ind w:left="0" w:firstLine="0"/>
        <w:rPr>
          <w:szCs w:val="24"/>
        </w:rPr>
      </w:pPr>
      <w:r w:rsidRPr="001F59E2">
        <w:rPr>
          <w:szCs w:val="24"/>
        </w:rPr>
        <w:t xml:space="preserve">Il a à sa charge le débroussaillage, le décapage et la mise à niveau du terrain et le cas échéant le transport et le régalage des déblais. </w:t>
      </w:r>
    </w:p>
    <w:p w14:paraId="1886FF09" w14:textId="77777777" w:rsidR="0058524C" w:rsidRPr="001F59E2" w:rsidRDefault="0058524C" w:rsidP="0058524C">
      <w:pPr>
        <w:spacing w:after="0"/>
        <w:ind w:left="0" w:firstLine="0"/>
        <w:rPr>
          <w:szCs w:val="24"/>
        </w:rPr>
      </w:pPr>
      <w:r w:rsidRPr="001F59E2">
        <w:rPr>
          <w:szCs w:val="24"/>
        </w:rPr>
        <w:t xml:space="preserve"> Toutes les études, plans d’exécution et notes de calculs nécessaires pour la réalisation des travaux et non fournis par le présent Appel d’Offres sont dus par l’entrepreneur qui doit les soumettre à l’approbation de l’Ingénieur, avant la mise en œuvre.  </w:t>
      </w:r>
    </w:p>
    <w:p w14:paraId="0DF2C51A" w14:textId="77777777" w:rsidR="0058524C" w:rsidRPr="001F59E2" w:rsidRDefault="0058524C" w:rsidP="0058524C">
      <w:pPr>
        <w:spacing w:after="0"/>
        <w:ind w:left="0" w:firstLine="0"/>
        <w:rPr>
          <w:szCs w:val="24"/>
        </w:rPr>
      </w:pPr>
      <w:r w:rsidRPr="001F59E2">
        <w:rPr>
          <w:szCs w:val="24"/>
        </w:rPr>
        <w:t xml:space="preserve">Les coûts correspondants sont inclus dans les prix unitaires du bordereau. Les calculs de ferraillages et charpente et le choix des matériaux tiendront compte des conditions de vent à 150 km/h et des conditions particulières du climat (pluie et hydrométrie variables).   </w:t>
      </w:r>
    </w:p>
    <w:p w14:paraId="35803F34" w14:textId="77777777" w:rsidR="0058524C" w:rsidRPr="001F59E2" w:rsidRDefault="0058524C" w:rsidP="0058524C">
      <w:pPr>
        <w:spacing w:after="0"/>
        <w:rPr>
          <w:szCs w:val="24"/>
        </w:rPr>
      </w:pPr>
    </w:p>
    <w:p w14:paraId="14056FAE" w14:textId="77777777" w:rsidR="0058524C" w:rsidRPr="001F59E2" w:rsidRDefault="0058524C" w:rsidP="0058524C">
      <w:pPr>
        <w:spacing w:after="0"/>
        <w:rPr>
          <w:b/>
          <w:szCs w:val="24"/>
        </w:rPr>
      </w:pPr>
      <w:r w:rsidRPr="001F59E2">
        <w:rPr>
          <w:b/>
          <w:szCs w:val="24"/>
        </w:rPr>
        <w:t xml:space="preserve">5.3.4 Dispositions générales </w:t>
      </w:r>
    </w:p>
    <w:p w14:paraId="2F9A2C1F" w14:textId="77777777" w:rsidR="0058524C" w:rsidRPr="001F59E2" w:rsidRDefault="0058524C" w:rsidP="0058524C">
      <w:pPr>
        <w:spacing w:after="0"/>
        <w:rPr>
          <w:szCs w:val="24"/>
        </w:rPr>
      </w:pPr>
    </w:p>
    <w:p w14:paraId="489B66CC" w14:textId="77777777" w:rsidR="0058524C" w:rsidRPr="001F59E2" w:rsidRDefault="0058524C" w:rsidP="0058524C">
      <w:pPr>
        <w:spacing w:after="0"/>
        <w:ind w:left="0" w:firstLine="0"/>
        <w:rPr>
          <w:szCs w:val="24"/>
        </w:rPr>
      </w:pPr>
      <w:r w:rsidRPr="001F59E2">
        <w:rPr>
          <w:szCs w:val="24"/>
        </w:rPr>
        <w:t xml:space="preserve">Les sites à aménager font l’objet d’exploitation intensive en hivernage. Les travaux d’aménagement ne pourront en aucun cas occasionner le gel des travaux agricoles. Le périmètre ayant une très grande importance dans l’activité socio-économique des villages bénéficiaires (sécurité alimentaire), l’Entrepreneur prendra toutes les dispositions adéquates pour terminer les travaux dans le délai contractuel. Tout retard dans l’exécution des travaux entrainerait des conséquences extrêmement dommageables pour les bénéficiaires et l’économie locale. Les attributaires des contrats de travaux et équipements doivent travailler en étroite collaboration avec les responsables des coopératives.  </w:t>
      </w:r>
    </w:p>
    <w:p w14:paraId="0CC3692B" w14:textId="77777777" w:rsidR="0058524C" w:rsidRPr="001F59E2" w:rsidRDefault="0058524C" w:rsidP="0058524C">
      <w:pPr>
        <w:spacing w:after="0"/>
        <w:ind w:left="142" w:hanging="142"/>
        <w:rPr>
          <w:szCs w:val="24"/>
        </w:rPr>
      </w:pPr>
    </w:p>
    <w:p w14:paraId="3FA64DEB" w14:textId="77777777" w:rsidR="0058524C" w:rsidRPr="001F59E2" w:rsidRDefault="0058524C" w:rsidP="0058524C">
      <w:pPr>
        <w:spacing w:after="0"/>
        <w:rPr>
          <w:b/>
          <w:szCs w:val="24"/>
        </w:rPr>
      </w:pPr>
      <w:r w:rsidRPr="001F59E2">
        <w:rPr>
          <w:b/>
          <w:szCs w:val="24"/>
        </w:rPr>
        <w:t xml:space="preserve">Etude d’exécution </w:t>
      </w:r>
    </w:p>
    <w:p w14:paraId="6A080C28" w14:textId="77777777" w:rsidR="0058524C" w:rsidRPr="001F59E2" w:rsidRDefault="0058524C" w:rsidP="0058524C">
      <w:pPr>
        <w:spacing w:after="0"/>
        <w:rPr>
          <w:szCs w:val="24"/>
        </w:rPr>
      </w:pPr>
    </w:p>
    <w:p w14:paraId="51C747ED" w14:textId="77777777" w:rsidR="0058524C" w:rsidRPr="001F59E2" w:rsidRDefault="0058524C" w:rsidP="0058524C">
      <w:pPr>
        <w:spacing w:after="0"/>
        <w:ind w:left="0" w:firstLine="0"/>
        <w:rPr>
          <w:szCs w:val="24"/>
        </w:rPr>
      </w:pPr>
      <w:r w:rsidRPr="001F59E2">
        <w:rPr>
          <w:szCs w:val="24"/>
        </w:rPr>
        <w:t xml:space="preserve">Sur la base des études APD, les entrepreneurs chargés des travaux réaliseront les études d’exécution y compris les plans définitifs ainsi que les plans de détail nécessaires pour l’exécution des travaux. Ils fourniront à l’appui de ces plans (en particulier pour les ouvrages en béton armé) les notes de calculs correspondantes (génie civil et hydraulique, équipements). </w:t>
      </w:r>
    </w:p>
    <w:p w14:paraId="651F306D" w14:textId="77777777" w:rsidR="0058524C" w:rsidRPr="001F59E2" w:rsidRDefault="0058524C" w:rsidP="0058524C">
      <w:pPr>
        <w:spacing w:after="0"/>
        <w:rPr>
          <w:szCs w:val="24"/>
        </w:rPr>
      </w:pPr>
    </w:p>
    <w:p w14:paraId="7891C3EC" w14:textId="77777777" w:rsidR="0058524C" w:rsidRPr="001F59E2" w:rsidRDefault="0058524C" w:rsidP="0058524C">
      <w:pPr>
        <w:spacing w:after="0"/>
        <w:rPr>
          <w:szCs w:val="24"/>
          <w:u w:val="single"/>
        </w:rPr>
      </w:pPr>
      <w:r w:rsidRPr="001F59E2">
        <w:rPr>
          <w:szCs w:val="24"/>
          <w:u w:val="single"/>
        </w:rPr>
        <w:t>Précautions particulières à prendre par l’entreprise</w:t>
      </w:r>
    </w:p>
    <w:p w14:paraId="0B163E62" w14:textId="77777777" w:rsidR="0058524C" w:rsidRPr="001F59E2" w:rsidRDefault="0058524C" w:rsidP="0058524C">
      <w:pPr>
        <w:spacing w:after="0"/>
        <w:ind w:left="0" w:firstLine="0"/>
        <w:rPr>
          <w:szCs w:val="24"/>
        </w:rPr>
      </w:pPr>
      <w:r w:rsidRPr="001F59E2">
        <w:rPr>
          <w:szCs w:val="24"/>
        </w:rPr>
        <w:t>L’intervention étant prévue avant la saison des pluies, toutes les tâches devront être programmées avec la précision requise pour garantir l’achèvement des travaux dans les délais et l’installation de la campagne de la saison suivante.</w:t>
      </w:r>
    </w:p>
    <w:p w14:paraId="6F63DCA3" w14:textId="77777777" w:rsidR="0058524C" w:rsidRPr="001F59E2" w:rsidRDefault="0058524C" w:rsidP="0058524C">
      <w:pPr>
        <w:spacing w:after="0"/>
        <w:ind w:left="0" w:firstLine="0"/>
        <w:rPr>
          <w:szCs w:val="24"/>
        </w:rPr>
      </w:pPr>
    </w:p>
    <w:p w14:paraId="65144B67" w14:textId="3ABE4EEC" w:rsidR="0058524C" w:rsidRPr="001F59E2" w:rsidRDefault="0058524C" w:rsidP="0058524C">
      <w:pPr>
        <w:spacing w:after="0"/>
        <w:ind w:left="0" w:firstLine="0"/>
        <w:rPr>
          <w:szCs w:val="24"/>
        </w:rPr>
      </w:pPr>
      <w:r w:rsidRPr="001F59E2">
        <w:rPr>
          <w:szCs w:val="24"/>
        </w:rPr>
        <w:t xml:space="preserve">Les travaux seront, en majorité, réalisés à l’intérieur </w:t>
      </w:r>
      <w:r w:rsidR="00F664CA" w:rsidRPr="001F59E2">
        <w:rPr>
          <w:szCs w:val="24"/>
        </w:rPr>
        <w:t>des bas-fonds</w:t>
      </w:r>
      <w:r w:rsidRPr="001F59E2">
        <w:rPr>
          <w:szCs w:val="24"/>
        </w:rPr>
        <w:t>, il est donc indispensable de prendre toutes les précautions nécessaires pour préserver l’environnement et limiter l’impact des travaux sur les exploitations. Les emprises des travaux et de circulation des engins doivent être définies dans des espaces limités pour éviter la dégradation des aménagements à la parcelle.</w:t>
      </w:r>
    </w:p>
    <w:p w14:paraId="569DA7BA" w14:textId="77777777" w:rsidR="0058524C" w:rsidRPr="001F59E2" w:rsidRDefault="0058524C" w:rsidP="0058524C">
      <w:pPr>
        <w:spacing w:after="0"/>
        <w:ind w:left="0" w:firstLine="0"/>
        <w:rPr>
          <w:b/>
          <w:szCs w:val="24"/>
        </w:rPr>
      </w:pPr>
      <w:r w:rsidRPr="001F59E2">
        <w:rPr>
          <w:szCs w:val="24"/>
        </w:rPr>
        <w:t xml:space="preserve"> </w:t>
      </w:r>
    </w:p>
    <w:p w14:paraId="79386754" w14:textId="1B0269BD" w:rsidR="0058524C" w:rsidRPr="001F59E2" w:rsidRDefault="0058524C" w:rsidP="0058524C">
      <w:pPr>
        <w:spacing w:after="0"/>
        <w:rPr>
          <w:b/>
          <w:szCs w:val="24"/>
        </w:rPr>
      </w:pPr>
      <w:r w:rsidRPr="001F59E2">
        <w:rPr>
          <w:b/>
          <w:szCs w:val="24"/>
        </w:rPr>
        <w:t xml:space="preserve">5.4 CHAPITRE </w:t>
      </w:r>
      <w:r w:rsidR="00F664CA" w:rsidRPr="001F59E2">
        <w:rPr>
          <w:b/>
          <w:szCs w:val="24"/>
        </w:rPr>
        <w:t>III :</w:t>
      </w:r>
      <w:r w:rsidRPr="001F59E2">
        <w:rPr>
          <w:b/>
          <w:szCs w:val="24"/>
        </w:rPr>
        <w:t xml:space="preserve"> INSTALLATION DU CHANTIER </w:t>
      </w:r>
    </w:p>
    <w:p w14:paraId="03E0FCC7" w14:textId="77777777" w:rsidR="0058524C" w:rsidRPr="001F59E2" w:rsidRDefault="0058524C" w:rsidP="0058524C">
      <w:pPr>
        <w:spacing w:after="0"/>
        <w:rPr>
          <w:b/>
          <w:szCs w:val="24"/>
        </w:rPr>
      </w:pPr>
    </w:p>
    <w:p w14:paraId="694E0A20" w14:textId="77777777" w:rsidR="0058524C" w:rsidRPr="001F59E2" w:rsidRDefault="0058524C" w:rsidP="0058524C">
      <w:pPr>
        <w:spacing w:after="0"/>
        <w:rPr>
          <w:b/>
          <w:szCs w:val="24"/>
        </w:rPr>
      </w:pPr>
      <w:r w:rsidRPr="001F59E2">
        <w:rPr>
          <w:b/>
          <w:szCs w:val="24"/>
        </w:rPr>
        <w:t xml:space="preserve"> 5.4.1 Laboratoire et bureaux de chantier </w:t>
      </w:r>
    </w:p>
    <w:p w14:paraId="71E7516D" w14:textId="77777777" w:rsidR="0058524C" w:rsidRPr="001F59E2" w:rsidRDefault="0058524C" w:rsidP="0058524C">
      <w:pPr>
        <w:spacing w:after="0"/>
        <w:rPr>
          <w:b/>
          <w:szCs w:val="24"/>
        </w:rPr>
      </w:pPr>
      <w:r w:rsidRPr="001F59E2">
        <w:rPr>
          <w:b/>
          <w:szCs w:val="24"/>
        </w:rPr>
        <w:t xml:space="preserve">Laboratoire de chantier </w:t>
      </w:r>
    </w:p>
    <w:p w14:paraId="522BC0B4" w14:textId="77777777" w:rsidR="0058524C" w:rsidRPr="001F59E2" w:rsidRDefault="0058524C" w:rsidP="0058524C">
      <w:pPr>
        <w:spacing w:after="0"/>
        <w:rPr>
          <w:szCs w:val="24"/>
        </w:rPr>
      </w:pPr>
      <w:r w:rsidRPr="001F59E2">
        <w:rPr>
          <w:szCs w:val="24"/>
        </w:rPr>
        <w:t xml:space="preserve"> </w:t>
      </w:r>
    </w:p>
    <w:p w14:paraId="738C87D6" w14:textId="4CF8345C" w:rsidR="0058524C" w:rsidRPr="0058524C" w:rsidRDefault="0058524C" w:rsidP="0058524C">
      <w:pPr>
        <w:pStyle w:val="TM12"/>
        <w:jc w:val="both"/>
        <w:rPr>
          <w:iCs/>
          <w:szCs w:val="24"/>
          <w:lang w:val="fr-FR"/>
        </w:rPr>
      </w:pPr>
      <w:r w:rsidRPr="0058524C">
        <w:rPr>
          <w:rFonts w:ascii="Times New Roman" w:hAnsi="Times New Roman"/>
          <w:b w:val="0"/>
          <w:bCs w:val="0"/>
          <w:i w:val="0"/>
          <w:iCs/>
          <w:sz w:val="24"/>
          <w:szCs w:val="24"/>
          <w:lang w:val="fr-FR"/>
        </w:rPr>
        <w:t xml:space="preserve">L’entrepreneur devra, en tenant compte de la législation nationale Malienne, aménager et équiper dans le mois qui suit la date d’entrée en vigueur du contrat et, en tout cas, avant le commencement d’exécution des travaux de terrassement et de génie civil, un laboratoire de chantier permettant d’effectuer les essais courants </w:t>
      </w:r>
      <w:r w:rsidR="00F664CA" w:rsidRPr="0058524C">
        <w:rPr>
          <w:rFonts w:ascii="Times New Roman" w:hAnsi="Times New Roman"/>
          <w:b w:val="0"/>
          <w:bCs w:val="0"/>
          <w:i w:val="0"/>
          <w:iCs/>
          <w:sz w:val="24"/>
          <w:szCs w:val="24"/>
          <w:lang w:val="fr-FR"/>
        </w:rPr>
        <w:t>suivants :</w:t>
      </w:r>
      <w:r w:rsidRPr="0058524C">
        <w:rPr>
          <w:rFonts w:ascii="Times New Roman" w:hAnsi="Times New Roman"/>
          <w:b w:val="0"/>
          <w:bCs w:val="0"/>
          <w:i w:val="0"/>
          <w:iCs/>
          <w:sz w:val="24"/>
          <w:szCs w:val="24"/>
          <w:lang w:val="fr-FR"/>
        </w:rPr>
        <w:t xml:space="preserve"> </w:t>
      </w:r>
    </w:p>
    <w:p w14:paraId="714423C3" w14:textId="60ED4A80" w:rsidR="0058524C" w:rsidRPr="001F59E2" w:rsidRDefault="00F664CA" w:rsidP="002A45C1">
      <w:pPr>
        <w:pStyle w:val="Paragraphedeliste"/>
        <w:numPr>
          <w:ilvl w:val="0"/>
          <w:numId w:val="79"/>
        </w:numPr>
        <w:spacing w:after="0"/>
        <w:jc w:val="left"/>
        <w:rPr>
          <w:szCs w:val="24"/>
        </w:rPr>
      </w:pPr>
      <w:r w:rsidRPr="001F59E2">
        <w:rPr>
          <w:szCs w:val="24"/>
        </w:rPr>
        <w:t>Limites</w:t>
      </w:r>
      <w:r w:rsidR="0058524C" w:rsidRPr="001F59E2">
        <w:rPr>
          <w:szCs w:val="24"/>
        </w:rPr>
        <w:t xml:space="preserve"> d’</w:t>
      </w:r>
      <w:proofErr w:type="spellStart"/>
      <w:r w:rsidR="0058524C" w:rsidRPr="001F59E2">
        <w:rPr>
          <w:szCs w:val="24"/>
        </w:rPr>
        <w:t>Atterberg</w:t>
      </w:r>
      <w:proofErr w:type="spellEnd"/>
      <w:r w:rsidR="0058524C" w:rsidRPr="001F59E2">
        <w:rPr>
          <w:szCs w:val="24"/>
        </w:rPr>
        <w:t xml:space="preserve"> (liquidité, plasticité, retrait) - analyses granulométriques et </w:t>
      </w:r>
      <w:proofErr w:type="spellStart"/>
      <w:r w:rsidR="0058524C" w:rsidRPr="001F59E2">
        <w:rPr>
          <w:szCs w:val="24"/>
        </w:rPr>
        <w:t>sédimentométriques</w:t>
      </w:r>
      <w:proofErr w:type="spellEnd"/>
    </w:p>
    <w:p w14:paraId="5E1CD5F7" w14:textId="191A69B2" w:rsidR="0058524C" w:rsidRPr="001F59E2" w:rsidRDefault="00F664CA" w:rsidP="002A45C1">
      <w:pPr>
        <w:pStyle w:val="Paragraphedeliste"/>
        <w:numPr>
          <w:ilvl w:val="0"/>
          <w:numId w:val="79"/>
        </w:numPr>
        <w:spacing w:after="0"/>
        <w:jc w:val="left"/>
        <w:rPr>
          <w:szCs w:val="24"/>
        </w:rPr>
      </w:pPr>
      <w:r w:rsidRPr="001F59E2">
        <w:rPr>
          <w:szCs w:val="24"/>
        </w:rPr>
        <w:t>Densité</w:t>
      </w:r>
      <w:r w:rsidR="0058524C" w:rsidRPr="001F59E2">
        <w:rPr>
          <w:szCs w:val="24"/>
        </w:rPr>
        <w:t xml:space="preserve"> sèche et teneur en eau in situ - essais Proctor normal et modifié - perméabilité sur colonnes de matériaux - essais d’écrasement sur éprouvettes de </w:t>
      </w:r>
      <w:r w:rsidRPr="001F59E2">
        <w:rPr>
          <w:szCs w:val="24"/>
        </w:rPr>
        <w:t>béton -</w:t>
      </w:r>
      <w:r w:rsidR="0058524C" w:rsidRPr="001F59E2">
        <w:rPr>
          <w:szCs w:val="24"/>
        </w:rPr>
        <w:t xml:space="preserve"> </w:t>
      </w:r>
      <w:proofErr w:type="spellStart"/>
      <w:r w:rsidR="0058524C" w:rsidRPr="001F59E2">
        <w:rPr>
          <w:szCs w:val="24"/>
        </w:rPr>
        <w:t>Slum</w:t>
      </w:r>
      <w:proofErr w:type="spellEnd"/>
      <w:r w:rsidR="0058524C" w:rsidRPr="001F59E2">
        <w:rPr>
          <w:szCs w:val="24"/>
        </w:rPr>
        <w:t xml:space="preserve"> test au cône d’</w:t>
      </w:r>
      <w:proofErr w:type="spellStart"/>
      <w:r w:rsidR="0058524C" w:rsidRPr="001F59E2">
        <w:rPr>
          <w:szCs w:val="24"/>
        </w:rPr>
        <w:t>Abrams</w:t>
      </w:r>
      <w:proofErr w:type="spellEnd"/>
      <w:r w:rsidR="0058524C" w:rsidRPr="001F59E2">
        <w:rPr>
          <w:szCs w:val="24"/>
        </w:rPr>
        <w:t xml:space="preserve"> </w:t>
      </w:r>
    </w:p>
    <w:p w14:paraId="134954C0" w14:textId="77777777" w:rsidR="0058524C" w:rsidRPr="001F59E2" w:rsidRDefault="0058524C" w:rsidP="0058524C">
      <w:pPr>
        <w:spacing w:after="0"/>
        <w:rPr>
          <w:szCs w:val="24"/>
        </w:rPr>
      </w:pPr>
      <w:r w:rsidRPr="001F59E2">
        <w:rPr>
          <w:szCs w:val="24"/>
        </w:rPr>
        <w:t xml:space="preserve">Le laboratoire de chantier est à la charge de l’Entrepreneur. </w:t>
      </w:r>
    </w:p>
    <w:p w14:paraId="7F45126D" w14:textId="77777777" w:rsidR="0058524C" w:rsidRPr="0058524C" w:rsidRDefault="0058524C" w:rsidP="0058524C">
      <w:pPr>
        <w:pStyle w:val="TM12"/>
        <w:jc w:val="both"/>
        <w:rPr>
          <w:iCs/>
          <w:szCs w:val="24"/>
          <w:lang w:val="fr-FR"/>
        </w:rPr>
      </w:pPr>
      <w:r w:rsidRPr="0058524C">
        <w:rPr>
          <w:rFonts w:ascii="Times New Roman" w:hAnsi="Times New Roman"/>
          <w:b w:val="0"/>
          <w:bCs w:val="0"/>
          <w:i w:val="0"/>
          <w:iCs/>
          <w:sz w:val="24"/>
          <w:szCs w:val="24"/>
          <w:lang w:val="fr-FR"/>
        </w:rPr>
        <w:t xml:space="preserve">L’Entrepreneur prendra en charge, pendant toute la durée du chantier, un laborantin qualifié capable d’exécuter les essais courants de terrassement et de béton et deux manœuvres. Cette équipe travaillera selon les instructions de l’Ingénieur Conseil. L’Entrepreneur assurera également la fabrication et/ou le prélèvement et le transport des échantillons au laboratoire ainsi que le transport du personnel. </w:t>
      </w:r>
    </w:p>
    <w:p w14:paraId="17E0E725" w14:textId="06B1D737" w:rsidR="0058524C" w:rsidRPr="0058524C" w:rsidRDefault="0058524C" w:rsidP="0058524C">
      <w:pPr>
        <w:pStyle w:val="TM12"/>
        <w:jc w:val="both"/>
        <w:rPr>
          <w:iCs/>
          <w:szCs w:val="24"/>
          <w:lang w:val="fr-FR"/>
        </w:rPr>
      </w:pPr>
      <w:r w:rsidRPr="0058524C">
        <w:rPr>
          <w:rFonts w:ascii="Times New Roman" w:hAnsi="Times New Roman"/>
          <w:b w:val="0"/>
          <w:bCs w:val="0"/>
          <w:i w:val="0"/>
          <w:iCs/>
          <w:sz w:val="24"/>
          <w:szCs w:val="24"/>
          <w:lang w:val="fr-FR"/>
        </w:rPr>
        <w:t xml:space="preserve">L’Entrepreneur, pendant toute la durée du chantier, aura à sa </w:t>
      </w:r>
      <w:r w:rsidR="00F664CA" w:rsidRPr="0058524C">
        <w:rPr>
          <w:rFonts w:ascii="Times New Roman" w:hAnsi="Times New Roman"/>
          <w:b w:val="0"/>
          <w:bCs w:val="0"/>
          <w:i w:val="0"/>
          <w:iCs/>
          <w:sz w:val="24"/>
          <w:szCs w:val="24"/>
          <w:lang w:val="fr-FR"/>
        </w:rPr>
        <w:t>charge :</w:t>
      </w:r>
      <w:r w:rsidRPr="0058524C">
        <w:rPr>
          <w:rFonts w:ascii="Times New Roman" w:hAnsi="Times New Roman"/>
          <w:b w:val="0"/>
          <w:bCs w:val="0"/>
          <w:i w:val="0"/>
          <w:iCs/>
          <w:sz w:val="24"/>
          <w:szCs w:val="24"/>
          <w:lang w:val="fr-FR"/>
        </w:rPr>
        <w:t xml:space="preserve"> </w:t>
      </w:r>
    </w:p>
    <w:p w14:paraId="2A10408C" w14:textId="6053185F" w:rsidR="0058524C" w:rsidRPr="001F59E2" w:rsidRDefault="00F664CA" w:rsidP="002A45C1">
      <w:pPr>
        <w:pStyle w:val="Paragraphedeliste"/>
        <w:numPr>
          <w:ilvl w:val="0"/>
          <w:numId w:val="80"/>
        </w:numPr>
        <w:spacing w:after="0"/>
        <w:jc w:val="left"/>
        <w:rPr>
          <w:szCs w:val="24"/>
        </w:rPr>
      </w:pPr>
      <w:r w:rsidRPr="001F59E2">
        <w:rPr>
          <w:szCs w:val="24"/>
        </w:rPr>
        <w:t>L’équipement</w:t>
      </w:r>
      <w:r w:rsidR="0058524C" w:rsidRPr="001F59E2">
        <w:rPr>
          <w:szCs w:val="24"/>
        </w:rPr>
        <w:t xml:space="preserve"> du laboratoire </w:t>
      </w:r>
    </w:p>
    <w:p w14:paraId="4C8906FC" w14:textId="03F0D546" w:rsidR="0058524C" w:rsidRPr="001F59E2" w:rsidRDefault="00F664CA" w:rsidP="002A45C1">
      <w:pPr>
        <w:pStyle w:val="Paragraphedeliste"/>
        <w:numPr>
          <w:ilvl w:val="0"/>
          <w:numId w:val="80"/>
        </w:numPr>
        <w:spacing w:after="0"/>
        <w:jc w:val="left"/>
        <w:rPr>
          <w:szCs w:val="24"/>
        </w:rPr>
      </w:pPr>
      <w:r w:rsidRPr="001F59E2">
        <w:rPr>
          <w:szCs w:val="24"/>
        </w:rPr>
        <w:t>L’entretien</w:t>
      </w:r>
      <w:r w:rsidR="0058524C" w:rsidRPr="001F59E2">
        <w:rPr>
          <w:szCs w:val="24"/>
        </w:rPr>
        <w:t xml:space="preserve">, les réparations et le remplacement éventuel de tout l’équipement et ameublement ; </w:t>
      </w:r>
    </w:p>
    <w:p w14:paraId="3FDDE05E" w14:textId="3572F32D" w:rsidR="0058524C" w:rsidRPr="001F59E2" w:rsidRDefault="00F664CA" w:rsidP="002A45C1">
      <w:pPr>
        <w:pStyle w:val="Paragraphedeliste"/>
        <w:numPr>
          <w:ilvl w:val="0"/>
          <w:numId w:val="80"/>
        </w:numPr>
        <w:spacing w:after="0"/>
        <w:jc w:val="left"/>
        <w:rPr>
          <w:szCs w:val="24"/>
        </w:rPr>
      </w:pPr>
      <w:r w:rsidRPr="001F59E2">
        <w:rPr>
          <w:szCs w:val="24"/>
        </w:rPr>
        <w:t>La</w:t>
      </w:r>
      <w:r w:rsidR="0058524C" w:rsidRPr="001F59E2">
        <w:rPr>
          <w:szCs w:val="24"/>
        </w:rPr>
        <w:t xml:space="preserve"> fourniture de l’eau, de l’énergie et d’une manière générale de toutes les matières consommables nécessaires à la bonne marche du laboratoire et à la réalisation des essais. </w:t>
      </w:r>
    </w:p>
    <w:p w14:paraId="3DF5426D" w14:textId="77777777" w:rsidR="0058524C" w:rsidRPr="0058524C" w:rsidRDefault="0058524C" w:rsidP="0058524C">
      <w:pPr>
        <w:pStyle w:val="TM12"/>
        <w:jc w:val="both"/>
        <w:rPr>
          <w:iCs/>
          <w:szCs w:val="24"/>
          <w:lang w:val="fr-FR"/>
        </w:rPr>
      </w:pPr>
      <w:r w:rsidRPr="0058524C">
        <w:rPr>
          <w:rFonts w:ascii="Times New Roman" w:hAnsi="Times New Roman"/>
          <w:b w:val="0"/>
          <w:bCs w:val="0"/>
          <w:i w:val="0"/>
          <w:iCs/>
          <w:sz w:val="24"/>
          <w:szCs w:val="24"/>
          <w:lang w:val="fr-FR"/>
        </w:rPr>
        <w:t xml:space="preserve">Le laboratoire pourra être utilisé tant par l’Ingénieur Conseil que par l’Entrepreneur pour tous les essais concernant les travaux prévus au contrat. </w:t>
      </w:r>
    </w:p>
    <w:p w14:paraId="050225FE" w14:textId="77777777" w:rsidR="0058524C" w:rsidRPr="0058524C" w:rsidRDefault="0058524C" w:rsidP="0058524C">
      <w:pPr>
        <w:pStyle w:val="TM12"/>
        <w:jc w:val="both"/>
        <w:rPr>
          <w:iCs/>
          <w:szCs w:val="24"/>
          <w:lang w:val="fr-FR"/>
        </w:rPr>
      </w:pPr>
      <w:r w:rsidRPr="0058524C">
        <w:rPr>
          <w:rFonts w:ascii="Times New Roman" w:hAnsi="Times New Roman"/>
          <w:b w:val="0"/>
          <w:bCs w:val="0"/>
          <w:i w:val="0"/>
          <w:iCs/>
          <w:sz w:val="24"/>
          <w:szCs w:val="24"/>
          <w:lang w:val="fr-FR"/>
        </w:rPr>
        <w:t xml:space="preserve"> </w:t>
      </w:r>
    </w:p>
    <w:p w14:paraId="3E78454F" w14:textId="77777777" w:rsidR="0058524C" w:rsidRPr="0058524C" w:rsidRDefault="0058524C" w:rsidP="0058524C">
      <w:pPr>
        <w:pStyle w:val="TM12"/>
        <w:jc w:val="both"/>
        <w:rPr>
          <w:iCs/>
          <w:szCs w:val="24"/>
          <w:lang w:val="fr-FR"/>
        </w:rPr>
      </w:pPr>
      <w:r w:rsidRPr="001F59E2">
        <w:rPr>
          <w:rFonts w:ascii="Times New Roman" w:hAnsi="Times New Roman"/>
          <w:b w:val="0"/>
          <w:bCs w:val="0"/>
          <w:i w:val="0"/>
          <w:iCs/>
          <w:sz w:val="24"/>
          <w:szCs w:val="24"/>
          <w:lang w:val="fr-FR"/>
        </w:rPr>
        <w:t xml:space="preserve">Les plans du laboratoire et la liste de l’équipement et de l’ameublement seront soumis à l’approbation de l’Ingénieur Conseil avant l’exécution. </w:t>
      </w:r>
    </w:p>
    <w:p w14:paraId="2707BED8" w14:textId="77777777" w:rsidR="0058524C" w:rsidRPr="0058524C" w:rsidRDefault="0058524C" w:rsidP="0058524C">
      <w:pPr>
        <w:pStyle w:val="TM12"/>
        <w:jc w:val="both"/>
        <w:rPr>
          <w:iCs/>
          <w:szCs w:val="24"/>
          <w:lang w:val="fr-FR"/>
        </w:rPr>
      </w:pPr>
      <w:r w:rsidRPr="0058524C">
        <w:rPr>
          <w:rFonts w:ascii="Times New Roman" w:hAnsi="Times New Roman"/>
          <w:b w:val="0"/>
          <w:bCs w:val="0"/>
          <w:i w:val="0"/>
          <w:iCs/>
          <w:sz w:val="24"/>
          <w:szCs w:val="24"/>
          <w:lang w:val="fr-FR"/>
        </w:rPr>
        <w:t xml:space="preserve">Le local qui abritera le laboratoire sera à la charge de l'Entrepreneur, qui veillera à son alimentation en eau et en électricité et à son entretien, gardiennage, entretien et remplacement éventuel de tout l'équipement et l'ameublement.  </w:t>
      </w:r>
    </w:p>
    <w:p w14:paraId="6F312175" w14:textId="77777777" w:rsidR="0058524C" w:rsidRPr="0058524C" w:rsidRDefault="0058524C" w:rsidP="0058524C">
      <w:pPr>
        <w:pStyle w:val="TM12"/>
        <w:jc w:val="both"/>
        <w:rPr>
          <w:iCs/>
          <w:szCs w:val="24"/>
          <w:lang w:val="fr-FR"/>
        </w:rPr>
      </w:pPr>
      <w:r w:rsidRPr="0058524C">
        <w:rPr>
          <w:rFonts w:ascii="Times New Roman" w:hAnsi="Times New Roman"/>
          <w:b w:val="0"/>
          <w:bCs w:val="0"/>
          <w:i w:val="0"/>
          <w:iCs/>
          <w:sz w:val="24"/>
          <w:szCs w:val="24"/>
          <w:lang w:val="fr-FR"/>
        </w:rPr>
        <w:t xml:space="preserve">En fin de chantier, l’Entrepreneur aura la propriété de l’équipement et de l’ameublement qu’il devra enlever du site, le bâtiment ayant servi de laboratoire restant la propriété du Maître de l’ouvrage. </w:t>
      </w:r>
    </w:p>
    <w:p w14:paraId="4ADD8029" w14:textId="77777777" w:rsidR="0058524C" w:rsidRPr="0058524C" w:rsidRDefault="0058524C" w:rsidP="0058524C">
      <w:pPr>
        <w:pStyle w:val="TM12"/>
        <w:jc w:val="both"/>
        <w:rPr>
          <w:iCs/>
          <w:szCs w:val="24"/>
          <w:lang w:val="fr-FR"/>
        </w:rPr>
      </w:pPr>
      <w:r w:rsidRPr="0058524C">
        <w:rPr>
          <w:rFonts w:ascii="Times New Roman" w:hAnsi="Times New Roman"/>
          <w:b w:val="0"/>
          <w:bCs w:val="0"/>
          <w:i w:val="0"/>
          <w:iCs/>
          <w:sz w:val="24"/>
          <w:szCs w:val="24"/>
          <w:lang w:val="fr-FR"/>
        </w:rPr>
        <w:t xml:space="preserve">Avant de commencer toute mise en œuvre de matériaux, l’entrepreneur doit remettre un dossier géotechnique complet, indiquant les emprunts, les gisements des matériaux ainsi que toutes les caractéristiques demandées dans le présent CCTP. </w:t>
      </w:r>
    </w:p>
    <w:p w14:paraId="2E8A8C12" w14:textId="77777777" w:rsidR="0058524C" w:rsidRPr="001F59E2" w:rsidRDefault="0058524C" w:rsidP="0058524C">
      <w:pPr>
        <w:spacing w:after="0"/>
        <w:rPr>
          <w:szCs w:val="24"/>
        </w:rPr>
      </w:pPr>
      <w:r w:rsidRPr="001F59E2">
        <w:rPr>
          <w:szCs w:val="24"/>
        </w:rPr>
        <w:t xml:space="preserve"> </w:t>
      </w:r>
    </w:p>
    <w:p w14:paraId="142C6CF4" w14:textId="77777777" w:rsidR="0058524C" w:rsidRPr="001F59E2" w:rsidRDefault="0058524C" w:rsidP="0058524C">
      <w:pPr>
        <w:spacing w:after="0"/>
        <w:rPr>
          <w:b/>
          <w:szCs w:val="24"/>
        </w:rPr>
      </w:pPr>
      <w:r w:rsidRPr="001F59E2">
        <w:rPr>
          <w:b/>
          <w:szCs w:val="24"/>
        </w:rPr>
        <w:t xml:space="preserve">Modification du projet  </w:t>
      </w:r>
    </w:p>
    <w:p w14:paraId="075C7B06" w14:textId="77777777" w:rsidR="0058524C" w:rsidRPr="0058524C" w:rsidRDefault="0058524C" w:rsidP="0058524C">
      <w:pPr>
        <w:pStyle w:val="TM11"/>
        <w:jc w:val="both"/>
        <w:rPr>
          <w:iCs/>
          <w:szCs w:val="24"/>
          <w:lang w:val="fr-FR"/>
        </w:rPr>
      </w:pPr>
      <w:r w:rsidRPr="0058524C">
        <w:rPr>
          <w:rFonts w:ascii="Times New Roman" w:hAnsi="Times New Roman"/>
          <w:b w:val="0"/>
          <w:bCs w:val="0"/>
          <w:i w:val="0"/>
          <w:iCs/>
          <w:sz w:val="24"/>
          <w:szCs w:val="24"/>
          <w:lang w:val="fr-FR"/>
        </w:rPr>
        <w:t xml:space="preserve">Si le Maître d’œuvre constate au cours des travaux d’implantation, qu’il convient d’apporter des modifications ponctuelles au projet, soit à cause d’un changement de configuration, soit à cause de circonstances imprévues, il peut, par ordre de service du Maître d’Œuvre et en accord avec le Maitre de l’Ouvrage, prescrire les modifications aux dispositions prévues, et de demander à l’Entrepreneur d’appliquer de nouvelles dispositions. </w:t>
      </w:r>
    </w:p>
    <w:p w14:paraId="01E8595E" w14:textId="77777777" w:rsidR="0058524C" w:rsidRPr="001F59E2" w:rsidRDefault="0058524C" w:rsidP="0058524C">
      <w:pPr>
        <w:spacing w:after="0"/>
        <w:rPr>
          <w:szCs w:val="24"/>
        </w:rPr>
      </w:pPr>
    </w:p>
    <w:p w14:paraId="49B929DD" w14:textId="77777777" w:rsidR="0058524C" w:rsidRPr="001F59E2" w:rsidRDefault="0058524C" w:rsidP="0058524C">
      <w:pPr>
        <w:spacing w:after="0"/>
        <w:rPr>
          <w:b/>
          <w:szCs w:val="24"/>
        </w:rPr>
      </w:pPr>
      <w:r w:rsidRPr="001F59E2">
        <w:rPr>
          <w:b/>
          <w:szCs w:val="24"/>
        </w:rPr>
        <w:t xml:space="preserve">Bureaux de chantier </w:t>
      </w:r>
    </w:p>
    <w:p w14:paraId="5C2E9C06" w14:textId="77777777" w:rsidR="00B10B8C" w:rsidRPr="00E6699C" w:rsidRDefault="00B10B8C" w:rsidP="00B10B8C">
      <w:pPr>
        <w:pStyle w:val="TM12"/>
        <w:rPr>
          <w:rFonts w:ascii="Times New Roman" w:hAnsi="Times New Roman"/>
          <w:b w:val="0"/>
          <w:bCs w:val="0"/>
          <w:i w:val="0"/>
          <w:iCs/>
          <w:sz w:val="24"/>
          <w:szCs w:val="24"/>
          <w:lang w:val="fr-FR"/>
        </w:rPr>
      </w:pPr>
      <w:r w:rsidRPr="00B10B8C">
        <w:rPr>
          <w:rFonts w:ascii="Times New Roman" w:hAnsi="Times New Roman"/>
          <w:b w:val="0"/>
          <w:bCs w:val="0"/>
          <w:i w:val="0"/>
          <w:iCs/>
          <w:sz w:val="24"/>
          <w:szCs w:val="24"/>
          <w:lang w:val="fr-FR"/>
        </w:rPr>
        <w:t xml:space="preserve">L’Entrepreneur aura à sa charge, en outre, l’aménagement et l’équipement dans le mois qui suit </w:t>
      </w:r>
      <w:r w:rsidRPr="00E6699C">
        <w:rPr>
          <w:rFonts w:ascii="Times New Roman" w:hAnsi="Times New Roman"/>
          <w:b w:val="0"/>
          <w:bCs w:val="0"/>
          <w:i w:val="0"/>
          <w:iCs/>
          <w:sz w:val="24"/>
          <w:szCs w:val="24"/>
          <w:lang w:val="fr-FR"/>
        </w:rPr>
        <w:t>le début du délai contractuel d’un local destiné aux réunions de chantier.</w:t>
      </w:r>
    </w:p>
    <w:p w14:paraId="032474F0" w14:textId="77777777" w:rsidR="00B10B8C" w:rsidRPr="00E6699C" w:rsidRDefault="00B10B8C" w:rsidP="00B10B8C">
      <w:pPr>
        <w:pStyle w:val="TM12"/>
        <w:rPr>
          <w:rFonts w:ascii="Times New Roman" w:hAnsi="Times New Roman"/>
          <w:b w:val="0"/>
          <w:bCs w:val="0"/>
          <w:i w:val="0"/>
          <w:iCs/>
          <w:sz w:val="24"/>
          <w:szCs w:val="24"/>
          <w:lang w:val="fr-FR"/>
        </w:rPr>
      </w:pPr>
      <w:r w:rsidRPr="00E6699C">
        <w:rPr>
          <w:rFonts w:ascii="Times New Roman" w:hAnsi="Times New Roman"/>
          <w:b w:val="0"/>
          <w:bCs w:val="0"/>
          <w:i w:val="0"/>
          <w:iCs/>
          <w:sz w:val="24"/>
          <w:szCs w:val="24"/>
          <w:lang w:val="fr-FR"/>
        </w:rPr>
        <w:t xml:space="preserve"> La liste, de l'équipement et de l'ameublement qui doivent être neufs, sera soumise à l'approbation de l'Ingénieur avant exécution.  </w:t>
      </w:r>
    </w:p>
    <w:p w14:paraId="28A6DE1A" w14:textId="77777777" w:rsidR="00B10B8C" w:rsidRPr="00E6699C" w:rsidRDefault="00B10B8C" w:rsidP="00B10B8C">
      <w:pPr>
        <w:pStyle w:val="TM12"/>
        <w:rPr>
          <w:rFonts w:ascii="Times New Roman" w:hAnsi="Times New Roman"/>
          <w:b w:val="0"/>
          <w:bCs w:val="0"/>
          <w:i w:val="0"/>
          <w:iCs/>
          <w:sz w:val="24"/>
          <w:szCs w:val="24"/>
          <w:lang w:val="fr-FR"/>
        </w:rPr>
      </w:pPr>
      <w:r w:rsidRPr="00E6699C">
        <w:rPr>
          <w:rFonts w:ascii="Times New Roman" w:hAnsi="Times New Roman"/>
          <w:b w:val="0"/>
          <w:bCs w:val="0"/>
          <w:i w:val="0"/>
          <w:iCs/>
          <w:sz w:val="24"/>
          <w:szCs w:val="24"/>
          <w:lang w:val="fr-FR"/>
        </w:rPr>
        <w:t xml:space="preserve"> La liste des équipements : </w:t>
      </w:r>
    </w:p>
    <w:p w14:paraId="24A346CB" w14:textId="65ACA8F1" w:rsidR="00B10B8C" w:rsidRPr="00E6699C" w:rsidRDefault="00B10B8C" w:rsidP="00B10B8C">
      <w:pPr>
        <w:pStyle w:val="TM12"/>
        <w:rPr>
          <w:rFonts w:ascii="Times New Roman" w:hAnsi="Times New Roman"/>
          <w:b w:val="0"/>
          <w:bCs w:val="0"/>
          <w:i w:val="0"/>
          <w:iCs/>
          <w:sz w:val="24"/>
          <w:szCs w:val="24"/>
          <w:lang w:val="fr-FR"/>
        </w:rPr>
      </w:pPr>
      <w:r w:rsidRPr="00E6699C">
        <w:rPr>
          <w:rFonts w:ascii="Times New Roman" w:hAnsi="Times New Roman"/>
          <w:b w:val="0"/>
          <w:bCs w:val="0"/>
          <w:i w:val="0"/>
          <w:iCs/>
          <w:sz w:val="24"/>
          <w:szCs w:val="24"/>
          <w:lang w:val="fr-FR"/>
        </w:rPr>
        <w:t xml:space="preserve"> 2 tables de 2.00 m x 1.20 m ; 4 chaises, 3 bancs et 1 table de réunion.</w:t>
      </w:r>
    </w:p>
    <w:p w14:paraId="303A4D36" w14:textId="3E967BAA" w:rsidR="0058524C" w:rsidRPr="00E6699C" w:rsidRDefault="00B10B8C" w:rsidP="00B10B8C">
      <w:pPr>
        <w:pStyle w:val="TM12"/>
        <w:jc w:val="both"/>
        <w:rPr>
          <w:rFonts w:ascii="Times New Roman" w:hAnsi="Times New Roman"/>
          <w:b w:val="0"/>
          <w:bCs w:val="0"/>
          <w:i w:val="0"/>
          <w:iCs/>
          <w:sz w:val="24"/>
          <w:szCs w:val="24"/>
          <w:lang w:val="fr-FR"/>
        </w:rPr>
      </w:pPr>
      <w:r w:rsidRPr="00E6699C">
        <w:rPr>
          <w:rFonts w:ascii="Times New Roman" w:hAnsi="Times New Roman"/>
          <w:b w:val="0"/>
          <w:bCs w:val="0"/>
          <w:i w:val="0"/>
          <w:iCs/>
          <w:sz w:val="24"/>
          <w:szCs w:val="24"/>
          <w:lang w:val="fr-FR"/>
        </w:rPr>
        <w:t>Tous les frais concernant le fonctionnement et de l'entretien de ces installations seront compris dans les frais généraux de l'Entreprise notamment le consommable informatique (papier, manifold triplicata etc.).</w:t>
      </w:r>
    </w:p>
    <w:p w14:paraId="2E12F7CF" w14:textId="77777777" w:rsidR="00B10B8C" w:rsidRPr="00E6699C" w:rsidRDefault="00B10B8C" w:rsidP="00B10B8C">
      <w:pPr>
        <w:pStyle w:val="TM12"/>
        <w:jc w:val="both"/>
        <w:rPr>
          <w:iCs/>
          <w:szCs w:val="24"/>
          <w:lang w:val="fr-FR"/>
        </w:rPr>
      </w:pPr>
    </w:p>
    <w:p w14:paraId="47B0EF7A" w14:textId="77777777" w:rsidR="0058524C" w:rsidRPr="001F59E2" w:rsidRDefault="0058524C" w:rsidP="0058524C">
      <w:pPr>
        <w:spacing w:after="0"/>
        <w:rPr>
          <w:b/>
          <w:szCs w:val="24"/>
        </w:rPr>
      </w:pPr>
      <w:r w:rsidRPr="001F59E2">
        <w:rPr>
          <w:b/>
          <w:szCs w:val="24"/>
        </w:rPr>
        <w:t xml:space="preserve">5.4.2 Voies de communications et d’accès au chantier </w:t>
      </w:r>
    </w:p>
    <w:p w14:paraId="69DFF382" w14:textId="77777777" w:rsidR="0058524C" w:rsidRPr="0058524C" w:rsidRDefault="0058524C" w:rsidP="0058524C">
      <w:pPr>
        <w:pStyle w:val="TM12"/>
        <w:jc w:val="both"/>
        <w:rPr>
          <w:iCs/>
          <w:szCs w:val="24"/>
          <w:lang w:val="fr-FR"/>
        </w:rPr>
      </w:pPr>
      <w:r w:rsidRPr="0058524C">
        <w:rPr>
          <w:rFonts w:ascii="Times New Roman" w:hAnsi="Times New Roman"/>
          <w:b w:val="0"/>
          <w:bCs w:val="0"/>
          <w:i w:val="0"/>
          <w:iCs/>
          <w:sz w:val="24"/>
          <w:szCs w:val="24"/>
          <w:lang w:val="fr-FR"/>
        </w:rPr>
        <w:t xml:space="preserve">L’Entrepreneur devra assurer l’accessibilité permanente des approvisionnements à ses magasins de chantier par voie terrestre. Il créera et aménagera à des emplacements et selon des dispositions approuvées par l’Ingénieur, les voies d’accès aux différents chantiers de travaux en fonction du planning d’exécution, de manière à assurer l’accès de chaque chantier avant son ouverture. </w:t>
      </w:r>
    </w:p>
    <w:p w14:paraId="4F8DBA69" w14:textId="77777777" w:rsidR="0058524C" w:rsidRPr="0058524C" w:rsidRDefault="0058524C" w:rsidP="0058524C">
      <w:pPr>
        <w:pStyle w:val="TM12"/>
        <w:jc w:val="both"/>
        <w:rPr>
          <w:iCs/>
          <w:szCs w:val="24"/>
          <w:lang w:val="fr-FR"/>
        </w:rPr>
      </w:pPr>
      <w:r w:rsidRPr="0058524C">
        <w:rPr>
          <w:rFonts w:ascii="Times New Roman" w:hAnsi="Times New Roman"/>
          <w:b w:val="0"/>
          <w:bCs w:val="0"/>
          <w:i w:val="0"/>
          <w:iCs/>
          <w:sz w:val="24"/>
          <w:szCs w:val="24"/>
          <w:lang w:val="fr-FR"/>
        </w:rPr>
        <w:t xml:space="preserve"> </w:t>
      </w:r>
    </w:p>
    <w:p w14:paraId="0B353579" w14:textId="77777777" w:rsidR="0058524C" w:rsidRPr="0058524C" w:rsidRDefault="0058524C" w:rsidP="0058524C">
      <w:pPr>
        <w:pStyle w:val="TM12"/>
        <w:jc w:val="both"/>
        <w:rPr>
          <w:iCs/>
          <w:szCs w:val="24"/>
          <w:lang w:val="fr-FR"/>
        </w:rPr>
      </w:pPr>
      <w:r w:rsidRPr="0058524C">
        <w:rPr>
          <w:rFonts w:ascii="Times New Roman" w:hAnsi="Times New Roman"/>
          <w:b w:val="0"/>
          <w:bCs w:val="0"/>
          <w:i w:val="0"/>
          <w:iCs/>
          <w:sz w:val="24"/>
          <w:szCs w:val="24"/>
          <w:lang w:val="fr-FR"/>
        </w:rPr>
        <w:t xml:space="preserve">L’Entrepreneur assurera l’entretien et veillera à la praticabilité de ces voies d’accès pendant toute la durée des travaux. </w:t>
      </w:r>
    </w:p>
    <w:p w14:paraId="135128F1" w14:textId="77777777" w:rsidR="0058524C" w:rsidRPr="0058524C" w:rsidRDefault="0058524C" w:rsidP="0058524C">
      <w:pPr>
        <w:pStyle w:val="TM12"/>
        <w:jc w:val="both"/>
        <w:rPr>
          <w:iCs/>
          <w:szCs w:val="24"/>
          <w:lang w:val="fr-FR"/>
        </w:rPr>
      </w:pPr>
      <w:r w:rsidRPr="0058524C">
        <w:rPr>
          <w:rFonts w:ascii="Times New Roman" w:hAnsi="Times New Roman"/>
          <w:b w:val="0"/>
          <w:bCs w:val="0"/>
          <w:i w:val="0"/>
          <w:iCs/>
          <w:sz w:val="24"/>
          <w:szCs w:val="24"/>
          <w:lang w:val="fr-FR"/>
        </w:rPr>
        <w:t xml:space="preserve"> Les dépenses correspondantes sont réputées incluses dans les prix unitaires. </w:t>
      </w:r>
    </w:p>
    <w:p w14:paraId="2B9C720E" w14:textId="77777777" w:rsidR="0058524C" w:rsidRPr="0058524C" w:rsidRDefault="0058524C" w:rsidP="0058524C">
      <w:pPr>
        <w:pStyle w:val="TM12"/>
        <w:jc w:val="both"/>
        <w:rPr>
          <w:iCs/>
          <w:szCs w:val="24"/>
          <w:lang w:val="fr-FR"/>
        </w:rPr>
      </w:pPr>
      <w:r w:rsidRPr="0058524C">
        <w:rPr>
          <w:rFonts w:ascii="Times New Roman" w:hAnsi="Times New Roman"/>
          <w:b w:val="0"/>
          <w:bCs w:val="0"/>
          <w:i w:val="0"/>
          <w:iCs/>
          <w:sz w:val="24"/>
          <w:szCs w:val="24"/>
          <w:lang w:val="fr-FR"/>
        </w:rPr>
        <w:t xml:space="preserve">L'Entrepreneur devra remettre dans leur état constaté contradictoirement avant le début des travaux les voies du domaine public qui auraient été dégradées du fait d'un usage anormal (densité exceptionnelle de trafic ou convois spéciaux) provenant de leur utilisation par ses véhicules ou ceux de ses fournisseurs et/ou sous-traitants. Il garantira le Maître de l'ouvrage contre toute réclamation, à ce sujet, de l’Administration concernée.  Les dépenses correspondantes seront réputées incluses dans les prix unitaires. </w:t>
      </w:r>
    </w:p>
    <w:p w14:paraId="2BD04806" w14:textId="77777777" w:rsidR="0058524C" w:rsidRPr="0058524C" w:rsidRDefault="0058524C" w:rsidP="0058524C">
      <w:pPr>
        <w:pStyle w:val="TM12"/>
        <w:jc w:val="both"/>
        <w:rPr>
          <w:iCs/>
          <w:szCs w:val="24"/>
          <w:lang w:val="fr-FR"/>
        </w:rPr>
      </w:pPr>
    </w:p>
    <w:p w14:paraId="7067C5D9" w14:textId="77777777" w:rsidR="0058524C" w:rsidRPr="001F59E2" w:rsidRDefault="0058524C" w:rsidP="0058524C">
      <w:pPr>
        <w:spacing w:after="0"/>
        <w:rPr>
          <w:b/>
          <w:szCs w:val="24"/>
        </w:rPr>
      </w:pPr>
      <w:r w:rsidRPr="001F59E2">
        <w:rPr>
          <w:b/>
          <w:szCs w:val="24"/>
        </w:rPr>
        <w:t xml:space="preserve"> 5.4.3 Matériel de chantier </w:t>
      </w:r>
    </w:p>
    <w:p w14:paraId="581E1476" w14:textId="77777777" w:rsidR="0058524C" w:rsidRPr="0058524C" w:rsidRDefault="0058524C" w:rsidP="0058524C">
      <w:pPr>
        <w:pStyle w:val="TM12"/>
        <w:jc w:val="both"/>
        <w:rPr>
          <w:iCs/>
          <w:szCs w:val="24"/>
          <w:lang w:val="fr-FR"/>
        </w:rPr>
      </w:pPr>
      <w:r w:rsidRPr="0058524C">
        <w:rPr>
          <w:lang w:val="fr-FR"/>
        </w:rPr>
        <w:t xml:space="preserve"> </w:t>
      </w:r>
      <w:r w:rsidRPr="0058524C">
        <w:rPr>
          <w:rFonts w:ascii="Times New Roman" w:hAnsi="Times New Roman"/>
          <w:b w:val="0"/>
          <w:bCs w:val="0"/>
          <w:i w:val="0"/>
          <w:iCs/>
          <w:sz w:val="24"/>
          <w:szCs w:val="24"/>
          <w:lang w:val="fr-FR"/>
        </w:rPr>
        <w:t xml:space="preserve">Tout le matériel de chantier nécessaire à la bonne exécution des travaux et au bon fonctionnement des installations générales sera fourni par l'Entrepreneur. Ce matériel sera conduit, entretenu et maintenu en état de marche par l'Entrepreneur qui assurera également la fourniture des matières consommables et des pièces de rechange et d'entretien nécessaire à son bon fonctionnement pendant toute la durée du chantier. </w:t>
      </w:r>
    </w:p>
    <w:p w14:paraId="1503CBCF" w14:textId="77777777" w:rsidR="0058524C" w:rsidRPr="0058524C" w:rsidRDefault="0058524C" w:rsidP="0058524C">
      <w:pPr>
        <w:pStyle w:val="TM12"/>
        <w:jc w:val="both"/>
        <w:rPr>
          <w:iCs/>
          <w:szCs w:val="24"/>
          <w:lang w:val="fr-FR"/>
        </w:rPr>
      </w:pPr>
      <w:r w:rsidRPr="0058524C">
        <w:rPr>
          <w:rFonts w:ascii="Times New Roman" w:hAnsi="Times New Roman"/>
          <w:b w:val="0"/>
          <w:bCs w:val="0"/>
          <w:i w:val="0"/>
          <w:iCs/>
          <w:sz w:val="24"/>
          <w:szCs w:val="24"/>
          <w:lang w:val="fr-FR"/>
        </w:rPr>
        <w:t xml:space="preserve">La liste du matériel ne sera pas considérée comme limitative mais comme un minimum garanti,  et l'Entrepreneur ne pourra élever aucune réclamation,  ni prétendre à une prolongation des délais contractuels, si, au cours des travaux, il est amené à modifier ou à compléter son matériel pour remplir ses obligations. </w:t>
      </w:r>
    </w:p>
    <w:p w14:paraId="4DAE8EFA" w14:textId="77777777" w:rsidR="0058524C" w:rsidRPr="0058524C" w:rsidRDefault="0058524C" w:rsidP="0058524C">
      <w:pPr>
        <w:pStyle w:val="TM12"/>
        <w:jc w:val="both"/>
        <w:rPr>
          <w:iCs/>
          <w:szCs w:val="24"/>
          <w:lang w:val="fr-FR"/>
        </w:rPr>
      </w:pPr>
      <w:r w:rsidRPr="0058524C">
        <w:rPr>
          <w:rFonts w:ascii="Times New Roman" w:hAnsi="Times New Roman"/>
          <w:b w:val="0"/>
          <w:bCs w:val="0"/>
          <w:i w:val="0"/>
          <w:iCs/>
          <w:sz w:val="24"/>
          <w:szCs w:val="24"/>
          <w:lang w:val="fr-FR"/>
        </w:rPr>
        <w:t xml:space="preserve">Un état du matériel présent sur le chantier, qu'il s'agisse de matériel fourni par l'Entrepreneur ou mis éventuellement à sa disposition par le Maître de l'ouvrage, sera tenu à jour par l’Entrepreneur et fourni à l'Ingénieur mensuellement. </w:t>
      </w:r>
    </w:p>
    <w:p w14:paraId="3CAFF14D" w14:textId="77777777" w:rsidR="0058524C" w:rsidRPr="0058524C" w:rsidRDefault="0058524C" w:rsidP="0058524C">
      <w:pPr>
        <w:pStyle w:val="TM12"/>
        <w:jc w:val="both"/>
        <w:rPr>
          <w:iCs/>
          <w:szCs w:val="24"/>
          <w:lang w:val="fr-FR"/>
        </w:rPr>
      </w:pPr>
      <w:r w:rsidRPr="0058524C">
        <w:rPr>
          <w:rFonts w:ascii="Times New Roman" w:hAnsi="Times New Roman"/>
          <w:b w:val="0"/>
          <w:bCs w:val="0"/>
          <w:i w:val="0"/>
          <w:iCs/>
          <w:sz w:val="24"/>
          <w:szCs w:val="24"/>
          <w:lang w:val="fr-FR"/>
        </w:rPr>
        <w:t xml:space="preserve">Le matériel, les installations provisoires et les matériaux approvisionnés sur le chantier seront considérés comme destinés exclusivement aux travaux. L'Entrepreneur n'aura pas le droit de les retirer sans consentement écrit de l'Ingénieur. Ce dernier ne pourra, cependant, sans motif valable, refuser son autorisation. </w:t>
      </w:r>
    </w:p>
    <w:p w14:paraId="44C8E0B4" w14:textId="77777777" w:rsidR="0058524C" w:rsidRPr="0058524C" w:rsidRDefault="0058524C" w:rsidP="0058524C">
      <w:pPr>
        <w:pStyle w:val="TM12"/>
        <w:jc w:val="both"/>
        <w:rPr>
          <w:iCs/>
          <w:szCs w:val="24"/>
          <w:lang w:val="fr-FR"/>
        </w:rPr>
      </w:pPr>
    </w:p>
    <w:p w14:paraId="6961290A" w14:textId="77777777" w:rsidR="0058524C" w:rsidRPr="001F59E2" w:rsidRDefault="0058524C" w:rsidP="0058524C">
      <w:pPr>
        <w:spacing w:after="0"/>
        <w:rPr>
          <w:b/>
          <w:szCs w:val="24"/>
        </w:rPr>
      </w:pPr>
      <w:r w:rsidRPr="001F59E2">
        <w:rPr>
          <w:b/>
          <w:szCs w:val="24"/>
        </w:rPr>
        <w:t xml:space="preserve">5.4.4 Implantation et levé des ouvrages </w:t>
      </w:r>
    </w:p>
    <w:p w14:paraId="4F7041B1" w14:textId="77777777" w:rsidR="0058524C" w:rsidRPr="0058524C" w:rsidRDefault="0058524C" w:rsidP="0058524C">
      <w:pPr>
        <w:pStyle w:val="TM12"/>
        <w:jc w:val="both"/>
        <w:rPr>
          <w:iCs/>
          <w:szCs w:val="24"/>
          <w:lang w:val="fr-FR"/>
        </w:rPr>
      </w:pPr>
      <w:r w:rsidRPr="0058524C">
        <w:rPr>
          <w:lang w:val="fr-FR"/>
        </w:rPr>
        <w:t xml:space="preserve"> </w:t>
      </w:r>
      <w:r w:rsidRPr="0058524C">
        <w:rPr>
          <w:rFonts w:ascii="Times New Roman" w:hAnsi="Times New Roman"/>
          <w:b w:val="0"/>
          <w:bCs w:val="0"/>
          <w:i w:val="0"/>
          <w:iCs/>
          <w:sz w:val="24"/>
          <w:szCs w:val="24"/>
          <w:lang w:val="fr-FR"/>
        </w:rPr>
        <w:t xml:space="preserve">L'implantation contradictoire des axes, les levés des profils en long et des profils en travers, l'établissement du projet d'exécution des ouvrages et des terrassements, des dessins de recollement sont à la charge de l'Entreprise et sont réputés pris en considération dans ses prix. </w:t>
      </w:r>
    </w:p>
    <w:p w14:paraId="20951412" w14:textId="6277E7C1" w:rsidR="0058524C" w:rsidRPr="0058524C" w:rsidRDefault="0058524C" w:rsidP="0058524C">
      <w:pPr>
        <w:pStyle w:val="TM12"/>
        <w:jc w:val="both"/>
        <w:rPr>
          <w:iCs/>
          <w:szCs w:val="24"/>
          <w:lang w:val="fr-FR"/>
        </w:rPr>
      </w:pPr>
      <w:r w:rsidRPr="0058524C">
        <w:rPr>
          <w:rFonts w:ascii="Times New Roman" w:hAnsi="Times New Roman"/>
          <w:b w:val="0"/>
          <w:bCs w:val="0"/>
          <w:i w:val="0"/>
          <w:iCs/>
          <w:sz w:val="24"/>
          <w:szCs w:val="24"/>
          <w:lang w:val="fr-FR"/>
        </w:rPr>
        <w:t xml:space="preserve"> L’implantation comprend </w:t>
      </w:r>
      <w:r w:rsidR="00F664CA" w:rsidRPr="0058524C">
        <w:rPr>
          <w:rFonts w:ascii="Times New Roman" w:hAnsi="Times New Roman"/>
          <w:b w:val="0"/>
          <w:bCs w:val="0"/>
          <w:i w:val="0"/>
          <w:iCs/>
          <w:sz w:val="24"/>
          <w:szCs w:val="24"/>
          <w:lang w:val="fr-FR"/>
        </w:rPr>
        <w:t>préalablement :</w:t>
      </w:r>
      <w:r w:rsidRPr="0058524C">
        <w:rPr>
          <w:rFonts w:ascii="Times New Roman" w:hAnsi="Times New Roman"/>
          <w:b w:val="0"/>
          <w:bCs w:val="0"/>
          <w:i w:val="0"/>
          <w:iCs/>
          <w:sz w:val="24"/>
          <w:szCs w:val="24"/>
          <w:lang w:val="fr-FR"/>
        </w:rPr>
        <w:t xml:space="preserve"> - la localisation sur le terrain des bornes de polygonale s'il y a lieu, et des bornes de relevés topographiques existantes ainsi que la mise en place des bornes complémentaires si nécessaire. - la fourniture, le transport et la mise en place de nouvelles </w:t>
      </w:r>
      <w:proofErr w:type="gramStart"/>
      <w:r w:rsidRPr="0058524C">
        <w:rPr>
          <w:rFonts w:ascii="Times New Roman" w:hAnsi="Times New Roman"/>
          <w:b w:val="0"/>
          <w:bCs w:val="0"/>
          <w:i w:val="0"/>
          <w:iCs/>
          <w:sz w:val="24"/>
          <w:szCs w:val="24"/>
          <w:lang w:val="fr-FR"/>
        </w:rPr>
        <w:t>bornes -</w:t>
      </w:r>
      <w:proofErr w:type="gramEnd"/>
      <w:r w:rsidRPr="0058524C">
        <w:rPr>
          <w:rFonts w:ascii="Times New Roman" w:hAnsi="Times New Roman"/>
          <w:b w:val="0"/>
          <w:bCs w:val="0"/>
          <w:i w:val="0"/>
          <w:iCs/>
          <w:sz w:val="24"/>
          <w:szCs w:val="24"/>
          <w:lang w:val="fr-FR"/>
        </w:rPr>
        <w:t xml:space="preserve"> les vérifications et calculs en coordonnées (X, Y, Z). </w:t>
      </w:r>
    </w:p>
    <w:p w14:paraId="122FB82E" w14:textId="77777777" w:rsidR="0058524C" w:rsidRPr="0058524C" w:rsidRDefault="0058524C" w:rsidP="0058524C">
      <w:pPr>
        <w:pStyle w:val="TM12"/>
        <w:jc w:val="both"/>
        <w:rPr>
          <w:iCs/>
          <w:szCs w:val="24"/>
          <w:lang w:val="fr-FR"/>
        </w:rPr>
      </w:pPr>
      <w:r w:rsidRPr="0058524C">
        <w:rPr>
          <w:rFonts w:ascii="Times New Roman" w:hAnsi="Times New Roman"/>
          <w:b w:val="0"/>
          <w:bCs w:val="0"/>
          <w:i w:val="0"/>
          <w:iCs/>
          <w:sz w:val="24"/>
          <w:szCs w:val="24"/>
          <w:lang w:val="fr-FR"/>
        </w:rPr>
        <w:t xml:space="preserve">L'Entrepreneur réceptionnera les repères dont la liste lui sera fournie par le Maître d’œuvre et signalera les erreurs éventuellement repérées. Ces opérations seront conduites sous contrôle de l'Ingénieur. </w:t>
      </w:r>
    </w:p>
    <w:p w14:paraId="4BB974AF" w14:textId="77777777" w:rsidR="0058524C" w:rsidRPr="0058524C" w:rsidRDefault="0058524C" w:rsidP="0058524C">
      <w:pPr>
        <w:pStyle w:val="TM12"/>
        <w:jc w:val="both"/>
        <w:rPr>
          <w:iCs/>
          <w:color w:val="00B0F0"/>
          <w:szCs w:val="24"/>
          <w:lang w:val="fr-FR"/>
        </w:rPr>
      </w:pPr>
      <w:r w:rsidRPr="0058524C">
        <w:rPr>
          <w:rFonts w:ascii="Times New Roman" w:hAnsi="Times New Roman"/>
          <w:b w:val="0"/>
          <w:bCs w:val="0"/>
          <w:i w:val="0"/>
          <w:iCs/>
          <w:color w:val="00B0F0"/>
          <w:sz w:val="24"/>
          <w:szCs w:val="24"/>
          <w:lang w:val="fr-FR"/>
        </w:rPr>
        <w:t xml:space="preserve"> </w:t>
      </w:r>
    </w:p>
    <w:p w14:paraId="24BE2B5A" w14:textId="77777777" w:rsidR="0058524C" w:rsidRPr="0058524C" w:rsidRDefault="0058524C" w:rsidP="0058524C">
      <w:pPr>
        <w:pStyle w:val="TM12"/>
        <w:jc w:val="both"/>
        <w:rPr>
          <w:iCs/>
          <w:szCs w:val="24"/>
          <w:lang w:val="fr-FR"/>
        </w:rPr>
      </w:pPr>
      <w:r w:rsidRPr="0058524C">
        <w:rPr>
          <w:rFonts w:ascii="Times New Roman" w:hAnsi="Times New Roman"/>
          <w:b w:val="0"/>
          <w:bCs w:val="0"/>
          <w:i w:val="0"/>
          <w:iCs/>
          <w:sz w:val="24"/>
          <w:szCs w:val="24"/>
          <w:lang w:val="fr-FR"/>
        </w:rPr>
        <w:t xml:space="preserve">A l'issue de ses opérations il devra remettre à l'Ingénieur l'épure complémentaire des tracés avec les plans des bornes de polygonale ou de levé topographique mis à jour. </w:t>
      </w:r>
    </w:p>
    <w:p w14:paraId="2E91E401" w14:textId="77777777" w:rsidR="0058524C" w:rsidRPr="0058524C" w:rsidRDefault="0058524C" w:rsidP="0058524C">
      <w:pPr>
        <w:pStyle w:val="TM12"/>
        <w:jc w:val="both"/>
        <w:rPr>
          <w:iCs/>
          <w:szCs w:val="24"/>
          <w:lang w:val="fr-FR"/>
        </w:rPr>
      </w:pPr>
      <w:r w:rsidRPr="0058524C">
        <w:rPr>
          <w:rFonts w:ascii="Times New Roman" w:hAnsi="Times New Roman"/>
          <w:b w:val="0"/>
          <w:bCs w:val="0"/>
          <w:i w:val="0"/>
          <w:iCs/>
          <w:sz w:val="24"/>
          <w:szCs w:val="24"/>
          <w:lang w:val="fr-FR"/>
        </w:rPr>
        <w:t xml:space="preserve">La réception de ces plans fera l'objet d'un procès-verbal contradictoire en date duquel l'Entrepreneur sera responsable de la conservation des repères, piquets et jalons à ses propres frais. </w:t>
      </w:r>
    </w:p>
    <w:p w14:paraId="2DE4B8B4" w14:textId="77777777" w:rsidR="0058524C" w:rsidRPr="0058524C" w:rsidRDefault="0058524C" w:rsidP="0058524C">
      <w:pPr>
        <w:pStyle w:val="TM12"/>
        <w:jc w:val="both"/>
        <w:rPr>
          <w:iCs/>
          <w:szCs w:val="24"/>
          <w:lang w:val="fr-FR"/>
        </w:rPr>
      </w:pPr>
      <w:r w:rsidRPr="0058524C">
        <w:rPr>
          <w:rFonts w:ascii="Times New Roman" w:hAnsi="Times New Roman"/>
          <w:b w:val="0"/>
          <w:bCs w:val="0"/>
          <w:i w:val="0"/>
          <w:iCs/>
          <w:sz w:val="24"/>
          <w:szCs w:val="24"/>
          <w:lang w:val="fr-FR"/>
        </w:rPr>
        <w:t xml:space="preserve">En cas d’erreurs d’implantation, de piquetage ou de nivellement commises par l'Entrepreneur celui-ci sera tenu d'exécuter, à ses frais et quelle que soit leur importance les travaux nécessaires au rétablissement des ouvrages dans la position prévue. </w:t>
      </w:r>
    </w:p>
    <w:p w14:paraId="3A8EB007" w14:textId="77777777" w:rsidR="0058524C" w:rsidRPr="0058524C" w:rsidRDefault="0058524C" w:rsidP="0058524C">
      <w:pPr>
        <w:pStyle w:val="TM12"/>
        <w:jc w:val="both"/>
        <w:rPr>
          <w:iCs/>
          <w:szCs w:val="24"/>
          <w:lang w:val="fr-FR"/>
        </w:rPr>
      </w:pPr>
      <w:r w:rsidRPr="0058524C">
        <w:rPr>
          <w:rFonts w:ascii="Times New Roman" w:hAnsi="Times New Roman"/>
          <w:b w:val="0"/>
          <w:bCs w:val="0"/>
          <w:i w:val="0"/>
          <w:iCs/>
          <w:sz w:val="24"/>
          <w:szCs w:val="24"/>
          <w:lang w:val="fr-FR"/>
        </w:rPr>
        <w:t xml:space="preserve">Les vérifications effectuées par l'Ingénieur ne diminueront en rien la responsabilité de l'Entrepreneur relativement à l'exactitude des implantations. </w:t>
      </w:r>
    </w:p>
    <w:p w14:paraId="0F03BFD5" w14:textId="77777777" w:rsidR="0058524C" w:rsidRPr="0058524C" w:rsidRDefault="0058524C" w:rsidP="0058524C">
      <w:pPr>
        <w:pStyle w:val="TM12"/>
        <w:jc w:val="both"/>
        <w:rPr>
          <w:iCs/>
          <w:szCs w:val="24"/>
          <w:lang w:val="fr-FR"/>
        </w:rPr>
      </w:pPr>
    </w:p>
    <w:p w14:paraId="1DE30634" w14:textId="77777777" w:rsidR="0058524C" w:rsidRPr="00850074" w:rsidRDefault="0058524C" w:rsidP="0058524C">
      <w:pPr>
        <w:spacing w:after="0"/>
        <w:rPr>
          <w:b/>
          <w:szCs w:val="24"/>
        </w:rPr>
      </w:pPr>
      <w:r w:rsidRPr="00850074">
        <w:rPr>
          <w:b/>
          <w:szCs w:val="24"/>
        </w:rPr>
        <w:t xml:space="preserve">Piquetage d'ensemble </w:t>
      </w:r>
    </w:p>
    <w:p w14:paraId="2971B8BB" w14:textId="77777777" w:rsidR="0058524C" w:rsidRPr="00850074" w:rsidRDefault="0058524C" w:rsidP="0058524C">
      <w:pPr>
        <w:spacing w:after="0"/>
        <w:rPr>
          <w:szCs w:val="24"/>
        </w:rPr>
      </w:pPr>
    </w:p>
    <w:p w14:paraId="0AC8AE7C" w14:textId="77777777" w:rsidR="0058524C" w:rsidRPr="0058524C" w:rsidRDefault="0058524C" w:rsidP="0058524C">
      <w:pPr>
        <w:pStyle w:val="TM12"/>
        <w:jc w:val="both"/>
        <w:rPr>
          <w:iCs/>
          <w:szCs w:val="24"/>
          <w:lang w:val="fr-FR"/>
        </w:rPr>
      </w:pPr>
      <w:r w:rsidRPr="0058524C">
        <w:rPr>
          <w:rFonts w:ascii="Times New Roman" w:hAnsi="Times New Roman"/>
          <w:b w:val="0"/>
          <w:bCs w:val="0"/>
          <w:i w:val="0"/>
          <w:iCs/>
          <w:sz w:val="24"/>
          <w:szCs w:val="24"/>
          <w:lang w:val="fr-FR"/>
        </w:rPr>
        <w:t xml:space="preserve">Les réseaux (canaux, drains, digues de protection, colatures, pistes, chenaux, ouvrages d’art) seront implantés et piquetés sur le terrain par le soin, aux frais et sous la responsabilité de l'Entrepreneur selon les éléments d'implantation remis par le Maître d’œuvre. </w:t>
      </w:r>
    </w:p>
    <w:p w14:paraId="4FDA88A3" w14:textId="77777777" w:rsidR="0058524C" w:rsidRPr="0058524C" w:rsidRDefault="0058524C" w:rsidP="0058524C">
      <w:pPr>
        <w:pStyle w:val="TM12"/>
        <w:jc w:val="both"/>
        <w:rPr>
          <w:iCs/>
          <w:szCs w:val="24"/>
          <w:lang w:val="fr-FR"/>
        </w:rPr>
      </w:pPr>
      <w:r w:rsidRPr="0058524C">
        <w:rPr>
          <w:rFonts w:ascii="Times New Roman" w:hAnsi="Times New Roman"/>
          <w:b w:val="0"/>
          <w:bCs w:val="0"/>
          <w:i w:val="0"/>
          <w:iCs/>
          <w:sz w:val="24"/>
          <w:szCs w:val="24"/>
          <w:lang w:val="fr-FR"/>
        </w:rPr>
        <w:t xml:space="preserve">La précision du piquetage sera de 1/l000 (1 cm pour 10m). </w:t>
      </w:r>
    </w:p>
    <w:p w14:paraId="0DB8BAE5" w14:textId="77777777" w:rsidR="0058524C" w:rsidRPr="0058524C" w:rsidRDefault="0058524C" w:rsidP="0058524C">
      <w:pPr>
        <w:pStyle w:val="TM12"/>
        <w:jc w:val="both"/>
        <w:rPr>
          <w:iCs/>
          <w:szCs w:val="24"/>
          <w:lang w:val="fr-FR"/>
        </w:rPr>
      </w:pPr>
      <w:r w:rsidRPr="0058524C">
        <w:rPr>
          <w:rFonts w:ascii="Times New Roman" w:hAnsi="Times New Roman"/>
          <w:b w:val="0"/>
          <w:bCs w:val="0"/>
          <w:i w:val="0"/>
          <w:iCs/>
          <w:sz w:val="24"/>
          <w:szCs w:val="24"/>
          <w:lang w:val="fr-FR"/>
        </w:rPr>
        <w:t xml:space="preserve">Au début et à la fin de chaque ouvrage en terre et sur des points intermédiaires qui ne seront pas distants de plus de 200 m, l'Entrepreneur posera, à 25 m de part et d'autre de l'axe, des bornes déportées. Ces bornes calculées en X, Y et Z, seront reportées sur les plans cotés et profil en long. Deux de ces bornes au moins seront à proximité des sections de l'ouvrage déversant. </w:t>
      </w:r>
    </w:p>
    <w:p w14:paraId="02E6A954" w14:textId="77777777" w:rsidR="0058524C" w:rsidRPr="0058524C" w:rsidRDefault="0058524C" w:rsidP="0058524C">
      <w:pPr>
        <w:pStyle w:val="TM12"/>
        <w:jc w:val="both"/>
        <w:rPr>
          <w:iCs/>
          <w:szCs w:val="24"/>
          <w:lang w:val="fr-FR"/>
        </w:rPr>
      </w:pPr>
      <w:r w:rsidRPr="0058524C">
        <w:rPr>
          <w:rFonts w:ascii="Times New Roman" w:hAnsi="Times New Roman"/>
          <w:b w:val="0"/>
          <w:bCs w:val="0"/>
          <w:i w:val="0"/>
          <w:iCs/>
          <w:sz w:val="24"/>
          <w:szCs w:val="24"/>
          <w:lang w:val="fr-FR"/>
        </w:rPr>
        <w:t xml:space="preserve">Tous les piquets seront ultérieurement rattachés à ces bornes de façon à ce qu'ils puissent être rétablis en cas de destruction. Un procès-verbal contradictoire sera dressé pour constater ces opérations de rattachement. </w:t>
      </w:r>
    </w:p>
    <w:p w14:paraId="65FAAF97" w14:textId="77777777" w:rsidR="0058524C" w:rsidRPr="0058524C" w:rsidRDefault="0058524C" w:rsidP="0058524C">
      <w:pPr>
        <w:pStyle w:val="TM12"/>
        <w:jc w:val="both"/>
        <w:rPr>
          <w:iCs/>
          <w:szCs w:val="24"/>
          <w:lang w:val="fr-FR"/>
        </w:rPr>
      </w:pPr>
      <w:r w:rsidRPr="0058524C">
        <w:rPr>
          <w:rFonts w:ascii="Times New Roman" w:hAnsi="Times New Roman"/>
          <w:b w:val="0"/>
          <w:bCs w:val="0"/>
          <w:i w:val="0"/>
          <w:iCs/>
          <w:sz w:val="24"/>
          <w:szCs w:val="24"/>
          <w:lang w:val="fr-FR"/>
        </w:rPr>
        <w:t xml:space="preserve">Tous les ouvrages longitudinaux seront matérialisés par un piquet d'axe, deux piquets d'emprise de part et d'autre de l'axe, alignés avec le piquet d'axe et perpendiculaire à l'axe, et par un piquet déporté comportant le numéro du profil, la distance cumulée et la hauteur d'arase de terrassement. </w:t>
      </w:r>
    </w:p>
    <w:p w14:paraId="5D2F16E9" w14:textId="77777777" w:rsidR="0058524C" w:rsidRPr="0058524C" w:rsidRDefault="0058524C" w:rsidP="0058524C">
      <w:pPr>
        <w:pStyle w:val="TM12"/>
        <w:spacing w:before="0"/>
        <w:jc w:val="both"/>
        <w:rPr>
          <w:iCs/>
          <w:szCs w:val="24"/>
          <w:lang w:val="fr-FR"/>
        </w:rPr>
      </w:pPr>
      <w:r w:rsidRPr="0058524C">
        <w:rPr>
          <w:rFonts w:ascii="Times New Roman" w:hAnsi="Times New Roman"/>
          <w:b w:val="0"/>
          <w:bCs w:val="0"/>
          <w:i w:val="0"/>
          <w:iCs/>
          <w:sz w:val="24"/>
          <w:szCs w:val="24"/>
          <w:lang w:val="fr-FR"/>
        </w:rPr>
        <w:t xml:space="preserve"> </w:t>
      </w:r>
    </w:p>
    <w:p w14:paraId="728EDE6E" w14:textId="77777777" w:rsidR="0058524C" w:rsidRPr="0058524C" w:rsidRDefault="0058524C" w:rsidP="0058524C">
      <w:pPr>
        <w:pStyle w:val="TM12"/>
        <w:jc w:val="both"/>
        <w:rPr>
          <w:iCs/>
          <w:szCs w:val="24"/>
          <w:lang w:val="fr-FR"/>
        </w:rPr>
      </w:pPr>
      <w:r w:rsidRPr="0058524C">
        <w:rPr>
          <w:rFonts w:ascii="Times New Roman" w:hAnsi="Times New Roman"/>
          <w:b w:val="0"/>
          <w:bCs w:val="0"/>
          <w:i w:val="0"/>
          <w:iCs/>
          <w:sz w:val="24"/>
          <w:szCs w:val="24"/>
          <w:lang w:val="fr-FR"/>
        </w:rPr>
        <w:t xml:space="preserve">Les points d'axes seront matérialisés tous les 25 m pour les ouvrages en terre et tous les 5 m pour les ouvrages en béton ou en maçonnerie ainsi qu'aux extrémités finies de chaque ouvrage et 10 m de part et d'autre des extrémités. </w:t>
      </w:r>
    </w:p>
    <w:p w14:paraId="6DF8107A" w14:textId="77777777" w:rsidR="0058524C" w:rsidRPr="0058524C" w:rsidRDefault="0058524C" w:rsidP="0058524C">
      <w:pPr>
        <w:pStyle w:val="TM12"/>
        <w:jc w:val="both"/>
        <w:rPr>
          <w:iCs/>
          <w:szCs w:val="24"/>
          <w:lang w:val="fr-FR"/>
        </w:rPr>
      </w:pPr>
      <w:r w:rsidRPr="0058524C">
        <w:rPr>
          <w:rFonts w:ascii="Times New Roman" w:hAnsi="Times New Roman"/>
          <w:b w:val="0"/>
          <w:bCs w:val="0"/>
          <w:i w:val="0"/>
          <w:iCs/>
          <w:sz w:val="24"/>
          <w:szCs w:val="24"/>
          <w:lang w:val="fr-FR"/>
        </w:rPr>
        <w:t xml:space="preserve">A ce stade de l'opération si l'Entreprise constate la nécessité d'une modification localisée du projet en plan, il lui appartiendra d'en saisir immédiatement l'Ingénieur. </w:t>
      </w:r>
    </w:p>
    <w:p w14:paraId="609D1586" w14:textId="77777777" w:rsidR="0058524C" w:rsidRPr="0058524C" w:rsidRDefault="0058524C" w:rsidP="0058524C">
      <w:pPr>
        <w:pStyle w:val="TM12"/>
        <w:jc w:val="both"/>
        <w:rPr>
          <w:iCs/>
          <w:szCs w:val="24"/>
          <w:lang w:val="fr-FR"/>
        </w:rPr>
      </w:pPr>
      <w:r w:rsidRPr="0058524C">
        <w:rPr>
          <w:rFonts w:ascii="Times New Roman" w:hAnsi="Times New Roman"/>
          <w:b w:val="0"/>
          <w:bCs w:val="0"/>
          <w:i w:val="0"/>
          <w:iCs/>
          <w:sz w:val="24"/>
          <w:szCs w:val="24"/>
          <w:lang w:val="fr-FR"/>
        </w:rPr>
        <w:t xml:space="preserve">Levés des profils en long et des profils en travers </w:t>
      </w:r>
    </w:p>
    <w:p w14:paraId="054FA39A" w14:textId="77777777" w:rsidR="0058524C" w:rsidRPr="0058524C" w:rsidRDefault="0058524C" w:rsidP="0058524C">
      <w:pPr>
        <w:pStyle w:val="TM12"/>
        <w:jc w:val="both"/>
        <w:rPr>
          <w:iCs/>
          <w:szCs w:val="24"/>
          <w:lang w:val="fr-FR"/>
        </w:rPr>
      </w:pPr>
      <w:r w:rsidRPr="0058524C">
        <w:rPr>
          <w:rFonts w:ascii="Times New Roman" w:hAnsi="Times New Roman"/>
          <w:b w:val="0"/>
          <w:bCs w:val="0"/>
          <w:i w:val="0"/>
          <w:iCs/>
          <w:sz w:val="24"/>
          <w:szCs w:val="24"/>
          <w:lang w:val="fr-FR"/>
        </w:rPr>
        <w:t xml:space="preserve">L'Entreprise devra lever les profils en long et en travers contradictoirement avec l'Ingénieur. </w:t>
      </w:r>
    </w:p>
    <w:p w14:paraId="5B441054" w14:textId="77777777" w:rsidR="0058524C" w:rsidRPr="0058524C" w:rsidRDefault="0058524C" w:rsidP="0058524C">
      <w:pPr>
        <w:pStyle w:val="TM12"/>
        <w:jc w:val="both"/>
        <w:rPr>
          <w:iCs/>
          <w:szCs w:val="24"/>
          <w:lang w:val="fr-FR"/>
        </w:rPr>
      </w:pPr>
      <w:r w:rsidRPr="0058524C">
        <w:rPr>
          <w:rFonts w:ascii="Times New Roman" w:hAnsi="Times New Roman"/>
          <w:b w:val="0"/>
          <w:bCs w:val="0"/>
          <w:i w:val="0"/>
          <w:iCs/>
          <w:sz w:val="24"/>
          <w:szCs w:val="24"/>
          <w:lang w:val="fr-FR"/>
        </w:rPr>
        <w:t xml:space="preserve"> </w:t>
      </w:r>
    </w:p>
    <w:p w14:paraId="5D3347FF" w14:textId="77777777" w:rsidR="0058524C" w:rsidRPr="0058524C" w:rsidRDefault="0058524C" w:rsidP="0058524C">
      <w:pPr>
        <w:pStyle w:val="TM12"/>
        <w:jc w:val="both"/>
        <w:rPr>
          <w:iCs/>
          <w:szCs w:val="24"/>
          <w:lang w:val="fr-FR"/>
        </w:rPr>
      </w:pPr>
      <w:r w:rsidRPr="0058524C">
        <w:rPr>
          <w:rFonts w:ascii="Times New Roman" w:hAnsi="Times New Roman"/>
          <w:b w:val="0"/>
          <w:bCs w:val="0"/>
          <w:i w:val="0"/>
          <w:iCs/>
          <w:sz w:val="24"/>
          <w:szCs w:val="24"/>
          <w:lang w:val="fr-FR"/>
        </w:rPr>
        <w:t xml:space="preserve">Un nivellement géométrique cotera tous les points piquetés. La précision relative demandée est le centimètre. Ce nivellement s'appuiera sur les côtes des bornes de polygonale et fera l’objet d'un nivellement fermé. </w:t>
      </w:r>
    </w:p>
    <w:p w14:paraId="135DE78B" w14:textId="77777777" w:rsidR="0058524C" w:rsidRPr="0058524C" w:rsidRDefault="0058524C" w:rsidP="0058524C">
      <w:pPr>
        <w:pStyle w:val="TM12"/>
        <w:jc w:val="both"/>
        <w:rPr>
          <w:iCs/>
          <w:szCs w:val="24"/>
          <w:lang w:val="fr-FR"/>
        </w:rPr>
      </w:pPr>
      <w:r w:rsidRPr="0058524C">
        <w:rPr>
          <w:rFonts w:ascii="Times New Roman" w:hAnsi="Times New Roman"/>
          <w:b w:val="0"/>
          <w:bCs w:val="0"/>
          <w:i w:val="0"/>
          <w:iCs/>
          <w:sz w:val="24"/>
          <w:szCs w:val="24"/>
          <w:lang w:val="fr-FR"/>
        </w:rPr>
        <w:t xml:space="preserve"> Les chaînages devront être comparés avec les éléments calculés de l'épure de tracé. </w:t>
      </w:r>
    </w:p>
    <w:p w14:paraId="1488742C" w14:textId="77777777" w:rsidR="0058524C" w:rsidRPr="0058524C" w:rsidRDefault="0058524C" w:rsidP="0058524C">
      <w:pPr>
        <w:pStyle w:val="TM12"/>
        <w:jc w:val="both"/>
        <w:rPr>
          <w:iCs/>
          <w:szCs w:val="24"/>
          <w:lang w:val="fr-FR"/>
        </w:rPr>
      </w:pPr>
      <w:r w:rsidRPr="0058524C">
        <w:rPr>
          <w:rFonts w:ascii="Times New Roman" w:hAnsi="Times New Roman"/>
          <w:b w:val="0"/>
          <w:bCs w:val="0"/>
          <w:i w:val="0"/>
          <w:iCs/>
          <w:sz w:val="24"/>
          <w:szCs w:val="24"/>
          <w:lang w:val="fr-FR"/>
        </w:rPr>
        <w:t xml:space="preserve">A l'issue de ces levés, un procès-verbal sera établi et signé par l'Entreprise et l'Ingénieur. </w:t>
      </w:r>
    </w:p>
    <w:p w14:paraId="51DD8A0F" w14:textId="77777777" w:rsidR="0058524C" w:rsidRPr="0058524C" w:rsidRDefault="0058524C" w:rsidP="0058524C">
      <w:pPr>
        <w:pStyle w:val="TM12"/>
        <w:jc w:val="both"/>
        <w:rPr>
          <w:iCs/>
          <w:szCs w:val="24"/>
          <w:lang w:val="fr-FR"/>
        </w:rPr>
      </w:pPr>
      <w:r w:rsidRPr="0058524C">
        <w:rPr>
          <w:rFonts w:ascii="Times New Roman" w:hAnsi="Times New Roman"/>
          <w:b w:val="0"/>
          <w:bCs w:val="0"/>
          <w:i w:val="0"/>
          <w:iCs/>
          <w:sz w:val="24"/>
          <w:szCs w:val="24"/>
          <w:lang w:val="fr-FR"/>
        </w:rPr>
        <w:t xml:space="preserve">L'échelle du levé sera au 1/1000ème en profil en long et au 1/50ème pour les profils en travers. </w:t>
      </w:r>
    </w:p>
    <w:p w14:paraId="3B0645A1" w14:textId="77777777" w:rsidR="0058524C" w:rsidRPr="0058524C" w:rsidRDefault="0058524C" w:rsidP="0058524C">
      <w:pPr>
        <w:pStyle w:val="TM12"/>
        <w:jc w:val="both"/>
        <w:rPr>
          <w:iCs/>
          <w:szCs w:val="24"/>
          <w:lang w:val="fr-FR"/>
        </w:rPr>
      </w:pPr>
      <w:r w:rsidRPr="0058524C">
        <w:rPr>
          <w:rFonts w:ascii="Times New Roman" w:hAnsi="Times New Roman"/>
          <w:b w:val="0"/>
          <w:bCs w:val="0"/>
          <w:i w:val="0"/>
          <w:iCs/>
          <w:sz w:val="24"/>
          <w:szCs w:val="24"/>
          <w:lang w:val="fr-FR"/>
        </w:rPr>
        <w:t xml:space="preserve">Dessins d'exécution, notes de calcul </w:t>
      </w:r>
    </w:p>
    <w:p w14:paraId="7AAA05B4" w14:textId="77777777" w:rsidR="0058524C" w:rsidRPr="0058524C" w:rsidRDefault="0058524C" w:rsidP="0058524C">
      <w:pPr>
        <w:pStyle w:val="TM12"/>
        <w:jc w:val="both"/>
        <w:rPr>
          <w:iCs/>
          <w:szCs w:val="24"/>
          <w:lang w:val="fr-FR"/>
        </w:rPr>
      </w:pPr>
      <w:r w:rsidRPr="0058524C">
        <w:rPr>
          <w:rFonts w:ascii="Times New Roman" w:hAnsi="Times New Roman"/>
          <w:b w:val="0"/>
          <w:bCs w:val="0"/>
          <w:i w:val="0"/>
          <w:iCs/>
          <w:sz w:val="24"/>
          <w:szCs w:val="24"/>
          <w:lang w:val="fr-FR"/>
        </w:rPr>
        <w:t xml:space="preserve">L'Entreprise vérifiera les plans d'exécution des ouvrages fournis par le Maître d’œuvre. </w:t>
      </w:r>
    </w:p>
    <w:p w14:paraId="67A9D0E3" w14:textId="77777777" w:rsidR="0058524C" w:rsidRPr="0058524C" w:rsidRDefault="0058524C" w:rsidP="0058524C">
      <w:pPr>
        <w:pStyle w:val="TM12"/>
        <w:jc w:val="both"/>
        <w:rPr>
          <w:iCs/>
          <w:szCs w:val="24"/>
          <w:lang w:val="fr-FR"/>
        </w:rPr>
      </w:pPr>
      <w:r w:rsidRPr="0058524C">
        <w:rPr>
          <w:rFonts w:ascii="Times New Roman" w:hAnsi="Times New Roman"/>
          <w:b w:val="0"/>
          <w:bCs w:val="0"/>
          <w:i w:val="0"/>
          <w:iCs/>
          <w:sz w:val="24"/>
          <w:szCs w:val="24"/>
          <w:lang w:val="fr-FR"/>
        </w:rPr>
        <w:t xml:space="preserve">L’Entrepreneur remettra, après avoir vérifié et apporté les compléments nécessaires, en trois exemplaires à l'Ingénieur, au moins un mois avant le début d'exécution de chaque ouvrage, les dessins d'exécution modifiés correspondants ou en fin des travaux les plans de récolement. </w:t>
      </w:r>
    </w:p>
    <w:p w14:paraId="78BF7019" w14:textId="77777777" w:rsidR="0058524C" w:rsidRPr="0058524C" w:rsidRDefault="0058524C" w:rsidP="0058524C">
      <w:pPr>
        <w:pStyle w:val="TM12"/>
        <w:jc w:val="both"/>
        <w:rPr>
          <w:iCs/>
          <w:szCs w:val="24"/>
          <w:lang w:val="fr-FR"/>
        </w:rPr>
      </w:pPr>
      <w:r w:rsidRPr="0058524C">
        <w:rPr>
          <w:rFonts w:ascii="Times New Roman" w:hAnsi="Times New Roman"/>
          <w:b w:val="0"/>
          <w:bCs w:val="0"/>
          <w:i w:val="0"/>
          <w:iCs/>
          <w:sz w:val="24"/>
          <w:szCs w:val="24"/>
          <w:lang w:val="fr-FR"/>
        </w:rPr>
        <w:t xml:space="preserve">Les levés topographiques nécessaires à la présentation de ces plans sont à la charge de l'Entreprise, qui les fera effectuer par son personnel sous contrôle de l'Ingénieur ou de ses délégués. </w:t>
      </w:r>
    </w:p>
    <w:p w14:paraId="633C74E7" w14:textId="77777777" w:rsidR="0058524C" w:rsidRPr="0058524C" w:rsidRDefault="0058524C" w:rsidP="0058524C">
      <w:pPr>
        <w:pStyle w:val="TM12"/>
        <w:jc w:val="both"/>
        <w:rPr>
          <w:iCs/>
          <w:szCs w:val="24"/>
          <w:lang w:val="fr-FR"/>
        </w:rPr>
      </w:pPr>
      <w:r w:rsidRPr="0058524C">
        <w:rPr>
          <w:rFonts w:ascii="Times New Roman" w:hAnsi="Times New Roman"/>
          <w:b w:val="0"/>
          <w:bCs w:val="0"/>
          <w:i w:val="0"/>
          <w:iCs/>
          <w:sz w:val="24"/>
          <w:szCs w:val="24"/>
          <w:lang w:val="fr-FR"/>
        </w:rPr>
        <w:t xml:space="preserve">En ce qui concerne les attachements des travaux supplémentaires éventuels à effectuer par l'Attributaire à la demande de l'Ingénieur, l'Entrepreneur présentera à l'Ingénieur, avant tout début d'exécution, les documents suivants: </w:t>
      </w:r>
    </w:p>
    <w:p w14:paraId="215DABA5" w14:textId="77777777" w:rsidR="0058524C" w:rsidRPr="0058524C" w:rsidRDefault="0058524C" w:rsidP="0058524C">
      <w:pPr>
        <w:pStyle w:val="TM12"/>
        <w:jc w:val="both"/>
        <w:rPr>
          <w:iCs/>
          <w:szCs w:val="24"/>
          <w:lang w:val="fr-FR"/>
        </w:rPr>
      </w:pPr>
      <w:r w:rsidRPr="0058524C">
        <w:rPr>
          <w:rFonts w:ascii="Times New Roman" w:hAnsi="Times New Roman"/>
          <w:b w:val="0"/>
          <w:bCs w:val="0"/>
          <w:i w:val="0"/>
          <w:iCs/>
          <w:sz w:val="24"/>
          <w:szCs w:val="24"/>
          <w:lang w:val="fr-FR"/>
        </w:rPr>
        <w:t xml:space="preserve">a) les métrés quantitatifs se référant aux différents postes du bordereau des prix; </w:t>
      </w:r>
    </w:p>
    <w:p w14:paraId="218E97BC" w14:textId="77777777" w:rsidR="0058524C" w:rsidRPr="0058524C" w:rsidRDefault="0058524C" w:rsidP="0058524C">
      <w:pPr>
        <w:pStyle w:val="TM12"/>
        <w:jc w:val="both"/>
        <w:rPr>
          <w:iCs/>
          <w:szCs w:val="24"/>
          <w:lang w:val="fr-FR"/>
        </w:rPr>
      </w:pPr>
      <w:r w:rsidRPr="0058524C">
        <w:rPr>
          <w:rFonts w:ascii="Times New Roman" w:hAnsi="Times New Roman"/>
          <w:b w:val="0"/>
          <w:bCs w:val="0"/>
          <w:i w:val="0"/>
          <w:iCs/>
          <w:sz w:val="24"/>
          <w:szCs w:val="24"/>
          <w:lang w:val="fr-FR"/>
        </w:rPr>
        <w:t xml:space="preserve">b) les métrés estimatifs des travaux. </w:t>
      </w:r>
    </w:p>
    <w:p w14:paraId="765FC303" w14:textId="77777777" w:rsidR="0058524C" w:rsidRPr="0058524C" w:rsidRDefault="0058524C" w:rsidP="0058524C">
      <w:pPr>
        <w:pStyle w:val="TM12"/>
        <w:jc w:val="both"/>
        <w:rPr>
          <w:iCs/>
          <w:szCs w:val="24"/>
          <w:lang w:val="fr-FR"/>
        </w:rPr>
      </w:pPr>
      <w:r w:rsidRPr="0058524C">
        <w:rPr>
          <w:rFonts w:ascii="Times New Roman" w:hAnsi="Times New Roman"/>
          <w:b w:val="0"/>
          <w:bCs w:val="0"/>
          <w:i w:val="0"/>
          <w:iCs/>
          <w:sz w:val="24"/>
          <w:szCs w:val="24"/>
          <w:lang w:val="fr-FR"/>
        </w:rPr>
        <w:t xml:space="preserve"> </w:t>
      </w:r>
    </w:p>
    <w:p w14:paraId="52C94160" w14:textId="77777777" w:rsidR="0058524C" w:rsidRPr="00850074" w:rsidRDefault="0058524C" w:rsidP="0058524C">
      <w:pPr>
        <w:spacing w:after="0"/>
        <w:rPr>
          <w:b/>
          <w:szCs w:val="24"/>
        </w:rPr>
      </w:pPr>
      <w:r w:rsidRPr="00850074">
        <w:rPr>
          <w:b/>
          <w:szCs w:val="24"/>
        </w:rPr>
        <w:t xml:space="preserve">5.5 CHAPITRE IV : PROVENANCE, QUALITE ET PREPARATION DES MATERIAUX </w:t>
      </w:r>
    </w:p>
    <w:p w14:paraId="0DDDE050" w14:textId="77777777" w:rsidR="0058524C" w:rsidRPr="00850074" w:rsidRDefault="0058524C" w:rsidP="0058524C">
      <w:pPr>
        <w:spacing w:after="0"/>
        <w:rPr>
          <w:b/>
          <w:szCs w:val="24"/>
        </w:rPr>
      </w:pPr>
    </w:p>
    <w:p w14:paraId="13F307C6" w14:textId="77777777" w:rsidR="0058524C" w:rsidRPr="00850074" w:rsidRDefault="0058524C" w:rsidP="0058524C">
      <w:pPr>
        <w:pStyle w:val="Titre2"/>
        <w:keepNext/>
        <w:jc w:val="left"/>
        <w:rPr>
          <w:sz w:val="24"/>
          <w:szCs w:val="24"/>
        </w:rPr>
      </w:pPr>
      <w:bookmarkStart w:id="615" w:name="_Toc42441144"/>
      <w:r w:rsidRPr="00850074">
        <w:rPr>
          <w:sz w:val="24"/>
          <w:szCs w:val="24"/>
        </w:rPr>
        <w:t>ORIGINES ET DISPONIBILITES DES MATERIAUX</w:t>
      </w:r>
      <w:bookmarkEnd w:id="615"/>
    </w:p>
    <w:p w14:paraId="6D7DFEEF" w14:textId="2E7CA3EC" w:rsidR="0058524C" w:rsidRPr="00850074" w:rsidRDefault="0058524C" w:rsidP="0058524C">
      <w:pPr>
        <w:pStyle w:val="S1-Header2"/>
        <w:numPr>
          <w:ilvl w:val="0"/>
          <w:numId w:val="0"/>
        </w:numPr>
        <w:rPr>
          <w:lang w:val="fr-FR"/>
        </w:rPr>
      </w:pPr>
      <w:r w:rsidRPr="0058524C">
        <w:rPr>
          <w:lang w:val="fr-FR" w:eastAsia="fr-FR"/>
        </w:rPr>
        <w:t>Travaux d’</w:t>
      </w:r>
      <w:proofErr w:type="spellStart"/>
      <w:r w:rsidRPr="0058524C">
        <w:rPr>
          <w:lang w:val="fr-FR" w:eastAsia="fr-FR"/>
        </w:rPr>
        <w:t>amenagement</w:t>
      </w:r>
      <w:proofErr w:type="spellEnd"/>
      <w:r w:rsidRPr="0058524C">
        <w:rPr>
          <w:lang w:val="fr-FR" w:eastAsia="fr-FR"/>
        </w:rPr>
        <w:t xml:space="preserve"> hydro agricole du bas fond de </w:t>
      </w:r>
      <w:proofErr w:type="spellStart"/>
      <w:r w:rsidRPr="0058524C">
        <w:rPr>
          <w:lang w:val="fr-FR" w:eastAsia="fr-FR"/>
        </w:rPr>
        <w:t>Kissakoro</w:t>
      </w:r>
      <w:proofErr w:type="spellEnd"/>
      <w:r w:rsidRPr="0058524C">
        <w:rPr>
          <w:lang w:val="fr-FR" w:eastAsia="fr-FR"/>
        </w:rPr>
        <w:t xml:space="preserve"> (212 ha) et construction d’un magasin de stockage et de conservation d’échalote - commune de </w:t>
      </w:r>
      <w:proofErr w:type="spellStart"/>
      <w:r w:rsidRPr="0058524C">
        <w:rPr>
          <w:lang w:val="fr-FR" w:eastAsia="fr-FR"/>
        </w:rPr>
        <w:t>Benkadi</w:t>
      </w:r>
      <w:proofErr w:type="spellEnd"/>
      <w:r w:rsidRPr="0058524C">
        <w:rPr>
          <w:lang w:val="fr-FR" w:eastAsia="fr-FR"/>
        </w:rPr>
        <w:t xml:space="preserve"> - </w:t>
      </w:r>
      <w:r w:rsidR="00AB1A40">
        <w:rPr>
          <w:lang w:val="fr-FR" w:eastAsia="fr-FR"/>
        </w:rPr>
        <w:t>Région de Dioïla</w:t>
      </w:r>
    </w:p>
    <w:p w14:paraId="15AA0605" w14:textId="77777777" w:rsidR="0058524C" w:rsidRPr="00850074" w:rsidRDefault="0058524C" w:rsidP="0058524C">
      <w:pPr>
        <w:pStyle w:val="Retraitcorpsdetexte"/>
        <w:rPr>
          <w:szCs w:val="24"/>
        </w:rPr>
      </w:pPr>
      <w:proofErr w:type="gramStart"/>
      <w:r w:rsidRPr="00850074">
        <w:rPr>
          <w:szCs w:val="24"/>
          <w:u w:val="single"/>
        </w:rPr>
        <w:t>Eau</w:t>
      </w:r>
      <w:r w:rsidRPr="00850074">
        <w:rPr>
          <w:szCs w:val="24"/>
        </w:rPr>
        <w:t> :</w:t>
      </w:r>
      <w:proofErr w:type="gramEnd"/>
      <w:r w:rsidRPr="00850074">
        <w:rPr>
          <w:szCs w:val="24"/>
        </w:rPr>
        <w:tab/>
        <w:t xml:space="preserve">le </w:t>
      </w:r>
      <w:proofErr w:type="spellStart"/>
      <w:r w:rsidRPr="00850074">
        <w:rPr>
          <w:szCs w:val="24"/>
        </w:rPr>
        <w:t>régime</w:t>
      </w:r>
      <w:proofErr w:type="spellEnd"/>
      <w:r w:rsidRPr="00850074">
        <w:rPr>
          <w:szCs w:val="24"/>
        </w:rPr>
        <w:t xml:space="preserve"> </w:t>
      </w:r>
      <w:proofErr w:type="spellStart"/>
      <w:r w:rsidRPr="00850074">
        <w:rPr>
          <w:szCs w:val="24"/>
        </w:rPr>
        <w:t>d’écoulement</w:t>
      </w:r>
      <w:proofErr w:type="spellEnd"/>
      <w:r w:rsidRPr="00850074">
        <w:rPr>
          <w:szCs w:val="24"/>
        </w:rPr>
        <w:t xml:space="preserve"> des </w:t>
      </w:r>
      <w:proofErr w:type="spellStart"/>
      <w:r w:rsidRPr="00850074">
        <w:rPr>
          <w:szCs w:val="24"/>
        </w:rPr>
        <w:t>bas-fonds</w:t>
      </w:r>
      <w:proofErr w:type="spellEnd"/>
      <w:r w:rsidRPr="00850074">
        <w:rPr>
          <w:szCs w:val="24"/>
        </w:rPr>
        <w:t xml:space="preserve"> </w:t>
      </w:r>
      <w:proofErr w:type="spellStart"/>
      <w:r w:rsidRPr="00850074">
        <w:rPr>
          <w:szCs w:val="24"/>
        </w:rPr>
        <w:t>dans</w:t>
      </w:r>
      <w:proofErr w:type="spellEnd"/>
      <w:r w:rsidRPr="00850074">
        <w:rPr>
          <w:szCs w:val="24"/>
        </w:rPr>
        <w:t xml:space="preserve"> la </w:t>
      </w:r>
      <w:proofErr w:type="spellStart"/>
      <w:r w:rsidRPr="00850074">
        <w:rPr>
          <w:szCs w:val="24"/>
        </w:rPr>
        <w:t>zone</w:t>
      </w:r>
      <w:proofErr w:type="spellEnd"/>
      <w:r w:rsidRPr="00850074">
        <w:rPr>
          <w:szCs w:val="24"/>
        </w:rPr>
        <w:t xml:space="preserve"> du </w:t>
      </w:r>
      <w:proofErr w:type="spellStart"/>
      <w:r w:rsidRPr="00850074">
        <w:rPr>
          <w:szCs w:val="24"/>
        </w:rPr>
        <w:t>projet</w:t>
      </w:r>
      <w:proofErr w:type="spellEnd"/>
      <w:r w:rsidRPr="00850074">
        <w:rPr>
          <w:szCs w:val="24"/>
        </w:rPr>
        <w:t xml:space="preserve"> </w:t>
      </w:r>
      <w:proofErr w:type="spellStart"/>
      <w:r w:rsidRPr="00850074">
        <w:rPr>
          <w:szCs w:val="24"/>
        </w:rPr>
        <w:t>est</w:t>
      </w:r>
      <w:proofErr w:type="spellEnd"/>
      <w:r w:rsidRPr="00850074">
        <w:rPr>
          <w:szCs w:val="24"/>
        </w:rPr>
        <w:t xml:space="preserve"> un </w:t>
      </w:r>
      <w:proofErr w:type="spellStart"/>
      <w:r w:rsidRPr="00850074">
        <w:rPr>
          <w:szCs w:val="24"/>
        </w:rPr>
        <w:t>régime</w:t>
      </w:r>
      <w:proofErr w:type="spellEnd"/>
      <w:r w:rsidRPr="00850074">
        <w:rPr>
          <w:szCs w:val="24"/>
        </w:rPr>
        <w:t xml:space="preserve"> </w:t>
      </w:r>
      <w:proofErr w:type="spellStart"/>
      <w:r w:rsidRPr="00850074">
        <w:rPr>
          <w:szCs w:val="24"/>
        </w:rPr>
        <w:t>temporaire</w:t>
      </w:r>
      <w:proofErr w:type="spellEnd"/>
      <w:r w:rsidRPr="00850074">
        <w:rPr>
          <w:szCs w:val="24"/>
        </w:rPr>
        <w:t xml:space="preserve"> </w:t>
      </w:r>
      <w:proofErr w:type="spellStart"/>
      <w:r w:rsidRPr="00850074">
        <w:rPr>
          <w:szCs w:val="24"/>
        </w:rPr>
        <w:t>généralement</w:t>
      </w:r>
      <w:proofErr w:type="spellEnd"/>
      <w:r w:rsidRPr="00850074">
        <w:rPr>
          <w:szCs w:val="24"/>
        </w:rPr>
        <w:t xml:space="preserve"> de </w:t>
      </w:r>
      <w:proofErr w:type="spellStart"/>
      <w:r w:rsidRPr="00850074">
        <w:rPr>
          <w:szCs w:val="24"/>
        </w:rPr>
        <w:t>juin</w:t>
      </w:r>
      <w:proofErr w:type="spellEnd"/>
      <w:r w:rsidRPr="00850074">
        <w:rPr>
          <w:szCs w:val="24"/>
        </w:rPr>
        <w:t xml:space="preserve"> à </w:t>
      </w:r>
      <w:proofErr w:type="spellStart"/>
      <w:r w:rsidRPr="00850074">
        <w:rPr>
          <w:szCs w:val="24"/>
        </w:rPr>
        <w:t>Octobre</w:t>
      </w:r>
      <w:proofErr w:type="spellEnd"/>
      <w:r w:rsidRPr="00850074">
        <w:rPr>
          <w:szCs w:val="24"/>
        </w:rPr>
        <w:t xml:space="preserve">, </w:t>
      </w:r>
      <w:proofErr w:type="spellStart"/>
      <w:r w:rsidRPr="00850074">
        <w:rPr>
          <w:szCs w:val="24"/>
        </w:rPr>
        <w:t>dépendant</w:t>
      </w:r>
      <w:proofErr w:type="spellEnd"/>
      <w:r w:rsidRPr="00850074">
        <w:rPr>
          <w:szCs w:val="24"/>
        </w:rPr>
        <w:t xml:space="preserve"> </w:t>
      </w:r>
      <w:proofErr w:type="spellStart"/>
      <w:r w:rsidRPr="00850074">
        <w:rPr>
          <w:szCs w:val="24"/>
        </w:rPr>
        <w:t>directement</w:t>
      </w:r>
      <w:proofErr w:type="spellEnd"/>
      <w:r w:rsidRPr="00850074">
        <w:rPr>
          <w:szCs w:val="24"/>
        </w:rPr>
        <w:t xml:space="preserve"> des </w:t>
      </w:r>
      <w:proofErr w:type="spellStart"/>
      <w:r w:rsidRPr="00850074">
        <w:rPr>
          <w:szCs w:val="24"/>
        </w:rPr>
        <w:t>précipitations</w:t>
      </w:r>
      <w:proofErr w:type="spellEnd"/>
      <w:r w:rsidRPr="00850074">
        <w:rPr>
          <w:szCs w:val="24"/>
        </w:rPr>
        <w:t xml:space="preserve">. Les </w:t>
      </w:r>
      <w:proofErr w:type="spellStart"/>
      <w:r w:rsidRPr="00850074">
        <w:rPr>
          <w:szCs w:val="24"/>
        </w:rPr>
        <w:t>points</w:t>
      </w:r>
      <w:proofErr w:type="spellEnd"/>
      <w:r w:rsidRPr="00850074">
        <w:rPr>
          <w:szCs w:val="24"/>
        </w:rPr>
        <w:t xml:space="preserve"> </w:t>
      </w:r>
      <w:proofErr w:type="spellStart"/>
      <w:r w:rsidRPr="00850074">
        <w:rPr>
          <w:szCs w:val="24"/>
        </w:rPr>
        <w:t>d’eau</w:t>
      </w:r>
      <w:proofErr w:type="spellEnd"/>
      <w:r w:rsidRPr="00850074">
        <w:rPr>
          <w:szCs w:val="24"/>
        </w:rPr>
        <w:t xml:space="preserve"> de </w:t>
      </w:r>
      <w:proofErr w:type="spellStart"/>
      <w:r w:rsidRPr="00850074">
        <w:rPr>
          <w:szCs w:val="24"/>
        </w:rPr>
        <w:t>surface</w:t>
      </w:r>
      <w:proofErr w:type="spellEnd"/>
      <w:r w:rsidRPr="00850074">
        <w:rPr>
          <w:szCs w:val="24"/>
        </w:rPr>
        <w:t xml:space="preserve"> </w:t>
      </w:r>
      <w:proofErr w:type="spellStart"/>
      <w:r w:rsidRPr="00850074">
        <w:rPr>
          <w:szCs w:val="24"/>
        </w:rPr>
        <w:t>permanents</w:t>
      </w:r>
      <w:proofErr w:type="spellEnd"/>
      <w:r w:rsidRPr="00850074">
        <w:rPr>
          <w:szCs w:val="24"/>
        </w:rPr>
        <w:t xml:space="preserve"> </w:t>
      </w:r>
      <w:proofErr w:type="spellStart"/>
      <w:r w:rsidRPr="00850074">
        <w:rPr>
          <w:szCs w:val="24"/>
        </w:rPr>
        <w:t>sont</w:t>
      </w:r>
      <w:proofErr w:type="spellEnd"/>
      <w:r w:rsidRPr="00850074">
        <w:rPr>
          <w:szCs w:val="24"/>
        </w:rPr>
        <w:t xml:space="preserve"> </w:t>
      </w:r>
      <w:proofErr w:type="spellStart"/>
      <w:r w:rsidRPr="00850074">
        <w:rPr>
          <w:szCs w:val="24"/>
        </w:rPr>
        <w:t>rares</w:t>
      </w:r>
      <w:proofErr w:type="spellEnd"/>
      <w:r w:rsidRPr="00850074">
        <w:rPr>
          <w:szCs w:val="24"/>
        </w:rPr>
        <w:t xml:space="preserve"> </w:t>
      </w:r>
      <w:proofErr w:type="spellStart"/>
      <w:r w:rsidRPr="00850074">
        <w:rPr>
          <w:szCs w:val="24"/>
        </w:rPr>
        <w:t>dans</w:t>
      </w:r>
      <w:proofErr w:type="spellEnd"/>
      <w:r w:rsidRPr="00850074">
        <w:rPr>
          <w:szCs w:val="24"/>
        </w:rPr>
        <w:t xml:space="preserve"> le </w:t>
      </w:r>
      <w:proofErr w:type="spellStart"/>
      <w:r w:rsidRPr="00850074">
        <w:rPr>
          <w:szCs w:val="24"/>
        </w:rPr>
        <w:t>village</w:t>
      </w:r>
      <w:proofErr w:type="spellEnd"/>
      <w:r w:rsidRPr="00850074">
        <w:rPr>
          <w:szCs w:val="24"/>
        </w:rPr>
        <w:t xml:space="preserve"> à </w:t>
      </w:r>
      <w:proofErr w:type="spellStart"/>
      <w:r w:rsidRPr="00850074">
        <w:rPr>
          <w:szCs w:val="24"/>
        </w:rPr>
        <w:t>l’exception</w:t>
      </w:r>
      <w:proofErr w:type="spellEnd"/>
      <w:r w:rsidRPr="00850074">
        <w:rPr>
          <w:szCs w:val="24"/>
        </w:rPr>
        <w:t xml:space="preserve"> du </w:t>
      </w:r>
      <w:proofErr w:type="spellStart"/>
      <w:r w:rsidRPr="00850074">
        <w:rPr>
          <w:szCs w:val="24"/>
        </w:rPr>
        <w:t>Bagoé</w:t>
      </w:r>
      <w:proofErr w:type="spellEnd"/>
      <w:r w:rsidRPr="00850074">
        <w:rPr>
          <w:szCs w:val="24"/>
        </w:rPr>
        <w:t xml:space="preserve"> situé à 7 km du </w:t>
      </w:r>
      <w:proofErr w:type="spellStart"/>
      <w:r w:rsidRPr="00850074">
        <w:rPr>
          <w:szCs w:val="24"/>
        </w:rPr>
        <w:t>site</w:t>
      </w:r>
      <w:proofErr w:type="spellEnd"/>
      <w:r w:rsidRPr="00850074">
        <w:rPr>
          <w:szCs w:val="24"/>
        </w:rPr>
        <w:t xml:space="preserve">. </w:t>
      </w:r>
      <w:proofErr w:type="spellStart"/>
      <w:r w:rsidRPr="00850074">
        <w:rPr>
          <w:szCs w:val="24"/>
        </w:rPr>
        <w:t>Cependant</w:t>
      </w:r>
      <w:proofErr w:type="spellEnd"/>
      <w:r w:rsidRPr="00850074">
        <w:rPr>
          <w:szCs w:val="24"/>
        </w:rPr>
        <w:t xml:space="preserve"> les </w:t>
      </w:r>
      <w:proofErr w:type="spellStart"/>
      <w:r w:rsidRPr="00850074">
        <w:rPr>
          <w:szCs w:val="24"/>
        </w:rPr>
        <w:t>nappes</w:t>
      </w:r>
      <w:proofErr w:type="spellEnd"/>
      <w:r w:rsidRPr="00850074">
        <w:rPr>
          <w:szCs w:val="24"/>
        </w:rPr>
        <w:t xml:space="preserve"> </w:t>
      </w:r>
      <w:proofErr w:type="spellStart"/>
      <w:r w:rsidRPr="00850074">
        <w:rPr>
          <w:szCs w:val="24"/>
        </w:rPr>
        <w:t>d’eau</w:t>
      </w:r>
      <w:proofErr w:type="spellEnd"/>
      <w:r w:rsidRPr="00850074">
        <w:rPr>
          <w:szCs w:val="24"/>
        </w:rPr>
        <w:t xml:space="preserve"> </w:t>
      </w:r>
      <w:proofErr w:type="spellStart"/>
      <w:r w:rsidRPr="00850074">
        <w:rPr>
          <w:szCs w:val="24"/>
        </w:rPr>
        <w:t>sont</w:t>
      </w:r>
      <w:proofErr w:type="spellEnd"/>
      <w:r w:rsidRPr="00850074">
        <w:rPr>
          <w:szCs w:val="24"/>
        </w:rPr>
        <w:t xml:space="preserve"> </w:t>
      </w:r>
      <w:proofErr w:type="spellStart"/>
      <w:r w:rsidRPr="00850074">
        <w:rPr>
          <w:szCs w:val="24"/>
        </w:rPr>
        <w:t>peu</w:t>
      </w:r>
      <w:proofErr w:type="spellEnd"/>
      <w:r w:rsidRPr="00850074">
        <w:rPr>
          <w:szCs w:val="24"/>
        </w:rPr>
        <w:t xml:space="preserve"> </w:t>
      </w:r>
      <w:proofErr w:type="spellStart"/>
      <w:r w:rsidRPr="00850074">
        <w:rPr>
          <w:szCs w:val="24"/>
        </w:rPr>
        <w:t>profondes</w:t>
      </w:r>
      <w:proofErr w:type="spellEnd"/>
      <w:r w:rsidRPr="00850074">
        <w:rPr>
          <w:szCs w:val="24"/>
        </w:rPr>
        <w:t xml:space="preserve"> sur le </w:t>
      </w:r>
      <w:proofErr w:type="spellStart"/>
      <w:r w:rsidRPr="00850074">
        <w:rPr>
          <w:szCs w:val="24"/>
        </w:rPr>
        <w:t>site</w:t>
      </w:r>
      <w:proofErr w:type="spellEnd"/>
      <w:r w:rsidRPr="00850074">
        <w:rPr>
          <w:szCs w:val="24"/>
        </w:rPr>
        <w:t xml:space="preserve"> (8-15mètres de </w:t>
      </w:r>
      <w:proofErr w:type="spellStart"/>
      <w:r w:rsidRPr="00850074">
        <w:rPr>
          <w:szCs w:val="24"/>
        </w:rPr>
        <w:t>profondeur</w:t>
      </w:r>
      <w:proofErr w:type="spellEnd"/>
      <w:r w:rsidRPr="00850074">
        <w:rPr>
          <w:szCs w:val="24"/>
        </w:rPr>
        <w:t xml:space="preserve">). </w:t>
      </w:r>
      <w:proofErr w:type="spellStart"/>
      <w:r w:rsidRPr="00850074">
        <w:rPr>
          <w:szCs w:val="24"/>
        </w:rPr>
        <w:t>On</w:t>
      </w:r>
      <w:proofErr w:type="spellEnd"/>
      <w:r w:rsidRPr="00850074">
        <w:rPr>
          <w:szCs w:val="24"/>
        </w:rPr>
        <w:t xml:space="preserve"> </w:t>
      </w:r>
      <w:proofErr w:type="spellStart"/>
      <w:r w:rsidRPr="00850074">
        <w:rPr>
          <w:szCs w:val="24"/>
        </w:rPr>
        <w:t>peut</w:t>
      </w:r>
      <w:proofErr w:type="spellEnd"/>
      <w:r w:rsidRPr="00850074">
        <w:rPr>
          <w:szCs w:val="24"/>
        </w:rPr>
        <w:t xml:space="preserve"> </w:t>
      </w:r>
      <w:proofErr w:type="spellStart"/>
      <w:r w:rsidRPr="00850074">
        <w:rPr>
          <w:szCs w:val="24"/>
        </w:rPr>
        <w:t>disposer</w:t>
      </w:r>
      <w:proofErr w:type="spellEnd"/>
      <w:r w:rsidRPr="00850074">
        <w:rPr>
          <w:szCs w:val="24"/>
        </w:rPr>
        <w:t xml:space="preserve"> de </w:t>
      </w:r>
      <w:proofErr w:type="spellStart"/>
      <w:r w:rsidRPr="00850074">
        <w:rPr>
          <w:szCs w:val="24"/>
        </w:rPr>
        <w:t>l’eau</w:t>
      </w:r>
      <w:proofErr w:type="spellEnd"/>
      <w:r w:rsidRPr="00850074">
        <w:rPr>
          <w:szCs w:val="24"/>
        </w:rPr>
        <w:t xml:space="preserve"> </w:t>
      </w:r>
      <w:proofErr w:type="spellStart"/>
      <w:r w:rsidRPr="00850074">
        <w:rPr>
          <w:szCs w:val="24"/>
        </w:rPr>
        <w:t>pour</w:t>
      </w:r>
      <w:proofErr w:type="spellEnd"/>
      <w:r w:rsidRPr="00850074">
        <w:rPr>
          <w:szCs w:val="24"/>
        </w:rPr>
        <w:t xml:space="preserve"> les </w:t>
      </w:r>
      <w:proofErr w:type="spellStart"/>
      <w:r w:rsidRPr="00850074">
        <w:rPr>
          <w:szCs w:val="24"/>
        </w:rPr>
        <w:t>travaux</w:t>
      </w:r>
      <w:proofErr w:type="spellEnd"/>
      <w:r w:rsidRPr="00850074">
        <w:rPr>
          <w:szCs w:val="24"/>
        </w:rPr>
        <w:t xml:space="preserve"> à </w:t>
      </w:r>
      <w:proofErr w:type="spellStart"/>
      <w:r w:rsidRPr="00850074">
        <w:rPr>
          <w:szCs w:val="24"/>
        </w:rPr>
        <w:t>travers</w:t>
      </w:r>
      <w:proofErr w:type="spellEnd"/>
      <w:r w:rsidRPr="00850074">
        <w:rPr>
          <w:szCs w:val="24"/>
        </w:rPr>
        <w:t xml:space="preserve"> des </w:t>
      </w:r>
      <w:proofErr w:type="spellStart"/>
      <w:r w:rsidRPr="00850074">
        <w:rPr>
          <w:szCs w:val="24"/>
        </w:rPr>
        <w:t>puits</w:t>
      </w:r>
      <w:proofErr w:type="spellEnd"/>
      <w:r w:rsidRPr="00850074">
        <w:rPr>
          <w:szCs w:val="24"/>
        </w:rPr>
        <w:t xml:space="preserve"> </w:t>
      </w:r>
      <w:proofErr w:type="spellStart"/>
      <w:r w:rsidRPr="00850074">
        <w:rPr>
          <w:szCs w:val="24"/>
        </w:rPr>
        <w:t>creusés</w:t>
      </w:r>
      <w:proofErr w:type="spellEnd"/>
      <w:r w:rsidRPr="00850074">
        <w:rPr>
          <w:szCs w:val="24"/>
        </w:rPr>
        <w:t xml:space="preserve"> </w:t>
      </w:r>
      <w:proofErr w:type="spellStart"/>
      <w:r w:rsidRPr="00850074">
        <w:rPr>
          <w:szCs w:val="24"/>
        </w:rPr>
        <w:t>dans</w:t>
      </w:r>
      <w:proofErr w:type="spellEnd"/>
      <w:r w:rsidRPr="00850074">
        <w:rPr>
          <w:szCs w:val="24"/>
        </w:rPr>
        <w:t xml:space="preserve"> le </w:t>
      </w:r>
      <w:proofErr w:type="spellStart"/>
      <w:r w:rsidRPr="00850074">
        <w:rPr>
          <w:szCs w:val="24"/>
        </w:rPr>
        <w:t>bas</w:t>
      </w:r>
      <w:proofErr w:type="spellEnd"/>
      <w:r w:rsidRPr="00850074">
        <w:rPr>
          <w:szCs w:val="24"/>
        </w:rPr>
        <w:t xml:space="preserve"> </w:t>
      </w:r>
      <w:proofErr w:type="spellStart"/>
      <w:r w:rsidRPr="00850074">
        <w:rPr>
          <w:szCs w:val="24"/>
        </w:rPr>
        <w:t>fond</w:t>
      </w:r>
      <w:proofErr w:type="spellEnd"/>
      <w:r w:rsidRPr="00850074">
        <w:rPr>
          <w:szCs w:val="24"/>
        </w:rPr>
        <w:t>.</w:t>
      </w:r>
    </w:p>
    <w:p w14:paraId="36B5B693" w14:textId="77777777" w:rsidR="0058524C" w:rsidRPr="00850074" w:rsidRDefault="0058524C" w:rsidP="0058524C">
      <w:pPr>
        <w:ind w:left="2124" w:hanging="1416"/>
        <w:rPr>
          <w:szCs w:val="24"/>
        </w:rPr>
      </w:pPr>
      <w:r w:rsidRPr="00850074">
        <w:rPr>
          <w:szCs w:val="24"/>
          <w:u w:val="single"/>
        </w:rPr>
        <w:t>Sable</w:t>
      </w:r>
      <w:r w:rsidRPr="00850074">
        <w:rPr>
          <w:szCs w:val="24"/>
        </w:rPr>
        <w:t> :</w:t>
      </w:r>
      <w:r w:rsidRPr="00850074">
        <w:rPr>
          <w:szCs w:val="24"/>
        </w:rPr>
        <w:tab/>
        <w:t>Les carrières de sable propre les plus proches sont</w:t>
      </w:r>
    </w:p>
    <w:p w14:paraId="7429E730" w14:textId="77777777" w:rsidR="0058524C" w:rsidRPr="00850074" w:rsidRDefault="0058524C" w:rsidP="002A45C1">
      <w:pPr>
        <w:numPr>
          <w:ilvl w:val="0"/>
          <w:numId w:val="108"/>
        </w:numPr>
        <w:tabs>
          <w:tab w:val="clear" w:pos="720"/>
          <w:tab w:val="num" w:pos="2410"/>
        </w:tabs>
        <w:spacing w:after="0"/>
        <w:ind w:left="2410" w:hanging="283"/>
        <w:rPr>
          <w:szCs w:val="24"/>
        </w:rPr>
      </w:pPr>
      <w:r w:rsidRPr="00850074">
        <w:rPr>
          <w:szCs w:val="24"/>
        </w:rPr>
        <w:t xml:space="preserve"> Les carrières du fleuve Bagoé à </w:t>
      </w:r>
      <w:proofErr w:type="spellStart"/>
      <w:r w:rsidRPr="00850074">
        <w:rPr>
          <w:szCs w:val="24"/>
        </w:rPr>
        <w:t>Tiemba</w:t>
      </w:r>
      <w:proofErr w:type="spellEnd"/>
      <w:r w:rsidRPr="00850074">
        <w:rPr>
          <w:szCs w:val="24"/>
        </w:rPr>
        <w:t xml:space="preserve"> (à environ 10 km du site).</w:t>
      </w:r>
    </w:p>
    <w:p w14:paraId="069708B6" w14:textId="77777777" w:rsidR="0058524C" w:rsidRPr="00850074" w:rsidRDefault="0058524C" w:rsidP="0058524C">
      <w:pPr>
        <w:ind w:left="2124" w:hanging="1416"/>
        <w:rPr>
          <w:szCs w:val="24"/>
        </w:rPr>
      </w:pPr>
      <w:r w:rsidRPr="00850074">
        <w:rPr>
          <w:szCs w:val="24"/>
          <w:u w:val="single"/>
        </w:rPr>
        <w:t>Gravier</w:t>
      </w:r>
      <w:r w:rsidRPr="00850074">
        <w:rPr>
          <w:szCs w:val="24"/>
        </w:rPr>
        <w:t> :</w:t>
      </w:r>
      <w:r w:rsidRPr="00850074">
        <w:rPr>
          <w:szCs w:val="24"/>
        </w:rPr>
        <w:tab/>
        <w:t>Les carrières de gravier de bonne qualité sont :</w:t>
      </w:r>
    </w:p>
    <w:p w14:paraId="6B35F3B9" w14:textId="77777777" w:rsidR="0058524C" w:rsidRPr="00850074" w:rsidRDefault="0058524C" w:rsidP="002A45C1">
      <w:pPr>
        <w:numPr>
          <w:ilvl w:val="0"/>
          <w:numId w:val="108"/>
        </w:numPr>
        <w:tabs>
          <w:tab w:val="clear" w:pos="720"/>
          <w:tab w:val="num" w:pos="2410"/>
        </w:tabs>
        <w:spacing w:after="0"/>
        <w:ind w:left="2410" w:hanging="283"/>
        <w:rPr>
          <w:szCs w:val="24"/>
        </w:rPr>
      </w:pPr>
      <w:r w:rsidRPr="00850074">
        <w:rPr>
          <w:szCs w:val="24"/>
        </w:rPr>
        <w:t xml:space="preserve">Les carrières du fleuve Bagoé à </w:t>
      </w:r>
      <w:proofErr w:type="spellStart"/>
      <w:r w:rsidRPr="00850074">
        <w:rPr>
          <w:szCs w:val="24"/>
        </w:rPr>
        <w:t>Tiemba</w:t>
      </w:r>
      <w:proofErr w:type="spellEnd"/>
      <w:r w:rsidRPr="00850074">
        <w:rPr>
          <w:szCs w:val="24"/>
        </w:rPr>
        <w:t xml:space="preserve"> (à environ 10 km du site).</w:t>
      </w:r>
      <w:r w:rsidRPr="00850074">
        <w:rPr>
          <w:szCs w:val="24"/>
        </w:rPr>
        <w:tab/>
      </w:r>
    </w:p>
    <w:p w14:paraId="0FD3F699" w14:textId="77777777" w:rsidR="0058524C" w:rsidRPr="00850074" w:rsidRDefault="0058524C" w:rsidP="0058524C">
      <w:pPr>
        <w:ind w:left="2124" w:hanging="1416"/>
        <w:rPr>
          <w:szCs w:val="24"/>
        </w:rPr>
      </w:pPr>
      <w:r w:rsidRPr="00850074">
        <w:rPr>
          <w:szCs w:val="24"/>
          <w:u w:val="single"/>
        </w:rPr>
        <w:t>Moellons</w:t>
      </w:r>
      <w:r w:rsidRPr="00850074">
        <w:rPr>
          <w:szCs w:val="24"/>
        </w:rPr>
        <w:t> :</w:t>
      </w:r>
      <w:r w:rsidRPr="00850074">
        <w:rPr>
          <w:szCs w:val="24"/>
        </w:rPr>
        <w:tab/>
        <w:t>Les carrières de moellon de bonne qualité sont :</w:t>
      </w:r>
    </w:p>
    <w:p w14:paraId="51A7FEC2" w14:textId="77777777" w:rsidR="0058524C" w:rsidRPr="00850074" w:rsidRDefault="0058524C" w:rsidP="002A45C1">
      <w:pPr>
        <w:numPr>
          <w:ilvl w:val="0"/>
          <w:numId w:val="109"/>
        </w:numPr>
        <w:spacing w:after="0"/>
        <w:ind w:left="2410" w:hanging="283"/>
        <w:rPr>
          <w:szCs w:val="24"/>
        </w:rPr>
      </w:pPr>
      <w:r w:rsidRPr="00850074">
        <w:rPr>
          <w:szCs w:val="24"/>
        </w:rPr>
        <w:t xml:space="preserve">Sur le plateau de </w:t>
      </w:r>
      <w:proofErr w:type="spellStart"/>
      <w:r w:rsidRPr="00850074">
        <w:rPr>
          <w:i/>
          <w:iCs/>
          <w:szCs w:val="24"/>
        </w:rPr>
        <w:t>Béléni</w:t>
      </w:r>
      <w:proofErr w:type="spellEnd"/>
      <w:r w:rsidRPr="00850074">
        <w:rPr>
          <w:szCs w:val="24"/>
        </w:rPr>
        <w:t xml:space="preserve"> à 2 km au Sud on trouve des champs de moellons latéritiques de grande importance. Une sélection devra être faite pour approvisionner les pierres de bonne résistance. </w:t>
      </w:r>
    </w:p>
    <w:p w14:paraId="34E534A4" w14:textId="77777777" w:rsidR="0058524C" w:rsidRPr="00850074" w:rsidRDefault="0058524C" w:rsidP="0058524C">
      <w:pPr>
        <w:ind w:left="2124" w:hanging="1416"/>
        <w:rPr>
          <w:szCs w:val="24"/>
        </w:rPr>
      </w:pPr>
      <w:r w:rsidRPr="00850074">
        <w:rPr>
          <w:szCs w:val="24"/>
          <w:u w:val="single"/>
        </w:rPr>
        <w:t>Latérite</w:t>
      </w:r>
      <w:r w:rsidRPr="00850074">
        <w:rPr>
          <w:szCs w:val="24"/>
        </w:rPr>
        <w:t xml:space="preserve"> : </w:t>
      </w:r>
      <w:r w:rsidRPr="00850074">
        <w:rPr>
          <w:szCs w:val="24"/>
        </w:rPr>
        <w:tab/>
        <w:t xml:space="preserve">les carrières de latérite sont disponibles sur les plateaux environnant de </w:t>
      </w:r>
      <w:proofErr w:type="spellStart"/>
      <w:r w:rsidRPr="00850074">
        <w:rPr>
          <w:szCs w:val="24"/>
        </w:rPr>
        <w:t>Béléni</w:t>
      </w:r>
      <w:proofErr w:type="spellEnd"/>
      <w:r w:rsidRPr="00850074">
        <w:rPr>
          <w:szCs w:val="24"/>
        </w:rPr>
        <w:t xml:space="preserve"> et de </w:t>
      </w:r>
      <w:proofErr w:type="spellStart"/>
      <w:r w:rsidRPr="00850074">
        <w:rPr>
          <w:szCs w:val="24"/>
        </w:rPr>
        <w:t>Béléba</w:t>
      </w:r>
      <w:proofErr w:type="spellEnd"/>
      <w:r w:rsidRPr="00850074">
        <w:rPr>
          <w:szCs w:val="24"/>
        </w:rPr>
        <w:t xml:space="preserve"> à moins de 4 km du site.</w:t>
      </w:r>
    </w:p>
    <w:p w14:paraId="58213B16" w14:textId="77777777" w:rsidR="0058524C" w:rsidRPr="00850074" w:rsidRDefault="0058524C" w:rsidP="0058524C">
      <w:pPr>
        <w:ind w:left="2124" w:hanging="1416"/>
        <w:rPr>
          <w:szCs w:val="24"/>
        </w:rPr>
      </w:pPr>
      <w:r w:rsidRPr="00850074">
        <w:rPr>
          <w:szCs w:val="24"/>
          <w:u w:val="single"/>
        </w:rPr>
        <w:t>Argile</w:t>
      </w:r>
      <w:r w:rsidRPr="00850074">
        <w:rPr>
          <w:szCs w:val="24"/>
        </w:rPr>
        <w:t> :</w:t>
      </w:r>
      <w:r w:rsidRPr="00850074">
        <w:rPr>
          <w:szCs w:val="24"/>
        </w:rPr>
        <w:tab/>
        <w:t>les carrières d’argile très plastique et de grande importance sont disponibles dans la plaine. La carrière devra faire l’objet d’une identification avec le village avant les travaux.</w:t>
      </w:r>
    </w:p>
    <w:p w14:paraId="0DE4AE16" w14:textId="77777777" w:rsidR="0058524C" w:rsidRPr="00850074" w:rsidRDefault="0058524C" w:rsidP="0058524C">
      <w:pPr>
        <w:pStyle w:val="Retraitcorpsdetexte2"/>
        <w:rPr>
          <w:szCs w:val="24"/>
        </w:rPr>
      </w:pPr>
      <w:proofErr w:type="spellStart"/>
      <w:proofErr w:type="gramStart"/>
      <w:r w:rsidRPr="00850074">
        <w:rPr>
          <w:szCs w:val="24"/>
          <w:u w:val="single"/>
        </w:rPr>
        <w:t>Cimen</w:t>
      </w:r>
      <w:r w:rsidRPr="00850074">
        <w:rPr>
          <w:szCs w:val="24"/>
        </w:rPr>
        <w:t>t</w:t>
      </w:r>
      <w:proofErr w:type="spellEnd"/>
      <w:r w:rsidRPr="00850074">
        <w:rPr>
          <w:szCs w:val="24"/>
        </w:rPr>
        <w:t> :</w:t>
      </w:r>
      <w:proofErr w:type="gramEnd"/>
      <w:r w:rsidRPr="00850074">
        <w:rPr>
          <w:szCs w:val="24"/>
        </w:rPr>
        <w:tab/>
        <w:t xml:space="preserve">Portland </w:t>
      </w:r>
      <w:proofErr w:type="spellStart"/>
      <w:r w:rsidRPr="00850074">
        <w:rPr>
          <w:szCs w:val="24"/>
        </w:rPr>
        <w:t>Artificiel</w:t>
      </w:r>
      <w:proofErr w:type="spellEnd"/>
      <w:r w:rsidRPr="00850074">
        <w:rPr>
          <w:szCs w:val="24"/>
        </w:rPr>
        <w:t xml:space="preserve"> </w:t>
      </w:r>
      <w:proofErr w:type="spellStart"/>
      <w:r w:rsidRPr="00850074">
        <w:rPr>
          <w:szCs w:val="24"/>
        </w:rPr>
        <w:t>Composé</w:t>
      </w:r>
      <w:proofErr w:type="spellEnd"/>
      <w:r w:rsidRPr="00850074">
        <w:rPr>
          <w:szCs w:val="24"/>
        </w:rPr>
        <w:t xml:space="preserve"> (CPA) </w:t>
      </w:r>
      <w:proofErr w:type="spellStart"/>
      <w:r w:rsidRPr="00850074">
        <w:rPr>
          <w:szCs w:val="24"/>
        </w:rPr>
        <w:t>ou</w:t>
      </w:r>
      <w:proofErr w:type="spellEnd"/>
      <w:r w:rsidRPr="00850074">
        <w:rPr>
          <w:szCs w:val="24"/>
        </w:rPr>
        <w:t xml:space="preserve"> (CPJ) </w:t>
      </w:r>
      <w:proofErr w:type="spellStart"/>
      <w:r w:rsidRPr="00850074">
        <w:rPr>
          <w:szCs w:val="24"/>
        </w:rPr>
        <w:t>sera</w:t>
      </w:r>
      <w:proofErr w:type="spellEnd"/>
      <w:r w:rsidRPr="00850074">
        <w:rPr>
          <w:szCs w:val="24"/>
        </w:rPr>
        <w:t xml:space="preserve"> importé </w:t>
      </w:r>
      <w:proofErr w:type="spellStart"/>
      <w:r w:rsidRPr="00850074">
        <w:rPr>
          <w:szCs w:val="24"/>
        </w:rPr>
        <w:t>ainsi</w:t>
      </w:r>
      <w:proofErr w:type="spellEnd"/>
      <w:r w:rsidRPr="00850074">
        <w:rPr>
          <w:szCs w:val="24"/>
        </w:rPr>
        <w:t xml:space="preserve"> que les </w:t>
      </w:r>
      <w:proofErr w:type="spellStart"/>
      <w:r w:rsidRPr="00850074">
        <w:rPr>
          <w:szCs w:val="24"/>
        </w:rPr>
        <w:t>adjuvants</w:t>
      </w:r>
      <w:proofErr w:type="spellEnd"/>
      <w:r w:rsidRPr="00850074">
        <w:rPr>
          <w:szCs w:val="24"/>
        </w:rPr>
        <w:t xml:space="preserve"> </w:t>
      </w:r>
      <w:proofErr w:type="spellStart"/>
      <w:r w:rsidRPr="00850074">
        <w:rPr>
          <w:szCs w:val="24"/>
        </w:rPr>
        <w:t>éventuels</w:t>
      </w:r>
      <w:proofErr w:type="spellEnd"/>
      <w:r w:rsidRPr="00850074">
        <w:rPr>
          <w:szCs w:val="24"/>
        </w:rPr>
        <w:t>,</w:t>
      </w:r>
    </w:p>
    <w:p w14:paraId="18F73578" w14:textId="77777777" w:rsidR="0058524C" w:rsidRPr="00850074" w:rsidRDefault="0058524C" w:rsidP="0058524C">
      <w:pPr>
        <w:ind w:left="2124" w:hanging="1419"/>
        <w:rPr>
          <w:szCs w:val="24"/>
        </w:rPr>
      </w:pPr>
      <w:r w:rsidRPr="00850074">
        <w:rPr>
          <w:szCs w:val="24"/>
          <w:u w:val="single"/>
        </w:rPr>
        <w:t>Le fer à béton</w:t>
      </w:r>
      <w:r w:rsidRPr="00850074">
        <w:rPr>
          <w:szCs w:val="24"/>
        </w:rPr>
        <w:t> : sera importé.</w:t>
      </w:r>
    </w:p>
    <w:p w14:paraId="5ECB0E44" w14:textId="77777777" w:rsidR="0058524C" w:rsidRPr="00850074" w:rsidRDefault="0058524C" w:rsidP="0058524C">
      <w:pPr>
        <w:spacing w:after="0"/>
        <w:rPr>
          <w:b/>
          <w:szCs w:val="24"/>
        </w:rPr>
      </w:pPr>
      <w:r w:rsidRPr="00850074">
        <w:rPr>
          <w:b/>
          <w:szCs w:val="24"/>
        </w:rPr>
        <w:t xml:space="preserve">5.5.1 Provenance des matériaux en général </w:t>
      </w:r>
    </w:p>
    <w:p w14:paraId="2EEF2018" w14:textId="77777777" w:rsidR="0058524C" w:rsidRPr="0058524C" w:rsidRDefault="0058524C" w:rsidP="0058524C">
      <w:pPr>
        <w:pStyle w:val="TM12"/>
        <w:jc w:val="both"/>
        <w:rPr>
          <w:iCs/>
          <w:szCs w:val="24"/>
          <w:lang w:val="fr-FR"/>
        </w:rPr>
      </w:pPr>
      <w:r w:rsidRPr="0058524C">
        <w:rPr>
          <w:rFonts w:ascii="Times New Roman" w:hAnsi="Times New Roman"/>
          <w:b w:val="0"/>
          <w:bCs w:val="0"/>
          <w:i w:val="0"/>
          <w:iCs/>
          <w:sz w:val="24"/>
          <w:szCs w:val="24"/>
          <w:lang w:val="fr-FR"/>
        </w:rPr>
        <w:t xml:space="preserve">Les matériaux nécessaires à la construction de toutes parties d'ouvrages ne pourront être utilisés qu'après agrément de l'Ingénieur Conseil. </w:t>
      </w:r>
    </w:p>
    <w:p w14:paraId="26AF06F2" w14:textId="77777777" w:rsidR="0058524C" w:rsidRPr="0058524C" w:rsidRDefault="0058524C" w:rsidP="0058524C">
      <w:pPr>
        <w:pStyle w:val="TM12"/>
        <w:jc w:val="both"/>
        <w:rPr>
          <w:iCs/>
          <w:szCs w:val="24"/>
          <w:lang w:val="fr-FR"/>
        </w:rPr>
      </w:pPr>
      <w:r w:rsidRPr="0058524C">
        <w:rPr>
          <w:rFonts w:ascii="Times New Roman" w:hAnsi="Times New Roman"/>
          <w:b w:val="0"/>
          <w:bCs w:val="0"/>
          <w:i w:val="0"/>
          <w:iCs/>
          <w:sz w:val="24"/>
          <w:szCs w:val="24"/>
          <w:lang w:val="fr-FR"/>
        </w:rPr>
        <w:t xml:space="preserve">Tous les matériaux et fournitures utilisés pour les travaux seront neufs sans traces d'usure, de première qualité et de la meilleure fabrication. A aucun titre, des matériaux ou fournitures de qualité inférieure ne pourront être acceptés dans les travaux. Tous les travaux de façonnage et d'assemblage relatifs aux fournitures devront être exécutés suivant les meilleures règles de l'art. L'Entrepreneur sera tenu de fournir à ses fournisseurs ou ses sous-traitants toutes les spécifications et informations nécessaires pour que les matériaux ou les fournitures qui seront livrés sur le chantier pour être incorporés aux travaux définitifs soient conformes aux normes de qualité exigées. </w:t>
      </w:r>
    </w:p>
    <w:p w14:paraId="23AA3DAB" w14:textId="77777777" w:rsidR="0058524C" w:rsidRPr="0058524C" w:rsidRDefault="0058524C" w:rsidP="0058524C">
      <w:pPr>
        <w:pStyle w:val="TM12"/>
        <w:jc w:val="both"/>
        <w:rPr>
          <w:iCs/>
          <w:szCs w:val="24"/>
          <w:lang w:val="fr-FR"/>
        </w:rPr>
      </w:pPr>
      <w:r w:rsidRPr="0058524C">
        <w:rPr>
          <w:rFonts w:ascii="Times New Roman" w:hAnsi="Times New Roman"/>
          <w:b w:val="0"/>
          <w:bCs w:val="0"/>
          <w:i w:val="0"/>
          <w:iCs/>
          <w:sz w:val="24"/>
          <w:szCs w:val="24"/>
          <w:lang w:val="fr-FR"/>
        </w:rPr>
        <w:t xml:space="preserve">Le choix des gisements, carrières et usines pour tous les matériaux et liants tels que sable, agrégats, ciment, aciers, etc., ainsi que les éventuelles conditions de mélange seront proposées par l'Entreprise avec justification à l’appui, dans son projet d’exécution à soumettre à l'agrément de l'Ingénieur Conseil. </w:t>
      </w:r>
    </w:p>
    <w:p w14:paraId="550C9519" w14:textId="77777777" w:rsidR="0058524C" w:rsidRPr="0058524C" w:rsidRDefault="0058524C" w:rsidP="0058524C">
      <w:pPr>
        <w:pStyle w:val="TM12"/>
        <w:jc w:val="both"/>
        <w:rPr>
          <w:iCs/>
          <w:szCs w:val="24"/>
          <w:lang w:val="fr-FR"/>
        </w:rPr>
      </w:pPr>
      <w:r w:rsidRPr="0058524C">
        <w:rPr>
          <w:rFonts w:ascii="Times New Roman" w:hAnsi="Times New Roman"/>
          <w:b w:val="0"/>
          <w:bCs w:val="0"/>
          <w:i w:val="0"/>
          <w:iCs/>
          <w:sz w:val="24"/>
          <w:szCs w:val="24"/>
          <w:lang w:val="fr-FR"/>
        </w:rPr>
        <w:t xml:space="preserve"> </w:t>
      </w:r>
    </w:p>
    <w:p w14:paraId="5EC0C0F6" w14:textId="77777777" w:rsidR="0058524C" w:rsidRPr="0058524C" w:rsidRDefault="0058524C" w:rsidP="0058524C">
      <w:pPr>
        <w:pStyle w:val="TM12"/>
        <w:jc w:val="both"/>
        <w:rPr>
          <w:iCs/>
          <w:szCs w:val="24"/>
          <w:lang w:val="fr-FR"/>
        </w:rPr>
      </w:pPr>
      <w:r w:rsidRPr="0058524C">
        <w:rPr>
          <w:rFonts w:ascii="Times New Roman" w:hAnsi="Times New Roman"/>
          <w:b w:val="0"/>
          <w:bCs w:val="0"/>
          <w:i w:val="0"/>
          <w:iCs/>
          <w:sz w:val="24"/>
          <w:szCs w:val="24"/>
          <w:lang w:val="fr-FR"/>
        </w:rPr>
        <w:t xml:space="preserve">L'Entrepreneur fera son affaire, à ses frais, de toute redevance nécessaire pour obtenir les autorisations d'exploitation, d'achat ou d'importation qui s'avéreraient nécessaires. </w:t>
      </w:r>
    </w:p>
    <w:p w14:paraId="23B79840" w14:textId="77777777" w:rsidR="0058524C" w:rsidRPr="0058524C" w:rsidRDefault="0058524C" w:rsidP="0058524C">
      <w:pPr>
        <w:pStyle w:val="TM12"/>
        <w:jc w:val="both"/>
        <w:rPr>
          <w:iCs/>
          <w:szCs w:val="24"/>
          <w:lang w:val="fr-FR"/>
        </w:rPr>
      </w:pPr>
      <w:r w:rsidRPr="0058524C">
        <w:rPr>
          <w:rFonts w:ascii="Times New Roman" w:hAnsi="Times New Roman"/>
          <w:b w:val="0"/>
          <w:bCs w:val="0"/>
          <w:i w:val="0"/>
          <w:iCs/>
          <w:sz w:val="24"/>
          <w:szCs w:val="24"/>
          <w:lang w:val="fr-FR"/>
        </w:rPr>
        <w:t xml:space="preserve">L'Entrepreneur est réputé fournisseur exclusif de tous les matériaux entrant dans la construction des ouvrages. </w:t>
      </w:r>
    </w:p>
    <w:p w14:paraId="5558A4E4" w14:textId="77777777" w:rsidR="0058524C" w:rsidRPr="0058524C" w:rsidRDefault="0058524C" w:rsidP="0058524C">
      <w:pPr>
        <w:pStyle w:val="TM12"/>
        <w:jc w:val="both"/>
        <w:rPr>
          <w:iCs/>
          <w:szCs w:val="24"/>
          <w:lang w:val="fr-FR"/>
        </w:rPr>
      </w:pPr>
      <w:r w:rsidRPr="0058524C">
        <w:rPr>
          <w:rFonts w:ascii="Times New Roman" w:hAnsi="Times New Roman"/>
          <w:b w:val="0"/>
          <w:bCs w:val="0"/>
          <w:i w:val="0"/>
          <w:iCs/>
          <w:sz w:val="24"/>
          <w:szCs w:val="24"/>
          <w:lang w:val="fr-FR"/>
        </w:rPr>
        <w:t xml:space="preserve">L'Ingénieur Conseil pourra interdire l'emploi de matériaux jugés par lui inadéquats au moment de la livraison, même si l'origine en a été fixée ou agréée par lui sans que l'Entrepreneur puisse en faire un motif de réclamation. </w:t>
      </w:r>
    </w:p>
    <w:p w14:paraId="44BAB045" w14:textId="77777777" w:rsidR="0058524C" w:rsidRPr="0058524C" w:rsidRDefault="0058524C" w:rsidP="0058524C">
      <w:pPr>
        <w:pStyle w:val="TM12"/>
        <w:jc w:val="both"/>
        <w:rPr>
          <w:iCs/>
          <w:szCs w:val="24"/>
          <w:lang w:val="fr-FR"/>
        </w:rPr>
      </w:pPr>
      <w:r w:rsidRPr="0058524C">
        <w:rPr>
          <w:rFonts w:ascii="Times New Roman" w:hAnsi="Times New Roman"/>
          <w:b w:val="0"/>
          <w:bCs w:val="0"/>
          <w:i w:val="0"/>
          <w:iCs/>
          <w:sz w:val="24"/>
          <w:szCs w:val="24"/>
          <w:lang w:val="fr-FR"/>
        </w:rPr>
        <w:t xml:space="preserve">A signaler que les agrégats pour béton pourront provenir des carrières à ciel ouvert entourant le site et que les matériaux pour remblais auront pour origine des emprunts. Dans tous les cas, les agrégats ou matériaux devront être agrées par le maître de l'œuvre, l'Entrepreneur devra à cet effet, organiser ses décharges pour pouvoir y mettre en dépôt, séparément les matériaux ou agrégats jugés convenables. </w:t>
      </w:r>
    </w:p>
    <w:p w14:paraId="4909210E" w14:textId="77777777" w:rsidR="0058524C" w:rsidRPr="0058524C" w:rsidRDefault="0058524C" w:rsidP="0058524C">
      <w:pPr>
        <w:pStyle w:val="TM12"/>
        <w:jc w:val="both"/>
        <w:rPr>
          <w:iCs/>
          <w:szCs w:val="24"/>
          <w:lang w:val="fr-FR"/>
        </w:rPr>
      </w:pPr>
      <w:r w:rsidRPr="0058524C">
        <w:rPr>
          <w:rFonts w:ascii="Times New Roman" w:hAnsi="Times New Roman"/>
          <w:b w:val="0"/>
          <w:bCs w:val="0"/>
          <w:i w:val="0"/>
          <w:iCs/>
          <w:sz w:val="24"/>
          <w:szCs w:val="24"/>
          <w:lang w:val="fr-FR"/>
        </w:rPr>
        <w:t xml:space="preserve">L'Entrepreneur sera tenu d'avoir reconnu les lieux et d'avoir procédé à toutes les analyses nécessaires à la détermination des caractéristiques des matériaux employés pour la réalisation du projet. </w:t>
      </w:r>
    </w:p>
    <w:p w14:paraId="7E45F5B1" w14:textId="77777777" w:rsidR="0058524C" w:rsidRPr="0058524C" w:rsidRDefault="0058524C" w:rsidP="0058524C">
      <w:pPr>
        <w:pStyle w:val="TM12"/>
        <w:jc w:val="both"/>
        <w:rPr>
          <w:iCs/>
          <w:szCs w:val="24"/>
          <w:lang w:val="fr-FR"/>
        </w:rPr>
      </w:pPr>
      <w:r w:rsidRPr="0058524C">
        <w:rPr>
          <w:rFonts w:ascii="Times New Roman" w:hAnsi="Times New Roman"/>
          <w:b w:val="0"/>
          <w:bCs w:val="0"/>
          <w:i w:val="0"/>
          <w:iCs/>
          <w:sz w:val="24"/>
          <w:szCs w:val="24"/>
          <w:lang w:val="fr-FR"/>
        </w:rPr>
        <w:t xml:space="preserve">L'Ingénieur Conseil se réserve le droit d'exercer son contrôle dans les carrières, magasins et chantiers de l'Entrepreneur et ceux de ses sous-traitants tant sur la préparation que sur la mise en œuvre des matériaux, matières et produits entrant dans la composition des ouvrages.   Les contrôles ne diminuent en rien la responsabilité de l'Entrepreneur quant à la bonne qualité des matériaux, matières et produits mis en œuvre. </w:t>
      </w:r>
    </w:p>
    <w:p w14:paraId="5CEF7ECF" w14:textId="77777777" w:rsidR="0058524C" w:rsidRPr="0058524C" w:rsidRDefault="0058524C" w:rsidP="0058524C">
      <w:pPr>
        <w:pStyle w:val="TM12"/>
        <w:jc w:val="both"/>
        <w:rPr>
          <w:iCs/>
          <w:szCs w:val="24"/>
          <w:lang w:val="fr-FR"/>
        </w:rPr>
      </w:pPr>
      <w:r w:rsidRPr="0058524C">
        <w:rPr>
          <w:rFonts w:ascii="Times New Roman" w:hAnsi="Times New Roman"/>
          <w:b w:val="0"/>
          <w:bCs w:val="0"/>
          <w:i w:val="0"/>
          <w:iCs/>
          <w:sz w:val="24"/>
          <w:szCs w:val="24"/>
          <w:lang w:val="fr-FR"/>
        </w:rPr>
        <w:t xml:space="preserve">Des échantillons de toutes natures, en quantités suffisantes, devront être remis gratuitement par l'Entrepreneur à l'Ingénieur ou à son représentant sur sa demande, les essais de contrôle ou de réception de matières et matériaux par l'Ingénieur ou sur sa demande seront à la charge de l'Entrepreneur. Le nombre minimum d'essais de matériaux est défini ci-après. </w:t>
      </w:r>
    </w:p>
    <w:p w14:paraId="6AE0C09C" w14:textId="77777777" w:rsidR="0058524C" w:rsidRPr="0058524C" w:rsidRDefault="0058524C" w:rsidP="0058524C">
      <w:pPr>
        <w:pStyle w:val="TM12"/>
        <w:jc w:val="both"/>
        <w:rPr>
          <w:iCs/>
          <w:szCs w:val="24"/>
          <w:lang w:val="fr-FR"/>
        </w:rPr>
      </w:pPr>
    </w:p>
    <w:p w14:paraId="4B4A12B6" w14:textId="77777777" w:rsidR="0058524C" w:rsidRPr="00850074" w:rsidRDefault="0058524C" w:rsidP="0058524C">
      <w:pPr>
        <w:spacing w:after="0"/>
        <w:rPr>
          <w:b/>
          <w:szCs w:val="24"/>
        </w:rPr>
      </w:pPr>
      <w:r w:rsidRPr="00850074">
        <w:rPr>
          <w:b/>
          <w:szCs w:val="24"/>
        </w:rPr>
        <w:t xml:space="preserve">5.5.2 Matériaux pour remblais </w:t>
      </w:r>
    </w:p>
    <w:p w14:paraId="73BCBBA3" w14:textId="77777777" w:rsidR="0058524C" w:rsidRPr="0058524C" w:rsidRDefault="0058524C" w:rsidP="0058524C">
      <w:pPr>
        <w:pStyle w:val="TM12"/>
        <w:jc w:val="both"/>
        <w:rPr>
          <w:iCs/>
          <w:szCs w:val="24"/>
          <w:lang w:val="fr-FR"/>
        </w:rPr>
      </w:pPr>
      <w:r w:rsidRPr="0058524C">
        <w:rPr>
          <w:rFonts w:ascii="Times New Roman" w:hAnsi="Times New Roman"/>
          <w:b w:val="0"/>
          <w:bCs w:val="0"/>
          <w:i w:val="0"/>
          <w:iCs/>
          <w:sz w:val="24"/>
          <w:szCs w:val="24"/>
          <w:lang w:val="fr-FR"/>
        </w:rPr>
        <w:t xml:space="preserve">Toutes les terres destinées à être mises en remblai devront être sélectionnées et répondre aux caractéristiques ci-après (sauf dérogation admise par l'Ingénieur Conseil). </w:t>
      </w:r>
    </w:p>
    <w:p w14:paraId="2A774F28" w14:textId="77777777" w:rsidR="0058524C" w:rsidRPr="0058524C" w:rsidRDefault="0058524C" w:rsidP="0058524C">
      <w:pPr>
        <w:pStyle w:val="TM12"/>
        <w:jc w:val="both"/>
        <w:rPr>
          <w:iCs/>
          <w:szCs w:val="24"/>
          <w:lang w:val="fr-FR"/>
        </w:rPr>
      </w:pPr>
      <w:r w:rsidRPr="0058524C">
        <w:rPr>
          <w:rFonts w:ascii="Times New Roman" w:hAnsi="Times New Roman"/>
          <w:b w:val="0"/>
          <w:bCs w:val="0"/>
          <w:i w:val="0"/>
          <w:iCs/>
          <w:sz w:val="24"/>
          <w:szCs w:val="24"/>
          <w:lang w:val="fr-FR"/>
        </w:rPr>
        <w:t xml:space="preserve">Les matériaux à utiliser seront par ordre de préférence, selon la classification unifiée </w:t>
      </w:r>
      <w:proofErr w:type="gramStart"/>
      <w:r w:rsidRPr="0058524C">
        <w:rPr>
          <w:rFonts w:ascii="Times New Roman" w:hAnsi="Times New Roman"/>
          <w:b w:val="0"/>
          <w:bCs w:val="0"/>
          <w:i w:val="0"/>
          <w:iCs/>
          <w:sz w:val="24"/>
          <w:szCs w:val="24"/>
          <w:lang w:val="fr-FR"/>
        </w:rPr>
        <w:t>du U.S</w:t>
      </w:r>
      <w:proofErr w:type="gramEnd"/>
      <w:r w:rsidRPr="0058524C">
        <w:rPr>
          <w:rFonts w:ascii="Times New Roman" w:hAnsi="Times New Roman"/>
          <w:b w:val="0"/>
          <w:bCs w:val="0"/>
          <w:i w:val="0"/>
          <w:iCs/>
          <w:sz w:val="24"/>
          <w:szCs w:val="24"/>
          <w:lang w:val="fr-FR"/>
        </w:rPr>
        <w:t xml:space="preserve">. bureau of réclamation. </w:t>
      </w:r>
    </w:p>
    <w:p w14:paraId="3E247D95" w14:textId="77777777" w:rsidR="0058524C" w:rsidRPr="0058524C" w:rsidRDefault="0058524C" w:rsidP="0058524C">
      <w:pPr>
        <w:pStyle w:val="TM12"/>
        <w:jc w:val="both"/>
        <w:rPr>
          <w:iCs/>
          <w:szCs w:val="24"/>
          <w:lang w:val="fr-FR"/>
        </w:rPr>
      </w:pPr>
      <w:r w:rsidRPr="0058524C">
        <w:rPr>
          <w:rFonts w:ascii="Times New Roman" w:hAnsi="Times New Roman"/>
          <w:b w:val="0"/>
          <w:bCs w:val="0"/>
          <w:i w:val="0"/>
          <w:iCs/>
          <w:sz w:val="24"/>
          <w:szCs w:val="24"/>
          <w:lang w:val="fr-FR"/>
        </w:rPr>
        <w:t xml:space="preserve">Les sites indiqués par le Maître d’œuvre sont fournis à titre indicatif, l'Entrepreneur est tenu de vérifier la qualité de ces sites quant à leur puissance et leur homogénéité et proposer d'autres sites le cas échéant s'ils ne satisfont pas aux qualités requises. </w:t>
      </w:r>
    </w:p>
    <w:p w14:paraId="18F2A4FB" w14:textId="77777777" w:rsidR="0058524C" w:rsidRPr="0058524C" w:rsidRDefault="0058524C" w:rsidP="0058524C">
      <w:pPr>
        <w:pStyle w:val="TM12"/>
        <w:jc w:val="both"/>
        <w:rPr>
          <w:iCs/>
          <w:szCs w:val="24"/>
          <w:lang w:val="fr-FR"/>
        </w:rPr>
      </w:pPr>
      <w:r w:rsidRPr="0058524C">
        <w:rPr>
          <w:rFonts w:ascii="Times New Roman" w:hAnsi="Times New Roman"/>
          <w:b w:val="0"/>
          <w:bCs w:val="0"/>
          <w:i w:val="0"/>
          <w:iCs/>
          <w:sz w:val="24"/>
          <w:szCs w:val="24"/>
          <w:lang w:val="fr-FR"/>
        </w:rPr>
        <w:t xml:space="preserve">Les matériaux proviendront des zones d'emprunts. Leurs emplacements qui seront choisis de façon à perturber au minimum les plans des projets à réaliser devront être agréés par l'ingénieur. </w:t>
      </w:r>
    </w:p>
    <w:p w14:paraId="2FB00195" w14:textId="54F8681F" w:rsidR="0058524C" w:rsidRPr="0058524C" w:rsidRDefault="0058524C" w:rsidP="0058524C">
      <w:pPr>
        <w:pStyle w:val="TM12"/>
        <w:jc w:val="both"/>
        <w:rPr>
          <w:iCs/>
          <w:szCs w:val="24"/>
          <w:lang w:val="fr-FR"/>
        </w:rPr>
      </w:pPr>
      <w:r w:rsidRPr="0058524C">
        <w:rPr>
          <w:rFonts w:ascii="Times New Roman" w:hAnsi="Times New Roman"/>
          <w:b w:val="0"/>
          <w:bCs w:val="0"/>
          <w:i w:val="0"/>
          <w:iCs/>
          <w:sz w:val="24"/>
          <w:szCs w:val="24"/>
          <w:lang w:val="fr-FR"/>
        </w:rPr>
        <w:t xml:space="preserve">Pour chacun des gisements proposés, l'Entrepreneur devra présenter un dossier d'agrément </w:t>
      </w:r>
      <w:r w:rsidR="00F664CA" w:rsidRPr="0058524C">
        <w:rPr>
          <w:rFonts w:ascii="Times New Roman" w:hAnsi="Times New Roman"/>
          <w:b w:val="0"/>
          <w:bCs w:val="0"/>
          <w:i w:val="0"/>
          <w:iCs/>
          <w:sz w:val="24"/>
          <w:szCs w:val="24"/>
          <w:lang w:val="fr-FR"/>
        </w:rPr>
        <w:t>comprenant :</w:t>
      </w:r>
      <w:r w:rsidRPr="0058524C">
        <w:rPr>
          <w:rFonts w:ascii="Times New Roman" w:hAnsi="Times New Roman"/>
          <w:b w:val="0"/>
          <w:bCs w:val="0"/>
          <w:i w:val="0"/>
          <w:iCs/>
          <w:sz w:val="24"/>
          <w:szCs w:val="24"/>
          <w:lang w:val="fr-FR"/>
        </w:rPr>
        <w:t xml:space="preserve"> </w:t>
      </w:r>
    </w:p>
    <w:p w14:paraId="0E398726" w14:textId="3DBE3A9E" w:rsidR="0058524C" w:rsidRPr="00850074" w:rsidRDefault="00F664CA" w:rsidP="002A45C1">
      <w:pPr>
        <w:pStyle w:val="Paragraphedeliste"/>
        <w:numPr>
          <w:ilvl w:val="0"/>
          <w:numId w:val="82"/>
        </w:numPr>
        <w:spacing w:after="0"/>
        <w:jc w:val="left"/>
        <w:rPr>
          <w:szCs w:val="24"/>
        </w:rPr>
      </w:pPr>
      <w:r w:rsidRPr="00850074">
        <w:rPr>
          <w:szCs w:val="24"/>
        </w:rPr>
        <w:t>Un</w:t>
      </w:r>
      <w:r w:rsidR="0058524C" w:rsidRPr="00850074">
        <w:rPr>
          <w:szCs w:val="24"/>
        </w:rPr>
        <w:t xml:space="preserve"> plan de situation par rapport au projet, </w:t>
      </w:r>
    </w:p>
    <w:p w14:paraId="5002845C" w14:textId="132E1ADF" w:rsidR="0058524C" w:rsidRPr="00850074" w:rsidRDefault="00F664CA" w:rsidP="002A45C1">
      <w:pPr>
        <w:pStyle w:val="Paragraphedeliste"/>
        <w:numPr>
          <w:ilvl w:val="0"/>
          <w:numId w:val="82"/>
        </w:numPr>
        <w:spacing w:after="0"/>
        <w:jc w:val="left"/>
        <w:rPr>
          <w:szCs w:val="24"/>
        </w:rPr>
      </w:pPr>
      <w:r w:rsidRPr="00850074">
        <w:rPr>
          <w:szCs w:val="24"/>
        </w:rPr>
        <w:t>Un</w:t>
      </w:r>
      <w:r w:rsidR="0058524C" w:rsidRPr="00850074">
        <w:rPr>
          <w:szCs w:val="24"/>
        </w:rPr>
        <w:t xml:space="preserve"> schéma de maillage des sondages et leur identification en fonction de la puissance de l'emprunt recherché (4 sondages à l'hectare au moins), </w:t>
      </w:r>
    </w:p>
    <w:p w14:paraId="0B9CA92C" w14:textId="537F08A6" w:rsidR="0058524C" w:rsidRPr="00850074" w:rsidRDefault="00F664CA" w:rsidP="002A45C1">
      <w:pPr>
        <w:pStyle w:val="Paragraphedeliste"/>
        <w:numPr>
          <w:ilvl w:val="0"/>
          <w:numId w:val="82"/>
        </w:numPr>
        <w:spacing w:after="0"/>
        <w:jc w:val="left"/>
        <w:rPr>
          <w:szCs w:val="24"/>
        </w:rPr>
      </w:pPr>
      <w:r w:rsidRPr="00850074">
        <w:rPr>
          <w:szCs w:val="24"/>
        </w:rPr>
        <w:t>Les</w:t>
      </w:r>
      <w:r w:rsidR="0058524C" w:rsidRPr="00850074">
        <w:rPr>
          <w:szCs w:val="24"/>
        </w:rPr>
        <w:t xml:space="preserve"> résultats des essais géotechniques suivants : </w:t>
      </w:r>
    </w:p>
    <w:p w14:paraId="1412B81B" w14:textId="611F3614" w:rsidR="0058524C" w:rsidRPr="00850074" w:rsidRDefault="00F664CA" w:rsidP="002A45C1">
      <w:pPr>
        <w:pStyle w:val="Paragraphedeliste"/>
        <w:numPr>
          <w:ilvl w:val="0"/>
          <w:numId w:val="83"/>
        </w:numPr>
        <w:spacing w:after="0"/>
        <w:jc w:val="left"/>
        <w:rPr>
          <w:szCs w:val="24"/>
        </w:rPr>
      </w:pPr>
      <w:r w:rsidRPr="00850074">
        <w:rPr>
          <w:szCs w:val="24"/>
        </w:rPr>
        <w:t>Granulométrie</w:t>
      </w:r>
      <w:r w:rsidR="0058524C" w:rsidRPr="00850074">
        <w:rPr>
          <w:szCs w:val="24"/>
        </w:rPr>
        <w:t xml:space="preserve"> par tamisage et par </w:t>
      </w:r>
      <w:proofErr w:type="spellStart"/>
      <w:r w:rsidR="0058524C" w:rsidRPr="00850074">
        <w:rPr>
          <w:szCs w:val="24"/>
        </w:rPr>
        <w:t>sédimentométrie</w:t>
      </w:r>
      <w:proofErr w:type="spellEnd"/>
      <w:r w:rsidR="0058524C" w:rsidRPr="00850074">
        <w:rPr>
          <w:szCs w:val="24"/>
        </w:rPr>
        <w:t xml:space="preserve">, </w:t>
      </w:r>
    </w:p>
    <w:p w14:paraId="2D2DA359" w14:textId="6125CFF1" w:rsidR="0058524C" w:rsidRPr="00850074" w:rsidRDefault="00F664CA" w:rsidP="002A45C1">
      <w:pPr>
        <w:pStyle w:val="Paragraphedeliste"/>
        <w:numPr>
          <w:ilvl w:val="0"/>
          <w:numId w:val="83"/>
        </w:numPr>
        <w:spacing w:after="0"/>
        <w:jc w:val="left"/>
        <w:rPr>
          <w:szCs w:val="24"/>
        </w:rPr>
      </w:pPr>
      <w:r w:rsidRPr="00850074">
        <w:rPr>
          <w:szCs w:val="24"/>
        </w:rPr>
        <w:t>Limites</w:t>
      </w:r>
      <w:r w:rsidR="0058524C" w:rsidRPr="00850074">
        <w:rPr>
          <w:szCs w:val="24"/>
        </w:rPr>
        <w:t xml:space="preserve"> d'</w:t>
      </w:r>
      <w:proofErr w:type="spellStart"/>
      <w:r w:rsidR="0058524C" w:rsidRPr="00850074">
        <w:rPr>
          <w:szCs w:val="24"/>
        </w:rPr>
        <w:t>Atterberg</w:t>
      </w:r>
      <w:proofErr w:type="spellEnd"/>
      <w:r w:rsidR="0058524C" w:rsidRPr="00850074">
        <w:rPr>
          <w:szCs w:val="24"/>
        </w:rPr>
        <w:t xml:space="preserve"> –équivalent de sable, </w:t>
      </w:r>
    </w:p>
    <w:p w14:paraId="4AE0685F" w14:textId="673C5482" w:rsidR="0058524C" w:rsidRPr="00850074" w:rsidRDefault="00F664CA" w:rsidP="002A45C1">
      <w:pPr>
        <w:pStyle w:val="Paragraphedeliste"/>
        <w:numPr>
          <w:ilvl w:val="0"/>
          <w:numId w:val="83"/>
        </w:numPr>
        <w:spacing w:after="0"/>
        <w:jc w:val="left"/>
        <w:rPr>
          <w:szCs w:val="24"/>
        </w:rPr>
      </w:pPr>
      <w:r w:rsidRPr="00850074">
        <w:rPr>
          <w:szCs w:val="24"/>
        </w:rPr>
        <w:t>Teneur</w:t>
      </w:r>
      <w:r w:rsidR="0058524C" w:rsidRPr="00850074">
        <w:rPr>
          <w:szCs w:val="24"/>
        </w:rPr>
        <w:t xml:space="preserve"> en eau naturelle, </w:t>
      </w:r>
    </w:p>
    <w:p w14:paraId="1E10D297" w14:textId="0A1B63D5" w:rsidR="0058524C" w:rsidRPr="00850074" w:rsidRDefault="0058524C" w:rsidP="002A45C1">
      <w:pPr>
        <w:pStyle w:val="Paragraphedeliste"/>
        <w:numPr>
          <w:ilvl w:val="0"/>
          <w:numId w:val="83"/>
        </w:numPr>
        <w:spacing w:after="0"/>
        <w:jc w:val="left"/>
        <w:rPr>
          <w:szCs w:val="24"/>
        </w:rPr>
      </w:pPr>
      <w:r w:rsidRPr="00850074">
        <w:rPr>
          <w:szCs w:val="24"/>
        </w:rPr>
        <w:t xml:space="preserve"> </w:t>
      </w:r>
      <w:r w:rsidR="00F664CA" w:rsidRPr="00850074">
        <w:rPr>
          <w:szCs w:val="24"/>
        </w:rPr>
        <w:t>Perméabilité</w:t>
      </w:r>
      <w:r w:rsidRPr="00850074">
        <w:rPr>
          <w:szCs w:val="24"/>
        </w:rPr>
        <w:t xml:space="preserve"> à l'OPN si ce matériau est utilisé en remblai de digue, </w:t>
      </w:r>
    </w:p>
    <w:p w14:paraId="066BA8AD" w14:textId="1F68D8FB" w:rsidR="0058524C" w:rsidRPr="00850074" w:rsidRDefault="0058524C" w:rsidP="002A45C1">
      <w:pPr>
        <w:pStyle w:val="Paragraphedeliste"/>
        <w:numPr>
          <w:ilvl w:val="0"/>
          <w:numId w:val="83"/>
        </w:numPr>
        <w:spacing w:after="0"/>
        <w:jc w:val="left"/>
        <w:rPr>
          <w:szCs w:val="24"/>
        </w:rPr>
      </w:pPr>
      <w:r w:rsidRPr="00850074">
        <w:rPr>
          <w:szCs w:val="24"/>
        </w:rPr>
        <w:t xml:space="preserve"> </w:t>
      </w:r>
      <w:r w:rsidR="00F664CA" w:rsidRPr="00850074">
        <w:rPr>
          <w:szCs w:val="24"/>
        </w:rPr>
        <w:t>Essai</w:t>
      </w:r>
      <w:r w:rsidRPr="00850074">
        <w:rPr>
          <w:szCs w:val="24"/>
        </w:rPr>
        <w:t xml:space="preserve"> de compactage à l'optimum Proctor modifié, </w:t>
      </w:r>
    </w:p>
    <w:p w14:paraId="6B32A2B4" w14:textId="30C88285" w:rsidR="0058524C" w:rsidRPr="00850074" w:rsidRDefault="0058524C" w:rsidP="002A45C1">
      <w:pPr>
        <w:pStyle w:val="Paragraphedeliste"/>
        <w:numPr>
          <w:ilvl w:val="0"/>
          <w:numId w:val="83"/>
        </w:numPr>
        <w:spacing w:after="0"/>
        <w:jc w:val="left"/>
        <w:rPr>
          <w:szCs w:val="24"/>
        </w:rPr>
      </w:pPr>
      <w:r w:rsidRPr="00850074">
        <w:rPr>
          <w:szCs w:val="24"/>
        </w:rPr>
        <w:t xml:space="preserve"> </w:t>
      </w:r>
      <w:r w:rsidR="00F664CA" w:rsidRPr="00850074">
        <w:rPr>
          <w:szCs w:val="24"/>
        </w:rPr>
        <w:t>Une</w:t>
      </w:r>
      <w:r w:rsidRPr="00850074">
        <w:rPr>
          <w:szCs w:val="24"/>
        </w:rPr>
        <w:t xml:space="preserve"> coupe géotechnique par sondage permettant d'identifier les matériaux rencontrés, leur épaisseur et d'analyser les conditions d'exploitation du site, </w:t>
      </w:r>
    </w:p>
    <w:p w14:paraId="1098B387" w14:textId="77777777" w:rsidR="0058524C" w:rsidRPr="00850074" w:rsidRDefault="0058524C" w:rsidP="0058524C">
      <w:pPr>
        <w:pStyle w:val="TM12"/>
        <w:jc w:val="both"/>
        <w:rPr>
          <w:iCs/>
          <w:szCs w:val="24"/>
        </w:rPr>
      </w:pPr>
      <w:r w:rsidRPr="0058524C">
        <w:rPr>
          <w:rFonts w:ascii="Times New Roman" w:hAnsi="Times New Roman"/>
          <w:b w:val="0"/>
          <w:bCs w:val="0"/>
          <w:i w:val="0"/>
          <w:iCs/>
          <w:sz w:val="24"/>
          <w:szCs w:val="24"/>
          <w:lang w:val="fr-FR"/>
        </w:rPr>
        <w:t xml:space="preserve">Les matériaux à mettre en œuvre pour les remblais de digue devront être exempts de tous débris végétaux (taux &lt; 3%) et débarrassés des éventuels éléments rocheux les plus importants pouvant être à l'origine d'un défaut de compactage.  </w:t>
      </w:r>
      <w:proofErr w:type="spellStart"/>
      <w:proofErr w:type="gramStart"/>
      <w:r w:rsidRPr="00850074">
        <w:rPr>
          <w:rFonts w:ascii="Times New Roman" w:hAnsi="Times New Roman"/>
          <w:b w:val="0"/>
          <w:bCs w:val="0"/>
          <w:i w:val="0"/>
          <w:iCs/>
          <w:sz w:val="24"/>
          <w:szCs w:val="24"/>
        </w:rPr>
        <w:t>Ils</w:t>
      </w:r>
      <w:proofErr w:type="spellEnd"/>
      <w:proofErr w:type="gramEnd"/>
      <w:r w:rsidRPr="00850074">
        <w:rPr>
          <w:rFonts w:ascii="Times New Roman" w:hAnsi="Times New Roman"/>
          <w:b w:val="0"/>
          <w:bCs w:val="0"/>
          <w:i w:val="0"/>
          <w:iCs/>
          <w:sz w:val="24"/>
          <w:szCs w:val="24"/>
        </w:rPr>
        <w:t xml:space="preserve"> </w:t>
      </w:r>
      <w:proofErr w:type="spellStart"/>
      <w:r w:rsidRPr="00850074">
        <w:rPr>
          <w:rFonts w:ascii="Times New Roman" w:hAnsi="Times New Roman"/>
          <w:b w:val="0"/>
          <w:bCs w:val="0"/>
          <w:i w:val="0"/>
          <w:iCs/>
          <w:sz w:val="24"/>
          <w:szCs w:val="24"/>
        </w:rPr>
        <w:t>devront</w:t>
      </w:r>
      <w:proofErr w:type="spellEnd"/>
      <w:r w:rsidRPr="00850074">
        <w:rPr>
          <w:rFonts w:ascii="Times New Roman" w:hAnsi="Times New Roman"/>
          <w:b w:val="0"/>
          <w:bCs w:val="0"/>
          <w:i w:val="0"/>
          <w:iCs/>
          <w:sz w:val="24"/>
          <w:szCs w:val="24"/>
        </w:rPr>
        <w:t xml:space="preserve"> </w:t>
      </w:r>
      <w:proofErr w:type="spellStart"/>
      <w:r w:rsidRPr="00850074">
        <w:rPr>
          <w:rFonts w:ascii="Times New Roman" w:hAnsi="Times New Roman"/>
          <w:b w:val="0"/>
          <w:bCs w:val="0"/>
          <w:i w:val="0"/>
          <w:iCs/>
          <w:sz w:val="24"/>
          <w:szCs w:val="24"/>
        </w:rPr>
        <w:t>satisfaire</w:t>
      </w:r>
      <w:proofErr w:type="spellEnd"/>
      <w:r w:rsidRPr="00850074">
        <w:rPr>
          <w:rFonts w:ascii="Times New Roman" w:hAnsi="Times New Roman"/>
          <w:b w:val="0"/>
          <w:bCs w:val="0"/>
          <w:i w:val="0"/>
          <w:iCs/>
          <w:sz w:val="24"/>
          <w:szCs w:val="24"/>
        </w:rPr>
        <w:t xml:space="preserve"> aux conditions </w:t>
      </w:r>
      <w:proofErr w:type="spellStart"/>
      <w:r w:rsidRPr="00850074">
        <w:rPr>
          <w:rFonts w:ascii="Times New Roman" w:hAnsi="Times New Roman"/>
          <w:b w:val="0"/>
          <w:bCs w:val="0"/>
          <w:i w:val="0"/>
          <w:iCs/>
          <w:sz w:val="24"/>
          <w:szCs w:val="24"/>
        </w:rPr>
        <w:t>minimales</w:t>
      </w:r>
      <w:proofErr w:type="spellEnd"/>
      <w:r w:rsidRPr="00850074">
        <w:rPr>
          <w:rFonts w:ascii="Times New Roman" w:hAnsi="Times New Roman"/>
          <w:b w:val="0"/>
          <w:bCs w:val="0"/>
          <w:i w:val="0"/>
          <w:iCs/>
          <w:sz w:val="24"/>
          <w:szCs w:val="24"/>
        </w:rPr>
        <w:t xml:space="preserve"> </w:t>
      </w:r>
      <w:proofErr w:type="spellStart"/>
      <w:r w:rsidRPr="00850074">
        <w:rPr>
          <w:rFonts w:ascii="Times New Roman" w:hAnsi="Times New Roman"/>
          <w:b w:val="0"/>
          <w:bCs w:val="0"/>
          <w:i w:val="0"/>
          <w:iCs/>
          <w:sz w:val="24"/>
          <w:szCs w:val="24"/>
        </w:rPr>
        <w:t>suivantes</w:t>
      </w:r>
      <w:proofErr w:type="spellEnd"/>
      <w:r w:rsidRPr="00850074">
        <w:rPr>
          <w:rFonts w:ascii="Times New Roman" w:hAnsi="Times New Roman"/>
          <w:b w:val="0"/>
          <w:bCs w:val="0"/>
          <w:i w:val="0"/>
          <w:iCs/>
          <w:sz w:val="24"/>
          <w:szCs w:val="24"/>
        </w:rPr>
        <w:t xml:space="preserve">: </w:t>
      </w:r>
    </w:p>
    <w:p w14:paraId="4D2BF751" w14:textId="250B419D" w:rsidR="0058524C" w:rsidRPr="00850074" w:rsidRDefault="00F664CA" w:rsidP="002A45C1">
      <w:pPr>
        <w:pStyle w:val="Paragraphedeliste"/>
        <w:numPr>
          <w:ilvl w:val="0"/>
          <w:numId w:val="106"/>
        </w:numPr>
        <w:spacing w:after="120" w:line="276" w:lineRule="auto"/>
        <w:rPr>
          <w:szCs w:val="24"/>
        </w:rPr>
      </w:pPr>
      <w:r w:rsidRPr="00850074">
        <w:rPr>
          <w:szCs w:val="24"/>
        </w:rPr>
        <w:t>Densité</w:t>
      </w:r>
      <w:r w:rsidR="0058524C" w:rsidRPr="00850074">
        <w:rPr>
          <w:szCs w:val="24"/>
        </w:rPr>
        <w:t xml:space="preserve"> : d </w:t>
      </w:r>
      <w:r w:rsidR="0058524C" w:rsidRPr="00850074">
        <w:rPr>
          <w:szCs w:val="24"/>
        </w:rPr>
        <w:sym w:font="Symbol" w:char="F03E"/>
      </w:r>
      <w:r w:rsidR="0058524C" w:rsidRPr="00850074">
        <w:rPr>
          <w:szCs w:val="24"/>
        </w:rPr>
        <w:t xml:space="preserve"> 1,8 t/m</w:t>
      </w:r>
      <w:r w:rsidR="0058524C" w:rsidRPr="00850074">
        <w:rPr>
          <w:szCs w:val="24"/>
          <w:vertAlign w:val="superscript"/>
        </w:rPr>
        <w:t>3</w:t>
      </w:r>
    </w:p>
    <w:p w14:paraId="2ABBBDE3" w14:textId="3E33D1AE" w:rsidR="0058524C" w:rsidRPr="00850074" w:rsidRDefault="00F664CA" w:rsidP="002A45C1">
      <w:pPr>
        <w:pStyle w:val="Paragraphedeliste"/>
        <w:numPr>
          <w:ilvl w:val="0"/>
          <w:numId w:val="84"/>
        </w:numPr>
        <w:spacing w:after="0"/>
        <w:jc w:val="left"/>
        <w:rPr>
          <w:szCs w:val="24"/>
        </w:rPr>
      </w:pPr>
      <w:r w:rsidRPr="00850074">
        <w:rPr>
          <w:szCs w:val="24"/>
        </w:rPr>
        <w:t>Indice</w:t>
      </w:r>
      <w:r w:rsidR="0058524C" w:rsidRPr="00850074">
        <w:rPr>
          <w:szCs w:val="24"/>
        </w:rPr>
        <w:t xml:space="preserve"> de plasticité (IP) : supérieur ou égal à 10 et inférieur ou égal à 25 ; </w:t>
      </w:r>
    </w:p>
    <w:p w14:paraId="7F7070AC" w14:textId="062B681A" w:rsidR="0058524C" w:rsidRPr="00850074" w:rsidRDefault="00F664CA" w:rsidP="002A45C1">
      <w:pPr>
        <w:pStyle w:val="Paragraphedeliste"/>
        <w:numPr>
          <w:ilvl w:val="0"/>
          <w:numId w:val="84"/>
        </w:numPr>
        <w:spacing w:after="0"/>
        <w:jc w:val="left"/>
        <w:rPr>
          <w:szCs w:val="24"/>
        </w:rPr>
      </w:pPr>
      <w:r w:rsidRPr="00850074">
        <w:rPr>
          <w:szCs w:val="24"/>
        </w:rPr>
        <w:t>Limite</w:t>
      </w:r>
      <w:r w:rsidR="0058524C" w:rsidRPr="00850074">
        <w:rPr>
          <w:szCs w:val="24"/>
        </w:rPr>
        <w:t xml:space="preserve"> de liquidité (LL</w:t>
      </w:r>
      <w:r w:rsidRPr="00850074">
        <w:rPr>
          <w:szCs w:val="24"/>
        </w:rPr>
        <w:t>) :</w:t>
      </w:r>
      <w:r w:rsidR="0058524C" w:rsidRPr="00850074">
        <w:rPr>
          <w:szCs w:val="24"/>
        </w:rPr>
        <w:t xml:space="preserve"> inférieur à 50 </w:t>
      </w:r>
    </w:p>
    <w:p w14:paraId="179F7411" w14:textId="62E34C8F" w:rsidR="0058524C" w:rsidRPr="00850074" w:rsidRDefault="00F664CA" w:rsidP="002A45C1">
      <w:pPr>
        <w:pStyle w:val="Paragraphedeliste"/>
        <w:numPr>
          <w:ilvl w:val="0"/>
          <w:numId w:val="84"/>
        </w:numPr>
        <w:spacing w:after="0"/>
        <w:jc w:val="left"/>
        <w:rPr>
          <w:szCs w:val="24"/>
        </w:rPr>
      </w:pPr>
      <w:r w:rsidRPr="00850074">
        <w:rPr>
          <w:szCs w:val="24"/>
        </w:rPr>
        <w:t>Pourcentage</w:t>
      </w:r>
      <w:r w:rsidR="0058524C" w:rsidRPr="00850074">
        <w:rPr>
          <w:szCs w:val="24"/>
        </w:rPr>
        <w:t xml:space="preserve"> de fines : 20% de </w:t>
      </w:r>
      <w:r w:rsidRPr="00850074">
        <w:rPr>
          <w:szCs w:val="24"/>
        </w:rPr>
        <w:t>matériaux inférieur</w:t>
      </w:r>
      <w:r w:rsidR="0058524C" w:rsidRPr="00850074">
        <w:rPr>
          <w:szCs w:val="24"/>
        </w:rPr>
        <w:t xml:space="preserve"> ou égal à 80μm </w:t>
      </w:r>
    </w:p>
    <w:p w14:paraId="5B347422" w14:textId="2EEB9029" w:rsidR="0058524C" w:rsidRPr="00850074" w:rsidRDefault="0058524C" w:rsidP="002A45C1">
      <w:pPr>
        <w:pStyle w:val="Paragraphedeliste"/>
        <w:numPr>
          <w:ilvl w:val="0"/>
          <w:numId w:val="84"/>
        </w:numPr>
        <w:spacing w:after="0"/>
        <w:jc w:val="left"/>
        <w:rPr>
          <w:szCs w:val="24"/>
        </w:rPr>
      </w:pPr>
      <w:r w:rsidRPr="00850074">
        <w:rPr>
          <w:szCs w:val="24"/>
        </w:rPr>
        <w:t xml:space="preserve"> </w:t>
      </w:r>
      <w:r w:rsidR="00F664CA" w:rsidRPr="00850074">
        <w:rPr>
          <w:szCs w:val="24"/>
        </w:rPr>
        <w:t>Pourcentage</w:t>
      </w:r>
      <w:r w:rsidRPr="00850074">
        <w:rPr>
          <w:szCs w:val="24"/>
        </w:rPr>
        <w:t xml:space="preserve"> des éléments passant à 2 µ supérieur à 8% </w:t>
      </w:r>
    </w:p>
    <w:p w14:paraId="065832E4" w14:textId="6F7DDCB4" w:rsidR="0058524C" w:rsidRPr="00850074" w:rsidRDefault="0058524C" w:rsidP="002A45C1">
      <w:pPr>
        <w:pStyle w:val="Paragraphedeliste"/>
        <w:numPr>
          <w:ilvl w:val="0"/>
          <w:numId w:val="84"/>
        </w:numPr>
        <w:spacing w:after="0"/>
        <w:jc w:val="left"/>
        <w:rPr>
          <w:szCs w:val="24"/>
        </w:rPr>
      </w:pPr>
      <w:r w:rsidRPr="00850074">
        <w:rPr>
          <w:szCs w:val="24"/>
        </w:rPr>
        <w:t xml:space="preserve"> </w:t>
      </w:r>
      <w:r w:rsidR="00F664CA" w:rsidRPr="00850074">
        <w:rPr>
          <w:szCs w:val="24"/>
        </w:rPr>
        <w:t>Densité</w:t>
      </w:r>
      <w:r w:rsidRPr="00850074">
        <w:rPr>
          <w:szCs w:val="24"/>
        </w:rPr>
        <w:t xml:space="preserve"> à l'optimum Proctor modifiée supérieure à 17 KN/m3 </w:t>
      </w:r>
    </w:p>
    <w:p w14:paraId="00A515F2" w14:textId="7FDCF58C" w:rsidR="0058524C" w:rsidRPr="00850074" w:rsidRDefault="00F664CA" w:rsidP="002A45C1">
      <w:pPr>
        <w:pStyle w:val="Paragraphedeliste"/>
        <w:numPr>
          <w:ilvl w:val="0"/>
          <w:numId w:val="84"/>
        </w:numPr>
        <w:spacing w:after="0"/>
        <w:jc w:val="left"/>
        <w:rPr>
          <w:szCs w:val="24"/>
        </w:rPr>
      </w:pPr>
      <w:r w:rsidRPr="00850074">
        <w:rPr>
          <w:szCs w:val="24"/>
        </w:rPr>
        <w:t>Perméabilité</w:t>
      </w:r>
      <w:r w:rsidR="0058524C" w:rsidRPr="00850074">
        <w:rPr>
          <w:szCs w:val="24"/>
        </w:rPr>
        <w:t xml:space="preserve"> à l'optimum Proctor normal inférieur à 5x 10-7 m/s </w:t>
      </w:r>
    </w:p>
    <w:p w14:paraId="58479278" w14:textId="385364AC" w:rsidR="0058524C" w:rsidRPr="0058524C" w:rsidRDefault="0058524C" w:rsidP="0058524C">
      <w:pPr>
        <w:pStyle w:val="TM12"/>
        <w:jc w:val="both"/>
        <w:rPr>
          <w:iCs/>
          <w:szCs w:val="24"/>
          <w:lang w:val="fr-FR"/>
        </w:rPr>
      </w:pPr>
      <w:r w:rsidRPr="0058524C">
        <w:rPr>
          <w:rFonts w:ascii="Times New Roman" w:hAnsi="Times New Roman"/>
          <w:b w:val="0"/>
          <w:bCs w:val="0"/>
          <w:i w:val="0"/>
          <w:iCs/>
          <w:sz w:val="24"/>
          <w:szCs w:val="24"/>
          <w:lang w:val="fr-FR"/>
        </w:rPr>
        <w:t xml:space="preserve">Des essais de contrôle seront exécutés soit au laboratoire de chantier, soit "in situ" aux frais de l'Entrepreneur. La cadence de prélèvement sera </w:t>
      </w:r>
      <w:r w:rsidR="00F664CA" w:rsidRPr="0058524C">
        <w:rPr>
          <w:rFonts w:ascii="Times New Roman" w:hAnsi="Times New Roman"/>
          <w:b w:val="0"/>
          <w:bCs w:val="0"/>
          <w:i w:val="0"/>
          <w:iCs/>
          <w:sz w:val="24"/>
          <w:szCs w:val="24"/>
          <w:lang w:val="fr-FR"/>
        </w:rPr>
        <w:t>d’un</w:t>
      </w:r>
      <w:r w:rsidRPr="0058524C">
        <w:rPr>
          <w:rFonts w:ascii="Times New Roman" w:hAnsi="Times New Roman"/>
          <w:b w:val="0"/>
          <w:bCs w:val="0"/>
          <w:i w:val="0"/>
          <w:iCs/>
          <w:sz w:val="24"/>
          <w:szCs w:val="24"/>
          <w:lang w:val="fr-FR"/>
        </w:rPr>
        <w:t xml:space="preserve"> pour 1000 m3 de matériaux foisonnés. Toute dérogation aux dispositions qui précèdent doit être consignée dans le journal de chantier par l'Ingénieur. </w:t>
      </w:r>
    </w:p>
    <w:p w14:paraId="4CCAF038" w14:textId="17F5BF6F" w:rsidR="0058524C" w:rsidRPr="0058524C" w:rsidRDefault="0058524C" w:rsidP="0058524C">
      <w:pPr>
        <w:pStyle w:val="TM12"/>
        <w:jc w:val="both"/>
        <w:rPr>
          <w:iCs/>
          <w:szCs w:val="24"/>
          <w:lang w:val="fr-FR"/>
        </w:rPr>
      </w:pPr>
      <w:r w:rsidRPr="0058524C">
        <w:rPr>
          <w:rFonts w:ascii="Times New Roman" w:hAnsi="Times New Roman"/>
          <w:b w:val="0"/>
          <w:bCs w:val="0"/>
          <w:i w:val="0"/>
          <w:iCs/>
          <w:sz w:val="24"/>
          <w:szCs w:val="24"/>
          <w:lang w:val="fr-FR"/>
        </w:rPr>
        <w:t>Les essais susvisés porteront sur la conformité aux caractéristiques définies ci-</w:t>
      </w:r>
      <w:r w:rsidR="00F664CA" w:rsidRPr="0058524C">
        <w:rPr>
          <w:rFonts w:ascii="Times New Roman" w:hAnsi="Times New Roman"/>
          <w:b w:val="0"/>
          <w:bCs w:val="0"/>
          <w:i w:val="0"/>
          <w:iCs/>
          <w:sz w:val="24"/>
          <w:szCs w:val="24"/>
          <w:lang w:val="fr-FR"/>
        </w:rPr>
        <w:t>dessus -</w:t>
      </w:r>
      <w:r w:rsidRPr="0058524C">
        <w:rPr>
          <w:rFonts w:ascii="Times New Roman" w:hAnsi="Times New Roman"/>
          <w:b w:val="0"/>
          <w:bCs w:val="0"/>
          <w:i w:val="0"/>
          <w:iCs/>
          <w:sz w:val="24"/>
          <w:szCs w:val="24"/>
          <w:lang w:val="fr-FR"/>
        </w:rPr>
        <w:t xml:space="preserve"> densité des remblais après compactage. </w:t>
      </w:r>
    </w:p>
    <w:p w14:paraId="206E657E" w14:textId="77777777" w:rsidR="0058524C" w:rsidRPr="0058524C" w:rsidRDefault="0058524C" w:rsidP="0058524C">
      <w:pPr>
        <w:pStyle w:val="TM12"/>
        <w:jc w:val="both"/>
        <w:rPr>
          <w:rFonts w:ascii="Calibri" w:hAnsi="Calibri"/>
          <w:lang w:val="fr-FR"/>
        </w:rPr>
      </w:pPr>
      <w:r w:rsidRPr="0058524C">
        <w:rPr>
          <w:rFonts w:ascii="Times New Roman" w:hAnsi="Times New Roman"/>
          <w:b w:val="0"/>
          <w:bCs w:val="0"/>
          <w:i w:val="0"/>
          <w:iCs/>
          <w:sz w:val="24"/>
          <w:szCs w:val="24"/>
          <w:lang w:val="fr-FR"/>
        </w:rPr>
        <w:t>Pour éviter toute contestation, l'Ingénieur fixera au préalable les degrés de compacité à obtenir par rapport à l'optimum des essais Proctor pour la vérification des terres avant leur mise en œuvre (en principe et sauf exception il sera exigé un compactage à 92 % de l'optimum Proctor modifié sans ; tolérance).</w:t>
      </w:r>
      <w:r w:rsidRPr="0058524C">
        <w:rPr>
          <w:lang w:val="fr-FR"/>
        </w:rPr>
        <w:t xml:space="preserve"> </w:t>
      </w:r>
    </w:p>
    <w:p w14:paraId="463861BF" w14:textId="77777777" w:rsidR="0058524C" w:rsidRPr="00850074" w:rsidRDefault="0058524C" w:rsidP="0058524C">
      <w:pPr>
        <w:spacing w:after="0"/>
        <w:rPr>
          <w:szCs w:val="24"/>
        </w:rPr>
      </w:pPr>
    </w:p>
    <w:p w14:paraId="7C0AC775" w14:textId="77777777" w:rsidR="0058524C" w:rsidRPr="00850074" w:rsidRDefault="0058524C" w:rsidP="0058524C">
      <w:pPr>
        <w:spacing w:after="0"/>
        <w:rPr>
          <w:b/>
          <w:szCs w:val="24"/>
        </w:rPr>
      </w:pPr>
      <w:r w:rsidRPr="00850074">
        <w:rPr>
          <w:b/>
          <w:szCs w:val="24"/>
        </w:rPr>
        <w:t xml:space="preserve">5.5.3 Matériaux pour moellons maçonnés et gros béton </w:t>
      </w:r>
    </w:p>
    <w:p w14:paraId="4492C2FF" w14:textId="77777777" w:rsidR="0058524C" w:rsidRPr="00850074" w:rsidRDefault="0058524C" w:rsidP="0058524C">
      <w:pPr>
        <w:spacing w:after="0"/>
        <w:rPr>
          <w:szCs w:val="24"/>
        </w:rPr>
      </w:pPr>
    </w:p>
    <w:p w14:paraId="4D4F9544" w14:textId="77777777" w:rsidR="0058524C" w:rsidRPr="0058524C" w:rsidRDefault="0058524C" w:rsidP="0058524C">
      <w:pPr>
        <w:pStyle w:val="TM12"/>
        <w:jc w:val="both"/>
        <w:rPr>
          <w:iCs/>
          <w:szCs w:val="24"/>
          <w:lang w:val="fr-FR"/>
        </w:rPr>
      </w:pPr>
      <w:r w:rsidRPr="0058524C">
        <w:rPr>
          <w:rFonts w:ascii="Times New Roman" w:hAnsi="Times New Roman"/>
          <w:b w:val="0"/>
          <w:bCs w:val="0"/>
          <w:i w:val="0"/>
          <w:iCs/>
          <w:sz w:val="24"/>
          <w:szCs w:val="24"/>
          <w:lang w:val="fr-FR"/>
        </w:rPr>
        <w:t xml:space="preserve">Des blocs latéritiques provenant des carrières et dont la plus petite dimension est supérieure à 10 cm, pourront servir à la confection de moellons maçonnés et de béton cyclopéen (gros béton). </w:t>
      </w:r>
    </w:p>
    <w:p w14:paraId="011E2960" w14:textId="77777777" w:rsidR="0058524C" w:rsidRPr="0058524C" w:rsidRDefault="0058524C" w:rsidP="0058524C">
      <w:pPr>
        <w:pStyle w:val="TM12"/>
        <w:jc w:val="both"/>
        <w:rPr>
          <w:iCs/>
          <w:szCs w:val="24"/>
          <w:lang w:val="fr-FR"/>
        </w:rPr>
      </w:pPr>
      <w:r w:rsidRPr="0058524C">
        <w:rPr>
          <w:rFonts w:ascii="Times New Roman" w:hAnsi="Times New Roman"/>
          <w:b w:val="0"/>
          <w:bCs w:val="0"/>
          <w:i w:val="0"/>
          <w:iCs/>
          <w:sz w:val="24"/>
          <w:szCs w:val="24"/>
          <w:lang w:val="fr-FR"/>
        </w:rPr>
        <w:t xml:space="preserve">Ils devront présenter une forme aussi proche que possible de la forme cubique, les formes en plaquettes et aiguilles étant exclues. Leur plus grande dimension ne doit pas excéder le double de leur plus petite dimension. </w:t>
      </w:r>
    </w:p>
    <w:p w14:paraId="7D25E8EA" w14:textId="77777777" w:rsidR="0058524C" w:rsidRPr="0058524C" w:rsidRDefault="0058524C" w:rsidP="0058524C">
      <w:pPr>
        <w:pStyle w:val="TM12"/>
        <w:jc w:val="both"/>
        <w:rPr>
          <w:iCs/>
          <w:szCs w:val="24"/>
          <w:lang w:val="fr-FR"/>
        </w:rPr>
      </w:pPr>
      <w:r w:rsidRPr="0058524C">
        <w:rPr>
          <w:rFonts w:ascii="Times New Roman" w:hAnsi="Times New Roman"/>
          <w:b w:val="0"/>
          <w:bCs w:val="0"/>
          <w:i w:val="0"/>
          <w:iCs/>
          <w:sz w:val="24"/>
          <w:szCs w:val="24"/>
          <w:lang w:val="fr-FR"/>
        </w:rPr>
        <w:t xml:space="preserve">Les moellons maçonnés seront hourdés de béton dosé à 350 kg/m3 ou du mortier dosé à 400 kg/m3. Le gros béton sera dosé à 300 kg de ciment/m3 de béton. Les moellons pour maçonneries proviendront de carrière ou de gisements agréés par l’ingénieur. </w:t>
      </w:r>
    </w:p>
    <w:p w14:paraId="32655D2F" w14:textId="77777777" w:rsidR="0058524C" w:rsidRPr="0058524C" w:rsidRDefault="0058524C" w:rsidP="0058524C">
      <w:pPr>
        <w:pStyle w:val="TM12"/>
        <w:jc w:val="both"/>
        <w:rPr>
          <w:iCs/>
          <w:szCs w:val="24"/>
          <w:lang w:val="fr-FR"/>
        </w:rPr>
      </w:pPr>
      <w:r w:rsidRPr="0058524C">
        <w:rPr>
          <w:rFonts w:ascii="Times New Roman" w:hAnsi="Times New Roman"/>
          <w:b w:val="0"/>
          <w:bCs w:val="0"/>
          <w:i w:val="0"/>
          <w:iCs/>
          <w:sz w:val="24"/>
          <w:szCs w:val="24"/>
          <w:lang w:val="fr-FR"/>
        </w:rPr>
        <w:t xml:space="preserve"> </w:t>
      </w:r>
    </w:p>
    <w:p w14:paraId="75B4A2F9" w14:textId="305CE2EF" w:rsidR="0058524C" w:rsidRPr="0058524C" w:rsidRDefault="0058524C" w:rsidP="0058524C">
      <w:pPr>
        <w:pStyle w:val="TM12"/>
        <w:jc w:val="both"/>
        <w:rPr>
          <w:iCs/>
          <w:szCs w:val="24"/>
          <w:lang w:val="fr-FR"/>
        </w:rPr>
      </w:pPr>
      <w:r w:rsidRPr="0058524C">
        <w:rPr>
          <w:rFonts w:ascii="Times New Roman" w:hAnsi="Times New Roman"/>
          <w:b w:val="0"/>
          <w:bCs w:val="0"/>
          <w:i w:val="0"/>
          <w:iCs/>
          <w:sz w:val="24"/>
          <w:szCs w:val="24"/>
          <w:lang w:val="fr-FR"/>
        </w:rPr>
        <w:t xml:space="preserve">Sauf dérogation strictement écrite, les moellons devront présenter les qualités </w:t>
      </w:r>
      <w:r w:rsidR="00F664CA" w:rsidRPr="0058524C">
        <w:rPr>
          <w:rFonts w:ascii="Times New Roman" w:hAnsi="Times New Roman"/>
          <w:b w:val="0"/>
          <w:bCs w:val="0"/>
          <w:i w:val="0"/>
          <w:iCs/>
          <w:sz w:val="24"/>
          <w:szCs w:val="24"/>
          <w:lang w:val="fr-FR"/>
        </w:rPr>
        <w:t>suivantes :</w:t>
      </w:r>
      <w:r w:rsidRPr="0058524C">
        <w:rPr>
          <w:rFonts w:ascii="Times New Roman" w:hAnsi="Times New Roman"/>
          <w:b w:val="0"/>
          <w:bCs w:val="0"/>
          <w:i w:val="0"/>
          <w:iCs/>
          <w:sz w:val="24"/>
          <w:szCs w:val="24"/>
          <w:lang w:val="fr-FR"/>
        </w:rPr>
        <w:t xml:space="preserve"> </w:t>
      </w:r>
    </w:p>
    <w:p w14:paraId="2DDD0E90" w14:textId="0FE2D114" w:rsidR="0058524C" w:rsidRPr="00850074" w:rsidRDefault="00F664CA" w:rsidP="002A45C1">
      <w:pPr>
        <w:pStyle w:val="Paragraphedeliste"/>
        <w:numPr>
          <w:ilvl w:val="0"/>
          <w:numId w:val="85"/>
        </w:numPr>
        <w:spacing w:after="0"/>
        <w:jc w:val="left"/>
        <w:rPr>
          <w:szCs w:val="24"/>
        </w:rPr>
      </w:pPr>
      <w:r w:rsidRPr="00850074">
        <w:rPr>
          <w:szCs w:val="24"/>
        </w:rPr>
        <w:t>La</w:t>
      </w:r>
      <w:r w:rsidR="0058524C" w:rsidRPr="00850074">
        <w:rPr>
          <w:szCs w:val="24"/>
        </w:rPr>
        <w:t xml:space="preserve"> densité des moellons devra être supérieure à deux virgule quatre (2,4 t/m</w:t>
      </w:r>
      <w:r w:rsidR="0058524C" w:rsidRPr="00850074">
        <w:rPr>
          <w:szCs w:val="24"/>
          <w:vertAlign w:val="superscript"/>
        </w:rPr>
        <w:t>3</w:t>
      </w:r>
      <w:r w:rsidR="0058524C" w:rsidRPr="00850074">
        <w:rPr>
          <w:szCs w:val="24"/>
        </w:rPr>
        <w:t>) ;</w:t>
      </w:r>
    </w:p>
    <w:p w14:paraId="14847791" w14:textId="1F925A5F" w:rsidR="0058524C" w:rsidRPr="00850074" w:rsidRDefault="00F664CA" w:rsidP="002A45C1">
      <w:pPr>
        <w:pStyle w:val="Paragraphedeliste"/>
        <w:numPr>
          <w:ilvl w:val="0"/>
          <w:numId w:val="85"/>
        </w:numPr>
        <w:spacing w:after="0"/>
        <w:jc w:val="left"/>
        <w:rPr>
          <w:szCs w:val="24"/>
        </w:rPr>
      </w:pPr>
      <w:r w:rsidRPr="00850074">
        <w:rPr>
          <w:szCs w:val="24"/>
        </w:rPr>
        <w:t>Les</w:t>
      </w:r>
      <w:r w:rsidR="0058524C" w:rsidRPr="00850074">
        <w:rPr>
          <w:szCs w:val="24"/>
        </w:rPr>
        <w:t xml:space="preserve"> matériaux devront provenir de roches saines, dures et compactes, non susceptibles de décomposition ; </w:t>
      </w:r>
    </w:p>
    <w:p w14:paraId="38EBB391" w14:textId="72C71670" w:rsidR="0058524C" w:rsidRPr="00850074" w:rsidRDefault="0058524C" w:rsidP="002A45C1">
      <w:pPr>
        <w:pStyle w:val="Paragraphedeliste"/>
        <w:numPr>
          <w:ilvl w:val="0"/>
          <w:numId w:val="85"/>
        </w:numPr>
        <w:spacing w:after="0"/>
        <w:jc w:val="left"/>
        <w:rPr>
          <w:szCs w:val="24"/>
        </w:rPr>
      </w:pPr>
      <w:r w:rsidRPr="00850074">
        <w:rPr>
          <w:szCs w:val="24"/>
        </w:rPr>
        <w:t xml:space="preserve"> </w:t>
      </w:r>
      <w:r w:rsidR="00F664CA" w:rsidRPr="00850074">
        <w:rPr>
          <w:szCs w:val="24"/>
        </w:rPr>
        <w:t>Toutes</w:t>
      </w:r>
      <w:r w:rsidRPr="00850074">
        <w:rPr>
          <w:szCs w:val="24"/>
        </w:rPr>
        <w:t xml:space="preserve"> les parties terreuses et friables devront être éliminées ; </w:t>
      </w:r>
    </w:p>
    <w:p w14:paraId="45549CDD" w14:textId="621CC325" w:rsidR="0058524C" w:rsidRPr="00850074" w:rsidRDefault="00F664CA" w:rsidP="002A45C1">
      <w:pPr>
        <w:pStyle w:val="Paragraphedeliste"/>
        <w:numPr>
          <w:ilvl w:val="0"/>
          <w:numId w:val="85"/>
        </w:numPr>
        <w:spacing w:after="0"/>
        <w:jc w:val="left"/>
        <w:rPr>
          <w:szCs w:val="24"/>
        </w:rPr>
      </w:pPr>
      <w:r w:rsidRPr="00850074">
        <w:rPr>
          <w:szCs w:val="24"/>
        </w:rPr>
        <w:t>Les</w:t>
      </w:r>
      <w:r w:rsidR="0058524C" w:rsidRPr="00850074">
        <w:rPr>
          <w:szCs w:val="24"/>
        </w:rPr>
        <w:t xml:space="preserve"> moellons devront présenter des formes régulières et n'être ni trop longs ni trop plats. Leur plus grande dimension (diamètre inférieur de l'anneau dans lequel ils pourront passer en tous sens) sera au plus égale à deux (2) fois leur dimension moyenne et le rapport de la plus grande à la plus petite dimension inférieure à 3. </w:t>
      </w:r>
    </w:p>
    <w:p w14:paraId="5A12A64C" w14:textId="77777777" w:rsidR="0058524C" w:rsidRPr="0058524C" w:rsidRDefault="0058524C" w:rsidP="0058524C">
      <w:pPr>
        <w:pStyle w:val="TM12"/>
        <w:jc w:val="both"/>
        <w:rPr>
          <w:iCs/>
          <w:szCs w:val="24"/>
          <w:lang w:val="fr-FR"/>
        </w:rPr>
      </w:pPr>
      <w:r w:rsidRPr="0058524C">
        <w:rPr>
          <w:rFonts w:ascii="Times New Roman" w:hAnsi="Times New Roman"/>
          <w:b w:val="0"/>
          <w:bCs w:val="0"/>
          <w:i w:val="0"/>
          <w:iCs/>
          <w:sz w:val="24"/>
          <w:szCs w:val="24"/>
          <w:lang w:val="fr-FR"/>
        </w:rPr>
        <w:t xml:space="preserve">L'Entrepreneur sera tenu de vérifier les qualités requises de ces matériaux même si ces derniers font l'objet d'un ramassage par les soins des collectivités locales bénéficiaires des aménagements. </w:t>
      </w:r>
    </w:p>
    <w:p w14:paraId="18828D8D" w14:textId="77777777" w:rsidR="0058524C" w:rsidRPr="0058524C" w:rsidRDefault="0058524C" w:rsidP="0058524C">
      <w:pPr>
        <w:pStyle w:val="TM12"/>
        <w:jc w:val="both"/>
        <w:rPr>
          <w:iCs/>
          <w:szCs w:val="24"/>
          <w:lang w:val="fr-FR"/>
        </w:rPr>
      </w:pPr>
      <w:r w:rsidRPr="0058524C">
        <w:rPr>
          <w:rFonts w:ascii="Times New Roman" w:hAnsi="Times New Roman"/>
          <w:b w:val="0"/>
          <w:bCs w:val="0"/>
          <w:i w:val="0"/>
          <w:iCs/>
          <w:sz w:val="24"/>
          <w:szCs w:val="24"/>
          <w:lang w:val="fr-FR"/>
        </w:rPr>
        <w:t xml:space="preserve">Ces moellons ne devront présenter aucune dimension inférieure à vingt (15) cm et respecter les spécifications du fascicule 64 du CCTG. </w:t>
      </w:r>
    </w:p>
    <w:p w14:paraId="637D08D4" w14:textId="77777777" w:rsidR="0058524C" w:rsidRPr="0058524C" w:rsidRDefault="0058524C" w:rsidP="0058524C">
      <w:pPr>
        <w:pStyle w:val="TM12"/>
        <w:jc w:val="both"/>
        <w:rPr>
          <w:iCs/>
          <w:szCs w:val="24"/>
          <w:lang w:val="fr-FR"/>
        </w:rPr>
      </w:pPr>
    </w:p>
    <w:p w14:paraId="4EC8861B" w14:textId="77777777" w:rsidR="0058524C" w:rsidRPr="00850074" w:rsidRDefault="0058524C" w:rsidP="0058524C">
      <w:pPr>
        <w:spacing w:after="0"/>
        <w:rPr>
          <w:b/>
          <w:szCs w:val="24"/>
        </w:rPr>
      </w:pPr>
      <w:r w:rsidRPr="00850074">
        <w:rPr>
          <w:b/>
          <w:szCs w:val="24"/>
        </w:rPr>
        <w:t xml:space="preserve">5.5.4 Matériaux pour bétons armés et mortiers </w:t>
      </w:r>
    </w:p>
    <w:p w14:paraId="7DCD9285" w14:textId="77777777" w:rsidR="0058524C" w:rsidRPr="00850074" w:rsidRDefault="0058524C" w:rsidP="0058524C">
      <w:pPr>
        <w:spacing w:after="0"/>
        <w:rPr>
          <w:b/>
          <w:szCs w:val="24"/>
        </w:rPr>
      </w:pPr>
      <w:r w:rsidRPr="00850074">
        <w:rPr>
          <w:b/>
          <w:szCs w:val="24"/>
        </w:rPr>
        <w:t xml:space="preserve"> Ciments </w:t>
      </w:r>
    </w:p>
    <w:p w14:paraId="527AFAEA" w14:textId="77777777" w:rsidR="0058524C" w:rsidRPr="0058524C" w:rsidRDefault="0058524C" w:rsidP="0058524C">
      <w:pPr>
        <w:pStyle w:val="TM12"/>
        <w:jc w:val="both"/>
        <w:rPr>
          <w:iCs/>
          <w:szCs w:val="24"/>
          <w:lang w:val="fr-FR"/>
        </w:rPr>
      </w:pPr>
      <w:r w:rsidRPr="0058524C">
        <w:rPr>
          <w:rFonts w:ascii="Times New Roman" w:hAnsi="Times New Roman"/>
          <w:b w:val="0"/>
          <w:bCs w:val="0"/>
          <w:i w:val="0"/>
          <w:iCs/>
          <w:sz w:val="24"/>
          <w:szCs w:val="24"/>
          <w:lang w:val="fr-FR"/>
        </w:rPr>
        <w:t xml:space="preserve">Les ciments utilisés seront en principe de la classe Portland composé CPJ 42.5 ou d'une qualité au moins équivalente. </w:t>
      </w:r>
    </w:p>
    <w:p w14:paraId="52F8D3ED" w14:textId="77777777" w:rsidR="0058524C" w:rsidRPr="0058524C" w:rsidRDefault="0058524C" w:rsidP="0058524C">
      <w:pPr>
        <w:pStyle w:val="TM12"/>
        <w:jc w:val="both"/>
        <w:rPr>
          <w:iCs/>
          <w:szCs w:val="24"/>
          <w:lang w:val="fr-FR"/>
        </w:rPr>
      </w:pPr>
      <w:r w:rsidRPr="0058524C">
        <w:rPr>
          <w:rFonts w:ascii="Times New Roman" w:hAnsi="Times New Roman"/>
          <w:b w:val="0"/>
          <w:bCs w:val="0"/>
          <w:i w:val="0"/>
          <w:iCs/>
          <w:sz w:val="24"/>
          <w:szCs w:val="24"/>
          <w:lang w:val="fr-FR"/>
        </w:rPr>
        <w:t xml:space="preserve">L'Entrepreneur emploiera des magasiniers compétents qui tiendront un cahier des arrivées et sorties du ciment. Une copie de ces cahiers devra être remise à l'Ingénieur chaque semaine. </w:t>
      </w:r>
    </w:p>
    <w:p w14:paraId="2EE6FAAC" w14:textId="77777777" w:rsidR="0058524C" w:rsidRPr="0058524C" w:rsidRDefault="0058524C" w:rsidP="0058524C">
      <w:pPr>
        <w:pStyle w:val="TM12"/>
        <w:jc w:val="both"/>
        <w:rPr>
          <w:iCs/>
          <w:szCs w:val="24"/>
          <w:lang w:val="fr-FR"/>
        </w:rPr>
      </w:pPr>
      <w:r w:rsidRPr="0058524C">
        <w:rPr>
          <w:rFonts w:ascii="Times New Roman" w:hAnsi="Times New Roman"/>
          <w:b w:val="0"/>
          <w:bCs w:val="0"/>
          <w:i w:val="0"/>
          <w:iCs/>
          <w:sz w:val="24"/>
          <w:szCs w:val="24"/>
          <w:lang w:val="fr-FR"/>
        </w:rPr>
        <w:t xml:space="preserve">L'Entrepreneur fournira pour chaque livraison un certificat du fabricant. Des essais pourront être exécutés, à la demande de l'Ingénieur, sur des échantillons pris à l'usine avant chargement ou après l'arrivée du ciment sur le chantier. Ces essais pourront être exigés pour chaque livraison. </w:t>
      </w:r>
    </w:p>
    <w:p w14:paraId="6E2B6E93" w14:textId="77777777" w:rsidR="0058524C" w:rsidRPr="0058524C" w:rsidRDefault="0058524C" w:rsidP="0058524C">
      <w:pPr>
        <w:pStyle w:val="TM12"/>
        <w:jc w:val="both"/>
        <w:rPr>
          <w:iCs/>
          <w:szCs w:val="24"/>
          <w:lang w:val="fr-FR"/>
        </w:rPr>
      </w:pPr>
      <w:r w:rsidRPr="0058524C">
        <w:rPr>
          <w:rFonts w:ascii="Times New Roman" w:hAnsi="Times New Roman"/>
          <w:b w:val="0"/>
          <w:bCs w:val="0"/>
          <w:i w:val="0"/>
          <w:iCs/>
          <w:sz w:val="24"/>
          <w:szCs w:val="24"/>
          <w:lang w:val="fr-FR"/>
        </w:rPr>
        <w:t xml:space="preserve"> </w:t>
      </w:r>
    </w:p>
    <w:p w14:paraId="133DF24B" w14:textId="77777777" w:rsidR="0058524C" w:rsidRPr="0058524C" w:rsidRDefault="0058524C" w:rsidP="0058524C">
      <w:pPr>
        <w:pStyle w:val="TM12"/>
        <w:jc w:val="both"/>
        <w:rPr>
          <w:iCs/>
          <w:szCs w:val="24"/>
          <w:lang w:val="fr-FR"/>
        </w:rPr>
      </w:pPr>
      <w:r w:rsidRPr="0058524C">
        <w:rPr>
          <w:rFonts w:ascii="Times New Roman" w:hAnsi="Times New Roman"/>
          <w:b w:val="0"/>
          <w:bCs w:val="0"/>
          <w:i w:val="0"/>
          <w:iCs/>
          <w:sz w:val="24"/>
          <w:szCs w:val="24"/>
          <w:lang w:val="fr-FR"/>
        </w:rPr>
        <w:t xml:space="preserve">Le ciment sera stocké dans les locaux bien ventilés ou protégés du soleil et de l'humidité. Ces locaux seront de dimension suffisante pour que le ciment entreposé suffise à la marche du chantier pendant au moins un mois. </w:t>
      </w:r>
    </w:p>
    <w:p w14:paraId="4A84E882" w14:textId="77777777" w:rsidR="0058524C" w:rsidRPr="0058524C" w:rsidRDefault="0058524C" w:rsidP="0058524C">
      <w:pPr>
        <w:pStyle w:val="TM12"/>
        <w:jc w:val="both"/>
        <w:rPr>
          <w:iCs/>
          <w:szCs w:val="24"/>
          <w:lang w:val="fr-FR"/>
        </w:rPr>
      </w:pPr>
      <w:r w:rsidRPr="0058524C">
        <w:rPr>
          <w:rFonts w:ascii="Times New Roman" w:hAnsi="Times New Roman"/>
          <w:b w:val="0"/>
          <w:bCs w:val="0"/>
          <w:i w:val="0"/>
          <w:iCs/>
          <w:sz w:val="24"/>
          <w:szCs w:val="24"/>
          <w:lang w:val="fr-FR"/>
        </w:rPr>
        <w:t xml:space="preserve"> </w:t>
      </w:r>
    </w:p>
    <w:p w14:paraId="67D8A515" w14:textId="77777777" w:rsidR="0058524C" w:rsidRPr="0058524C" w:rsidRDefault="0058524C" w:rsidP="0058524C">
      <w:pPr>
        <w:pStyle w:val="TM12"/>
        <w:jc w:val="both"/>
        <w:rPr>
          <w:iCs/>
          <w:szCs w:val="24"/>
          <w:lang w:val="fr-FR"/>
        </w:rPr>
      </w:pPr>
      <w:r w:rsidRPr="0058524C">
        <w:rPr>
          <w:rFonts w:ascii="Times New Roman" w:hAnsi="Times New Roman"/>
          <w:b w:val="0"/>
          <w:bCs w:val="0"/>
          <w:i w:val="0"/>
          <w:iCs/>
          <w:sz w:val="24"/>
          <w:szCs w:val="24"/>
          <w:lang w:val="fr-FR"/>
        </w:rPr>
        <w:t xml:space="preserve">Chaque livraison du ciment sera entreposée séparément dans les locaux immédiatement à son arrivée sur le site et comportera de façon claire l'indication de la date effective d'arrivée. </w:t>
      </w:r>
    </w:p>
    <w:p w14:paraId="7D41F902" w14:textId="77777777" w:rsidR="0058524C" w:rsidRPr="0058524C" w:rsidRDefault="0058524C" w:rsidP="0058524C">
      <w:pPr>
        <w:pStyle w:val="TM12"/>
        <w:jc w:val="both"/>
        <w:rPr>
          <w:iCs/>
          <w:szCs w:val="24"/>
          <w:lang w:val="fr-FR"/>
        </w:rPr>
      </w:pPr>
      <w:r w:rsidRPr="0058524C">
        <w:rPr>
          <w:rFonts w:ascii="Times New Roman" w:hAnsi="Times New Roman"/>
          <w:b w:val="0"/>
          <w:bCs w:val="0"/>
          <w:i w:val="0"/>
          <w:iCs/>
          <w:sz w:val="24"/>
          <w:szCs w:val="24"/>
          <w:lang w:val="fr-FR"/>
        </w:rPr>
        <w:t xml:space="preserve"> </w:t>
      </w:r>
    </w:p>
    <w:p w14:paraId="17386510" w14:textId="1B170D43" w:rsidR="0058524C" w:rsidRPr="0058524C" w:rsidRDefault="0058524C" w:rsidP="00F664CA">
      <w:pPr>
        <w:pStyle w:val="TM12"/>
        <w:jc w:val="both"/>
        <w:rPr>
          <w:iCs/>
          <w:szCs w:val="24"/>
          <w:lang w:val="fr-FR"/>
        </w:rPr>
      </w:pPr>
      <w:r w:rsidRPr="0058524C">
        <w:rPr>
          <w:rFonts w:ascii="Times New Roman" w:hAnsi="Times New Roman"/>
          <w:b w:val="0"/>
          <w:bCs w:val="0"/>
          <w:i w:val="0"/>
          <w:iCs/>
          <w:sz w:val="24"/>
          <w:szCs w:val="24"/>
          <w:lang w:val="fr-FR"/>
        </w:rPr>
        <w:t xml:space="preserve">Les ciments seront utilisés suivant leur ordre chronologique d'arrivée. Tout ciment contenu dans des sacs endommagés, ou ayant fait prise même partiellement ou éventré, ou ayant plus de cinq mois de stockage ne pourra en aucun cas être utilisé et devra obligatoirement être détruit ou transporté en dehors des limites du chantier. Dans l'éventualité de plusieurs catégories de ciment sur le site, chaque catégorie sera stockée dans un local séparé de façon à éviter tout risque de mélange lors de l'utilisation. L'Ingénieur pourra à tout moment prélever des échantillons de ciment pour faire procéder à des essais à la charge de l'Entreprise. </w:t>
      </w:r>
    </w:p>
    <w:p w14:paraId="6989D0BB" w14:textId="77777777" w:rsidR="0058524C" w:rsidRPr="0058524C" w:rsidRDefault="0058524C" w:rsidP="0058524C">
      <w:pPr>
        <w:pStyle w:val="TM12"/>
        <w:jc w:val="both"/>
        <w:rPr>
          <w:iCs/>
          <w:szCs w:val="24"/>
          <w:lang w:val="fr-FR"/>
        </w:rPr>
      </w:pPr>
      <w:r w:rsidRPr="0058524C">
        <w:rPr>
          <w:rFonts w:ascii="Times New Roman" w:hAnsi="Times New Roman"/>
          <w:b w:val="0"/>
          <w:bCs w:val="0"/>
          <w:i w:val="0"/>
          <w:iCs/>
          <w:sz w:val="24"/>
          <w:szCs w:val="24"/>
          <w:lang w:val="fr-FR"/>
        </w:rPr>
        <w:t xml:space="preserve"> </w:t>
      </w:r>
    </w:p>
    <w:p w14:paraId="67197F6E" w14:textId="77777777" w:rsidR="0058524C" w:rsidRPr="0058524C" w:rsidRDefault="0058524C" w:rsidP="0058524C">
      <w:pPr>
        <w:pStyle w:val="TM12"/>
        <w:jc w:val="both"/>
        <w:rPr>
          <w:b w:val="0"/>
          <w:iCs/>
          <w:szCs w:val="24"/>
          <w:lang w:val="fr-FR"/>
        </w:rPr>
      </w:pPr>
      <w:r w:rsidRPr="0058524C">
        <w:rPr>
          <w:rFonts w:ascii="Times New Roman" w:hAnsi="Times New Roman"/>
          <w:i w:val="0"/>
          <w:iCs/>
          <w:sz w:val="24"/>
          <w:szCs w:val="24"/>
          <w:lang w:val="fr-FR"/>
        </w:rPr>
        <w:t xml:space="preserve">Eau pour terrassements et ouvrages </w:t>
      </w:r>
    </w:p>
    <w:p w14:paraId="583A9592" w14:textId="77777777" w:rsidR="0058524C" w:rsidRPr="0058524C" w:rsidRDefault="0058524C" w:rsidP="0058524C">
      <w:pPr>
        <w:pStyle w:val="TM12"/>
        <w:jc w:val="both"/>
        <w:rPr>
          <w:iCs/>
          <w:szCs w:val="24"/>
          <w:lang w:val="fr-FR"/>
        </w:rPr>
      </w:pPr>
      <w:r w:rsidRPr="0058524C">
        <w:rPr>
          <w:rFonts w:ascii="Times New Roman" w:hAnsi="Times New Roman"/>
          <w:b w:val="0"/>
          <w:bCs w:val="0"/>
          <w:i w:val="0"/>
          <w:iCs/>
          <w:sz w:val="24"/>
          <w:szCs w:val="24"/>
          <w:lang w:val="fr-FR"/>
        </w:rPr>
        <w:t xml:space="preserve">L'attention est portée à l'Entreprise qu'aucun conflit d'utilisation de point d'eau avec les populations locales ne peut être toléré, et l'Entreprise tiendra compte dans ses prix de l'équipement éventuel de puits et forages existant actuellement non fonctionnels pour assurer son approvisionnement ou de mise en œuvre de structures provisoires de rétention d'eau dans les mares à proximité et sous son entière responsabilité. </w:t>
      </w:r>
    </w:p>
    <w:p w14:paraId="5A88F07B" w14:textId="77777777" w:rsidR="0058524C" w:rsidRPr="0058524C" w:rsidRDefault="0058524C" w:rsidP="0058524C">
      <w:pPr>
        <w:pStyle w:val="TM12"/>
        <w:spacing w:before="0"/>
        <w:jc w:val="both"/>
        <w:rPr>
          <w:iCs/>
          <w:szCs w:val="24"/>
          <w:lang w:val="fr-FR"/>
        </w:rPr>
      </w:pPr>
      <w:r w:rsidRPr="0058524C">
        <w:rPr>
          <w:rFonts w:ascii="Times New Roman" w:hAnsi="Times New Roman"/>
          <w:b w:val="0"/>
          <w:bCs w:val="0"/>
          <w:i w:val="0"/>
          <w:iCs/>
          <w:sz w:val="24"/>
          <w:szCs w:val="24"/>
          <w:lang w:val="fr-FR"/>
        </w:rPr>
        <w:t xml:space="preserve"> </w:t>
      </w:r>
    </w:p>
    <w:p w14:paraId="527E94D8" w14:textId="77777777" w:rsidR="0058524C" w:rsidRPr="0058524C" w:rsidRDefault="0058524C" w:rsidP="0058524C">
      <w:pPr>
        <w:pStyle w:val="TM12"/>
        <w:jc w:val="both"/>
        <w:rPr>
          <w:iCs/>
          <w:szCs w:val="24"/>
          <w:lang w:val="fr-FR"/>
        </w:rPr>
      </w:pPr>
      <w:r w:rsidRPr="0058524C">
        <w:rPr>
          <w:rFonts w:ascii="Times New Roman" w:hAnsi="Times New Roman"/>
          <w:b w:val="0"/>
          <w:bCs w:val="0"/>
          <w:i w:val="0"/>
          <w:iCs/>
          <w:sz w:val="24"/>
          <w:szCs w:val="24"/>
          <w:lang w:val="fr-FR"/>
        </w:rPr>
        <w:t xml:space="preserve">L'Entreprise a la charge d'analyser les points d'eau disponibles à proximité des sites de travaux ou indiqués par le Maître d’œuvre sans que cette dernière condition n'engage pour autant sa responsabilité. L'Entreprise proposera alors à l'agrément de l'Ingénieur les modes d'exploitation des points d'eau qui auront été retenus tant pour leur qualité que pour leur disponibilité et les dispositions conservatoires qu'elle compte prendre pour assurer un approvisionnement régulier des chantiers. </w:t>
      </w:r>
    </w:p>
    <w:p w14:paraId="5D210D77" w14:textId="77777777" w:rsidR="0058524C" w:rsidRPr="0058524C" w:rsidRDefault="0058524C" w:rsidP="0058524C">
      <w:pPr>
        <w:pStyle w:val="TM12"/>
        <w:spacing w:before="0"/>
        <w:jc w:val="both"/>
        <w:rPr>
          <w:iCs/>
          <w:szCs w:val="24"/>
          <w:lang w:val="fr-FR"/>
        </w:rPr>
      </w:pPr>
      <w:r w:rsidRPr="0058524C">
        <w:rPr>
          <w:rFonts w:ascii="Times New Roman" w:hAnsi="Times New Roman"/>
          <w:b w:val="0"/>
          <w:bCs w:val="0"/>
          <w:i w:val="0"/>
          <w:iCs/>
          <w:sz w:val="24"/>
          <w:szCs w:val="24"/>
          <w:lang w:val="fr-FR"/>
        </w:rPr>
        <w:t xml:space="preserve"> </w:t>
      </w:r>
    </w:p>
    <w:p w14:paraId="580E76C1" w14:textId="77777777" w:rsidR="0058524C" w:rsidRPr="0058524C" w:rsidRDefault="0058524C" w:rsidP="0058524C">
      <w:pPr>
        <w:pStyle w:val="TM12"/>
        <w:jc w:val="both"/>
        <w:rPr>
          <w:iCs/>
          <w:szCs w:val="24"/>
          <w:lang w:val="fr-FR"/>
        </w:rPr>
      </w:pPr>
      <w:r w:rsidRPr="0058524C">
        <w:rPr>
          <w:rFonts w:ascii="Times New Roman" w:hAnsi="Times New Roman"/>
          <w:b w:val="0"/>
          <w:bCs w:val="0"/>
          <w:i w:val="0"/>
          <w:iCs/>
          <w:sz w:val="24"/>
          <w:szCs w:val="24"/>
          <w:lang w:val="fr-FR"/>
        </w:rPr>
        <w:t xml:space="preserve">En cas de doute sur la qualité de l'eau de gâchage des bétons, l'Entrepreneur fera effectuer préalablement à toute utilisation une analyse par un laboratoire agréé par l'Ingénieur.  </w:t>
      </w:r>
    </w:p>
    <w:p w14:paraId="3DEEB2DD" w14:textId="77777777" w:rsidR="0058524C" w:rsidRPr="0058524C" w:rsidRDefault="0058524C" w:rsidP="0058524C">
      <w:pPr>
        <w:pStyle w:val="TM12"/>
        <w:spacing w:before="0"/>
        <w:jc w:val="both"/>
        <w:rPr>
          <w:iCs/>
          <w:szCs w:val="24"/>
          <w:lang w:val="fr-FR"/>
        </w:rPr>
      </w:pPr>
      <w:r w:rsidRPr="0058524C">
        <w:rPr>
          <w:rFonts w:ascii="Times New Roman" w:hAnsi="Times New Roman"/>
          <w:b w:val="0"/>
          <w:bCs w:val="0"/>
          <w:i w:val="0"/>
          <w:iCs/>
          <w:sz w:val="24"/>
          <w:szCs w:val="24"/>
          <w:lang w:val="fr-FR"/>
        </w:rPr>
        <w:t xml:space="preserve"> </w:t>
      </w:r>
    </w:p>
    <w:p w14:paraId="09509F95" w14:textId="392CE0D8" w:rsidR="0058524C" w:rsidRPr="0058524C" w:rsidRDefault="0058524C" w:rsidP="0058524C">
      <w:pPr>
        <w:pStyle w:val="TM12"/>
        <w:jc w:val="both"/>
        <w:rPr>
          <w:iCs/>
          <w:szCs w:val="24"/>
          <w:lang w:val="fr-FR"/>
        </w:rPr>
      </w:pPr>
      <w:r w:rsidRPr="0058524C">
        <w:rPr>
          <w:rFonts w:ascii="Times New Roman" w:hAnsi="Times New Roman"/>
          <w:b w:val="0"/>
          <w:bCs w:val="0"/>
          <w:i w:val="0"/>
          <w:iCs/>
          <w:sz w:val="24"/>
          <w:szCs w:val="24"/>
          <w:lang w:val="fr-FR"/>
        </w:rPr>
        <w:t xml:space="preserve">Les eaux utilisées pour le bétonnage devront satisfaire aux conditions </w:t>
      </w:r>
      <w:r w:rsidR="00F664CA" w:rsidRPr="0058524C">
        <w:rPr>
          <w:rFonts w:ascii="Times New Roman" w:hAnsi="Times New Roman"/>
          <w:b w:val="0"/>
          <w:bCs w:val="0"/>
          <w:i w:val="0"/>
          <w:iCs/>
          <w:sz w:val="24"/>
          <w:szCs w:val="24"/>
          <w:lang w:val="fr-FR"/>
        </w:rPr>
        <w:t>suivantes :</w:t>
      </w:r>
      <w:r w:rsidRPr="0058524C">
        <w:rPr>
          <w:rFonts w:ascii="Times New Roman" w:hAnsi="Times New Roman"/>
          <w:b w:val="0"/>
          <w:bCs w:val="0"/>
          <w:i w:val="0"/>
          <w:iCs/>
          <w:sz w:val="24"/>
          <w:szCs w:val="24"/>
          <w:lang w:val="fr-FR"/>
        </w:rPr>
        <w:t xml:space="preserve"> </w:t>
      </w:r>
    </w:p>
    <w:p w14:paraId="7506BBB1" w14:textId="77777777" w:rsidR="0058524C" w:rsidRPr="0058524C" w:rsidRDefault="0058524C" w:rsidP="0058524C">
      <w:pPr>
        <w:pStyle w:val="TM12"/>
        <w:jc w:val="both"/>
        <w:rPr>
          <w:iCs/>
          <w:szCs w:val="24"/>
          <w:lang w:val="fr-FR"/>
        </w:rPr>
      </w:pPr>
      <w:r w:rsidRPr="0058524C">
        <w:rPr>
          <w:rFonts w:ascii="Times New Roman" w:hAnsi="Times New Roman"/>
          <w:b w:val="0"/>
          <w:bCs w:val="0"/>
          <w:i w:val="0"/>
          <w:iCs/>
          <w:sz w:val="24"/>
          <w:szCs w:val="24"/>
          <w:lang w:val="fr-FR"/>
        </w:rPr>
        <w:t xml:space="preserve"> - matières solides et sels en suspension inférieurs à 2gr par litre, </w:t>
      </w:r>
    </w:p>
    <w:p w14:paraId="1E5B67B8" w14:textId="77777777" w:rsidR="0058524C" w:rsidRPr="0058524C" w:rsidRDefault="0058524C" w:rsidP="0058524C">
      <w:pPr>
        <w:pStyle w:val="TM12"/>
        <w:jc w:val="both"/>
        <w:rPr>
          <w:iCs/>
          <w:szCs w:val="24"/>
          <w:lang w:val="fr-FR"/>
        </w:rPr>
      </w:pPr>
      <w:r w:rsidRPr="0058524C">
        <w:rPr>
          <w:rFonts w:ascii="Times New Roman" w:hAnsi="Times New Roman"/>
          <w:b w:val="0"/>
          <w:bCs w:val="0"/>
          <w:i w:val="0"/>
          <w:iCs/>
          <w:sz w:val="24"/>
          <w:szCs w:val="24"/>
          <w:lang w:val="fr-FR"/>
        </w:rPr>
        <w:t xml:space="preserve">- sels dissous inférieurs à 6 gr par litre, </w:t>
      </w:r>
    </w:p>
    <w:p w14:paraId="33A6BF68" w14:textId="77777777" w:rsidR="0058524C" w:rsidRPr="0058524C" w:rsidRDefault="0058524C" w:rsidP="0058524C">
      <w:pPr>
        <w:pStyle w:val="TM12"/>
        <w:jc w:val="both"/>
        <w:rPr>
          <w:iCs/>
          <w:szCs w:val="24"/>
          <w:lang w:val="fr-FR"/>
        </w:rPr>
      </w:pPr>
      <w:r w:rsidRPr="0058524C">
        <w:rPr>
          <w:rFonts w:ascii="Times New Roman" w:hAnsi="Times New Roman"/>
          <w:b w:val="0"/>
          <w:bCs w:val="0"/>
          <w:i w:val="0"/>
          <w:iCs/>
          <w:sz w:val="24"/>
          <w:szCs w:val="24"/>
          <w:lang w:val="fr-FR"/>
        </w:rPr>
        <w:t xml:space="preserve">- bicarbonate alcalin (en CO H) inférieur à 400 mg par litre,  </w:t>
      </w:r>
    </w:p>
    <w:p w14:paraId="1F09D026" w14:textId="77777777" w:rsidR="0058524C" w:rsidRPr="0058524C" w:rsidRDefault="0058524C" w:rsidP="0058524C">
      <w:pPr>
        <w:pStyle w:val="TM12"/>
        <w:jc w:val="both"/>
        <w:rPr>
          <w:iCs/>
          <w:szCs w:val="24"/>
          <w:lang w:val="fr-FR"/>
        </w:rPr>
      </w:pPr>
      <w:r w:rsidRPr="0058524C">
        <w:rPr>
          <w:rFonts w:ascii="Times New Roman" w:hAnsi="Times New Roman"/>
          <w:b w:val="0"/>
          <w:bCs w:val="0"/>
          <w:i w:val="0"/>
          <w:iCs/>
          <w:sz w:val="24"/>
          <w:szCs w:val="24"/>
          <w:lang w:val="fr-FR"/>
        </w:rPr>
        <w:t xml:space="preserve">- sulfate en (S03) inférieur à 400 mg par litre, </w:t>
      </w:r>
    </w:p>
    <w:p w14:paraId="568313B3" w14:textId="77777777" w:rsidR="0058524C" w:rsidRPr="0058524C" w:rsidRDefault="0058524C" w:rsidP="0058524C">
      <w:pPr>
        <w:pStyle w:val="TM12"/>
        <w:jc w:val="both"/>
        <w:rPr>
          <w:iCs/>
          <w:szCs w:val="24"/>
          <w:lang w:val="fr-FR"/>
        </w:rPr>
      </w:pPr>
      <w:r w:rsidRPr="0058524C">
        <w:rPr>
          <w:rFonts w:ascii="Times New Roman" w:hAnsi="Times New Roman"/>
          <w:b w:val="0"/>
          <w:bCs w:val="0"/>
          <w:i w:val="0"/>
          <w:iCs/>
          <w:sz w:val="24"/>
          <w:szCs w:val="24"/>
          <w:lang w:val="fr-FR"/>
        </w:rPr>
        <w:t xml:space="preserve">- matières organiques inférieures à 1 gr par litre,  </w:t>
      </w:r>
    </w:p>
    <w:p w14:paraId="7D97A851" w14:textId="77777777" w:rsidR="0058524C" w:rsidRPr="0058524C" w:rsidRDefault="0058524C" w:rsidP="0058524C">
      <w:pPr>
        <w:pStyle w:val="TM12"/>
        <w:jc w:val="both"/>
        <w:rPr>
          <w:iCs/>
          <w:szCs w:val="24"/>
          <w:lang w:val="fr-FR"/>
        </w:rPr>
      </w:pPr>
      <w:r w:rsidRPr="0058524C">
        <w:rPr>
          <w:rFonts w:ascii="Times New Roman" w:hAnsi="Times New Roman"/>
          <w:b w:val="0"/>
          <w:bCs w:val="0"/>
          <w:i w:val="0"/>
          <w:iCs/>
          <w:sz w:val="24"/>
          <w:szCs w:val="24"/>
          <w:lang w:val="fr-FR"/>
        </w:rPr>
        <w:t>- PH compris entre 6 et 8.</w:t>
      </w:r>
    </w:p>
    <w:p w14:paraId="3E213A04" w14:textId="77777777" w:rsidR="0058524C" w:rsidRPr="0058524C" w:rsidRDefault="0058524C" w:rsidP="0058524C">
      <w:pPr>
        <w:pStyle w:val="TM12"/>
        <w:jc w:val="both"/>
        <w:rPr>
          <w:iCs/>
          <w:szCs w:val="24"/>
          <w:lang w:val="fr-FR"/>
        </w:rPr>
      </w:pPr>
      <w:r w:rsidRPr="0058524C">
        <w:rPr>
          <w:rFonts w:ascii="Times New Roman" w:hAnsi="Times New Roman"/>
          <w:b w:val="0"/>
          <w:bCs w:val="0"/>
          <w:i w:val="0"/>
          <w:iCs/>
          <w:sz w:val="24"/>
          <w:szCs w:val="24"/>
          <w:lang w:val="fr-FR"/>
        </w:rPr>
        <w:t xml:space="preserve"> </w:t>
      </w:r>
    </w:p>
    <w:p w14:paraId="1BBB7868" w14:textId="77777777" w:rsidR="0058524C" w:rsidRPr="00850074" w:rsidRDefault="0058524C" w:rsidP="0058524C">
      <w:pPr>
        <w:spacing w:after="0"/>
        <w:rPr>
          <w:b/>
          <w:szCs w:val="24"/>
        </w:rPr>
      </w:pPr>
      <w:r w:rsidRPr="00850074">
        <w:rPr>
          <w:b/>
          <w:szCs w:val="24"/>
        </w:rPr>
        <w:t xml:space="preserve">Granulats </w:t>
      </w:r>
    </w:p>
    <w:p w14:paraId="0206F62B" w14:textId="77777777" w:rsidR="0058524C" w:rsidRPr="0058524C" w:rsidRDefault="0058524C" w:rsidP="0058524C">
      <w:pPr>
        <w:pStyle w:val="TM12"/>
        <w:jc w:val="both"/>
        <w:rPr>
          <w:iCs/>
          <w:szCs w:val="24"/>
          <w:lang w:val="fr-FR"/>
        </w:rPr>
      </w:pPr>
      <w:r w:rsidRPr="0058524C">
        <w:rPr>
          <w:rFonts w:ascii="Times New Roman" w:hAnsi="Times New Roman"/>
          <w:b w:val="0"/>
          <w:bCs w:val="0"/>
          <w:i w:val="0"/>
          <w:iCs/>
          <w:sz w:val="24"/>
          <w:szCs w:val="24"/>
          <w:lang w:val="fr-FR"/>
        </w:rPr>
        <w:t xml:space="preserve">L'Ingénieur aura sept jours à compter de la réception des analyses pour approuver ou refuser les carrières ou ballastières proposées par l'Entrepreneur. </w:t>
      </w:r>
    </w:p>
    <w:p w14:paraId="601E6E91" w14:textId="77777777" w:rsidR="0058524C" w:rsidRPr="0058524C" w:rsidRDefault="0058524C" w:rsidP="0058524C">
      <w:pPr>
        <w:pStyle w:val="TM12"/>
        <w:spacing w:before="0"/>
        <w:jc w:val="both"/>
        <w:rPr>
          <w:iCs/>
          <w:szCs w:val="24"/>
          <w:lang w:val="fr-FR"/>
        </w:rPr>
      </w:pPr>
      <w:r w:rsidRPr="0058524C">
        <w:rPr>
          <w:rFonts w:ascii="Times New Roman" w:hAnsi="Times New Roman"/>
          <w:b w:val="0"/>
          <w:bCs w:val="0"/>
          <w:i w:val="0"/>
          <w:iCs/>
          <w:sz w:val="24"/>
          <w:szCs w:val="24"/>
          <w:lang w:val="fr-FR"/>
        </w:rPr>
        <w:t xml:space="preserve"> </w:t>
      </w:r>
    </w:p>
    <w:p w14:paraId="0A848B32" w14:textId="77777777" w:rsidR="0058524C" w:rsidRPr="0058524C" w:rsidRDefault="0058524C" w:rsidP="0058524C">
      <w:pPr>
        <w:pStyle w:val="TM12"/>
        <w:jc w:val="both"/>
        <w:rPr>
          <w:iCs/>
          <w:szCs w:val="24"/>
          <w:lang w:val="fr-FR"/>
        </w:rPr>
      </w:pPr>
      <w:r w:rsidRPr="0058524C">
        <w:rPr>
          <w:rFonts w:ascii="Times New Roman" w:hAnsi="Times New Roman"/>
          <w:b w:val="0"/>
          <w:bCs w:val="0"/>
          <w:i w:val="0"/>
          <w:iCs/>
          <w:sz w:val="24"/>
          <w:szCs w:val="24"/>
          <w:lang w:val="fr-FR"/>
        </w:rPr>
        <w:t xml:space="preserve">Les stocks de granulats seront arrosés, si nécessaires, pour assurer une température du béton inférieure à 30°c. </w:t>
      </w:r>
    </w:p>
    <w:p w14:paraId="19DCB177" w14:textId="77777777" w:rsidR="0058524C" w:rsidRPr="0058524C" w:rsidRDefault="0058524C" w:rsidP="0058524C">
      <w:pPr>
        <w:pStyle w:val="TM12"/>
        <w:spacing w:before="0"/>
        <w:jc w:val="both"/>
        <w:rPr>
          <w:iCs/>
          <w:szCs w:val="24"/>
          <w:lang w:val="fr-FR"/>
        </w:rPr>
      </w:pPr>
      <w:r w:rsidRPr="0058524C">
        <w:rPr>
          <w:rFonts w:ascii="Times New Roman" w:hAnsi="Times New Roman"/>
          <w:b w:val="0"/>
          <w:bCs w:val="0"/>
          <w:i w:val="0"/>
          <w:iCs/>
          <w:sz w:val="24"/>
          <w:szCs w:val="24"/>
          <w:lang w:val="fr-FR"/>
        </w:rPr>
        <w:t xml:space="preserve"> </w:t>
      </w:r>
    </w:p>
    <w:p w14:paraId="4290F3D4" w14:textId="7D91B71A" w:rsidR="0058524C" w:rsidRPr="0058524C" w:rsidRDefault="0058524C" w:rsidP="0058524C">
      <w:pPr>
        <w:pStyle w:val="TM12"/>
        <w:jc w:val="both"/>
        <w:rPr>
          <w:iCs/>
          <w:szCs w:val="24"/>
          <w:lang w:val="fr-FR"/>
        </w:rPr>
      </w:pPr>
      <w:r w:rsidRPr="0058524C">
        <w:rPr>
          <w:rFonts w:ascii="Times New Roman" w:hAnsi="Times New Roman"/>
          <w:b w:val="0"/>
          <w:bCs w:val="0"/>
          <w:i w:val="0"/>
          <w:iCs/>
          <w:sz w:val="24"/>
          <w:szCs w:val="24"/>
          <w:lang w:val="fr-FR"/>
        </w:rPr>
        <w:t xml:space="preserve">Tous les agrégats seront entreposés de façon à éviter toute possibilité de contamination par le sol ou par d'autres matières étrangères, et chaque type de granulométrie d'agrégats sera entreposé </w:t>
      </w:r>
      <w:r w:rsidR="00141A98" w:rsidRPr="0058524C">
        <w:rPr>
          <w:rFonts w:ascii="Times New Roman" w:hAnsi="Times New Roman"/>
          <w:b w:val="0"/>
          <w:bCs w:val="0"/>
          <w:i w:val="0"/>
          <w:iCs/>
          <w:sz w:val="24"/>
          <w:szCs w:val="24"/>
          <w:lang w:val="fr-FR"/>
        </w:rPr>
        <w:t>séparer</w:t>
      </w:r>
      <w:r w:rsidRPr="0058524C">
        <w:rPr>
          <w:rFonts w:ascii="Times New Roman" w:hAnsi="Times New Roman"/>
          <w:b w:val="0"/>
          <w:bCs w:val="0"/>
          <w:i w:val="0"/>
          <w:iCs/>
          <w:sz w:val="24"/>
          <w:szCs w:val="24"/>
          <w:lang w:val="fr-FR"/>
        </w:rPr>
        <w:t xml:space="preserve"> des autres, le tout dans des conditions propres à recueillir l'approbation de l'ingénieur. La capacité du stockage ne doit pas être inférieure à la capacité permettant deux semaines de travaux de bétonnage à la cadence maximale du chantier. </w:t>
      </w:r>
    </w:p>
    <w:p w14:paraId="4DE6DE70" w14:textId="77777777" w:rsidR="0058524C" w:rsidRPr="0058524C" w:rsidRDefault="0058524C" w:rsidP="0058524C">
      <w:pPr>
        <w:pStyle w:val="TM12"/>
        <w:jc w:val="both"/>
        <w:rPr>
          <w:iCs/>
          <w:szCs w:val="24"/>
          <w:lang w:val="fr-FR"/>
        </w:rPr>
      </w:pPr>
      <w:r w:rsidRPr="0058524C">
        <w:rPr>
          <w:rFonts w:ascii="Times New Roman" w:hAnsi="Times New Roman"/>
          <w:b w:val="0"/>
          <w:bCs w:val="0"/>
          <w:i w:val="0"/>
          <w:iCs/>
          <w:sz w:val="24"/>
          <w:szCs w:val="24"/>
          <w:lang w:val="fr-FR"/>
        </w:rPr>
        <w:t xml:space="preserve"> </w:t>
      </w:r>
    </w:p>
    <w:p w14:paraId="2CF04109" w14:textId="77777777" w:rsidR="0058524C" w:rsidRPr="00850074" w:rsidRDefault="0058524C" w:rsidP="0058524C">
      <w:pPr>
        <w:spacing w:after="0"/>
        <w:rPr>
          <w:b/>
          <w:szCs w:val="24"/>
        </w:rPr>
      </w:pPr>
      <w:r w:rsidRPr="00850074">
        <w:rPr>
          <w:b/>
          <w:szCs w:val="24"/>
        </w:rPr>
        <w:t xml:space="preserve">Sables </w:t>
      </w:r>
    </w:p>
    <w:p w14:paraId="17FBC1A6" w14:textId="77777777" w:rsidR="0058524C" w:rsidRPr="00850074" w:rsidRDefault="0058524C" w:rsidP="0058524C">
      <w:pPr>
        <w:spacing w:after="0"/>
        <w:rPr>
          <w:b/>
          <w:szCs w:val="24"/>
        </w:rPr>
      </w:pPr>
      <w:r w:rsidRPr="00850074">
        <w:rPr>
          <w:b/>
          <w:szCs w:val="24"/>
        </w:rPr>
        <w:t xml:space="preserve">Granulométrie </w:t>
      </w:r>
    </w:p>
    <w:p w14:paraId="3040CCCE" w14:textId="77777777" w:rsidR="0058524C" w:rsidRPr="00850074" w:rsidRDefault="0058524C" w:rsidP="0058524C">
      <w:pPr>
        <w:spacing w:after="0"/>
        <w:rPr>
          <w:szCs w:val="24"/>
        </w:rPr>
      </w:pPr>
      <w:r w:rsidRPr="00850074">
        <w:rPr>
          <w:szCs w:val="24"/>
        </w:rPr>
        <w:t xml:space="preserve">Deux types de sable sont distingués dont les fuseaux granulométriques sont les suivants (pourcentage en poids passant) </w:t>
      </w:r>
      <w:proofErr w:type="gramStart"/>
      <w:r w:rsidRPr="00850074">
        <w:rPr>
          <w:szCs w:val="24"/>
        </w:rPr>
        <w:t>:  TAMIS</w:t>
      </w:r>
      <w:proofErr w:type="gramEnd"/>
      <w:r w:rsidRPr="00850074">
        <w:rPr>
          <w:szCs w:val="24"/>
        </w:rPr>
        <w:t xml:space="preserve"> </w:t>
      </w:r>
    </w:p>
    <w:p w14:paraId="40FDC9F6" w14:textId="77777777" w:rsidR="0058524C" w:rsidRPr="00850074" w:rsidRDefault="0058524C" w:rsidP="0058524C">
      <w:pPr>
        <w:spacing w:after="0"/>
        <w:rPr>
          <w:szCs w:val="24"/>
        </w:rPr>
      </w:pPr>
    </w:p>
    <w:tbl>
      <w:tblPr>
        <w:tblW w:w="0" w:type="auto"/>
        <w:tblLook w:val="04A0" w:firstRow="1" w:lastRow="0" w:firstColumn="1" w:lastColumn="0" w:noHBand="0" w:noVBand="1"/>
      </w:tblPr>
      <w:tblGrid>
        <w:gridCol w:w="3070"/>
        <w:gridCol w:w="3071"/>
        <w:gridCol w:w="3071"/>
      </w:tblGrid>
      <w:tr w:rsidR="0058524C" w:rsidRPr="00850074" w14:paraId="40683D2C" w14:textId="77777777" w:rsidTr="002240A9">
        <w:tc>
          <w:tcPr>
            <w:tcW w:w="3070" w:type="dxa"/>
          </w:tcPr>
          <w:p w14:paraId="6339B503" w14:textId="77777777" w:rsidR="0058524C" w:rsidRPr="00850074" w:rsidRDefault="0058524C" w:rsidP="002240A9">
            <w:pPr>
              <w:rPr>
                <w:szCs w:val="24"/>
              </w:rPr>
            </w:pPr>
            <w:r w:rsidRPr="00850074">
              <w:rPr>
                <w:szCs w:val="24"/>
              </w:rPr>
              <w:t>TAMIS</w:t>
            </w:r>
          </w:p>
        </w:tc>
        <w:tc>
          <w:tcPr>
            <w:tcW w:w="3071" w:type="dxa"/>
          </w:tcPr>
          <w:p w14:paraId="37E21B58" w14:textId="77777777" w:rsidR="0058524C" w:rsidRPr="00850074" w:rsidRDefault="0058524C" w:rsidP="002240A9">
            <w:pPr>
              <w:rPr>
                <w:szCs w:val="24"/>
              </w:rPr>
            </w:pPr>
            <w:r w:rsidRPr="00850074">
              <w:rPr>
                <w:szCs w:val="24"/>
              </w:rPr>
              <w:t>TYPE 1</w:t>
            </w:r>
          </w:p>
        </w:tc>
        <w:tc>
          <w:tcPr>
            <w:tcW w:w="3071" w:type="dxa"/>
          </w:tcPr>
          <w:p w14:paraId="783FBDFB" w14:textId="77777777" w:rsidR="0058524C" w:rsidRPr="00850074" w:rsidRDefault="0058524C" w:rsidP="002240A9">
            <w:pPr>
              <w:rPr>
                <w:szCs w:val="24"/>
              </w:rPr>
            </w:pPr>
            <w:r w:rsidRPr="00850074">
              <w:rPr>
                <w:szCs w:val="24"/>
              </w:rPr>
              <w:t>TYPE 2</w:t>
            </w:r>
          </w:p>
        </w:tc>
      </w:tr>
      <w:tr w:rsidR="0058524C" w:rsidRPr="00850074" w14:paraId="4065DFE1" w14:textId="77777777" w:rsidTr="002240A9">
        <w:tc>
          <w:tcPr>
            <w:tcW w:w="3070" w:type="dxa"/>
          </w:tcPr>
          <w:p w14:paraId="79FF858A" w14:textId="77777777" w:rsidR="0058524C" w:rsidRPr="00850074" w:rsidRDefault="0058524C" w:rsidP="002240A9">
            <w:pPr>
              <w:rPr>
                <w:szCs w:val="24"/>
              </w:rPr>
            </w:pPr>
            <w:r w:rsidRPr="00850074">
              <w:rPr>
                <w:szCs w:val="24"/>
              </w:rPr>
              <w:t>N° 20   0.080 mm</w:t>
            </w:r>
          </w:p>
        </w:tc>
        <w:tc>
          <w:tcPr>
            <w:tcW w:w="3071" w:type="dxa"/>
          </w:tcPr>
          <w:p w14:paraId="5AB3070D" w14:textId="291BCDD8" w:rsidR="0058524C" w:rsidRPr="00850074" w:rsidRDefault="00141A98" w:rsidP="002240A9">
            <w:pPr>
              <w:ind w:left="360" w:firstLine="360"/>
              <w:rPr>
                <w:szCs w:val="24"/>
              </w:rPr>
            </w:pPr>
            <w:r w:rsidRPr="00850074">
              <w:rPr>
                <w:szCs w:val="24"/>
              </w:rPr>
              <w:t>0 - 2</w:t>
            </w:r>
          </w:p>
        </w:tc>
        <w:tc>
          <w:tcPr>
            <w:tcW w:w="3071" w:type="dxa"/>
          </w:tcPr>
          <w:p w14:paraId="21226ABF" w14:textId="0904ECCD" w:rsidR="0058524C" w:rsidRPr="00850074" w:rsidRDefault="00141A98" w:rsidP="002240A9">
            <w:pPr>
              <w:ind w:left="360" w:firstLine="360"/>
              <w:rPr>
                <w:szCs w:val="24"/>
              </w:rPr>
            </w:pPr>
            <w:r w:rsidRPr="00850074">
              <w:rPr>
                <w:szCs w:val="24"/>
              </w:rPr>
              <w:t xml:space="preserve">2 </w:t>
            </w:r>
            <w:r>
              <w:rPr>
                <w:szCs w:val="24"/>
              </w:rPr>
              <w:t xml:space="preserve">  </w:t>
            </w:r>
            <w:r w:rsidRPr="00850074">
              <w:rPr>
                <w:szCs w:val="24"/>
              </w:rPr>
              <w:t>-</w:t>
            </w:r>
            <w:r>
              <w:rPr>
                <w:szCs w:val="24"/>
              </w:rPr>
              <w:t xml:space="preserve">  </w:t>
            </w:r>
            <w:r w:rsidRPr="00850074">
              <w:rPr>
                <w:szCs w:val="24"/>
              </w:rPr>
              <w:t xml:space="preserve"> 4</w:t>
            </w:r>
          </w:p>
        </w:tc>
      </w:tr>
      <w:tr w:rsidR="0058524C" w:rsidRPr="00850074" w14:paraId="3C97AD5E" w14:textId="77777777" w:rsidTr="002240A9">
        <w:tc>
          <w:tcPr>
            <w:tcW w:w="3070" w:type="dxa"/>
          </w:tcPr>
          <w:p w14:paraId="1F4A80F3" w14:textId="77777777" w:rsidR="0058524C" w:rsidRPr="00850074" w:rsidRDefault="0058524C" w:rsidP="002240A9">
            <w:pPr>
              <w:ind w:left="360" w:firstLine="360"/>
              <w:rPr>
                <w:szCs w:val="24"/>
              </w:rPr>
            </w:pPr>
            <w:r w:rsidRPr="00850074">
              <w:rPr>
                <w:szCs w:val="24"/>
              </w:rPr>
              <w:t>N° 23   0.160 mm</w:t>
            </w:r>
          </w:p>
        </w:tc>
        <w:tc>
          <w:tcPr>
            <w:tcW w:w="3071" w:type="dxa"/>
          </w:tcPr>
          <w:p w14:paraId="0841A553" w14:textId="6C0DFCA1" w:rsidR="0058524C" w:rsidRPr="00850074" w:rsidRDefault="00141A98" w:rsidP="002240A9">
            <w:pPr>
              <w:ind w:left="360" w:firstLine="360"/>
              <w:rPr>
                <w:szCs w:val="24"/>
              </w:rPr>
            </w:pPr>
            <w:r w:rsidRPr="00850074">
              <w:rPr>
                <w:szCs w:val="24"/>
              </w:rPr>
              <w:t>2 - 10</w:t>
            </w:r>
          </w:p>
        </w:tc>
        <w:tc>
          <w:tcPr>
            <w:tcW w:w="3071" w:type="dxa"/>
          </w:tcPr>
          <w:p w14:paraId="597019B9" w14:textId="60BD0DA4" w:rsidR="0058524C" w:rsidRPr="00850074" w:rsidRDefault="00141A98" w:rsidP="002240A9">
            <w:pPr>
              <w:ind w:left="360" w:firstLine="360"/>
              <w:rPr>
                <w:szCs w:val="24"/>
              </w:rPr>
            </w:pPr>
            <w:r w:rsidRPr="00850074">
              <w:rPr>
                <w:szCs w:val="24"/>
              </w:rPr>
              <w:t xml:space="preserve">10 </w:t>
            </w:r>
            <w:r>
              <w:rPr>
                <w:szCs w:val="24"/>
              </w:rPr>
              <w:t xml:space="preserve">  </w:t>
            </w:r>
            <w:r w:rsidRPr="00850074">
              <w:rPr>
                <w:szCs w:val="24"/>
              </w:rPr>
              <w:t xml:space="preserve">- </w:t>
            </w:r>
            <w:r>
              <w:rPr>
                <w:szCs w:val="24"/>
              </w:rPr>
              <w:t xml:space="preserve">  </w:t>
            </w:r>
            <w:r w:rsidRPr="00850074">
              <w:rPr>
                <w:szCs w:val="24"/>
              </w:rPr>
              <w:t>20</w:t>
            </w:r>
          </w:p>
        </w:tc>
      </w:tr>
      <w:tr w:rsidR="0058524C" w:rsidRPr="00850074" w14:paraId="1ADD0FB2" w14:textId="77777777" w:rsidTr="002240A9">
        <w:tc>
          <w:tcPr>
            <w:tcW w:w="3070" w:type="dxa"/>
          </w:tcPr>
          <w:p w14:paraId="21E2BCDA" w14:textId="77777777" w:rsidR="0058524C" w:rsidRPr="00850074" w:rsidRDefault="0058524C" w:rsidP="002240A9">
            <w:pPr>
              <w:ind w:left="360" w:firstLine="360"/>
              <w:rPr>
                <w:szCs w:val="24"/>
              </w:rPr>
            </w:pPr>
            <w:r w:rsidRPr="00850074">
              <w:rPr>
                <w:szCs w:val="24"/>
              </w:rPr>
              <w:t>N° 26   0.315 mm</w:t>
            </w:r>
          </w:p>
        </w:tc>
        <w:tc>
          <w:tcPr>
            <w:tcW w:w="3071" w:type="dxa"/>
          </w:tcPr>
          <w:p w14:paraId="1273B889" w14:textId="5D81FAFD" w:rsidR="0058524C" w:rsidRPr="00850074" w:rsidRDefault="00141A98" w:rsidP="002240A9">
            <w:pPr>
              <w:ind w:left="360" w:firstLine="360"/>
              <w:rPr>
                <w:szCs w:val="24"/>
              </w:rPr>
            </w:pPr>
            <w:r w:rsidRPr="00850074">
              <w:rPr>
                <w:szCs w:val="24"/>
              </w:rPr>
              <w:t>10 - 40</w:t>
            </w:r>
          </w:p>
        </w:tc>
        <w:tc>
          <w:tcPr>
            <w:tcW w:w="3071" w:type="dxa"/>
          </w:tcPr>
          <w:p w14:paraId="7C7B223A" w14:textId="7341E40B" w:rsidR="0058524C" w:rsidRPr="00850074" w:rsidRDefault="00141A98" w:rsidP="002240A9">
            <w:pPr>
              <w:ind w:left="360" w:firstLine="360"/>
              <w:rPr>
                <w:szCs w:val="24"/>
              </w:rPr>
            </w:pPr>
            <w:r w:rsidRPr="00850074">
              <w:rPr>
                <w:szCs w:val="24"/>
              </w:rPr>
              <w:t xml:space="preserve">40 </w:t>
            </w:r>
            <w:r>
              <w:rPr>
                <w:szCs w:val="24"/>
              </w:rPr>
              <w:t xml:space="preserve">  </w:t>
            </w:r>
            <w:r w:rsidRPr="00850074">
              <w:rPr>
                <w:szCs w:val="24"/>
              </w:rPr>
              <w:t xml:space="preserve">- </w:t>
            </w:r>
            <w:r>
              <w:rPr>
                <w:szCs w:val="24"/>
              </w:rPr>
              <w:t xml:space="preserve">  </w:t>
            </w:r>
            <w:r w:rsidRPr="00850074">
              <w:rPr>
                <w:szCs w:val="24"/>
              </w:rPr>
              <w:t>60</w:t>
            </w:r>
          </w:p>
        </w:tc>
      </w:tr>
      <w:tr w:rsidR="0058524C" w:rsidRPr="00850074" w14:paraId="27BDF006" w14:textId="77777777" w:rsidTr="002240A9">
        <w:tc>
          <w:tcPr>
            <w:tcW w:w="3070" w:type="dxa"/>
          </w:tcPr>
          <w:p w14:paraId="2DAFE69F" w14:textId="3A6642E4" w:rsidR="0058524C" w:rsidRPr="00850074" w:rsidRDefault="0058524C" w:rsidP="002240A9">
            <w:pPr>
              <w:ind w:left="360" w:firstLine="360"/>
              <w:rPr>
                <w:szCs w:val="24"/>
              </w:rPr>
            </w:pPr>
            <w:r w:rsidRPr="00850074">
              <w:rPr>
                <w:szCs w:val="24"/>
              </w:rPr>
              <w:t xml:space="preserve">N° </w:t>
            </w:r>
            <w:r w:rsidR="00141A98" w:rsidRPr="00850074">
              <w:rPr>
                <w:szCs w:val="24"/>
              </w:rPr>
              <w:t xml:space="preserve">29 </w:t>
            </w:r>
            <w:r w:rsidR="00141A98">
              <w:rPr>
                <w:szCs w:val="24"/>
              </w:rPr>
              <w:t xml:space="preserve">  </w:t>
            </w:r>
            <w:r w:rsidR="00141A98" w:rsidRPr="00850074">
              <w:rPr>
                <w:szCs w:val="24"/>
              </w:rPr>
              <w:t>0.625</w:t>
            </w:r>
            <w:r w:rsidRPr="00850074">
              <w:rPr>
                <w:szCs w:val="24"/>
              </w:rPr>
              <w:t xml:space="preserve"> mm</w:t>
            </w:r>
          </w:p>
        </w:tc>
        <w:tc>
          <w:tcPr>
            <w:tcW w:w="3071" w:type="dxa"/>
          </w:tcPr>
          <w:p w14:paraId="502F3C20" w14:textId="056B97ED" w:rsidR="0058524C" w:rsidRPr="00850074" w:rsidRDefault="00141A98" w:rsidP="002240A9">
            <w:pPr>
              <w:ind w:left="360" w:firstLine="360"/>
              <w:rPr>
                <w:szCs w:val="24"/>
              </w:rPr>
            </w:pPr>
            <w:r w:rsidRPr="00850074">
              <w:rPr>
                <w:szCs w:val="24"/>
              </w:rPr>
              <w:t>30 - 70</w:t>
            </w:r>
          </w:p>
        </w:tc>
        <w:tc>
          <w:tcPr>
            <w:tcW w:w="3071" w:type="dxa"/>
          </w:tcPr>
          <w:p w14:paraId="3F2273B6" w14:textId="51538F6F" w:rsidR="0058524C" w:rsidRPr="00850074" w:rsidRDefault="00141A98" w:rsidP="002240A9">
            <w:pPr>
              <w:ind w:left="360" w:firstLine="360"/>
              <w:rPr>
                <w:szCs w:val="24"/>
              </w:rPr>
            </w:pPr>
            <w:r w:rsidRPr="00850074">
              <w:rPr>
                <w:szCs w:val="24"/>
              </w:rPr>
              <w:t xml:space="preserve">70 </w:t>
            </w:r>
            <w:r>
              <w:rPr>
                <w:szCs w:val="24"/>
              </w:rPr>
              <w:t xml:space="preserve">   </w:t>
            </w:r>
            <w:r w:rsidRPr="00850074">
              <w:rPr>
                <w:szCs w:val="24"/>
              </w:rPr>
              <w:t>-</w:t>
            </w:r>
            <w:r w:rsidR="0058524C" w:rsidRPr="00850074">
              <w:rPr>
                <w:szCs w:val="24"/>
              </w:rPr>
              <w:t xml:space="preserve"> </w:t>
            </w:r>
            <w:r>
              <w:rPr>
                <w:szCs w:val="24"/>
              </w:rPr>
              <w:t xml:space="preserve">  </w:t>
            </w:r>
            <w:r w:rsidR="0058524C" w:rsidRPr="00850074">
              <w:rPr>
                <w:szCs w:val="24"/>
              </w:rPr>
              <w:t>100</w:t>
            </w:r>
          </w:p>
        </w:tc>
      </w:tr>
      <w:tr w:rsidR="0058524C" w:rsidRPr="00850074" w14:paraId="6D703B70" w14:textId="77777777" w:rsidTr="002240A9">
        <w:tc>
          <w:tcPr>
            <w:tcW w:w="3070" w:type="dxa"/>
          </w:tcPr>
          <w:p w14:paraId="3CADE707" w14:textId="0020FF7F" w:rsidR="0058524C" w:rsidRPr="00850074" w:rsidRDefault="0058524C" w:rsidP="002240A9">
            <w:pPr>
              <w:ind w:left="360" w:firstLine="360"/>
              <w:rPr>
                <w:szCs w:val="24"/>
              </w:rPr>
            </w:pPr>
            <w:r w:rsidRPr="00850074">
              <w:rPr>
                <w:szCs w:val="24"/>
              </w:rPr>
              <w:t xml:space="preserve">N° </w:t>
            </w:r>
            <w:r w:rsidR="00141A98" w:rsidRPr="00850074">
              <w:rPr>
                <w:szCs w:val="24"/>
              </w:rPr>
              <w:t xml:space="preserve">32 </w:t>
            </w:r>
            <w:r w:rsidR="00141A98">
              <w:rPr>
                <w:szCs w:val="24"/>
              </w:rPr>
              <w:t xml:space="preserve">  </w:t>
            </w:r>
            <w:r w:rsidR="00141A98" w:rsidRPr="00850074">
              <w:rPr>
                <w:szCs w:val="24"/>
              </w:rPr>
              <w:t>1.250</w:t>
            </w:r>
            <w:r w:rsidRPr="00850074">
              <w:rPr>
                <w:szCs w:val="24"/>
              </w:rPr>
              <w:t xml:space="preserve"> mm</w:t>
            </w:r>
          </w:p>
        </w:tc>
        <w:tc>
          <w:tcPr>
            <w:tcW w:w="3071" w:type="dxa"/>
          </w:tcPr>
          <w:p w14:paraId="7684D101" w14:textId="2D61C669" w:rsidR="0058524C" w:rsidRPr="00850074" w:rsidRDefault="0058524C" w:rsidP="002240A9">
            <w:pPr>
              <w:ind w:left="360" w:firstLine="360"/>
              <w:rPr>
                <w:szCs w:val="24"/>
              </w:rPr>
            </w:pPr>
            <w:r w:rsidRPr="00850074">
              <w:rPr>
                <w:szCs w:val="24"/>
              </w:rPr>
              <w:t xml:space="preserve">55 </w:t>
            </w:r>
            <w:r w:rsidR="00141A98" w:rsidRPr="00850074">
              <w:rPr>
                <w:szCs w:val="24"/>
              </w:rPr>
              <w:t>- 100</w:t>
            </w:r>
          </w:p>
        </w:tc>
        <w:tc>
          <w:tcPr>
            <w:tcW w:w="3071" w:type="dxa"/>
          </w:tcPr>
          <w:p w14:paraId="60530EEB" w14:textId="41A72D42" w:rsidR="0058524C" w:rsidRPr="00850074" w:rsidRDefault="0058524C" w:rsidP="002240A9">
            <w:pPr>
              <w:ind w:left="360" w:firstLine="360"/>
              <w:rPr>
                <w:szCs w:val="24"/>
              </w:rPr>
            </w:pPr>
            <w:r w:rsidRPr="00850074">
              <w:rPr>
                <w:szCs w:val="24"/>
              </w:rPr>
              <w:t>90</w:t>
            </w:r>
            <w:r w:rsidR="00141A98">
              <w:rPr>
                <w:szCs w:val="24"/>
              </w:rPr>
              <w:t xml:space="preserve">  </w:t>
            </w:r>
            <w:r w:rsidRPr="00850074">
              <w:rPr>
                <w:szCs w:val="24"/>
              </w:rPr>
              <w:t xml:space="preserve"> -  </w:t>
            </w:r>
            <w:r w:rsidR="00141A98">
              <w:rPr>
                <w:szCs w:val="24"/>
              </w:rPr>
              <w:t xml:space="preserve"> </w:t>
            </w:r>
            <w:r w:rsidRPr="00850074">
              <w:rPr>
                <w:szCs w:val="24"/>
              </w:rPr>
              <w:t>100</w:t>
            </w:r>
          </w:p>
        </w:tc>
      </w:tr>
      <w:tr w:rsidR="0058524C" w:rsidRPr="00850074" w14:paraId="280E316A" w14:textId="77777777" w:rsidTr="002240A9">
        <w:tc>
          <w:tcPr>
            <w:tcW w:w="3070" w:type="dxa"/>
          </w:tcPr>
          <w:p w14:paraId="05A53160" w14:textId="0CF65660" w:rsidR="0058524C" w:rsidRPr="00850074" w:rsidRDefault="0058524C" w:rsidP="002240A9">
            <w:pPr>
              <w:ind w:left="360" w:firstLine="360"/>
              <w:rPr>
                <w:szCs w:val="24"/>
              </w:rPr>
            </w:pPr>
            <w:r w:rsidRPr="00850074">
              <w:rPr>
                <w:szCs w:val="24"/>
              </w:rPr>
              <w:t xml:space="preserve">N° </w:t>
            </w:r>
            <w:r w:rsidR="00141A98" w:rsidRPr="00850074">
              <w:rPr>
                <w:szCs w:val="24"/>
              </w:rPr>
              <w:t xml:space="preserve">35 </w:t>
            </w:r>
            <w:r w:rsidR="00141A98">
              <w:rPr>
                <w:szCs w:val="24"/>
              </w:rPr>
              <w:t xml:space="preserve">  </w:t>
            </w:r>
            <w:r w:rsidR="00141A98" w:rsidRPr="00850074">
              <w:rPr>
                <w:szCs w:val="24"/>
              </w:rPr>
              <w:t>2.500</w:t>
            </w:r>
            <w:r w:rsidRPr="00850074">
              <w:rPr>
                <w:szCs w:val="24"/>
              </w:rPr>
              <w:t xml:space="preserve"> mm</w:t>
            </w:r>
          </w:p>
        </w:tc>
        <w:tc>
          <w:tcPr>
            <w:tcW w:w="3071" w:type="dxa"/>
          </w:tcPr>
          <w:p w14:paraId="2D63E2C1" w14:textId="1FCEDBE4" w:rsidR="0058524C" w:rsidRPr="00850074" w:rsidRDefault="00141A98" w:rsidP="002240A9">
            <w:pPr>
              <w:ind w:left="360" w:firstLine="360"/>
              <w:rPr>
                <w:szCs w:val="24"/>
              </w:rPr>
            </w:pPr>
            <w:r w:rsidRPr="00850074">
              <w:rPr>
                <w:szCs w:val="24"/>
              </w:rPr>
              <w:t>80 - 100</w:t>
            </w:r>
          </w:p>
        </w:tc>
        <w:tc>
          <w:tcPr>
            <w:tcW w:w="3071" w:type="dxa"/>
          </w:tcPr>
          <w:p w14:paraId="6BFEC666" w14:textId="77777777" w:rsidR="0058524C" w:rsidRPr="00850074" w:rsidRDefault="0058524C" w:rsidP="002240A9">
            <w:pPr>
              <w:ind w:left="360" w:firstLine="360"/>
              <w:rPr>
                <w:szCs w:val="24"/>
              </w:rPr>
            </w:pPr>
            <w:r w:rsidRPr="00850074">
              <w:rPr>
                <w:szCs w:val="24"/>
              </w:rPr>
              <w:t>100</w:t>
            </w:r>
          </w:p>
        </w:tc>
      </w:tr>
      <w:tr w:rsidR="0058524C" w:rsidRPr="00850074" w14:paraId="43B5AB00" w14:textId="77777777" w:rsidTr="002240A9">
        <w:tc>
          <w:tcPr>
            <w:tcW w:w="3070" w:type="dxa"/>
          </w:tcPr>
          <w:p w14:paraId="438A7AD0" w14:textId="615C4CEF" w:rsidR="0058524C" w:rsidRPr="00850074" w:rsidRDefault="0058524C" w:rsidP="002240A9">
            <w:pPr>
              <w:ind w:left="360" w:firstLine="360"/>
              <w:rPr>
                <w:szCs w:val="24"/>
              </w:rPr>
            </w:pPr>
            <w:r w:rsidRPr="00850074">
              <w:rPr>
                <w:szCs w:val="24"/>
              </w:rPr>
              <w:t xml:space="preserve">N° </w:t>
            </w:r>
            <w:r w:rsidR="00141A98" w:rsidRPr="00850074">
              <w:rPr>
                <w:szCs w:val="24"/>
              </w:rPr>
              <w:t xml:space="preserve">38 </w:t>
            </w:r>
            <w:r w:rsidR="00141A98">
              <w:rPr>
                <w:szCs w:val="24"/>
              </w:rPr>
              <w:t xml:space="preserve">  </w:t>
            </w:r>
            <w:r w:rsidR="00141A98" w:rsidRPr="00850074">
              <w:rPr>
                <w:szCs w:val="24"/>
              </w:rPr>
              <w:t>5.000</w:t>
            </w:r>
            <w:r w:rsidRPr="00850074">
              <w:rPr>
                <w:szCs w:val="24"/>
              </w:rPr>
              <w:t xml:space="preserve"> mm  </w:t>
            </w:r>
          </w:p>
        </w:tc>
        <w:tc>
          <w:tcPr>
            <w:tcW w:w="3071" w:type="dxa"/>
          </w:tcPr>
          <w:p w14:paraId="32964618" w14:textId="3222C9B9" w:rsidR="0058524C" w:rsidRPr="00850074" w:rsidRDefault="00141A98" w:rsidP="002240A9">
            <w:pPr>
              <w:ind w:left="360" w:firstLine="360"/>
              <w:rPr>
                <w:szCs w:val="24"/>
              </w:rPr>
            </w:pPr>
            <w:r w:rsidRPr="00850074">
              <w:rPr>
                <w:szCs w:val="24"/>
              </w:rPr>
              <w:t>95 - 100</w:t>
            </w:r>
          </w:p>
        </w:tc>
        <w:tc>
          <w:tcPr>
            <w:tcW w:w="3071" w:type="dxa"/>
          </w:tcPr>
          <w:p w14:paraId="4A0BD9F7" w14:textId="77777777" w:rsidR="0058524C" w:rsidRPr="00850074" w:rsidRDefault="0058524C" w:rsidP="002240A9">
            <w:pPr>
              <w:ind w:left="360" w:firstLine="360"/>
              <w:rPr>
                <w:szCs w:val="24"/>
              </w:rPr>
            </w:pPr>
            <w:r w:rsidRPr="00850074">
              <w:rPr>
                <w:szCs w:val="24"/>
              </w:rPr>
              <w:t xml:space="preserve">  - </w:t>
            </w:r>
          </w:p>
        </w:tc>
      </w:tr>
      <w:tr w:rsidR="0058524C" w:rsidRPr="00850074" w14:paraId="304EDDA0" w14:textId="77777777" w:rsidTr="002240A9">
        <w:tc>
          <w:tcPr>
            <w:tcW w:w="3070" w:type="dxa"/>
          </w:tcPr>
          <w:p w14:paraId="2B6E09C6" w14:textId="77777777" w:rsidR="0058524C" w:rsidRPr="00850074" w:rsidRDefault="0058524C" w:rsidP="002240A9">
            <w:pPr>
              <w:ind w:left="360" w:firstLine="360"/>
              <w:rPr>
                <w:szCs w:val="24"/>
              </w:rPr>
            </w:pPr>
            <w:r w:rsidRPr="00850074">
              <w:rPr>
                <w:szCs w:val="24"/>
              </w:rPr>
              <w:t xml:space="preserve">Module de finesse   </w:t>
            </w:r>
          </w:p>
        </w:tc>
        <w:tc>
          <w:tcPr>
            <w:tcW w:w="3071" w:type="dxa"/>
          </w:tcPr>
          <w:p w14:paraId="3779C48D" w14:textId="77777777" w:rsidR="0058524C" w:rsidRPr="00850074" w:rsidRDefault="0058524C" w:rsidP="002240A9">
            <w:pPr>
              <w:ind w:left="360" w:firstLine="360"/>
              <w:rPr>
                <w:szCs w:val="24"/>
              </w:rPr>
            </w:pPr>
            <w:r w:rsidRPr="00850074">
              <w:rPr>
                <w:szCs w:val="24"/>
              </w:rPr>
              <w:t>2 à 3</w:t>
            </w:r>
          </w:p>
        </w:tc>
        <w:tc>
          <w:tcPr>
            <w:tcW w:w="3071" w:type="dxa"/>
          </w:tcPr>
          <w:p w14:paraId="557623F9" w14:textId="77777777" w:rsidR="0058524C" w:rsidRPr="00850074" w:rsidRDefault="0058524C" w:rsidP="002240A9">
            <w:pPr>
              <w:ind w:left="360" w:firstLine="360"/>
              <w:rPr>
                <w:szCs w:val="24"/>
              </w:rPr>
            </w:pPr>
            <w:r w:rsidRPr="00850074">
              <w:rPr>
                <w:szCs w:val="24"/>
              </w:rPr>
              <w:t>1.5 à 2</w:t>
            </w:r>
          </w:p>
        </w:tc>
      </w:tr>
    </w:tbl>
    <w:p w14:paraId="5C99189E" w14:textId="77777777" w:rsidR="0058524C" w:rsidRPr="00850074" w:rsidRDefault="0058524C" w:rsidP="0058524C">
      <w:pPr>
        <w:spacing w:after="0"/>
        <w:rPr>
          <w:szCs w:val="24"/>
        </w:rPr>
      </w:pPr>
      <w:r w:rsidRPr="00850074">
        <w:rPr>
          <w:szCs w:val="24"/>
        </w:rPr>
        <w:t xml:space="preserve">Les sables de type 2 ne pourront être utilisés qu'avec l'autorisation expresse de l'Ingénieur.  </w:t>
      </w:r>
    </w:p>
    <w:p w14:paraId="785248E6" w14:textId="77777777" w:rsidR="0058524C" w:rsidRPr="00850074" w:rsidRDefault="0058524C" w:rsidP="0058524C">
      <w:pPr>
        <w:spacing w:after="0"/>
        <w:rPr>
          <w:b/>
          <w:szCs w:val="24"/>
        </w:rPr>
      </w:pPr>
    </w:p>
    <w:p w14:paraId="07C3A827" w14:textId="77777777" w:rsidR="0058524C" w:rsidRPr="00850074" w:rsidRDefault="0058524C" w:rsidP="0058524C">
      <w:pPr>
        <w:spacing w:after="0"/>
        <w:rPr>
          <w:b/>
          <w:szCs w:val="24"/>
        </w:rPr>
      </w:pPr>
      <w:r w:rsidRPr="00850074">
        <w:rPr>
          <w:b/>
          <w:szCs w:val="24"/>
        </w:rPr>
        <w:t xml:space="preserve">Propreté </w:t>
      </w:r>
    </w:p>
    <w:p w14:paraId="781698BC" w14:textId="77777777" w:rsidR="0058524C" w:rsidRPr="00850074" w:rsidRDefault="0058524C" w:rsidP="0058524C">
      <w:pPr>
        <w:spacing w:after="0"/>
        <w:rPr>
          <w:szCs w:val="24"/>
        </w:rPr>
      </w:pPr>
    </w:p>
    <w:p w14:paraId="15EE69D2" w14:textId="77777777" w:rsidR="0058524C" w:rsidRPr="0058524C" w:rsidRDefault="0058524C" w:rsidP="0058524C">
      <w:pPr>
        <w:pStyle w:val="TM12"/>
        <w:jc w:val="both"/>
        <w:rPr>
          <w:iCs/>
          <w:szCs w:val="24"/>
          <w:lang w:val="fr-FR"/>
        </w:rPr>
      </w:pPr>
      <w:r w:rsidRPr="0058524C">
        <w:rPr>
          <w:rFonts w:ascii="Times New Roman" w:hAnsi="Times New Roman"/>
          <w:b w:val="0"/>
          <w:bCs w:val="0"/>
          <w:i w:val="0"/>
          <w:iCs/>
          <w:sz w:val="24"/>
          <w:szCs w:val="24"/>
          <w:lang w:val="fr-FR"/>
        </w:rPr>
        <w:t xml:space="preserve">La quantité d'éléments très fins (limons, vase, argile et matières solubles) susceptibles d'être éliminés par décantation ne devra pas dépasser deux pour cent (2%). </w:t>
      </w:r>
    </w:p>
    <w:p w14:paraId="765E6B23" w14:textId="77777777" w:rsidR="0058524C" w:rsidRPr="0058524C" w:rsidRDefault="0058524C" w:rsidP="0058524C">
      <w:pPr>
        <w:pStyle w:val="TM12"/>
        <w:jc w:val="both"/>
        <w:rPr>
          <w:iCs/>
          <w:szCs w:val="24"/>
          <w:lang w:val="fr-FR"/>
        </w:rPr>
      </w:pPr>
      <w:r w:rsidRPr="0058524C">
        <w:rPr>
          <w:rFonts w:ascii="Times New Roman" w:hAnsi="Times New Roman"/>
          <w:b w:val="0"/>
          <w:bCs w:val="0"/>
          <w:i w:val="0"/>
          <w:iCs/>
          <w:sz w:val="24"/>
          <w:szCs w:val="24"/>
          <w:lang w:val="fr-FR"/>
        </w:rPr>
        <w:t xml:space="preserve"> </w:t>
      </w:r>
    </w:p>
    <w:p w14:paraId="1F41135B" w14:textId="135E93C9" w:rsidR="0058524C" w:rsidRPr="0058524C" w:rsidRDefault="0058524C" w:rsidP="0058524C">
      <w:pPr>
        <w:pStyle w:val="TM12"/>
        <w:jc w:val="both"/>
        <w:rPr>
          <w:iCs/>
          <w:szCs w:val="24"/>
          <w:lang w:val="fr-FR"/>
        </w:rPr>
      </w:pPr>
      <w:r w:rsidRPr="0058524C">
        <w:rPr>
          <w:rFonts w:ascii="Times New Roman" w:hAnsi="Times New Roman"/>
          <w:b w:val="0"/>
          <w:bCs w:val="0"/>
          <w:i w:val="0"/>
          <w:iCs/>
          <w:sz w:val="24"/>
          <w:szCs w:val="24"/>
          <w:lang w:val="fr-FR"/>
        </w:rPr>
        <w:t xml:space="preserve">L'équivalent de sable mesuré par la méthode visuelle selon le mode opératoire du Laboratoire central des Ponts et Chaussés </w:t>
      </w:r>
      <w:r w:rsidR="00386293" w:rsidRPr="0058524C">
        <w:rPr>
          <w:rFonts w:ascii="Times New Roman" w:hAnsi="Times New Roman"/>
          <w:b w:val="0"/>
          <w:bCs w:val="0"/>
          <w:i w:val="0"/>
          <w:iCs/>
          <w:sz w:val="24"/>
          <w:szCs w:val="24"/>
          <w:lang w:val="fr-FR"/>
        </w:rPr>
        <w:t>devra :</w:t>
      </w:r>
      <w:r w:rsidRPr="0058524C">
        <w:rPr>
          <w:rFonts w:ascii="Times New Roman" w:hAnsi="Times New Roman"/>
          <w:b w:val="0"/>
          <w:bCs w:val="0"/>
          <w:i w:val="0"/>
          <w:iCs/>
          <w:sz w:val="24"/>
          <w:szCs w:val="24"/>
          <w:lang w:val="fr-FR"/>
        </w:rPr>
        <w:t xml:space="preserve"> </w:t>
      </w:r>
    </w:p>
    <w:p w14:paraId="1E90446E" w14:textId="77777777" w:rsidR="0058524C" w:rsidRPr="00850074" w:rsidRDefault="0058524C" w:rsidP="0058524C">
      <w:pPr>
        <w:spacing w:after="0"/>
        <w:rPr>
          <w:szCs w:val="24"/>
        </w:rPr>
      </w:pPr>
      <w:r w:rsidRPr="00850074">
        <w:rPr>
          <w:szCs w:val="24"/>
        </w:rPr>
        <w:t xml:space="preserve">- être supérieur à soixante-dix (70) pour le sable pour mortiers et bétons dosés à 200 ou 300 kg/m3 </w:t>
      </w:r>
    </w:p>
    <w:p w14:paraId="1F9DF68C" w14:textId="77777777" w:rsidR="0058524C" w:rsidRPr="00850074" w:rsidRDefault="0058524C" w:rsidP="0058524C">
      <w:pPr>
        <w:spacing w:after="0"/>
        <w:rPr>
          <w:szCs w:val="24"/>
        </w:rPr>
      </w:pPr>
      <w:r w:rsidRPr="00850074">
        <w:rPr>
          <w:szCs w:val="24"/>
        </w:rPr>
        <w:t xml:space="preserve">- être supérieur à quatre-vingt (80) pour le sable pour bétons dosés à 350 kg/m3. </w:t>
      </w:r>
    </w:p>
    <w:p w14:paraId="0A081063" w14:textId="77777777" w:rsidR="0058524C" w:rsidRPr="00850074" w:rsidRDefault="0058524C" w:rsidP="0058524C">
      <w:pPr>
        <w:spacing w:after="0"/>
        <w:rPr>
          <w:szCs w:val="24"/>
        </w:rPr>
      </w:pPr>
      <w:r w:rsidRPr="00850074">
        <w:rPr>
          <w:szCs w:val="24"/>
        </w:rPr>
        <w:t xml:space="preserve"> </w:t>
      </w:r>
    </w:p>
    <w:p w14:paraId="726949ED" w14:textId="77777777" w:rsidR="0058524C" w:rsidRPr="00850074" w:rsidRDefault="0058524C" w:rsidP="0058524C">
      <w:pPr>
        <w:spacing w:after="0"/>
        <w:rPr>
          <w:b/>
          <w:szCs w:val="24"/>
        </w:rPr>
      </w:pPr>
      <w:r w:rsidRPr="00850074">
        <w:rPr>
          <w:b/>
          <w:szCs w:val="24"/>
        </w:rPr>
        <w:t xml:space="preserve">Gravier </w:t>
      </w:r>
    </w:p>
    <w:p w14:paraId="4C46107E" w14:textId="77777777" w:rsidR="0058524C" w:rsidRPr="00850074" w:rsidRDefault="0058524C" w:rsidP="0058524C">
      <w:pPr>
        <w:spacing w:after="0"/>
        <w:rPr>
          <w:szCs w:val="24"/>
        </w:rPr>
      </w:pPr>
    </w:p>
    <w:p w14:paraId="36F3944E" w14:textId="77777777" w:rsidR="0058524C" w:rsidRPr="0058524C" w:rsidRDefault="0058524C" w:rsidP="0058524C">
      <w:pPr>
        <w:pStyle w:val="TM12"/>
        <w:jc w:val="both"/>
        <w:rPr>
          <w:iCs/>
          <w:szCs w:val="24"/>
          <w:lang w:val="fr-FR"/>
        </w:rPr>
      </w:pPr>
      <w:r w:rsidRPr="0058524C">
        <w:rPr>
          <w:rFonts w:ascii="Times New Roman" w:hAnsi="Times New Roman"/>
          <w:b w:val="0"/>
          <w:bCs w:val="0"/>
          <w:i w:val="0"/>
          <w:iCs/>
          <w:sz w:val="24"/>
          <w:szCs w:val="24"/>
          <w:lang w:val="fr-FR"/>
        </w:rPr>
        <w:t xml:space="preserve">Les granulats moyens et gros pour béton seront des granulats roulés ou concassés. Il est permis éventuellement d'utiliser des granulats latéritiques si ceux-ci sont lavés et que le projet d'exécution est adapté aux résistances de compression et tractions obtenues après essais. </w:t>
      </w:r>
    </w:p>
    <w:p w14:paraId="398D48B5" w14:textId="77777777" w:rsidR="0058524C" w:rsidRPr="0058524C" w:rsidRDefault="0058524C" w:rsidP="0058524C">
      <w:pPr>
        <w:pStyle w:val="TM12"/>
        <w:jc w:val="both"/>
        <w:rPr>
          <w:iCs/>
          <w:szCs w:val="24"/>
          <w:lang w:val="fr-FR"/>
        </w:rPr>
      </w:pPr>
      <w:r w:rsidRPr="0058524C">
        <w:rPr>
          <w:rFonts w:ascii="Times New Roman" w:hAnsi="Times New Roman"/>
          <w:b w:val="0"/>
          <w:bCs w:val="0"/>
          <w:i w:val="0"/>
          <w:iCs/>
          <w:sz w:val="24"/>
          <w:szCs w:val="24"/>
          <w:lang w:val="fr-FR"/>
        </w:rPr>
        <w:t xml:space="preserve"> </w:t>
      </w:r>
    </w:p>
    <w:p w14:paraId="7C2B0F75" w14:textId="77777777" w:rsidR="0058524C" w:rsidRPr="0058524C" w:rsidRDefault="0058524C" w:rsidP="0058524C">
      <w:pPr>
        <w:pStyle w:val="TM12"/>
        <w:jc w:val="both"/>
        <w:rPr>
          <w:iCs/>
          <w:szCs w:val="24"/>
          <w:lang w:val="fr-FR"/>
        </w:rPr>
      </w:pPr>
      <w:r w:rsidRPr="0058524C">
        <w:rPr>
          <w:rFonts w:ascii="Times New Roman" w:hAnsi="Times New Roman"/>
          <w:b w:val="0"/>
          <w:bCs w:val="0"/>
          <w:i w:val="0"/>
          <w:iCs/>
          <w:sz w:val="24"/>
          <w:szCs w:val="24"/>
          <w:lang w:val="fr-FR"/>
        </w:rPr>
        <w:t xml:space="preserve"> Sinon la proportion de calcaire incluse dans les granulats destinés aux bétons de qualité ne devra pas excéder trente pour cent (30%) du poids des granulats. </w:t>
      </w:r>
    </w:p>
    <w:p w14:paraId="1AFCF531" w14:textId="77777777" w:rsidR="0058524C" w:rsidRPr="0058524C" w:rsidRDefault="0058524C" w:rsidP="0058524C">
      <w:pPr>
        <w:pStyle w:val="TM12"/>
        <w:jc w:val="both"/>
        <w:rPr>
          <w:iCs/>
          <w:szCs w:val="24"/>
          <w:lang w:val="fr-FR"/>
        </w:rPr>
      </w:pPr>
      <w:r w:rsidRPr="0058524C">
        <w:rPr>
          <w:rFonts w:ascii="Times New Roman" w:hAnsi="Times New Roman"/>
          <w:b w:val="0"/>
          <w:bCs w:val="0"/>
          <w:i w:val="0"/>
          <w:iCs/>
          <w:sz w:val="24"/>
          <w:szCs w:val="24"/>
          <w:lang w:val="fr-FR"/>
        </w:rPr>
        <w:t xml:space="preserve"> </w:t>
      </w:r>
    </w:p>
    <w:p w14:paraId="75570BAD" w14:textId="77777777" w:rsidR="0058524C" w:rsidRPr="0058524C" w:rsidRDefault="0058524C" w:rsidP="0058524C">
      <w:pPr>
        <w:pStyle w:val="TM12"/>
        <w:jc w:val="both"/>
        <w:rPr>
          <w:iCs/>
          <w:szCs w:val="24"/>
          <w:lang w:val="fr-FR"/>
        </w:rPr>
      </w:pPr>
      <w:r w:rsidRPr="0058524C">
        <w:rPr>
          <w:rFonts w:ascii="Times New Roman" w:hAnsi="Times New Roman"/>
          <w:b w:val="0"/>
          <w:bCs w:val="0"/>
          <w:i w:val="0"/>
          <w:iCs/>
          <w:sz w:val="24"/>
          <w:szCs w:val="24"/>
          <w:lang w:val="fr-FR"/>
        </w:rPr>
        <w:t xml:space="preserve">Les granulats pour béton armé devront avoir un coefficient Los - Angeles au plus égal à vingt - cinq (25). </w:t>
      </w:r>
    </w:p>
    <w:p w14:paraId="2767D280" w14:textId="77777777" w:rsidR="0058524C" w:rsidRPr="0058524C" w:rsidRDefault="0058524C" w:rsidP="0058524C">
      <w:pPr>
        <w:pStyle w:val="TM12"/>
        <w:jc w:val="both"/>
        <w:rPr>
          <w:iCs/>
          <w:szCs w:val="24"/>
          <w:lang w:val="fr-FR"/>
        </w:rPr>
      </w:pPr>
      <w:r w:rsidRPr="0058524C">
        <w:rPr>
          <w:rFonts w:ascii="Times New Roman" w:hAnsi="Times New Roman"/>
          <w:b w:val="0"/>
          <w:bCs w:val="0"/>
          <w:i w:val="0"/>
          <w:iCs/>
          <w:sz w:val="24"/>
          <w:szCs w:val="24"/>
          <w:lang w:val="fr-FR"/>
        </w:rPr>
        <w:t xml:space="preserve"> </w:t>
      </w:r>
    </w:p>
    <w:p w14:paraId="55034CA5" w14:textId="77777777" w:rsidR="0058524C" w:rsidRPr="0058524C" w:rsidRDefault="0058524C" w:rsidP="0058524C">
      <w:pPr>
        <w:pStyle w:val="TM12"/>
        <w:jc w:val="both"/>
        <w:rPr>
          <w:iCs/>
          <w:szCs w:val="24"/>
          <w:lang w:val="fr-FR"/>
        </w:rPr>
      </w:pPr>
      <w:r w:rsidRPr="0058524C">
        <w:rPr>
          <w:rFonts w:ascii="Times New Roman" w:hAnsi="Times New Roman"/>
          <w:b w:val="0"/>
          <w:bCs w:val="0"/>
          <w:i w:val="0"/>
          <w:iCs/>
          <w:sz w:val="24"/>
          <w:szCs w:val="24"/>
          <w:lang w:val="fr-FR"/>
        </w:rPr>
        <w:t xml:space="preserve">Lorsque des granulats latéritiques sont utilisés, ceux-ci seront lavés et si nécessaire, tamisés de manière à constituer les trois catégories de granulats suivantes : </w:t>
      </w:r>
    </w:p>
    <w:p w14:paraId="7AA02F1A" w14:textId="77777777" w:rsidR="0058524C" w:rsidRPr="0058524C" w:rsidRDefault="0058524C" w:rsidP="0058524C">
      <w:pPr>
        <w:pStyle w:val="TM12"/>
        <w:jc w:val="both"/>
        <w:rPr>
          <w:iCs/>
          <w:szCs w:val="24"/>
          <w:lang w:val="fr-FR"/>
        </w:rPr>
      </w:pPr>
    </w:p>
    <w:tbl>
      <w:tblPr>
        <w:tblW w:w="0" w:type="auto"/>
        <w:tblLook w:val="04A0" w:firstRow="1" w:lastRow="0" w:firstColumn="1" w:lastColumn="0" w:noHBand="0" w:noVBand="1"/>
      </w:tblPr>
      <w:tblGrid>
        <w:gridCol w:w="2414"/>
        <w:gridCol w:w="2335"/>
        <w:gridCol w:w="2335"/>
        <w:gridCol w:w="2204"/>
      </w:tblGrid>
      <w:tr w:rsidR="0058524C" w:rsidRPr="00850074" w14:paraId="2EA97119" w14:textId="77777777" w:rsidTr="002240A9">
        <w:tc>
          <w:tcPr>
            <w:tcW w:w="2414" w:type="dxa"/>
          </w:tcPr>
          <w:p w14:paraId="6E3BFE7D" w14:textId="77777777" w:rsidR="0058524C" w:rsidRPr="00850074" w:rsidRDefault="0058524C" w:rsidP="002240A9">
            <w:pPr>
              <w:rPr>
                <w:szCs w:val="24"/>
              </w:rPr>
            </w:pPr>
            <w:r w:rsidRPr="00850074">
              <w:rPr>
                <w:szCs w:val="24"/>
              </w:rPr>
              <w:t>TAMIS</w:t>
            </w:r>
          </w:p>
        </w:tc>
        <w:tc>
          <w:tcPr>
            <w:tcW w:w="2335" w:type="dxa"/>
          </w:tcPr>
          <w:p w14:paraId="0E9EFFF8" w14:textId="77777777" w:rsidR="0058524C" w:rsidRPr="00850074" w:rsidRDefault="0058524C" w:rsidP="002240A9">
            <w:pPr>
              <w:rPr>
                <w:szCs w:val="24"/>
              </w:rPr>
            </w:pPr>
            <w:r w:rsidRPr="00850074">
              <w:rPr>
                <w:szCs w:val="24"/>
              </w:rPr>
              <w:t>TYPE 10</w:t>
            </w:r>
          </w:p>
        </w:tc>
        <w:tc>
          <w:tcPr>
            <w:tcW w:w="2335" w:type="dxa"/>
          </w:tcPr>
          <w:p w14:paraId="04CE78A2" w14:textId="77777777" w:rsidR="0058524C" w:rsidRPr="00850074" w:rsidRDefault="0058524C" w:rsidP="002240A9">
            <w:pPr>
              <w:rPr>
                <w:szCs w:val="24"/>
              </w:rPr>
            </w:pPr>
            <w:r w:rsidRPr="00850074">
              <w:rPr>
                <w:szCs w:val="24"/>
              </w:rPr>
              <w:t>TYPE 20</w:t>
            </w:r>
          </w:p>
        </w:tc>
        <w:tc>
          <w:tcPr>
            <w:tcW w:w="2204" w:type="dxa"/>
          </w:tcPr>
          <w:p w14:paraId="7FF6806A" w14:textId="77777777" w:rsidR="0058524C" w:rsidRPr="00850074" w:rsidRDefault="0058524C" w:rsidP="002240A9">
            <w:pPr>
              <w:rPr>
                <w:szCs w:val="24"/>
              </w:rPr>
            </w:pPr>
            <w:r w:rsidRPr="00850074">
              <w:rPr>
                <w:szCs w:val="24"/>
              </w:rPr>
              <w:t>TYPE 30</w:t>
            </w:r>
          </w:p>
        </w:tc>
      </w:tr>
      <w:tr w:rsidR="0058524C" w:rsidRPr="00850074" w14:paraId="15B3E4C7" w14:textId="77777777" w:rsidTr="002240A9">
        <w:tc>
          <w:tcPr>
            <w:tcW w:w="2414" w:type="dxa"/>
          </w:tcPr>
          <w:p w14:paraId="35649909" w14:textId="77777777" w:rsidR="0058524C" w:rsidRPr="00850074" w:rsidRDefault="0058524C" w:rsidP="002240A9">
            <w:pPr>
              <w:rPr>
                <w:szCs w:val="24"/>
              </w:rPr>
            </w:pPr>
            <w:r w:rsidRPr="00850074">
              <w:rPr>
                <w:szCs w:val="24"/>
              </w:rPr>
              <w:t>N° 20   0.080 mm</w:t>
            </w:r>
          </w:p>
        </w:tc>
        <w:tc>
          <w:tcPr>
            <w:tcW w:w="2335" w:type="dxa"/>
          </w:tcPr>
          <w:p w14:paraId="6F4FB6A6" w14:textId="3588373F" w:rsidR="0058524C" w:rsidRPr="00850074" w:rsidRDefault="0058524C" w:rsidP="002240A9">
            <w:pPr>
              <w:ind w:left="360" w:firstLine="360"/>
              <w:rPr>
                <w:szCs w:val="24"/>
              </w:rPr>
            </w:pPr>
            <w:r w:rsidRPr="00850074">
              <w:rPr>
                <w:szCs w:val="24"/>
              </w:rPr>
              <w:t xml:space="preserve">0  </w:t>
            </w:r>
            <w:r w:rsidR="00141A98">
              <w:rPr>
                <w:szCs w:val="24"/>
              </w:rPr>
              <w:t xml:space="preserve"> </w:t>
            </w:r>
            <w:r w:rsidRPr="00850074">
              <w:rPr>
                <w:szCs w:val="24"/>
              </w:rPr>
              <w:t xml:space="preserve">-  </w:t>
            </w:r>
            <w:r w:rsidR="00141A98">
              <w:rPr>
                <w:szCs w:val="24"/>
              </w:rPr>
              <w:t xml:space="preserve"> </w:t>
            </w:r>
            <w:r w:rsidRPr="00850074">
              <w:rPr>
                <w:szCs w:val="24"/>
              </w:rPr>
              <w:t>1</w:t>
            </w:r>
          </w:p>
        </w:tc>
        <w:tc>
          <w:tcPr>
            <w:tcW w:w="2335" w:type="dxa"/>
          </w:tcPr>
          <w:p w14:paraId="601EE9FA" w14:textId="684FCBC0" w:rsidR="0058524C" w:rsidRPr="00850074" w:rsidRDefault="0058524C" w:rsidP="002240A9">
            <w:pPr>
              <w:ind w:left="360" w:firstLine="360"/>
              <w:rPr>
                <w:szCs w:val="24"/>
              </w:rPr>
            </w:pPr>
            <w:r w:rsidRPr="00850074">
              <w:rPr>
                <w:szCs w:val="24"/>
              </w:rPr>
              <w:t xml:space="preserve">0 </w:t>
            </w:r>
            <w:r w:rsidR="00141A98">
              <w:rPr>
                <w:szCs w:val="24"/>
              </w:rPr>
              <w:t xml:space="preserve"> </w:t>
            </w:r>
            <w:r w:rsidRPr="00850074">
              <w:rPr>
                <w:szCs w:val="24"/>
              </w:rPr>
              <w:t xml:space="preserve"> -  </w:t>
            </w:r>
            <w:r w:rsidR="00141A98">
              <w:rPr>
                <w:szCs w:val="24"/>
              </w:rPr>
              <w:t xml:space="preserve"> </w:t>
            </w:r>
            <w:r w:rsidRPr="00850074">
              <w:rPr>
                <w:szCs w:val="24"/>
              </w:rPr>
              <w:t>1</w:t>
            </w:r>
          </w:p>
        </w:tc>
        <w:tc>
          <w:tcPr>
            <w:tcW w:w="2204" w:type="dxa"/>
          </w:tcPr>
          <w:p w14:paraId="1D02F669" w14:textId="68DE2FA1" w:rsidR="0058524C" w:rsidRPr="00850074" w:rsidRDefault="0058524C" w:rsidP="002240A9">
            <w:pPr>
              <w:ind w:left="360" w:firstLine="360"/>
              <w:rPr>
                <w:szCs w:val="24"/>
              </w:rPr>
            </w:pPr>
            <w:r w:rsidRPr="00850074">
              <w:rPr>
                <w:szCs w:val="24"/>
              </w:rPr>
              <w:t xml:space="preserve">0 </w:t>
            </w:r>
            <w:r w:rsidR="00141A98">
              <w:rPr>
                <w:szCs w:val="24"/>
              </w:rPr>
              <w:t xml:space="preserve"> </w:t>
            </w:r>
            <w:r w:rsidRPr="00850074">
              <w:rPr>
                <w:szCs w:val="24"/>
              </w:rPr>
              <w:t xml:space="preserve"> -  </w:t>
            </w:r>
            <w:r w:rsidR="00141A98">
              <w:rPr>
                <w:szCs w:val="24"/>
              </w:rPr>
              <w:t xml:space="preserve"> </w:t>
            </w:r>
            <w:r w:rsidRPr="00850074">
              <w:rPr>
                <w:szCs w:val="24"/>
              </w:rPr>
              <w:t>1</w:t>
            </w:r>
          </w:p>
        </w:tc>
      </w:tr>
      <w:tr w:rsidR="0058524C" w:rsidRPr="00850074" w14:paraId="0452D74C" w14:textId="77777777" w:rsidTr="002240A9">
        <w:tc>
          <w:tcPr>
            <w:tcW w:w="2414" w:type="dxa"/>
          </w:tcPr>
          <w:p w14:paraId="315C5679" w14:textId="77777777" w:rsidR="0058524C" w:rsidRPr="00850074" w:rsidRDefault="0058524C" w:rsidP="002240A9">
            <w:pPr>
              <w:ind w:left="360" w:firstLine="0"/>
              <w:rPr>
                <w:szCs w:val="24"/>
              </w:rPr>
            </w:pPr>
            <w:r w:rsidRPr="00850074">
              <w:rPr>
                <w:szCs w:val="24"/>
              </w:rPr>
              <w:t>N° 35   2.50 mm</w:t>
            </w:r>
          </w:p>
        </w:tc>
        <w:tc>
          <w:tcPr>
            <w:tcW w:w="2335" w:type="dxa"/>
          </w:tcPr>
          <w:p w14:paraId="3E6E31EE" w14:textId="600E61CC" w:rsidR="0058524C" w:rsidRPr="00850074" w:rsidRDefault="0058524C" w:rsidP="002240A9">
            <w:pPr>
              <w:ind w:left="360" w:firstLine="360"/>
              <w:rPr>
                <w:szCs w:val="24"/>
              </w:rPr>
            </w:pPr>
            <w:r w:rsidRPr="00850074">
              <w:rPr>
                <w:szCs w:val="24"/>
              </w:rPr>
              <w:t xml:space="preserve">0  </w:t>
            </w:r>
            <w:r w:rsidR="00141A98">
              <w:rPr>
                <w:szCs w:val="24"/>
              </w:rPr>
              <w:t xml:space="preserve"> </w:t>
            </w:r>
            <w:r w:rsidRPr="00850074">
              <w:rPr>
                <w:szCs w:val="24"/>
              </w:rPr>
              <w:t xml:space="preserve">- </w:t>
            </w:r>
            <w:r w:rsidR="00141A98">
              <w:rPr>
                <w:szCs w:val="24"/>
              </w:rPr>
              <w:t xml:space="preserve"> </w:t>
            </w:r>
            <w:r w:rsidRPr="00850074">
              <w:rPr>
                <w:szCs w:val="24"/>
              </w:rPr>
              <w:t xml:space="preserve"> 2</w:t>
            </w:r>
          </w:p>
        </w:tc>
        <w:tc>
          <w:tcPr>
            <w:tcW w:w="2335" w:type="dxa"/>
          </w:tcPr>
          <w:p w14:paraId="247E465D" w14:textId="6FF943A1" w:rsidR="0058524C" w:rsidRPr="00850074" w:rsidRDefault="0058524C" w:rsidP="002240A9">
            <w:pPr>
              <w:ind w:left="360" w:firstLine="360"/>
              <w:rPr>
                <w:szCs w:val="24"/>
              </w:rPr>
            </w:pPr>
            <w:r w:rsidRPr="00850074">
              <w:rPr>
                <w:szCs w:val="24"/>
              </w:rPr>
              <w:t xml:space="preserve">0  </w:t>
            </w:r>
            <w:r w:rsidR="00141A98">
              <w:rPr>
                <w:szCs w:val="24"/>
              </w:rPr>
              <w:t xml:space="preserve"> </w:t>
            </w:r>
            <w:r w:rsidRPr="00850074">
              <w:rPr>
                <w:szCs w:val="24"/>
              </w:rPr>
              <w:t xml:space="preserve">- </w:t>
            </w:r>
            <w:r w:rsidR="00141A98">
              <w:rPr>
                <w:szCs w:val="24"/>
              </w:rPr>
              <w:t xml:space="preserve"> </w:t>
            </w:r>
            <w:r w:rsidRPr="00850074">
              <w:rPr>
                <w:szCs w:val="24"/>
              </w:rPr>
              <w:t xml:space="preserve"> 2</w:t>
            </w:r>
          </w:p>
        </w:tc>
        <w:tc>
          <w:tcPr>
            <w:tcW w:w="2204" w:type="dxa"/>
          </w:tcPr>
          <w:p w14:paraId="1B5E1B87" w14:textId="67622350" w:rsidR="0058524C" w:rsidRPr="00850074" w:rsidRDefault="0058524C" w:rsidP="002240A9">
            <w:pPr>
              <w:ind w:left="360" w:firstLine="360"/>
              <w:rPr>
                <w:szCs w:val="24"/>
              </w:rPr>
            </w:pPr>
            <w:r w:rsidRPr="00850074">
              <w:rPr>
                <w:szCs w:val="24"/>
              </w:rPr>
              <w:t xml:space="preserve">0  </w:t>
            </w:r>
            <w:r w:rsidR="00141A98">
              <w:rPr>
                <w:szCs w:val="24"/>
              </w:rPr>
              <w:t xml:space="preserve"> </w:t>
            </w:r>
            <w:r w:rsidRPr="00850074">
              <w:rPr>
                <w:szCs w:val="24"/>
              </w:rPr>
              <w:t xml:space="preserve">- </w:t>
            </w:r>
            <w:r w:rsidR="00141A98">
              <w:rPr>
                <w:szCs w:val="24"/>
              </w:rPr>
              <w:t xml:space="preserve"> </w:t>
            </w:r>
            <w:r w:rsidRPr="00850074">
              <w:rPr>
                <w:szCs w:val="24"/>
              </w:rPr>
              <w:t xml:space="preserve"> 2</w:t>
            </w:r>
          </w:p>
        </w:tc>
      </w:tr>
      <w:tr w:rsidR="0058524C" w:rsidRPr="00850074" w14:paraId="6E3C46C8" w14:textId="77777777" w:rsidTr="002240A9">
        <w:tc>
          <w:tcPr>
            <w:tcW w:w="2414" w:type="dxa"/>
          </w:tcPr>
          <w:p w14:paraId="791A3C7F" w14:textId="77777777" w:rsidR="0058524C" w:rsidRPr="00850074" w:rsidRDefault="0058524C" w:rsidP="002240A9">
            <w:pPr>
              <w:ind w:left="360" w:firstLine="360"/>
              <w:rPr>
                <w:szCs w:val="24"/>
              </w:rPr>
            </w:pPr>
            <w:r w:rsidRPr="00850074">
              <w:rPr>
                <w:szCs w:val="24"/>
              </w:rPr>
              <w:t>N° 38   5.0 mm</w:t>
            </w:r>
          </w:p>
        </w:tc>
        <w:tc>
          <w:tcPr>
            <w:tcW w:w="2335" w:type="dxa"/>
          </w:tcPr>
          <w:p w14:paraId="7E8FD5AF" w14:textId="54E576C2" w:rsidR="0058524C" w:rsidRPr="00850074" w:rsidRDefault="0058524C" w:rsidP="002240A9">
            <w:pPr>
              <w:ind w:left="360" w:firstLine="360"/>
              <w:rPr>
                <w:szCs w:val="24"/>
              </w:rPr>
            </w:pPr>
            <w:r w:rsidRPr="00850074">
              <w:rPr>
                <w:szCs w:val="24"/>
              </w:rPr>
              <w:t xml:space="preserve">30 </w:t>
            </w:r>
            <w:r w:rsidR="00141A98">
              <w:rPr>
                <w:szCs w:val="24"/>
              </w:rPr>
              <w:t xml:space="preserve"> </w:t>
            </w:r>
            <w:r w:rsidRPr="00850074">
              <w:rPr>
                <w:szCs w:val="24"/>
              </w:rPr>
              <w:t xml:space="preserve"> - </w:t>
            </w:r>
            <w:r w:rsidR="00141A98">
              <w:rPr>
                <w:szCs w:val="24"/>
              </w:rPr>
              <w:t xml:space="preserve"> </w:t>
            </w:r>
            <w:r w:rsidRPr="00850074">
              <w:rPr>
                <w:szCs w:val="24"/>
              </w:rPr>
              <w:t xml:space="preserve"> 60</w:t>
            </w:r>
          </w:p>
        </w:tc>
        <w:tc>
          <w:tcPr>
            <w:tcW w:w="2335" w:type="dxa"/>
          </w:tcPr>
          <w:p w14:paraId="6F059D06" w14:textId="77777777" w:rsidR="0058524C" w:rsidRPr="00850074" w:rsidRDefault="0058524C" w:rsidP="002240A9">
            <w:pPr>
              <w:ind w:left="360" w:firstLine="360"/>
              <w:rPr>
                <w:szCs w:val="24"/>
              </w:rPr>
            </w:pPr>
            <w:r w:rsidRPr="00850074">
              <w:rPr>
                <w:szCs w:val="24"/>
              </w:rPr>
              <w:t>-</w:t>
            </w:r>
          </w:p>
        </w:tc>
        <w:tc>
          <w:tcPr>
            <w:tcW w:w="2204" w:type="dxa"/>
          </w:tcPr>
          <w:p w14:paraId="4565D229" w14:textId="77777777" w:rsidR="0058524C" w:rsidRPr="00850074" w:rsidRDefault="0058524C" w:rsidP="002240A9">
            <w:pPr>
              <w:ind w:left="360" w:firstLine="360"/>
              <w:rPr>
                <w:szCs w:val="24"/>
              </w:rPr>
            </w:pPr>
            <w:r w:rsidRPr="00850074">
              <w:rPr>
                <w:szCs w:val="24"/>
              </w:rPr>
              <w:t>-</w:t>
            </w:r>
          </w:p>
        </w:tc>
      </w:tr>
      <w:tr w:rsidR="0058524C" w:rsidRPr="00850074" w14:paraId="01FA8F7D" w14:textId="77777777" w:rsidTr="002240A9">
        <w:tc>
          <w:tcPr>
            <w:tcW w:w="2414" w:type="dxa"/>
          </w:tcPr>
          <w:p w14:paraId="19746955" w14:textId="77777777" w:rsidR="0058524C" w:rsidRPr="00850074" w:rsidRDefault="0058524C" w:rsidP="002240A9">
            <w:pPr>
              <w:ind w:left="360" w:firstLine="0"/>
              <w:rPr>
                <w:szCs w:val="24"/>
              </w:rPr>
            </w:pPr>
            <w:r w:rsidRPr="00850074">
              <w:rPr>
                <w:szCs w:val="24"/>
              </w:rPr>
              <w:t>N° 41   10.0 mm</w:t>
            </w:r>
          </w:p>
        </w:tc>
        <w:tc>
          <w:tcPr>
            <w:tcW w:w="2335" w:type="dxa"/>
          </w:tcPr>
          <w:p w14:paraId="21F9B354" w14:textId="4CD15507" w:rsidR="0058524C" w:rsidRPr="00850074" w:rsidRDefault="0058524C" w:rsidP="002240A9">
            <w:pPr>
              <w:ind w:left="360" w:firstLine="360"/>
              <w:rPr>
                <w:szCs w:val="24"/>
              </w:rPr>
            </w:pPr>
            <w:r w:rsidRPr="00850074">
              <w:rPr>
                <w:szCs w:val="24"/>
              </w:rPr>
              <w:t xml:space="preserve">90 </w:t>
            </w:r>
            <w:r w:rsidR="00141A98">
              <w:rPr>
                <w:szCs w:val="24"/>
              </w:rPr>
              <w:t xml:space="preserve"> </w:t>
            </w:r>
            <w:r w:rsidRPr="00850074">
              <w:rPr>
                <w:szCs w:val="24"/>
              </w:rPr>
              <w:t xml:space="preserve"> - </w:t>
            </w:r>
            <w:r w:rsidR="00141A98">
              <w:rPr>
                <w:szCs w:val="24"/>
              </w:rPr>
              <w:t xml:space="preserve"> </w:t>
            </w:r>
            <w:r w:rsidRPr="00850074">
              <w:rPr>
                <w:szCs w:val="24"/>
              </w:rPr>
              <w:t xml:space="preserve"> 100</w:t>
            </w:r>
          </w:p>
        </w:tc>
        <w:tc>
          <w:tcPr>
            <w:tcW w:w="2335" w:type="dxa"/>
          </w:tcPr>
          <w:p w14:paraId="03616201" w14:textId="184AE05E" w:rsidR="0058524C" w:rsidRPr="00850074" w:rsidRDefault="0058524C" w:rsidP="002240A9">
            <w:pPr>
              <w:ind w:left="360" w:firstLine="360"/>
              <w:rPr>
                <w:szCs w:val="24"/>
              </w:rPr>
            </w:pPr>
            <w:r w:rsidRPr="00850074">
              <w:rPr>
                <w:szCs w:val="24"/>
              </w:rPr>
              <w:t xml:space="preserve">0 </w:t>
            </w:r>
            <w:r w:rsidR="00141A98">
              <w:rPr>
                <w:szCs w:val="24"/>
              </w:rPr>
              <w:t xml:space="preserve"> </w:t>
            </w:r>
            <w:r w:rsidRPr="00850074">
              <w:rPr>
                <w:szCs w:val="24"/>
              </w:rPr>
              <w:t xml:space="preserve"> -  </w:t>
            </w:r>
            <w:r w:rsidR="00141A98">
              <w:rPr>
                <w:szCs w:val="24"/>
              </w:rPr>
              <w:t xml:space="preserve"> </w:t>
            </w:r>
            <w:r w:rsidRPr="00850074">
              <w:rPr>
                <w:szCs w:val="24"/>
              </w:rPr>
              <w:t>10</w:t>
            </w:r>
          </w:p>
        </w:tc>
        <w:tc>
          <w:tcPr>
            <w:tcW w:w="2204" w:type="dxa"/>
          </w:tcPr>
          <w:p w14:paraId="49F97497" w14:textId="60DD7D14" w:rsidR="0058524C" w:rsidRPr="00850074" w:rsidRDefault="0058524C" w:rsidP="002240A9">
            <w:pPr>
              <w:ind w:left="360" w:firstLine="360"/>
              <w:rPr>
                <w:szCs w:val="24"/>
              </w:rPr>
            </w:pPr>
            <w:r w:rsidRPr="00850074">
              <w:rPr>
                <w:szCs w:val="24"/>
              </w:rPr>
              <w:t xml:space="preserve">0  </w:t>
            </w:r>
            <w:r w:rsidR="00141A98">
              <w:rPr>
                <w:szCs w:val="24"/>
              </w:rPr>
              <w:t xml:space="preserve"> </w:t>
            </w:r>
            <w:r w:rsidRPr="00850074">
              <w:rPr>
                <w:szCs w:val="24"/>
              </w:rPr>
              <w:t>-</w:t>
            </w:r>
            <w:r w:rsidR="00141A98">
              <w:rPr>
                <w:szCs w:val="24"/>
              </w:rPr>
              <w:t xml:space="preserve"> </w:t>
            </w:r>
            <w:r w:rsidRPr="00850074">
              <w:rPr>
                <w:szCs w:val="24"/>
              </w:rPr>
              <w:t xml:space="preserve">  10</w:t>
            </w:r>
          </w:p>
        </w:tc>
      </w:tr>
      <w:tr w:rsidR="0058524C" w:rsidRPr="00850074" w14:paraId="1577A509" w14:textId="77777777" w:rsidTr="002240A9">
        <w:tc>
          <w:tcPr>
            <w:tcW w:w="2414" w:type="dxa"/>
          </w:tcPr>
          <w:p w14:paraId="045F5E98" w14:textId="5A2A4DEA" w:rsidR="0058524C" w:rsidRPr="00850074" w:rsidRDefault="0058524C" w:rsidP="002240A9">
            <w:pPr>
              <w:ind w:left="360" w:firstLine="0"/>
              <w:rPr>
                <w:szCs w:val="24"/>
              </w:rPr>
            </w:pPr>
            <w:r w:rsidRPr="00850074">
              <w:rPr>
                <w:szCs w:val="24"/>
              </w:rPr>
              <w:t xml:space="preserve">N° 43  </w:t>
            </w:r>
            <w:r w:rsidR="00141A98">
              <w:rPr>
                <w:szCs w:val="24"/>
              </w:rPr>
              <w:t xml:space="preserve"> </w:t>
            </w:r>
            <w:r w:rsidRPr="00850074">
              <w:rPr>
                <w:szCs w:val="24"/>
              </w:rPr>
              <w:t>15.0 mm</w:t>
            </w:r>
          </w:p>
        </w:tc>
        <w:tc>
          <w:tcPr>
            <w:tcW w:w="2335" w:type="dxa"/>
          </w:tcPr>
          <w:p w14:paraId="59BC98D4" w14:textId="77777777" w:rsidR="0058524C" w:rsidRPr="00850074" w:rsidRDefault="0058524C" w:rsidP="002240A9">
            <w:pPr>
              <w:ind w:left="360" w:firstLine="360"/>
              <w:rPr>
                <w:szCs w:val="24"/>
              </w:rPr>
            </w:pPr>
            <w:r w:rsidRPr="00850074">
              <w:rPr>
                <w:szCs w:val="24"/>
              </w:rPr>
              <w:t>100</w:t>
            </w:r>
          </w:p>
        </w:tc>
        <w:tc>
          <w:tcPr>
            <w:tcW w:w="2335" w:type="dxa"/>
          </w:tcPr>
          <w:p w14:paraId="333FE2E9" w14:textId="7CDDF4BF" w:rsidR="0058524C" w:rsidRPr="00850074" w:rsidRDefault="0058524C" w:rsidP="002240A9">
            <w:pPr>
              <w:ind w:left="360" w:firstLine="360"/>
              <w:rPr>
                <w:szCs w:val="24"/>
              </w:rPr>
            </w:pPr>
            <w:r w:rsidRPr="00850074">
              <w:rPr>
                <w:szCs w:val="24"/>
              </w:rPr>
              <w:t xml:space="preserve">30  </w:t>
            </w:r>
            <w:r w:rsidR="00141A98">
              <w:rPr>
                <w:szCs w:val="24"/>
              </w:rPr>
              <w:t xml:space="preserve"> </w:t>
            </w:r>
            <w:r w:rsidRPr="00850074">
              <w:rPr>
                <w:szCs w:val="24"/>
              </w:rPr>
              <w:t xml:space="preserve">-  </w:t>
            </w:r>
            <w:r w:rsidR="00141A98">
              <w:rPr>
                <w:szCs w:val="24"/>
              </w:rPr>
              <w:t xml:space="preserve"> </w:t>
            </w:r>
            <w:r w:rsidRPr="00850074">
              <w:rPr>
                <w:szCs w:val="24"/>
              </w:rPr>
              <w:t>60</w:t>
            </w:r>
          </w:p>
        </w:tc>
        <w:tc>
          <w:tcPr>
            <w:tcW w:w="2204" w:type="dxa"/>
          </w:tcPr>
          <w:p w14:paraId="34F0D066" w14:textId="22AE5B29" w:rsidR="0058524C" w:rsidRPr="00850074" w:rsidRDefault="0058524C" w:rsidP="002240A9">
            <w:pPr>
              <w:ind w:left="360" w:firstLine="360"/>
              <w:rPr>
                <w:szCs w:val="24"/>
              </w:rPr>
            </w:pPr>
            <w:r w:rsidRPr="00850074">
              <w:rPr>
                <w:szCs w:val="24"/>
              </w:rPr>
              <w:t xml:space="preserve">30 </w:t>
            </w:r>
            <w:r w:rsidR="00141A98">
              <w:rPr>
                <w:szCs w:val="24"/>
              </w:rPr>
              <w:t xml:space="preserve"> </w:t>
            </w:r>
            <w:r w:rsidRPr="00850074">
              <w:rPr>
                <w:szCs w:val="24"/>
              </w:rPr>
              <w:t xml:space="preserve"> -  </w:t>
            </w:r>
            <w:r w:rsidR="00141A98">
              <w:rPr>
                <w:szCs w:val="24"/>
              </w:rPr>
              <w:t xml:space="preserve"> </w:t>
            </w:r>
            <w:r w:rsidRPr="00850074">
              <w:rPr>
                <w:szCs w:val="24"/>
              </w:rPr>
              <w:t>60</w:t>
            </w:r>
          </w:p>
        </w:tc>
      </w:tr>
      <w:tr w:rsidR="0058524C" w:rsidRPr="00850074" w14:paraId="0F4C6552" w14:textId="77777777" w:rsidTr="002240A9">
        <w:tc>
          <w:tcPr>
            <w:tcW w:w="2414" w:type="dxa"/>
          </w:tcPr>
          <w:p w14:paraId="2A0304CA" w14:textId="23FBF263" w:rsidR="0058524C" w:rsidRPr="00850074" w:rsidRDefault="0058524C" w:rsidP="002240A9">
            <w:pPr>
              <w:ind w:left="360" w:firstLine="0"/>
              <w:rPr>
                <w:szCs w:val="24"/>
              </w:rPr>
            </w:pPr>
            <w:r w:rsidRPr="00850074">
              <w:rPr>
                <w:szCs w:val="24"/>
              </w:rPr>
              <w:t xml:space="preserve">N° 44  </w:t>
            </w:r>
            <w:r w:rsidR="00141A98">
              <w:rPr>
                <w:szCs w:val="24"/>
              </w:rPr>
              <w:t xml:space="preserve"> </w:t>
            </w:r>
            <w:r w:rsidRPr="00850074">
              <w:rPr>
                <w:szCs w:val="24"/>
              </w:rPr>
              <w:t>20.0 mm</w:t>
            </w:r>
          </w:p>
        </w:tc>
        <w:tc>
          <w:tcPr>
            <w:tcW w:w="2335" w:type="dxa"/>
          </w:tcPr>
          <w:p w14:paraId="50DB8DE7" w14:textId="77777777" w:rsidR="0058524C" w:rsidRPr="00850074" w:rsidRDefault="0058524C" w:rsidP="002240A9">
            <w:pPr>
              <w:ind w:left="360" w:firstLine="360"/>
              <w:rPr>
                <w:szCs w:val="24"/>
              </w:rPr>
            </w:pPr>
            <w:r w:rsidRPr="00850074">
              <w:rPr>
                <w:szCs w:val="24"/>
              </w:rPr>
              <w:t>-</w:t>
            </w:r>
          </w:p>
        </w:tc>
        <w:tc>
          <w:tcPr>
            <w:tcW w:w="2335" w:type="dxa"/>
          </w:tcPr>
          <w:p w14:paraId="11DFAC90" w14:textId="47F5916E" w:rsidR="0058524C" w:rsidRPr="00850074" w:rsidRDefault="0058524C" w:rsidP="002240A9">
            <w:pPr>
              <w:ind w:left="360" w:firstLine="360"/>
              <w:rPr>
                <w:szCs w:val="24"/>
              </w:rPr>
            </w:pPr>
            <w:r w:rsidRPr="00850074">
              <w:rPr>
                <w:szCs w:val="24"/>
              </w:rPr>
              <w:t xml:space="preserve">85  </w:t>
            </w:r>
            <w:r w:rsidR="00141A98">
              <w:rPr>
                <w:szCs w:val="24"/>
              </w:rPr>
              <w:t xml:space="preserve"> </w:t>
            </w:r>
            <w:r w:rsidRPr="00850074">
              <w:rPr>
                <w:szCs w:val="24"/>
              </w:rPr>
              <w:t xml:space="preserve">-  </w:t>
            </w:r>
            <w:r w:rsidR="00141A98">
              <w:rPr>
                <w:szCs w:val="24"/>
              </w:rPr>
              <w:t xml:space="preserve"> </w:t>
            </w:r>
            <w:r w:rsidRPr="00850074">
              <w:rPr>
                <w:szCs w:val="24"/>
              </w:rPr>
              <w:t>100</w:t>
            </w:r>
          </w:p>
        </w:tc>
        <w:tc>
          <w:tcPr>
            <w:tcW w:w="2204" w:type="dxa"/>
          </w:tcPr>
          <w:p w14:paraId="4CEBDB64" w14:textId="18C13A89" w:rsidR="0058524C" w:rsidRPr="00850074" w:rsidRDefault="0058524C" w:rsidP="002240A9">
            <w:pPr>
              <w:ind w:left="360" w:firstLine="360"/>
              <w:rPr>
                <w:szCs w:val="24"/>
              </w:rPr>
            </w:pPr>
            <w:r w:rsidRPr="00850074">
              <w:rPr>
                <w:szCs w:val="24"/>
              </w:rPr>
              <w:t xml:space="preserve">0  </w:t>
            </w:r>
            <w:r w:rsidR="00141A98">
              <w:rPr>
                <w:szCs w:val="24"/>
              </w:rPr>
              <w:t xml:space="preserve"> </w:t>
            </w:r>
            <w:r w:rsidRPr="00850074">
              <w:rPr>
                <w:szCs w:val="24"/>
              </w:rPr>
              <w:t xml:space="preserve">-  </w:t>
            </w:r>
            <w:r w:rsidR="00141A98">
              <w:rPr>
                <w:szCs w:val="24"/>
              </w:rPr>
              <w:t xml:space="preserve"> </w:t>
            </w:r>
            <w:r w:rsidRPr="00850074">
              <w:rPr>
                <w:szCs w:val="24"/>
              </w:rPr>
              <w:t>10</w:t>
            </w:r>
          </w:p>
        </w:tc>
      </w:tr>
      <w:tr w:rsidR="0058524C" w:rsidRPr="00850074" w14:paraId="622263B5" w14:textId="77777777" w:rsidTr="002240A9">
        <w:tc>
          <w:tcPr>
            <w:tcW w:w="2414" w:type="dxa"/>
          </w:tcPr>
          <w:p w14:paraId="00D7B40A" w14:textId="138E746B" w:rsidR="0058524C" w:rsidRPr="00850074" w:rsidRDefault="0058524C" w:rsidP="002240A9">
            <w:pPr>
              <w:ind w:left="360" w:firstLine="0"/>
              <w:rPr>
                <w:szCs w:val="24"/>
              </w:rPr>
            </w:pPr>
            <w:r w:rsidRPr="00850074">
              <w:rPr>
                <w:szCs w:val="24"/>
              </w:rPr>
              <w:t xml:space="preserve">N° 46  </w:t>
            </w:r>
            <w:r w:rsidR="00141A98">
              <w:rPr>
                <w:szCs w:val="24"/>
              </w:rPr>
              <w:t xml:space="preserve"> </w:t>
            </w:r>
            <w:r w:rsidRPr="00850074">
              <w:rPr>
                <w:szCs w:val="24"/>
              </w:rPr>
              <w:t xml:space="preserve">30.0 mm  </w:t>
            </w:r>
          </w:p>
        </w:tc>
        <w:tc>
          <w:tcPr>
            <w:tcW w:w="2335" w:type="dxa"/>
          </w:tcPr>
          <w:p w14:paraId="6E228E6A" w14:textId="77777777" w:rsidR="0058524C" w:rsidRPr="00850074" w:rsidRDefault="0058524C" w:rsidP="002240A9">
            <w:pPr>
              <w:ind w:left="360" w:firstLine="360"/>
              <w:rPr>
                <w:szCs w:val="24"/>
              </w:rPr>
            </w:pPr>
            <w:r w:rsidRPr="00850074">
              <w:rPr>
                <w:szCs w:val="24"/>
              </w:rPr>
              <w:t>-</w:t>
            </w:r>
          </w:p>
        </w:tc>
        <w:tc>
          <w:tcPr>
            <w:tcW w:w="2335" w:type="dxa"/>
          </w:tcPr>
          <w:p w14:paraId="3EBE6DD9" w14:textId="49E2E8EE" w:rsidR="0058524C" w:rsidRPr="00850074" w:rsidRDefault="0058524C" w:rsidP="002240A9">
            <w:pPr>
              <w:ind w:left="360" w:firstLine="360"/>
              <w:rPr>
                <w:szCs w:val="24"/>
              </w:rPr>
            </w:pPr>
            <w:r w:rsidRPr="00850074">
              <w:rPr>
                <w:szCs w:val="24"/>
              </w:rPr>
              <w:t xml:space="preserve">85 </w:t>
            </w:r>
            <w:r w:rsidR="00141A98">
              <w:rPr>
                <w:szCs w:val="24"/>
              </w:rPr>
              <w:t xml:space="preserve"> </w:t>
            </w:r>
            <w:r w:rsidRPr="00850074">
              <w:rPr>
                <w:szCs w:val="24"/>
              </w:rPr>
              <w:t xml:space="preserve"> -  </w:t>
            </w:r>
            <w:r w:rsidR="00141A98">
              <w:rPr>
                <w:szCs w:val="24"/>
              </w:rPr>
              <w:t xml:space="preserve"> </w:t>
            </w:r>
            <w:r w:rsidRPr="00850074">
              <w:rPr>
                <w:szCs w:val="24"/>
              </w:rPr>
              <w:t>100</w:t>
            </w:r>
          </w:p>
        </w:tc>
        <w:tc>
          <w:tcPr>
            <w:tcW w:w="2204" w:type="dxa"/>
          </w:tcPr>
          <w:p w14:paraId="2A88EE15" w14:textId="457E3883" w:rsidR="0058524C" w:rsidRPr="00850074" w:rsidRDefault="0058524C" w:rsidP="002240A9">
            <w:pPr>
              <w:ind w:left="360" w:firstLine="360"/>
              <w:rPr>
                <w:szCs w:val="24"/>
              </w:rPr>
            </w:pPr>
            <w:r w:rsidRPr="00850074">
              <w:rPr>
                <w:szCs w:val="24"/>
              </w:rPr>
              <w:t xml:space="preserve">30 </w:t>
            </w:r>
            <w:r w:rsidR="00141A98">
              <w:rPr>
                <w:szCs w:val="24"/>
              </w:rPr>
              <w:t xml:space="preserve"> </w:t>
            </w:r>
            <w:r w:rsidRPr="00850074">
              <w:rPr>
                <w:szCs w:val="24"/>
              </w:rPr>
              <w:t xml:space="preserve"> -  </w:t>
            </w:r>
            <w:r w:rsidR="00141A98">
              <w:rPr>
                <w:szCs w:val="24"/>
              </w:rPr>
              <w:t xml:space="preserve"> </w:t>
            </w:r>
            <w:r w:rsidRPr="00850074">
              <w:rPr>
                <w:szCs w:val="24"/>
              </w:rPr>
              <w:t>60</w:t>
            </w:r>
          </w:p>
        </w:tc>
      </w:tr>
      <w:tr w:rsidR="0058524C" w:rsidRPr="00850074" w14:paraId="4E6AE445" w14:textId="77777777" w:rsidTr="002240A9">
        <w:tc>
          <w:tcPr>
            <w:tcW w:w="2414" w:type="dxa"/>
          </w:tcPr>
          <w:p w14:paraId="5C580CEA" w14:textId="5B14E60A" w:rsidR="0058524C" w:rsidRPr="00850074" w:rsidRDefault="0058524C" w:rsidP="002240A9">
            <w:pPr>
              <w:ind w:left="360" w:firstLine="0"/>
              <w:rPr>
                <w:szCs w:val="24"/>
              </w:rPr>
            </w:pPr>
            <w:r w:rsidRPr="00850074">
              <w:rPr>
                <w:szCs w:val="24"/>
              </w:rPr>
              <w:t xml:space="preserve">N° 47  </w:t>
            </w:r>
            <w:r w:rsidR="00141A98">
              <w:rPr>
                <w:szCs w:val="24"/>
              </w:rPr>
              <w:t xml:space="preserve"> </w:t>
            </w:r>
            <w:r w:rsidRPr="00850074">
              <w:rPr>
                <w:szCs w:val="24"/>
              </w:rPr>
              <w:t xml:space="preserve">40.0 mm  </w:t>
            </w:r>
          </w:p>
        </w:tc>
        <w:tc>
          <w:tcPr>
            <w:tcW w:w="2335" w:type="dxa"/>
          </w:tcPr>
          <w:p w14:paraId="38F45802" w14:textId="77777777" w:rsidR="0058524C" w:rsidRPr="00850074" w:rsidRDefault="0058524C" w:rsidP="002240A9">
            <w:pPr>
              <w:rPr>
                <w:szCs w:val="24"/>
              </w:rPr>
            </w:pPr>
          </w:p>
        </w:tc>
        <w:tc>
          <w:tcPr>
            <w:tcW w:w="2335" w:type="dxa"/>
          </w:tcPr>
          <w:p w14:paraId="10E106E4" w14:textId="77777777" w:rsidR="0058524C" w:rsidRPr="00850074" w:rsidRDefault="0058524C" w:rsidP="002240A9">
            <w:pPr>
              <w:ind w:left="360" w:firstLine="360"/>
              <w:rPr>
                <w:szCs w:val="24"/>
              </w:rPr>
            </w:pPr>
            <w:r w:rsidRPr="00850074">
              <w:rPr>
                <w:szCs w:val="24"/>
              </w:rPr>
              <w:t>100</w:t>
            </w:r>
          </w:p>
        </w:tc>
        <w:tc>
          <w:tcPr>
            <w:tcW w:w="2204" w:type="dxa"/>
          </w:tcPr>
          <w:p w14:paraId="23D21B37" w14:textId="4EE8DCC8" w:rsidR="0058524C" w:rsidRPr="00850074" w:rsidRDefault="0058524C" w:rsidP="002240A9">
            <w:pPr>
              <w:ind w:left="360" w:firstLine="360"/>
              <w:rPr>
                <w:szCs w:val="24"/>
              </w:rPr>
            </w:pPr>
            <w:r w:rsidRPr="00850074">
              <w:rPr>
                <w:szCs w:val="24"/>
              </w:rPr>
              <w:t xml:space="preserve">85 </w:t>
            </w:r>
            <w:r w:rsidR="00141A98">
              <w:rPr>
                <w:szCs w:val="24"/>
              </w:rPr>
              <w:t xml:space="preserve"> </w:t>
            </w:r>
            <w:r w:rsidRPr="00850074">
              <w:rPr>
                <w:szCs w:val="24"/>
              </w:rPr>
              <w:t xml:space="preserve"> -  </w:t>
            </w:r>
            <w:r w:rsidR="00141A98">
              <w:rPr>
                <w:szCs w:val="24"/>
              </w:rPr>
              <w:t xml:space="preserve"> </w:t>
            </w:r>
            <w:r w:rsidRPr="00850074">
              <w:rPr>
                <w:szCs w:val="24"/>
              </w:rPr>
              <w:t>100</w:t>
            </w:r>
          </w:p>
        </w:tc>
      </w:tr>
      <w:tr w:rsidR="0058524C" w:rsidRPr="00850074" w14:paraId="7D46445C" w14:textId="77777777" w:rsidTr="002240A9">
        <w:tc>
          <w:tcPr>
            <w:tcW w:w="2414" w:type="dxa"/>
          </w:tcPr>
          <w:p w14:paraId="75C41C5B" w14:textId="4BC9FE2D" w:rsidR="0058524C" w:rsidRPr="00850074" w:rsidRDefault="0058524C" w:rsidP="002240A9">
            <w:pPr>
              <w:ind w:left="360" w:firstLine="0"/>
              <w:rPr>
                <w:szCs w:val="24"/>
              </w:rPr>
            </w:pPr>
            <w:r w:rsidRPr="00850074">
              <w:rPr>
                <w:szCs w:val="24"/>
              </w:rPr>
              <w:t xml:space="preserve">N° 49  </w:t>
            </w:r>
            <w:r w:rsidR="00141A98">
              <w:rPr>
                <w:szCs w:val="24"/>
              </w:rPr>
              <w:t xml:space="preserve"> </w:t>
            </w:r>
            <w:r w:rsidRPr="00850074">
              <w:rPr>
                <w:szCs w:val="24"/>
              </w:rPr>
              <w:t xml:space="preserve">63.0 mm  </w:t>
            </w:r>
          </w:p>
        </w:tc>
        <w:tc>
          <w:tcPr>
            <w:tcW w:w="2335" w:type="dxa"/>
          </w:tcPr>
          <w:p w14:paraId="7F80C178" w14:textId="77777777" w:rsidR="0058524C" w:rsidRPr="00850074" w:rsidRDefault="0058524C" w:rsidP="002240A9">
            <w:pPr>
              <w:ind w:left="360" w:firstLine="360"/>
              <w:rPr>
                <w:szCs w:val="24"/>
              </w:rPr>
            </w:pPr>
            <w:r w:rsidRPr="00850074">
              <w:rPr>
                <w:szCs w:val="24"/>
              </w:rPr>
              <w:t>-</w:t>
            </w:r>
          </w:p>
        </w:tc>
        <w:tc>
          <w:tcPr>
            <w:tcW w:w="2335" w:type="dxa"/>
          </w:tcPr>
          <w:p w14:paraId="098B26E3" w14:textId="77777777" w:rsidR="0058524C" w:rsidRPr="00850074" w:rsidRDefault="0058524C" w:rsidP="002240A9">
            <w:pPr>
              <w:ind w:left="360" w:firstLine="360"/>
              <w:rPr>
                <w:szCs w:val="24"/>
              </w:rPr>
            </w:pPr>
            <w:r w:rsidRPr="00850074">
              <w:rPr>
                <w:szCs w:val="24"/>
              </w:rPr>
              <w:t>-</w:t>
            </w:r>
          </w:p>
        </w:tc>
        <w:tc>
          <w:tcPr>
            <w:tcW w:w="2204" w:type="dxa"/>
          </w:tcPr>
          <w:p w14:paraId="3A5F838B" w14:textId="77777777" w:rsidR="0058524C" w:rsidRPr="00850074" w:rsidRDefault="0058524C" w:rsidP="002240A9">
            <w:pPr>
              <w:ind w:left="360" w:firstLine="360"/>
              <w:rPr>
                <w:szCs w:val="24"/>
              </w:rPr>
            </w:pPr>
            <w:r w:rsidRPr="00850074">
              <w:rPr>
                <w:szCs w:val="24"/>
              </w:rPr>
              <w:t>100</w:t>
            </w:r>
          </w:p>
        </w:tc>
      </w:tr>
    </w:tbl>
    <w:p w14:paraId="0BB96799" w14:textId="77777777" w:rsidR="0058524C" w:rsidRPr="00850074" w:rsidRDefault="0058524C" w:rsidP="0058524C">
      <w:pPr>
        <w:spacing w:after="0"/>
        <w:rPr>
          <w:szCs w:val="24"/>
        </w:rPr>
      </w:pPr>
      <w:r w:rsidRPr="00850074">
        <w:rPr>
          <w:szCs w:val="24"/>
        </w:rPr>
        <w:t xml:space="preserve"> </w:t>
      </w:r>
    </w:p>
    <w:p w14:paraId="62C81AE4" w14:textId="77777777" w:rsidR="0058524C" w:rsidRPr="00850074" w:rsidRDefault="0058524C" w:rsidP="0058524C">
      <w:pPr>
        <w:spacing w:after="0"/>
        <w:rPr>
          <w:szCs w:val="24"/>
        </w:rPr>
      </w:pPr>
      <w:r w:rsidRPr="00850074">
        <w:rPr>
          <w:szCs w:val="24"/>
        </w:rPr>
        <w:t xml:space="preserve">L'utilisation du tout-venant ne sera pas autorisée mais l'Entrepreneur pourra proposer des limites différentes aux trois catégories prévues. </w:t>
      </w:r>
    </w:p>
    <w:p w14:paraId="31BC9384" w14:textId="77777777" w:rsidR="0058524C" w:rsidRPr="00850074" w:rsidRDefault="0058524C" w:rsidP="0058524C">
      <w:pPr>
        <w:spacing w:after="0"/>
        <w:rPr>
          <w:szCs w:val="24"/>
        </w:rPr>
      </w:pPr>
      <w:r w:rsidRPr="00850074">
        <w:rPr>
          <w:szCs w:val="24"/>
        </w:rPr>
        <w:t xml:space="preserve"> </w:t>
      </w:r>
    </w:p>
    <w:p w14:paraId="2A73FE01" w14:textId="77777777" w:rsidR="0058524C" w:rsidRPr="00850074" w:rsidRDefault="0058524C" w:rsidP="0058524C">
      <w:pPr>
        <w:spacing w:after="0"/>
        <w:rPr>
          <w:b/>
          <w:szCs w:val="24"/>
        </w:rPr>
      </w:pPr>
      <w:r w:rsidRPr="00850074">
        <w:rPr>
          <w:b/>
          <w:szCs w:val="24"/>
        </w:rPr>
        <w:t xml:space="preserve"> Aciers pour bétons </w:t>
      </w:r>
    </w:p>
    <w:p w14:paraId="3EE4380B" w14:textId="77777777" w:rsidR="0058524C" w:rsidRPr="00850074" w:rsidRDefault="0058524C" w:rsidP="0058524C">
      <w:pPr>
        <w:spacing w:after="0"/>
        <w:rPr>
          <w:szCs w:val="24"/>
        </w:rPr>
      </w:pPr>
      <w:r w:rsidRPr="00850074">
        <w:rPr>
          <w:szCs w:val="24"/>
        </w:rPr>
        <w:t xml:space="preserve">Les fiches d'homologation des aciers pour béton armé devront être présentées à l'Ingénieur et devront satisfaire aux exigences suivantes : </w:t>
      </w:r>
    </w:p>
    <w:p w14:paraId="5446C301" w14:textId="77777777" w:rsidR="0058524C" w:rsidRPr="00850074" w:rsidRDefault="0058524C" w:rsidP="0058524C">
      <w:pPr>
        <w:spacing w:after="0"/>
        <w:rPr>
          <w:szCs w:val="24"/>
        </w:rPr>
      </w:pPr>
      <w:r w:rsidRPr="00850074">
        <w:rPr>
          <w:szCs w:val="24"/>
        </w:rPr>
        <w:t xml:space="preserve">Armatures à haute adhérence nuance Fe E40 A. </w:t>
      </w:r>
    </w:p>
    <w:p w14:paraId="39B3E25E" w14:textId="77777777" w:rsidR="0058524C" w:rsidRPr="00850074" w:rsidRDefault="0058524C" w:rsidP="0058524C">
      <w:pPr>
        <w:spacing w:after="0"/>
        <w:rPr>
          <w:szCs w:val="24"/>
        </w:rPr>
      </w:pPr>
      <w:r w:rsidRPr="00850074">
        <w:rPr>
          <w:szCs w:val="24"/>
        </w:rPr>
        <w:t xml:space="preserve">Elles devront être conformes à la norme NFA 35 016 avec un coefficient de fissuration au moins égale à un virgule six (1,6). </w:t>
      </w:r>
    </w:p>
    <w:p w14:paraId="4500044B" w14:textId="77777777" w:rsidR="0058524C" w:rsidRPr="00850074" w:rsidRDefault="0058524C" w:rsidP="0058524C">
      <w:pPr>
        <w:spacing w:after="0"/>
        <w:rPr>
          <w:szCs w:val="24"/>
        </w:rPr>
      </w:pPr>
      <w:r w:rsidRPr="00850074">
        <w:rPr>
          <w:szCs w:val="24"/>
        </w:rPr>
        <w:t xml:space="preserve">Les fils de ligature sont en fil de fer souple, diamètre 1,24 mm ou en acier doux recuit. </w:t>
      </w:r>
    </w:p>
    <w:p w14:paraId="2CB18A6A" w14:textId="4F89DA1A" w:rsidR="0058524C" w:rsidRPr="00850074" w:rsidRDefault="0058524C" w:rsidP="0058524C">
      <w:pPr>
        <w:spacing w:after="0"/>
        <w:rPr>
          <w:szCs w:val="24"/>
        </w:rPr>
      </w:pPr>
      <w:r w:rsidRPr="00850074">
        <w:rPr>
          <w:szCs w:val="24"/>
        </w:rPr>
        <w:t xml:space="preserve">Les matériaux d'armature doivent être débarrassés de toutes traces de rouille </w:t>
      </w:r>
      <w:r w:rsidR="00141A98" w:rsidRPr="00850074">
        <w:rPr>
          <w:szCs w:val="24"/>
        </w:rPr>
        <w:t>non adhérente</w:t>
      </w:r>
      <w:r w:rsidRPr="00850074">
        <w:rPr>
          <w:szCs w:val="24"/>
        </w:rPr>
        <w:t xml:space="preserve">, de terre, de peinture ou de toutes matières nuisibles. Ils ne devront pas être tordus, déformés ou indûment pliés. </w:t>
      </w:r>
    </w:p>
    <w:p w14:paraId="3217BDD4" w14:textId="77777777" w:rsidR="0058524C" w:rsidRPr="00850074" w:rsidRDefault="0058524C" w:rsidP="0058524C">
      <w:pPr>
        <w:spacing w:after="0"/>
        <w:rPr>
          <w:szCs w:val="24"/>
        </w:rPr>
      </w:pPr>
      <w:r w:rsidRPr="00850074">
        <w:rPr>
          <w:szCs w:val="24"/>
        </w:rPr>
        <w:t xml:space="preserve"> </w:t>
      </w:r>
    </w:p>
    <w:p w14:paraId="53DA4621" w14:textId="77777777" w:rsidR="0058524C" w:rsidRPr="00850074" w:rsidRDefault="0058524C" w:rsidP="0058524C">
      <w:pPr>
        <w:spacing w:after="0"/>
        <w:rPr>
          <w:szCs w:val="24"/>
        </w:rPr>
      </w:pPr>
      <w:r w:rsidRPr="00850074">
        <w:rPr>
          <w:szCs w:val="24"/>
        </w:rPr>
        <w:t xml:space="preserve">Les fers devront être stockés avec soin et disposés sur des étais de façon qu’ils soient surélevés du sol et restent rigides dès leur arrivée sur le chantier. </w:t>
      </w:r>
    </w:p>
    <w:p w14:paraId="77C15134" w14:textId="77777777" w:rsidR="0058524C" w:rsidRPr="00850074" w:rsidRDefault="0058524C" w:rsidP="0058524C">
      <w:pPr>
        <w:spacing w:after="0"/>
        <w:rPr>
          <w:szCs w:val="24"/>
        </w:rPr>
      </w:pPr>
    </w:p>
    <w:p w14:paraId="4E552356" w14:textId="77777777" w:rsidR="0058524C" w:rsidRPr="00850074" w:rsidRDefault="0058524C" w:rsidP="0058524C">
      <w:pPr>
        <w:spacing w:after="0"/>
        <w:rPr>
          <w:b/>
          <w:szCs w:val="24"/>
        </w:rPr>
      </w:pPr>
      <w:r w:rsidRPr="00850074">
        <w:rPr>
          <w:b/>
          <w:szCs w:val="24"/>
        </w:rPr>
        <w:t xml:space="preserve">Bois de coffrage </w:t>
      </w:r>
    </w:p>
    <w:p w14:paraId="3339865D" w14:textId="77777777" w:rsidR="0058524C" w:rsidRPr="00850074" w:rsidRDefault="0058524C" w:rsidP="0058524C">
      <w:pPr>
        <w:spacing w:after="0"/>
        <w:rPr>
          <w:szCs w:val="24"/>
        </w:rPr>
      </w:pPr>
      <w:r w:rsidRPr="00850074">
        <w:rPr>
          <w:szCs w:val="24"/>
        </w:rPr>
        <w:t xml:space="preserve">Le bois nécessaire pour les coffrages aura les qualités de résistance requise pour un bon comportement du coffrage sous les charges. </w:t>
      </w:r>
    </w:p>
    <w:p w14:paraId="40E47BBF" w14:textId="70FDE8C8" w:rsidR="0058524C" w:rsidRPr="00850074" w:rsidRDefault="0058524C" w:rsidP="0058524C">
      <w:pPr>
        <w:spacing w:after="0"/>
        <w:rPr>
          <w:szCs w:val="24"/>
        </w:rPr>
      </w:pPr>
      <w:r w:rsidRPr="00850074">
        <w:rPr>
          <w:szCs w:val="24"/>
        </w:rPr>
        <w:t>Dans le cas d’emploi des panneaux de contre-plaqué pour l'obtention de parements fins, l'épaisseur minimale de ces panneaux s</w:t>
      </w:r>
      <w:r w:rsidR="00386293">
        <w:rPr>
          <w:szCs w:val="24"/>
        </w:rPr>
        <w:t>era de quinze (15) millimètres.</w:t>
      </w:r>
    </w:p>
    <w:p w14:paraId="186C1FB0" w14:textId="77777777" w:rsidR="0058524C" w:rsidRPr="00850074" w:rsidRDefault="0058524C" w:rsidP="0058524C">
      <w:pPr>
        <w:spacing w:after="0"/>
        <w:rPr>
          <w:szCs w:val="24"/>
        </w:rPr>
      </w:pPr>
      <w:r w:rsidRPr="00850074">
        <w:rPr>
          <w:szCs w:val="24"/>
        </w:rPr>
        <w:t xml:space="preserve"> </w:t>
      </w:r>
    </w:p>
    <w:p w14:paraId="0708597D" w14:textId="77777777" w:rsidR="0058524C" w:rsidRPr="00850074" w:rsidRDefault="0058524C" w:rsidP="0058524C">
      <w:pPr>
        <w:spacing w:after="0"/>
        <w:rPr>
          <w:b/>
          <w:szCs w:val="24"/>
        </w:rPr>
      </w:pPr>
      <w:r w:rsidRPr="00850074">
        <w:rPr>
          <w:b/>
          <w:szCs w:val="24"/>
        </w:rPr>
        <w:t xml:space="preserve">Adjuvants, produits de cure </w:t>
      </w:r>
      <w:r w:rsidRPr="00850074">
        <w:rPr>
          <w:szCs w:val="24"/>
        </w:rPr>
        <w:t xml:space="preserve"> </w:t>
      </w:r>
    </w:p>
    <w:p w14:paraId="665DCCE0" w14:textId="77777777" w:rsidR="0058524C" w:rsidRPr="00850074" w:rsidRDefault="0058524C" w:rsidP="0058524C">
      <w:pPr>
        <w:spacing w:after="0"/>
        <w:ind w:left="0" w:firstLine="0"/>
        <w:rPr>
          <w:szCs w:val="24"/>
        </w:rPr>
      </w:pPr>
      <w:r w:rsidRPr="00850074">
        <w:rPr>
          <w:szCs w:val="24"/>
        </w:rPr>
        <w:t>L'emploi d'adjuvants et de produits de cure dans la confection des bétons ne pourra se faire qu'avec l’agrément du Maître d’œuvre. Ils seront alors conformes à la norme NFP 18 103 et aux autres normes visées par cette dernière.</w:t>
      </w:r>
    </w:p>
    <w:p w14:paraId="37899D9E" w14:textId="77777777" w:rsidR="0058524C" w:rsidRPr="00850074" w:rsidRDefault="0058524C" w:rsidP="0058524C">
      <w:pPr>
        <w:spacing w:after="0"/>
        <w:rPr>
          <w:szCs w:val="24"/>
        </w:rPr>
      </w:pPr>
      <w:r w:rsidRPr="00850074">
        <w:rPr>
          <w:szCs w:val="24"/>
        </w:rPr>
        <w:t xml:space="preserve"> </w:t>
      </w:r>
    </w:p>
    <w:p w14:paraId="357093FC" w14:textId="77777777" w:rsidR="0058524C" w:rsidRPr="00850074" w:rsidRDefault="0058524C" w:rsidP="0058524C">
      <w:pPr>
        <w:spacing w:after="0"/>
        <w:rPr>
          <w:b/>
          <w:szCs w:val="24"/>
        </w:rPr>
      </w:pPr>
      <w:r w:rsidRPr="00850074">
        <w:rPr>
          <w:b/>
          <w:szCs w:val="24"/>
        </w:rPr>
        <w:t xml:space="preserve">5.5.5 Matériaux pour gabions et maçonnerie </w:t>
      </w:r>
    </w:p>
    <w:p w14:paraId="3AE9FF5E" w14:textId="77777777" w:rsidR="0058524C" w:rsidRPr="00850074" w:rsidRDefault="0058524C" w:rsidP="0058524C">
      <w:pPr>
        <w:spacing w:after="0"/>
        <w:rPr>
          <w:b/>
          <w:szCs w:val="24"/>
        </w:rPr>
      </w:pPr>
      <w:r w:rsidRPr="00850074">
        <w:rPr>
          <w:b/>
          <w:szCs w:val="24"/>
        </w:rPr>
        <w:t xml:space="preserve">Gabions </w:t>
      </w:r>
    </w:p>
    <w:p w14:paraId="3DF6844D" w14:textId="77777777" w:rsidR="0058524C" w:rsidRPr="00850074" w:rsidRDefault="0058524C" w:rsidP="0058524C">
      <w:pPr>
        <w:spacing w:after="0"/>
        <w:rPr>
          <w:szCs w:val="24"/>
        </w:rPr>
      </w:pPr>
      <w:r w:rsidRPr="00850074">
        <w:rPr>
          <w:szCs w:val="24"/>
        </w:rPr>
        <w:t xml:space="preserve">Les moellons de roches dures destinés au remplissage des cages de gabion, doivent être insensibles à l’eau, </w:t>
      </w:r>
      <w:proofErr w:type="gramStart"/>
      <w:r w:rsidRPr="00850074">
        <w:rPr>
          <w:szCs w:val="24"/>
        </w:rPr>
        <w:t>sains, non évolutifs, non gélifs, non friables</w:t>
      </w:r>
      <w:proofErr w:type="gramEnd"/>
      <w:r w:rsidRPr="00850074">
        <w:rPr>
          <w:szCs w:val="24"/>
        </w:rPr>
        <w:t xml:space="preserve">, et de préférence avec des angles arrondis pour ne pas détériorer le grillage. Ils proviennent d’une carrière de concassage ou du ramassage de moellons. Ces matériaux doivent être propres, et de forme tridimensionnelle homogène. Ils ne doivent pas passer au travers de l'anneau de diamètre 10 cm. Les moellons au contact des mailles ont une dimension dans tous les sens au moins égale à 1,5 fois l'ouverture des mailles, et un volume minimum de 3 dm³. </w:t>
      </w:r>
    </w:p>
    <w:p w14:paraId="353E5EEE" w14:textId="77777777" w:rsidR="0058524C" w:rsidRPr="00850074" w:rsidRDefault="0058524C" w:rsidP="0058524C">
      <w:pPr>
        <w:spacing w:after="0"/>
        <w:rPr>
          <w:szCs w:val="24"/>
        </w:rPr>
      </w:pPr>
      <w:r w:rsidRPr="00850074">
        <w:rPr>
          <w:szCs w:val="24"/>
        </w:rPr>
        <w:t xml:space="preserve"> </w:t>
      </w:r>
    </w:p>
    <w:p w14:paraId="34CCABF3" w14:textId="77777777" w:rsidR="0058524C" w:rsidRPr="00850074" w:rsidRDefault="0058524C" w:rsidP="0058524C">
      <w:pPr>
        <w:spacing w:after="0"/>
        <w:rPr>
          <w:szCs w:val="24"/>
        </w:rPr>
      </w:pPr>
      <w:r w:rsidRPr="00850074">
        <w:rPr>
          <w:szCs w:val="24"/>
        </w:rPr>
        <w:t xml:space="preserve">La granulométrie est comprise entre 100 et 250 mm, et ne peut en aucun cas dépasser 0,5 fois l’épaisseur du gabion lui-même. Les matériaux latéritiques conviennent si leur qualité convient (Los Angeles </w:t>
      </w:r>
      <w:r w:rsidRPr="00850074">
        <w:rPr>
          <w:szCs w:val="24"/>
        </w:rPr>
        <w:t xml:space="preserve"> 45) </w:t>
      </w:r>
    </w:p>
    <w:p w14:paraId="2AED5ACD" w14:textId="77777777" w:rsidR="0058524C" w:rsidRPr="00850074" w:rsidRDefault="0058524C" w:rsidP="0058524C">
      <w:pPr>
        <w:spacing w:after="0"/>
        <w:rPr>
          <w:szCs w:val="24"/>
        </w:rPr>
      </w:pPr>
      <w:r w:rsidRPr="00850074">
        <w:rPr>
          <w:szCs w:val="24"/>
        </w:rPr>
        <w:t xml:space="preserve"> </w:t>
      </w:r>
    </w:p>
    <w:p w14:paraId="6EC135EC" w14:textId="77777777" w:rsidR="0058524C" w:rsidRPr="00850074" w:rsidRDefault="0058524C" w:rsidP="0058524C">
      <w:pPr>
        <w:spacing w:after="0"/>
        <w:rPr>
          <w:b/>
          <w:szCs w:val="24"/>
        </w:rPr>
      </w:pPr>
      <w:r w:rsidRPr="00850074">
        <w:rPr>
          <w:b/>
          <w:szCs w:val="24"/>
        </w:rPr>
        <w:t xml:space="preserve">Maçonnerie de moellons </w:t>
      </w:r>
    </w:p>
    <w:p w14:paraId="053E9B92" w14:textId="77777777" w:rsidR="0058524C" w:rsidRPr="00850074" w:rsidRDefault="0058524C" w:rsidP="0058524C">
      <w:pPr>
        <w:spacing w:after="0"/>
        <w:rPr>
          <w:szCs w:val="24"/>
        </w:rPr>
      </w:pPr>
      <w:r w:rsidRPr="00850074">
        <w:rPr>
          <w:szCs w:val="24"/>
        </w:rPr>
        <w:t xml:space="preserve">Les moellons bruts, qui proviennent d’une carrière de concassage ou du ramassage de moellons, sont choisis compacts, sans fissuration, non sujets à s’écailler, sans fragilité, et à arêtes vives. </w:t>
      </w:r>
    </w:p>
    <w:p w14:paraId="4DE2D4D4" w14:textId="77777777" w:rsidR="0058524C" w:rsidRPr="00850074" w:rsidRDefault="0058524C" w:rsidP="0058524C">
      <w:pPr>
        <w:spacing w:after="0"/>
        <w:rPr>
          <w:szCs w:val="24"/>
        </w:rPr>
      </w:pPr>
      <w:r w:rsidRPr="00850074">
        <w:rPr>
          <w:szCs w:val="24"/>
        </w:rPr>
        <w:t xml:space="preserve">Ces moellons ont au minimum 0,30 m de queue, et une dimension minimale en parement de 0,20 m. Leur forme se rapproche le plus possible d'un parallélépipède.  </w:t>
      </w:r>
    </w:p>
    <w:p w14:paraId="120BA9FA" w14:textId="77777777" w:rsidR="0058524C" w:rsidRPr="00850074" w:rsidRDefault="0058524C" w:rsidP="0058524C">
      <w:pPr>
        <w:spacing w:after="0"/>
        <w:rPr>
          <w:szCs w:val="24"/>
        </w:rPr>
      </w:pPr>
      <w:r w:rsidRPr="00850074">
        <w:rPr>
          <w:szCs w:val="24"/>
        </w:rPr>
        <w:t xml:space="preserve">Les matériaux latéritiques conviennent si leur qualité convient (Los Angeles </w:t>
      </w:r>
      <w:r w:rsidRPr="00850074">
        <w:rPr>
          <w:szCs w:val="24"/>
        </w:rPr>
        <w:t xml:space="preserve"> 45). </w:t>
      </w:r>
    </w:p>
    <w:p w14:paraId="648490F1" w14:textId="77777777" w:rsidR="0058524C" w:rsidRPr="00850074" w:rsidRDefault="0058524C" w:rsidP="0058524C">
      <w:pPr>
        <w:spacing w:after="0"/>
        <w:rPr>
          <w:szCs w:val="24"/>
        </w:rPr>
      </w:pPr>
      <w:r w:rsidRPr="00850074">
        <w:rPr>
          <w:szCs w:val="24"/>
        </w:rPr>
        <w:t xml:space="preserve">Le mortier de jointoiement est du mortier M400 à quatre cents kilogrammes de ciment CPA 45 au mètre cube de sable.  </w:t>
      </w:r>
    </w:p>
    <w:p w14:paraId="4CB96570" w14:textId="77777777" w:rsidR="0058524C" w:rsidRPr="00850074" w:rsidRDefault="0058524C" w:rsidP="0058524C">
      <w:pPr>
        <w:spacing w:after="0"/>
        <w:rPr>
          <w:szCs w:val="24"/>
        </w:rPr>
      </w:pPr>
      <w:r w:rsidRPr="00850074">
        <w:rPr>
          <w:szCs w:val="24"/>
        </w:rPr>
        <w:t xml:space="preserve"> </w:t>
      </w:r>
    </w:p>
    <w:p w14:paraId="7F754523" w14:textId="77777777" w:rsidR="0058524C" w:rsidRPr="00850074" w:rsidRDefault="0058524C" w:rsidP="0058524C">
      <w:pPr>
        <w:spacing w:after="0"/>
        <w:rPr>
          <w:b/>
          <w:szCs w:val="24"/>
        </w:rPr>
      </w:pPr>
      <w:r w:rsidRPr="00850074">
        <w:rPr>
          <w:b/>
          <w:szCs w:val="24"/>
        </w:rPr>
        <w:t xml:space="preserve">Perrés maçonnés </w:t>
      </w:r>
    </w:p>
    <w:p w14:paraId="50EA4C8B" w14:textId="77777777" w:rsidR="0058524C" w:rsidRPr="00850074" w:rsidRDefault="0058524C" w:rsidP="0058524C">
      <w:pPr>
        <w:spacing w:after="0"/>
        <w:rPr>
          <w:szCs w:val="24"/>
        </w:rPr>
      </w:pPr>
      <w:r w:rsidRPr="00850074">
        <w:rPr>
          <w:szCs w:val="24"/>
        </w:rPr>
        <w:t xml:space="preserve">Les moellons bruts sont choisis compacts, sans fissuration, non sujets à s’écailler, sans fragilité, et à arêtes vives et seront disposés sur un lit de mortier de ciment de 8 cm d’épaisseur. Ces moellons ont au minimum 0,25 m de queue, et une dimension minimale en parement de 0,20 m. Leur forme se rapproche le plus possible d'un parallélépipède.  </w:t>
      </w:r>
    </w:p>
    <w:p w14:paraId="47876203" w14:textId="77777777" w:rsidR="0058524C" w:rsidRPr="00850074" w:rsidRDefault="0058524C" w:rsidP="0058524C">
      <w:pPr>
        <w:spacing w:after="0"/>
        <w:rPr>
          <w:szCs w:val="24"/>
        </w:rPr>
      </w:pPr>
      <w:r w:rsidRPr="00850074">
        <w:rPr>
          <w:szCs w:val="24"/>
        </w:rPr>
        <w:t xml:space="preserve">Le mortier de jointoiement est du mortier M400 à quatre cents kilogrammes de ciment CPA 45 au mètre cube de sable.  </w:t>
      </w:r>
    </w:p>
    <w:p w14:paraId="2FC7EE0C" w14:textId="77777777" w:rsidR="0058524C" w:rsidRPr="00850074" w:rsidRDefault="0058524C" w:rsidP="0058524C">
      <w:pPr>
        <w:spacing w:after="0"/>
        <w:rPr>
          <w:szCs w:val="24"/>
        </w:rPr>
      </w:pPr>
      <w:r w:rsidRPr="00850074">
        <w:rPr>
          <w:szCs w:val="24"/>
        </w:rPr>
        <w:t xml:space="preserve"> </w:t>
      </w:r>
    </w:p>
    <w:p w14:paraId="24041DD9" w14:textId="77777777" w:rsidR="0058524C" w:rsidRPr="00850074" w:rsidRDefault="0058524C" w:rsidP="0058524C">
      <w:pPr>
        <w:spacing w:after="0"/>
        <w:rPr>
          <w:szCs w:val="24"/>
        </w:rPr>
      </w:pPr>
    </w:p>
    <w:p w14:paraId="4CF9DF5B" w14:textId="77777777" w:rsidR="0058524C" w:rsidRPr="00850074" w:rsidRDefault="0058524C" w:rsidP="0058524C">
      <w:pPr>
        <w:spacing w:after="0"/>
        <w:rPr>
          <w:b/>
          <w:szCs w:val="24"/>
        </w:rPr>
      </w:pPr>
      <w:r w:rsidRPr="00850074">
        <w:rPr>
          <w:b/>
          <w:szCs w:val="24"/>
        </w:rPr>
        <w:t xml:space="preserve"> Matériaux pour la protection des ouvrages </w:t>
      </w:r>
    </w:p>
    <w:p w14:paraId="28FA7183" w14:textId="77777777" w:rsidR="0058524C" w:rsidRPr="00850074" w:rsidRDefault="0058524C" w:rsidP="0058524C">
      <w:pPr>
        <w:spacing w:after="0"/>
        <w:rPr>
          <w:szCs w:val="24"/>
        </w:rPr>
      </w:pPr>
      <w:r w:rsidRPr="00850074">
        <w:rPr>
          <w:szCs w:val="24"/>
        </w:rPr>
        <w:t xml:space="preserve">La protection des ouvrages est constituée par des perrés. Ces perrés de protection devront avoir une queue moyenne de 25 cm. Ils seront en roches dures ou en blocs de latérite extrait des carrières ou obtenus par ramassage. Ces perrés et enrochements devront avoir un coefficient Los Angeles </w:t>
      </w:r>
      <w:r w:rsidRPr="00850074">
        <w:rPr>
          <w:szCs w:val="24"/>
        </w:rPr>
        <w:t xml:space="preserve"> 45 et une densité supérieure à 2,8 s'il s'agit de blocs de latérite. </w:t>
      </w:r>
    </w:p>
    <w:p w14:paraId="2AE1850F" w14:textId="77777777" w:rsidR="0058524C" w:rsidRPr="00850074" w:rsidRDefault="0058524C" w:rsidP="0058524C">
      <w:pPr>
        <w:spacing w:after="0"/>
        <w:rPr>
          <w:szCs w:val="24"/>
        </w:rPr>
      </w:pPr>
      <w:r w:rsidRPr="00850074">
        <w:rPr>
          <w:szCs w:val="24"/>
        </w:rPr>
        <w:t xml:space="preserve">La tolérance sur la queue des perrés des talus des digues sera de + ou – 5 cm. Leur plus petite dimension ne pourra être inférieure à 10 cm. L'Entrepreneur devra s'efforcer de sélectionner les éléments anguleux pouvant facilement s'imbriquer les uns dans les autres. </w:t>
      </w:r>
    </w:p>
    <w:p w14:paraId="28BA5B74" w14:textId="77777777" w:rsidR="0058524C" w:rsidRPr="00850074" w:rsidRDefault="0058524C" w:rsidP="0058524C">
      <w:pPr>
        <w:spacing w:after="0"/>
        <w:rPr>
          <w:b/>
          <w:szCs w:val="24"/>
        </w:rPr>
      </w:pPr>
    </w:p>
    <w:p w14:paraId="1053442A" w14:textId="77777777" w:rsidR="0058524C" w:rsidRPr="00850074" w:rsidRDefault="0058524C" w:rsidP="0058524C">
      <w:pPr>
        <w:spacing w:after="0"/>
        <w:rPr>
          <w:b/>
          <w:szCs w:val="24"/>
        </w:rPr>
      </w:pPr>
      <w:r w:rsidRPr="00850074">
        <w:rPr>
          <w:b/>
          <w:szCs w:val="24"/>
        </w:rPr>
        <w:t xml:space="preserve">Cages métalliques pour gabions </w:t>
      </w:r>
    </w:p>
    <w:p w14:paraId="656ABC9F" w14:textId="77777777" w:rsidR="0058524C" w:rsidRPr="00850074" w:rsidRDefault="0058524C" w:rsidP="0058524C">
      <w:pPr>
        <w:spacing w:after="0"/>
        <w:rPr>
          <w:szCs w:val="24"/>
        </w:rPr>
      </w:pPr>
      <w:r w:rsidRPr="00850074">
        <w:rPr>
          <w:szCs w:val="24"/>
        </w:rPr>
        <w:t xml:space="preserve">Les cages métalliques pour gabions sont réalisées en grillage double torsion à maille hexagonale standard 80 mm x 100 </w:t>
      </w:r>
      <w:proofErr w:type="spellStart"/>
      <w:r w:rsidRPr="00850074">
        <w:rPr>
          <w:szCs w:val="24"/>
        </w:rPr>
        <w:t>mm.</w:t>
      </w:r>
      <w:proofErr w:type="spellEnd"/>
      <w:r w:rsidRPr="00850074">
        <w:rPr>
          <w:szCs w:val="24"/>
        </w:rPr>
        <w:t xml:space="preserve"> Le fil d’acier nécessaire à la confection des cages est du fil d’acier galvanisé ø3 mm (tolérance plus ou moins 2 % conforme au fil n° 17 de la Jauge de Paris). </w:t>
      </w:r>
    </w:p>
    <w:p w14:paraId="4AD316E6" w14:textId="77777777" w:rsidR="0058524C" w:rsidRPr="00850074" w:rsidRDefault="0058524C" w:rsidP="0058524C">
      <w:pPr>
        <w:spacing w:after="0"/>
        <w:rPr>
          <w:szCs w:val="24"/>
        </w:rPr>
      </w:pPr>
      <w:r w:rsidRPr="00850074">
        <w:rPr>
          <w:szCs w:val="24"/>
        </w:rPr>
        <w:t xml:space="preserve">Le fil en acier galvanisé comporte un revêtement de type </w:t>
      </w:r>
      <w:proofErr w:type="spellStart"/>
      <w:r w:rsidRPr="00850074">
        <w:rPr>
          <w:szCs w:val="24"/>
        </w:rPr>
        <w:t>galfan</w:t>
      </w:r>
      <w:proofErr w:type="spellEnd"/>
      <w:r w:rsidRPr="00850074">
        <w:rPr>
          <w:szCs w:val="24"/>
        </w:rPr>
        <w:t xml:space="preserve"> (alliage de zinc et d’aluminium). </w:t>
      </w:r>
    </w:p>
    <w:p w14:paraId="1F22480E" w14:textId="77777777" w:rsidR="0058524C" w:rsidRPr="00850074" w:rsidRDefault="0058524C" w:rsidP="0058524C">
      <w:pPr>
        <w:spacing w:after="0"/>
        <w:rPr>
          <w:szCs w:val="24"/>
        </w:rPr>
      </w:pPr>
      <w:r w:rsidRPr="00850074">
        <w:rPr>
          <w:szCs w:val="24"/>
        </w:rPr>
        <w:t xml:space="preserve">Les gabions sont constitués par des cages en grillages galvanisés ayant la forme de parallélépipède rectangle, sauf formes particulières. Les hauteurs sont de 1 m, sauf pour les gabions semelles où elles sont de 0,50 m. Les largeurs sont de 1 m, et les longueurs de 2 m sauf cas exceptionnel. </w:t>
      </w:r>
    </w:p>
    <w:p w14:paraId="0132F40B" w14:textId="77777777" w:rsidR="0058524C" w:rsidRPr="00850074" w:rsidRDefault="0058524C" w:rsidP="0058524C">
      <w:pPr>
        <w:spacing w:after="0"/>
        <w:rPr>
          <w:szCs w:val="24"/>
        </w:rPr>
      </w:pPr>
      <w:r w:rsidRPr="00850074">
        <w:rPr>
          <w:szCs w:val="24"/>
        </w:rPr>
        <w:t xml:space="preserve">Le tableau ci-dessous donne le poids approximatif de différents gabions pour des fils n° 17 J.P. maille double torsion. </w:t>
      </w:r>
    </w:p>
    <w:p w14:paraId="1AC8EAE4" w14:textId="77777777" w:rsidR="0058524C" w:rsidRPr="00850074" w:rsidRDefault="0058524C" w:rsidP="0058524C">
      <w:pPr>
        <w:spacing w:after="0"/>
        <w:rPr>
          <w:szCs w:val="24"/>
        </w:rPr>
      </w:pPr>
      <w:r w:rsidRPr="00850074">
        <w:rPr>
          <w:szCs w:val="24"/>
        </w:rPr>
        <w:t xml:space="preserve">Poids - Gabions métalliques avec diaphragme - maille double torsion ø3 mm </w:t>
      </w:r>
    </w:p>
    <w:p w14:paraId="28E7FCB4" w14:textId="77777777" w:rsidR="0058524C" w:rsidRPr="00850074" w:rsidRDefault="0058524C" w:rsidP="0058524C">
      <w:pPr>
        <w:spacing w:after="0"/>
        <w:rPr>
          <w:szCs w:val="24"/>
        </w:rPr>
      </w:pPr>
    </w:p>
    <w:tbl>
      <w:tblPr>
        <w:tblW w:w="0" w:type="auto"/>
        <w:jc w:val="center"/>
        <w:tblLook w:val="04A0" w:firstRow="1" w:lastRow="0" w:firstColumn="1" w:lastColumn="0" w:noHBand="0" w:noVBand="1"/>
      </w:tblPr>
      <w:tblGrid>
        <w:gridCol w:w="1668"/>
        <w:gridCol w:w="2409"/>
        <w:gridCol w:w="2687"/>
      </w:tblGrid>
      <w:tr w:rsidR="0058524C" w:rsidRPr="00850074" w14:paraId="3976E0F4" w14:textId="77777777" w:rsidTr="002240A9">
        <w:trPr>
          <w:trHeight w:val="606"/>
          <w:jc w:val="center"/>
        </w:trPr>
        <w:tc>
          <w:tcPr>
            <w:tcW w:w="1668" w:type="dxa"/>
          </w:tcPr>
          <w:p w14:paraId="66D65C7E" w14:textId="77777777" w:rsidR="0058524C" w:rsidRPr="00850074" w:rsidRDefault="0058524C" w:rsidP="002240A9">
            <w:pPr>
              <w:spacing w:after="0"/>
              <w:ind w:left="578" w:hanging="578"/>
              <w:rPr>
                <w:szCs w:val="24"/>
              </w:rPr>
            </w:pPr>
            <w:r w:rsidRPr="00850074">
              <w:rPr>
                <w:szCs w:val="24"/>
              </w:rPr>
              <w:t>Dimension</w:t>
            </w:r>
          </w:p>
        </w:tc>
        <w:tc>
          <w:tcPr>
            <w:tcW w:w="2409" w:type="dxa"/>
          </w:tcPr>
          <w:p w14:paraId="48A740D3" w14:textId="77777777" w:rsidR="0058524C" w:rsidRPr="00850074" w:rsidRDefault="0058524C" w:rsidP="002240A9">
            <w:pPr>
              <w:spacing w:after="0"/>
              <w:ind w:left="578" w:hanging="578"/>
              <w:rPr>
                <w:szCs w:val="24"/>
              </w:rPr>
            </w:pPr>
            <w:r w:rsidRPr="00850074">
              <w:rPr>
                <w:szCs w:val="24"/>
              </w:rPr>
              <w:t>Volume en m</w:t>
            </w:r>
            <w:r w:rsidRPr="00850074">
              <w:rPr>
                <w:szCs w:val="24"/>
                <w:vertAlign w:val="superscript"/>
              </w:rPr>
              <w:t>3</w:t>
            </w:r>
          </w:p>
        </w:tc>
        <w:tc>
          <w:tcPr>
            <w:tcW w:w="2687" w:type="dxa"/>
          </w:tcPr>
          <w:p w14:paraId="536EC827" w14:textId="77777777" w:rsidR="0058524C" w:rsidRPr="00850074" w:rsidRDefault="0058524C" w:rsidP="002240A9">
            <w:pPr>
              <w:spacing w:after="0"/>
              <w:ind w:left="578" w:hanging="578"/>
              <w:rPr>
                <w:szCs w:val="24"/>
              </w:rPr>
            </w:pPr>
            <w:r w:rsidRPr="00850074">
              <w:rPr>
                <w:szCs w:val="24"/>
              </w:rPr>
              <w:t>Poids unitaire en kg</w:t>
            </w:r>
          </w:p>
          <w:p w14:paraId="5C01506A" w14:textId="77777777" w:rsidR="0058524C" w:rsidRPr="00850074" w:rsidRDefault="0058524C" w:rsidP="002240A9">
            <w:pPr>
              <w:spacing w:after="0"/>
              <w:ind w:left="578" w:hanging="578"/>
              <w:rPr>
                <w:szCs w:val="24"/>
              </w:rPr>
            </w:pPr>
            <w:r w:rsidRPr="00850074">
              <w:rPr>
                <w:szCs w:val="24"/>
              </w:rPr>
              <w:t>(maille 80x100)</w:t>
            </w:r>
          </w:p>
        </w:tc>
      </w:tr>
      <w:tr w:rsidR="0058524C" w:rsidRPr="00850074" w14:paraId="04F04CD6" w14:textId="77777777" w:rsidTr="002240A9">
        <w:trPr>
          <w:jc w:val="center"/>
        </w:trPr>
        <w:tc>
          <w:tcPr>
            <w:tcW w:w="1668" w:type="dxa"/>
          </w:tcPr>
          <w:p w14:paraId="20A0C071" w14:textId="77777777" w:rsidR="0058524C" w:rsidRPr="00850074" w:rsidRDefault="0058524C" w:rsidP="002240A9">
            <w:pPr>
              <w:spacing w:after="0"/>
              <w:ind w:left="578" w:hanging="578"/>
              <w:rPr>
                <w:szCs w:val="24"/>
              </w:rPr>
            </w:pPr>
            <w:r w:rsidRPr="00850074">
              <w:rPr>
                <w:szCs w:val="24"/>
              </w:rPr>
              <w:t>2x1x0.5</w:t>
            </w:r>
          </w:p>
        </w:tc>
        <w:tc>
          <w:tcPr>
            <w:tcW w:w="2409" w:type="dxa"/>
          </w:tcPr>
          <w:p w14:paraId="520373AF" w14:textId="77777777" w:rsidR="0058524C" w:rsidRPr="00850074" w:rsidRDefault="0058524C" w:rsidP="002240A9">
            <w:pPr>
              <w:spacing w:after="0"/>
              <w:ind w:left="578" w:hanging="578"/>
              <w:rPr>
                <w:szCs w:val="24"/>
              </w:rPr>
            </w:pPr>
            <w:r w:rsidRPr="00850074">
              <w:rPr>
                <w:szCs w:val="24"/>
              </w:rPr>
              <w:t>1</w:t>
            </w:r>
          </w:p>
        </w:tc>
        <w:tc>
          <w:tcPr>
            <w:tcW w:w="2687" w:type="dxa"/>
          </w:tcPr>
          <w:p w14:paraId="6979E919" w14:textId="77777777" w:rsidR="0058524C" w:rsidRPr="00850074" w:rsidRDefault="0058524C" w:rsidP="002240A9">
            <w:pPr>
              <w:spacing w:after="0"/>
              <w:ind w:left="578" w:hanging="578"/>
              <w:rPr>
                <w:szCs w:val="24"/>
              </w:rPr>
            </w:pPr>
            <w:r w:rsidRPr="00850074">
              <w:rPr>
                <w:szCs w:val="24"/>
              </w:rPr>
              <w:t>15</w:t>
            </w:r>
          </w:p>
        </w:tc>
      </w:tr>
      <w:tr w:rsidR="0058524C" w:rsidRPr="00850074" w14:paraId="4BE83ACD" w14:textId="77777777" w:rsidTr="002240A9">
        <w:trPr>
          <w:jc w:val="center"/>
        </w:trPr>
        <w:tc>
          <w:tcPr>
            <w:tcW w:w="1668" w:type="dxa"/>
          </w:tcPr>
          <w:p w14:paraId="11C05EAC" w14:textId="77777777" w:rsidR="0058524C" w:rsidRPr="00850074" w:rsidRDefault="0058524C" w:rsidP="002240A9">
            <w:pPr>
              <w:spacing w:after="0"/>
              <w:ind w:left="578" w:hanging="578"/>
              <w:rPr>
                <w:szCs w:val="24"/>
              </w:rPr>
            </w:pPr>
            <w:r w:rsidRPr="00850074">
              <w:rPr>
                <w:szCs w:val="24"/>
              </w:rPr>
              <w:t>3x1x0.5</w:t>
            </w:r>
          </w:p>
        </w:tc>
        <w:tc>
          <w:tcPr>
            <w:tcW w:w="2409" w:type="dxa"/>
          </w:tcPr>
          <w:p w14:paraId="1BFCB76A" w14:textId="77777777" w:rsidR="0058524C" w:rsidRPr="00850074" w:rsidRDefault="0058524C" w:rsidP="002240A9">
            <w:pPr>
              <w:spacing w:after="0"/>
              <w:ind w:left="578" w:hanging="578"/>
              <w:rPr>
                <w:szCs w:val="24"/>
              </w:rPr>
            </w:pPr>
            <w:r w:rsidRPr="00850074">
              <w:rPr>
                <w:szCs w:val="24"/>
              </w:rPr>
              <w:t>1.5</w:t>
            </w:r>
          </w:p>
        </w:tc>
        <w:tc>
          <w:tcPr>
            <w:tcW w:w="2687" w:type="dxa"/>
          </w:tcPr>
          <w:p w14:paraId="4915298F" w14:textId="77777777" w:rsidR="0058524C" w:rsidRPr="00850074" w:rsidRDefault="0058524C" w:rsidP="002240A9">
            <w:pPr>
              <w:spacing w:after="0"/>
              <w:ind w:left="578" w:hanging="578"/>
              <w:rPr>
                <w:szCs w:val="24"/>
              </w:rPr>
            </w:pPr>
            <w:r w:rsidRPr="00850074">
              <w:rPr>
                <w:szCs w:val="24"/>
              </w:rPr>
              <w:t>21.5</w:t>
            </w:r>
          </w:p>
        </w:tc>
      </w:tr>
      <w:tr w:rsidR="0058524C" w:rsidRPr="00850074" w14:paraId="48A3779D" w14:textId="77777777" w:rsidTr="002240A9">
        <w:trPr>
          <w:jc w:val="center"/>
        </w:trPr>
        <w:tc>
          <w:tcPr>
            <w:tcW w:w="1668" w:type="dxa"/>
          </w:tcPr>
          <w:p w14:paraId="27249ADF" w14:textId="77777777" w:rsidR="0058524C" w:rsidRPr="00850074" w:rsidRDefault="0058524C" w:rsidP="002240A9">
            <w:pPr>
              <w:spacing w:after="0"/>
              <w:ind w:left="578" w:hanging="578"/>
              <w:rPr>
                <w:szCs w:val="24"/>
              </w:rPr>
            </w:pPr>
            <w:r w:rsidRPr="00850074">
              <w:rPr>
                <w:szCs w:val="24"/>
              </w:rPr>
              <w:t>4x1x0.5</w:t>
            </w:r>
          </w:p>
        </w:tc>
        <w:tc>
          <w:tcPr>
            <w:tcW w:w="2409" w:type="dxa"/>
          </w:tcPr>
          <w:p w14:paraId="42563308" w14:textId="77777777" w:rsidR="0058524C" w:rsidRPr="00850074" w:rsidRDefault="0058524C" w:rsidP="002240A9">
            <w:pPr>
              <w:spacing w:after="0"/>
              <w:ind w:left="578" w:hanging="578"/>
              <w:rPr>
                <w:szCs w:val="24"/>
              </w:rPr>
            </w:pPr>
            <w:r w:rsidRPr="00850074">
              <w:rPr>
                <w:szCs w:val="24"/>
              </w:rPr>
              <w:t>2</w:t>
            </w:r>
          </w:p>
        </w:tc>
        <w:tc>
          <w:tcPr>
            <w:tcW w:w="2687" w:type="dxa"/>
          </w:tcPr>
          <w:p w14:paraId="7FF08176" w14:textId="77777777" w:rsidR="0058524C" w:rsidRPr="00850074" w:rsidRDefault="0058524C" w:rsidP="002240A9">
            <w:pPr>
              <w:spacing w:after="0"/>
              <w:ind w:left="578" w:hanging="578"/>
              <w:rPr>
                <w:szCs w:val="24"/>
              </w:rPr>
            </w:pPr>
            <w:r w:rsidRPr="00850074">
              <w:rPr>
                <w:szCs w:val="24"/>
              </w:rPr>
              <w:t>28</w:t>
            </w:r>
          </w:p>
        </w:tc>
      </w:tr>
      <w:tr w:rsidR="0058524C" w:rsidRPr="00850074" w14:paraId="6B87DC0F" w14:textId="77777777" w:rsidTr="002240A9">
        <w:trPr>
          <w:jc w:val="center"/>
        </w:trPr>
        <w:tc>
          <w:tcPr>
            <w:tcW w:w="1668" w:type="dxa"/>
          </w:tcPr>
          <w:p w14:paraId="4230A3AB" w14:textId="77777777" w:rsidR="0058524C" w:rsidRPr="00850074" w:rsidRDefault="0058524C" w:rsidP="002240A9">
            <w:pPr>
              <w:spacing w:after="0"/>
              <w:ind w:left="578" w:hanging="578"/>
              <w:rPr>
                <w:szCs w:val="24"/>
              </w:rPr>
            </w:pPr>
            <w:r w:rsidRPr="00850074">
              <w:rPr>
                <w:szCs w:val="24"/>
              </w:rPr>
              <w:t>2x1x1</w:t>
            </w:r>
          </w:p>
        </w:tc>
        <w:tc>
          <w:tcPr>
            <w:tcW w:w="2409" w:type="dxa"/>
          </w:tcPr>
          <w:p w14:paraId="5F03A498" w14:textId="77777777" w:rsidR="0058524C" w:rsidRPr="00850074" w:rsidRDefault="0058524C" w:rsidP="002240A9">
            <w:pPr>
              <w:spacing w:after="0"/>
              <w:ind w:left="578" w:hanging="578"/>
              <w:rPr>
                <w:szCs w:val="24"/>
              </w:rPr>
            </w:pPr>
            <w:r w:rsidRPr="00850074">
              <w:rPr>
                <w:szCs w:val="24"/>
              </w:rPr>
              <w:t>2</w:t>
            </w:r>
          </w:p>
        </w:tc>
        <w:tc>
          <w:tcPr>
            <w:tcW w:w="2687" w:type="dxa"/>
          </w:tcPr>
          <w:p w14:paraId="29CE5461" w14:textId="77777777" w:rsidR="0058524C" w:rsidRPr="00850074" w:rsidRDefault="0058524C" w:rsidP="002240A9">
            <w:pPr>
              <w:spacing w:after="0"/>
              <w:ind w:left="578" w:hanging="578"/>
              <w:rPr>
                <w:szCs w:val="24"/>
              </w:rPr>
            </w:pPr>
            <w:r w:rsidRPr="00850074">
              <w:rPr>
                <w:szCs w:val="24"/>
              </w:rPr>
              <w:t>21</w:t>
            </w:r>
          </w:p>
        </w:tc>
      </w:tr>
    </w:tbl>
    <w:p w14:paraId="56122EF3" w14:textId="77777777" w:rsidR="0058524C" w:rsidRPr="00850074" w:rsidRDefault="0058524C" w:rsidP="0058524C">
      <w:pPr>
        <w:spacing w:after="0"/>
        <w:rPr>
          <w:szCs w:val="24"/>
        </w:rPr>
      </w:pPr>
    </w:p>
    <w:p w14:paraId="129FF1BA" w14:textId="77777777" w:rsidR="0058524C" w:rsidRPr="00850074" w:rsidRDefault="0058524C" w:rsidP="0058524C">
      <w:pPr>
        <w:spacing w:after="0"/>
        <w:rPr>
          <w:szCs w:val="24"/>
        </w:rPr>
      </w:pPr>
      <w:r w:rsidRPr="00850074">
        <w:rPr>
          <w:szCs w:val="24"/>
        </w:rPr>
        <w:t xml:space="preserve">Le fil pour ligatures et tirants doit être de diamètre 2,4 mm et de même qualité que le fil constituant les gabions. Le poids de ce fil est évalué par gabion à 5 % du poids de celui-ci. </w:t>
      </w:r>
    </w:p>
    <w:p w14:paraId="1D09310F" w14:textId="77777777" w:rsidR="0058524C" w:rsidRPr="00850074" w:rsidRDefault="0058524C" w:rsidP="0058524C">
      <w:pPr>
        <w:spacing w:after="0"/>
        <w:rPr>
          <w:szCs w:val="24"/>
        </w:rPr>
      </w:pPr>
      <w:r w:rsidRPr="00850074">
        <w:rPr>
          <w:szCs w:val="24"/>
        </w:rPr>
        <w:t xml:space="preserve">Tous les bords du grillage sont renforcés par des fils galvanisés de diamètre 3,9 mm pour augmenter la résistance. </w:t>
      </w:r>
    </w:p>
    <w:p w14:paraId="04ABC0AE" w14:textId="77777777" w:rsidR="0058524C" w:rsidRPr="00850074" w:rsidRDefault="0058524C" w:rsidP="0058524C">
      <w:pPr>
        <w:spacing w:after="0"/>
        <w:rPr>
          <w:szCs w:val="24"/>
        </w:rPr>
      </w:pPr>
      <w:r w:rsidRPr="00850074">
        <w:rPr>
          <w:szCs w:val="24"/>
        </w:rPr>
        <w:t xml:space="preserve">Le fil de fer entrant dans la fabrication des gabions ou fourni en vue de la confection des ligatures et tirants est à galvanisation très riche sur recuit tel que défini dans la norme NF A 55-101. La galvanisation est au minimum de 275 g/m2. L'adhérence du zinc doit résister à l'enroulement de dix spires autour d'un mandrin cylindrique de diamètre égal à quatre fois celui du fil. Tout le fil employé a une résistance à la traction de 380 à 500 </w:t>
      </w:r>
      <w:proofErr w:type="spellStart"/>
      <w:r w:rsidRPr="00850074">
        <w:rPr>
          <w:szCs w:val="24"/>
        </w:rPr>
        <w:t>MPa</w:t>
      </w:r>
      <w:proofErr w:type="spellEnd"/>
      <w:r w:rsidRPr="00850074">
        <w:rPr>
          <w:szCs w:val="24"/>
        </w:rPr>
        <w:t xml:space="preserve"> ; la mesure étant faite avant le tissage. </w:t>
      </w:r>
    </w:p>
    <w:p w14:paraId="4C0B777A" w14:textId="77777777" w:rsidR="0058524C" w:rsidRPr="00850074" w:rsidRDefault="0058524C" w:rsidP="0058524C">
      <w:pPr>
        <w:spacing w:after="0"/>
        <w:rPr>
          <w:szCs w:val="24"/>
        </w:rPr>
      </w:pPr>
      <w:r w:rsidRPr="00850074">
        <w:rPr>
          <w:szCs w:val="24"/>
        </w:rPr>
        <w:t xml:space="preserve">En vue de la réception des gabions, il est procédé sur cinq gabions pris dans chaque lot de 100 à 200 gabions aux vérifications suivantes : </w:t>
      </w:r>
      <w:r w:rsidRPr="00850074">
        <w:rPr>
          <w:szCs w:val="24"/>
        </w:rPr>
        <w:t xml:space="preserve"> dimensions et poids des gabions, </w:t>
      </w:r>
      <w:r w:rsidRPr="00850074">
        <w:rPr>
          <w:szCs w:val="24"/>
        </w:rPr>
        <w:t xml:space="preserve"> diamètre du fil, </w:t>
      </w:r>
      <w:r w:rsidRPr="00850074">
        <w:rPr>
          <w:szCs w:val="24"/>
        </w:rPr>
        <w:t xml:space="preserve"> dimension des mailles, </w:t>
      </w:r>
      <w:r w:rsidRPr="00850074">
        <w:rPr>
          <w:szCs w:val="24"/>
        </w:rPr>
        <w:t xml:space="preserve"> qualité des fils.  Géotextile  </w:t>
      </w:r>
    </w:p>
    <w:p w14:paraId="6EF359DC" w14:textId="77777777" w:rsidR="0058524C" w:rsidRPr="00850074" w:rsidRDefault="0058524C" w:rsidP="0058524C">
      <w:pPr>
        <w:spacing w:after="0"/>
        <w:rPr>
          <w:szCs w:val="24"/>
        </w:rPr>
      </w:pPr>
      <w:r w:rsidRPr="00850074">
        <w:rPr>
          <w:szCs w:val="24"/>
        </w:rPr>
        <w:t>Le géotextile utilisé pour la confection des couches anti-</w:t>
      </w:r>
      <w:proofErr w:type="spellStart"/>
      <w:r w:rsidRPr="00850074">
        <w:rPr>
          <w:szCs w:val="24"/>
        </w:rPr>
        <w:t>contaminantes</w:t>
      </w:r>
      <w:proofErr w:type="spellEnd"/>
      <w:r w:rsidRPr="00850074">
        <w:rPr>
          <w:szCs w:val="24"/>
        </w:rPr>
        <w:t xml:space="preserve"> est un matériau non tissé, répondant aux spécifications de la norme NF G 98-050 et ayant la spécification ASQUAL. Il aura les valeurs nominales minimales indiquées ci-après  </w:t>
      </w:r>
    </w:p>
    <w:p w14:paraId="08CB4543" w14:textId="77777777" w:rsidR="0058524C" w:rsidRPr="00850074" w:rsidRDefault="0058524C" w:rsidP="0058524C">
      <w:pPr>
        <w:spacing w:after="0"/>
        <w:rPr>
          <w:szCs w:val="24"/>
        </w:rPr>
      </w:pPr>
      <w:r w:rsidRPr="00850074">
        <w:rPr>
          <w:szCs w:val="24"/>
        </w:rPr>
        <w:t xml:space="preserve">Son épaisseur (selon NF G 98-107 ; EN 964-1) est au moins égale à 1,5 mm et sa masse surfacique (NF G 38-108/EN 965) est supérieure ou égale à 330 g/m2. </w:t>
      </w:r>
    </w:p>
    <w:p w14:paraId="792CC406" w14:textId="77777777" w:rsidR="0058524C" w:rsidRPr="00850074" w:rsidRDefault="0058524C" w:rsidP="0058524C">
      <w:pPr>
        <w:spacing w:after="0"/>
        <w:rPr>
          <w:szCs w:val="24"/>
        </w:rPr>
      </w:pPr>
      <w:r w:rsidRPr="00850074">
        <w:rPr>
          <w:szCs w:val="24"/>
        </w:rPr>
        <w:t xml:space="preserve">Il doit répondre aux spécifications suivantes : </w:t>
      </w:r>
      <w:r w:rsidRPr="00850074">
        <w:rPr>
          <w:szCs w:val="24"/>
        </w:rPr>
        <w:t xml:space="preserve"> Résistance à la traction dans les deux sens (selon NF G 38 129/EN ISO 10319) : supérieure ou égale à 25 ; </w:t>
      </w:r>
      <w:r w:rsidRPr="00850074">
        <w:rPr>
          <w:szCs w:val="24"/>
        </w:rPr>
        <w:t xml:space="preserve"> Déformation à l’effort de traction maximale dans les deux sens (NF EN ISO 10319 : inférieure ou égale à 30% ; </w:t>
      </w:r>
      <w:r w:rsidRPr="00850074">
        <w:rPr>
          <w:szCs w:val="24"/>
        </w:rPr>
        <w:t xml:space="preserve"> Permittivité (selon NF G 38 016) valeur de référence égale à 1,3 ; </w:t>
      </w:r>
      <w:r w:rsidRPr="00850074">
        <w:rPr>
          <w:szCs w:val="24"/>
        </w:rPr>
        <w:t xml:space="preserve"> Ouverture de filtration caractéristique en microns (selon NF G 38 141/EN ISO 12956) : valeur nominale égale à 65. </w:t>
      </w:r>
    </w:p>
    <w:p w14:paraId="45690C38" w14:textId="77777777" w:rsidR="0058524C" w:rsidRPr="00850074" w:rsidRDefault="0058524C" w:rsidP="0058524C">
      <w:pPr>
        <w:spacing w:after="0"/>
        <w:rPr>
          <w:szCs w:val="24"/>
        </w:rPr>
      </w:pPr>
      <w:r w:rsidRPr="00850074">
        <w:rPr>
          <w:szCs w:val="24"/>
        </w:rPr>
        <w:t xml:space="preserve">L’Entrepreneur soumet en temps opportun à l’agrément de l’Ingénieur la marque et la type du géotextile qu’il compte utiliser ; accompagné des références et des attestations de conformité aux normes.  </w:t>
      </w:r>
    </w:p>
    <w:p w14:paraId="6A06ABDD" w14:textId="77777777" w:rsidR="0058524C" w:rsidRPr="00850074" w:rsidRDefault="0058524C" w:rsidP="0058524C">
      <w:pPr>
        <w:spacing w:after="0"/>
        <w:rPr>
          <w:szCs w:val="24"/>
        </w:rPr>
      </w:pPr>
    </w:p>
    <w:p w14:paraId="1CFC303A" w14:textId="77777777" w:rsidR="0058524C" w:rsidRPr="00850074" w:rsidRDefault="0058524C" w:rsidP="0058524C">
      <w:pPr>
        <w:spacing w:after="0"/>
        <w:rPr>
          <w:b/>
          <w:szCs w:val="24"/>
        </w:rPr>
      </w:pPr>
      <w:r w:rsidRPr="00850074">
        <w:rPr>
          <w:b/>
          <w:szCs w:val="24"/>
        </w:rPr>
        <w:t xml:space="preserve">Enrochements </w:t>
      </w:r>
    </w:p>
    <w:p w14:paraId="11D2ECFA" w14:textId="77777777" w:rsidR="0058524C" w:rsidRPr="00850074" w:rsidRDefault="0058524C" w:rsidP="0058524C">
      <w:pPr>
        <w:spacing w:after="0"/>
        <w:rPr>
          <w:szCs w:val="24"/>
        </w:rPr>
      </w:pPr>
      <w:r w:rsidRPr="00850074">
        <w:rPr>
          <w:szCs w:val="24"/>
        </w:rPr>
        <w:t xml:space="preserve">Les enrochements pour protection sont issus de carrière de roche saine ou obtenus par ramassage (blocs latéritiques). Ils devront être tels que le coefficient Los Angeles </w:t>
      </w:r>
      <w:r w:rsidRPr="00850074">
        <w:rPr>
          <w:szCs w:val="24"/>
        </w:rPr>
        <w:t xml:space="preserve"> 45 et de dimension supérieure à 300 </w:t>
      </w:r>
      <w:proofErr w:type="spellStart"/>
      <w:r w:rsidRPr="00850074">
        <w:rPr>
          <w:szCs w:val="24"/>
        </w:rPr>
        <w:t>mm.</w:t>
      </w:r>
      <w:proofErr w:type="spellEnd"/>
      <w:r w:rsidRPr="00850074">
        <w:rPr>
          <w:szCs w:val="24"/>
        </w:rPr>
        <w:t xml:space="preserve"> </w:t>
      </w:r>
    </w:p>
    <w:p w14:paraId="63D9E65E" w14:textId="77777777" w:rsidR="0058524C" w:rsidRPr="00850074" w:rsidRDefault="0058524C" w:rsidP="0058524C">
      <w:pPr>
        <w:spacing w:after="0"/>
        <w:rPr>
          <w:szCs w:val="24"/>
        </w:rPr>
      </w:pPr>
      <w:r w:rsidRPr="00850074">
        <w:rPr>
          <w:szCs w:val="24"/>
        </w:rPr>
        <w:t xml:space="preserve"> </w:t>
      </w:r>
    </w:p>
    <w:p w14:paraId="3967A327" w14:textId="77777777" w:rsidR="0058524C" w:rsidRPr="00850074" w:rsidRDefault="0058524C" w:rsidP="0058524C">
      <w:pPr>
        <w:spacing w:after="0"/>
        <w:rPr>
          <w:b/>
          <w:szCs w:val="24"/>
        </w:rPr>
      </w:pPr>
      <w:r w:rsidRPr="00850074">
        <w:rPr>
          <w:b/>
          <w:szCs w:val="24"/>
        </w:rPr>
        <w:t xml:space="preserve">Matériaux pour filtres et drains </w:t>
      </w:r>
    </w:p>
    <w:p w14:paraId="57EAE46F" w14:textId="77777777" w:rsidR="0058524C" w:rsidRPr="00850074" w:rsidRDefault="0058524C" w:rsidP="0058524C">
      <w:pPr>
        <w:spacing w:after="0"/>
        <w:rPr>
          <w:szCs w:val="24"/>
        </w:rPr>
      </w:pPr>
      <w:r w:rsidRPr="00850074">
        <w:rPr>
          <w:szCs w:val="24"/>
        </w:rPr>
        <w:t xml:space="preserve">Les matériaux pour filtres et drains sont constitués de matériaux granulaires, propres et soigneusement lavés si nécessaire. Ils proviendront de carrières agréées par l'Ingénieur ou encore de ramassage superficiel. Les carrières exploitables pourront être constituées par des sables naturels (avec si nécessaire lavage et criblage) ou des matériaux rocheux (concassés, lavés et criblés). </w:t>
      </w:r>
    </w:p>
    <w:p w14:paraId="694A6B49" w14:textId="77777777" w:rsidR="0058524C" w:rsidRPr="00850074" w:rsidRDefault="0058524C" w:rsidP="0058524C">
      <w:pPr>
        <w:spacing w:after="0"/>
        <w:rPr>
          <w:szCs w:val="24"/>
        </w:rPr>
      </w:pPr>
      <w:r w:rsidRPr="00850074">
        <w:rPr>
          <w:szCs w:val="24"/>
        </w:rPr>
        <w:t xml:space="preserve">Les matériaux pour filtre auront des caractéristiques granulométriques comparables à celles de sables à béton définies dans le présent CCTP, avec la condition supplémentaire d’un pourcentage inférieurs à 80 </w:t>
      </w:r>
      <w:r w:rsidRPr="00850074">
        <w:rPr>
          <w:szCs w:val="24"/>
        </w:rPr>
        <w:t xml:space="preserve">m impérativement limité à 2 % en poids. Les matériaux pour drains auront les caractéristiques granulométriques suivantes : </w:t>
      </w:r>
      <w:r w:rsidRPr="00850074">
        <w:rPr>
          <w:szCs w:val="24"/>
        </w:rPr>
        <w:t xml:space="preserve"> granulométrie continue 4/16 mm </w:t>
      </w:r>
      <w:r w:rsidRPr="00850074">
        <w:rPr>
          <w:szCs w:val="24"/>
        </w:rPr>
        <w:t xml:space="preserve"> fraction d’éléments inférieurs à 80 </w:t>
      </w:r>
      <w:r w:rsidRPr="00850074">
        <w:rPr>
          <w:szCs w:val="24"/>
        </w:rPr>
        <w:t xml:space="preserve">m limitée à 1 % en poids. </w:t>
      </w:r>
    </w:p>
    <w:p w14:paraId="6702BE1D" w14:textId="77777777" w:rsidR="0058524C" w:rsidRPr="00850074" w:rsidRDefault="0058524C" w:rsidP="0058524C">
      <w:pPr>
        <w:spacing w:after="0"/>
        <w:rPr>
          <w:szCs w:val="24"/>
        </w:rPr>
      </w:pPr>
    </w:p>
    <w:p w14:paraId="6F443C45" w14:textId="77777777" w:rsidR="0058524C" w:rsidRPr="00850074" w:rsidRDefault="0058524C" w:rsidP="0058524C">
      <w:pPr>
        <w:spacing w:after="0"/>
        <w:rPr>
          <w:b/>
          <w:szCs w:val="24"/>
        </w:rPr>
      </w:pPr>
      <w:r w:rsidRPr="00850074">
        <w:rPr>
          <w:b/>
          <w:szCs w:val="24"/>
        </w:rPr>
        <w:t xml:space="preserve">5.5.6 Equipement hydromécanique </w:t>
      </w:r>
    </w:p>
    <w:p w14:paraId="27C905D3" w14:textId="77777777" w:rsidR="0058524C" w:rsidRPr="00850074" w:rsidRDefault="0058524C" w:rsidP="0058524C">
      <w:pPr>
        <w:spacing w:after="0"/>
        <w:rPr>
          <w:szCs w:val="24"/>
        </w:rPr>
      </w:pPr>
    </w:p>
    <w:p w14:paraId="65F132B6" w14:textId="77777777" w:rsidR="0058524C" w:rsidRPr="00850074" w:rsidRDefault="0058524C" w:rsidP="0058524C">
      <w:pPr>
        <w:spacing w:after="0"/>
        <w:rPr>
          <w:szCs w:val="24"/>
        </w:rPr>
      </w:pPr>
      <w:r w:rsidRPr="00850074">
        <w:rPr>
          <w:szCs w:val="24"/>
        </w:rPr>
        <w:t xml:space="preserve">Les structures métalliques : Cadres et batardeaux, devront être protégées efficacement contre la corrosion. La protection proposée par l'Entrepreneur devra recevoir l'agrément de l'Ingénieur. A titre indicatif, cette protection pourra être la suivante : </w:t>
      </w:r>
    </w:p>
    <w:p w14:paraId="71335FC2" w14:textId="77777777" w:rsidR="0058524C" w:rsidRPr="00850074" w:rsidRDefault="0058524C" w:rsidP="0058524C">
      <w:pPr>
        <w:spacing w:after="0"/>
        <w:rPr>
          <w:szCs w:val="24"/>
        </w:rPr>
      </w:pPr>
      <w:r w:rsidRPr="00850074">
        <w:rPr>
          <w:szCs w:val="24"/>
        </w:rPr>
        <w:t xml:space="preserve"> </w:t>
      </w:r>
    </w:p>
    <w:p w14:paraId="5AED880A" w14:textId="77777777" w:rsidR="0058524C" w:rsidRPr="00850074" w:rsidRDefault="0058524C" w:rsidP="0058524C">
      <w:pPr>
        <w:spacing w:after="0"/>
        <w:rPr>
          <w:szCs w:val="24"/>
        </w:rPr>
      </w:pPr>
      <w:r w:rsidRPr="00850074">
        <w:rPr>
          <w:szCs w:val="24"/>
        </w:rPr>
        <w:t xml:space="preserve">Toutes les pièces métalliques devant rester à l'air libre seront sablées.  Puis après dégraissage éventuel au trichloréthylène, elles recevront le traitement suivant : - 1 couche de Wash Primer genre </w:t>
      </w:r>
      <w:proofErr w:type="spellStart"/>
      <w:r w:rsidRPr="00850074">
        <w:rPr>
          <w:szCs w:val="24"/>
        </w:rPr>
        <w:t>Pringor</w:t>
      </w:r>
      <w:proofErr w:type="spellEnd"/>
      <w:r w:rsidRPr="00850074">
        <w:rPr>
          <w:szCs w:val="24"/>
        </w:rPr>
        <w:t xml:space="preserve"> (710 ou équivalent) ; - 2 couches de peinture mate acrylique à la </w:t>
      </w:r>
      <w:proofErr w:type="spellStart"/>
      <w:r w:rsidRPr="00850074">
        <w:rPr>
          <w:szCs w:val="24"/>
        </w:rPr>
        <w:t>plyolite</w:t>
      </w:r>
      <w:proofErr w:type="spellEnd"/>
      <w:r w:rsidRPr="00850074">
        <w:rPr>
          <w:szCs w:val="24"/>
        </w:rPr>
        <w:t xml:space="preserve">. Toutes les pièces métalliques susceptibles d'être immergées seront sablées puis galvanisées à chaud (épaisseur 80 μ). Après dégraissage éventuel au trichloréthylène, elles recevront ensuite deux couches de peinture bitumineuse genre </w:t>
      </w:r>
      <w:proofErr w:type="spellStart"/>
      <w:r w:rsidRPr="00850074">
        <w:rPr>
          <w:szCs w:val="24"/>
        </w:rPr>
        <w:t>Procarène</w:t>
      </w:r>
      <w:proofErr w:type="spellEnd"/>
      <w:r w:rsidRPr="00850074">
        <w:rPr>
          <w:szCs w:val="24"/>
        </w:rPr>
        <w:t xml:space="preserve"> EPS2 ou équivalent. </w:t>
      </w:r>
    </w:p>
    <w:p w14:paraId="6588DD7E" w14:textId="77777777" w:rsidR="0058524C" w:rsidRPr="00850074" w:rsidRDefault="0058524C" w:rsidP="0058524C">
      <w:pPr>
        <w:spacing w:after="0"/>
        <w:rPr>
          <w:szCs w:val="24"/>
        </w:rPr>
      </w:pPr>
    </w:p>
    <w:p w14:paraId="4EA62043" w14:textId="77777777" w:rsidR="0058524C" w:rsidRPr="00850074" w:rsidRDefault="0058524C" w:rsidP="002A45C1">
      <w:pPr>
        <w:pStyle w:val="Paragraphedeliste"/>
        <w:numPr>
          <w:ilvl w:val="0"/>
          <w:numId w:val="86"/>
        </w:numPr>
        <w:spacing w:after="0"/>
        <w:jc w:val="left"/>
        <w:rPr>
          <w:b/>
          <w:szCs w:val="24"/>
        </w:rPr>
      </w:pPr>
      <w:r w:rsidRPr="00850074">
        <w:rPr>
          <w:b/>
          <w:szCs w:val="24"/>
        </w:rPr>
        <w:t xml:space="preserve">Cadre et Batardeau </w:t>
      </w:r>
    </w:p>
    <w:p w14:paraId="56307CFC" w14:textId="77777777" w:rsidR="0058524C" w:rsidRPr="00850074" w:rsidRDefault="0058524C" w:rsidP="0058524C">
      <w:pPr>
        <w:spacing w:after="0"/>
        <w:rPr>
          <w:szCs w:val="24"/>
        </w:rPr>
      </w:pPr>
      <w:r w:rsidRPr="00850074">
        <w:rPr>
          <w:szCs w:val="24"/>
        </w:rPr>
        <w:t xml:space="preserve">Les profilés utilisés pour l'exécution des batardeaux (profilés IPE et U) seront au moins de la nuance E24 (norme AFNOR A 35 501). </w:t>
      </w:r>
    </w:p>
    <w:p w14:paraId="1D37B6CD" w14:textId="77777777" w:rsidR="0058524C" w:rsidRPr="00850074" w:rsidRDefault="0058524C" w:rsidP="0058524C">
      <w:pPr>
        <w:spacing w:after="0"/>
        <w:rPr>
          <w:szCs w:val="24"/>
        </w:rPr>
      </w:pPr>
    </w:p>
    <w:p w14:paraId="7D6C957C" w14:textId="77777777" w:rsidR="0058524C" w:rsidRPr="00850074" w:rsidRDefault="0058524C" w:rsidP="002A45C1">
      <w:pPr>
        <w:pStyle w:val="Paragraphedeliste"/>
        <w:numPr>
          <w:ilvl w:val="0"/>
          <w:numId w:val="86"/>
        </w:numPr>
        <w:spacing w:after="0"/>
        <w:jc w:val="left"/>
        <w:rPr>
          <w:b/>
          <w:szCs w:val="24"/>
        </w:rPr>
      </w:pPr>
      <w:r w:rsidRPr="00850074">
        <w:rPr>
          <w:b/>
          <w:szCs w:val="24"/>
        </w:rPr>
        <w:t xml:space="preserve">Spécifications particulières </w:t>
      </w:r>
    </w:p>
    <w:p w14:paraId="49AFAD08" w14:textId="77777777" w:rsidR="0058524C" w:rsidRPr="00850074" w:rsidRDefault="0058524C" w:rsidP="0058524C">
      <w:pPr>
        <w:spacing w:after="0"/>
        <w:rPr>
          <w:szCs w:val="24"/>
        </w:rPr>
      </w:pPr>
      <w:r w:rsidRPr="00850074">
        <w:rPr>
          <w:b/>
          <w:szCs w:val="24"/>
        </w:rPr>
        <w:t xml:space="preserve"> </w:t>
      </w:r>
      <w:r w:rsidRPr="00850074">
        <w:rPr>
          <w:szCs w:val="24"/>
        </w:rPr>
        <w:t>Tous les organes susceptibles d'usures doivent être munis de parties amovibles permettant leur réparation facile. Dans les limites imposées par les nécessités techniques de construction, les différents organes et pièces composant les appareils seront conçus de façon à réduire au minimum les travaux de démontage / remontage pour les opérations de nettoyage, entretien ou remise en état. La boulonnerie et la visserie normalement immergées seront en acier inoxydable.</w:t>
      </w:r>
    </w:p>
    <w:p w14:paraId="738DF6D3" w14:textId="77777777" w:rsidR="0058524C" w:rsidRPr="00850074" w:rsidRDefault="0058524C" w:rsidP="0058524C">
      <w:pPr>
        <w:spacing w:after="0"/>
        <w:rPr>
          <w:szCs w:val="24"/>
        </w:rPr>
      </w:pPr>
    </w:p>
    <w:p w14:paraId="28430493" w14:textId="77777777" w:rsidR="0058524C" w:rsidRPr="00850074" w:rsidRDefault="0058524C" w:rsidP="0058524C">
      <w:pPr>
        <w:spacing w:after="0"/>
        <w:rPr>
          <w:b/>
          <w:szCs w:val="24"/>
        </w:rPr>
      </w:pPr>
      <w:r w:rsidRPr="00850074">
        <w:rPr>
          <w:b/>
          <w:szCs w:val="24"/>
        </w:rPr>
        <w:t xml:space="preserve">5.5.7 Documents à fournir par l'Entrepreneur </w:t>
      </w:r>
    </w:p>
    <w:p w14:paraId="2E134210" w14:textId="77777777" w:rsidR="0058524C" w:rsidRPr="00850074" w:rsidRDefault="0058524C" w:rsidP="0058524C">
      <w:pPr>
        <w:spacing w:after="0"/>
        <w:ind w:left="0" w:firstLine="0"/>
        <w:rPr>
          <w:szCs w:val="24"/>
        </w:rPr>
      </w:pPr>
      <w:r w:rsidRPr="00850074">
        <w:rPr>
          <w:szCs w:val="24"/>
        </w:rPr>
        <w:t xml:space="preserve">L'Entrepreneur fournira à l'Ingénieur les renseignements et documents ci-après, en langue française. </w:t>
      </w:r>
    </w:p>
    <w:p w14:paraId="33DA1E4E" w14:textId="77777777" w:rsidR="0058524C" w:rsidRPr="00850074" w:rsidRDefault="0058524C" w:rsidP="0058524C">
      <w:pPr>
        <w:spacing w:after="0"/>
        <w:ind w:left="0" w:firstLine="0"/>
        <w:rPr>
          <w:szCs w:val="24"/>
        </w:rPr>
      </w:pPr>
      <w:r w:rsidRPr="00850074">
        <w:rPr>
          <w:szCs w:val="24"/>
        </w:rPr>
        <w:t xml:space="preserve">Avant commande : </w:t>
      </w:r>
    </w:p>
    <w:p w14:paraId="51C95C8B" w14:textId="77777777" w:rsidR="0058524C" w:rsidRPr="00850074" w:rsidRDefault="0058524C" w:rsidP="002A45C1">
      <w:pPr>
        <w:pStyle w:val="Paragraphedeliste"/>
        <w:numPr>
          <w:ilvl w:val="0"/>
          <w:numId w:val="86"/>
        </w:numPr>
        <w:spacing w:after="0"/>
        <w:rPr>
          <w:szCs w:val="24"/>
        </w:rPr>
      </w:pPr>
      <w:r w:rsidRPr="00850074">
        <w:rPr>
          <w:szCs w:val="24"/>
        </w:rPr>
        <w:t xml:space="preserve">Les caractéristiques de l'équipement proposé, les noms et adresses des constructeurs, les garanties proposées les délais de garanties, </w:t>
      </w:r>
    </w:p>
    <w:p w14:paraId="34F021E7" w14:textId="77777777" w:rsidR="0058524C" w:rsidRPr="00850074" w:rsidRDefault="0058524C" w:rsidP="0058524C">
      <w:pPr>
        <w:spacing w:after="0"/>
        <w:ind w:left="0" w:firstLine="0"/>
        <w:rPr>
          <w:szCs w:val="24"/>
        </w:rPr>
      </w:pPr>
      <w:r w:rsidRPr="00850074">
        <w:rPr>
          <w:szCs w:val="24"/>
        </w:rPr>
        <w:t xml:space="preserve">En même temps que les plans d'exécution : </w:t>
      </w:r>
    </w:p>
    <w:p w14:paraId="7B5179D9" w14:textId="77777777" w:rsidR="0058524C" w:rsidRPr="00850074" w:rsidRDefault="0058524C" w:rsidP="002A45C1">
      <w:pPr>
        <w:pStyle w:val="Paragraphedeliste"/>
        <w:numPr>
          <w:ilvl w:val="0"/>
          <w:numId w:val="86"/>
        </w:numPr>
        <w:spacing w:after="0"/>
        <w:rPr>
          <w:szCs w:val="24"/>
        </w:rPr>
      </w:pPr>
      <w:r w:rsidRPr="00850074">
        <w:rPr>
          <w:szCs w:val="24"/>
        </w:rPr>
        <w:t xml:space="preserve">Les plans des scellements des pièces à fixer dans les ouvrages de Génie Civil, et des réservations correspondantes. </w:t>
      </w:r>
    </w:p>
    <w:p w14:paraId="7FBC7F5A" w14:textId="77777777" w:rsidR="0058524C" w:rsidRPr="00850074" w:rsidRDefault="0058524C" w:rsidP="0058524C">
      <w:pPr>
        <w:spacing w:after="0"/>
        <w:rPr>
          <w:szCs w:val="24"/>
        </w:rPr>
      </w:pPr>
      <w:r w:rsidRPr="00850074">
        <w:rPr>
          <w:szCs w:val="24"/>
        </w:rPr>
        <w:t xml:space="preserve">Après achèvement des travaux : </w:t>
      </w:r>
    </w:p>
    <w:p w14:paraId="550883E4" w14:textId="7D6E93E8" w:rsidR="00737D08" w:rsidRPr="001453D6" w:rsidRDefault="0058524C" w:rsidP="0058524C">
      <w:pPr>
        <w:spacing w:after="0"/>
        <w:rPr>
          <w:b/>
          <w:szCs w:val="24"/>
        </w:rPr>
      </w:pPr>
      <w:r w:rsidRPr="00850074">
        <w:rPr>
          <w:szCs w:val="24"/>
        </w:rPr>
        <w:t>Les plans des matériels conformes à l'exécution, les schémas et notices de montage, réglage et entretien. Ces documents seront fournis en 5 exemplaires plus 2 documents reproductibles.</w:t>
      </w:r>
    </w:p>
    <w:p w14:paraId="59A989BF" w14:textId="77777777" w:rsidR="00F063D7" w:rsidRPr="001453D6" w:rsidRDefault="00F063D7" w:rsidP="00737D08">
      <w:pPr>
        <w:spacing w:after="0"/>
        <w:rPr>
          <w:b/>
          <w:szCs w:val="24"/>
        </w:rPr>
      </w:pPr>
    </w:p>
    <w:p w14:paraId="4A3BAC0D" w14:textId="77777777" w:rsidR="00A70068" w:rsidRPr="001453D6" w:rsidRDefault="00A70068">
      <w:pPr>
        <w:rPr>
          <w:b/>
          <w:szCs w:val="24"/>
        </w:rPr>
      </w:pPr>
      <w:r w:rsidRPr="001453D6">
        <w:rPr>
          <w:b/>
          <w:szCs w:val="24"/>
        </w:rPr>
        <w:br w:type="page"/>
      </w:r>
    </w:p>
    <w:p w14:paraId="18024C1D" w14:textId="2AE5BACA" w:rsidR="00737D08" w:rsidRPr="001453D6" w:rsidRDefault="0051589D" w:rsidP="00737D08">
      <w:pPr>
        <w:spacing w:after="0"/>
        <w:rPr>
          <w:b/>
          <w:szCs w:val="24"/>
        </w:rPr>
      </w:pPr>
      <w:r w:rsidRPr="001453D6">
        <w:rPr>
          <w:b/>
          <w:szCs w:val="24"/>
        </w:rPr>
        <w:t xml:space="preserve">DESCRIPTIONS DETAILLEES </w:t>
      </w:r>
      <w:r w:rsidR="00737D08" w:rsidRPr="001453D6">
        <w:rPr>
          <w:b/>
          <w:szCs w:val="24"/>
        </w:rPr>
        <w:t xml:space="preserve">DES TRAVAUX D’AMENAGEMENT  </w:t>
      </w:r>
    </w:p>
    <w:p w14:paraId="3961D624" w14:textId="77777777" w:rsidR="00DB26D4" w:rsidRPr="001453D6" w:rsidRDefault="00DB26D4" w:rsidP="00737D08">
      <w:pPr>
        <w:spacing w:after="0"/>
        <w:rPr>
          <w:b/>
          <w:szCs w:val="24"/>
        </w:rPr>
      </w:pPr>
    </w:p>
    <w:p w14:paraId="2B2EA910" w14:textId="6A96F396" w:rsidR="00737D08" w:rsidRPr="001453D6" w:rsidRDefault="00737D08" w:rsidP="00737D08">
      <w:pPr>
        <w:spacing w:after="0"/>
        <w:rPr>
          <w:b/>
          <w:szCs w:val="24"/>
        </w:rPr>
      </w:pPr>
      <w:r w:rsidRPr="001453D6">
        <w:rPr>
          <w:b/>
          <w:szCs w:val="24"/>
        </w:rPr>
        <w:t>PARTIE A : PREPARATION DE SITE</w:t>
      </w:r>
    </w:p>
    <w:p w14:paraId="031C44FA" w14:textId="77777777" w:rsidR="0051589D" w:rsidRPr="001453D6" w:rsidRDefault="0051589D" w:rsidP="00737D08">
      <w:pPr>
        <w:spacing w:after="0"/>
        <w:rPr>
          <w:b/>
          <w:szCs w:val="24"/>
        </w:rPr>
      </w:pPr>
    </w:p>
    <w:p w14:paraId="38188AF4" w14:textId="38AFA619" w:rsidR="00737D08" w:rsidRPr="001453D6" w:rsidRDefault="00737D08" w:rsidP="002A45C1">
      <w:pPr>
        <w:pStyle w:val="Paragraphedeliste"/>
        <w:numPr>
          <w:ilvl w:val="0"/>
          <w:numId w:val="103"/>
        </w:numPr>
        <w:spacing w:after="0"/>
        <w:rPr>
          <w:b/>
          <w:szCs w:val="24"/>
        </w:rPr>
      </w:pPr>
      <w:r w:rsidRPr="001453D6">
        <w:rPr>
          <w:b/>
          <w:szCs w:val="24"/>
        </w:rPr>
        <w:t xml:space="preserve">DESCRIPTION </w:t>
      </w:r>
    </w:p>
    <w:p w14:paraId="6C18172E" w14:textId="77777777" w:rsidR="0051589D" w:rsidRPr="001453D6" w:rsidRDefault="0051589D" w:rsidP="0051589D">
      <w:pPr>
        <w:pStyle w:val="Paragraphedeliste"/>
        <w:spacing w:after="0"/>
        <w:ind w:firstLine="0"/>
        <w:rPr>
          <w:b/>
          <w:szCs w:val="24"/>
        </w:rPr>
      </w:pPr>
    </w:p>
    <w:p w14:paraId="209778B3" w14:textId="18D690D9" w:rsidR="00737D08" w:rsidRPr="001453D6" w:rsidRDefault="00737D08" w:rsidP="002A45C1">
      <w:pPr>
        <w:pStyle w:val="Paragraphedeliste"/>
        <w:numPr>
          <w:ilvl w:val="1"/>
          <w:numId w:val="103"/>
        </w:numPr>
        <w:spacing w:after="0"/>
        <w:rPr>
          <w:b/>
          <w:szCs w:val="24"/>
        </w:rPr>
      </w:pPr>
      <w:r w:rsidRPr="001453D6">
        <w:rPr>
          <w:b/>
          <w:szCs w:val="24"/>
        </w:rPr>
        <w:t xml:space="preserve">DEBROUSSAILLAGE </w:t>
      </w:r>
    </w:p>
    <w:p w14:paraId="7FCB7F1C" w14:textId="77777777" w:rsidR="0051589D" w:rsidRPr="001453D6" w:rsidRDefault="0051589D" w:rsidP="0051589D">
      <w:pPr>
        <w:pStyle w:val="Paragraphedeliste"/>
        <w:spacing w:after="0"/>
        <w:ind w:firstLine="0"/>
        <w:rPr>
          <w:b/>
          <w:szCs w:val="24"/>
        </w:rPr>
      </w:pPr>
    </w:p>
    <w:p w14:paraId="6DFE3E7F" w14:textId="77777777" w:rsidR="00737D08" w:rsidRPr="001453D6" w:rsidRDefault="00737D08" w:rsidP="00737D08">
      <w:pPr>
        <w:spacing w:after="0"/>
        <w:rPr>
          <w:szCs w:val="24"/>
        </w:rPr>
      </w:pPr>
      <w:r w:rsidRPr="001453D6">
        <w:rPr>
          <w:szCs w:val="24"/>
        </w:rPr>
        <w:t xml:space="preserve">Le travail consiste à débarrasser le terrain de toute végétation. Les zones à débroussailler seront délimitées sur le terrain par l'Entrepreneur contradictoirement avec l'Ingénieur en fonction des indications de ce dernier. </w:t>
      </w:r>
    </w:p>
    <w:p w14:paraId="4DB07550" w14:textId="77777777" w:rsidR="00737D08" w:rsidRPr="001453D6" w:rsidRDefault="00737D08" w:rsidP="002A45C1">
      <w:pPr>
        <w:pStyle w:val="Paragraphedeliste"/>
        <w:numPr>
          <w:ilvl w:val="0"/>
          <w:numId w:val="82"/>
        </w:numPr>
        <w:spacing w:after="0"/>
        <w:jc w:val="left"/>
        <w:rPr>
          <w:szCs w:val="24"/>
        </w:rPr>
      </w:pPr>
      <w:r w:rsidRPr="001453D6">
        <w:rPr>
          <w:szCs w:val="24"/>
        </w:rPr>
        <w:t xml:space="preserve">Toute la végétation sera enlevée y compris les souches ; </w:t>
      </w:r>
    </w:p>
    <w:p w14:paraId="05915C8D" w14:textId="77777777" w:rsidR="00737D08" w:rsidRPr="001453D6" w:rsidRDefault="00737D08" w:rsidP="002A45C1">
      <w:pPr>
        <w:pStyle w:val="Paragraphedeliste"/>
        <w:numPr>
          <w:ilvl w:val="0"/>
          <w:numId w:val="82"/>
        </w:numPr>
        <w:spacing w:after="0"/>
        <w:jc w:val="left"/>
        <w:rPr>
          <w:szCs w:val="24"/>
        </w:rPr>
      </w:pPr>
      <w:r w:rsidRPr="001453D6">
        <w:rPr>
          <w:szCs w:val="24"/>
        </w:rPr>
        <w:t xml:space="preserve">Les résidus seront transportés et brûlés au fur et à mesure de l'avancement dans des zones agréées par l'Ingénieur ; </w:t>
      </w:r>
    </w:p>
    <w:p w14:paraId="34984293" w14:textId="77777777" w:rsidR="00737D08" w:rsidRPr="001453D6" w:rsidRDefault="00737D08" w:rsidP="002A45C1">
      <w:pPr>
        <w:pStyle w:val="Paragraphedeliste"/>
        <w:numPr>
          <w:ilvl w:val="0"/>
          <w:numId w:val="82"/>
        </w:numPr>
        <w:spacing w:after="0"/>
        <w:jc w:val="left"/>
        <w:rPr>
          <w:szCs w:val="24"/>
        </w:rPr>
      </w:pPr>
      <w:r w:rsidRPr="001453D6">
        <w:rPr>
          <w:szCs w:val="24"/>
        </w:rPr>
        <w:t xml:space="preserve">Durant le brûlage, l'Entrepreneur prendra les précautions nécessaires pour éviter tout dommage et toute propagation de feu au-delà des limites du chantier. L'Entrepreneur ne procédera pas au brûlage en période de vent. </w:t>
      </w:r>
    </w:p>
    <w:p w14:paraId="503EC177" w14:textId="77777777" w:rsidR="00737D08" w:rsidRPr="001453D6" w:rsidRDefault="00737D08" w:rsidP="00DB26D4">
      <w:pPr>
        <w:pStyle w:val="Paragraphedeliste"/>
        <w:spacing w:after="0"/>
        <w:ind w:firstLine="0"/>
        <w:jc w:val="left"/>
        <w:rPr>
          <w:szCs w:val="24"/>
        </w:rPr>
      </w:pPr>
    </w:p>
    <w:p w14:paraId="1290D7B0" w14:textId="77777777" w:rsidR="00737D08" w:rsidRPr="001453D6" w:rsidRDefault="00737D08" w:rsidP="00737D08">
      <w:pPr>
        <w:spacing w:after="0"/>
        <w:rPr>
          <w:b/>
          <w:szCs w:val="24"/>
        </w:rPr>
      </w:pPr>
      <w:r w:rsidRPr="001453D6">
        <w:rPr>
          <w:b/>
          <w:szCs w:val="24"/>
        </w:rPr>
        <w:t xml:space="preserve">1.2. DECAPAGE </w:t>
      </w:r>
    </w:p>
    <w:p w14:paraId="5C79D761" w14:textId="4046B0A3" w:rsidR="00737D08" w:rsidRPr="001453D6" w:rsidRDefault="00737D08" w:rsidP="005146A3">
      <w:pPr>
        <w:spacing w:after="0"/>
        <w:ind w:left="0" w:firstLine="0"/>
        <w:rPr>
          <w:szCs w:val="24"/>
        </w:rPr>
      </w:pPr>
      <w:r w:rsidRPr="001453D6">
        <w:rPr>
          <w:szCs w:val="24"/>
        </w:rPr>
        <w:t xml:space="preserve">Le travail consiste à enlever la couche superficielle du sol dont la qualité des matériaux est jugée impropre sur </w:t>
      </w:r>
      <w:r w:rsidR="005146A3" w:rsidRPr="001453D6">
        <w:rPr>
          <w:szCs w:val="24"/>
        </w:rPr>
        <w:t xml:space="preserve">une épaisseur de 10 cm minimum. </w:t>
      </w:r>
      <w:r w:rsidRPr="001453D6">
        <w:rPr>
          <w:szCs w:val="24"/>
        </w:rPr>
        <w:t xml:space="preserve">Les engins ne devront pas désorganiser le sol sous-jacent. Les matériaux de décapage seront transportés et régalés dans des zones de dépôts agrées par l'Ingénieur. Les zones de dépôt seront définies par l'ingénieur. </w:t>
      </w:r>
    </w:p>
    <w:p w14:paraId="49488D96" w14:textId="77777777" w:rsidR="00737D08" w:rsidRPr="001453D6" w:rsidRDefault="00737D08" w:rsidP="00737D08">
      <w:pPr>
        <w:spacing w:after="0"/>
        <w:rPr>
          <w:szCs w:val="24"/>
        </w:rPr>
      </w:pPr>
      <w:r w:rsidRPr="001453D6">
        <w:rPr>
          <w:szCs w:val="24"/>
        </w:rPr>
        <w:t xml:space="preserve">Après décapage, les surfaces devront être exemptées de tous éléments et débris végétaux. </w:t>
      </w:r>
    </w:p>
    <w:p w14:paraId="7F6C9C2A" w14:textId="77777777" w:rsidR="00737D08" w:rsidRPr="001453D6" w:rsidRDefault="00737D08" w:rsidP="00737D08">
      <w:pPr>
        <w:spacing w:after="0"/>
        <w:rPr>
          <w:szCs w:val="24"/>
        </w:rPr>
      </w:pPr>
    </w:p>
    <w:p w14:paraId="04AFEDF3" w14:textId="0A881B4E" w:rsidR="00737D08" w:rsidRPr="001453D6" w:rsidRDefault="00A70068" w:rsidP="00737D08">
      <w:pPr>
        <w:spacing w:after="0"/>
        <w:rPr>
          <w:b/>
          <w:szCs w:val="24"/>
        </w:rPr>
      </w:pPr>
      <w:r w:rsidRPr="001453D6">
        <w:rPr>
          <w:b/>
          <w:szCs w:val="24"/>
        </w:rPr>
        <w:t>2. MISE EN ŒUVRE</w:t>
      </w:r>
    </w:p>
    <w:p w14:paraId="228C4851" w14:textId="77777777" w:rsidR="00A70068" w:rsidRPr="001453D6" w:rsidRDefault="00A70068" w:rsidP="00737D08">
      <w:pPr>
        <w:spacing w:after="0"/>
        <w:rPr>
          <w:b/>
          <w:szCs w:val="24"/>
        </w:rPr>
      </w:pPr>
    </w:p>
    <w:p w14:paraId="6C482BF6" w14:textId="77777777" w:rsidR="00737D08" w:rsidRPr="001453D6" w:rsidRDefault="00737D08" w:rsidP="00737D08">
      <w:pPr>
        <w:spacing w:after="0"/>
        <w:rPr>
          <w:b/>
          <w:szCs w:val="24"/>
        </w:rPr>
      </w:pPr>
      <w:r w:rsidRPr="001453D6">
        <w:rPr>
          <w:b/>
          <w:szCs w:val="24"/>
        </w:rPr>
        <w:t xml:space="preserve">2.1       INSPECTION </w:t>
      </w:r>
    </w:p>
    <w:p w14:paraId="27CB6E69" w14:textId="77777777" w:rsidR="00737D08" w:rsidRPr="001453D6" w:rsidRDefault="00737D08" w:rsidP="00A70068">
      <w:pPr>
        <w:spacing w:after="0"/>
        <w:ind w:left="0" w:firstLine="0"/>
        <w:rPr>
          <w:szCs w:val="24"/>
        </w:rPr>
      </w:pPr>
      <w:r w:rsidRPr="001453D6">
        <w:rPr>
          <w:szCs w:val="24"/>
        </w:rPr>
        <w:t xml:space="preserve">Les zones à préparer seront délimitées sur le terrain par l'Entrepreneur contradictoirement avec l'Ingénieur en fonction des indications de ce dernier. </w:t>
      </w:r>
    </w:p>
    <w:p w14:paraId="4257774E" w14:textId="77777777" w:rsidR="00737D08" w:rsidRPr="001453D6" w:rsidRDefault="00737D08" w:rsidP="00737D08">
      <w:pPr>
        <w:spacing w:after="0"/>
        <w:rPr>
          <w:szCs w:val="24"/>
        </w:rPr>
      </w:pPr>
    </w:p>
    <w:p w14:paraId="3088B7EA" w14:textId="77777777" w:rsidR="00737D08" w:rsidRPr="001453D6" w:rsidRDefault="00737D08" w:rsidP="00737D08">
      <w:pPr>
        <w:spacing w:after="0"/>
        <w:rPr>
          <w:b/>
          <w:szCs w:val="24"/>
        </w:rPr>
      </w:pPr>
      <w:r w:rsidRPr="001453D6">
        <w:rPr>
          <w:b/>
          <w:szCs w:val="24"/>
        </w:rPr>
        <w:t xml:space="preserve">2.2 DEBROUSSAILLAGE </w:t>
      </w:r>
    </w:p>
    <w:p w14:paraId="080457EA" w14:textId="77777777" w:rsidR="00737D08" w:rsidRPr="001453D6" w:rsidRDefault="00737D08" w:rsidP="00737D08">
      <w:pPr>
        <w:spacing w:after="0"/>
        <w:rPr>
          <w:szCs w:val="24"/>
        </w:rPr>
      </w:pPr>
      <w:r w:rsidRPr="001453D6">
        <w:rPr>
          <w:szCs w:val="24"/>
        </w:rPr>
        <w:t xml:space="preserve">Toute la végétation sera enlevée y compris les souches. </w:t>
      </w:r>
    </w:p>
    <w:p w14:paraId="29AD5F8F" w14:textId="77777777" w:rsidR="00737D08" w:rsidRPr="006D14BE" w:rsidRDefault="00737D08" w:rsidP="00D75174">
      <w:pPr>
        <w:pStyle w:val="TM12"/>
        <w:jc w:val="both"/>
        <w:rPr>
          <w:iCs/>
          <w:szCs w:val="24"/>
          <w:lang w:val="fr-FR"/>
        </w:rPr>
      </w:pPr>
      <w:r w:rsidRPr="006D14BE">
        <w:rPr>
          <w:rFonts w:ascii="Times New Roman" w:hAnsi="Times New Roman"/>
          <w:b w:val="0"/>
          <w:bCs w:val="0"/>
          <w:i w:val="0"/>
          <w:iCs/>
          <w:sz w:val="24"/>
          <w:szCs w:val="24"/>
          <w:lang w:val="fr-FR"/>
        </w:rPr>
        <w:t xml:space="preserve">Les résidus seront transportés et brûlés au fur et à mesure de l’avancement dans des zones agrées par l’Ingénieur.   </w:t>
      </w:r>
    </w:p>
    <w:p w14:paraId="7B37C996" w14:textId="77777777" w:rsidR="00737D08" w:rsidRPr="006D14BE" w:rsidRDefault="00737D08" w:rsidP="00D75174">
      <w:pPr>
        <w:pStyle w:val="TM12"/>
        <w:jc w:val="both"/>
        <w:rPr>
          <w:iCs/>
          <w:szCs w:val="24"/>
          <w:lang w:val="fr-FR"/>
        </w:rPr>
      </w:pPr>
      <w:r w:rsidRPr="006D14BE">
        <w:rPr>
          <w:rFonts w:ascii="Times New Roman" w:hAnsi="Times New Roman"/>
          <w:b w:val="0"/>
          <w:bCs w:val="0"/>
          <w:i w:val="0"/>
          <w:iCs/>
          <w:sz w:val="24"/>
          <w:szCs w:val="24"/>
          <w:lang w:val="fr-FR"/>
        </w:rPr>
        <w:t xml:space="preserve">Durant le brûlage, l’Entrepreneur prendra les précautions nécessaires pour éviter tout dommage et toute propagation du feu au-delà des limites du chantier.   </w:t>
      </w:r>
    </w:p>
    <w:p w14:paraId="263D7B20" w14:textId="77777777" w:rsidR="00737D08" w:rsidRPr="006D14BE" w:rsidRDefault="00737D08" w:rsidP="00D75174">
      <w:pPr>
        <w:pStyle w:val="TM12"/>
        <w:jc w:val="both"/>
        <w:rPr>
          <w:iCs/>
          <w:szCs w:val="24"/>
          <w:lang w:val="fr-FR"/>
        </w:rPr>
      </w:pPr>
      <w:r w:rsidRPr="006D14BE">
        <w:rPr>
          <w:rFonts w:ascii="Times New Roman" w:hAnsi="Times New Roman"/>
          <w:b w:val="0"/>
          <w:bCs w:val="0"/>
          <w:i w:val="0"/>
          <w:iCs/>
          <w:sz w:val="24"/>
          <w:szCs w:val="24"/>
          <w:lang w:val="fr-FR"/>
        </w:rPr>
        <w:t xml:space="preserve">L'Entrepreneur ne procédera pas au brûlage en période de vent. </w:t>
      </w:r>
    </w:p>
    <w:p w14:paraId="192BA267" w14:textId="77777777" w:rsidR="00B167B3" w:rsidRPr="006D14BE" w:rsidRDefault="00B167B3" w:rsidP="00D75174">
      <w:pPr>
        <w:pStyle w:val="TM12"/>
        <w:jc w:val="both"/>
        <w:rPr>
          <w:b w:val="0"/>
          <w:iCs/>
          <w:szCs w:val="24"/>
          <w:lang w:val="fr-FR"/>
        </w:rPr>
      </w:pPr>
    </w:p>
    <w:p w14:paraId="3C70BE0B" w14:textId="77777777" w:rsidR="00737D08" w:rsidRPr="001453D6" w:rsidRDefault="00737D08" w:rsidP="00737D08">
      <w:pPr>
        <w:spacing w:after="0"/>
        <w:rPr>
          <w:b/>
          <w:szCs w:val="24"/>
        </w:rPr>
      </w:pPr>
      <w:r w:rsidRPr="001453D6">
        <w:rPr>
          <w:b/>
          <w:szCs w:val="24"/>
        </w:rPr>
        <w:t xml:space="preserve">2.3 DECAPAGE ET CURAGE </w:t>
      </w:r>
    </w:p>
    <w:p w14:paraId="4C37817D" w14:textId="77777777" w:rsidR="00737D08" w:rsidRPr="001453D6" w:rsidRDefault="00737D08" w:rsidP="00737D08">
      <w:pPr>
        <w:spacing w:after="0"/>
        <w:rPr>
          <w:szCs w:val="24"/>
        </w:rPr>
      </w:pPr>
      <w:r w:rsidRPr="001453D6">
        <w:rPr>
          <w:szCs w:val="24"/>
        </w:rPr>
        <w:t xml:space="preserve">Les engins ne devront pas désorganiser le sol sous-jacent. </w:t>
      </w:r>
    </w:p>
    <w:p w14:paraId="086F7BEB" w14:textId="3C0BB6C1" w:rsidR="00737D08" w:rsidRPr="006D14BE" w:rsidRDefault="00737D08" w:rsidP="00D75174">
      <w:pPr>
        <w:pStyle w:val="TM12"/>
        <w:rPr>
          <w:iCs/>
          <w:szCs w:val="24"/>
          <w:lang w:val="fr-FR"/>
        </w:rPr>
      </w:pPr>
      <w:r w:rsidRPr="006D14BE">
        <w:rPr>
          <w:rFonts w:ascii="Times New Roman" w:hAnsi="Times New Roman"/>
          <w:b w:val="0"/>
          <w:bCs w:val="0"/>
          <w:i w:val="0"/>
          <w:iCs/>
          <w:sz w:val="24"/>
          <w:szCs w:val="24"/>
          <w:lang w:val="fr-FR"/>
        </w:rPr>
        <w:t xml:space="preserve">Les matériaux de décapage seront transportés et régalés dans des zones de </w:t>
      </w:r>
      <w:r w:rsidR="00A70068" w:rsidRPr="006D14BE">
        <w:rPr>
          <w:rFonts w:ascii="Times New Roman" w:hAnsi="Times New Roman"/>
          <w:b w:val="0"/>
          <w:bCs w:val="0"/>
          <w:i w:val="0"/>
          <w:iCs/>
          <w:sz w:val="24"/>
          <w:szCs w:val="24"/>
          <w:lang w:val="fr-FR"/>
        </w:rPr>
        <w:t xml:space="preserve">dépôt agrées par l'Ingénieur. </w:t>
      </w:r>
      <w:r w:rsidRPr="006D14BE">
        <w:rPr>
          <w:rFonts w:ascii="Times New Roman" w:hAnsi="Times New Roman"/>
          <w:b w:val="0"/>
          <w:bCs w:val="0"/>
          <w:i w:val="0"/>
          <w:iCs/>
          <w:sz w:val="24"/>
          <w:szCs w:val="24"/>
          <w:lang w:val="fr-FR"/>
        </w:rPr>
        <w:t xml:space="preserve">Les zones de dépôt </w:t>
      </w:r>
      <w:r w:rsidR="00A70068" w:rsidRPr="006D14BE">
        <w:rPr>
          <w:rFonts w:ascii="Times New Roman" w:hAnsi="Times New Roman"/>
          <w:b w:val="0"/>
          <w:bCs w:val="0"/>
          <w:i w:val="0"/>
          <w:iCs/>
          <w:sz w:val="24"/>
          <w:szCs w:val="24"/>
          <w:lang w:val="fr-FR"/>
        </w:rPr>
        <w:t>seront</w:t>
      </w:r>
      <w:r w:rsidR="0058524C">
        <w:rPr>
          <w:rFonts w:ascii="Times New Roman" w:hAnsi="Times New Roman"/>
          <w:b w:val="0"/>
          <w:bCs w:val="0"/>
          <w:i w:val="0"/>
          <w:iCs/>
          <w:sz w:val="24"/>
          <w:szCs w:val="24"/>
          <w:lang w:val="fr-FR"/>
        </w:rPr>
        <w:t xml:space="preserve"> </w:t>
      </w:r>
      <w:r w:rsidR="00A70068" w:rsidRPr="006D14BE">
        <w:rPr>
          <w:rFonts w:ascii="Times New Roman" w:hAnsi="Times New Roman"/>
          <w:b w:val="0"/>
          <w:bCs w:val="0"/>
          <w:i w:val="0"/>
          <w:iCs/>
          <w:sz w:val="24"/>
          <w:szCs w:val="24"/>
          <w:lang w:val="fr-FR"/>
        </w:rPr>
        <w:t>:</w:t>
      </w:r>
      <w:r w:rsidRPr="006D14BE">
        <w:rPr>
          <w:rFonts w:ascii="Times New Roman" w:hAnsi="Times New Roman"/>
          <w:b w:val="0"/>
          <w:bCs w:val="0"/>
          <w:i w:val="0"/>
          <w:iCs/>
          <w:sz w:val="24"/>
          <w:szCs w:val="24"/>
          <w:lang w:val="fr-FR"/>
        </w:rPr>
        <w:t xml:space="preserve"> </w:t>
      </w:r>
    </w:p>
    <w:p w14:paraId="37F1A23D" w14:textId="46A44F31" w:rsidR="00737D08" w:rsidRPr="006D14BE" w:rsidRDefault="00737D08" w:rsidP="00D75174">
      <w:pPr>
        <w:pStyle w:val="TM12"/>
        <w:rPr>
          <w:iCs/>
          <w:szCs w:val="24"/>
          <w:lang w:val="fr-FR"/>
        </w:rPr>
      </w:pPr>
      <w:r w:rsidRPr="006D14BE">
        <w:rPr>
          <w:rFonts w:ascii="Times New Roman" w:hAnsi="Times New Roman"/>
          <w:b w:val="0"/>
          <w:bCs w:val="0"/>
          <w:i w:val="0"/>
          <w:iCs/>
          <w:sz w:val="24"/>
          <w:szCs w:val="24"/>
          <w:lang w:val="fr-FR"/>
        </w:rPr>
        <w:t xml:space="preserve">Soit les zones d'emprunt exploitées précédemment pour les remblais dans la mesure </w:t>
      </w:r>
      <w:r w:rsidR="00A24563" w:rsidRPr="006D14BE">
        <w:rPr>
          <w:rFonts w:ascii="Times New Roman" w:hAnsi="Times New Roman"/>
          <w:b w:val="0"/>
          <w:bCs w:val="0"/>
          <w:i w:val="0"/>
          <w:iCs/>
          <w:sz w:val="24"/>
          <w:szCs w:val="24"/>
          <w:lang w:val="fr-FR"/>
        </w:rPr>
        <w:t>où</w:t>
      </w:r>
      <w:r w:rsidRPr="006D14BE">
        <w:rPr>
          <w:rFonts w:ascii="Times New Roman" w:hAnsi="Times New Roman"/>
          <w:b w:val="0"/>
          <w:bCs w:val="0"/>
          <w:i w:val="0"/>
          <w:iCs/>
          <w:sz w:val="24"/>
          <w:szCs w:val="24"/>
          <w:lang w:val="fr-FR"/>
        </w:rPr>
        <w:t xml:space="preserve"> elles sont situées à moins de 500 m du lieu de travail.  Les matériaux seront régalés de manière à ce qu’en aucun cas le niveau fini des dépôts ne soit supérieur au niveau initial du terrain naturel de la zone. </w:t>
      </w:r>
    </w:p>
    <w:p w14:paraId="4BE9DD05" w14:textId="77777777" w:rsidR="00737D08" w:rsidRPr="006D14BE" w:rsidRDefault="00737D08" w:rsidP="00D75174">
      <w:pPr>
        <w:pStyle w:val="TM12"/>
        <w:rPr>
          <w:iCs/>
          <w:szCs w:val="24"/>
          <w:lang w:val="fr-FR"/>
        </w:rPr>
      </w:pPr>
      <w:r w:rsidRPr="006D14BE">
        <w:rPr>
          <w:rFonts w:ascii="Times New Roman" w:hAnsi="Times New Roman"/>
          <w:b w:val="0"/>
          <w:bCs w:val="0"/>
          <w:i w:val="0"/>
          <w:iCs/>
          <w:sz w:val="24"/>
          <w:szCs w:val="24"/>
          <w:lang w:val="fr-FR"/>
        </w:rPr>
        <w:t xml:space="preserve">Soit le long des canaux, drains et pistes lorsqu'il n'y a pas de zone d'emprunt disponible à moins de 500 m.  Dans ce cas, les dépôts seront régalés suivant les indications de l’Ingénieur à moins de 500 m du lieu de travail. </w:t>
      </w:r>
    </w:p>
    <w:p w14:paraId="65D0E101" w14:textId="77777777" w:rsidR="00737D08" w:rsidRPr="006D14BE" w:rsidRDefault="00737D08" w:rsidP="00D75174">
      <w:pPr>
        <w:pStyle w:val="TM12"/>
        <w:rPr>
          <w:iCs/>
          <w:szCs w:val="24"/>
          <w:lang w:val="fr-FR"/>
        </w:rPr>
      </w:pPr>
      <w:r w:rsidRPr="006D14BE">
        <w:rPr>
          <w:rFonts w:ascii="Times New Roman" w:hAnsi="Times New Roman"/>
          <w:b w:val="0"/>
          <w:bCs w:val="0"/>
          <w:i w:val="0"/>
          <w:iCs/>
          <w:sz w:val="24"/>
          <w:szCs w:val="24"/>
          <w:lang w:val="fr-FR"/>
        </w:rPr>
        <w:t xml:space="preserve">Après décapage, les surfaces devront être exemptées de tous éléments et débris végétaux.  </w:t>
      </w:r>
    </w:p>
    <w:p w14:paraId="1954DB8D" w14:textId="77777777" w:rsidR="00737D08" w:rsidRPr="006D14BE" w:rsidRDefault="00737D08" w:rsidP="00D75174">
      <w:pPr>
        <w:pStyle w:val="TM12"/>
        <w:rPr>
          <w:iCs/>
          <w:szCs w:val="24"/>
          <w:lang w:val="fr-FR"/>
        </w:rPr>
      </w:pPr>
      <w:r w:rsidRPr="006D14BE">
        <w:rPr>
          <w:rFonts w:ascii="Times New Roman" w:hAnsi="Times New Roman"/>
          <w:b w:val="0"/>
          <w:bCs w:val="0"/>
          <w:i w:val="0"/>
          <w:iCs/>
          <w:sz w:val="24"/>
          <w:szCs w:val="24"/>
          <w:lang w:val="fr-FR"/>
        </w:rPr>
        <w:t xml:space="preserve"> </w:t>
      </w:r>
    </w:p>
    <w:p w14:paraId="6777712F" w14:textId="2B85342B" w:rsidR="00737D08" w:rsidRPr="001453D6" w:rsidRDefault="005146A3" w:rsidP="00737D08">
      <w:pPr>
        <w:spacing w:after="0"/>
        <w:rPr>
          <w:b/>
          <w:szCs w:val="24"/>
        </w:rPr>
      </w:pPr>
      <w:r w:rsidRPr="001453D6">
        <w:rPr>
          <w:b/>
          <w:szCs w:val="24"/>
        </w:rPr>
        <w:t>PARTIE B : DEBLAIS ET REMBLAIS</w:t>
      </w:r>
    </w:p>
    <w:p w14:paraId="452CD6B8" w14:textId="77777777" w:rsidR="00A70068" w:rsidRPr="001453D6" w:rsidRDefault="00A70068" w:rsidP="00737D08">
      <w:pPr>
        <w:spacing w:after="0"/>
        <w:rPr>
          <w:b/>
          <w:szCs w:val="24"/>
        </w:rPr>
      </w:pPr>
    </w:p>
    <w:p w14:paraId="6C3E046B" w14:textId="53C1998F" w:rsidR="00737D08" w:rsidRPr="001453D6" w:rsidRDefault="00737D08" w:rsidP="00737D08">
      <w:pPr>
        <w:spacing w:after="0"/>
        <w:rPr>
          <w:b/>
          <w:szCs w:val="24"/>
        </w:rPr>
      </w:pPr>
      <w:r w:rsidRPr="001453D6">
        <w:rPr>
          <w:b/>
          <w:szCs w:val="24"/>
        </w:rPr>
        <w:t xml:space="preserve">1. GENERALITES </w:t>
      </w:r>
    </w:p>
    <w:p w14:paraId="6D98B51E" w14:textId="77777777" w:rsidR="00A70068" w:rsidRPr="001453D6" w:rsidRDefault="00A70068" w:rsidP="00737D08">
      <w:pPr>
        <w:spacing w:after="0"/>
        <w:rPr>
          <w:b/>
          <w:szCs w:val="24"/>
        </w:rPr>
      </w:pPr>
    </w:p>
    <w:p w14:paraId="223C6FBD" w14:textId="695E9C22" w:rsidR="00737D08" w:rsidRPr="001453D6" w:rsidRDefault="00737D08" w:rsidP="00737D08">
      <w:pPr>
        <w:spacing w:after="0"/>
        <w:rPr>
          <w:b/>
          <w:szCs w:val="24"/>
        </w:rPr>
      </w:pPr>
      <w:r w:rsidRPr="001453D6">
        <w:rPr>
          <w:b/>
          <w:szCs w:val="24"/>
        </w:rPr>
        <w:t xml:space="preserve">1.1 TRAVAUX INCLUS </w:t>
      </w:r>
    </w:p>
    <w:p w14:paraId="03976AAC" w14:textId="77777777" w:rsidR="00737D08" w:rsidRPr="001453D6" w:rsidRDefault="00737D08" w:rsidP="005146A3">
      <w:pPr>
        <w:spacing w:after="0"/>
        <w:ind w:left="0" w:firstLine="0"/>
        <w:rPr>
          <w:szCs w:val="24"/>
        </w:rPr>
      </w:pPr>
      <w:r w:rsidRPr="001453D6">
        <w:rPr>
          <w:szCs w:val="24"/>
        </w:rPr>
        <w:t xml:space="preserve">Les travaux de cet article concernent le décapage, les déblais et remblais relatifs aux travaux indiqués à l’article ci-avant, à l’exception des fouilles d’ouvrages. </w:t>
      </w:r>
    </w:p>
    <w:p w14:paraId="62E4071F" w14:textId="77777777" w:rsidR="00737D08" w:rsidRPr="001453D6" w:rsidRDefault="00737D08" w:rsidP="00737D08">
      <w:pPr>
        <w:spacing w:after="0"/>
        <w:rPr>
          <w:szCs w:val="24"/>
        </w:rPr>
      </w:pPr>
    </w:p>
    <w:p w14:paraId="60F22AC5" w14:textId="77777777" w:rsidR="00737D08" w:rsidRPr="001453D6" w:rsidRDefault="00737D08" w:rsidP="00737D08">
      <w:pPr>
        <w:spacing w:after="0"/>
        <w:rPr>
          <w:b/>
          <w:szCs w:val="24"/>
        </w:rPr>
      </w:pPr>
      <w:r w:rsidRPr="001453D6">
        <w:rPr>
          <w:b/>
          <w:szCs w:val="24"/>
        </w:rPr>
        <w:t xml:space="preserve">1.2 DESCRIPTION </w:t>
      </w:r>
    </w:p>
    <w:p w14:paraId="65489C11" w14:textId="77777777" w:rsidR="00A70068" w:rsidRPr="001453D6" w:rsidRDefault="00A70068" w:rsidP="00737D08">
      <w:pPr>
        <w:spacing w:after="0"/>
        <w:rPr>
          <w:szCs w:val="24"/>
        </w:rPr>
      </w:pPr>
    </w:p>
    <w:p w14:paraId="455FA0BB" w14:textId="2B869681" w:rsidR="00737D08" w:rsidRPr="001453D6" w:rsidRDefault="00737D08" w:rsidP="00737D08">
      <w:pPr>
        <w:spacing w:after="0"/>
        <w:rPr>
          <w:szCs w:val="24"/>
        </w:rPr>
      </w:pPr>
      <w:r w:rsidRPr="001453D6">
        <w:rPr>
          <w:szCs w:val="24"/>
        </w:rPr>
        <w:t xml:space="preserve">1.2.1 Les déblais sont généralement en terrain meuble ne nécessitant ni l’intervention d’un </w:t>
      </w:r>
      <w:r w:rsidR="005146A3" w:rsidRPr="001453D6">
        <w:rPr>
          <w:szCs w:val="24"/>
        </w:rPr>
        <w:t>ripper ni l'emploi d'explosifs.</w:t>
      </w:r>
    </w:p>
    <w:p w14:paraId="3BB1AE06" w14:textId="77777777" w:rsidR="005146A3" w:rsidRPr="001453D6" w:rsidRDefault="005146A3" w:rsidP="00737D08">
      <w:pPr>
        <w:spacing w:after="0"/>
        <w:rPr>
          <w:szCs w:val="24"/>
        </w:rPr>
      </w:pPr>
    </w:p>
    <w:p w14:paraId="00A6059F" w14:textId="6D2767AA" w:rsidR="00737D08" w:rsidRPr="001453D6" w:rsidRDefault="00737D08" w:rsidP="00737D08">
      <w:pPr>
        <w:spacing w:after="0"/>
        <w:rPr>
          <w:szCs w:val="24"/>
        </w:rPr>
      </w:pPr>
      <w:r w:rsidRPr="001453D6">
        <w:rPr>
          <w:szCs w:val="24"/>
        </w:rPr>
        <w:t>1.2.2 L'Entrepreneur exécutera les profils et les talus des excavations conformément aux dessins d</w:t>
      </w:r>
      <w:r w:rsidR="005146A3" w:rsidRPr="001453D6">
        <w:rPr>
          <w:szCs w:val="24"/>
        </w:rPr>
        <w:t>'exécution aux tolérances prés.</w:t>
      </w:r>
    </w:p>
    <w:p w14:paraId="1BC0DC0C" w14:textId="77777777" w:rsidR="005146A3" w:rsidRPr="001453D6" w:rsidRDefault="005146A3" w:rsidP="00737D08">
      <w:pPr>
        <w:spacing w:after="0"/>
        <w:rPr>
          <w:szCs w:val="24"/>
        </w:rPr>
      </w:pPr>
    </w:p>
    <w:p w14:paraId="7C325683" w14:textId="05A59624" w:rsidR="00737D08" w:rsidRPr="001453D6" w:rsidRDefault="00737D08" w:rsidP="005146A3">
      <w:pPr>
        <w:spacing w:after="0"/>
        <w:ind w:left="0" w:firstLine="0"/>
        <w:rPr>
          <w:szCs w:val="24"/>
        </w:rPr>
      </w:pPr>
      <w:r w:rsidRPr="001453D6">
        <w:rPr>
          <w:szCs w:val="24"/>
        </w:rPr>
        <w:t>L'Entrepreneur sera tenu de prendre toutes précautions nécessaires pour assurer la stabilité des talus pendant exécution.  Il est responsable de cette stabilité et de toutes les conséq</w:t>
      </w:r>
      <w:r w:rsidR="005146A3" w:rsidRPr="001453D6">
        <w:rPr>
          <w:szCs w:val="24"/>
        </w:rPr>
        <w:t>uences d'éboulements éventuels.</w:t>
      </w:r>
    </w:p>
    <w:p w14:paraId="3C7D840C" w14:textId="77777777" w:rsidR="005146A3" w:rsidRPr="001453D6" w:rsidRDefault="005146A3" w:rsidP="005146A3">
      <w:pPr>
        <w:spacing w:after="0"/>
        <w:ind w:left="0" w:firstLine="0"/>
        <w:rPr>
          <w:szCs w:val="24"/>
        </w:rPr>
      </w:pPr>
    </w:p>
    <w:p w14:paraId="322DD0CF" w14:textId="77777777" w:rsidR="00737D08" w:rsidRPr="001453D6" w:rsidRDefault="00737D08" w:rsidP="00737D08">
      <w:pPr>
        <w:spacing w:after="0"/>
        <w:rPr>
          <w:szCs w:val="24"/>
        </w:rPr>
      </w:pPr>
      <w:r w:rsidRPr="001453D6">
        <w:rPr>
          <w:szCs w:val="24"/>
        </w:rPr>
        <w:t xml:space="preserve">1.2.3 Les déblais entrant dans le cadre de la réalisation des endiguements, des canaux, des pistes et des fosses sont considérés comme des déblais en grande masse. </w:t>
      </w:r>
    </w:p>
    <w:p w14:paraId="22B065E6" w14:textId="4E752476" w:rsidR="00737D08" w:rsidRPr="001453D6" w:rsidRDefault="005146A3" w:rsidP="00737D08">
      <w:pPr>
        <w:spacing w:after="0"/>
        <w:rPr>
          <w:szCs w:val="24"/>
        </w:rPr>
      </w:pPr>
      <w:r w:rsidRPr="001453D6">
        <w:rPr>
          <w:szCs w:val="24"/>
        </w:rPr>
        <w:t>Les déblais seront soit :</w:t>
      </w:r>
    </w:p>
    <w:p w14:paraId="153EA776" w14:textId="77777777" w:rsidR="005146A3" w:rsidRPr="001453D6" w:rsidRDefault="00737D08" w:rsidP="005146A3">
      <w:pPr>
        <w:spacing w:after="0"/>
        <w:ind w:left="142" w:hanging="142"/>
        <w:rPr>
          <w:szCs w:val="24"/>
        </w:rPr>
      </w:pPr>
      <w:r w:rsidRPr="001453D6">
        <w:rPr>
          <w:szCs w:val="24"/>
        </w:rPr>
        <w:t>- mis en dépôt provisoire en vue d'un réemploi en remblais ;</w:t>
      </w:r>
    </w:p>
    <w:p w14:paraId="1CEE3F79" w14:textId="77777777" w:rsidR="005146A3" w:rsidRPr="001453D6" w:rsidRDefault="00737D08" w:rsidP="005146A3">
      <w:pPr>
        <w:spacing w:after="0"/>
        <w:ind w:left="142" w:hanging="142"/>
        <w:rPr>
          <w:szCs w:val="24"/>
        </w:rPr>
      </w:pPr>
      <w:r w:rsidRPr="001453D6">
        <w:rPr>
          <w:szCs w:val="24"/>
        </w:rPr>
        <w:t xml:space="preserve">- mis en remblais directement ; </w:t>
      </w:r>
    </w:p>
    <w:p w14:paraId="6441F415" w14:textId="59BF5A0B" w:rsidR="00737D08" w:rsidRPr="001453D6" w:rsidRDefault="00737D08" w:rsidP="005146A3">
      <w:pPr>
        <w:spacing w:after="0"/>
        <w:ind w:left="142" w:hanging="142"/>
        <w:rPr>
          <w:szCs w:val="24"/>
        </w:rPr>
      </w:pPr>
      <w:r w:rsidRPr="001453D6">
        <w:rPr>
          <w:szCs w:val="24"/>
        </w:rPr>
        <w:t xml:space="preserve">- mis en dépôt définitif sans réemploi. </w:t>
      </w:r>
    </w:p>
    <w:p w14:paraId="513DA710" w14:textId="77777777" w:rsidR="00737D08" w:rsidRPr="001453D6" w:rsidRDefault="00737D08" w:rsidP="00737D08">
      <w:pPr>
        <w:spacing w:after="0"/>
        <w:rPr>
          <w:szCs w:val="24"/>
        </w:rPr>
      </w:pPr>
      <w:r w:rsidRPr="001453D6">
        <w:rPr>
          <w:szCs w:val="24"/>
        </w:rPr>
        <w:t xml:space="preserve"> </w:t>
      </w:r>
    </w:p>
    <w:p w14:paraId="453EFE0F" w14:textId="0C394EDA" w:rsidR="00737D08" w:rsidRPr="001453D6" w:rsidRDefault="00737D08" w:rsidP="005146A3">
      <w:pPr>
        <w:spacing w:after="0"/>
        <w:ind w:left="0" w:firstLine="0"/>
        <w:rPr>
          <w:szCs w:val="24"/>
        </w:rPr>
      </w:pPr>
      <w:r w:rsidRPr="001453D6">
        <w:rPr>
          <w:szCs w:val="24"/>
        </w:rPr>
        <w:t>Les emplacements des dépôts provisoires ou non seront proposés par l’Entreprene</w:t>
      </w:r>
      <w:r w:rsidR="00A70068" w:rsidRPr="001453D6">
        <w:rPr>
          <w:szCs w:val="24"/>
        </w:rPr>
        <w:t>ur à l’agrément de l’Ingénieur.</w:t>
      </w:r>
    </w:p>
    <w:p w14:paraId="0D92AAA2" w14:textId="77777777" w:rsidR="00A70068" w:rsidRPr="001453D6" w:rsidRDefault="00A70068" w:rsidP="005146A3">
      <w:pPr>
        <w:spacing w:after="0"/>
        <w:ind w:left="0" w:firstLine="0"/>
        <w:rPr>
          <w:szCs w:val="24"/>
        </w:rPr>
      </w:pPr>
    </w:p>
    <w:p w14:paraId="1CA558D9" w14:textId="77777777" w:rsidR="00737D08" w:rsidRPr="001453D6" w:rsidRDefault="00737D08" w:rsidP="00737D08">
      <w:pPr>
        <w:spacing w:after="0"/>
        <w:rPr>
          <w:szCs w:val="24"/>
        </w:rPr>
      </w:pPr>
      <w:r w:rsidRPr="001453D6">
        <w:rPr>
          <w:szCs w:val="24"/>
        </w:rPr>
        <w:t xml:space="preserve">1.2.4 Le déblai provenant des cuvettes, des canaux ou des zones d'emprunts sera régalé pour recharger la plate-forme des cavaliers. La surface sera ensuite compactée (suivant le cas) par des allers et retours des engins suivants : </w:t>
      </w:r>
    </w:p>
    <w:p w14:paraId="3CBECAB5" w14:textId="793A2B3B" w:rsidR="005146A3" w:rsidRPr="001453D6" w:rsidRDefault="00737D08" w:rsidP="00A70068">
      <w:pPr>
        <w:spacing w:after="0"/>
        <w:ind w:left="709" w:hanging="142"/>
        <w:rPr>
          <w:szCs w:val="24"/>
        </w:rPr>
      </w:pPr>
      <w:r w:rsidRPr="001453D6">
        <w:rPr>
          <w:szCs w:val="24"/>
        </w:rPr>
        <w:t xml:space="preserve">- soit un compacteur à pneu d'une charge minimale de </w:t>
      </w:r>
      <w:r w:rsidR="007F3823" w:rsidRPr="001453D6">
        <w:rPr>
          <w:szCs w:val="24"/>
        </w:rPr>
        <w:t>5</w:t>
      </w:r>
      <w:r w:rsidRPr="001453D6">
        <w:rPr>
          <w:szCs w:val="24"/>
        </w:rPr>
        <w:t xml:space="preserve"> tonnes par roues avec une vitesse n'excédant pas 6 km/h.</w:t>
      </w:r>
    </w:p>
    <w:p w14:paraId="0E4E36AE" w14:textId="77763392" w:rsidR="00737D08" w:rsidRPr="001453D6" w:rsidRDefault="00737D08" w:rsidP="00A70068">
      <w:pPr>
        <w:spacing w:after="0"/>
        <w:ind w:left="709" w:hanging="142"/>
        <w:rPr>
          <w:szCs w:val="24"/>
        </w:rPr>
      </w:pPr>
      <w:r w:rsidRPr="001453D6">
        <w:rPr>
          <w:szCs w:val="24"/>
        </w:rPr>
        <w:t xml:space="preserve">- soit d'un compacteur </w:t>
      </w:r>
      <w:r w:rsidR="00A24563" w:rsidRPr="001453D6">
        <w:rPr>
          <w:szCs w:val="24"/>
        </w:rPr>
        <w:t>à</w:t>
      </w:r>
      <w:r w:rsidRPr="001453D6">
        <w:rPr>
          <w:szCs w:val="24"/>
        </w:rPr>
        <w:t xml:space="preserve"> bille vibrante d'une charge statique minimale par unité de largeur 40 kg/cm, d'une force centrifuge totale minimale de 15000 </w:t>
      </w:r>
      <w:proofErr w:type="spellStart"/>
      <w:r w:rsidRPr="001453D6">
        <w:rPr>
          <w:szCs w:val="24"/>
        </w:rPr>
        <w:t>daN</w:t>
      </w:r>
      <w:proofErr w:type="spellEnd"/>
      <w:r w:rsidRPr="001453D6">
        <w:rPr>
          <w:szCs w:val="24"/>
        </w:rPr>
        <w:t xml:space="preserve"> à une vitesse n’excédant pas 2 km/h. </w:t>
      </w:r>
    </w:p>
    <w:p w14:paraId="69946D60" w14:textId="5E177584" w:rsidR="00737D08" w:rsidRPr="001453D6" w:rsidRDefault="00737D08" w:rsidP="00737D08">
      <w:pPr>
        <w:spacing w:after="0"/>
        <w:rPr>
          <w:szCs w:val="24"/>
        </w:rPr>
      </w:pPr>
    </w:p>
    <w:p w14:paraId="7E34F69B" w14:textId="77777777" w:rsidR="00737D08" w:rsidRPr="001453D6" w:rsidRDefault="00737D08" w:rsidP="00737D08">
      <w:pPr>
        <w:spacing w:after="0"/>
        <w:rPr>
          <w:b/>
          <w:szCs w:val="24"/>
        </w:rPr>
      </w:pPr>
      <w:r w:rsidRPr="001453D6">
        <w:rPr>
          <w:b/>
          <w:szCs w:val="24"/>
        </w:rPr>
        <w:t xml:space="preserve">1.3 ASSURANCE DE QUALITE - RECONNAISSANCES </w:t>
      </w:r>
    </w:p>
    <w:p w14:paraId="50E58661" w14:textId="77777777" w:rsidR="00737D08" w:rsidRPr="001453D6" w:rsidRDefault="00737D08" w:rsidP="00737D08">
      <w:pPr>
        <w:spacing w:after="0"/>
        <w:rPr>
          <w:szCs w:val="24"/>
        </w:rPr>
      </w:pPr>
      <w:r w:rsidRPr="001453D6">
        <w:rPr>
          <w:szCs w:val="24"/>
        </w:rPr>
        <w:t xml:space="preserve">L'Entrepreneur effectuera selon les indications détaillées de l'Ingénieur des reconnaissances et essais d'identification pour les matériaux des zones d'emprunt et pour les matériaux provenant des déblais de canaux et cavaliers à utiliser en remblai compacté à l’OPN ou en remblai ordinaire. Les essais d'identification porteront pour chaque 1000 m3 en moyenne sur : </w:t>
      </w:r>
    </w:p>
    <w:p w14:paraId="10610AA3" w14:textId="080C763F" w:rsidR="00737D08" w:rsidRPr="001453D6" w:rsidRDefault="00A70068" w:rsidP="002A45C1">
      <w:pPr>
        <w:pStyle w:val="Paragraphedeliste"/>
        <w:numPr>
          <w:ilvl w:val="0"/>
          <w:numId w:val="78"/>
        </w:numPr>
        <w:spacing w:after="0"/>
        <w:jc w:val="left"/>
        <w:rPr>
          <w:szCs w:val="24"/>
        </w:rPr>
      </w:pPr>
      <w:r w:rsidRPr="001453D6">
        <w:rPr>
          <w:szCs w:val="24"/>
        </w:rPr>
        <w:t>Granulométrie (</w:t>
      </w:r>
      <w:r w:rsidR="00737D08" w:rsidRPr="001453D6">
        <w:rPr>
          <w:szCs w:val="24"/>
        </w:rPr>
        <w:t xml:space="preserve">2 essais) </w:t>
      </w:r>
    </w:p>
    <w:p w14:paraId="75E1C90E" w14:textId="77777777" w:rsidR="00737D08" w:rsidRPr="001453D6" w:rsidRDefault="00737D08" w:rsidP="002A45C1">
      <w:pPr>
        <w:pStyle w:val="Paragraphedeliste"/>
        <w:numPr>
          <w:ilvl w:val="0"/>
          <w:numId w:val="78"/>
        </w:numPr>
        <w:spacing w:after="0"/>
        <w:jc w:val="left"/>
        <w:rPr>
          <w:szCs w:val="24"/>
        </w:rPr>
      </w:pPr>
      <w:r w:rsidRPr="001453D6">
        <w:rPr>
          <w:szCs w:val="24"/>
        </w:rPr>
        <w:t>Limites d'</w:t>
      </w:r>
      <w:proofErr w:type="spellStart"/>
      <w:r w:rsidRPr="001453D6">
        <w:rPr>
          <w:szCs w:val="24"/>
        </w:rPr>
        <w:t>Atterberg</w:t>
      </w:r>
      <w:proofErr w:type="spellEnd"/>
      <w:r w:rsidRPr="001453D6">
        <w:rPr>
          <w:szCs w:val="24"/>
        </w:rPr>
        <w:t xml:space="preserve"> (2 essais) </w:t>
      </w:r>
    </w:p>
    <w:p w14:paraId="71EB26FA" w14:textId="64355320" w:rsidR="00737D08" w:rsidRPr="001453D6" w:rsidRDefault="00737D08" w:rsidP="00737D08">
      <w:pPr>
        <w:spacing w:after="0"/>
        <w:rPr>
          <w:szCs w:val="24"/>
        </w:rPr>
      </w:pPr>
      <w:r w:rsidRPr="001453D6">
        <w:rPr>
          <w:szCs w:val="24"/>
        </w:rPr>
        <w:t xml:space="preserve">De plus, un essai </w:t>
      </w:r>
      <w:r w:rsidR="00A24563" w:rsidRPr="001453D6">
        <w:rPr>
          <w:szCs w:val="24"/>
        </w:rPr>
        <w:t>Proctor</w:t>
      </w:r>
      <w:r w:rsidRPr="001453D6">
        <w:rPr>
          <w:szCs w:val="24"/>
        </w:rPr>
        <w:t xml:space="preserve"> Normal sera effectué en moyenne pour chaque 1000 m3 de matériau destiné à la confection de remblai compacté à l'OPN. </w:t>
      </w:r>
    </w:p>
    <w:p w14:paraId="65433FA0" w14:textId="77777777" w:rsidR="00737D08" w:rsidRPr="001453D6" w:rsidRDefault="00737D08" w:rsidP="00737D08">
      <w:pPr>
        <w:spacing w:after="0"/>
        <w:rPr>
          <w:szCs w:val="24"/>
        </w:rPr>
      </w:pPr>
    </w:p>
    <w:p w14:paraId="5FECD23C" w14:textId="77777777" w:rsidR="00737D08" w:rsidRPr="001453D6" w:rsidRDefault="00737D08" w:rsidP="00737D08">
      <w:pPr>
        <w:spacing w:after="0"/>
        <w:rPr>
          <w:b/>
          <w:szCs w:val="24"/>
        </w:rPr>
      </w:pPr>
      <w:r w:rsidRPr="001453D6">
        <w:rPr>
          <w:b/>
          <w:szCs w:val="24"/>
        </w:rPr>
        <w:t xml:space="preserve">1.4 NORMES ET REGLEMENTS </w:t>
      </w:r>
    </w:p>
    <w:p w14:paraId="1B4A4455" w14:textId="77777777" w:rsidR="00737D08" w:rsidRPr="001453D6" w:rsidRDefault="00737D08" w:rsidP="007F3823">
      <w:pPr>
        <w:spacing w:after="0"/>
        <w:ind w:left="0" w:firstLine="0"/>
        <w:rPr>
          <w:szCs w:val="24"/>
        </w:rPr>
      </w:pPr>
      <w:r w:rsidRPr="001453D6">
        <w:rPr>
          <w:szCs w:val="24"/>
        </w:rPr>
        <w:t xml:space="preserve">Les travaux seront réalisés en conformité avec les prescriptions du fascicule 2 (Chapitre 1 et 2) du CCTG français. </w:t>
      </w:r>
    </w:p>
    <w:p w14:paraId="0B2C2003" w14:textId="7AA9363A" w:rsidR="00737D08" w:rsidRPr="001453D6" w:rsidRDefault="00737D08" w:rsidP="007F3823">
      <w:pPr>
        <w:spacing w:after="0"/>
        <w:ind w:left="0" w:firstLine="0"/>
        <w:rPr>
          <w:szCs w:val="24"/>
        </w:rPr>
      </w:pPr>
      <w:r w:rsidRPr="001453D6">
        <w:rPr>
          <w:szCs w:val="24"/>
        </w:rPr>
        <w:t>Les essais de laboratoire seront réalisés en conformité avec les modes opérations du Laboratoire Central des Ponts et Chaussés franç</w:t>
      </w:r>
      <w:r w:rsidR="007F3823" w:rsidRPr="001453D6">
        <w:rPr>
          <w:szCs w:val="24"/>
        </w:rPr>
        <w:t>ais (LCPC) lorsqu'ils existent.</w:t>
      </w:r>
    </w:p>
    <w:p w14:paraId="4892526B" w14:textId="77777777" w:rsidR="007F3823" w:rsidRPr="001453D6" w:rsidRDefault="007F3823" w:rsidP="00737D08">
      <w:pPr>
        <w:spacing w:after="0"/>
        <w:rPr>
          <w:szCs w:val="24"/>
        </w:rPr>
      </w:pPr>
    </w:p>
    <w:p w14:paraId="36D4D03B" w14:textId="77777777" w:rsidR="00737D08" w:rsidRPr="001453D6" w:rsidRDefault="00737D08" w:rsidP="00737D08">
      <w:pPr>
        <w:spacing w:after="0"/>
        <w:rPr>
          <w:b/>
          <w:szCs w:val="24"/>
        </w:rPr>
      </w:pPr>
      <w:r w:rsidRPr="001453D6">
        <w:rPr>
          <w:b/>
          <w:szCs w:val="24"/>
        </w:rPr>
        <w:t xml:space="preserve">1.5 DOCUMENTS A REMETTRE </w:t>
      </w:r>
    </w:p>
    <w:p w14:paraId="1D4549AB" w14:textId="189DEEE4" w:rsidR="00737D08" w:rsidRPr="001453D6" w:rsidRDefault="007F3823" w:rsidP="002A45C1">
      <w:pPr>
        <w:pStyle w:val="Paragraphedeliste"/>
        <w:numPr>
          <w:ilvl w:val="0"/>
          <w:numId w:val="78"/>
        </w:numPr>
        <w:spacing w:after="0"/>
        <w:jc w:val="left"/>
        <w:rPr>
          <w:szCs w:val="24"/>
        </w:rPr>
      </w:pPr>
      <w:r w:rsidRPr="001453D6">
        <w:rPr>
          <w:szCs w:val="24"/>
        </w:rPr>
        <w:t>Relevés</w:t>
      </w:r>
      <w:r w:rsidR="00737D08" w:rsidRPr="001453D6">
        <w:rPr>
          <w:szCs w:val="24"/>
        </w:rPr>
        <w:t xml:space="preserve"> avant exécution ; </w:t>
      </w:r>
    </w:p>
    <w:p w14:paraId="0627DD9F" w14:textId="77777777" w:rsidR="00737D08" w:rsidRPr="001453D6" w:rsidRDefault="00737D08" w:rsidP="002A45C1">
      <w:pPr>
        <w:pStyle w:val="Paragraphedeliste"/>
        <w:numPr>
          <w:ilvl w:val="0"/>
          <w:numId w:val="78"/>
        </w:numPr>
        <w:spacing w:after="0"/>
        <w:jc w:val="left"/>
        <w:rPr>
          <w:szCs w:val="24"/>
        </w:rPr>
      </w:pPr>
      <w:r w:rsidRPr="001453D6">
        <w:rPr>
          <w:szCs w:val="24"/>
        </w:rPr>
        <w:t xml:space="preserve">Plans d'exécution basés sur les relevés avant exécution ; </w:t>
      </w:r>
    </w:p>
    <w:p w14:paraId="426DCE97" w14:textId="77777777" w:rsidR="00737D08" w:rsidRPr="001453D6" w:rsidRDefault="00737D08" w:rsidP="002A45C1">
      <w:pPr>
        <w:pStyle w:val="Paragraphedeliste"/>
        <w:numPr>
          <w:ilvl w:val="0"/>
          <w:numId w:val="78"/>
        </w:numPr>
        <w:spacing w:after="0"/>
        <w:jc w:val="left"/>
        <w:rPr>
          <w:szCs w:val="24"/>
        </w:rPr>
      </w:pPr>
      <w:r w:rsidRPr="001453D6">
        <w:rPr>
          <w:szCs w:val="24"/>
        </w:rPr>
        <w:t xml:space="preserve">Résultats de reconnaissances et essais. </w:t>
      </w:r>
    </w:p>
    <w:p w14:paraId="313AAF33" w14:textId="77777777" w:rsidR="00D426B5" w:rsidRPr="001453D6" w:rsidRDefault="00D426B5" w:rsidP="00737D08">
      <w:pPr>
        <w:spacing w:after="0"/>
        <w:rPr>
          <w:szCs w:val="24"/>
        </w:rPr>
      </w:pPr>
    </w:p>
    <w:p w14:paraId="253FFC2D" w14:textId="77777777" w:rsidR="00737D08" w:rsidRPr="001453D6" w:rsidRDefault="00737D08" w:rsidP="00737D08">
      <w:pPr>
        <w:spacing w:after="0"/>
        <w:rPr>
          <w:szCs w:val="24"/>
        </w:rPr>
      </w:pPr>
      <w:r w:rsidRPr="001453D6">
        <w:rPr>
          <w:b/>
          <w:szCs w:val="24"/>
        </w:rPr>
        <w:t>2.1 DEFINITION DES MATERIAUX</w:t>
      </w:r>
      <w:r w:rsidRPr="001453D6">
        <w:rPr>
          <w:szCs w:val="24"/>
        </w:rPr>
        <w:t xml:space="preserve"> </w:t>
      </w:r>
    </w:p>
    <w:p w14:paraId="22BA1055" w14:textId="77777777" w:rsidR="00737D08" w:rsidRPr="001453D6" w:rsidRDefault="00737D08" w:rsidP="00737D08">
      <w:pPr>
        <w:spacing w:after="0"/>
        <w:rPr>
          <w:szCs w:val="24"/>
        </w:rPr>
      </w:pPr>
      <w:r w:rsidRPr="001453D6">
        <w:rPr>
          <w:szCs w:val="24"/>
        </w:rPr>
        <w:t xml:space="preserve">Les matériaux utilisés en remblai compacté à l'OPN et en remblai ordinaire auront les caractéristiques suivantes : </w:t>
      </w:r>
    </w:p>
    <w:p w14:paraId="57115961" w14:textId="695A4507" w:rsidR="00737D08" w:rsidRPr="001453D6" w:rsidRDefault="00737D08" w:rsidP="002A45C1">
      <w:pPr>
        <w:pStyle w:val="Paragraphedeliste"/>
        <w:numPr>
          <w:ilvl w:val="0"/>
          <w:numId w:val="87"/>
        </w:numPr>
        <w:spacing w:after="0"/>
        <w:jc w:val="left"/>
        <w:rPr>
          <w:szCs w:val="24"/>
        </w:rPr>
      </w:pPr>
      <w:r w:rsidRPr="001453D6">
        <w:rPr>
          <w:szCs w:val="24"/>
        </w:rPr>
        <w:t xml:space="preserve">Matières végétales ou organiques   </w:t>
      </w:r>
      <w:r w:rsidR="0090710F" w:rsidRPr="001453D6">
        <w:rPr>
          <w:szCs w:val="24"/>
        </w:rPr>
        <w:t xml:space="preserve">inférieures </w:t>
      </w:r>
      <w:proofErr w:type="spellStart"/>
      <w:r w:rsidR="0090710F" w:rsidRPr="001453D6">
        <w:rPr>
          <w:szCs w:val="24"/>
        </w:rPr>
        <w:t>a</w:t>
      </w:r>
      <w:proofErr w:type="spellEnd"/>
      <w:r w:rsidR="0090710F" w:rsidRPr="001453D6">
        <w:rPr>
          <w:szCs w:val="24"/>
        </w:rPr>
        <w:t xml:space="preserve"> 3%</w:t>
      </w:r>
      <w:r w:rsidRPr="001453D6">
        <w:rPr>
          <w:szCs w:val="24"/>
        </w:rPr>
        <w:t xml:space="preserve">, </w:t>
      </w:r>
    </w:p>
    <w:p w14:paraId="4F9EC989" w14:textId="4BF089B2" w:rsidR="00737D08" w:rsidRPr="001453D6" w:rsidRDefault="00737D08" w:rsidP="002A45C1">
      <w:pPr>
        <w:pStyle w:val="Paragraphedeliste"/>
        <w:numPr>
          <w:ilvl w:val="0"/>
          <w:numId w:val="87"/>
        </w:numPr>
        <w:spacing w:after="0"/>
        <w:jc w:val="left"/>
        <w:rPr>
          <w:szCs w:val="24"/>
        </w:rPr>
      </w:pPr>
      <w:r w:rsidRPr="001453D6">
        <w:rPr>
          <w:szCs w:val="24"/>
        </w:rPr>
        <w:t>Indice de plasticité (</w:t>
      </w:r>
      <w:r w:rsidR="00A70068" w:rsidRPr="001453D6">
        <w:rPr>
          <w:szCs w:val="24"/>
        </w:rPr>
        <w:t>IP) supérieur</w:t>
      </w:r>
      <w:r w:rsidRPr="001453D6">
        <w:rPr>
          <w:szCs w:val="24"/>
        </w:rPr>
        <w:t xml:space="preserve"> </w:t>
      </w:r>
      <w:r w:rsidR="0090710F" w:rsidRPr="001453D6">
        <w:rPr>
          <w:szCs w:val="24"/>
        </w:rPr>
        <w:t>entre 10 et 25</w:t>
      </w:r>
    </w:p>
    <w:p w14:paraId="19A66ACF" w14:textId="6082791E" w:rsidR="00737D08" w:rsidRPr="001453D6" w:rsidRDefault="00737D08" w:rsidP="002A45C1">
      <w:pPr>
        <w:pStyle w:val="Paragraphedeliste"/>
        <w:numPr>
          <w:ilvl w:val="0"/>
          <w:numId w:val="87"/>
        </w:numPr>
        <w:spacing w:after="0"/>
        <w:jc w:val="left"/>
        <w:rPr>
          <w:szCs w:val="24"/>
        </w:rPr>
      </w:pPr>
      <w:r w:rsidRPr="001453D6">
        <w:rPr>
          <w:szCs w:val="24"/>
        </w:rPr>
        <w:t xml:space="preserve">Passant au tamis de 80 </w:t>
      </w:r>
      <w:r w:rsidR="00A70068" w:rsidRPr="001453D6">
        <w:rPr>
          <w:szCs w:val="24"/>
        </w:rPr>
        <w:t>micromètres supérieur</w:t>
      </w:r>
      <w:r w:rsidRPr="001453D6">
        <w:rPr>
          <w:szCs w:val="24"/>
        </w:rPr>
        <w:t xml:space="preserve"> à </w:t>
      </w:r>
      <w:r w:rsidR="0090710F" w:rsidRPr="001453D6">
        <w:rPr>
          <w:szCs w:val="24"/>
        </w:rPr>
        <w:t>8</w:t>
      </w:r>
      <w:r w:rsidRPr="001453D6">
        <w:rPr>
          <w:szCs w:val="24"/>
        </w:rPr>
        <w:t xml:space="preserve">0%, </w:t>
      </w:r>
    </w:p>
    <w:p w14:paraId="205C391B" w14:textId="77777777" w:rsidR="00737D08" w:rsidRPr="001453D6" w:rsidRDefault="00737D08" w:rsidP="00737D08">
      <w:pPr>
        <w:spacing w:after="0"/>
        <w:rPr>
          <w:szCs w:val="24"/>
        </w:rPr>
      </w:pPr>
      <w:r w:rsidRPr="001453D6">
        <w:rPr>
          <w:szCs w:val="24"/>
        </w:rPr>
        <w:t xml:space="preserve">Tous les autres matériaux seront considérés comme impropres à la construction de remblais. </w:t>
      </w:r>
    </w:p>
    <w:p w14:paraId="0D07733D" w14:textId="77777777" w:rsidR="00737D08" w:rsidRPr="001453D6" w:rsidRDefault="00737D08" w:rsidP="00737D08">
      <w:pPr>
        <w:spacing w:after="0"/>
        <w:rPr>
          <w:szCs w:val="24"/>
        </w:rPr>
      </w:pPr>
    </w:p>
    <w:p w14:paraId="71DCA800" w14:textId="4C3AEF4A" w:rsidR="00737D08" w:rsidRPr="001453D6" w:rsidRDefault="007F3823" w:rsidP="00737D08">
      <w:pPr>
        <w:spacing w:after="0"/>
        <w:rPr>
          <w:szCs w:val="24"/>
        </w:rPr>
      </w:pPr>
      <w:r w:rsidRPr="001453D6">
        <w:rPr>
          <w:b/>
          <w:szCs w:val="24"/>
        </w:rPr>
        <w:t>2.2 PREPARATION</w:t>
      </w:r>
      <w:r w:rsidR="00737D08" w:rsidRPr="001453D6">
        <w:rPr>
          <w:szCs w:val="24"/>
        </w:rPr>
        <w:t xml:space="preserve"> </w:t>
      </w:r>
    </w:p>
    <w:p w14:paraId="5C6589F4" w14:textId="77777777" w:rsidR="00A70068" w:rsidRPr="001453D6" w:rsidRDefault="00A70068" w:rsidP="00A70068">
      <w:pPr>
        <w:spacing w:after="0"/>
        <w:ind w:left="284" w:firstLine="0"/>
        <w:rPr>
          <w:szCs w:val="24"/>
        </w:rPr>
      </w:pPr>
    </w:p>
    <w:p w14:paraId="3925F4B9" w14:textId="64B3AFA0" w:rsidR="00737D08" w:rsidRPr="001453D6" w:rsidRDefault="00737D08" w:rsidP="00A70068">
      <w:pPr>
        <w:spacing w:after="0"/>
        <w:ind w:left="284" w:firstLine="0"/>
        <w:rPr>
          <w:szCs w:val="24"/>
        </w:rPr>
      </w:pPr>
      <w:r w:rsidRPr="001453D6">
        <w:rPr>
          <w:szCs w:val="24"/>
        </w:rPr>
        <w:t>a. Zones d'emprunt</w:t>
      </w:r>
      <w:r w:rsidR="0090710F" w:rsidRPr="001453D6">
        <w:rPr>
          <w:szCs w:val="24"/>
        </w:rPr>
        <w:t>.</w:t>
      </w:r>
      <w:r w:rsidRPr="001453D6">
        <w:rPr>
          <w:szCs w:val="24"/>
        </w:rPr>
        <w:t xml:space="preserve"> Elles seront définies par l’Ingénieur suivant la nature</w:t>
      </w:r>
      <w:r w:rsidR="007F3823" w:rsidRPr="001453D6">
        <w:rPr>
          <w:szCs w:val="24"/>
        </w:rPr>
        <w:t xml:space="preserve"> et les matériaux et le besoin.</w:t>
      </w:r>
    </w:p>
    <w:p w14:paraId="294ADFD0" w14:textId="77777777" w:rsidR="00A70068" w:rsidRPr="001453D6" w:rsidRDefault="00A70068" w:rsidP="00A70068">
      <w:pPr>
        <w:spacing w:after="0"/>
        <w:ind w:left="284" w:firstLine="0"/>
        <w:rPr>
          <w:szCs w:val="24"/>
        </w:rPr>
      </w:pPr>
    </w:p>
    <w:p w14:paraId="002A2644" w14:textId="77777777" w:rsidR="00737D08" w:rsidRPr="001453D6" w:rsidRDefault="00737D08" w:rsidP="00A70068">
      <w:pPr>
        <w:spacing w:after="0"/>
        <w:ind w:hanging="292"/>
        <w:rPr>
          <w:szCs w:val="24"/>
        </w:rPr>
      </w:pPr>
      <w:r w:rsidRPr="001453D6">
        <w:rPr>
          <w:szCs w:val="24"/>
        </w:rPr>
        <w:t xml:space="preserve">b. Déblais </w:t>
      </w:r>
    </w:p>
    <w:p w14:paraId="6C0AB5FF" w14:textId="77777777" w:rsidR="00737D08" w:rsidRPr="001453D6" w:rsidRDefault="00737D08" w:rsidP="00A70068">
      <w:pPr>
        <w:spacing w:after="0"/>
        <w:ind w:firstLine="0"/>
        <w:rPr>
          <w:szCs w:val="24"/>
        </w:rPr>
      </w:pPr>
      <w:r w:rsidRPr="001453D6">
        <w:rPr>
          <w:szCs w:val="24"/>
        </w:rPr>
        <w:t xml:space="preserve">Pour l'excavation de la cuvette des canaux, l'Entrepreneur contrôlera le niveau et la localisation de la nappe dans les excavations afin de limiter à leur valeur minimale les volumes de terrassement sous le niveau d'eau. </w:t>
      </w:r>
    </w:p>
    <w:p w14:paraId="71F4F9C9" w14:textId="77777777" w:rsidR="00737D08" w:rsidRPr="001453D6" w:rsidRDefault="00737D08" w:rsidP="00737D08">
      <w:pPr>
        <w:spacing w:after="0"/>
        <w:rPr>
          <w:szCs w:val="24"/>
        </w:rPr>
      </w:pPr>
      <w:r w:rsidRPr="001453D6">
        <w:rPr>
          <w:szCs w:val="24"/>
        </w:rPr>
        <w:t xml:space="preserve"> </w:t>
      </w:r>
    </w:p>
    <w:p w14:paraId="5E1F8FE0" w14:textId="77777777" w:rsidR="00737D08" w:rsidRPr="001453D6" w:rsidRDefault="00737D08" w:rsidP="007F3823">
      <w:pPr>
        <w:spacing w:after="0"/>
        <w:ind w:left="0" w:firstLine="0"/>
        <w:rPr>
          <w:szCs w:val="24"/>
        </w:rPr>
      </w:pPr>
      <w:r w:rsidRPr="001453D6">
        <w:rPr>
          <w:szCs w:val="24"/>
        </w:rPr>
        <w:t xml:space="preserve">Dans tous les cas, l'Entrepreneur soumettra à l’agrément du contrôle, les dispositions détaillées qu’il se propose de prendre. Les produits issus de cette excavation seront utilisés pour la confection des remblais compactés. </w:t>
      </w:r>
    </w:p>
    <w:p w14:paraId="6D704997" w14:textId="77777777" w:rsidR="007F3823" w:rsidRPr="001453D6" w:rsidRDefault="00737D08" w:rsidP="007F3823">
      <w:pPr>
        <w:spacing w:after="0"/>
        <w:ind w:left="0" w:firstLine="0"/>
        <w:rPr>
          <w:szCs w:val="24"/>
        </w:rPr>
      </w:pPr>
      <w:r w:rsidRPr="001453D6">
        <w:rPr>
          <w:szCs w:val="24"/>
        </w:rPr>
        <w:t>Les matériaux dont les caractéristiques ne permettent leur utilisation pour la confection des remblais seront mis en dépôt définitif en des endroits qui seront indiqués par l’Ingénieur.</w:t>
      </w:r>
    </w:p>
    <w:p w14:paraId="7BDF67F4" w14:textId="68D5CEED" w:rsidR="00737D08" w:rsidRPr="001453D6" w:rsidRDefault="00737D08" w:rsidP="007F3823">
      <w:pPr>
        <w:spacing w:after="0"/>
        <w:ind w:left="0" w:firstLine="0"/>
        <w:rPr>
          <w:szCs w:val="24"/>
        </w:rPr>
      </w:pPr>
      <w:r w:rsidRPr="001453D6">
        <w:rPr>
          <w:szCs w:val="24"/>
        </w:rPr>
        <w:t xml:space="preserve">  </w:t>
      </w:r>
    </w:p>
    <w:p w14:paraId="44A3E4D7" w14:textId="77777777" w:rsidR="00737D08" w:rsidRPr="001453D6" w:rsidRDefault="00737D08" w:rsidP="00737D08">
      <w:pPr>
        <w:spacing w:after="0"/>
        <w:rPr>
          <w:szCs w:val="24"/>
        </w:rPr>
      </w:pPr>
      <w:r w:rsidRPr="001453D6">
        <w:rPr>
          <w:szCs w:val="24"/>
        </w:rPr>
        <w:t xml:space="preserve">c. Remblais </w:t>
      </w:r>
    </w:p>
    <w:p w14:paraId="5E8EE6D8" w14:textId="50B12867" w:rsidR="00737D08" w:rsidRPr="001453D6" w:rsidRDefault="00737D08" w:rsidP="007F3823">
      <w:pPr>
        <w:spacing w:after="0"/>
        <w:ind w:left="0" w:firstLine="0"/>
        <w:rPr>
          <w:szCs w:val="24"/>
        </w:rPr>
      </w:pPr>
      <w:r w:rsidRPr="001453D6">
        <w:rPr>
          <w:szCs w:val="24"/>
        </w:rPr>
        <w:t>Les matériaux utilisés seront exemptés de matière végétale et organique</w:t>
      </w:r>
      <w:r w:rsidR="00727BA9" w:rsidRPr="001453D6">
        <w:rPr>
          <w:szCs w:val="24"/>
        </w:rPr>
        <w:t xml:space="preserve"> </w:t>
      </w:r>
      <w:r w:rsidR="0090710F" w:rsidRPr="001453D6">
        <w:rPr>
          <w:szCs w:val="24"/>
        </w:rPr>
        <w:t>(moins de 3%)</w:t>
      </w:r>
      <w:r w:rsidRPr="001453D6">
        <w:rPr>
          <w:szCs w:val="24"/>
        </w:rPr>
        <w:t xml:space="preserve">. L’indice de plasticité sera supérieur </w:t>
      </w:r>
      <w:r w:rsidR="00A24563" w:rsidRPr="001453D6">
        <w:rPr>
          <w:szCs w:val="24"/>
        </w:rPr>
        <w:t>à</w:t>
      </w:r>
      <w:r w:rsidRPr="001453D6">
        <w:rPr>
          <w:szCs w:val="24"/>
        </w:rPr>
        <w:t xml:space="preserve"> 7, le passant à 80 micromètres sera supérieur à </w:t>
      </w:r>
      <w:r w:rsidR="0090710F" w:rsidRPr="001453D6">
        <w:rPr>
          <w:szCs w:val="24"/>
        </w:rPr>
        <w:t>8</w:t>
      </w:r>
      <w:r w:rsidRPr="001453D6">
        <w:rPr>
          <w:szCs w:val="24"/>
        </w:rPr>
        <w:t xml:space="preserve">0%, les remblais seront humidifiés à une teneur en eau correspondant à l'OPN avec une tolérance de  </w:t>
      </w:r>
      <w:r w:rsidR="0090710F" w:rsidRPr="001453D6">
        <w:rPr>
          <w:szCs w:val="24"/>
        </w:rPr>
        <w:t xml:space="preserve">+ </w:t>
      </w:r>
      <w:r w:rsidRPr="001453D6">
        <w:rPr>
          <w:szCs w:val="24"/>
        </w:rPr>
        <w:t xml:space="preserve">ou </w:t>
      </w:r>
      <w:r w:rsidR="0090710F" w:rsidRPr="001453D6">
        <w:rPr>
          <w:szCs w:val="24"/>
        </w:rPr>
        <w:t>-</w:t>
      </w:r>
      <w:r w:rsidRPr="001453D6">
        <w:rPr>
          <w:szCs w:val="24"/>
        </w:rPr>
        <w:t xml:space="preserve"> 2%. </w:t>
      </w:r>
    </w:p>
    <w:p w14:paraId="2B3AC509" w14:textId="77777777" w:rsidR="00737D08" w:rsidRPr="001453D6" w:rsidRDefault="00737D08" w:rsidP="00737D08">
      <w:pPr>
        <w:spacing w:after="0"/>
        <w:rPr>
          <w:szCs w:val="24"/>
        </w:rPr>
      </w:pPr>
    </w:p>
    <w:p w14:paraId="08A5B893" w14:textId="77777777" w:rsidR="00737D08" w:rsidRPr="001453D6" w:rsidRDefault="00737D08" w:rsidP="00737D08">
      <w:pPr>
        <w:spacing w:after="0"/>
        <w:rPr>
          <w:b/>
          <w:szCs w:val="24"/>
        </w:rPr>
      </w:pPr>
      <w:r w:rsidRPr="001453D6">
        <w:rPr>
          <w:b/>
          <w:szCs w:val="24"/>
        </w:rPr>
        <w:t xml:space="preserve">2.3 CONTROLES </w:t>
      </w:r>
    </w:p>
    <w:p w14:paraId="58A68BC2" w14:textId="77777777" w:rsidR="00737D08" w:rsidRPr="001453D6" w:rsidRDefault="00737D08" w:rsidP="007F3823">
      <w:pPr>
        <w:spacing w:after="0"/>
        <w:ind w:left="0" w:firstLine="0"/>
        <w:rPr>
          <w:szCs w:val="24"/>
        </w:rPr>
      </w:pPr>
      <w:r w:rsidRPr="001453D6">
        <w:rPr>
          <w:szCs w:val="24"/>
        </w:rPr>
        <w:t xml:space="preserve">La teneur en eau des matériaux sera contrôlée journellement lors de leur approvisionnement sur le lieu de remblaiement.  </w:t>
      </w:r>
    </w:p>
    <w:p w14:paraId="084C7FB3" w14:textId="77777777" w:rsidR="00737D08" w:rsidRPr="001453D6" w:rsidRDefault="00737D08" w:rsidP="00737D08">
      <w:pPr>
        <w:spacing w:after="0"/>
        <w:rPr>
          <w:szCs w:val="24"/>
        </w:rPr>
      </w:pPr>
    </w:p>
    <w:p w14:paraId="79CBB0EB" w14:textId="77777777" w:rsidR="00737D08" w:rsidRPr="001453D6" w:rsidRDefault="00737D08" w:rsidP="00737D08">
      <w:pPr>
        <w:spacing w:after="0"/>
        <w:rPr>
          <w:b/>
          <w:szCs w:val="24"/>
        </w:rPr>
      </w:pPr>
      <w:r w:rsidRPr="001453D6">
        <w:rPr>
          <w:b/>
          <w:szCs w:val="24"/>
        </w:rPr>
        <w:t xml:space="preserve">2.4 MISE EN OEUVRE </w:t>
      </w:r>
    </w:p>
    <w:p w14:paraId="7CB1DBB2" w14:textId="77777777" w:rsidR="00A70068" w:rsidRPr="001453D6" w:rsidRDefault="00A70068" w:rsidP="00737D08">
      <w:pPr>
        <w:spacing w:after="0"/>
        <w:rPr>
          <w:b/>
          <w:szCs w:val="24"/>
        </w:rPr>
      </w:pPr>
    </w:p>
    <w:p w14:paraId="164F1EBC" w14:textId="4DC79527" w:rsidR="00737D08" w:rsidRPr="001453D6" w:rsidRDefault="00737D08" w:rsidP="00737D08">
      <w:pPr>
        <w:spacing w:after="0"/>
        <w:rPr>
          <w:szCs w:val="24"/>
        </w:rPr>
      </w:pPr>
      <w:r w:rsidRPr="001453D6">
        <w:rPr>
          <w:b/>
          <w:szCs w:val="24"/>
        </w:rPr>
        <w:t>2.4.1   INSPECTION</w:t>
      </w:r>
      <w:r w:rsidRPr="001453D6">
        <w:rPr>
          <w:szCs w:val="24"/>
        </w:rPr>
        <w:t xml:space="preserve"> </w:t>
      </w:r>
    </w:p>
    <w:p w14:paraId="745AD368" w14:textId="77777777" w:rsidR="00737D08" w:rsidRPr="001453D6" w:rsidRDefault="00737D08" w:rsidP="007F3823">
      <w:pPr>
        <w:spacing w:after="0"/>
        <w:ind w:left="0" w:firstLine="0"/>
        <w:rPr>
          <w:szCs w:val="24"/>
        </w:rPr>
      </w:pPr>
      <w:r w:rsidRPr="001453D6">
        <w:rPr>
          <w:szCs w:val="24"/>
        </w:rPr>
        <w:t xml:space="preserve">Toute surface de fonction destinée à supporter un remblai sera </w:t>
      </w:r>
      <w:proofErr w:type="gramStart"/>
      <w:r w:rsidRPr="001453D6">
        <w:rPr>
          <w:szCs w:val="24"/>
        </w:rPr>
        <w:t>injectée</w:t>
      </w:r>
      <w:proofErr w:type="gramEnd"/>
      <w:r w:rsidRPr="001453D6">
        <w:rPr>
          <w:szCs w:val="24"/>
        </w:rPr>
        <w:t xml:space="preserve"> par l'ingénieur avant toute mise en place de remblai. </w:t>
      </w:r>
    </w:p>
    <w:p w14:paraId="5B6D3710" w14:textId="77777777" w:rsidR="00737D08" w:rsidRPr="001453D6" w:rsidRDefault="00737D08" w:rsidP="00737D08">
      <w:pPr>
        <w:spacing w:after="0"/>
        <w:rPr>
          <w:szCs w:val="24"/>
        </w:rPr>
      </w:pPr>
    </w:p>
    <w:p w14:paraId="07E64B70" w14:textId="77560C24" w:rsidR="00737D08" w:rsidRPr="001453D6" w:rsidRDefault="00737D08" w:rsidP="00737D08">
      <w:pPr>
        <w:spacing w:after="0"/>
        <w:rPr>
          <w:b/>
          <w:szCs w:val="24"/>
        </w:rPr>
      </w:pPr>
      <w:r w:rsidRPr="001453D6">
        <w:rPr>
          <w:b/>
          <w:szCs w:val="24"/>
        </w:rPr>
        <w:t>2.4.2   PREPARATI</w:t>
      </w:r>
      <w:r w:rsidR="007F3823" w:rsidRPr="001453D6">
        <w:rPr>
          <w:b/>
          <w:szCs w:val="24"/>
        </w:rPr>
        <w:t>ON DU TERRAIN SOUS LES REMBLAIS</w:t>
      </w:r>
    </w:p>
    <w:p w14:paraId="3B1CAC27" w14:textId="77777777" w:rsidR="007F3823" w:rsidRPr="001453D6" w:rsidRDefault="007F3823" w:rsidP="00737D08">
      <w:pPr>
        <w:spacing w:after="0"/>
        <w:rPr>
          <w:b/>
          <w:szCs w:val="24"/>
        </w:rPr>
      </w:pPr>
    </w:p>
    <w:p w14:paraId="28E8CD5F" w14:textId="77777777" w:rsidR="00737D08" w:rsidRPr="001453D6" w:rsidRDefault="00737D08" w:rsidP="00737D08">
      <w:pPr>
        <w:spacing w:after="0"/>
        <w:rPr>
          <w:szCs w:val="24"/>
        </w:rPr>
      </w:pPr>
      <w:r w:rsidRPr="001453D6">
        <w:rPr>
          <w:b/>
          <w:szCs w:val="24"/>
        </w:rPr>
        <w:t>a. Pour les remblais ordinaires et les remblais compactés</w:t>
      </w:r>
      <w:r w:rsidRPr="001453D6">
        <w:rPr>
          <w:szCs w:val="24"/>
        </w:rPr>
        <w:t xml:space="preserve">. </w:t>
      </w:r>
    </w:p>
    <w:p w14:paraId="061B8C82" w14:textId="77777777" w:rsidR="00737D08" w:rsidRPr="001453D6" w:rsidRDefault="00737D08" w:rsidP="00737D08">
      <w:pPr>
        <w:spacing w:after="0"/>
        <w:rPr>
          <w:szCs w:val="24"/>
        </w:rPr>
      </w:pPr>
      <w:r w:rsidRPr="001453D6">
        <w:rPr>
          <w:szCs w:val="24"/>
        </w:rPr>
        <w:t xml:space="preserve">L'Entrepreneur devra : </w:t>
      </w:r>
    </w:p>
    <w:p w14:paraId="69EA0648" w14:textId="77777777" w:rsidR="00737D08" w:rsidRPr="001453D6" w:rsidRDefault="00737D08" w:rsidP="002A45C1">
      <w:pPr>
        <w:pStyle w:val="Paragraphedeliste"/>
        <w:numPr>
          <w:ilvl w:val="0"/>
          <w:numId w:val="88"/>
        </w:numPr>
        <w:spacing w:after="0"/>
        <w:jc w:val="left"/>
        <w:rPr>
          <w:szCs w:val="24"/>
        </w:rPr>
      </w:pPr>
      <w:r w:rsidRPr="001453D6">
        <w:rPr>
          <w:szCs w:val="24"/>
        </w:rPr>
        <w:t xml:space="preserve">Décaper sur une épaisseur de 10 cm minimum. Les produits de décapage seront mis en dépôts définitifs. </w:t>
      </w:r>
    </w:p>
    <w:p w14:paraId="51FFD4B1" w14:textId="6F1546E7" w:rsidR="00737D08" w:rsidRPr="001453D6" w:rsidRDefault="00737D08" w:rsidP="002A45C1">
      <w:pPr>
        <w:pStyle w:val="Paragraphedeliste"/>
        <w:numPr>
          <w:ilvl w:val="0"/>
          <w:numId w:val="88"/>
        </w:numPr>
        <w:spacing w:after="0"/>
        <w:jc w:val="left"/>
        <w:rPr>
          <w:szCs w:val="24"/>
        </w:rPr>
      </w:pPr>
      <w:r w:rsidRPr="001453D6">
        <w:rPr>
          <w:szCs w:val="24"/>
        </w:rPr>
        <w:t>Excaver les matériaux impropres sauf disposition contr</w:t>
      </w:r>
      <w:r w:rsidR="007F3823" w:rsidRPr="001453D6">
        <w:rPr>
          <w:szCs w:val="24"/>
        </w:rPr>
        <w:t>aire prescrite par l'Ingénieur.</w:t>
      </w:r>
    </w:p>
    <w:p w14:paraId="1E4DF20C" w14:textId="77777777" w:rsidR="007F3823" w:rsidRPr="001453D6" w:rsidRDefault="007F3823" w:rsidP="007F3823">
      <w:pPr>
        <w:spacing w:after="0"/>
      </w:pPr>
    </w:p>
    <w:p w14:paraId="5E8F70A7" w14:textId="77777777" w:rsidR="00737D08" w:rsidRPr="001453D6" w:rsidRDefault="00737D08" w:rsidP="00737D08">
      <w:pPr>
        <w:spacing w:after="0"/>
        <w:rPr>
          <w:b/>
          <w:szCs w:val="24"/>
        </w:rPr>
      </w:pPr>
      <w:r w:rsidRPr="001453D6">
        <w:rPr>
          <w:b/>
          <w:szCs w:val="24"/>
        </w:rPr>
        <w:t xml:space="preserve">b. Pour les remblais compactés à l'OPN. </w:t>
      </w:r>
    </w:p>
    <w:p w14:paraId="3FE19527" w14:textId="77777777" w:rsidR="00737D08" w:rsidRPr="001453D6" w:rsidRDefault="00737D08" w:rsidP="007F3823">
      <w:pPr>
        <w:spacing w:after="0"/>
        <w:ind w:left="0" w:firstLine="0"/>
        <w:rPr>
          <w:szCs w:val="24"/>
        </w:rPr>
      </w:pPr>
      <w:r w:rsidRPr="001453D6">
        <w:rPr>
          <w:szCs w:val="24"/>
        </w:rPr>
        <w:t xml:space="preserve">L'Entrepreneur devra de plus humidifier, homogénéiser et compacter le sol de fondation sur une épaisseur maximale de 20 cm après compactage selon les mêmes prescriptions que celles ci-après pour les remblais du même type. </w:t>
      </w:r>
    </w:p>
    <w:p w14:paraId="4C23D4E1" w14:textId="77777777" w:rsidR="00737D08" w:rsidRPr="001453D6" w:rsidRDefault="00737D08" w:rsidP="00737D08">
      <w:pPr>
        <w:spacing w:after="0"/>
        <w:rPr>
          <w:szCs w:val="24"/>
        </w:rPr>
      </w:pPr>
    </w:p>
    <w:p w14:paraId="15AAA22B" w14:textId="77777777" w:rsidR="00737D08" w:rsidRPr="001453D6" w:rsidRDefault="00737D08" w:rsidP="00737D08">
      <w:pPr>
        <w:spacing w:after="0"/>
        <w:rPr>
          <w:b/>
          <w:szCs w:val="24"/>
        </w:rPr>
      </w:pPr>
      <w:r w:rsidRPr="001453D6">
        <w:rPr>
          <w:b/>
          <w:szCs w:val="24"/>
        </w:rPr>
        <w:t xml:space="preserve">2. 4.3 PROTECTION CONTRE LES EAUX </w:t>
      </w:r>
    </w:p>
    <w:p w14:paraId="7A431EC3" w14:textId="77777777" w:rsidR="0051589D" w:rsidRPr="001453D6" w:rsidRDefault="0051589D" w:rsidP="00737D08">
      <w:pPr>
        <w:spacing w:after="0"/>
        <w:rPr>
          <w:b/>
          <w:szCs w:val="24"/>
        </w:rPr>
      </w:pPr>
    </w:p>
    <w:p w14:paraId="4E1C0AB6" w14:textId="1093341E" w:rsidR="00737D08" w:rsidRPr="001453D6" w:rsidRDefault="00737D08" w:rsidP="00737D08">
      <w:pPr>
        <w:spacing w:after="0"/>
        <w:rPr>
          <w:b/>
          <w:szCs w:val="24"/>
        </w:rPr>
      </w:pPr>
      <w:r w:rsidRPr="001453D6">
        <w:rPr>
          <w:b/>
          <w:szCs w:val="24"/>
        </w:rPr>
        <w:t xml:space="preserve">Déblais </w:t>
      </w:r>
    </w:p>
    <w:p w14:paraId="24D3BFB6" w14:textId="77777777" w:rsidR="00737D08" w:rsidRPr="001453D6" w:rsidRDefault="00737D08" w:rsidP="007F3823">
      <w:pPr>
        <w:spacing w:after="0"/>
        <w:ind w:left="0" w:firstLine="0"/>
        <w:rPr>
          <w:szCs w:val="24"/>
        </w:rPr>
      </w:pPr>
      <w:r w:rsidRPr="001453D6">
        <w:rPr>
          <w:szCs w:val="24"/>
        </w:rPr>
        <w:t xml:space="preserve">Pendant l'exécution des déblais, L'Entrepreneur sera tenu de conduire les travaux de manière à éviter que les profils ou que les déblais à utiliser en remblais ne soient dégradés ou détrempés par les eaux de pluie.  Il devra entretenir en état les moyens d'évacuation des eaux. </w:t>
      </w:r>
    </w:p>
    <w:p w14:paraId="6A6E698E" w14:textId="77777777" w:rsidR="00737D08" w:rsidRPr="001453D6" w:rsidRDefault="00737D08" w:rsidP="00737D08">
      <w:pPr>
        <w:spacing w:after="0"/>
        <w:rPr>
          <w:szCs w:val="24"/>
        </w:rPr>
      </w:pPr>
      <w:r w:rsidRPr="001453D6">
        <w:rPr>
          <w:szCs w:val="24"/>
        </w:rPr>
        <w:t xml:space="preserve"> </w:t>
      </w:r>
    </w:p>
    <w:p w14:paraId="28D44E85" w14:textId="77777777" w:rsidR="00737D08" w:rsidRPr="001453D6" w:rsidRDefault="00737D08" w:rsidP="007F3823">
      <w:pPr>
        <w:spacing w:after="0"/>
        <w:ind w:left="0" w:firstLine="0"/>
        <w:rPr>
          <w:szCs w:val="24"/>
        </w:rPr>
      </w:pPr>
      <w:r w:rsidRPr="001453D6">
        <w:rPr>
          <w:szCs w:val="24"/>
        </w:rPr>
        <w:t xml:space="preserve">Pour satisfaire à cette exigence, l'Entrepreneur devra soit maintenir une pente suffisante à la surface des parties excavées et exécuter en temps utile les ouvrages provisoires nécessaires à l'évacuation des eaux hors des excavations, soit procéder par pompage à ses frais. </w:t>
      </w:r>
    </w:p>
    <w:p w14:paraId="1FC9B04F" w14:textId="77777777" w:rsidR="00D6752B" w:rsidRPr="001453D6" w:rsidRDefault="00D6752B" w:rsidP="00737D08">
      <w:pPr>
        <w:spacing w:after="0"/>
        <w:rPr>
          <w:b/>
          <w:szCs w:val="24"/>
        </w:rPr>
      </w:pPr>
    </w:p>
    <w:p w14:paraId="73D5074D" w14:textId="1E904592" w:rsidR="00737D08" w:rsidRPr="001453D6" w:rsidRDefault="00737D08" w:rsidP="00737D08">
      <w:pPr>
        <w:spacing w:after="0"/>
        <w:rPr>
          <w:b/>
          <w:szCs w:val="24"/>
        </w:rPr>
      </w:pPr>
      <w:r w:rsidRPr="001453D6">
        <w:rPr>
          <w:b/>
          <w:szCs w:val="24"/>
        </w:rPr>
        <w:t xml:space="preserve">Remblais </w:t>
      </w:r>
    </w:p>
    <w:p w14:paraId="4E85FDA6" w14:textId="39D41DED" w:rsidR="00737D08" w:rsidRPr="001453D6" w:rsidRDefault="00737D08" w:rsidP="007F3823">
      <w:pPr>
        <w:spacing w:after="0"/>
        <w:ind w:left="0" w:firstLine="0"/>
        <w:rPr>
          <w:szCs w:val="24"/>
        </w:rPr>
      </w:pPr>
      <w:r w:rsidRPr="001453D6">
        <w:rPr>
          <w:szCs w:val="24"/>
        </w:rPr>
        <w:t xml:space="preserve">L'Entrepreneur est tenu de construire et d'entretenir les ouvrages provisoires de manière à assurer la protection des remblais contre les eaux pluviales et les inondations. </w:t>
      </w:r>
    </w:p>
    <w:p w14:paraId="056099B5" w14:textId="77777777" w:rsidR="00737D08" w:rsidRPr="001453D6" w:rsidRDefault="00737D08" w:rsidP="00737D08">
      <w:pPr>
        <w:spacing w:after="0"/>
        <w:rPr>
          <w:szCs w:val="24"/>
        </w:rPr>
      </w:pPr>
    </w:p>
    <w:p w14:paraId="65F56468" w14:textId="77777777" w:rsidR="00737D08" w:rsidRPr="001453D6" w:rsidRDefault="00737D08" w:rsidP="00737D08">
      <w:pPr>
        <w:spacing w:after="0"/>
        <w:rPr>
          <w:b/>
          <w:szCs w:val="24"/>
        </w:rPr>
      </w:pPr>
      <w:r w:rsidRPr="001453D6">
        <w:rPr>
          <w:b/>
          <w:szCs w:val="24"/>
        </w:rPr>
        <w:t xml:space="preserve">2.5 METHODES ET MATERIEL </w:t>
      </w:r>
    </w:p>
    <w:p w14:paraId="6F184760" w14:textId="77777777" w:rsidR="00D6752B" w:rsidRPr="001453D6" w:rsidRDefault="00D6752B" w:rsidP="00737D08">
      <w:pPr>
        <w:spacing w:after="0"/>
        <w:rPr>
          <w:szCs w:val="24"/>
        </w:rPr>
      </w:pPr>
    </w:p>
    <w:p w14:paraId="1219D7B4" w14:textId="2263CC91" w:rsidR="00737D08" w:rsidRPr="001453D6" w:rsidRDefault="00737D08" w:rsidP="007F3823">
      <w:pPr>
        <w:spacing w:after="0"/>
        <w:ind w:left="0" w:firstLine="0"/>
        <w:rPr>
          <w:szCs w:val="24"/>
        </w:rPr>
      </w:pPr>
      <w:r w:rsidRPr="001453D6">
        <w:rPr>
          <w:szCs w:val="24"/>
        </w:rPr>
        <w:t xml:space="preserve">L'Entrepreneur soumettra à l’agrément de l'ingénieur ses méthodes et matériels de mise en œuvre, en particulier en ce qui concerne le matériel d'humidification, d'homogénéisation et de compactage. </w:t>
      </w:r>
    </w:p>
    <w:p w14:paraId="69ABA99F" w14:textId="34A8EBDF" w:rsidR="0051589D" w:rsidRPr="001453D6" w:rsidRDefault="0051589D" w:rsidP="00737D08">
      <w:pPr>
        <w:spacing w:after="0"/>
        <w:rPr>
          <w:szCs w:val="24"/>
        </w:rPr>
      </w:pPr>
    </w:p>
    <w:p w14:paraId="11D3626A" w14:textId="2728F4A5" w:rsidR="00737D08" w:rsidRPr="001453D6" w:rsidRDefault="00737D08" w:rsidP="002A45C1">
      <w:pPr>
        <w:pStyle w:val="Paragraphedeliste"/>
        <w:numPr>
          <w:ilvl w:val="1"/>
          <w:numId w:val="57"/>
        </w:numPr>
        <w:spacing w:after="0"/>
        <w:rPr>
          <w:b/>
          <w:szCs w:val="24"/>
        </w:rPr>
      </w:pPr>
      <w:r w:rsidRPr="001453D6">
        <w:rPr>
          <w:b/>
          <w:szCs w:val="24"/>
        </w:rPr>
        <w:t xml:space="preserve">REMBLAIS COMPACTES A L'OPN </w:t>
      </w:r>
    </w:p>
    <w:p w14:paraId="1D21D311" w14:textId="429374F1" w:rsidR="0051589D" w:rsidRPr="001453D6" w:rsidRDefault="0051589D" w:rsidP="0051589D">
      <w:pPr>
        <w:pStyle w:val="Paragraphedeliste"/>
        <w:spacing w:after="0"/>
        <w:ind w:left="780" w:firstLine="0"/>
        <w:rPr>
          <w:b/>
          <w:szCs w:val="24"/>
        </w:rPr>
      </w:pPr>
    </w:p>
    <w:p w14:paraId="75733C0B" w14:textId="77777777" w:rsidR="00737D08" w:rsidRPr="001453D6" w:rsidRDefault="00737D08" w:rsidP="00737D08">
      <w:pPr>
        <w:spacing w:after="0"/>
        <w:rPr>
          <w:b/>
          <w:szCs w:val="24"/>
        </w:rPr>
      </w:pPr>
      <w:r w:rsidRPr="001453D6">
        <w:rPr>
          <w:b/>
          <w:szCs w:val="24"/>
        </w:rPr>
        <w:t xml:space="preserve">a.  Liaison entre les couches </w:t>
      </w:r>
    </w:p>
    <w:p w14:paraId="60D37365" w14:textId="2C580005" w:rsidR="00737D08" w:rsidRPr="001453D6" w:rsidRDefault="00737D08" w:rsidP="00165E5F">
      <w:pPr>
        <w:spacing w:after="0"/>
        <w:ind w:left="0" w:firstLine="0"/>
        <w:rPr>
          <w:szCs w:val="24"/>
        </w:rPr>
      </w:pPr>
      <w:r w:rsidRPr="001453D6">
        <w:rPr>
          <w:szCs w:val="24"/>
        </w:rPr>
        <w:t xml:space="preserve">En cas d'arrêt journalier, L'entrepreneur scarifiera la couche précédente pour assurer la liaison avec la couche à mettre en œuvre. Cette scarification sera réalisée immédiatement avant le régalage de la couche à mettre en œuvre, elle sera, si nécessaire, accompagnée d'une humidification. </w:t>
      </w:r>
    </w:p>
    <w:p w14:paraId="470599A8" w14:textId="77777777" w:rsidR="00013AB1" w:rsidRPr="001453D6" w:rsidRDefault="00013AB1" w:rsidP="00737D08">
      <w:pPr>
        <w:spacing w:after="0"/>
        <w:rPr>
          <w:szCs w:val="24"/>
        </w:rPr>
      </w:pPr>
    </w:p>
    <w:p w14:paraId="2AFEDE35" w14:textId="23D0A030" w:rsidR="00737D08" w:rsidRPr="001453D6" w:rsidRDefault="00737D08" w:rsidP="00737D08">
      <w:pPr>
        <w:spacing w:after="0"/>
        <w:rPr>
          <w:b/>
          <w:szCs w:val="24"/>
        </w:rPr>
      </w:pPr>
      <w:r w:rsidRPr="001453D6">
        <w:rPr>
          <w:b/>
          <w:szCs w:val="24"/>
        </w:rPr>
        <w:t xml:space="preserve">b.  Régalage </w:t>
      </w:r>
    </w:p>
    <w:p w14:paraId="0E9F5C0B" w14:textId="5AC095B3" w:rsidR="00737D08" w:rsidRPr="001453D6" w:rsidRDefault="00737D08" w:rsidP="00165E5F">
      <w:pPr>
        <w:spacing w:after="0"/>
        <w:ind w:left="0" w:firstLine="0"/>
        <w:rPr>
          <w:szCs w:val="24"/>
        </w:rPr>
      </w:pPr>
      <w:r w:rsidRPr="001453D6">
        <w:rPr>
          <w:szCs w:val="24"/>
        </w:rPr>
        <w:t xml:space="preserve">Les matériaux seront régalés en couches horizontales de 20 cm d'épaisseur maximale après compactage. L'Entrepreneur régalera les matériaux en tenant compte du remblai excédentaire nécessaire sur chaque parement pour que le compactage spécifié soit respecté jusqu'à la limite des profils théoriques. </w:t>
      </w:r>
    </w:p>
    <w:p w14:paraId="293BEA57" w14:textId="77777777" w:rsidR="00013AB1" w:rsidRPr="001453D6" w:rsidRDefault="00013AB1" w:rsidP="00737D08">
      <w:pPr>
        <w:spacing w:after="0"/>
        <w:rPr>
          <w:szCs w:val="24"/>
        </w:rPr>
      </w:pPr>
    </w:p>
    <w:p w14:paraId="129ABBBC" w14:textId="77777777" w:rsidR="00737D08" w:rsidRPr="001453D6" w:rsidRDefault="00737D08" w:rsidP="00737D08">
      <w:pPr>
        <w:spacing w:after="0"/>
        <w:rPr>
          <w:b/>
          <w:szCs w:val="24"/>
        </w:rPr>
      </w:pPr>
      <w:r w:rsidRPr="001453D6">
        <w:rPr>
          <w:b/>
          <w:szCs w:val="24"/>
        </w:rPr>
        <w:t xml:space="preserve">c. Teneur en eau </w:t>
      </w:r>
    </w:p>
    <w:p w14:paraId="5520D571" w14:textId="616ABEDF" w:rsidR="00737D08" w:rsidRPr="001453D6" w:rsidRDefault="00737D08" w:rsidP="00165E5F">
      <w:pPr>
        <w:spacing w:after="0"/>
        <w:ind w:left="0" w:firstLine="0"/>
        <w:rPr>
          <w:szCs w:val="24"/>
        </w:rPr>
      </w:pPr>
      <w:r w:rsidRPr="001453D6">
        <w:rPr>
          <w:szCs w:val="24"/>
        </w:rPr>
        <w:t xml:space="preserve">L'Entrepreneur traitera le matériau pour obtenir une teneur en eau homogène égale à la teneur en eau correspondant à l’OPN avec une tolérance de </w:t>
      </w:r>
      <w:r w:rsidR="0090710F" w:rsidRPr="001453D6">
        <w:rPr>
          <w:szCs w:val="24"/>
        </w:rPr>
        <w:t>+</w:t>
      </w:r>
      <w:r w:rsidRPr="001453D6">
        <w:rPr>
          <w:szCs w:val="24"/>
        </w:rPr>
        <w:t xml:space="preserve"> ou - 2% par rapport à cet optimum (</w:t>
      </w:r>
      <w:proofErr w:type="spellStart"/>
      <w:r w:rsidRPr="001453D6">
        <w:rPr>
          <w:szCs w:val="24"/>
        </w:rPr>
        <w:t>Wopt</w:t>
      </w:r>
      <w:proofErr w:type="spellEnd"/>
      <w:r w:rsidRPr="001453D6">
        <w:rPr>
          <w:szCs w:val="24"/>
        </w:rPr>
        <w:t xml:space="preserve">). </w:t>
      </w:r>
    </w:p>
    <w:p w14:paraId="57295796" w14:textId="77777777" w:rsidR="00727BA9" w:rsidRPr="001453D6" w:rsidRDefault="00727BA9" w:rsidP="00737D08">
      <w:pPr>
        <w:spacing w:after="0"/>
        <w:rPr>
          <w:szCs w:val="24"/>
        </w:rPr>
      </w:pPr>
    </w:p>
    <w:p w14:paraId="67A92817" w14:textId="77777777" w:rsidR="00737D08" w:rsidRPr="001453D6" w:rsidRDefault="00737D08" w:rsidP="00737D08">
      <w:pPr>
        <w:spacing w:after="0"/>
        <w:rPr>
          <w:b/>
          <w:szCs w:val="24"/>
        </w:rPr>
      </w:pPr>
      <w:r w:rsidRPr="001453D6">
        <w:rPr>
          <w:b/>
          <w:szCs w:val="24"/>
        </w:rPr>
        <w:t xml:space="preserve">d. Homogénéisation  </w:t>
      </w:r>
    </w:p>
    <w:p w14:paraId="5F73E49A" w14:textId="55FC6331" w:rsidR="00737D08" w:rsidRPr="001453D6" w:rsidRDefault="00737D08" w:rsidP="00165E5F">
      <w:pPr>
        <w:spacing w:after="0"/>
        <w:ind w:left="0" w:firstLine="0"/>
        <w:rPr>
          <w:szCs w:val="24"/>
        </w:rPr>
      </w:pPr>
      <w:r w:rsidRPr="001453D6">
        <w:rPr>
          <w:szCs w:val="24"/>
        </w:rPr>
        <w:t xml:space="preserve">Une homogénéisation sera effectuée après régalage du matériau avec passages des charrues à </w:t>
      </w:r>
      <w:r w:rsidR="00165E5F" w:rsidRPr="001453D6">
        <w:rPr>
          <w:szCs w:val="24"/>
        </w:rPr>
        <w:t>disques :</w:t>
      </w:r>
      <w:r w:rsidRPr="001453D6">
        <w:rPr>
          <w:szCs w:val="24"/>
        </w:rPr>
        <w:t xml:space="preserve"> le diamètre des disques</w:t>
      </w:r>
      <w:r w:rsidR="00165E5F" w:rsidRPr="001453D6">
        <w:rPr>
          <w:szCs w:val="24"/>
        </w:rPr>
        <w:t xml:space="preserve"> ne sera pas inférieur à 40 cm.</w:t>
      </w:r>
    </w:p>
    <w:p w14:paraId="4E763A8C" w14:textId="77777777" w:rsidR="00165E5F" w:rsidRPr="001453D6" w:rsidRDefault="00165E5F" w:rsidP="00737D08">
      <w:pPr>
        <w:spacing w:after="0"/>
        <w:rPr>
          <w:szCs w:val="24"/>
        </w:rPr>
      </w:pPr>
    </w:p>
    <w:p w14:paraId="7C15D783" w14:textId="77777777" w:rsidR="00737D08" w:rsidRPr="001453D6" w:rsidRDefault="00737D08" w:rsidP="00737D08">
      <w:pPr>
        <w:spacing w:after="0"/>
        <w:rPr>
          <w:b/>
          <w:szCs w:val="24"/>
        </w:rPr>
      </w:pPr>
      <w:r w:rsidRPr="001453D6">
        <w:rPr>
          <w:b/>
          <w:szCs w:val="24"/>
        </w:rPr>
        <w:t xml:space="preserve">e. compactage </w:t>
      </w:r>
    </w:p>
    <w:p w14:paraId="6CF9A82F" w14:textId="77777777" w:rsidR="00737D08" w:rsidRPr="001453D6" w:rsidRDefault="00737D08" w:rsidP="00165E5F">
      <w:pPr>
        <w:spacing w:after="0"/>
        <w:ind w:left="0" w:firstLine="0"/>
        <w:rPr>
          <w:szCs w:val="24"/>
        </w:rPr>
      </w:pPr>
      <w:r w:rsidRPr="001453D6">
        <w:rPr>
          <w:szCs w:val="24"/>
        </w:rPr>
        <w:t xml:space="preserve">Après correction éventuelle de la teneur en eau pour arriver à la teneur en eau spécifiée, l'Entrepreneur procédera au compactage du matériau. Le degré de compactage sera au minimum égal à 95 % de l’OPN.  Les compacteurs seront des cylindres à pieds dameurs d'une charge statique supérieure à 40 kg par cm de cylindre. Le nombre minimal des passages du compacteur garantissant le minimum de degré de compactage imposé sera fixé en accord avec l'Ingénieur après les premiers essais de compactage qui seront effectués sur les </w:t>
      </w:r>
      <w:proofErr w:type="gramStart"/>
      <w:r w:rsidRPr="001453D6">
        <w:rPr>
          <w:szCs w:val="24"/>
        </w:rPr>
        <w:t>premiers</w:t>
      </w:r>
      <w:proofErr w:type="gramEnd"/>
      <w:r w:rsidRPr="001453D6">
        <w:rPr>
          <w:szCs w:val="24"/>
        </w:rPr>
        <w:t xml:space="preserve"> centaines de mètres de digue mises en œuvre.  L'Entrepreneur exécutera tous les hors profils nécessaires pour assurer le compactage des remblais suivant les profils théoriques, ceci quels que soient les engins et méthodes retenus. </w:t>
      </w:r>
    </w:p>
    <w:p w14:paraId="40B60CFC" w14:textId="77777777" w:rsidR="00737D08" w:rsidRPr="001453D6" w:rsidRDefault="00737D08" w:rsidP="00737D08">
      <w:pPr>
        <w:spacing w:after="0"/>
        <w:rPr>
          <w:szCs w:val="24"/>
        </w:rPr>
      </w:pPr>
      <w:r w:rsidRPr="001453D6">
        <w:rPr>
          <w:szCs w:val="24"/>
        </w:rPr>
        <w:t xml:space="preserve"> </w:t>
      </w:r>
    </w:p>
    <w:p w14:paraId="231CE768" w14:textId="77777777" w:rsidR="00737D08" w:rsidRPr="001453D6" w:rsidRDefault="00737D08" w:rsidP="00165E5F">
      <w:pPr>
        <w:spacing w:after="0"/>
        <w:ind w:left="0" w:firstLine="0"/>
        <w:rPr>
          <w:szCs w:val="24"/>
        </w:rPr>
      </w:pPr>
      <w:r w:rsidRPr="001453D6">
        <w:rPr>
          <w:szCs w:val="24"/>
        </w:rPr>
        <w:t xml:space="preserve">Les rampes d’accès utilisées par l’Entrepreneur lors de l’exécution des remblais seront laissées en place, et serviront au passage des piétons, aux animaux, et au croisement des véhicules.  Elles seront au besoin complétées par d’autres rampes, sur indication de l’Ingénieur. </w:t>
      </w:r>
    </w:p>
    <w:p w14:paraId="6BDAEFEF" w14:textId="77777777" w:rsidR="00165E5F" w:rsidRPr="001453D6" w:rsidRDefault="00165E5F" w:rsidP="00737D08">
      <w:pPr>
        <w:spacing w:after="0"/>
        <w:rPr>
          <w:szCs w:val="24"/>
        </w:rPr>
      </w:pPr>
    </w:p>
    <w:p w14:paraId="26E63BAD" w14:textId="6871ABDB" w:rsidR="00737D08" w:rsidRPr="001453D6" w:rsidRDefault="00737D08" w:rsidP="00165E5F">
      <w:pPr>
        <w:spacing w:after="0"/>
        <w:ind w:left="0" w:firstLine="0"/>
        <w:rPr>
          <w:szCs w:val="24"/>
        </w:rPr>
      </w:pPr>
      <w:r w:rsidRPr="001453D6">
        <w:rPr>
          <w:szCs w:val="24"/>
        </w:rPr>
        <w:t xml:space="preserve">Pour les parties de remblais adjacentes à des ouvrages, lorsqu’on ne pourra pas obtenir un compactage adéquat avec des équipements à rouleaux, le remblai sera compacté au moyen de compacteurs mécaniques de poids et de conceptions adéquates, afin d’obtenir le même degré de compactage que dans le remblai adjacent compacté par les moyens décrits précédemment.   </w:t>
      </w:r>
    </w:p>
    <w:p w14:paraId="1D0509CB" w14:textId="77777777" w:rsidR="00165E5F" w:rsidRPr="001453D6" w:rsidRDefault="00165E5F" w:rsidP="00737D08">
      <w:pPr>
        <w:spacing w:after="0"/>
        <w:rPr>
          <w:szCs w:val="24"/>
        </w:rPr>
      </w:pPr>
    </w:p>
    <w:p w14:paraId="698C2CD8" w14:textId="43A7F23E" w:rsidR="00737D08" w:rsidRPr="001453D6" w:rsidRDefault="00737D08" w:rsidP="00165E5F">
      <w:pPr>
        <w:spacing w:after="0"/>
        <w:ind w:left="0" w:firstLine="0"/>
        <w:rPr>
          <w:szCs w:val="24"/>
        </w:rPr>
      </w:pPr>
      <w:r w:rsidRPr="001453D6">
        <w:rPr>
          <w:szCs w:val="24"/>
        </w:rPr>
        <w:t xml:space="preserve">L’épaisseur des couches compactées et la teneur en eau des matériaux adjacents aux ouvrages seront conformes aux conditions spécifiées ci-dessus ; de plus, on apportera un soin particulier pour assurer un contact du matériau avec le remblai compacté adjacent.  L’Entrepreneur sera considéré comme responsable et tenu de réparer, à ses frais, tout dommage qui pourrait être occasionné aux ouvrages au cours des opérations de mise en place et de compactage des remblais adjacents. </w:t>
      </w:r>
    </w:p>
    <w:p w14:paraId="41A141DF" w14:textId="77777777" w:rsidR="00737D08" w:rsidRPr="001453D6" w:rsidRDefault="00737D08" w:rsidP="00165E5F">
      <w:pPr>
        <w:spacing w:after="0"/>
        <w:ind w:left="0" w:firstLine="0"/>
        <w:rPr>
          <w:szCs w:val="24"/>
        </w:rPr>
      </w:pPr>
      <w:r w:rsidRPr="001453D6">
        <w:rPr>
          <w:szCs w:val="24"/>
        </w:rPr>
        <w:t xml:space="preserve">L’Entrepreneur établira, à ses frais, tous les chemins de service nécessaires pour atteindre les gîtes à matériaux ou les points d’eau.  Ils seront établis de manière à ne pas entraver les autres travaux sur le chantier. </w:t>
      </w:r>
    </w:p>
    <w:p w14:paraId="6268D4F6" w14:textId="77777777" w:rsidR="00737D08" w:rsidRPr="001453D6" w:rsidRDefault="00737D08" w:rsidP="00737D08">
      <w:pPr>
        <w:spacing w:after="0"/>
        <w:rPr>
          <w:szCs w:val="24"/>
        </w:rPr>
      </w:pPr>
    </w:p>
    <w:p w14:paraId="6ABED01C" w14:textId="77777777" w:rsidR="00737D08" w:rsidRPr="001453D6" w:rsidRDefault="00737D08" w:rsidP="00737D08">
      <w:pPr>
        <w:spacing w:after="0"/>
        <w:rPr>
          <w:b/>
          <w:szCs w:val="24"/>
        </w:rPr>
      </w:pPr>
      <w:r w:rsidRPr="001453D6">
        <w:rPr>
          <w:b/>
          <w:szCs w:val="24"/>
        </w:rPr>
        <w:t xml:space="preserve">2.7 REMBLAIS COMPACTES ORDINAIRES </w:t>
      </w:r>
    </w:p>
    <w:p w14:paraId="497EA801" w14:textId="77777777" w:rsidR="00013AB1" w:rsidRPr="001453D6" w:rsidRDefault="00013AB1" w:rsidP="00737D08">
      <w:pPr>
        <w:spacing w:after="0"/>
        <w:rPr>
          <w:szCs w:val="24"/>
        </w:rPr>
      </w:pPr>
    </w:p>
    <w:p w14:paraId="3542ADD8" w14:textId="754F69DE" w:rsidR="00737D08" w:rsidRPr="001453D6" w:rsidRDefault="00737D08" w:rsidP="00165E5F">
      <w:pPr>
        <w:spacing w:after="0"/>
        <w:ind w:left="0" w:firstLine="0"/>
        <w:rPr>
          <w:szCs w:val="24"/>
        </w:rPr>
      </w:pPr>
      <w:r w:rsidRPr="001453D6">
        <w:rPr>
          <w:szCs w:val="24"/>
        </w:rPr>
        <w:t xml:space="preserve">Les remblais ordinaires seront </w:t>
      </w:r>
      <w:r w:rsidR="00165E5F" w:rsidRPr="001453D6">
        <w:rPr>
          <w:szCs w:val="24"/>
        </w:rPr>
        <w:t>régalés à</w:t>
      </w:r>
      <w:r w:rsidR="0090710F" w:rsidRPr="001453D6">
        <w:rPr>
          <w:szCs w:val="24"/>
        </w:rPr>
        <w:t xml:space="preserve"> la niveleuse</w:t>
      </w:r>
      <w:r w:rsidRPr="001453D6">
        <w:rPr>
          <w:szCs w:val="24"/>
        </w:rPr>
        <w:t xml:space="preserve"> et mis en place par passages d'engins type « pieds de mouton » entre chaque couche d'une épaisseur maximale de   40 cm au fur et à mesure de l’exécution du déblai. </w:t>
      </w:r>
    </w:p>
    <w:p w14:paraId="333BC4DE" w14:textId="77777777" w:rsidR="00165E5F" w:rsidRPr="001453D6" w:rsidRDefault="00165E5F" w:rsidP="00737D08">
      <w:pPr>
        <w:spacing w:after="0"/>
        <w:rPr>
          <w:szCs w:val="24"/>
        </w:rPr>
      </w:pPr>
    </w:p>
    <w:p w14:paraId="5A1411FB" w14:textId="00CBE418" w:rsidR="00737D08" w:rsidRPr="001453D6" w:rsidRDefault="00737D08" w:rsidP="00165E5F">
      <w:pPr>
        <w:spacing w:after="0"/>
        <w:ind w:left="0" w:firstLine="0"/>
        <w:rPr>
          <w:szCs w:val="24"/>
        </w:rPr>
      </w:pPr>
      <w:r w:rsidRPr="001453D6">
        <w:rPr>
          <w:szCs w:val="24"/>
        </w:rPr>
        <w:t xml:space="preserve">Un compactage final sera effectué sur les remblais terminés par 4 passages aller-retour minimum d'un cylindre lisse vibrant ayant les caractéristiques minimales </w:t>
      </w:r>
      <w:r w:rsidR="00165E5F" w:rsidRPr="001453D6">
        <w:rPr>
          <w:szCs w:val="24"/>
        </w:rPr>
        <w:t>suivantes :</w:t>
      </w:r>
      <w:r w:rsidRPr="001453D6">
        <w:rPr>
          <w:szCs w:val="24"/>
        </w:rPr>
        <w:t xml:space="preserve"> </w:t>
      </w:r>
    </w:p>
    <w:p w14:paraId="4F02B435" w14:textId="77777777" w:rsidR="00737D08" w:rsidRPr="001453D6" w:rsidRDefault="00737D08" w:rsidP="002A45C1">
      <w:pPr>
        <w:pStyle w:val="Paragraphedeliste"/>
        <w:numPr>
          <w:ilvl w:val="0"/>
          <w:numId w:val="89"/>
        </w:numPr>
        <w:spacing w:after="0"/>
        <w:jc w:val="left"/>
        <w:rPr>
          <w:szCs w:val="24"/>
        </w:rPr>
      </w:pPr>
      <w:r w:rsidRPr="001453D6">
        <w:rPr>
          <w:szCs w:val="24"/>
        </w:rPr>
        <w:t xml:space="preserve">Charge statique par unité de largeur supérieure à 40 kg / cm, </w:t>
      </w:r>
    </w:p>
    <w:p w14:paraId="35C82FEB" w14:textId="77777777" w:rsidR="00737D08" w:rsidRPr="001453D6" w:rsidRDefault="00737D08" w:rsidP="002A45C1">
      <w:pPr>
        <w:pStyle w:val="Paragraphedeliste"/>
        <w:numPr>
          <w:ilvl w:val="0"/>
          <w:numId w:val="89"/>
        </w:numPr>
        <w:spacing w:after="0"/>
        <w:jc w:val="left"/>
        <w:rPr>
          <w:szCs w:val="24"/>
        </w:rPr>
      </w:pPr>
      <w:r w:rsidRPr="001453D6">
        <w:rPr>
          <w:szCs w:val="24"/>
        </w:rPr>
        <w:t xml:space="preserve">Force centrifuge supérieure à 15 000 </w:t>
      </w:r>
      <w:proofErr w:type="spellStart"/>
      <w:proofErr w:type="gramStart"/>
      <w:r w:rsidRPr="001453D6">
        <w:rPr>
          <w:szCs w:val="24"/>
        </w:rPr>
        <w:t>daN</w:t>
      </w:r>
      <w:proofErr w:type="spellEnd"/>
      <w:proofErr w:type="gramEnd"/>
      <w:r w:rsidRPr="001453D6">
        <w:rPr>
          <w:szCs w:val="24"/>
        </w:rPr>
        <w:t xml:space="preserve">. </w:t>
      </w:r>
    </w:p>
    <w:p w14:paraId="5BE31BF7" w14:textId="77777777" w:rsidR="00737D08" w:rsidRPr="001453D6" w:rsidRDefault="00737D08" w:rsidP="00737D08">
      <w:pPr>
        <w:spacing w:after="0"/>
        <w:rPr>
          <w:szCs w:val="24"/>
        </w:rPr>
      </w:pPr>
    </w:p>
    <w:p w14:paraId="32B4CB84" w14:textId="77777777" w:rsidR="00737D08" w:rsidRPr="001453D6" w:rsidRDefault="00737D08" w:rsidP="00737D08">
      <w:pPr>
        <w:spacing w:after="0"/>
        <w:rPr>
          <w:b/>
          <w:szCs w:val="24"/>
        </w:rPr>
      </w:pPr>
      <w:r w:rsidRPr="001453D6">
        <w:rPr>
          <w:b/>
          <w:szCs w:val="24"/>
        </w:rPr>
        <w:t xml:space="preserve">2.8 TOLERANCES </w:t>
      </w:r>
    </w:p>
    <w:p w14:paraId="064E94A7" w14:textId="77777777" w:rsidR="00165E5F" w:rsidRPr="001453D6" w:rsidRDefault="00165E5F" w:rsidP="00737D08">
      <w:pPr>
        <w:spacing w:after="0"/>
        <w:rPr>
          <w:szCs w:val="24"/>
        </w:rPr>
      </w:pPr>
    </w:p>
    <w:p w14:paraId="5CF0594C" w14:textId="5160B6B8" w:rsidR="00737D08" w:rsidRPr="001453D6" w:rsidRDefault="00737D08" w:rsidP="00737D08">
      <w:pPr>
        <w:spacing w:after="0"/>
        <w:rPr>
          <w:szCs w:val="24"/>
        </w:rPr>
      </w:pPr>
      <w:r w:rsidRPr="001453D6">
        <w:rPr>
          <w:szCs w:val="24"/>
        </w:rPr>
        <w:t xml:space="preserve">a.  Les tolérances par rapport aux profils théoriques sont : </w:t>
      </w:r>
    </w:p>
    <w:p w14:paraId="3AC0E24A" w14:textId="719E62FA" w:rsidR="00DC3FAD" w:rsidRPr="001453D6" w:rsidRDefault="00737D08" w:rsidP="00737D08">
      <w:pPr>
        <w:spacing w:after="0"/>
        <w:rPr>
          <w:szCs w:val="24"/>
        </w:rPr>
      </w:pPr>
      <w:r w:rsidRPr="001453D6">
        <w:rPr>
          <w:szCs w:val="24"/>
        </w:rPr>
        <w:t>1</w:t>
      </w:r>
      <w:r w:rsidR="00165E5F" w:rsidRPr="001453D6">
        <w:rPr>
          <w:szCs w:val="24"/>
        </w:rPr>
        <w:t>. N</w:t>
      </w:r>
      <w:r w:rsidRPr="001453D6">
        <w:rPr>
          <w:szCs w:val="24"/>
        </w:rPr>
        <w:t xml:space="preserve">iveau du sommet des cavaliers et pistes : </w:t>
      </w:r>
      <w:r w:rsidR="00DC3FAD" w:rsidRPr="001453D6">
        <w:rPr>
          <w:szCs w:val="24"/>
        </w:rPr>
        <w:t>+</w:t>
      </w:r>
      <w:r w:rsidRPr="001453D6">
        <w:rPr>
          <w:szCs w:val="24"/>
        </w:rPr>
        <w:t xml:space="preserve">2 et - 0 cm </w:t>
      </w:r>
    </w:p>
    <w:p w14:paraId="60FA0E31" w14:textId="14C5DBDE" w:rsidR="00737D08" w:rsidRPr="001453D6" w:rsidRDefault="00165E5F" w:rsidP="00737D08">
      <w:pPr>
        <w:spacing w:after="0"/>
        <w:rPr>
          <w:szCs w:val="24"/>
        </w:rPr>
      </w:pPr>
      <w:r w:rsidRPr="001453D6">
        <w:rPr>
          <w:szCs w:val="24"/>
        </w:rPr>
        <w:t>2</w:t>
      </w:r>
      <w:r w:rsidR="00737D08" w:rsidRPr="001453D6">
        <w:rPr>
          <w:szCs w:val="24"/>
        </w:rPr>
        <w:t>.</w:t>
      </w:r>
      <w:r w:rsidRPr="001453D6">
        <w:rPr>
          <w:szCs w:val="24"/>
        </w:rPr>
        <w:t xml:space="preserve"> Planimétrie :</w:t>
      </w:r>
      <w:r w:rsidR="00737D08" w:rsidRPr="001453D6">
        <w:rPr>
          <w:szCs w:val="24"/>
        </w:rPr>
        <w:t xml:space="preserve"> </w:t>
      </w:r>
      <w:r w:rsidR="00DC3FAD" w:rsidRPr="001453D6">
        <w:rPr>
          <w:szCs w:val="24"/>
        </w:rPr>
        <w:t>+</w:t>
      </w:r>
      <w:r w:rsidR="00737D08" w:rsidRPr="001453D6">
        <w:rPr>
          <w:szCs w:val="24"/>
        </w:rPr>
        <w:t xml:space="preserve"> 5 et - 0 cm </w:t>
      </w:r>
    </w:p>
    <w:p w14:paraId="3E03F074" w14:textId="77777777" w:rsidR="00165E5F" w:rsidRPr="001453D6" w:rsidRDefault="00165E5F" w:rsidP="00737D08">
      <w:pPr>
        <w:spacing w:after="0"/>
        <w:rPr>
          <w:szCs w:val="24"/>
        </w:rPr>
      </w:pPr>
    </w:p>
    <w:p w14:paraId="73FF6349" w14:textId="68B9E145" w:rsidR="00737D08" w:rsidRPr="001453D6" w:rsidRDefault="00737D08" w:rsidP="00737D08">
      <w:pPr>
        <w:spacing w:after="0"/>
        <w:rPr>
          <w:szCs w:val="24"/>
        </w:rPr>
      </w:pPr>
      <w:r w:rsidRPr="001453D6">
        <w:rPr>
          <w:szCs w:val="24"/>
        </w:rPr>
        <w:t xml:space="preserve">b.  Les pentes ne doivent pas être supérieures aux pentes théoriques </w:t>
      </w:r>
    </w:p>
    <w:p w14:paraId="52DF5ECC" w14:textId="77777777" w:rsidR="00D426B5" w:rsidRPr="001453D6" w:rsidRDefault="00D426B5" w:rsidP="00737D08">
      <w:pPr>
        <w:spacing w:after="0"/>
        <w:rPr>
          <w:szCs w:val="24"/>
        </w:rPr>
      </w:pPr>
    </w:p>
    <w:p w14:paraId="7C02825E" w14:textId="77777777" w:rsidR="00737D08" w:rsidRPr="001453D6" w:rsidRDefault="00737D08" w:rsidP="00737D08">
      <w:pPr>
        <w:spacing w:after="0"/>
        <w:rPr>
          <w:b/>
          <w:szCs w:val="24"/>
        </w:rPr>
      </w:pPr>
      <w:r w:rsidRPr="001453D6">
        <w:rPr>
          <w:b/>
          <w:szCs w:val="24"/>
        </w:rPr>
        <w:t xml:space="preserve">2.9 CONTROLES </w:t>
      </w:r>
    </w:p>
    <w:p w14:paraId="33AC2011" w14:textId="77777777" w:rsidR="00013AB1" w:rsidRPr="001453D6" w:rsidRDefault="00013AB1" w:rsidP="00737D08">
      <w:pPr>
        <w:spacing w:after="0"/>
        <w:rPr>
          <w:szCs w:val="24"/>
        </w:rPr>
      </w:pPr>
    </w:p>
    <w:p w14:paraId="07503C80" w14:textId="1B1799B5" w:rsidR="00737D08" w:rsidRPr="001453D6" w:rsidRDefault="00737D08" w:rsidP="00165E5F">
      <w:pPr>
        <w:spacing w:after="0"/>
        <w:ind w:left="0" w:firstLine="0"/>
        <w:rPr>
          <w:szCs w:val="24"/>
        </w:rPr>
      </w:pPr>
      <w:r w:rsidRPr="001453D6">
        <w:rPr>
          <w:szCs w:val="24"/>
        </w:rPr>
        <w:t xml:space="preserve">La réception des couches de remblai compacté à l'OPN" portera sur un contrôle contradictoire de la teneur en eau et du compactage (densité en place) par 500 mètres cubes mis en œuvre. Un essai Proctor Normal sera exécuté en moyenne tous les 1 000 mètres cube mis en œuvre pour servir de référence aux essais de contrôle, le nombre d'essais </w:t>
      </w:r>
      <w:r w:rsidR="00A24563" w:rsidRPr="001453D6">
        <w:rPr>
          <w:szCs w:val="24"/>
        </w:rPr>
        <w:t>Proctor</w:t>
      </w:r>
      <w:r w:rsidRPr="001453D6">
        <w:rPr>
          <w:szCs w:val="24"/>
        </w:rPr>
        <w:t xml:space="preserve"> pourra être renforcé à la demande de l'Ingénieur en cas de variation sensible des caractéristiques des matériaux. Chaque contrôle du compactage comportera trois points de mesure (distants de 1 m) de la densité et de la teneur en eau. </w:t>
      </w:r>
    </w:p>
    <w:p w14:paraId="2C2DA0CA" w14:textId="77777777" w:rsidR="00737D08" w:rsidRPr="001453D6" w:rsidRDefault="00737D08" w:rsidP="00737D08">
      <w:pPr>
        <w:spacing w:after="0"/>
        <w:rPr>
          <w:szCs w:val="24"/>
        </w:rPr>
      </w:pPr>
      <w:r w:rsidRPr="001453D6">
        <w:rPr>
          <w:szCs w:val="24"/>
        </w:rPr>
        <w:t xml:space="preserve"> </w:t>
      </w:r>
    </w:p>
    <w:p w14:paraId="6D7E3840" w14:textId="77777777" w:rsidR="00737D08" w:rsidRPr="001453D6" w:rsidRDefault="00737D08" w:rsidP="00165E5F">
      <w:pPr>
        <w:spacing w:after="0"/>
        <w:ind w:left="0" w:firstLine="0"/>
        <w:rPr>
          <w:szCs w:val="24"/>
        </w:rPr>
      </w:pPr>
      <w:r w:rsidRPr="001453D6">
        <w:rPr>
          <w:szCs w:val="24"/>
        </w:rPr>
        <w:t xml:space="preserve">Le contrôle des dimensions des travaux sera réalisé par relevés contradictoires de profils en moyenne :          </w:t>
      </w:r>
    </w:p>
    <w:p w14:paraId="1E40EB69" w14:textId="3345A9AB" w:rsidR="00737D08" w:rsidRPr="001453D6" w:rsidRDefault="00CA629E" w:rsidP="002A45C1">
      <w:pPr>
        <w:pStyle w:val="Paragraphedeliste"/>
        <w:numPr>
          <w:ilvl w:val="0"/>
          <w:numId w:val="90"/>
        </w:numPr>
        <w:spacing w:after="0"/>
        <w:jc w:val="left"/>
        <w:rPr>
          <w:szCs w:val="24"/>
        </w:rPr>
      </w:pPr>
      <w:r w:rsidRPr="001453D6">
        <w:rPr>
          <w:szCs w:val="24"/>
        </w:rPr>
        <w:t>Tous</w:t>
      </w:r>
      <w:r w:rsidR="00737D08" w:rsidRPr="001453D6">
        <w:rPr>
          <w:szCs w:val="24"/>
        </w:rPr>
        <w:t xml:space="preserve"> les 200 m pour drains principaux et leurs pistes.  </w:t>
      </w:r>
    </w:p>
    <w:p w14:paraId="3B93CDDF" w14:textId="7478B675" w:rsidR="00737D08" w:rsidRPr="001453D6" w:rsidRDefault="00CA629E" w:rsidP="002A45C1">
      <w:pPr>
        <w:pStyle w:val="Paragraphedeliste"/>
        <w:numPr>
          <w:ilvl w:val="0"/>
          <w:numId w:val="90"/>
        </w:numPr>
        <w:spacing w:after="0"/>
        <w:jc w:val="left"/>
        <w:rPr>
          <w:szCs w:val="24"/>
        </w:rPr>
      </w:pPr>
      <w:r w:rsidRPr="001453D6">
        <w:rPr>
          <w:szCs w:val="24"/>
        </w:rPr>
        <w:t>Tous</w:t>
      </w:r>
      <w:r w:rsidR="00737D08" w:rsidRPr="001453D6">
        <w:rPr>
          <w:szCs w:val="24"/>
        </w:rPr>
        <w:t xml:space="preserve"> les 100 m pour les </w:t>
      </w:r>
      <w:r w:rsidR="006A5783" w:rsidRPr="001453D6">
        <w:rPr>
          <w:szCs w:val="24"/>
        </w:rPr>
        <w:t>drains secondaires et tertiaires</w:t>
      </w:r>
      <w:r w:rsidR="00737D08" w:rsidRPr="001453D6">
        <w:rPr>
          <w:szCs w:val="24"/>
        </w:rPr>
        <w:t xml:space="preserve">. </w:t>
      </w:r>
    </w:p>
    <w:p w14:paraId="304DBCBA" w14:textId="77777777" w:rsidR="00737D08" w:rsidRPr="001453D6" w:rsidRDefault="00737D08" w:rsidP="00737D08">
      <w:pPr>
        <w:spacing w:after="0"/>
        <w:rPr>
          <w:szCs w:val="24"/>
        </w:rPr>
      </w:pPr>
    </w:p>
    <w:p w14:paraId="314E07CF" w14:textId="77777777" w:rsidR="00737D08" w:rsidRPr="001453D6" w:rsidRDefault="00737D08" w:rsidP="00737D08">
      <w:pPr>
        <w:spacing w:after="0"/>
        <w:rPr>
          <w:b/>
          <w:szCs w:val="24"/>
        </w:rPr>
      </w:pPr>
      <w:r w:rsidRPr="001453D6">
        <w:rPr>
          <w:b/>
          <w:szCs w:val="24"/>
        </w:rPr>
        <w:t xml:space="preserve">PARTIE C - DEBLAIS ET REMBLAIS POUR OUVRAGES </w:t>
      </w:r>
    </w:p>
    <w:p w14:paraId="73C14779" w14:textId="77777777" w:rsidR="00222E0C" w:rsidRPr="001453D6" w:rsidRDefault="00222E0C" w:rsidP="00737D08">
      <w:pPr>
        <w:spacing w:after="0"/>
        <w:rPr>
          <w:b/>
          <w:szCs w:val="24"/>
        </w:rPr>
      </w:pPr>
    </w:p>
    <w:p w14:paraId="198E5AAE" w14:textId="479D2C82" w:rsidR="00737D08" w:rsidRPr="001453D6" w:rsidRDefault="00737D08" w:rsidP="00737D08">
      <w:pPr>
        <w:spacing w:after="0"/>
        <w:rPr>
          <w:b/>
          <w:szCs w:val="24"/>
        </w:rPr>
      </w:pPr>
      <w:r w:rsidRPr="001453D6">
        <w:rPr>
          <w:b/>
          <w:szCs w:val="24"/>
        </w:rPr>
        <w:t xml:space="preserve">1. GENERALITE </w:t>
      </w:r>
    </w:p>
    <w:p w14:paraId="1DCF3804" w14:textId="77777777" w:rsidR="00222E0C" w:rsidRPr="001453D6" w:rsidRDefault="00222E0C" w:rsidP="00737D08">
      <w:pPr>
        <w:spacing w:after="0"/>
        <w:rPr>
          <w:b/>
          <w:szCs w:val="24"/>
        </w:rPr>
      </w:pPr>
    </w:p>
    <w:p w14:paraId="05398DD2" w14:textId="1277ED17" w:rsidR="00737D08" w:rsidRPr="001453D6" w:rsidRDefault="00737D08" w:rsidP="00737D08">
      <w:pPr>
        <w:spacing w:after="0"/>
        <w:rPr>
          <w:b/>
          <w:szCs w:val="24"/>
        </w:rPr>
      </w:pPr>
      <w:r w:rsidRPr="001453D6">
        <w:rPr>
          <w:b/>
          <w:szCs w:val="24"/>
        </w:rPr>
        <w:t xml:space="preserve">1.1 ASSURANCE DE QUALITE </w:t>
      </w:r>
    </w:p>
    <w:p w14:paraId="76B65969" w14:textId="77777777" w:rsidR="00222E0C" w:rsidRPr="001453D6" w:rsidRDefault="00222E0C" w:rsidP="00222E0C">
      <w:pPr>
        <w:spacing w:after="0"/>
        <w:ind w:left="0" w:firstLine="0"/>
        <w:rPr>
          <w:szCs w:val="24"/>
        </w:rPr>
      </w:pPr>
    </w:p>
    <w:p w14:paraId="0C026525" w14:textId="7FDA59DC" w:rsidR="00737D08" w:rsidRPr="001453D6" w:rsidRDefault="00737D08" w:rsidP="00222E0C">
      <w:pPr>
        <w:spacing w:after="0"/>
        <w:ind w:left="0" w:firstLine="0"/>
        <w:rPr>
          <w:szCs w:val="24"/>
        </w:rPr>
      </w:pPr>
      <w:r w:rsidRPr="001453D6">
        <w:rPr>
          <w:szCs w:val="24"/>
        </w:rPr>
        <w:t>Sauf s'ils proviennent des zones d'emprunt déjà reconnues dans le cadre d'autres travaux de terrassement (déblais et remblais pour canaux, drains et pistes) les sols destinés au remblaiement des ouvrages feront l'objet d'identification (granulométrie et limite d'</w:t>
      </w:r>
      <w:proofErr w:type="spellStart"/>
      <w:r w:rsidRPr="001453D6">
        <w:rPr>
          <w:szCs w:val="24"/>
        </w:rPr>
        <w:t>Atterberg</w:t>
      </w:r>
      <w:proofErr w:type="spellEnd"/>
      <w:r w:rsidRPr="001453D6">
        <w:rPr>
          <w:szCs w:val="24"/>
        </w:rPr>
        <w:t xml:space="preserve">) selon les indications de l’Ingénieur. </w:t>
      </w:r>
    </w:p>
    <w:p w14:paraId="16F7A973" w14:textId="77777777" w:rsidR="0051589D" w:rsidRPr="001453D6" w:rsidRDefault="0051589D" w:rsidP="00737D08">
      <w:pPr>
        <w:spacing w:after="0"/>
        <w:rPr>
          <w:szCs w:val="24"/>
        </w:rPr>
      </w:pPr>
    </w:p>
    <w:p w14:paraId="52EEE43A" w14:textId="77777777" w:rsidR="00737D08" w:rsidRPr="001453D6" w:rsidRDefault="00737D08" w:rsidP="00737D08">
      <w:pPr>
        <w:spacing w:after="0"/>
        <w:rPr>
          <w:szCs w:val="24"/>
        </w:rPr>
      </w:pPr>
    </w:p>
    <w:p w14:paraId="31B67038" w14:textId="77777777" w:rsidR="00737D08" w:rsidRPr="001453D6" w:rsidRDefault="00737D08" w:rsidP="00737D08">
      <w:pPr>
        <w:spacing w:after="0"/>
        <w:rPr>
          <w:b/>
          <w:szCs w:val="24"/>
        </w:rPr>
      </w:pPr>
      <w:r w:rsidRPr="001453D6">
        <w:rPr>
          <w:b/>
          <w:szCs w:val="24"/>
        </w:rPr>
        <w:t xml:space="preserve">1.2 NORMES ET REGLEMENTS </w:t>
      </w:r>
    </w:p>
    <w:p w14:paraId="04451F8A" w14:textId="77777777" w:rsidR="00013AB1" w:rsidRPr="001453D6" w:rsidRDefault="00013AB1" w:rsidP="00737D08">
      <w:pPr>
        <w:spacing w:after="0"/>
        <w:rPr>
          <w:szCs w:val="24"/>
        </w:rPr>
      </w:pPr>
    </w:p>
    <w:p w14:paraId="3EFBE471" w14:textId="54E22F80" w:rsidR="00737D08" w:rsidRPr="001453D6" w:rsidRDefault="00737D08" w:rsidP="00222E0C">
      <w:pPr>
        <w:spacing w:after="0"/>
        <w:ind w:left="0" w:firstLine="0"/>
        <w:rPr>
          <w:szCs w:val="24"/>
        </w:rPr>
      </w:pPr>
      <w:r w:rsidRPr="001453D6">
        <w:rPr>
          <w:szCs w:val="24"/>
        </w:rPr>
        <w:t xml:space="preserve">Les travaux seront réalisés en conformité avec les prescriptions du fascicule 68, titre 1er (chapitres 1 et 2) du CCTG français. </w:t>
      </w:r>
    </w:p>
    <w:p w14:paraId="6077A38F" w14:textId="77777777" w:rsidR="00737D08" w:rsidRPr="001453D6" w:rsidRDefault="00737D08" w:rsidP="00222E0C">
      <w:pPr>
        <w:spacing w:after="0"/>
        <w:ind w:left="0" w:firstLine="0"/>
        <w:rPr>
          <w:szCs w:val="24"/>
        </w:rPr>
      </w:pPr>
      <w:r w:rsidRPr="001453D6">
        <w:rPr>
          <w:szCs w:val="24"/>
        </w:rPr>
        <w:t xml:space="preserve">Les essais de laboratoire seront réalisés en conformité avec les modes opératoires du Laboratoire Central des Ponts et Chaussées Français (LCPC). </w:t>
      </w:r>
    </w:p>
    <w:p w14:paraId="68CA7CFD" w14:textId="77777777" w:rsidR="00737D08" w:rsidRPr="001453D6" w:rsidRDefault="00737D08" w:rsidP="00737D08">
      <w:pPr>
        <w:spacing w:after="0"/>
        <w:rPr>
          <w:szCs w:val="24"/>
        </w:rPr>
      </w:pPr>
    </w:p>
    <w:p w14:paraId="3B29E029" w14:textId="780EC120" w:rsidR="00737D08" w:rsidRPr="001453D6" w:rsidRDefault="00737D08" w:rsidP="002A45C1">
      <w:pPr>
        <w:pStyle w:val="Paragraphedeliste"/>
        <w:numPr>
          <w:ilvl w:val="1"/>
          <w:numId w:val="103"/>
        </w:numPr>
        <w:spacing w:after="0"/>
        <w:rPr>
          <w:b/>
          <w:szCs w:val="24"/>
        </w:rPr>
      </w:pPr>
      <w:r w:rsidRPr="001453D6">
        <w:rPr>
          <w:b/>
          <w:szCs w:val="24"/>
        </w:rPr>
        <w:t xml:space="preserve">DOCUMENTS A REMETTRE </w:t>
      </w:r>
    </w:p>
    <w:p w14:paraId="021A55B7" w14:textId="77777777" w:rsidR="0051589D" w:rsidRPr="001453D6" w:rsidRDefault="0051589D" w:rsidP="0051589D">
      <w:pPr>
        <w:pStyle w:val="Paragraphedeliste"/>
        <w:spacing w:after="0"/>
        <w:ind w:firstLine="0"/>
        <w:rPr>
          <w:b/>
          <w:szCs w:val="24"/>
        </w:rPr>
      </w:pPr>
    </w:p>
    <w:p w14:paraId="50894E19" w14:textId="77777777" w:rsidR="00737D08" w:rsidRPr="001453D6" w:rsidRDefault="00737D08" w:rsidP="002A45C1">
      <w:pPr>
        <w:pStyle w:val="Paragraphedeliste"/>
        <w:numPr>
          <w:ilvl w:val="0"/>
          <w:numId w:val="91"/>
        </w:numPr>
        <w:spacing w:after="0"/>
        <w:jc w:val="left"/>
        <w:rPr>
          <w:szCs w:val="24"/>
        </w:rPr>
      </w:pPr>
      <w:r w:rsidRPr="001453D6">
        <w:rPr>
          <w:szCs w:val="24"/>
        </w:rPr>
        <w:t xml:space="preserve">Plans d'exécution si nécessaire </w:t>
      </w:r>
    </w:p>
    <w:p w14:paraId="3E8600AE" w14:textId="7F989D43" w:rsidR="00737D08" w:rsidRPr="001453D6" w:rsidRDefault="00737D08" w:rsidP="002A45C1">
      <w:pPr>
        <w:pStyle w:val="Paragraphedeliste"/>
        <w:numPr>
          <w:ilvl w:val="0"/>
          <w:numId w:val="91"/>
        </w:numPr>
        <w:spacing w:after="0"/>
        <w:jc w:val="left"/>
        <w:rPr>
          <w:szCs w:val="24"/>
        </w:rPr>
      </w:pPr>
      <w:r w:rsidRPr="001453D6">
        <w:rPr>
          <w:szCs w:val="24"/>
        </w:rPr>
        <w:t xml:space="preserve">Résultats des reconnaissances et essais </w:t>
      </w:r>
    </w:p>
    <w:p w14:paraId="1CD5FF8A" w14:textId="77777777" w:rsidR="0051589D" w:rsidRPr="001453D6" w:rsidRDefault="0051589D" w:rsidP="0051589D">
      <w:pPr>
        <w:pStyle w:val="Paragraphedeliste"/>
        <w:spacing w:after="0"/>
        <w:ind w:firstLine="0"/>
        <w:jc w:val="left"/>
        <w:rPr>
          <w:szCs w:val="24"/>
        </w:rPr>
      </w:pPr>
    </w:p>
    <w:p w14:paraId="35D4E6C2" w14:textId="200D674A" w:rsidR="00737D08" w:rsidRPr="001453D6" w:rsidRDefault="00CF026F" w:rsidP="00CF026F">
      <w:pPr>
        <w:spacing w:after="0"/>
        <w:rPr>
          <w:b/>
          <w:szCs w:val="24"/>
        </w:rPr>
      </w:pPr>
      <w:r w:rsidRPr="001453D6">
        <w:rPr>
          <w:b/>
          <w:szCs w:val="24"/>
        </w:rPr>
        <w:t xml:space="preserve">2. </w:t>
      </w:r>
      <w:r w:rsidR="00737D08" w:rsidRPr="001453D6">
        <w:rPr>
          <w:b/>
          <w:szCs w:val="24"/>
        </w:rPr>
        <w:t xml:space="preserve">PRODUIT </w:t>
      </w:r>
    </w:p>
    <w:p w14:paraId="7BD47250" w14:textId="77777777" w:rsidR="0051589D" w:rsidRPr="001453D6" w:rsidRDefault="0051589D" w:rsidP="0051589D">
      <w:pPr>
        <w:pStyle w:val="Paragraphedeliste"/>
        <w:spacing w:after="0"/>
        <w:ind w:firstLine="0"/>
        <w:rPr>
          <w:b/>
          <w:szCs w:val="24"/>
        </w:rPr>
      </w:pPr>
    </w:p>
    <w:p w14:paraId="43A56842" w14:textId="77777777" w:rsidR="00737D08" w:rsidRPr="001453D6" w:rsidRDefault="00737D08" w:rsidP="00737D08">
      <w:pPr>
        <w:spacing w:after="0"/>
        <w:rPr>
          <w:b/>
          <w:szCs w:val="24"/>
        </w:rPr>
      </w:pPr>
      <w:r w:rsidRPr="001453D6">
        <w:rPr>
          <w:b/>
          <w:szCs w:val="24"/>
        </w:rPr>
        <w:t xml:space="preserve">2.1 DEFINITION DES MATERIAUX </w:t>
      </w:r>
    </w:p>
    <w:p w14:paraId="165AD3D7" w14:textId="77777777" w:rsidR="00013AB1" w:rsidRPr="001453D6" w:rsidRDefault="00013AB1" w:rsidP="00737D08">
      <w:pPr>
        <w:spacing w:after="0"/>
        <w:rPr>
          <w:szCs w:val="24"/>
        </w:rPr>
      </w:pPr>
    </w:p>
    <w:p w14:paraId="3B9D8644" w14:textId="38663428" w:rsidR="00737D08" w:rsidRPr="001453D6" w:rsidRDefault="00737D08" w:rsidP="00222E0C">
      <w:pPr>
        <w:spacing w:after="0"/>
        <w:ind w:left="0" w:firstLine="0"/>
        <w:rPr>
          <w:szCs w:val="24"/>
        </w:rPr>
      </w:pPr>
      <w:r w:rsidRPr="001453D6">
        <w:rPr>
          <w:szCs w:val="24"/>
        </w:rPr>
        <w:t>Matières végétales ou organiques néant Indice de plasticité (</w:t>
      </w:r>
      <w:r w:rsidR="00222E0C" w:rsidRPr="001453D6">
        <w:rPr>
          <w:szCs w:val="24"/>
        </w:rPr>
        <w:t>IP) entre</w:t>
      </w:r>
      <w:r w:rsidR="001229AB" w:rsidRPr="001453D6">
        <w:rPr>
          <w:szCs w:val="24"/>
        </w:rPr>
        <w:t xml:space="preserve"> 10 et 25.</w:t>
      </w:r>
      <w:r w:rsidRPr="001453D6">
        <w:rPr>
          <w:szCs w:val="24"/>
        </w:rPr>
        <w:t xml:space="preserve"> Passant au tamis de 80 micromètres y : supérieur à </w:t>
      </w:r>
      <w:r w:rsidR="001229AB" w:rsidRPr="001453D6">
        <w:rPr>
          <w:szCs w:val="24"/>
        </w:rPr>
        <w:t>8</w:t>
      </w:r>
      <w:r w:rsidRPr="001453D6">
        <w:rPr>
          <w:szCs w:val="24"/>
        </w:rPr>
        <w:t xml:space="preserve">0% </w:t>
      </w:r>
    </w:p>
    <w:p w14:paraId="58D0DD28" w14:textId="77777777" w:rsidR="00D426B5" w:rsidRPr="001453D6" w:rsidRDefault="00D426B5" w:rsidP="00737D08">
      <w:pPr>
        <w:spacing w:after="0"/>
        <w:rPr>
          <w:szCs w:val="24"/>
        </w:rPr>
      </w:pPr>
    </w:p>
    <w:p w14:paraId="71E36650" w14:textId="77777777" w:rsidR="00737D08" w:rsidRPr="001453D6" w:rsidRDefault="00737D08" w:rsidP="00737D08">
      <w:pPr>
        <w:spacing w:after="0"/>
        <w:rPr>
          <w:b/>
          <w:szCs w:val="24"/>
        </w:rPr>
      </w:pPr>
      <w:r w:rsidRPr="001453D6">
        <w:rPr>
          <w:b/>
          <w:szCs w:val="24"/>
        </w:rPr>
        <w:t xml:space="preserve">2.2 PREPARATION </w:t>
      </w:r>
    </w:p>
    <w:p w14:paraId="64BAA0BD" w14:textId="77777777" w:rsidR="00013AB1" w:rsidRPr="001453D6" w:rsidRDefault="00013AB1" w:rsidP="00737D08">
      <w:pPr>
        <w:spacing w:after="0"/>
        <w:rPr>
          <w:szCs w:val="24"/>
        </w:rPr>
      </w:pPr>
    </w:p>
    <w:p w14:paraId="3BD901E6" w14:textId="29595FBD" w:rsidR="00737D08" w:rsidRPr="001453D6" w:rsidRDefault="00737D08" w:rsidP="00CF026F">
      <w:pPr>
        <w:spacing w:after="0"/>
        <w:ind w:left="0" w:firstLine="0"/>
        <w:rPr>
          <w:szCs w:val="24"/>
        </w:rPr>
      </w:pPr>
      <w:r w:rsidRPr="001453D6">
        <w:rPr>
          <w:szCs w:val="24"/>
        </w:rPr>
        <w:t>Les matériaux seront humidifiés en emprunt ou sur dépôt provisoire à une teneur en eau permettant la mise en œuvre à une teneur en eau égale à la teneur en eau correspondant à l’OPN avec une tolérance de ± 2% par rapport à l'optimum (</w:t>
      </w:r>
      <w:proofErr w:type="spellStart"/>
      <w:r w:rsidRPr="001453D6">
        <w:rPr>
          <w:szCs w:val="24"/>
        </w:rPr>
        <w:t>Wopt</w:t>
      </w:r>
      <w:proofErr w:type="spellEnd"/>
      <w:r w:rsidRPr="001453D6">
        <w:rPr>
          <w:szCs w:val="24"/>
        </w:rPr>
        <w:t xml:space="preserve">). </w:t>
      </w:r>
    </w:p>
    <w:p w14:paraId="0F2AB1B2" w14:textId="77777777" w:rsidR="00737D08" w:rsidRPr="001453D6" w:rsidRDefault="00737D08" w:rsidP="00737D08">
      <w:pPr>
        <w:spacing w:after="0"/>
        <w:rPr>
          <w:szCs w:val="24"/>
        </w:rPr>
      </w:pPr>
    </w:p>
    <w:p w14:paraId="73EFA4AC" w14:textId="1BD382ED" w:rsidR="00737D08" w:rsidRPr="001453D6" w:rsidRDefault="00CF026F" w:rsidP="00CF026F">
      <w:pPr>
        <w:spacing w:after="0"/>
        <w:rPr>
          <w:b/>
          <w:szCs w:val="24"/>
        </w:rPr>
      </w:pPr>
      <w:r w:rsidRPr="001453D6">
        <w:rPr>
          <w:b/>
          <w:szCs w:val="24"/>
        </w:rPr>
        <w:t xml:space="preserve">3. </w:t>
      </w:r>
      <w:r w:rsidR="00737D08" w:rsidRPr="001453D6">
        <w:rPr>
          <w:b/>
          <w:szCs w:val="24"/>
        </w:rPr>
        <w:t xml:space="preserve">MISE EN ŒUVRE  </w:t>
      </w:r>
    </w:p>
    <w:p w14:paraId="6510AAEE" w14:textId="77777777" w:rsidR="0051589D" w:rsidRPr="001453D6" w:rsidRDefault="0051589D" w:rsidP="0051589D">
      <w:pPr>
        <w:pStyle w:val="Paragraphedeliste"/>
        <w:spacing w:after="0"/>
        <w:ind w:firstLine="0"/>
        <w:rPr>
          <w:b/>
          <w:szCs w:val="24"/>
        </w:rPr>
      </w:pPr>
    </w:p>
    <w:p w14:paraId="4B8D3E5D" w14:textId="77777777" w:rsidR="00737D08" w:rsidRPr="001453D6" w:rsidRDefault="00737D08" w:rsidP="00737D08">
      <w:pPr>
        <w:spacing w:after="0"/>
        <w:rPr>
          <w:b/>
          <w:szCs w:val="24"/>
        </w:rPr>
      </w:pPr>
      <w:r w:rsidRPr="001453D6">
        <w:rPr>
          <w:b/>
          <w:szCs w:val="24"/>
        </w:rPr>
        <w:t xml:space="preserve">3.1 DEBLAI POUR FOUILLES D'OUVRAGES </w:t>
      </w:r>
    </w:p>
    <w:p w14:paraId="1CD1B99A" w14:textId="77777777" w:rsidR="00222E0C" w:rsidRPr="001453D6" w:rsidRDefault="00222E0C" w:rsidP="00737D08">
      <w:pPr>
        <w:spacing w:after="0"/>
        <w:rPr>
          <w:szCs w:val="24"/>
        </w:rPr>
      </w:pPr>
    </w:p>
    <w:p w14:paraId="049E5493" w14:textId="362DF9B7" w:rsidR="00737D08" w:rsidRPr="001453D6" w:rsidRDefault="00737D08" w:rsidP="00CF026F">
      <w:pPr>
        <w:spacing w:after="0"/>
        <w:ind w:left="0" w:firstLine="0"/>
        <w:rPr>
          <w:szCs w:val="24"/>
        </w:rPr>
      </w:pPr>
      <w:r w:rsidRPr="001453D6">
        <w:rPr>
          <w:szCs w:val="24"/>
        </w:rPr>
        <w:t xml:space="preserve">Les fouilles pour ouvrages seront exécutées aux emplacements et profondeurs prescrites.  Leur exécution ne devra pas désorganiser les terrains de fondation et les terrains adjacents. Toutes les précautions seront prises pour prévenir les glissements et éboulements de terrain et l'Entrepreneur établira sous sa responsabilité et ses frais les étaiements et blindages qui apparaîtraient nécessaires. Les fouilles devront être maintenues à sec pendant toute la durée de l'exécution de l’ouvrage. L'Entrepreneur prendra toutes les précautions pour garantir les travaux contre les venues d'eau. Les terres jugées impropres seront évacuées en zones de dépôts à moins de 300 m, les autres pourront être réutilisées en remblai. Tout surdimensionnement des fouilles, voulu ou accidentel, sera à la charge de l’Entrepreneur. </w:t>
      </w:r>
    </w:p>
    <w:p w14:paraId="491F3643" w14:textId="77777777" w:rsidR="00737D08" w:rsidRPr="001453D6" w:rsidRDefault="00737D08" w:rsidP="00737D08">
      <w:pPr>
        <w:spacing w:after="0"/>
        <w:rPr>
          <w:szCs w:val="24"/>
        </w:rPr>
      </w:pPr>
    </w:p>
    <w:p w14:paraId="4D717E48" w14:textId="2049D6BE" w:rsidR="00737D08" w:rsidRPr="001453D6" w:rsidRDefault="00CF026F" w:rsidP="00737D08">
      <w:pPr>
        <w:spacing w:after="0"/>
        <w:rPr>
          <w:b/>
          <w:szCs w:val="24"/>
        </w:rPr>
      </w:pPr>
      <w:r w:rsidRPr="001453D6">
        <w:rPr>
          <w:b/>
          <w:szCs w:val="24"/>
        </w:rPr>
        <w:t>3.2 REMBLAIEMENT</w:t>
      </w:r>
    </w:p>
    <w:p w14:paraId="4BC00CD1" w14:textId="77777777" w:rsidR="00CF026F" w:rsidRPr="001453D6" w:rsidRDefault="00CF026F" w:rsidP="00737D08">
      <w:pPr>
        <w:spacing w:after="0"/>
        <w:rPr>
          <w:b/>
          <w:szCs w:val="24"/>
        </w:rPr>
      </w:pPr>
    </w:p>
    <w:p w14:paraId="1606771C" w14:textId="15D53340" w:rsidR="00737D08" w:rsidRPr="001453D6" w:rsidRDefault="00CA629E" w:rsidP="00737D08">
      <w:pPr>
        <w:spacing w:after="0"/>
        <w:rPr>
          <w:szCs w:val="24"/>
        </w:rPr>
      </w:pPr>
      <w:proofErr w:type="gramStart"/>
      <w:r w:rsidRPr="001453D6">
        <w:rPr>
          <w:szCs w:val="24"/>
        </w:rPr>
        <w:t>a</w:t>
      </w:r>
      <w:proofErr w:type="gramEnd"/>
      <w:r w:rsidRPr="001453D6">
        <w:rPr>
          <w:szCs w:val="24"/>
        </w:rPr>
        <w:t xml:space="preserve"> </w:t>
      </w:r>
      <w:r>
        <w:rPr>
          <w:szCs w:val="24"/>
        </w:rPr>
        <w:t>Liaison</w:t>
      </w:r>
      <w:r w:rsidR="00737D08" w:rsidRPr="001453D6">
        <w:rPr>
          <w:szCs w:val="24"/>
        </w:rPr>
        <w:t xml:space="preserve"> entre les phases</w:t>
      </w:r>
      <w:r w:rsidR="00CF026F" w:rsidRPr="001453D6">
        <w:rPr>
          <w:szCs w:val="24"/>
        </w:rPr>
        <w:t> :</w:t>
      </w:r>
      <w:r w:rsidR="00737D08" w:rsidRPr="001453D6">
        <w:rPr>
          <w:szCs w:val="24"/>
        </w:rPr>
        <w:t xml:space="preserve"> </w:t>
      </w:r>
    </w:p>
    <w:p w14:paraId="111436AE" w14:textId="24123558" w:rsidR="00737D08" w:rsidRPr="001453D6" w:rsidRDefault="00737D08" w:rsidP="00CF026F">
      <w:pPr>
        <w:spacing w:after="0"/>
        <w:ind w:left="0" w:firstLine="0"/>
        <w:rPr>
          <w:szCs w:val="24"/>
        </w:rPr>
      </w:pPr>
      <w:r w:rsidRPr="001453D6">
        <w:rPr>
          <w:szCs w:val="24"/>
        </w:rPr>
        <w:t xml:space="preserve">Le remblaiement autour d’un ouvrage sera fait sans discontinuité sur toute la hauteur, dans le cas contraire une préparation sera nécessaire pour la liaison entre les diverses phases de </w:t>
      </w:r>
      <w:r w:rsidR="00CF026F" w:rsidRPr="001453D6">
        <w:rPr>
          <w:szCs w:val="24"/>
        </w:rPr>
        <w:t>remblaiement :</w:t>
      </w:r>
      <w:r w:rsidRPr="001453D6">
        <w:rPr>
          <w:szCs w:val="24"/>
        </w:rPr>
        <w:t xml:space="preserve"> </w:t>
      </w:r>
      <w:r w:rsidRPr="001453D6">
        <w:rPr>
          <w:szCs w:val="24"/>
        </w:rPr>
        <w:t xml:space="preserve"> Scarification, </w:t>
      </w:r>
      <w:r w:rsidRPr="001453D6">
        <w:rPr>
          <w:szCs w:val="24"/>
        </w:rPr>
        <w:t xml:space="preserve"> Humidification si nécessaire </w:t>
      </w:r>
    </w:p>
    <w:p w14:paraId="598E5453" w14:textId="77777777" w:rsidR="00CA629E" w:rsidRDefault="00CF026F" w:rsidP="00CF026F">
      <w:pPr>
        <w:spacing w:after="0"/>
        <w:ind w:left="142" w:hanging="142"/>
        <w:rPr>
          <w:szCs w:val="24"/>
        </w:rPr>
      </w:pPr>
      <w:proofErr w:type="gramStart"/>
      <w:r w:rsidRPr="001453D6">
        <w:rPr>
          <w:szCs w:val="24"/>
        </w:rPr>
        <w:t>b</w:t>
      </w:r>
      <w:proofErr w:type="gramEnd"/>
      <w:r w:rsidRPr="001453D6">
        <w:rPr>
          <w:szCs w:val="24"/>
        </w:rPr>
        <w:t xml:space="preserve"> Réglage :</w:t>
      </w:r>
      <w:r w:rsidR="00737D08" w:rsidRPr="001453D6">
        <w:rPr>
          <w:szCs w:val="24"/>
        </w:rPr>
        <w:t xml:space="preserve"> Les matériaux seront régalés par couches horizontales de 15 cm d'épaisseur maximale après compactage. </w:t>
      </w:r>
    </w:p>
    <w:p w14:paraId="4F826BF4" w14:textId="55FCAD39" w:rsidR="00737D08" w:rsidRPr="001453D6" w:rsidRDefault="00737D08" w:rsidP="00CF026F">
      <w:pPr>
        <w:spacing w:after="0"/>
        <w:ind w:left="142" w:hanging="142"/>
        <w:rPr>
          <w:szCs w:val="24"/>
        </w:rPr>
      </w:pPr>
      <w:proofErr w:type="gramStart"/>
      <w:r w:rsidRPr="001453D6">
        <w:rPr>
          <w:szCs w:val="24"/>
        </w:rPr>
        <w:t>c</w:t>
      </w:r>
      <w:proofErr w:type="gramEnd"/>
      <w:r w:rsidRPr="001453D6">
        <w:rPr>
          <w:szCs w:val="24"/>
        </w:rPr>
        <w:t xml:space="preserve"> Teneur en eau Elle sera égale à celle correspondante à l’Optimum Proctor Normal ±2%. </w:t>
      </w:r>
    </w:p>
    <w:p w14:paraId="5F89AA74" w14:textId="58A7AC93" w:rsidR="00737D08" w:rsidRPr="001453D6" w:rsidRDefault="00737D08" w:rsidP="00CF026F">
      <w:pPr>
        <w:spacing w:after="0"/>
        <w:ind w:left="284" w:hanging="284"/>
        <w:rPr>
          <w:szCs w:val="24"/>
        </w:rPr>
      </w:pPr>
      <w:r w:rsidRPr="001453D6">
        <w:rPr>
          <w:szCs w:val="24"/>
        </w:rPr>
        <w:t>d</w:t>
      </w:r>
      <w:r w:rsidR="00CF026F" w:rsidRPr="001453D6">
        <w:rPr>
          <w:szCs w:val="24"/>
        </w:rPr>
        <w:t xml:space="preserve">. Homogénéisation et compactage : </w:t>
      </w:r>
      <w:r w:rsidRPr="001453D6">
        <w:rPr>
          <w:szCs w:val="24"/>
        </w:rPr>
        <w:t xml:space="preserve">A la mise en </w:t>
      </w:r>
      <w:r w:rsidR="00CF026F" w:rsidRPr="001453D6">
        <w:rPr>
          <w:szCs w:val="24"/>
        </w:rPr>
        <w:t>œuvre, les</w:t>
      </w:r>
      <w:r w:rsidRPr="001453D6">
        <w:rPr>
          <w:szCs w:val="24"/>
        </w:rPr>
        <w:t xml:space="preserve"> matériaux ne comporteront pas de motte. Les engins lourds de compactage n’approcheront pas les structures des ouvrages à une distance inférieure à celle susceptible d'y créer des désordres.   Le compactage autour des ouvrages sera réalisé avec des engins légers adaptés. Le degré de compactage sera au minimum égal à 95</w:t>
      </w:r>
      <w:r w:rsidR="00CF026F" w:rsidRPr="001453D6">
        <w:rPr>
          <w:szCs w:val="24"/>
        </w:rPr>
        <w:t>% de</w:t>
      </w:r>
      <w:r w:rsidRPr="001453D6">
        <w:rPr>
          <w:szCs w:val="24"/>
        </w:rPr>
        <w:t xml:space="preserve"> l'OPN. </w:t>
      </w:r>
    </w:p>
    <w:p w14:paraId="3F5D16B5" w14:textId="77777777" w:rsidR="00737D08" w:rsidRPr="001453D6" w:rsidRDefault="00737D08" w:rsidP="00737D08">
      <w:pPr>
        <w:spacing w:after="0"/>
        <w:rPr>
          <w:szCs w:val="24"/>
        </w:rPr>
      </w:pPr>
    </w:p>
    <w:p w14:paraId="713CED2D" w14:textId="77777777" w:rsidR="00737D08" w:rsidRPr="001453D6" w:rsidRDefault="00737D08" w:rsidP="00737D08">
      <w:pPr>
        <w:spacing w:after="0"/>
        <w:rPr>
          <w:b/>
          <w:szCs w:val="24"/>
        </w:rPr>
      </w:pPr>
      <w:r w:rsidRPr="001453D6">
        <w:rPr>
          <w:b/>
          <w:szCs w:val="24"/>
        </w:rPr>
        <w:t xml:space="preserve">3.3 TOLERANCES </w:t>
      </w:r>
    </w:p>
    <w:p w14:paraId="4963C5DE" w14:textId="6F9DE419" w:rsidR="00737D08" w:rsidRPr="001453D6" w:rsidRDefault="00737D08" w:rsidP="00CF026F">
      <w:pPr>
        <w:spacing w:after="0"/>
        <w:ind w:left="0" w:firstLine="0"/>
        <w:rPr>
          <w:szCs w:val="24"/>
        </w:rPr>
      </w:pPr>
      <w:r w:rsidRPr="001453D6">
        <w:rPr>
          <w:szCs w:val="24"/>
        </w:rPr>
        <w:t xml:space="preserve">Nivellement : ± ou - 5 en chaque point des profils contrôlés en ce qui concerne les fondations d'ouvrages et les surfaces destinées à recevoir des protections en enrochements ou gabions. Nivellement : ± </w:t>
      </w:r>
      <w:r w:rsidR="00CF026F" w:rsidRPr="001453D6">
        <w:rPr>
          <w:szCs w:val="24"/>
        </w:rPr>
        <w:t>ou - 10 cm dans les autres cas.</w:t>
      </w:r>
    </w:p>
    <w:p w14:paraId="13AAAC7E" w14:textId="77777777" w:rsidR="00737D08" w:rsidRPr="001453D6" w:rsidRDefault="00737D08" w:rsidP="00737D08">
      <w:pPr>
        <w:spacing w:after="0"/>
        <w:rPr>
          <w:szCs w:val="24"/>
        </w:rPr>
      </w:pPr>
    </w:p>
    <w:p w14:paraId="15A82542" w14:textId="77777777" w:rsidR="00737D08" w:rsidRPr="001453D6" w:rsidRDefault="00737D08" w:rsidP="00737D08">
      <w:pPr>
        <w:spacing w:after="0"/>
        <w:rPr>
          <w:b/>
          <w:szCs w:val="24"/>
        </w:rPr>
      </w:pPr>
      <w:r w:rsidRPr="001453D6">
        <w:rPr>
          <w:b/>
          <w:szCs w:val="24"/>
        </w:rPr>
        <w:t xml:space="preserve">3.4 CONTROLES </w:t>
      </w:r>
    </w:p>
    <w:p w14:paraId="6EAA1364" w14:textId="77777777" w:rsidR="00737D08" w:rsidRPr="001453D6" w:rsidRDefault="00737D08" w:rsidP="00CF026F">
      <w:pPr>
        <w:spacing w:after="0"/>
        <w:ind w:left="0" w:firstLine="0"/>
        <w:rPr>
          <w:szCs w:val="24"/>
        </w:rPr>
      </w:pPr>
      <w:r w:rsidRPr="001453D6">
        <w:rPr>
          <w:szCs w:val="24"/>
        </w:rPr>
        <w:t xml:space="preserve">L'ingénieur pourra demander des contrôles contradictoires de la teneur en eau et du compactage pour chaque ouvrage. </w:t>
      </w:r>
    </w:p>
    <w:p w14:paraId="0DB6C8EF" w14:textId="5651908E" w:rsidR="00737D08" w:rsidRPr="001453D6" w:rsidRDefault="00737D08" w:rsidP="00737D08">
      <w:pPr>
        <w:spacing w:after="0"/>
        <w:rPr>
          <w:szCs w:val="24"/>
        </w:rPr>
      </w:pPr>
    </w:p>
    <w:p w14:paraId="122368F6" w14:textId="772F2D2D" w:rsidR="00D426B5" w:rsidRPr="001453D6" w:rsidRDefault="00D426B5" w:rsidP="00737D08">
      <w:pPr>
        <w:spacing w:after="0"/>
        <w:rPr>
          <w:szCs w:val="24"/>
        </w:rPr>
      </w:pPr>
    </w:p>
    <w:p w14:paraId="36AF57EA" w14:textId="777FA9E6" w:rsidR="00737D08" w:rsidRPr="001453D6" w:rsidRDefault="00737D08" w:rsidP="00737D08">
      <w:pPr>
        <w:rPr>
          <w:b/>
          <w:szCs w:val="24"/>
        </w:rPr>
      </w:pPr>
      <w:r w:rsidRPr="001453D6">
        <w:rPr>
          <w:b/>
          <w:szCs w:val="24"/>
        </w:rPr>
        <w:t xml:space="preserve">PARTIE </w:t>
      </w:r>
      <w:r w:rsidR="00350EB7" w:rsidRPr="001453D6">
        <w:rPr>
          <w:b/>
          <w:szCs w:val="24"/>
        </w:rPr>
        <w:t>D</w:t>
      </w:r>
      <w:r w:rsidRPr="001453D6">
        <w:rPr>
          <w:b/>
          <w:szCs w:val="24"/>
        </w:rPr>
        <w:t xml:space="preserve"> : - REMBLAIS POUR </w:t>
      </w:r>
      <w:r w:rsidR="00CF026F" w:rsidRPr="001453D6">
        <w:rPr>
          <w:b/>
          <w:szCs w:val="24"/>
        </w:rPr>
        <w:t xml:space="preserve">DIGUES </w:t>
      </w:r>
      <w:r w:rsidR="00ED655A">
        <w:rPr>
          <w:b/>
          <w:szCs w:val="24"/>
        </w:rPr>
        <w:t>DE RACCORDEMENT</w:t>
      </w:r>
      <w:r w:rsidRPr="001453D6">
        <w:rPr>
          <w:b/>
          <w:szCs w:val="24"/>
        </w:rPr>
        <w:t xml:space="preserve"> </w:t>
      </w:r>
    </w:p>
    <w:p w14:paraId="7FCC7AAE" w14:textId="77777777" w:rsidR="00737D08" w:rsidRPr="001453D6" w:rsidRDefault="00737D08" w:rsidP="00737D08">
      <w:pPr>
        <w:spacing w:after="0"/>
        <w:rPr>
          <w:b/>
          <w:szCs w:val="24"/>
        </w:rPr>
      </w:pPr>
      <w:r w:rsidRPr="001453D6">
        <w:rPr>
          <w:b/>
          <w:szCs w:val="24"/>
        </w:rPr>
        <w:t xml:space="preserve">1. GENERALITES </w:t>
      </w:r>
    </w:p>
    <w:p w14:paraId="25E7E3FC" w14:textId="77777777" w:rsidR="00321600" w:rsidRPr="001453D6" w:rsidRDefault="00321600" w:rsidP="00737D08">
      <w:pPr>
        <w:spacing w:after="0"/>
        <w:rPr>
          <w:szCs w:val="24"/>
        </w:rPr>
      </w:pPr>
    </w:p>
    <w:p w14:paraId="3C0CBC0C" w14:textId="0F3BDC9E" w:rsidR="00CF026F" w:rsidRPr="001453D6" w:rsidRDefault="00CF026F" w:rsidP="00737D08">
      <w:pPr>
        <w:spacing w:after="0"/>
        <w:rPr>
          <w:szCs w:val="24"/>
        </w:rPr>
      </w:pPr>
      <w:r w:rsidRPr="001453D6">
        <w:rPr>
          <w:szCs w:val="24"/>
        </w:rPr>
        <w:t>1.1 Travaux</w:t>
      </w:r>
      <w:r w:rsidR="00737D08" w:rsidRPr="001453D6">
        <w:rPr>
          <w:szCs w:val="24"/>
        </w:rPr>
        <w:t xml:space="preserve"> Inclus</w:t>
      </w:r>
      <w:r w:rsidRPr="001453D6">
        <w:rPr>
          <w:szCs w:val="24"/>
        </w:rPr>
        <w:t xml:space="preserve"> : </w:t>
      </w:r>
      <w:r w:rsidR="00ED655A">
        <w:rPr>
          <w:szCs w:val="24"/>
        </w:rPr>
        <w:t>Digue</w:t>
      </w:r>
      <w:r w:rsidR="00737D08" w:rsidRPr="001453D6">
        <w:rPr>
          <w:szCs w:val="24"/>
        </w:rPr>
        <w:t xml:space="preserve"> </w:t>
      </w:r>
      <w:r w:rsidRPr="001453D6">
        <w:rPr>
          <w:szCs w:val="24"/>
        </w:rPr>
        <w:t>de raccordement.</w:t>
      </w:r>
      <w:r w:rsidR="00737D08" w:rsidRPr="001453D6">
        <w:rPr>
          <w:szCs w:val="24"/>
        </w:rPr>
        <w:t xml:space="preserve"> </w:t>
      </w:r>
    </w:p>
    <w:p w14:paraId="77747F09" w14:textId="77777777" w:rsidR="00CF026F" w:rsidRPr="001453D6" w:rsidRDefault="00737D08" w:rsidP="00CF026F">
      <w:pPr>
        <w:spacing w:after="0"/>
        <w:ind w:firstLine="0"/>
        <w:rPr>
          <w:szCs w:val="24"/>
        </w:rPr>
      </w:pPr>
      <w:r w:rsidRPr="001453D6">
        <w:rPr>
          <w:szCs w:val="24"/>
        </w:rPr>
        <w:t xml:space="preserve">1. Débroussaillage </w:t>
      </w:r>
    </w:p>
    <w:p w14:paraId="11D7FE2F" w14:textId="77777777" w:rsidR="00CF026F" w:rsidRPr="001453D6" w:rsidRDefault="00737D08" w:rsidP="00CF026F">
      <w:pPr>
        <w:spacing w:after="0"/>
        <w:ind w:firstLine="0"/>
        <w:rPr>
          <w:szCs w:val="24"/>
        </w:rPr>
      </w:pPr>
      <w:r w:rsidRPr="001453D6">
        <w:rPr>
          <w:szCs w:val="24"/>
        </w:rPr>
        <w:t xml:space="preserve">2. Décapage </w:t>
      </w:r>
    </w:p>
    <w:p w14:paraId="06B28E10" w14:textId="77777777" w:rsidR="00CF026F" w:rsidRPr="001453D6" w:rsidRDefault="00737D08" w:rsidP="00CF026F">
      <w:pPr>
        <w:spacing w:after="0"/>
        <w:ind w:firstLine="0"/>
        <w:rPr>
          <w:szCs w:val="24"/>
        </w:rPr>
      </w:pPr>
      <w:r w:rsidRPr="001453D6">
        <w:rPr>
          <w:szCs w:val="24"/>
        </w:rPr>
        <w:t>3. mise en place de la plate-forme</w:t>
      </w:r>
      <w:r w:rsidR="00CF026F" w:rsidRPr="001453D6">
        <w:rPr>
          <w:szCs w:val="24"/>
        </w:rPr>
        <w:t>.</w:t>
      </w:r>
    </w:p>
    <w:p w14:paraId="553A9138" w14:textId="77777777" w:rsidR="00CF026F" w:rsidRPr="001453D6" w:rsidRDefault="00737D08" w:rsidP="00CF026F">
      <w:pPr>
        <w:spacing w:after="0"/>
        <w:rPr>
          <w:szCs w:val="24"/>
        </w:rPr>
      </w:pPr>
      <w:r w:rsidRPr="001453D6">
        <w:rPr>
          <w:szCs w:val="24"/>
        </w:rPr>
        <w:t>1.2 Travaux Associés</w:t>
      </w:r>
      <w:r w:rsidR="00CF026F" w:rsidRPr="001453D6">
        <w:rPr>
          <w:szCs w:val="24"/>
        </w:rPr>
        <w:t> :</w:t>
      </w:r>
    </w:p>
    <w:p w14:paraId="61594E32" w14:textId="77777777" w:rsidR="00CF026F" w:rsidRPr="001453D6" w:rsidRDefault="00737D08" w:rsidP="00CF026F">
      <w:pPr>
        <w:spacing w:after="0"/>
        <w:ind w:firstLine="0"/>
        <w:rPr>
          <w:szCs w:val="24"/>
        </w:rPr>
      </w:pPr>
      <w:r w:rsidRPr="001453D6">
        <w:rPr>
          <w:szCs w:val="24"/>
        </w:rPr>
        <w:t xml:space="preserve">A - Déblais et remblais pour ouvrages. </w:t>
      </w:r>
    </w:p>
    <w:p w14:paraId="628B5AC6" w14:textId="0FA6D9DA" w:rsidR="00737D08" w:rsidRPr="001453D6" w:rsidRDefault="00737D08" w:rsidP="00CF026F">
      <w:pPr>
        <w:spacing w:after="0"/>
        <w:ind w:firstLine="0"/>
        <w:rPr>
          <w:szCs w:val="24"/>
        </w:rPr>
      </w:pPr>
      <w:r w:rsidRPr="001453D6">
        <w:rPr>
          <w:szCs w:val="24"/>
        </w:rPr>
        <w:t xml:space="preserve">B - Revêtement de digues et de pistes </w:t>
      </w:r>
    </w:p>
    <w:p w14:paraId="1726379F" w14:textId="7349E220" w:rsidR="00737D08" w:rsidRPr="001453D6" w:rsidRDefault="00737D08" w:rsidP="00737D08">
      <w:pPr>
        <w:rPr>
          <w:szCs w:val="24"/>
        </w:rPr>
      </w:pPr>
      <w:r w:rsidRPr="001453D6">
        <w:rPr>
          <w:szCs w:val="24"/>
        </w:rPr>
        <w:t xml:space="preserve">Les assises des pistes seront débroussaillées, dessouchées, décapées pour recevoir les remblais </w:t>
      </w:r>
    </w:p>
    <w:p w14:paraId="30309280" w14:textId="5CFED43D" w:rsidR="00737D08" w:rsidRPr="001453D6" w:rsidRDefault="00CF026F" w:rsidP="00737D08">
      <w:pPr>
        <w:rPr>
          <w:b/>
          <w:szCs w:val="24"/>
        </w:rPr>
      </w:pPr>
      <w:r w:rsidRPr="001453D6">
        <w:rPr>
          <w:b/>
          <w:szCs w:val="24"/>
        </w:rPr>
        <w:t>1.3 Assurance</w:t>
      </w:r>
      <w:r w:rsidR="00737D08" w:rsidRPr="001453D6">
        <w:rPr>
          <w:b/>
          <w:szCs w:val="24"/>
        </w:rPr>
        <w:t xml:space="preserve"> de qualité - Reconnaissances </w:t>
      </w:r>
    </w:p>
    <w:p w14:paraId="6755257A" w14:textId="77777777" w:rsidR="00321600" w:rsidRPr="001453D6" w:rsidRDefault="00737D08" w:rsidP="00CF026F">
      <w:pPr>
        <w:ind w:left="0" w:firstLine="0"/>
        <w:rPr>
          <w:szCs w:val="24"/>
        </w:rPr>
      </w:pPr>
      <w:r w:rsidRPr="001453D6">
        <w:rPr>
          <w:szCs w:val="24"/>
        </w:rPr>
        <w:t>A. L’Entrepreneur effectuera selon les indications détaillées de l’Ingénieur des reconnaissances et essais d’identification pour les matériaux des zones d’emprunt et pour matériaux provenant des déblais à utiliser en remblai compacté à l’OPM ou en remblai ordinaire</w:t>
      </w:r>
      <w:r w:rsidR="00321600" w:rsidRPr="001453D6">
        <w:rPr>
          <w:szCs w:val="24"/>
        </w:rPr>
        <w:t>.</w:t>
      </w:r>
    </w:p>
    <w:p w14:paraId="4C192E91" w14:textId="77777777" w:rsidR="00321600" w:rsidRPr="001453D6" w:rsidRDefault="00737D08" w:rsidP="00321600">
      <w:pPr>
        <w:spacing w:after="0"/>
        <w:ind w:left="0" w:firstLine="0"/>
        <w:rPr>
          <w:szCs w:val="24"/>
        </w:rPr>
      </w:pPr>
      <w:r w:rsidRPr="001453D6">
        <w:rPr>
          <w:szCs w:val="24"/>
        </w:rPr>
        <w:t>B. Les essais d’identification porteront pour c</w:t>
      </w:r>
      <w:r w:rsidR="00321600" w:rsidRPr="001453D6">
        <w:rPr>
          <w:szCs w:val="24"/>
        </w:rPr>
        <w:t>haque 5000 m3 en moyenne sur :</w:t>
      </w:r>
    </w:p>
    <w:p w14:paraId="1DAEF4D3" w14:textId="30BC12FD" w:rsidR="00321600" w:rsidRPr="001453D6" w:rsidRDefault="00737D08" w:rsidP="00321600">
      <w:pPr>
        <w:ind w:left="0" w:firstLine="576"/>
        <w:rPr>
          <w:szCs w:val="24"/>
        </w:rPr>
      </w:pPr>
      <w:r w:rsidRPr="001453D6">
        <w:rPr>
          <w:szCs w:val="24"/>
        </w:rPr>
        <w:t xml:space="preserve">1. </w:t>
      </w:r>
      <w:r w:rsidR="00321600" w:rsidRPr="001453D6">
        <w:rPr>
          <w:szCs w:val="24"/>
        </w:rPr>
        <w:t>Granulométrie (</w:t>
      </w:r>
      <w:r w:rsidRPr="001453D6">
        <w:rPr>
          <w:szCs w:val="24"/>
        </w:rPr>
        <w:t>2 essais) ;</w:t>
      </w:r>
    </w:p>
    <w:p w14:paraId="79F83DAE" w14:textId="48C08ECC" w:rsidR="00321600" w:rsidRPr="001453D6" w:rsidRDefault="00737D08" w:rsidP="00321600">
      <w:pPr>
        <w:ind w:left="0" w:firstLine="576"/>
        <w:rPr>
          <w:szCs w:val="24"/>
        </w:rPr>
      </w:pPr>
      <w:r w:rsidRPr="001453D6">
        <w:rPr>
          <w:szCs w:val="24"/>
        </w:rPr>
        <w:t xml:space="preserve">2. Limites </w:t>
      </w:r>
      <w:r w:rsidR="00321600" w:rsidRPr="001453D6">
        <w:rPr>
          <w:szCs w:val="24"/>
        </w:rPr>
        <w:t>d’</w:t>
      </w:r>
      <w:proofErr w:type="spellStart"/>
      <w:r w:rsidR="00321600" w:rsidRPr="001453D6">
        <w:rPr>
          <w:szCs w:val="24"/>
        </w:rPr>
        <w:t>Atterberg</w:t>
      </w:r>
      <w:proofErr w:type="spellEnd"/>
      <w:r w:rsidR="00321600" w:rsidRPr="001453D6">
        <w:rPr>
          <w:szCs w:val="24"/>
        </w:rPr>
        <w:t xml:space="preserve"> (</w:t>
      </w:r>
      <w:r w:rsidRPr="001453D6">
        <w:rPr>
          <w:szCs w:val="24"/>
        </w:rPr>
        <w:t>2 essais).</w:t>
      </w:r>
    </w:p>
    <w:p w14:paraId="767901E2" w14:textId="77777777" w:rsidR="00321600" w:rsidRPr="001453D6" w:rsidRDefault="00737D08" w:rsidP="00321600">
      <w:pPr>
        <w:ind w:left="0" w:firstLine="0"/>
        <w:rPr>
          <w:szCs w:val="24"/>
        </w:rPr>
      </w:pPr>
      <w:r w:rsidRPr="001453D6">
        <w:rPr>
          <w:szCs w:val="24"/>
        </w:rPr>
        <w:t>C. De plus, il sera effectué un essai Proctor Normal en moyenne pour chaque 5 000 m3 de matériaux destinés à la confection de remblais compacté à l’OPM à 98%.</w:t>
      </w:r>
    </w:p>
    <w:p w14:paraId="6258739E" w14:textId="58109876" w:rsidR="00321600" w:rsidRPr="001453D6" w:rsidRDefault="00321600" w:rsidP="00321600">
      <w:pPr>
        <w:rPr>
          <w:b/>
          <w:szCs w:val="24"/>
        </w:rPr>
      </w:pPr>
      <w:r w:rsidRPr="001453D6">
        <w:rPr>
          <w:b/>
          <w:szCs w:val="24"/>
        </w:rPr>
        <w:t>1.4 Normes</w:t>
      </w:r>
      <w:r w:rsidR="00737D08" w:rsidRPr="001453D6">
        <w:rPr>
          <w:b/>
          <w:szCs w:val="24"/>
        </w:rPr>
        <w:t xml:space="preserve"> et règlements</w:t>
      </w:r>
      <w:r w:rsidRPr="001453D6">
        <w:rPr>
          <w:b/>
          <w:szCs w:val="24"/>
        </w:rPr>
        <w:t> :</w:t>
      </w:r>
    </w:p>
    <w:p w14:paraId="08979702" w14:textId="77777777" w:rsidR="00321600" w:rsidRPr="001453D6" w:rsidRDefault="00737D08" w:rsidP="00321600">
      <w:pPr>
        <w:ind w:left="0" w:firstLine="0"/>
        <w:rPr>
          <w:szCs w:val="24"/>
        </w:rPr>
      </w:pPr>
      <w:r w:rsidRPr="001453D6">
        <w:rPr>
          <w:szCs w:val="24"/>
        </w:rPr>
        <w:t>A. Les travaux seront réalisés en conformité avec les prescriptions du fascicule 2 (cha</w:t>
      </w:r>
      <w:r w:rsidR="00321600" w:rsidRPr="001453D6">
        <w:rPr>
          <w:szCs w:val="24"/>
        </w:rPr>
        <w:t>pitre 1 et 2) du CCTG français.</w:t>
      </w:r>
    </w:p>
    <w:p w14:paraId="3C42AEDC" w14:textId="77777777" w:rsidR="00321600" w:rsidRPr="001453D6" w:rsidRDefault="00737D08" w:rsidP="00321600">
      <w:pPr>
        <w:ind w:left="0" w:firstLine="0"/>
        <w:rPr>
          <w:szCs w:val="24"/>
        </w:rPr>
      </w:pPr>
      <w:r w:rsidRPr="001453D6">
        <w:rPr>
          <w:szCs w:val="24"/>
        </w:rPr>
        <w:t>B. Les essais de laboratoire seront réalisés en conformité avec les modes opératoires du Laboratoire Central des Ponts et Chaussées français (LCPC) lorsqu’ils existent.</w:t>
      </w:r>
    </w:p>
    <w:p w14:paraId="436F55FC" w14:textId="77777777" w:rsidR="00321600" w:rsidRPr="001453D6" w:rsidRDefault="00737D08" w:rsidP="00321600">
      <w:pPr>
        <w:rPr>
          <w:b/>
          <w:szCs w:val="24"/>
        </w:rPr>
      </w:pPr>
      <w:r w:rsidRPr="001453D6">
        <w:rPr>
          <w:b/>
          <w:szCs w:val="24"/>
        </w:rPr>
        <w:t>1.5 Document à remettre</w:t>
      </w:r>
      <w:r w:rsidR="00321600" w:rsidRPr="001453D6">
        <w:rPr>
          <w:b/>
          <w:szCs w:val="24"/>
        </w:rPr>
        <w:t> :</w:t>
      </w:r>
    </w:p>
    <w:p w14:paraId="6C7FC47F" w14:textId="77777777" w:rsidR="00321600" w:rsidRPr="001453D6" w:rsidRDefault="00737D08" w:rsidP="00321600">
      <w:pPr>
        <w:ind w:left="0" w:firstLine="0"/>
        <w:rPr>
          <w:szCs w:val="24"/>
        </w:rPr>
      </w:pPr>
      <w:r w:rsidRPr="001453D6">
        <w:rPr>
          <w:szCs w:val="24"/>
        </w:rPr>
        <w:t>A. Relevés avant exécution.</w:t>
      </w:r>
    </w:p>
    <w:p w14:paraId="31A4D629" w14:textId="16F6F763" w:rsidR="00D426B5" w:rsidRPr="001453D6" w:rsidRDefault="00737D08" w:rsidP="00321600">
      <w:pPr>
        <w:ind w:left="0" w:firstLine="0"/>
        <w:rPr>
          <w:szCs w:val="24"/>
        </w:rPr>
      </w:pPr>
      <w:r w:rsidRPr="001453D6">
        <w:rPr>
          <w:szCs w:val="24"/>
        </w:rPr>
        <w:t xml:space="preserve">B. Résultats de reconnaissances et essais. </w:t>
      </w:r>
    </w:p>
    <w:p w14:paraId="5270F3C4" w14:textId="3144DD5D" w:rsidR="00737D08" w:rsidRPr="001453D6" w:rsidRDefault="00321600" w:rsidP="00321600">
      <w:pPr>
        <w:spacing w:after="0"/>
        <w:rPr>
          <w:b/>
          <w:szCs w:val="24"/>
        </w:rPr>
      </w:pPr>
      <w:r w:rsidRPr="001453D6">
        <w:rPr>
          <w:b/>
          <w:szCs w:val="24"/>
        </w:rPr>
        <w:t>2. PRODUITS</w:t>
      </w:r>
    </w:p>
    <w:p w14:paraId="39ECF960" w14:textId="77777777" w:rsidR="00321600" w:rsidRPr="001453D6" w:rsidRDefault="00321600" w:rsidP="00321600">
      <w:pPr>
        <w:spacing w:after="0"/>
        <w:rPr>
          <w:b/>
          <w:szCs w:val="24"/>
        </w:rPr>
      </w:pPr>
    </w:p>
    <w:p w14:paraId="379D1612" w14:textId="3651F21A" w:rsidR="00321600" w:rsidRPr="001453D6" w:rsidRDefault="00321600" w:rsidP="00737D08">
      <w:pPr>
        <w:rPr>
          <w:szCs w:val="24"/>
        </w:rPr>
      </w:pPr>
      <w:r w:rsidRPr="001453D6">
        <w:rPr>
          <w:szCs w:val="24"/>
        </w:rPr>
        <w:t>2.1 Définition des matériaux :</w:t>
      </w:r>
    </w:p>
    <w:p w14:paraId="36805F07" w14:textId="77777777" w:rsidR="00321600" w:rsidRPr="001453D6" w:rsidRDefault="00737D08" w:rsidP="00737D08">
      <w:pPr>
        <w:rPr>
          <w:szCs w:val="24"/>
        </w:rPr>
      </w:pPr>
      <w:r w:rsidRPr="001453D6">
        <w:rPr>
          <w:szCs w:val="24"/>
        </w:rPr>
        <w:t>A. Les matériaux utilisés en remblai compacté à l’OPM et remblai ordinaire auront les caractéristiques suivantes :</w:t>
      </w:r>
    </w:p>
    <w:p w14:paraId="326C3AA6" w14:textId="77777777" w:rsidR="00321600" w:rsidRPr="001453D6" w:rsidRDefault="00737D08" w:rsidP="00321600">
      <w:pPr>
        <w:ind w:firstLine="0"/>
        <w:rPr>
          <w:szCs w:val="24"/>
        </w:rPr>
      </w:pPr>
      <w:r w:rsidRPr="001453D6">
        <w:rPr>
          <w:szCs w:val="24"/>
        </w:rPr>
        <w:t xml:space="preserve">1. Matière végétales ou organiques </w:t>
      </w:r>
      <w:proofErr w:type="gramStart"/>
      <w:r w:rsidRPr="001453D6">
        <w:rPr>
          <w:szCs w:val="24"/>
        </w:rPr>
        <w:t>:  néant</w:t>
      </w:r>
      <w:proofErr w:type="gramEnd"/>
      <w:r w:rsidR="00321600" w:rsidRPr="001453D6">
        <w:rPr>
          <w:szCs w:val="24"/>
        </w:rPr>
        <w:t> ;</w:t>
      </w:r>
    </w:p>
    <w:p w14:paraId="07956FEA" w14:textId="77777777" w:rsidR="00321600" w:rsidRPr="001453D6" w:rsidRDefault="00737D08" w:rsidP="00321600">
      <w:pPr>
        <w:ind w:firstLine="0"/>
        <w:rPr>
          <w:szCs w:val="24"/>
        </w:rPr>
      </w:pPr>
      <w:r w:rsidRPr="001453D6">
        <w:rPr>
          <w:szCs w:val="24"/>
        </w:rPr>
        <w:t xml:space="preserve">2. Indice de plasticité (IP) : supérieur à 7   3. Passant au tamis de 80 micromètres : supérieur à 60%. </w:t>
      </w:r>
    </w:p>
    <w:p w14:paraId="37764620" w14:textId="77777777" w:rsidR="00321600" w:rsidRPr="001453D6" w:rsidRDefault="00737D08" w:rsidP="00321600">
      <w:pPr>
        <w:rPr>
          <w:szCs w:val="24"/>
        </w:rPr>
      </w:pPr>
      <w:r w:rsidRPr="001453D6">
        <w:rPr>
          <w:szCs w:val="24"/>
        </w:rPr>
        <w:t>B. Tous les autres matériaux seront considérés comme impropres à la construction de remblais.</w:t>
      </w:r>
    </w:p>
    <w:p w14:paraId="0084AC5E" w14:textId="77777777" w:rsidR="00321600" w:rsidRPr="001453D6" w:rsidRDefault="00737D08" w:rsidP="00321600">
      <w:pPr>
        <w:rPr>
          <w:szCs w:val="24"/>
        </w:rPr>
      </w:pPr>
      <w:r w:rsidRPr="001453D6">
        <w:rPr>
          <w:szCs w:val="24"/>
        </w:rPr>
        <w:t xml:space="preserve"> 2.2 Contrôles</w:t>
      </w:r>
      <w:r w:rsidR="00321600" w:rsidRPr="001453D6">
        <w:rPr>
          <w:szCs w:val="24"/>
        </w:rPr>
        <w:t> :</w:t>
      </w:r>
    </w:p>
    <w:p w14:paraId="52449A0B" w14:textId="59D6E6E7" w:rsidR="00737D08" w:rsidRPr="001453D6" w:rsidRDefault="00737D08" w:rsidP="00321600">
      <w:pPr>
        <w:spacing w:after="0"/>
        <w:ind w:left="0" w:firstLine="0"/>
        <w:rPr>
          <w:szCs w:val="24"/>
        </w:rPr>
      </w:pPr>
      <w:r w:rsidRPr="001453D6">
        <w:rPr>
          <w:szCs w:val="24"/>
        </w:rPr>
        <w:t>La teneur en eau des matériaux sera contrôlée journellement lors de leur approvisionneme</w:t>
      </w:r>
      <w:r w:rsidR="00321600" w:rsidRPr="001453D6">
        <w:rPr>
          <w:szCs w:val="24"/>
        </w:rPr>
        <w:t>nt sur le lieu de remblaiement.</w:t>
      </w:r>
    </w:p>
    <w:p w14:paraId="24650F80" w14:textId="77777777" w:rsidR="00321600" w:rsidRPr="001453D6" w:rsidRDefault="00321600" w:rsidP="00321600">
      <w:pPr>
        <w:spacing w:after="0"/>
        <w:ind w:left="0" w:firstLine="0"/>
        <w:rPr>
          <w:szCs w:val="24"/>
        </w:rPr>
      </w:pPr>
    </w:p>
    <w:p w14:paraId="2CD66ACB" w14:textId="77777777" w:rsidR="00737D08" w:rsidRPr="001453D6" w:rsidRDefault="00737D08" w:rsidP="00737D08">
      <w:pPr>
        <w:rPr>
          <w:szCs w:val="24"/>
        </w:rPr>
      </w:pPr>
      <w:r w:rsidRPr="001453D6">
        <w:rPr>
          <w:b/>
          <w:szCs w:val="24"/>
        </w:rPr>
        <w:t>3. MISE EN OEUVRE</w:t>
      </w:r>
      <w:r w:rsidRPr="001453D6">
        <w:rPr>
          <w:szCs w:val="24"/>
        </w:rPr>
        <w:t xml:space="preserve"> </w:t>
      </w:r>
    </w:p>
    <w:p w14:paraId="7AF13F87" w14:textId="77777777" w:rsidR="00321600" w:rsidRPr="001453D6" w:rsidRDefault="00737D08" w:rsidP="00321600">
      <w:pPr>
        <w:ind w:left="426" w:hanging="426"/>
        <w:rPr>
          <w:b/>
          <w:szCs w:val="24"/>
        </w:rPr>
      </w:pPr>
      <w:r w:rsidRPr="001453D6">
        <w:rPr>
          <w:b/>
          <w:szCs w:val="24"/>
        </w:rPr>
        <w:t>3.1 Inspection</w:t>
      </w:r>
      <w:r w:rsidR="00321600" w:rsidRPr="001453D6">
        <w:rPr>
          <w:b/>
          <w:szCs w:val="24"/>
        </w:rPr>
        <w:t> :</w:t>
      </w:r>
    </w:p>
    <w:p w14:paraId="38CBBC92" w14:textId="1427479D" w:rsidR="00737D08" w:rsidRPr="001453D6" w:rsidRDefault="00737D08" w:rsidP="00321600">
      <w:pPr>
        <w:ind w:left="0" w:firstLine="0"/>
        <w:rPr>
          <w:szCs w:val="24"/>
        </w:rPr>
      </w:pPr>
      <w:r w:rsidRPr="001453D6">
        <w:rPr>
          <w:szCs w:val="24"/>
        </w:rPr>
        <w:t xml:space="preserve">Toute surface de fondation destinée à supporter un remblai sera </w:t>
      </w:r>
      <w:proofErr w:type="gramStart"/>
      <w:r w:rsidRPr="001453D6">
        <w:rPr>
          <w:szCs w:val="24"/>
        </w:rPr>
        <w:t>inspectée</w:t>
      </w:r>
      <w:proofErr w:type="gramEnd"/>
      <w:r w:rsidRPr="001453D6">
        <w:rPr>
          <w:szCs w:val="24"/>
        </w:rPr>
        <w:t xml:space="preserve"> par l’ingénieur avant toute mise en place de remblai.  </w:t>
      </w:r>
    </w:p>
    <w:p w14:paraId="7B0E0A2C" w14:textId="18FCBBA9" w:rsidR="00737D08" w:rsidRPr="001453D6" w:rsidRDefault="00737D08" w:rsidP="00737D08">
      <w:pPr>
        <w:rPr>
          <w:b/>
          <w:szCs w:val="24"/>
        </w:rPr>
      </w:pPr>
      <w:r w:rsidRPr="001453D6">
        <w:rPr>
          <w:b/>
          <w:szCs w:val="24"/>
        </w:rPr>
        <w:t>3.2 Préparatio</w:t>
      </w:r>
      <w:r w:rsidR="00321600" w:rsidRPr="001453D6">
        <w:rPr>
          <w:b/>
          <w:szCs w:val="24"/>
        </w:rPr>
        <w:t>n du terrain sous les remblais</w:t>
      </w:r>
    </w:p>
    <w:p w14:paraId="64A931B8" w14:textId="1A2C5371" w:rsidR="00737D08" w:rsidRPr="001453D6" w:rsidRDefault="00737D08" w:rsidP="00737D08">
      <w:pPr>
        <w:rPr>
          <w:szCs w:val="24"/>
        </w:rPr>
      </w:pPr>
      <w:r w:rsidRPr="001453D6">
        <w:rPr>
          <w:szCs w:val="24"/>
        </w:rPr>
        <w:t xml:space="preserve">A. Pour les remblais compactés ordinaire </w:t>
      </w:r>
      <w:r w:rsidR="00321600" w:rsidRPr="001453D6">
        <w:rPr>
          <w:szCs w:val="24"/>
        </w:rPr>
        <w:t>; l’Entrepreneur</w:t>
      </w:r>
      <w:r w:rsidRPr="001453D6">
        <w:rPr>
          <w:szCs w:val="24"/>
        </w:rPr>
        <w:t xml:space="preserve"> devra : </w:t>
      </w:r>
    </w:p>
    <w:p w14:paraId="49E543DF" w14:textId="77777777" w:rsidR="00737D08" w:rsidRPr="001453D6" w:rsidRDefault="00737D08" w:rsidP="00321600">
      <w:pPr>
        <w:ind w:left="284" w:hanging="284"/>
        <w:rPr>
          <w:szCs w:val="24"/>
        </w:rPr>
      </w:pPr>
      <w:r w:rsidRPr="001453D6">
        <w:rPr>
          <w:szCs w:val="24"/>
        </w:rPr>
        <w:t xml:space="preserve">1. Décaper sur une épaisseur de 20 cm minimum. Les produits de décapage seront mis en dépôts définitifs.  </w:t>
      </w:r>
    </w:p>
    <w:p w14:paraId="7B69AEA8" w14:textId="77777777" w:rsidR="00737D08" w:rsidRPr="001453D6" w:rsidRDefault="00737D08" w:rsidP="00737D08">
      <w:pPr>
        <w:rPr>
          <w:szCs w:val="24"/>
        </w:rPr>
      </w:pPr>
      <w:r w:rsidRPr="001453D6">
        <w:rPr>
          <w:szCs w:val="24"/>
        </w:rPr>
        <w:t xml:space="preserve">2. Excaver les matériaux impropres sauf disposition contraire prescrite par l’Ingénieur. </w:t>
      </w:r>
    </w:p>
    <w:p w14:paraId="205E4B69" w14:textId="77777777" w:rsidR="00737D08" w:rsidRPr="001453D6" w:rsidRDefault="00737D08" w:rsidP="00321600">
      <w:pPr>
        <w:ind w:left="284" w:hanging="284"/>
        <w:rPr>
          <w:szCs w:val="24"/>
        </w:rPr>
      </w:pPr>
      <w:r w:rsidRPr="001453D6">
        <w:rPr>
          <w:szCs w:val="24"/>
        </w:rPr>
        <w:t xml:space="preserve">B. Pour les remblais compactés à l’OPM ; L’Entrepreneur devra de plus humidifier, homogénéiser et compacter le sol de fondation sur une épaisseur minimale de 20 cm selon les mêmes prescriptions que celles ci-après pour les remblais du même type.  </w:t>
      </w:r>
    </w:p>
    <w:p w14:paraId="5C7FAFAB" w14:textId="77777777" w:rsidR="00737D08" w:rsidRPr="001453D6" w:rsidRDefault="00737D08" w:rsidP="00737D08">
      <w:pPr>
        <w:rPr>
          <w:b/>
          <w:szCs w:val="24"/>
        </w:rPr>
      </w:pPr>
      <w:r w:rsidRPr="001453D6">
        <w:rPr>
          <w:b/>
          <w:szCs w:val="24"/>
        </w:rPr>
        <w:t xml:space="preserve">3.3 Méthodes et matériels </w:t>
      </w:r>
    </w:p>
    <w:p w14:paraId="298319A0" w14:textId="789777BC" w:rsidR="00737D08" w:rsidRPr="001453D6" w:rsidRDefault="00737D08" w:rsidP="00321600">
      <w:pPr>
        <w:ind w:left="0" w:firstLine="0"/>
        <w:rPr>
          <w:szCs w:val="24"/>
        </w:rPr>
      </w:pPr>
      <w:r w:rsidRPr="001453D6">
        <w:rPr>
          <w:szCs w:val="24"/>
        </w:rPr>
        <w:t xml:space="preserve">L’Entrepreneur soumettra à l’agrément de l’ingénieur ses méthodes et matériels de mise en œuvre, en particulier en ce qui concerne le matériel d’humification, d’homogénéisation et de compactage.   3.4 Remblais compactés à </w:t>
      </w:r>
      <w:r w:rsidR="00321600" w:rsidRPr="001453D6">
        <w:rPr>
          <w:szCs w:val="24"/>
        </w:rPr>
        <w:t>l’OPM A.</w:t>
      </w:r>
      <w:r w:rsidRPr="001453D6">
        <w:rPr>
          <w:szCs w:val="24"/>
        </w:rPr>
        <w:t xml:space="preserve"> Liaison entre les couches En cas d’arrêt journalier, l’Entrepreneur scarifiera la couche précédente pour assurer la liaison avec la couche à mettre en œuvre. Cette scarification sera réalisée immédiatement avant le régalage de la couche à mettre en œuvre ; elle sera, si nécessaire, accompagnée d’une humidification.  </w:t>
      </w:r>
    </w:p>
    <w:p w14:paraId="257AD52F" w14:textId="77777777" w:rsidR="00737D08" w:rsidRPr="001453D6" w:rsidRDefault="00737D08" w:rsidP="00321600">
      <w:pPr>
        <w:ind w:left="284" w:hanging="284"/>
        <w:rPr>
          <w:szCs w:val="24"/>
        </w:rPr>
      </w:pPr>
      <w:r w:rsidRPr="001453D6">
        <w:rPr>
          <w:szCs w:val="24"/>
        </w:rPr>
        <w:t xml:space="preserve">B. Régalage Les matériaux seront régalés en couches horizontales de 20 cm d’épaisseur maximale après compactage. L’Entrepreneur régalera les matériaux en tenant compte du remblai excédentaire nécessaire sur chaque parement pour que le compactage spécifié soit respecté jusqu’à la limite des profils théoriques.              </w:t>
      </w:r>
    </w:p>
    <w:p w14:paraId="74513F8B" w14:textId="77777777" w:rsidR="00737D08" w:rsidRPr="001453D6" w:rsidRDefault="00737D08" w:rsidP="00321600">
      <w:pPr>
        <w:ind w:left="284" w:hanging="284"/>
        <w:rPr>
          <w:szCs w:val="24"/>
        </w:rPr>
      </w:pPr>
      <w:r w:rsidRPr="001453D6">
        <w:rPr>
          <w:szCs w:val="24"/>
        </w:rPr>
        <w:t>C. Teneur en eau L’Entrepreneur traitera le matériau pour obtenir une teneur en eau homogène égale à la teneur en eau correspondant à l’OPM avec une tolérance de + ou - 2% par rapport à cet optimum (</w:t>
      </w:r>
      <w:proofErr w:type="spellStart"/>
      <w:r w:rsidRPr="001453D6">
        <w:rPr>
          <w:szCs w:val="24"/>
        </w:rPr>
        <w:t>Wopt</w:t>
      </w:r>
      <w:proofErr w:type="spellEnd"/>
      <w:r w:rsidRPr="001453D6">
        <w:rPr>
          <w:szCs w:val="24"/>
        </w:rPr>
        <w:t xml:space="preserve">).  </w:t>
      </w:r>
    </w:p>
    <w:p w14:paraId="6BFF9EAC" w14:textId="77777777" w:rsidR="00737D08" w:rsidRPr="001453D6" w:rsidRDefault="00737D08" w:rsidP="00321600">
      <w:pPr>
        <w:ind w:left="426" w:hanging="426"/>
        <w:rPr>
          <w:szCs w:val="24"/>
        </w:rPr>
      </w:pPr>
      <w:r w:rsidRPr="001453D6">
        <w:rPr>
          <w:szCs w:val="24"/>
        </w:rPr>
        <w:t xml:space="preserve">D. Homogénéisation Une homogénéisation sera effectuée après régalage du matériau, avec passages de charrues à disques : le diamètre des disques ne sera pas inférieur à 40 cm.               </w:t>
      </w:r>
    </w:p>
    <w:p w14:paraId="48770AF8" w14:textId="77777777" w:rsidR="00737D08" w:rsidRPr="001453D6" w:rsidRDefault="00737D08" w:rsidP="00321600">
      <w:pPr>
        <w:ind w:left="284" w:hanging="284"/>
        <w:rPr>
          <w:szCs w:val="24"/>
        </w:rPr>
      </w:pPr>
      <w:r w:rsidRPr="001453D6">
        <w:rPr>
          <w:szCs w:val="24"/>
        </w:rPr>
        <w:t xml:space="preserve">E. Compactage Après correction éventuelle de la teneur en eau pour arriver à la teneur en eau spécifiée, l’Entrepreneur procédera au compactage du matériau. Le degré de compactage sera au minimum égal à 98% de l’OPM. Les compacteurs seront des cylindres à pieds dameurs d’une charge statique supérieure à 40 kg par cm de cylindre. Le nombre minimal de passages du compacteur garantissant le minimum de degré de compactage imposé sera fixé en accord avec l’Ingénieur après les premiers essais de compactage qui seront effectués sur les premières centaines de mètres de digue mises en œuvre. L’Entrepreneur exécutera tous les hors profils nécessaires pour assurer le compactage des remblais suivant les profils théoriques, ceci quels que soient les engins et méthodes retenus.   </w:t>
      </w:r>
    </w:p>
    <w:p w14:paraId="19ECA7E2" w14:textId="77777777" w:rsidR="00737D08" w:rsidRPr="001453D6" w:rsidRDefault="00737D08" w:rsidP="00737D08">
      <w:pPr>
        <w:rPr>
          <w:b/>
          <w:szCs w:val="24"/>
        </w:rPr>
      </w:pPr>
      <w:r w:rsidRPr="001453D6">
        <w:rPr>
          <w:b/>
          <w:szCs w:val="24"/>
        </w:rPr>
        <w:t xml:space="preserve">3.5 Remblais ordinaires </w:t>
      </w:r>
    </w:p>
    <w:p w14:paraId="26F15023" w14:textId="77777777" w:rsidR="00737D08" w:rsidRPr="001453D6" w:rsidRDefault="00737D08" w:rsidP="00321600">
      <w:pPr>
        <w:ind w:left="284" w:hanging="284"/>
        <w:rPr>
          <w:szCs w:val="24"/>
        </w:rPr>
      </w:pPr>
      <w:r w:rsidRPr="001453D6">
        <w:rPr>
          <w:szCs w:val="24"/>
        </w:rPr>
        <w:t xml:space="preserve">A. Les remblais ordinaires seront régalés au bulldozer par couches d’une épaisseur maximale de 40 cm, au fur et à mesure de l’exécution du déblai si possible. </w:t>
      </w:r>
    </w:p>
    <w:p w14:paraId="129C09B0" w14:textId="77777777" w:rsidR="00737D08" w:rsidRPr="001453D6" w:rsidRDefault="00737D08" w:rsidP="00321600">
      <w:pPr>
        <w:ind w:left="284" w:hanging="284"/>
        <w:rPr>
          <w:szCs w:val="24"/>
        </w:rPr>
      </w:pPr>
      <w:r w:rsidRPr="001453D6">
        <w:rPr>
          <w:szCs w:val="24"/>
        </w:rPr>
        <w:t xml:space="preserve">B. Un compactage final sera effectué sur les remblais terminés par 4 passages aller - retour minimum d’un cylindre lisse vibrant ayant les caractéristiques minimales suivantes :  </w:t>
      </w:r>
    </w:p>
    <w:p w14:paraId="072C568B" w14:textId="77777777" w:rsidR="00737D08" w:rsidRPr="001453D6" w:rsidRDefault="00737D08" w:rsidP="00321600">
      <w:pPr>
        <w:ind w:hanging="292"/>
        <w:rPr>
          <w:szCs w:val="24"/>
        </w:rPr>
      </w:pPr>
      <w:r w:rsidRPr="001453D6">
        <w:rPr>
          <w:szCs w:val="24"/>
        </w:rPr>
        <w:t xml:space="preserve">1. Charge statique par unité de largeur supérieure à 40 kg/cm ;  </w:t>
      </w:r>
    </w:p>
    <w:p w14:paraId="4B00CF6A" w14:textId="77777777" w:rsidR="00737D08" w:rsidRPr="001453D6" w:rsidRDefault="00737D08" w:rsidP="00321600">
      <w:pPr>
        <w:ind w:hanging="292"/>
        <w:rPr>
          <w:szCs w:val="24"/>
        </w:rPr>
      </w:pPr>
      <w:r w:rsidRPr="001453D6">
        <w:rPr>
          <w:szCs w:val="24"/>
        </w:rPr>
        <w:t xml:space="preserve">2. Force centrifuge supérieure à 15 000 </w:t>
      </w:r>
      <w:proofErr w:type="spellStart"/>
      <w:proofErr w:type="gramStart"/>
      <w:r w:rsidRPr="001453D6">
        <w:rPr>
          <w:szCs w:val="24"/>
        </w:rPr>
        <w:t>daN</w:t>
      </w:r>
      <w:proofErr w:type="spellEnd"/>
      <w:proofErr w:type="gramEnd"/>
      <w:r w:rsidRPr="001453D6">
        <w:rPr>
          <w:szCs w:val="24"/>
        </w:rPr>
        <w:t xml:space="preserve">.  </w:t>
      </w:r>
    </w:p>
    <w:p w14:paraId="7921E2D5" w14:textId="77777777" w:rsidR="00737D08" w:rsidRPr="001453D6" w:rsidRDefault="00737D08" w:rsidP="00737D08">
      <w:pPr>
        <w:rPr>
          <w:b/>
          <w:szCs w:val="24"/>
        </w:rPr>
      </w:pPr>
      <w:r w:rsidRPr="001453D6">
        <w:rPr>
          <w:b/>
          <w:szCs w:val="24"/>
        </w:rPr>
        <w:t xml:space="preserve">3.6 Tolérances  </w:t>
      </w:r>
    </w:p>
    <w:p w14:paraId="241C82A6" w14:textId="77777777" w:rsidR="008324AC" w:rsidRPr="001453D6" w:rsidRDefault="00737D08" w:rsidP="00737D08">
      <w:pPr>
        <w:rPr>
          <w:szCs w:val="24"/>
        </w:rPr>
      </w:pPr>
      <w:r w:rsidRPr="001453D6">
        <w:rPr>
          <w:szCs w:val="24"/>
        </w:rPr>
        <w:t xml:space="preserve">A. Les tolérances par rapport aux profils théoriques sont :  </w:t>
      </w:r>
    </w:p>
    <w:p w14:paraId="2407F09A" w14:textId="76227CD9" w:rsidR="00737D08" w:rsidRPr="001453D6" w:rsidRDefault="00737D08" w:rsidP="00737D08">
      <w:pPr>
        <w:rPr>
          <w:szCs w:val="24"/>
        </w:rPr>
      </w:pPr>
      <w:r w:rsidRPr="001453D6">
        <w:rPr>
          <w:szCs w:val="24"/>
        </w:rPr>
        <w:t xml:space="preserve"> - Niveau du sommet des cavaliers et pistes </w:t>
      </w:r>
      <w:proofErr w:type="gramStart"/>
      <w:r w:rsidRPr="001453D6">
        <w:rPr>
          <w:szCs w:val="24"/>
        </w:rPr>
        <w:t>:  +</w:t>
      </w:r>
      <w:proofErr w:type="gramEnd"/>
      <w:r w:rsidRPr="001453D6">
        <w:rPr>
          <w:szCs w:val="24"/>
        </w:rPr>
        <w:t xml:space="preserve"> 20 et - 0 cm ;  </w:t>
      </w:r>
    </w:p>
    <w:p w14:paraId="5FA61B16" w14:textId="77777777" w:rsidR="00737D08" w:rsidRPr="001453D6" w:rsidRDefault="00737D08" w:rsidP="00737D08">
      <w:pPr>
        <w:rPr>
          <w:szCs w:val="24"/>
        </w:rPr>
      </w:pPr>
      <w:r w:rsidRPr="001453D6">
        <w:rPr>
          <w:szCs w:val="24"/>
        </w:rPr>
        <w:t xml:space="preserve">B. Les pentes ne doivent pas être supérieures aux pentes théoriques.   </w:t>
      </w:r>
    </w:p>
    <w:p w14:paraId="0269FE5A" w14:textId="77777777" w:rsidR="00737D08" w:rsidRPr="001453D6" w:rsidRDefault="00737D08" w:rsidP="00737D08">
      <w:pPr>
        <w:rPr>
          <w:b/>
          <w:szCs w:val="24"/>
        </w:rPr>
      </w:pPr>
      <w:r w:rsidRPr="001453D6">
        <w:rPr>
          <w:b/>
          <w:szCs w:val="24"/>
        </w:rPr>
        <w:t xml:space="preserve">3.7 Contrôles </w:t>
      </w:r>
    </w:p>
    <w:p w14:paraId="2A0EF866" w14:textId="77777777" w:rsidR="003E2103" w:rsidRPr="001453D6" w:rsidRDefault="00737D08" w:rsidP="003E2103">
      <w:pPr>
        <w:pStyle w:val="Lgende"/>
        <w:ind w:left="567"/>
      </w:pPr>
      <w:r w:rsidRPr="001453D6">
        <w:t xml:space="preserve">A. La réception des couches de « remblai compacté à l’OPM » portera sur un contrôle contradictoire de la teneur en eau et du compactage (densité en place) par 1000 mètres cubes mis </w:t>
      </w:r>
      <w:r w:rsidR="003E2103" w:rsidRPr="001453D6">
        <w:t>en œuvre</w:t>
      </w:r>
      <w:r w:rsidRPr="001453D6">
        <w:t xml:space="preserve">. Un essai Proctor Modifié sera exécuté en moyenne tous les 5000 mètres cubes mis en </w:t>
      </w:r>
      <w:r w:rsidR="00A24563" w:rsidRPr="001453D6">
        <w:t>œuvre</w:t>
      </w:r>
      <w:r w:rsidRPr="001453D6">
        <w:t xml:space="preserve"> pour servir de référence aux essais de contrôle ; le nombre d’essais </w:t>
      </w:r>
      <w:r w:rsidR="00A24563" w:rsidRPr="001453D6">
        <w:t>Proctor</w:t>
      </w:r>
      <w:r w:rsidRPr="001453D6">
        <w:t xml:space="preserve"> pourra être renforcé et plus spécifié à la demande de l’Ingénieur. Chaque contrôle du compactage comportera trois points de mesures sur le même axe transversal, de la densité et de la teneur en eau.</w:t>
      </w:r>
    </w:p>
    <w:p w14:paraId="0D641AE8" w14:textId="18E1247A" w:rsidR="00737D08" w:rsidRPr="001453D6" w:rsidRDefault="00737D08" w:rsidP="003E2103">
      <w:pPr>
        <w:pStyle w:val="Lgende"/>
        <w:ind w:left="567"/>
        <w:rPr>
          <w:szCs w:val="24"/>
        </w:rPr>
      </w:pPr>
      <w:r w:rsidRPr="001453D6">
        <w:t>B. Le contrôle des dimensions des travaux</w:t>
      </w:r>
      <w:r w:rsidR="003E2103" w:rsidRPr="001453D6">
        <w:t xml:space="preserve"> </w:t>
      </w:r>
      <w:r w:rsidRPr="001453D6">
        <w:rPr>
          <w:szCs w:val="24"/>
        </w:rPr>
        <w:t xml:space="preserve">sera réalisé par relevés contradictoires de profils soit en moyenne tous les 200 mètres de piste </w:t>
      </w:r>
      <w:r w:rsidR="003E2103" w:rsidRPr="001453D6">
        <w:rPr>
          <w:szCs w:val="24"/>
        </w:rPr>
        <w:t>exécutée.</w:t>
      </w:r>
    </w:p>
    <w:p w14:paraId="10411EC9" w14:textId="77777777" w:rsidR="003E2103" w:rsidRPr="001453D6" w:rsidRDefault="003E2103" w:rsidP="003E2103">
      <w:pPr>
        <w:spacing w:after="0"/>
      </w:pPr>
    </w:p>
    <w:p w14:paraId="5468DB98" w14:textId="4014A889" w:rsidR="00737D08" w:rsidRPr="001453D6" w:rsidRDefault="00737D08" w:rsidP="00737D08">
      <w:pPr>
        <w:spacing w:after="0"/>
        <w:rPr>
          <w:b/>
          <w:szCs w:val="24"/>
        </w:rPr>
      </w:pPr>
      <w:r w:rsidRPr="001453D6">
        <w:rPr>
          <w:szCs w:val="24"/>
        </w:rPr>
        <w:t xml:space="preserve"> </w:t>
      </w:r>
      <w:r w:rsidRPr="001453D6">
        <w:rPr>
          <w:b/>
          <w:szCs w:val="24"/>
        </w:rPr>
        <w:t xml:space="preserve">PARTIE </w:t>
      </w:r>
      <w:r w:rsidR="00350EB7" w:rsidRPr="001453D6">
        <w:rPr>
          <w:b/>
          <w:szCs w:val="24"/>
        </w:rPr>
        <w:t>E</w:t>
      </w:r>
      <w:r w:rsidRPr="001453D6">
        <w:rPr>
          <w:b/>
          <w:szCs w:val="24"/>
        </w:rPr>
        <w:t xml:space="preserve"> : REVETEMENT DE DIGUES </w:t>
      </w:r>
    </w:p>
    <w:p w14:paraId="52D1DD5B" w14:textId="77777777" w:rsidR="003E2103" w:rsidRPr="001453D6" w:rsidRDefault="003E2103" w:rsidP="00737D08">
      <w:pPr>
        <w:spacing w:after="0"/>
        <w:rPr>
          <w:b/>
          <w:szCs w:val="24"/>
        </w:rPr>
      </w:pPr>
    </w:p>
    <w:p w14:paraId="55BD4197" w14:textId="37805F39" w:rsidR="00737D08" w:rsidRPr="001453D6" w:rsidRDefault="00737D08" w:rsidP="00737D08">
      <w:pPr>
        <w:spacing w:after="0"/>
        <w:rPr>
          <w:b/>
          <w:szCs w:val="24"/>
        </w:rPr>
      </w:pPr>
      <w:r w:rsidRPr="001453D6">
        <w:rPr>
          <w:b/>
          <w:szCs w:val="24"/>
        </w:rPr>
        <w:t xml:space="preserve">1. GENERALITES </w:t>
      </w:r>
    </w:p>
    <w:p w14:paraId="588A22DC" w14:textId="77777777" w:rsidR="00737D08" w:rsidRPr="001453D6" w:rsidRDefault="00737D08" w:rsidP="00737D08">
      <w:pPr>
        <w:spacing w:after="0"/>
        <w:rPr>
          <w:b/>
          <w:szCs w:val="24"/>
        </w:rPr>
      </w:pPr>
      <w:r w:rsidRPr="001453D6">
        <w:rPr>
          <w:b/>
          <w:szCs w:val="24"/>
        </w:rPr>
        <w:t xml:space="preserve"> </w:t>
      </w:r>
    </w:p>
    <w:p w14:paraId="46682611" w14:textId="77777777" w:rsidR="00737D08" w:rsidRPr="001453D6" w:rsidRDefault="00737D08" w:rsidP="00737D08">
      <w:pPr>
        <w:spacing w:after="0"/>
        <w:rPr>
          <w:b/>
          <w:szCs w:val="24"/>
        </w:rPr>
      </w:pPr>
      <w:r w:rsidRPr="001453D6">
        <w:rPr>
          <w:b/>
          <w:szCs w:val="24"/>
        </w:rPr>
        <w:t xml:space="preserve">1.1 TRAVAUX INCLUS </w:t>
      </w:r>
    </w:p>
    <w:p w14:paraId="3E83704A" w14:textId="366F1580" w:rsidR="00737D08" w:rsidRPr="001453D6" w:rsidRDefault="00737D08" w:rsidP="00737D08">
      <w:pPr>
        <w:spacing w:after="0"/>
        <w:rPr>
          <w:szCs w:val="24"/>
        </w:rPr>
      </w:pPr>
      <w:r w:rsidRPr="001453D6">
        <w:rPr>
          <w:b/>
          <w:szCs w:val="24"/>
        </w:rPr>
        <w:t xml:space="preserve"> </w:t>
      </w:r>
      <w:r w:rsidRPr="001453D6">
        <w:rPr>
          <w:szCs w:val="24"/>
        </w:rPr>
        <w:t xml:space="preserve">Le revêtement des digues, des pistes comme indiqués sur les parties ci-avant. </w:t>
      </w:r>
    </w:p>
    <w:p w14:paraId="0A7E5B9F" w14:textId="48A37980" w:rsidR="00D426B5" w:rsidRPr="001453D6" w:rsidRDefault="00737D08" w:rsidP="00737D08">
      <w:pPr>
        <w:spacing w:after="0"/>
        <w:rPr>
          <w:szCs w:val="24"/>
        </w:rPr>
      </w:pPr>
      <w:r w:rsidRPr="001453D6">
        <w:rPr>
          <w:szCs w:val="24"/>
        </w:rPr>
        <w:t xml:space="preserve"> </w:t>
      </w:r>
    </w:p>
    <w:p w14:paraId="2F1B8DDB" w14:textId="77777777" w:rsidR="00737D08" w:rsidRPr="001453D6" w:rsidRDefault="00737D08" w:rsidP="00737D08">
      <w:pPr>
        <w:spacing w:after="0"/>
        <w:rPr>
          <w:b/>
          <w:szCs w:val="24"/>
        </w:rPr>
      </w:pPr>
      <w:r w:rsidRPr="001453D6">
        <w:rPr>
          <w:b/>
          <w:szCs w:val="24"/>
        </w:rPr>
        <w:t xml:space="preserve">1.2 ASSURANCE DE QUALITE - RECONNAISSANCES </w:t>
      </w:r>
    </w:p>
    <w:p w14:paraId="4F1DCFA4" w14:textId="77777777" w:rsidR="00737D08" w:rsidRPr="001453D6" w:rsidRDefault="00737D08" w:rsidP="003E2103">
      <w:pPr>
        <w:spacing w:after="0"/>
        <w:ind w:left="0" w:firstLine="0"/>
        <w:rPr>
          <w:szCs w:val="24"/>
        </w:rPr>
      </w:pPr>
      <w:r w:rsidRPr="001453D6">
        <w:rPr>
          <w:szCs w:val="24"/>
        </w:rPr>
        <w:t xml:space="preserve">L'Entrepreneur réalisera après accord de l'Ingénieur un programme de reconnaissance et d'essais destinés à l'agrément du ou des gîtes de matériaux qu'il se propose d'utiliser pour l'approvisionnement des matériaux. </w:t>
      </w:r>
    </w:p>
    <w:p w14:paraId="45B3B28D" w14:textId="77777777" w:rsidR="00737D08" w:rsidRPr="001453D6" w:rsidRDefault="00737D08" w:rsidP="00737D08">
      <w:pPr>
        <w:spacing w:after="0"/>
        <w:rPr>
          <w:szCs w:val="24"/>
        </w:rPr>
      </w:pPr>
      <w:r w:rsidRPr="001453D6">
        <w:rPr>
          <w:szCs w:val="24"/>
        </w:rPr>
        <w:t xml:space="preserve"> </w:t>
      </w:r>
    </w:p>
    <w:p w14:paraId="19D59B40" w14:textId="142905AF" w:rsidR="00737D08" w:rsidRPr="001453D6" w:rsidRDefault="00737D08" w:rsidP="00737D08">
      <w:pPr>
        <w:spacing w:after="0"/>
        <w:rPr>
          <w:szCs w:val="24"/>
        </w:rPr>
      </w:pPr>
      <w:r w:rsidRPr="001453D6">
        <w:rPr>
          <w:szCs w:val="24"/>
        </w:rPr>
        <w:t xml:space="preserve">Les essais porteront pour chaque gîte </w:t>
      </w:r>
      <w:r w:rsidR="00D62C56" w:rsidRPr="001453D6">
        <w:rPr>
          <w:szCs w:val="24"/>
        </w:rPr>
        <w:t>sur :</w:t>
      </w:r>
      <w:r w:rsidRPr="001453D6">
        <w:rPr>
          <w:szCs w:val="24"/>
        </w:rPr>
        <w:t xml:space="preserve"> </w:t>
      </w:r>
    </w:p>
    <w:p w14:paraId="32B1996D" w14:textId="2E04C705" w:rsidR="00737D08" w:rsidRPr="001453D6" w:rsidRDefault="00737D08" w:rsidP="002A45C1">
      <w:pPr>
        <w:pStyle w:val="Paragraphedeliste"/>
        <w:numPr>
          <w:ilvl w:val="0"/>
          <w:numId w:val="100"/>
        </w:numPr>
        <w:spacing w:after="0"/>
        <w:jc w:val="left"/>
        <w:rPr>
          <w:szCs w:val="24"/>
        </w:rPr>
      </w:pPr>
      <w:r w:rsidRPr="001453D6">
        <w:rPr>
          <w:szCs w:val="24"/>
        </w:rPr>
        <w:t>Masse volumique</w:t>
      </w:r>
      <w:r w:rsidR="00464F7C" w:rsidRPr="001453D6">
        <w:rPr>
          <w:szCs w:val="24"/>
        </w:rPr>
        <w:t> </w:t>
      </w:r>
      <w:proofErr w:type="gramStart"/>
      <w:r w:rsidR="00464F7C" w:rsidRPr="001453D6">
        <w:rPr>
          <w:szCs w:val="24"/>
        </w:rPr>
        <w:t>:</w:t>
      </w:r>
      <w:r w:rsidRPr="001453D6">
        <w:rPr>
          <w:szCs w:val="24"/>
        </w:rPr>
        <w:t xml:space="preserve">  2</w:t>
      </w:r>
      <w:proofErr w:type="gramEnd"/>
      <w:r w:rsidRPr="001453D6">
        <w:rPr>
          <w:szCs w:val="24"/>
        </w:rPr>
        <w:t xml:space="preserve"> essais, </w:t>
      </w:r>
    </w:p>
    <w:p w14:paraId="6257C6C2" w14:textId="39824245" w:rsidR="00737D08" w:rsidRPr="001453D6" w:rsidRDefault="00D62C56" w:rsidP="002A45C1">
      <w:pPr>
        <w:pStyle w:val="Paragraphedeliste"/>
        <w:numPr>
          <w:ilvl w:val="0"/>
          <w:numId w:val="100"/>
        </w:numPr>
        <w:spacing w:after="0"/>
        <w:jc w:val="left"/>
        <w:rPr>
          <w:szCs w:val="24"/>
        </w:rPr>
      </w:pPr>
      <w:r w:rsidRPr="001453D6">
        <w:rPr>
          <w:szCs w:val="24"/>
        </w:rPr>
        <w:t xml:space="preserve">Granulométrie </w:t>
      </w:r>
      <w:proofErr w:type="gramStart"/>
      <w:r w:rsidRPr="001453D6">
        <w:rPr>
          <w:szCs w:val="24"/>
        </w:rPr>
        <w:t>:</w:t>
      </w:r>
      <w:r w:rsidR="00737D08" w:rsidRPr="001453D6">
        <w:rPr>
          <w:szCs w:val="24"/>
        </w:rPr>
        <w:t xml:space="preserve">  5</w:t>
      </w:r>
      <w:proofErr w:type="gramEnd"/>
      <w:r w:rsidR="00737D08" w:rsidRPr="001453D6">
        <w:rPr>
          <w:szCs w:val="24"/>
        </w:rPr>
        <w:t xml:space="preserve"> essais,  </w:t>
      </w:r>
    </w:p>
    <w:p w14:paraId="5C70EA59" w14:textId="54BA6540" w:rsidR="00737D08" w:rsidRPr="001453D6" w:rsidRDefault="00737D08" w:rsidP="002A45C1">
      <w:pPr>
        <w:pStyle w:val="Paragraphedeliste"/>
        <w:numPr>
          <w:ilvl w:val="0"/>
          <w:numId w:val="100"/>
        </w:numPr>
        <w:spacing w:after="0"/>
        <w:jc w:val="left"/>
        <w:rPr>
          <w:szCs w:val="24"/>
        </w:rPr>
      </w:pPr>
      <w:r w:rsidRPr="001453D6">
        <w:rPr>
          <w:szCs w:val="24"/>
        </w:rPr>
        <w:t xml:space="preserve">Limite </w:t>
      </w:r>
      <w:r w:rsidR="00600B43" w:rsidRPr="001453D6">
        <w:rPr>
          <w:szCs w:val="24"/>
        </w:rPr>
        <w:t>d’</w:t>
      </w:r>
      <w:proofErr w:type="spellStart"/>
      <w:r w:rsidR="00600B43" w:rsidRPr="001453D6">
        <w:rPr>
          <w:szCs w:val="24"/>
        </w:rPr>
        <w:t>Atterberg</w:t>
      </w:r>
      <w:proofErr w:type="spellEnd"/>
      <w:r w:rsidR="00600B43" w:rsidRPr="001453D6">
        <w:rPr>
          <w:szCs w:val="24"/>
        </w:rPr>
        <w:t xml:space="preserve"> :</w:t>
      </w:r>
      <w:r w:rsidRPr="001453D6">
        <w:rPr>
          <w:szCs w:val="24"/>
        </w:rPr>
        <w:t xml:space="preserve"> 5 essais. </w:t>
      </w:r>
    </w:p>
    <w:p w14:paraId="72DB4B6B" w14:textId="77777777" w:rsidR="00737D08" w:rsidRPr="001453D6" w:rsidRDefault="00737D08" w:rsidP="00737D08">
      <w:pPr>
        <w:spacing w:after="0"/>
        <w:rPr>
          <w:b/>
          <w:szCs w:val="24"/>
        </w:rPr>
      </w:pPr>
      <w:r w:rsidRPr="001453D6">
        <w:rPr>
          <w:b/>
          <w:szCs w:val="24"/>
        </w:rPr>
        <w:t xml:space="preserve"> </w:t>
      </w:r>
    </w:p>
    <w:p w14:paraId="61E94812" w14:textId="77777777" w:rsidR="00737D08" w:rsidRPr="001453D6" w:rsidRDefault="00737D08" w:rsidP="00737D08">
      <w:pPr>
        <w:spacing w:after="0"/>
        <w:rPr>
          <w:b/>
          <w:szCs w:val="24"/>
        </w:rPr>
      </w:pPr>
      <w:r w:rsidRPr="001453D6">
        <w:rPr>
          <w:b/>
          <w:szCs w:val="24"/>
        </w:rPr>
        <w:t xml:space="preserve">1.3 DOCUMENT A REMETTRE </w:t>
      </w:r>
    </w:p>
    <w:p w14:paraId="4D7ED2A6" w14:textId="77777777" w:rsidR="00737D08" w:rsidRPr="001453D6" w:rsidRDefault="00737D08" w:rsidP="00737D08">
      <w:pPr>
        <w:spacing w:after="0"/>
        <w:rPr>
          <w:szCs w:val="24"/>
        </w:rPr>
      </w:pPr>
      <w:r w:rsidRPr="001453D6">
        <w:rPr>
          <w:szCs w:val="24"/>
        </w:rPr>
        <w:t xml:space="preserve"> </w:t>
      </w:r>
    </w:p>
    <w:p w14:paraId="15640AAA" w14:textId="77777777" w:rsidR="00737D08" w:rsidRPr="001453D6" w:rsidRDefault="00737D08" w:rsidP="00737D08">
      <w:pPr>
        <w:spacing w:after="0"/>
        <w:rPr>
          <w:szCs w:val="24"/>
        </w:rPr>
      </w:pPr>
      <w:r w:rsidRPr="001453D6">
        <w:rPr>
          <w:szCs w:val="24"/>
        </w:rPr>
        <w:t xml:space="preserve">Résultats des reconnaissances et essais. </w:t>
      </w:r>
    </w:p>
    <w:p w14:paraId="39F9E5DD" w14:textId="77777777" w:rsidR="00737D08" w:rsidRPr="001453D6" w:rsidRDefault="00737D08" w:rsidP="00737D08">
      <w:pPr>
        <w:spacing w:after="0"/>
        <w:rPr>
          <w:szCs w:val="24"/>
        </w:rPr>
      </w:pPr>
      <w:r w:rsidRPr="001453D6">
        <w:rPr>
          <w:szCs w:val="24"/>
        </w:rPr>
        <w:t xml:space="preserve"> </w:t>
      </w:r>
    </w:p>
    <w:p w14:paraId="42F41B6A" w14:textId="77777777" w:rsidR="00737D08" w:rsidRPr="001453D6" w:rsidRDefault="00737D08" w:rsidP="00737D08">
      <w:pPr>
        <w:spacing w:after="0"/>
        <w:rPr>
          <w:b/>
          <w:szCs w:val="24"/>
        </w:rPr>
      </w:pPr>
      <w:r w:rsidRPr="001453D6">
        <w:rPr>
          <w:b/>
          <w:szCs w:val="24"/>
        </w:rPr>
        <w:t xml:space="preserve">1.4 PROGRAMME </w:t>
      </w:r>
    </w:p>
    <w:p w14:paraId="29CC79F7" w14:textId="77777777" w:rsidR="00737D08" w:rsidRPr="001453D6" w:rsidRDefault="00737D08" w:rsidP="00737D08">
      <w:pPr>
        <w:spacing w:after="0"/>
        <w:rPr>
          <w:szCs w:val="24"/>
        </w:rPr>
      </w:pPr>
      <w:r w:rsidRPr="001453D6">
        <w:rPr>
          <w:szCs w:val="24"/>
        </w:rPr>
        <w:t xml:space="preserve"> </w:t>
      </w:r>
    </w:p>
    <w:p w14:paraId="246FC502" w14:textId="77777777" w:rsidR="00737D08" w:rsidRPr="001453D6" w:rsidRDefault="00737D08" w:rsidP="003E2103">
      <w:pPr>
        <w:spacing w:after="0"/>
        <w:ind w:left="0" w:firstLine="0"/>
        <w:rPr>
          <w:szCs w:val="24"/>
        </w:rPr>
      </w:pPr>
      <w:r w:rsidRPr="001453D6">
        <w:rPr>
          <w:szCs w:val="24"/>
        </w:rPr>
        <w:t xml:space="preserve">Le revêtement des digues et des pistes sera mis en œuvre au fur et à mesure de l'achèvement des remblais dans un délai maximal de 7 jours. </w:t>
      </w:r>
    </w:p>
    <w:p w14:paraId="6EE5B41E" w14:textId="77777777" w:rsidR="00737D08" w:rsidRPr="001453D6" w:rsidRDefault="00737D08" w:rsidP="00737D08">
      <w:pPr>
        <w:spacing w:after="0"/>
        <w:rPr>
          <w:szCs w:val="24"/>
        </w:rPr>
      </w:pPr>
      <w:r w:rsidRPr="001453D6">
        <w:rPr>
          <w:szCs w:val="24"/>
        </w:rPr>
        <w:t xml:space="preserve"> </w:t>
      </w:r>
    </w:p>
    <w:p w14:paraId="7D3BCD4B" w14:textId="16DF1DB9" w:rsidR="00737D08" w:rsidRPr="001453D6" w:rsidRDefault="003E2103" w:rsidP="00737D08">
      <w:pPr>
        <w:spacing w:after="0"/>
        <w:rPr>
          <w:b/>
          <w:szCs w:val="24"/>
        </w:rPr>
      </w:pPr>
      <w:r w:rsidRPr="001453D6">
        <w:rPr>
          <w:b/>
          <w:szCs w:val="24"/>
        </w:rPr>
        <w:t>2. PRODUITS</w:t>
      </w:r>
    </w:p>
    <w:p w14:paraId="0883FAC8" w14:textId="77777777" w:rsidR="003E2103" w:rsidRPr="001453D6" w:rsidRDefault="003E2103" w:rsidP="00737D08">
      <w:pPr>
        <w:spacing w:after="0"/>
        <w:rPr>
          <w:b/>
          <w:szCs w:val="24"/>
        </w:rPr>
      </w:pPr>
    </w:p>
    <w:p w14:paraId="7A3FB3BF" w14:textId="77777777" w:rsidR="00737D08" w:rsidRPr="001453D6" w:rsidRDefault="00737D08" w:rsidP="00737D08">
      <w:pPr>
        <w:spacing w:after="0"/>
        <w:rPr>
          <w:b/>
          <w:szCs w:val="24"/>
        </w:rPr>
      </w:pPr>
      <w:r w:rsidRPr="001453D6">
        <w:rPr>
          <w:b/>
          <w:szCs w:val="24"/>
        </w:rPr>
        <w:t xml:space="preserve">2.1 QUALITE DU MATERIAU </w:t>
      </w:r>
    </w:p>
    <w:p w14:paraId="7DCFBE2D" w14:textId="6388F9B7" w:rsidR="00464F7C" w:rsidRPr="001453D6" w:rsidRDefault="00737D08" w:rsidP="00737D08">
      <w:pPr>
        <w:spacing w:after="0"/>
        <w:rPr>
          <w:szCs w:val="24"/>
        </w:rPr>
      </w:pPr>
      <w:r w:rsidRPr="001453D6">
        <w:rPr>
          <w:szCs w:val="24"/>
        </w:rPr>
        <w:t xml:space="preserve">a.  Nature </w:t>
      </w:r>
    </w:p>
    <w:p w14:paraId="1864F075" w14:textId="15E1C60B" w:rsidR="00464F7C" w:rsidRPr="001453D6" w:rsidRDefault="00737D08" w:rsidP="002A45C1">
      <w:pPr>
        <w:pStyle w:val="Paragraphedeliste"/>
        <w:numPr>
          <w:ilvl w:val="0"/>
          <w:numId w:val="107"/>
        </w:numPr>
        <w:spacing w:after="0"/>
        <w:rPr>
          <w:szCs w:val="24"/>
        </w:rPr>
      </w:pPr>
      <w:r w:rsidRPr="001453D6">
        <w:rPr>
          <w:szCs w:val="24"/>
        </w:rPr>
        <w:t>Matériaux graveleux provenant soit du concassage de roche, soit de graves naturelles qui pourront être d'origine latéritique et, si nécessaire, être criblées</w:t>
      </w:r>
    </w:p>
    <w:p w14:paraId="78DFB02D" w14:textId="2F66DE25" w:rsidR="00737D08" w:rsidRPr="001453D6" w:rsidRDefault="00737D08" w:rsidP="002A45C1">
      <w:pPr>
        <w:pStyle w:val="Paragraphedeliste"/>
        <w:numPr>
          <w:ilvl w:val="0"/>
          <w:numId w:val="107"/>
        </w:numPr>
        <w:spacing w:after="0"/>
        <w:rPr>
          <w:szCs w:val="24"/>
        </w:rPr>
      </w:pPr>
      <w:r w:rsidRPr="001453D6">
        <w:rPr>
          <w:szCs w:val="24"/>
        </w:rPr>
        <w:t xml:space="preserve">Pas de matière végétale, organique ou soluble. </w:t>
      </w:r>
    </w:p>
    <w:p w14:paraId="3876B00D" w14:textId="77777777" w:rsidR="00737D08" w:rsidRPr="001453D6" w:rsidRDefault="00737D08" w:rsidP="00737D08">
      <w:pPr>
        <w:spacing w:after="0"/>
        <w:rPr>
          <w:szCs w:val="24"/>
        </w:rPr>
      </w:pPr>
      <w:r w:rsidRPr="001453D6">
        <w:rPr>
          <w:szCs w:val="24"/>
        </w:rPr>
        <w:t xml:space="preserve"> </w:t>
      </w:r>
    </w:p>
    <w:p w14:paraId="3C4CA662" w14:textId="77777777" w:rsidR="00737D08" w:rsidRPr="001453D6" w:rsidRDefault="00737D08" w:rsidP="00737D08">
      <w:pPr>
        <w:spacing w:after="0"/>
        <w:rPr>
          <w:szCs w:val="24"/>
        </w:rPr>
      </w:pPr>
      <w:r w:rsidRPr="001453D6">
        <w:rPr>
          <w:szCs w:val="24"/>
        </w:rPr>
        <w:t xml:space="preserve">b.  Masse volumique </w:t>
      </w:r>
    </w:p>
    <w:p w14:paraId="6397D843" w14:textId="77777777" w:rsidR="00737D08" w:rsidRPr="001453D6" w:rsidRDefault="00737D08" w:rsidP="00737D08">
      <w:pPr>
        <w:spacing w:after="0"/>
        <w:rPr>
          <w:szCs w:val="24"/>
        </w:rPr>
      </w:pPr>
      <w:r w:rsidRPr="001453D6">
        <w:rPr>
          <w:szCs w:val="24"/>
        </w:rPr>
        <w:t xml:space="preserve"> Supérieure à 2,6 t/m3, s’il s'agit de grave latéritique,  </w:t>
      </w:r>
    </w:p>
    <w:p w14:paraId="53507A4D" w14:textId="77777777" w:rsidR="00737D08" w:rsidRPr="001453D6" w:rsidRDefault="00737D08" w:rsidP="00737D08">
      <w:pPr>
        <w:spacing w:after="0"/>
        <w:rPr>
          <w:szCs w:val="24"/>
        </w:rPr>
      </w:pPr>
      <w:r w:rsidRPr="001453D6">
        <w:rPr>
          <w:szCs w:val="24"/>
        </w:rPr>
        <w:t xml:space="preserve"> Supérieure à 2,5 t/m3, dans les autres cas. </w:t>
      </w:r>
    </w:p>
    <w:p w14:paraId="5170AE65" w14:textId="77777777" w:rsidR="00737D08" w:rsidRPr="001453D6" w:rsidRDefault="00737D08" w:rsidP="00737D08">
      <w:pPr>
        <w:spacing w:after="0"/>
        <w:rPr>
          <w:szCs w:val="24"/>
        </w:rPr>
      </w:pPr>
      <w:r w:rsidRPr="001453D6">
        <w:rPr>
          <w:szCs w:val="24"/>
        </w:rPr>
        <w:t xml:space="preserve"> </w:t>
      </w:r>
    </w:p>
    <w:p w14:paraId="6ADF2B09" w14:textId="77777777" w:rsidR="00737D08" w:rsidRPr="001453D6" w:rsidRDefault="00737D08" w:rsidP="00737D08">
      <w:pPr>
        <w:spacing w:after="0"/>
        <w:rPr>
          <w:szCs w:val="24"/>
        </w:rPr>
      </w:pPr>
      <w:r w:rsidRPr="001453D6">
        <w:rPr>
          <w:szCs w:val="24"/>
        </w:rPr>
        <w:t xml:space="preserve">c. Granulométrie </w:t>
      </w:r>
    </w:p>
    <w:p w14:paraId="0E82EA04" w14:textId="15A1DEBD" w:rsidR="00737D08" w:rsidRPr="001453D6" w:rsidRDefault="00737D08" w:rsidP="00737D08">
      <w:pPr>
        <w:spacing w:after="0"/>
        <w:rPr>
          <w:szCs w:val="24"/>
        </w:rPr>
      </w:pPr>
      <w:r w:rsidRPr="001453D6">
        <w:rPr>
          <w:szCs w:val="24"/>
        </w:rPr>
        <w:t xml:space="preserve"> Passant au tamis de 80 </w:t>
      </w:r>
      <w:r w:rsidR="003E2103" w:rsidRPr="001453D6">
        <w:rPr>
          <w:szCs w:val="24"/>
        </w:rPr>
        <w:t>micromètres :</w:t>
      </w:r>
      <w:r w:rsidRPr="001453D6">
        <w:rPr>
          <w:szCs w:val="24"/>
        </w:rPr>
        <w:t xml:space="preserve"> 0 à 20% </w:t>
      </w:r>
    </w:p>
    <w:p w14:paraId="4F5844BD" w14:textId="10A49B96" w:rsidR="00737D08" w:rsidRPr="001453D6" w:rsidRDefault="00737D08" w:rsidP="00737D08">
      <w:pPr>
        <w:spacing w:after="0"/>
        <w:rPr>
          <w:szCs w:val="24"/>
        </w:rPr>
      </w:pPr>
      <w:r w:rsidRPr="001453D6">
        <w:rPr>
          <w:szCs w:val="24"/>
        </w:rPr>
        <w:t xml:space="preserve"> Passant au tamis de 40 </w:t>
      </w:r>
      <w:r w:rsidR="003E2103" w:rsidRPr="001453D6">
        <w:rPr>
          <w:szCs w:val="24"/>
        </w:rPr>
        <w:t>mm :</w:t>
      </w:r>
      <w:r w:rsidRPr="001453D6">
        <w:rPr>
          <w:szCs w:val="24"/>
        </w:rPr>
        <w:t xml:space="preserve"> 90 à 100% </w:t>
      </w:r>
    </w:p>
    <w:p w14:paraId="0851E3BA" w14:textId="77777777" w:rsidR="00737D08" w:rsidRPr="001453D6" w:rsidRDefault="00737D08" w:rsidP="00737D08">
      <w:pPr>
        <w:spacing w:after="0"/>
        <w:rPr>
          <w:szCs w:val="24"/>
        </w:rPr>
      </w:pPr>
      <w:r w:rsidRPr="001453D6">
        <w:rPr>
          <w:szCs w:val="24"/>
        </w:rPr>
        <w:t xml:space="preserve"> Si nécessaire, le matériau sera criblé pour obtenir les conditions ci-dessus. </w:t>
      </w:r>
    </w:p>
    <w:p w14:paraId="4899FA9C" w14:textId="77777777" w:rsidR="00737D08" w:rsidRPr="001453D6" w:rsidRDefault="00737D08" w:rsidP="00737D08">
      <w:pPr>
        <w:spacing w:after="0"/>
        <w:rPr>
          <w:szCs w:val="24"/>
        </w:rPr>
      </w:pPr>
    </w:p>
    <w:p w14:paraId="56301AAC" w14:textId="77777777" w:rsidR="00737D08" w:rsidRPr="001453D6" w:rsidRDefault="00737D08" w:rsidP="00737D08">
      <w:pPr>
        <w:spacing w:after="0"/>
        <w:rPr>
          <w:szCs w:val="24"/>
        </w:rPr>
      </w:pPr>
      <w:r w:rsidRPr="001453D6">
        <w:rPr>
          <w:szCs w:val="24"/>
        </w:rPr>
        <w:t>d.  Limites d'</w:t>
      </w:r>
      <w:proofErr w:type="spellStart"/>
      <w:r w:rsidRPr="001453D6">
        <w:rPr>
          <w:szCs w:val="24"/>
        </w:rPr>
        <w:t>Atterberg</w:t>
      </w:r>
      <w:proofErr w:type="spellEnd"/>
      <w:r w:rsidRPr="001453D6">
        <w:rPr>
          <w:szCs w:val="24"/>
        </w:rPr>
        <w:t xml:space="preserve"> </w:t>
      </w:r>
    </w:p>
    <w:p w14:paraId="0E7C16D3" w14:textId="77777777" w:rsidR="00737D08" w:rsidRPr="001453D6" w:rsidRDefault="00737D08" w:rsidP="00737D08">
      <w:pPr>
        <w:spacing w:after="0"/>
        <w:rPr>
          <w:szCs w:val="24"/>
        </w:rPr>
      </w:pPr>
      <w:r w:rsidRPr="001453D6">
        <w:rPr>
          <w:szCs w:val="24"/>
        </w:rPr>
        <w:t xml:space="preserve"> Limite de liquidité (LL) : inférieure à 35, </w:t>
      </w:r>
    </w:p>
    <w:p w14:paraId="49844410" w14:textId="77777777" w:rsidR="00737D08" w:rsidRPr="001453D6" w:rsidRDefault="00737D08" w:rsidP="00737D08">
      <w:pPr>
        <w:spacing w:after="0"/>
        <w:rPr>
          <w:szCs w:val="24"/>
        </w:rPr>
      </w:pPr>
      <w:r w:rsidRPr="001453D6">
        <w:rPr>
          <w:szCs w:val="24"/>
        </w:rPr>
        <w:t xml:space="preserve"> Limite de plasticité (LP) : inférieure à 15. </w:t>
      </w:r>
    </w:p>
    <w:p w14:paraId="7234087B" w14:textId="77777777" w:rsidR="00737D08" w:rsidRPr="001453D6" w:rsidRDefault="00737D08" w:rsidP="00737D08">
      <w:pPr>
        <w:spacing w:after="0"/>
        <w:rPr>
          <w:szCs w:val="24"/>
        </w:rPr>
      </w:pPr>
      <w:r w:rsidRPr="001453D6">
        <w:rPr>
          <w:szCs w:val="24"/>
        </w:rPr>
        <w:t xml:space="preserve"> </w:t>
      </w:r>
    </w:p>
    <w:p w14:paraId="51363B63" w14:textId="77777777" w:rsidR="00737D08" w:rsidRPr="001453D6" w:rsidRDefault="00737D08" w:rsidP="00737D08">
      <w:pPr>
        <w:spacing w:after="0"/>
        <w:rPr>
          <w:b/>
          <w:szCs w:val="24"/>
        </w:rPr>
      </w:pPr>
      <w:r w:rsidRPr="001453D6">
        <w:rPr>
          <w:b/>
          <w:szCs w:val="24"/>
        </w:rPr>
        <w:t xml:space="preserve">2.2 CONTROLE </w:t>
      </w:r>
    </w:p>
    <w:p w14:paraId="2891239A" w14:textId="77777777" w:rsidR="00737D08" w:rsidRPr="001453D6" w:rsidRDefault="00737D08" w:rsidP="00737D08">
      <w:pPr>
        <w:spacing w:after="0"/>
        <w:rPr>
          <w:szCs w:val="24"/>
        </w:rPr>
      </w:pPr>
      <w:r w:rsidRPr="001453D6">
        <w:rPr>
          <w:szCs w:val="24"/>
        </w:rPr>
        <w:t xml:space="preserve"> </w:t>
      </w:r>
    </w:p>
    <w:p w14:paraId="630F8E3B" w14:textId="1E561BFA" w:rsidR="00737D08" w:rsidRPr="001453D6" w:rsidRDefault="00737D08" w:rsidP="00737D08">
      <w:pPr>
        <w:spacing w:after="0"/>
        <w:rPr>
          <w:szCs w:val="24"/>
        </w:rPr>
      </w:pPr>
      <w:r w:rsidRPr="001453D6">
        <w:rPr>
          <w:szCs w:val="24"/>
        </w:rPr>
        <w:t xml:space="preserve">Après approvisionnement Sur le </w:t>
      </w:r>
      <w:r w:rsidR="003E2103" w:rsidRPr="001453D6">
        <w:rPr>
          <w:szCs w:val="24"/>
        </w:rPr>
        <w:t>site :</w:t>
      </w:r>
      <w:r w:rsidRPr="001453D6">
        <w:rPr>
          <w:szCs w:val="24"/>
        </w:rPr>
        <w:t xml:space="preserve"> </w:t>
      </w:r>
    </w:p>
    <w:p w14:paraId="66D04B9E" w14:textId="09F65E1C" w:rsidR="00737D08" w:rsidRPr="001453D6" w:rsidRDefault="00737D08" w:rsidP="00737D08">
      <w:pPr>
        <w:spacing w:after="0"/>
        <w:rPr>
          <w:szCs w:val="24"/>
        </w:rPr>
      </w:pPr>
      <w:r w:rsidRPr="001453D6">
        <w:rPr>
          <w:szCs w:val="24"/>
        </w:rPr>
        <w:t xml:space="preserve"> Masse </w:t>
      </w:r>
      <w:r w:rsidR="003E2103" w:rsidRPr="001453D6">
        <w:rPr>
          <w:szCs w:val="24"/>
        </w:rPr>
        <w:t>volumique :</w:t>
      </w:r>
      <w:r w:rsidRPr="001453D6">
        <w:rPr>
          <w:szCs w:val="24"/>
        </w:rPr>
        <w:t xml:space="preserve">   2 essais au total, </w:t>
      </w:r>
    </w:p>
    <w:p w14:paraId="5FF1D299" w14:textId="77777777" w:rsidR="00737D08" w:rsidRPr="001453D6" w:rsidRDefault="00737D08" w:rsidP="00737D08">
      <w:pPr>
        <w:spacing w:after="0"/>
        <w:rPr>
          <w:szCs w:val="24"/>
        </w:rPr>
      </w:pPr>
      <w:r w:rsidRPr="001453D6">
        <w:rPr>
          <w:szCs w:val="24"/>
        </w:rPr>
        <w:t xml:space="preserve"> Granulométrie   1 essai tous les 500 m3 en moyenne, </w:t>
      </w:r>
    </w:p>
    <w:p w14:paraId="5B292E7E" w14:textId="651E043F" w:rsidR="00737D08" w:rsidRPr="001453D6" w:rsidRDefault="00737D08" w:rsidP="00737D08">
      <w:pPr>
        <w:spacing w:after="0"/>
        <w:rPr>
          <w:szCs w:val="24"/>
        </w:rPr>
      </w:pPr>
      <w:r w:rsidRPr="001453D6">
        <w:rPr>
          <w:szCs w:val="24"/>
        </w:rPr>
        <w:t xml:space="preserve"> Limites </w:t>
      </w:r>
      <w:r w:rsidR="003E2103" w:rsidRPr="001453D6">
        <w:rPr>
          <w:szCs w:val="24"/>
        </w:rPr>
        <w:t>d’</w:t>
      </w:r>
      <w:proofErr w:type="spellStart"/>
      <w:r w:rsidR="003E2103" w:rsidRPr="001453D6">
        <w:rPr>
          <w:szCs w:val="24"/>
        </w:rPr>
        <w:t>Atterberg</w:t>
      </w:r>
      <w:proofErr w:type="spellEnd"/>
      <w:r w:rsidR="003E2103" w:rsidRPr="001453D6">
        <w:rPr>
          <w:szCs w:val="24"/>
        </w:rPr>
        <w:t xml:space="preserve"> 1</w:t>
      </w:r>
      <w:r w:rsidRPr="001453D6">
        <w:rPr>
          <w:szCs w:val="24"/>
        </w:rPr>
        <w:t xml:space="preserve"> essai (LL et LP) tous les 1 000 m3 en moyenne, </w:t>
      </w:r>
    </w:p>
    <w:p w14:paraId="5BD2B22F" w14:textId="52C7A889" w:rsidR="00D426B5" w:rsidRPr="001453D6" w:rsidRDefault="00737D08" w:rsidP="00737D08">
      <w:pPr>
        <w:spacing w:after="0"/>
        <w:rPr>
          <w:szCs w:val="24"/>
        </w:rPr>
      </w:pPr>
      <w:r w:rsidRPr="001453D6">
        <w:rPr>
          <w:szCs w:val="24"/>
        </w:rPr>
        <w:t xml:space="preserve"> </w:t>
      </w:r>
    </w:p>
    <w:p w14:paraId="1F448163" w14:textId="044D10AE" w:rsidR="00737D08" w:rsidRPr="001453D6" w:rsidRDefault="003E2103" w:rsidP="003E2103">
      <w:pPr>
        <w:spacing w:after="0"/>
        <w:rPr>
          <w:b/>
          <w:szCs w:val="24"/>
        </w:rPr>
      </w:pPr>
      <w:r w:rsidRPr="001453D6">
        <w:rPr>
          <w:b/>
          <w:szCs w:val="24"/>
        </w:rPr>
        <w:t xml:space="preserve">3. </w:t>
      </w:r>
      <w:r w:rsidR="00737D08" w:rsidRPr="001453D6">
        <w:rPr>
          <w:b/>
          <w:szCs w:val="24"/>
        </w:rPr>
        <w:t xml:space="preserve">MISE EN ŒUVRE  </w:t>
      </w:r>
    </w:p>
    <w:p w14:paraId="397464A4" w14:textId="77777777" w:rsidR="0051589D" w:rsidRPr="001453D6" w:rsidRDefault="0051589D" w:rsidP="0051589D">
      <w:pPr>
        <w:pStyle w:val="Paragraphedeliste"/>
        <w:spacing w:after="0"/>
        <w:ind w:firstLine="0"/>
        <w:rPr>
          <w:b/>
          <w:szCs w:val="24"/>
        </w:rPr>
      </w:pPr>
    </w:p>
    <w:p w14:paraId="2224670B" w14:textId="77777777" w:rsidR="00737D08" w:rsidRPr="001453D6" w:rsidRDefault="00737D08" w:rsidP="00737D08">
      <w:pPr>
        <w:spacing w:after="0"/>
        <w:rPr>
          <w:b/>
          <w:szCs w:val="24"/>
        </w:rPr>
      </w:pPr>
      <w:r w:rsidRPr="001453D6">
        <w:rPr>
          <w:b/>
          <w:szCs w:val="24"/>
        </w:rPr>
        <w:t xml:space="preserve">3.1 INSPECTION </w:t>
      </w:r>
    </w:p>
    <w:p w14:paraId="6991CDB0" w14:textId="77777777" w:rsidR="00737D08" w:rsidRPr="001453D6" w:rsidRDefault="00737D08" w:rsidP="003E2103">
      <w:pPr>
        <w:spacing w:after="0"/>
        <w:ind w:left="0" w:firstLine="0"/>
        <w:rPr>
          <w:szCs w:val="24"/>
        </w:rPr>
      </w:pPr>
      <w:r w:rsidRPr="001453D6">
        <w:rPr>
          <w:szCs w:val="24"/>
        </w:rPr>
        <w:t xml:space="preserve">Avant réglage des couches de revêtement l'Entrepreneur devra faire réceptionner le support par l'ingénieur. </w:t>
      </w:r>
    </w:p>
    <w:p w14:paraId="198CB7B9" w14:textId="77777777" w:rsidR="00737D08" w:rsidRPr="001453D6" w:rsidRDefault="00737D08" w:rsidP="00737D08">
      <w:pPr>
        <w:spacing w:after="0"/>
        <w:rPr>
          <w:szCs w:val="24"/>
        </w:rPr>
      </w:pPr>
      <w:r w:rsidRPr="001453D6">
        <w:rPr>
          <w:szCs w:val="24"/>
        </w:rPr>
        <w:t xml:space="preserve"> </w:t>
      </w:r>
    </w:p>
    <w:p w14:paraId="4671056E" w14:textId="77777777" w:rsidR="00737D08" w:rsidRPr="001453D6" w:rsidRDefault="00737D08" w:rsidP="00737D08">
      <w:pPr>
        <w:spacing w:after="0"/>
        <w:rPr>
          <w:b/>
          <w:szCs w:val="24"/>
        </w:rPr>
      </w:pPr>
      <w:r w:rsidRPr="001453D6">
        <w:rPr>
          <w:b/>
          <w:szCs w:val="24"/>
        </w:rPr>
        <w:t xml:space="preserve">3.2 MISE EN ŒUVRE  </w:t>
      </w:r>
    </w:p>
    <w:p w14:paraId="62002D68" w14:textId="77777777" w:rsidR="003E2103" w:rsidRPr="001453D6" w:rsidRDefault="003E2103" w:rsidP="00737D08">
      <w:pPr>
        <w:spacing w:after="0"/>
        <w:rPr>
          <w:szCs w:val="24"/>
        </w:rPr>
      </w:pPr>
    </w:p>
    <w:p w14:paraId="78EA22E7" w14:textId="1849CB12" w:rsidR="00737D08" w:rsidRPr="001453D6" w:rsidRDefault="003E2103" w:rsidP="00737D08">
      <w:pPr>
        <w:spacing w:after="0"/>
        <w:rPr>
          <w:szCs w:val="24"/>
        </w:rPr>
      </w:pPr>
      <w:r w:rsidRPr="001453D6">
        <w:rPr>
          <w:szCs w:val="24"/>
        </w:rPr>
        <w:t>3.2.1 Le</w:t>
      </w:r>
      <w:r w:rsidR="00737D08" w:rsidRPr="001453D6">
        <w:rPr>
          <w:szCs w:val="24"/>
        </w:rPr>
        <w:t xml:space="preserve"> matériau sera humidifié à une teneur en eau homogène égale à celle correspondant à l'Optimum Proctor Normal (</w:t>
      </w:r>
      <w:proofErr w:type="spellStart"/>
      <w:r w:rsidR="00737D08" w:rsidRPr="001453D6">
        <w:rPr>
          <w:szCs w:val="24"/>
        </w:rPr>
        <w:t>Wopt</w:t>
      </w:r>
      <w:proofErr w:type="spellEnd"/>
      <w:r w:rsidR="00737D08" w:rsidRPr="001453D6">
        <w:rPr>
          <w:szCs w:val="24"/>
        </w:rPr>
        <w:t xml:space="preserve">) avec une tolérance de ± 2%. </w:t>
      </w:r>
    </w:p>
    <w:p w14:paraId="4949DEDF" w14:textId="77777777" w:rsidR="00737D08" w:rsidRPr="001453D6" w:rsidRDefault="00737D08" w:rsidP="00737D08">
      <w:pPr>
        <w:spacing w:after="0"/>
        <w:rPr>
          <w:b/>
          <w:szCs w:val="24"/>
        </w:rPr>
      </w:pPr>
      <w:r w:rsidRPr="001453D6">
        <w:rPr>
          <w:b/>
          <w:szCs w:val="24"/>
        </w:rPr>
        <w:t xml:space="preserve"> </w:t>
      </w:r>
    </w:p>
    <w:p w14:paraId="31F7DAAB" w14:textId="53E61796" w:rsidR="00737D08" w:rsidRPr="001453D6" w:rsidRDefault="00D441A5" w:rsidP="00737D08">
      <w:pPr>
        <w:spacing w:after="0"/>
        <w:rPr>
          <w:szCs w:val="24"/>
        </w:rPr>
      </w:pPr>
      <w:r w:rsidRPr="001453D6">
        <w:rPr>
          <w:szCs w:val="24"/>
        </w:rPr>
        <w:t>3.2.2 COMPACTAGE</w:t>
      </w:r>
    </w:p>
    <w:p w14:paraId="0C8C9ACE" w14:textId="1638A719" w:rsidR="00737D08" w:rsidRPr="001453D6" w:rsidRDefault="00737D08" w:rsidP="003E2103">
      <w:pPr>
        <w:spacing w:after="0"/>
        <w:ind w:left="0" w:firstLine="0"/>
        <w:rPr>
          <w:szCs w:val="24"/>
        </w:rPr>
      </w:pPr>
      <w:r w:rsidRPr="001453D6">
        <w:rPr>
          <w:szCs w:val="24"/>
        </w:rPr>
        <w:t xml:space="preserve">Le matériau sera compacté soit avec un compacteur à pneus d'une charge minimale de 4 t par roue et à une vitesse n'excédant pas 6 km/h </w:t>
      </w:r>
      <w:r w:rsidR="00A24563" w:rsidRPr="001453D6">
        <w:rPr>
          <w:szCs w:val="24"/>
        </w:rPr>
        <w:t xml:space="preserve">ou </w:t>
      </w:r>
      <w:r w:rsidRPr="001453D6">
        <w:rPr>
          <w:szCs w:val="24"/>
        </w:rPr>
        <w:t xml:space="preserve">avec un compacteur à bille lisse vibrante d'une charge statique minimale par unité de largeur de 40 kg/cm et d'une force centrifuge totale minimale de 15 000 </w:t>
      </w:r>
      <w:proofErr w:type="spellStart"/>
      <w:proofErr w:type="gramStart"/>
      <w:r w:rsidRPr="001453D6">
        <w:rPr>
          <w:szCs w:val="24"/>
        </w:rPr>
        <w:t>daN</w:t>
      </w:r>
      <w:proofErr w:type="spellEnd"/>
      <w:proofErr w:type="gramEnd"/>
      <w:r w:rsidRPr="001453D6">
        <w:rPr>
          <w:szCs w:val="24"/>
        </w:rPr>
        <w:t xml:space="preserve">, à une vitesse n'excédant pas 2 km/h, </w:t>
      </w:r>
    </w:p>
    <w:p w14:paraId="091B8BA9" w14:textId="77777777" w:rsidR="00737D08" w:rsidRPr="001453D6" w:rsidRDefault="00737D08" w:rsidP="00737D08">
      <w:pPr>
        <w:spacing w:after="0"/>
        <w:rPr>
          <w:szCs w:val="24"/>
        </w:rPr>
      </w:pPr>
      <w:r w:rsidRPr="001453D6">
        <w:rPr>
          <w:szCs w:val="24"/>
        </w:rPr>
        <w:t xml:space="preserve"> </w:t>
      </w:r>
    </w:p>
    <w:p w14:paraId="00C97611" w14:textId="77777777" w:rsidR="00737D08" w:rsidRPr="001453D6" w:rsidRDefault="00737D08" w:rsidP="00737D08">
      <w:pPr>
        <w:spacing w:after="0"/>
        <w:rPr>
          <w:szCs w:val="24"/>
        </w:rPr>
      </w:pPr>
      <w:r w:rsidRPr="001453D6">
        <w:rPr>
          <w:szCs w:val="24"/>
        </w:rPr>
        <w:t xml:space="preserve">Le nombre minimal de passage sera de 4 (aller-retour) dans les deux cas. </w:t>
      </w:r>
    </w:p>
    <w:p w14:paraId="4BC308F9" w14:textId="77777777" w:rsidR="00737D08" w:rsidRPr="001453D6" w:rsidRDefault="00737D08" w:rsidP="00737D08">
      <w:pPr>
        <w:spacing w:after="0"/>
        <w:rPr>
          <w:szCs w:val="24"/>
        </w:rPr>
      </w:pPr>
      <w:r w:rsidRPr="001453D6">
        <w:rPr>
          <w:szCs w:val="24"/>
        </w:rPr>
        <w:t xml:space="preserve"> </w:t>
      </w:r>
    </w:p>
    <w:p w14:paraId="143C050A" w14:textId="77777777" w:rsidR="00737D08" w:rsidRPr="001453D6" w:rsidRDefault="00737D08" w:rsidP="00737D08">
      <w:pPr>
        <w:spacing w:after="0"/>
        <w:rPr>
          <w:b/>
          <w:szCs w:val="24"/>
        </w:rPr>
      </w:pPr>
      <w:r w:rsidRPr="001453D6">
        <w:rPr>
          <w:b/>
          <w:szCs w:val="24"/>
        </w:rPr>
        <w:t xml:space="preserve">3.3 TOLERANCES </w:t>
      </w:r>
    </w:p>
    <w:p w14:paraId="5D9A01A2" w14:textId="77777777" w:rsidR="00737D08" w:rsidRPr="001453D6" w:rsidRDefault="00737D08" w:rsidP="00737D08">
      <w:pPr>
        <w:spacing w:after="0"/>
        <w:rPr>
          <w:szCs w:val="24"/>
        </w:rPr>
      </w:pPr>
      <w:r w:rsidRPr="001453D6">
        <w:rPr>
          <w:szCs w:val="24"/>
        </w:rPr>
        <w:t xml:space="preserve"> </w:t>
      </w:r>
    </w:p>
    <w:p w14:paraId="783D9C1C" w14:textId="77777777" w:rsidR="00737D08" w:rsidRPr="001453D6" w:rsidRDefault="00737D08" w:rsidP="00737D08">
      <w:pPr>
        <w:spacing w:after="0"/>
        <w:rPr>
          <w:szCs w:val="24"/>
        </w:rPr>
      </w:pPr>
      <w:r w:rsidRPr="001453D6">
        <w:rPr>
          <w:szCs w:val="24"/>
        </w:rPr>
        <w:t xml:space="preserve"> Epaisseur : + 5 cm - 0 cm, </w:t>
      </w:r>
    </w:p>
    <w:p w14:paraId="6E9ACC77" w14:textId="77777777" w:rsidR="00737D08" w:rsidRPr="001453D6" w:rsidRDefault="00737D08" w:rsidP="00737D08">
      <w:pPr>
        <w:spacing w:after="0"/>
        <w:rPr>
          <w:szCs w:val="24"/>
        </w:rPr>
      </w:pPr>
      <w:r w:rsidRPr="001453D6">
        <w:rPr>
          <w:szCs w:val="24"/>
        </w:rPr>
        <w:t xml:space="preserve"> Largeur: + 20 cm - 0 cm, </w:t>
      </w:r>
    </w:p>
    <w:p w14:paraId="43A2D975" w14:textId="77777777" w:rsidR="00737D08" w:rsidRPr="001453D6" w:rsidRDefault="00737D08" w:rsidP="00737D08">
      <w:pPr>
        <w:spacing w:after="0"/>
        <w:rPr>
          <w:szCs w:val="24"/>
        </w:rPr>
      </w:pPr>
      <w:r w:rsidRPr="001453D6">
        <w:rPr>
          <w:szCs w:val="24"/>
        </w:rPr>
        <w:t xml:space="preserve"> Pas de flache de plus de 5 cm mesurée à la règle de 3 cm, </w:t>
      </w:r>
    </w:p>
    <w:p w14:paraId="597D2A74" w14:textId="77777777" w:rsidR="00737D08" w:rsidRPr="001453D6" w:rsidRDefault="00737D08" w:rsidP="00737D08">
      <w:pPr>
        <w:spacing w:after="0"/>
        <w:rPr>
          <w:szCs w:val="24"/>
        </w:rPr>
      </w:pPr>
      <w:r w:rsidRPr="001453D6">
        <w:rPr>
          <w:szCs w:val="24"/>
        </w:rPr>
        <w:t xml:space="preserve"> </w:t>
      </w:r>
    </w:p>
    <w:p w14:paraId="31D292E3" w14:textId="77777777" w:rsidR="00737D08" w:rsidRPr="001453D6" w:rsidRDefault="00737D08" w:rsidP="00737D08">
      <w:pPr>
        <w:spacing w:after="0"/>
        <w:rPr>
          <w:b/>
          <w:szCs w:val="24"/>
        </w:rPr>
      </w:pPr>
      <w:r w:rsidRPr="001453D6">
        <w:rPr>
          <w:b/>
          <w:szCs w:val="24"/>
        </w:rPr>
        <w:t xml:space="preserve">3.4 CONTROLE </w:t>
      </w:r>
    </w:p>
    <w:p w14:paraId="7659D3C5" w14:textId="0C19FC24" w:rsidR="00737D08" w:rsidRPr="001453D6" w:rsidRDefault="00737D08" w:rsidP="00737D08">
      <w:pPr>
        <w:spacing w:after="0"/>
        <w:rPr>
          <w:szCs w:val="24"/>
        </w:rPr>
      </w:pPr>
      <w:r w:rsidRPr="001453D6">
        <w:rPr>
          <w:szCs w:val="24"/>
        </w:rPr>
        <w:t xml:space="preserve">1. Teneur en </w:t>
      </w:r>
      <w:r w:rsidR="003E2103" w:rsidRPr="001453D6">
        <w:rPr>
          <w:szCs w:val="24"/>
        </w:rPr>
        <w:t>eau :</w:t>
      </w:r>
      <w:r w:rsidRPr="001453D6">
        <w:rPr>
          <w:szCs w:val="24"/>
        </w:rPr>
        <w:t xml:space="preserve"> 1 essai tous les 250 m3 en moyenne, </w:t>
      </w:r>
    </w:p>
    <w:p w14:paraId="6F1E2D71" w14:textId="77777777" w:rsidR="00737D08" w:rsidRPr="001453D6" w:rsidRDefault="00737D08" w:rsidP="00737D08">
      <w:pPr>
        <w:spacing w:after="0"/>
        <w:rPr>
          <w:szCs w:val="24"/>
        </w:rPr>
      </w:pPr>
      <w:r w:rsidRPr="001453D6">
        <w:rPr>
          <w:szCs w:val="24"/>
        </w:rPr>
        <w:t xml:space="preserve">2. Compactage </w:t>
      </w:r>
      <w:proofErr w:type="gramStart"/>
      <w:r w:rsidRPr="001453D6">
        <w:rPr>
          <w:szCs w:val="24"/>
        </w:rPr>
        <w:t>:  contrôle</w:t>
      </w:r>
      <w:proofErr w:type="gramEnd"/>
      <w:r w:rsidRPr="001453D6">
        <w:rPr>
          <w:szCs w:val="24"/>
        </w:rPr>
        <w:t xml:space="preserve"> sur nombre de passage, </w:t>
      </w:r>
    </w:p>
    <w:p w14:paraId="73C23212" w14:textId="7DAD9420" w:rsidR="00737D08" w:rsidRPr="001453D6" w:rsidRDefault="00737D08" w:rsidP="00737D08">
      <w:pPr>
        <w:spacing w:after="0"/>
        <w:rPr>
          <w:szCs w:val="24"/>
        </w:rPr>
      </w:pPr>
      <w:r w:rsidRPr="001453D6">
        <w:rPr>
          <w:szCs w:val="24"/>
        </w:rPr>
        <w:t xml:space="preserve">3. Contrôle des </w:t>
      </w:r>
      <w:r w:rsidR="003E2103" w:rsidRPr="001453D6">
        <w:rPr>
          <w:szCs w:val="24"/>
        </w:rPr>
        <w:t xml:space="preserve">dimensions </w:t>
      </w:r>
      <w:proofErr w:type="gramStart"/>
      <w:r w:rsidR="003E2103" w:rsidRPr="001453D6">
        <w:rPr>
          <w:szCs w:val="24"/>
        </w:rPr>
        <w:t>:</w:t>
      </w:r>
      <w:r w:rsidRPr="001453D6">
        <w:rPr>
          <w:szCs w:val="24"/>
        </w:rPr>
        <w:t xml:space="preserve">  relevés</w:t>
      </w:r>
      <w:proofErr w:type="gramEnd"/>
      <w:r w:rsidRPr="001453D6">
        <w:rPr>
          <w:szCs w:val="24"/>
        </w:rPr>
        <w:t xml:space="preserve"> contradictoires de profils tous les 200 m.   </w:t>
      </w:r>
    </w:p>
    <w:p w14:paraId="7C07DDA3" w14:textId="430D36BE" w:rsidR="00737D08" w:rsidRPr="001453D6" w:rsidRDefault="00737D08" w:rsidP="00737D08">
      <w:pPr>
        <w:spacing w:after="0"/>
        <w:rPr>
          <w:szCs w:val="24"/>
        </w:rPr>
      </w:pPr>
    </w:p>
    <w:p w14:paraId="6237CEB6" w14:textId="376CD26C" w:rsidR="00737D08" w:rsidRPr="001453D6" w:rsidRDefault="00737D08" w:rsidP="00737D08">
      <w:pPr>
        <w:spacing w:after="0"/>
        <w:rPr>
          <w:b/>
          <w:szCs w:val="24"/>
        </w:rPr>
      </w:pPr>
      <w:r w:rsidRPr="001453D6">
        <w:rPr>
          <w:b/>
          <w:szCs w:val="24"/>
        </w:rPr>
        <w:t xml:space="preserve">PARTIE </w:t>
      </w:r>
      <w:r w:rsidR="00350EB7" w:rsidRPr="001453D6">
        <w:rPr>
          <w:b/>
          <w:szCs w:val="24"/>
        </w:rPr>
        <w:t>F</w:t>
      </w:r>
      <w:r w:rsidRPr="001453D6">
        <w:rPr>
          <w:b/>
          <w:szCs w:val="24"/>
        </w:rPr>
        <w:t xml:space="preserve"> :     BETONS </w:t>
      </w:r>
    </w:p>
    <w:p w14:paraId="76038342" w14:textId="77777777" w:rsidR="00DA0D9D" w:rsidRPr="001453D6" w:rsidRDefault="00DA0D9D" w:rsidP="00737D08">
      <w:pPr>
        <w:spacing w:after="0"/>
        <w:rPr>
          <w:b/>
          <w:szCs w:val="24"/>
        </w:rPr>
      </w:pPr>
    </w:p>
    <w:p w14:paraId="1201F5E2" w14:textId="42D4BA7F" w:rsidR="00737D08" w:rsidRPr="001453D6" w:rsidRDefault="00737D08" w:rsidP="00737D08">
      <w:pPr>
        <w:spacing w:after="0"/>
        <w:rPr>
          <w:b/>
          <w:szCs w:val="24"/>
        </w:rPr>
      </w:pPr>
      <w:r w:rsidRPr="001453D6">
        <w:rPr>
          <w:b/>
          <w:szCs w:val="24"/>
        </w:rPr>
        <w:t xml:space="preserve">1. GENERALITES </w:t>
      </w:r>
    </w:p>
    <w:p w14:paraId="2ABC26AE" w14:textId="77777777" w:rsidR="00DA0D9D" w:rsidRPr="001453D6" w:rsidRDefault="00DA0D9D" w:rsidP="00737D08">
      <w:pPr>
        <w:spacing w:after="0"/>
        <w:rPr>
          <w:b/>
          <w:szCs w:val="24"/>
        </w:rPr>
      </w:pPr>
    </w:p>
    <w:p w14:paraId="7042A9CD" w14:textId="45E2D96E" w:rsidR="00737D08" w:rsidRPr="001453D6" w:rsidRDefault="00737D08" w:rsidP="00737D08">
      <w:pPr>
        <w:spacing w:after="0"/>
        <w:rPr>
          <w:b/>
          <w:szCs w:val="24"/>
        </w:rPr>
      </w:pPr>
      <w:r w:rsidRPr="001453D6">
        <w:rPr>
          <w:b/>
          <w:szCs w:val="24"/>
        </w:rPr>
        <w:t xml:space="preserve">1.1 TRAVAUX INCLUS </w:t>
      </w:r>
    </w:p>
    <w:p w14:paraId="48792159" w14:textId="77777777" w:rsidR="00737D08" w:rsidRPr="001453D6" w:rsidRDefault="00737D08" w:rsidP="00737D08">
      <w:pPr>
        <w:spacing w:after="0"/>
        <w:rPr>
          <w:szCs w:val="24"/>
        </w:rPr>
      </w:pPr>
      <w:r w:rsidRPr="001453D6">
        <w:rPr>
          <w:szCs w:val="24"/>
        </w:rPr>
        <w:t xml:space="preserve">Comprenant les bétons nécessaires pour : </w:t>
      </w:r>
    </w:p>
    <w:p w14:paraId="6A01212E" w14:textId="2FC19A43" w:rsidR="00737D08" w:rsidRPr="001453D6" w:rsidRDefault="00737D08" w:rsidP="002A45C1">
      <w:pPr>
        <w:pStyle w:val="Paragraphedeliste"/>
        <w:numPr>
          <w:ilvl w:val="0"/>
          <w:numId w:val="101"/>
        </w:numPr>
        <w:spacing w:after="0"/>
        <w:jc w:val="left"/>
        <w:rPr>
          <w:szCs w:val="24"/>
        </w:rPr>
      </w:pPr>
      <w:r w:rsidRPr="001453D6">
        <w:rPr>
          <w:szCs w:val="24"/>
        </w:rPr>
        <w:t xml:space="preserve">Les ouvrages </w:t>
      </w:r>
      <w:r w:rsidR="00D62C56">
        <w:rPr>
          <w:szCs w:val="24"/>
        </w:rPr>
        <w:t>en bétons</w:t>
      </w:r>
      <w:r w:rsidRPr="001453D6">
        <w:rPr>
          <w:szCs w:val="24"/>
        </w:rPr>
        <w:t xml:space="preserve"> et déversoirs ; </w:t>
      </w:r>
    </w:p>
    <w:p w14:paraId="4862D759" w14:textId="77777777" w:rsidR="00737D08" w:rsidRPr="001453D6" w:rsidRDefault="00737D08" w:rsidP="002A45C1">
      <w:pPr>
        <w:pStyle w:val="Paragraphedeliste"/>
        <w:numPr>
          <w:ilvl w:val="0"/>
          <w:numId w:val="101"/>
        </w:numPr>
        <w:spacing w:after="0"/>
        <w:jc w:val="left"/>
        <w:rPr>
          <w:szCs w:val="24"/>
        </w:rPr>
      </w:pPr>
      <w:r w:rsidRPr="001453D6">
        <w:rPr>
          <w:szCs w:val="24"/>
        </w:rPr>
        <w:t xml:space="preserve">Les ouvrages de franchissement ; </w:t>
      </w:r>
    </w:p>
    <w:p w14:paraId="0F0F5D05" w14:textId="77777777" w:rsidR="00737D08" w:rsidRPr="001453D6" w:rsidRDefault="00737D08" w:rsidP="002A45C1">
      <w:pPr>
        <w:pStyle w:val="Paragraphedeliste"/>
        <w:numPr>
          <w:ilvl w:val="0"/>
          <w:numId w:val="101"/>
        </w:numPr>
        <w:spacing w:after="0"/>
        <w:jc w:val="left"/>
        <w:rPr>
          <w:szCs w:val="24"/>
        </w:rPr>
      </w:pPr>
      <w:r w:rsidRPr="001453D6">
        <w:rPr>
          <w:szCs w:val="24"/>
        </w:rPr>
        <w:t xml:space="preserve">Les bâtiments ;  </w:t>
      </w:r>
    </w:p>
    <w:p w14:paraId="5B704894" w14:textId="77777777" w:rsidR="00737D08" w:rsidRPr="001453D6" w:rsidRDefault="00737D08" w:rsidP="002A45C1">
      <w:pPr>
        <w:pStyle w:val="Paragraphedeliste"/>
        <w:numPr>
          <w:ilvl w:val="0"/>
          <w:numId w:val="101"/>
        </w:numPr>
        <w:spacing w:after="0"/>
        <w:jc w:val="left"/>
        <w:rPr>
          <w:szCs w:val="24"/>
        </w:rPr>
      </w:pPr>
      <w:r w:rsidRPr="001453D6">
        <w:rPr>
          <w:szCs w:val="24"/>
        </w:rPr>
        <w:t xml:space="preserve">La maçonnerie ; </w:t>
      </w:r>
    </w:p>
    <w:p w14:paraId="7D9D45B4" w14:textId="77777777" w:rsidR="00737D08" w:rsidRPr="001453D6" w:rsidRDefault="00737D08" w:rsidP="002A45C1">
      <w:pPr>
        <w:pStyle w:val="Paragraphedeliste"/>
        <w:numPr>
          <w:ilvl w:val="0"/>
          <w:numId w:val="101"/>
        </w:numPr>
        <w:spacing w:after="0"/>
        <w:jc w:val="left"/>
        <w:rPr>
          <w:szCs w:val="24"/>
        </w:rPr>
      </w:pPr>
      <w:r w:rsidRPr="001453D6">
        <w:rPr>
          <w:szCs w:val="24"/>
        </w:rPr>
        <w:t xml:space="preserve">Les fournitures mécaniques. </w:t>
      </w:r>
    </w:p>
    <w:p w14:paraId="158818D5" w14:textId="77777777" w:rsidR="00737D08" w:rsidRPr="001453D6" w:rsidRDefault="00737D08" w:rsidP="00737D08">
      <w:pPr>
        <w:spacing w:after="0"/>
        <w:rPr>
          <w:szCs w:val="24"/>
        </w:rPr>
      </w:pPr>
    </w:p>
    <w:p w14:paraId="212D6265" w14:textId="7DA3833C" w:rsidR="00737D08" w:rsidRPr="001453D6" w:rsidRDefault="000224D2" w:rsidP="000224D2">
      <w:pPr>
        <w:spacing w:after="0"/>
        <w:rPr>
          <w:b/>
          <w:szCs w:val="24"/>
        </w:rPr>
      </w:pPr>
      <w:r w:rsidRPr="001453D6">
        <w:rPr>
          <w:b/>
          <w:szCs w:val="24"/>
        </w:rPr>
        <w:t xml:space="preserve">1.2 </w:t>
      </w:r>
      <w:r w:rsidR="00737D08" w:rsidRPr="001453D6">
        <w:rPr>
          <w:b/>
          <w:szCs w:val="24"/>
        </w:rPr>
        <w:t xml:space="preserve">DEFINITION DES COFFRAGES </w:t>
      </w:r>
    </w:p>
    <w:p w14:paraId="455D928C" w14:textId="77777777" w:rsidR="0051589D" w:rsidRPr="001453D6" w:rsidRDefault="0051589D" w:rsidP="0051589D">
      <w:pPr>
        <w:pStyle w:val="Paragraphedeliste"/>
        <w:spacing w:after="0"/>
        <w:ind w:firstLine="0"/>
        <w:rPr>
          <w:b/>
          <w:szCs w:val="24"/>
        </w:rPr>
      </w:pPr>
    </w:p>
    <w:p w14:paraId="65248D50" w14:textId="572F63DD" w:rsidR="00737D08" w:rsidRPr="001453D6" w:rsidRDefault="00DA0D9D" w:rsidP="00737D08">
      <w:pPr>
        <w:spacing w:after="0"/>
        <w:rPr>
          <w:b/>
          <w:szCs w:val="24"/>
        </w:rPr>
      </w:pPr>
      <w:r w:rsidRPr="001453D6">
        <w:rPr>
          <w:b/>
          <w:szCs w:val="24"/>
        </w:rPr>
        <w:t>1.</w:t>
      </w:r>
      <w:r w:rsidR="000224D2" w:rsidRPr="001453D6">
        <w:rPr>
          <w:b/>
          <w:szCs w:val="24"/>
        </w:rPr>
        <w:t>2</w:t>
      </w:r>
      <w:r w:rsidRPr="001453D6">
        <w:rPr>
          <w:b/>
          <w:szCs w:val="24"/>
        </w:rPr>
        <w:t>.1 IRREGULARITE</w:t>
      </w:r>
      <w:r w:rsidR="00737D08" w:rsidRPr="001453D6">
        <w:rPr>
          <w:b/>
          <w:szCs w:val="24"/>
        </w:rPr>
        <w:t xml:space="preserve"> SINGULIERE </w:t>
      </w:r>
    </w:p>
    <w:p w14:paraId="29E0996A" w14:textId="77777777" w:rsidR="0051589D" w:rsidRPr="001453D6" w:rsidRDefault="0051589D" w:rsidP="00737D08">
      <w:pPr>
        <w:spacing w:after="0"/>
        <w:rPr>
          <w:szCs w:val="24"/>
        </w:rPr>
      </w:pPr>
    </w:p>
    <w:p w14:paraId="464E20FC" w14:textId="22563274" w:rsidR="00737D08" w:rsidRPr="001453D6" w:rsidRDefault="00737D08" w:rsidP="00737D08">
      <w:pPr>
        <w:spacing w:after="0"/>
        <w:rPr>
          <w:szCs w:val="24"/>
        </w:rPr>
      </w:pPr>
      <w:r w:rsidRPr="001453D6">
        <w:rPr>
          <w:szCs w:val="24"/>
        </w:rPr>
        <w:t xml:space="preserve">Toute irrégularité localisée résultant d'un mauvais alignement, d'un déplacement </w:t>
      </w:r>
      <w:r w:rsidR="00DA0D9D" w:rsidRPr="001453D6">
        <w:rPr>
          <w:szCs w:val="24"/>
        </w:rPr>
        <w:t>relatif ou</w:t>
      </w:r>
      <w:r w:rsidRPr="001453D6">
        <w:rPr>
          <w:szCs w:val="24"/>
        </w:rPr>
        <w:t xml:space="preserve"> du mauvais état des coffrages ou de toute autre cause. Les irrégularités sont mesurées directement ou grâce à une règle ou gabarit de 20 cm de longueur. </w:t>
      </w:r>
    </w:p>
    <w:p w14:paraId="5E3FD315" w14:textId="43B93EBB" w:rsidR="00D426B5" w:rsidRPr="001453D6" w:rsidRDefault="00737D08" w:rsidP="00737D08">
      <w:pPr>
        <w:spacing w:after="0"/>
        <w:rPr>
          <w:szCs w:val="24"/>
        </w:rPr>
      </w:pPr>
      <w:r w:rsidRPr="001453D6">
        <w:rPr>
          <w:szCs w:val="24"/>
        </w:rPr>
        <w:t xml:space="preserve"> </w:t>
      </w:r>
    </w:p>
    <w:p w14:paraId="41EBE351" w14:textId="00C1DEC4" w:rsidR="00737D08" w:rsidRPr="001453D6" w:rsidRDefault="00737D08" w:rsidP="00737D08">
      <w:pPr>
        <w:spacing w:after="0"/>
        <w:rPr>
          <w:b/>
          <w:szCs w:val="24"/>
        </w:rPr>
      </w:pPr>
      <w:r w:rsidRPr="001453D6">
        <w:rPr>
          <w:b/>
          <w:szCs w:val="24"/>
        </w:rPr>
        <w:t>1.</w:t>
      </w:r>
      <w:r w:rsidR="000224D2" w:rsidRPr="001453D6">
        <w:rPr>
          <w:b/>
          <w:szCs w:val="24"/>
        </w:rPr>
        <w:t>2</w:t>
      </w:r>
      <w:r w:rsidRPr="001453D6">
        <w:rPr>
          <w:b/>
          <w:szCs w:val="24"/>
        </w:rPr>
        <w:t xml:space="preserve">.2   IRREGULARITE GRADUELLE </w:t>
      </w:r>
    </w:p>
    <w:p w14:paraId="117C7159" w14:textId="742E02EE" w:rsidR="00737D08" w:rsidRPr="001453D6" w:rsidRDefault="00737D08" w:rsidP="00DA0D9D">
      <w:pPr>
        <w:spacing w:after="0"/>
        <w:ind w:left="0" w:firstLine="0"/>
        <w:rPr>
          <w:szCs w:val="24"/>
        </w:rPr>
      </w:pPr>
      <w:r w:rsidRPr="001453D6">
        <w:rPr>
          <w:szCs w:val="24"/>
        </w:rPr>
        <w:t xml:space="preserve"> Toutes les autres irrégularités mesurées grâce à une règle pour les surfaces planes et un gabarit équivalent pour les surfaces courbes. La longueur de la règ</w:t>
      </w:r>
      <w:r w:rsidR="00DA0D9D" w:rsidRPr="001453D6">
        <w:rPr>
          <w:szCs w:val="24"/>
        </w:rPr>
        <w:t>le ou du gabarit est de 1.50 m.</w:t>
      </w:r>
    </w:p>
    <w:p w14:paraId="24335D3F" w14:textId="77777777" w:rsidR="00DA0D9D" w:rsidRPr="001453D6" w:rsidRDefault="00DA0D9D" w:rsidP="00737D08">
      <w:pPr>
        <w:spacing w:after="0"/>
        <w:rPr>
          <w:szCs w:val="24"/>
        </w:rPr>
      </w:pPr>
    </w:p>
    <w:p w14:paraId="6E150B6B" w14:textId="313B8696" w:rsidR="00737D08" w:rsidRPr="001453D6" w:rsidRDefault="00737D08" w:rsidP="00737D08">
      <w:pPr>
        <w:spacing w:after="0"/>
        <w:rPr>
          <w:szCs w:val="24"/>
        </w:rPr>
      </w:pPr>
      <w:r w:rsidRPr="001453D6">
        <w:rPr>
          <w:b/>
          <w:szCs w:val="24"/>
        </w:rPr>
        <w:t xml:space="preserve"> 1.</w:t>
      </w:r>
      <w:r w:rsidR="000224D2" w:rsidRPr="001453D6">
        <w:rPr>
          <w:b/>
          <w:szCs w:val="24"/>
        </w:rPr>
        <w:t>2</w:t>
      </w:r>
      <w:r w:rsidRPr="001453D6">
        <w:rPr>
          <w:b/>
          <w:szCs w:val="24"/>
        </w:rPr>
        <w:t>.3 CAS SPECIFIQUE</w:t>
      </w:r>
      <w:r w:rsidRPr="001453D6">
        <w:rPr>
          <w:szCs w:val="24"/>
        </w:rPr>
        <w:t xml:space="preserve"> </w:t>
      </w:r>
    </w:p>
    <w:p w14:paraId="3863E888" w14:textId="68935E6D" w:rsidR="00737D08" w:rsidRPr="001453D6" w:rsidRDefault="00737D08" w:rsidP="00DA0D9D">
      <w:pPr>
        <w:spacing w:after="0"/>
        <w:ind w:left="0" w:firstLine="0"/>
        <w:rPr>
          <w:szCs w:val="24"/>
        </w:rPr>
      </w:pPr>
      <w:r w:rsidRPr="001453D6">
        <w:rPr>
          <w:szCs w:val="24"/>
        </w:rPr>
        <w:t>Les nids de cailloux, perte de laitance et arrachage de la peau du béton ne sont pas considérés comme des irrégu</w:t>
      </w:r>
      <w:r w:rsidR="00DA0D9D" w:rsidRPr="001453D6">
        <w:rPr>
          <w:szCs w:val="24"/>
        </w:rPr>
        <w:t>larités mais comme des défauts.</w:t>
      </w:r>
    </w:p>
    <w:p w14:paraId="789A75A7" w14:textId="77777777" w:rsidR="00DA0D9D" w:rsidRPr="001453D6" w:rsidRDefault="00DA0D9D" w:rsidP="00DA0D9D">
      <w:pPr>
        <w:spacing w:after="0"/>
        <w:ind w:left="0" w:firstLine="0"/>
        <w:rPr>
          <w:szCs w:val="24"/>
        </w:rPr>
      </w:pPr>
    </w:p>
    <w:p w14:paraId="6BDC692B" w14:textId="243BB4B0" w:rsidR="00737D08" w:rsidRPr="001453D6" w:rsidRDefault="00737D08" w:rsidP="00737D08">
      <w:pPr>
        <w:spacing w:after="0"/>
        <w:rPr>
          <w:b/>
          <w:szCs w:val="24"/>
        </w:rPr>
      </w:pPr>
      <w:r w:rsidRPr="001453D6">
        <w:rPr>
          <w:b/>
          <w:szCs w:val="24"/>
        </w:rPr>
        <w:t xml:space="preserve"> 1.</w:t>
      </w:r>
      <w:r w:rsidR="000224D2" w:rsidRPr="001453D6">
        <w:rPr>
          <w:b/>
          <w:szCs w:val="24"/>
        </w:rPr>
        <w:t>2</w:t>
      </w:r>
      <w:r w:rsidRPr="001453D6">
        <w:rPr>
          <w:b/>
          <w:szCs w:val="24"/>
        </w:rPr>
        <w:t xml:space="preserve">.4 CLASSES DE PAREMENTS </w:t>
      </w:r>
    </w:p>
    <w:p w14:paraId="01BB8691" w14:textId="391921DE" w:rsidR="00737D08" w:rsidRPr="001453D6" w:rsidRDefault="00737D08" w:rsidP="00737D08">
      <w:pPr>
        <w:spacing w:after="0"/>
        <w:rPr>
          <w:szCs w:val="24"/>
        </w:rPr>
      </w:pPr>
      <w:r w:rsidRPr="001453D6">
        <w:rPr>
          <w:szCs w:val="24"/>
        </w:rPr>
        <w:t xml:space="preserve"> Classe 1: pour pare</w:t>
      </w:r>
      <w:r w:rsidR="00DA0D9D" w:rsidRPr="001453D6">
        <w:rPr>
          <w:szCs w:val="24"/>
        </w:rPr>
        <w:t>ments, cachés ou recouvrements,</w:t>
      </w:r>
    </w:p>
    <w:p w14:paraId="12262A8A" w14:textId="77777777" w:rsidR="00737D08" w:rsidRPr="001453D6" w:rsidRDefault="00737D08" w:rsidP="00737D08">
      <w:pPr>
        <w:spacing w:after="0"/>
        <w:rPr>
          <w:szCs w:val="24"/>
        </w:rPr>
      </w:pPr>
      <w:r w:rsidRPr="001453D6">
        <w:rPr>
          <w:szCs w:val="24"/>
        </w:rPr>
        <w:t xml:space="preserve"> Classe 2: finition courante pour parements exposés à la vue ou en contact avec un écoulement hydraulique. </w:t>
      </w:r>
    </w:p>
    <w:p w14:paraId="5D3ABD03" w14:textId="77777777" w:rsidR="00737D08" w:rsidRPr="001453D6" w:rsidRDefault="00737D08" w:rsidP="00737D08">
      <w:pPr>
        <w:spacing w:after="0"/>
        <w:rPr>
          <w:szCs w:val="24"/>
        </w:rPr>
      </w:pPr>
    </w:p>
    <w:p w14:paraId="3171F482" w14:textId="123B43C7" w:rsidR="00737D08" w:rsidRPr="001453D6" w:rsidRDefault="00737D08" w:rsidP="00737D08">
      <w:pPr>
        <w:spacing w:after="0"/>
        <w:rPr>
          <w:b/>
          <w:szCs w:val="24"/>
        </w:rPr>
      </w:pPr>
      <w:r w:rsidRPr="001453D6">
        <w:rPr>
          <w:b/>
          <w:szCs w:val="24"/>
        </w:rPr>
        <w:t xml:space="preserve"> 1.</w:t>
      </w:r>
      <w:r w:rsidR="000224D2" w:rsidRPr="001453D6">
        <w:rPr>
          <w:b/>
          <w:szCs w:val="24"/>
        </w:rPr>
        <w:t>2</w:t>
      </w:r>
      <w:r w:rsidRPr="001453D6">
        <w:rPr>
          <w:b/>
          <w:szCs w:val="24"/>
        </w:rPr>
        <w:t xml:space="preserve">.5 TOLERANCE D'ETAT DE SURFACE EN MILLIMETRES </w:t>
      </w:r>
    </w:p>
    <w:p w14:paraId="7BBDDF96" w14:textId="77777777" w:rsidR="00737D08" w:rsidRPr="001453D6" w:rsidRDefault="00737D08" w:rsidP="00737D08">
      <w:pPr>
        <w:spacing w:after="0"/>
        <w:rPr>
          <w:szCs w:val="24"/>
        </w:rPr>
      </w:pPr>
      <w:r w:rsidRPr="001453D6">
        <w:rPr>
          <w:szCs w:val="24"/>
        </w:rPr>
        <w:t xml:space="preserve">  Irrégularités </w:t>
      </w:r>
    </w:p>
    <w:p w14:paraId="3E377ED2" w14:textId="77777777" w:rsidR="00737D08" w:rsidRPr="001453D6" w:rsidRDefault="00737D08" w:rsidP="00737D08">
      <w:pPr>
        <w:spacing w:after="0"/>
        <w:rPr>
          <w:szCs w:val="24"/>
        </w:rPr>
      </w:pPr>
      <w:r w:rsidRPr="001453D6">
        <w:rPr>
          <w:szCs w:val="24"/>
        </w:rPr>
        <w:t xml:space="preserve">Classe de Parement 1 2 Singulière 6 3 Graduelle 15 7 </w:t>
      </w:r>
    </w:p>
    <w:p w14:paraId="7209058B" w14:textId="77777777" w:rsidR="00737D08" w:rsidRPr="001453D6" w:rsidRDefault="00737D08" w:rsidP="00737D08">
      <w:pPr>
        <w:spacing w:after="0"/>
        <w:rPr>
          <w:szCs w:val="24"/>
        </w:rPr>
      </w:pPr>
    </w:p>
    <w:p w14:paraId="5F269BBB" w14:textId="3DBB1972" w:rsidR="00737D08" w:rsidRPr="001453D6" w:rsidRDefault="00737D08" w:rsidP="00737D08">
      <w:pPr>
        <w:spacing w:after="0"/>
        <w:rPr>
          <w:b/>
          <w:szCs w:val="24"/>
        </w:rPr>
      </w:pPr>
      <w:r w:rsidRPr="001453D6">
        <w:rPr>
          <w:b/>
          <w:szCs w:val="24"/>
        </w:rPr>
        <w:t>1.</w:t>
      </w:r>
      <w:r w:rsidR="000224D2" w:rsidRPr="001453D6">
        <w:rPr>
          <w:b/>
          <w:szCs w:val="24"/>
        </w:rPr>
        <w:t>2</w:t>
      </w:r>
      <w:r w:rsidRPr="001453D6">
        <w:rPr>
          <w:b/>
          <w:szCs w:val="24"/>
        </w:rPr>
        <w:t xml:space="preserve">.6 TOLERANCE D'IMPLANTATION </w:t>
      </w:r>
    </w:p>
    <w:p w14:paraId="6731470C" w14:textId="77777777" w:rsidR="00737D08" w:rsidRPr="001453D6" w:rsidRDefault="00737D08" w:rsidP="00DA0D9D">
      <w:pPr>
        <w:spacing w:after="0"/>
        <w:ind w:left="0" w:firstLine="0"/>
        <w:rPr>
          <w:szCs w:val="24"/>
        </w:rPr>
      </w:pPr>
      <w:r w:rsidRPr="001453D6">
        <w:rPr>
          <w:szCs w:val="24"/>
        </w:rPr>
        <w:t xml:space="preserve">Les écarts d'implantation des parements en béton doivent être compatibles avec les fonctions de la structure considérées et des structures liées à celle-ci en particulier les fournitures mécaniques. Sous réserve de stipulation contraire les tolérances en plus ou en moins sont : </w:t>
      </w:r>
    </w:p>
    <w:p w14:paraId="687F89B3" w14:textId="77777777" w:rsidR="00737D08" w:rsidRPr="001453D6" w:rsidRDefault="00737D08" w:rsidP="002A45C1">
      <w:pPr>
        <w:pStyle w:val="Paragraphedeliste"/>
        <w:numPr>
          <w:ilvl w:val="0"/>
          <w:numId w:val="82"/>
        </w:numPr>
        <w:spacing w:after="0"/>
        <w:jc w:val="left"/>
        <w:rPr>
          <w:szCs w:val="24"/>
        </w:rPr>
      </w:pPr>
      <w:r w:rsidRPr="001453D6">
        <w:rPr>
          <w:szCs w:val="24"/>
        </w:rPr>
        <w:t xml:space="preserve"> sur toute dimension linéaire L en cm = T cm = 0,25 x 3 </w:t>
      </w:r>
      <w:proofErr w:type="spellStart"/>
      <w:r w:rsidRPr="001453D6">
        <w:rPr>
          <w:szCs w:val="24"/>
        </w:rPr>
        <w:t>Vl</w:t>
      </w:r>
      <w:proofErr w:type="spellEnd"/>
      <w:r w:rsidRPr="001453D6">
        <w:rPr>
          <w:szCs w:val="24"/>
        </w:rPr>
        <w:t xml:space="preserve">) avec une borne inférieure de         0,5 cm. </w:t>
      </w:r>
    </w:p>
    <w:p w14:paraId="7FD278E8" w14:textId="77777777" w:rsidR="00737D08" w:rsidRPr="001453D6" w:rsidRDefault="00737D08" w:rsidP="002A45C1">
      <w:pPr>
        <w:pStyle w:val="Paragraphedeliste"/>
        <w:numPr>
          <w:ilvl w:val="0"/>
          <w:numId w:val="82"/>
        </w:numPr>
        <w:spacing w:after="0"/>
        <w:jc w:val="left"/>
        <w:rPr>
          <w:szCs w:val="24"/>
        </w:rPr>
      </w:pPr>
      <w:r w:rsidRPr="001453D6">
        <w:rPr>
          <w:szCs w:val="24"/>
        </w:rPr>
        <w:t xml:space="preserve">sur la verticalité: 0,5% de la hauteur avec un maximum de 5 % de l'épaisseur du mur et une borne supérieure de 3 cm, </w:t>
      </w:r>
    </w:p>
    <w:p w14:paraId="4875572A" w14:textId="77777777" w:rsidR="00737D08" w:rsidRPr="001453D6" w:rsidRDefault="00737D08" w:rsidP="002A45C1">
      <w:pPr>
        <w:pStyle w:val="Paragraphedeliste"/>
        <w:numPr>
          <w:ilvl w:val="0"/>
          <w:numId w:val="82"/>
        </w:numPr>
        <w:spacing w:after="0"/>
        <w:jc w:val="left"/>
        <w:rPr>
          <w:szCs w:val="24"/>
        </w:rPr>
      </w:pPr>
      <w:r w:rsidRPr="001453D6">
        <w:rPr>
          <w:szCs w:val="24"/>
        </w:rPr>
        <w:t xml:space="preserve"> sur les alignements et pentes: 0,5%, </w:t>
      </w:r>
      <w:r w:rsidRPr="001453D6">
        <w:rPr>
          <w:szCs w:val="24"/>
        </w:rPr>
        <w:t xml:space="preserve"> sur l'implantation par rapport aux repères remis à l'Entrepreneur = 5 cm, </w:t>
      </w:r>
      <w:r w:rsidRPr="001453D6">
        <w:rPr>
          <w:szCs w:val="24"/>
        </w:rPr>
        <w:t xml:space="preserve"> en niveau: ± 1 cm. </w:t>
      </w:r>
    </w:p>
    <w:p w14:paraId="637BAD50" w14:textId="39CC3C84" w:rsidR="0051589D" w:rsidRPr="001453D6" w:rsidRDefault="00737D08" w:rsidP="00737D08">
      <w:pPr>
        <w:spacing w:after="0"/>
        <w:rPr>
          <w:szCs w:val="24"/>
        </w:rPr>
      </w:pPr>
      <w:r w:rsidRPr="001453D6">
        <w:rPr>
          <w:szCs w:val="24"/>
        </w:rPr>
        <w:t xml:space="preserve"> </w:t>
      </w:r>
    </w:p>
    <w:p w14:paraId="363E57FF" w14:textId="7C2243D3" w:rsidR="00737D08" w:rsidRPr="001453D6" w:rsidRDefault="000224D2" w:rsidP="00737D08">
      <w:pPr>
        <w:spacing w:after="0"/>
        <w:rPr>
          <w:b/>
          <w:szCs w:val="24"/>
        </w:rPr>
      </w:pPr>
      <w:r w:rsidRPr="001453D6">
        <w:rPr>
          <w:b/>
          <w:szCs w:val="24"/>
        </w:rPr>
        <w:t>1.3</w:t>
      </w:r>
      <w:r w:rsidR="00737D08" w:rsidRPr="001453D6">
        <w:rPr>
          <w:b/>
          <w:szCs w:val="24"/>
        </w:rPr>
        <w:t xml:space="preserve"> NORMES ET REGLEMENT </w:t>
      </w:r>
    </w:p>
    <w:p w14:paraId="10C2ABA1" w14:textId="77777777" w:rsidR="00737D08" w:rsidRPr="001453D6" w:rsidRDefault="00737D08" w:rsidP="00737D08">
      <w:pPr>
        <w:spacing w:after="0"/>
        <w:rPr>
          <w:b/>
          <w:szCs w:val="24"/>
        </w:rPr>
      </w:pPr>
      <w:r w:rsidRPr="001453D6">
        <w:rPr>
          <w:b/>
          <w:szCs w:val="24"/>
        </w:rPr>
        <w:t xml:space="preserve">a. Normes </w:t>
      </w:r>
    </w:p>
    <w:p w14:paraId="173EF8BC" w14:textId="77777777" w:rsidR="00737D08" w:rsidRPr="001453D6" w:rsidRDefault="00737D08" w:rsidP="00737D08">
      <w:pPr>
        <w:spacing w:after="0"/>
        <w:rPr>
          <w:szCs w:val="24"/>
        </w:rPr>
      </w:pPr>
      <w:r w:rsidRPr="001453D6">
        <w:rPr>
          <w:szCs w:val="24"/>
        </w:rPr>
        <w:t xml:space="preserve">1. NF P 15-301 Définitions, classification et spécifications des ciments </w:t>
      </w:r>
    </w:p>
    <w:p w14:paraId="65D91571" w14:textId="77777777" w:rsidR="00737D08" w:rsidRPr="001453D6" w:rsidRDefault="00737D08" w:rsidP="00737D08">
      <w:pPr>
        <w:spacing w:after="0"/>
        <w:rPr>
          <w:szCs w:val="24"/>
        </w:rPr>
      </w:pPr>
      <w:r w:rsidRPr="001453D6">
        <w:rPr>
          <w:szCs w:val="24"/>
        </w:rPr>
        <w:t xml:space="preserve">2. NF P 15-431 Liants hydrauliques - Essais de prise </w:t>
      </w:r>
    </w:p>
    <w:p w14:paraId="54188563" w14:textId="77777777" w:rsidR="00737D08" w:rsidRPr="001453D6" w:rsidRDefault="00737D08" w:rsidP="00737D08">
      <w:pPr>
        <w:spacing w:after="0"/>
        <w:rPr>
          <w:szCs w:val="24"/>
        </w:rPr>
      </w:pPr>
      <w:r w:rsidRPr="001453D6">
        <w:rPr>
          <w:szCs w:val="24"/>
        </w:rPr>
        <w:t xml:space="preserve">3. NF P 15-451 Liants hydrauliques-Techniques des essais, essais mécaniques </w:t>
      </w:r>
    </w:p>
    <w:p w14:paraId="4BC21209" w14:textId="77777777" w:rsidR="00737D08" w:rsidRPr="001453D6" w:rsidRDefault="00737D08" w:rsidP="00737D08">
      <w:pPr>
        <w:spacing w:after="0"/>
        <w:rPr>
          <w:szCs w:val="24"/>
        </w:rPr>
      </w:pPr>
      <w:r w:rsidRPr="001453D6">
        <w:rPr>
          <w:szCs w:val="24"/>
        </w:rPr>
        <w:t xml:space="preserve">4. NF P 18-101 Granulats - Vocabulaire - Définitions Classification </w:t>
      </w:r>
    </w:p>
    <w:p w14:paraId="6F3AD2C3" w14:textId="77777777" w:rsidR="00737D08" w:rsidRPr="001453D6" w:rsidRDefault="00737D08" w:rsidP="00737D08">
      <w:pPr>
        <w:spacing w:after="0"/>
        <w:rPr>
          <w:szCs w:val="24"/>
        </w:rPr>
      </w:pPr>
      <w:r w:rsidRPr="001453D6">
        <w:rPr>
          <w:szCs w:val="24"/>
        </w:rPr>
        <w:t xml:space="preserve">5. DTU P  18-201 Exécution des travaux en béton </w:t>
      </w:r>
    </w:p>
    <w:p w14:paraId="3EB46778" w14:textId="77777777" w:rsidR="00737D08" w:rsidRPr="001453D6" w:rsidRDefault="00737D08" w:rsidP="00737D08">
      <w:pPr>
        <w:spacing w:after="0"/>
        <w:rPr>
          <w:szCs w:val="24"/>
        </w:rPr>
      </w:pPr>
      <w:r w:rsidRPr="001453D6">
        <w:rPr>
          <w:szCs w:val="24"/>
        </w:rPr>
        <w:t xml:space="preserve">6. NF P 18-301 Granulats - Granulats naturels pour hydrauliques </w:t>
      </w:r>
    </w:p>
    <w:p w14:paraId="29F23E56" w14:textId="77777777" w:rsidR="00737D08" w:rsidRPr="001453D6" w:rsidRDefault="00737D08" w:rsidP="00737D08">
      <w:pPr>
        <w:spacing w:after="0"/>
        <w:rPr>
          <w:szCs w:val="24"/>
        </w:rPr>
      </w:pPr>
      <w:r w:rsidRPr="001453D6">
        <w:rPr>
          <w:szCs w:val="24"/>
        </w:rPr>
        <w:t xml:space="preserve">7. NF P 18-303 Eau de gâchage pour béton de construction </w:t>
      </w:r>
    </w:p>
    <w:p w14:paraId="4D4E379E" w14:textId="77777777" w:rsidR="00737D08" w:rsidRPr="001453D6" w:rsidRDefault="00737D08" w:rsidP="00737D08">
      <w:pPr>
        <w:spacing w:after="0"/>
        <w:rPr>
          <w:szCs w:val="24"/>
        </w:rPr>
      </w:pPr>
      <w:r w:rsidRPr="001453D6">
        <w:rPr>
          <w:szCs w:val="24"/>
        </w:rPr>
        <w:t xml:space="preserve">8. NF P 18-304 Granulométrie des granulats </w:t>
      </w:r>
    </w:p>
    <w:p w14:paraId="4CB88216" w14:textId="77777777" w:rsidR="00737D08" w:rsidRPr="001453D6" w:rsidRDefault="00737D08" w:rsidP="00737D08">
      <w:pPr>
        <w:spacing w:after="0"/>
        <w:rPr>
          <w:szCs w:val="24"/>
        </w:rPr>
      </w:pPr>
      <w:r w:rsidRPr="001453D6">
        <w:rPr>
          <w:szCs w:val="24"/>
        </w:rPr>
        <w:t xml:space="preserve">9. NF P 18-400 Bétons - Moules pour éprouvettes cylindriques et prismatiques </w:t>
      </w:r>
    </w:p>
    <w:p w14:paraId="5D637017" w14:textId="77777777" w:rsidR="00737D08" w:rsidRPr="001453D6" w:rsidRDefault="00737D08" w:rsidP="00737D08">
      <w:pPr>
        <w:spacing w:after="0"/>
        <w:rPr>
          <w:szCs w:val="24"/>
        </w:rPr>
      </w:pPr>
      <w:r w:rsidRPr="001453D6">
        <w:rPr>
          <w:szCs w:val="24"/>
        </w:rPr>
        <w:t xml:space="preserve">10. NF P 18-404 Béton - essais d'étude, de convenance et de contrôle - Confection et conservation des éprouvettes </w:t>
      </w:r>
    </w:p>
    <w:p w14:paraId="4AD003FD" w14:textId="77777777" w:rsidR="00737D08" w:rsidRPr="001453D6" w:rsidRDefault="00737D08" w:rsidP="00737D08">
      <w:pPr>
        <w:spacing w:after="0"/>
        <w:rPr>
          <w:szCs w:val="24"/>
        </w:rPr>
      </w:pPr>
      <w:r w:rsidRPr="001453D6">
        <w:rPr>
          <w:szCs w:val="24"/>
        </w:rPr>
        <w:t xml:space="preserve">11. NF P 18-406 Béton - Essai de compression </w:t>
      </w:r>
    </w:p>
    <w:p w14:paraId="2935CE63" w14:textId="77777777" w:rsidR="00737D08" w:rsidRPr="001453D6" w:rsidRDefault="00737D08" w:rsidP="00737D08">
      <w:pPr>
        <w:spacing w:after="0"/>
        <w:rPr>
          <w:szCs w:val="24"/>
        </w:rPr>
      </w:pPr>
      <w:r w:rsidRPr="001453D6">
        <w:rPr>
          <w:szCs w:val="24"/>
        </w:rPr>
        <w:t xml:space="preserve">12. NF P  18-451 Béton - Essai d'affaissement </w:t>
      </w:r>
    </w:p>
    <w:p w14:paraId="103B7EC4" w14:textId="77777777" w:rsidR="00737D08" w:rsidRPr="001453D6" w:rsidRDefault="00737D08" w:rsidP="00737D08">
      <w:pPr>
        <w:spacing w:after="0"/>
        <w:rPr>
          <w:szCs w:val="24"/>
        </w:rPr>
      </w:pPr>
      <w:r w:rsidRPr="001453D6">
        <w:rPr>
          <w:szCs w:val="24"/>
        </w:rPr>
        <w:t xml:space="preserve">13. NF P  18-553 Granulats - Préparation sur échantillon pour essais </w:t>
      </w:r>
    </w:p>
    <w:p w14:paraId="557ACDAA" w14:textId="77777777" w:rsidR="00737D08" w:rsidRPr="001453D6" w:rsidRDefault="00737D08" w:rsidP="00737D08">
      <w:pPr>
        <w:spacing w:after="0"/>
        <w:rPr>
          <w:szCs w:val="24"/>
        </w:rPr>
      </w:pPr>
      <w:r w:rsidRPr="001453D6">
        <w:rPr>
          <w:szCs w:val="24"/>
        </w:rPr>
        <w:t xml:space="preserve">14. NF P 18-554 Granulats - Mesures des masses volumiques, porosité, coefficient d'absorption et teneur en eau des gravillons et cailloux </w:t>
      </w:r>
    </w:p>
    <w:p w14:paraId="6330CFE4" w14:textId="77777777" w:rsidR="00737D08" w:rsidRPr="001453D6" w:rsidRDefault="00737D08" w:rsidP="00737D08">
      <w:pPr>
        <w:spacing w:after="0"/>
        <w:rPr>
          <w:szCs w:val="24"/>
        </w:rPr>
      </w:pPr>
      <w:r w:rsidRPr="001453D6">
        <w:rPr>
          <w:szCs w:val="24"/>
        </w:rPr>
        <w:t xml:space="preserve">15. NF P 18-556 Granules - Détermination de l'indice de continuité </w:t>
      </w:r>
    </w:p>
    <w:p w14:paraId="62A45590" w14:textId="77777777" w:rsidR="00737D08" w:rsidRPr="001453D6" w:rsidRDefault="00737D08" w:rsidP="00737D08">
      <w:pPr>
        <w:spacing w:after="0"/>
        <w:rPr>
          <w:szCs w:val="24"/>
        </w:rPr>
      </w:pPr>
      <w:r w:rsidRPr="001453D6">
        <w:rPr>
          <w:szCs w:val="24"/>
        </w:rPr>
        <w:t xml:space="preserve">16. NF P 18-560 Granulats - Analyse granulométrique par tamisage </w:t>
      </w:r>
    </w:p>
    <w:p w14:paraId="55735931" w14:textId="77777777" w:rsidR="00737D08" w:rsidRPr="001453D6" w:rsidRDefault="00737D08" w:rsidP="00737D08">
      <w:pPr>
        <w:spacing w:after="0"/>
        <w:rPr>
          <w:szCs w:val="24"/>
        </w:rPr>
      </w:pPr>
      <w:r w:rsidRPr="001453D6">
        <w:rPr>
          <w:szCs w:val="24"/>
        </w:rPr>
        <w:t xml:space="preserve">17. NF P 18-586 Granulats - Mise en évidence de matières organiques par calorimétrie </w:t>
      </w:r>
    </w:p>
    <w:p w14:paraId="45318B83" w14:textId="77777777" w:rsidR="00737D08" w:rsidRPr="001453D6" w:rsidRDefault="00737D08" w:rsidP="00737D08">
      <w:pPr>
        <w:spacing w:after="0"/>
        <w:rPr>
          <w:szCs w:val="24"/>
        </w:rPr>
      </w:pPr>
      <w:r w:rsidRPr="001453D6">
        <w:rPr>
          <w:szCs w:val="24"/>
        </w:rPr>
        <w:t xml:space="preserve">18. NF P 18-598 Granulats - Equivalent de sable </w:t>
      </w:r>
    </w:p>
    <w:p w14:paraId="18C1EAD9" w14:textId="77777777" w:rsidR="00737D08" w:rsidRPr="001453D6" w:rsidRDefault="00737D08" w:rsidP="00737D08">
      <w:pPr>
        <w:spacing w:after="0"/>
        <w:rPr>
          <w:szCs w:val="24"/>
        </w:rPr>
      </w:pPr>
      <w:r w:rsidRPr="001453D6">
        <w:rPr>
          <w:szCs w:val="24"/>
        </w:rPr>
        <w:t xml:space="preserve">19. NF P 35-015 Armatures pour béton armé (ronds lisses) - Qualités </w:t>
      </w:r>
    </w:p>
    <w:p w14:paraId="625B3A88" w14:textId="77777777" w:rsidR="00737D08" w:rsidRPr="001453D6" w:rsidRDefault="00737D08" w:rsidP="00737D08">
      <w:pPr>
        <w:spacing w:after="0"/>
        <w:rPr>
          <w:szCs w:val="24"/>
        </w:rPr>
      </w:pPr>
      <w:r w:rsidRPr="001453D6">
        <w:rPr>
          <w:szCs w:val="24"/>
        </w:rPr>
        <w:t xml:space="preserve">20. NF P 35-016 Armatures pour béton armé (barres à haute adhérence) - Quantités. </w:t>
      </w:r>
    </w:p>
    <w:p w14:paraId="60E159FB" w14:textId="77777777" w:rsidR="00737D08" w:rsidRPr="001453D6" w:rsidRDefault="00737D08" w:rsidP="00737D08">
      <w:pPr>
        <w:spacing w:after="0"/>
        <w:rPr>
          <w:szCs w:val="24"/>
        </w:rPr>
      </w:pPr>
    </w:p>
    <w:p w14:paraId="4045E593" w14:textId="77777777" w:rsidR="00737D08" w:rsidRPr="001453D6" w:rsidRDefault="00737D08" w:rsidP="00737D08">
      <w:pPr>
        <w:spacing w:after="0"/>
        <w:rPr>
          <w:b/>
          <w:szCs w:val="24"/>
        </w:rPr>
      </w:pPr>
      <w:r w:rsidRPr="001453D6">
        <w:rPr>
          <w:b/>
          <w:szCs w:val="24"/>
        </w:rPr>
        <w:t xml:space="preserve">b. Règlement </w:t>
      </w:r>
    </w:p>
    <w:p w14:paraId="548507C0" w14:textId="77777777" w:rsidR="00737D08" w:rsidRPr="001453D6" w:rsidRDefault="00737D08" w:rsidP="002A45C1">
      <w:pPr>
        <w:pStyle w:val="Paragraphedeliste"/>
        <w:numPr>
          <w:ilvl w:val="0"/>
          <w:numId w:val="99"/>
        </w:numPr>
        <w:spacing w:after="0"/>
        <w:jc w:val="left"/>
        <w:rPr>
          <w:szCs w:val="24"/>
        </w:rPr>
      </w:pPr>
      <w:r w:rsidRPr="001453D6">
        <w:rPr>
          <w:szCs w:val="24"/>
        </w:rPr>
        <w:t xml:space="preserve">Fascicule 2 du CCTG français - Fourniture de liants hydrauliques, </w:t>
      </w:r>
    </w:p>
    <w:p w14:paraId="0E87384E" w14:textId="77777777" w:rsidR="00737D08" w:rsidRPr="001453D6" w:rsidRDefault="00737D08" w:rsidP="002A45C1">
      <w:pPr>
        <w:pStyle w:val="Paragraphedeliste"/>
        <w:numPr>
          <w:ilvl w:val="0"/>
          <w:numId w:val="99"/>
        </w:numPr>
        <w:spacing w:after="0"/>
        <w:jc w:val="left"/>
        <w:rPr>
          <w:szCs w:val="24"/>
        </w:rPr>
      </w:pPr>
      <w:r w:rsidRPr="001453D6">
        <w:rPr>
          <w:szCs w:val="24"/>
        </w:rPr>
        <w:t xml:space="preserve">Fascicule 3 du CCTG français - Fourniture d'acier et autre métaux - Armatures pour béton armé, </w:t>
      </w:r>
    </w:p>
    <w:p w14:paraId="7487BCDC" w14:textId="77777777" w:rsidR="00737D08" w:rsidRPr="001453D6" w:rsidRDefault="00737D08" w:rsidP="002A45C1">
      <w:pPr>
        <w:pStyle w:val="Paragraphedeliste"/>
        <w:numPr>
          <w:ilvl w:val="0"/>
          <w:numId w:val="99"/>
        </w:numPr>
        <w:spacing w:after="0"/>
        <w:jc w:val="left"/>
        <w:rPr>
          <w:szCs w:val="24"/>
        </w:rPr>
      </w:pPr>
      <w:r w:rsidRPr="001453D6">
        <w:rPr>
          <w:szCs w:val="24"/>
        </w:rPr>
        <w:t>Fascicule 63 du CPC français - Exécution et mise en œuvre des bétons non armés, confections des mortiers,</w:t>
      </w:r>
    </w:p>
    <w:p w14:paraId="16652A6D" w14:textId="77777777" w:rsidR="00737D08" w:rsidRPr="001453D6" w:rsidRDefault="00737D08" w:rsidP="002A45C1">
      <w:pPr>
        <w:pStyle w:val="Paragraphedeliste"/>
        <w:numPr>
          <w:ilvl w:val="0"/>
          <w:numId w:val="99"/>
        </w:numPr>
        <w:spacing w:after="0"/>
        <w:jc w:val="left"/>
        <w:rPr>
          <w:szCs w:val="24"/>
        </w:rPr>
      </w:pPr>
      <w:r w:rsidRPr="001453D6">
        <w:rPr>
          <w:szCs w:val="24"/>
        </w:rPr>
        <w:t xml:space="preserve">Fascicule 65 (M) du CPC français - Exécution des ouvrages de génie civil en béton armé ou précontraint, </w:t>
      </w:r>
    </w:p>
    <w:p w14:paraId="42195DA8" w14:textId="77777777" w:rsidR="00737D08" w:rsidRPr="001453D6" w:rsidRDefault="00737D08" w:rsidP="002A45C1">
      <w:pPr>
        <w:pStyle w:val="Paragraphedeliste"/>
        <w:numPr>
          <w:ilvl w:val="0"/>
          <w:numId w:val="99"/>
        </w:numPr>
        <w:spacing w:after="0"/>
        <w:jc w:val="left"/>
        <w:rPr>
          <w:szCs w:val="24"/>
        </w:rPr>
      </w:pPr>
      <w:r w:rsidRPr="001453D6">
        <w:rPr>
          <w:szCs w:val="24"/>
        </w:rPr>
        <w:t xml:space="preserve">Fascicule 68, Titre 1er du CPC français - Exécution des travaux de fondation d'ouvrages.  </w:t>
      </w:r>
    </w:p>
    <w:p w14:paraId="622AC980" w14:textId="77777777" w:rsidR="00737D08" w:rsidRPr="001453D6" w:rsidRDefault="00737D08" w:rsidP="00737D08">
      <w:pPr>
        <w:spacing w:after="0"/>
        <w:rPr>
          <w:szCs w:val="24"/>
        </w:rPr>
      </w:pPr>
    </w:p>
    <w:p w14:paraId="1E811AAE" w14:textId="2EB55C74" w:rsidR="00737D08" w:rsidRPr="001453D6" w:rsidRDefault="000224D2" w:rsidP="00737D08">
      <w:pPr>
        <w:spacing w:after="0"/>
        <w:rPr>
          <w:b/>
          <w:szCs w:val="24"/>
        </w:rPr>
      </w:pPr>
      <w:r w:rsidRPr="001453D6">
        <w:rPr>
          <w:b/>
          <w:szCs w:val="24"/>
        </w:rPr>
        <w:t>1.4</w:t>
      </w:r>
      <w:r w:rsidR="00737D08" w:rsidRPr="001453D6">
        <w:rPr>
          <w:b/>
          <w:szCs w:val="24"/>
        </w:rPr>
        <w:t xml:space="preserve"> DOCUMENTS A REMETTRE </w:t>
      </w:r>
    </w:p>
    <w:p w14:paraId="5837B92A" w14:textId="77777777" w:rsidR="0051589D" w:rsidRPr="001453D6" w:rsidRDefault="0051589D" w:rsidP="00737D08">
      <w:pPr>
        <w:spacing w:after="0"/>
        <w:rPr>
          <w:szCs w:val="24"/>
        </w:rPr>
      </w:pPr>
    </w:p>
    <w:p w14:paraId="58141F2B" w14:textId="77777777" w:rsidR="00DA0D9D" w:rsidRPr="001453D6" w:rsidRDefault="00737D08" w:rsidP="00DA0D9D">
      <w:pPr>
        <w:spacing w:after="0"/>
        <w:ind w:left="0" w:firstLine="0"/>
        <w:rPr>
          <w:szCs w:val="24"/>
        </w:rPr>
      </w:pPr>
      <w:r w:rsidRPr="001453D6">
        <w:rPr>
          <w:szCs w:val="24"/>
        </w:rPr>
        <w:t xml:space="preserve">Ciment, </w:t>
      </w:r>
      <w:r w:rsidR="009D01ED" w:rsidRPr="001453D6">
        <w:rPr>
          <w:szCs w:val="24"/>
        </w:rPr>
        <w:t>procès-verbal</w:t>
      </w:r>
      <w:r w:rsidRPr="001453D6">
        <w:rPr>
          <w:szCs w:val="24"/>
        </w:rPr>
        <w:t xml:space="preserve"> d'essais du ciment en cimenterie, </w:t>
      </w:r>
    </w:p>
    <w:p w14:paraId="5222DEA0" w14:textId="4D91155E" w:rsidR="00DA0D9D" w:rsidRPr="001453D6" w:rsidRDefault="00DA0D9D" w:rsidP="00DA0D9D">
      <w:pPr>
        <w:spacing w:after="0"/>
        <w:ind w:left="0" w:firstLine="0"/>
        <w:rPr>
          <w:szCs w:val="24"/>
        </w:rPr>
      </w:pPr>
      <w:r w:rsidRPr="001453D6">
        <w:rPr>
          <w:szCs w:val="24"/>
        </w:rPr>
        <w:t>Granulats :</w:t>
      </w:r>
      <w:r w:rsidR="00737D08" w:rsidRPr="001453D6">
        <w:rPr>
          <w:szCs w:val="24"/>
        </w:rPr>
        <w:t xml:space="preserve"> dossier d'essais, </w:t>
      </w:r>
    </w:p>
    <w:p w14:paraId="59E93D42" w14:textId="04432C15" w:rsidR="00737D08" w:rsidRPr="001453D6" w:rsidRDefault="00DA0D9D" w:rsidP="00DA0D9D">
      <w:pPr>
        <w:spacing w:after="0"/>
        <w:ind w:left="0" w:firstLine="0"/>
        <w:rPr>
          <w:szCs w:val="24"/>
        </w:rPr>
      </w:pPr>
      <w:r w:rsidRPr="001453D6">
        <w:rPr>
          <w:szCs w:val="24"/>
        </w:rPr>
        <w:t>Adjuvants : fiches d'agrément de la COPLA,</w:t>
      </w:r>
    </w:p>
    <w:p w14:paraId="0E43F369" w14:textId="0983E0EA" w:rsidR="00737D08" w:rsidRPr="001453D6" w:rsidRDefault="00DA0D9D" w:rsidP="00737D08">
      <w:pPr>
        <w:spacing w:after="0"/>
        <w:rPr>
          <w:szCs w:val="24"/>
        </w:rPr>
      </w:pPr>
      <w:r w:rsidRPr="001453D6">
        <w:rPr>
          <w:szCs w:val="24"/>
        </w:rPr>
        <w:t>Béton :</w:t>
      </w:r>
      <w:r w:rsidR="00737D08" w:rsidRPr="001453D6">
        <w:rPr>
          <w:szCs w:val="24"/>
        </w:rPr>
        <w:t xml:space="preserve"> dossier d'essais : Résultats des épreuves d'étude de convenance, Résultats des épreuves de contrôle </w:t>
      </w:r>
    </w:p>
    <w:p w14:paraId="5FDDB7E4" w14:textId="1C5B65E3" w:rsidR="00737D08" w:rsidRPr="001453D6" w:rsidRDefault="00737D08" w:rsidP="00737D08">
      <w:pPr>
        <w:spacing w:after="0"/>
        <w:rPr>
          <w:szCs w:val="24"/>
        </w:rPr>
      </w:pPr>
      <w:r w:rsidRPr="001453D6">
        <w:rPr>
          <w:szCs w:val="24"/>
        </w:rPr>
        <w:t xml:space="preserve"> </w:t>
      </w:r>
      <w:r w:rsidR="00DA0D9D" w:rsidRPr="001453D6">
        <w:rPr>
          <w:szCs w:val="24"/>
        </w:rPr>
        <w:t>Coffrage :</w:t>
      </w:r>
      <w:r w:rsidRPr="001453D6">
        <w:rPr>
          <w:szCs w:val="24"/>
        </w:rPr>
        <w:t xml:space="preserve"> plan d'exécution des coffrages et étaiements pour information à l'Ingénieur, </w:t>
      </w:r>
    </w:p>
    <w:p w14:paraId="57E4A13C" w14:textId="77777777" w:rsidR="00737D08" w:rsidRPr="001453D6" w:rsidRDefault="00737D08" w:rsidP="00737D08">
      <w:pPr>
        <w:spacing w:after="0"/>
        <w:rPr>
          <w:szCs w:val="24"/>
        </w:rPr>
      </w:pPr>
      <w:r w:rsidRPr="001453D6">
        <w:rPr>
          <w:szCs w:val="24"/>
        </w:rPr>
        <w:t xml:space="preserve"> Armatures pour béton armé : </w:t>
      </w:r>
    </w:p>
    <w:p w14:paraId="790A5ADA" w14:textId="77777777" w:rsidR="00737D08" w:rsidRPr="001453D6" w:rsidRDefault="00737D08" w:rsidP="002A45C1">
      <w:pPr>
        <w:pStyle w:val="Paragraphedeliste"/>
        <w:numPr>
          <w:ilvl w:val="0"/>
          <w:numId w:val="97"/>
        </w:numPr>
        <w:spacing w:after="0"/>
        <w:jc w:val="left"/>
        <w:rPr>
          <w:szCs w:val="24"/>
        </w:rPr>
      </w:pPr>
      <w:r w:rsidRPr="001453D6">
        <w:rPr>
          <w:szCs w:val="24"/>
        </w:rPr>
        <w:t xml:space="preserve">Certificat d'essais du Fabricant,  </w:t>
      </w:r>
    </w:p>
    <w:p w14:paraId="1D4C5828" w14:textId="77777777" w:rsidR="00737D08" w:rsidRPr="001453D6" w:rsidRDefault="00737D08" w:rsidP="002A45C1">
      <w:pPr>
        <w:pStyle w:val="Paragraphedeliste"/>
        <w:numPr>
          <w:ilvl w:val="0"/>
          <w:numId w:val="97"/>
        </w:numPr>
        <w:spacing w:after="0"/>
        <w:jc w:val="left"/>
        <w:rPr>
          <w:szCs w:val="24"/>
        </w:rPr>
      </w:pPr>
      <w:r w:rsidRPr="001453D6">
        <w:rPr>
          <w:szCs w:val="24"/>
        </w:rPr>
        <w:t xml:space="preserve">Plan et cahier de ferraillage </w:t>
      </w:r>
    </w:p>
    <w:p w14:paraId="483AF011" w14:textId="77777777" w:rsidR="0051589D" w:rsidRPr="001453D6" w:rsidRDefault="00737D08" w:rsidP="00737D08">
      <w:pPr>
        <w:spacing w:after="0"/>
        <w:rPr>
          <w:b/>
          <w:szCs w:val="24"/>
        </w:rPr>
      </w:pPr>
      <w:r w:rsidRPr="001453D6">
        <w:rPr>
          <w:b/>
          <w:szCs w:val="24"/>
        </w:rPr>
        <w:t xml:space="preserve"> </w:t>
      </w:r>
    </w:p>
    <w:p w14:paraId="14DEACDB" w14:textId="77740786" w:rsidR="00737D08" w:rsidRPr="001453D6" w:rsidRDefault="000224D2" w:rsidP="00737D08">
      <w:pPr>
        <w:spacing w:after="0"/>
        <w:rPr>
          <w:b/>
          <w:szCs w:val="24"/>
        </w:rPr>
      </w:pPr>
      <w:r w:rsidRPr="001453D6">
        <w:rPr>
          <w:b/>
          <w:szCs w:val="24"/>
        </w:rPr>
        <w:t>1.5</w:t>
      </w:r>
      <w:r w:rsidR="00737D08" w:rsidRPr="001453D6">
        <w:rPr>
          <w:b/>
          <w:szCs w:val="24"/>
        </w:rPr>
        <w:t xml:space="preserve"> CIMENT </w:t>
      </w:r>
    </w:p>
    <w:p w14:paraId="3D9A1B7C" w14:textId="77777777" w:rsidR="00737D08" w:rsidRPr="001453D6" w:rsidRDefault="00737D08" w:rsidP="00737D08">
      <w:pPr>
        <w:spacing w:after="0"/>
        <w:rPr>
          <w:b/>
          <w:szCs w:val="24"/>
        </w:rPr>
      </w:pPr>
      <w:r w:rsidRPr="001453D6">
        <w:rPr>
          <w:b/>
          <w:szCs w:val="24"/>
        </w:rPr>
        <w:t xml:space="preserve"> a. Qualité </w:t>
      </w:r>
    </w:p>
    <w:p w14:paraId="5C1D3A4A" w14:textId="77777777" w:rsidR="00737D08" w:rsidRPr="001453D6" w:rsidRDefault="00737D08" w:rsidP="002A45C1">
      <w:pPr>
        <w:pStyle w:val="Paragraphedeliste"/>
        <w:numPr>
          <w:ilvl w:val="0"/>
          <w:numId w:val="98"/>
        </w:numPr>
        <w:spacing w:after="0"/>
        <w:jc w:val="left"/>
        <w:rPr>
          <w:szCs w:val="24"/>
        </w:rPr>
      </w:pPr>
      <w:r w:rsidRPr="001453D6">
        <w:rPr>
          <w:szCs w:val="24"/>
        </w:rPr>
        <w:t xml:space="preserve">Le ciment sera du type Portland CPA 45 ou CPJ 45, conforme à la norme NF P 15 - 301, et bénéficiera de la marque NF VP. </w:t>
      </w:r>
    </w:p>
    <w:p w14:paraId="68520558" w14:textId="77777777" w:rsidR="00737D08" w:rsidRPr="001453D6" w:rsidRDefault="00737D08" w:rsidP="002A45C1">
      <w:pPr>
        <w:pStyle w:val="Paragraphedeliste"/>
        <w:numPr>
          <w:ilvl w:val="0"/>
          <w:numId w:val="98"/>
        </w:numPr>
        <w:spacing w:after="0"/>
        <w:jc w:val="left"/>
        <w:rPr>
          <w:szCs w:val="24"/>
        </w:rPr>
      </w:pPr>
      <w:r w:rsidRPr="001453D6">
        <w:rPr>
          <w:szCs w:val="24"/>
        </w:rPr>
        <w:t xml:space="preserve">Le mélange des ciments de types différents n'est pas autorisé. </w:t>
      </w:r>
    </w:p>
    <w:p w14:paraId="2DA3E05B" w14:textId="77777777" w:rsidR="00737D08" w:rsidRPr="001453D6" w:rsidRDefault="00737D08" w:rsidP="00737D08">
      <w:pPr>
        <w:spacing w:after="0"/>
        <w:rPr>
          <w:szCs w:val="24"/>
        </w:rPr>
      </w:pPr>
    </w:p>
    <w:p w14:paraId="02E2BF4E" w14:textId="77777777" w:rsidR="00737D08" w:rsidRPr="001453D6" w:rsidRDefault="00737D08" w:rsidP="00737D08">
      <w:pPr>
        <w:spacing w:after="0"/>
        <w:rPr>
          <w:b/>
          <w:szCs w:val="24"/>
        </w:rPr>
      </w:pPr>
      <w:r w:rsidRPr="001453D6">
        <w:rPr>
          <w:b/>
          <w:szCs w:val="24"/>
        </w:rPr>
        <w:t xml:space="preserve"> b. Agrément des lots de ciment avant livraison au chantier </w:t>
      </w:r>
    </w:p>
    <w:p w14:paraId="4FD1C84F" w14:textId="77777777" w:rsidR="00737D08" w:rsidRPr="001453D6" w:rsidRDefault="00737D08" w:rsidP="003C704F">
      <w:pPr>
        <w:spacing w:after="0"/>
        <w:ind w:left="0" w:firstLine="0"/>
        <w:rPr>
          <w:szCs w:val="24"/>
        </w:rPr>
      </w:pPr>
      <w:r w:rsidRPr="001453D6">
        <w:rPr>
          <w:szCs w:val="24"/>
        </w:rPr>
        <w:t xml:space="preserve">Chaque lot de ciment est constitué par une quantité de ciment provenant d'une fabrication homogène, </w:t>
      </w:r>
    </w:p>
    <w:p w14:paraId="3DFE68A7" w14:textId="5D2DD469" w:rsidR="00737D08" w:rsidRPr="001453D6" w:rsidRDefault="00737D08" w:rsidP="003C704F">
      <w:pPr>
        <w:spacing w:after="0"/>
        <w:ind w:left="0" w:firstLine="0"/>
        <w:rPr>
          <w:szCs w:val="24"/>
        </w:rPr>
      </w:pPr>
      <w:r w:rsidRPr="001453D6">
        <w:rPr>
          <w:szCs w:val="24"/>
        </w:rPr>
        <w:t xml:space="preserve">Chaque lot ne sera approvisionné sur le chantier qu’après autorisation écrite de l‘Ingénieur au vu du procès-verbal d'essais effectués en cimenterie. </w:t>
      </w:r>
    </w:p>
    <w:p w14:paraId="423AB209" w14:textId="77777777" w:rsidR="003C704F" w:rsidRPr="001453D6" w:rsidRDefault="003C704F" w:rsidP="003C704F">
      <w:pPr>
        <w:spacing w:after="0"/>
        <w:ind w:left="0" w:firstLine="0"/>
        <w:rPr>
          <w:szCs w:val="24"/>
        </w:rPr>
      </w:pPr>
    </w:p>
    <w:p w14:paraId="64019300" w14:textId="77777777" w:rsidR="00737D08" w:rsidRPr="001453D6" w:rsidRDefault="00737D08" w:rsidP="00737D08">
      <w:pPr>
        <w:spacing w:after="0"/>
        <w:rPr>
          <w:b/>
          <w:szCs w:val="24"/>
        </w:rPr>
      </w:pPr>
      <w:r w:rsidRPr="001453D6">
        <w:rPr>
          <w:b/>
          <w:szCs w:val="24"/>
        </w:rPr>
        <w:t xml:space="preserve">  c. Contrôle </w:t>
      </w:r>
    </w:p>
    <w:p w14:paraId="6F59A873" w14:textId="5BE0D6A9" w:rsidR="003C704F" w:rsidRPr="001453D6" w:rsidRDefault="00737D08" w:rsidP="00737D08">
      <w:pPr>
        <w:spacing w:after="0"/>
        <w:rPr>
          <w:szCs w:val="24"/>
        </w:rPr>
      </w:pPr>
      <w:r w:rsidRPr="001453D6">
        <w:rPr>
          <w:szCs w:val="24"/>
        </w:rPr>
        <w:t> Des prélèvements seront effectués pour chaque fourniture lorsque l</w:t>
      </w:r>
      <w:r w:rsidR="003C704F" w:rsidRPr="001453D6">
        <w:rPr>
          <w:szCs w:val="24"/>
        </w:rPr>
        <w:t>e ciment est livré au chantier,</w:t>
      </w:r>
    </w:p>
    <w:p w14:paraId="2B715A04" w14:textId="4A4E753A" w:rsidR="00737D08" w:rsidRPr="001453D6" w:rsidRDefault="00737D08" w:rsidP="00737D08">
      <w:pPr>
        <w:spacing w:after="0"/>
        <w:rPr>
          <w:szCs w:val="24"/>
        </w:rPr>
      </w:pPr>
      <w:r w:rsidRPr="001453D6">
        <w:rPr>
          <w:szCs w:val="24"/>
        </w:rPr>
        <w:t> Les échantillons seront conservés au laboratoire du chantier pendant une durée minimale de 6 mois en vue d'e</w:t>
      </w:r>
      <w:r w:rsidR="003C704F" w:rsidRPr="001453D6">
        <w:rPr>
          <w:szCs w:val="24"/>
        </w:rPr>
        <w:t>ssais ultérieurs si nécessaire.</w:t>
      </w:r>
    </w:p>
    <w:p w14:paraId="3EF406BD" w14:textId="77777777" w:rsidR="003C704F" w:rsidRPr="001453D6" w:rsidRDefault="003C704F" w:rsidP="00737D08">
      <w:pPr>
        <w:spacing w:after="0"/>
        <w:rPr>
          <w:szCs w:val="24"/>
        </w:rPr>
      </w:pPr>
    </w:p>
    <w:p w14:paraId="36971E53" w14:textId="77777777" w:rsidR="00737D08" w:rsidRPr="001453D6" w:rsidRDefault="00737D08" w:rsidP="00737D08">
      <w:pPr>
        <w:spacing w:after="0"/>
        <w:rPr>
          <w:b/>
          <w:szCs w:val="24"/>
        </w:rPr>
      </w:pPr>
      <w:r w:rsidRPr="001453D6">
        <w:rPr>
          <w:b/>
          <w:szCs w:val="24"/>
        </w:rPr>
        <w:t xml:space="preserve"> d. Livraison </w:t>
      </w:r>
    </w:p>
    <w:p w14:paraId="5E732BF2" w14:textId="77777777" w:rsidR="00737D08" w:rsidRPr="001453D6" w:rsidRDefault="00737D08" w:rsidP="002A45C1">
      <w:pPr>
        <w:pStyle w:val="Paragraphedeliste"/>
        <w:numPr>
          <w:ilvl w:val="0"/>
          <w:numId w:val="96"/>
        </w:numPr>
        <w:spacing w:after="0"/>
        <w:jc w:val="left"/>
        <w:rPr>
          <w:szCs w:val="24"/>
        </w:rPr>
      </w:pPr>
      <w:r w:rsidRPr="001453D6">
        <w:rPr>
          <w:szCs w:val="24"/>
        </w:rPr>
        <w:t xml:space="preserve">Le ciment sera livré en sacs de dimensions normalisées, </w:t>
      </w:r>
    </w:p>
    <w:p w14:paraId="0369BBEF" w14:textId="77777777" w:rsidR="00737D08" w:rsidRPr="001453D6" w:rsidRDefault="00737D08" w:rsidP="002A45C1">
      <w:pPr>
        <w:pStyle w:val="Paragraphedeliste"/>
        <w:numPr>
          <w:ilvl w:val="0"/>
          <w:numId w:val="96"/>
        </w:numPr>
        <w:spacing w:after="0"/>
        <w:jc w:val="left"/>
        <w:rPr>
          <w:szCs w:val="24"/>
        </w:rPr>
      </w:pPr>
      <w:r w:rsidRPr="001453D6">
        <w:rPr>
          <w:szCs w:val="24"/>
        </w:rPr>
        <w:t xml:space="preserve">L'identification du ciment, le nom du fabricant et le poids du sac seront clairement marqués sur chaque sac, </w:t>
      </w:r>
    </w:p>
    <w:p w14:paraId="0A5B6B36" w14:textId="77777777" w:rsidR="00737D08" w:rsidRPr="001453D6" w:rsidRDefault="00737D08" w:rsidP="002A45C1">
      <w:pPr>
        <w:pStyle w:val="Paragraphedeliste"/>
        <w:numPr>
          <w:ilvl w:val="0"/>
          <w:numId w:val="96"/>
        </w:numPr>
        <w:spacing w:after="0"/>
        <w:jc w:val="left"/>
        <w:rPr>
          <w:szCs w:val="24"/>
        </w:rPr>
      </w:pPr>
      <w:r w:rsidRPr="001453D6">
        <w:rPr>
          <w:szCs w:val="24"/>
        </w:rPr>
        <w:t xml:space="preserve">Le ciment provenant de sacs endommagés ne sera ni utilisé ni remis en sacs sans l'approbation préalable de l'Ingénieur. </w:t>
      </w:r>
    </w:p>
    <w:p w14:paraId="79D291F0" w14:textId="77777777" w:rsidR="005A28D3" w:rsidRPr="001453D6" w:rsidRDefault="005A28D3" w:rsidP="00DB26D4">
      <w:pPr>
        <w:pStyle w:val="Paragraphedeliste"/>
        <w:spacing w:after="0"/>
        <w:ind w:firstLine="0"/>
        <w:jc w:val="left"/>
        <w:rPr>
          <w:szCs w:val="24"/>
        </w:rPr>
      </w:pPr>
    </w:p>
    <w:p w14:paraId="702CB09C" w14:textId="77777777" w:rsidR="00737D08" w:rsidRPr="001453D6" w:rsidRDefault="00737D08" w:rsidP="00737D08">
      <w:pPr>
        <w:spacing w:after="0"/>
        <w:rPr>
          <w:szCs w:val="24"/>
        </w:rPr>
      </w:pPr>
      <w:r w:rsidRPr="001453D6">
        <w:rPr>
          <w:b/>
          <w:szCs w:val="24"/>
        </w:rPr>
        <w:t xml:space="preserve"> e. Emmagasinage</w:t>
      </w:r>
      <w:r w:rsidRPr="001453D6">
        <w:rPr>
          <w:szCs w:val="24"/>
        </w:rPr>
        <w:t xml:space="preserve"> </w:t>
      </w:r>
    </w:p>
    <w:p w14:paraId="7D804123" w14:textId="1B66CE2F" w:rsidR="00737D08" w:rsidRPr="001453D6" w:rsidRDefault="00737D08" w:rsidP="00737D08">
      <w:pPr>
        <w:spacing w:after="0"/>
        <w:rPr>
          <w:szCs w:val="24"/>
        </w:rPr>
      </w:pPr>
      <w:r w:rsidRPr="001453D6">
        <w:rPr>
          <w:szCs w:val="24"/>
        </w:rPr>
        <w:t>Les sacs de ciment seront stockés dans un local sec clos et couvert, les isolants du sol et des agents atmosphériques. Le local sera de dimensions suffisantes pour permettre un accès aisé pour identification, prises échantillons, dénombr</w:t>
      </w:r>
      <w:r w:rsidR="009D01ED" w:rsidRPr="001453D6">
        <w:rPr>
          <w:szCs w:val="24"/>
        </w:rPr>
        <w:t>ement</w:t>
      </w:r>
      <w:r w:rsidRPr="001453D6">
        <w:rPr>
          <w:szCs w:val="24"/>
        </w:rPr>
        <w:t xml:space="preserve"> et déplacement des sacs. Les sacs ne seront pas mis en pile dépassant une hauteur de 2,5 m, </w:t>
      </w:r>
    </w:p>
    <w:p w14:paraId="3C4FCE48" w14:textId="77777777" w:rsidR="00737D08" w:rsidRPr="001453D6" w:rsidRDefault="00737D08" w:rsidP="00737D08">
      <w:pPr>
        <w:spacing w:after="0"/>
        <w:rPr>
          <w:szCs w:val="24"/>
        </w:rPr>
      </w:pPr>
      <w:r w:rsidRPr="001453D6">
        <w:rPr>
          <w:szCs w:val="24"/>
        </w:rPr>
        <w:t xml:space="preserve">Le ciment sera utilisé suivant l'ordre chronologique d'arrivée, </w:t>
      </w:r>
    </w:p>
    <w:p w14:paraId="5CA96FA7" w14:textId="77777777" w:rsidR="00737D08" w:rsidRPr="001453D6" w:rsidRDefault="00737D08" w:rsidP="00737D08">
      <w:pPr>
        <w:spacing w:after="0"/>
        <w:rPr>
          <w:szCs w:val="24"/>
        </w:rPr>
      </w:pPr>
      <w:r w:rsidRPr="001453D6">
        <w:rPr>
          <w:szCs w:val="24"/>
        </w:rPr>
        <w:t xml:space="preserve">La capacité de stockage sera suffisante pour assurer la marche du chantier pendant 30 jours, </w:t>
      </w:r>
    </w:p>
    <w:p w14:paraId="6B2D4F27" w14:textId="77777777" w:rsidR="00737D08" w:rsidRPr="001453D6" w:rsidRDefault="00737D08" w:rsidP="00737D08">
      <w:pPr>
        <w:spacing w:after="0"/>
        <w:rPr>
          <w:szCs w:val="24"/>
        </w:rPr>
      </w:pPr>
      <w:r w:rsidRPr="001453D6">
        <w:rPr>
          <w:szCs w:val="24"/>
        </w:rPr>
        <w:t xml:space="preserve">Tout ciment stocké depuis plus de 4 mois sur le chantier ne sera utilisé à moins qu’une série complète d'essais physiques ne permette de vérifier le respect des spécifications, </w:t>
      </w:r>
    </w:p>
    <w:p w14:paraId="4442842D" w14:textId="7E000D3D" w:rsidR="00737D08" w:rsidRPr="001453D6" w:rsidRDefault="00737D08" w:rsidP="00737D08">
      <w:pPr>
        <w:spacing w:after="0"/>
        <w:rPr>
          <w:szCs w:val="24"/>
        </w:rPr>
      </w:pPr>
      <w:r w:rsidRPr="001453D6">
        <w:rPr>
          <w:szCs w:val="24"/>
        </w:rPr>
        <w:t xml:space="preserve">Tout ciment éventé ou ayant fait prise partiellement ou ayant été rejeté en application des spécifications ne sera pas utilisé pour les ouvrages définitifs et sera enlevé du magasin. </w:t>
      </w:r>
    </w:p>
    <w:p w14:paraId="6308DC03" w14:textId="77777777" w:rsidR="0051589D" w:rsidRPr="001453D6" w:rsidRDefault="0051589D" w:rsidP="00737D08">
      <w:pPr>
        <w:spacing w:after="0"/>
        <w:rPr>
          <w:szCs w:val="24"/>
        </w:rPr>
      </w:pPr>
    </w:p>
    <w:p w14:paraId="46D599AC" w14:textId="7249195A" w:rsidR="00737D08" w:rsidRPr="001453D6" w:rsidRDefault="000224D2" w:rsidP="00737D08">
      <w:pPr>
        <w:spacing w:after="0"/>
        <w:rPr>
          <w:b/>
          <w:szCs w:val="24"/>
        </w:rPr>
      </w:pPr>
      <w:r w:rsidRPr="001453D6">
        <w:rPr>
          <w:b/>
          <w:szCs w:val="24"/>
        </w:rPr>
        <w:t>1.6</w:t>
      </w:r>
      <w:r w:rsidR="00737D08" w:rsidRPr="001453D6">
        <w:rPr>
          <w:b/>
          <w:szCs w:val="24"/>
        </w:rPr>
        <w:t xml:space="preserve"> GRANULATS </w:t>
      </w:r>
    </w:p>
    <w:p w14:paraId="033DC506" w14:textId="77777777" w:rsidR="0051589D" w:rsidRPr="001453D6" w:rsidRDefault="0051589D" w:rsidP="00737D08">
      <w:pPr>
        <w:spacing w:after="0"/>
        <w:rPr>
          <w:b/>
          <w:szCs w:val="24"/>
        </w:rPr>
      </w:pPr>
    </w:p>
    <w:p w14:paraId="0B7547D6" w14:textId="77777777" w:rsidR="00737D08" w:rsidRPr="001453D6" w:rsidRDefault="00737D08" w:rsidP="00737D08">
      <w:pPr>
        <w:spacing w:after="0"/>
        <w:rPr>
          <w:b/>
          <w:szCs w:val="24"/>
        </w:rPr>
      </w:pPr>
      <w:r w:rsidRPr="001453D6">
        <w:rPr>
          <w:b/>
          <w:szCs w:val="24"/>
        </w:rPr>
        <w:t xml:space="preserve"> a. Qualité </w:t>
      </w:r>
    </w:p>
    <w:p w14:paraId="707E238F" w14:textId="77777777" w:rsidR="00D62C56" w:rsidRDefault="00737D08" w:rsidP="003C704F">
      <w:pPr>
        <w:spacing w:after="0"/>
        <w:ind w:left="426" w:hanging="426"/>
        <w:rPr>
          <w:szCs w:val="24"/>
        </w:rPr>
      </w:pPr>
      <w:r w:rsidRPr="001453D6">
        <w:rPr>
          <w:szCs w:val="24"/>
        </w:rPr>
        <w:t xml:space="preserve"> </w:t>
      </w:r>
      <w:r w:rsidRPr="001453D6">
        <w:rPr>
          <w:szCs w:val="24"/>
        </w:rPr>
        <w:t xml:space="preserve"> Les granulats satisferont aux exigences de la norme NF P 18-301 </w:t>
      </w:r>
    </w:p>
    <w:p w14:paraId="2D5182E2" w14:textId="3737BDEE" w:rsidR="00737D08" w:rsidRPr="001453D6" w:rsidRDefault="00737D08" w:rsidP="003C704F">
      <w:pPr>
        <w:spacing w:after="0"/>
        <w:ind w:left="426" w:hanging="426"/>
        <w:rPr>
          <w:szCs w:val="24"/>
        </w:rPr>
      </w:pPr>
      <w:r w:rsidRPr="001453D6">
        <w:rPr>
          <w:szCs w:val="24"/>
        </w:rPr>
        <w:t xml:space="preserve"> Si les granulats sont d'origine latéritique leur masse volumique sera supérieure à    2,6 t/m3. Dans les autres cas la masse volumique sera supérieure à 2,5 t/m3. </w:t>
      </w:r>
    </w:p>
    <w:p w14:paraId="47E5D1D4" w14:textId="77777777" w:rsidR="0051589D" w:rsidRPr="001453D6" w:rsidRDefault="0051589D" w:rsidP="00737D08">
      <w:pPr>
        <w:spacing w:after="0"/>
        <w:rPr>
          <w:szCs w:val="24"/>
        </w:rPr>
      </w:pPr>
    </w:p>
    <w:p w14:paraId="2B16DD0A" w14:textId="77777777" w:rsidR="00737D08" w:rsidRPr="001453D6" w:rsidRDefault="00737D08" w:rsidP="00737D08">
      <w:pPr>
        <w:spacing w:after="0"/>
        <w:rPr>
          <w:b/>
          <w:szCs w:val="24"/>
        </w:rPr>
      </w:pPr>
      <w:r w:rsidRPr="001453D6">
        <w:rPr>
          <w:b/>
          <w:szCs w:val="24"/>
        </w:rPr>
        <w:t xml:space="preserve"> b. Sable </w:t>
      </w:r>
    </w:p>
    <w:p w14:paraId="272A804E" w14:textId="77777777" w:rsidR="00737D08" w:rsidRPr="001453D6" w:rsidRDefault="00737D08" w:rsidP="00737D08">
      <w:pPr>
        <w:spacing w:after="0"/>
        <w:rPr>
          <w:szCs w:val="24"/>
        </w:rPr>
      </w:pPr>
      <w:r w:rsidRPr="001453D6">
        <w:rPr>
          <w:szCs w:val="24"/>
        </w:rPr>
        <w:t xml:space="preserve"> 1.  La granularité du sable sera comprise dans le fuseau suivant. </w:t>
      </w:r>
    </w:p>
    <w:p w14:paraId="2489089A" w14:textId="77777777" w:rsidR="00737D08" w:rsidRPr="001453D6" w:rsidRDefault="00737D08" w:rsidP="00737D08">
      <w:pPr>
        <w:spacing w:after="0"/>
        <w:rPr>
          <w:szCs w:val="24"/>
        </w:rPr>
      </w:pPr>
      <w:r w:rsidRPr="001453D6">
        <w:rPr>
          <w:szCs w:val="24"/>
        </w:rPr>
        <w:t xml:space="preserve"> </w:t>
      </w:r>
    </w:p>
    <w:tbl>
      <w:tblPr>
        <w:tblW w:w="0" w:type="auto"/>
        <w:jc w:val="center"/>
        <w:tblLook w:val="04A0" w:firstRow="1" w:lastRow="0" w:firstColumn="1" w:lastColumn="0" w:noHBand="0" w:noVBand="1"/>
      </w:tblPr>
      <w:tblGrid>
        <w:gridCol w:w="2235"/>
        <w:gridCol w:w="2356"/>
      </w:tblGrid>
      <w:tr w:rsidR="00737D08" w:rsidRPr="001453D6" w14:paraId="56A20238" w14:textId="77777777" w:rsidTr="007E15F3">
        <w:trPr>
          <w:jc w:val="center"/>
        </w:trPr>
        <w:tc>
          <w:tcPr>
            <w:tcW w:w="2235" w:type="dxa"/>
          </w:tcPr>
          <w:p w14:paraId="381BD4BC" w14:textId="77777777" w:rsidR="00737D08" w:rsidRPr="001453D6" w:rsidRDefault="00737D08" w:rsidP="007E15F3">
            <w:pPr>
              <w:rPr>
                <w:szCs w:val="24"/>
              </w:rPr>
            </w:pPr>
            <w:r w:rsidRPr="001453D6">
              <w:rPr>
                <w:szCs w:val="24"/>
              </w:rPr>
              <w:t>Tamis en mm</w:t>
            </w:r>
          </w:p>
        </w:tc>
        <w:tc>
          <w:tcPr>
            <w:tcW w:w="2356" w:type="dxa"/>
          </w:tcPr>
          <w:p w14:paraId="1EBD1381" w14:textId="77777777" w:rsidR="00737D08" w:rsidRPr="001453D6" w:rsidRDefault="00737D08" w:rsidP="007E15F3">
            <w:pPr>
              <w:rPr>
                <w:szCs w:val="24"/>
              </w:rPr>
            </w:pPr>
            <w:r w:rsidRPr="001453D6">
              <w:rPr>
                <w:szCs w:val="24"/>
              </w:rPr>
              <w:t>Passant %</w:t>
            </w:r>
          </w:p>
        </w:tc>
      </w:tr>
      <w:tr w:rsidR="00737D08" w:rsidRPr="001453D6" w14:paraId="0BA76F97" w14:textId="77777777" w:rsidTr="007E15F3">
        <w:trPr>
          <w:jc w:val="center"/>
        </w:trPr>
        <w:tc>
          <w:tcPr>
            <w:tcW w:w="2235" w:type="dxa"/>
          </w:tcPr>
          <w:p w14:paraId="203C0DB1" w14:textId="77777777" w:rsidR="00737D08" w:rsidRPr="001453D6" w:rsidRDefault="00737D08" w:rsidP="007E15F3">
            <w:pPr>
              <w:rPr>
                <w:szCs w:val="24"/>
              </w:rPr>
            </w:pPr>
            <w:r w:rsidRPr="001453D6">
              <w:rPr>
                <w:szCs w:val="24"/>
              </w:rPr>
              <w:t>0.080</w:t>
            </w:r>
          </w:p>
          <w:p w14:paraId="3AE5EFA1" w14:textId="77777777" w:rsidR="00737D08" w:rsidRPr="001453D6" w:rsidRDefault="00737D08" w:rsidP="007E15F3">
            <w:pPr>
              <w:rPr>
                <w:szCs w:val="24"/>
              </w:rPr>
            </w:pPr>
            <w:r w:rsidRPr="001453D6">
              <w:rPr>
                <w:szCs w:val="24"/>
              </w:rPr>
              <w:t>0.160</w:t>
            </w:r>
          </w:p>
          <w:p w14:paraId="2226D366" w14:textId="77777777" w:rsidR="00737D08" w:rsidRPr="001453D6" w:rsidRDefault="00737D08" w:rsidP="007E15F3">
            <w:pPr>
              <w:rPr>
                <w:szCs w:val="24"/>
              </w:rPr>
            </w:pPr>
            <w:r w:rsidRPr="001453D6">
              <w:rPr>
                <w:szCs w:val="24"/>
              </w:rPr>
              <w:t>0.315</w:t>
            </w:r>
          </w:p>
          <w:p w14:paraId="4688B6B6" w14:textId="77777777" w:rsidR="00737D08" w:rsidRPr="001453D6" w:rsidRDefault="00737D08" w:rsidP="007E15F3">
            <w:pPr>
              <w:rPr>
                <w:szCs w:val="24"/>
              </w:rPr>
            </w:pPr>
            <w:r w:rsidRPr="001453D6">
              <w:rPr>
                <w:szCs w:val="24"/>
              </w:rPr>
              <w:t>0.630</w:t>
            </w:r>
          </w:p>
          <w:p w14:paraId="05D648F9" w14:textId="77777777" w:rsidR="00737D08" w:rsidRPr="001453D6" w:rsidRDefault="00737D08" w:rsidP="007E15F3">
            <w:pPr>
              <w:rPr>
                <w:szCs w:val="24"/>
              </w:rPr>
            </w:pPr>
            <w:r w:rsidRPr="001453D6">
              <w:rPr>
                <w:szCs w:val="24"/>
              </w:rPr>
              <w:t>1.250</w:t>
            </w:r>
          </w:p>
          <w:p w14:paraId="08BA3EAB" w14:textId="77777777" w:rsidR="00737D08" w:rsidRPr="001453D6" w:rsidRDefault="00737D08" w:rsidP="007E15F3">
            <w:pPr>
              <w:rPr>
                <w:szCs w:val="24"/>
              </w:rPr>
            </w:pPr>
            <w:r w:rsidRPr="001453D6">
              <w:rPr>
                <w:szCs w:val="24"/>
              </w:rPr>
              <w:t>2.500</w:t>
            </w:r>
          </w:p>
          <w:p w14:paraId="6C02E12A" w14:textId="77777777" w:rsidR="00737D08" w:rsidRPr="001453D6" w:rsidRDefault="00737D08" w:rsidP="007E15F3">
            <w:pPr>
              <w:rPr>
                <w:szCs w:val="24"/>
              </w:rPr>
            </w:pPr>
            <w:r w:rsidRPr="001453D6">
              <w:rPr>
                <w:szCs w:val="24"/>
              </w:rPr>
              <w:t>5.000</w:t>
            </w:r>
          </w:p>
        </w:tc>
        <w:tc>
          <w:tcPr>
            <w:tcW w:w="2356" w:type="dxa"/>
          </w:tcPr>
          <w:p w14:paraId="4584E731" w14:textId="77777777" w:rsidR="00737D08" w:rsidRPr="001453D6" w:rsidRDefault="00737D08" w:rsidP="007E15F3">
            <w:pPr>
              <w:ind w:left="360" w:firstLine="360"/>
              <w:rPr>
                <w:szCs w:val="24"/>
              </w:rPr>
            </w:pPr>
            <w:r w:rsidRPr="001453D6">
              <w:rPr>
                <w:szCs w:val="24"/>
              </w:rPr>
              <w:t>0.5</w:t>
            </w:r>
          </w:p>
          <w:p w14:paraId="16A6220A" w14:textId="77777777" w:rsidR="00737D08" w:rsidRPr="001453D6" w:rsidRDefault="00737D08" w:rsidP="007E15F3">
            <w:pPr>
              <w:rPr>
                <w:szCs w:val="24"/>
              </w:rPr>
            </w:pPr>
            <w:r w:rsidRPr="001453D6">
              <w:rPr>
                <w:szCs w:val="24"/>
              </w:rPr>
              <w:t>10.20</w:t>
            </w:r>
          </w:p>
          <w:p w14:paraId="7E7487EF" w14:textId="77777777" w:rsidR="00737D08" w:rsidRPr="001453D6" w:rsidRDefault="00737D08" w:rsidP="007E15F3">
            <w:pPr>
              <w:rPr>
                <w:szCs w:val="24"/>
              </w:rPr>
            </w:pPr>
            <w:r w:rsidRPr="001453D6">
              <w:rPr>
                <w:szCs w:val="24"/>
              </w:rPr>
              <w:t>20.30</w:t>
            </w:r>
          </w:p>
          <w:p w14:paraId="578FE5C4" w14:textId="77777777" w:rsidR="00737D08" w:rsidRPr="001453D6" w:rsidRDefault="00737D08" w:rsidP="007E15F3">
            <w:pPr>
              <w:rPr>
                <w:szCs w:val="24"/>
              </w:rPr>
            </w:pPr>
            <w:r w:rsidRPr="001453D6">
              <w:rPr>
                <w:szCs w:val="24"/>
              </w:rPr>
              <w:t>40.60</w:t>
            </w:r>
          </w:p>
          <w:p w14:paraId="466E797A" w14:textId="77777777" w:rsidR="00737D08" w:rsidRPr="001453D6" w:rsidRDefault="00737D08" w:rsidP="007E15F3">
            <w:pPr>
              <w:rPr>
                <w:szCs w:val="24"/>
              </w:rPr>
            </w:pPr>
            <w:r w:rsidRPr="001453D6">
              <w:rPr>
                <w:szCs w:val="24"/>
              </w:rPr>
              <w:t>65.85</w:t>
            </w:r>
          </w:p>
          <w:p w14:paraId="17371F08" w14:textId="77777777" w:rsidR="00737D08" w:rsidRPr="001453D6" w:rsidRDefault="00737D08" w:rsidP="007E15F3">
            <w:pPr>
              <w:rPr>
                <w:szCs w:val="24"/>
              </w:rPr>
            </w:pPr>
            <w:r w:rsidRPr="001453D6">
              <w:rPr>
                <w:szCs w:val="24"/>
              </w:rPr>
              <w:t>85.95</w:t>
            </w:r>
          </w:p>
          <w:p w14:paraId="38AE23FD" w14:textId="77777777" w:rsidR="00737D08" w:rsidRPr="001453D6" w:rsidRDefault="00737D08" w:rsidP="007E15F3">
            <w:pPr>
              <w:rPr>
                <w:szCs w:val="24"/>
              </w:rPr>
            </w:pPr>
            <w:r w:rsidRPr="001453D6">
              <w:rPr>
                <w:szCs w:val="24"/>
              </w:rPr>
              <w:t>95.100</w:t>
            </w:r>
          </w:p>
        </w:tc>
      </w:tr>
    </w:tbl>
    <w:p w14:paraId="7FD1AB8C" w14:textId="58D3FD83" w:rsidR="0051589D" w:rsidRPr="001453D6" w:rsidRDefault="0051589D" w:rsidP="00737D08">
      <w:pPr>
        <w:spacing w:after="0"/>
        <w:rPr>
          <w:szCs w:val="24"/>
        </w:rPr>
      </w:pPr>
    </w:p>
    <w:p w14:paraId="31709CB1" w14:textId="36570950" w:rsidR="00737D08" w:rsidRPr="001453D6" w:rsidRDefault="00737D08" w:rsidP="002A45C1">
      <w:pPr>
        <w:pStyle w:val="Paragraphedeliste"/>
        <w:numPr>
          <w:ilvl w:val="0"/>
          <w:numId w:val="57"/>
        </w:numPr>
        <w:spacing w:after="0"/>
        <w:rPr>
          <w:szCs w:val="24"/>
        </w:rPr>
      </w:pPr>
      <w:r w:rsidRPr="001453D6">
        <w:rPr>
          <w:szCs w:val="24"/>
        </w:rPr>
        <w:t xml:space="preserve">Le module de finesse sera compris entre 2,2 et 3,1 3.  La continuité, c'est à dire le pourcentage en masse retenu entre deux tamis successifs ne sera pas supérieur à 40%. </w:t>
      </w:r>
    </w:p>
    <w:p w14:paraId="02E0A409" w14:textId="77777777" w:rsidR="00D426B5" w:rsidRPr="001453D6" w:rsidRDefault="00D426B5" w:rsidP="0051589D">
      <w:pPr>
        <w:pStyle w:val="Paragraphedeliste"/>
        <w:spacing w:after="0"/>
        <w:ind w:firstLine="0"/>
        <w:rPr>
          <w:szCs w:val="24"/>
        </w:rPr>
      </w:pPr>
    </w:p>
    <w:p w14:paraId="48380BEA" w14:textId="000AE7FA" w:rsidR="00737D08" w:rsidRPr="001453D6" w:rsidRDefault="00737D08" w:rsidP="00737D08">
      <w:pPr>
        <w:spacing w:after="0"/>
        <w:rPr>
          <w:b/>
          <w:szCs w:val="24"/>
        </w:rPr>
      </w:pPr>
      <w:r w:rsidRPr="001453D6">
        <w:rPr>
          <w:b/>
          <w:szCs w:val="24"/>
        </w:rPr>
        <w:t xml:space="preserve"> c. Gravillons et cailloux </w:t>
      </w:r>
    </w:p>
    <w:p w14:paraId="3D720137" w14:textId="77777777" w:rsidR="0051589D" w:rsidRPr="001453D6" w:rsidRDefault="0051589D" w:rsidP="00737D08">
      <w:pPr>
        <w:spacing w:after="0"/>
        <w:rPr>
          <w:b/>
          <w:szCs w:val="24"/>
        </w:rPr>
      </w:pPr>
    </w:p>
    <w:p w14:paraId="292DF324" w14:textId="77777777" w:rsidR="00737D08" w:rsidRPr="001453D6" w:rsidRDefault="00737D08" w:rsidP="00737D08">
      <w:pPr>
        <w:spacing w:after="0"/>
        <w:rPr>
          <w:szCs w:val="24"/>
        </w:rPr>
      </w:pPr>
      <w:r w:rsidRPr="001453D6">
        <w:rPr>
          <w:szCs w:val="24"/>
        </w:rPr>
        <w:t xml:space="preserve"> 1. Les gravillons et cailloux sont divisés en classe définie par d/D et rempliront les conditions suivantes (avec d&lt;D), </w:t>
      </w:r>
    </w:p>
    <w:tbl>
      <w:tblPr>
        <w:tblW w:w="0" w:type="auto"/>
        <w:jc w:val="center"/>
        <w:tblLook w:val="04A0" w:firstRow="1" w:lastRow="0" w:firstColumn="1" w:lastColumn="0" w:noHBand="0" w:noVBand="1"/>
      </w:tblPr>
      <w:tblGrid>
        <w:gridCol w:w="2235"/>
        <w:gridCol w:w="3805"/>
      </w:tblGrid>
      <w:tr w:rsidR="00737D08" w:rsidRPr="001453D6" w14:paraId="05962DFC" w14:textId="77777777" w:rsidTr="007E15F3">
        <w:trPr>
          <w:jc w:val="center"/>
        </w:trPr>
        <w:tc>
          <w:tcPr>
            <w:tcW w:w="2235" w:type="dxa"/>
          </w:tcPr>
          <w:p w14:paraId="62D56B77" w14:textId="77777777" w:rsidR="00737D08" w:rsidRPr="001453D6" w:rsidRDefault="00737D08" w:rsidP="007E15F3">
            <w:pPr>
              <w:rPr>
                <w:szCs w:val="24"/>
              </w:rPr>
            </w:pPr>
            <w:r w:rsidRPr="001453D6">
              <w:rPr>
                <w:szCs w:val="24"/>
              </w:rPr>
              <w:t>Tamis en mm</w:t>
            </w:r>
          </w:p>
        </w:tc>
        <w:tc>
          <w:tcPr>
            <w:tcW w:w="3805" w:type="dxa"/>
          </w:tcPr>
          <w:p w14:paraId="3088A7B2" w14:textId="77777777" w:rsidR="00737D08" w:rsidRPr="001453D6" w:rsidRDefault="00737D08" w:rsidP="007E15F3">
            <w:pPr>
              <w:rPr>
                <w:szCs w:val="24"/>
              </w:rPr>
            </w:pPr>
            <w:r w:rsidRPr="001453D6">
              <w:rPr>
                <w:szCs w:val="24"/>
              </w:rPr>
              <w:t>Passant %</w:t>
            </w:r>
          </w:p>
        </w:tc>
      </w:tr>
      <w:tr w:rsidR="00737D08" w:rsidRPr="001453D6" w14:paraId="4EE8DEA9" w14:textId="77777777" w:rsidTr="007E15F3">
        <w:trPr>
          <w:jc w:val="center"/>
        </w:trPr>
        <w:tc>
          <w:tcPr>
            <w:tcW w:w="2235" w:type="dxa"/>
          </w:tcPr>
          <w:p w14:paraId="6D6ED99C" w14:textId="77777777" w:rsidR="00737D08" w:rsidRPr="001453D6" w:rsidRDefault="00737D08" w:rsidP="007E15F3">
            <w:pPr>
              <w:rPr>
                <w:szCs w:val="24"/>
              </w:rPr>
            </w:pPr>
            <w:r w:rsidRPr="001453D6">
              <w:rPr>
                <w:szCs w:val="24"/>
              </w:rPr>
              <w:t>1.56D</w:t>
            </w:r>
          </w:p>
          <w:p w14:paraId="509F374C" w14:textId="77777777" w:rsidR="00737D08" w:rsidRPr="001453D6" w:rsidRDefault="00737D08" w:rsidP="007E15F3">
            <w:pPr>
              <w:rPr>
                <w:szCs w:val="24"/>
              </w:rPr>
            </w:pPr>
            <w:r w:rsidRPr="001453D6">
              <w:rPr>
                <w:szCs w:val="24"/>
              </w:rPr>
              <w:t>D</w:t>
            </w:r>
          </w:p>
          <w:p w14:paraId="071941BE" w14:textId="77777777" w:rsidR="00737D08" w:rsidRPr="001453D6" w:rsidRDefault="00737D08" w:rsidP="007E15F3">
            <w:pPr>
              <w:rPr>
                <w:szCs w:val="24"/>
              </w:rPr>
            </w:pPr>
            <w:r w:rsidRPr="001453D6">
              <w:rPr>
                <w:szCs w:val="24"/>
              </w:rPr>
              <w:t>D+D2</w:t>
            </w:r>
          </w:p>
          <w:p w14:paraId="6EFBD569" w14:textId="77777777" w:rsidR="00737D08" w:rsidRPr="001453D6" w:rsidRDefault="00737D08" w:rsidP="007E15F3">
            <w:pPr>
              <w:rPr>
                <w:szCs w:val="24"/>
              </w:rPr>
            </w:pPr>
            <w:r w:rsidRPr="001453D6">
              <w:rPr>
                <w:szCs w:val="24"/>
              </w:rPr>
              <w:t>D</w:t>
            </w:r>
          </w:p>
          <w:p w14:paraId="4E37109C" w14:textId="77777777" w:rsidR="00737D08" w:rsidRPr="001453D6" w:rsidRDefault="00737D08" w:rsidP="007E15F3">
            <w:pPr>
              <w:rPr>
                <w:szCs w:val="24"/>
              </w:rPr>
            </w:pPr>
            <w:r w:rsidRPr="001453D6">
              <w:rPr>
                <w:szCs w:val="24"/>
              </w:rPr>
              <w:t>0.63 D</w:t>
            </w:r>
          </w:p>
        </w:tc>
        <w:tc>
          <w:tcPr>
            <w:tcW w:w="3805" w:type="dxa"/>
          </w:tcPr>
          <w:p w14:paraId="31850711" w14:textId="77777777" w:rsidR="00737D08" w:rsidRPr="001453D6" w:rsidRDefault="00737D08" w:rsidP="007E15F3">
            <w:pPr>
              <w:ind w:left="360" w:firstLine="360"/>
              <w:rPr>
                <w:szCs w:val="24"/>
              </w:rPr>
            </w:pPr>
            <w:r w:rsidRPr="001453D6">
              <w:rPr>
                <w:szCs w:val="24"/>
              </w:rPr>
              <w:t>100%</w:t>
            </w:r>
          </w:p>
          <w:p w14:paraId="576CDB36" w14:textId="77777777" w:rsidR="00737D08" w:rsidRPr="001453D6" w:rsidRDefault="00737D08" w:rsidP="007E15F3">
            <w:pPr>
              <w:rPr>
                <w:szCs w:val="24"/>
              </w:rPr>
            </w:pPr>
            <w:r w:rsidRPr="001453D6">
              <w:rPr>
                <w:szCs w:val="24"/>
              </w:rPr>
              <w:t>Supérieur à 90%</w:t>
            </w:r>
          </w:p>
          <w:p w14:paraId="06227DC3" w14:textId="77777777" w:rsidR="00737D08" w:rsidRPr="001453D6" w:rsidRDefault="00737D08" w:rsidP="007E15F3">
            <w:pPr>
              <w:rPr>
                <w:szCs w:val="24"/>
              </w:rPr>
            </w:pPr>
            <w:r w:rsidRPr="001453D6">
              <w:rPr>
                <w:szCs w:val="24"/>
              </w:rPr>
              <w:t>Compris entre 35 et 65 % (si D sup 2.5)</w:t>
            </w:r>
          </w:p>
          <w:p w14:paraId="743F5ED4" w14:textId="77777777" w:rsidR="00737D08" w:rsidRPr="001453D6" w:rsidRDefault="00737D08" w:rsidP="007E15F3">
            <w:pPr>
              <w:rPr>
                <w:szCs w:val="24"/>
              </w:rPr>
            </w:pPr>
            <w:r w:rsidRPr="001453D6">
              <w:rPr>
                <w:szCs w:val="24"/>
              </w:rPr>
              <w:t>Inférieur à 10 %</w:t>
            </w:r>
          </w:p>
          <w:p w14:paraId="3E25E5AC" w14:textId="77777777" w:rsidR="00737D08" w:rsidRPr="001453D6" w:rsidRDefault="00737D08" w:rsidP="007E15F3">
            <w:pPr>
              <w:rPr>
                <w:szCs w:val="24"/>
              </w:rPr>
            </w:pPr>
            <w:r w:rsidRPr="001453D6">
              <w:rPr>
                <w:szCs w:val="24"/>
              </w:rPr>
              <w:t>Inférieur à 3 %</w:t>
            </w:r>
          </w:p>
        </w:tc>
      </w:tr>
    </w:tbl>
    <w:p w14:paraId="74D3DD02" w14:textId="2DC41C20" w:rsidR="0051589D" w:rsidRPr="001453D6" w:rsidRDefault="0051589D" w:rsidP="00737D08">
      <w:pPr>
        <w:spacing w:after="0"/>
        <w:rPr>
          <w:b/>
          <w:szCs w:val="24"/>
        </w:rPr>
      </w:pPr>
    </w:p>
    <w:p w14:paraId="56B2D7CE" w14:textId="2E465E62" w:rsidR="00737D08" w:rsidRPr="001453D6" w:rsidRDefault="00737D08" w:rsidP="002A45C1">
      <w:pPr>
        <w:pStyle w:val="Paragraphedeliste"/>
        <w:numPr>
          <w:ilvl w:val="0"/>
          <w:numId w:val="57"/>
        </w:numPr>
        <w:spacing w:after="0"/>
        <w:rPr>
          <w:b/>
          <w:szCs w:val="24"/>
        </w:rPr>
      </w:pPr>
      <w:r w:rsidRPr="001453D6">
        <w:rPr>
          <w:b/>
          <w:szCs w:val="24"/>
        </w:rPr>
        <w:t xml:space="preserve">Les gravillons et cailloux seront divisés en deux classes : 5/16 et 16/31,5 </w:t>
      </w:r>
    </w:p>
    <w:p w14:paraId="258FC37F" w14:textId="77777777" w:rsidR="0051589D" w:rsidRPr="001453D6" w:rsidRDefault="0051589D" w:rsidP="0051589D">
      <w:pPr>
        <w:pStyle w:val="Paragraphedeliste"/>
        <w:spacing w:after="0"/>
        <w:ind w:firstLine="0"/>
        <w:rPr>
          <w:b/>
          <w:szCs w:val="24"/>
        </w:rPr>
      </w:pPr>
    </w:p>
    <w:p w14:paraId="260DCE95" w14:textId="77777777" w:rsidR="00737D08" w:rsidRPr="001453D6" w:rsidRDefault="00737D08" w:rsidP="00737D08">
      <w:pPr>
        <w:spacing w:after="0"/>
        <w:rPr>
          <w:b/>
          <w:szCs w:val="24"/>
        </w:rPr>
      </w:pPr>
      <w:r w:rsidRPr="001453D6">
        <w:rPr>
          <w:b/>
          <w:szCs w:val="24"/>
        </w:rPr>
        <w:t xml:space="preserve">d. Propreté des sables </w:t>
      </w:r>
    </w:p>
    <w:p w14:paraId="7ABAEE4F" w14:textId="1E211775" w:rsidR="00737D08" w:rsidRPr="001453D6" w:rsidRDefault="00737D08" w:rsidP="00737D08">
      <w:pPr>
        <w:spacing w:after="0"/>
        <w:rPr>
          <w:szCs w:val="24"/>
        </w:rPr>
      </w:pPr>
      <w:r w:rsidRPr="001453D6">
        <w:rPr>
          <w:szCs w:val="24"/>
        </w:rPr>
        <w:t>L'équivalent de sable visuel mesuré sur la fraction 0/5 mm des sables, gravillons et cailloux entrant dans la composition du béton, ser</w:t>
      </w:r>
      <w:r w:rsidR="003C704F" w:rsidRPr="001453D6">
        <w:rPr>
          <w:szCs w:val="24"/>
        </w:rPr>
        <w:t>a supérieur à 75 (NF P 18-598).</w:t>
      </w:r>
    </w:p>
    <w:p w14:paraId="768DA60A" w14:textId="77777777" w:rsidR="003C704F" w:rsidRPr="001453D6" w:rsidRDefault="003C704F" w:rsidP="00737D08">
      <w:pPr>
        <w:spacing w:after="0"/>
        <w:rPr>
          <w:szCs w:val="24"/>
        </w:rPr>
      </w:pPr>
    </w:p>
    <w:p w14:paraId="70555823" w14:textId="77777777" w:rsidR="00737D08" w:rsidRPr="001453D6" w:rsidRDefault="00737D08" w:rsidP="00737D08">
      <w:pPr>
        <w:spacing w:after="0"/>
        <w:rPr>
          <w:b/>
          <w:szCs w:val="24"/>
        </w:rPr>
      </w:pPr>
      <w:r w:rsidRPr="001453D6">
        <w:rPr>
          <w:b/>
          <w:szCs w:val="24"/>
        </w:rPr>
        <w:t xml:space="preserve">e. Transport et emmagasinage </w:t>
      </w:r>
    </w:p>
    <w:p w14:paraId="15233845" w14:textId="77777777" w:rsidR="00737D08" w:rsidRPr="001453D6" w:rsidRDefault="00737D08" w:rsidP="00737D08">
      <w:pPr>
        <w:spacing w:after="0"/>
        <w:rPr>
          <w:szCs w:val="24"/>
        </w:rPr>
      </w:pPr>
      <w:r w:rsidRPr="001453D6">
        <w:rPr>
          <w:szCs w:val="24"/>
        </w:rPr>
        <w:t xml:space="preserve">1. Les méthodes de transport et de stockage devront éviter la ségrégation, 2. Les différentes classes de granules seront stockées en lots séparés sur une surface bétonnée. Le dispositif de stockage devra permettre un libre drainage des granulats, </w:t>
      </w:r>
    </w:p>
    <w:p w14:paraId="033264CB" w14:textId="77777777" w:rsidR="00737D08" w:rsidRPr="001453D6" w:rsidRDefault="00737D08" w:rsidP="00737D08">
      <w:pPr>
        <w:spacing w:after="0"/>
        <w:rPr>
          <w:szCs w:val="24"/>
        </w:rPr>
      </w:pPr>
      <w:r w:rsidRPr="001453D6">
        <w:rPr>
          <w:szCs w:val="24"/>
        </w:rPr>
        <w:t xml:space="preserve"> </w:t>
      </w:r>
    </w:p>
    <w:p w14:paraId="3F517C4A" w14:textId="77777777" w:rsidR="00737D08" w:rsidRPr="001453D6" w:rsidRDefault="00737D08" w:rsidP="00737D08">
      <w:pPr>
        <w:spacing w:after="0"/>
        <w:rPr>
          <w:szCs w:val="24"/>
        </w:rPr>
      </w:pPr>
      <w:r w:rsidRPr="001453D6">
        <w:rPr>
          <w:szCs w:val="24"/>
        </w:rPr>
        <w:t xml:space="preserve">3.  La capacité de chaque classe de granulats sera suffisante pour assurer la marche du chantier pendant 8 jours. </w:t>
      </w:r>
    </w:p>
    <w:p w14:paraId="3419F3BC" w14:textId="77777777" w:rsidR="00737D08" w:rsidRPr="001453D6" w:rsidRDefault="00737D08" w:rsidP="00737D08">
      <w:pPr>
        <w:spacing w:after="0"/>
        <w:rPr>
          <w:szCs w:val="24"/>
        </w:rPr>
      </w:pPr>
    </w:p>
    <w:p w14:paraId="62A83D66" w14:textId="268C7D7F" w:rsidR="00737D08" w:rsidRPr="001453D6" w:rsidRDefault="000224D2" w:rsidP="00737D08">
      <w:pPr>
        <w:spacing w:after="0"/>
        <w:rPr>
          <w:b/>
          <w:szCs w:val="24"/>
        </w:rPr>
      </w:pPr>
      <w:r w:rsidRPr="001453D6">
        <w:rPr>
          <w:b/>
          <w:szCs w:val="24"/>
        </w:rPr>
        <w:t>1.7</w:t>
      </w:r>
      <w:r w:rsidR="00737D08" w:rsidRPr="001453D6">
        <w:rPr>
          <w:b/>
          <w:szCs w:val="24"/>
        </w:rPr>
        <w:t xml:space="preserve"> EAU </w:t>
      </w:r>
    </w:p>
    <w:p w14:paraId="6B48648B" w14:textId="77777777" w:rsidR="00737D08" w:rsidRPr="001453D6" w:rsidRDefault="00737D08" w:rsidP="002A45C1">
      <w:pPr>
        <w:pStyle w:val="Paragraphedeliste"/>
        <w:numPr>
          <w:ilvl w:val="0"/>
          <w:numId w:val="92"/>
        </w:numPr>
        <w:spacing w:after="0"/>
        <w:jc w:val="left"/>
        <w:rPr>
          <w:szCs w:val="24"/>
        </w:rPr>
      </w:pPr>
      <w:r w:rsidRPr="001453D6">
        <w:rPr>
          <w:szCs w:val="24"/>
        </w:rPr>
        <w:t xml:space="preserve">L'eau satisfera aux exigences de la norme NF P 18-303. </w:t>
      </w:r>
    </w:p>
    <w:p w14:paraId="53461750" w14:textId="77777777" w:rsidR="00737D08" w:rsidRPr="001453D6" w:rsidRDefault="00737D08" w:rsidP="002A45C1">
      <w:pPr>
        <w:pStyle w:val="Paragraphedeliste"/>
        <w:numPr>
          <w:ilvl w:val="0"/>
          <w:numId w:val="92"/>
        </w:numPr>
        <w:spacing w:after="0"/>
        <w:jc w:val="left"/>
        <w:rPr>
          <w:szCs w:val="24"/>
        </w:rPr>
      </w:pPr>
      <w:r w:rsidRPr="001453D6">
        <w:rPr>
          <w:szCs w:val="24"/>
        </w:rPr>
        <w:t xml:space="preserve">L'eau de gâchage et de cure ne doit pas contenir d'impuretés qui affecteraient de manière significative la durée de prise, la résistance ou la durabilité du béton ou qui affecteraient l'apparence du béton, </w:t>
      </w:r>
    </w:p>
    <w:p w14:paraId="42F94AC7" w14:textId="77777777" w:rsidR="00737D08" w:rsidRPr="001453D6" w:rsidRDefault="00737D08" w:rsidP="002A45C1">
      <w:pPr>
        <w:pStyle w:val="Paragraphedeliste"/>
        <w:numPr>
          <w:ilvl w:val="0"/>
          <w:numId w:val="92"/>
        </w:numPr>
        <w:spacing w:after="0"/>
        <w:jc w:val="left"/>
        <w:rPr>
          <w:szCs w:val="24"/>
        </w:rPr>
      </w:pPr>
      <w:r w:rsidRPr="001453D6">
        <w:rPr>
          <w:szCs w:val="24"/>
        </w:rPr>
        <w:t>Lorsque la qualité de l'eau est douteuse, suivant l'opinion de l'Ingénieur, des essais comparatifs de résistance à la compression et de temps de prise seront exécutés sur 2 pâtes faites avec le ciment utilisé. L'une des pâtes sera faite avec l'eau en question et l'autre, la pâte de référence, avec de l'eau distillée dans les mêmes conditions. L'eau sera acceptable si les résultats des essais satisfont les valeurs suivantes.</w:t>
      </w:r>
    </w:p>
    <w:p w14:paraId="26FE99F2" w14:textId="77777777" w:rsidR="00737D08" w:rsidRPr="001453D6" w:rsidRDefault="00737D08" w:rsidP="00737D08">
      <w:pPr>
        <w:spacing w:after="0"/>
        <w:rPr>
          <w:szCs w:val="24"/>
        </w:rPr>
      </w:pPr>
    </w:p>
    <w:tbl>
      <w:tblPr>
        <w:tblW w:w="0" w:type="auto"/>
        <w:tblLook w:val="04A0" w:firstRow="1" w:lastRow="0" w:firstColumn="1" w:lastColumn="0" w:noHBand="0" w:noVBand="1"/>
      </w:tblPr>
      <w:tblGrid>
        <w:gridCol w:w="3070"/>
        <w:gridCol w:w="3071"/>
        <w:gridCol w:w="3071"/>
      </w:tblGrid>
      <w:tr w:rsidR="00737D08" w:rsidRPr="001453D6" w14:paraId="51ED1B4A" w14:textId="77777777" w:rsidTr="007E15F3">
        <w:tc>
          <w:tcPr>
            <w:tcW w:w="3070" w:type="dxa"/>
          </w:tcPr>
          <w:p w14:paraId="1064B082" w14:textId="77777777" w:rsidR="00737D08" w:rsidRPr="001453D6" w:rsidRDefault="00737D08" w:rsidP="007E15F3">
            <w:pPr>
              <w:rPr>
                <w:szCs w:val="24"/>
              </w:rPr>
            </w:pPr>
            <w:r w:rsidRPr="001453D6">
              <w:rPr>
                <w:szCs w:val="24"/>
              </w:rPr>
              <w:t>Essai</w:t>
            </w:r>
          </w:p>
        </w:tc>
        <w:tc>
          <w:tcPr>
            <w:tcW w:w="3071" w:type="dxa"/>
          </w:tcPr>
          <w:p w14:paraId="01D42BAB" w14:textId="77777777" w:rsidR="00737D08" w:rsidRPr="001453D6" w:rsidRDefault="00737D08" w:rsidP="007E15F3">
            <w:pPr>
              <w:rPr>
                <w:szCs w:val="24"/>
              </w:rPr>
            </w:pPr>
            <w:r w:rsidRPr="001453D6">
              <w:rPr>
                <w:szCs w:val="24"/>
              </w:rPr>
              <w:t>Limite</w:t>
            </w:r>
          </w:p>
        </w:tc>
        <w:tc>
          <w:tcPr>
            <w:tcW w:w="3071" w:type="dxa"/>
          </w:tcPr>
          <w:p w14:paraId="439BFAB0" w14:textId="77777777" w:rsidR="00737D08" w:rsidRPr="001453D6" w:rsidRDefault="00737D08" w:rsidP="007E15F3">
            <w:pPr>
              <w:rPr>
                <w:szCs w:val="24"/>
              </w:rPr>
            </w:pPr>
            <w:r w:rsidRPr="001453D6">
              <w:rPr>
                <w:szCs w:val="24"/>
              </w:rPr>
              <w:t>Norme</w:t>
            </w:r>
          </w:p>
        </w:tc>
      </w:tr>
      <w:tr w:rsidR="00737D08" w:rsidRPr="001453D6" w14:paraId="378A50CB" w14:textId="77777777" w:rsidTr="007E15F3">
        <w:tc>
          <w:tcPr>
            <w:tcW w:w="3070" w:type="dxa"/>
          </w:tcPr>
          <w:p w14:paraId="103CBF33" w14:textId="77777777" w:rsidR="00737D08" w:rsidRPr="001453D6" w:rsidRDefault="00737D08" w:rsidP="007E15F3">
            <w:pPr>
              <w:rPr>
                <w:szCs w:val="24"/>
              </w:rPr>
            </w:pPr>
            <w:r w:rsidRPr="001453D6">
              <w:rPr>
                <w:szCs w:val="24"/>
              </w:rPr>
              <w:t>Résistance à la compression à 7 jours rapport minimal par rapport à la pâte de référence</w:t>
            </w:r>
          </w:p>
        </w:tc>
        <w:tc>
          <w:tcPr>
            <w:tcW w:w="3071" w:type="dxa"/>
          </w:tcPr>
          <w:p w14:paraId="057FCECA" w14:textId="77777777" w:rsidR="00737D08" w:rsidRPr="001453D6" w:rsidRDefault="00737D08" w:rsidP="007E15F3">
            <w:pPr>
              <w:ind w:left="360" w:firstLine="360"/>
              <w:rPr>
                <w:szCs w:val="24"/>
              </w:rPr>
            </w:pPr>
            <w:r w:rsidRPr="001453D6">
              <w:rPr>
                <w:szCs w:val="24"/>
              </w:rPr>
              <w:t>90%</w:t>
            </w:r>
          </w:p>
        </w:tc>
        <w:tc>
          <w:tcPr>
            <w:tcW w:w="3071" w:type="dxa"/>
          </w:tcPr>
          <w:p w14:paraId="132CC4E5" w14:textId="77777777" w:rsidR="00737D08" w:rsidRPr="001453D6" w:rsidRDefault="00737D08" w:rsidP="007E15F3">
            <w:pPr>
              <w:ind w:left="360" w:firstLine="360"/>
              <w:rPr>
                <w:szCs w:val="24"/>
              </w:rPr>
            </w:pPr>
            <w:r w:rsidRPr="001453D6">
              <w:rPr>
                <w:szCs w:val="24"/>
              </w:rPr>
              <w:t>NF P 15-451</w:t>
            </w:r>
          </w:p>
        </w:tc>
      </w:tr>
      <w:tr w:rsidR="00737D08" w:rsidRPr="001453D6" w14:paraId="6B4E32AD" w14:textId="77777777" w:rsidTr="007E15F3">
        <w:tc>
          <w:tcPr>
            <w:tcW w:w="3070" w:type="dxa"/>
          </w:tcPr>
          <w:p w14:paraId="50577AEE" w14:textId="79455931" w:rsidR="00737D08" w:rsidRPr="001453D6" w:rsidRDefault="00737D08" w:rsidP="00DB26D4">
            <w:pPr>
              <w:rPr>
                <w:szCs w:val="24"/>
              </w:rPr>
            </w:pPr>
            <w:r w:rsidRPr="001453D6">
              <w:rPr>
                <w:szCs w:val="24"/>
              </w:rPr>
              <w:t xml:space="preserve">Temps de début de prise écart maximal par rapport à la pâte de référence </w:t>
            </w:r>
          </w:p>
        </w:tc>
        <w:tc>
          <w:tcPr>
            <w:tcW w:w="3071" w:type="dxa"/>
          </w:tcPr>
          <w:p w14:paraId="4713D03B" w14:textId="77777777" w:rsidR="00737D08" w:rsidRPr="001453D6" w:rsidRDefault="00737D08" w:rsidP="007E15F3">
            <w:pPr>
              <w:ind w:left="360" w:firstLine="360"/>
              <w:rPr>
                <w:szCs w:val="24"/>
              </w:rPr>
            </w:pPr>
            <w:r w:rsidRPr="001453D6">
              <w:rPr>
                <w:szCs w:val="24"/>
              </w:rPr>
              <w:t>1h</w:t>
            </w:r>
          </w:p>
        </w:tc>
        <w:tc>
          <w:tcPr>
            <w:tcW w:w="3071" w:type="dxa"/>
          </w:tcPr>
          <w:p w14:paraId="5E28441E" w14:textId="77777777" w:rsidR="00737D08" w:rsidRPr="001453D6" w:rsidRDefault="00737D08" w:rsidP="007E15F3">
            <w:pPr>
              <w:ind w:left="360" w:firstLine="360"/>
              <w:rPr>
                <w:szCs w:val="24"/>
              </w:rPr>
            </w:pPr>
            <w:r w:rsidRPr="001453D6">
              <w:rPr>
                <w:szCs w:val="24"/>
              </w:rPr>
              <w:t xml:space="preserve">NF P 15-431 </w:t>
            </w:r>
          </w:p>
          <w:p w14:paraId="49CA2730" w14:textId="77777777" w:rsidR="00737D08" w:rsidRPr="001453D6" w:rsidRDefault="00737D08" w:rsidP="007E15F3">
            <w:pPr>
              <w:rPr>
                <w:szCs w:val="24"/>
              </w:rPr>
            </w:pPr>
          </w:p>
        </w:tc>
      </w:tr>
    </w:tbl>
    <w:p w14:paraId="31FB19AC" w14:textId="77777777" w:rsidR="00737D08" w:rsidRPr="001453D6" w:rsidRDefault="00737D08" w:rsidP="00737D08">
      <w:pPr>
        <w:spacing w:after="0"/>
        <w:rPr>
          <w:b/>
          <w:szCs w:val="24"/>
        </w:rPr>
      </w:pPr>
      <w:r w:rsidRPr="001453D6">
        <w:rPr>
          <w:b/>
          <w:szCs w:val="24"/>
        </w:rPr>
        <w:t xml:space="preserve"> </w:t>
      </w:r>
    </w:p>
    <w:p w14:paraId="0914BB06" w14:textId="77777777" w:rsidR="00737D08" w:rsidRPr="001453D6" w:rsidRDefault="00737D08" w:rsidP="00737D08">
      <w:pPr>
        <w:spacing w:after="0"/>
        <w:rPr>
          <w:b/>
          <w:szCs w:val="24"/>
        </w:rPr>
      </w:pPr>
      <w:r w:rsidRPr="001453D6">
        <w:rPr>
          <w:b/>
          <w:szCs w:val="24"/>
        </w:rPr>
        <w:t xml:space="preserve">1.8 ADJUVANTS </w:t>
      </w:r>
    </w:p>
    <w:p w14:paraId="22F1D441" w14:textId="77777777" w:rsidR="00D62C56" w:rsidRDefault="00737D08" w:rsidP="000224D2">
      <w:pPr>
        <w:spacing w:after="0"/>
        <w:ind w:left="284" w:hanging="284"/>
        <w:rPr>
          <w:szCs w:val="24"/>
        </w:rPr>
      </w:pPr>
      <w:r w:rsidRPr="001453D6">
        <w:rPr>
          <w:szCs w:val="24"/>
        </w:rPr>
        <w:t xml:space="preserve"> L'emploi d'adjuvants contenant du chlorure de calcium sera interdit,  </w:t>
      </w:r>
    </w:p>
    <w:p w14:paraId="4642AF93" w14:textId="77777777" w:rsidR="00D62C56" w:rsidRDefault="00737D08" w:rsidP="000224D2">
      <w:pPr>
        <w:spacing w:after="0"/>
        <w:ind w:left="284" w:hanging="284"/>
        <w:rPr>
          <w:szCs w:val="24"/>
        </w:rPr>
      </w:pPr>
      <w:r w:rsidRPr="001453D6">
        <w:rPr>
          <w:szCs w:val="24"/>
        </w:rPr>
        <w:t xml:space="preserve"> Tout adjuvant se présentera sous forme liquide, </w:t>
      </w:r>
    </w:p>
    <w:p w14:paraId="50E56EB2" w14:textId="77777777" w:rsidR="00D62C56" w:rsidRDefault="00737D08" w:rsidP="000224D2">
      <w:pPr>
        <w:spacing w:after="0"/>
        <w:ind w:left="284" w:hanging="284"/>
        <w:rPr>
          <w:szCs w:val="24"/>
        </w:rPr>
      </w:pPr>
      <w:r w:rsidRPr="001453D6">
        <w:rPr>
          <w:szCs w:val="24"/>
        </w:rPr>
        <w:t> L'emploi d'adjuvant réducteur d'eau imposé,</w:t>
      </w:r>
    </w:p>
    <w:p w14:paraId="7B5778FE" w14:textId="007E8E58" w:rsidR="00737D08" w:rsidRPr="001453D6" w:rsidRDefault="00737D08" w:rsidP="000224D2">
      <w:pPr>
        <w:spacing w:after="0"/>
        <w:ind w:left="284" w:hanging="284"/>
        <w:rPr>
          <w:szCs w:val="24"/>
        </w:rPr>
      </w:pPr>
      <w:r w:rsidRPr="001453D6">
        <w:rPr>
          <w:szCs w:val="24"/>
        </w:rPr>
        <w:t xml:space="preserve"> L'Entrepreneur fournira pour approbation de tout </w:t>
      </w:r>
      <w:r w:rsidR="00DA57F5" w:rsidRPr="001453D6">
        <w:rPr>
          <w:szCs w:val="24"/>
        </w:rPr>
        <w:t>adjuvant :</w:t>
      </w:r>
      <w:r w:rsidRPr="001453D6">
        <w:rPr>
          <w:szCs w:val="24"/>
        </w:rPr>
        <w:t xml:space="preserve">  1 - La fiche d'agrément de la COPLA, 2 - Un dossier montrant sur la base d'essais la compatibilité de tout adjuvant avec les autres composants du béton, leur influence sur le dosage en eau à consistance égale, leur effet sur la consistance à dosage en eau égal, les temps de début et de fin de prise d'une pâte pure, les résistances mécaniques du béton obtenu. Ces essais seront faits pour le dosage optimal proposé et pour des dosages moitiés et double de ce dosage optimal. </w:t>
      </w:r>
    </w:p>
    <w:p w14:paraId="65C9A1BB" w14:textId="77777777" w:rsidR="00737D08" w:rsidRPr="001453D6" w:rsidRDefault="00737D08" w:rsidP="00737D08">
      <w:pPr>
        <w:spacing w:after="0"/>
        <w:rPr>
          <w:szCs w:val="24"/>
        </w:rPr>
      </w:pPr>
    </w:p>
    <w:p w14:paraId="034E6DB6" w14:textId="0602AC29" w:rsidR="00737D08" w:rsidRPr="001453D6" w:rsidRDefault="000224D2" w:rsidP="00737D08">
      <w:pPr>
        <w:spacing w:after="0"/>
        <w:rPr>
          <w:b/>
          <w:szCs w:val="24"/>
        </w:rPr>
      </w:pPr>
      <w:r w:rsidRPr="001453D6">
        <w:rPr>
          <w:b/>
          <w:szCs w:val="24"/>
        </w:rPr>
        <w:t>1.9 BETON</w:t>
      </w:r>
    </w:p>
    <w:p w14:paraId="68EB910D" w14:textId="77777777" w:rsidR="000224D2" w:rsidRPr="001453D6" w:rsidRDefault="000224D2" w:rsidP="00737D08">
      <w:pPr>
        <w:spacing w:after="0"/>
        <w:rPr>
          <w:b/>
          <w:szCs w:val="24"/>
        </w:rPr>
      </w:pPr>
    </w:p>
    <w:p w14:paraId="72D38C5F" w14:textId="77777777" w:rsidR="00737D08" w:rsidRPr="001453D6" w:rsidRDefault="00737D08" w:rsidP="00737D08">
      <w:pPr>
        <w:spacing w:after="0"/>
        <w:rPr>
          <w:b/>
          <w:szCs w:val="24"/>
        </w:rPr>
      </w:pPr>
      <w:r w:rsidRPr="001453D6">
        <w:rPr>
          <w:b/>
          <w:szCs w:val="24"/>
        </w:rPr>
        <w:t xml:space="preserve">a. Classes de bétons </w:t>
      </w:r>
    </w:p>
    <w:p w14:paraId="38BD0DA1" w14:textId="120E19B4" w:rsidR="00737D08" w:rsidRPr="001453D6" w:rsidRDefault="00737D08" w:rsidP="00737D08">
      <w:pPr>
        <w:spacing w:after="0"/>
        <w:rPr>
          <w:szCs w:val="24"/>
        </w:rPr>
      </w:pPr>
      <w:r w:rsidRPr="001453D6">
        <w:rPr>
          <w:szCs w:val="24"/>
        </w:rPr>
        <w:t xml:space="preserve">Les bétons sont désignés par la résistance caractéristique en </w:t>
      </w:r>
      <w:proofErr w:type="spellStart"/>
      <w:r w:rsidRPr="001453D6">
        <w:rPr>
          <w:szCs w:val="24"/>
        </w:rPr>
        <w:t>MPa</w:t>
      </w:r>
      <w:proofErr w:type="spellEnd"/>
      <w:r w:rsidRPr="001453D6">
        <w:rPr>
          <w:szCs w:val="24"/>
        </w:rPr>
        <w:t xml:space="preserve"> suivie par la dimension maximale des granulats en mm (la résistance caractéristique </w:t>
      </w:r>
      <w:proofErr w:type="spellStart"/>
      <w:r w:rsidRPr="001453D6">
        <w:rPr>
          <w:szCs w:val="24"/>
        </w:rPr>
        <w:t>fck</w:t>
      </w:r>
      <w:proofErr w:type="spellEnd"/>
      <w:r w:rsidRPr="001453D6">
        <w:rPr>
          <w:szCs w:val="24"/>
        </w:rPr>
        <w:t xml:space="preserve"> est la résistance à la compression à 28 jours en dessous de laquelle moins de 5% des échantillons devraient être rencontrés :   </w:t>
      </w:r>
    </w:p>
    <w:p w14:paraId="72FEFDB7" w14:textId="77777777" w:rsidR="0051589D" w:rsidRPr="001453D6" w:rsidRDefault="0051589D" w:rsidP="00737D08">
      <w:pPr>
        <w:spacing w:after="0"/>
        <w:rPr>
          <w:szCs w:val="24"/>
        </w:rPr>
      </w:pPr>
    </w:p>
    <w:tbl>
      <w:tblPr>
        <w:tblW w:w="9606" w:type="dxa"/>
        <w:tblLook w:val="04A0" w:firstRow="1" w:lastRow="0" w:firstColumn="1" w:lastColumn="0" w:noHBand="0" w:noVBand="1"/>
      </w:tblPr>
      <w:tblGrid>
        <w:gridCol w:w="843"/>
        <w:gridCol w:w="2236"/>
        <w:gridCol w:w="1376"/>
        <w:gridCol w:w="972"/>
        <w:gridCol w:w="1811"/>
        <w:gridCol w:w="2368"/>
      </w:tblGrid>
      <w:tr w:rsidR="00737D08" w:rsidRPr="001453D6" w14:paraId="17F2F800" w14:textId="77777777" w:rsidTr="007E15F3">
        <w:tc>
          <w:tcPr>
            <w:tcW w:w="817" w:type="dxa"/>
          </w:tcPr>
          <w:p w14:paraId="47C0A04C" w14:textId="77777777" w:rsidR="00737D08" w:rsidRPr="001453D6" w:rsidRDefault="00737D08" w:rsidP="007E15F3">
            <w:pPr>
              <w:rPr>
                <w:szCs w:val="24"/>
              </w:rPr>
            </w:pPr>
            <w:r w:rsidRPr="001453D6">
              <w:rPr>
                <w:szCs w:val="24"/>
              </w:rPr>
              <w:t>Classe</w:t>
            </w:r>
          </w:p>
        </w:tc>
        <w:tc>
          <w:tcPr>
            <w:tcW w:w="2253" w:type="dxa"/>
          </w:tcPr>
          <w:p w14:paraId="43D25009" w14:textId="77777777" w:rsidR="00737D08" w:rsidRPr="001453D6" w:rsidRDefault="00737D08" w:rsidP="007E15F3">
            <w:pPr>
              <w:rPr>
                <w:szCs w:val="24"/>
              </w:rPr>
            </w:pPr>
            <w:r w:rsidRPr="001453D6">
              <w:rPr>
                <w:szCs w:val="24"/>
              </w:rPr>
              <w:t>Destination</w:t>
            </w:r>
          </w:p>
        </w:tc>
        <w:tc>
          <w:tcPr>
            <w:tcW w:w="1305" w:type="dxa"/>
          </w:tcPr>
          <w:p w14:paraId="76554D98" w14:textId="77777777" w:rsidR="00737D08" w:rsidRPr="001453D6" w:rsidRDefault="00737D08" w:rsidP="007E15F3">
            <w:pPr>
              <w:rPr>
                <w:szCs w:val="24"/>
              </w:rPr>
            </w:pPr>
            <w:r w:rsidRPr="001453D6">
              <w:rPr>
                <w:szCs w:val="24"/>
              </w:rPr>
              <w:t>Désignation</w:t>
            </w:r>
          </w:p>
        </w:tc>
        <w:tc>
          <w:tcPr>
            <w:tcW w:w="978" w:type="dxa"/>
          </w:tcPr>
          <w:p w14:paraId="418EC8BD" w14:textId="77777777" w:rsidR="00737D08" w:rsidRPr="001453D6" w:rsidRDefault="00737D08" w:rsidP="007E15F3">
            <w:pPr>
              <w:rPr>
                <w:szCs w:val="24"/>
              </w:rPr>
            </w:pPr>
            <w:proofErr w:type="spellStart"/>
            <w:r w:rsidRPr="001453D6">
              <w:rPr>
                <w:szCs w:val="24"/>
              </w:rPr>
              <w:t>Fck</w:t>
            </w:r>
            <w:proofErr w:type="spellEnd"/>
            <w:r w:rsidRPr="001453D6">
              <w:rPr>
                <w:szCs w:val="24"/>
              </w:rPr>
              <w:t xml:space="preserve"> (</w:t>
            </w:r>
            <w:proofErr w:type="spellStart"/>
            <w:r w:rsidRPr="001453D6">
              <w:rPr>
                <w:szCs w:val="24"/>
              </w:rPr>
              <w:t>MPa</w:t>
            </w:r>
            <w:proofErr w:type="spellEnd"/>
            <w:r w:rsidRPr="001453D6">
              <w:rPr>
                <w:szCs w:val="24"/>
              </w:rPr>
              <w:t xml:space="preserve">) </w:t>
            </w:r>
          </w:p>
        </w:tc>
        <w:tc>
          <w:tcPr>
            <w:tcW w:w="1843" w:type="dxa"/>
          </w:tcPr>
          <w:p w14:paraId="1DB7D2B4" w14:textId="77777777" w:rsidR="00737D08" w:rsidRPr="001453D6" w:rsidRDefault="00737D08" w:rsidP="007E15F3">
            <w:pPr>
              <w:rPr>
                <w:szCs w:val="24"/>
              </w:rPr>
            </w:pPr>
            <w:r w:rsidRPr="001453D6">
              <w:rPr>
                <w:szCs w:val="24"/>
              </w:rPr>
              <w:t>Dosage en ciment (kg/m3)</w:t>
            </w:r>
          </w:p>
        </w:tc>
        <w:tc>
          <w:tcPr>
            <w:tcW w:w="2410" w:type="dxa"/>
          </w:tcPr>
          <w:p w14:paraId="301B0747" w14:textId="77777777" w:rsidR="00737D08" w:rsidRPr="001453D6" w:rsidRDefault="00737D08" w:rsidP="007E15F3">
            <w:pPr>
              <w:rPr>
                <w:szCs w:val="24"/>
              </w:rPr>
            </w:pPr>
            <w:r w:rsidRPr="001453D6">
              <w:rPr>
                <w:szCs w:val="24"/>
              </w:rPr>
              <w:t xml:space="preserve">Dimension maximale granulats (mm) </w:t>
            </w:r>
          </w:p>
        </w:tc>
      </w:tr>
      <w:tr w:rsidR="00993BA9" w:rsidRPr="001453D6" w14:paraId="7BF1EBC3" w14:textId="77777777" w:rsidTr="000224D2">
        <w:tc>
          <w:tcPr>
            <w:tcW w:w="817" w:type="dxa"/>
            <w:vAlign w:val="center"/>
          </w:tcPr>
          <w:p w14:paraId="5F20DD3B" w14:textId="77777777" w:rsidR="00737D08" w:rsidRPr="001453D6" w:rsidRDefault="00737D08" w:rsidP="007E15F3">
            <w:pPr>
              <w:rPr>
                <w:szCs w:val="24"/>
              </w:rPr>
            </w:pPr>
            <w:r w:rsidRPr="001453D6">
              <w:rPr>
                <w:szCs w:val="24"/>
              </w:rPr>
              <w:t>1</w:t>
            </w:r>
          </w:p>
        </w:tc>
        <w:tc>
          <w:tcPr>
            <w:tcW w:w="2253" w:type="dxa"/>
            <w:vAlign w:val="center"/>
          </w:tcPr>
          <w:p w14:paraId="0AD41A58" w14:textId="77777777" w:rsidR="00737D08" w:rsidRPr="001453D6" w:rsidRDefault="00737D08" w:rsidP="007E15F3">
            <w:pPr>
              <w:ind w:left="360" w:firstLine="360"/>
              <w:rPr>
                <w:szCs w:val="24"/>
              </w:rPr>
            </w:pPr>
            <w:r w:rsidRPr="001453D6">
              <w:rPr>
                <w:szCs w:val="24"/>
              </w:rPr>
              <w:t>Béton pour lavoirs et abreuvoirs et béton de propreté</w:t>
            </w:r>
          </w:p>
        </w:tc>
        <w:tc>
          <w:tcPr>
            <w:tcW w:w="1305" w:type="dxa"/>
            <w:vAlign w:val="center"/>
          </w:tcPr>
          <w:p w14:paraId="060369C1" w14:textId="77777777" w:rsidR="00737D08" w:rsidRPr="001453D6" w:rsidRDefault="00737D08" w:rsidP="000224D2">
            <w:pPr>
              <w:ind w:left="360" w:firstLine="0"/>
              <w:rPr>
                <w:szCs w:val="24"/>
              </w:rPr>
            </w:pPr>
            <w:r w:rsidRPr="001453D6">
              <w:rPr>
                <w:szCs w:val="24"/>
              </w:rPr>
              <w:t>15-25</w:t>
            </w:r>
          </w:p>
        </w:tc>
        <w:tc>
          <w:tcPr>
            <w:tcW w:w="978" w:type="dxa"/>
            <w:vAlign w:val="center"/>
          </w:tcPr>
          <w:p w14:paraId="4BFCC50A" w14:textId="77777777" w:rsidR="00737D08" w:rsidRPr="001453D6" w:rsidRDefault="00737D08" w:rsidP="007E15F3">
            <w:pPr>
              <w:ind w:left="360" w:firstLine="360"/>
              <w:rPr>
                <w:szCs w:val="24"/>
              </w:rPr>
            </w:pPr>
            <w:r w:rsidRPr="001453D6">
              <w:rPr>
                <w:szCs w:val="24"/>
              </w:rPr>
              <w:t>15</w:t>
            </w:r>
          </w:p>
        </w:tc>
        <w:tc>
          <w:tcPr>
            <w:tcW w:w="1843" w:type="dxa"/>
            <w:vAlign w:val="center"/>
          </w:tcPr>
          <w:p w14:paraId="3B1FE5C1" w14:textId="77777777" w:rsidR="00737D08" w:rsidRPr="001453D6" w:rsidRDefault="00737D08" w:rsidP="007E15F3">
            <w:pPr>
              <w:ind w:left="360" w:firstLine="360"/>
              <w:rPr>
                <w:szCs w:val="24"/>
              </w:rPr>
            </w:pPr>
            <w:r w:rsidRPr="001453D6">
              <w:rPr>
                <w:szCs w:val="24"/>
              </w:rPr>
              <w:t>250</w:t>
            </w:r>
          </w:p>
        </w:tc>
        <w:tc>
          <w:tcPr>
            <w:tcW w:w="2410" w:type="dxa"/>
            <w:vAlign w:val="center"/>
          </w:tcPr>
          <w:p w14:paraId="51BDDDC7" w14:textId="77777777" w:rsidR="00737D08" w:rsidRPr="001453D6" w:rsidRDefault="00737D08" w:rsidP="007E15F3">
            <w:pPr>
              <w:ind w:left="360" w:firstLine="360"/>
              <w:rPr>
                <w:szCs w:val="24"/>
              </w:rPr>
            </w:pPr>
            <w:r w:rsidRPr="001453D6">
              <w:rPr>
                <w:szCs w:val="24"/>
              </w:rPr>
              <w:t>25</w:t>
            </w:r>
          </w:p>
        </w:tc>
      </w:tr>
      <w:tr w:rsidR="00993BA9" w:rsidRPr="001453D6" w14:paraId="542D9AB6" w14:textId="77777777" w:rsidTr="000224D2">
        <w:tc>
          <w:tcPr>
            <w:tcW w:w="817" w:type="dxa"/>
            <w:vAlign w:val="center"/>
          </w:tcPr>
          <w:p w14:paraId="0AEE9B31" w14:textId="77777777" w:rsidR="00737D08" w:rsidRPr="001453D6" w:rsidRDefault="00737D08" w:rsidP="007E15F3">
            <w:pPr>
              <w:ind w:left="360" w:firstLine="360"/>
              <w:rPr>
                <w:szCs w:val="24"/>
              </w:rPr>
            </w:pPr>
            <w:r w:rsidRPr="001453D6">
              <w:rPr>
                <w:szCs w:val="24"/>
              </w:rPr>
              <w:t>2</w:t>
            </w:r>
          </w:p>
        </w:tc>
        <w:tc>
          <w:tcPr>
            <w:tcW w:w="2253" w:type="dxa"/>
            <w:vAlign w:val="center"/>
          </w:tcPr>
          <w:p w14:paraId="7EC46A4F" w14:textId="77777777" w:rsidR="00737D08" w:rsidRPr="001453D6" w:rsidRDefault="00737D08" w:rsidP="007E15F3">
            <w:pPr>
              <w:ind w:left="360" w:firstLine="360"/>
              <w:rPr>
                <w:szCs w:val="24"/>
              </w:rPr>
            </w:pPr>
            <w:r w:rsidRPr="001453D6">
              <w:rPr>
                <w:szCs w:val="24"/>
              </w:rPr>
              <w:t>Béton de scellement des équipements et béton de ragréage</w:t>
            </w:r>
          </w:p>
        </w:tc>
        <w:tc>
          <w:tcPr>
            <w:tcW w:w="1305" w:type="dxa"/>
            <w:vAlign w:val="center"/>
          </w:tcPr>
          <w:p w14:paraId="502F4BCA" w14:textId="77777777" w:rsidR="00737D08" w:rsidRPr="001453D6" w:rsidRDefault="00737D08" w:rsidP="000224D2">
            <w:pPr>
              <w:ind w:left="360" w:firstLine="0"/>
              <w:rPr>
                <w:szCs w:val="24"/>
              </w:rPr>
            </w:pPr>
            <w:r w:rsidRPr="001453D6">
              <w:rPr>
                <w:szCs w:val="24"/>
              </w:rPr>
              <w:t>20-16</w:t>
            </w:r>
          </w:p>
        </w:tc>
        <w:tc>
          <w:tcPr>
            <w:tcW w:w="978" w:type="dxa"/>
            <w:vAlign w:val="center"/>
          </w:tcPr>
          <w:p w14:paraId="417B5E39" w14:textId="77777777" w:rsidR="00737D08" w:rsidRPr="001453D6" w:rsidRDefault="00737D08" w:rsidP="007E15F3">
            <w:pPr>
              <w:ind w:left="360" w:firstLine="360"/>
              <w:rPr>
                <w:szCs w:val="24"/>
              </w:rPr>
            </w:pPr>
            <w:r w:rsidRPr="001453D6">
              <w:rPr>
                <w:szCs w:val="24"/>
              </w:rPr>
              <w:t>20</w:t>
            </w:r>
          </w:p>
        </w:tc>
        <w:tc>
          <w:tcPr>
            <w:tcW w:w="1843" w:type="dxa"/>
            <w:vAlign w:val="center"/>
          </w:tcPr>
          <w:p w14:paraId="34DA8261" w14:textId="77777777" w:rsidR="00737D08" w:rsidRPr="001453D6" w:rsidRDefault="00737D08" w:rsidP="007E15F3">
            <w:pPr>
              <w:ind w:left="360" w:firstLine="360"/>
              <w:rPr>
                <w:szCs w:val="24"/>
              </w:rPr>
            </w:pPr>
            <w:r w:rsidRPr="001453D6">
              <w:rPr>
                <w:szCs w:val="24"/>
              </w:rPr>
              <w:t>350</w:t>
            </w:r>
          </w:p>
        </w:tc>
        <w:tc>
          <w:tcPr>
            <w:tcW w:w="2410" w:type="dxa"/>
            <w:vAlign w:val="center"/>
          </w:tcPr>
          <w:p w14:paraId="3DC89CA1" w14:textId="77777777" w:rsidR="00737D08" w:rsidRPr="001453D6" w:rsidRDefault="00737D08" w:rsidP="007E15F3">
            <w:pPr>
              <w:ind w:left="360" w:firstLine="360"/>
              <w:rPr>
                <w:szCs w:val="24"/>
              </w:rPr>
            </w:pPr>
            <w:r w:rsidRPr="001453D6">
              <w:rPr>
                <w:szCs w:val="24"/>
              </w:rPr>
              <w:t>16</w:t>
            </w:r>
          </w:p>
        </w:tc>
      </w:tr>
      <w:tr w:rsidR="00993BA9" w:rsidRPr="001453D6" w14:paraId="10C6B9F5" w14:textId="77777777" w:rsidTr="000224D2">
        <w:tc>
          <w:tcPr>
            <w:tcW w:w="817" w:type="dxa"/>
            <w:vAlign w:val="center"/>
          </w:tcPr>
          <w:p w14:paraId="74952A3B" w14:textId="77777777" w:rsidR="00737D08" w:rsidRPr="001453D6" w:rsidRDefault="00737D08" w:rsidP="007E15F3">
            <w:pPr>
              <w:ind w:left="360" w:firstLine="360"/>
              <w:rPr>
                <w:szCs w:val="24"/>
              </w:rPr>
            </w:pPr>
            <w:r w:rsidRPr="001453D6">
              <w:rPr>
                <w:szCs w:val="24"/>
              </w:rPr>
              <w:t>3</w:t>
            </w:r>
          </w:p>
        </w:tc>
        <w:tc>
          <w:tcPr>
            <w:tcW w:w="2253" w:type="dxa"/>
            <w:vAlign w:val="center"/>
          </w:tcPr>
          <w:p w14:paraId="19820BC7" w14:textId="77777777" w:rsidR="00737D08" w:rsidRPr="001453D6" w:rsidRDefault="00737D08" w:rsidP="007E15F3">
            <w:pPr>
              <w:ind w:left="360" w:firstLine="360"/>
              <w:rPr>
                <w:szCs w:val="24"/>
              </w:rPr>
            </w:pPr>
            <w:r w:rsidRPr="001453D6">
              <w:rPr>
                <w:szCs w:val="24"/>
              </w:rPr>
              <w:t>Béton armé d'ouvrages et autres bétons</w:t>
            </w:r>
          </w:p>
        </w:tc>
        <w:tc>
          <w:tcPr>
            <w:tcW w:w="1305" w:type="dxa"/>
            <w:vAlign w:val="center"/>
          </w:tcPr>
          <w:p w14:paraId="2D0A8BF7" w14:textId="77777777" w:rsidR="00737D08" w:rsidRPr="001453D6" w:rsidRDefault="00737D08" w:rsidP="000224D2">
            <w:pPr>
              <w:ind w:left="360" w:firstLine="0"/>
              <w:rPr>
                <w:szCs w:val="24"/>
              </w:rPr>
            </w:pPr>
            <w:r w:rsidRPr="001453D6">
              <w:rPr>
                <w:szCs w:val="24"/>
              </w:rPr>
              <w:t>20-25</w:t>
            </w:r>
          </w:p>
        </w:tc>
        <w:tc>
          <w:tcPr>
            <w:tcW w:w="978" w:type="dxa"/>
            <w:vAlign w:val="center"/>
          </w:tcPr>
          <w:p w14:paraId="08A83ED4" w14:textId="77777777" w:rsidR="00737D08" w:rsidRPr="001453D6" w:rsidRDefault="00737D08" w:rsidP="007E15F3">
            <w:pPr>
              <w:ind w:left="360" w:firstLine="360"/>
              <w:rPr>
                <w:szCs w:val="24"/>
              </w:rPr>
            </w:pPr>
            <w:r w:rsidRPr="001453D6">
              <w:rPr>
                <w:szCs w:val="24"/>
              </w:rPr>
              <w:t>20</w:t>
            </w:r>
          </w:p>
        </w:tc>
        <w:tc>
          <w:tcPr>
            <w:tcW w:w="1843" w:type="dxa"/>
            <w:vAlign w:val="center"/>
          </w:tcPr>
          <w:p w14:paraId="397EF20E" w14:textId="77777777" w:rsidR="00737D08" w:rsidRPr="001453D6" w:rsidRDefault="00737D08" w:rsidP="007E15F3">
            <w:pPr>
              <w:ind w:left="360" w:firstLine="360"/>
              <w:rPr>
                <w:szCs w:val="24"/>
              </w:rPr>
            </w:pPr>
            <w:r w:rsidRPr="001453D6">
              <w:rPr>
                <w:szCs w:val="24"/>
              </w:rPr>
              <w:t>350</w:t>
            </w:r>
          </w:p>
        </w:tc>
        <w:tc>
          <w:tcPr>
            <w:tcW w:w="2410" w:type="dxa"/>
            <w:vAlign w:val="center"/>
          </w:tcPr>
          <w:p w14:paraId="5618CEEA" w14:textId="77777777" w:rsidR="00737D08" w:rsidRPr="001453D6" w:rsidRDefault="00737D08" w:rsidP="007E15F3">
            <w:pPr>
              <w:ind w:left="360" w:firstLine="360"/>
              <w:rPr>
                <w:szCs w:val="24"/>
              </w:rPr>
            </w:pPr>
            <w:r w:rsidRPr="001453D6">
              <w:rPr>
                <w:szCs w:val="24"/>
              </w:rPr>
              <w:t>25</w:t>
            </w:r>
          </w:p>
        </w:tc>
      </w:tr>
    </w:tbl>
    <w:p w14:paraId="32D8A267" w14:textId="77777777" w:rsidR="00737D08" w:rsidRPr="001453D6" w:rsidRDefault="00737D08" w:rsidP="00737D08">
      <w:pPr>
        <w:spacing w:after="0"/>
        <w:rPr>
          <w:szCs w:val="24"/>
        </w:rPr>
      </w:pPr>
    </w:p>
    <w:p w14:paraId="3BDB1E50" w14:textId="77777777" w:rsidR="00737D08" w:rsidRPr="001453D6" w:rsidRDefault="00737D08" w:rsidP="00737D08">
      <w:pPr>
        <w:spacing w:after="0"/>
        <w:rPr>
          <w:b/>
          <w:szCs w:val="24"/>
        </w:rPr>
      </w:pPr>
      <w:r w:rsidRPr="001453D6">
        <w:rPr>
          <w:b/>
          <w:szCs w:val="24"/>
        </w:rPr>
        <w:t xml:space="preserve">b. Composition des bétons </w:t>
      </w:r>
    </w:p>
    <w:p w14:paraId="6026B52F" w14:textId="77777777" w:rsidR="00737D08" w:rsidRPr="001453D6" w:rsidRDefault="00737D08" w:rsidP="00737D08">
      <w:pPr>
        <w:spacing w:after="0"/>
        <w:rPr>
          <w:szCs w:val="24"/>
        </w:rPr>
      </w:pPr>
      <w:r w:rsidRPr="001453D6">
        <w:rPr>
          <w:szCs w:val="24"/>
        </w:rPr>
        <w:t xml:space="preserve">- Si le béton proposé n'a pas été fabriqué antérieurement à partir des mêmes matériaux et de moyens de chantier équivalent à une épreuve d'étude - convenance sera faite. </w:t>
      </w:r>
    </w:p>
    <w:p w14:paraId="4801A8E9" w14:textId="77777777" w:rsidR="00737D08" w:rsidRPr="001453D6" w:rsidRDefault="00737D08" w:rsidP="00737D08">
      <w:pPr>
        <w:spacing w:after="0"/>
        <w:rPr>
          <w:szCs w:val="24"/>
        </w:rPr>
      </w:pPr>
      <w:r w:rsidRPr="001453D6">
        <w:rPr>
          <w:szCs w:val="24"/>
        </w:rPr>
        <w:t xml:space="preserve">- Epreuve d'étude – convenance. </w:t>
      </w:r>
    </w:p>
    <w:p w14:paraId="02B9CE83" w14:textId="77777777" w:rsidR="00737D08" w:rsidRPr="001453D6" w:rsidRDefault="00737D08" w:rsidP="002A45C1">
      <w:pPr>
        <w:pStyle w:val="Paragraphedeliste"/>
        <w:numPr>
          <w:ilvl w:val="0"/>
          <w:numId w:val="93"/>
        </w:numPr>
        <w:spacing w:after="0"/>
        <w:jc w:val="left"/>
        <w:rPr>
          <w:szCs w:val="24"/>
        </w:rPr>
      </w:pPr>
      <w:r w:rsidRPr="001453D6">
        <w:rPr>
          <w:szCs w:val="24"/>
        </w:rPr>
        <w:t>l'épreuve impliquera l'exécution des moyens d'exécution de :</w:t>
      </w:r>
    </w:p>
    <w:p w14:paraId="2D341F3A" w14:textId="77777777" w:rsidR="00737D08" w:rsidRPr="001453D6" w:rsidRDefault="00737D08" w:rsidP="002A45C1">
      <w:pPr>
        <w:pStyle w:val="Paragraphedeliste"/>
        <w:numPr>
          <w:ilvl w:val="1"/>
          <w:numId w:val="82"/>
        </w:numPr>
        <w:spacing w:after="0"/>
        <w:jc w:val="left"/>
        <w:rPr>
          <w:szCs w:val="24"/>
        </w:rPr>
      </w:pPr>
      <w:r w:rsidRPr="001453D6">
        <w:rPr>
          <w:szCs w:val="24"/>
        </w:rPr>
        <w:t xml:space="preserve">gâchées dérivées de la formulé nominale, </w:t>
      </w:r>
    </w:p>
    <w:p w14:paraId="439ED149" w14:textId="755CEFAE" w:rsidR="00737D08" w:rsidRPr="001453D6" w:rsidRDefault="00737D08" w:rsidP="002A45C1">
      <w:pPr>
        <w:pStyle w:val="Paragraphedeliste"/>
        <w:numPr>
          <w:ilvl w:val="1"/>
          <w:numId w:val="82"/>
        </w:numPr>
        <w:spacing w:after="0"/>
        <w:jc w:val="left"/>
        <w:rPr>
          <w:szCs w:val="24"/>
        </w:rPr>
      </w:pPr>
      <w:r w:rsidRPr="001453D6">
        <w:rPr>
          <w:szCs w:val="24"/>
        </w:rPr>
        <w:t xml:space="preserve"> gâchées dérivées de la formule par une modification des propositions des</w:t>
      </w:r>
      <w:r w:rsidR="00DA57F5">
        <w:rPr>
          <w:szCs w:val="24"/>
        </w:rPr>
        <w:t xml:space="preserve"> granulats,</w:t>
      </w:r>
    </w:p>
    <w:p w14:paraId="3ECFA680" w14:textId="77777777" w:rsidR="00737D08" w:rsidRPr="001453D6" w:rsidRDefault="00737D08" w:rsidP="002A45C1">
      <w:pPr>
        <w:pStyle w:val="Paragraphedeliste"/>
        <w:numPr>
          <w:ilvl w:val="1"/>
          <w:numId w:val="82"/>
        </w:numPr>
        <w:spacing w:after="0"/>
        <w:jc w:val="left"/>
        <w:rPr>
          <w:szCs w:val="24"/>
        </w:rPr>
      </w:pPr>
      <w:r w:rsidRPr="001453D6">
        <w:rPr>
          <w:szCs w:val="24"/>
        </w:rPr>
        <w:t xml:space="preserve"> gâchées de la formule par une modification de la quantité d'eau de gâchage de plus ou moins 10 l/m3, </w:t>
      </w:r>
    </w:p>
    <w:p w14:paraId="3F335331" w14:textId="77777777" w:rsidR="00737D08" w:rsidRPr="001453D6" w:rsidRDefault="00737D08" w:rsidP="002A45C1">
      <w:pPr>
        <w:pStyle w:val="Paragraphedeliste"/>
        <w:numPr>
          <w:ilvl w:val="1"/>
          <w:numId w:val="82"/>
        </w:numPr>
        <w:spacing w:after="0"/>
        <w:jc w:val="left"/>
        <w:rPr>
          <w:szCs w:val="24"/>
        </w:rPr>
      </w:pPr>
      <w:r w:rsidRPr="001453D6">
        <w:rPr>
          <w:szCs w:val="24"/>
        </w:rPr>
        <w:t xml:space="preserve">gâchées dérivées de la formule nominale par une modification du dosage de ciment de plus ou moins 25 kg/ m3,  </w:t>
      </w:r>
    </w:p>
    <w:p w14:paraId="2F0B5EB6" w14:textId="77777777" w:rsidR="00737D08" w:rsidRPr="001453D6" w:rsidRDefault="00737D08" w:rsidP="002A45C1">
      <w:pPr>
        <w:pStyle w:val="Paragraphedeliste"/>
        <w:numPr>
          <w:ilvl w:val="1"/>
          <w:numId w:val="82"/>
        </w:numPr>
        <w:spacing w:after="0"/>
        <w:jc w:val="left"/>
        <w:rPr>
          <w:szCs w:val="24"/>
        </w:rPr>
      </w:pPr>
      <w:r w:rsidRPr="001453D6">
        <w:rPr>
          <w:szCs w:val="24"/>
        </w:rPr>
        <w:t xml:space="preserve"> 1 gâchée dérivée de la formule nominale doublant la quantité d'adjuvant. </w:t>
      </w:r>
    </w:p>
    <w:p w14:paraId="623D32C6" w14:textId="77777777" w:rsidR="00737D08" w:rsidRPr="001453D6" w:rsidRDefault="00737D08" w:rsidP="00737D08">
      <w:pPr>
        <w:pStyle w:val="Paragraphedeliste"/>
        <w:spacing w:after="0"/>
        <w:ind w:left="1440"/>
        <w:rPr>
          <w:szCs w:val="24"/>
        </w:rPr>
      </w:pPr>
    </w:p>
    <w:p w14:paraId="60D1BAC8" w14:textId="77777777" w:rsidR="00737D08" w:rsidRPr="001453D6" w:rsidRDefault="00737D08" w:rsidP="002A45C1">
      <w:pPr>
        <w:pStyle w:val="Paragraphedeliste"/>
        <w:numPr>
          <w:ilvl w:val="0"/>
          <w:numId w:val="93"/>
        </w:numPr>
        <w:spacing w:after="0"/>
        <w:jc w:val="left"/>
        <w:rPr>
          <w:szCs w:val="24"/>
        </w:rPr>
      </w:pPr>
      <w:r w:rsidRPr="001453D6">
        <w:rPr>
          <w:szCs w:val="24"/>
        </w:rPr>
        <w:t xml:space="preserve">L'épreuve d'étude-convenance portera uniquement sur le béton de classe III. La composition des bétons de classes I et II sera dérivée de la composition retenue pour le béton de classe III, </w:t>
      </w:r>
    </w:p>
    <w:p w14:paraId="68F7773A" w14:textId="77777777" w:rsidR="00737D08" w:rsidRPr="001453D6" w:rsidRDefault="00737D08" w:rsidP="002A45C1">
      <w:pPr>
        <w:pStyle w:val="Paragraphedeliste"/>
        <w:numPr>
          <w:ilvl w:val="0"/>
          <w:numId w:val="93"/>
        </w:numPr>
        <w:spacing w:after="0"/>
        <w:jc w:val="left"/>
        <w:rPr>
          <w:szCs w:val="24"/>
        </w:rPr>
      </w:pPr>
      <w:r w:rsidRPr="001453D6">
        <w:rPr>
          <w:szCs w:val="24"/>
        </w:rPr>
        <w:t xml:space="preserve">L'épreuve d'étude-convenance sera réputée probante et la composition du béton acceptée si les conditions suivantes sont toutes remplies. </w:t>
      </w:r>
    </w:p>
    <w:p w14:paraId="78A5CD79" w14:textId="77777777" w:rsidR="00737D08" w:rsidRPr="001453D6" w:rsidRDefault="00737D08" w:rsidP="002A45C1">
      <w:pPr>
        <w:pStyle w:val="Paragraphedeliste"/>
        <w:numPr>
          <w:ilvl w:val="0"/>
          <w:numId w:val="94"/>
        </w:numPr>
        <w:spacing w:after="0"/>
        <w:ind w:left="1276" w:hanging="283"/>
        <w:jc w:val="left"/>
        <w:rPr>
          <w:szCs w:val="24"/>
        </w:rPr>
      </w:pPr>
      <w:r w:rsidRPr="001453D6">
        <w:rPr>
          <w:szCs w:val="24"/>
        </w:rPr>
        <w:t xml:space="preserve">tous résultats de consistance sont dans la fourchette spécifiée, </w:t>
      </w:r>
    </w:p>
    <w:p w14:paraId="0BC8A042" w14:textId="77777777" w:rsidR="00737D08" w:rsidRPr="001453D6" w:rsidRDefault="00737D08" w:rsidP="002A45C1">
      <w:pPr>
        <w:pStyle w:val="Paragraphedeliste"/>
        <w:numPr>
          <w:ilvl w:val="0"/>
          <w:numId w:val="94"/>
        </w:numPr>
        <w:spacing w:after="0"/>
        <w:ind w:left="1276" w:hanging="283"/>
        <w:jc w:val="left"/>
        <w:rPr>
          <w:szCs w:val="24"/>
        </w:rPr>
      </w:pPr>
      <w:r w:rsidRPr="001453D6">
        <w:rPr>
          <w:szCs w:val="24"/>
        </w:rPr>
        <w:t xml:space="preserve">la moyenne arithmétique des 9 mesures (3) essais sur les 3 gâchées de la formule nominale de résistance à la compression mesurée à 28 jours est supérieure à 1,2 </w:t>
      </w:r>
      <w:proofErr w:type="spellStart"/>
      <w:r w:rsidRPr="001453D6">
        <w:rPr>
          <w:szCs w:val="24"/>
        </w:rPr>
        <w:t>fck</w:t>
      </w:r>
      <w:proofErr w:type="spellEnd"/>
      <w:r w:rsidRPr="001453D6">
        <w:rPr>
          <w:szCs w:val="24"/>
        </w:rPr>
        <w:t xml:space="preserve">. </w:t>
      </w:r>
    </w:p>
    <w:p w14:paraId="2AB8BCD9" w14:textId="77777777" w:rsidR="00737D08" w:rsidRPr="001453D6" w:rsidRDefault="00737D08" w:rsidP="00737D08">
      <w:pPr>
        <w:pStyle w:val="Paragraphedeliste"/>
        <w:spacing w:after="0"/>
        <w:ind w:left="1942"/>
        <w:rPr>
          <w:szCs w:val="24"/>
        </w:rPr>
      </w:pPr>
    </w:p>
    <w:p w14:paraId="0C31A581" w14:textId="77777777" w:rsidR="00737D08" w:rsidRPr="001453D6" w:rsidRDefault="00737D08" w:rsidP="00737D08">
      <w:pPr>
        <w:spacing w:after="0"/>
        <w:rPr>
          <w:b/>
          <w:szCs w:val="24"/>
        </w:rPr>
      </w:pPr>
      <w:r w:rsidRPr="001453D6">
        <w:rPr>
          <w:b/>
          <w:szCs w:val="24"/>
        </w:rPr>
        <w:t xml:space="preserve">c.  Consistance du béton </w:t>
      </w:r>
    </w:p>
    <w:p w14:paraId="67A70314" w14:textId="77777777" w:rsidR="00737D08" w:rsidRPr="001453D6" w:rsidRDefault="00737D08" w:rsidP="00737D08">
      <w:pPr>
        <w:spacing w:after="0"/>
        <w:rPr>
          <w:szCs w:val="24"/>
        </w:rPr>
      </w:pPr>
      <w:r w:rsidRPr="001453D6">
        <w:rPr>
          <w:szCs w:val="24"/>
        </w:rPr>
        <w:t>- La consistance du béton sera telle que le béton puisse être mis en place avec les moyens du chantier et serré de manière à envelopper les armatures et pièces noyées et remplir les coffrages sans vide, ni ségrégation.</w:t>
      </w:r>
    </w:p>
    <w:p w14:paraId="0D2DFF78" w14:textId="77777777" w:rsidR="00737D08" w:rsidRPr="001453D6" w:rsidRDefault="00737D08" w:rsidP="00737D08">
      <w:pPr>
        <w:spacing w:after="0"/>
        <w:rPr>
          <w:szCs w:val="24"/>
        </w:rPr>
      </w:pPr>
      <w:r w:rsidRPr="001453D6">
        <w:rPr>
          <w:szCs w:val="24"/>
        </w:rPr>
        <w:t xml:space="preserve">- Pour chaque classe de béton, le contrôle de la consistance sera mesuré par l'essai d'affaiblissement (NF P 18-451), </w:t>
      </w:r>
    </w:p>
    <w:p w14:paraId="38AE52F8" w14:textId="77777777" w:rsidR="00737D08" w:rsidRPr="001453D6" w:rsidRDefault="00737D08" w:rsidP="00737D08">
      <w:pPr>
        <w:spacing w:after="0"/>
        <w:rPr>
          <w:szCs w:val="24"/>
        </w:rPr>
      </w:pPr>
      <w:r w:rsidRPr="001453D6">
        <w:rPr>
          <w:szCs w:val="24"/>
        </w:rPr>
        <w:t>-  L'affaissement du béton sera de 7 cm plus ou moins 2 cm,</w:t>
      </w:r>
    </w:p>
    <w:p w14:paraId="12B1CCA9" w14:textId="77777777" w:rsidR="00737D08" w:rsidRPr="001453D6" w:rsidRDefault="00737D08" w:rsidP="00737D08">
      <w:pPr>
        <w:spacing w:after="0"/>
        <w:rPr>
          <w:szCs w:val="24"/>
        </w:rPr>
      </w:pPr>
    </w:p>
    <w:p w14:paraId="4A053DB2" w14:textId="77777777" w:rsidR="00737D08" w:rsidRPr="001453D6" w:rsidRDefault="00737D08" w:rsidP="00737D08">
      <w:pPr>
        <w:spacing w:after="0"/>
        <w:rPr>
          <w:b/>
          <w:szCs w:val="24"/>
        </w:rPr>
      </w:pPr>
      <w:r w:rsidRPr="001453D6">
        <w:rPr>
          <w:b/>
          <w:szCs w:val="24"/>
        </w:rPr>
        <w:t xml:space="preserve"> d. Fabrication </w:t>
      </w:r>
    </w:p>
    <w:p w14:paraId="461CA863" w14:textId="77777777" w:rsidR="00737D08" w:rsidRPr="001453D6" w:rsidRDefault="00737D08" w:rsidP="002A45C1">
      <w:pPr>
        <w:pStyle w:val="Paragraphedeliste"/>
        <w:numPr>
          <w:ilvl w:val="0"/>
          <w:numId w:val="95"/>
        </w:numPr>
        <w:spacing w:after="0"/>
        <w:jc w:val="left"/>
        <w:rPr>
          <w:szCs w:val="24"/>
        </w:rPr>
      </w:pPr>
      <w:r w:rsidRPr="001453D6">
        <w:rPr>
          <w:szCs w:val="24"/>
        </w:rPr>
        <w:t xml:space="preserve">Le mélange des granulats, eau, ciment et adjuvants sera en principe effectué dans une centrale à dosage pondéral, </w:t>
      </w:r>
    </w:p>
    <w:p w14:paraId="5474A5D2" w14:textId="77777777" w:rsidR="00737D08" w:rsidRPr="001453D6" w:rsidRDefault="00737D08" w:rsidP="002A45C1">
      <w:pPr>
        <w:pStyle w:val="Paragraphedeliste"/>
        <w:numPr>
          <w:ilvl w:val="0"/>
          <w:numId w:val="95"/>
        </w:numPr>
        <w:spacing w:after="0"/>
        <w:jc w:val="left"/>
        <w:rPr>
          <w:szCs w:val="24"/>
        </w:rPr>
      </w:pPr>
      <w:r w:rsidRPr="001453D6">
        <w:rPr>
          <w:szCs w:val="24"/>
        </w:rPr>
        <w:t xml:space="preserve">La fabrication éventuelle des bétons sur les emplacements mêmes des ouvrages, et ce, pour des raisons qui ne pourront avoir qu'un caractère exceptionnel, devra recevoir l'accord de l'Ingénieur. </w:t>
      </w:r>
    </w:p>
    <w:p w14:paraId="1A0A4A8C" w14:textId="77777777" w:rsidR="00737D08" w:rsidRPr="001453D6" w:rsidRDefault="00737D08" w:rsidP="00737D08">
      <w:pPr>
        <w:spacing w:after="0"/>
        <w:ind w:left="360"/>
        <w:rPr>
          <w:szCs w:val="24"/>
        </w:rPr>
      </w:pPr>
      <w:r w:rsidRPr="001453D6">
        <w:rPr>
          <w:szCs w:val="24"/>
        </w:rPr>
        <w:t xml:space="preserve">Cet accord sera fonction des garanties de qualité de fabrication fournies par </w:t>
      </w:r>
      <w:proofErr w:type="spellStart"/>
      <w:r w:rsidRPr="001453D6">
        <w:rPr>
          <w:szCs w:val="24"/>
        </w:rPr>
        <w:t>I'Entrepreneur</w:t>
      </w:r>
      <w:proofErr w:type="spellEnd"/>
      <w:r w:rsidRPr="001453D6">
        <w:rPr>
          <w:szCs w:val="24"/>
        </w:rPr>
        <w:t xml:space="preserve">. </w:t>
      </w:r>
    </w:p>
    <w:p w14:paraId="58079694" w14:textId="158EA27F" w:rsidR="00D426B5" w:rsidRPr="001453D6" w:rsidRDefault="00737D08" w:rsidP="00737D08">
      <w:pPr>
        <w:spacing w:after="0"/>
        <w:rPr>
          <w:b/>
          <w:szCs w:val="24"/>
        </w:rPr>
      </w:pPr>
      <w:r w:rsidRPr="001453D6">
        <w:rPr>
          <w:b/>
          <w:szCs w:val="24"/>
        </w:rPr>
        <w:t xml:space="preserve"> </w:t>
      </w:r>
    </w:p>
    <w:p w14:paraId="3B4C91F6" w14:textId="77777777" w:rsidR="00737D08" w:rsidRPr="001453D6" w:rsidRDefault="00737D08" w:rsidP="00737D08">
      <w:pPr>
        <w:spacing w:after="0"/>
        <w:rPr>
          <w:b/>
          <w:szCs w:val="24"/>
        </w:rPr>
      </w:pPr>
      <w:r w:rsidRPr="001453D6">
        <w:rPr>
          <w:b/>
          <w:szCs w:val="24"/>
        </w:rPr>
        <w:t xml:space="preserve">1.10    COFFRAGES </w:t>
      </w:r>
    </w:p>
    <w:p w14:paraId="7D88B77C" w14:textId="77777777" w:rsidR="009D6B45" w:rsidRPr="001453D6" w:rsidRDefault="009D6B45" w:rsidP="00737D08">
      <w:pPr>
        <w:spacing w:after="0"/>
        <w:rPr>
          <w:szCs w:val="24"/>
        </w:rPr>
      </w:pPr>
    </w:p>
    <w:p w14:paraId="208AAD2C" w14:textId="550C58D8" w:rsidR="00737D08" w:rsidRPr="001453D6" w:rsidRDefault="00737D08" w:rsidP="00DA0D9D">
      <w:pPr>
        <w:spacing w:after="0"/>
        <w:ind w:left="0" w:firstLine="0"/>
        <w:rPr>
          <w:szCs w:val="24"/>
        </w:rPr>
      </w:pPr>
      <w:r w:rsidRPr="001453D6">
        <w:rPr>
          <w:szCs w:val="24"/>
        </w:rPr>
        <w:t>Tous les panneaux à l'exception des panneaux métalliques ser</w:t>
      </w:r>
      <w:r w:rsidR="00DA0D9D" w:rsidRPr="001453D6">
        <w:rPr>
          <w:szCs w:val="24"/>
        </w:rPr>
        <w:t xml:space="preserve">ont neufs lors de leur première. </w:t>
      </w:r>
      <w:r w:rsidRPr="001453D6">
        <w:rPr>
          <w:szCs w:val="24"/>
        </w:rPr>
        <w:t xml:space="preserve">Les panneaux pourront être réutilisés dans la mesure où ils auront été nettoyés, réparés si nécessaire et où ils sont capables de donner les surfaces de béton conformes aux spécifications, </w:t>
      </w:r>
    </w:p>
    <w:p w14:paraId="0322364C" w14:textId="77777777" w:rsidR="00737D08" w:rsidRPr="001453D6" w:rsidRDefault="00737D08" w:rsidP="00DA0D9D">
      <w:pPr>
        <w:spacing w:after="0"/>
        <w:ind w:left="0" w:firstLine="0"/>
        <w:rPr>
          <w:szCs w:val="24"/>
        </w:rPr>
      </w:pPr>
      <w:r w:rsidRPr="001453D6">
        <w:rPr>
          <w:szCs w:val="24"/>
        </w:rPr>
        <w:t xml:space="preserve">Les entretoises et attaches seront conçues de telle sorte qu'après décoffrage aucun élément métallique ne se trouve à moins de 4 cm des parements, </w:t>
      </w:r>
    </w:p>
    <w:p w14:paraId="5289B5C2" w14:textId="77777777" w:rsidR="00737D08" w:rsidRPr="001453D6" w:rsidRDefault="00737D08" w:rsidP="00DA0D9D">
      <w:pPr>
        <w:spacing w:after="0"/>
        <w:ind w:left="0" w:firstLine="0"/>
        <w:rPr>
          <w:szCs w:val="24"/>
        </w:rPr>
      </w:pPr>
      <w:r w:rsidRPr="001453D6">
        <w:rPr>
          <w:szCs w:val="24"/>
        </w:rPr>
        <w:t xml:space="preserve">Les produits de démoulages devront faciliter le mouillage de la surface </w:t>
      </w:r>
      <w:proofErr w:type="spellStart"/>
      <w:r w:rsidRPr="001453D6">
        <w:rPr>
          <w:szCs w:val="24"/>
        </w:rPr>
        <w:t>coffrante</w:t>
      </w:r>
      <w:proofErr w:type="spellEnd"/>
      <w:r w:rsidRPr="001453D6">
        <w:rPr>
          <w:szCs w:val="24"/>
        </w:rPr>
        <w:t xml:space="preserve">, réduire la formation de bulles, ne pas laisser de trace notable sur les parements du béton et préserver le coffrage de toute trace de détérioration telle qu'oxydation, </w:t>
      </w:r>
    </w:p>
    <w:p w14:paraId="080EBD82" w14:textId="77777777" w:rsidR="00737D08" w:rsidRPr="001453D6" w:rsidRDefault="00737D08" w:rsidP="00737D08">
      <w:pPr>
        <w:spacing w:after="0"/>
        <w:rPr>
          <w:b/>
          <w:szCs w:val="24"/>
        </w:rPr>
      </w:pPr>
    </w:p>
    <w:p w14:paraId="3888C92B" w14:textId="77777777" w:rsidR="00737D08" w:rsidRPr="001453D6" w:rsidRDefault="00737D08" w:rsidP="00737D08">
      <w:pPr>
        <w:spacing w:after="0"/>
        <w:rPr>
          <w:b/>
          <w:szCs w:val="24"/>
        </w:rPr>
      </w:pPr>
      <w:r w:rsidRPr="001453D6">
        <w:rPr>
          <w:b/>
          <w:szCs w:val="24"/>
        </w:rPr>
        <w:t xml:space="preserve">Conception </w:t>
      </w:r>
    </w:p>
    <w:p w14:paraId="729A3F26" w14:textId="77777777" w:rsidR="00737D08" w:rsidRPr="001453D6" w:rsidRDefault="00737D08" w:rsidP="002A45C1">
      <w:pPr>
        <w:pStyle w:val="Paragraphedeliste"/>
        <w:numPr>
          <w:ilvl w:val="0"/>
          <w:numId w:val="95"/>
        </w:numPr>
        <w:spacing w:after="0"/>
        <w:jc w:val="left"/>
        <w:rPr>
          <w:szCs w:val="24"/>
        </w:rPr>
      </w:pPr>
      <w:r w:rsidRPr="001453D6">
        <w:rPr>
          <w:szCs w:val="24"/>
        </w:rPr>
        <w:t xml:space="preserve">Les panneaux et supports supporteront sans déformation excessive le poids du béton, des armatures et des pièces à sceller ainsi que les forces dues à la chute du béton, à son serrage, aux chocs des appareils de manutention, au personnel et aux éléments climatiques, </w:t>
      </w:r>
    </w:p>
    <w:p w14:paraId="22758E6A" w14:textId="77777777" w:rsidR="00737D08" w:rsidRPr="001453D6" w:rsidRDefault="00737D08" w:rsidP="002A45C1">
      <w:pPr>
        <w:pStyle w:val="Paragraphedeliste"/>
        <w:numPr>
          <w:ilvl w:val="0"/>
          <w:numId w:val="95"/>
        </w:numPr>
        <w:spacing w:after="0"/>
        <w:jc w:val="left"/>
        <w:rPr>
          <w:szCs w:val="24"/>
        </w:rPr>
      </w:pPr>
      <w:r w:rsidRPr="001453D6">
        <w:rPr>
          <w:szCs w:val="24"/>
        </w:rPr>
        <w:t xml:space="preserve">Les joints entre panneaux seront étanches à la laitance et assureront une continuité satisfaisante des surfaces de béton. </w:t>
      </w:r>
    </w:p>
    <w:p w14:paraId="12E54ADB" w14:textId="77777777" w:rsidR="00737D08" w:rsidRPr="001453D6" w:rsidRDefault="00737D08" w:rsidP="00737D08">
      <w:pPr>
        <w:pStyle w:val="Paragraphedeliste"/>
        <w:spacing w:after="0"/>
        <w:rPr>
          <w:szCs w:val="24"/>
        </w:rPr>
      </w:pPr>
    </w:p>
    <w:p w14:paraId="01757EF1" w14:textId="53D8A74C" w:rsidR="00737D08" w:rsidRPr="001453D6" w:rsidRDefault="00737D08" w:rsidP="00737D08">
      <w:pPr>
        <w:spacing w:after="0"/>
        <w:rPr>
          <w:b/>
          <w:szCs w:val="24"/>
        </w:rPr>
      </w:pPr>
      <w:r w:rsidRPr="001453D6">
        <w:rPr>
          <w:b/>
          <w:szCs w:val="24"/>
        </w:rPr>
        <w:t xml:space="preserve">1.11 ACIERS POUR BETON ARME </w:t>
      </w:r>
    </w:p>
    <w:p w14:paraId="3996E00F" w14:textId="77777777" w:rsidR="009D6B45" w:rsidRPr="001453D6" w:rsidRDefault="009D6B45" w:rsidP="00737D08">
      <w:pPr>
        <w:spacing w:after="0"/>
        <w:rPr>
          <w:b/>
          <w:szCs w:val="24"/>
        </w:rPr>
      </w:pPr>
    </w:p>
    <w:p w14:paraId="13938CB1" w14:textId="77777777" w:rsidR="00737D08" w:rsidRPr="001453D6" w:rsidRDefault="00737D08" w:rsidP="00737D08">
      <w:pPr>
        <w:spacing w:after="0"/>
        <w:rPr>
          <w:b/>
          <w:szCs w:val="24"/>
        </w:rPr>
      </w:pPr>
      <w:r w:rsidRPr="001453D6">
        <w:rPr>
          <w:b/>
          <w:szCs w:val="24"/>
        </w:rPr>
        <w:t xml:space="preserve">a. Qualité </w:t>
      </w:r>
    </w:p>
    <w:p w14:paraId="1E890B11" w14:textId="77777777" w:rsidR="00737D08" w:rsidRPr="001453D6" w:rsidRDefault="00737D08" w:rsidP="00737D08">
      <w:pPr>
        <w:spacing w:after="0"/>
        <w:rPr>
          <w:szCs w:val="24"/>
        </w:rPr>
      </w:pPr>
      <w:r w:rsidRPr="001453D6">
        <w:rPr>
          <w:szCs w:val="24"/>
        </w:rPr>
        <w:t xml:space="preserve">- Ronds lisses Fe E 24 (NF P 35-015), </w:t>
      </w:r>
    </w:p>
    <w:p w14:paraId="0A7A42F7" w14:textId="77777777" w:rsidR="00737D08" w:rsidRPr="001453D6" w:rsidRDefault="00737D08" w:rsidP="00737D08">
      <w:pPr>
        <w:spacing w:after="0"/>
        <w:rPr>
          <w:szCs w:val="24"/>
        </w:rPr>
      </w:pPr>
      <w:r w:rsidRPr="001453D6">
        <w:rPr>
          <w:szCs w:val="24"/>
        </w:rPr>
        <w:t xml:space="preserve">- Aciers à haute adhérence Fe E 40A (NF P 35-016), </w:t>
      </w:r>
    </w:p>
    <w:p w14:paraId="0F67A6E8" w14:textId="77777777" w:rsidR="00737D08" w:rsidRPr="001453D6" w:rsidRDefault="00737D08" w:rsidP="00737D08">
      <w:pPr>
        <w:spacing w:after="0"/>
        <w:rPr>
          <w:szCs w:val="24"/>
        </w:rPr>
      </w:pPr>
      <w:r w:rsidRPr="001453D6">
        <w:rPr>
          <w:szCs w:val="24"/>
        </w:rPr>
        <w:t xml:space="preserve">- Les cales d'armatures seront en béton, en mortier ou en plastique. </w:t>
      </w:r>
    </w:p>
    <w:p w14:paraId="167AD1B6" w14:textId="77777777" w:rsidR="00737D08" w:rsidRPr="001453D6" w:rsidRDefault="00737D08" w:rsidP="00737D08">
      <w:pPr>
        <w:spacing w:after="0"/>
        <w:rPr>
          <w:szCs w:val="24"/>
        </w:rPr>
      </w:pPr>
      <w:r w:rsidRPr="001453D6">
        <w:rPr>
          <w:szCs w:val="24"/>
        </w:rPr>
        <w:t xml:space="preserve"> </w:t>
      </w:r>
    </w:p>
    <w:p w14:paraId="00CBF086" w14:textId="77777777" w:rsidR="00737D08" w:rsidRPr="001453D6" w:rsidRDefault="00737D08" w:rsidP="00737D08">
      <w:pPr>
        <w:spacing w:after="0"/>
        <w:rPr>
          <w:b/>
          <w:szCs w:val="24"/>
        </w:rPr>
      </w:pPr>
      <w:r w:rsidRPr="001453D6">
        <w:rPr>
          <w:b/>
          <w:szCs w:val="24"/>
        </w:rPr>
        <w:t xml:space="preserve">b. Livraison des aciers </w:t>
      </w:r>
    </w:p>
    <w:p w14:paraId="34CEE6FD" w14:textId="77777777" w:rsidR="00DA0D9D" w:rsidRPr="001453D6" w:rsidRDefault="00737D08" w:rsidP="00993BA9">
      <w:pPr>
        <w:spacing w:after="0"/>
        <w:ind w:left="284" w:hanging="284"/>
        <w:rPr>
          <w:szCs w:val="24"/>
        </w:rPr>
      </w:pPr>
      <w:r w:rsidRPr="001453D6">
        <w:rPr>
          <w:szCs w:val="24"/>
        </w:rPr>
        <w:t xml:space="preserve"> Les aciers doivent être livrés droites, sans pliure, ni enroulement, sans souillure et autres blessures, </w:t>
      </w:r>
    </w:p>
    <w:p w14:paraId="072723CC" w14:textId="77777777" w:rsidR="00DA0D9D" w:rsidRPr="001453D6" w:rsidRDefault="00737D08" w:rsidP="00993BA9">
      <w:pPr>
        <w:spacing w:after="0"/>
        <w:ind w:left="284" w:hanging="284"/>
        <w:rPr>
          <w:szCs w:val="24"/>
        </w:rPr>
      </w:pPr>
      <w:r w:rsidRPr="001453D6">
        <w:rPr>
          <w:szCs w:val="24"/>
        </w:rPr>
        <w:t xml:space="preserve"> Les barres accidentellement pliées seront refusées, cependant les parties demeurées droites pourront être acceptées après élimination des parties pliées, </w:t>
      </w:r>
    </w:p>
    <w:p w14:paraId="2AD705C2" w14:textId="58B08690" w:rsidR="00737D08" w:rsidRPr="001453D6" w:rsidRDefault="00737D08" w:rsidP="00993BA9">
      <w:pPr>
        <w:spacing w:after="0"/>
        <w:ind w:left="284" w:hanging="284"/>
        <w:rPr>
          <w:szCs w:val="24"/>
        </w:rPr>
      </w:pPr>
      <w:r w:rsidRPr="001453D6">
        <w:rPr>
          <w:szCs w:val="24"/>
        </w:rPr>
        <w:t xml:space="preserve"> Lorsque les aciers seront livrés façonnés et assemblés, ils seront transportés avec précaution sur les lieux d'utilisation de façon qu'aucun élément ne subisse de déformation permanente. </w:t>
      </w:r>
    </w:p>
    <w:p w14:paraId="1604A0BC" w14:textId="77777777" w:rsidR="00737D08" w:rsidRPr="001453D6" w:rsidRDefault="00737D08" w:rsidP="00737D08">
      <w:pPr>
        <w:spacing w:after="0"/>
        <w:rPr>
          <w:szCs w:val="24"/>
        </w:rPr>
      </w:pPr>
      <w:r w:rsidRPr="001453D6">
        <w:rPr>
          <w:szCs w:val="24"/>
        </w:rPr>
        <w:t xml:space="preserve"> </w:t>
      </w:r>
    </w:p>
    <w:p w14:paraId="4A970AF0" w14:textId="77777777" w:rsidR="00737D08" w:rsidRPr="001453D6" w:rsidRDefault="00737D08" w:rsidP="00737D08">
      <w:pPr>
        <w:spacing w:after="0"/>
        <w:rPr>
          <w:b/>
          <w:szCs w:val="24"/>
        </w:rPr>
      </w:pPr>
      <w:r w:rsidRPr="001453D6">
        <w:rPr>
          <w:b/>
          <w:szCs w:val="24"/>
        </w:rPr>
        <w:t xml:space="preserve">c. Stockage des aciers </w:t>
      </w:r>
    </w:p>
    <w:p w14:paraId="1F8B6D56" w14:textId="77777777" w:rsidR="00737D08" w:rsidRPr="001453D6" w:rsidRDefault="00737D08" w:rsidP="00993BA9">
      <w:pPr>
        <w:spacing w:after="0"/>
        <w:ind w:left="0" w:firstLine="0"/>
        <w:rPr>
          <w:szCs w:val="24"/>
        </w:rPr>
      </w:pPr>
      <w:r w:rsidRPr="001453D6">
        <w:rPr>
          <w:szCs w:val="24"/>
        </w:rPr>
        <w:t xml:space="preserve">Le stockage sera assuré de manière que les aciers de différentes nuances et de différents diamètres ne puissent être mélangés. </w:t>
      </w:r>
    </w:p>
    <w:p w14:paraId="42EE2F0B" w14:textId="77777777" w:rsidR="00737D08" w:rsidRPr="001453D6" w:rsidRDefault="00737D08" w:rsidP="00737D08">
      <w:pPr>
        <w:spacing w:after="0"/>
        <w:rPr>
          <w:szCs w:val="24"/>
        </w:rPr>
      </w:pPr>
      <w:r w:rsidRPr="001453D6">
        <w:rPr>
          <w:szCs w:val="24"/>
        </w:rPr>
        <w:t xml:space="preserve"> </w:t>
      </w:r>
    </w:p>
    <w:p w14:paraId="37015B6D" w14:textId="77777777" w:rsidR="009D6B45" w:rsidRPr="001453D6" w:rsidRDefault="00737D08" w:rsidP="00737D08">
      <w:pPr>
        <w:spacing w:after="0"/>
        <w:rPr>
          <w:b/>
          <w:szCs w:val="24"/>
        </w:rPr>
      </w:pPr>
      <w:r w:rsidRPr="001453D6">
        <w:rPr>
          <w:b/>
          <w:szCs w:val="24"/>
        </w:rPr>
        <w:t xml:space="preserve">2. MISE EN ŒUVRE </w:t>
      </w:r>
    </w:p>
    <w:p w14:paraId="468F98AE" w14:textId="65BDA21F" w:rsidR="00737D08" w:rsidRPr="001453D6" w:rsidRDefault="00737D08" w:rsidP="00737D08">
      <w:pPr>
        <w:spacing w:after="0"/>
        <w:rPr>
          <w:b/>
          <w:szCs w:val="24"/>
        </w:rPr>
      </w:pPr>
      <w:r w:rsidRPr="001453D6">
        <w:rPr>
          <w:b/>
          <w:szCs w:val="24"/>
        </w:rPr>
        <w:t xml:space="preserve"> </w:t>
      </w:r>
    </w:p>
    <w:p w14:paraId="0DE12354" w14:textId="77777777" w:rsidR="00737D08" w:rsidRPr="001453D6" w:rsidRDefault="00737D08" w:rsidP="00737D08">
      <w:pPr>
        <w:spacing w:after="0"/>
        <w:rPr>
          <w:b/>
          <w:szCs w:val="24"/>
        </w:rPr>
      </w:pPr>
      <w:r w:rsidRPr="001453D6">
        <w:rPr>
          <w:b/>
          <w:szCs w:val="24"/>
        </w:rPr>
        <w:t xml:space="preserve">2.1 INSPECTION </w:t>
      </w:r>
    </w:p>
    <w:p w14:paraId="1115185F" w14:textId="77777777" w:rsidR="00737D08" w:rsidRPr="001453D6" w:rsidRDefault="00737D08" w:rsidP="00737D08">
      <w:pPr>
        <w:spacing w:after="0"/>
        <w:rPr>
          <w:szCs w:val="24"/>
        </w:rPr>
      </w:pPr>
      <w:r w:rsidRPr="001453D6">
        <w:rPr>
          <w:szCs w:val="24"/>
        </w:rPr>
        <w:t xml:space="preserve">Aucune mise en œuvre du béton ne pourra commencer avant la délivrance par l'Ingénieur d'un "permis de bétonnage". L'Entrepreneur demandera ce permis au moins   4 h avant le début présumé du bétonnage et après qu’il ait vérifié que les éléments destinés à être noyés dans le béton (armatures, bandes d'étanchéité, ancrages, etc.) et les coffrages soient correctement placés et fixés et que toutes les surfaces destinées à être en contact avec le béton soient préparées. </w:t>
      </w:r>
    </w:p>
    <w:p w14:paraId="7154B998" w14:textId="77777777" w:rsidR="00737D08" w:rsidRPr="001453D6" w:rsidRDefault="00737D08" w:rsidP="00737D08">
      <w:pPr>
        <w:spacing w:after="0"/>
        <w:rPr>
          <w:szCs w:val="24"/>
        </w:rPr>
      </w:pPr>
      <w:r w:rsidRPr="001453D6">
        <w:rPr>
          <w:szCs w:val="24"/>
        </w:rPr>
        <w:t xml:space="preserve"> </w:t>
      </w:r>
    </w:p>
    <w:p w14:paraId="5A60E830" w14:textId="77777777" w:rsidR="00737D08" w:rsidRPr="001453D6" w:rsidRDefault="00737D08" w:rsidP="00737D08">
      <w:pPr>
        <w:spacing w:after="0"/>
        <w:rPr>
          <w:b/>
          <w:szCs w:val="24"/>
        </w:rPr>
      </w:pPr>
      <w:r w:rsidRPr="001453D6">
        <w:rPr>
          <w:b/>
          <w:szCs w:val="24"/>
        </w:rPr>
        <w:t xml:space="preserve">2.2 PREPARATION </w:t>
      </w:r>
    </w:p>
    <w:p w14:paraId="52B86FE6" w14:textId="77777777" w:rsidR="00737D08" w:rsidRPr="001453D6" w:rsidRDefault="00737D08" w:rsidP="00737D08">
      <w:pPr>
        <w:spacing w:after="0"/>
        <w:rPr>
          <w:b/>
          <w:szCs w:val="24"/>
        </w:rPr>
      </w:pPr>
      <w:r w:rsidRPr="001453D6">
        <w:rPr>
          <w:b/>
          <w:szCs w:val="24"/>
        </w:rPr>
        <w:t xml:space="preserve">a. Préparation de la fondation </w:t>
      </w:r>
    </w:p>
    <w:p w14:paraId="7FCCCB27" w14:textId="77777777" w:rsidR="00993BA9" w:rsidRPr="001453D6" w:rsidRDefault="00737D08" w:rsidP="00993BA9">
      <w:pPr>
        <w:spacing w:after="0"/>
        <w:ind w:left="0" w:firstLine="0"/>
        <w:rPr>
          <w:szCs w:val="24"/>
        </w:rPr>
      </w:pPr>
      <w:r w:rsidRPr="001453D6">
        <w:rPr>
          <w:szCs w:val="24"/>
        </w:rPr>
        <w:t xml:space="preserve">Avant la mise en place du béton les fouilles seront complètement nettoyées et mises à sec.  De même, la surface de la levée précédemment mise en place recevra les traitements successifs suivants : </w:t>
      </w:r>
    </w:p>
    <w:p w14:paraId="6D84FCA3" w14:textId="77777777" w:rsidR="00993BA9" w:rsidRPr="001453D6" w:rsidRDefault="00737D08" w:rsidP="00993BA9">
      <w:pPr>
        <w:spacing w:after="0"/>
        <w:ind w:left="284" w:hanging="284"/>
        <w:rPr>
          <w:szCs w:val="24"/>
        </w:rPr>
      </w:pPr>
      <w:r w:rsidRPr="001453D6">
        <w:rPr>
          <w:szCs w:val="24"/>
        </w:rPr>
        <w:t xml:space="preserve"> Traitement des </w:t>
      </w:r>
      <w:r w:rsidR="00993BA9" w:rsidRPr="001453D6">
        <w:rPr>
          <w:szCs w:val="24"/>
        </w:rPr>
        <w:t>reprises :</w:t>
      </w:r>
      <w:r w:rsidRPr="001453D6">
        <w:rPr>
          <w:szCs w:val="24"/>
        </w:rPr>
        <w:t xml:space="preserve"> la laitance sera enlevée de la Surface pour laisser apparaître la mosaïque du béton, sans desceller les gros granules, ni les armatures et autres éléments noyés dans le béton. La surface sera traitée soit au jet d'eau à haute pression (de l'ordre de 20 </w:t>
      </w:r>
      <w:proofErr w:type="spellStart"/>
      <w:r w:rsidRPr="001453D6">
        <w:rPr>
          <w:szCs w:val="24"/>
        </w:rPr>
        <w:t>MPa</w:t>
      </w:r>
      <w:proofErr w:type="spellEnd"/>
      <w:r w:rsidRPr="001453D6">
        <w:rPr>
          <w:szCs w:val="24"/>
        </w:rPr>
        <w:t xml:space="preserve">), soit par sablage, soit par repiquage. En cas de repiquage, les éléments fissurés ou décollés seront enlevés, </w:t>
      </w:r>
    </w:p>
    <w:p w14:paraId="4BD991D9" w14:textId="77777777" w:rsidR="00993BA9" w:rsidRPr="001453D6" w:rsidRDefault="00737D08" w:rsidP="00737D08">
      <w:pPr>
        <w:spacing w:after="0"/>
        <w:rPr>
          <w:szCs w:val="24"/>
        </w:rPr>
      </w:pPr>
      <w:r w:rsidRPr="001453D6">
        <w:rPr>
          <w:szCs w:val="24"/>
        </w:rPr>
        <w:t> Nettoyage à l'eau et à l'air sous pression,</w:t>
      </w:r>
    </w:p>
    <w:p w14:paraId="0AB6082D" w14:textId="77777777" w:rsidR="00993BA9" w:rsidRPr="001453D6" w:rsidRDefault="00737D08" w:rsidP="00737D08">
      <w:pPr>
        <w:spacing w:after="0"/>
        <w:rPr>
          <w:szCs w:val="24"/>
        </w:rPr>
      </w:pPr>
      <w:r w:rsidRPr="001453D6">
        <w:rPr>
          <w:szCs w:val="24"/>
        </w:rPr>
        <w:t> Humidification durant un délai minimal de 24 h avant bétonnage,</w:t>
      </w:r>
    </w:p>
    <w:p w14:paraId="08A9AB11" w14:textId="4085BA10" w:rsidR="00737D08" w:rsidRPr="001453D6" w:rsidRDefault="00737D08" w:rsidP="00737D08">
      <w:pPr>
        <w:spacing w:after="0"/>
        <w:rPr>
          <w:szCs w:val="24"/>
        </w:rPr>
      </w:pPr>
      <w:r w:rsidRPr="001453D6">
        <w:rPr>
          <w:szCs w:val="24"/>
        </w:rPr>
        <w:t xml:space="preserve"> Elimination de l'eau en excès et nettoyage final. </w:t>
      </w:r>
    </w:p>
    <w:p w14:paraId="70145CDA" w14:textId="77777777" w:rsidR="00737D08" w:rsidRPr="001453D6" w:rsidRDefault="00737D08" w:rsidP="00737D08">
      <w:pPr>
        <w:spacing w:after="0"/>
        <w:rPr>
          <w:szCs w:val="24"/>
        </w:rPr>
      </w:pPr>
      <w:r w:rsidRPr="001453D6">
        <w:rPr>
          <w:szCs w:val="24"/>
        </w:rPr>
        <w:t xml:space="preserve"> </w:t>
      </w:r>
    </w:p>
    <w:p w14:paraId="583B0171" w14:textId="77777777" w:rsidR="00737D08" w:rsidRPr="001453D6" w:rsidRDefault="00737D08" w:rsidP="00737D08">
      <w:pPr>
        <w:spacing w:after="0"/>
        <w:rPr>
          <w:b/>
          <w:szCs w:val="24"/>
        </w:rPr>
      </w:pPr>
      <w:r w:rsidRPr="001453D6">
        <w:rPr>
          <w:b/>
          <w:szCs w:val="24"/>
        </w:rPr>
        <w:t xml:space="preserve">b.   Préparation du coffrage </w:t>
      </w:r>
    </w:p>
    <w:p w14:paraId="6AB33BC4" w14:textId="77777777" w:rsidR="00737D08" w:rsidRPr="001453D6" w:rsidRDefault="00737D08" w:rsidP="00737D08">
      <w:pPr>
        <w:spacing w:after="0"/>
        <w:rPr>
          <w:szCs w:val="24"/>
        </w:rPr>
      </w:pPr>
      <w:r w:rsidRPr="001453D6">
        <w:rPr>
          <w:szCs w:val="24"/>
        </w:rPr>
        <w:t xml:space="preserve">Les coffrages, après nettoyage, seront enduits d'un produit de démoulage selon instructions du fournisseur. </w:t>
      </w:r>
    </w:p>
    <w:p w14:paraId="7908C7BC" w14:textId="77777777" w:rsidR="00737D08" w:rsidRPr="001453D6" w:rsidRDefault="00737D08" w:rsidP="00737D08">
      <w:pPr>
        <w:spacing w:after="0"/>
        <w:rPr>
          <w:szCs w:val="24"/>
        </w:rPr>
      </w:pPr>
      <w:r w:rsidRPr="001453D6">
        <w:rPr>
          <w:szCs w:val="24"/>
        </w:rPr>
        <w:t xml:space="preserve"> </w:t>
      </w:r>
    </w:p>
    <w:p w14:paraId="60E368F6" w14:textId="77777777" w:rsidR="00737D08" w:rsidRPr="001453D6" w:rsidRDefault="00737D08" w:rsidP="00737D08">
      <w:pPr>
        <w:spacing w:after="0"/>
        <w:rPr>
          <w:b/>
          <w:szCs w:val="24"/>
        </w:rPr>
      </w:pPr>
      <w:r w:rsidRPr="001453D6">
        <w:rPr>
          <w:b/>
          <w:szCs w:val="24"/>
        </w:rPr>
        <w:t xml:space="preserve">c. Préparation des aciers </w:t>
      </w:r>
    </w:p>
    <w:p w14:paraId="0F3E9457" w14:textId="77777777" w:rsidR="00737D08" w:rsidRPr="001453D6" w:rsidRDefault="00737D08" w:rsidP="00737D08">
      <w:pPr>
        <w:spacing w:after="0"/>
        <w:rPr>
          <w:szCs w:val="24"/>
        </w:rPr>
      </w:pPr>
      <w:r w:rsidRPr="001453D6">
        <w:rPr>
          <w:szCs w:val="24"/>
        </w:rPr>
        <w:t xml:space="preserve">Les aciers seront exemptés de rouille et calamine non adhérentes, de mortier, béton, terre, graisse, etc. </w:t>
      </w:r>
    </w:p>
    <w:p w14:paraId="6ECD8174" w14:textId="77777777" w:rsidR="00737D08" w:rsidRPr="001453D6" w:rsidRDefault="00737D08" w:rsidP="00737D08">
      <w:pPr>
        <w:spacing w:after="0"/>
        <w:rPr>
          <w:szCs w:val="24"/>
        </w:rPr>
      </w:pPr>
      <w:r w:rsidRPr="001453D6">
        <w:rPr>
          <w:szCs w:val="24"/>
        </w:rPr>
        <w:t xml:space="preserve"> </w:t>
      </w:r>
    </w:p>
    <w:p w14:paraId="5CEC33A7" w14:textId="77777777" w:rsidR="00737D08" w:rsidRPr="001453D6" w:rsidRDefault="00737D08" w:rsidP="00737D08">
      <w:pPr>
        <w:spacing w:after="0"/>
        <w:rPr>
          <w:b/>
          <w:szCs w:val="24"/>
        </w:rPr>
      </w:pPr>
      <w:r w:rsidRPr="001453D6">
        <w:rPr>
          <w:b/>
          <w:szCs w:val="24"/>
        </w:rPr>
        <w:t xml:space="preserve">2.3 MISE EN PLACE DES COFFRAGES </w:t>
      </w:r>
    </w:p>
    <w:p w14:paraId="46119CC5" w14:textId="77777777" w:rsidR="009D6B45" w:rsidRPr="001453D6" w:rsidRDefault="009D6B45" w:rsidP="00737D08">
      <w:pPr>
        <w:spacing w:after="0"/>
        <w:rPr>
          <w:szCs w:val="24"/>
        </w:rPr>
      </w:pPr>
    </w:p>
    <w:p w14:paraId="6C8678E3" w14:textId="27A37D7B" w:rsidR="00737D08" w:rsidRPr="001453D6" w:rsidRDefault="00737D08" w:rsidP="00993BA9">
      <w:pPr>
        <w:spacing w:after="0"/>
        <w:ind w:left="0" w:firstLine="0"/>
        <w:rPr>
          <w:szCs w:val="24"/>
        </w:rPr>
      </w:pPr>
      <w:r w:rsidRPr="001453D6">
        <w:rPr>
          <w:szCs w:val="24"/>
        </w:rPr>
        <w:t xml:space="preserve">Les coffrages seront mis en place de manière à ce que les surfaces de béton satisfassent les tolérances définies dans la partie I, 1.2.6. </w:t>
      </w:r>
    </w:p>
    <w:p w14:paraId="7DD899E4" w14:textId="77777777" w:rsidR="00737D08" w:rsidRPr="001453D6" w:rsidRDefault="00737D08" w:rsidP="00737D08">
      <w:pPr>
        <w:spacing w:after="0"/>
        <w:rPr>
          <w:szCs w:val="24"/>
        </w:rPr>
      </w:pPr>
      <w:r w:rsidRPr="001453D6">
        <w:rPr>
          <w:szCs w:val="24"/>
        </w:rPr>
        <w:t xml:space="preserve"> </w:t>
      </w:r>
    </w:p>
    <w:p w14:paraId="7994C2BA" w14:textId="77777777" w:rsidR="00737D08" w:rsidRPr="001453D6" w:rsidRDefault="00737D08" w:rsidP="00737D08">
      <w:pPr>
        <w:spacing w:after="0"/>
        <w:rPr>
          <w:szCs w:val="24"/>
        </w:rPr>
      </w:pPr>
      <w:r w:rsidRPr="001453D6">
        <w:rPr>
          <w:szCs w:val="24"/>
        </w:rPr>
        <w:t xml:space="preserve">Si nécessaire, les coffrages seront mis en place avec une contre – flèche. </w:t>
      </w:r>
    </w:p>
    <w:p w14:paraId="5AFF3FFF" w14:textId="77777777" w:rsidR="00737D08" w:rsidRPr="001453D6" w:rsidRDefault="00737D08" w:rsidP="00737D08">
      <w:pPr>
        <w:spacing w:after="0"/>
        <w:rPr>
          <w:szCs w:val="24"/>
        </w:rPr>
      </w:pPr>
      <w:r w:rsidRPr="001453D6">
        <w:rPr>
          <w:szCs w:val="24"/>
        </w:rPr>
        <w:t xml:space="preserve"> </w:t>
      </w:r>
    </w:p>
    <w:p w14:paraId="0D46FF2B" w14:textId="77777777" w:rsidR="00737D08" w:rsidRPr="001453D6" w:rsidRDefault="00737D08" w:rsidP="00737D08">
      <w:pPr>
        <w:spacing w:after="0"/>
        <w:rPr>
          <w:szCs w:val="24"/>
        </w:rPr>
      </w:pPr>
      <w:r w:rsidRPr="001453D6">
        <w:rPr>
          <w:szCs w:val="24"/>
        </w:rPr>
        <w:t xml:space="preserve">Sauf stipulation contraire, les angles exposés à la vue seront pourvus de chanfreins de 25 x 25 </w:t>
      </w:r>
      <w:proofErr w:type="spellStart"/>
      <w:r w:rsidRPr="001453D6">
        <w:rPr>
          <w:szCs w:val="24"/>
        </w:rPr>
        <w:t>mm.</w:t>
      </w:r>
      <w:proofErr w:type="spellEnd"/>
      <w:r w:rsidRPr="001453D6">
        <w:rPr>
          <w:szCs w:val="24"/>
        </w:rPr>
        <w:t xml:space="preserve"> </w:t>
      </w:r>
    </w:p>
    <w:p w14:paraId="13451336" w14:textId="5CF7679F" w:rsidR="00D07548" w:rsidRPr="001453D6" w:rsidRDefault="00737D08" w:rsidP="00737D08">
      <w:pPr>
        <w:spacing w:after="0"/>
        <w:rPr>
          <w:szCs w:val="24"/>
        </w:rPr>
      </w:pPr>
      <w:r w:rsidRPr="001453D6">
        <w:rPr>
          <w:szCs w:val="24"/>
        </w:rPr>
        <w:t xml:space="preserve"> </w:t>
      </w:r>
    </w:p>
    <w:p w14:paraId="6139509B" w14:textId="1E18C513" w:rsidR="00737D08" w:rsidRPr="001453D6" w:rsidRDefault="00737D08" w:rsidP="002A45C1">
      <w:pPr>
        <w:pStyle w:val="Paragraphedeliste"/>
        <w:numPr>
          <w:ilvl w:val="1"/>
          <w:numId w:val="114"/>
        </w:numPr>
        <w:spacing w:after="0"/>
        <w:rPr>
          <w:b/>
          <w:szCs w:val="24"/>
        </w:rPr>
      </w:pPr>
      <w:r w:rsidRPr="001453D6">
        <w:rPr>
          <w:b/>
          <w:szCs w:val="24"/>
        </w:rPr>
        <w:t xml:space="preserve">MISE EN PLACE DES BETONS </w:t>
      </w:r>
    </w:p>
    <w:p w14:paraId="45B56B89" w14:textId="77777777" w:rsidR="009D6B45" w:rsidRPr="001453D6" w:rsidRDefault="009D6B45" w:rsidP="009D6B45">
      <w:pPr>
        <w:pStyle w:val="Paragraphedeliste"/>
        <w:spacing w:after="0"/>
        <w:ind w:left="576" w:firstLine="0"/>
        <w:rPr>
          <w:b/>
          <w:szCs w:val="24"/>
        </w:rPr>
      </w:pPr>
    </w:p>
    <w:p w14:paraId="6ED62CB0" w14:textId="20BA824A" w:rsidR="00737D08" w:rsidRPr="001453D6" w:rsidRDefault="00737D08" w:rsidP="00737D08">
      <w:pPr>
        <w:spacing w:after="0"/>
        <w:rPr>
          <w:b/>
          <w:szCs w:val="24"/>
        </w:rPr>
      </w:pPr>
      <w:r w:rsidRPr="001453D6">
        <w:rPr>
          <w:b/>
          <w:szCs w:val="24"/>
        </w:rPr>
        <w:t>2.</w:t>
      </w:r>
      <w:r w:rsidR="00993BA9" w:rsidRPr="001453D6">
        <w:rPr>
          <w:b/>
          <w:szCs w:val="24"/>
        </w:rPr>
        <w:t>4</w:t>
      </w:r>
      <w:r w:rsidRPr="001453D6">
        <w:rPr>
          <w:b/>
          <w:szCs w:val="24"/>
        </w:rPr>
        <w:t xml:space="preserve">.1 BETONS DE PREMIERE PHASE </w:t>
      </w:r>
    </w:p>
    <w:p w14:paraId="720AD323" w14:textId="77777777" w:rsidR="009D6B45" w:rsidRPr="001453D6" w:rsidRDefault="009D6B45" w:rsidP="00737D08">
      <w:pPr>
        <w:spacing w:after="0"/>
        <w:rPr>
          <w:szCs w:val="24"/>
        </w:rPr>
      </w:pPr>
    </w:p>
    <w:p w14:paraId="297D48BC" w14:textId="1EB71E1C" w:rsidR="00737D08" w:rsidRPr="001453D6" w:rsidRDefault="00737D08" w:rsidP="00DA0D9D">
      <w:pPr>
        <w:spacing w:after="0"/>
        <w:ind w:left="0" w:firstLine="0"/>
        <w:rPr>
          <w:szCs w:val="24"/>
        </w:rPr>
      </w:pPr>
      <w:r w:rsidRPr="001453D6">
        <w:rPr>
          <w:szCs w:val="24"/>
        </w:rPr>
        <w:t xml:space="preserve">La surface de fondation des bétons sera soigneusement nettoyée et au besoin réglée et compactée.  La mise en place devant s’effectuer à sec, l’Entrepreneur prendra toutes précautions et mesures pour dévier ou drainer les venues d’eau éventuellement, quelle qu’en soit l’origine.  Le béton sera mis en place et serré de manière à éviter tout déplacement de coffrage, ferraillage et pièces scellées. </w:t>
      </w:r>
    </w:p>
    <w:p w14:paraId="465C243F" w14:textId="77777777" w:rsidR="00737D08" w:rsidRPr="001453D6" w:rsidRDefault="00737D08" w:rsidP="00737D08">
      <w:pPr>
        <w:spacing w:after="0"/>
        <w:rPr>
          <w:szCs w:val="24"/>
        </w:rPr>
      </w:pPr>
      <w:r w:rsidRPr="001453D6">
        <w:rPr>
          <w:szCs w:val="24"/>
        </w:rPr>
        <w:t xml:space="preserve"> </w:t>
      </w:r>
    </w:p>
    <w:p w14:paraId="57E75775" w14:textId="77777777" w:rsidR="00737D08" w:rsidRPr="001453D6" w:rsidRDefault="00737D08" w:rsidP="00DA0D9D">
      <w:pPr>
        <w:spacing w:after="0"/>
        <w:ind w:left="0" w:firstLine="0"/>
        <w:rPr>
          <w:szCs w:val="24"/>
        </w:rPr>
      </w:pPr>
      <w:r w:rsidRPr="001453D6">
        <w:rPr>
          <w:szCs w:val="24"/>
        </w:rPr>
        <w:t xml:space="preserve">Le béton sera déposé aussi près que possible de sa position finale. Le déplacement du béton dans le coffrage se fera à la pelle et non par écoulement provoqué par vibration. Toute accumulation de graviers sera dispersée dans la masse du béton. L'eau de ressuyage sera enlevée au fur et à mesure de son apparition. </w:t>
      </w:r>
    </w:p>
    <w:p w14:paraId="611303C9" w14:textId="77777777" w:rsidR="00737D08" w:rsidRPr="001453D6" w:rsidRDefault="00737D08" w:rsidP="00737D08">
      <w:pPr>
        <w:spacing w:after="0"/>
        <w:rPr>
          <w:szCs w:val="24"/>
        </w:rPr>
      </w:pPr>
      <w:r w:rsidRPr="001453D6">
        <w:rPr>
          <w:szCs w:val="24"/>
        </w:rPr>
        <w:t xml:space="preserve"> </w:t>
      </w:r>
    </w:p>
    <w:p w14:paraId="31851F85" w14:textId="77777777" w:rsidR="00737D08" w:rsidRPr="001453D6" w:rsidRDefault="00737D08" w:rsidP="00DA0D9D">
      <w:pPr>
        <w:spacing w:after="0"/>
        <w:ind w:left="0" w:firstLine="0"/>
        <w:rPr>
          <w:szCs w:val="24"/>
        </w:rPr>
      </w:pPr>
      <w:r w:rsidRPr="001453D6">
        <w:rPr>
          <w:szCs w:val="24"/>
        </w:rPr>
        <w:t xml:space="preserve">A l'intérieur d'une levée, le béton sera conduit par rouleaux d'une hauteur n’excédant pas 30 cm sauf stipulation contraire de 1'Ingénieur. </w:t>
      </w:r>
    </w:p>
    <w:p w14:paraId="5B170190" w14:textId="77777777" w:rsidR="00737D08" w:rsidRPr="001453D6" w:rsidRDefault="00737D08" w:rsidP="00737D08">
      <w:pPr>
        <w:spacing w:after="0"/>
        <w:rPr>
          <w:szCs w:val="24"/>
        </w:rPr>
      </w:pPr>
      <w:r w:rsidRPr="001453D6">
        <w:rPr>
          <w:szCs w:val="24"/>
        </w:rPr>
        <w:t xml:space="preserve"> </w:t>
      </w:r>
    </w:p>
    <w:p w14:paraId="1CA3DFC2" w14:textId="77777777" w:rsidR="00737D08" w:rsidRPr="001453D6" w:rsidRDefault="00737D08" w:rsidP="00DA0D9D">
      <w:pPr>
        <w:spacing w:after="0"/>
        <w:ind w:left="0" w:firstLine="0"/>
        <w:rPr>
          <w:szCs w:val="24"/>
        </w:rPr>
      </w:pPr>
      <w:r w:rsidRPr="001453D6">
        <w:rPr>
          <w:szCs w:val="24"/>
        </w:rPr>
        <w:t xml:space="preserve">Avant d'être recouvert par un nouveau rouleau, chaque rouleau sera serré complètement mais le béton ne devra pas avoir commencé sa prise. </w:t>
      </w:r>
    </w:p>
    <w:p w14:paraId="55CBE546" w14:textId="77777777" w:rsidR="00737D08" w:rsidRPr="001453D6" w:rsidRDefault="00737D08" w:rsidP="00737D08">
      <w:pPr>
        <w:spacing w:after="0"/>
        <w:rPr>
          <w:szCs w:val="24"/>
        </w:rPr>
      </w:pPr>
      <w:r w:rsidRPr="001453D6">
        <w:rPr>
          <w:szCs w:val="24"/>
        </w:rPr>
        <w:t xml:space="preserve"> </w:t>
      </w:r>
    </w:p>
    <w:p w14:paraId="0A27996E" w14:textId="77777777" w:rsidR="00737D08" w:rsidRPr="001453D6" w:rsidRDefault="00737D08" w:rsidP="00DA0D9D">
      <w:pPr>
        <w:spacing w:after="0"/>
        <w:ind w:left="0" w:firstLine="0"/>
        <w:rPr>
          <w:szCs w:val="24"/>
        </w:rPr>
      </w:pPr>
      <w:r w:rsidRPr="001453D6">
        <w:rPr>
          <w:szCs w:val="24"/>
        </w:rPr>
        <w:t xml:space="preserve">Tous les bétons seront serrés avec des pervibrateurs. Le nombre, la fréquence et la puissance des pervibrateurs seront en tous temps adéquats pour obtenir un serrage approprié et rapide de la totalité du volume de béton à mettre en œuvre. Un tiers du nombre nécessaire sera maintenu à disposition à moins de 15 mm du lieu de mise en place. </w:t>
      </w:r>
    </w:p>
    <w:p w14:paraId="2C35D320" w14:textId="77777777" w:rsidR="00737D08" w:rsidRPr="001453D6" w:rsidRDefault="00737D08" w:rsidP="00737D08">
      <w:pPr>
        <w:spacing w:after="0"/>
        <w:rPr>
          <w:szCs w:val="24"/>
        </w:rPr>
      </w:pPr>
      <w:r w:rsidRPr="001453D6">
        <w:rPr>
          <w:szCs w:val="24"/>
        </w:rPr>
        <w:t xml:space="preserve"> </w:t>
      </w:r>
    </w:p>
    <w:p w14:paraId="6B8B8B61" w14:textId="77777777" w:rsidR="00737D08" w:rsidRPr="001453D6" w:rsidRDefault="00737D08" w:rsidP="00DA0D9D">
      <w:pPr>
        <w:spacing w:after="0"/>
        <w:ind w:left="0" w:firstLine="0"/>
        <w:rPr>
          <w:szCs w:val="24"/>
        </w:rPr>
      </w:pPr>
      <w:r w:rsidRPr="001453D6">
        <w:rPr>
          <w:szCs w:val="24"/>
        </w:rPr>
        <w:t xml:space="preserve">Toutes les dispositions nécessaires seront prises par l’Entrepreneur pour éviter la ségrégation du béton, tant pendant le transport que pendant la mise en place.  Quel que soit le moyen employé, le béton ne devra jamais tomber d’une hauteur supérieure à 2 m, si la hauteur devrait être plus grande, il serait aménagé des paliers intermédiaires (à la charge de l’Entrepreneur), la différence de hauteur entre deux paliers consécutifs n’excédant jamais deux mètres et le béton étant remanié à la main sur chaque palier. </w:t>
      </w:r>
    </w:p>
    <w:p w14:paraId="636EF987" w14:textId="77777777" w:rsidR="00737D08" w:rsidRPr="001453D6" w:rsidRDefault="00737D08" w:rsidP="00737D08">
      <w:pPr>
        <w:spacing w:after="0"/>
        <w:rPr>
          <w:szCs w:val="24"/>
        </w:rPr>
      </w:pPr>
      <w:r w:rsidRPr="001453D6">
        <w:rPr>
          <w:szCs w:val="24"/>
        </w:rPr>
        <w:t xml:space="preserve"> </w:t>
      </w:r>
    </w:p>
    <w:p w14:paraId="3367A276" w14:textId="77777777" w:rsidR="00737D08" w:rsidRPr="001453D6" w:rsidRDefault="00737D08" w:rsidP="00DA0D9D">
      <w:pPr>
        <w:spacing w:after="0"/>
        <w:ind w:left="0" w:firstLine="0"/>
        <w:rPr>
          <w:szCs w:val="24"/>
        </w:rPr>
      </w:pPr>
      <w:r w:rsidRPr="001453D6">
        <w:rPr>
          <w:szCs w:val="24"/>
        </w:rPr>
        <w:t xml:space="preserve">La température du béton frais à la mise en place ne sera pas supérieure à 35oC pour le béton à 250 kg et 30oC pour le béton à 350 kg. Si nécessaire, l'Entrepreneur tiendra les stocks de graviers et cailloux humides pour respecter les conditions de températures. </w:t>
      </w:r>
    </w:p>
    <w:p w14:paraId="29D04A5B" w14:textId="77777777" w:rsidR="00737D08" w:rsidRPr="001453D6" w:rsidRDefault="00737D08" w:rsidP="00737D08">
      <w:pPr>
        <w:spacing w:after="0"/>
        <w:rPr>
          <w:b/>
          <w:szCs w:val="24"/>
        </w:rPr>
      </w:pPr>
      <w:r w:rsidRPr="001453D6">
        <w:rPr>
          <w:szCs w:val="24"/>
        </w:rPr>
        <w:t xml:space="preserve"> </w:t>
      </w:r>
    </w:p>
    <w:p w14:paraId="36C15575" w14:textId="7CCB0BDE" w:rsidR="00737D08" w:rsidRPr="001453D6" w:rsidRDefault="00737D08" w:rsidP="00737D08">
      <w:pPr>
        <w:spacing w:after="0"/>
        <w:rPr>
          <w:b/>
          <w:szCs w:val="24"/>
        </w:rPr>
      </w:pPr>
      <w:r w:rsidRPr="001453D6">
        <w:rPr>
          <w:b/>
          <w:szCs w:val="24"/>
        </w:rPr>
        <w:t>2.</w:t>
      </w:r>
      <w:r w:rsidR="00993BA9" w:rsidRPr="001453D6">
        <w:rPr>
          <w:b/>
          <w:szCs w:val="24"/>
        </w:rPr>
        <w:t>4</w:t>
      </w:r>
      <w:r w:rsidRPr="001453D6">
        <w:rPr>
          <w:b/>
          <w:szCs w:val="24"/>
        </w:rPr>
        <w:t xml:space="preserve">.2 BETONS DE SECONDE PHASE  </w:t>
      </w:r>
    </w:p>
    <w:p w14:paraId="5B052F72" w14:textId="77777777" w:rsidR="009D6B45" w:rsidRPr="001453D6" w:rsidRDefault="009D6B45" w:rsidP="00737D08">
      <w:pPr>
        <w:spacing w:after="0"/>
        <w:rPr>
          <w:szCs w:val="24"/>
        </w:rPr>
      </w:pPr>
    </w:p>
    <w:p w14:paraId="31F83F86" w14:textId="3F65A0B1" w:rsidR="00737D08" w:rsidRPr="001453D6" w:rsidRDefault="00737D08" w:rsidP="00DA0D9D">
      <w:pPr>
        <w:spacing w:after="0"/>
        <w:ind w:left="0" w:firstLine="0"/>
        <w:rPr>
          <w:szCs w:val="24"/>
        </w:rPr>
      </w:pPr>
      <w:r w:rsidRPr="001453D6">
        <w:rPr>
          <w:szCs w:val="24"/>
        </w:rPr>
        <w:t xml:space="preserve">Il s’agit essentiellement des bétons de scellement de l’appareillage d’équipement.  Leur granulométrie sera précisée pour chaque cas, de même que le rapport eau/ciment.  Ils devront être suffisamment fluides pour bien remplir tous les interstices des bétons de première phase, ce béton sera dosé à 350 kg/m3.  Les coffrages des bétons de seconde phase devront permettre d’obtenir des bétons d’uni parfait et se raccordant parfaitement aux bétons primaires.  Il ne sera toléré aucun ragréage, toutes les aspérités devront </w:t>
      </w:r>
      <w:r w:rsidR="009D01ED" w:rsidRPr="001453D6">
        <w:rPr>
          <w:szCs w:val="24"/>
        </w:rPr>
        <w:t>être</w:t>
      </w:r>
      <w:r w:rsidRPr="001453D6">
        <w:rPr>
          <w:szCs w:val="24"/>
        </w:rPr>
        <w:t xml:space="preserve"> meulées, si l’Ingénieur l’exige. </w:t>
      </w:r>
    </w:p>
    <w:p w14:paraId="7F9EE970" w14:textId="5FB50CD6" w:rsidR="00D07548" w:rsidRPr="001453D6" w:rsidRDefault="00737D08" w:rsidP="00737D08">
      <w:pPr>
        <w:spacing w:after="0"/>
        <w:rPr>
          <w:szCs w:val="24"/>
        </w:rPr>
      </w:pPr>
      <w:r w:rsidRPr="001453D6">
        <w:rPr>
          <w:szCs w:val="24"/>
        </w:rPr>
        <w:t xml:space="preserve"> </w:t>
      </w:r>
    </w:p>
    <w:p w14:paraId="5A1A4C8B" w14:textId="77777777" w:rsidR="00737D08" w:rsidRPr="001453D6" w:rsidRDefault="00737D08" w:rsidP="00737D08">
      <w:pPr>
        <w:spacing w:after="0"/>
        <w:rPr>
          <w:b/>
          <w:szCs w:val="24"/>
        </w:rPr>
      </w:pPr>
      <w:r w:rsidRPr="001453D6">
        <w:rPr>
          <w:b/>
          <w:szCs w:val="24"/>
        </w:rPr>
        <w:t xml:space="preserve">2.5 PROTECTION </w:t>
      </w:r>
    </w:p>
    <w:p w14:paraId="58D2F89F" w14:textId="77777777" w:rsidR="009D6B45" w:rsidRPr="001453D6" w:rsidRDefault="009D6B45" w:rsidP="00737D08">
      <w:pPr>
        <w:spacing w:after="0"/>
        <w:rPr>
          <w:szCs w:val="24"/>
        </w:rPr>
      </w:pPr>
    </w:p>
    <w:p w14:paraId="3DF751FA" w14:textId="0F94C194" w:rsidR="00737D08" w:rsidRPr="001453D6" w:rsidRDefault="00737D08" w:rsidP="00DA0D9D">
      <w:pPr>
        <w:spacing w:after="0"/>
        <w:ind w:left="0" w:firstLine="0"/>
        <w:rPr>
          <w:szCs w:val="24"/>
        </w:rPr>
      </w:pPr>
      <w:r w:rsidRPr="001453D6">
        <w:rPr>
          <w:szCs w:val="24"/>
        </w:rPr>
        <w:t xml:space="preserve">Lors de la prise du béton, après qu'il perdra sa plasticité, les armatures ne devront pas être soumises à des chocs ni à aucune manipulation brutale. </w:t>
      </w:r>
    </w:p>
    <w:p w14:paraId="5410C9B9" w14:textId="77777777" w:rsidR="00737D08" w:rsidRPr="001453D6" w:rsidRDefault="00737D08" w:rsidP="00737D08">
      <w:pPr>
        <w:spacing w:after="0"/>
        <w:rPr>
          <w:szCs w:val="24"/>
        </w:rPr>
      </w:pPr>
      <w:r w:rsidRPr="001453D6">
        <w:rPr>
          <w:szCs w:val="24"/>
        </w:rPr>
        <w:t xml:space="preserve"> </w:t>
      </w:r>
    </w:p>
    <w:p w14:paraId="2317993F" w14:textId="77777777" w:rsidR="00737D08" w:rsidRPr="001453D6" w:rsidRDefault="00737D08" w:rsidP="00737D08">
      <w:pPr>
        <w:spacing w:after="0"/>
        <w:rPr>
          <w:b/>
          <w:szCs w:val="24"/>
        </w:rPr>
      </w:pPr>
      <w:r w:rsidRPr="001453D6">
        <w:rPr>
          <w:b/>
          <w:szCs w:val="24"/>
        </w:rPr>
        <w:t xml:space="preserve">2.6 DECOFFRAGE </w:t>
      </w:r>
    </w:p>
    <w:p w14:paraId="5B5ED3F6" w14:textId="77777777" w:rsidR="00737D08" w:rsidRPr="001453D6" w:rsidRDefault="00737D08" w:rsidP="00DA0D9D">
      <w:pPr>
        <w:spacing w:after="0"/>
        <w:ind w:left="0" w:firstLine="0"/>
        <w:rPr>
          <w:szCs w:val="24"/>
        </w:rPr>
      </w:pPr>
      <w:r w:rsidRPr="001453D6">
        <w:rPr>
          <w:szCs w:val="24"/>
        </w:rPr>
        <w:t xml:space="preserve">Les coffrages ne seront pas déplacés ou enlevés avant que le béton n'ait atteint une résistance suffisante pour supporter son poids propre, ainsi que les charges de construction ou de projet qu’il pourrait être amené à supporter (Min. 24 h de la fin de la mise en œuvre).  Le décoffrage sera effectué sans choc de manière à ne pas endommager les surfaces de béton. </w:t>
      </w:r>
    </w:p>
    <w:p w14:paraId="5FF6688B" w14:textId="77777777" w:rsidR="00737D08" w:rsidRPr="001453D6" w:rsidRDefault="00737D08" w:rsidP="00737D08">
      <w:pPr>
        <w:spacing w:after="0"/>
        <w:rPr>
          <w:szCs w:val="24"/>
        </w:rPr>
      </w:pPr>
      <w:r w:rsidRPr="001453D6">
        <w:rPr>
          <w:szCs w:val="24"/>
        </w:rPr>
        <w:t xml:space="preserve"> </w:t>
      </w:r>
    </w:p>
    <w:p w14:paraId="0B159715" w14:textId="77777777" w:rsidR="00737D08" w:rsidRPr="001453D6" w:rsidRDefault="00737D08" w:rsidP="00737D08">
      <w:pPr>
        <w:spacing w:after="0"/>
        <w:rPr>
          <w:b/>
          <w:szCs w:val="24"/>
        </w:rPr>
      </w:pPr>
      <w:r w:rsidRPr="001453D6">
        <w:rPr>
          <w:b/>
          <w:szCs w:val="24"/>
        </w:rPr>
        <w:t xml:space="preserve">2.7 CURE DES BETONS </w:t>
      </w:r>
      <w:r w:rsidRPr="001453D6">
        <w:rPr>
          <w:szCs w:val="24"/>
        </w:rPr>
        <w:t xml:space="preserve"> </w:t>
      </w:r>
    </w:p>
    <w:p w14:paraId="0DF1712C" w14:textId="77777777" w:rsidR="009D6B45" w:rsidRPr="001453D6" w:rsidRDefault="009D6B45" w:rsidP="00737D08">
      <w:pPr>
        <w:spacing w:after="0"/>
        <w:rPr>
          <w:szCs w:val="24"/>
        </w:rPr>
      </w:pPr>
    </w:p>
    <w:p w14:paraId="5651BA66" w14:textId="161064A3" w:rsidR="00737D08" w:rsidRPr="001453D6" w:rsidRDefault="00737D08" w:rsidP="00DA0D9D">
      <w:pPr>
        <w:spacing w:after="0"/>
        <w:ind w:left="0" w:firstLine="0"/>
        <w:rPr>
          <w:szCs w:val="24"/>
        </w:rPr>
      </w:pPr>
      <w:r w:rsidRPr="001453D6">
        <w:rPr>
          <w:szCs w:val="24"/>
        </w:rPr>
        <w:t xml:space="preserve">Les surfaces exposées du béton sont maintenues humides par l'une des méthodes suivantes: 1. couverture des surfaces horizontales par une couche de sable, toile de jute ou tout autre matériau absorbant constamment maintenu humide, 2. Arrosage permanent maintenant un flux d'eau continu sur le béton, 3. Après arrosage, recouvrement d'une membrane étanche, 4. Application d'un produit de cure. </w:t>
      </w:r>
    </w:p>
    <w:p w14:paraId="1868B69F" w14:textId="77777777" w:rsidR="00737D08" w:rsidRPr="001453D6" w:rsidRDefault="00737D08" w:rsidP="00737D08">
      <w:pPr>
        <w:spacing w:after="0"/>
        <w:rPr>
          <w:szCs w:val="24"/>
        </w:rPr>
      </w:pPr>
      <w:r w:rsidRPr="001453D6">
        <w:rPr>
          <w:szCs w:val="24"/>
        </w:rPr>
        <w:t xml:space="preserve"> </w:t>
      </w:r>
    </w:p>
    <w:p w14:paraId="0432A3E5" w14:textId="77777777" w:rsidR="00737D08" w:rsidRPr="001453D6" w:rsidRDefault="00737D08" w:rsidP="00DA0D9D">
      <w:pPr>
        <w:spacing w:after="0"/>
        <w:ind w:left="0" w:firstLine="0"/>
        <w:rPr>
          <w:szCs w:val="24"/>
        </w:rPr>
      </w:pPr>
      <w:r w:rsidRPr="001453D6">
        <w:rPr>
          <w:szCs w:val="24"/>
        </w:rPr>
        <w:t xml:space="preserve">L'utilisation d'un produit de cure sera interdite pour les surfaces devant recevoir une nouvelle levée de béton sans nouvelle préparation et pour les surfaces dont l'aspect pourrait être abîmé par le produit de cure. </w:t>
      </w:r>
    </w:p>
    <w:p w14:paraId="25C62929" w14:textId="77777777" w:rsidR="00737D08" w:rsidRPr="001453D6" w:rsidRDefault="00737D08" w:rsidP="00737D08">
      <w:pPr>
        <w:spacing w:after="0"/>
        <w:rPr>
          <w:szCs w:val="24"/>
        </w:rPr>
      </w:pPr>
      <w:r w:rsidRPr="001453D6">
        <w:rPr>
          <w:szCs w:val="24"/>
        </w:rPr>
        <w:t xml:space="preserve"> </w:t>
      </w:r>
    </w:p>
    <w:p w14:paraId="3E25E0BD" w14:textId="77777777" w:rsidR="00737D08" w:rsidRPr="001453D6" w:rsidRDefault="00737D08" w:rsidP="00DA0D9D">
      <w:pPr>
        <w:spacing w:after="0"/>
        <w:ind w:left="0" w:firstLine="0"/>
        <w:rPr>
          <w:szCs w:val="24"/>
        </w:rPr>
      </w:pPr>
      <w:r w:rsidRPr="001453D6">
        <w:rPr>
          <w:szCs w:val="24"/>
        </w:rPr>
        <w:t xml:space="preserve">La cure commencera aussitôt que possible après la mise en œuvre du béton pour les parties non coffrées et immédiatement après le décoffrage pour les parties coffrées. </w:t>
      </w:r>
    </w:p>
    <w:p w14:paraId="4E2B7A24" w14:textId="77777777" w:rsidR="00737D08" w:rsidRPr="001453D6" w:rsidRDefault="00737D08" w:rsidP="00737D08">
      <w:pPr>
        <w:spacing w:after="0"/>
        <w:rPr>
          <w:szCs w:val="24"/>
        </w:rPr>
      </w:pPr>
      <w:r w:rsidRPr="001453D6">
        <w:rPr>
          <w:szCs w:val="24"/>
        </w:rPr>
        <w:t xml:space="preserve"> </w:t>
      </w:r>
    </w:p>
    <w:p w14:paraId="74F99BDB" w14:textId="77777777" w:rsidR="00737D08" w:rsidRPr="001453D6" w:rsidRDefault="00737D08" w:rsidP="00737D08">
      <w:pPr>
        <w:spacing w:after="0"/>
        <w:rPr>
          <w:szCs w:val="24"/>
        </w:rPr>
      </w:pPr>
      <w:r w:rsidRPr="001453D6">
        <w:rPr>
          <w:szCs w:val="24"/>
        </w:rPr>
        <w:t xml:space="preserve">La cure s'effectuera pendant deux semaines. </w:t>
      </w:r>
    </w:p>
    <w:p w14:paraId="26DD062A" w14:textId="77777777" w:rsidR="00737D08" w:rsidRPr="001453D6" w:rsidRDefault="00737D08" w:rsidP="00737D08">
      <w:pPr>
        <w:spacing w:after="0"/>
        <w:rPr>
          <w:szCs w:val="24"/>
        </w:rPr>
      </w:pPr>
      <w:r w:rsidRPr="001453D6">
        <w:rPr>
          <w:szCs w:val="24"/>
        </w:rPr>
        <w:t xml:space="preserve"> </w:t>
      </w:r>
    </w:p>
    <w:p w14:paraId="0842386D" w14:textId="77777777" w:rsidR="00737D08" w:rsidRPr="001453D6" w:rsidRDefault="00737D08" w:rsidP="00737D08">
      <w:pPr>
        <w:spacing w:after="0"/>
        <w:rPr>
          <w:b/>
          <w:szCs w:val="24"/>
        </w:rPr>
      </w:pPr>
      <w:r w:rsidRPr="001453D6">
        <w:rPr>
          <w:b/>
          <w:szCs w:val="24"/>
        </w:rPr>
        <w:t xml:space="preserve">2.8 BETON PREFABRIQUE </w:t>
      </w:r>
    </w:p>
    <w:p w14:paraId="4A922032" w14:textId="77777777" w:rsidR="009D6B45" w:rsidRPr="001453D6" w:rsidRDefault="009D6B45" w:rsidP="00737D08">
      <w:pPr>
        <w:spacing w:after="0"/>
        <w:rPr>
          <w:szCs w:val="24"/>
        </w:rPr>
      </w:pPr>
    </w:p>
    <w:p w14:paraId="6F7B65CB" w14:textId="18C14C20" w:rsidR="00737D08" w:rsidRPr="001453D6" w:rsidRDefault="00737D08" w:rsidP="00737D08">
      <w:pPr>
        <w:spacing w:after="0"/>
        <w:rPr>
          <w:szCs w:val="24"/>
        </w:rPr>
      </w:pPr>
      <w:r w:rsidRPr="001453D6">
        <w:rPr>
          <w:szCs w:val="24"/>
        </w:rPr>
        <w:t xml:space="preserve">L'air de préfabrication, de cure et de stockage sera couvert par un abri. </w:t>
      </w:r>
    </w:p>
    <w:p w14:paraId="6BFCFF6D" w14:textId="77777777" w:rsidR="00737D08" w:rsidRPr="001453D6" w:rsidRDefault="00737D08" w:rsidP="00993BA9">
      <w:pPr>
        <w:spacing w:after="0"/>
        <w:ind w:left="0" w:firstLine="0"/>
        <w:rPr>
          <w:szCs w:val="24"/>
        </w:rPr>
      </w:pPr>
      <w:r w:rsidRPr="001453D6">
        <w:rPr>
          <w:szCs w:val="24"/>
        </w:rPr>
        <w:t xml:space="preserve">Les cycles de fabrication, démoulage, stockage feront l'objet d'un programme particulier à soumettre à l'approbation de l'Ingénieur. </w:t>
      </w:r>
    </w:p>
    <w:p w14:paraId="1DE095B2" w14:textId="0B7D630D" w:rsidR="00737D08" w:rsidRPr="001453D6" w:rsidRDefault="00737D08" w:rsidP="00993BA9">
      <w:pPr>
        <w:spacing w:after="0"/>
        <w:ind w:left="0" w:firstLine="0"/>
        <w:rPr>
          <w:szCs w:val="24"/>
        </w:rPr>
      </w:pPr>
      <w:r w:rsidRPr="001453D6">
        <w:rPr>
          <w:szCs w:val="24"/>
        </w:rPr>
        <w:t xml:space="preserve">Avant la mise en place des ouvrages à leur emplacement définitif, les côtes et régalages de la fondation seront contrôlés. La réception des ouvrages (qualité, recherche de dégradations éventuelles dues à la manutention, au transport, </w:t>
      </w:r>
      <w:r w:rsidR="00993BA9" w:rsidRPr="001453D6">
        <w:rPr>
          <w:szCs w:val="24"/>
        </w:rPr>
        <w:t>etc.)</w:t>
      </w:r>
      <w:r w:rsidRPr="001453D6">
        <w:rPr>
          <w:szCs w:val="24"/>
        </w:rPr>
        <w:t xml:space="preserve"> se fera sur le lieu de pose définitif</w:t>
      </w:r>
      <w:r w:rsidR="00993BA9" w:rsidRPr="001453D6">
        <w:rPr>
          <w:szCs w:val="24"/>
        </w:rPr>
        <w:t>.</w:t>
      </w:r>
      <w:r w:rsidRPr="001453D6">
        <w:rPr>
          <w:szCs w:val="24"/>
        </w:rPr>
        <w:t xml:space="preserve"> Le remblaiement autour des ouvrages préfabriqués sera conduit avec toutes les précautions nécessaires pour éviter une déstabilisation des ouvrages. Toute reprise de pose ou remplacement d’ouvrage provoqué par ce fait seront à la charge de l'Entrepreneur. </w:t>
      </w:r>
      <w:r w:rsidRPr="001453D6">
        <w:rPr>
          <w:szCs w:val="24"/>
        </w:rPr>
        <w:cr/>
      </w:r>
    </w:p>
    <w:p w14:paraId="4BDB7E38" w14:textId="77777777" w:rsidR="00737D08" w:rsidRPr="001453D6" w:rsidRDefault="00737D08" w:rsidP="00737D08">
      <w:pPr>
        <w:spacing w:after="0"/>
        <w:rPr>
          <w:b/>
          <w:szCs w:val="24"/>
        </w:rPr>
      </w:pPr>
      <w:r w:rsidRPr="001453D6">
        <w:rPr>
          <w:b/>
          <w:szCs w:val="24"/>
        </w:rPr>
        <w:t xml:space="preserve"> 2.9 REPARATION DES DEFAUTS </w:t>
      </w:r>
    </w:p>
    <w:p w14:paraId="3E85F8CB" w14:textId="77777777" w:rsidR="00737D08" w:rsidRPr="001453D6" w:rsidRDefault="00737D08" w:rsidP="00993BA9">
      <w:pPr>
        <w:spacing w:after="0"/>
        <w:ind w:left="0" w:firstLine="0"/>
        <w:rPr>
          <w:szCs w:val="24"/>
        </w:rPr>
      </w:pPr>
      <w:r w:rsidRPr="001453D6">
        <w:rPr>
          <w:szCs w:val="24"/>
        </w:rPr>
        <w:t xml:space="preserve">Les défauts tels que nids de cailloux, trous, supports de coffrages, etc… seront réparés dans les 24h suivant le décoffrage selon les indications de l'Ingénieur, </w:t>
      </w:r>
    </w:p>
    <w:p w14:paraId="34A66468" w14:textId="3762ED98" w:rsidR="00737D08" w:rsidRPr="001453D6" w:rsidRDefault="00737D08" w:rsidP="00737D08">
      <w:pPr>
        <w:spacing w:after="0"/>
        <w:rPr>
          <w:szCs w:val="24"/>
        </w:rPr>
      </w:pPr>
      <w:r w:rsidRPr="001453D6">
        <w:rPr>
          <w:szCs w:val="24"/>
        </w:rPr>
        <w:t xml:space="preserve"> </w:t>
      </w:r>
    </w:p>
    <w:p w14:paraId="6E66A965" w14:textId="77777777" w:rsidR="00737D08" w:rsidRPr="001453D6" w:rsidRDefault="00737D08" w:rsidP="00737D08">
      <w:pPr>
        <w:spacing w:after="0"/>
        <w:rPr>
          <w:b/>
          <w:szCs w:val="24"/>
        </w:rPr>
      </w:pPr>
      <w:r w:rsidRPr="001453D6">
        <w:rPr>
          <w:b/>
          <w:szCs w:val="24"/>
        </w:rPr>
        <w:t xml:space="preserve">2.10 PEINTURES </w:t>
      </w:r>
    </w:p>
    <w:p w14:paraId="737D69B2" w14:textId="77E97D21" w:rsidR="00737D08" w:rsidRPr="001453D6" w:rsidRDefault="00737D08" w:rsidP="00993BA9">
      <w:pPr>
        <w:spacing w:after="0"/>
        <w:ind w:left="0" w:firstLine="0"/>
        <w:rPr>
          <w:szCs w:val="24"/>
        </w:rPr>
      </w:pPr>
      <w:r w:rsidRPr="001453D6">
        <w:rPr>
          <w:szCs w:val="24"/>
        </w:rPr>
        <w:t>Tous les produits tels que peintures bitumineuses, antirouille, glycérophtaliques ou autres à appliquer sur le chantier devront recevoir l'agrément de l'Ingénieur. L'Entrepreneur fournira les fiches d'</w:t>
      </w:r>
      <w:r w:rsidR="00993BA9" w:rsidRPr="001453D6">
        <w:rPr>
          <w:szCs w:val="24"/>
        </w:rPr>
        <w:t>identification correspondantes.</w:t>
      </w:r>
    </w:p>
    <w:p w14:paraId="2D4CC1FC" w14:textId="77777777" w:rsidR="00737D08" w:rsidRPr="001453D6" w:rsidRDefault="00737D08" w:rsidP="00993BA9">
      <w:pPr>
        <w:spacing w:after="0"/>
        <w:ind w:left="0" w:firstLine="0"/>
        <w:rPr>
          <w:szCs w:val="24"/>
        </w:rPr>
      </w:pPr>
      <w:r w:rsidRPr="001453D6">
        <w:rPr>
          <w:szCs w:val="24"/>
        </w:rPr>
        <w:t xml:space="preserve">Les peintures seront reçues en récipients plombés et l'Entrepreneur sera responsable de leur bonne conservation. Les récipients ne devront être ouverts qu'au moment de l'emploi. </w:t>
      </w:r>
    </w:p>
    <w:p w14:paraId="74BA9ECF" w14:textId="77777777" w:rsidR="00737D08" w:rsidRPr="001453D6" w:rsidRDefault="00737D08" w:rsidP="00737D08">
      <w:pPr>
        <w:spacing w:after="0"/>
        <w:rPr>
          <w:szCs w:val="24"/>
        </w:rPr>
      </w:pPr>
    </w:p>
    <w:p w14:paraId="366B693B" w14:textId="77777777" w:rsidR="00737D08" w:rsidRPr="001453D6" w:rsidRDefault="00737D08" w:rsidP="00737D08">
      <w:pPr>
        <w:spacing w:after="0"/>
        <w:rPr>
          <w:b/>
          <w:szCs w:val="24"/>
        </w:rPr>
      </w:pPr>
      <w:r w:rsidRPr="001453D6">
        <w:rPr>
          <w:szCs w:val="24"/>
        </w:rPr>
        <w:t xml:space="preserve"> </w:t>
      </w:r>
      <w:r w:rsidRPr="001453D6">
        <w:rPr>
          <w:b/>
          <w:szCs w:val="24"/>
        </w:rPr>
        <w:t xml:space="preserve">2.10.1 PEINTURE SUR ACIERS POUR FERRONNERIE </w:t>
      </w:r>
    </w:p>
    <w:p w14:paraId="51B0C3FD" w14:textId="384CF10F" w:rsidR="00737D08" w:rsidRPr="001453D6" w:rsidRDefault="00737D08" w:rsidP="00993BA9">
      <w:pPr>
        <w:spacing w:after="0"/>
        <w:ind w:left="0" w:firstLine="0"/>
        <w:rPr>
          <w:szCs w:val="24"/>
        </w:rPr>
      </w:pPr>
      <w:r w:rsidRPr="001453D6">
        <w:rPr>
          <w:szCs w:val="24"/>
        </w:rPr>
        <w:t xml:space="preserve">Les peintures utilisées seront du type au chromate de zinc à base de résine Epoxy pour les couches de protection primaire, du type brai Epoxy pour les couches finales sur les parties métalliques immergées et du type </w:t>
      </w:r>
      <w:r w:rsidR="009D01ED" w:rsidRPr="001453D6">
        <w:rPr>
          <w:szCs w:val="24"/>
        </w:rPr>
        <w:t>glycérophtalique</w:t>
      </w:r>
      <w:r w:rsidRPr="001453D6">
        <w:rPr>
          <w:szCs w:val="24"/>
        </w:rPr>
        <w:t xml:space="preserve"> pour les couches finales sur les parties non immergées. </w:t>
      </w:r>
    </w:p>
    <w:p w14:paraId="055BACA9" w14:textId="77777777" w:rsidR="00737D08" w:rsidRPr="001453D6" w:rsidRDefault="00737D08" w:rsidP="00737D08">
      <w:pPr>
        <w:spacing w:after="0"/>
        <w:rPr>
          <w:szCs w:val="24"/>
        </w:rPr>
      </w:pPr>
    </w:p>
    <w:p w14:paraId="28FB8A84" w14:textId="77777777" w:rsidR="00737D08" w:rsidRPr="001453D6" w:rsidRDefault="00737D08" w:rsidP="00737D08">
      <w:pPr>
        <w:spacing w:after="0"/>
        <w:rPr>
          <w:b/>
          <w:szCs w:val="24"/>
        </w:rPr>
      </w:pPr>
      <w:r w:rsidRPr="001453D6">
        <w:rPr>
          <w:b/>
          <w:szCs w:val="24"/>
        </w:rPr>
        <w:t xml:space="preserve"> 2.10.2 PEINTURES SUR BETONS OU ENDUITS HORS D'EAU </w:t>
      </w:r>
    </w:p>
    <w:p w14:paraId="54FDA97E" w14:textId="77777777" w:rsidR="00737D08" w:rsidRPr="001453D6" w:rsidRDefault="00737D08" w:rsidP="00993BA9">
      <w:pPr>
        <w:spacing w:after="0"/>
        <w:ind w:left="0" w:firstLine="0"/>
        <w:rPr>
          <w:szCs w:val="24"/>
        </w:rPr>
      </w:pPr>
      <w:r w:rsidRPr="001453D6">
        <w:rPr>
          <w:szCs w:val="24"/>
        </w:rPr>
        <w:t xml:space="preserve"> Les peintures éventuellement utilisées en application directe sur des bétons ou enduits hors d'eau seront du type vinylique. </w:t>
      </w:r>
    </w:p>
    <w:p w14:paraId="225C21D0" w14:textId="77777777" w:rsidR="00737D08" w:rsidRPr="001453D6" w:rsidRDefault="00737D08" w:rsidP="00737D08">
      <w:pPr>
        <w:spacing w:after="0"/>
        <w:rPr>
          <w:szCs w:val="24"/>
        </w:rPr>
      </w:pPr>
    </w:p>
    <w:p w14:paraId="4389F6A3" w14:textId="77777777" w:rsidR="00737D08" w:rsidRPr="001453D6" w:rsidRDefault="00737D08" w:rsidP="00737D08">
      <w:pPr>
        <w:spacing w:after="0"/>
        <w:rPr>
          <w:b/>
          <w:szCs w:val="24"/>
        </w:rPr>
      </w:pPr>
      <w:r w:rsidRPr="001453D6">
        <w:rPr>
          <w:b/>
          <w:szCs w:val="24"/>
        </w:rPr>
        <w:t xml:space="preserve">2.10.3 PEINTURE SUR BETONS AU CONTACT DU SOL </w:t>
      </w:r>
    </w:p>
    <w:p w14:paraId="1EC7AF65" w14:textId="77777777" w:rsidR="00737D08" w:rsidRPr="001453D6" w:rsidRDefault="00737D08" w:rsidP="00993BA9">
      <w:pPr>
        <w:spacing w:after="0"/>
        <w:ind w:left="0" w:firstLine="0"/>
        <w:rPr>
          <w:szCs w:val="24"/>
        </w:rPr>
      </w:pPr>
      <w:r w:rsidRPr="001453D6">
        <w:rPr>
          <w:szCs w:val="24"/>
        </w:rPr>
        <w:t xml:space="preserve"> La peinture de protection des bétons au contact du sol sera une peinture bitumineuse de composition et de fluidité agréée, du type </w:t>
      </w:r>
      <w:proofErr w:type="spellStart"/>
      <w:r w:rsidRPr="001453D6">
        <w:rPr>
          <w:szCs w:val="24"/>
        </w:rPr>
        <w:t>bitumastic</w:t>
      </w:r>
      <w:proofErr w:type="spellEnd"/>
      <w:r w:rsidRPr="001453D6">
        <w:rPr>
          <w:szCs w:val="24"/>
        </w:rPr>
        <w:t xml:space="preserve"> ou </w:t>
      </w:r>
      <w:proofErr w:type="spellStart"/>
      <w:r w:rsidRPr="001453D6">
        <w:rPr>
          <w:szCs w:val="24"/>
        </w:rPr>
        <w:t>flintkote</w:t>
      </w:r>
      <w:proofErr w:type="spellEnd"/>
      <w:r w:rsidRPr="001453D6">
        <w:rPr>
          <w:szCs w:val="24"/>
        </w:rPr>
        <w:t xml:space="preserve">. </w:t>
      </w:r>
    </w:p>
    <w:p w14:paraId="6DA089E9" w14:textId="77777777" w:rsidR="00737D08" w:rsidRPr="001453D6" w:rsidRDefault="00737D08" w:rsidP="00737D08">
      <w:pPr>
        <w:spacing w:after="0"/>
        <w:rPr>
          <w:szCs w:val="24"/>
        </w:rPr>
      </w:pPr>
    </w:p>
    <w:p w14:paraId="42D78FC7" w14:textId="77777777" w:rsidR="00737D08" w:rsidRPr="001453D6" w:rsidRDefault="00737D08" w:rsidP="00737D08">
      <w:pPr>
        <w:spacing w:after="0"/>
        <w:rPr>
          <w:b/>
          <w:szCs w:val="24"/>
        </w:rPr>
      </w:pPr>
      <w:r w:rsidRPr="001453D6">
        <w:rPr>
          <w:b/>
          <w:szCs w:val="24"/>
        </w:rPr>
        <w:t xml:space="preserve">2.11 CONTROLE DE QUALITE </w:t>
      </w:r>
    </w:p>
    <w:p w14:paraId="62B3A0EE" w14:textId="77777777" w:rsidR="00737D08" w:rsidRPr="001453D6" w:rsidRDefault="00737D08" w:rsidP="00737D08">
      <w:pPr>
        <w:spacing w:after="0"/>
        <w:rPr>
          <w:b/>
          <w:szCs w:val="24"/>
        </w:rPr>
      </w:pPr>
      <w:r w:rsidRPr="001453D6">
        <w:rPr>
          <w:b/>
          <w:szCs w:val="24"/>
        </w:rPr>
        <w:t xml:space="preserve">a. Granulats </w:t>
      </w:r>
    </w:p>
    <w:p w14:paraId="2031A9EC" w14:textId="3725E4B9" w:rsidR="00737D08" w:rsidRPr="001453D6" w:rsidRDefault="00737D08" w:rsidP="004D5534">
      <w:pPr>
        <w:spacing w:after="0"/>
        <w:ind w:left="284" w:hanging="284"/>
        <w:rPr>
          <w:szCs w:val="24"/>
        </w:rPr>
      </w:pPr>
      <w:r w:rsidRPr="001453D6">
        <w:rPr>
          <w:szCs w:val="24"/>
        </w:rPr>
        <w:t xml:space="preserve">1. Fréquence normale (Na) </w:t>
      </w:r>
      <w:r w:rsidRPr="001453D6">
        <w:rPr>
          <w:szCs w:val="24"/>
        </w:rPr>
        <w:t xml:space="preserve"> chaque jour, </w:t>
      </w:r>
      <w:r w:rsidRPr="001453D6">
        <w:rPr>
          <w:szCs w:val="24"/>
        </w:rPr>
        <w:t> pour toute nouvelle livraison d'un matériau d'origine différente ou obtenu</w:t>
      </w:r>
      <w:r w:rsidR="00993BA9" w:rsidRPr="001453D6">
        <w:rPr>
          <w:szCs w:val="24"/>
        </w:rPr>
        <w:t xml:space="preserve"> par un Procédé diffèrent (Nb).</w:t>
      </w:r>
    </w:p>
    <w:p w14:paraId="2C5085F2" w14:textId="796EAC04" w:rsidR="00737D08" w:rsidRPr="001453D6" w:rsidRDefault="004D5534" w:rsidP="004D5534">
      <w:pPr>
        <w:spacing w:after="0"/>
        <w:ind w:left="284" w:hanging="284"/>
        <w:rPr>
          <w:szCs w:val="24"/>
        </w:rPr>
      </w:pPr>
      <w:r w:rsidRPr="001453D6">
        <w:rPr>
          <w:szCs w:val="24"/>
        </w:rPr>
        <w:t xml:space="preserve">2. </w:t>
      </w:r>
      <w:r w:rsidR="00737D08" w:rsidRPr="001453D6">
        <w:rPr>
          <w:szCs w:val="24"/>
        </w:rPr>
        <w:t xml:space="preserve">Fréquence x N: </w:t>
      </w:r>
      <w:r w:rsidR="00737D08" w:rsidRPr="001453D6">
        <w:rPr>
          <w:szCs w:val="24"/>
        </w:rPr>
        <w:t xml:space="preserve"> à tous les x essais effectués à fréquence normale,  </w:t>
      </w:r>
      <w:r w:rsidR="00737D08" w:rsidRPr="001453D6">
        <w:rPr>
          <w:szCs w:val="24"/>
        </w:rPr>
        <w:t> pour toute no</w:t>
      </w:r>
      <w:r w:rsidRPr="001453D6">
        <w:rPr>
          <w:szCs w:val="24"/>
        </w:rPr>
        <w:t>uvelle livraison d'un matériau.</w:t>
      </w:r>
    </w:p>
    <w:p w14:paraId="282F6C22" w14:textId="67E07399" w:rsidR="00737D08" w:rsidRPr="001453D6" w:rsidRDefault="00737D08" w:rsidP="00737D08">
      <w:pPr>
        <w:spacing w:after="0"/>
        <w:rPr>
          <w:szCs w:val="24"/>
        </w:rPr>
      </w:pPr>
      <w:r w:rsidRPr="001453D6">
        <w:rPr>
          <w:szCs w:val="24"/>
        </w:rPr>
        <w:t>3. Fréquence A: essais pour l'agr</w:t>
      </w:r>
      <w:r w:rsidR="004D5534" w:rsidRPr="001453D6">
        <w:rPr>
          <w:szCs w:val="24"/>
        </w:rPr>
        <w:t>ément des matériaux (5 essais),</w:t>
      </w:r>
    </w:p>
    <w:p w14:paraId="3E541850" w14:textId="3792AC66" w:rsidR="00737D08" w:rsidRPr="001453D6" w:rsidRDefault="00737D08" w:rsidP="00737D08">
      <w:pPr>
        <w:spacing w:after="0"/>
        <w:rPr>
          <w:szCs w:val="24"/>
        </w:rPr>
      </w:pPr>
      <w:r w:rsidRPr="001453D6">
        <w:rPr>
          <w:szCs w:val="24"/>
        </w:rPr>
        <w:t xml:space="preserve">4. Essais à </w:t>
      </w:r>
      <w:r w:rsidR="004D5534" w:rsidRPr="001453D6">
        <w:rPr>
          <w:szCs w:val="24"/>
        </w:rPr>
        <w:t>effectuer :</w:t>
      </w:r>
      <w:r w:rsidRPr="001453D6">
        <w:rPr>
          <w:szCs w:val="24"/>
        </w:rPr>
        <w:t xml:space="preserve"> </w:t>
      </w:r>
    </w:p>
    <w:p w14:paraId="3B35853D" w14:textId="013F83D3" w:rsidR="00737D08" w:rsidRPr="001453D6" w:rsidRDefault="00737D08" w:rsidP="000C4C25">
      <w:pPr>
        <w:spacing w:after="0"/>
        <w:ind w:firstLine="0"/>
        <w:rPr>
          <w:szCs w:val="24"/>
        </w:rPr>
      </w:pPr>
      <w:r w:rsidRPr="001453D6">
        <w:rPr>
          <w:szCs w:val="24"/>
        </w:rPr>
        <w:t xml:space="preserve">Caractéristique Méthode Domaine </w:t>
      </w:r>
      <w:r w:rsidR="004D5534" w:rsidRPr="001453D6">
        <w:rPr>
          <w:szCs w:val="24"/>
        </w:rPr>
        <w:t>Fréquence Granulométrie</w:t>
      </w:r>
      <w:r w:rsidRPr="001453D6">
        <w:rPr>
          <w:szCs w:val="24"/>
        </w:rPr>
        <w:t xml:space="preserve"> NF P 18-560 </w:t>
      </w:r>
      <w:proofErr w:type="gramStart"/>
      <w:r w:rsidRPr="001453D6">
        <w:rPr>
          <w:szCs w:val="24"/>
        </w:rPr>
        <w:t>Tout granulat</w:t>
      </w:r>
      <w:proofErr w:type="gramEnd"/>
      <w:r w:rsidRPr="001453D6">
        <w:rPr>
          <w:szCs w:val="24"/>
        </w:rPr>
        <w:t xml:space="preserve"> 5 Na Module de finesse NF P 18-595 Sables 5 Na </w:t>
      </w:r>
    </w:p>
    <w:p w14:paraId="200C6AA6" w14:textId="77777777" w:rsidR="004D5534" w:rsidRPr="001453D6" w:rsidRDefault="004D5534" w:rsidP="000C4C25">
      <w:pPr>
        <w:spacing w:after="0"/>
        <w:ind w:firstLine="0"/>
        <w:rPr>
          <w:szCs w:val="24"/>
        </w:rPr>
      </w:pPr>
      <w:r w:rsidRPr="001453D6">
        <w:rPr>
          <w:szCs w:val="24"/>
        </w:rPr>
        <w:t>Homogénéité NF</w:t>
      </w:r>
      <w:r w:rsidR="00737D08" w:rsidRPr="001453D6">
        <w:rPr>
          <w:szCs w:val="24"/>
        </w:rPr>
        <w:t xml:space="preserve"> P 18-571 Tout granulat 5 Na </w:t>
      </w:r>
    </w:p>
    <w:p w14:paraId="0740EA84" w14:textId="77777777" w:rsidR="004D5534" w:rsidRPr="001453D6" w:rsidRDefault="00737D08" w:rsidP="000C4C25">
      <w:pPr>
        <w:spacing w:after="0"/>
        <w:ind w:firstLine="0"/>
        <w:rPr>
          <w:szCs w:val="24"/>
        </w:rPr>
      </w:pPr>
      <w:r w:rsidRPr="001453D6">
        <w:rPr>
          <w:szCs w:val="24"/>
        </w:rPr>
        <w:t xml:space="preserve">Los </w:t>
      </w:r>
      <w:r w:rsidR="004D5534" w:rsidRPr="001453D6">
        <w:rPr>
          <w:szCs w:val="24"/>
        </w:rPr>
        <w:t>Angeles NF</w:t>
      </w:r>
      <w:r w:rsidRPr="001453D6">
        <w:rPr>
          <w:szCs w:val="24"/>
        </w:rPr>
        <w:t xml:space="preserve"> P 18-573 Gravillons et cailloux A ou Nb </w:t>
      </w:r>
    </w:p>
    <w:p w14:paraId="0F453647" w14:textId="31A0F76D" w:rsidR="00737D08" w:rsidRPr="001453D6" w:rsidRDefault="00737D08" w:rsidP="000C4C25">
      <w:pPr>
        <w:spacing w:after="0"/>
        <w:ind w:firstLine="0"/>
        <w:rPr>
          <w:szCs w:val="24"/>
        </w:rPr>
      </w:pPr>
      <w:r w:rsidRPr="001453D6">
        <w:rPr>
          <w:szCs w:val="24"/>
        </w:rPr>
        <w:t xml:space="preserve">Equivalant du sable NF P 18-598 Sables 5 Na Matières organiques NF P 18-586 Sables A ou Nb </w:t>
      </w:r>
    </w:p>
    <w:p w14:paraId="6D3FEF59" w14:textId="77777777" w:rsidR="00737D08" w:rsidRPr="001453D6" w:rsidRDefault="00737D08" w:rsidP="00737D08">
      <w:pPr>
        <w:spacing w:after="0"/>
        <w:rPr>
          <w:szCs w:val="24"/>
        </w:rPr>
      </w:pPr>
      <w:r w:rsidRPr="001453D6">
        <w:rPr>
          <w:szCs w:val="24"/>
        </w:rPr>
        <w:t xml:space="preserve">N.B.  Tous les essais seront réalisés sur des échantillons prélevés suivant les instructions de l'Ingénieur. </w:t>
      </w:r>
    </w:p>
    <w:p w14:paraId="48CE13F4" w14:textId="77777777" w:rsidR="00737D08" w:rsidRPr="001453D6" w:rsidRDefault="00737D08" w:rsidP="00737D08">
      <w:pPr>
        <w:spacing w:after="0"/>
        <w:rPr>
          <w:b/>
          <w:szCs w:val="24"/>
        </w:rPr>
      </w:pPr>
      <w:r w:rsidRPr="001453D6">
        <w:rPr>
          <w:b/>
          <w:szCs w:val="24"/>
        </w:rPr>
        <w:t xml:space="preserve">b. Béton </w:t>
      </w:r>
    </w:p>
    <w:p w14:paraId="24E063C4" w14:textId="77777777" w:rsidR="00737D08" w:rsidRPr="001453D6" w:rsidRDefault="00737D08" w:rsidP="00737D08">
      <w:pPr>
        <w:spacing w:after="0"/>
        <w:rPr>
          <w:szCs w:val="24"/>
        </w:rPr>
      </w:pPr>
      <w:r w:rsidRPr="001453D6">
        <w:rPr>
          <w:b/>
          <w:szCs w:val="24"/>
        </w:rPr>
        <w:t xml:space="preserve"> Généralité</w:t>
      </w:r>
      <w:r w:rsidRPr="001453D6">
        <w:rPr>
          <w:szCs w:val="24"/>
        </w:rPr>
        <w:t xml:space="preserve"> </w:t>
      </w:r>
    </w:p>
    <w:p w14:paraId="4F600DCD" w14:textId="59424257" w:rsidR="00737D08" w:rsidRPr="001453D6" w:rsidRDefault="00737D08" w:rsidP="00936D87">
      <w:pPr>
        <w:spacing w:after="0"/>
        <w:ind w:left="0" w:firstLine="0"/>
        <w:rPr>
          <w:szCs w:val="24"/>
        </w:rPr>
      </w:pPr>
      <w:r w:rsidRPr="001453D6">
        <w:rPr>
          <w:szCs w:val="24"/>
        </w:rPr>
        <w:t xml:space="preserve">Outre les échantillons et les essais spécifiés, l’Ingénieur pourra demander que lui soient fournis des échantillons de tout matériau avant son approvisionnement sur le chantier.  Préalablement à toute approbation, l’Ingénieur pourra demander à l’Entrepreneur de procéder à tout essai sur matériaux qu’il jugera nécessaire.  Ces essais seront effectués dans les laboratoires </w:t>
      </w:r>
      <w:r w:rsidR="009D01ED" w:rsidRPr="001453D6">
        <w:rPr>
          <w:szCs w:val="24"/>
        </w:rPr>
        <w:t>agréés</w:t>
      </w:r>
      <w:r w:rsidR="00D96891" w:rsidRPr="001453D6">
        <w:rPr>
          <w:szCs w:val="24"/>
        </w:rPr>
        <w:t xml:space="preserve"> par l’Ingénieur.</w:t>
      </w:r>
    </w:p>
    <w:p w14:paraId="0A19F56E" w14:textId="77777777" w:rsidR="00936D87" w:rsidRPr="001453D6" w:rsidRDefault="00936D87" w:rsidP="00936D87">
      <w:pPr>
        <w:spacing w:after="0"/>
        <w:ind w:left="0" w:firstLine="0"/>
        <w:rPr>
          <w:szCs w:val="24"/>
        </w:rPr>
      </w:pPr>
    </w:p>
    <w:p w14:paraId="32FE42C5" w14:textId="6DCF6472" w:rsidR="00737D08" w:rsidRPr="001453D6" w:rsidRDefault="00737D08" w:rsidP="00936D87">
      <w:pPr>
        <w:spacing w:after="0"/>
        <w:ind w:left="0" w:firstLine="0"/>
        <w:rPr>
          <w:szCs w:val="24"/>
        </w:rPr>
      </w:pPr>
      <w:r w:rsidRPr="001453D6">
        <w:rPr>
          <w:szCs w:val="24"/>
        </w:rPr>
        <w:t xml:space="preserve">Il est spécifié que le coût relatif à la fourniture des échantillons et aux essais sur les matériaux avant leur approvisionnement sur le chantier sera à la charge de l’Entrepreneur et sera réputé couvert par </w:t>
      </w:r>
      <w:r w:rsidR="00936D87" w:rsidRPr="001453D6">
        <w:rPr>
          <w:szCs w:val="24"/>
        </w:rPr>
        <w:t>les prix unitaires des travaux.</w:t>
      </w:r>
    </w:p>
    <w:p w14:paraId="484D6E69" w14:textId="77777777" w:rsidR="00936D87" w:rsidRPr="001453D6" w:rsidRDefault="00936D87" w:rsidP="00936D87">
      <w:pPr>
        <w:spacing w:after="0"/>
        <w:ind w:left="0" w:firstLine="0"/>
        <w:rPr>
          <w:szCs w:val="24"/>
        </w:rPr>
      </w:pPr>
    </w:p>
    <w:p w14:paraId="5F545C7A" w14:textId="365960E6" w:rsidR="00737D08" w:rsidRPr="001453D6" w:rsidRDefault="00737D08" w:rsidP="00936D87">
      <w:pPr>
        <w:spacing w:after="0"/>
        <w:ind w:left="0" w:firstLine="0"/>
        <w:rPr>
          <w:szCs w:val="24"/>
        </w:rPr>
      </w:pPr>
      <w:r w:rsidRPr="001453D6">
        <w:rPr>
          <w:szCs w:val="24"/>
        </w:rPr>
        <w:t xml:space="preserve">A la demande de l’Ingénieur et conformément aux spécifications, l’Entrepreneur devra également fournir les résultats d’essais sur des matériaux approvisionnés sur le chantier ou </w:t>
      </w:r>
      <w:r w:rsidR="00936D87" w:rsidRPr="001453D6">
        <w:rPr>
          <w:szCs w:val="24"/>
        </w:rPr>
        <w:t>mis en œuvre dans les ouvrages.</w:t>
      </w:r>
    </w:p>
    <w:p w14:paraId="1DE73957" w14:textId="77777777" w:rsidR="00936D87" w:rsidRPr="001453D6" w:rsidRDefault="00936D87" w:rsidP="00936D87">
      <w:pPr>
        <w:spacing w:after="0"/>
        <w:ind w:left="0" w:firstLine="0"/>
        <w:rPr>
          <w:szCs w:val="24"/>
        </w:rPr>
      </w:pPr>
    </w:p>
    <w:p w14:paraId="426C9727" w14:textId="698B701D" w:rsidR="00737D08" w:rsidRPr="001453D6" w:rsidRDefault="00737D08" w:rsidP="00936D87">
      <w:pPr>
        <w:spacing w:after="0"/>
        <w:ind w:left="0" w:firstLine="0"/>
        <w:rPr>
          <w:szCs w:val="24"/>
        </w:rPr>
      </w:pPr>
      <w:r w:rsidRPr="001453D6">
        <w:rPr>
          <w:szCs w:val="24"/>
        </w:rPr>
        <w:t>Les échantillons subissant ces essais et les laboratoires qui seront chargés de les effectuer, devront préalablement être approuvés par l’Ingénieur, qui recevra les rapports et les résultat</w:t>
      </w:r>
      <w:r w:rsidR="00936D87" w:rsidRPr="001453D6">
        <w:rPr>
          <w:szCs w:val="24"/>
        </w:rPr>
        <w:t>s de tous les essais effectués.</w:t>
      </w:r>
    </w:p>
    <w:p w14:paraId="2558FEB3" w14:textId="77777777" w:rsidR="00936D87" w:rsidRPr="001453D6" w:rsidRDefault="00936D87" w:rsidP="00936D87">
      <w:pPr>
        <w:spacing w:after="0"/>
        <w:ind w:left="0" w:firstLine="0"/>
        <w:rPr>
          <w:szCs w:val="24"/>
        </w:rPr>
      </w:pPr>
    </w:p>
    <w:p w14:paraId="5AEF7D0C" w14:textId="5AB86FCF" w:rsidR="00737D08" w:rsidRPr="001453D6" w:rsidRDefault="00737D08" w:rsidP="00936D87">
      <w:pPr>
        <w:spacing w:after="0"/>
        <w:ind w:left="0" w:firstLine="0"/>
        <w:rPr>
          <w:szCs w:val="24"/>
        </w:rPr>
      </w:pPr>
      <w:r w:rsidRPr="001453D6">
        <w:rPr>
          <w:szCs w:val="24"/>
        </w:rPr>
        <w:t>L’Entrepreneur ne pourra, en aucun cas, prétendre au remboursement du coût direct qu’il aura supporté pour ces essais demandés par l’Ingénieur.  Tous les frais supportés par l’Entrepreneur pour la fourniture, l’expédition et le transport des échantillons, l’appareillage, les matières, la main d’œuvre et, de façon générale, tout ce que nécessitera l’exécution des essais en sus des frais de laboratoire, seront à sa charge et réputés couverts par les prix unitaires, au même titre que les dépenses qu’il aurait à supporter dans le cas de la répétition des essais, sur certains matériaux ou ouvrages, si les résultats obtenus ne se sont pas avérés satisfaisants.  L’Entrepreneur n’aura pas droit au remboursement du coût direct des essais effectués au laboratoire de chantier, dont l’installation est prévue dans le cadre des travaux à effectuer.  Aucune des clauses du présent article ne dégagera l’Entrepreneur de ses responsabilités contrac</w:t>
      </w:r>
      <w:r w:rsidR="00D96891" w:rsidRPr="001453D6">
        <w:rPr>
          <w:szCs w:val="24"/>
        </w:rPr>
        <w:t xml:space="preserve">tuelles.   </w:t>
      </w:r>
      <w:r w:rsidR="00D96891" w:rsidRPr="001453D6">
        <w:rPr>
          <w:szCs w:val="24"/>
        </w:rPr>
        <w:t> Contrôle et essais</w:t>
      </w:r>
    </w:p>
    <w:p w14:paraId="23C875F5" w14:textId="77777777" w:rsidR="00D96891" w:rsidRPr="001453D6" w:rsidRDefault="00D96891" w:rsidP="00737D08">
      <w:pPr>
        <w:spacing w:after="0"/>
        <w:rPr>
          <w:szCs w:val="24"/>
        </w:rPr>
      </w:pPr>
    </w:p>
    <w:p w14:paraId="309D12F2" w14:textId="3443B01F" w:rsidR="00737D08" w:rsidRPr="001453D6" w:rsidRDefault="00737D08" w:rsidP="00737D08">
      <w:pPr>
        <w:spacing w:after="0"/>
        <w:rPr>
          <w:szCs w:val="24"/>
        </w:rPr>
      </w:pPr>
      <w:r w:rsidRPr="001453D6">
        <w:rPr>
          <w:szCs w:val="24"/>
        </w:rPr>
        <w:t xml:space="preserve">Un lot de béton sera un ouvrage ou une partie d’ouvrage ou un ensemble d'ouvrages ou de parties d'ouvrages similaires représentant </w:t>
      </w:r>
      <w:r w:rsidRPr="001453D6">
        <w:rPr>
          <w:szCs w:val="24"/>
        </w:rPr>
        <w:t xml:space="preserve">10 m3 de béton coulé avec un béton de même classe. </w:t>
      </w:r>
    </w:p>
    <w:p w14:paraId="042BB497" w14:textId="77777777" w:rsidR="00D96891" w:rsidRPr="001453D6" w:rsidRDefault="00D96891" w:rsidP="00737D08">
      <w:pPr>
        <w:spacing w:after="0"/>
        <w:rPr>
          <w:szCs w:val="24"/>
        </w:rPr>
      </w:pPr>
    </w:p>
    <w:p w14:paraId="14ECA2BC" w14:textId="3B108784" w:rsidR="00737D08" w:rsidRPr="001453D6" w:rsidRDefault="00737D08" w:rsidP="00737D08">
      <w:pPr>
        <w:spacing w:after="0"/>
        <w:rPr>
          <w:szCs w:val="24"/>
        </w:rPr>
      </w:pPr>
      <w:r w:rsidRPr="001453D6">
        <w:rPr>
          <w:szCs w:val="24"/>
        </w:rPr>
        <w:t xml:space="preserve">Un prélèvement sera issu d'une seule gâchée et une gâchée ne donnera lieu qu’à un seul prélèvement. </w:t>
      </w:r>
    </w:p>
    <w:p w14:paraId="59F94169" w14:textId="77777777" w:rsidR="00D96891" w:rsidRPr="001453D6" w:rsidRDefault="00D96891" w:rsidP="00737D08">
      <w:pPr>
        <w:spacing w:after="0"/>
        <w:rPr>
          <w:szCs w:val="24"/>
        </w:rPr>
      </w:pPr>
    </w:p>
    <w:p w14:paraId="552BD173" w14:textId="3E518F75" w:rsidR="00737D08" w:rsidRPr="001453D6" w:rsidRDefault="00737D08" w:rsidP="00737D08">
      <w:pPr>
        <w:spacing w:after="0"/>
        <w:rPr>
          <w:szCs w:val="24"/>
        </w:rPr>
      </w:pPr>
      <w:r w:rsidRPr="001453D6">
        <w:rPr>
          <w:szCs w:val="24"/>
        </w:rPr>
        <w:t xml:space="preserve">Pour chaque prélèvement sera établi un procès-verbal signé contradictoirement.  Ce procès-verbal précisera : </w:t>
      </w:r>
    </w:p>
    <w:p w14:paraId="4EA44611" w14:textId="77777777" w:rsidR="00D62C56" w:rsidRDefault="00737D08" w:rsidP="002A45C1">
      <w:pPr>
        <w:pStyle w:val="Paragraphedeliste"/>
        <w:numPr>
          <w:ilvl w:val="0"/>
          <w:numId w:val="95"/>
        </w:numPr>
        <w:spacing w:after="0"/>
        <w:jc w:val="left"/>
        <w:rPr>
          <w:szCs w:val="24"/>
        </w:rPr>
      </w:pPr>
      <w:r w:rsidRPr="001453D6">
        <w:rPr>
          <w:szCs w:val="24"/>
        </w:rPr>
        <w:t xml:space="preserve">Le lieu, la date et l’heure du prélèvement ; </w:t>
      </w:r>
    </w:p>
    <w:p w14:paraId="71E80562" w14:textId="3B28135C" w:rsidR="00D62C56" w:rsidRDefault="00737D08" w:rsidP="002A45C1">
      <w:pPr>
        <w:pStyle w:val="Paragraphedeliste"/>
        <w:numPr>
          <w:ilvl w:val="0"/>
          <w:numId w:val="95"/>
        </w:numPr>
        <w:spacing w:after="0"/>
        <w:jc w:val="left"/>
        <w:rPr>
          <w:szCs w:val="24"/>
        </w:rPr>
      </w:pPr>
      <w:r w:rsidRPr="001453D6">
        <w:rPr>
          <w:szCs w:val="24"/>
        </w:rPr>
        <w:t xml:space="preserve">La température ambiante sur le lieu du prélèvement ; </w:t>
      </w:r>
    </w:p>
    <w:p w14:paraId="0D0F09BD" w14:textId="60AFB93A" w:rsidR="00737D08" w:rsidRPr="001453D6" w:rsidRDefault="00737D08" w:rsidP="002A45C1">
      <w:pPr>
        <w:pStyle w:val="Paragraphedeliste"/>
        <w:numPr>
          <w:ilvl w:val="0"/>
          <w:numId w:val="95"/>
        </w:numPr>
        <w:spacing w:after="0"/>
        <w:jc w:val="left"/>
        <w:rPr>
          <w:szCs w:val="24"/>
        </w:rPr>
      </w:pPr>
      <w:r w:rsidRPr="001453D6">
        <w:rPr>
          <w:szCs w:val="24"/>
        </w:rPr>
        <w:t>La provenance du ciment, sa nature, la date et le mode de l’expédition ;</w:t>
      </w:r>
    </w:p>
    <w:p w14:paraId="14F54CCA" w14:textId="77777777" w:rsidR="00737D08" w:rsidRPr="001453D6" w:rsidRDefault="00737D08" w:rsidP="002A45C1">
      <w:pPr>
        <w:pStyle w:val="Paragraphedeliste"/>
        <w:numPr>
          <w:ilvl w:val="0"/>
          <w:numId w:val="95"/>
        </w:numPr>
        <w:spacing w:after="0"/>
        <w:jc w:val="left"/>
        <w:rPr>
          <w:szCs w:val="24"/>
        </w:rPr>
      </w:pPr>
      <w:r w:rsidRPr="001453D6">
        <w:rPr>
          <w:szCs w:val="24"/>
        </w:rPr>
        <w:t>La nature, l’origine et la composition granulométrique des granulats ;</w:t>
      </w:r>
    </w:p>
    <w:p w14:paraId="218F8C8B" w14:textId="77777777" w:rsidR="00737D08" w:rsidRPr="001453D6" w:rsidRDefault="00737D08" w:rsidP="002A45C1">
      <w:pPr>
        <w:pStyle w:val="Paragraphedeliste"/>
        <w:numPr>
          <w:ilvl w:val="0"/>
          <w:numId w:val="95"/>
        </w:numPr>
        <w:spacing w:after="0"/>
        <w:jc w:val="left"/>
        <w:rPr>
          <w:szCs w:val="24"/>
        </w:rPr>
      </w:pPr>
      <w:r w:rsidRPr="001453D6">
        <w:rPr>
          <w:szCs w:val="24"/>
        </w:rPr>
        <w:t xml:space="preserve">Le dosage en ciment, la quantité d’eau de gâchage, la consistance du béton ; </w:t>
      </w:r>
    </w:p>
    <w:p w14:paraId="1B0F7BF4" w14:textId="77777777" w:rsidR="00737D08" w:rsidRPr="001453D6" w:rsidRDefault="00737D08" w:rsidP="002A45C1">
      <w:pPr>
        <w:pStyle w:val="Paragraphedeliste"/>
        <w:numPr>
          <w:ilvl w:val="0"/>
          <w:numId w:val="95"/>
        </w:numPr>
        <w:spacing w:after="0"/>
        <w:jc w:val="left"/>
        <w:rPr>
          <w:szCs w:val="24"/>
        </w:rPr>
      </w:pPr>
      <w:r w:rsidRPr="001453D6">
        <w:rPr>
          <w:szCs w:val="24"/>
        </w:rPr>
        <w:t xml:space="preserve"> Le nombre, la nature et le repérage des éprouvettes ; </w:t>
      </w:r>
    </w:p>
    <w:p w14:paraId="3C12EFBF" w14:textId="77777777" w:rsidR="00737D08" w:rsidRPr="001453D6" w:rsidRDefault="00737D08" w:rsidP="002A45C1">
      <w:pPr>
        <w:pStyle w:val="Paragraphedeliste"/>
        <w:numPr>
          <w:ilvl w:val="0"/>
          <w:numId w:val="95"/>
        </w:numPr>
        <w:spacing w:after="0"/>
        <w:jc w:val="left"/>
        <w:rPr>
          <w:szCs w:val="24"/>
        </w:rPr>
      </w:pPr>
      <w:r w:rsidRPr="001453D6">
        <w:rPr>
          <w:szCs w:val="24"/>
        </w:rPr>
        <w:t xml:space="preserve">Les conditions de conservations des éprouvettes. </w:t>
      </w:r>
    </w:p>
    <w:p w14:paraId="3C6FC87F" w14:textId="77777777" w:rsidR="00D96891" w:rsidRPr="001453D6" w:rsidRDefault="00D96891" w:rsidP="00737D08">
      <w:pPr>
        <w:spacing w:after="0"/>
        <w:ind w:left="360"/>
        <w:rPr>
          <w:szCs w:val="24"/>
        </w:rPr>
      </w:pPr>
    </w:p>
    <w:p w14:paraId="3D843D64" w14:textId="658BBA1D" w:rsidR="00737D08" w:rsidRPr="001453D6" w:rsidRDefault="00737D08" w:rsidP="00D96891">
      <w:pPr>
        <w:spacing w:after="0"/>
        <w:ind w:left="0" w:firstLine="0"/>
        <w:rPr>
          <w:szCs w:val="24"/>
        </w:rPr>
      </w:pPr>
      <w:r w:rsidRPr="001453D6">
        <w:rPr>
          <w:szCs w:val="24"/>
        </w:rPr>
        <w:t xml:space="preserve">L’Entrepreneur suivra tous les essais et devra faciliter la tâche de l’Ingénieur.  Les résultats des essais seront transmis à l’Ingénieur. </w:t>
      </w:r>
    </w:p>
    <w:p w14:paraId="1533F85A" w14:textId="77777777" w:rsidR="00737D08" w:rsidRPr="001453D6" w:rsidRDefault="00737D08" w:rsidP="00737D08">
      <w:pPr>
        <w:spacing w:after="0"/>
        <w:rPr>
          <w:szCs w:val="24"/>
        </w:rPr>
      </w:pPr>
      <w:r w:rsidRPr="001453D6">
        <w:rPr>
          <w:szCs w:val="24"/>
        </w:rPr>
        <w:t xml:space="preserve">Un résultat sera la moyenne des mesures faites sur 6 échantillons qui formeront un prélèvement. </w:t>
      </w:r>
    </w:p>
    <w:p w14:paraId="05CB5211" w14:textId="77777777" w:rsidR="00737D08" w:rsidRPr="001453D6" w:rsidRDefault="00737D08" w:rsidP="00737D08">
      <w:pPr>
        <w:spacing w:after="0"/>
        <w:rPr>
          <w:szCs w:val="24"/>
        </w:rPr>
      </w:pPr>
      <w:r w:rsidRPr="001453D6">
        <w:rPr>
          <w:szCs w:val="24"/>
        </w:rPr>
        <w:t xml:space="preserve"> Il sera exécuté un prélèvement par lot et à partir d'un prélèvement seront réalisés : </w:t>
      </w:r>
    </w:p>
    <w:p w14:paraId="64180095" w14:textId="77777777" w:rsidR="00737D08" w:rsidRPr="001453D6" w:rsidRDefault="00737D08" w:rsidP="002A45C1">
      <w:pPr>
        <w:pStyle w:val="Paragraphedeliste"/>
        <w:numPr>
          <w:ilvl w:val="0"/>
          <w:numId w:val="95"/>
        </w:numPr>
        <w:spacing w:after="0"/>
        <w:jc w:val="left"/>
        <w:rPr>
          <w:szCs w:val="24"/>
        </w:rPr>
      </w:pPr>
      <w:r w:rsidRPr="001453D6">
        <w:rPr>
          <w:szCs w:val="24"/>
        </w:rPr>
        <w:t xml:space="preserve">éprouvettes pour la détermination de la résistance à la compression à 28 jours </w:t>
      </w:r>
    </w:p>
    <w:p w14:paraId="07DB4CFE" w14:textId="77777777" w:rsidR="00737D08" w:rsidRPr="001453D6" w:rsidRDefault="00737D08" w:rsidP="002A45C1">
      <w:pPr>
        <w:pStyle w:val="Paragraphedeliste"/>
        <w:numPr>
          <w:ilvl w:val="0"/>
          <w:numId w:val="95"/>
        </w:numPr>
        <w:spacing w:after="0"/>
        <w:jc w:val="left"/>
        <w:rPr>
          <w:szCs w:val="24"/>
        </w:rPr>
      </w:pPr>
      <w:r w:rsidRPr="001453D6">
        <w:rPr>
          <w:szCs w:val="24"/>
        </w:rPr>
        <w:t xml:space="preserve">un essai de consistance </w:t>
      </w:r>
      <w:r w:rsidRPr="001453D6">
        <w:rPr>
          <w:szCs w:val="24"/>
        </w:rPr>
        <w:t xml:space="preserve"> la mesure de la composition du béton frais (granulométrie); </w:t>
      </w:r>
    </w:p>
    <w:p w14:paraId="6E58B273" w14:textId="77777777" w:rsidR="00D96891" w:rsidRPr="001453D6" w:rsidRDefault="00D96891" w:rsidP="00737D08">
      <w:pPr>
        <w:spacing w:after="0"/>
        <w:rPr>
          <w:szCs w:val="24"/>
        </w:rPr>
      </w:pPr>
    </w:p>
    <w:p w14:paraId="03255F3B" w14:textId="794F32B1" w:rsidR="00737D08" w:rsidRPr="001453D6" w:rsidRDefault="00737D08" w:rsidP="00737D08">
      <w:pPr>
        <w:spacing w:after="0"/>
        <w:rPr>
          <w:szCs w:val="24"/>
        </w:rPr>
      </w:pPr>
      <w:r w:rsidRPr="001453D6">
        <w:rPr>
          <w:szCs w:val="24"/>
        </w:rPr>
        <w:t xml:space="preserve">De plus, la consistance sera mesurée plusieurs fois par jour de bétonnage selon les demandes de l'Ingénieur. </w:t>
      </w:r>
    </w:p>
    <w:p w14:paraId="0F9DD97C" w14:textId="77777777" w:rsidR="00D96891" w:rsidRPr="001453D6" w:rsidRDefault="00D96891" w:rsidP="00737D08">
      <w:pPr>
        <w:spacing w:after="0"/>
        <w:rPr>
          <w:szCs w:val="24"/>
        </w:rPr>
      </w:pPr>
    </w:p>
    <w:p w14:paraId="4BC2FB54" w14:textId="3DA5759D" w:rsidR="00737D08" w:rsidRPr="001453D6" w:rsidRDefault="00737D08" w:rsidP="00737D08">
      <w:pPr>
        <w:spacing w:after="0"/>
        <w:rPr>
          <w:szCs w:val="24"/>
        </w:rPr>
      </w:pPr>
      <w:r w:rsidRPr="001453D6">
        <w:rPr>
          <w:szCs w:val="24"/>
        </w:rPr>
        <w:t xml:space="preserve">Acceptation: un lot sera réputé conforme aux spécifications lorsque les conditions suivantes seront remplies : </w:t>
      </w:r>
    </w:p>
    <w:p w14:paraId="12309565" w14:textId="77777777" w:rsidR="00737D08" w:rsidRPr="001453D6" w:rsidRDefault="00737D08" w:rsidP="002A45C1">
      <w:pPr>
        <w:pStyle w:val="Paragraphedeliste"/>
        <w:numPr>
          <w:ilvl w:val="0"/>
          <w:numId w:val="95"/>
        </w:numPr>
        <w:spacing w:after="0"/>
        <w:jc w:val="left"/>
        <w:rPr>
          <w:szCs w:val="24"/>
        </w:rPr>
      </w:pPr>
      <w:r w:rsidRPr="001453D6">
        <w:rPr>
          <w:szCs w:val="24"/>
        </w:rPr>
        <w:t xml:space="preserve">consistance : le ou les résultats sont à l'intérieur de la fourchette spécifiée,  </w:t>
      </w:r>
    </w:p>
    <w:p w14:paraId="6CDFFFEE" w14:textId="77777777" w:rsidR="00737D08" w:rsidRPr="001453D6" w:rsidRDefault="00737D08" w:rsidP="002A45C1">
      <w:pPr>
        <w:pStyle w:val="Paragraphedeliste"/>
        <w:numPr>
          <w:ilvl w:val="0"/>
          <w:numId w:val="95"/>
        </w:numPr>
        <w:spacing w:after="0"/>
        <w:jc w:val="left"/>
        <w:rPr>
          <w:szCs w:val="24"/>
        </w:rPr>
      </w:pPr>
      <w:r w:rsidRPr="001453D6">
        <w:rPr>
          <w:szCs w:val="24"/>
        </w:rPr>
        <w:t xml:space="preserve">résistance à la compression à 28 jours. 1. chaque résultat est supérieur à 0,85 </w:t>
      </w:r>
      <w:proofErr w:type="spellStart"/>
      <w:r w:rsidRPr="001453D6">
        <w:rPr>
          <w:szCs w:val="24"/>
        </w:rPr>
        <w:t>fck</w:t>
      </w:r>
      <w:proofErr w:type="spellEnd"/>
      <w:r w:rsidRPr="001453D6">
        <w:rPr>
          <w:szCs w:val="24"/>
        </w:rPr>
        <w:t xml:space="preserve">, 2. la moyenne de l'ensemble des résultats </w:t>
      </w:r>
      <w:proofErr w:type="spellStart"/>
      <w:r w:rsidRPr="001453D6">
        <w:rPr>
          <w:szCs w:val="24"/>
        </w:rPr>
        <w:t>fck</w:t>
      </w:r>
      <w:proofErr w:type="spellEnd"/>
      <w:r w:rsidRPr="001453D6">
        <w:rPr>
          <w:szCs w:val="24"/>
        </w:rPr>
        <w:t xml:space="preserve"> est en permanence supérieure à 1,1 </w:t>
      </w:r>
      <w:proofErr w:type="spellStart"/>
      <w:r w:rsidRPr="001453D6">
        <w:rPr>
          <w:szCs w:val="24"/>
        </w:rPr>
        <w:t>fck</w:t>
      </w:r>
      <w:proofErr w:type="spellEnd"/>
      <w:r w:rsidRPr="001453D6">
        <w:rPr>
          <w:szCs w:val="24"/>
        </w:rPr>
        <w:t xml:space="preserve">. </w:t>
      </w:r>
    </w:p>
    <w:p w14:paraId="71F32BE0" w14:textId="77777777" w:rsidR="00D96891" w:rsidRPr="001453D6" w:rsidRDefault="00D96891" w:rsidP="00737D08">
      <w:pPr>
        <w:spacing w:after="0"/>
        <w:rPr>
          <w:szCs w:val="24"/>
        </w:rPr>
      </w:pPr>
    </w:p>
    <w:p w14:paraId="686A4F29" w14:textId="0D8CE9D4" w:rsidR="00737D08" w:rsidRPr="001453D6" w:rsidRDefault="00737D08" w:rsidP="00737D08">
      <w:pPr>
        <w:spacing w:after="0"/>
        <w:rPr>
          <w:szCs w:val="24"/>
        </w:rPr>
      </w:pPr>
      <w:r w:rsidRPr="001453D6">
        <w:rPr>
          <w:szCs w:val="24"/>
        </w:rPr>
        <w:t xml:space="preserve">Le volume total des prélèvements à la charge de l’Entrepreneur, y compris le transport jusqu’au laboratoire chargé des essais, sera limité à 0,25% du volume des bétons mis en œuvre, à moins que les résultats défavorables des essais viennent à rendre nécessaires des prélèvements plus nombreux et importants. </w:t>
      </w:r>
    </w:p>
    <w:p w14:paraId="62875D58" w14:textId="77777777" w:rsidR="00D426B5" w:rsidRPr="001453D6" w:rsidRDefault="00D426B5" w:rsidP="00737D08">
      <w:pPr>
        <w:spacing w:after="0"/>
        <w:rPr>
          <w:szCs w:val="24"/>
        </w:rPr>
      </w:pPr>
    </w:p>
    <w:p w14:paraId="4CB1368F" w14:textId="2EF1FCE6" w:rsidR="00737D08" w:rsidRPr="001453D6" w:rsidRDefault="00737D08" w:rsidP="00737D08">
      <w:pPr>
        <w:spacing w:after="0"/>
        <w:rPr>
          <w:b/>
          <w:szCs w:val="24"/>
        </w:rPr>
      </w:pPr>
      <w:r w:rsidRPr="001453D6">
        <w:rPr>
          <w:b/>
          <w:szCs w:val="24"/>
        </w:rPr>
        <w:t xml:space="preserve">PARTIE </w:t>
      </w:r>
      <w:r w:rsidR="00350EB7" w:rsidRPr="001453D6">
        <w:rPr>
          <w:b/>
          <w:szCs w:val="24"/>
        </w:rPr>
        <w:t>G</w:t>
      </w:r>
      <w:r w:rsidRPr="001453D6">
        <w:rPr>
          <w:b/>
          <w:szCs w:val="24"/>
        </w:rPr>
        <w:t xml:space="preserve"> : PROTECTIONS EN ENROCHEMENTS </w:t>
      </w:r>
    </w:p>
    <w:p w14:paraId="4586E1E4" w14:textId="77777777" w:rsidR="00737D08" w:rsidRPr="001453D6" w:rsidRDefault="00737D08" w:rsidP="00737D08">
      <w:pPr>
        <w:spacing w:after="0"/>
        <w:rPr>
          <w:szCs w:val="24"/>
        </w:rPr>
      </w:pPr>
      <w:r w:rsidRPr="001453D6">
        <w:rPr>
          <w:szCs w:val="24"/>
        </w:rPr>
        <w:t xml:space="preserve"> </w:t>
      </w:r>
    </w:p>
    <w:p w14:paraId="1880089C" w14:textId="7FFE315C" w:rsidR="009D6B45" w:rsidRPr="001453D6" w:rsidRDefault="00737D08" w:rsidP="002A45C1">
      <w:pPr>
        <w:pStyle w:val="Paragraphedeliste"/>
        <w:numPr>
          <w:ilvl w:val="0"/>
          <w:numId w:val="104"/>
        </w:numPr>
        <w:spacing w:after="0"/>
        <w:rPr>
          <w:b/>
          <w:szCs w:val="24"/>
        </w:rPr>
      </w:pPr>
      <w:r w:rsidRPr="001453D6">
        <w:rPr>
          <w:b/>
          <w:szCs w:val="24"/>
        </w:rPr>
        <w:t>GENERALITES</w:t>
      </w:r>
    </w:p>
    <w:p w14:paraId="6294CEC7" w14:textId="397A00DE" w:rsidR="00737D08" w:rsidRPr="001453D6" w:rsidRDefault="00737D08" w:rsidP="009D6B45">
      <w:pPr>
        <w:pStyle w:val="Paragraphedeliste"/>
        <w:spacing w:after="0"/>
        <w:ind w:firstLine="0"/>
        <w:rPr>
          <w:b/>
          <w:szCs w:val="24"/>
        </w:rPr>
      </w:pPr>
      <w:r w:rsidRPr="001453D6">
        <w:rPr>
          <w:b/>
          <w:szCs w:val="24"/>
        </w:rPr>
        <w:t xml:space="preserve"> </w:t>
      </w:r>
    </w:p>
    <w:p w14:paraId="01CD982A" w14:textId="77777777" w:rsidR="00737D08" w:rsidRPr="001453D6" w:rsidRDefault="00737D08" w:rsidP="00737D08">
      <w:pPr>
        <w:spacing w:after="0"/>
        <w:rPr>
          <w:b/>
          <w:szCs w:val="24"/>
        </w:rPr>
      </w:pPr>
      <w:r w:rsidRPr="001453D6">
        <w:rPr>
          <w:b/>
          <w:szCs w:val="24"/>
        </w:rPr>
        <w:t xml:space="preserve">1.1 TRAVAUX INCLUS </w:t>
      </w:r>
    </w:p>
    <w:p w14:paraId="0DF353BC" w14:textId="77777777" w:rsidR="009D6B45" w:rsidRPr="001453D6" w:rsidRDefault="00737D08" w:rsidP="00737D08">
      <w:pPr>
        <w:spacing w:after="0"/>
        <w:rPr>
          <w:szCs w:val="24"/>
        </w:rPr>
      </w:pPr>
      <w:r w:rsidRPr="001453D6">
        <w:rPr>
          <w:szCs w:val="24"/>
        </w:rPr>
        <w:t xml:space="preserve"> </w:t>
      </w:r>
    </w:p>
    <w:p w14:paraId="47533E00" w14:textId="2D46C919" w:rsidR="00737D08" w:rsidRPr="001453D6" w:rsidRDefault="00737D08" w:rsidP="00737D08">
      <w:pPr>
        <w:spacing w:after="0"/>
        <w:rPr>
          <w:szCs w:val="24"/>
        </w:rPr>
      </w:pPr>
      <w:r w:rsidRPr="001453D6">
        <w:rPr>
          <w:szCs w:val="24"/>
        </w:rPr>
        <w:t xml:space="preserve">Protection d'ouvrages neufs ou anciens à réhabiliter, comme prévu sur les plans joints ou indications de l'Ingénieur. </w:t>
      </w:r>
    </w:p>
    <w:p w14:paraId="0F9D87F8" w14:textId="77777777" w:rsidR="009D6B45" w:rsidRPr="001453D6" w:rsidRDefault="009D6B45" w:rsidP="00737D08">
      <w:pPr>
        <w:spacing w:after="0"/>
        <w:rPr>
          <w:szCs w:val="24"/>
        </w:rPr>
      </w:pPr>
    </w:p>
    <w:p w14:paraId="5F7E6F6D" w14:textId="77777777" w:rsidR="00737D08" w:rsidRPr="001453D6" w:rsidRDefault="00737D08" w:rsidP="00737D08">
      <w:pPr>
        <w:spacing w:after="0"/>
        <w:rPr>
          <w:b/>
          <w:szCs w:val="24"/>
        </w:rPr>
      </w:pPr>
      <w:r w:rsidRPr="001453D6">
        <w:rPr>
          <w:b/>
          <w:szCs w:val="24"/>
        </w:rPr>
        <w:t xml:space="preserve">1.2 ASSURANCE DE QUALITE - RECONNAISSANCE </w:t>
      </w:r>
    </w:p>
    <w:p w14:paraId="2B871285" w14:textId="77777777" w:rsidR="009D6B45" w:rsidRPr="001453D6" w:rsidRDefault="009D6B45" w:rsidP="00737D08">
      <w:pPr>
        <w:spacing w:after="0"/>
        <w:rPr>
          <w:szCs w:val="24"/>
        </w:rPr>
      </w:pPr>
    </w:p>
    <w:p w14:paraId="108588E2" w14:textId="358ADE83" w:rsidR="00737D08" w:rsidRPr="001453D6" w:rsidRDefault="00737D08" w:rsidP="00737D08">
      <w:pPr>
        <w:spacing w:after="0"/>
        <w:rPr>
          <w:szCs w:val="24"/>
        </w:rPr>
      </w:pPr>
      <w:r w:rsidRPr="001453D6">
        <w:rPr>
          <w:szCs w:val="24"/>
        </w:rPr>
        <w:t xml:space="preserve">L'Entrepreneur réalisera, après accord de l'ingénieur, un programme de reconnaissance et d'essais destinés à l'agrément du ou des gîtes de matériaux qu'il se propose d'utiliser pour l'approvisionnement des matériaux. </w:t>
      </w:r>
    </w:p>
    <w:p w14:paraId="73801CDC" w14:textId="77777777" w:rsidR="00600B43" w:rsidRPr="001453D6" w:rsidRDefault="00737D08" w:rsidP="00737D08">
      <w:pPr>
        <w:spacing w:after="0"/>
        <w:rPr>
          <w:szCs w:val="24"/>
        </w:rPr>
      </w:pPr>
      <w:r w:rsidRPr="001453D6">
        <w:rPr>
          <w:szCs w:val="24"/>
        </w:rPr>
        <w:t xml:space="preserve">Les essais porteront pour chaque </w:t>
      </w:r>
      <w:r w:rsidR="009D01ED" w:rsidRPr="001453D6">
        <w:rPr>
          <w:szCs w:val="24"/>
        </w:rPr>
        <w:t xml:space="preserve">gîte </w:t>
      </w:r>
      <w:r w:rsidR="00600B43" w:rsidRPr="001453D6">
        <w:rPr>
          <w:szCs w:val="24"/>
        </w:rPr>
        <w:t>sur :</w:t>
      </w:r>
      <w:r w:rsidRPr="001453D6">
        <w:rPr>
          <w:szCs w:val="24"/>
        </w:rPr>
        <w:t xml:space="preserve"> </w:t>
      </w:r>
    </w:p>
    <w:p w14:paraId="1C3AC7D2" w14:textId="77777777" w:rsidR="00600B43" w:rsidRPr="001453D6" w:rsidRDefault="00737D08" w:rsidP="00737D08">
      <w:pPr>
        <w:spacing w:after="0"/>
        <w:rPr>
          <w:szCs w:val="24"/>
        </w:rPr>
      </w:pPr>
      <w:r w:rsidRPr="001453D6">
        <w:rPr>
          <w:szCs w:val="24"/>
        </w:rPr>
        <w:t xml:space="preserve"> masse </w:t>
      </w:r>
      <w:r w:rsidR="00600B43" w:rsidRPr="001453D6">
        <w:rPr>
          <w:szCs w:val="24"/>
        </w:rPr>
        <w:t>volumique :</w:t>
      </w:r>
      <w:r w:rsidRPr="001453D6">
        <w:rPr>
          <w:szCs w:val="24"/>
        </w:rPr>
        <w:t xml:space="preserve"> 2 essais</w:t>
      </w:r>
    </w:p>
    <w:p w14:paraId="6DE1093C" w14:textId="3386C242" w:rsidR="00737D08" w:rsidRPr="001453D6" w:rsidRDefault="00737D08" w:rsidP="00737D08">
      <w:pPr>
        <w:spacing w:after="0"/>
        <w:rPr>
          <w:szCs w:val="24"/>
        </w:rPr>
      </w:pPr>
      <w:r w:rsidRPr="001453D6">
        <w:rPr>
          <w:szCs w:val="24"/>
        </w:rPr>
        <w:t xml:space="preserve"> </w:t>
      </w:r>
      <w:proofErr w:type="gramStart"/>
      <w:r w:rsidRPr="001453D6">
        <w:rPr>
          <w:szCs w:val="24"/>
        </w:rPr>
        <w:t>abrasion</w:t>
      </w:r>
      <w:proofErr w:type="gramEnd"/>
      <w:r w:rsidRPr="001453D6">
        <w:rPr>
          <w:szCs w:val="24"/>
        </w:rPr>
        <w:t xml:space="preserve"> Los Angeles : 2 essais </w:t>
      </w:r>
    </w:p>
    <w:p w14:paraId="6D2C3968" w14:textId="77777777" w:rsidR="00737D08" w:rsidRPr="001453D6" w:rsidRDefault="00737D08" w:rsidP="00737D08">
      <w:pPr>
        <w:spacing w:after="0"/>
        <w:rPr>
          <w:szCs w:val="24"/>
        </w:rPr>
      </w:pPr>
      <w:r w:rsidRPr="001453D6">
        <w:rPr>
          <w:szCs w:val="24"/>
        </w:rPr>
        <w:t xml:space="preserve"> </w:t>
      </w:r>
    </w:p>
    <w:p w14:paraId="54A3394D" w14:textId="77777777" w:rsidR="00737D08" w:rsidRPr="001453D6" w:rsidRDefault="00737D08" w:rsidP="00737D08">
      <w:pPr>
        <w:spacing w:after="0"/>
        <w:rPr>
          <w:b/>
          <w:szCs w:val="24"/>
        </w:rPr>
      </w:pPr>
      <w:r w:rsidRPr="001453D6">
        <w:rPr>
          <w:b/>
          <w:szCs w:val="24"/>
        </w:rPr>
        <w:t xml:space="preserve">1.3 DOCUMENT A REMETTRE </w:t>
      </w:r>
    </w:p>
    <w:p w14:paraId="14DA15D1" w14:textId="77777777" w:rsidR="00737D08" w:rsidRPr="001453D6" w:rsidRDefault="00737D08" w:rsidP="002A45C1">
      <w:pPr>
        <w:pStyle w:val="Paragraphedeliste"/>
        <w:numPr>
          <w:ilvl w:val="0"/>
          <w:numId w:val="93"/>
        </w:numPr>
        <w:spacing w:after="0"/>
        <w:jc w:val="left"/>
        <w:rPr>
          <w:szCs w:val="24"/>
        </w:rPr>
      </w:pPr>
      <w:r w:rsidRPr="001453D6">
        <w:rPr>
          <w:szCs w:val="24"/>
        </w:rPr>
        <w:t>Plans d'exécution (Commun à ceux des ouvrages),</w:t>
      </w:r>
    </w:p>
    <w:p w14:paraId="0D83BA69" w14:textId="7BB85A0D" w:rsidR="00737D08" w:rsidRPr="001453D6" w:rsidRDefault="00737D08" w:rsidP="002A45C1">
      <w:pPr>
        <w:pStyle w:val="Paragraphedeliste"/>
        <w:numPr>
          <w:ilvl w:val="0"/>
          <w:numId w:val="93"/>
        </w:numPr>
        <w:spacing w:after="0"/>
        <w:jc w:val="left"/>
        <w:rPr>
          <w:szCs w:val="24"/>
        </w:rPr>
      </w:pPr>
      <w:r w:rsidRPr="001453D6">
        <w:rPr>
          <w:szCs w:val="24"/>
        </w:rPr>
        <w:t xml:space="preserve">Résultats des essais </w:t>
      </w:r>
    </w:p>
    <w:p w14:paraId="6A63AA78" w14:textId="77777777" w:rsidR="009D6B45" w:rsidRPr="001453D6" w:rsidRDefault="009D6B45" w:rsidP="009D6B45">
      <w:pPr>
        <w:pStyle w:val="Paragraphedeliste"/>
        <w:spacing w:after="0"/>
        <w:ind w:firstLine="0"/>
        <w:jc w:val="left"/>
        <w:rPr>
          <w:szCs w:val="24"/>
        </w:rPr>
      </w:pPr>
    </w:p>
    <w:p w14:paraId="11930C90" w14:textId="77777777" w:rsidR="00737D08" w:rsidRPr="001453D6" w:rsidRDefault="00737D08" w:rsidP="00737D08">
      <w:pPr>
        <w:spacing w:after="0"/>
        <w:rPr>
          <w:b/>
          <w:szCs w:val="24"/>
        </w:rPr>
      </w:pPr>
      <w:r w:rsidRPr="001453D6">
        <w:rPr>
          <w:b/>
          <w:szCs w:val="24"/>
        </w:rPr>
        <w:t xml:space="preserve">1.4 PROGRAMME </w:t>
      </w:r>
    </w:p>
    <w:p w14:paraId="4C64BF36" w14:textId="77777777" w:rsidR="009D6B45" w:rsidRPr="001453D6" w:rsidRDefault="009D6B45" w:rsidP="00737D08">
      <w:pPr>
        <w:spacing w:after="0"/>
        <w:rPr>
          <w:szCs w:val="24"/>
        </w:rPr>
      </w:pPr>
    </w:p>
    <w:p w14:paraId="5155AF8D" w14:textId="6EF20D25" w:rsidR="00737D08" w:rsidRPr="001453D6" w:rsidRDefault="00737D08" w:rsidP="00737D08">
      <w:pPr>
        <w:spacing w:after="0"/>
        <w:rPr>
          <w:szCs w:val="24"/>
        </w:rPr>
      </w:pPr>
      <w:r w:rsidRPr="001453D6">
        <w:rPr>
          <w:szCs w:val="24"/>
        </w:rPr>
        <w:t xml:space="preserve">Les enrochements seront posés au fur et à mesure (délai </w:t>
      </w:r>
      <w:r w:rsidR="00A55E6A" w:rsidRPr="001453D6">
        <w:rPr>
          <w:szCs w:val="24"/>
        </w:rPr>
        <w:t>maximal :</w:t>
      </w:r>
      <w:r w:rsidRPr="001453D6">
        <w:rPr>
          <w:szCs w:val="24"/>
        </w:rPr>
        <w:t xml:space="preserve"> 48 h) de la mise en place des couches de transition ou des filtres synthétiques sous-jacents pour éviter tous les désordres dans ces matériaux. </w:t>
      </w:r>
    </w:p>
    <w:p w14:paraId="0CF2A04C" w14:textId="77777777" w:rsidR="009D6B45" w:rsidRPr="001453D6" w:rsidRDefault="009D6B45" w:rsidP="00737D08">
      <w:pPr>
        <w:spacing w:after="0"/>
        <w:rPr>
          <w:szCs w:val="24"/>
        </w:rPr>
      </w:pPr>
    </w:p>
    <w:p w14:paraId="5F3C99C0" w14:textId="0602ACEE" w:rsidR="00737D08" w:rsidRPr="001453D6" w:rsidRDefault="00737D08" w:rsidP="00737D08">
      <w:pPr>
        <w:spacing w:after="0"/>
        <w:rPr>
          <w:b/>
          <w:szCs w:val="24"/>
        </w:rPr>
      </w:pPr>
      <w:r w:rsidRPr="001453D6">
        <w:rPr>
          <w:b/>
          <w:szCs w:val="24"/>
        </w:rPr>
        <w:t xml:space="preserve">2. PRODUITS </w:t>
      </w:r>
    </w:p>
    <w:p w14:paraId="2FB0CE1A" w14:textId="77777777" w:rsidR="009D6B45" w:rsidRPr="001453D6" w:rsidRDefault="009D6B45" w:rsidP="00737D08">
      <w:pPr>
        <w:spacing w:after="0"/>
        <w:rPr>
          <w:b/>
          <w:szCs w:val="24"/>
        </w:rPr>
      </w:pPr>
    </w:p>
    <w:p w14:paraId="32E33950" w14:textId="77777777" w:rsidR="00737D08" w:rsidRPr="001453D6" w:rsidRDefault="00737D08" w:rsidP="00737D08">
      <w:pPr>
        <w:spacing w:after="0"/>
        <w:rPr>
          <w:b/>
          <w:szCs w:val="24"/>
        </w:rPr>
      </w:pPr>
      <w:r w:rsidRPr="001453D6">
        <w:rPr>
          <w:b/>
          <w:szCs w:val="24"/>
        </w:rPr>
        <w:t xml:space="preserve">2.1 QUALITE DU MATERIAU </w:t>
      </w:r>
    </w:p>
    <w:p w14:paraId="4FA596FF" w14:textId="77777777" w:rsidR="009D6B45" w:rsidRPr="001453D6" w:rsidRDefault="009D6B45" w:rsidP="00737D08">
      <w:pPr>
        <w:spacing w:after="0"/>
        <w:rPr>
          <w:szCs w:val="24"/>
        </w:rPr>
      </w:pPr>
    </w:p>
    <w:p w14:paraId="521A6E61" w14:textId="29413CF7" w:rsidR="00737D08" w:rsidRPr="001453D6" w:rsidRDefault="009D6B45" w:rsidP="00737D08">
      <w:pPr>
        <w:spacing w:after="0"/>
        <w:rPr>
          <w:szCs w:val="24"/>
        </w:rPr>
      </w:pPr>
      <w:r w:rsidRPr="001453D6">
        <w:rPr>
          <w:szCs w:val="24"/>
        </w:rPr>
        <w:t>Nature :</w:t>
      </w:r>
      <w:r w:rsidR="00737D08" w:rsidRPr="001453D6">
        <w:rPr>
          <w:szCs w:val="24"/>
        </w:rPr>
        <w:t xml:space="preserve"> Blocs latéritiques Masse </w:t>
      </w:r>
      <w:r w:rsidRPr="001453D6">
        <w:rPr>
          <w:szCs w:val="24"/>
        </w:rPr>
        <w:t>volumique :</w:t>
      </w:r>
      <w:r w:rsidR="00737D08" w:rsidRPr="001453D6">
        <w:rPr>
          <w:szCs w:val="24"/>
        </w:rPr>
        <w:t xml:space="preserve"> Supérieure à 2,8 t /m3 Abrasion Los </w:t>
      </w:r>
      <w:r w:rsidR="00600B43" w:rsidRPr="001453D6">
        <w:rPr>
          <w:szCs w:val="24"/>
        </w:rPr>
        <w:t>Angeles :</w:t>
      </w:r>
      <w:r w:rsidR="00737D08" w:rsidRPr="001453D6">
        <w:rPr>
          <w:szCs w:val="24"/>
        </w:rPr>
        <w:t xml:space="preserve"> Inférieure à 50 % Résistance à la rupture en </w:t>
      </w:r>
      <w:r w:rsidR="00600B43" w:rsidRPr="001453D6">
        <w:rPr>
          <w:szCs w:val="24"/>
        </w:rPr>
        <w:t>compression :</w:t>
      </w:r>
      <w:r w:rsidR="00737D08" w:rsidRPr="001453D6">
        <w:rPr>
          <w:szCs w:val="24"/>
        </w:rPr>
        <w:t xml:space="preserve"> Supérieure à 500 bars. </w:t>
      </w:r>
    </w:p>
    <w:p w14:paraId="5B09618B" w14:textId="004FAAEF" w:rsidR="00737D08" w:rsidRPr="001453D6" w:rsidRDefault="00737D08" w:rsidP="00737D08">
      <w:pPr>
        <w:spacing w:after="0"/>
        <w:rPr>
          <w:szCs w:val="24"/>
        </w:rPr>
      </w:pPr>
      <w:r w:rsidRPr="001453D6">
        <w:rPr>
          <w:szCs w:val="24"/>
        </w:rPr>
        <w:t xml:space="preserve"> </w:t>
      </w:r>
      <w:r w:rsidRPr="001453D6">
        <w:rPr>
          <w:b/>
          <w:szCs w:val="24"/>
        </w:rPr>
        <w:t xml:space="preserve">FORME </w:t>
      </w:r>
      <w:r w:rsidRPr="001453D6">
        <w:rPr>
          <w:szCs w:val="24"/>
        </w:rPr>
        <w:t>"L" étant la plus grande dimension et '</w:t>
      </w:r>
      <w:r w:rsidR="00EA3472" w:rsidRPr="001453D6">
        <w:rPr>
          <w:szCs w:val="24"/>
        </w:rPr>
        <w:t>T’ la</w:t>
      </w:r>
      <w:r w:rsidRPr="001453D6">
        <w:rPr>
          <w:szCs w:val="24"/>
        </w:rPr>
        <w:t xml:space="preserve"> plus petite dimension, la forme des blocs devra satisfaire la condition suivante: </w:t>
      </w:r>
    </w:p>
    <w:p w14:paraId="11EFF754" w14:textId="3D296C59" w:rsidR="00737D08" w:rsidRPr="001453D6" w:rsidRDefault="00737D08" w:rsidP="00737D08">
      <w:pPr>
        <w:spacing w:after="0"/>
        <w:rPr>
          <w:b/>
          <w:szCs w:val="24"/>
        </w:rPr>
      </w:pPr>
      <w:r w:rsidRPr="001453D6">
        <w:rPr>
          <w:b/>
          <w:szCs w:val="24"/>
        </w:rPr>
        <w:t xml:space="preserve">BLOCOMETRIE </w:t>
      </w:r>
    </w:p>
    <w:p w14:paraId="3DEFFF39" w14:textId="77777777" w:rsidR="00737D08" w:rsidRPr="001453D6" w:rsidRDefault="00737D08" w:rsidP="00737D08">
      <w:pPr>
        <w:spacing w:after="0"/>
        <w:rPr>
          <w:szCs w:val="24"/>
        </w:rPr>
      </w:pPr>
      <w:r w:rsidRPr="001453D6">
        <w:rPr>
          <w:szCs w:val="24"/>
        </w:rPr>
        <w:t xml:space="preserve">P50 étant le poids propre spécifié du bloc qui, sur la courbe </w:t>
      </w:r>
      <w:proofErr w:type="spellStart"/>
      <w:r w:rsidRPr="001453D6">
        <w:rPr>
          <w:szCs w:val="24"/>
        </w:rPr>
        <w:t>blocométrique</w:t>
      </w:r>
      <w:proofErr w:type="spellEnd"/>
      <w:r w:rsidRPr="001453D6">
        <w:rPr>
          <w:szCs w:val="24"/>
        </w:rPr>
        <w:t xml:space="preserve"> d'un ensemble de blocs donne le point de coordonnée 50%, la répartition des blocs constituant une protection respectera la règle suivante :        </w:t>
      </w:r>
      <w:proofErr w:type="spellStart"/>
      <w:r w:rsidRPr="001453D6">
        <w:rPr>
          <w:szCs w:val="24"/>
        </w:rPr>
        <w:t>Pmini</w:t>
      </w:r>
      <w:proofErr w:type="spellEnd"/>
      <w:r w:rsidRPr="001453D6">
        <w:rPr>
          <w:szCs w:val="24"/>
        </w:rPr>
        <w:t xml:space="preserve"> &gt;   (1/3) P5 </w:t>
      </w:r>
    </w:p>
    <w:p w14:paraId="00AC1BE8" w14:textId="77777777" w:rsidR="009D6B45" w:rsidRPr="001453D6" w:rsidRDefault="009D6B45" w:rsidP="00737D08">
      <w:pPr>
        <w:spacing w:after="0"/>
        <w:rPr>
          <w:b/>
          <w:szCs w:val="24"/>
        </w:rPr>
      </w:pPr>
    </w:p>
    <w:p w14:paraId="3B1EFFE7" w14:textId="7378E9BE" w:rsidR="00737D08" w:rsidRPr="001453D6" w:rsidRDefault="00737D08" w:rsidP="00737D08">
      <w:pPr>
        <w:spacing w:after="0"/>
        <w:rPr>
          <w:b/>
          <w:szCs w:val="24"/>
        </w:rPr>
      </w:pPr>
      <w:r w:rsidRPr="001453D6">
        <w:rPr>
          <w:b/>
          <w:szCs w:val="24"/>
        </w:rPr>
        <w:t xml:space="preserve">2.2 CONTROLE </w:t>
      </w:r>
    </w:p>
    <w:p w14:paraId="2F4C24B9" w14:textId="77777777" w:rsidR="00737D08" w:rsidRPr="001453D6" w:rsidRDefault="00737D08" w:rsidP="00737D08">
      <w:pPr>
        <w:spacing w:after="0"/>
        <w:rPr>
          <w:szCs w:val="24"/>
        </w:rPr>
      </w:pPr>
      <w:r w:rsidRPr="001453D6">
        <w:rPr>
          <w:szCs w:val="24"/>
        </w:rPr>
        <w:t xml:space="preserve">Après approvisionnement sur le site : </w:t>
      </w:r>
    </w:p>
    <w:p w14:paraId="33A9CCA7" w14:textId="4A1E9D73" w:rsidR="00737D08" w:rsidRPr="001453D6" w:rsidRDefault="00737D08" w:rsidP="00737D08">
      <w:pPr>
        <w:spacing w:after="0"/>
        <w:rPr>
          <w:szCs w:val="24"/>
        </w:rPr>
      </w:pPr>
      <w:r w:rsidRPr="001453D6">
        <w:rPr>
          <w:szCs w:val="24"/>
        </w:rPr>
        <w:t xml:space="preserve"> - Masse </w:t>
      </w:r>
      <w:r w:rsidR="00D96891" w:rsidRPr="001453D6">
        <w:rPr>
          <w:szCs w:val="24"/>
        </w:rPr>
        <w:t>volumique :</w:t>
      </w:r>
      <w:r w:rsidRPr="001453D6">
        <w:rPr>
          <w:szCs w:val="24"/>
        </w:rPr>
        <w:t xml:space="preserve"> 5 essais au total - Abrasion Los </w:t>
      </w:r>
      <w:r w:rsidR="00D96891" w:rsidRPr="001453D6">
        <w:rPr>
          <w:szCs w:val="24"/>
        </w:rPr>
        <w:t>Angeles :</w:t>
      </w:r>
      <w:r w:rsidRPr="001453D6">
        <w:rPr>
          <w:szCs w:val="24"/>
        </w:rPr>
        <w:t xml:space="preserve"> 2 essais au total - Contrôle de la forme et de la </w:t>
      </w:r>
      <w:proofErr w:type="spellStart"/>
      <w:r w:rsidRPr="001453D6">
        <w:rPr>
          <w:szCs w:val="24"/>
        </w:rPr>
        <w:t>blocométrie</w:t>
      </w:r>
      <w:proofErr w:type="spellEnd"/>
      <w:r w:rsidRPr="001453D6">
        <w:rPr>
          <w:szCs w:val="24"/>
        </w:rPr>
        <w:t xml:space="preserve"> : 10 essais pour l'ensem</w:t>
      </w:r>
      <w:r w:rsidR="00D96891" w:rsidRPr="001453D6">
        <w:rPr>
          <w:szCs w:val="24"/>
        </w:rPr>
        <w:t>ble des travaux.</w:t>
      </w:r>
    </w:p>
    <w:p w14:paraId="73C11CD5" w14:textId="77777777" w:rsidR="00D96891" w:rsidRPr="001453D6" w:rsidRDefault="00D96891" w:rsidP="00737D08">
      <w:pPr>
        <w:spacing w:after="0"/>
        <w:rPr>
          <w:szCs w:val="24"/>
        </w:rPr>
      </w:pPr>
    </w:p>
    <w:p w14:paraId="141CFC5C" w14:textId="22C9F207" w:rsidR="00737D08" w:rsidRPr="001453D6" w:rsidRDefault="00D96891" w:rsidP="00D96891">
      <w:pPr>
        <w:spacing w:after="0"/>
        <w:rPr>
          <w:b/>
        </w:rPr>
      </w:pPr>
      <w:proofErr w:type="gramStart"/>
      <w:r w:rsidRPr="001453D6">
        <w:rPr>
          <w:b/>
        </w:rPr>
        <w:t>3.MISE</w:t>
      </w:r>
      <w:proofErr w:type="gramEnd"/>
      <w:r w:rsidRPr="001453D6">
        <w:rPr>
          <w:b/>
        </w:rPr>
        <w:t xml:space="preserve"> EN ŒUVRE</w:t>
      </w:r>
    </w:p>
    <w:p w14:paraId="7091BEED" w14:textId="77777777" w:rsidR="00D96891" w:rsidRPr="001453D6" w:rsidRDefault="00D96891" w:rsidP="00D96891">
      <w:pPr>
        <w:spacing w:after="0"/>
      </w:pPr>
    </w:p>
    <w:p w14:paraId="370A1928" w14:textId="77777777" w:rsidR="00737D08" w:rsidRPr="001453D6" w:rsidRDefault="00737D08" w:rsidP="00737D08">
      <w:pPr>
        <w:spacing w:after="0"/>
        <w:rPr>
          <w:b/>
          <w:szCs w:val="24"/>
        </w:rPr>
      </w:pPr>
      <w:r w:rsidRPr="001453D6">
        <w:rPr>
          <w:b/>
          <w:szCs w:val="24"/>
        </w:rPr>
        <w:t xml:space="preserve">3.1 INSPECTION </w:t>
      </w:r>
    </w:p>
    <w:p w14:paraId="1973F52A" w14:textId="57A84147" w:rsidR="00737D08" w:rsidRPr="001453D6" w:rsidRDefault="00737D08" w:rsidP="00737D08">
      <w:pPr>
        <w:spacing w:after="0"/>
        <w:rPr>
          <w:szCs w:val="24"/>
        </w:rPr>
      </w:pPr>
      <w:r w:rsidRPr="001453D6">
        <w:rPr>
          <w:szCs w:val="24"/>
        </w:rPr>
        <w:t>Avant la pose de toute protection en enrochements, l'Entrepreneur devra faire réceptionner le support couche de transition ou filtre</w:t>
      </w:r>
      <w:r w:rsidR="00D96891" w:rsidRPr="001453D6">
        <w:rPr>
          <w:szCs w:val="24"/>
        </w:rPr>
        <w:t xml:space="preserve"> synthétique) par l’Ingénieur.</w:t>
      </w:r>
    </w:p>
    <w:p w14:paraId="6CDD33CF" w14:textId="77777777" w:rsidR="00D96891" w:rsidRPr="001453D6" w:rsidRDefault="00D96891" w:rsidP="00737D08">
      <w:pPr>
        <w:spacing w:after="0"/>
        <w:rPr>
          <w:szCs w:val="24"/>
        </w:rPr>
      </w:pPr>
    </w:p>
    <w:p w14:paraId="109119BD" w14:textId="77777777" w:rsidR="00737D08" w:rsidRPr="001453D6" w:rsidRDefault="00737D08" w:rsidP="00737D08">
      <w:pPr>
        <w:spacing w:after="0"/>
        <w:rPr>
          <w:b/>
          <w:szCs w:val="24"/>
        </w:rPr>
      </w:pPr>
      <w:r w:rsidRPr="001453D6">
        <w:rPr>
          <w:b/>
          <w:szCs w:val="24"/>
        </w:rPr>
        <w:t xml:space="preserve">3.2 MISE EN ŒUVRE  </w:t>
      </w:r>
    </w:p>
    <w:p w14:paraId="29951418" w14:textId="77777777" w:rsidR="00737D08" w:rsidRPr="001453D6" w:rsidRDefault="00737D08" w:rsidP="00737D08">
      <w:pPr>
        <w:spacing w:after="0"/>
        <w:rPr>
          <w:szCs w:val="24"/>
        </w:rPr>
      </w:pPr>
      <w:r w:rsidRPr="001453D6">
        <w:rPr>
          <w:szCs w:val="24"/>
        </w:rPr>
        <w:t xml:space="preserve">Les enrochements seront posés en vrac de telle manière que l'épaisseur finale requise soit obtenue par au moins 2 couches de blocs si ce n'est 3 en fonction du P50 des blocs et de l'épaisseur prescrite. </w:t>
      </w:r>
    </w:p>
    <w:p w14:paraId="5730AB8B" w14:textId="77777777" w:rsidR="00737D08" w:rsidRPr="001453D6" w:rsidRDefault="00737D08" w:rsidP="00737D08">
      <w:pPr>
        <w:spacing w:after="0"/>
        <w:rPr>
          <w:szCs w:val="24"/>
        </w:rPr>
      </w:pPr>
      <w:r w:rsidRPr="001453D6">
        <w:rPr>
          <w:szCs w:val="24"/>
        </w:rPr>
        <w:t xml:space="preserve"> </w:t>
      </w:r>
    </w:p>
    <w:p w14:paraId="0131D0A3" w14:textId="77777777" w:rsidR="00737D08" w:rsidRPr="001453D6" w:rsidRDefault="00737D08" w:rsidP="00737D08">
      <w:pPr>
        <w:spacing w:after="0"/>
        <w:rPr>
          <w:b/>
          <w:szCs w:val="24"/>
        </w:rPr>
      </w:pPr>
      <w:r w:rsidRPr="001453D6">
        <w:rPr>
          <w:b/>
          <w:szCs w:val="24"/>
        </w:rPr>
        <w:t xml:space="preserve">3.3 TOLERANCE </w:t>
      </w:r>
    </w:p>
    <w:p w14:paraId="6F1DA839" w14:textId="68547B63" w:rsidR="00737D08" w:rsidRPr="001453D6" w:rsidRDefault="00737D08" w:rsidP="00737D08">
      <w:pPr>
        <w:spacing w:after="0"/>
        <w:rPr>
          <w:szCs w:val="24"/>
        </w:rPr>
      </w:pPr>
      <w:r w:rsidRPr="001453D6">
        <w:rPr>
          <w:szCs w:val="24"/>
        </w:rPr>
        <w:t xml:space="preserve">Après mise en œuvre les surfaces protégées par les enrochements devront respectivement les tolérances de niveau </w:t>
      </w:r>
      <w:r w:rsidR="00D96891" w:rsidRPr="001453D6">
        <w:rPr>
          <w:szCs w:val="24"/>
        </w:rPr>
        <w:t>suivantes :</w:t>
      </w:r>
      <w:r w:rsidRPr="001453D6">
        <w:rPr>
          <w:szCs w:val="24"/>
        </w:rPr>
        <w:t xml:space="preserve"> + 10 ou - 5 cm en chaque point des profils contrôlés. </w:t>
      </w:r>
    </w:p>
    <w:p w14:paraId="5FCB7696" w14:textId="77777777" w:rsidR="00737D08" w:rsidRPr="001453D6" w:rsidRDefault="00737D08" w:rsidP="00737D08">
      <w:pPr>
        <w:spacing w:after="0"/>
        <w:rPr>
          <w:szCs w:val="24"/>
        </w:rPr>
      </w:pPr>
      <w:r w:rsidRPr="001453D6">
        <w:rPr>
          <w:szCs w:val="24"/>
        </w:rPr>
        <w:t xml:space="preserve">Les mesures seront effectuées sur une embase constituée par une règle de 50 cm de longueur posée selon les courbes de niveau de la protection. </w:t>
      </w:r>
    </w:p>
    <w:p w14:paraId="1B9142D1" w14:textId="77777777" w:rsidR="00737D08" w:rsidRPr="001453D6" w:rsidRDefault="00737D08" w:rsidP="00737D08">
      <w:pPr>
        <w:spacing w:after="0"/>
        <w:rPr>
          <w:szCs w:val="24"/>
        </w:rPr>
      </w:pPr>
      <w:r w:rsidRPr="001453D6">
        <w:rPr>
          <w:szCs w:val="24"/>
        </w:rPr>
        <w:t xml:space="preserve"> </w:t>
      </w:r>
    </w:p>
    <w:p w14:paraId="2EBD1C1A" w14:textId="77777777" w:rsidR="00737D08" w:rsidRPr="001453D6" w:rsidRDefault="00737D08" w:rsidP="00737D08">
      <w:pPr>
        <w:spacing w:after="0"/>
        <w:rPr>
          <w:b/>
          <w:szCs w:val="24"/>
        </w:rPr>
      </w:pPr>
      <w:r w:rsidRPr="001453D6">
        <w:rPr>
          <w:b/>
          <w:szCs w:val="24"/>
        </w:rPr>
        <w:t xml:space="preserve">3.4 CONTROLE </w:t>
      </w:r>
    </w:p>
    <w:p w14:paraId="27EBD28F" w14:textId="30AF6A0A" w:rsidR="00737D08" w:rsidRPr="001453D6" w:rsidRDefault="00737D08" w:rsidP="00737D08">
      <w:pPr>
        <w:spacing w:after="0"/>
        <w:rPr>
          <w:szCs w:val="24"/>
        </w:rPr>
      </w:pPr>
      <w:r w:rsidRPr="001453D6">
        <w:rPr>
          <w:szCs w:val="24"/>
        </w:rPr>
        <w:t xml:space="preserve">Le contrôle des </w:t>
      </w:r>
      <w:r w:rsidR="009D01ED" w:rsidRPr="001453D6">
        <w:rPr>
          <w:szCs w:val="24"/>
        </w:rPr>
        <w:t>surfaces</w:t>
      </w:r>
      <w:r w:rsidRPr="001453D6">
        <w:rPr>
          <w:szCs w:val="24"/>
        </w:rPr>
        <w:t xml:space="preserve"> protégées par des enrochements sera fait par l'Ingénieur ouvrage par ouvrage si nécessaire par levé topographique de profils. </w:t>
      </w:r>
    </w:p>
    <w:p w14:paraId="2FB32711" w14:textId="77777777" w:rsidR="00D96891" w:rsidRPr="001453D6" w:rsidRDefault="00D96891" w:rsidP="00737D08">
      <w:pPr>
        <w:spacing w:after="0"/>
        <w:rPr>
          <w:szCs w:val="24"/>
        </w:rPr>
      </w:pPr>
    </w:p>
    <w:p w14:paraId="1CF98BDF" w14:textId="3F9233CA" w:rsidR="00737D08" w:rsidRPr="001453D6" w:rsidRDefault="00D96891" w:rsidP="00737D08">
      <w:pPr>
        <w:spacing w:after="0"/>
        <w:rPr>
          <w:b/>
          <w:szCs w:val="24"/>
        </w:rPr>
      </w:pPr>
      <w:r w:rsidRPr="001453D6">
        <w:rPr>
          <w:b/>
          <w:szCs w:val="24"/>
        </w:rPr>
        <w:t xml:space="preserve">PARTIE </w:t>
      </w:r>
      <w:r w:rsidR="00350EB7" w:rsidRPr="001453D6">
        <w:rPr>
          <w:b/>
          <w:szCs w:val="24"/>
        </w:rPr>
        <w:t>H</w:t>
      </w:r>
      <w:r w:rsidRPr="001453D6">
        <w:rPr>
          <w:b/>
          <w:szCs w:val="24"/>
        </w:rPr>
        <w:t xml:space="preserve"> :    ENDUITS</w:t>
      </w:r>
    </w:p>
    <w:p w14:paraId="3C80F257" w14:textId="77777777" w:rsidR="00D96891" w:rsidRPr="001453D6" w:rsidRDefault="00D96891" w:rsidP="00737D08">
      <w:pPr>
        <w:spacing w:after="0"/>
        <w:rPr>
          <w:b/>
          <w:szCs w:val="24"/>
        </w:rPr>
      </w:pPr>
    </w:p>
    <w:p w14:paraId="2C77AE46" w14:textId="217A5649" w:rsidR="00737D08" w:rsidRPr="001453D6" w:rsidRDefault="00D96891" w:rsidP="00737D08">
      <w:pPr>
        <w:spacing w:after="0"/>
        <w:rPr>
          <w:szCs w:val="24"/>
        </w:rPr>
      </w:pPr>
      <w:r w:rsidRPr="001453D6">
        <w:rPr>
          <w:szCs w:val="24"/>
        </w:rPr>
        <w:t>1.  GENERALITES</w:t>
      </w:r>
    </w:p>
    <w:p w14:paraId="6D4D01EA" w14:textId="77777777" w:rsidR="00D96891" w:rsidRPr="001453D6" w:rsidRDefault="00D96891" w:rsidP="00737D08">
      <w:pPr>
        <w:spacing w:after="0"/>
        <w:rPr>
          <w:szCs w:val="24"/>
        </w:rPr>
      </w:pPr>
    </w:p>
    <w:p w14:paraId="0665791E" w14:textId="77777777" w:rsidR="00737D08" w:rsidRPr="001453D6" w:rsidRDefault="00737D08" w:rsidP="00737D08">
      <w:pPr>
        <w:spacing w:after="0"/>
        <w:rPr>
          <w:szCs w:val="24"/>
        </w:rPr>
      </w:pPr>
      <w:r w:rsidRPr="001453D6">
        <w:rPr>
          <w:szCs w:val="24"/>
        </w:rPr>
        <w:t xml:space="preserve">1.1 TRAVAUX INCLUS </w:t>
      </w:r>
    </w:p>
    <w:p w14:paraId="2539FE3B" w14:textId="77777777" w:rsidR="00D96891" w:rsidRPr="001453D6" w:rsidRDefault="00737D08" w:rsidP="00737D08">
      <w:pPr>
        <w:spacing w:after="0"/>
        <w:rPr>
          <w:szCs w:val="24"/>
        </w:rPr>
      </w:pPr>
      <w:r w:rsidRPr="001453D6">
        <w:rPr>
          <w:szCs w:val="24"/>
        </w:rPr>
        <w:t>Enduits de ragréages d'ouvrages existants</w:t>
      </w:r>
      <w:r w:rsidR="00D96891" w:rsidRPr="001453D6">
        <w:rPr>
          <w:szCs w:val="24"/>
        </w:rPr>
        <w:t>.</w:t>
      </w:r>
    </w:p>
    <w:p w14:paraId="7DE42486" w14:textId="04900C71" w:rsidR="00737D08" w:rsidRPr="001453D6" w:rsidRDefault="00737D08" w:rsidP="00737D08">
      <w:pPr>
        <w:spacing w:after="0"/>
        <w:rPr>
          <w:szCs w:val="24"/>
        </w:rPr>
      </w:pPr>
      <w:r w:rsidRPr="001453D6">
        <w:rPr>
          <w:szCs w:val="24"/>
        </w:rPr>
        <w:t xml:space="preserve"> </w:t>
      </w:r>
    </w:p>
    <w:p w14:paraId="345A2476" w14:textId="77777777" w:rsidR="00737D08" w:rsidRPr="001453D6" w:rsidRDefault="00737D08" w:rsidP="00737D08">
      <w:pPr>
        <w:spacing w:after="0"/>
        <w:rPr>
          <w:szCs w:val="24"/>
        </w:rPr>
      </w:pPr>
      <w:r w:rsidRPr="001453D6">
        <w:rPr>
          <w:szCs w:val="24"/>
        </w:rPr>
        <w:t xml:space="preserve"> 1.2 NORMES ET REGLEMENTS </w:t>
      </w:r>
    </w:p>
    <w:p w14:paraId="01359F68" w14:textId="2AD20DF4" w:rsidR="00737D08" w:rsidRPr="001453D6" w:rsidRDefault="00737D08" w:rsidP="00737D08">
      <w:pPr>
        <w:spacing w:after="0"/>
        <w:rPr>
          <w:szCs w:val="24"/>
        </w:rPr>
      </w:pPr>
      <w:r w:rsidRPr="001453D6">
        <w:rPr>
          <w:szCs w:val="24"/>
        </w:rPr>
        <w:t xml:space="preserve"> CPC - fascicule 63 - Exécution et mise en œuvre des bétons non armés, confection des </w:t>
      </w:r>
      <w:r w:rsidR="00D96891" w:rsidRPr="001453D6">
        <w:rPr>
          <w:szCs w:val="24"/>
        </w:rPr>
        <w:t>mortiers ;</w:t>
      </w:r>
    </w:p>
    <w:p w14:paraId="576E2354" w14:textId="77777777" w:rsidR="00D96891" w:rsidRPr="001453D6" w:rsidRDefault="00D96891" w:rsidP="00737D08">
      <w:pPr>
        <w:spacing w:after="0"/>
        <w:rPr>
          <w:szCs w:val="24"/>
        </w:rPr>
      </w:pPr>
    </w:p>
    <w:p w14:paraId="013118C6" w14:textId="77777777" w:rsidR="00737D08" w:rsidRPr="001453D6" w:rsidRDefault="00737D08" w:rsidP="00737D08">
      <w:pPr>
        <w:spacing w:after="0"/>
        <w:rPr>
          <w:szCs w:val="24"/>
        </w:rPr>
      </w:pPr>
      <w:r w:rsidRPr="001453D6">
        <w:rPr>
          <w:szCs w:val="24"/>
        </w:rPr>
        <w:t xml:space="preserve"> 1.3 PIECE A REMETTRE </w:t>
      </w:r>
    </w:p>
    <w:p w14:paraId="53901C0D" w14:textId="79CFDFC8" w:rsidR="00737D08" w:rsidRPr="001453D6" w:rsidRDefault="00737D08" w:rsidP="00737D08">
      <w:pPr>
        <w:spacing w:after="0"/>
        <w:rPr>
          <w:szCs w:val="24"/>
        </w:rPr>
      </w:pPr>
      <w:r w:rsidRPr="001453D6">
        <w:rPr>
          <w:szCs w:val="24"/>
        </w:rPr>
        <w:t xml:space="preserve">L'Entrepreneur soumettra à l'approbation de l'Ingénieur, avant tout approvisionnement sur le chantier, un dossier relatif à l'adjuvant à incorporer dans le mortier pour </w:t>
      </w:r>
      <w:r w:rsidR="00A55E6A" w:rsidRPr="001453D6">
        <w:rPr>
          <w:szCs w:val="24"/>
        </w:rPr>
        <w:t>enduits :</w:t>
      </w:r>
      <w:r w:rsidRPr="001453D6">
        <w:rPr>
          <w:szCs w:val="24"/>
        </w:rPr>
        <w:t xml:space="preserve"> </w:t>
      </w:r>
    </w:p>
    <w:p w14:paraId="5A9105EF" w14:textId="77777777" w:rsidR="00737D08" w:rsidRPr="001453D6" w:rsidRDefault="00737D08" w:rsidP="00737D08">
      <w:pPr>
        <w:spacing w:after="0"/>
        <w:rPr>
          <w:szCs w:val="24"/>
        </w:rPr>
      </w:pPr>
      <w:r w:rsidRPr="001453D6">
        <w:rPr>
          <w:szCs w:val="24"/>
        </w:rPr>
        <w:t xml:space="preserve"> Nom du Fabricant </w:t>
      </w:r>
    </w:p>
    <w:p w14:paraId="089D7FF0" w14:textId="77777777" w:rsidR="00737D08" w:rsidRPr="001453D6" w:rsidRDefault="00737D08" w:rsidP="00737D08">
      <w:pPr>
        <w:spacing w:after="0"/>
        <w:rPr>
          <w:szCs w:val="24"/>
        </w:rPr>
      </w:pPr>
      <w:r w:rsidRPr="001453D6">
        <w:rPr>
          <w:szCs w:val="24"/>
        </w:rPr>
        <w:t xml:space="preserve"> Caractéristiques du matériau </w:t>
      </w:r>
    </w:p>
    <w:p w14:paraId="1D41D30F" w14:textId="77777777" w:rsidR="00737D08" w:rsidRPr="001453D6" w:rsidRDefault="00737D08" w:rsidP="00737D08">
      <w:pPr>
        <w:spacing w:after="0"/>
        <w:rPr>
          <w:szCs w:val="24"/>
        </w:rPr>
      </w:pPr>
      <w:r w:rsidRPr="001453D6">
        <w:rPr>
          <w:szCs w:val="24"/>
        </w:rPr>
        <w:t xml:space="preserve"> Modalités d'utilisation du matériau selon le Fabricant. </w:t>
      </w:r>
    </w:p>
    <w:p w14:paraId="2AF9517B" w14:textId="265F7037" w:rsidR="00737D08" w:rsidRPr="001453D6" w:rsidRDefault="00737D08" w:rsidP="00737D08">
      <w:pPr>
        <w:spacing w:after="0"/>
        <w:rPr>
          <w:szCs w:val="24"/>
        </w:rPr>
      </w:pPr>
      <w:r w:rsidRPr="001453D6">
        <w:rPr>
          <w:szCs w:val="24"/>
        </w:rPr>
        <w:t xml:space="preserve"> 1.4 LIVRAISON ET EMMAGASINAGE </w:t>
      </w:r>
    </w:p>
    <w:p w14:paraId="39B79E86" w14:textId="3E60C06D" w:rsidR="00737D08" w:rsidRPr="001453D6" w:rsidRDefault="00737D08" w:rsidP="00D96891">
      <w:pPr>
        <w:spacing w:after="0"/>
        <w:ind w:left="0" w:firstLine="0"/>
        <w:rPr>
          <w:szCs w:val="24"/>
        </w:rPr>
      </w:pPr>
      <w:r w:rsidRPr="001453D6">
        <w:rPr>
          <w:szCs w:val="24"/>
        </w:rPr>
        <w:t>L'Entrepreneur suivra les recommandations du Fabricant pour le transport et</w:t>
      </w:r>
      <w:r w:rsidR="00D96891" w:rsidRPr="001453D6">
        <w:rPr>
          <w:szCs w:val="24"/>
        </w:rPr>
        <w:t xml:space="preserve"> la conservation de l'adjuvant.</w:t>
      </w:r>
    </w:p>
    <w:p w14:paraId="20C2E76C" w14:textId="77777777" w:rsidR="00D96891" w:rsidRPr="001453D6" w:rsidRDefault="00D96891" w:rsidP="00D96891">
      <w:pPr>
        <w:spacing w:after="0"/>
        <w:ind w:left="0" w:firstLine="0"/>
        <w:rPr>
          <w:szCs w:val="24"/>
        </w:rPr>
      </w:pPr>
    </w:p>
    <w:p w14:paraId="185840D7" w14:textId="506771BB" w:rsidR="00737D08" w:rsidRPr="001453D6" w:rsidRDefault="00737D08" w:rsidP="00737D08">
      <w:pPr>
        <w:spacing w:after="0"/>
        <w:rPr>
          <w:szCs w:val="24"/>
        </w:rPr>
      </w:pPr>
      <w:r w:rsidRPr="001453D6">
        <w:rPr>
          <w:szCs w:val="24"/>
        </w:rPr>
        <w:t xml:space="preserve"> 1.5 CONTRAINTE D'ENVIRONNEMENT </w:t>
      </w:r>
    </w:p>
    <w:p w14:paraId="0CBC3720" w14:textId="77777777" w:rsidR="00737D08" w:rsidRPr="001453D6" w:rsidRDefault="00737D08" w:rsidP="00737D08">
      <w:pPr>
        <w:spacing w:after="0"/>
        <w:rPr>
          <w:szCs w:val="24"/>
        </w:rPr>
      </w:pPr>
      <w:r w:rsidRPr="001453D6">
        <w:rPr>
          <w:szCs w:val="24"/>
        </w:rPr>
        <w:t xml:space="preserve">Aucun enduit de ragréage ne sera réalisé au soleil ou par temps de vent. </w:t>
      </w:r>
    </w:p>
    <w:p w14:paraId="2B9B70E3" w14:textId="77777777" w:rsidR="00737D08" w:rsidRPr="001453D6" w:rsidRDefault="00737D08" w:rsidP="00737D08">
      <w:pPr>
        <w:spacing w:after="0"/>
        <w:rPr>
          <w:szCs w:val="24"/>
        </w:rPr>
      </w:pPr>
      <w:r w:rsidRPr="001453D6">
        <w:rPr>
          <w:szCs w:val="24"/>
        </w:rPr>
        <w:t xml:space="preserve"> </w:t>
      </w:r>
    </w:p>
    <w:p w14:paraId="05467907" w14:textId="77777777" w:rsidR="00737D08" w:rsidRPr="001453D6" w:rsidRDefault="00737D08" w:rsidP="00737D08">
      <w:pPr>
        <w:spacing w:after="0"/>
        <w:rPr>
          <w:szCs w:val="24"/>
        </w:rPr>
      </w:pPr>
      <w:r w:rsidRPr="001453D6">
        <w:rPr>
          <w:szCs w:val="24"/>
        </w:rPr>
        <w:t xml:space="preserve">2. PRODUITS </w:t>
      </w:r>
    </w:p>
    <w:p w14:paraId="7B9DBCBC" w14:textId="77777777" w:rsidR="00737D08" w:rsidRPr="001453D6" w:rsidRDefault="00737D08" w:rsidP="00737D08">
      <w:pPr>
        <w:spacing w:after="0"/>
        <w:rPr>
          <w:szCs w:val="24"/>
        </w:rPr>
      </w:pPr>
      <w:r w:rsidRPr="001453D6">
        <w:rPr>
          <w:szCs w:val="24"/>
        </w:rPr>
        <w:t xml:space="preserve"> 2.1 CIMENT </w:t>
      </w:r>
    </w:p>
    <w:p w14:paraId="6D5E652A" w14:textId="4434A8F7" w:rsidR="00737D08" w:rsidRPr="001453D6" w:rsidRDefault="00737D08" w:rsidP="00737D08">
      <w:pPr>
        <w:spacing w:after="0"/>
        <w:rPr>
          <w:szCs w:val="24"/>
        </w:rPr>
      </w:pPr>
      <w:r w:rsidRPr="001453D6">
        <w:rPr>
          <w:szCs w:val="24"/>
        </w:rPr>
        <w:t xml:space="preserve"> Le ciment sera du type Portland conforme à la spécifi</w:t>
      </w:r>
      <w:r w:rsidR="0001477A" w:rsidRPr="001453D6">
        <w:rPr>
          <w:szCs w:val="24"/>
        </w:rPr>
        <w:t>cation des bétons PARTIE I, 1.5 ;</w:t>
      </w:r>
    </w:p>
    <w:p w14:paraId="3342F71B" w14:textId="77777777" w:rsidR="0001477A" w:rsidRPr="001453D6" w:rsidRDefault="0001477A" w:rsidP="00737D08">
      <w:pPr>
        <w:spacing w:after="0"/>
        <w:rPr>
          <w:szCs w:val="24"/>
        </w:rPr>
      </w:pPr>
    </w:p>
    <w:p w14:paraId="595BF99D" w14:textId="77777777" w:rsidR="00737D08" w:rsidRPr="001453D6" w:rsidRDefault="00737D08" w:rsidP="00737D08">
      <w:pPr>
        <w:spacing w:after="0"/>
        <w:rPr>
          <w:szCs w:val="24"/>
        </w:rPr>
      </w:pPr>
      <w:r w:rsidRPr="001453D6">
        <w:rPr>
          <w:szCs w:val="24"/>
        </w:rPr>
        <w:t xml:space="preserve">2.2 SABLE </w:t>
      </w:r>
    </w:p>
    <w:p w14:paraId="3883D187" w14:textId="4CB7856E" w:rsidR="00737D08" w:rsidRPr="001453D6" w:rsidRDefault="00737D08" w:rsidP="00737D08">
      <w:pPr>
        <w:spacing w:after="0"/>
        <w:rPr>
          <w:szCs w:val="24"/>
        </w:rPr>
      </w:pPr>
      <w:r w:rsidRPr="001453D6">
        <w:rPr>
          <w:szCs w:val="24"/>
        </w:rPr>
        <w:t>Le sable et l'eau de gâchage seront conformes à la spécificat</w:t>
      </w:r>
      <w:r w:rsidR="0001477A" w:rsidRPr="001453D6">
        <w:rPr>
          <w:szCs w:val="24"/>
        </w:rPr>
        <w:t>ion des bétons   (PARTE I, 1.6)</w:t>
      </w:r>
    </w:p>
    <w:p w14:paraId="37869EDC" w14:textId="77777777" w:rsidR="0001477A" w:rsidRPr="001453D6" w:rsidRDefault="0001477A" w:rsidP="00737D08">
      <w:pPr>
        <w:spacing w:after="0"/>
        <w:rPr>
          <w:szCs w:val="24"/>
        </w:rPr>
      </w:pPr>
    </w:p>
    <w:p w14:paraId="340A0B8C" w14:textId="1B696080" w:rsidR="00737D08" w:rsidRPr="001453D6" w:rsidRDefault="00737D08" w:rsidP="00737D08">
      <w:pPr>
        <w:spacing w:after="0"/>
        <w:rPr>
          <w:szCs w:val="24"/>
        </w:rPr>
      </w:pPr>
      <w:r w:rsidRPr="001453D6">
        <w:rPr>
          <w:szCs w:val="24"/>
        </w:rPr>
        <w:t xml:space="preserve"> 2.3 RESINE D'IMPREGNATION DES SUPPORTS DEVANT </w:t>
      </w:r>
      <w:r w:rsidR="0001477A" w:rsidRPr="001453D6">
        <w:rPr>
          <w:szCs w:val="24"/>
        </w:rPr>
        <w:t>RECEVOIR UN ENDUIT DE RAGREAGE AU MORTIER</w:t>
      </w:r>
    </w:p>
    <w:p w14:paraId="34A7C62C" w14:textId="77777777" w:rsidR="0001477A" w:rsidRPr="001453D6" w:rsidRDefault="0001477A" w:rsidP="00737D08">
      <w:pPr>
        <w:spacing w:after="0"/>
        <w:rPr>
          <w:szCs w:val="24"/>
        </w:rPr>
      </w:pPr>
    </w:p>
    <w:p w14:paraId="0069DC18" w14:textId="69638563" w:rsidR="00737D08" w:rsidRPr="001453D6" w:rsidRDefault="00737D08" w:rsidP="00EA3472">
      <w:pPr>
        <w:spacing w:after="0"/>
        <w:ind w:left="0" w:firstLine="0"/>
        <w:rPr>
          <w:szCs w:val="24"/>
        </w:rPr>
      </w:pPr>
      <w:r w:rsidRPr="001453D6">
        <w:rPr>
          <w:szCs w:val="24"/>
        </w:rPr>
        <w:t xml:space="preserve">Un adjuvant du type SIKALATEX ou similaire sera utilisé pour l'imprégnation du support avant application de l'enduit de ragréage. </w:t>
      </w:r>
    </w:p>
    <w:p w14:paraId="782D3D36" w14:textId="77777777" w:rsidR="00737D08" w:rsidRPr="001453D6" w:rsidRDefault="00737D08" w:rsidP="00737D08">
      <w:pPr>
        <w:spacing w:after="0"/>
        <w:rPr>
          <w:szCs w:val="24"/>
        </w:rPr>
      </w:pPr>
      <w:r w:rsidRPr="001453D6">
        <w:rPr>
          <w:szCs w:val="24"/>
        </w:rPr>
        <w:t xml:space="preserve"> </w:t>
      </w:r>
    </w:p>
    <w:p w14:paraId="7A923F2B" w14:textId="77777777" w:rsidR="00737D08" w:rsidRPr="001453D6" w:rsidRDefault="00737D08" w:rsidP="00737D08">
      <w:pPr>
        <w:spacing w:after="0"/>
        <w:rPr>
          <w:szCs w:val="24"/>
        </w:rPr>
      </w:pPr>
      <w:r w:rsidRPr="001453D6">
        <w:rPr>
          <w:szCs w:val="24"/>
        </w:rPr>
        <w:t xml:space="preserve">2.4 MORTIER POUR ENDUITS DE RAGREAGE </w:t>
      </w:r>
    </w:p>
    <w:p w14:paraId="578E5B44" w14:textId="77777777" w:rsidR="00737D08" w:rsidRPr="001453D6" w:rsidRDefault="00737D08" w:rsidP="00EA3472">
      <w:pPr>
        <w:spacing w:after="0"/>
        <w:ind w:left="0" w:firstLine="0"/>
        <w:rPr>
          <w:szCs w:val="24"/>
        </w:rPr>
      </w:pPr>
      <w:r w:rsidRPr="001453D6">
        <w:rPr>
          <w:szCs w:val="24"/>
        </w:rPr>
        <w:t xml:space="preserve">Le mortier sera composé de ciment de 600 kg/m3, de sable (0-3 mm,) d'eau et d'un adjuvant du type SIKALATEX ou similaire dosé selon les prescriptions du fournisseur. </w:t>
      </w:r>
    </w:p>
    <w:p w14:paraId="0B502948" w14:textId="77777777" w:rsidR="00737D08" w:rsidRPr="001453D6" w:rsidRDefault="00737D08" w:rsidP="00737D08">
      <w:pPr>
        <w:spacing w:after="0"/>
        <w:rPr>
          <w:szCs w:val="24"/>
        </w:rPr>
      </w:pPr>
      <w:r w:rsidRPr="001453D6">
        <w:rPr>
          <w:szCs w:val="24"/>
        </w:rPr>
        <w:t xml:space="preserve"> </w:t>
      </w:r>
    </w:p>
    <w:p w14:paraId="1D4C6003" w14:textId="0F66BB01" w:rsidR="00737D08" w:rsidRPr="001453D6" w:rsidRDefault="00737D08" w:rsidP="00737D08">
      <w:pPr>
        <w:spacing w:after="0"/>
        <w:rPr>
          <w:szCs w:val="24"/>
        </w:rPr>
      </w:pPr>
      <w:r w:rsidRPr="001453D6">
        <w:rPr>
          <w:szCs w:val="24"/>
        </w:rPr>
        <w:t>3  MISE EN ŒU</w:t>
      </w:r>
      <w:r w:rsidR="00EA3472" w:rsidRPr="001453D6">
        <w:rPr>
          <w:szCs w:val="24"/>
        </w:rPr>
        <w:t>VRE</w:t>
      </w:r>
    </w:p>
    <w:p w14:paraId="7320CB16" w14:textId="77777777" w:rsidR="00EA3472" w:rsidRPr="001453D6" w:rsidRDefault="00EA3472" w:rsidP="00737D08">
      <w:pPr>
        <w:spacing w:after="0"/>
        <w:rPr>
          <w:szCs w:val="24"/>
        </w:rPr>
      </w:pPr>
    </w:p>
    <w:p w14:paraId="160C170D" w14:textId="77777777" w:rsidR="00737D08" w:rsidRPr="001453D6" w:rsidRDefault="00737D08" w:rsidP="00737D08">
      <w:pPr>
        <w:spacing w:after="0"/>
        <w:rPr>
          <w:szCs w:val="24"/>
        </w:rPr>
      </w:pPr>
      <w:r w:rsidRPr="001453D6">
        <w:rPr>
          <w:szCs w:val="24"/>
        </w:rPr>
        <w:t xml:space="preserve">3.1 INSPECTION </w:t>
      </w:r>
    </w:p>
    <w:p w14:paraId="68DD1DE5" w14:textId="617971DF" w:rsidR="00737D08" w:rsidRPr="001453D6" w:rsidRDefault="00737D08" w:rsidP="00EA3472">
      <w:pPr>
        <w:spacing w:after="0"/>
        <w:ind w:left="0" w:firstLine="0"/>
        <w:rPr>
          <w:szCs w:val="24"/>
        </w:rPr>
      </w:pPr>
      <w:r w:rsidRPr="001453D6">
        <w:rPr>
          <w:szCs w:val="24"/>
        </w:rPr>
        <w:t>Aucune application d'enduit de ragréage ne sera réalisée sans réception préala</w:t>
      </w:r>
      <w:r w:rsidR="00EA3472" w:rsidRPr="001453D6">
        <w:rPr>
          <w:szCs w:val="24"/>
        </w:rPr>
        <w:t>ble du support par l’Ingénieur.</w:t>
      </w:r>
    </w:p>
    <w:p w14:paraId="0B12638A" w14:textId="77777777" w:rsidR="00EA3472" w:rsidRPr="001453D6" w:rsidRDefault="00EA3472" w:rsidP="00EA3472">
      <w:pPr>
        <w:spacing w:after="0"/>
        <w:ind w:left="0" w:firstLine="0"/>
        <w:rPr>
          <w:szCs w:val="24"/>
        </w:rPr>
      </w:pPr>
    </w:p>
    <w:p w14:paraId="05D0C1AC" w14:textId="77777777" w:rsidR="00737D08" w:rsidRPr="001453D6" w:rsidRDefault="00737D08" w:rsidP="00737D08">
      <w:pPr>
        <w:spacing w:after="0"/>
        <w:rPr>
          <w:szCs w:val="24"/>
        </w:rPr>
      </w:pPr>
      <w:r w:rsidRPr="001453D6">
        <w:rPr>
          <w:szCs w:val="24"/>
        </w:rPr>
        <w:t xml:space="preserve">3.2 PREPARATION POUR L'APPLICATION DES ENDUITS </w:t>
      </w:r>
    </w:p>
    <w:p w14:paraId="34A2910B" w14:textId="77777777" w:rsidR="00737D08" w:rsidRPr="001453D6" w:rsidRDefault="00737D08" w:rsidP="00EA3472">
      <w:pPr>
        <w:spacing w:after="0"/>
        <w:ind w:left="0" w:firstLine="0"/>
        <w:rPr>
          <w:szCs w:val="24"/>
        </w:rPr>
      </w:pPr>
      <w:r w:rsidRPr="001453D6">
        <w:rPr>
          <w:szCs w:val="24"/>
        </w:rPr>
        <w:t xml:space="preserve">Les surfaces destinées à recevoir les enduits seront soigneusement repiquées pour éliminer tout béton non adhèrent ou nid de cailloux, puis soigneusement dépoussiérées. </w:t>
      </w:r>
    </w:p>
    <w:p w14:paraId="5BA31741" w14:textId="77777777" w:rsidR="00737D08" w:rsidRPr="001453D6" w:rsidRDefault="00737D08" w:rsidP="00EA3472">
      <w:pPr>
        <w:spacing w:after="0"/>
        <w:ind w:left="0" w:firstLine="0"/>
        <w:rPr>
          <w:szCs w:val="24"/>
        </w:rPr>
      </w:pPr>
      <w:r w:rsidRPr="001453D6">
        <w:rPr>
          <w:szCs w:val="24"/>
        </w:rPr>
        <w:t xml:space="preserve">Les surfaces à revêtir seront humidifiées avant mise en œuvre de l'enduit. Elles ne seront pas ruisselantes lors de l'application. </w:t>
      </w:r>
    </w:p>
    <w:p w14:paraId="1AC004AA" w14:textId="77777777" w:rsidR="00737D08" w:rsidRPr="001453D6" w:rsidRDefault="00737D08" w:rsidP="00737D08">
      <w:pPr>
        <w:spacing w:after="0"/>
        <w:rPr>
          <w:szCs w:val="24"/>
        </w:rPr>
      </w:pPr>
      <w:r w:rsidRPr="001453D6">
        <w:rPr>
          <w:szCs w:val="24"/>
        </w:rPr>
        <w:t xml:space="preserve"> </w:t>
      </w:r>
    </w:p>
    <w:p w14:paraId="537F9E63" w14:textId="77777777" w:rsidR="00737D08" w:rsidRPr="001453D6" w:rsidRDefault="00737D08" w:rsidP="00737D08">
      <w:pPr>
        <w:spacing w:after="0"/>
        <w:rPr>
          <w:szCs w:val="24"/>
        </w:rPr>
      </w:pPr>
      <w:r w:rsidRPr="001453D6">
        <w:rPr>
          <w:szCs w:val="24"/>
        </w:rPr>
        <w:t xml:space="preserve">3.3 ENDUIT DE RAGREAGE </w:t>
      </w:r>
    </w:p>
    <w:p w14:paraId="64C25A11" w14:textId="0587F6D2" w:rsidR="00737D08" w:rsidRPr="001453D6" w:rsidRDefault="00737D08" w:rsidP="00EA3472">
      <w:pPr>
        <w:spacing w:after="0"/>
        <w:ind w:left="0" w:firstLine="0"/>
        <w:rPr>
          <w:szCs w:val="24"/>
        </w:rPr>
      </w:pPr>
      <w:r w:rsidRPr="001453D6">
        <w:rPr>
          <w:szCs w:val="24"/>
        </w:rPr>
        <w:t xml:space="preserve">Avant exécution de l'enduit le support recevra une application de résine (le cas échéant solution de résine) pour imprégner le </w:t>
      </w:r>
      <w:r w:rsidR="00EA3472" w:rsidRPr="001453D6">
        <w:rPr>
          <w:szCs w:val="24"/>
        </w:rPr>
        <w:t xml:space="preserve">support. </w:t>
      </w:r>
      <w:r w:rsidRPr="001453D6">
        <w:rPr>
          <w:szCs w:val="24"/>
        </w:rPr>
        <w:t xml:space="preserve">Le mortier sera appliqué avant séchage de l'imprégnation. </w:t>
      </w:r>
    </w:p>
    <w:p w14:paraId="0F061CAA" w14:textId="77777777" w:rsidR="00737D08" w:rsidRPr="001453D6" w:rsidRDefault="00737D08" w:rsidP="00737D08">
      <w:pPr>
        <w:spacing w:after="0"/>
        <w:rPr>
          <w:szCs w:val="24"/>
        </w:rPr>
      </w:pPr>
      <w:r w:rsidRPr="001453D6">
        <w:rPr>
          <w:szCs w:val="24"/>
        </w:rPr>
        <w:t xml:space="preserve"> </w:t>
      </w:r>
    </w:p>
    <w:p w14:paraId="78865B1B" w14:textId="77777777" w:rsidR="00737D08" w:rsidRPr="001453D6" w:rsidRDefault="00737D08" w:rsidP="00737D08">
      <w:pPr>
        <w:spacing w:after="0"/>
        <w:rPr>
          <w:szCs w:val="24"/>
        </w:rPr>
      </w:pPr>
      <w:r w:rsidRPr="001453D6">
        <w:rPr>
          <w:szCs w:val="24"/>
        </w:rPr>
        <w:t xml:space="preserve">3.4 CURE DES ENDUITS </w:t>
      </w:r>
    </w:p>
    <w:p w14:paraId="5562013C" w14:textId="77777777" w:rsidR="00737D08" w:rsidRPr="001453D6" w:rsidRDefault="00737D08" w:rsidP="00EA3472">
      <w:pPr>
        <w:spacing w:after="0"/>
        <w:ind w:left="0" w:firstLine="0"/>
        <w:rPr>
          <w:szCs w:val="24"/>
        </w:rPr>
      </w:pPr>
      <w:r w:rsidRPr="001453D6">
        <w:rPr>
          <w:szCs w:val="24"/>
        </w:rPr>
        <w:t xml:space="preserve">Dès que possible après exécution, les enduits seront protégés contre la dessiccation, puis dès leur durcissement ils seront humidifiés pendant 7 jours ou recevront un produit de cure. </w:t>
      </w:r>
    </w:p>
    <w:p w14:paraId="2BD64054" w14:textId="77777777" w:rsidR="00737D08" w:rsidRPr="001453D6" w:rsidRDefault="00737D08" w:rsidP="00737D08">
      <w:pPr>
        <w:spacing w:after="0"/>
        <w:rPr>
          <w:szCs w:val="24"/>
        </w:rPr>
      </w:pPr>
      <w:r w:rsidRPr="001453D6">
        <w:rPr>
          <w:szCs w:val="24"/>
        </w:rPr>
        <w:t xml:space="preserve"> </w:t>
      </w:r>
    </w:p>
    <w:p w14:paraId="10EBA933" w14:textId="77777777" w:rsidR="00EA3472" w:rsidRPr="001453D6" w:rsidRDefault="00737D08" w:rsidP="00737D08">
      <w:pPr>
        <w:spacing w:after="0"/>
        <w:rPr>
          <w:szCs w:val="24"/>
        </w:rPr>
      </w:pPr>
      <w:r w:rsidRPr="001453D6">
        <w:rPr>
          <w:szCs w:val="24"/>
        </w:rPr>
        <w:t>3.5 TOLERANCES Enduits de ragréage :</w:t>
      </w:r>
    </w:p>
    <w:p w14:paraId="556E8EB6" w14:textId="51F81FE8" w:rsidR="00737D08" w:rsidRDefault="00737D08" w:rsidP="00737D08">
      <w:pPr>
        <w:spacing w:after="0"/>
        <w:rPr>
          <w:szCs w:val="24"/>
        </w:rPr>
      </w:pPr>
      <w:r w:rsidRPr="001453D6">
        <w:rPr>
          <w:szCs w:val="24"/>
        </w:rPr>
        <w:t xml:space="preserve">Les tolérances sont celles spécifiées pour les parements vus des bétons (partie I ; 1.2.5). </w:t>
      </w:r>
    </w:p>
    <w:p w14:paraId="36ECEB17" w14:textId="77777777" w:rsidR="0095003D" w:rsidRPr="001453D6" w:rsidRDefault="0095003D" w:rsidP="00737D08">
      <w:pPr>
        <w:spacing w:after="0"/>
        <w:rPr>
          <w:szCs w:val="24"/>
        </w:rPr>
      </w:pPr>
    </w:p>
    <w:p w14:paraId="0D65BECD" w14:textId="77777777" w:rsidR="00737D08" w:rsidRPr="001453D6" w:rsidRDefault="00737D08" w:rsidP="00737D08">
      <w:pPr>
        <w:spacing w:after="0"/>
        <w:rPr>
          <w:szCs w:val="24"/>
        </w:rPr>
      </w:pPr>
      <w:r w:rsidRPr="001453D6">
        <w:rPr>
          <w:szCs w:val="24"/>
        </w:rPr>
        <w:t xml:space="preserve"> </w:t>
      </w:r>
    </w:p>
    <w:p w14:paraId="6BC72383" w14:textId="5F2AEC79" w:rsidR="00836964" w:rsidRPr="002260EA" w:rsidRDefault="00B37E92" w:rsidP="002A45F7">
      <w:pPr>
        <w:spacing w:after="0"/>
        <w:jc w:val="center"/>
        <w:rPr>
          <w:rStyle w:val="Lienhypertexte"/>
          <w:color w:val="auto"/>
        </w:rPr>
      </w:pPr>
      <w:hyperlink w:anchor="_Toc487641563" w:history="1">
        <w:r w:rsidR="00836964" w:rsidRPr="002260EA">
          <w:rPr>
            <w:rStyle w:val="Lienhypertexte"/>
            <w:b/>
            <w:noProof/>
            <w:color w:val="auto"/>
            <w:sz w:val="40"/>
            <w:szCs w:val="40"/>
          </w:rPr>
          <w:t>EXIGENCES</w:t>
        </w:r>
        <w:r w:rsidR="0095003D" w:rsidRPr="002260EA">
          <w:rPr>
            <w:rStyle w:val="Lienhypertexte"/>
            <w:b/>
            <w:noProof/>
            <w:color w:val="auto"/>
            <w:sz w:val="40"/>
            <w:szCs w:val="40"/>
          </w:rPr>
          <w:t xml:space="preserve"> </w:t>
        </w:r>
        <w:r w:rsidR="00836964" w:rsidRPr="002260EA">
          <w:rPr>
            <w:rStyle w:val="Lienhypertexte"/>
            <w:b/>
            <w:noProof/>
            <w:color w:val="auto"/>
            <w:sz w:val="40"/>
            <w:szCs w:val="40"/>
          </w:rPr>
          <w:t>ENVIRONNEMENTALES, SOCIALES, HYGIENE ET SECURITE (ESHS)</w:t>
        </w:r>
      </w:hyperlink>
    </w:p>
    <w:p w14:paraId="0843C0E2" w14:textId="77777777" w:rsidR="00ED1413" w:rsidRPr="00E6699C" w:rsidRDefault="00ED1413" w:rsidP="00ED1413">
      <w:pPr>
        <w:spacing w:after="0"/>
        <w:rPr>
          <w:rFonts w:asciiTheme="minorHAnsi" w:eastAsiaTheme="minorEastAsia" w:hAnsiTheme="minorHAnsi" w:cstheme="minorBidi"/>
          <w:b/>
          <w:noProof/>
          <w:szCs w:val="24"/>
          <w:lang w:eastAsia="zh-CN"/>
        </w:rPr>
      </w:pPr>
    </w:p>
    <w:p w14:paraId="2A4B44B1" w14:textId="77777777" w:rsidR="00ED1413" w:rsidRPr="00ED1413" w:rsidRDefault="00ED1413" w:rsidP="00ED1413">
      <w:pPr>
        <w:spacing w:after="0"/>
        <w:contextualSpacing/>
      </w:pPr>
      <w:r w:rsidRPr="00ED1413">
        <w:t>Les présentes clauses sont destinées à aider les entreprises en charge de la rédaction de Dossiers d’Appels d’Offres (et/ou Avant-projet détaillé) et des marchés d’exécution des travaux (cahiers des prescriptions techniques), afin qu’elles puissent intégrer dans ces documents des prescriptions permettant d’optimiser la protection de l’environnement et du milieu socio-économique. Les clauses sont spécifiques à toutes les activités de chantier pouvant être sources de nuisances environnementales et sociales. Elles devront être incluses dans les dossiers d’exécution des travaux dont elles constituent une partie intégrante.</w:t>
      </w:r>
    </w:p>
    <w:p w14:paraId="249702AF" w14:textId="77777777" w:rsidR="00ED1413" w:rsidRPr="00ED1413" w:rsidRDefault="00ED1413" w:rsidP="00ED1413">
      <w:pPr>
        <w:pStyle w:val="Paragraphedeliste"/>
        <w:numPr>
          <w:ilvl w:val="0"/>
          <w:numId w:val="124"/>
        </w:numPr>
        <w:spacing w:before="120" w:after="120" w:line="276" w:lineRule="auto"/>
        <w:rPr>
          <w:b/>
        </w:rPr>
      </w:pPr>
      <w:r w:rsidRPr="00ED1413">
        <w:rPr>
          <w:b/>
        </w:rPr>
        <w:t>Directives Environnementales pour les Entreprises contractantes</w:t>
      </w:r>
    </w:p>
    <w:p w14:paraId="504EB8E2" w14:textId="77777777" w:rsidR="00ED1413" w:rsidRPr="00ED1413" w:rsidRDefault="00ED1413" w:rsidP="00ED1413">
      <w:pPr>
        <w:contextualSpacing/>
      </w:pPr>
      <w:r w:rsidRPr="00ED1413">
        <w:t>De façon générale, les entreprises chargées des travaux de construction et de réhabilitation des structures devront aussi respecter les directives environnementales sociales suivantes :</w:t>
      </w:r>
    </w:p>
    <w:p w14:paraId="7717909D" w14:textId="77777777" w:rsidR="00ED1413" w:rsidRPr="00ED1413" w:rsidRDefault="00ED1413" w:rsidP="00ED1413">
      <w:pPr>
        <w:numPr>
          <w:ilvl w:val="0"/>
          <w:numId w:val="122"/>
        </w:numPr>
        <w:pBdr>
          <w:top w:val="single" w:sz="4" w:space="1" w:color="auto"/>
          <w:left w:val="single" w:sz="4" w:space="4" w:color="auto"/>
          <w:bottom w:val="single" w:sz="4" w:space="1" w:color="auto"/>
          <w:right w:val="single" w:sz="4" w:space="4" w:color="auto"/>
        </w:pBdr>
        <w:spacing w:after="0" w:line="276" w:lineRule="auto"/>
        <w:contextualSpacing/>
      </w:pPr>
      <w:r w:rsidRPr="00ED1413">
        <w:t>Disposer des autorisations nécessaires en conformité avec les lois et règlements en vigueur ;</w:t>
      </w:r>
    </w:p>
    <w:p w14:paraId="5E13C10F" w14:textId="77777777" w:rsidR="00ED1413" w:rsidRPr="00ED1413" w:rsidRDefault="00ED1413" w:rsidP="00ED1413">
      <w:pPr>
        <w:numPr>
          <w:ilvl w:val="0"/>
          <w:numId w:val="122"/>
        </w:numPr>
        <w:pBdr>
          <w:top w:val="single" w:sz="4" w:space="1" w:color="auto"/>
          <w:left w:val="single" w:sz="4" w:space="4" w:color="auto"/>
          <w:bottom w:val="single" w:sz="4" w:space="1" w:color="auto"/>
          <w:right w:val="single" w:sz="4" w:space="4" w:color="auto"/>
        </w:pBdr>
        <w:spacing w:after="0" w:line="276" w:lineRule="auto"/>
        <w:contextualSpacing/>
      </w:pPr>
      <w:r w:rsidRPr="00ED1413">
        <w:t>Etablir un règlement de chantier (ce que l'on permet et l’on ne permet pas dans les chantiers) ;</w:t>
      </w:r>
    </w:p>
    <w:p w14:paraId="36E23730" w14:textId="77777777" w:rsidR="00ED1413" w:rsidRPr="00ED1413" w:rsidRDefault="00ED1413" w:rsidP="00ED1413">
      <w:pPr>
        <w:numPr>
          <w:ilvl w:val="0"/>
          <w:numId w:val="122"/>
        </w:numPr>
        <w:pBdr>
          <w:top w:val="single" w:sz="4" w:space="1" w:color="auto"/>
          <w:left w:val="single" w:sz="4" w:space="4" w:color="auto"/>
          <w:bottom w:val="single" w:sz="4" w:space="1" w:color="auto"/>
          <w:right w:val="single" w:sz="4" w:space="4" w:color="auto"/>
        </w:pBdr>
        <w:spacing w:after="0" w:line="276" w:lineRule="auto"/>
        <w:contextualSpacing/>
      </w:pPr>
      <w:r w:rsidRPr="00ED1413">
        <w:t>Mener une campagne d’information et de sensibilisation des riverains avant les travaux ;</w:t>
      </w:r>
    </w:p>
    <w:p w14:paraId="1F6C0501" w14:textId="77777777" w:rsidR="00ED1413" w:rsidRPr="00ED1413" w:rsidRDefault="00ED1413" w:rsidP="00ED1413">
      <w:pPr>
        <w:numPr>
          <w:ilvl w:val="0"/>
          <w:numId w:val="122"/>
        </w:numPr>
        <w:pBdr>
          <w:top w:val="single" w:sz="4" w:space="1" w:color="auto"/>
          <w:left w:val="single" w:sz="4" w:space="4" w:color="auto"/>
          <w:bottom w:val="single" w:sz="4" w:space="1" w:color="auto"/>
          <w:right w:val="single" w:sz="4" w:space="4" w:color="auto"/>
        </w:pBdr>
        <w:spacing w:after="0" w:line="276" w:lineRule="auto"/>
        <w:contextualSpacing/>
      </w:pPr>
      <w:r w:rsidRPr="00ED1413">
        <w:t>Veiller au respect des mesures d’hygiène et de sécurité des installations de chantiers ;</w:t>
      </w:r>
    </w:p>
    <w:p w14:paraId="0E08C5AB" w14:textId="77777777" w:rsidR="00ED1413" w:rsidRPr="00ED1413" w:rsidRDefault="00ED1413" w:rsidP="00ED1413">
      <w:pPr>
        <w:numPr>
          <w:ilvl w:val="0"/>
          <w:numId w:val="122"/>
        </w:numPr>
        <w:pBdr>
          <w:top w:val="single" w:sz="4" w:space="1" w:color="auto"/>
          <w:left w:val="single" w:sz="4" w:space="4" w:color="auto"/>
          <w:bottom w:val="single" w:sz="4" w:space="1" w:color="auto"/>
          <w:right w:val="single" w:sz="4" w:space="4" w:color="auto"/>
        </w:pBdr>
        <w:spacing w:after="0" w:line="276" w:lineRule="auto"/>
        <w:contextualSpacing/>
      </w:pPr>
      <w:r w:rsidRPr="00ED1413">
        <w:t>Procéder à la signalisation des travaux ;</w:t>
      </w:r>
    </w:p>
    <w:p w14:paraId="0193DD7C" w14:textId="77777777" w:rsidR="00ED1413" w:rsidRPr="00ED1413" w:rsidRDefault="00ED1413" w:rsidP="00ED1413">
      <w:pPr>
        <w:numPr>
          <w:ilvl w:val="0"/>
          <w:numId w:val="122"/>
        </w:numPr>
        <w:pBdr>
          <w:top w:val="single" w:sz="4" w:space="1" w:color="auto"/>
          <w:left w:val="single" w:sz="4" w:space="4" w:color="auto"/>
          <w:bottom w:val="single" w:sz="4" w:space="1" w:color="auto"/>
          <w:right w:val="single" w:sz="4" w:space="4" w:color="auto"/>
        </w:pBdr>
        <w:spacing w:after="0" w:line="276" w:lineRule="auto"/>
        <w:contextualSpacing/>
      </w:pPr>
      <w:r w:rsidRPr="00ED1413">
        <w:t>Employer la main d’œuvre locale en priorité ;</w:t>
      </w:r>
    </w:p>
    <w:p w14:paraId="20A47F8B" w14:textId="77777777" w:rsidR="00ED1413" w:rsidRPr="00ED1413" w:rsidRDefault="00ED1413" w:rsidP="00ED1413">
      <w:pPr>
        <w:numPr>
          <w:ilvl w:val="0"/>
          <w:numId w:val="122"/>
        </w:numPr>
        <w:pBdr>
          <w:top w:val="single" w:sz="4" w:space="1" w:color="auto"/>
          <w:left w:val="single" w:sz="4" w:space="4" w:color="auto"/>
          <w:bottom w:val="single" w:sz="4" w:space="1" w:color="auto"/>
          <w:right w:val="single" w:sz="4" w:space="4" w:color="auto"/>
        </w:pBdr>
        <w:spacing w:after="0" w:line="276" w:lineRule="auto"/>
        <w:contextualSpacing/>
      </w:pPr>
      <w:r w:rsidRPr="00ED1413">
        <w:t>Veiller au respect des règles de sécurité lors des travaux ;</w:t>
      </w:r>
    </w:p>
    <w:p w14:paraId="61BDB264" w14:textId="77777777" w:rsidR="00ED1413" w:rsidRPr="00ED1413" w:rsidRDefault="00ED1413" w:rsidP="00ED1413">
      <w:pPr>
        <w:numPr>
          <w:ilvl w:val="0"/>
          <w:numId w:val="122"/>
        </w:numPr>
        <w:pBdr>
          <w:top w:val="single" w:sz="4" w:space="1" w:color="auto"/>
          <w:left w:val="single" w:sz="4" w:space="4" w:color="auto"/>
          <w:bottom w:val="single" w:sz="4" w:space="1" w:color="auto"/>
          <w:right w:val="single" w:sz="4" w:space="4" w:color="auto"/>
        </w:pBdr>
        <w:spacing w:after="0" w:line="276" w:lineRule="auto"/>
        <w:contextualSpacing/>
      </w:pPr>
      <w:r w:rsidRPr="00ED1413">
        <w:t>Protéger les propriétés avoisinantes du chantier ;</w:t>
      </w:r>
    </w:p>
    <w:p w14:paraId="457182D4" w14:textId="77777777" w:rsidR="00ED1413" w:rsidRPr="00ED1413" w:rsidRDefault="00ED1413" w:rsidP="00ED1413">
      <w:pPr>
        <w:numPr>
          <w:ilvl w:val="0"/>
          <w:numId w:val="122"/>
        </w:numPr>
        <w:pBdr>
          <w:top w:val="single" w:sz="4" w:space="1" w:color="auto"/>
          <w:left w:val="single" w:sz="4" w:space="4" w:color="auto"/>
          <w:bottom w:val="single" w:sz="4" w:space="1" w:color="auto"/>
          <w:right w:val="single" w:sz="4" w:space="4" w:color="auto"/>
        </w:pBdr>
        <w:spacing w:after="0" w:line="276" w:lineRule="auto"/>
        <w:contextualSpacing/>
      </w:pPr>
      <w:r w:rsidRPr="00ED1413">
        <w:t>Eviter au maximum la production de poussières et de bruits ;</w:t>
      </w:r>
    </w:p>
    <w:p w14:paraId="2EB4CEBE" w14:textId="77777777" w:rsidR="00ED1413" w:rsidRPr="00ED1413" w:rsidRDefault="00ED1413" w:rsidP="00ED1413">
      <w:pPr>
        <w:numPr>
          <w:ilvl w:val="0"/>
          <w:numId w:val="122"/>
        </w:numPr>
        <w:pBdr>
          <w:top w:val="single" w:sz="4" w:space="1" w:color="auto"/>
          <w:left w:val="single" w:sz="4" w:space="4" w:color="auto"/>
          <w:bottom w:val="single" w:sz="4" w:space="1" w:color="auto"/>
          <w:right w:val="single" w:sz="4" w:space="4" w:color="auto"/>
        </w:pBdr>
        <w:spacing w:after="0" w:line="276" w:lineRule="auto"/>
        <w:contextualSpacing/>
      </w:pPr>
      <w:r w:rsidRPr="00ED1413">
        <w:t>Assurer la collecte et l’élimination écologique des déchets issus des travaux ;</w:t>
      </w:r>
    </w:p>
    <w:p w14:paraId="696C0CB0" w14:textId="77777777" w:rsidR="00ED1413" w:rsidRPr="00ED1413" w:rsidRDefault="00ED1413" w:rsidP="00ED1413">
      <w:pPr>
        <w:numPr>
          <w:ilvl w:val="0"/>
          <w:numId w:val="122"/>
        </w:numPr>
        <w:pBdr>
          <w:top w:val="single" w:sz="4" w:space="1" w:color="auto"/>
          <w:left w:val="single" w:sz="4" w:space="4" w:color="auto"/>
          <w:bottom w:val="single" w:sz="4" w:space="1" w:color="auto"/>
          <w:right w:val="single" w:sz="4" w:space="4" w:color="auto"/>
        </w:pBdr>
        <w:spacing w:after="0" w:line="276" w:lineRule="auto"/>
        <w:contextualSpacing/>
      </w:pPr>
      <w:r w:rsidRPr="00ED1413">
        <w:t>Mener des campagnes de sensibilisation sur les IST/VIH/SIDA ; Violences basées sur le genre (BVG) ;</w:t>
      </w:r>
    </w:p>
    <w:p w14:paraId="712FA895" w14:textId="77777777" w:rsidR="00ED1413" w:rsidRPr="00ED1413" w:rsidRDefault="00ED1413" w:rsidP="00ED1413">
      <w:pPr>
        <w:numPr>
          <w:ilvl w:val="0"/>
          <w:numId w:val="122"/>
        </w:numPr>
        <w:pBdr>
          <w:top w:val="single" w:sz="4" w:space="1" w:color="auto"/>
          <w:left w:val="single" w:sz="4" w:space="4" w:color="auto"/>
          <w:bottom w:val="single" w:sz="4" w:space="1" w:color="auto"/>
          <w:right w:val="single" w:sz="4" w:space="4" w:color="auto"/>
        </w:pBdr>
        <w:spacing w:after="0" w:line="276" w:lineRule="auto"/>
        <w:contextualSpacing/>
      </w:pPr>
      <w:r w:rsidRPr="00ED1413">
        <w:t xml:space="preserve">Impliquer étroitement les services techniques locaux dans le suivi de la mise en œuvre ; </w:t>
      </w:r>
    </w:p>
    <w:p w14:paraId="4C634481" w14:textId="77777777" w:rsidR="00ED1413" w:rsidRPr="00ED1413" w:rsidRDefault="00ED1413" w:rsidP="00ED1413">
      <w:pPr>
        <w:numPr>
          <w:ilvl w:val="0"/>
          <w:numId w:val="122"/>
        </w:numPr>
        <w:pBdr>
          <w:top w:val="single" w:sz="4" w:space="1" w:color="auto"/>
          <w:left w:val="single" w:sz="4" w:space="4" w:color="auto"/>
          <w:bottom w:val="single" w:sz="4" w:space="1" w:color="auto"/>
          <w:right w:val="single" w:sz="4" w:space="4" w:color="auto"/>
        </w:pBdr>
        <w:spacing w:after="0" w:line="276" w:lineRule="auto"/>
        <w:contextualSpacing/>
      </w:pPr>
      <w:r w:rsidRPr="00ED1413">
        <w:t>Veiller au respect des espèces végétales protégées lors des travaux ;</w:t>
      </w:r>
    </w:p>
    <w:p w14:paraId="1747E3C1" w14:textId="77777777" w:rsidR="00ED1413" w:rsidRPr="00ED1413" w:rsidRDefault="00ED1413" w:rsidP="00ED1413">
      <w:pPr>
        <w:numPr>
          <w:ilvl w:val="0"/>
          <w:numId w:val="122"/>
        </w:numPr>
        <w:pBdr>
          <w:top w:val="single" w:sz="4" w:space="1" w:color="auto"/>
          <w:left w:val="single" w:sz="4" w:space="4" w:color="auto"/>
          <w:bottom w:val="single" w:sz="4" w:space="1" w:color="auto"/>
          <w:right w:val="single" w:sz="4" w:space="4" w:color="auto"/>
        </w:pBdr>
        <w:spacing w:after="0" w:line="276" w:lineRule="auto"/>
        <w:contextualSpacing/>
      </w:pPr>
      <w:r w:rsidRPr="00ED1413">
        <w:t>Fournir des équipements de protection aux travailleurs.</w:t>
      </w:r>
    </w:p>
    <w:p w14:paraId="3BF92341" w14:textId="77777777" w:rsidR="00ED1413" w:rsidRPr="00ED1413" w:rsidRDefault="00ED1413" w:rsidP="00ED1413">
      <w:pPr>
        <w:pStyle w:val="Paragraphedeliste"/>
        <w:numPr>
          <w:ilvl w:val="0"/>
          <w:numId w:val="124"/>
        </w:numPr>
        <w:spacing w:before="120" w:after="120" w:line="276" w:lineRule="auto"/>
        <w:rPr>
          <w:b/>
        </w:rPr>
      </w:pPr>
      <w:r w:rsidRPr="00ED1413">
        <w:rPr>
          <w:b/>
        </w:rPr>
        <w:t xml:space="preserve">Respect des lois et réglementations nationales </w:t>
      </w:r>
    </w:p>
    <w:p w14:paraId="5FCA3AAB" w14:textId="77777777" w:rsidR="00ED1413" w:rsidRPr="00ED1413" w:rsidRDefault="00ED1413" w:rsidP="00ED1413">
      <w:pPr>
        <w:contextualSpacing/>
      </w:pPr>
      <w:r w:rsidRPr="00ED1413">
        <w:t>Le Contractant et ses sous-traitants doivent connaître, respecter et appliquer les lois et règlements en vigueur dans le pays et relatifs à l’environnement, à l’élimination des déchets solides et liquides, aux normes de rejet et de bruit, aux heures de travail, etc. ; prendre toutes les mesures appropriées en vue de minimiser les atteintes à l’environnement ; assumer la responsabilité de toute réclamation liée au non-respect de l’environnement.</w:t>
      </w:r>
    </w:p>
    <w:p w14:paraId="6C39ABF4" w14:textId="77777777" w:rsidR="00ED1413" w:rsidRPr="00ED1413" w:rsidRDefault="00ED1413" w:rsidP="00ED1413">
      <w:pPr>
        <w:pStyle w:val="Paragraphedeliste"/>
        <w:numPr>
          <w:ilvl w:val="0"/>
          <w:numId w:val="124"/>
        </w:numPr>
        <w:spacing w:before="120" w:after="120" w:line="276" w:lineRule="auto"/>
        <w:rPr>
          <w:b/>
        </w:rPr>
      </w:pPr>
      <w:r w:rsidRPr="00ED1413">
        <w:rPr>
          <w:b/>
        </w:rPr>
        <w:t>Permis et autorisations avant les travaux</w:t>
      </w:r>
    </w:p>
    <w:p w14:paraId="7B8696D0" w14:textId="77777777" w:rsidR="00ED1413" w:rsidRPr="00ED1413" w:rsidRDefault="00ED1413" w:rsidP="00ED1413">
      <w:pPr>
        <w:contextualSpacing/>
      </w:pPr>
      <w:r w:rsidRPr="00ED1413">
        <w:t>Toute réalisation de travaux doit faire l’objet d’une procédure préalable d’information et d’autorisations administratives. Avant de commencer les travaux, le Contractant doit se procurer tous les permis nécessaires pour la réalisation des travaux prévus dans le contrat : autorisations délivrés par les collectivités locales, les services forestiers (en cas de déboisement, d’élagage, etc.), les gestionnaires de réseaux, etc. Avant le démarrage des travaux, le Contractant doit se concerter avec les riverains avec lesquels il peut prendre des arrangements facilitant le déroulement des chantiers.</w:t>
      </w:r>
    </w:p>
    <w:p w14:paraId="7554AE68" w14:textId="77777777" w:rsidR="00ED1413" w:rsidRPr="00ED1413" w:rsidRDefault="00ED1413" w:rsidP="00ED1413">
      <w:pPr>
        <w:pStyle w:val="Paragraphedeliste"/>
        <w:numPr>
          <w:ilvl w:val="0"/>
          <w:numId w:val="124"/>
        </w:numPr>
        <w:spacing w:before="120" w:after="120" w:line="276" w:lineRule="auto"/>
        <w:rPr>
          <w:b/>
        </w:rPr>
      </w:pPr>
      <w:r w:rsidRPr="00ED1413">
        <w:rPr>
          <w:b/>
        </w:rPr>
        <w:t>Réunion de démarrage des travaux</w:t>
      </w:r>
    </w:p>
    <w:p w14:paraId="4CB3CDEE" w14:textId="77777777" w:rsidR="00ED1413" w:rsidRPr="00ED1413" w:rsidRDefault="00ED1413" w:rsidP="00ED1413">
      <w:pPr>
        <w:contextualSpacing/>
      </w:pPr>
      <w:r w:rsidRPr="00ED1413">
        <w:t>Avant le démarrage des travaux, le Contractant et le Maître d’œuvre doivent organiser des réunions avec les autorités, les représentants des populations situées dans la zone du projet et les services techniques compétents, pour les informer de la consistance des travaux à réaliser et leur durée, des itinéraires concernés et les emplacements susceptibles d'être affectés. Cette réunion permettra aussi au Maître d’ouvrage de recueillir les observations des populations, de les sensibiliser sur les enjeux environnementaux et sociaux et sur leurs relations avec les ouvriers.</w:t>
      </w:r>
    </w:p>
    <w:p w14:paraId="28F010EF" w14:textId="77777777" w:rsidR="00ED1413" w:rsidRPr="00ED1413" w:rsidRDefault="00ED1413" w:rsidP="00ED1413">
      <w:pPr>
        <w:pStyle w:val="Paragraphedeliste"/>
        <w:numPr>
          <w:ilvl w:val="0"/>
          <w:numId w:val="124"/>
        </w:numPr>
        <w:spacing w:before="120" w:after="120" w:line="276" w:lineRule="auto"/>
        <w:rPr>
          <w:b/>
        </w:rPr>
      </w:pPr>
      <w:r w:rsidRPr="00ED1413">
        <w:rPr>
          <w:b/>
        </w:rPr>
        <w:t>Préparation et libération du site- Respect des emprises et des tracés</w:t>
      </w:r>
    </w:p>
    <w:p w14:paraId="1CC662C3" w14:textId="77777777" w:rsidR="00ED1413" w:rsidRPr="00ED1413" w:rsidRDefault="00ED1413" w:rsidP="00ED1413">
      <w:pPr>
        <w:contextualSpacing/>
      </w:pPr>
      <w:r w:rsidRPr="00ED1413">
        <w:t>Le Contractant devra informer les populations concernées avant toute activité de destruction de champs, vergers, maraîchers requis dans le cadre du projet. La libération de l’emprise doit se faire selon un calendrier défini en accord avec les populations affectées et le Maître d’ouvrage. Avant l’installation et le début des travaux, le Contractant doit s’assurer que les indemnisations/compensations sont effectivement payées aux ayant-droit par le Maître d’ouvrage. Le Contractant doit respecter les emprises et les tracés définis par le projet et en aucun il ne devra s’en éloigner sous peine. Tous les préjudices liés au non-respect des tracés et emprises définis sont de sa responsabilité et les réparations à sa charge.</w:t>
      </w:r>
    </w:p>
    <w:p w14:paraId="01C7A6B0" w14:textId="77777777" w:rsidR="00ED1413" w:rsidRPr="00ED1413" w:rsidRDefault="00ED1413" w:rsidP="00ED1413">
      <w:pPr>
        <w:pStyle w:val="Paragraphedeliste"/>
        <w:numPr>
          <w:ilvl w:val="0"/>
          <w:numId w:val="124"/>
        </w:numPr>
        <w:spacing w:before="120" w:after="120" w:line="276" w:lineRule="auto"/>
        <w:rPr>
          <w:b/>
        </w:rPr>
      </w:pPr>
      <w:r w:rsidRPr="00ED1413">
        <w:rPr>
          <w:b/>
        </w:rPr>
        <w:t>Repérage des réseaux des concessionnaires</w:t>
      </w:r>
    </w:p>
    <w:p w14:paraId="63526B3A" w14:textId="77777777" w:rsidR="00ED1413" w:rsidRPr="00ED1413" w:rsidRDefault="00ED1413" w:rsidP="00ED1413">
      <w:pPr>
        <w:contextualSpacing/>
      </w:pPr>
      <w:r w:rsidRPr="00ED1413">
        <w:t>Avant le démarrage des travaux, le Contractant doit instruire une procédure de repérage des réseaux des concessionnaires (eau potable, électricité, téléphone, égout, etc.) sur plan qui sera formalisée par un Procès-verbal signé par toutes les parties (Entrepreneur, Maître d’œuvre, concessionnaires).</w:t>
      </w:r>
    </w:p>
    <w:p w14:paraId="6BE8803D" w14:textId="77777777" w:rsidR="00ED1413" w:rsidRPr="00ED1413" w:rsidRDefault="00ED1413" w:rsidP="00ED1413">
      <w:pPr>
        <w:pStyle w:val="Paragraphedeliste"/>
        <w:numPr>
          <w:ilvl w:val="0"/>
          <w:numId w:val="124"/>
        </w:numPr>
        <w:spacing w:before="120" w:after="120" w:line="276" w:lineRule="auto"/>
        <w:rPr>
          <w:b/>
        </w:rPr>
      </w:pPr>
      <w:r w:rsidRPr="00ED1413">
        <w:rPr>
          <w:b/>
        </w:rPr>
        <w:t>Libération des domaines public et privé</w:t>
      </w:r>
    </w:p>
    <w:p w14:paraId="518C91C8" w14:textId="77777777" w:rsidR="00ED1413" w:rsidRPr="00ED1413" w:rsidRDefault="00ED1413" w:rsidP="00ED1413">
      <w:pPr>
        <w:contextualSpacing/>
      </w:pPr>
      <w:r w:rsidRPr="00ED1413">
        <w:t>Le Contractant doit savoir que le périmètre d’utilité publique lié à l’opération est le périmètre susceptible d’être concerné par les travaux. Les travaux ne peuvent débuter dans les zones concernées par les emprises privées que lorsque celles-ci sont libérées à la suite d’une procédure d’acquisition.</w:t>
      </w:r>
    </w:p>
    <w:p w14:paraId="18C1759C" w14:textId="77777777" w:rsidR="00ED1413" w:rsidRPr="00ED1413" w:rsidRDefault="00ED1413" w:rsidP="00ED1413">
      <w:pPr>
        <w:pStyle w:val="Paragraphedeliste"/>
        <w:numPr>
          <w:ilvl w:val="0"/>
          <w:numId w:val="124"/>
        </w:numPr>
        <w:spacing w:before="120" w:after="120" w:line="276" w:lineRule="auto"/>
        <w:rPr>
          <w:b/>
        </w:rPr>
      </w:pPr>
      <w:r w:rsidRPr="00ED1413">
        <w:rPr>
          <w:b/>
        </w:rPr>
        <w:t xml:space="preserve">Programme de gestion environnementale et sociale </w:t>
      </w:r>
    </w:p>
    <w:p w14:paraId="50C98DE1" w14:textId="77777777" w:rsidR="00ED1413" w:rsidRPr="00ED1413" w:rsidRDefault="00ED1413" w:rsidP="00ED1413">
      <w:pPr>
        <w:contextualSpacing/>
      </w:pPr>
      <w:r w:rsidRPr="00ED1413">
        <w:t>Le Contractant doit établir et soumettre, à l'approbation du Maître d’œuvre un programme détaillé de gestion environnementale et sociale du chantier.</w:t>
      </w:r>
    </w:p>
    <w:p w14:paraId="5F54D105" w14:textId="77777777" w:rsidR="00ED1413" w:rsidRPr="00ED1413" w:rsidRDefault="00ED1413" w:rsidP="00ED1413">
      <w:pPr>
        <w:pStyle w:val="Paragraphedeliste"/>
        <w:numPr>
          <w:ilvl w:val="0"/>
          <w:numId w:val="124"/>
        </w:numPr>
        <w:spacing w:before="120" w:after="120" w:line="276" w:lineRule="auto"/>
        <w:rPr>
          <w:b/>
        </w:rPr>
      </w:pPr>
      <w:r w:rsidRPr="00ED1413">
        <w:rPr>
          <w:b/>
        </w:rPr>
        <w:t>Affichage du règlement intérieur et sensibilisation du personnel</w:t>
      </w:r>
    </w:p>
    <w:p w14:paraId="53E39651" w14:textId="77777777" w:rsidR="00ED1413" w:rsidRPr="00ED1413" w:rsidRDefault="00ED1413" w:rsidP="00ED1413">
      <w:pPr>
        <w:contextualSpacing/>
      </w:pPr>
      <w:r w:rsidRPr="00ED1413">
        <w:t>Le Contractant doit afficher un règlement intérieur de façon visible dans les diverses installations de la base-vie prescrivant spécifiquement : le respect des us et coutumes locales ; la protection contre les IST/VIH/SIDA ; les règles d’hygiène et les mesures de sécurité. Le Contractant doit sensibiliser son personnel notamment sur le respect des us et coutumes des populations de la région où sont effectués les travaux et sur les risques des IST et du VIH/SIDA.</w:t>
      </w:r>
    </w:p>
    <w:p w14:paraId="5D0A71AC" w14:textId="77777777" w:rsidR="00ED1413" w:rsidRPr="00ED1413" w:rsidRDefault="00ED1413" w:rsidP="00ED1413">
      <w:pPr>
        <w:pStyle w:val="Paragraphedeliste"/>
        <w:numPr>
          <w:ilvl w:val="0"/>
          <w:numId w:val="124"/>
        </w:numPr>
        <w:spacing w:before="120" w:after="120" w:line="276" w:lineRule="auto"/>
        <w:rPr>
          <w:b/>
        </w:rPr>
      </w:pPr>
      <w:r w:rsidRPr="00ED1413">
        <w:rPr>
          <w:b/>
        </w:rPr>
        <w:t>Emploi de la main d’œuvre locale</w:t>
      </w:r>
    </w:p>
    <w:p w14:paraId="74B7C1ED" w14:textId="77777777" w:rsidR="00ED1413" w:rsidRPr="00ED1413" w:rsidRDefault="00ED1413" w:rsidP="00ED1413">
      <w:pPr>
        <w:contextualSpacing/>
      </w:pPr>
      <w:r w:rsidRPr="00ED1413">
        <w:t>Le Contractant est tenu d’engager (en dehors de son personnel cadre technique) le plus de main-d’œuvre possible dans la zone où les travaux sont réalisés.</w:t>
      </w:r>
    </w:p>
    <w:p w14:paraId="48979742" w14:textId="77777777" w:rsidR="00ED1413" w:rsidRPr="00ED1413" w:rsidRDefault="00ED1413" w:rsidP="00ED1413">
      <w:pPr>
        <w:pStyle w:val="Paragraphedeliste"/>
        <w:numPr>
          <w:ilvl w:val="0"/>
          <w:numId w:val="124"/>
        </w:numPr>
        <w:spacing w:before="120" w:after="120" w:line="276" w:lineRule="auto"/>
        <w:rPr>
          <w:b/>
        </w:rPr>
      </w:pPr>
      <w:r w:rsidRPr="00ED1413">
        <w:rPr>
          <w:b/>
        </w:rPr>
        <w:t xml:space="preserve">Respect des horaires de travail </w:t>
      </w:r>
    </w:p>
    <w:p w14:paraId="7A92AA0C" w14:textId="77777777" w:rsidR="00ED1413" w:rsidRPr="00ED1413" w:rsidRDefault="00ED1413" w:rsidP="00ED1413">
      <w:pPr>
        <w:contextualSpacing/>
      </w:pPr>
      <w:r w:rsidRPr="00ED1413">
        <w:t>Le Contractant doit s’assurer que les horaires de travail respectent les lois et règlements nationaux en vigueur. Le Contractant doit éviter d’exécuter les travaux pendant les heures de repos, les dimanches et les jours fériés.</w:t>
      </w:r>
    </w:p>
    <w:p w14:paraId="67927DDA" w14:textId="77777777" w:rsidR="00ED1413" w:rsidRPr="00ED1413" w:rsidRDefault="00ED1413" w:rsidP="00ED1413">
      <w:pPr>
        <w:pStyle w:val="Paragraphedeliste"/>
        <w:numPr>
          <w:ilvl w:val="0"/>
          <w:numId w:val="124"/>
        </w:numPr>
        <w:spacing w:before="120" w:after="120" w:line="276" w:lineRule="auto"/>
        <w:rPr>
          <w:b/>
        </w:rPr>
      </w:pPr>
      <w:r w:rsidRPr="00ED1413">
        <w:rPr>
          <w:b/>
        </w:rPr>
        <w:t xml:space="preserve">Protection du personnel de chantier </w:t>
      </w:r>
    </w:p>
    <w:p w14:paraId="79F2F8D2" w14:textId="77777777" w:rsidR="00ED1413" w:rsidRPr="00ED1413" w:rsidRDefault="00ED1413" w:rsidP="00ED1413">
      <w:pPr>
        <w:contextualSpacing/>
      </w:pPr>
      <w:r w:rsidRPr="00ED1413">
        <w:t>Le Contractant doit mettre à disposition du personnel de chantier des tenues de travail correctes réglementaires et en bon état, ainsi que tous les accessoires de protection et de sécurité propres à leurs activités (casques, bottes, ceintures, masques, gants, lunettes, etc.). Le Contractant doit veiller au port scrupuleux des équipements de protection sur le chantier. Un contrôle permanent doit être effectué à cet effet et, en cas de manquement, des mesures coercitives (avertissement, mise à pied, renvoi) doivent être appliquées au personnel concerné.</w:t>
      </w:r>
    </w:p>
    <w:p w14:paraId="79408E51" w14:textId="77777777" w:rsidR="00ED1413" w:rsidRPr="00ED1413" w:rsidRDefault="00ED1413" w:rsidP="00ED1413">
      <w:pPr>
        <w:pStyle w:val="Paragraphedeliste"/>
        <w:numPr>
          <w:ilvl w:val="0"/>
          <w:numId w:val="124"/>
        </w:numPr>
        <w:spacing w:before="120" w:after="120" w:line="276" w:lineRule="auto"/>
        <w:rPr>
          <w:b/>
        </w:rPr>
      </w:pPr>
      <w:r w:rsidRPr="00ED1413">
        <w:rPr>
          <w:b/>
        </w:rPr>
        <w:t>Responsable Hygiène, Sécurité et Environnement</w:t>
      </w:r>
    </w:p>
    <w:p w14:paraId="3CA0A759" w14:textId="77777777" w:rsidR="00ED1413" w:rsidRPr="00ED1413" w:rsidRDefault="00ED1413" w:rsidP="00ED1413">
      <w:pPr>
        <w:contextualSpacing/>
      </w:pPr>
      <w:r w:rsidRPr="00ED1413">
        <w:t>Le Contractant doit désigner un responsable Hygiène/Sécurité/Environnement qui veillera à ce que les règles d’hygiène, de sécurité et de protection de l’environnement soient rigoureusement suivies par tous et à tous les niveaux d’exécution, tant pour les travailleurs que pour la population et autres personnes en contact avec le chantier. Il doit mettre en place un service médical courant et d’urgence à la base-vie, adapté à l’effectif de son personnel. Le Contractant doit interdire l’accès du chantier au public, le protéger par des balises et des panneaux de signalisation, indiquer les différents accès et prendre toutes les mesures d’ordre et de sécurité propres à éviter les accidents.</w:t>
      </w:r>
    </w:p>
    <w:p w14:paraId="7A40C6CA" w14:textId="77777777" w:rsidR="00ED1413" w:rsidRPr="00ED1413" w:rsidRDefault="00ED1413" w:rsidP="00ED1413">
      <w:pPr>
        <w:numPr>
          <w:ilvl w:val="0"/>
          <w:numId w:val="123"/>
        </w:numPr>
        <w:spacing w:before="120" w:after="120" w:line="276" w:lineRule="auto"/>
        <w:contextualSpacing/>
        <w:rPr>
          <w:b/>
        </w:rPr>
      </w:pPr>
      <w:r w:rsidRPr="00ED1413">
        <w:rPr>
          <w:b/>
        </w:rPr>
        <w:t>Mesures contre les entraves à la circulation</w:t>
      </w:r>
    </w:p>
    <w:p w14:paraId="22171BD6" w14:textId="77777777" w:rsidR="00ED1413" w:rsidRPr="00ED1413" w:rsidRDefault="00ED1413" w:rsidP="00ED1413">
      <w:pPr>
        <w:contextualSpacing/>
      </w:pPr>
      <w:r w:rsidRPr="00ED1413">
        <w:t>Le Contractant doit éviter d’obstruer les accès publics. Il doit maintenir en permanence la circulation et l’accès des riverains en cours de travaux. Le Contractant veillera à ce qu’aucune fouille ou tranchée ne reste ouverte la nuit, sans signalisation adéquate acceptée par le Maître d’œuvre. Le Contractant doit veiller à ce que les déviations provisoires permettent une circulation sans danger.</w:t>
      </w:r>
    </w:p>
    <w:p w14:paraId="6B939C4F" w14:textId="77777777" w:rsidR="00ED1413" w:rsidRPr="00ED1413" w:rsidRDefault="00ED1413" w:rsidP="00ED1413">
      <w:pPr>
        <w:pStyle w:val="Paragraphedeliste"/>
        <w:numPr>
          <w:ilvl w:val="0"/>
          <w:numId w:val="124"/>
        </w:numPr>
        <w:spacing w:before="120" w:after="120" w:line="276" w:lineRule="auto"/>
        <w:rPr>
          <w:b/>
        </w:rPr>
      </w:pPr>
      <w:r w:rsidRPr="00ED1413">
        <w:rPr>
          <w:b/>
        </w:rPr>
        <w:t>Repli de chantier et réaménagement</w:t>
      </w:r>
    </w:p>
    <w:p w14:paraId="18E06C0D" w14:textId="77777777" w:rsidR="00ED1413" w:rsidRPr="00ED1413" w:rsidRDefault="00ED1413" w:rsidP="00ED1413">
      <w:pPr>
        <w:contextualSpacing/>
      </w:pPr>
      <w:r w:rsidRPr="00ED1413">
        <w:t>A toute libération de site, le Contractant laisse les lieux propres à leur affectation immédiate. Il ne peut être libéré de ses engagements et de sa responsabilité concernant leur usage sans qu'il ait formellement fait constater ce bon état. Le Contractant réalisera tous les aménagements nécessaires à la remise en état des lieux. Il est tenu de replier tous ses équipements et matériaux et ne peut les abandonner sur le site ou les environs.</w:t>
      </w:r>
    </w:p>
    <w:p w14:paraId="749DF12E" w14:textId="77777777" w:rsidR="00ED1413" w:rsidRPr="00ED1413" w:rsidRDefault="00ED1413" w:rsidP="00ED1413">
      <w:pPr>
        <w:pStyle w:val="Paragraphedeliste"/>
        <w:numPr>
          <w:ilvl w:val="0"/>
          <w:numId w:val="124"/>
        </w:numPr>
        <w:spacing w:before="120" w:after="120" w:line="276" w:lineRule="auto"/>
        <w:rPr>
          <w:b/>
        </w:rPr>
      </w:pPr>
      <w:r w:rsidRPr="00ED1413">
        <w:rPr>
          <w:b/>
        </w:rPr>
        <w:t xml:space="preserve">Protection des zones instables  </w:t>
      </w:r>
    </w:p>
    <w:p w14:paraId="6A3A7655" w14:textId="77777777" w:rsidR="00ED1413" w:rsidRPr="00ED1413" w:rsidRDefault="00ED1413" w:rsidP="00ED1413">
      <w:pPr>
        <w:contextualSpacing/>
      </w:pPr>
      <w:r w:rsidRPr="00ED1413">
        <w:t>Lors du démantèlement d’ouvrages en milieux instables, le Contractant doit prendre les précautions suivantes pour ne pas accentuer l’instabilité du sol : (i) éviter toute circulation lourde et toute surcharge dans la zone d’instabilité ; (ii) conserver autant que possible le couvert végétal ou reconstituer celui-ci en utilisant des espèces locales appropriées en cas de risques d’érosion.</w:t>
      </w:r>
    </w:p>
    <w:p w14:paraId="5FDA8833" w14:textId="77777777" w:rsidR="00ED1413" w:rsidRPr="00ED1413" w:rsidRDefault="00ED1413" w:rsidP="00ED1413">
      <w:pPr>
        <w:pStyle w:val="Paragraphedeliste"/>
        <w:numPr>
          <w:ilvl w:val="0"/>
          <w:numId w:val="124"/>
        </w:numPr>
        <w:spacing w:before="120" w:after="120" w:line="276" w:lineRule="auto"/>
        <w:rPr>
          <w:b/>
          <w:bCs/>
          <w:i/>
          <w:iCs/>
          <w:sz w:val="22"/>
        </w:rPr>
      </w:pPr>
      <w:r w:rsidRPr="00ED1413">
        <w:rPr>
          <w:b/>
        </w:rPr>
        <w:t>Notification des constats</w:t>
      </w:r>
    </w:p>
    <w:p w14:paraId="5DA7E6E4" w14:textId="77777777" w:rsidR="00ED1413" w:rsidRPr="00ED1413" w:rsidRDefault="00ED1413" w:rsidP="00ED1413">
      <w:pPr>
        <w:contextualSpacing/>
      </w:pPr>
      <w:r w:rsidRPr="00ED1413">
        <w:t>Le Maître d’œuvre notifie par écrit au Contractant tous les cas de défaut ou non-exécution des mesures environnementales et sociales. Le Contractant doit redresser tout manquement aux prescriptions dûment notifiées à lui par le Maître d’œuvre. La reprise des travaux ou les travaux supplémentaires découlant du non-respect des clauses sont à la charge du Contractant.</w:t>
      </w:r>
    </w:p>
    <w:p w14:paraId="0D5194EB" w14:textId="77777777" w:rsidR="00ED1413" w:rsidRPr="00ED1413" w:rsidRDefault="00ED1413" w:rsidP="00ED1413">
      <w:pPr>
        <w:pStyle w:val="Paragraphedeliste"/>
        <w:numPr>
          <w:ilvl w:val="0"/>
          <w:numId w:val="124"/>
        </w:numPr>
        <w:spacing w:before="120" w:after="120" w:line="276" w:lineRule="auto"/>
        <w:rPr>
          <w:b/>
          <w:bCs/>
          <w:i/>
          <w:iCs/>
          <w:sz w:val="22"/>
        </w:rPr>
      </w:pPr>
      <w:r w:rsidRPr="00ED1413">
        <w:rPr>
          <w:b/>
        </w:rPr>
        <w:t>Sanction</w:t>
      </w:r>
    </w:p>
    <w:p w14:paraId="0DCAB7EB" w14:textId="77777777" w:rsidR="00ED1413" w:rsidRPr="00ED1413" w:rsidRDefault="00ED1413" w:rsidP="00ED1413">
      <w:pPr>
        <w:contextualSpacing/>
      </w:pPr>
      <w:r w:rsidRPr="00ED1413">
        <w:t>En application des dispositions contractuelles, le non -respect des clauses environnementales et sociales, dûment constaté par le Maître d’œuvre, peut être un motif de résiliation du contrat.</w:t>
      </w:r>
    </w:p>
    <w:p w14:paraId="34FE5CDB" w14:textId="77777777" w:rsidR="00ED1413" w:rsidRPr="00ED1413" w:rsidRDefault="00ED1413" w:rsidP="00ED1413">
      <w:pPr>
        <w:pStyle w:val="Paragraphedeliste"/>
        <w:numPr>
          <w:ilvl w:val="0"/>
          <w:numId w:val="124"/>
        </w:numPr>
        <w:spacing w:before="120" w:after="120" w:line="276" w:lineRule="auto"/>
        <w:rPr>
          <w:b/>
        </w:rPr>
      </w:pPr>
      <w:r w:rsidRPr="00ED1413">
        <w:rPr>
          <w:b/>
        </w:rPr>
        <w:t>Signalisation des travaux</w:t>
      </w:r>
    </w:p>
    <w:p w14:paraId="1D3D1707" w14:textId="77777777" w:rsidR="00ED1413" w:rsidRPr="00ED1413" w:rsidRDefault="00ED1413" w:rsidP="00ED1413">
      <w:pPr>
        <w:contextualSpacing/>
      </w:pPr>
      <w:r w:rsidRPr="00ED1413">
        <w:t>Le Contractant doit placer, préalablement à l’ouverture des chantiers et chaque fois que de besoin, une pré-signalisation et une signalisation des chantiers à longue distance (sortie de carrières ou de bases-vie, circuit utilisé par les engins, etc.) qui répond aux lois et règlements en vigueur.</w:t>
      </w:r>
    </w:p>
    <w:p w14:paraId="4BA9165F" w14:textId="77777777" w:rsidR="00ED1413" w:rsidRPr="00ED1413" w:rsidRDefault="00ED1413" w:rsidP="00ED1413">
      <w:pPr>
        <w:pStyle w:val="Paragraphedeliste"/>
        <w:numPr>
          <w:ilvl w:val="0"/>
          <w:numId w:val="124"/>
        </w:numPr>
        <w:spacing w:before="120" w:after="120" w:line="276" w:lineRule="auto"/>
        <w:rPr>
          <w:b/>
        </w:rPr>
      </w:pPr>
      <w:r w:rsidRPr="00ED1413">
        <w:rPr>
          <w:b/>
        </w:rPr>
        <w:t>Protection des zones et ouvrages agricoles</w:t>
      </w:r>
    </w:p>
    <w:p w14:paraId="30CC2882" w14:textId="77777777" w:rsidR="00ED1413" w:rsidRPr="00ED1413" w:rsidRDefault="00ED1413" w:rsidP="00ED1413">
      <w:pPr>
        <w:contextualSpacing/>
      </w:pPr>
      <w:r w:rsidRPr="00ED1413">
        <w:t>Le calendrier des travaux doit être établi afin de limiter les perturbations des activités agricoles. Les principales périodes d'activité agricole (semences, récoltes, séchage, …) devront en particulier être connues afin d'adapter l'échéancier à ces périodes.</w:t>
      </w:r>
    </w:p>
    <w:p w14:paraId="233ACF95" w14:textId="77777777" w:rsidR="00ED1413" w:rsidRPr="00ED1413" w:rsidRDefault="00ED1413" w:rsidP="00ED1413">
      <w:pPr>
        <w:pStyle w:val="Paragraphedeliste"/>
        <w:numPr>
          <w:ilvl w:val="0"/>
          <w:numId w:val="124"/>
        </w:numPr>
        <w:spacing w:before="120" w:after="120" w:line="276" w:lineRule="auto"/>
        <w:rPr>
          <w:b/>
        </w:rPr>
      </w:pPr>
      <w:r w:rsidRPr="00ED1413">
        <w:rPr>
          <w:b/>
        </w:rPr>
        <w:t>Protection des milieux humides, de la faune et de la flore</w:t>
      </w:r>
    </w:p>
    <w:p w14:paraId="223A3E21" w14:textId="77777777" w:rsidR="00ED1413" w:rsidRPr="00ED1413" w:rsidRDefault="00ED1413" w:rsidP="00ED1413">
      <w:pPr>
        <w:contextualSpacing/>
      </w:pPr>
      <w:r w:rsidRPr="00ED1413">
        <w:t>Il est interdit au Contractant d’effectuer des aménagements temporaires (aires d’entreposage et de stationnement, chemins de contournement ou de travail, etc.) dans des milieux humides.</w:t>
      </w:r>
    </w:p>
    <w:p w14:paraId="2F6E37E7" w14:textId="77777777" w:rsidR="00ED1413" w:rsidRPr="00ED1413" w:rsidRDefault="00ED1413" w:rsidP="00ED1413">
      <w:pPr>
        <w:pStyle w:val="Paragraphedeliste"/>
        <w:numPr>
          <w:ilvl w:val="0"/>
          <w:numId w:val="124"/>
        </w:numPr>
        <w:spacing w:before="120" w:after="120" w:line="276" w:lineRule="auto"/>
        <w:rPr>
          <w:b/>
        </w:rPr>
      </w:pPr>
      <w:r w:rsidRPr="00ED1413">
        <w:rPr>
          <w:b/>
        </w:rPr>
        <w:t>Protection des sites sacrés et des sites archéologiques</w:t>
      </w:r>
    </w:p>
    <w:p w14:paraId="3263706F" w14:textId="77777777" w:rsidR="00ED1413" w:rsidRPr="00ED1413" w:rsidRDefault="00ED1413" w:rsidP="00ED1413">
      <w:pPr>
        <w:contextualSpacing/>
      </w:pPr>
      <w:r w:rsidRPr="00ED1413">
        <w:t>Le Contractant doit prendre toutes les dispositions nécessaires pour respecter les sites cultuels et culturels (cimetières, sites sacrés, etc.) dans le voisinage des travaux et ne pas leur porter atteintes. Pour cela, elle devra s’assurer au préalable de leur typologie et de leur implantation avant le démarrage des travaux. Si, au cours des travaux, des vestiges d’intérêt cultuel, historique ou archéologique sont découverts, le Contractant doit suivre la procédure suivante : (i) arrêter les travaux dans la zone concernée  ; (ii) aviser immédiatement le Maître d’œuvre qui doit prendre des dispositions afin de protéger le site pour éviter toute destruction  ;un périmètre de protection doit être identifié et matérialisé sur le site et aucune activité ne devra s’y dérouler ; (iii) s’interdire d’enlever et de déplacer les objets et les vestiges. Les travaux doivent être suspendus à l’intérieur du périmètre de protection jusqu’à ce que l’organisme national responsable des sites historiques et archéologiques ait donné l’autorisation de les poursuivre.</w:t>
      </w:r>
    </w:p>
    <w:p w14:paraId="2BDD3229" w14:textId="77777777" w:rsidR="00ED1413" w:rsidRPr="00ED1413" w:rsidRDefault="00ED1413" w:rsidP="00ED1413">
      <w:pPr>
        <w:contextualSpacing/>
      </w:pPr>
    </w:p>
    <w:p w14:paraId="5FDA0E95" w14:textId="77777777" w:rsidR="00ED1413" w:rsidRPr="00ED1413" w:rsidRDefault="00ED1413" w:rsidP="00ED1413">
      <w:pPr>
        <w:pStyle w:val="Paragraphedeliste"/>
        <w:numPr>
          <w:ilvl w:val="0"/>
          <w:numId w:val="124"/>
        </w:numPr>
        <w:spacing w:before="120" w:after="120" w:line="276" w:lineRule="auto"/>
        <w:rPr>
          <w:b/>
        </w:rPr>
      </w:pPr>
      <w:r w:rsidRPr="00ED1413">
        <w:rPr>
          <w:b/>
        </w:rPr>
        <w:t>Mesures d’abattage d’arbres et de déboisement</w:t>
      </w:r>
    </w:p>
    <w:p w14:paraId="4B6E531A" w14:textId="77777777" w:rsidR="00ED1413" w:rsidRPr="00ED1413" w:rsidRDefault="00ED1413" w:rsidP="00ED1413">
      <w:pPr>
        <w:contextualSpacing/>
      </w:pPr>
      <w:r w:rsidRPr="00ED1413">
        <w:t>En cas de déboisement, les arbres abattus doivent être découpés et stockés à des endroits agréés par le Maître d’œuvre. Les populations riveraines doivent être informées de la possibilité qu'elles ont de pouvoir disposer de ce bois à leur convenance. Les arbres abattus ne doivent pas être abandonnés sur place, ni brûlés ni enfuis sous les matériaux de terrassement.</w:t>
      </w:r>
    </w:p>
    <w:p w14:paraId="6276F8A4" w14:textId="77777777" w:rsidR="00ED1413" w:rsidRPr="00ED1413" w:rsidRDefault="00ED1413" w:rsidP="00ED1413">
      <w:pPr>
        <w:pStyle w:val="Paragraphedeliste"/>
        <w:numPr>
          <w:ilvl w:val="0"/>
          <w:numId w:val="124"/>
        </w:numPr>
        <w:spacing w:before="120" w:after="120" w:line="276" w:lineRule="auto"/>
        <w:rPr>
          <w:b/>
        </w:rPr>
      </w:pPr>
      <w:r w:rsidRPr="00ED1413">
        <w:rPr>
          <w:b/>
        </w:rPr>
        <w:t>Prévention des feux de brousse</w:t>
      </w:r>
    </w:p>
    <w:p w14:paraId="092D9083" w14:textId="77777777" w:rsidR="00ED1413" w:rsidRPr="00ED1413" w:rsidRDefault="00ED1413" w:rsidP="00ED1413">
      <w:pPr>
        <w:contextualSpacing/>
      </w:pPr>
      <w:r w:rsidRPr="00ED1413">
        <w:t>Le Contractant est responsable de la prévention des feux de brousse sur l’étendue de ses travaux, incluant les zones d’emprunt et les accès. Il doit strictement observer les instructions, lois et règlements édictés par les autorités compétentes.</w:t>
      </w:r>
    </w:p>
    <w:p w14:paraId="340D9867" w14:textId="77777777" w:rsidR="00ED1413" w:rsidRPr="00ED1413" w:rsidRDefault="00ED1413" w:rsidP="00ED1413">
      <w:pPr>
        <w:pStyle w:val="Paragraphedeliste"/>
        <w:numPr>
          <w:ilvl w:val="0"/>
          <w:numId w:val="124"/>
        </w:numPr>
        <w:spacing w:before="120" w:after="120" w:line="276" w:lineRule="auto"/>
        <w:rPr>
          <w:b/>
        </w:rPr>
      </w:pPr>
      <w:r w:rsidRPr="00ED1413">
        <w:rPr>
          <w:b/>
        </w:rPr>
        <w:t>Gestion des déchets solides</w:t>
      </w:r>
    </w:p>
    <w:p w14:paraId="089C84B5" w14:textId="77777777" w:rsidR="00ED1413" w:rsidRPr="00ED1413" w:rsidRDefault="00ED1413" w:rsidP="00ED1413">
      <w:pPr>
        <w:contextualSpacing/>
      </w:pPr>
      <w:r w:rsidRPr="00ED1413">
        <w:t>Le Contractant doit déposer les ordures ménagères dans des poubelles étanches et devant être vidées périodiquement. En cas d’évacuation par les camions du chantier, les bennes doivent être étanches de façon à ne pas laisser échapper de déchets.</w:t>
      </w:r>
    </w:p>
    <w:p w14:paraId="779BCCB2" w14:textId="77777777" w:rsidR="00ED1413" w:rsidRPr="00ED1413" w:rsidRDefault="00ED1413" w:rsidP="00ED1413">
      <w:pPr>
        <w:pStyle w:val="Paragraphedeliste"/>
        <w:numPr>
          <w:ilvl w:val="0"/>
          <w:numId w:val="124"/>
        </w:numPr>
        <w:spacing w:before="120" w:after="120" w:line="276" w:lineRule="auto"/>
        <w:rPr>
          <w:b/>
        </w:rPr>
      </w:pPr>
      <w:r w:rsidRPr="00ED1413">
        <w:rPr>
          <w:b/>
        </w:rPr>
        <w:t>Protection contre la pollution sonore</w:t>
      </w:r>
    </w:p>
    <w:p w14:paraId="2F08CAAA" w14:textId="77777777" w:rsidR="00ED1413" w:rsidRPr="00ED1413" w:rsidRDefault="00ED1413" w:rsidP="00ED1413">
      <w:pPr>
        <w:contextualSpacing/>
      </w:pPr>
      <w:r w:rsidRPr="00ED1413">
        <w:t>Le Contractant est tenu de limiter les bruits de chantier susceptibles d’importuner gravement les riverains, soit par une durée exagérément longue, soit par leur prolongation en dehors des heures normales de travail. Les seuils à ne pas dépasser sont : 55 à 60 décibels le jour ; 40 décibels la nuit.</w:t>
      </w:r>
    </w:p>
    <w:p w14:paraId="7F53BB4A" w14:textId="77777777" w:rsidR="00ED1413" w:rsidRPr="00ED1413" w:rsidRDefault="00ED1413" w:rsidP="00ED1413">
      <w:pPr>
        <w:pStyle w:val="Paragraphedeliste"/>
        <w:numPr>
          <w:ilvl w:val="0"/>
          <w:numId w:val="124"/>
        </w:numPr>
        <w:spacing w:before="120" w:after="120" w:line="276" w:lineRule="auto"/>
        <w:rPr>
          <w:b/>
        </w:rPr>
      </w:pPr>
      <w:r w:rsidRPr="00ED1413">
        <w:rPr>
          <w:b/>
        </w:rPr>
        <w:t>Prévention contre les IST/VIH/SIDA et maladies liées aux travaux et les Violences basées sur le genre</w:t>
      </w:r>
    </w:p>
    <w:p w14:paraId="4A44F66D" w14:textId="77777777" w:rsidR="00ED1413" w:rsidRPr="00ED1413" w:rsidRDefault="00ED1413" w:rsidP="00ED1413">
      <w:pPr>
        <w:contextualSpacing/>
      </w:pPr>
      <w:r w:rsidRPr="00ED1413">
        <w:t>Le Contractant doit informer et sensibiliser son personnel sur les risques liés aux IST/VIH/SIDA et les Violences basées sur le genre. Il doit mettre à la disposition du personnel des préservatifs contre les IST/VIH-SIDA. Le Contractant doit prévoir des mesures de prévention suivantes contre les risques de maladie : (i) instaurer le port de masques, d’uniformes et autres chaussures adaptées ; (ii) installer systématiquement des infirmeries et fournir gratuitement au personnel de chantier les médicaments de base nécessaires aux soins d’urgence.</w:t>
      </w:r>
    </w:p>
    <w:p w14:paraId="52AE86D8" w14:textId="77777777" w:rsidR="00ED1413" w:rsidRPr="00ED1413" w:rsidRDefault="00ED1413" w:rsidP="00ED1413">
      <w:pPr>
        <w:pStyle w:val="Paragraphedeliste"/>
        <w:numPr>
          <w:ilvl w:val="0"/>
          <w:numId w:val="124"/>
        </w:numPr>
        <w:spacing w:before="120" w:after="120" w:line="276" w:lineRule="auto"/>
        <w:rPr>
          <w:b/>
          <w:bCs/>
          <w:i/>
          <w:iCs/>
          <w:sz w:val="22"/>
        </w:rPr>
      </w:pPr>
      <w:r w:rsidRPr="00ED1413">
        <w:rPr>
          <w:b/>
        </w:rPr>
        <w:t>Passerelles piétons et accès riverains</w:t>
      </w:r>
    </w:p>
    <w:p w14:paraId="0C77DEBE" w14:textId="77777777" w:rsidR="00ED1413" w:rsidRPr="00ED1413" w:rsidRDefault="00ED1413" w:rsidP="00ED1413">
      <w:pPr>
        <w:contextualSpacing/>
      </w:pPr>
      <w:r w:rsidRPr="00ED1413">
        <w:t>Le Contractant doit constamment assurer l’accès aux propriétés riveraines et assurer la jouissance des entrées des véhicules et des piétons, par des passerelles provisoires munies de garde-corps, placés au-dessus des tranchées ou autres obstacles créés par les travaux.</w:t>
      </w:r>
    </w:p>
    <w:p w14:paraId="6DA8E36E" w14:textId="77777777" w:rsidR="00ED1413" w:rsidRPr="00ED1413" w:rsidRDefault="00ED1413" w:rsidP="00ED1413">
      <w:pPr>
        <w:pStyle w:val="Paragraphedeliste"/>
        <w:numPr>
          <w:ilvl w:val="0"/>
          <w:numId w:val="124"/>
        </w:numPr>
        <w:spacing w:before="120" w:after="120" w:line="276" w:lineRule="auto"/>
        <w:rPr>
          <w:b/>
        </w:rPr>
      </w:pPr>
      <w:r w:rsidRPr="00ED1413">
        <w:rPr>
          <w:b/>
        </w:rPr>
        <w:t>Journal de chantier</w:t>
      </w:r>
    </w:p>
    <w:p w14:paraId="0329ECF3" w14:textId="77777777" w:rsidR="00ED1413" w:rsidRPr="00ED1413" w:rsidRDefault="00ED1413" w:rsidP="00ED1413">
      <w:pPr>
        <w:contextualSpacing/>
        <w:rPr>
          <w:sz w:val="20"/>
        </w:rPr>
      </w:pPr>
      <w:r w:rsidRPr="00ED1413">
        <w:t>Le Contractant doit tenir à jour un journal de chantier, dans lequel seront consignés les réclamations, les manquements ou incidents ayant un impact significatif sur l’environnement ou un incident avec la population. Le journal de chantier est unique pour le chantier et les notes doivent être écrites à l’encre. Le Contractant doit informer le public en général, et les populations riveraines en particulier, de l’existence de ce journal, avec indication du lieu où il peut être consulté.</w:t>
      </w:r>
    </w:p>
    <w:p w14:paraId="7E398944" w14:textId="77777777" w:rsidR="00ED1413" w:rsidRDefault="00ED1413" w:rsidP="00EA3472">
      <w:pPr>
        <w:spacing w:after="0"/>
        <w:rPr>
          <w:rStyle w:val="Lienhypertexte"/>
          <w:noProof/>
          <w:color w:val="FF0000"/>
          <w:sz w:val="40"/>
          <w:szCs w:val="40"/>
        </w:rPr>
      </w:pPr>
    </w:p>
    <w:p w14:paraId="005402F2" w14:textId="77777777" w:rsidR="00ED1413" w:rsidRDefault="00ED1413" w:rsidP="00EA3472">
      <w:pPr>
        <w:spacing w:after="0"/>
        <w:rPr>
          <w:rStyle w:val="Lienhypertexte"/>
          <w:noProof/>
          <w:color w:val="FF0000"/>
          <w:sz w:val="40"/>
          <w:szCs w:val="40"/>
        </w:rPr>
      </w:pPr>
    </w:p>
    <w:p w14:paraId="0EE7192A" w14:textId="52B48D31" w:rsidR="00836964" w:rsidRPr="005B0E5B" w:rsidRDefault="00836964" w:rsidP="00836964">
      <w:pPr>
        <w:pStyle w:val="Titre2"/>
      </w:pPr>
      <w:r w:rsidRPr="005B0E5B">
        <w:t>CAHIER DE PRESCRIPTIONS ENVIRONNEMENTALES ET SOCIALES DES ENTREPRISES</w:t>
      </w:r>
    </w:p>
    <w:p w14:paraId="3A2F4A88" w14:textId="77777777" w:rsidR="00836964" w:rsidRPr="005B0E5B" w:rsidRDefault="00836964" w:rsidP="00836964">
      <w:r w:rsidRPr="005B0E5B">
        <w:t>En vue d’une exécution du projet dans les règles de l’art de développement durable, l’étude a formulé un cahier de prescriptions environnementales et sociales que le promoteur du projet devrait inclure dans le dossier d’appel d’offre à l’intention de l’entreprise d’exécution des travaux. Ces recommandations représentent les clauses générales et spécifiques en matière de gestion de l’environnement.</w:t>
      </w:r>
    </w:p>
    <w:p w14:paraId="434B0E2F" w14:textId="77777777" w:rsidR="00836964" w:rsidRPr="005B0E5B" w:rsidRDefault="00836964" w:rsidP="00836964"/>
    <w:p w14:paraId="316C058E" w14:textId="77777777" w:rsidR="00836964" w:rsidRPr="005B0E5B" w:rsidRDefault="00836964" w:rsidP="00836964">
      <w:pPr>
        <w:rPr>
          <w:b/>
        </w:rPr>
      </w:pPr>
      <w:r w:rsidRPr="005B0E5B">
        <w:rPr>
          <w:b/>
        </w:rPr>
        <w:t>1. Protection de l'environnement</w:t>
      </w:r>
    </w:p>
    <w:p w14:paraId="181DE251" w14:textId="77777777" w:rsidR="00836964" w:rsidRPr="005B0E5B" w:rsidRDefault="00836964" w:rsidP="00836964">
      <w:r w:rsidRPr="005B0E5B">
        <w:t>Pour la protection de l'environnement, L’Entrepreneur attributaire du marché devra :</w:t>
      </w:r>
    </w:p>
    <w:p w14:paraId="44826EF7" w14:textId="77777777" w:rsidR="00836964" w:rsidRPr="005B0E5B" w:rsidRDefault="00836964" w:rsidP="0095003D">
      <w:pPr>
        <w:pStyle w:val="Paragraphedeliste"/>
        <w:numPr>
          <w:ilvl w:val="0"/>
          <w:numId w:val="161"/>
        </w:numPr>
        <w:spacing w:after="0" w:line="259" w:lineRule="auto"/>
      </w:pPr>
      <w:r w:rsidRPr="005B0E5B">
        <w:t>Disposer du PGES élaboré pendant la réalisation de cette étude et le mettre en œuvre ;</w:t>
      </w:r>
    </w:p>
    <w:p w14:paraId="5AE7C422" w14:textId="77777777" w:rsidR="00836964" w:rsidRPr="005B0E5B" w:rsidRDefault="00836964" w:rsidP="0095003D">
      <w:pPr>
        <w:pStyle w:val="Paragraphedeliste"/>
        <w:numPr>
          <w:ilvl w:val="0"/>
          <w:numId w:val="161"/>
        </w:numPr>
        <w:spacing w:after="0" w:line="259" w:lineRule="auto"/>
      </w:pPr>
      <w:r w:rsidRPr="005B0E5B">
        <w:t>Faire élaborer un PGES de chantier reprenant la plupart des éléments clés à suivre et à mettre en œuvre pendant les phases préparatoires, exécution et exploitation ;</w:t>
      </w:r>
    </w:p>
    <w:p w14:paraId="085C345B" w14:textId="77777777" w:rsidR="00836964" w:rsidRPr="005B0E5B" w:rsidRDefault="00836964" w:rsidP="0095003D">
      <w:pPr>
        <w:pStyle w:val="Paragraphedeliste"/>
        <w:numPr>
          <w:ilvl w:val="0"/>
          <w:numId w:val="161"/>
        </w:numPr>
        <w:spacing w:after="0" w:line="259" w:lineRule="auto"/>
      </w:pPr>
      <w:r w:rsidRPr="005B0E5B">
        <w:t>Mettre en œuvre le cas échéant son Plan de Protection de l'Environnement du Site</w:t>
      </w:r>
    </w:p>
    <w:p w14:paraId="54513F07" w14:textId="77777777" w:rsidR="00836964" w:rsidRPr="005B0E5B" w:rsidRDefault="00836964" w:rsidP="0095003D">
      <w:pPr>
        <w:pStyle w:val="Paragraphedeliste"/>
        <w:numPr>
          <w:ilvl w:val="0"/>
          <w:numId w:val="161"/>
        </w:numPr>
        <w:spacing w:after="0" w:line="259" w:lineRule="auto"/>
      </w:pPr>
      <w:r w:rsidRPr="005B0E5B">
        <w:t>(PPES) ;</w:t>
      </w:r>
    </w:p>
    <w:p w14:paraId="4BEBE3AE" w14:textId="77777777" w:rsidR="00836964" w:rsidRPr="005B0E5B" w:rsidRDefault="00836964" w:rsidP="0095003D">
      <w:pPr>
        <w:pStyle w:val="Paragraphedeliste"/>
        <w:numPr>
          <w:ilvl w:val="0"/>
          <w:numId w:val="161"/>
        </w:numPr>
        <w:spacing w:after="0" w:line="259" w:lineRule="auto"/>
      </w:pPr>
      <w:r w:rsidRPr="005B0E5B">
        <w:t>Choisir l'implantation des emprunts et dépôts de matériaux de façon à impacter l'environnement le moins possible ;</w:t>
      </w:r>
    </w:p>
    <w:p w14:paraId="338A78E2" w14:textId="77777777" w:rsidR="00836964" w:rsidRPr="005B0E5B" w:rsidRDefault="00836964" w:rsidP="0095003D">
      <w:pPr>
        <w:pStyle w:val="Paragraphedeliste"/>
        <w:numPr>
          <w:ilvl w:val="0"/>
          <w:numId w:val="161"/>
        </w:numPr>
        <w:spacing w:after="0" w:line="259" w:lineRule="auto"/>
      </w:pPr>
      <w:r w:rsidRPr="005B0E5B">
        <w:t>Prendre les dispositions nécessaires afin d’éviter la pollution accidentelle des eaux pendant les travaux ;</w:t>
      </w:r>
    </w:p>
    <w:p w14:paraId="624C3471" w14:textId="77777777" w:rsidR="00836964" w:rsidRPr="005B0E5B" w:rsidRDefault="00836964" w:rsidP="0095003D">
      <w:pPr>
        <w:pStyle w:val="Paragraphedeliste"/>
        <w:numPr>
          <w:ilvl w:val="0"/>
          <w:numId w:val="161"/>
        </w:numPr>
        <w:spacing w:after="0" w:line="259" w:lineRule="auto"/>
      </w:pPr>
      <w:r w:rsidRPr="005B0E5B">
        <w:t>Remettre en état les sites d’emprunts et dépôts une fois le chantier terminé avec la reconstitution de la végétation existante ;</w:t>
      </w:r>
    </w:p>
    <w:p w14:paraId="2084B1B0" w14:textId="77777777" w:rsidR="00836964" w:rsidRPr="005B0E5B" w:rsidRDefault="00836964" w:rsidP="0095003D">
      <w:pPr>
        <w:pStyle w:val="Paragraphedeliste"/>
        <w:numPr>
          <w:ilvl w:val="0"/>
          <w:numId w:val="161"/>
        </w:numPr>
        <w:spacing w:after="0" w:line="259" w:lineRule="auto"/>
      </w:pPr>
      <w:r w:rsidRPr="005B0E5B">
        <w:t>Nettoyer tous les dépôts et enlever les matériaux et matériels de rebut en fin de chantier ;</w:t>
      </w:r>
    </w:p>
    <w:p w14:paraId="1DA1703A" w14:textId="77777777" w:rsidR="00836964" w:rsidRPr="005B0E5B" w:rsidRDefault="00836964" w:rsidP="0095003D">
      <w:pPr>
        <w:pStyle w:val="Paragraphedeliste"/>
        <w:numPr>
          <w:ilvl w:val="0"/>
          <w:numId w:val="161"/>
        </w:numPr>
        <w:spacing w:after="0" w:line="259" w:lineRule="auto"/>
      </w:pPr>
      <w:r w:rsidRPr="005B0E5B">
        <w:t>Arroser les chantiers en construction en vue de limiter la poussière ;</w:t>
      </w:r>
    </w:p>
    <w:p w14:paraId="555B18E4" w14:textId="77777777" w:rsidR="00836964" w:rsidRPr="005B0E5B" w:rsidRDefault="00836964" w:rsidP="0095003D">
      <w:pPr>
        <w:pStyle w:val="Paragraphedeliste"/>
        <w:numPr>
          <w:ilvl w:val="0"/>
          <w:numId w:val="161"/>
        </w:numPr>
        <w:spacing w:after="0" w:line="259" w:lineRule="auto"/>
      </w:pPr>
      <w:r w:rsidRPr="005B0E5B">
        <w:t>Récupérer tout son matériel, engins et matériaux.</w:t>
      </w:r>
    </w:p>
    <w:p w14:paraId="24EB0875" w14:textId="77777777" w:rsidR="00836964" w:rsidRPr="005B0E5B" w:rsidRDefault="00836964" w:rsidP="00836964">
      <w:r w:rsidRPr="005B0E5B">
        <w:t>En vue de réduire ou d'éviter l'impact négatif que les travaux pourraient avoir sur l'environnement physique, biologique ou socio-économique, l’Entrepreneur s'en tiendra aux règles suivantes sans préjudice d’autres dispositions officielles en vigueur :</w:t>
      </w:r>
    </w:p>
    <w:p w14:paraId="6CE53465" w14:textId="77777777" w:rsidR="00836964" w:rsidRPr="005B0E5B" w:rsidRDefault="00836964" w:rsidP="00836964">
      <w:r w:rsidRPr="005B0E5B">
        <w:t>1.1 Obligations environnementales générales de l’entrepreneur</w:t>
      </w:r>
    </w:p>
    <w:p w14:paraId="21D952E1" w14:textId="77777777" w:rsidR="00836964" w:rsidRPr="005B0E5B" w:rsidRDefault="00836964" w:rsidP="00836964">
      <w:r w:rsidRPr="005B0E5B">
        <w:t>L’Entrepreneur doit :</w:t>
      </w:r>
    </w:p>
    <w:p w14:paraId="1360E0C0" w14:textId="77777777" w:rsidR="00836964" w:rsidRPr="005B0E5B" w:rsidRDefault="00836964" w:rsidP="0095003D">
      <w:pPr>
        <w:pStyle w:val="Paragraphedeliste"/>
        <w:numPr>
          <w:ilvl w:val="0"/>
          <w:numId w:val="162"/>
        </w:numPr>
        <w:spacing w:after="0" w:line="259" w:lineRule="auto"/>
      </w:pPr>
      <w:r w:rsidRPr="005B0E5B">
        <w:t>Elaborer un Plan intégré d’action environnemental, social, hygiène et Santé/sécurité</w:t>
      </w:r>
    </w:p>
    <w:p w14:paraId="069AD09D" w14:textId="77777777" w:rsidR="00836964" w:rsidRPr="005B0E5B" w:rsidRDefault="00836964" w:rsidP="0095003D">
      <w:pPr>
        <w:pStyle w:val="Paragraphedeliste"/>
        <w:numPr>
          <w:ilvl w:val="0"/>
          <w:numId w:val="162"/>
        </w:numPr>
        <w:spacing w:after="0" w:line="259" w:lineRule="auto"/>
      </w:pPr>
      <w:r w:rsidRPr="005B0E5B">
        <w:t>(PAEHS) spécifique au site,</w:t>
      </w:r>
    </w:p>
    <w:p w14:paraId="7C41C69C" w14:textId="77777777" w:rsidR="00836964" w:rsidRPr="005B0E5B" w:rsidRDefault="00836964" w:rsidP="0095003D">
      <w:pPr>
        <w:pStyle w:val="Paragraphedeliste"/>
        <w:numPr>
          <w:ilvl w:val="0"/>
          <w:numId w:val="162"/>
        </w:numPr>
        <w:spacing w:after="0" w:line="259" w:lineRule="auto"/>
      </w:pPr>
      <w:r w:rsidRPr="005B0E5B">
        <w:t>Respecter les dispositions réglementaires environnementales en vigueur, ainsi que les dispositions contractuelles du présent marché,</w:t>
      </w:r>
    </w:p>
    <w:p w14:paraId="026D5BFE" w14:textId="77777777" w:rsidR="00836964" w:rsidRPr="005B0E5B" w:rsidRDefault="00836964" w:rsidP="0095003D">
      <w:pPr>
        <w:pStyle w:val="Paragraphedeliste"/>
        <w:numPr>
          <w:ilvl w:val="0"/>
          <w:numId w:val="162"/>
        </w:numPr>
        <w:spacing w:after="0" w:line="259" w:lineRule="auto"/>
      </w:pPr>
      <w:r w:rsidRPr="005B0E5B">
        <w:t>Assumer pleinement et entièrement les conséquences de ses choix et actions. En particulier, et sans préjudice des dispositions réglementaires en vigueur, il assure le cas échéant la réparation à ses frais et selon la technique et les délais les plus appropriés, notamment en regard du degré de sensibilité du site concerné, des dommages causés à l'environnement et aux riverains par non-respect des dispositions réglementaires ou administratives ou des prescriptions techniques applicables, ainsi que le paiement des amendes, dommages et intérêts ou autres pénalités dont il se verrait en charge,</w:t>
      </w:r>
    </w:p>
    <w:p w14:paraId="386EC291" w14:textId="77777777" w:rsidR="00836964" w:rsidRPr="005B0E5B" w:rsidRDefault="00836964" w:rsidP="0095003D">
      <w:pPr>
        <w:pStyle w:val="Paragraphedeliste"/>
        <w:numPr>
          <w:ilvl w:val="0"/>
          <w:numId w:val="162"/>
        </w:numPr>
        <w:spacing w:after="0" w:line="259" w:lineRule="auto"/>
      </w:pPr>
      <w:r w:rsidRPr="005B0E5B">
        <w:t>Mettre tous ses moyens en œuvre pour assurer la qualité environnementale des opérations objet du présent marché, notamment par application des prescriptions et dispositions applicables. Il considérera l'exécution des travaux ou la mise en œuvre de dispositions à caractère environnemental comme faisant partie intégrante des opérations relevant du programme général d'exécution des travaux ;</w:t>
      </w:r>
    </w:p>
    <w:p w14:paraId="0C2AFD5D" w14:textId="77777777" w:rsidR="00836964" w:rsidRPr="005B0E5B" w:rsidRDefault="00836964" w:rsidP="0095003D">
      <w:pPr>
        <w:pStyle w:val="Paragraphedeliste"/>
        <w:numPr>
          <w:ilvl w:val="0"/>
          <w:numId w:val="162"/>
        </w:numPr>
        <w:spacing w:after="0" w:line="259" w:lineRule="auto"/>
      </w:pPr>
      <w:r w:rsidRPr="005B0E5B">
        <w:t>Mettre en place une stratégie environnementale interne à ses services pour s'acquitter de ses obligations en la matière, stratégie incluant notamment :</w:t>
      </w:r>
    </w:p>
    <w:p w14:paraId="744C25D9" w14:textId="77777777" w:rsidR="00836964" w:rsidRPr="005B0E5B" w:rsidRDefault="00836964" w:rsidP="0095003D">
      <w:pPr>
        <w:pStyle w:val="Paragraphedeliste"/>
        <w:numPr>
          <w:ilvl w:val="0"/>
          <w:numId w:val="163"/>
        </w:numPr>
        <w:spacing w:after="0" w:line="259" w:lineRule="auto"/>
      </w:pPr>
      <w:r w:rsidRPr="005B0E5B">
        <w:t>L'embauche d'un ingénieur responsable environnement, autonome, rattaché directement au directeur de projet de L’Entrepreneur (le plus haut niveau hiérarchique sur site),</w:t>
      </w:r>
    </w:p>
    <w:p w14:paraId="2854E22E" w14:textId="77777777" w:rsidR="00836964" w:rsidRPr="005B0E5B" w:rsidRDefault="00836964" w:rsidP="0095003D">
      <w:pPr>
        <w:pStyle w:val="Paragraphedeliste"/>
        <w:numPr>
          <w:ilvl w:val="0"/>
          <w:numId w:val="163"/>
        </w:numPr>
        <w:spacing w:after="0" w:line="259" w:lineRule="auto"/>
      </w:pPr>
      <w:r w:rsidRPr="005B0E5B">
        <w:t>Le contrôle par des inspections régulières, y compris des services compétents de l’Etat, du respect des dispositions environnementales de toute nature prescrites,</w:t>
      </w:r>
    </w:p>
    <w:p w14:paraId="5B75CB5C" w14:textId="77777777" w:rsidR="00836964" w:rsidRPr="005B0E5B" w:rsidRDefault="00836964" w:rsidP="0095003D">
      <w:pPr>
        <w:pStyle w:val="Paragraphedeliste"/>
        <w:numPr>
          <w:ilvl w:val="0"/>
          <w:numId w:val="163"/>
        </w:numPr>
        <w:spacing w:after="0" w:line="259" w:lineRule="auto"/>
      </w:pPr>
      <w:r w:rsidRPr="005B0E5B">
        <w:t>Le suivi environnemental des travaux par le responsable en environnement, et la rédaction de rapports mensuels et bilans semestriels correspondants,</w:t>
      </w:r>
    </w:p>
    <w:p w14:paraId="510781A8" w14:textId="77777777" w:rsidR="00836964" w:rsidRPr="005B0E5B" w:rsidRDefault="00836964" w:rsidP="0095003D">
      <w:pPr>
        <w:pStyle w:val="Paragraphedeliste"/>
        <w:numPr>
          <w:ilvl w:val="0"/>
          <w:numId w:val="163"/>
        </w:numPr>
        <w:spacing w:after="0" w:line="259" w:lineRule="auto"/>
      </w:pPr>
      <w:r w:rsidRPr="005B0E5B">
        <w:t>L'information systématique des autorités compétentes pour chaque incident ou accident, dommage, dégradation causé à l'environnement dans le cadre des travaux, ainsi que sa consignation dans un répertoire spécifique,</w:t>
      </w:r>
    </w:p>
    <w:p w14:paraId="2805DFD3" w14:textId="77777777" w:rsidR="00836964" w:rsidRPr="005B0E5B" w:rsidRDefault="00836964" w:rsidP="0095003D">
      <w:pPr>
        <w:pStyle w:val="Paragraphedeliste"/>
        <w:numPr>
          <w:ilvl w:val="0"/>
          <w:numId w:val="163"/>
        </w:numPr>
        <w:spacing w:after="0" w:line="259" w:lineRule="auto"/>
      </w:pPr>
      <w:r w:rsidRPr="005B0E5B">
        <w:t>L'information et la formation appropriée de son personnel, personnel cadre compris, en vue de la sécurisation et/ou de la qualité des opérations,</w:t>
      </w:r>
    </w:p>
    <w:p w14:paraId="04687AAC" w14:textId="77777777" w:rsidR="00836964" w:rsidRPr="005B0E5B" w:rsidRDefault="00836964" w:rsidP="0095003D">
      <w:pPr>
        <w:pStyle w:val="Paragraphedeliste"/>
        <w:numPr>
          <w:ilvl w:val="0"/>
          <w:numId w:val="163"/>
        </w:numPr>
        <w:spacing w:after="0" w:line="259" w:lineRule="auto"/>
      </w:pPr>
      <w:r w:rsidRPr="005B0E5B">
        <w:t>La prise de sanctions appropriées contre son personnel ne respectant pas les prescriptions et dispositions applicables en matière d'environnement.</w:t>
      </w:r>
    </w:p>
    <w:p w14:paraId="3736C3DE" w14:textId="77777777" w:rsidR="00836964" w:rsidRPr="005B0E5B" w:rsidRDefault="00836964" w:rsidP="0095003D">
      <w:pPr>
        <w:pStyle w:val="Paragraphedeliste"/>
        <w:numPr>
          <w:ilvl w:val="0"/>
          <w:numId w:val="163"/>
        </w:numPr>
        <w:spacing w:after="0" w:line="259" w:lineRule="auto"/>
      </w:pPr>
      <w:r w:rsidRPr="005B0E5B">
        <w:t>Le recours, selon que de besoin, aux services de sous-traitance avec des entités mieux habilitées ou techniquement compétentes, pour l’exécution de certaines obligations contenues dans le PGES, notamment la sensibilisation des populations sur les questions de VIH/SIDA, ou la réalisation et l’entretien des plantations de compensation et autres plantations d’alignement,</w:t>
      </w:r>
    </w:p>
    <w:p w14:paraId="4B04FC02" w14:textId="77777777" w:rsidR="00836964" w:rsidRPr="005B0E5B" w:rsidRDefault="00836964" w:rsidP="0095003D">
      <w:pPr>
        <w:pStyle w:val="Paragraphedeliste"/>
        <w:numPr>
          <w:ilvl w:val="0"/>
          <w:numId w:val="163"/>
        </w:numPr>
        <w:spacing w:after="0" w:line="259" w:lineRule="auto"/>
      </w:pPr>
      <w:r w:rsidRPr="005B0E5B">
        <w:t>Mettre en place une stratégie pour favoriser les riverains à travers les initiatives suivantes :</w:t>
      </w:r>
    </w:p>
    <w:p w14:paraId="1944A2D5" w14:textId="77777777" w:rsidR="00836964" w:rsidRPr="005B0E5B" w:rsidRDefault="00836964" w:rsidP="0095003D">
      <w:pPr>
        <w:pStyle w:val="Paragraphedeliste"/>
        <w:numPr>
          <w:ilvl w:val="0"/>
          <w:numId w:val="163"/>
        </w:numPr>
        <w:spacing w:after="0" w:line="259" w:lineRule="auto"/>
      </w:pPr>
      <w:r w:rsidRPr="005B0E5B">
        <w:t>Privilégier autant que possible l’embauche de la main d’œuvre locale et l’achat de produits locaux ;</w:t>
      </w:r>
    </w:p>
    <w:p w14:paraId="79279181" w14:textId="77777777" w:rsidR="00836964" w:rsidRPr="005B0E5B" w:rsidRDefault="00836964" w:rsidP="0095003D">
      <w:pPr>
        <w:pStyle w:val="Paragraphedeliste"/>
        <w:numPr>
          <w:ilvl w:val="0"/>
          <w:numId w:val="163"/>
        </w:numPr>
        <w:spacing w:after="0" w:line="259" w:lineRule="auto"/>
      </w:pPr>
      <w:r w:rsidRPr="005B0E5B">
        <w:t>Informer les populations locales par les voix appropriées, du déroulement des travaux, de l’échéancier des perturbations potentielles.</w:t>
      </w:r>
    </w:p>
    <w:p w14:paraId="7E05F0AE" w14:textId="77777777" w:rsidR="00836964" w:rsidRPr="005B0E5B" w:rsidRDefault="00836964" w:rsidP="00836964"/>
    <w:p w14:paraId="44EF35ED" w14:textId="77777777" w:rsidR="00836964" w:rsidRPr="005B0E5B" w:rsidRDefault="00836964" w:rsidP="00836964">
      <w:pPr>
        <w:rPr>
          <w:b/>
        </w:rPr>
      </w:pPr>
      <w:r w:rsidRPr="005B0E5B">
        <w:rPr>
          <w:b/>
        </w:rPr>
        <w:t>1.2 Obligations environnementales particulières de l’entrepreneur</w:t>
      </w:r>
    </w:p>
    <w:p w14:paraId="27F4A289" w14:textId="77777777" w:rsidR="00836964" w:rsidRPr="005B0E5B" w:rsidRDefault="00836964" w:rsidP="00836964">
      <w:r w:rsidRPr="005B0E5B">
        <w:t>Les obligations environnementales particulières de l’Entrepreneur comprennent, sans préjudice d'autres dispositions officielles en vigueur :</w:t>
      </w:r>
    </w:p>
    <w:p w14:paraId="40806210" w14:textId="77777777" w:rsidR="00836964" w:rsidRPr="005B0E5B" w:rsidRDefault="00836964" w:rsidP="0095003D">
      <w:pPr>
        <w:pStyle w:val="Paragraphedeliste"/>
        <w:numPr>
          <w:ilvl w:val="0"/>
          <w:numId w:val="164"/>
        </w:numPr>
        <w:spacing w:after="0" w:line="259" w:lineRule="auto"/>
      </w:pPr>
      <w:r w:rsidRPr="005B0E5B">
        <w:t>L'utilisation rationnelle et économique d'eau pour le chantier sans concurrence avec l'alimentation en eau des riverains (consommation humaine, bétail et arrosage des cultures), ainsi que la préservation stricte de la qualité des eaux exploitées pour les besoins de chantier (notamment pompes adaptées et en bon état).</w:t>
      </w:r>
    </w:p>
    <w:p w14:paraId="183EE019" w14:textId="77777777" w:rsidR="00836964" w:rsidRPr="005B0E5B" w:rsidRDefault="00836964" w:rsidP="0095003D">
      <w:pPr>
        <w:pStyle w:val="Paragraphedeliste"/>
        <w:numPr>
          <w:ilvl w:val="0"/>
          <w:numId w:val="164"/>
        </w:numPr>
        <w:spacing w:after="0" w:line="259" w:lineRule="auto"/>
      </w:pPr>
      <w:r w:rsidRPr="005B0E5B">
        <w:t>La prévention de la pollution des eaux de surface et souterraine. A cet effet, l’entrepreneur prendra toutes les mesures préventives nécessaires. Sans que cela ne soit limitatif, ces mesures consisteront en :</w:t>
      </w:r>
    </w:p>
    <w:p w14:paraId="781E4E97" w14:textId="77777777" w:rsidR="00836964" w:rsidRPr="005B0E5B" w:rsidRDefault="00836964" w:rsidP="0095003D">
      <w:pPr>
        <w:pStyle w:val="Paragraphedeliste"/>
        <w:numPr>
          <w:ilvl w:val="0"/>
          <w:numId w:val="165"/>
        </w:numPr>
        <w:spacing w:after="0" w:line="259" w:lineRule="auto"/>
      </w:pPr>
      <w:r w:rsidRPr="005B0E5B">
        <w:t>L’identification et l’aménagement de sites appropriés pour le lavage et l’entretien des véhicules permettant une récupération en vue d’un traitement approprié des huiles de vidange et des eaux usées ;</w:t>
      </w:r>
    </w:p>
    <w:p w14:paraId="3DB9E54D" w14:textId="77777777" w:rsidR="00836964" w:rsidRPr="005B0E5B" w:rsidRDefault="00836964" w:rsidP="0095003D">
      <w:pPr>
        <w:pStyle w:val="Paragraphedeliste"/>
        <w:numPr>
          <w:ilvl w:val="0"/>
          <w:numId w:val="165"/>
        </w:numPr>
        <w:spacing w:after="0" w:line="259" w:lineRule="auto"/>
      </w:pPr>
      <w:r w:rsidRPr="005B0E5B">
        <w:t>La collecte régulière et le traitement approprié des déchets solides et liquides du chantier,</w:t>
      </w:r>
    </w:p>
    <w:p w14:paraId="1F9E8AEC" w14:textId="77777777" w:rsidR="00836964" w:rsidRPr="005B0E5B" w:rsidRDefault="00836964" w:rsidP="0095003D">
      <w:pPr>
        <w:pStyle w:val="Paragraphedeliste"/>
        <w:numPr>
          <w:ilvl w:val="0"/>
          <w:numId w:val="165"/>
        </w:numPr>
        <w:spacing w:after="0" w:line="259" w:lineRule="auto"/>
      </w:pPr>
      <w:r w:rsidRPr="005B0E5B">
        <w:t>Le positionnement des motopompes à une distance raisonnable des berges du cours et plans d’eau et leur installation sur un merlon permettant de contrôler les fuites éventuelles de carburant et de lubrifiants susceptibles de contaminer l’eau,</w:t>
      </w:r>
    </w:p>
    <w:p w14:paraId="78165A9E" w14:textId="77777777" w:rsidR="00836964" w:rsidRPr="005B0E5B" w:rsidRDefault="00836964" w:rsidP="0095003D">
      <w:pPr>
        <w:pStyle w:val="Paragraphedeliste"/>
        <w:numPr>
          <w:ilvl w:val="0"/>
          <w:numId w:val="166"/>
        </w:numPr>
        <w:spacing w:after="0" w:line="259" w:lineRule="auto"/>
      </w:pPr>
      <w:r w:rsidRPr="005B0E5B">
        <w:t>La réalisation de constats initiaux de l'état de surface des sites d'emprise provisoire (toutes catégories), précisant la nature et la qualité du couvert végétal et des sols, les sensibilités éventuelles, le modèle de constat et son contenu étant fixé par le Maître d'Œuvre. De même l’Entrepreneur effectue un constat final des sites, précisant notamment leur état par rapport à l'initial, ce en vue des réceptions de travaux,</w:t>
      </w:r>
    </w:p>
    <w:p w14:paraId="0C9F48E7" w14:textId="77777777" w:rsidR="00836964" w:rsidRPr="005B0E5B" w:rsidRDefault="00836964" w:rsidP="0095003D">
      <w:pPr>
        <w:pStyle w:val="Paragraphedeliste"/>
        <w:numPr>
          <w:ilvl w:val="0"/>
          <w:numId w:val="166"/>
        </w:numPr>
        <w:spacing w:after="0" w:line="259" w:lineRule="auto"/>
      </w:pPr>
      <w:r w:rsidRPr="005B0E5B">
        <w:t>Le nettoyage, la remise en état puis, le cas échéant, la réhabilitation ou le réaménagement approprié des sites de travaux (toutes catégories) libérés par L’Entrepreneur au fur et à mesure de l'avancement des travaux. Cette obligation, qui inclut le drainage éventuel des eaux stagnantes et la réalisation des plantations arborées compensatoires, conditionne les réceptions de travaux et la mise en règlement par le Maître d'Ouvrage des sommes dues à l’Entrepreneur,</w:t>
      </w:r>
    </w:p>
    <w:p w14:paraId="55BC6FCD" w14:textId="77777777" w:rsidR="00836964" w:rsidRPr="005B0E5B" w:rsidRDefault="00836964" w:rsidP="0095003D">
      <w:pPr>
        <w:pStyle w:val="Paragraphedeliste"/>
        <w:numPr>
          <w:ilvl w:val="0"/>
          <w:numId w:val="166"/>
        </w:numPr>
        <w:spacing w:after="0" w:line="259" w:lineRule="auto"/>
      </w:pPr>
      <w:r w:rsidRPr="005B0E5B">
        <w:t>Le contrôle des risques pour la santé propre aux travaux et au personnel de l’Entrepreneur, notamment l'adoption de règles d'hygiène minimale sur son installation et vis-à-vis des riverains, le contrôle par arrosage des envols de poussière en zones habitées et le contrôle des eaux stagnantes,</w:t>
      </w:r>
    </w:p>
    <w:p w14:paraId="3919F9EB" w14:textId="77777777" w:rsidR="00836964" w:rsidRPr="005B0E5B" w:rsidRDefault="00836964" w:rsidP="0095003D">
      <w:pPr>
        <w:pStyle w:val="Paragraphedeliste"/>
        <w:numPr>
          <w:ilvl w:val="0"/>
          <w:numId w:val="166"/>
        </w:numPr>
        <w:spacing w:after="0" w:line="259" w:lineRule="auto"/>
      </w:pPr>
      <w:r w:rsidRPr="005B0E5B">
        <w:t>La limitation des pollutions atmosphériques avec humidification des pistes en terre et des nuisances générées par les travaux à proximité des habitations,</w:t>
      </w:r>
    </w:p>
    <w:p w14:paraId="34957C2C" w14:textId="77777777" w:rsidR="00836964" w:rsidRPr="005B0E5B" w:rsidRDefault="00836964" w:rsidP="0095003D">
      <w:pPr>
        <w:pStyle w:val="Paragraphedeliste"/>
        <w:numPr>
          <w:ilvl w:val="0"/>
          <w:numId w:val="166"/>
        </w:numPr>
        <w:spacing w:after="0" w:line="259" w:lineRule="auto"/>
      </w:pPr>
      <w:r w:rsidRPr="005B0E5B">
        <w:t>L'interdiction stricte de recours au feu pour le débroussaillement, le nettoyage des sites, etc., sauf pour le traitement des déchets en incinérateur agréé,</w:t>
      </w:r>
    </w:p>
    <w:p w14:paraId="65C9689E" w14:textId="77777777" w:rsidR="00836964" w:rsidRPr="005B0E5B" w:rsidRDefault="00836964" w:rsidP="0095003D">
      <w:pPr>
        <w:pStyle w:val="Paragraphedeliste"/>
        <w:numPr>
          <w:ilvl w:val="0"/>
          <w:numId w:val="166"/>
        </w:numPr>
        <w:spacing w:after="0" w:line="259" w:lineRule="auto"/>
      </w:pPr>
      <w:r w:rsidRPr="005B0E5B">
        <w:t>L'interdiction pour l’Entrepreneur et son personnel d'exploitation et de vente de la flore (notamment la cueillette, le ramassage ou le prélèvement de tout ou parties d'espèces végétales en vue de leur consommation, utilisation à des fins médicinales, production de bois d'œuvre, de service ou de feu, production de charbon de bois) et de la faune (notamment la chasse, le braconnage, la pêche).</w:t>
      </w:r>
    </w:p>
    <w:p w14:paraId="7ABF5DEC" w14:textId="77777777" w:rsidR="00836964" w:rsidRPr="005B0E5B" w:rsidRDefault="00836964" w:rsidP="0095003D">
      <w:pPr>
        <w:pStyle w:val="Paragraphedeliste"/>
        <w:numPr>
          <w:ilvl w:val="0"/>
          <w:numId w:val="166"/>
        </w:numPr>
        <w:spacing w:after="0" w:line="259" w:lineRule="auto"/>
      </w:pPr>
      <w:r w:rsidRPr="005B0E5B">
        <w:t>L’exploitation de ressources en bois abattus par ses soins dans l'emprise légale de 50 m du nouveau site pour des besoins justifiés en bois de ses employés sous réserves du respect des dispositions légales. En dehors de cette situation, les bois abattus restent propriété du Maître d'Ouvrage, et devront être mis à la disposition des populations locales dans les conditions règlementaires en vigueur en matière d’exploitation forestière la préservation maximale des ressources naturelles, et l'économie des consommations d'espace, de sol et de végétation, notamment par la minimisation des surfaces débroussaillées et décapées, par le passage d'engin lame haute (5 cm au-dessus du terrain naturel) chaque fois qu'un simple débroussaillement ou un dépôt provisoire de matériau est requis, par le contrôle des abattages, dont les arbres d'alignement, par la gestion adaptée de la terre végétale, par la circulation et le travail des engins perpendiculairement à la pente, par le maintien sur les sites de bandes naturellement enherbées (formations savanicoles ou forestières), par le contrôle de l'érosion des sites,</w:t>
      </w:r>
    </w:p>
    <w:p w14:paraId="1A830F7D" w14:textId="77777777" w:rsidR="00836964" w:rsidRPr="005B0E5B" w:rsidRDefault="00836964" w:rsidP="0095003D">
      <w:pPr>
        <w:pStyle w:val="Paragraphedeliste"/>
        <w:numPr>
          <w:ilvl w:val="0"/>
          <w:numId w:val="166"/>
        </w:numPr>
        <w:spacing w:after="0" w:line="259" w:lineRule="auto"/>
      </w:pPr>
      <w:r w:rsidRPr="005B0E5B">
        <w:t>L'arrosage, l'entretien et le remplacement éventuel des plants mis en place dans le cadre des travaux, durant la période des travaux puis durant une période de garantie de deux ans après la réception définitive de l'ouvrage.</w:t>
      </w:r>
    </w:p>
    <w:p w14:paraId="30F5DF7D" w14:textId="77777777" w:rsidR="00836964" w:rsidRPr="005B0E5B" w:rsidRDefault="00836964" w:rsidP="0095003D">
      <w:pPr>
        <w:pStyle w:val="Paragraphedeliste"/>
        <w:numPr>
          <w:ilvl w:val="0"/>
          <w:numId w:val="166"/>
        </w:numPr>
        <w:spacing w:after="0" w:line="259" w:lineRule="auto"/>
      </w:pPr>
      <w:r w:rsidRPr="005B0E5B">
        <w:t>L’Entrepreneur tiendra demeure quoiqu'il en soit responsable durant la période contractuelle de garantie applicable de toutes conséquences éventuelles du non-respect d'une sensibilité environnementale.</w:t>
      </w:r>
    </w:p>
    <w:p w14:paraId="638B9746" w14:textId="77777777" w:rsidR="00836964" w:rsidRPr="005B0E5B" w:rsidRDefault="00836964" w:rsidP="0095003D">
      <w:pPr>
        <w:pStyle w:val="Paragraphedeliste"/>
        <w:numPr>
          <w:ilvl w:val="0"/>
          <w:numId w:val="166"/>
        </w:numPr>
        <w:spacing w:after="0" w:line="259" w:lineRule="auto"/>
      </w:pPr>
      <w:r w:rsidRPr="005B0E5B">
        <w:t>L’Entrepreneur tiendra dûment compte de tous les festivals, journées de repos et coutumes religieuses et autres coutumes reconnues.</w:t>
      </w:r>
    </w:p>
    <w:p w14:paraId="7D37429A" w14:textId="77777777" w:rsidR="00836964" w:rsidRPr="005B0E5B" w:rsidRDefault="00836964" w:rsidP="0095003D">
      <w:pPr>
        <w:pStyle w:val="Paragraphedeliste"/>
        <w:numPr>
          <w:ilvl w:val="0"/>
          <w:numId w:val="166"/>
        </w:numPr>
        <w:spacing w:after="0" w:line="259" w:lineRule="auto"/>
      </w:pPr>
      <w:r w:rsidRPr="005B0E5B">
        <w:t>Veillera également à ce que son personnel respecte les coutumes locales et ne les viole pas par leurs actions.</w:t>
      </w:r>
    </w:p>
    <w:p w14:paraId="4C02F68B" w14:textId="77777777" w:rsidR="00836964" w:rsidRPr="005B0E5B" w:rsidRDefault="00836964" w:rsidP="0095003D">
      <w:pPr>
        <w:pStyle w:val="Paragraphedeliste"/>
        <w:numPr>
          <w:ilvl w:val="0"/>
          <w:numId w:val="166"/>
        </w:numPr>
        <w:spacing w:after="0" w:line="259" w:lineRule="auto"/>
      </w:pPr>
      <w:r w:rsidRPr="005B0E5B">
        <w:t>L’Entrepreneur devra imposer à l'ensemble de ses chauffeurs et à ses éventuels sous-traitants une limitation de vitesse de 40 km/h pour la traversée des villages. A cet effet, l’Entrepreneur sera tenu de placer, dès le début des travaux, des panneaux indiquant clairement la proximité des villages, hameaux ou croisements de pistes de transhumance.</w:t>
      </w:r>
    </w:p>
    <w:p w14:paraId="28B92237" w14:textId="77777777" w:rsidR="00836964" w:rsidRPr="005B0E5B" w:rsidRDefault="00836964" w:rsidP="0095003D">
      <w:pPr>
        <w:pStyle w:val="Paragraphedeliste"/>
        <w:numPr>
          <w:ilvl w:val="0"/>
          <w:numId w:val="166"/>
        </w:numPr>
        <w:spacing w:after="0" w:line="259" w:lineRule="auto"/>
      </w:pPr>
      <w:r w:rsidRPr="005B0E5B">
        <w:t>L’Entrepreneur est responsable pour tout préjudice qu’il peut causer à toute terre, bien ou autre propriété situé au-delà des limites du chantier ou résultant de choix personnels de sites d’emprunts autres que ceux figurant dans le Dossier technique :</w:t>
      </w:r>
    </w:p>
    <w:p w14:paraId="17B58279" w14:textId="77777777" w:rsidR="00836964" w:rsidRPr="005B0E5B" w:rsidRDefault="00836964" w:rsidP="0095003D">
      <w:pPr>
        <w:pStyle w:val="Paragraphedeliste"/>
        <w:numPr>
          <w:ilvl w:val="0"/>
          <w:numId w:val="167"/>
        </w:numPr>
        <w:spacing w:after="0" w:line="259" w:lineRule="auto"/>
      </w:pPr>
      <w:r w:rsidRPr="005B0E5B">
        <w:t>Prise en compte du genre. Autant que faire se peut recruter des ouvriers non qualifiés parmi les femmes et les hommes dans les zones des travaux,</w:t>
      </w:r>
    </w:p>
    <w:p w14:paraId="295B247D" w14:textId="77777777" w:rsidR="00836964" w:rsidRPr="005B0E5B" w:rsidRDefault="00836964" w:rsidP="0095003D">
      <w:pPr>
        <w:pStyle w:val="Paragraphedeliste"/>
        <w:numPr>
          <w:ilvl w:val="0"/>
          <w:numId w:val="167"/>
        </w:numPr>
        <w:spacing w:after="0" w:line="259" w:lineRule="auto"/>
      </w:pPr>
      <w:r w:rsidRPr="005B0E5B">
        <w:t>Confier certaines tâches de collecte de matériaux aux femmes afin de leur permettre d’accroitre leurs revenus,</w:t>
      </w:r>
    </w:p>
    <w:p w14:paraId="2893A2A8" w14:textId="77777777" w:rsidR="00836964" w:rsidRPr="005B0E5B" w:rsidRDefault="00836964" w:rsidP="0095003D">
      <w:pPr>
        <w:pStyle w:val="Paragraphedeliste"/>
        <w:numPr>
          <w:ilvl w:val="0"/>
          <w:numId w:val="167"/>
        </w:numPr>
        <w:spacing w:after="0" w:line="259" w:lineRule="auto"/>
      </w:pPr>
      <w:r w:rsidRPr="005B0E5B">
        <w:t>Dans la mesure du possible, confiez des tâches d’entretien des locaux et de la restauration de la base vie aux organisations féminines locales,</w:t>
      </w:r>
    </w:p>
    <w:p w14:paraId="42D3D94D" w14:textId="77777777" w:rsidR="00836964" w:rsidRPr="005B0E5B" w:rsidRDefault="00836964" w:rsidP="0095003D">
      <w:pPr>
        <w:pStyle w:val="Paragraphedeliste"/>
        <w:numPr>
          <w:ilvl w:val="0"/>
          <w:numId w:val="167"/>
        </w:numPr>
        <w:spacing w:after="0" w:line="259" w:lineRule="auto"/>
      </w:pPr>
      <w:r w:rsidRPr="005B0E5B">
        <w:t>S’assurer à tout moment que des ouvriers venus d’ailleurs ne commettent pas des forfaits sur les femmes ou d’autres personnes vulnérables (filles mères abandonnées, enfants abandonnés, dettes non payées, femmes enlevées…).</w:t>
      </w:r>
    </w:p>
    <w:p w14:paraId="544449BF" w14:textId="77777777" w:rsidR="00836964" w:rsidRPr="005B0E5B" w:rsidRDefault="00836964" w:rsidP="00836964"/>
    <w:p w14:paraId="5ACDF801" w14:textId="77777777" w:rsidR="00836964" w:rsidRPr="005B0E5B" w:rsidRDefault="00836964" w:rsidP="00836964">
      <w:pPr>
        <w:rPr>
          <w:b/>
        </w:rPr>
      </w:pPr>
      <w:r w:rsidRPr="005B0E5B">
        <w:rPr>
          <w:b/>
        </w:rPr>
        <w:t>2. Sante, hygiène et sécurité</w:t>
      </w:r>
    </w:p>
    <w:p w14:paraId="2AB0337A" w14:textId="77777777" w:rsidR="00836964" w:rsidRPr="005B0E5B" w:rsidRDefault="00836964" w:rsidP="00836964">
      <w:r w:rsidRPr="005B0E5B">
        <w:t>L’entrepreneur doit veiller, dans la mesure du possible, à la santé, à la sécurité et au bien-être professionnel de son personnel, y compris ceux de ses sous-traitants et de toutes autres personnes sur le Site ou de passage sur le Site. L’aménagement des sites de construction et des espaces de travail, ainsi que l’approche de l’Entrepreneur concernant les aspects ci-dessous énumérés, doivent être intégrés dans un Plan intégré d’action environnemental, social, hygiène et Santé/sécurité (PAEHS) sur le site, que l’Entrepreneur doit élaborer et soumettre pour approbation.</w:t>
      </w:r>
    </w:p>
    <w:p w14:paraId="3AE081E7" w14:textId="77777777" w:rsidR="00836964" w:rsidRPr="005B0E5B" w:rsidRDefault="00836964" w:rsidP="00836964">
      <w:r w:rsidRPr="005B0E5B">
        <w:t>L’Entrepreneur doit construire, entretenir puis démanteler les clôtures temporaires adaptées et approuvées autour des lopins de terre (notamment ceux abritant les travaux de construction en cours près des bâtiments, les voies publiques ou les voies piétonnières et tout autre lieu où les opérations de l’Entrepreneur sont susceptibles de constituer une menace pour la vie ou les biens publics) occupés par l’Entrepreneur sur le site. Lorsqu’une clôture temporaire doit être construite le long d’une voie publique ou d’une voie piétonnière, elle doit être du type requis et construit selon les normes acceptables pour l’autorité compétente.</w:t>
      </w:r>
    </w:p>
    <w:p w14:paraId="41073777" w14:textId="77777777" w:rsidR="00836964" w:rsidRPr="005B0E5B" w:rsidRDefault="00836964" w:rsidP="00836964">
      <w:r w:rsidRPr="005B0E5B">
        <w:t>Tous les équipements mobiles utilisés pendant les opérations nocturnes doivent être équipés de lumières et de réflecteurs suffisants pour assurer des conditions de travail sûres. Ils seront par ailleurs munis d’alarme de recul.</w:t>
      </w:r>
    </w:p>
    <w:p w14:paraId="6F34DD8B" w14:textId="77777777" w:rsidR="00836964" w:rsidRPr="005B0E5B" w:rsidRDefault="00836964" w:rsidP="00836964">
      <w:pPr>
        <w:rPr>
          <w:b/>
        </w:rPr>
      </w:pPr>
      <w:r w:rsidRPr="005B0E5B">
        <w:rPr>
          <w:b/>
        </w:rPr>
        <w:t>3. Établissement de rapports sur les aspects environnementaux, sociaux, sanitaires, sécuritaires</w:t>
      </w:r>
    </w:p>
    <w:p w14:paraId="5A2415AE" w14:textId="77777777" w:rsidR="00836964" w:rsidRPr="005B0E5B" w:rsidRDefault="00836964" w:rsidP="00836964">
      <w:r w:rsidRPr="005B0E5B">
        <w:t>L’Entrepreneur doit élaborer et soumettre à l’Ingénieur, pour approbation, des rapports mensuels d’activité sur le respect des dispositions relatives à la mise en œuvre des activités d’atténuation des impacts. Ces rapports devraient contenir des informations sur les points ci-après :</w:t>
      </w:r>
    </w:p>
    <w:p w14:paraId="563BC31D" w14:textId="77777777" w:rsidR="00836964" w:rsidRPr="005B0E5B" w:rsidRDefault="00836964" w:rsidP="0095003D">
      <w:pPr>
        <w:pStyle w:val="Paragraphedeliste"/>
        <w:numPr>
          <w:ilvl w:val="0"/>
          <w:numId w:val="168"/>
        </w:numPr>
        <w:spacing w:after="0" w:line="259" w:lineRule="auto"/>
      </w:pPr>
      <w:r w:rsidRPr="005B0E5B">
        <w:t>Les mesures environnementales, sociales et sécuritaires, notamment les autorisations sollicitées auprès des autorités locales et nationales ;</w:t>
      </w:r>
    </w:p>
    <w:p w14:paraId="4DB92266" w14:textId="77777777" w:rsidR="00836964" w:rsidRPr="005B0E5B" w:rsidRDefault="00836964" w:rsidP="0095003D">
      <w:pPr>
        <w:pStyle w:val="Paragraphedeliste"/>
        <w:numPr>
          <w:ilvl w:val="0"/>
          <w:numId w:val="168"/>
        </w:numPr>
        <w:spacing w:after="0" w:line="259" w:lineRule="auto"/>
      </w:pPr>
      <w:r w:rsidRPr="005B0E5B">
        <w:t>Les problèmes liés aux aspects environnementaux, sociaux, sanitaires et sécuritaires (les incidents, notamment les retards, les conséquences en termes de coûts, etc. Qui en découlent) ;</w:t>
      </w:r>
    </w:p>
    <w:p w14:paraId="52698E5A" w14:textId="77777777" w:rsidR="00836964" w:rsidRPr="005B0E5B" w:rsidRDefault="00836964" w:rsidP="0095003D">
      <w:pPr>
        <w:pStyle w:val="Paragraphedeliste"/>
        <w:numPr>
          <w:ilvl w:val="0"/>
          <w:numId w:val="168"/>
        </w:numPr>
        <w:spacing w:after="0" w:line="259" w:lineRule="auto"/>
      </w:pPr>
      <w:r w:rsidRPr="005B0E5B">
        <w:t>Le non-respect des conditions contractuelles par l’entrepreneur ;</w:t>
      </w:r>
    </w:p>
    <w:p w14:paraId="3686F0BB" w14:textId="77777777" w:rsidR="00836964" w:rsidRPr="005B0E5B" w:rsidRDefault="00836964" w:rsidP="0095003D">
      <w:pPr>
        <w:pStyle w:val="Paragraphedeliste"/>
        <w:numPr>
          <w:ilvl w:val="0"/>
          <w:numId w:val="168"/>
        </w:numPr>
        <w:spacing w:after="0" w:line="259" w:lineRule="auto"/>
      </w:pPr>
      <w:r w:rsidRPr="005B0E5B">
        <w:t>Les changements liés aux hypothèses, conditions, mesures, plans et aux activités réelles au titre des aspects environnementaux, sanitaires et sécuritaires ;</w:t>
      </w:r>
    </w:p>
    <w:p w14:paraId="71CE0E32" w14:textId="77777777" w:rsidR="00836964" w:rsidRPr="005B0E5B" w:rsidRDefault="00836964" w:rsidP="0095003D">
      <w:pPr>
        <w:pStyle w:val="Paragraphedeliste"/>
        <w:numPr>
          <w:ilvl w:val="0"/>
          <w:numId w:val="168"/>
        </w:numPr>
        <w:spacing w:after="0" w:line="259" w:lineRule="auto"/>
      </w:pPr>
      <w:r w:rsidRPr="005B0E5B">
        <w:t>Les observations faites, les préoccupations exprimées et/ou les décisions prises concernant la gestion de l’environnement, de la santé et de la sécurité au cours des réunions sur le chantier ;</w:t>
      </w:r>
    </w:p>
    <w:p w14:paraId="09039352" w14:textId="77777777" w:rsidR="00836964" w:rsidRPr="005B0E5B" w:rsidRDefault="00836964" w:rsidP="0095003D">
      <w:pPr>
        <w:pStyle w:val="Paragraphedeliste"/>
        <w:numPr>
          <w:ilvl w:val="0"/>
          <w:numId w:val="168"/>
        </w:numPr>
        <w:spacing w:after="0" w:line="259" w:lineRule="auto"/>
      </w:pPr>
      <w:r w:rsidRPr="005B0E5B">
        <w:t>Les découvertes archéologiques éventuelles ;</w:t>
      </w:r>
    </w:p>
    <w:p w14:paraId="69376DB4" w14:textId="77777777" w:rsidR="00836964" w:rsidRPr="005B0E5B" w:rsidRDefault="00836964" w:rsidP="0095003D">
      <w:pPr>
        <w:pStyle w:val="Paragraphedeliste"/>
        <w:numPr>
          <w:ilvl w:val="0"/>
          <w:numId w:val="168"/>
        </w:numPr>
        <w:spacing w:after="0" w:line="259" w:lineRule="auto"/>
      </w:pPr>
      <w:r w:rsidRPr="005B0E5B">
        <w:t>Le suivi de l’état et de l’efficacité des mesures de protection et/ou des mesures correctives identifiées dans les formulaires de notification d’incident ou par tout autre moyen ;</w:t>
      </w:r>
    </w:p>
    <w:p w14:paraId="0E788615" w14:textId="77777777" w:rsidR="00836964" w:rsidRPr="005B0E5B" w:rsidRDefault="00836964" w:rsidP="0095003D">
      <w:pPr>
        <w:pStyle w:val="Paragraphedeliste"/>
        <w:numPr>
          <w:ilvl w:val="0"/>
          <w:numId w:val="168"/>
        </w:numPr>
        <w:spacing w:after="0" w:line="259" w:lineRule="auto"/>
      </w:pPr>
      <w:r w:rsidRPr="005B0E5B">
        <w:t>Le suivi, notamment les mesures de protection, l’état des mesures et leur efficacité, concernant le non-respect des conditions contractuelles ; et</w:t>
      </w:r>
    </w:p>
    <w:p w14:paraId="40BC987D" w14:textId="77777777" w:rsidR="00836964" w:rsidRPr="005B0E5B" w:rsidRDefault="00836964" w:rsidP="0095003D">
      <w:pPr>
        <w:pStyle w:val="Paragraphedeliste"/>
        <w:numPr>
          <w:ilvl w:val="0"/>
          <w:numId w:val="168"/>
        </w:numPr>
        <w:spacing w:after="0" w:line="259" w:lineRule="auto"/>
      </w:pPr>
      <w:r w:rsidRPr="005B0E5B">
        <w:t>L’état de mise en œuvre des mesures en rapport avec celles initialement prévues et présenter les nouvelles mesures prises en fonction des nécessités sur le terrain.</w:t>
      </w:r>
    </w:p>
    <w:p w14:paraId="1E32CA7B" w14:textId="77777777" w:rsidR="00836964" w:rsidRPr="005B0E5B" w:rsidRDefault="00836964" w:rsidP="00836964"/>
    <w:p w14:paraId="1D8E86B6" w14:textId="77777777" w:rsidR="00836964" w:rsidRPr="005B0E5B" w:rsidRDefault="00836964" w:rsidP="00836964">
      <w:pPr>
        <w:rPr>
          <w:b/>
        </w:rPr>
      </w:pPr>
      <w:r w:rsidRPr="005B0E5B">
        <w:rPr>
          <w:b/>
        </w:rPr>
        <w:t>4. Rapports sur les incidents</w:t>
      </w:r>
    </w:p>
    <w:p w14:paraId="7FD2A62A" w14:textId="77777777" w:rsidR="00836964" w:rsidRPr="005B0E5B" w:rsidRDefault="00836964" w:rsidP="00836964">
      <w:r w:rsidRPr="005B0E5B">
        <w:t>L’Entreprise doit rendre compte à l’Ingénieur, dans les meilleurs délais et selon le Formulaire de notification d’incident en Annexe 6 de tous accidents ou incidents entraînant la mort, de graves blessures causées à des membres du personnel ou aux autres travailleurs, des découvertes archéologiques fortuites, des dégâts aux biens publics ou privés, ou le déversement de matériaux ou liquides dangereux.</w:t>
      </w:r>
    </w:p>
    <w:p w14:paraId="4F3DA659" w14:textId="77777777" w:rsidR="00836964" w:rsidRPr="005B0E5B" w:rsidRDefault="00836964" w:rsidP="00836964">
      <w:pPr>
        <w:spacing w:after="160" w:line="259" w:lineRule="auto"/>
        <w:jc w:val="left"/>
        <w:rPr>
          <w:color w:val="000000" w:themeColor="text1"/>
        </w:rPr>
      </w:pPr>
    </w:p>
    <w:p w14:paraId="0B237F60" w14:textId="77777777" w:rsidR="00836964" w:rsidRPr="005B0E5B" w:rsidRDefault="00836964" w:rsidP="00836964">
      <w:pPr>
        <w:spacing w:after="160" w:line="259" w:lineRule="auto"/>
        <w:jc w:val="left"/>
        <w:rPr>
          <w:color w:val="000000" w:themeColor="text1"/>
        </w:rPr>
      </w:pPr>
    </w:p>
    <w:p w14:paraId="6BDA2D96" w14:textId="77777777" w:rsidR="00836964" w:rsidRPr="005B0E5B" w:rsidRDefault="00836964" w:rsidP="00836964">
      <w:pPr>
        <w:spacing w:after="160" w:line="259" w:lineRule="auto"/>
        <w:jc w:val="left"/>
        <w:rPr>
          <w:rFonts w:ascii="Calibri-Light" w:eastAsiaTheme="minorHAnsi" w:hAnsi="Calibri-Light" w:cs="Calibri-Light"/>
          <w:b/>
          <w:szCs w:val="22"/>
          <w:lang w:eastAsia="en-US"/>
        </w:rPr>
      </w:pPr>
      <w:r w:rsidRPr="005B0E5B">
        <w:rPr>
          <w:rFonts w:ascii="Calibri-Light" w:eastAsiaTheme="minorHAnsi" w:hAnsi="Calibri-Light" w:cs="Calibri-Light"/>
          <w:b/>
          <w:szCs w:val="22"/>
          <w:lang w:eastAsia="en-US"/>
        </w:rPr>
        <w:br w:type="page"/>
      </w:r>
    </w:p>
    <w:p w14:paraId="2C13B7AC" w14:textId="4C74D6EE" w:rsidR="00836964" w:rsidRPr="005B0E5B" w:rsidRDefault="00836964" w:rsidP="00836964">
      <w:pPr>
        <w:pStyle w:val="Titre2"/>
      </w:pPr>
      <w:bookmarkStart w:id="616" w:name="_Toc77182384"/>
      <w:r w:rsidRPr="00836964">
        <w:t>EXTRAITS DES DIRECTIVES ENVIRONNEMENT HYGIENE ET SECURITE GENERALE DU GROUPE DE LA BANQUE</w:t>
      </w:r>
      <w:r w:rsidRPr="005B0E5B">
        <w:t xml:space="preserve"> MONDIALE</w:t>
      </w:r>
      <w:bookmarkEnd w:id="616"/>
    </w:p>
    <w:p w14:paraId="0B7A15C8" w14:textId="77777777" w:rsidR="00836964" w:rsidRPr="005B0E5B" w:rsidRDefault="00836964" w:rsidP="00836964">
      <w:pPr>
        <w:spacing w:after="160" w:line="259" w:lineRule="auto"/>
        <w:jc w:val="left"/>
        <w:rPr>
          <w:rFonts w:eastAsiaTheme="majorEastAsia" w:cstheme="majorBidi"/>
          <w:b/>
          <w:bCs/>
          <w:color w:val="000000" w:themeColor="text1"/>
          <w:szCs w:val="26"/>
        </w:rPr>
      </w:pP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7"/>
        <w:gridCol w:w="5954"/>
        <w:gridCol w:w="1417"/>
      </w:tblGrid>
      <w:tr w:rsidR="00836964" w:rsidRPr="005B0E5B" w14:paraId="6152DDC4" w14:textId="77777777" w:rsidTr="00836964">
        <w:trPr>
          <w:trHeight w:val="1471"/>
        </w:trPr>
        <w:tc>
          <w:tcPr>
            <w:tcW w:w="1417" w:type="dxa"/>
            <w:vAlign w:val="center"/>
          </w:tcPr>
          <w:p w14:paraId="65A25A64" w14:textId="77777777" w:rsidR="00836964" w:rsidRPr="005B0E5B" w:rsidRDefault="00836964" w:rsidP="00836964">
            <w:pPr>
              <w:widowControl w:val="0"/>
              <w:autoSpaceDE w:val="0"/>
              <w:autoSpaceDN w:val="0"/>
              <w:adjustRightInd w:val="0"/>
              <w:rPr>
                <w:rFonts w:cs="Arial"/>
                <w:noProof/>
              </w:rPr>
            </w:pPr>
            <w:r w:rsidRPr="005B0E5B">
              <w:rPr>
                <w:rFonts w:cs="Arial"/>
                <w:noProof/>
              </w:rPr>
              <w:drawing>
                <wp:inline distT="0" distB="0" distL="0" distR="0" wp14:anchorId="5A6CB1ED" wp14:editId="16F2B3C8">
                  <wp:extent cx="838200" cy="792480"/>
                  <wp:effectExtent l="0" t="0" r="0" b="7620"/>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38200" cy="792480"/>
                          </a:xfrm>
                          <a:prstGeom prst="rect">
                            <a:avLst/>
                          </a:prstGeom>
                          <a:noFill/>
                          <a:ln>
                            <a:noFill/>
                          </a:ln>
                        </pic:spPr>
                      </pic:pic>
                    </a:graphicData>
                  </a:graphic>
                </wp:inline>
              </w:drawing>
            </w:r>
          </w:p>
        </w:tc>
        <w:tc>
          <w:tcPr>
            <w:tcW w:w="5954" w:type="dxa"/>
            <w:vAlign w:val="center"/>
          </w:tcPr>
          <w:p w14:paraId="2072AC23" w14:textId="77777777" w:rsidR="00836964" w:rsidRPr="005B0E5B" w:rsidRDefault="00836964" w:rsidP="00836964">
            <w:pPr>
              <w:widowControl w:val="0"/>
              <w:autoSpaceDE w:val="0"/>
              <w:autoSpaceDN w:val="0"/>
              <w:adjustRightInd w:val="0"/>
              <w:jc w:val="center"/>
              <w:rPr>
                <w:rFonts w:cs="Arial"/>
                <w:b/>
                <w:bCs/>
                <w:color w:val="000000"/>
                <w:sz w:val="32"/>
              </w:rPr>
            </w:pPr>
            <w:r w:rsidRPr="005B0E5B">
              <w:rPr>
                <w:rFonts w:cs="Arial"/>
                <w:b/>
                <w:bCs/>
                <w:color w:val="000000"/>
                <w:sz w:val="32"/>
              </w:rPr>
              <w:t>Directives environnementales,</w:t>
            </w:r>
          </w:p>
          <w:p w14:paraId="6A426D37" w14:textId="77777777" w:rsidR="00836964" w:rsidRPr="005B0E5B" w:rsidRDefault="00836964" w:rsidP="00836964">
            <w:pPr>
              <w:widowControl w:val="0"/>
              <w:autoSpaceDE w:val="0"/>
              <w:autoSpaceDN w:val="0"/>
              <w:adjustRightInd w:val="0"/>
              <w:jc w:val="center"/>
              <w:rPr>
                <w:rFonts w:cs="Arial"/>
                <w:b/>
                <w:bCs/>
                <w:color w:val="000000"/>
                <w:sz w:val="32"/>
              </w:rPr>
            </w:pPr>
            <w:r w:rsidRPr="005B0E5B">
              <w:rPr>
                <w:rFonts w:cs="Arial"/>
                <w:b/>
                <w:bCs/>
                <w:color w:val="000000"/>
                <w:sz w:val="32"/>
              </w:rPr>
              <w:t>sanitaires et sécuritaires (EHS)</w:t>
            </w:r>
          </w:p>
        </w:tc>
        <w:tc>
          <w:tcPr>
            <w:tcW w:w="1417" w:type="dxa"/>
            <w:vAlign w:val="center"/>
          </w:tcPr>
          <w:p w14:paraId="1164C128" w14:textId="77777777" w:rsidR="00836964" w:rsidRPr="005B0E5B" w:rsidRDefault="00836964" w:rsidP="00836964">
            <w:pPr>
              <w:widowControl w:val="0"/>
              <w:autoSpaceDE w:val="0"/>
              <w:autoSpaceDN w:val="0"/>
              <w:adjustRightInd w:val="0"/>
              <w:rPr>
                <w:rFonts w:cs="Arial"/>
                <w:b/>
                <w:color w:val="000000"/>
              </w:rPr>
            </w:pPr>
            <w:r w:rsidRPr="005B0E5B">
              <w:rPr>
                <w:rFonts w:cs="Arial"/>
                <w:b/>
                <w:color w:val="000000"/>
              </w:rPr>
              <w:t>WORLD BANK GROUP</w:t>
            </w:r>
            <w:r w:rsidRPr="005B0E5B">
              <w:rPr>
                <w:rFonts w:cs="Arial"/>
                <w:b/>
                <w:noProof/>
                <w:color w:val="000000"/>
              </w:rPr>
              <w:drawing>
                <wp:anchor distT="52578" distB="0" distL="628974" distR="152460" simplePos="0" relativeHeight="251659264" behindDoc="0" locked="0" layoutInCell="1" allowOverlap="1" wp14:anchorId="77E7BB99" wp14:editId="1014C26A">
                  <wp:simplePos x="0" y="0"/>
                  <wp:positionH relativeFrom="column">
                    <wp:posOffset>152400</wp:posOffset>
                  </wp:positionH>
                  <wp:positionV relativeFrom="paragraph">
                    <wp:posOffset>20955</wp:posOffset>
                  </wp:positionV>
                  <wp:extent cx="591185" cy="576580"/>
                  <wp:effectExtent l="0" t="0" r="0" b="0"/>
                  <wp:wrapSquare wrapText="bothSides"/>
                  <wp:docPr id="48"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91185" cy="576580"/>
                          </a:xfrm>
                          <a:prstGeom prst="rect">
                            <a:avLst/>
                          </a:prstGeom>
                          <a:noFill/>
                        </pic:spPr>
                      </pic:pic>
                    </a:graphicData>
                  </a:graphic>
                  <wp14:sizeRelH relativeFrom="page">
                    <wp14:pctWidth>0</wp14:pctWidth>
                  </wp14:sizeRelH>
                  <wp14:sizeRelV relativeFrom="page">
                    <wp14:pctHeight>0</wp14:pctHeight>
                  </wp14:sizeRelV>
                </wp:anchor>
              </w:drawing>
            </w:r>
          </w:p>
        </w:tc>
      </w:tr>
    </w:tbl>
    <w:p w14:paraId="431297EC" w14:textId="77777777" w:rsidR="00836964" w:rsidRPr="005B0E5B" w:rsidRDefault="00836964" w:rsidP="00836964">
      <w:pPr>
        <w:widowControl w:val="0"/>
        <w:autoSpaceDE w:val="0"/>
        <w:autoSpaceDN w:val="0"/>
        <w:adjustRightInd w:val="0"/>
        <w:rPr>
          <w:rFonts w:cs="Arial"/>
          <w:b/>
          <w:bCs/>
          <w:color w:val="323232"/>
        </w:rPr>
      </w:pPr>
    </w:p>
    <w:p w14:paraId="3B5B0BE8" w14:textId="77777777" w:rsidR="00836964" w:rsidRPr="005B0E5B" w:rsidRDefault="00836964" w:rsidP="00836964">
      <w:pPr>
        <w:widowControl w:val="0"/>
        <w:autoSpaceDE w:val="0"/>
        <w:autoSpaceDN w:val="0"/>
        <w:adjustRightInd w:val="0"/>
        <w:rPr>
          <w:rFonts w:cs="Arial"/>
        </w:rPr>
      </w:pPr>
      <w:r w:rsidRPr="005B0E5B">
        <w:rPr>
          <w:rFonts w:cs="Arial"/>
          <w:b/>
          <w:bCs/>
          <w:color w:val="323232"/>
        </w:rPr>
        <w:t>DIRECTIVES EHS GÉNÉRALES : INTRODUCTION</w:t>
      </w:r>
    </w:p>
    <w:p w14:paraId="113ED907" w14:textId="77777777" w:rsidR="00836964" w:rsidRPr="005B0E5B" w:rsidRDefault="00836964" w:rsidP="00836964">
      <w:pPr>
        <w:widowControl w:val="0"/>
        <w:autoSpaceDE w:val="0"/>
        <w:autoSpaceDN w:val="0"/>
        <w:adjustRightInd w:val="0"/>
        <w:rPr>
          <w:rFonts w:cs="Arial"/>
          <w:bCs/>
        </w:rPr>
      </w:pPr>
      <w:r w:rsidRPr="005B0E5B">
        <w:rPr>
          <w:rFonts w:cs="Arial"/>
          <w:bCs/>
        </w:rPr>
        <w:t xml:space="preserve">Les Directives EHS sont des normes de performance qui font partie intégrante des clauses environnementales et sociales édictées par le Groupe de la BM pour s’assurer de la bonne prise en compte des aspects environnementaux et sociaux des projets qu’il finance. Les Directives EHS générales sont complétées par des Directives EHS spécifiques qui touchent à différentes branches d’activités (culture annuelle, transformation, construction, pesticides etc.). Ainsi, dans le cadre du projet de l’aménagement du bas fond de </w:t>
      </w:r>
      <w:proofErr w:type="spellStart"/>
      <w:r w:rsidRPr="005B0E5B">
        <w:rPr>
          <w:rFonts w:cs="Arial"/>
          <w:bCs/>
        </w:rPr>
        <w:t>Kissakoro</w:t>
      </w:r>
      <w:proofErr w:type="spellEnd"/>
      <w:r w:rsidRPr="005B0E5B">
        <w:rPr>
          <w:rFonts w:cs="Arial"/>
          <w:bCs/>
        </w:rPr>
        <w:t xml:space="preserve"> sur une superficie de 212 ha dans la commune de </w:t>
      </w:r>
      <w:proofErr w:type="spellStart"/>
      <w:r w:rsidRPr="005B0E5B">
        <w:rPr>
          <w:rFonts w:cs="Arial"/>
          <w:bCs/>
        </w:rPr>
        <w:t>Benkadi</w:t>
      </w:r>
      <w:proofErr w:type="spellEnd"/>
      <w:r w:rsidRPr="005B0E5B">
        <w:rPr>
          <w:rFonts w:cs="Arial"/>
          <w:bCs/>
        </w:rPr>
        <w:t>, il s’agira de s’assurer en amont que les TDR et les études environnementales ont bien intégré la prise en en compte des Directives EHS et en aval, la mise en œuvre des PGES et des mesures environnementales respectent l’application rigoureuses des Directives générales et particulières des Directives EHS aussi bien au niveau des entreprises qu’au niveau des prestataires.</w:t>
      </w:r>
    </w:p>
    <w:p w14:paraId="501CBDDE" w14:textId="77777777" w:rsidR="00836964" w:rsidRPr="005B0E5B" w:rsidRDefault="00836964" w:rsidP="00836964">
      <w:pPr>
        <w:widowControl w:val="0"/>
        <w:autoSpaceDE w:val="0"/>
        <w:autoSpaceDN w:val="0"/>
        <w:adjustRightInd w:val="0"/>
        <w:rPr>
          <w:rFonts w:cs="Arial"/>
          <w:bCs/>
        </w:rPr>
      </w:pPr>
      <w:r w:rsidRPr="005B0E5B">
        <w:rPr>
          <w:rFonts w:cs="Arial"/>
          <w:bCs/>
        </w:rPr>
        <w:t>Cette tâche sera assurée par l’UGP du PARIIS, la DRACPN-Koulikoro et la MDC</w:t>
      </w:r>
    </w:p>
    <w:p w14:paraId="79ACD86B" w14:textId="77777777" w:rsidR="00836964" w:rsidRPr="005B0E5B" w:rsidRDefault="00836964" w:rsidP="00836964">
      <w:pPr>
        <w:widowControl w:val="0"/>
        <w:autoSpaceDE w:val="0"/>
        <w:autoSpaceDN w:val="0"/>
        <w:adjustRightInd w:val="0"/>
        <w:ind w:left="402"/>
        <w:rPr>
          <w:rFonts w:cs="Arial"/>
          <w:b/>
        </w:rPr>
      </w:pPr>
    </w:p>
    <w:p w14:paraId="76F77ADA" w14:textId="77777777" w:rsidR="00836964" w:rsidRPr="005B0E5B" w:rsidRDefault="00836964" w:rsidP="00836964">
      <w:pPr>
        <w:widowControl w:val="0"/>
        <w:autoSpaceDE w:val="0"/>
        <w:autoSpaceDN w:val="0"/>
        <w:adjustRightInd w:val="0"/>
        <w:rPr>
          <w:rFonts w:cs="Arial"/>
          <w:b/>
        </w:rPr>
      </w:pPr>
      <w:r w:rsidRPr="005B0E5B">
        <w:rPr>
          <w:rFonts w:cs="Arial"/>
          <w:b/>
        </w:rPr>
        <w:t xml:space="preserve">INTRODUCTION </w:t>
      </w:r>
    </w:p>
    <w:p w14:paraId="0F30F250" w14:textId="77777777" w:rsidR="00836964" w:rsidRPr="005B0E5B" w:rsidRDefault="00836964" w:rsidP="00836964">
      <w:pPr>
        <w:widowControl w:val="0"/>
        <w:autoSpaceDE w:val="0"/>
        <w:autoSpaceDN w:val="0"/>
        <w:adjustRightInd w:val="0"/>
        <w:rPr>
          <w:rFonts w:cs="Arial"/>
        </w:rPr>
      </w:pPr>
      <w:r w:rsidRPr="005B0E5B">
        <w:rPr>
          <w:rFonts w:cs="Arial"/>
        </w:rPr>
        <w:t>Les Directives environnementales, sanitaires et sécuritaires (Directives EHS) sont des documents de références techniques qui présentent des exemples de bonnes pratiques internationales</w:t>
      </w:r>
      <w:r w:rsidRPr="005B0E5B">
        <w:rPr>
          <w:rFonts w:cs="Arial"/>
          <w:vertAlign w:val="superscript"/>
        </w:rPr>
        <w:t>1</w:t>
      </w:r>
      <w:r w:rsidRPr="005B0E5B">
        <w:rPr>
          <w:rFonts w:cs="Arial"/>
        </w:rPr>
        <w:t xml:space="preserve">, de portée générale ou concernant une branche d’activité particulière. Lorsqu’un ou plusieurs États membres participent à un projet du Groupe de la Banque mondiale, les Directives EHS doivent être suivies conformément aux politiques et normes de ces pays. Ces Directives EHS générales sont à utiliser avec les Directives EHS pour les différentes branches d’activité qui présentent les questions d’ordre environnemental, sanitaire et sécuritaire propres au domaine considéré. </w:t>
      </w:r>
    </w:p>
    <w:p w14:paraId="3AC77803" w14:textId="77777777" w:rsidR="00836964" w:rsidRPr="005B0E5B" w:rsidRDefault="00836964" w:rsidP="00836964">
      <w:pPr>
        <w:widowControl w:val="0"/>
        <w:autoSpaceDE w:val="0"/>
        <w:autoSpaceDN w:val="0"/>
        <w:adjustRightInd w:val="0"/>
        <w:rPr>
          <w:rFonts w:cs="Arial"/>
        </w:rPr>
      </w:pPr>
      <w:r w:rsidRPr="005B0E5B">
        <w:rPr>
          <w:rFonts w:cs="Arial"/>
        </w:rPr>
        <w:t xml:space="preserve">Les projets complexes peuvent exiger l’application de plusieurs directives couvrant des branches d’activité différentes. La liste complète de ces directives figure à l'adresse : http://www.ifc.org/ifcext/sustainability.nsf/Content/EnvironmentalGuideli </w:t>
      </w:r>
      <w:proofErr w:type="spellStart"/>
      <w:r w:rsidRPr="005B0E5B">
        <w:rPr>
          <w:rFonts w:cs="Arial"/>
        </w:rPr>
        <w:t>nes</w:t>
      </w:r>
      <w:proofErr w:type="spellEnd"/>
      <w:r w:rsidRPr="005B0E5B">
        <w:rPr>
          <w:rFonts w:cs="Arial"/>
        </w:rPr>
        <w:t xml:space="preserve"> </w:t>
      </w:r>
    </w:p>
    <w:p w14:paraId="5B570690" w14:textId="77777777" w:rsidR="00836964" w:rsidRPr="005B0E5B" w:rsidRDefault="00836964" w:rsidP="00836964">
      <w:pPr>
        <w:widowControl w:val="0"/>
        <w:autoSpaceDE w:val="0"/>
        <w:autoSpaceDN w:val="0"/>
        <w:adjustRightInd w:val="0"/>
        <w:rPr>
          <w:rFonts w:cs="Arial"/>
        </w:rPr>
      </w:pPr>
      <w:r w:rsidRPr="005B0E5B">
        <w:rPr>
          <w:rFonts w:cs="Arial"/>
        </w:rPr>
        <w:t>Les Directives EHS indiquent les mesures et les niveaux de performances qui sont généralement considérés réalisables dans de nouvelles installations avec les technologies existantes à un coût raisonnable. L’application des Directives EHS dans des installations existantes peut nécessiter la définition d’objectifs spécifiques et l’établissement d'un calendrier adapté pour atteindre ces objectifs. Si les seuils et normes stipulés dans les réglementations du pays d’accueil diffèrent de ceux indiqués dans les Directives EHS, les plus rigoureuses seront retenues pour les projets menés dans ce pays. Si des niveaux moins contraignants que ceux des Directives EHS peuvent être retenus pour des raisons particulières dans le contexte du projet, une justification détaillée pour chacune de ces alternatives doit être présentée dans le cadre de l’évaluation environnementale</w:t>
      </w:r>
      <w:r w:rsidRPr="005B0E5B">
        <w:rPr>
          <w:rFonts w:cs="Arial"/>
          <w:vertAlign w:val="superscript"/>
        </w:rPr>
        <w:t>2</w:t>
      </w:r>
      <w:r w:rsidRPr="005B0E5B">
        <w:rPr>
          <w:rFonts w:cs="Arial"/>
        </w:rPr>
        <w:t xml:space="preserve"> du site considéré. Cette justification devra montrer que les niveaux de performance proposés permettent de protéger la santé de la population humaine et l'environnement. </w:t>
      </w:r>
    </w:p>
    <w:p w14:paraId="70FF6350" w14:textId="77777777" w:rsidR="00836964" w:rsidRPr="005B0E5B" w:rsidRDefault="00836964" w:rsidP="00836964">
      <w:pPr>
        <w:widowControl w:val="0"/>
        <w:autoSpaceDE w:val="0"/>
        <w:autoSpaceDN w:val="0"/>
        <w:adjustRightInd w:val="0"/>
        <w:ind w:left="402"/>
        <w:rPr>
          <w:rFonts w:cs="Arial"/>
        </w:rPr>
      </w:pPr>
      <w:r w:rsidRPr="005B0E5B">
        <w:rPr>
          <w:rFonts w:cs="Arial"/>
        </w:rPr>
        <w:t>Les Directives EHS générales se présentent comme suit :</w:t>
      </w:r>
    </w:p>
    <w:tbl>
      <w:tblPr>
        <w:tblW w:w="7938" w:type="dxa"/>
        <w:tblLook w:val="04A0" w:firstRow="1" w:lastRow="0" w:firstColumn="1" w:lastColumn="0" w:noHBand="0" w:noVBand="1"/>
      </w:tblPr>
      <w:tblGrid>
        <w:gridCol w:w="7230"/>
        <w:gridCol w:w="708"/>
      </w:tblGrid>
      <w:tr w:rsidR="00836964" w:rsidRPr="005B0E5B" w14:paraId="38FF6061" w14:textId="77777777" w:rsidTr="0095003D">
        <w:trPr>
          <w:trHeight w:val="20"/>
        </w:trPr>
        <w:tc>
          <w:tcPr>
            <w:tcW w:w="7230" w:type="dxa"/>
            <w:shd w:val="clear" w:color="auto" w:fill="002060"/>
          </w:tcPr>
          <w:p w14:paraId="468BF21C" w14:textId="77777777" w:rsidR="00836964" w:rsidRPr="005B0E5B" w:rsidRDefault="00836964" w:rsidP="005247BD">
            <w:pPr>
              <w:widowControl w:val="0"/>
              <w:spacing w:after="0"/>
              <w:ind w:hanging="578"/>
              <w:jc w:val="left"/>
              <w:rPr>
                <w:rFonts w:cs="Arial"/>
              </w:rPr>
            </w:pPr>
            <w:r w:rsidRPr="005B0E5B">
              <w:rPr>
                <w:rFonts w:cs="Arial"/>
              </w:rPr>
              <w:t>1. Environnement</w:t>
            </w:r>
          </w:p>
        </w:tc>
        <w:tc>
          <w:tcPr>
            <w:tcW w:w="708" w:type="dxa"/>
            <w:shd w:val="clear" w:color="auto" w:fill="002060"/>
          </w:tcPr>
          <w:p w14:paraId="01D3E4DB" w14:textId="77777777" w:rsidR="00836964" w:rsidRPr="005B0E5B" w:rsidRDefault="00836964" w:rsidP="005247BD">
            <w:pPr>
              <w:widowControl w:val="0"/>
              <w:spacing w:after="0"/>
              <w:ind w:left="402" w:hanging="578"/>
              <w:rPr>
                <w:rFonts w:cs="Arial"/>
              </w:rPr>
            </w:pPr>
            <w:r w:rsidRPr="005B0E5B">
              <w:rPr>
                <w:rFonts w:cs="Arial"/>
              </w:rPr>
              <w:t>3</w:t>
            </w:r>
          </w:p>
        </w:tc>
      </w:tr>
      <w:tr w:rsidR="00836964" w:rsidRPr="005B0E5B" w14:paraId="5BC409CC" w14:textId="77777777" w:rsidTr="0095003D">
        <w:trPr>
          <w:trHeight w:val="20"/>
        </w:trPr>
        <w:tc>
          <w:tcPr>
            <w:tcW w:w="7230" w:type="dxa"/>
          </w:tcPr>
          <w:p w14:paraId="38213345" w14:textId="77777777" w:rsidR="00836964" w:rsidRPr="005B0E5B" w:rsidRDefault="00836964" w:rsidP="005247BD">
            <w:pPr>
              <w:widowControl w:val="0"/>
              <w:spacing w:after="0"/>
              <w:ind w:left="720" w:hanging="578"/>
              <w:jc w:val="left"/>
              <w:rPr>
                <w:rFonts w:cs="Arial"/>
              </w:rPr>
            </w:pPr>
            <w:r w:rsidRPr="005B0E5B">
              <w:rPr>
                <w:rFonts w:cs="Arial"/>
              </w:rPr>
              <w:t>1.1 Émissions atmosphériques et qualité de l’air ambiant</w:t>
            </w:r>
          </w:p>
          <w:p w14:paraId="6CB8BA3A" w14:textId="77777777" w:rsidR="00836964" w:rsidRPr="005B0E5B" w:rsidRDefault="00836964" w:rsidP="005247BD">
            <w:pPr>
              <w:widowControl w:val="0"/>
              <w:spacing w:after="0"/>
              <w:ind w:left="720" w:hanging="578"/>
              <w:jc w:val="left"/>
              <w:rPr>
                <w:rFonts w:cs="Arial"/>
              </w:rPr>
            </w:pPr>
            <w:r w:rsidRPr="005B0E5B">
              <w:rPr>
                <w:rFonts w:cs="Arial"/>
              </w:rPr>
              <w:t xml:space="preserve">1.2 Économies d’énergie </w:t>
            </w:r>
          </w:p>
          <w:p w14:paraId="05CD2CF3" w14:textId="77777777" w:rsidR="00836964" w:rsidRPr="005B0E5B" w:rsidRDefault="00836964" w:rsidP="005247BD">
            <w:pPr>
              <w:widowControl w:val="0"/>
              <w:spacing w:after="0"/>
              <w:ind w:left="720" w:hanging="578"/>
              <w:jc w:val="left"/>
              <w:rPr>
                <w:rFonts w:cs="Arial"/>
              </w:rPr>
            </w:pPr>
            <w:r w:rsidRPr="005B0E5B">
              <w:rPr>
                <w:rFonts w:cs="Arial"/>
              </w:rPr>
              <w:t xml:space="preserve">1.3 Eaux usées et qualité de l’eau </w:t>
            </w:r>
          </w:p>
          <w:p w14:paraId="2B420CB8" w14:textId="77777777" w:rsidR="00836964" w:rsidRPr="005B0E5B" w:rsidRDefault="00836964" w:rsidP="005247BD">
            <w:pPr>
              <w:widowControl w:val="0"/>
              <w:spacing w:after="0"/>
              <w:ind w:left="720" w:hanging="578"/>
              <w:jc w:val="left"/>
              <w:rPr>
                <w:rFonts w:cs="Arial"/>
              </w:rPr>
            </w:pPr>
            <w:r w:rsidRPr="005B0E5B">
              <w:rPr>
                <w:rFonts w:cs="Arial"/>
              </w:rPr>
              <w:t xml:space="preserve">1.4 Économies d’eau </w:t>
            </w:r>
          </w:p>
          <w:p w14:paraId="1FEEA94A" w14:textId="77777777" w:rsidR="00836964" w:rsidRPr="005B0E5B" w:rsidRDefault="00836964" w:rsidP="005247BD">
            <w:pPr>
              <w:widowControl w:val="0"/>
              <w:spacing w:after="0"/>
              <w:ind w:left="720" w:hanging="578"/>
              <w:jc w:val="left"/>
              <w:rPr>
                <w:rFonts w:cs="Arial"/>
              </w:rPr>
            </w:pPr>
            <w:r w:rsidRPr="005B0E5B">
              <w:rPr>
                <w:rFonts w:cs="Arial"/>
              </w:rPr>
              <w:t xml:space="preserve">1.5 Gestion des matières dangereuses </w:t>
            </w:r>
          </w:p>
          <w:p w14:paraId="21E14970" w14:textId="77777777" w:rsidR="00836964" w:rsidRPr="005B0E5B" w:rsidRDefault="00836964" w:rsidP="005247BD">
            <w:pPr>
              <w:widowControl w:val="0"/>
              <w:spacing w:after="0"/>
              <w:ind w:left="720" w:hanging="578"/>
              <w:jc w:val="left"/>
              <w:rPr>
                <w:rFonts w:cs="Arial"/>
              </w:rPr>
            </w:pPr>
            <w:r w:rsidRPr="005B0E5B">
              <w:rPr>
                <w:rFonts w:cs="Arial"/>
              </w:rPr>
              <w:t xml:space="preserve">1.6 Gestion des déchets </w:t>
            </w:r>
          </w:p>
          <w:p w14:paraId="5ACB0116" w14:textId="77777777" w:rsidR="00836964" w:rsidRPr="005B0E5B" w:rsidRDefault="00836964" w:rsidP="005247BD">
            <w:pPr>
              <w:widowControl w:val="0"/>
              <w:spacing w:after="0"/>
              <w:ind w:left="720" w:hanging="578"/>
              <w:jc w:val="left"/>
              <w:rPr>
                <w:rFonts w:cs="Arial"/>
              </w:rPr>
            </w:pPr>
            <w:r w:rsidRPr="005B0E5B">
              <w:rPr>
                <w:rFonts w:cs="Arial"/>
              </w:rPr>
              <w:t xml:space="preserve">1.7 Bruit </w:t>
            </w:r>
          </w:p>
          <w:p w14:paraId="38F59A0F" w14:textId="77777777" w:rsidR="00836964" w:rsidRPr="005B0E5B" w:rsidRDefault="00836964" w:rsidP="005247BD">
            <w:pPr>
              <w:widowControl w:val="0"/>
              <w:spacing w:after="0"/>
              <w:ind w:left="720" w:hanging="578"/>
              <w:jc w:val="left"/>
              <w:rPr>
                <w:rFonts w:cs="Arial"/>
              </w:rPr>
            </w:pPr>
            <w:r w:rsidRPr="005B0E5B">
              <w:rPr>
                <w:rFonts w:cs="Arial"/>
              </w:rPr>
              <w:t xml:space="preserve">1.8 Terrains contaminés </w:t>
            </w:r>
          </w:p>
        </w:tc>
        <w:tc>
          <w:tcPr>
            <w:tcW w:w="708" w:type="dxa"/>
          </w:tcPr>
          <w:p w14:paraId="41240EF6" w14:textId="77777777" w:rsidR="00836964" w:rsidRPr="005B0E5B" w:rsidRDefault="00836964" w:rsidP="005247BD">
            <w:pPr>
              <w:widowControl w:val="0"/>
              <w:spacing w:after="0"/>
              <w:ind w:left="402" w:hanging="578"/>
              <w:rPr>
                <w:rFonts w:cs="Arial"/>
              </w:rPr>
            </w:pPr>
            <w:r w:rsidRPr="005B0E5B">
              <w:rPr>
                <w:rFonts w:cs="Arial"/>
              </w:rPr>
              <w:t>3</w:t>
            </w:r>
          </w:p>
          <w:p w14:paraId="1F5EC138" w14:textId="77777777" w:rsidR="00836964" w:rsidRPr="005B0E5B" w:rsidRDefault="00836964" w:rsidP="005247BD">
            <w:pPr>
              <w:widowControl w:val="0"/>
              <w:spacing w:after="0"/>
              <w:ind w:left="402" w:hanging="578"/>
              <w:rPr>
                <w:rFonts w:cs="Arial"/>
              </w:rPr>
            </w:pPr>
            <w:r w:rsidRPr="005B0E5B">
              <w:rPr>
                <w:rFonts w:cs="Arial"/>
              </w:rPr>
              <w:t>17</w:t>
            </w:r>
          </w:p>
          <w:p w14:paraId="1127509F" w14:textId="77777777" w:rsidR="00836964" w:rsidRPr="005B0E5B" w:rsidRDefault="00836964" w:rsidP="005247BD">
            <w:pPr>
              <w:widowControl w:val="0"/>
              <w:spacing w:after="0"/>
              <w:ind w:left="402" w:hanging="578"/>
              <w:rPr>
                <w:rFonts w:cs="Arial"/>
              </w:rPr>
            </w:pPr>
            <w:r w:rsidRPr="005B0E5B">
              <w:rPr>
                <w:rFonts w:cs="Arial"/>
              </w:rPr>
              <w:t>24</w:t>
            </w:r>
          </w:p>
          <w:p w14:paraId="2C4C9DFC" w14:textId="77777777" w:rsidR="00836964" w:rsidRPr="005B0E5B" w:rsidRDefault="00836964" w:rsidP="005247BD">
            <w:pPr>
              <w:widowControl w:val="0"/>
              <w:spacing w:after="0"/>
              <w:ind w:left="402" w:hanging="578"/>
              <w:rPr>
                <w:rFonts w:cs="Arial"/>
              </w:rPr>
            </w:pPr>
            <w:r w:rsidRPr="005B0E5B">
              <w:rPr>
                <w:rFonts w:cs="Arial"/>
              </w:rPr>
              <w:t>32</w:t>
            </w:r>
          </w:p>
          <w:p w14:paraId="12558532" w14:textId="77777777" w:rsidR="00836964" w:rsidRPr="005B0E5B" w:rsidRDefault="00836964" w:rsidP="005247BD">
            <w:pPr>
              <w:widowControl w:val="0"/>
              <w:spacing w:after="0"/>
              <w:ind w:left="402" w:hanging="578"/>
              <w:rPr>
                <w:rFonts w:cs="Arial"/>
              </w:rPr>
            </w:pPr>
            <w:r w:rsidRPr="005B0E5B">
              <w:rPr>
                <w:rFonts w:cs="Arial"/>
              </w:rPr>
              <w:t>35</w:t>
            </w:r>
          </w:p>
          <w:p w14:paraId="75E38EED" w14:textId="77777777" w:rsidR="00836964" w:rsidRPr="005B0E5B" w:rsidRDefault="00836964" w:rsidP="005247BD">
            <w:pPr>
              <w:widowControl w:val="0"/>
              <w:spacing w:after="0"/>
              <w:ind w:left="402" w:hanging="578"/>
              <w:rPr>
                <w:rFonts w:cs="Arial"/>
              </w:rPr>
            </w:pPr>
            <w:r w:rsidRPr="005B0E5B">
              <w:rPr>
                <w:rFonts w:cs="Arial"/>
              </w:rPr>
              <w:t>45</w:t>
            </w:r>
          </w:p>
          <w:p w14:paraId="35EF0A0B" w14:textId="77777777" w:rsidR="00836964" w:rsidRPr="005B0E5B" w:rsidRDefault="00836964" w:rsidP="005247BD">
            <w:pPr>
              <w:widowControl w:val="0"/>
              <w:spacing w:after="0"/>
              <w:ind w:left="402" w:hanging="578"/>
              <w:rPr>
                <w:rFonts w:cs="Arial"/>
              </w:rPr>
            </w:pPr>
            <w:r w:rsidRPr="005B0E5B">
              <w:rPr>
                <w:rFonts w:cs="Arial"/>
              </w:rPr>
              <w:t>51</w:t>
            </w:r>
          </w:p>
          <w:p w14:paraId="2E6109DC" w14:textId="77777777" w:rsidR="00836964" w:rsidRPr="005B0E5B" w:rsidRDefault="00836964" w:rsidP="005247BD">
            <w:pPr>
              <w:widowControl w:val="0"/>
              <w:spacing w:after="0"/>
              <w:ind w:left="402" w:hanging="578"/>
              <w:rPr>
                <w:rFonts w:cs="Arial"/>
              </w:rPr>
            </w:pPr>
            <w:r w:rsidRPr="005B0E5B">
              <w:rPr>
                <w:rFonts w:cs="Arial"/>
              </w:rPr>
              <w:t>53</w:t>
            </w:r>
          </w:p>
        </w:tc>
      </w:tr>
      <w:tr w:rsidR="00836964" w:rsidRPr="005B0E5B" w14:paraId="7EF0D254" w14:textId="77777777" w:rsidTr="0095003D">
        <w:trPr>
          <w:trHeight w:val="20"/>
        </w:trPr>
        <w:tc>
          <w:tcPr>
            <w:tcW w:w="7230" w:type="dxa"/>
            <w:shd w:val="clear" w:color="auto" w:fill="002060"/>
          </w:tcPr>
          <w:p w14:paraId="0AB8BEE3" w14:textId="77777777" w:rsidR="00836964" w:rsidRPr="005B0E5B" w:rsidRDefault="00836964" w:rsidP="005247BD">
            <w:pPr>
              <w:widowControl w:val="0"/>
              <w:spacing w:after="0"/>
              <w:ind w:hanging="578"/>
              <w:jc w:val="left"/>
              <w:rPr>
                <w:rFonts w:cs="Arial"/>
              </w:rPr>
            </w:pPr>
            <w:r w:rsidRPr="005B0E5B">
              <w:rPr>
                <w:rFonts w:cs="Arial"/>
              </w:rPr>
              <w:t>2 Hygiène et sécurité au travail</w:t>
            </w:r>
          </w:p>
        </w:tc>
        <w:tc>
          <w:tcPr>
            <w:tcW w:w="708" w:type="dxa"/>
            <w:shd w:val="clear" w:color="auto" w:fill="002060"/>
          </w:tcPr>
          <w:p w14:paraId="6C7FD3E4" w14:textId="77777777" w:rsidR="00836964" w:rsidRPr="005B0E5B" w:rsidRDefault="00836964" w:rsidP="005247BD">
            <w:pPr>
              <w:widowControl w:val="0"/>
              <w:spacing w:after="0"/>
              <w:ind w:left="402" w:hanging="578"/>
              <w:rPr>
                <w:rFonts w:cs="Arial"/>
              </w:rPr>
            </w:pPr>
            <w:r w:rsidRPr="005B0E5B">
              <w:rPr>
                <w:rFonts w:cs="Arial"/>
              </w:rPr>
              <w:t>59</w:t>
            </w:r>
          </w:p>
        </w:tc>
      </w:tr>
      <w:tr w:rsidR="00836964" w:rsidRPr="005B0E5B" w14:paraId="206BDC6C" w14:textId="77777777" w:rsidTr="0095003D">
        <w:trPr>
          <w:trHeight w:val="20"/>
        </w:trPr>
        <w:tc>
          <w:tcPr>
            <w:tcW w:w="7230" w:type="dxa"/>
          </w:tcPr>
          <w:p w14:paraId="77C1CE22" w14:textId="77777777" w:rsidR="00836964" w:rsidRPr="005B0E5B" w:rsidRDefault="00836964" w:rsidP="005247BD">
            <w:pPr>
              <w:widowControl w:val="0"/>
              <w:spacing w:after="0"/>
              <w:ind w:left="402" w:hanging="578"/>
              <w:jc w:val="left"/>
              <w:rPr>
                <w:rFonts w:cs="Arial"/>
              </w:rPr>
            </w:pPr>
            <w:r w:rsidRPr="005B0E5B">
              <w:rPr>
                <w:rFonts w:cs="Arial"/>
              </w:rPr>
              <w:t xml:space="preserve">2.1 Conception et fonctionnement des installations </w:t>
            </w:r>
          </w:p>
          <w:p w14:paraId="610DE4A9" w14:textId="77777777" w:rsidR="00836964" w:rsidRPr="005B0E5B" w:rsidRDefault="00836964" w:rsidP="005247BD">
            <w:pPr>
              <w:widowControl w:val="0"/>
              <w:spacing w:after="0"/>
              <w:ind w:left="402" w:hanging="578"/>
              <w:jc w:val="left"/>
              <w:rPr>
                <w:rFonts w:cs="Arial"/>
              </w:rPr>
            </w:pPr>
            <w:r w:rsidRPr="005B0E5B">
              <w:rPr>
                <w:rFonts w:cs="Arial"/>
              </w:rPr>
              <w:t xml:space="preserve">2.2 Communication et formation </w:t>
            </w:r>
          </w:p>
          <w:p w14:paraId="6D0A2067" w14:textId="77777777" w:rsidR="00836964" w:rsidRPr="005B0E5B" w:rsidRDefault="00836964" w:rsidP="005247BD">
            <w:pPr>
              <w:widowControl w:val="0"/>
              <w:spacing w:after="0"/>
              <w:ind w:left="402" w:hanging="578"/>
              <w:jc w:val="left"/>
              <w:rPr>
                <w:rFonts w:cs="Arial"/>
              </w:rPr>
            </w:pPr>
            <w:r w:rsidRPr="005B0E5B">
              <w:rPr>
                <w:rFonts w:cs="Arial"/>
              </w:rPr>
              <w:t xml:space="preserve">2.3 Risques physiques </w:t>
            </w:r>
          </w:p>
          <w:p w14:paraId="3889F6AC" w14:textId="77777777" w:rsidR="00836964" w:rsidRPr="005B0E5B" w:rsidRDefault="00836964" w:rsidP="005247BD">
            <w:pPr>
              <w:widowControl w:val="0"/>
              <w:spacing w:after="0"/>
              <w:ind w:left="402" w:hanging="578"/>
              <w:jc w:val="left"/>
              <w:rPr>
                <w:rFonts w:cs="Arial"/>
              </w:rPr>
            </w:pPr>
            <w:r w:rsidRPr="005B0E5B">
              <w:rPr>
                <w:rFonts w:cs="Arial"/>
              </w:rPr>
              <w:t xml:space="preserve">2.4 Risques chimiques </w:t>
            </w:r>
          </w:p>
          <w:p w14:paraId="1FC8E3A7" w14:textId="77777777" w:rsidR="00836964" w:rsidRPr="005B0E5B" w:rsidRDefault="00836964" w:rsidP="005247BD">
            <w:pPr>
              <w:widowControl w:val="0"/>
              <w:spacing w:after="0"/>
              <w:ind w:left="402" w:hanging="578"/>
              <w:jc w:val="left"/>
              <w:rPr>
                <w:rFonts w:cs="Arial"/>
              </w:rPr>
            </w:pPr>
            <w:r w:rsidRPr="005B0E5B">
              <w:rPr>
                <w:rFonts w:cs="Arial"/>
              </w:rPr>
              <w:t xml:space="preserve">2.5 Risques biologiques </w:t>
            </w:r>
          </w:p>
          <w:p w14:paraId="78D235DC" w14:textId="77777777" w:rsidR="00836964" w:rsidRPr="005B0E5B" w:rsidRDefault="00836964" w:rsidP="005247BD">
            <w:pPr>
              <w:widowControl w:val="0"/>
              <w:spacing w:after="0"/>
              <w:ind w:left="402" w:hanging="578"/>
              <w:jc w:val="left"/>
              <w:rPr>
                <w:rFonts w:cs="Arial"/>
              </w:rPr>
            </w:pPr>
            <w:r w:rsidRPr="005B0E5B">
              <w:rPr>
                <w:rFonts w:cs="Arial"/>
              </w:rPr>
              <w:t xml:space="preserve">2.6 Risques radiologiques </w:t>
            </w:r>
          </w:p>
          <w:p w14:paraId="336941F8" w14:textId="77777777" w:rsidR="00836964" w:rsidRPr="005B0E5B" w:rsidRDefault="00836964" w:rsidP="005247BD">
            <w:pPr>
              <w:widowControl w:val="0"/>
              <w:spacing w:after="0"/>
              <w:ind w:left="402" w:hanging="578"/>
              <w:jc w:val="left"/>
              <w:rPr>
                <w:rFonts w:cs="Arial"/>
              </w:rPr>
            </w:pPr>
            <w:r w:rsidRPr="005B0E5B">
              <w:rPr>
                <w:rFonts w:cs="Arial"/>
              </w:rPr>
              <w:t xml:space="preserve">2.7 Équipements de protection individuelle </w:t>
            </w:r>
          </w:p>
          <w:p w14:paraId="6814831C" w14:textId="77777777" w:rsidR="00836964" w:rsidRPr="005B0E5B" w:rsidRDefault="00836964" w:rsidP="005247BD">
            <w:pPr>
              <w:widowControl w:val="0"/>
              <w:spacing w:after="0"/>
              <w:ind w:left="402" w:hanging="578"/>
              <w:jc w:val="left"/>
              <w:rPr>
                <w:rFonts w:cs="Arial"/>
              </w:rPr>
            </w:pPr>
            <w:r w:rsidRPr="005B0E5B">
              <w:rPr>
                <w:rFonts w:cs="Arial"/>
              </w:rPr>
              <w:t xml:space="preserve">2.8 Environnements dangereux </w:t>
            </w:r>
          </w:p>
          <w:p w14:paraId="75F6B5F7" w14:textId="77777777" w:rsidR="00836964" w:rsidRPr="005B0E5B" w:rsidRDefault="00836964" w:rsidP="005247BD">
            <w:pPr>
              <w:widowControl w:val="0"/>
              <w:spacing w:after="0"/>
              <w:ind w:left="402" w:hanging="578"/>
              <w:jc w:val="left"/>
              <w:rPr>
                <w:rFonts w:cs="Arial"/>
              </w:rPr>
            </w:pPr>
            <w:r w:rsidRPr="005B0E5B">
              <w:rPr>
                <w:rFonts w:cs="Arial"/>
              </w:rPr>
              <w:t xml:space="preserve">2.9 Suivi </w:t>
            </w:r>
          </w:p>
        </w:tc>
        <w:tc>
          <w:tcPr>
            <w:tcW w:w="708" w:type="dxa"/>
          </w:tcPr>
          <w:p w14:paraId="14AFBB0C" w14:textId="77777777" w:rsidR="00836964" w:rsidRPr="005B0E5B" w:rsidRDefault="00836964" w:rsidP="005247BD">
            <w:pPr>
              <w:widowControl w:val="0"/>
              <w:spacing w:after="0"/>
              <w:ind w:left="402" w:hanging="578"/>
              <w:rPr>
                <w:rFonts w:cs="Arial"/>
              </w:rPr>
            </w:pPr>
            <w:r w:rsidRPr="005B0E5B">
              <w:rPr>
                <w:rFonts w:cs="Arial"/>
              </w:rPr>
              <w:t>60</w:t>
            </w:r>
          </w:p>
          <w:p w14:paraId="34A767A5" w14:textId="77777777" w:rsidR="00836964" w:rsidRPr="005B0E5B" w:rsidRDefault="00836964" w:rsidP="005247BD">
            <w:pPr>
              <w:widowControl w:val="0"/>
              <w:spacing w:after="0"/>
              <w:ind w:left="402" w:hanging="578"/>
              <w:rPr>
                <w:rFonts w:cs="Arial"/>
              </w:rPr>
            </w:pPr>
            <w:r w:rsidRPr="005B0E5B">
              <w:rPr>
                <w:rFonts w:cs="Arial"/>
              </w:rPr>
              <w:t>62</w:t>
            </w:r>
          </w:p>
          <w:p w14:paraId="153FE5D5" w14:textId="77777777" w:rsidR="00836964" w:rsidRPr="005B0E5B" w:rsidRDefault="00836964" w:rsidP="005247BD">
            <w:pPr>
              <w:widowControl w:val="0"/>
              <w:spacing w:after="0"/>
              <w:ind w:left="402" w:hanging="578"/>
              <w:rPr>
                <w:rFonts w:cs="Arial"/>
              </w:rPr>
            </w:pPr>
            <w:r w:rsidRPr="005B0E5B">
              <w:rPr>
                <w:rFonts w:cs="Arial"/>
              </w:rPr>
              <w:t>64</w:t>
            </w:r>
          </w:p>
          <w:p w14:paraId="4F60DB65" w14:textId="77777777" w:rsidR="00836964" w:rsidRPr="005B0E5B" w:rsidRDefault="00836964" w:rsidP="005247BD">
            <w:pPr>
              <w:widowControl w:val="0"/>
              <w:spacing w:after="0"/>
              <w:ind w:left="402" w:hanging="578"/>
              <w:rPr>
                <w:rFonts w:cs="Arial"/>
              </w:rPr>
            </w:pPr>
            <w:r w:rsidRPr="005B0E5B">
              <w:rPr>
                <w:rFonts w:cs="Arial"/>
              </w:rPr>
              <w:t>68</w:t>
            </w:r>
          </w:p>
          <w:p w14:paraId="51CD8250" w14:textId="77777777" w:rsidR="00836964" w:rsidRPr="005B0E5B" w:rsidRDefault="00836964" w:rsidP="005247BD">
            <w:pPr>
              <w:widowControl w:val="0"/>
              <w:spacing w:after="0"/>
              <w:ind w:left="402" w:hanging="578"/>
              <w:rPr>
                <w:rFonts w:cs="Arial"/>
              </w:rPr>
            </w:pPr>
            <w:r w:rsidRPr="005B0E5B">
              <w:rPr>
                <w:rFonts w:cs="Arial"/>
              </w:rPr>
              <w:t>70</w:t>
            </w:r>
          </w:p>
          <w:p w14:paraId="540D21FC" w14:textId="77777777" w:rsidR="00836964" w:rsidRPr="005B0E5B" w:rsidRDefault="00836964" w:rsidP="005247BD">
            <w:pPr>
              <w:widowControl w:val="0"/>
              <w:spacing w:after="0"/>
              <w:ind w:left="402" w:hanging="578"/>
              <w:rPr>
                <w:rFonts w:cs="Arial"/>
              </w:rPr>
            </w:pPr>
            <w:r w:rsidRPr="005B0E5B">
              <w:rPr>
                <w:rFonts w:cs="Arial"/>
              </w:rPr>
              <w:t>72</w:t>
            </w:r>
          </w:p>
          <w:p w14:paraId="16DDA21B" w14:textId="77777777" w:rsidR="00836964" w:rsidRPr="005B0E5B" w:rsidRDefault="00836964" w:rsidP="005247BD">
            <w:pPr>
              <w:widowControl w:val="0"/>
              <w:spacing w:after="0"/>
              <w:ind w:left="402" w:hanging="578"/>
              <w:rPr>
                <w:rFonts w:cs="Arial"/>
              </w:rPr>
            </w:pPr>
            <w:r w:rsidRPr="005B0E5B">
              <w:rPr>
                <w:rFonts w:cs="Arial"/>
              </w:rPr>
              <w:t>72</w:t>
            </w:r>
          </w:p>
          <w:p w14:paraId="4FA0AC51" w14:textId="77777777" w:rsidR="00836964" w:rsidRPr="005B0E5B" w:rsidRDefault="00836964" w:rsidP="005247BD">
            <w:pPr>
              <w:widowControl w:val="0"/>
              <w:spacing w:after="0"/>
              <w:ind w:left="402" w:hanging="578"/>
              <w:rPr>
                <w:rFonts w:cs="Arial"/>
              </w:rPr>
            </w:pPr>
            <w:r w:rsidRPr="005B0E5B">
              <w:rPr>
                <w:rFonts w:cs="Arial"/>
              </w:rPr>
              <w:t>73</w:t>
            </w:r>
          </w:p>
          <w:p w14:paraId="61FF7657" w14:textId="77777777" w:rsidR="00836964" w:rsidRPr="005B0E5B" w:rsidRDefault="00836964" w:rsidP="005247BD">
            <w:pPr>
              <w:widowControl w:val="0"/>
              <w:spacing w:after="0"/>
              <w:ind w:left="402" w:hanging="578"/>
              <w:rPr>
                <w:rFonts w:cs="Arial"/>
              </w:rPr>
            </w:pPr>
            <w:r w:rsidRPr="005B0E5B">
              <w:rPr>
                <w:rFonts w:cs="Arial"/>
              </w:rPr>
              <w:t>74</w:t>
            </w:r>
          </w:p>
        </w:tc>
      </w:tr>
      <w:tr w:rsidR="00836964" w:rsidRPr="005B0E5B" w14:paraId="13AFDBD3" w14:textId="77777777" w:rsidTr="0095003D">
        <w:trPr>
          <w:trHeight w:val="20"/>
        </w:trPr>
        <w:tc>
          <w:tcPr>
            <w:tcW w:w="7230" w:type="dxa"/>
            <w:shd w:val="clear" w:color="auto" w:fill="002060"/>
          </w:tcPr>
          <w:p w14:paraId="64F3D587" w14:textId="77777777" w:rsidR="00836964" w:rsidRPr="005B0E5B" w:rsidRDefault="00836964" w:rsidP="005247BD">
            <w:pPr>
              <w:widowControl w:val="0"/>
              <w:spacing w:after="0"/>
              <w:ind w:hanging="578"/>
              <w:jc w:val="left"/>
              <w:rPr>
                <w:rFonts w:cs="Arial"/>
              </w:rPr>
            </w:pPr>
            <w:r w:rsidRPr="005B0E5B">
              <w:rPr>
                <w:rFonts w:cs="Arial"/>
              </w:rPr>
              <w:t xml:space="preserve">3 Santé et sécurité des communautés </w:t>
            </w:r>
          </w:p>
        </w:tc>
        <w:tc>
          <w:tcPr>
            <w:tcW w:w="708" w:type="dxa"/>
            <w:shd w:val="clear" w:color="auto" w:fill="002060"/>
          </w:tcPr>
          <w:p w14:paraId="79538204" w14:textId="77777777" w:rsidR="00836964" w:rsidRPr="005B0E5B" w:rsidRDefault="00836964" w:rsidP="005247BD">
            <w:pPr>
              <w:widowControl w:val="0"/>
              <w:spacing w:after="0"/>
              <w:ind w:left="402" w:hanging="578"/>
              <w:rPr>
                <w:rFonts w:cs="Arial"/>
              </w:rPr>
            </w:pPr>
            <w:r w:rsidRPr="005B0E5B">
              <w:rPr>
                <w:rFonts w:cs="Arial"/>
              </w:rPr>
              <w:t>77</w:t>
            </w:r>
          </w:p>
        </w:tc>
      </w:tr>
      <w:tr w:rsidR="00836964" w:rsidRPr="005B0E5B" w14:paraId="79E9A5F7" w14:textId="77777777" w:rsidTr="0095003D">
        <w:trPr>
          <w:trHeight w:val="20"/>
        </w:trPr>
        <w:tc>
          <w:tcPr>
            <w:tcW w:w="7230" w:type="dxa"/>
          </w:tcPr>
          <w:p w14:paraId="5C90F79B" w14:textId="77777777" w:rsidR="00836964" w:rsidRPr="005B0E5B" w:rsidRDefault="00836964" w:rsidP="005247BD">
            <w:pPr>
              <w:widowControl w:val="0"/>
              <w:spacing w:after="0"/>
              <w:ind w:left="402" w:hanging="578"/>
              <w:jc w:val="left"/>
              <w:rPr>
                <w:rFonts w:cs="Arial"/>
              </w:rPr>
            </w:pPr>
            <w:r w:rsidRPr="005B0E5B">
              <w:rPr>
                <w:rFonts w:cs="Arial"/>
              </w:rPr>
              <w:t xml:space="preserve">3.1 Qualité et disponibilité de l’eau </w:t>
            </w:r>
          </w:p>
          <w:p w14:paraId="4077D9DD" w14:textId="77777777" w:rsidR="00836964" w:rsidRPr="005B0E5B" w:rsidRDefault="00836964" w:rsidP="005247BD">
            <w:pPr>
              <w:widowControl w:val="0"/>
              <w:spacing w:after="0"/>
              <w:ind w:left="402" w:hanging="578"/>
              <w:jc w:val="left"/>
              <w:rPr>
                <w:rFonts w:cs="Arial"/>
              </w:rPr>
            </w:pPr>
            <w:r w:rsidRPr="005B0E5B">
              <w:rPr>
                <w:rFonts w:cs="Arial"/>
              </w:rPr>
              <w:t xml:space="preserve">3.2 Sécurité structurelle des infrastructures des projets </w:t>
            </w:r>
          </w:p>
          <w:p w14:paraId="50EDC3FB" w14:textId="77777777" w:rsidR="00836964" w:rsidRPr="005B0E5B" w:rsidRDefault="00836964" w:rsidP="005247BD">
            <w:pPr>
              <w:widowControl w:val="0"/>
              <w:spacing w:after="0"/>
              <w:ind w:left="402" w:hanging="578"/>
              <w:jc w:val="left"/>
              <w:rPr>
                <w:rFonts w:cs="Arial"/>
              </w:rPr>
            </w:pPr>
            <w:r w:rsidRPr="005B0E5B">
              <w:rPr>
                <w:rFonts w:cs="Arial"/>
              </w:rPr>
              <w:t xml:space="preserve">3.3 sécurité anti-incendie </w:t>
            </w:r>
          </w:p>
          <w:p w14:paraId="4C846613" w14:textId="77777777" w:rsidR="00836964" w:rsidRPr="005B0E5B" w:rsidRDefault="00836964" w:rsidP="005247BD">
            <w:pPr>
              <w:widowControl w:val="0"/>
              <w:spacing w:after="0"/>
              <w:ind w:left="402" w:hanging="578"/>
              <w:jc w:val="left"/>
              <w:rPr>
                <w:rFonts w:cs="Arial"/>
              </w:rPr>
            </w:pPr>
            <w:r w:rsidRPr="005B0E5B">
              <w:rPr>
                <w:rFonts w:cs="Arial"/>
              </w:rPr>
              <w:t xml:space="preserve">3.4 Sécurité de la circulation </w:t>
            </w:r>
          </w:p>
          <w:p w14:paraId="0E4CC457" w14:textId="77777777" w:rsidR="00836964" w:rsidRPr="005B0E5B" w:rsidRDefault="00836964" w:rsidP="005247BD">
            <w:pPr>
              <w:widowControl w:val="0"/>
              <w:spacing w:after="0"/>
              <w:ind w:left="402" w:hanging="578"/>
              <w:jc w:val="left"/>
              <w:rPr>
                <w:rFonts w:cs="Arial"/>
              </w:rPr>
            </w:pPr>
            <w:r w:rsidRPr="005B0E5B">
              <w:rPr>
                <w:rFonts w:cs="Arial"/>
              </w:rPr>
              <w:t xml:space="preserve">3.5 Transport de matières dangereuses </w:t>
            </w:r>
          </w:p>
          <w:p w14:paraId="3215047D" w14:textId="77777777" w:rsidR="00836964" w:rsidRPr="005B0E5B" w:rsidRDefault="00836964" w:rsidP="005247BD">
            <w:pPr>
              <w:widowControl w:val="0"/>
              <w:spacing w:after="0"/>
              <w:ind w:left="402" w:hanging="578"/>
              <w:jc w:val="left"/>
              <w:rPr>
                <w:rFonts w:cs="Arial"/>
              </w:rPr>
            </w:pPr>
            <w:r w:rsidRPr="005B0E5B">
              <w:rPr>
                <w:rFonts w:cs="Arial"/>
              </w:rPr>
              <w:t xml:space="preserve">3.6 Prévention des maladies </w:t>
            </w:r>
          </w:p>
          <w:p w14:paraId="6B5A02CE" w14:textId="77777777" w:rsidR="00836964" w:rsidRPr="005B0E5B" w:rsidRDefault="00836964" w:rsidP="005247BD">
            <w:pPr>
              <w:widowControl w:val="0"/>
              <w:spacing w:after="0"/>
              <w:ind w:left="402" w:hanging="578"/>
              <w:jc w:val="left"/>
              <w:rPr>
                <w:rFonts w:cs="Arial"/>
              </w:rPr>
            </w:pPr>
            <w:r w:rsidRPr="005B0E5B">
              <w:rPr>
                <w:rFonts w:cs="Arial"/>
              </w:rPr>
              <w:t xml:space="preserve">3.7 Préparation et interventions en cas d’urgence </w:t>
            </w:r>
          </w:p>
        </w:tc>
        <w:tc>
          <w:tcPr>
            <w:tcW w:w="708" w:type="dxa"/>
          </w:tcPr>
          <w:p w14:paraId="772A790A" w14:textId="77777777" w:rsidR="00836964" w:rsidRPr="005B0E5B" w:rsidRDefault="00836964" w:rsidP="005247BD">
            <w:pPr>
              <w:widowControl w:val="0"/>
              <w:spacing w:after="0"/>
              <w:ind w:left="402" w:hanging="578"/>
              <w:rPr>
                <w:rFonts w:cs="Arial"/>
              </w:rPr>
            </w:pPr>
            <w:r w:rsidRPr="005B0E5B">
              <w:rPr>
                <w:rFonts w:cs="Arial"/>
              </w:rPr>
              <w:t>77</w:t>
            </w:r>
          </w:p>
          <w:p w14:paraId="33727D87" w14:textId="77777777" w:rsidR="00836964" w:rsidRPr="005B0E5B" w:rsidRDefault="00836964" w:rsidP="005247BD">
            <w:pPr>
              <w:widowControl w:val="0"/>
              <w:spacing w:after="0"/>
              <w:ind w:left="402" w:hanging="578"/>
              <w:rPr>
                <w:rFonts w:cs="Arial"/>
              </w:rPr>
            </w:pPr>
            <w:r w:rsidRPr="005B0E5B">
              <w:rPr>
                <w:rFonts w:cs="Arial"/>
              </w:rPr>
              <w:t>78</w:t>
            </w:r>
          </w:p>
          <w:p w14:paraId="4A46787D" w14:textId="77777777" w:rsidR="00836964" w:rsidRPr="005B0E5B" w:rsidRDefault="00836964" w:rsidP="005247BD">
            <w:pPr>
              <w:widowControl w:val="0"/>
              <w:spacing w:after="0"/>
              <w:ind w:left="402" w:hanging="578"/>
              <w:rPr>
                <w:rFonts w:cs="Arial"/>
              </w:rPr>
            </w:pPr>
            <w:r w:rsidRPr="005B0E5B">
              <w:rPr>
                <w:rFonts w:cs="Arial"/>
              </w:rPr>
              <w:t>79</w:t>
            </w:r>
          </w:p>
          <w:p w14:paraId="0C892217" w14:textId="77777777" w:rsidR="00836964" w:rsidRPr="005B0E5B" w:rsidRDefault="00836964" w:rsidP="005247BD">
            <w:pPr>
              <w:widowControl w:val="0"/>
              <w:spacing w:after="0"/>
              <w:ind w:left="402" w:hanging="578"/>
              <w:rPr>
                <w:rFonts w:cs="Arial"/>
              </w:rPr>
            </w:pPr>
            <w:r w:rsidRPr="005B0E5B">
              <w:rPr>
                <w:rFonts w:cs="Arial"/>
              </w:rPr>
              <w:t>82</w:t>
            </w:r>
          </w:p>
          <w:p w14:paraId="03ED7532" w14:textId="77777777" w:rsidR="00836964" w:rsidRPr="005B0E5B" w:rsidRDefault="00836964" w:rsidP="005247BD">
            <w:pPr>
              <w:widowControl w:val="0"/>
              <w:spacing w:after="0"/>
              <w:ind w:left="402" w:hanging="578"/>
              <w:rPr>
                <w:rFonts w:cs="Arial"/>
              </w:rPr>
            </w:pPr>
            <w:r w:rsidRPr="005B0E5B">
              <w:rPr>
                <w:rFonts w:cs="Arial"/>
              </w:rPr>
              <w:t>82</w:t>
            </w:r>
          </w:p>
          <w:p w14:paraId="47B5B26A" w14:textId="77777777" w:rsidR="00836964" w:rsidRPr="005B0E5B" w:rsidRDefault="00836964" w:rsidP="005247BD">
            <w:pPr>
              <w:widowControl w:val="0"/>
              <w:spacing w:after="0"/>
              <w:ind w:left="402" w:hanging="578"/>
              <w:rPr>
                <w:rFonts w:cs="Arial"/>
              </w:rPr>
            </w:pPr>
            <w:r w:rsidRPr="005B0E5B">
              <w:rPr>
                <w:rFonts w:cs="Arial"/>
              </w:rPr>
              <w:t>85</w:t>
            </w:r>
          </w:p>
          <w:p w14:paraId="208A6FA4" w14:textId="77777777" w:rsidR="00836964" w:rsidRPr="005B0E5B" w:rsidRDefault="00836964" w:rsidP="005247BD">
            <w:pPr>
              <w:widowControl w:val="0"/>
              <w:spacing w:after="0"/>
              <w:ind w:left="402" w:hanging="578"/>
              <w:rPr>
                <w:rFonts w:cs="Arial"/>
              </w:rPr>
            </w:pPr>
            <w:r w:rsidRPr="005B0E5B">
              <w:rPr>
                <w:rFonts w:cs="Arial"/>
              </w:rPr>
              <w:t>86</w:t>
            </w:r>
          </w:p>
        </w:tc>
      </w:tr>
      <w:tr w:rsidR="00836964" w:rsidRPr="005B0E5B" w14:paraId="660ADDFB" w14:textId="77777777" w:rsidTr="0095003D">
        <w:trPr>
          <w:trHeight w:val="20"/>
        </w:trPr>
        <w:tc>
          <w:tcPr>
            <w:tcW w:w="7230" w:type="dxa"/>
            <w:shd w:val="clear" w:color="auto" w:fill="002060"/>
          </w:tcPr>
          <w:p w14:paraId="1390E833" w14:textId="77777777" w:rsidR="00836964" w:rsidRPr="005B0E5B" w:rsidRDefault="00836964" w:rsidP="005247BD">
            <w:pPr>
              <w:widowControl w:val="0"/>
              <w:spacing w:after="0"/>
              <w:ind w:hanging="578"/>
              <w:jc w:val="left"/>
              <w:rPr>
                <w:rFonts w:cs="Arial"/>
              </w:rPr>
            </w:pPr>
            <w:r w:rsidRPr="005B0E5B">
              <w:rPr>
                <w:rFonts w:cs="Arial"/>
              </w:rPr>
              <w:t xml:space="preserve">4. Construction et déclassement </w:t>
            </w:r>
          </w:p>
        </w:tc>
        <w:tc>
          <w:tcPr>
            <w:tcW w:w="708" w:type="dxa"/>
            <w:shd w:val="clear" w:color="auto" w:fill="002060"/>
          </w:tcPr>
          <w:p w14:paraId="39289C8F" w14:textId="77777777" w:rsidR="00836964" w:rsidRPr="005B0E5B" w:rsidRDefault="00836964" w:rsidP="005247BD">
            <w:pPr>
              <w:widowControl w:val="0"/>
              <w:spacing w:after="0"/>
              <w:ind w:left="402" w:hanging="578"/>
              <w:rPr>
                <w:rFonts w:cs="Arial"/>
              </w:rPr>
            </w:pPr>
            <w:r w:rsidRPr="005B0E5B">
              <w:rPr>
                <w:rFonts w:cs="Arial"/>
              </w:rPr>
              <w:t>89</w:t>
            </w:r>
          </w:p>
        </w:tc>
      </w:tr>
      <w:tr w:rsidR="00836964" w:rsidRPr="005B0E5B" w14:paraId="063FF25B" w14:textId="77777777" w:rsidTr="0095003D">
        <w:trPr>
          <w:trHeight w:val="20"/>
        </w:trPr>
        <w:tc>
          <w:tcPr>
            <w:tcW w:w="7230" w:type="dxa"/>
          </w:tcPr>
          <w:p w14:paraId="49F2E3B0" w14:textId="77777777" w:rsidR="00836964" w:rsidRPr="005B0E5B" w:rsidRDefault="00836964" w:rsidP="005247BD">
            <w:pPr>
              <w:widowControl w:val="0"/>
              <w:spacing w:after="0"/>
              <w:ind w:left="402" w:hanging="578"/>
              <w:jc w:val="left"/>
              <w:rPr>
                <w:rFonts w:cs="Arial"/>
              </w:rPr>
            </w:pPr>
            <w:r w:rsidRPr="005B0E5B">
              <w:rPr>
                <w:rFonts w:cs="Arial"/>
              </w:rPr>
              <w:t xml:space="preserve">4.1 Environnement </w:t>
            </w:r>
          </w:p>
          <w:p w14:paraId="0615BA4C" w14:textId="77777777" w:rsidR="00836964" w:rsidRPr="005B0E5B" w:rsidRDefault="00836964" w:rsidP="005247BD">
            <w:pPr>
              <w:widowControl w:val="0"/>
              <w:spacing w:after="0"/>
              <w:ind w:left="402" w:hanging="578"/>
              <w:jc w:val="left"/>
              <w:rPr>
                <w:rFonts w:cs="Arial"/>
              </w:rPr>
            </w:pPr>
            <w:r w:rsidRPr="005B0E5B">
              <w:rPr>
                <w:rFonts w:cs="Arial"/>
              </w:rPr>
              <w:t xml:space="preserve">4.2 Hygiène et sécurité au travail </w:t>
            </w:r>
          </w:p>
          <w:p w14:paraId="0A98A38B" w14:textId="77777777" w:rsidR="00836964" w:rsidRPr="005B0E5B" w:rsidRDefault="00836964" w:rsidP="005247BD">
            <w:pPr>
              <w:widowControl w:val="0"/>
              <w:spacing w:after="0"/>
              <w:ind w:left="402" w:hanging="578"/>
              <w:jc w:val="left"/>
              <w:rPr>
                <w:rFonts w:cs="Arial"/>
              </w:rPr>
            </w:pPr>
            <w:r w:rsidRPr="005B0E5B">
              <w:rPr>
                <w:rFonts w:cs="Arial"/>
              </w:rPr>
              <w:t>4.3 Santé et sécurité des communautés</w:t>
            </w:r>
          </w:p>
        </w:tc>
        <w:tc>
          <w:tcPr>
            <w:tcW w:w="708" w:type="dxa"/>
          </w:tcPr>
          <w:p w14:paraId="1CC6CC3D" w14:textId="77777777" w:rsidR="00836964" w:rsidRPr="005B0E5B" w:rsidRDefault="00836964" w:rsidP="005247BD">
            <w:pPr>
              <w:widowControl w:val="0"/>
              <w:spacing w:after="0"/>
              <w:ind w:left="402" w:hanging="578"/>
              <w:rPr>
                <w:rFonts w:cs="Arial"/>
              </w:rPr>
            </w:pPr>
            <w:r w:rsidRPr="005B0E5B">
              <w:rPr>
                <w:rFonts w:cs="Arial"/>
              </w:rPr>
              <w:t>89</w:t>
            </w:r>
          </w:p>
          <w:p w14:paraId="1195F13E" w14:textId="77777777" w:rsidR="00836964" w:rsidRPr="005B0E5B" w:rsidRDefault="00836964" w:rsidP="005247BD">
            <w:pPr>
              <w:widowControl w:val="0"/>
              <w:spacing w:after="0"/>
              <w:ind w:left="402" w:hanging="578"/>
              <w:rPr>
                <w:rFonts w:cs="Arial"/>
              </w:rPr>
            </w:pPr>
            <w:r w:rsidRPr="005B0E5B">
              <w:rPr>
                <w:rFonts w:cs="Arial"/>
              </w:rPr>
              <w:t>92</w:t>
            </w:r>
          </w:p>
          <w:p w14:paraId="40548A07" w14:textId="77777777" w:rsidR="00836964" w:rsidRPr="005B0E5B" w:rsidRDefault="00836964" w:rsidP="005247BD">
            <w:pPr>
              <w:widowControl w:val="0"/>
              <w:spacing w:after="0"/>
              <w:ind w:left="402" w:hanging="578"/>
              <w:rPr>
                <w:rFonts w:cs="Arial"/>
              </w:rPr>
            </w:pPr>
            <w:r w:rsidRPr="005B0E5B">
              <w:rPr>
                <w:rFonts w:cs="Arial"/>
              </w:rPr>
              <w:t>94</w:t>
            </w:r>
          </w:p>
        </w:tc>
      </w:tr>
    </w:tbl>
    <w:p w14:paraId="5E414F4B" w14:textId="77777777" w:rsidR="00836964" w:rsidRPr="005B0E5B" w:rsidRDefault="00836964" w:rsidP="00836964">
      <w:pPr>
        <w:widowControl w:val="0"/>
        <w:autoSpaceDE w:val="0"/>
        <w:autoSpaceDN w:val="0"/>
        <w:adjustRightInd w:val="0"/>
        <w:ind w:left="402"/>
        <w:rPr>
          <w:rFonts w:cs="Arial"/>
        </w:rPr>
      </w:pPr>
    </w:p>
    <w:p w14:paraId="0A8BDFF8" w14:textId="77777777" w:rsidR="00836964" w:rsidRPr="005B0E5B" w:rsidRDefault="00836964" w:rsidP="00836964">
      <w:pPr>
        <w:widowControl w:val="0"/>
        <w:autoSpaceDE w:val="0"/>
        <w:autoSpaceDN w:val="0"/>
        <w:adjustRightInd w:val="0"/>
        <w:ind w:left="402"/>
        <w:rPr>
          <w:rFonts w:cs="Arial"/>
          <w:b/>
        </w:rPr>
      </w:pPr>
      <w:r w:rsidRPr="005B0E5B">
        <w:rPr>
          <w:rFonts w:cs="Arial"/>
          <w:b/>
        </w:rPr>
        <w:t>Approche générale de la gestion des questions EHS au niveau de l’installation ou du projet</w:t>
      </w:r>
    </w:p>
    <w:p w14:paraId="4E833E38" w14:textId="77777777" w:rsidR="00836964" w:rsidRPr="005B0E5B" w:rsidRDefault="00836964" w:rsidP="00836964">
      <w:pPr>
        <w:widowControl w:val="0"/>
        <w:autoSpaceDE w:val="0"/>
        <w:autoSpaceDN w:val="0"/>
        <w:adjustRightInd w:val="0"/>
        <w:ind w:left="402"/>
        <w:rPr>
          <w:rFonts w:cs="Arial"/>
        </w:rPr>
      </w:pPr>
      <w:r w:rsidRPr="005B0E5B">
        <w:rPr>
          <w:rFonts w:cs="Arial"/>
        </w:rPr>
        <w:t>Pour bien gérer les questions d’ordre environnemental, sanitaire et sécuritaire, il importe de les prendre en compte dans les procédés des entreprises et dans les opérations des installations. Cette démarche doit être structurée et hiérarchisée et comprendre les étapes suivantes :</w:t>
      </w:r>
    </w:p>
    <w:p w14:paraId="67F8CC67" w14:textId="77777777" w:rsidR="00836964" w:rsidRPr="005B0E5B" w:rsidRDefault="00836964" w:rsidP="0095003D">
      <w:pPr>
        <w:pStyle w:val="Paragraphedeliste"/>
        <w:widowControl w:val="0"/>
        <w:numPr>
          <w:ilvl w:val="0"/>
          <w:numId w:val="171"/>
        </w:numPr>
        <w:autoSpaceDE w:val="0"/>
        <w:autoSpaceDN w:val="0"/>
        <w:adjustRightInd w:val="0"/>
        <w:spacing w:after="0"/>
        <w:rPr>
          <w:rFonts w:cs="Arial"/>
        </w:rPr>
      </w:pPr>
      <w:r w:rsidRPr="005B0E5B">
        <w:rPr>
          <w:rFonts w:cs="Arial"/>
        </w:rPr>
        <w:t>Identifier les dangers3 et les risques4 d’ordre environnemental, sanitaire et sécuritaire, dès la conception d’une installation ou de la définition du cycle d’un projet. Prendre en compte ces questions notamment lors du choix du site, du processus de conception des produits, de l’établissement des plans d’ingénierie concernant les besoins d’équipement, des ordres de travaux d’ingénierie, des autorisations de modification des installations ou de tout autre plan de modification de l'aménagement du site ou des processus.</w:t>
      </w:r>
    </w:p>
    <w:p w14:paraId="4EC6840D" w14:textId="77777777" w:rsidR="00836964" w:rsidRPr="005B0E5B" w:rsidRDefault="00836964" w:rsidP="0095003D">
      <w:pPr>
        <w:pStyle w:val="Paragraphedeliste"/>
        <w:widowControl w:val="0"/>
        <w:numPr>
          <w:ilvl w:val="0"/>
          <w:numId w:val="171"/>
        </w:numPr>
        <w:autoSpaceDE w:val="0"/>
        <w:autoSpaceDN w:val="0"/>
        <w:adjustRightInd w:val="0"/>
        <w:spacing w:after="0"/>
        <w:rPr>
          <w:rFonts w:cs="Arial"/>
        </w:rPr>
      </w:pPr>
      <w:r w:rsidRPr="005B0E5B">
        <w:rPr>
          <w:rFonts w:cs="Arial"/>
        </w:rPr>
        <w:t>Faire appel à des spécialistes des questions EHS ayant la formation, les compétences et l’expérience nécessaires pour évaluer et gérer les risques et les impacts dans ces domaines.</w:t>
      </w:r>
    </w:p>
    <w:p w14:paraId="30C4D17F" w14:textId="77777777" w:rsidR="00836964" w:rsidRPr="005B0E5B" w:rsidRDefault="00836964" w:rsidP="0095003D">
      <w:pPr>
        <w:pStyle w:val="Paragraphedeliste"/>
        <w:widowControl w:val="0"/>
        <w:numPr>
          <w:ilvl w:val="0"/>
          <w:numId w:val="171"/>
        </w:numPr>
        <w:autoSpaceDE w:val="0"/>
        <w:autoSpaceDN w:val="0"/>
        <w:adjustRightInd w:val="0"/>
        <w:spacing w:after="0"/>
        <w:rPr>
          <w:rFonts w:cs="Arial"/>
        </w:rPr>
      </w:pPr>
      <w:r w:rsidRPr="005B0E5B">
        <w:rPr>
          <w:rFonts w:cs="Arial"/>
        </w:rPr>
        <w:t>Charger ces spécialistes de fonctions particulières concernant la gestion de l’environnement, comme la préparation de procédures et de plans spécifiques à un projet ou à une activité, conformément aux recommandations techniques pertinentes présentées dans ce document.</w:t>
      </w:r>
    </w:p>
    <w:p w14:paraId="09A5C8C3" w14:textId="77777777" w:rsidR="00836964" w:rsidRPr="005B0E5B" w:rsidRDefault="00836964" w:rsidP="0095003D">
      <w:pPr>
        <w:pStyle w:val="Paragraphedeliste"/>
        <w:widowControl w:val="0"/>
        <w:numPr>
          <w:ilvl w:val="0"/>
          <w:numId w:val="171"/>
        </w:numPr>
        <w:autoSpaceDE w:val="0"/>
        <w:autoSpaceDN w:val="0"/>
        <w:adjustRightInd w:val="0"/>
        <w:spacing w:after="0"/>
        <w:rPr>
          <w:rFonts w:cs="Arial"/>
        </w:rPr>
      </w:pPr>
      <w:r w:rsidRPr="005B0E5B">
        <w:rPr>
          <w:rFonts w:cs="Arial"/>
        </w:rPr>
        <w:t>Évaluer la probabilité et l’ampleur des risques EHS en se fondant sur :</w:t>
      </w:r>
    </w:p>
    <w:p w14:paraId="60844C3C" w14:textId="77777777" w:rsidR="00836964" w:rsidRPr="005B0E5B" w:rsidRDefault="00836964" w:rsidP="0095003D">
      <w:pPr>
        <w:pStyle w:val="Paragraphedeliste"/>
        <w:widowControl w:val="0"/>
        <w:numPr>
          <w:ilvl w:val="0"/>
          <w:numId w:val="169"/>
        </w:numPr>
        <w:autoSpaceDE w:val="0"/>
        <w:autoSpaceDN w:val="0"/>
        <w:adjustRightInd w:val="0"/>
        <w:spacing w:after="0"/>
        <w:rPr>
          <w:rFonts w:cs="Arial"/>
        </w:rPr>
      </w:pPr>
      <w:r w:rsidRPr="005B0E5B">
        <w:rPr>
          <w:rFonts w:cs="Arial"/>
        </w:rPr>
        <w:t>La nature du projet (ex. quantités notables d’émissions ou d’effluents produites, présence de matières ou adoption de processus dangereux) ;</w:t>
      </w:r>
    </w:p>
    <w:p w14:paraId="4E6D95A7" w14:textId="77777777" w:rsidR="00836964" w:rsidRPr="005B0E5B" w:rsidRDefault="00836964" w:rsidP="0095003D">
      <w:pPr>
        <w:pStyle w:val="Paragraphedeliste"/>
        <w:widowControl w:val="0"/>
        <w:numPr>
          <w:ilvl w:val="0"/>
          <w:numId w:val="169"/>
        </w:numPr>
        <w:autoSpaceDE w:val="0"/>
        <w:autoSpaceDN w:val="0"/>
        <w:adjustRightInd w:val="0"/>
        <w:spacing w:after="0"/>
        <w:rPr>
          <w:rFonts w:cs="Arial"/>
        </w:rPr>
      </w:pPr>
      <w:r w:rsidRPr="005B0E5B">
        <w:rPr>
          <w:rFonts w:cs="Arial"/>
        </w:rPr>
        <w:t>Les impacts potentiels sur les travailleurs, la population ou l’environnement, si les risques ne sont pas bien gérés. Ceux-ci peuvent dépendre de la distance entre le site du projet et la population ou des ressources naturelles dont le projet dépend ;</w:t>
      </w:r>
    </w:p>
    <w:p w14:paraId="3EA07937" w14:textId="77777777" w:rsidR="00836964" w:rsidRPr="005B0E5B" w:rsidRDefault="00836964" w:rsidP="0095003D">
      <w:pPr>
        <w:pStyle w:val="Paragraphedeliste"/>
        <w:widowControl w:val="0"/>
        <w:numPr>
          <w:ilvl w:val="0"/>
          <w:numId w:val="170"/>
        </w:numPr>
        <w:autoSpaceDE w:val="0"/>
        <w:autoSpaceDN w:val="0"/>
        <w:adjustRightInd w:val="0"/>
        <w:spacing w:after="0"/>
        <w:rPr>
          <w:rFonts w:cs="Arial"/>
        </w:rPr>
      </w:pPr>
      <w:r w:rsidRPr="005B0E5B">
        <w:rPr>
          <w:rFonts w:cs="Arial"/>
        </w:rPr>
        <w:t>Établir des priorités pour les stratégies de gestion des risques afin de réduire le risque global pour la santé humaine et l’environnement. Se concentrer sur la prévention des impacts irréversibles ou majeurs.</w:t>
      </w:r>
    </w:p>
    <w:p w14:paraId="2D5711D7" w14:textId="77777777" w:rsidR="00836964" w:rsidRPr="005B0E5B" w:rsidRDefault="00836964" w:rsidP="0095003D">
      <w:pPr>
        <w:pStyle w:val="Paragraphedeliste"/>
        <w:widowControl w:val="0"/>
        <w:numPr>
          <w:ilvl w:val="0"/>
          <w:numId w:val="170"/>
        </w:numPr>
        <w:autoSpaceDE w:val="0"/>
        <w:autoSpaceDN w:val="0"/>
        <w:adjustRightInd w:val="0"/>
        <w:spacing w:after="0"/>
        <w:rPr>
          <w:rFonts w:cs="Arial"/>
        </w:rPr>
      </w:pPr>
      <w:r w:rsidRPr="005B0E5B">
        <w:rPr>
          <w:rFonts w:cs="Arial"/>
        </w:rPr>
        <w:t>Favoriser les stratégies qui éliminent la cause du danger à sa source, en choisissant par exemple des matériaux ou procédés moins dangereux qui évitent de devoir procéder à des contrôles EHS.</w:t>
      </w:r>
    </w:p>
    <w:p w14:paraId="00543D4D" w14:textId="77777777" w:rsidR="00836964" w:rsidRPr="005B0E5B" w:rsidRDefault="00836964" w:rsidP="0095003D">
      <w:pPr>
        <w:pStyle w:val="Paragraphedeliste"/>
        <w:widowControl w:val="0"/>
        <w:numPr>
          <w:ilvl w:val="0"/>
          <w:numId w:val="170"/>
        </w:numPr>
        <w:autoSpaceDE w:val="0"/>
        <w:autoSpaceDN w:val="0"/>
        <w:adjustRightInd w:val="0"/>
        <w:spacing w:after="0"/>
        <w:rPr>
          <w:rFonts w:cs="Arial"/>
        </w:rPr>
      </w:pPr>
      <w:r w:rsidRPr="005B0E5B">
        <w:rPr>
          <w:rFonts w:cs="Arial"/>
        </w:rPr>
        <w:t>Quand des impacts sont inévitables, mettre en place des dispositifs de contrôle technique et de gestion pour limiter ou réduire le plus possible la probabilité et l’ampleur de toute conséquence indésirable. Appliquer, par exemple, des mesures de lutte contre la pollution pour réduire les niveaux de contaminants auxquels sont exposés les travailleurs ou l’environnement.</w:t>
      </w:r>
    </w:p>
    <w:p w14:paraId="3AC05E6F" w14:textId="77777777" w:rsidR="00836964" w:rsidRPr="005B0E5B" w:rsidRDefault="00836964" w:rsidP="0095003D">
      <w:pPr>
        <w:pStyle w:val="Paragraphedeliste"/>
        <w:widowControl w:val="0"/>
        <w:numPr>
          <w:ilvl w:val="0"/>
          <w:numId w:val="170"/>
        </w:numPr>
        <w:autoSpaceDE w:val="0"/>
        <w:autoSpaceDN w:val="0"/>
        <w:adjustRightInd w:val="0"/>
        <w:spacing w:after="0"/>
        <w:rPr>
          <w:rFonts w:cs="Arial"/>
        </w:rPr>
      </w:pPr>
      <w:r w:rsidRPr="005B0E5B">
        <w:rPr>
          <w:rFonts w:cs="Arial"/>
        </w:rPr>
        <w:t xml:space="preserve">Préparer les travailleurs et les populations voisines pour leur permettre de faire face à des accidents (par exemple, notamment en leur donnant des moyens techniques et financiers pour maîtriser efficacement, et dans de bonnes conditions de sécurité, de telles situations, et réhabiliter les conditions sanitaires et sécuritaires des lieux de travail ou d’habitation). </w:t>
      </w:r>
    </w:p>
    <w:p w14:paraId="00F3894B" w14:textId="77777777" w:rsidR="00836964" w:rsidRPr="005B0E5B" w:rsidRDefault="00836964" w:rsidP="0095003D">
      <w:pPr>
        <w:pStyle w:val="Paragraphedeliste"/>
        <w:widowControl w:val="0"/>
        <w:numPr>
          <w:ilvl w:val="0"/>
          <w:numId w:val="170"/>
        </w:numPr>
        <w:autoSpaceDE w:val="0"/>
        <w:autoSpaceDN w:val="0"/>
        <w:adjustRightInd w:val="0"/>
        <w:spacing w:after="0"/>
        <w:rPr>
          <w:rFonts w:cs="Arial"/>
        </w:rPr>
      </w:pPr>
      <w:r w:rsidRPr="005B0E5B">
        <w:rPr>
          <w:rFonts w:cs="Arial"/>
        </w:rPr>
        <w:t>Améliorer la performance EHS, grâce à un suivi en continu des performances des installations et à une réelle responsabilisation des intervenants.</w:t>
      </w:r>
    </w:p>
    <w:p w14:paraId="19E6B041" w14:textId="77777777" w:rsidR="00836964" w:rsidRPr="005B0E5B" w:rsidRDefault="00836964" w:rsidP="00836964">
      <w:pPr>
        <w:widowControl w:val="0"/>
        <w:autoSpaceDE w:val="0"/>
        <w:autoSpaceDN w:val="0"/>
        <w:adjustRightInd w:val="0"/>
        <w:ind w:left="402"/>
        <w:rPr>
          <w:rFonts w:cs="Arial"/>
          <w:color w:val="FFFFFF" w:themeColor="background1"/>
        </w:rPr>
      </w:pPr>
      <w:r w:rsidRPr="005B0E5B">
        <w:rPr>
          <w:rStyle w:val="Appelnotedebasdep"/>
          <w:color w:val="FFFFFF" w:themeColor="background1"/>
        </w:rPr>
        <w:footnoteReference w:id="26"/>
      </w:r>
    </w:p>
    <w:p w14:paraId="4015A99C" w14:textId="77777777" w:rsidR="00836964" w:rsidRPr="005B0E5B" w:rsidRDefault="00836964" w:rsidP="00836964">
      <w:pPr>
        <w:widowControl w:val="0"/>
        <w:autoSpaceDE w:val="0"/>
        <w:autoSpaceDN w:val="0"/>
        <w:adjustRightInd w:val="0"/>
        <w:ind w:left="402"/>
        <w:rPr>
          <w:rFonts w:cs="Arial"/>
          <w:b/>
        </w:rPr>
      </w:pPr>
      <w:r w:rsidRPr="005B0E5B">
        <w:rPr>
          <w:rFonts w:cs="Arial"/>
          <w:b/>
        </w:rPr>
        <w:t>1.0 Environnement</w:t>
      </w:r>
    </w:p>
    <w:p w14:paraId="3FC5BE14" w14:textId="77777777" w:rsidR="00836964" w:rsidRPr="005B0E5B" w:rsidRDefault="00836964" w:rsidP="00836964">
      <w:pPr>
        <w:autoSpaceDE w:val="0"/>
        <w:autoSpaceDN w:val="0"/>
        <w:adjustRightInd w:val="0"/>
        <w:rPr>
          <w:rFonts w:eastAsiaTheme="minorHAnsi" w:cs="Arial"/>
          <w:lang w:eastAsia="en-US"/>
        </w:rPr>
      </w:pPr>
      <w:r w:rsidRPr="005B0E5B">
        <w:rPr>
          <w:rFonts w:eastAsiaTheme="minorHAnsi" w:cs="Arial"/>
          <w:lang w:eastAsia="en-US"/>
        </w:rPr>
        <w:t xml:space="preserve">Domaine d’application et approche </w:t>
      </w:r>
    </w:p>
    <w:p w14:paraId="2019DB49" w14:textId="77777777" w:rsidR="00836964" w:rsidRPr="005B0E5B" w:rsidRDefault="00836964" w:rsidP="00836964">
      <w:pPr>
        <w:autoSpaceDE w:val="0"/>
        <w:autoSpaceDN w:val="0"/>
        <w:adjustRightInd w:val="0"/>
        <w:rPr>
          <w:rFonts w:eastAsiaTheme="minorHAnsi" w:cs="Arial"/>
          <w:lang w:eastAsia="en-US"/>
        </w:rPr>
      </w:pPr>
      <w:r w:rsidRPr="005B0E5B">
        <w:rPr>
          <w:rFonts w:eastAsiaTheme="minorHAnsi" w:cs="Arial"/>
          <w:lang w:eastAsia="en-US"/>
        </w:rPr>
        <w:t>Qualité de l’air ambiant</w:t>
      </w:r>
    </w:p>
    <w:p w14:paraId="1AFE4714" w14:textId="77777777" w:rsidR="00836964" w:rsidRPr="005B0E5B" w:rsidRDefault="00836964" w:rsidP="00836964">
      <w:pPr>
        <w:autoSpaceDE w:val="0"/>
        <w:autoSpaceDN w:val="0"/>
        <w:adjustRightInd w:val="0"/>
        <w:rPr>
          <w:rFonts w:eastAsiaTheme="minorHAnsi" w:cs="Arial"/>
          <w:lang w:eastAsia="en-US"/>
        </w:rPr>
      </w:pPr>
      <w:r w:rsidRPr="005B0E5B">
        <w:rPr>
          <w:rFonts w:eastAsiaTheme="minorHAnsi" w:cs="Arial"/>
          <w:lang w:eastAsia="en-US"/>
        </w:rPr>
        <w:t xml:space="preserve">Généralités </w:t>
      </w:r>
    </w:p>
    <w:p w14:paraId="27F98FA7" w14:textId="77777777" w:rsidR="00836964" w:rsidRPr="005B0E5B" w:rsidRDefault="00836964" w:rsidP="00836964">
      <w:pPr>
        <w:autoSpaceDE w:val="0"/>
        <w:autoSpaceDN w:val="0"/>
        <w:adjustRightInd w:val="0"/>
        <w:rPr>
          <w:rFonts w:eastAsiaTheme="minorHAnsi" w:cs="Arial"/>
          <w:lang w:eastAsia="en-US"/>
        </w:rPr>
      </w:pPr>
      <w:r w:rsidRPr="005B0E5B">
        <w:rPr>
          <w:rFonts w:eastAsiaTheme="minorHAnsi" w:cs="Arial"/>
          <w:lang w:eastAsia="en-US"/>
        </w:rPr>
        <w:t xml:space="preserve">Projets situés dans des bassins atmosphériques dégradés ou des zones écologiquement fragiles </w:t>
      </w:r>
    </w:p>
    <w:p w14:paraId="2C08B4CA" w14:textId="77777777" w:rsidR="00836964" w:rsidRPr="005B0E5B" w:rsidRDefault="00836964" w:rsidP="00836964">
      <w:pPr>
        <w:autoSpaceDE w:val="0"/>
        <w:autoSpaceDN w:val="0"/>
        <w:adjustRightInd w:val="0"/>
        <w:rPr>
          <w:rFonts w:eastAsiaTheme="minorHAnsi" w:cs="Arial"/>
          <w:lang w:eastAsia="en-US"/>
        </w:rPr>
      </w:pPr>
      <w:r w:rsidRPr="005B0E5B">
        <w:rPr>
          <w:rFonts w:eastAsiaTheme="minorHAnsi" w:cs="Arial"/>
          <w:lang w:eastAsia="en-US"/>
        </w:rPr>
        <w:t xml:space="preserve">Sources ponctuelles </w:t>
      </w:r>
    </w:p>
    <w:p w14:paraId="650C68EC" w14:textId="77777777" w:rsidR="00836964" w:rsidRPr="005B0E5B" w:rsidRDefault="00836964" w:rsidP="00836964">
      <w:pPr>
        <w:autoSpaceDE w:val="0"/>
        <w:autoSpaceDN w:val="0"/>
        <w:adjustRightInd w:val="0"/>
        <w:rPr>
          <w:rFonts w:eastAsiaTheme="minorHAnsi" w:cs="Arial"/>
          <w:lang w:eastAsia="en-US"/>
        </w:rPr>
      </w:pPr>
      <w:r w:rsidRPr="005B0E5B">
        <w:rPr>
          <w:rFonts w:eastAsiaTheme="minorHAnsi" w:cs="Arial"/>
          <w:lang w:eastAsia="en-US"/>
        </w:rPr>
        <w:t xml:space="preserve">Hauteur de cheminée </w:t>
      </w:r>
    </w:p>
    <w:p w14:paraId="282200C6" w14:textId="77777777" w:rsidR="00836964" w:rsidRPr="005B0E5B" w:rsidRDefault="00836964" w:rsidP="00836964">
      <w:pPr>
        <w:autoSpaceDE w:val="0"/>
        <w:autoSpaceDN w:val="0"/>
        <w:adjustRightInd w:val="0"/>
        <w:rPr>
          <w:rFonts w:eastAsiaTheme="minorHAnsi" w:cs="Arial"/>
          <w:lang w:eastAsia="en-US"/>
        </w:rPr>
      </w:pPr>
      <w:r w:rsidRPr="005B0E5B">
        <w:rPr>
          <w:rFonts w:eastAsiaTheme="minorHAnsi" w:cs="Arial"/>
          <w:lang w:eastAsia="en-US"/>
        </w:rPr>
        <w:t>Petites installations de combustion – Directives sur les émissions</w:t>
      </w:r>
    </w:p>
    <w:p w14:paraId="3B847A01" w14:textId="77777777" w:rsidR="00836964" w:rsidRPr="005B0E5B" w:rsidRDefault="00836964" w:rsidP="00836964">
      <w:pPr>
        <w:autoSpaceDE w:val="0"/>
        <w:autoSpaceDN w:val="0"/>
        <w:adjustRightInd w:val="0"/>
        <w:rPr>
          <w:rFonts w:eastAsiaTheme="minorHAnsi" w:cs="Arial"/>
          <w:lang w:eastAsia="en-US"/>
        </w:rPr>
      </w:pPr>
      <w:r w:rsidRPr="005B0E5B">
        <w:rPr>
          <w:rFonts w:eastAsiaTheme="minorHAnsi" w:cs="Arial"/>
          <w:lang w:eastAsia="en-US"/>
        </w:rPr>
        <w:t xml:space="preserve">Sources diffuses </w:t>
      </w:r>
    </w:p>
    <w:p w14:paraId="64495C8A" w14:textId="77777777" w:rsidR="00836964" w:rsidRPr="005B0E5B" w:rsidRDefault="00836964" w:rsidP="00836964">
      <w:pPr>
        <w:autoSpaceDE w:val="0"/>
        <w:autoSpaceDN w:val="0"/>
        <w:adjustRightInd w:val="0"/>
        <w:rPr>
          <w:rFonts w:eastAsiaTheme="minorHAnsi" w:cs="Arial"/>
          <w:lang w:eastAsia="en-US"/>
        </w:rPr>
      </w:pPr>
      <w:r w:rsidRPr="005B0E5B">
        <w:rPr>
          <w:rFonts w:eastAsiaTheme="minorHAnsi" w:cs="Arial"/>
          <w:lang w:eastAsia="en-US"/>
        </w:rPr>
        <w:t xml:space="preserve">Composés organiques volatils (COV) </w:t>
      </w:r>
    </w:p>
    <w:p w14:paraId="6D7014B7" w14:textId="77777777" w:rsidR="00836964" w:rsidRPr="005B0E5B" w:rsidRDefault="00836964" w:rsidP="00836964">
      <w:pPr>
        <w:autoSpaceDE w:val="0"/>
        <w:autoSpaceDN w:val="0"/>
        <w:adjustRightInd w:val="0"/>
        <w:rPr>
          <w:rFonts w:eastAsiaTheme="minorHAnsi" w:cs="Arial"/>
          <w:lang w:eastAsia="en-US"/>
        </w:rPr>
      </w:pPr>
      <w:r w:rsidRPr="005B0E5B">
        <w:rPr>
          <w:rFonts w:eastAsiaTheme="minorHAnsi" w:cs="Arial"/>
          <w:lang w:eastAsia="en-US"/>
        </w:rPr>
        <w:t xml:space="preserve">Matières particulaires (MP) </w:t>
      </w:r>
    </w:p>
    <w:p w14:paraId="7FD7909C" w14:textId="77777777" w:rsidR="00836964" w:rsidRPr="005B0E5B" w:rsidRDefault="00836964" w:rsidP="00836964">
      <w:pPr>
        <w:autoSpaceDE w:val="0"/>
        <w:autoSpaceDN w:val="0"/>
        <w:adjustRightInd w:val="0"/>
        <w:rPr>
          <w:rFonts w:eastAsiaTheme="minorHAnsi" w:cs="Arial"/>
          <w:lang w:eastAsia="en-US"/>
        </w:rPr>
      </w:pPr>
      <w:r w:rsidRPr="005B0E5B">
        <w:rPr>
          <w:rFonts w:eastAsiaTheme="minorHAnsi" w:cs="Arial"/>
          <w:lang w:eastAsia="en-US"/>
        </w:rPr>
        <w:t>Substances qui appauvrissent la couche d’ozone</w:t>
      </w:r>
    </w:p>
    <w:p w14:paraId="0BD3B2AD" w14:textId="77777777" w:rsidR="00836964" w:rsidRPr="005B0E5B" w:rsidRDefault="00836964" w:rsidP="00836964">
      <w:pPr>
        <w:autoSpaceDE w:val="0"/>
        <w:autoSpaceDN w:val="0"/>
        <w:adjustRightInd w:val="0"/>
        <w:rPr>
          <w:rFonts w:eastAsiaTheme="minorHAnsi" w:cs="Arial"/>
          <w:lang w:eastAsia="en-US"/>
        </w:rPr>
      </w:pPr>
      <w:r w:rsidRPr="005B0E5B">
        <w:rPr>
          <w:rFonts w:eastAsiaTheme="minorHAnsi" w:cs="Arial"/>
          <w:lang w:eastAsia="en-US"/>
        </w:rPr>
        <w:t>Sources mobiles terrestres</w:t>
      </w:r>
    </w:p>
    <w:p w14:paraId="537A5004" w14:textId="77777777" w:rsidR="00836964" w:rsidRPr="005B0E5B" w:rsidRDefault="00836964" w:rsidP="00836964">
      <w:pPr>
        <w:autoSpaceDE w:val="0"/>
        <w:autoSpaceDN w:val="0"/>
        <w:adjustRightInd w:val="0"/>
        <w:rPr>
          <w:rFonts w:eastAsiaTheme="minorHAnsi" w:cs="Arial"/>
          <w:lang w:eastAsia="en-US"/>
        </w:rPr>
      </w:pPr>
      <w:r w:rsidRPr="005B0E5B">
        <w:rPr>
          <w:rFonts w:eastAsiaTheme="minorHAnsi" w:cs="Arial"/>
          <w:lang w:eastAsia="en-US"/>
        </w:rPr>
        <w:t xml:space="preserve">Gaz à effet de serre (GES) </w:t>
      </w:r>
    </w:p>
    <w:p w14:paraId="165C9A00" w14:textId="77777777" w:rsidR="00836964" w:rsidRPr="005B0E5B" w:rsidRDefault="00836964" w:rsidP="00836964">
      <w:pPr>
        <w:autoSpaceDE w:val="0"/>
        <w:autoSpaceDN w:val="0"/>
        <w:adjustRightInd w:val="0"/>
        <w:rPr>
          <w:rFonts w:eastAsiaTheme="minorHAnsi" w:cs="Arial"/>
          <w:lang w:eastAsia="en-US"/>
        </w:rPr>
      </w:pPr>
      <w:r w:rsidRPr="005B0E5B">
        <w:rPr>
          <w:rFonts w:eastAsiaTheme="minorHAnsi" w:cs="Arial"/>
          <w:lang w:eastAsia="en-US"/>
        </w:rPr>
        <w:t>Suivi</w:t>
      </w:r>
    </w:p>
    <w:p w14:paraId="798C9EBB" w14:textId="77777777" w:rsidR="00836964" w:rsidRPr="005B0E5B" w:rsidRDefault="00836964" w:rsidP="00836964">
      <w:pPr>
        <w:autoSpaceDE w:val="0"/>
        <w:autoSpaceDN w:val="0"/>
        <w:adjustRightInd w:val="0"/>
        <w:rPr>
          <w:rFonts w:cs="Arial"/>
          <w:b/>
        </w:rPr>
      </w:pPr>
      <w:r w:rsidRPr="005B0E5B">
        <w:rPr>
          <w:rFonts w:eastAsiaTheme="minorHAnsi" w:cs="Arial"/>
          <w:lang w:eastAsia="en-US"/>
        </w:rPr>
        <w:t xml:space="preserve">Suivi des émissions des opérations de combustion des petites centrales </w:t>
      </w:r>
    </w:p>
    <w:p w14:paraId="2EB25181" w14:textId="77777777" w:rsidR="00836964" w:rsidRPr="005B0E5B" w:rsidRDefault="00836964" w:rsidP="00836964">
      <w:pPr>
        <w:rPr>
          <w:rFonts w:cs="Arial"/>
        </w:rPr>
      </w:pPr>
      <w:r w:rsidRPr="005B0E5B">
        <w:rPr>
          <w:rFonts w:cs="Arial"/>
        </w:rPr>
        <w:t>Les directives EHS générales s’appliquent aux installations ou projets produisant des émissions atmosphériques à une étape quelconque de leur cycle de vie. Elles complètent les Directives EHS spécifiques aux différentes branches d’activité en donnant des informations sur les techniques de gestion des émissions qui peuvent être employées dans de nombreuses branches d’activité.</w:t>
      </w:r>
    </w:p>
    <w:p w14:paraId="7A6FC616" w14:textId="77777777" w:rsidR="00836964" w:rsidRPr="005B0E5B" w:rsidRDefault="00836964" w:rsidP="00836964">
      <w:pPr>
        <w:rPr>
          <w:rFonts w:cs="Arial"/>
        </w:rPr>
      </w:pPr>
      <w:r w:rsidRPr="005B0E5B">
        <w:rPr>
          <w:rFonts w:cs="Arial"/>
        </w:rPr>
        <w:t>Ces directives fournissent un cadre à la gestion des sources d’émissions significatives, notamment en indiquant la marche à suivre pour évaluer et suivre les impacts. Elles donnent également de plus amples informations sur la gestion des émissions pour des projets situés dans des zones où la mauvaise qualité de l’air nécessite l’établissement de normes d’émissions spécifiques à ces projets.</w:t>
      </w:r>
    </w:p>
    <w:p w14:paraId="3C18C342" w14:textId="77777777" w:rsidR="00836964" w:rsidRPr="005B0E5B" w:rsidRDefault="00836964" w:rsidP="00836964">
      <w:pPr>
        <w:rPr>
          <w:rFonts w:cs="Arial"/>
        </w:rPr>
      </w:pPr>
      <w:r w:rsidRPr="005B0E5B">
        <w:rPr>
          <w:rFonts w:cs="Arial"/>
        </w:rPr>
        <w:t>Les émissions de polluants atmosphériques résultent de nombreuses activités et se produisent durant les phases de construction, d’exploitation et de fermeture. Il est possible de classer ces activités selon la localisation des sources (sources ponctuelles, sources diffuses et sources mobiles), puis selon les processus (combustion, stockage ou autres activités spécifiques à un domaine particulier).</w:t>
      </w:r>
    </w:p>
    <w:p w14:paraId="47DEFC59" w14:textId="77777777" w:rsidR="00836964" w:rsidRPr="005B0E5B" w:rsidRDefault="00836964" w:rsidP="00836964">
      <w:pPr>
        <w:rPr>
          <w:rFonts w:cs="Arial"/>
          <w:b/>
        </w:rPr>
      </w:pPr>
      <w:r w:rsidRPr="005B0E5B">
        <w:rPr>
          <w:rFonts w:cs="Arial"/>
          <w:b/>
        </w:rPr>
        <w:t>Qualité de l’air ambiant</w:t>
      </w:r>
    </w:p>
    <w:p w14:paraId="5083AE75" w14:textId="77777777" w:rsidR="00836964" w:rsidRPr="005B0E5B" w:rsidRDefault="00836964" w:rsidP="00836964">
      <w:pPr>
        <w:rPr>
          <w:rFonts w:cs="Arial"/>
        </w:rPr>
      </w:pPr>
      <w:r w:rsidRPr="005B0E5B">
        <w:rPr>
          <w:rFonts w:cs="Arial"/>
        </w:rPr>
        <w:t>Les projets ayant des sources notables d’émissions atmosphériques</w:t>
      </w:r>
      <w:r w:rsidRPr="005B0E5B">
        <w:rPr>
          <w:rFonts w:cs="Arial"/>
          <w:vertAlign w:val="superscript"/>
        </w:rPr>
        <w:t>5</w:t>
      </w:r>
      <w:proofErr w:type="gramStart"/>
      <w:r w:rsidRPr="005B0E5B">
        <w:rPr>
          <w:rFonts w:cs="Arial"/>
          <w:vertAlign w:val="superscript"/>
        </w:rPr>
        <w:t>,6</w:t>
      </w:r>
      <w:proofErr w:type="gramEnd"/>
      <w:r w:rsidRPr="005B0E5B">
        <w:rPr>
          <w:rFonts w:cs="Arial"/>
        </w:rPr>
        <w:t xml:space="preserve"> et pouvant avoir des impacts notables sur la qualité de l’air ambiant, doivent prévenir ou réduire au minimum ces impacts en veillant à ce que :</w:t>
      </w:r>
    </w:p>
    <w:p w14:paraId="3BAE156E" w14:textId="77777777" w:rsidR="00836964" w:rsidRPr="005B0E5B" w:rsidRDefault="00836964" w:rsidP="0095003D">
      <w:pPr>
        <w:pStyle w:val="Paragraphedeliste"/>
        <w:numPr>
          <w:ilvl w:val="0"/>
          <w:numId w:val="172"/>
        </w:numPr>
        <w:spacing w:after="0"/>
        <w:rPr>
          <w:rFonts w:cs="Arial"/>
        </w:rPr>
      </w:pPr>
      <w:r w:rsidRPr="005B0E5B">
        <w:rPr>
          <w:rFonts w:cs="Arial"/>
        </w:rPr>
        <w:t>Les émissions ne génèrent pas des concentrations de polluants qui atteignent ou dépassent les valeurs recommandées et les normes</w:t>
      </w:r>
      <w:r w:rsidRPr="005B0E5B">
        <w:rPr>
          <w:rFonts w:cs="Arial"/>
          <w:vertAlign w:val="superscript"/>
        </w:rPr>
        <w:t>7</w:t>
      </w:r>
      <w:r w:rsidRPr="005B0E5B">
        <w:rPr>
          <w:rFonts w:cs="Arial"/>
        </w:rPr>
        <w:t xml:space="preserve"> pour la qualité de l’air ambiant requises par la législation nationale en vigueur. En l’absence d’une telle législation, les Directives de l’OMS concernant la qualité de l’air</w:t>
      </w:r>
      <w:r w:rsidRPr="005B0E5B">
        <w:rPr>
          <w:rFonts w:cs="Arial"/>
          <w:vertAlign w:val="superscript"/>
        </w:rPr>
        <w:t>8</w:t>
      </w:r>
      <w:r w:rsidRPr="005B0E5B">
        <w:rPr>
          <w:rFonts w:cs="Arial"/>
        </w:rPr>
        <w:t xml:space="preserve"> (voir Tableau 1.1.1) ou autres sources internationales</w:t>
      </w:r>
      <w:r w:rsidRPr="005B0E5B">
        <w:rPr>
          <w:rFonts w:cs="Arial"/>
          <w:vertAlign w:val="superscript"/>
        </w:rPr>
        <w:t>9</w:t>
      </w:r>
      <w:r w:rsidRPr="005B0E5B">
        <w:rPr>
          <w:rFonts w:cs="Arial"/>
        </w:rPr>
        <w:t xml:space="preserve"> s’appliquent.</w:t>
      </w:r>
    </w:p>
    <w:p w14:paraId="2078F35B" w14:textId="77777777" w:rsidR="00836964" w:rsidRPr="005B0E5B" w:rsidRDefault="00836964" w:rsidP="0095003D">
      <w:pPr>
        <w:pStyle w:val="Paragraphedeliste"/>
        <w:numPr>
          <w:ilvl w:val="0"/>
          <w:numId w:val="172"/>
        </w:numPr>
        <w:spacing w:after="0"/>
        <w:rPr>
          <w:rFonts w:cs="Arial"/>
        </w:rPr>
      </w:pPr>
      <w:r w:rsidRPr="005B0E5B">
        <w:rPr>
          <w:rFonts w:cs="Arial"/>
        </w:rPr>
        <w:t>Les émissions ne contribuent pas de manière significative à l’atteinte des seuils indiqués par les directives ou normes pour la qualité de l’air ambiant. En règle générale, la présente Directive préconise de retenir un niveau représentant 25 % des normes applicables pour permettre la poursuite d’un développement durable dans un même bassin atmosphérique</w:t>
      </w:r>
      <w:r w:rsidRPr="005B0E5B">
        <w:rPr>
          <w:rFonts w:cs="Arial"/>
          <w:vertAlign w:val="superscript"/>
        </w:rPr>
        <w:t>10</w:t>
      </w:r>
      <w:r w:rsidRPr="005B0E5B">
        <w:rPr>
          <w:rFonts w:cs="Arial"/>
        </w:rPr>
        <w:t>.</w:t>
      </w:r>
    </w:p>
    <w:p w14:paraId="764FA5DB" w14:textId="77777777" w:rsidR="00836964" w:rsidRPr="005B0E5B" w:rsidRDefault="00836964" w:rsidP="00836964">
      <w:pPr>
        <w:rPr>
          <w:rFonts w:cs="Arial"/>
        </w:rPr>
      </w:pPr>
    </w:p>
    <w:p w14:paraId="689ACC46" w14:textId="77777777" w:rsidR="00836964" w:rsidRPr="005B0E5B" w:rsidRDefault="00836964" w:rsidP="00836964">
      <w:pPr>
        <w:widowControl w:val="0"/>
        <w:autoSpaceDE w:val="0"/>
        <w:autoSpaceDN w:val="0"/>
        <w:adjustRightInd w:val="0"/>
        <w:ind w:left="402"/>
        <w:rPr>
          <w:rFonts w:cs="Arial"/>
          <w:b/>
        </w:rPr>
      </w:pPr>
      <w:r w:rsidRPr="005B0E5B">
        <w:rPr>
          <w:rFonts w:cs="Arial"/>
          <w:b/>
        </w:rPr>
        <w:t>1.3 Eaux usées et qualité de l’eau</w:t>
      </w:r>
    </w:p>
    <w:tbl>
      <w:tblPr>
        <w:tblW w:w="0" w:type="auto"/>
        <w:tblLook w:val="04A0" w:firstRow="1" w:lastRow="0" w:firstColumn="1" w:lastColumn="0" w:noHBand="0" w:noVBand="1"/>
      </w:tblPr>
      <w:tblGrid>
        <w:gridCol w:w="4531"/>
        <w:gridCol w:w="4531"/>
      </w:tblGrid>
      <w:tr w:rsidR="00836964" w:rsidRPr="005B0E5B" w14:paraId="5FD2C1B8" w14:textId="77777777" w:rsidTr="00836964">
        <w:tc>
          <w:tcPr>
            <w:tcW w:w="4531" w:type="dxa"/>
          </w:tcPr>
          <w:p w14:paraId="0C92B6D7" w14:textId="77777777" w:rsidR="00836964" w:rsidRPr="005B0E5B" w:rsidRDefault="00836964" w:rsidP="00836964">
            <w:pPr>
              <w:rPr>
                <w:rFonts w:eastAsiaTheme="minorHAnsi" w:cs="Arial"/>
                <w:lang w:eastAsia="en-US"/>
              </w:rPr>
            </w:pPr>
            <w:r w:rsidRPr="005B0E5B">
              <w:rPr>
                <w:rFonts w:eastAsiaTheme="minorHAnsi" w:cs="Arial"/>
                <w:lang w:eastAsia="en-US"/>
              </w:rPr>
              <w:t xml:space="preserve">Champ d’application et approche </w:t>
            </w:r>
          </w:p>
          <w:p w14:paraId="737CFEF0" w14:textId="77777777" w:rsidR="00836964" w:rsidRPr="005B0E5B" w:rsidRDefault="00836964" w:rsidP="00836964">
            <w:pPr>
              <w:rPr>
                <w:rFonts w:eastAsiaTheme="minorHAnsi" w:cs="Arial"/>
                <w:lang w:eastAsia="en-US"/>
              </w:rPr>
            </w:pPr>
            <w:r w:rsidRPr="005B0E5B">
              <w:rPr>
                <w:rFonts w:eastAsiaTheme="minorHAnsi" w:cs="Arial"/>
                <w:lang w:eastAsia="en-US"/>
              </w:rPr>
              <w:t>Qualité des effluents liquides</w:t>
            </w:r>
          </w:p>
          <w:p w14:paraId="1D4D3D2B" w14:textId="77777777" w:rsidR="00836964" w:rsidRPr="005B0E5B" w:rsidRDefault="00836964" w:rsidP="00836964">
            <w:pPr>
              <w:rPr>
                <w:rFonts w:eastAsiaTheme="minorHAnsi" w:cs="Arial"/>
                <w:lang w:eastAsia="en-US"/>
              </w:rPr>
            </w:pPr>
            <w:r w:rsidRPr="005B0E5B">
              <w:rPr>
                <w:rFonts w:eastAsiaTheme="minorHAnsi" w:cs="Arial"/>
                <w:lang w:eastAsia="en-US"/>
              </w:rPr>
              <w:t xml:space="preserve">Rejet dans les eaux de surface </w:t>
            </w:r>
          </w:p>
          <w:p w14:paraId="37305764" w14:textId="77777777" w:rsidR="00836964" w:rsidRPr="005B0E5B" w:rsidRDefault="00836964" w:rsidP="00836964">
            <w:pPr>
              <w:rPr>
                <w:rFonts w:eastAsiaTheme="minorHAnsi" w:cs="Arial"/>
                <w:lang w:eastAsia="en-US"/>
              </w:rPr>
            </w:pPr>
            <w:r w:rsidRPr="005B0E5B">
              <w:rPr>
                <w:rFonts w:eastAsiaTheme="minorHAnsi" w:cs="Arial"/>
                <w:lang w:eastAsia="en-US"/>
              </w:rPr>
              <w:t xml:space="preserve">Rejet dans les égouts </w:t>
            </w:r>
          </w:p>
          <w:p w14:paraId="549556B7" w14:textId="77777777" w:rsidR="00836964" w:rsidRPr="005B0E5B" w:rsidRDefault="00836964" w:rsidP="00836964">
            <w:pPr>
              <w:rPr>
                <w:rFonts w:eastAsiaTheme="minorHAnsi" w:cs="Arial"/>
                <w:lang w:eastAsia="en-US"/>
              </w:rPr>
            </w:pPr>
            <w:r w:rsidRPr="005B0E5B">
              <w:rPr>
                <w:rFonts w:eastAsiaTheme="minorHAnsi" w:cs="Arial"/>
                <w:lang w:eastAsia="en-US"/>
              </w:rPr>
              <w:t xml:space="preserve">Épandage des effluents après traitement </w:t>
            </w:r>
          </w:p>
          <w:p w14:paraId="002C9DF3" w14:textId="77777777" w:rsidR="00836964" w:rsidRPr="005B0E5B" w:rsidRDefault="00836964" w:rsidP="00836964">
            <w:pPr>
              <w:rPr>
                <w:rFonts w:eastAsiaTheme="minorHAnsi" w:cs="Arial"/>
                <w:lang w:eastAsia="en-US"/>
              </w:rPr>
            </w:pPr>
            <w:r w:rsidRPr="005B0E5B">
              <w:rPr>
                <w:rFonts w:eastAsiaTheme="minorHAnsi" w:cs="Arial"/>
                <w:lang w:eastAsia="en-US"/>
              </w:rPr>
              <w:t>Fosses septiques</w:t>
            </w:r>
          </w:p>
          <w:p w14:paraId="4AB4233B" w14:textId="77777777" w:rsidR="00836964" w:rsidRPr="005B0E5B" w:rsidRDefault="00836964" w:rsidP="00836964">
            <w:pPr>
              <w:rPr>
                <w:rFonts w:eastAsiaTheme="minorHAnsi" w:cs="Arial"/>
                <w:lang w:eastAsia="en-US"/>
              </w:rPr>
            </w:pPr>
            <w:r w:rsidRPr="005B0E5B">
              <w:rPr>
                <w:rFonts w:eastAsiaTheme="minorHAnsi" w:cs="Arial"/>
                <w:lang w:eastAsia="en-US"/>
              </w:rPr>
              <w:t xml:space="preserve">Gestion des eaux usées </w:t>
            </w:r>
          </w:p>
          <w:p w14:paraId="7BB871DD" w14:textId="77777777" w:rsidR="00836964" w:rsidRPr="005B0E5B" w:rsidRDefault="00836964" w:rsidP="00836964">
            <w:pPr>
              <w:rPr>
                <w:rFonts w:eastAsiaTheme="minorHAnsi" w:cs="Arial"/>
                <w:lang w:eastAsia="en-US"/>
              </w:rPr>
            </w:pPr>
            <w:r w:rsidRPr="005B0E5B">
              <w:rPr>
                <w:rFonts w:eastAsiaTheme="minorHAnsi" w:cs="Arial"/>
                <w:lang w:eastAsia="en-US"/>
              </w:rPr>
              <w:t xml:space="preserve">Eaux usées industrielles </w:t>
            </w:r>
          </w:p>
        </w:tc>
        <w:tc>
          <w:tcPr>
            <w:tcW w:w="4531" w:type="dxa"/>
          </w:tcPr>
          <w:p w14:paraId="6DF514EE" w14:textId="77777777" w:rsidR="00836964" w:rsidRPr="005B0E5B" w:rsidRDefault="00836964" w:rsidP="00836964">
            <w:pPr>
              <w:rPr>
                <w:rFonts w:eastAsiaTheme="minorHAnsi" w:cs="Arial"/>
                <w:lang w:eastAsia="en-US"/>
              </w:rPr>
            </w:pPr>
            <w:r w:rsidRPr="005B0E5B">
              <w:rPr>
                <w:rFonts w:eastAsiaTheme="minorHAnsi" w:cs="Arial"/>
                <w:lang w:eastAsia="en-US"/>
              </w:rPr>
              <w:t>Eaux usées sanitaires</w:t>
            </w:r>
          </w:p>
          <w:p w14:paraId="6E30F328" w14:textId="77777777" w:rsidR="00836964" w:rsidRPr="005B0E5B" w:rsidRDefault="00836964" w:rsidP="00836964">
            <w:pPr>
              <w:rPr>
                <w:rFonts w:eastAsiaTheme="minorHAnsi" w:cs="Arial"/>
                <w:lang w:eastAsia="en-US"/>
              </w:rPr>
            </w:pPr>
            <w:r w:rsidRPr="005B0E5B">
              <w:rPr>
                <w:rFonts w:eastAsiaTheme="minorHAnsi" w:cs="Arial"/>
                <w:lang w:eastAsia="en-US"/>
              </w:rPr>
              <w:t xml:space="preserve">Émissions issues du traitement des eaux usées </w:t>
            </w:r>
          </w:p>
          <w:p w14:paraId="66ED39BE" w14:textId="77777777" w:rsidR="00836964" w:rsidRPr="005B0E5B" w:rsidRDefault="00836964" w:rsidP="00836964">
            <w:pPr>
              <w:rPr>
                <w:rFonts w:eastAsiaTheme="minorHAnsi" w:cs="Arial"/>
                <w:lang w:eastAsia="en-US"/>
              </w:rPr>
            </w:pPr>
            <w:r w:rsidRPr="005B0E5B">
              <w:rPr>
                <w:rFonts w:eastAsiaTheme="minorHAnsi" w:cs="Arial"/>
                <w:lang w:eastAsia="en-US"/>
              </w:rPr>
              <w:t>Résidus issus du traitement des eaux usées</w:t>
            </w:r>
          </w:p>
          <w:p w14:paraId="35CD23BD" w14:textId="77777777" w:rsidR="00836964" w:rsidRPr="005B0E5B" w:rsidRDefault="00836964" w:rsidP="00836964">
            <w:pPr>
              <w:rPr>
                <w:rFonts w:eastAsiaTheme="minorHAnsi" w:cs="Arial"/>
                <w:lang w:eastAsia="en-US"/>
              </w:rPr>
            </w:pPr>
            <w:r w:rsidRPr="005B0E5B">
              <w:rPr>
                <w:rFonts w:eastAsiaTheme="minorHAnsi" w:cs="Arial"/>
                <w:lang w:eastAsia="en-US"/>
              </w:rPr>
              <w:t xml:space="preserve">Questions de santé et de sécurité au travail relatives </w:t>
            </w:r>
            <w:proofErr w:type="gramStart"/>
            <w:r w:rsidRPr="005B0E5B">
              <w:rPr>
                <w:rFonts w:eastAsiaTheme="minorHAnsi" w:cs="Arial"/>
                <w:lang w:eastAsia="en-US"/>
              </w:rPr>
              <w:t>aux traitement</w:t>
            </w:r>
            <w:proofErr w:type="gramEnd"/>
            <w:r w:rsidRPr="005B0E5B">
              <w:rPr>
                <w:rFonts w:eastAsiaTheme="minorHAnsi" w:cs="Arial"/>
                <w:lang w:eastAsia="en-US"/>
              </w:rPr>
              <w:t xml:space="preserve"> des eaux usées</w:t>
            </w:r>
          </w:p>
          <w:p w14:paraId="19E0CADA" w14:textId="77777777" w:rsidR="00836964" w:rsidRPr="005B0E5B" w:rsidRDefault="00836964" w:rsidP="00836964">
            <w:pPr>
              <w:widowControl w:val="0"/>
              <w:rPr>
                <w:rFonts w:cs="Arial"/>
              </w:rPr>
            </w:pPr>
            <w:r w:rsidRPr="005B0E5B">
              <w:rPr>
                <w:rFonts w:eastAsiaTheme="minorHAnsi" w:cs="Arial"/>
                <w:lang w:eastAsia="en-US"/>
              </w:rPr>
              <w:t>Suivi</w:t>
            </w:r>
          </w:p>
        </w:tc>
      </w:tr>
    </w:tbl>
    <w:p w14:paraId="335E9659" w14:textId="77777777" w:rsidR="00836964" w:rsidRPr="005B0E5B" w:rsidRDefault="00836964" w:rsidP="00836964">
      <w:pPr>
        <w:widowControl w:val="0"/>
        <w:autoSpaceDE w:val="0"/>
        <w:autoSpaceDN w:val="0"/>
        <w:adjustRightInd w:val="0"/>
        <w:rPr>
          <w:rFonts w:cs="Arial"/>
        </w:rPr>
      </w:pPr>
    </w:p>
    <w:p w14:paraId="4EBA9A64" w14:textId="77777777" w:rsidR="00836964" w:rsidRPr="005B0E5B" w:rsidRDefault="00836964" w:rsidP="00836964">
      <w:pPr>
        <w:widowControl w:val="0"/>
        <w:autoSpaceDE w:val="0"/>
        <w:autoSpaceDN w:val="0"/>
        <w:adjustRightInd w:val="0"/>
        <w:rPr>
          <w:rFonts w:cs="Arial"/>
        </w:rPr>
      </w:pPr>
      <w:r w:rsidRPr="005B0E5B">
        <w:rPr>
          <w:rFonts w:cs="Arial"/>
        </w:rPr>
        <w:t>Ces directives s’appliquent aux projets rejetant dans l’environnement, directement ou indirectement, des eaux usées industrielles, des eaux usées sanitaires ou des eaux de ruissellement. Ces directives s’appliquent également aux rejets industriels dans les égouts qui se répandent dans l’environnement sans avoir subi de traitement. Les eaux usées industrielles peuvent contenir des eaux usées contaminées résultant de l’exploitation des systèmes d’utilité collective, des eaux de ruissellement et des eaux usées sanitaires. Ces directives fournissent des informations sur des techniques couramment employées pour la gestion des eaux usées, la réalisation d’économies d’eau et la réutilisation de l’eau, dans de nombreuses branches d’activité. Elles doivent être appliquées en même temps que les directives relatives aux effluents présentées dans les Directives EHS spécifiques aux différentes branches d’activité. Les projets qui peuvent produire des eaux usées industrielles, des eaux d’égout (eaux usées domestiques) ou des eaux de ruissellement doivent prendre toutes les mesures visant à éviter, réduire et maîtrise les impacts négatifs qui peuvent s’exercer au plan de la santé, de la sécurité et de l’environnement.</w:t>
      </w:r>
    </w:p>
    <w:p w14:paraId="67C1C1CC" w14:textId="77777777" w:rsidR="00836964" w:rsidRPr="005B0E5B" w:rsidRDefault="00836964" w:rsidP="00836964">
      <w:pPr>
        <w:widowControl w:val="0"/>
        <w:autoSpaceDE w:val="0"/>
        <w:autoSpaceDN w:val="0"/>
        <w:adjustRightInd w:val="0"/>
        <w:rPr>
          <w:rFonts w:cs="Arial"/>
        </w:rPr>
      </w:pPr>
    </w:p>
    <w:p w14:paraId="0F34964A" w14:textId="77777777" w:rsidR="00836964" w:rsidRPr="005B0E5B" w:rsidRDefault="00836964" w:rsidP="00836964">
      <w:pPr>
        <w:widowControl w:val="0"/>
        <w:autoSpaceDE w:val="0"/>
        <w:autoSpaceDN w:val="0"/>
        <w:adjustRightInd w:val="0"/>
        <w:rPr>
          <w:rFonts w:cs="Arial"/>
          <w:b/>
        </w:rPr>
      </w:pPr>
      <w:r w:rsidRPr="005B0E5B">
        <w:rPr>
          <w:rFonts w:cs="Arial"/>
          <w:b/>
        </w:rPr>
        <w:t>Qualité des effluents liquides</w:t>
      </w:r>
    </w:p>
    <w:p w14:paraId="28721B35" w14:textId="77777777" w:rsidR="00836964" w:rsidRPr="005B0E5B" w:rsidRDefault="00836964" w:rsidP="00836964">
      <w:pPr>
        <w:widowControl w:val="0"/>
        <w:autoSpaceDE w:val="0"/>
        <w:autoSpaceDN w:val="0"/>
        <w:adjustRightInd w:val="0"/>
        <w:ind w:left="708"/>
        <w:rPr>
          <w:rFonts w:cs="Arial"/>
          <w:b/>
        </w:rPr>
      </w:pPr>
      <w:r w:rsidRPr="005B0E5B">
        <w:rPr>
          <w:rFonts w:cs="Arial"/>
          <w:b/>
        </w:rPr>
        <w:t>Rejet dans les eaux de surface</w:t>
      </w:r>
    </w:p>
    <w:p w14:paraId="3C8A8484" w14:textId="77777777" w:rsidR="00836964" w:rsidRPr="005B0E5B" w:rsidRDefault="00836964" w:rsidP="00836964">
      <w:pPr>
        <w:widowControl w:val="0"/>
        <w:autoSpaceDE w:val="0"/>
        <w:autoSpaceDN w:val="0"/>
        <w:adjustRightInd w:val="0"/>
        <w:rPr>
          <w:rFonts w:eastAsiaTheme="minorHAnsi" w:cs="Arial"/>
          <w:lang w:eastAsia="en-US"/>
        </w:rPr>
      </w:pPr>
      <w:r w:rsidRPr="005B0E5B">
        <w:rPr>
          <w:rFonts w:cs="Arial"/>
        </w:rPr>
        <w:t xml:space="preserve">Le rejet dans les eaux de surface d’eaux usées industrielles ou sanitaires, d’eaux usées résultant du fonctionnement des équipements de services, ou d’eaux de ruissellement ne doit pas porter le taux de contaminants à un niveau supérieur aux normes </w:t>
      </w:r>
      <w:r w:rsidRPr="005B0E5B">
        <w:rPr>
          <w:rFonts w:eastAsiaTheme="minorHAnsi" w:cs="Arial"/>
          <w:lang w:eastAsia="en-US"/>
        </w:rPr>
        <w:t>locales pour la qualité de l’eau ou, à défaut, à d’autres normes de qualité de l’eau</w:t>
      </w:r>
      <w:r w:rsidRPr="005B0E5B">
        <w:rPr>
          <w:rFonts w:eastAsiaTheme="minorHAnsi" w:cs="Arial"/>
          <w:vertAlign w:val="superscript"/>
          <w:lang w:eastAsia="en-US"/>
        </w:rPr>
        <w:t>35</w:t>
      </w:r>
      <w:r w:rsidRPr="005B0E5B">
        <w:rPr>
          <w:rFonts w:eastAsiaTheme="minorHAnsi" w:cs="Arial"/>
          <w:lang w:eastAsia="en-US"/>
        </w:rPr>
        <w:t>. L’usage qui doit être fait des eaux réceptrices</w:t>
      </w:r>
      <w:r w:rsidRPr="005B0E5B">
        <w:rPr>
          <w:rFonts w:eastAsiaTheme="minorHAnsi" w:cs="Arial"/>
          <w:vertAlign w:val="superscript"/>
          <w:lang w:eastAsia="en-US"/>
        </w:rPr>
        <w:t>36</w:t>
      </w:r>
      <w:r w:rsidRPr="005B0E5B">
        <w:rPr>
          <w:rFonts w:eastAsiaTheme="minorHAnsi" w:cs="Arial"/>
          <w:lang w:eastAsia="en-US"/>
        </w:rPr>
        <w:t xml:space="preserve"> et la capacité d’assimilation de ces derniers</w:t>
      </w:r>
      <w:r w:rsidRPr="005B0E5B">
        <w:rPr>
          <w:rFonts w:eastAsiaTheme="minorHAnsi" w:cs="Arial"/>
          <w:vertAlign w:val="superscript"/>
          <w:lang w:eastAsia="en-US"/>
        </w:rPr>
        <w:t>37</w:t>
      </w:r>
      <w:r w:rsidRPr="005B0E5B">
        <w:rPr>
          <w:rFonts w:eastAsiaTheme="minorHAnsi" w:cs="Arial"/>
          <w:lang w:eastAsia="en-US"/>
        </w:rPr>
        <w:t>, compte tenu de l’existence d’autres sources de rejets, doit également déterminer les niveaux acceptables de pollution et de qualité des rejets.</w:t>
      </w:r>
    </w:p>
    <w:p w14:paraId="131C2136" w14:textId="77777777" w:rsidR="00836964" w:rsidRPr="005B0E5B" w:rsidRDefault="00836964" w:rsidP="00836964">
      <w:pPr>
        <w:autoSpaceDE w:val="0"/>
        <w:autoSpaceDN w:val="0"/>
        <w:adjustRightInd w:val="0"/>
        <w:ind w:left="708"/>
        <w:rPr>
          <w:rFonts w:eastAsiaTheme="minorHAnsi" w:cs="Arial"/>
          <w:b/>
          <w:iCs/>
          <w:lang w:eastAsia="en-US"/>
        </w:rPr>
      </w:pPr>
      <w:r w:rsidRPr="005B0E5B">
        <w:rPr>
          <w:rFonts w:eastAsiaTheme="minorHAnsi" w:cs="Arial"/>
          <w:b/>
          <w:iCs/>
          <w:lang w:eastAsia="en-US"/>
        </w:rPr>
        <w:t>Fosses septiques</w:t>
      </w:r>
    </w:p>
    <w:p w14:paraId="3932C3AC" w14:textId="77777777" w:rsidR="00836964" w:rsidRPr="005B0E5B" w:rsidRDefault="00836964" w:rsidP="00836964">
      <w:pPr>
        <w:autoSpaceDE w:val="0"/>
        <w:autoSpaceDN w:val="0"/>
        <w:adjustRightInd w:val="0"/>
        <w:rPr>
          <w:rFonts w:eastAsiaTheme="minorHAnsi" w:cs="Arial"/>
          <w:color w:val="000000"/>
          <w:lang w:eastAsia="en-US"/>
        </w:rPr>
      </w:pPr>
      <w:r w:rsidRPr="005B0E5B">
        <w:rPr>
          <w:rFonts w:eastAsiaTheme="minorHAnsi" w:cs="Arial"/>
          <w:color w:val="000000"/>
          <w:lang w:eastAsia="en-US"/>
        </w:rPr>
        <w:t>Les fosses septiques sont couramment utilisées pour le traitement et l’évacuation des eaux usées domestiques dans des zones sans systèmes de tout-à-l’égout. Les fosses septiques ne doivent être utilisées que pour le traitement des eaux usées sanitaires, elles ne sont pas adaptées au traitement des eaux usées industrielles.</w:t>
      </w:r>
    </w:p>
    <w:p w14:paraId="141AF82C" w14:textId="77777777" w:rsidR="00836964" w:rsidRPr="005B0E5B" w:rsidRDefault="00836964" w:rsidP="00836964">
      <w:pPr>
        <w:autoSpaceDE w:val="0"/>
        <w:autoSpaceDN w:val="0"/>
        <w:adjustRightInd w:val="0"/>
        <w:ind w:left="708"/>
        <w:rPr>
          <w:rFonts w:eastAsiaTheme="minorHAnsi" w:cs="Arial"/>
          <w:b/>
          <w:lang w:eastAsia="en-US"/>
        </w:rPr>
      </w:pPr>
      <w:r w:rsidRPr="005B0E5B">
        <w:rPr>
          <w:rFonts w:eastAsiaTheme="minorHAnsi" w:cs="Arial"/>
          <w:b/>
          <w:lang w:eastAsia="en-US"/>
        </w:rPr>
        <w:t>Gestion des eaux usées</w:t>
      </w:r>
    </w:p>
    <w:p w14:paraId="69AF6841" w14:textId="77777777" w:rsidR="00836964" w:rsidRPr="005B0E5B" w:rsidRDefault="00836964" w:rsidP="00836964">
      <w:pPr>
        <w:autoSpaceDE w:val="0"/>
        <w:autoSpaceDN w:val="0"/>
        <w:adjustRightInd w:val="0"/>
        <w:rPr>
          <w:rFonts w:eastAsiaTheme="minorHAnsi" w:cs="Arial"/>
          <w:color w:val="000000"/>
          <w:lang w:eastAsia="en-US"/>
        </w:rPr>
      </w:pPr>
      <w:r w:rsidRPr="005B0E5B">
        <w:rPr>
          <w:rFonts w:eastAsiaTheme="minorHAnsi" w:cs="Arial"/>
          <w:color w:val="000000"/>
          <w:lang w:eastAsia="en-US"/>
        </w:rPr>
        <w:t>Gérer les eaux usées consiste à économiser l’eau, traiter les eaux usées, gérer les eaux de ruissellement et suivre la qualité des eaux usées et de l’eau en général.</w:t>
      </w:r>
    </w:p>
    <w:p w14:paraId="619C3B86" w14:textId="77777777" w:rsidR="00836964" w:rsidRPr="005B0E5B" w:rsidRDefault="00836964" w:rsidP="00836964">
      <w:pPr>
        <w:autoSpaceDE w:val="0"/>
        <w:autoSpaceDN w:val="0"/>
        <w:adjustRightInd w:val="0"/>
        <w:ind w:left="708"/>
        <w:rPr>
          <w:rFonts w:eastAsiaTheme="minorHAnsi" w:cs="Arial"/>
          <w:b/>
          <w:iCs/>
          <w:lang w:eastAsia="en-US"/>
        </w:rPr>
      </w:pPr>
      <w:r w:rsidRPr="005B0E5B">
        <w:rPr>
          <w:rFonts w:eastAsiaTheme="minorHAnsi" w:cs="Arial"/>
          <w:b/>
          <w:iCs/>
          <w:lang w:eastAsia="en-US"/>
        </w:rPr>
        <w:t>Eaux usées industrielles</w:t>
      </w:r>
    </w:p>
    <w:p w14:paraId="41A469E2" w14:textId="77777777" w:rsidR="00836964" w:rsidRPr="005B0E5B" w:rsidRDefault="00836964" w:rsidP="00836964">
      <w:pPr>
        <w:autoSpaceDE w:val="0"/>
        <w:autoSpaceDN w:val="0"/>
        <w:adjustRightInd w:val="0"/>
        <w:rPr>
          <w:rFonts w:cs="Arial"/>
        </w:rPr>
      </w:pPr>
      <w:r w:rsidRPr="005B0E5B">
        <w:rPr>
          <w:rFonts w:eastAsiaTheme="minorHAnsi" w:cs="Arial"/>
          <w:color w:val="000000"/>
          <w:lang w:eastAsia="en-US"/>
        </w:rPr>
        <w:t>Les eaux usées industrielles comprennent les eaux résultant du fonctionnement des installations et des équipements de service,</w:t>
      </w:r>
    </w:p>
    <w:p w14:paraId="2B8A6B43" w14:textId="77777777" w:rsidR="00836964" w:rsidRPr="005B0E5B" w:rsidRDefault="00836964" w:rsidP="00836964">
      <w:pPr>
        <w:autoSpaceDE w:val="0"/>
        <w:autoSpaceDN w:val="0"/>
        <w:adjustRightInd w:val="0"/>
        <w:ind w:left="708"/>
        <w:rPr>
          <w:rFonts w:eastAsiaTheme="minorHAnsi" w:cs="Arial"/>
          <w:b/>
          <w:bCs/>
          <w:color w:val="000000"/>
          <w:lang w:eastAsia="en-US"/>
        </w:rPr>
      </w:pPr>
      <w:r w:rsidRPr="005B0E5B">
        <w:rPr>
          <w:rFonts w:eastAsiaTheme="minorHAnsi" w:cs="Arial"/>
          <w:b/>
          <w:bCs/>
          <w:color w:val="000000"/>
          <w:lang w:eastAsia="en-US"/>
        </w:rPr>
        <w:t>Eaux de ruissellement</w:t>
      </w:r>
    </w:p>
    <w:p w14:paraId="7841A8A7" w14:textId="77777777" w:rsidR="00836964" w:rsidRPr="005B0E5B" w:rsidRDefault="00836964" w:rsidP="00836964">
      <w:pPr>
        <w:autoSpaceDE w:val="0"/>
        <w:autoSpaceDN w:val="0"/>
        <w:adjustRightInd w:val="0"/>
        <w:rPr>
          <w:rFonts w:eastAsiaTheme="minorHAnsi" w:cs="Arial"/>
          <w:color w:val="000000"/>
          <w:lang w:eastAsia="en-US"/>
        </w:rPr>
      </w:pPr>
      <w:r w:rsidRPr="005B0E5B">
        <w:rPr>
          <w:rFonts w:eastAsiaTheme="minorHAnsi" w:cs="Arial"/>
          <w:color w:val="000000"/>
          <w:lang w:eastAsia="en-US"/>
        </w:rPr>
        <w:t>Ces eaux regroupent toutes les eaux d’écoulement et de pluie, de drainage ou d’autres sources. Elles contiennent des sédiments en suspension, des métaux, des hydrocarbures de pétrole, des hydrocarbures aromatiques polycycliques (HAP), des coliformes, etc. Un ruissellement rapide, même d’eaux non contaminées, dégrade également la qualité des eaux réceptrices en érodant les lits et les berges des cours d’eau.</w:t>
      </w:r>
    </w:p>
    <w:p w14:paraId="568354B2" w14:textId="77777777" w:rsidR="00836964" w:rsidRPr="005B0E5B" w:rsidRDefault="00836964" w:rsidP="00836964">
      <w:pPr>
        <w:autoSpaceDE w:val="0"/>
        <w:autoSpaceDN w:val="0"/>
        <w:adjustRightInd w:val="0"/>
        <w:rPr>
          <w:rFonts w:eastAsiaTheme="minorHAnsi" w:cs="Arial"/>
          <w:b/>
          <w:iCs/>
          <w:color w:val="2F2F9F"/>
          <w:lang w:eastAsia="en-US"/>
        </w:rPr>
      </w:pPr>
      <w:r w:rsidRPr="005B0E5B">
        <w:rPr>
          <w:rFonts w:eastAsiaTheme="minorHAnsi" w:cs="Arial"/>
          <w:b/>
          <w:iCs/>
          <w:color w:val="2F2F9F"/>
          <w:lang w:eastAsia="en-US"/>
        </w:rPr>
        <w:t>Eaux usées sanitaires</w:t>
      </w:r>
    </w:p>
    <w:p w14:paraId="075513B9" w14:textId="77777777" w:rsidR="00836964" w:rsidRPr="005B0E5B" w:rsidRDefault="00836964" w:rsidP="00836964">
      <w:pPr>
        <w:autoSpaceDE w:val="0"/>
        <w:autoSpaceDN w:val="0"/>
        <w:adjustRightInd w:val="0"/>
        <w:rPr>
          <w:rFonts w:cs="Arial"/>
        </w:rPr>
      </w:pPr>
      <w:r w:rsidRPr="005B0E5B">
        <w:rPr>
          <w:rFonts w:eastAsiaTheme="minorHAnsi" w:cs="Arial"/>
          <w:color w:val="000000"/>
          <w:lang w:eastAsia="en-US"/>
        </w:rPr>
        <w:t xml:space="preserve">Les eaux usées sanitaires des installations industrielles peuvent contenir des eaux d’égout domestiques et des eaux issues des services de restauration ou de blanchissage destinés aux employés du site. Les eaux usées provenant des laboratoires, des infirmeries, des installations d’adoucissement d’eau, etc. peuvent également être rejetées dans le système de traitement des eaux usées sanitaires. </w:t>
      </w:r>
    </w:p>
    <w:p w14:paraId="376EE9B6" w14:textId="77777777" w:rsidR="00836964" w:rsidRPr="005B0E5B" w:rsidRDefault="00836964" w:rsidP="00836964">
      <w:pPr>
        <w:widowControl w:val="0"/>
        <w:autoSpaceDE w:val="0"/>
        <w:autoSpaceDN w:val="0"/>
        <w:adjustRightInd w:val="0"/>
        <w:ind w:left="708"/>
        <w:rPr>
          <w:rFonts w:cs="Arial"/>
          <w:b/>
        </w:rPr>
      </w:pPr>
      <w:r w:rsidRPr="005B0E5B">
        <w:rPr>
          <w:rFonts w:cs="Arial"/>
          <w:b/>
        </w:rPr>
        <w:t>Suivi</w:t>
      </w:r>
    </w:p>
    <w:p w14:paraId="3508C110" w14:textId="77777777" w:rsidR="00836964" w:rsidRPr="005B0E5B" w:rsidRDefault="00836964" w:rsidP="00836964">
      <w:pPr>
        <w:widowControl w:val="0"/>
        <w:autoSpaceDE w:val="0"/>
        <w:autoSpaceDN w:val="0"/>
        <w:adjustRightInd w:val="0"/>
        <w:rPr>
          <w:rFonts w:cs="Arial"/>
        </w:rPr>
      </w:pPr>
      <w:r w:rsidRPr="005B0E5B">
        <w:rPr>
          <w:rFonts w:cs="Arial"/>
        </w:rPr>
        <w:t xml:space="preserve">Un programme de suivi de la qualité des eaux usées et de l’eau en général doit être établi et mis en œuvre avec les ressources nécessaires, sous la supervision de la direction. </w:t>
      </w:r>
    </w:p>
    <w:p w14:paraId="2BE34367" w14:textId="77777777" w:rsidR="00836964" w:rsidRPr="005B0E5B" w:rsidRDefault="00836964" w:rsidP="00836964">
      <w:pPr>
        <w:widowControl w:val="0"/>
        <w:autoSpaceDE w:val="0"/>
        <w:autoSpaceDN w:val="0"/>
        <w:adjustRightInd w:val="0"/>
        <w:ind w:left="402"/>
        <w:rPr>
          <w:rFonts w:eastAsiaTheme="minorHAnsi" w:cs="Arial"/>
          <w:b/>
          <w:bCs/>
          <w:lang w:eastAsia="en-US"/>
        </w:rPr>
      </w:pPr>
    </w:p>
    <w:p w14:paraId="489D8FEC" w14:textId="77777777" w:rsidR="00836964" w:rsidRPr="005B0E5B" w:rsidRDefault="00836964" w:rsidP="00836964">
      <w:pPr>
        <w:spacing w:after="160" w:line="259" w:lineRule="auto"/>
        <w:jc w:val="left"/>
        <w:rPr>
          <w:rFonts w:eastAsiaTheme="minorHAnsi" w:cs="Arial"/>
          <w:b/>
          <w:bCs/>
          <w:lang w:eastAsia="en-US"/>
        </w:rPr>
      </w:pPr>
      <w:r w:rsidRPr="005B0E5B">
        <w:rPr>
          <w:rFonts w:eastAsiaTheme="minorHAnsi" w:cs="Arial"/>
          <w:b/>
          <w:bCs/>
          <w:lang w:eastAsia="en-US"/>
        </w:rPr>
        <w:br w:type="page"/>
      </w:r>
    </w:p>
    <w:p w14:paraId="5FA731D7" w14:textId="77777777" w:rsidR="00836964" w:rsidRPr="005B0E5B" w:rsidRDefault="00836964" w:rsidP="00836964">
      <w:pPr>
        <w:widowControl w:val="0"/>
        <w:autoSpaceDE w:val="0"/>
        <w:autoSpaceDN w:val="0"/>
        <w:adjustRightInd w:val="0"/>
        <w:ind w:left="402"/>
        <w:rPr>
          <w:rFonts w:cs="Arial"/>
          <w:b/>
        </w:rPr>
      </w:pPr>
      <w:r w:rsidRPr="005B0E5B">
        <w:rPr>
          <w:rFonts w:eastAsiaTheme="minorHAnsi" w:cs="Arial"/>
          <w:b/>
          <w:bCs/>
          <w:lang w:eastAsia="en-US"/>
        </w:rPr>
        <w:t>1.6 Gestion des déchets</w:t>
      </w:r>
    </w:p>
    <w:p w14:paraId="2C2FEE88" w14:textId="77777777" w:rsidR="00836964" w:rsidRPr="005B0E5B" w:rsidRDefault="00836964" w:rsidP="00836964">
      <w:pPr>
        <w:widowControl w:val="0"/>
        <w:autoSpaceDE w:val="0"/>
        <w:autoSpaceDN w:val="0"/>
        <w:adjustRightInd w:val="0"/>
        <w:ind w:left="402"/>
        <w:rPr>
          <w:rFonts w:cs="Arial"/>
          <w:sz w:val="12"/>
          <w:szCs w:val="16"/>
        </w:rPr>
      </w:pPr>
    </w:p>
    <w:tbl>
      <w:tblPr>
        <w:tblW w:w="0" w:type="auto"/>
        <w:tblInd w:w="402" w:type="dxa"/>
        <w:tblLook w:val="04A0" w:firstRow="1" w:lastRow="0" w:firstColumn="1" w:lastColumn="0" w:noHBand="0" w:noVBand="1"/>
      </w:tblPr>
      <w:tblGrid>
        <w:gridCol w:w="4531"/>
        <w:gridCol w:w="4531"/>
      </w:tblGrid>
      <w:tr w:rsidR="00836964" w:rsidRPr="005B0E5B" w14:paraId="44935E5C" w14:textId="77777777" w:rsidTr="00836964">
        <w:tc>
          <w:tcPr>
            <w:tcW w:w="4531" w:type="dxa"/>
          </w:tcPr>
          <w:p w14:paraId="45DEA0B0" w14:textId="77777777" w:rsidR="00836964" w:rsidRPr="005B0E5B" w:rsidRDefault="00836964" w:rsidP="00836964">
            <w:pPr>
              <w:rPr>
                <w:rFonts w:eastAsiaTheme="minorHAnsi" w:cs="Arial"/>
                <w:lang w:eastAsia="en-US"/>
              </w:rPr>
            </w:pPr>
            <w:r w:rsidRPr="005B0E5B">
              <w:rPr>
                <w:rFonts w:eastAsiaTheme="minorHAnsi" w:cs="Arial"/>
                <w:lang w:eastAsia="en-US"/>
              </w:rPr>
              <w:t>Champ d’application et démarche ........51</w:t>
            </w:r>
          </w:p>
          <w:p w14:paraId="08C74C25" w14:textId="77777777" w:rsidR="00836964" w:rsidRPr="005B0E5B" w:rsidRDefault="00836964" w:rsidP="00836964">
            <w:pPr>
              <w:rPr>
                <w:rFonts w:eastAsiaTheme="minorHAnsi" w:cs="Arial"/>
                <w:lang w:eastAsia="en-US"/>
              </w:rPr>
            </w:pPr>
            <w:r w:rsidRPr="005B0E5B">
              <w:rPr>
                <w:rFonts w:eastAsiaTheme="minorHAnsi" w:cs="Arial"/>
                <w:lang w:eastAsia="en-US"/>
              </w:rPr>
              <w:t>Gestion de déchets généraux...............52</w:t>
            </w:r>
          </w:p>
          <w:p w14:paraId="60C0D080" w14:textId="77777777" w:rsidR="00836964" w:rsidRPr="005B0E5B" w:rsidRDefault="00836964" w:rsidP="00836964">
            <w:pPr>
              <w:rPr>
                <w:rFonts w:eastAsiaTheme="minorHAnsi" w:cs="Arial"/>
                <w:lang w:eastAsia="en-US"/>
              </w:rPr>
            </w:pPr>
            <w:r w:rsidRPr="005B0E5B">
              <w:rPr>
                <w:rFonts w:eastAsiaTheme="minorHAnsi" w:cs="Arial"/>
                <w:lang w:eastAsia="en-US"/>
              </w:rPr>
              <w:t>Planification de la gestion des déchets.52</w:t>
            </w:r>
          </w:p>
          <w:p w14:paraId="600BAD05" w14:textId="77777777" w:rsidR="00836964" w:rsidRPr="005B0E5B" w:rsidRDefault="00836964" w:rsidP="00836964">
            <w:pPr>
              <w:rPr>
                <w:rFonts w:eastAsiaTheme="minorHAnsi" w:cs="Arial"/>
                <w:lang w:eastAsia="en-US"/>
              </w:rPr>
            </w:pPr>
            <w:r w:rsidRPr="005B0E5B">
              <w:rPr>
                <w:rFonts w:eastAsiaTheme="minorHAnsi" w:cs="Arial"/>
                <w:lang w:eastAsia="en-US"/>
              </w:rPr>
              <w:t>Prévention des déchets ........................52</w:t>
            </w:r>
          </w:p>
          <w:p w14:paraId="3AF96F96" w14:textId="77777777" w:rsidR="00836964" w:rsidRPr="005B0E5B" w:rsidRDefault="00836964" w:rsidP="00836964">
            <w:pPr>
              <w:rPr>
                <w:rFonts w:eastAsiaTheme="minorHAnsi" w:cs="Arial"/>
                <w:lang w:eastAsia="en-US"/>
              </w:rPr>
            </w:pPr>
            <w:r w:rsidRPr="005B0E5B">
              <w:rPr>
                <w:rFonts w:eastAsiaTheme="minorHAnsi" w:cs="Arial"/>
                <w:lang w:eastAsia="en-US"/>
              </w:rPr>
              <w:t>Recyclage et réutilisation......................53</w:t>
            </w:r>
          </w:p>
        </w:tc>
        <w:tc>
          <w:tcPr>
            <w:tcW w:w="4531" w:type="dxa"/>
          </w:tcPr>
          <w:p w14:paraId="0E3A8E02" w14:textId="77777777" w:rsidR="00836964" w:rsidRPr="005B0E5B" w:rsidRDefault="00836964" w:rsidP="00836964">
            <w:pPr>
              <w:rPr>
                <w:rFonts w:eastAsiaTheme="minorHAnsi" w:cs="Arial"/>
                <w:lang w:eastAsia="en-US"/>
              </w:rPr>
            </w:pPr>
            <w:r w:rsidRPr="005B0E5B">
              <w:rPr>
                <w:rFonts w:eastAsiaTheme="minorHAnsi" w:cs="Arial"/>
                <w:lang w:eastAsia="en-US"/>
              </w:rPr>
              <w:t>Traitement et élimination ......................53</w:t>
            </w:r>
          </w:p>
          <w:p w14:paraId="7766A543" w14:textId="77777777" w:rsidR="00836964" w:rsidRPr="005B0E5B" w:rsidRDefault="00836964" w:rsidP="00836964">
            <w:pPr>
              <w:rPr>
                <w:rFonts w:eastAsiaTheme="minorHAnsi" w:cs="Arial"/>
                <w:lang w:eastAsia="en-US"/>
              </w:rPr>
            </w:pPr>
            <w:r w:rsidRPr="005B0E5B">
              <w:rPr>
                <w:rFonts w:eastAsiaTheme="minorHAnsi" w:cs="Arial"/>
                <w:lang w:eastAsia="en-US"/>
              </w:rPr>
              <w:t>Gestion des déchets dangereux ...........53</w:t>
            </w:r>
          </w:p>
          <w:p w14:paraId="37DEE092" w14:textId="77777777" w:rsidR="00836964" w:rsidRPr="005B0E5B" w:rsidRDefault="00836964" w:rsidP="00836964">
            <w:pPr>
              <w:rPr>
                <w:rFonts w:eastAsiaTheme="minorHAnsi" w:cs="Arial"/>
                <w:lang w:eastAsia="en-US"/>
              </w:rPr>
            </w:pPr>
            <w:r w:rsidRPr="005B0E5B">
              <w:rPr>
                <w:rFonts w:eastAsiaTheme="minorHAnsi" w:cs="Arial"/>
                <w:lang w:eastAsia="en-US"/>
              </w:rPr>
              <w:t>Stockage de l’eau .................................54</w:t>
            </w:r>
          </w:p>
          <w:p w14:paraId="7C5A03CC" w14:textId="77777777" w:rsidR="00836964" w:rsidRPr="005B0E5B" w:rsidRDefault="00836964" w:rsidP="00836964">
            <w:pPr>
              <w:rPr>
                <w:rFonts w:eastAsiaTheme="minorHAnsi" w:cs="Arial"/>
                <w:lang w:eastAsia="en-US"/>
              </w:rPr>
            </w:pPr>
            <w:r w:rsidRPr="005B0E5B">
              <w:rPr>
                <w:rFonts w:eastAsiaTheme="minorHAnsi" w:cs="Arial"/>
                <w:lang w:eastAsia="en-US"/>
              </w:rPr>
              <w:t>Transport ..............................................55</w:t>
            </w:r>
          </w:p>
          <w:p w14:paraId="2450A33F" w14:textId="77777777" w:rsidR="00836964" w:rsidRPr="005B0E5B" w:rsidRDefault="00836964" w:rsidP="00836964">
            <w:pPr>
              <w:rPr>
                <w:rFonts w:eastAsiaTheme="minorHAnsi" w:cs="Arial"/>
                <w:lang w:eastAsia="en-US"/>
              </w:rPr>
            </w:pPr>
            <w:r w:rsidRPr="005B0E5B">
              <w:rPr>
                <w:rFonts w:eastAsiaTheme="minorHAnsi" w:cs="Arial"/>
                <w:lang w:eastAsia="en-US"/>
              </w:rPr>
              <w:t>Traitement et élimination ......................55</w:t>
            </w:r>
          </w:p>
        </w:tc>
      </w:tr>
    </w:tbl>
    <w:p w14:paraId="6497CB48" w14:textId="77777777" w:rsidR="00836964" w:rsidRPr="005B0E5B" w:rsidRDefault="00836964" w:rsidP="00836964">
      <w:pPr>
        <w:widowControl w:val="0"/>
        <w:autoSpaceDE w:val="0"/>
        <w:autoSpaceDN w:val="0"/>
        <w:adjustRightInd w:val="0"/>
        <w:rPr>
          <w:rFonts w:cs="Arial"/>
          <w:sz w:val="16"/>
        </w:rPr>
      </w:pPr>
    </w:p>
    <w:p w14:paraId="2E5E7D85" w14:textId="77777777" w:rsidR="00836964" w:rsidRPr="005B0E5B" w:rsidRDefault="00836964" w:rsidP="00836964">
      <w:pPr>
        <w:widowControl w:val="0"/>
        <w:autoSpaceDE w:val="0"/>
        <w:autoSpaceDN w:val="0"/>
        <w:adjustRightInd w:val="0"/>
        <w:ind w:left="402"/>
        <w:rPr>
          <w:rFonts w:cs="Arial"/>
        </w:rPr>
      </w:pPr>
      <w:r w:rsidRPr="005B0E5B">
        <w:rPr>
          <w:rFonts w:cs="Arial"/>
        </w:rPr>
        <w:t>Ces principes s’appliquent à des projets comportant la production, le stockage ou la manutention de quantités de déchets dans toute une série de secteurs industriels. Ils ne sont pas censés s’appliquer à des projets ou des installations dont l’activité principale est la collecte, le transport, le traitement ou l’élimination de déchets. Des lignes directrices spécifiques à ces types d’installation sont présentées dans les directives sur la Santé et la Sécurité de l’Environnement pour les Installations de Gestion des Déchets.</w:t>
      </w:r>
    </w:p>
    <w:p w14:paraId="41A5F762" w14:textId="77777777" w:rsidR="00836964" w:rsidRPr="005B0E5B" w:rsidRDefault="00836964" w:rsidP="00836964">
      <w:pPr>
        <w:widowControl w:val="0"/>
        <w:autoSpaceDE w:val="0"/>
        <w:autoSpaceDN w:val="0"/>
        <w:adjustRightInd w:val="0"/>
        <w:ind w:left="402"/>
        <w:rPr>
          <w:rFonts w:cs="Arial"/>
        </w:rPr>
      </w:pPr>
      <w:r w:rsidRPr="005B0E5B">
        <w:rPr>
          <w:rFonts w:cs="Arial"/>
        </w:rPr>
        <w:t>Un déchet est une matière solide, liquide ou gazeuse confinée, dont on doit se débarrasser par élimination, recyclage ou incinération. Il peut s’agir d’un sous-produit de procédés de fabrication ou encore d’un produit commercial obsolète qui ne répond plus à l’application prévue et doit être éliminé.</w:t>
      </w:r>
    </w:p>
    <w:p w14:paraId="67046A60" w14:textId="47DD3260" w:rsidR="00836964" w:rsidRPr="005B0E5B" w:rsidRDefault="00836964" w:rsidP="00836964">
      <w:pPr>
        <w:widowControl w:val="0"/>
        <w:autoSpaceDE w:val="0"/>
        <w:autoSpaceDN w:val="0"/>
        <w:adjustRightInd w:val="0"/>
        <w:ind w:left="402"/>
        <w:rPr>
          <w:rFonts w:cs="Arial"/>
        </w:rPr>
      </w:pPr>
      <w:r w:rsidRPr="005B0E5B">
        <w:rPr>
          <w:rFonts w:cs="Arial"/>
          <w:sz w:val="14"/>
          <w:szCs w:val="16"/>
        </w:rPr>
        <w:t xml:space="preserve"> </w:t>
      </w:r>
      <w:r w:rsidRPr="005B0E5B">
        <w:rPr>
          <w:rFonts w:cs="Arial"/>
        </w:rPr>
        <w:t>Les déchets solides (non dangereux) comprennent généralement des détritus et déchets urbains de toutes sortes. On indiquera, à titre d’exemple, des ordures ménagères ; des inertes de construction / démolition ; des déchets métalliques et conteneurs vides (excepté ceux qui contenaient précédemment des matières dangereuses et qui devraient, en principe, être traités comme déchets dangereux) ; et des déchets résiduels d’activités industrielles, par exemple des scories de chaudière, du mâchefer et des cendres volantes.</w:t>
      </w:r>
    </w:p>
    <w:p w14:paraId="3BF2EA07" w14:textId="77777777" w:rsidR="00836964" w:rsidRPr="005B0E5B" w:rsidRDefault="00836964" w:rsidP="00836964">
      <w:pPr>
        <w:widowControl w:val="0"/>
        <w:autoSpaceDE w:val="0"/>
        <w:autoSpaceDN w:val="0"/>
        <w:adjustRightInd w:val="0"/>
        <w:ind w:left="402"/>
        <w:rPr>
          <w:rFonts w:cs="Arial"/>
        </w:rPr>
      </w:pPr>
      <w:r w:rsidRPr="005B0E5B">
        <w:rPr>
          <w:rFonts w:cs="Arial"/>
        </w:rPr>
        <w:t>Les déchets dangereux présentent les mêmes propriétés que les matières dangereuses (inflammabilité, corrosivité, réactivité ou toxicité), ou d’autres caractéristiques physiques, chimiques ou biologiques qui risquent de poser un risque pour la santé de l’homme ou l’environnement s’ils ne sont pas gérés convenablement. En outre, des déchets peuvent être définis comme étant « dangereux » par des règlements locaux ou des conventions internationales, sur la base soit de l’origine du déchet et de son inclusion dans des listes de déchets dangereux, soit sur la base de ses caractéristiques.</w:t>
      </w:r>
    </w:p>
    <w:p w14:paraId="7F713621" w14:textId="77777777" w:rsidR="00836964" w:rsidRPr="005B0E5B" w:rsidRDefault="00836964" w:rsidP="00836964">
      <w:pPr>
        <w:widowControl w:val="0"/>
        <w:autoSpaceDE w:val="0"/>
        <w:autoSpaceDN w:val="0"/>
        <w:adjustRightInd w:val="0"/>
        <w:ind w:left="402"/>
        <w:rPr>
          <w:rFonts w:cs="Arial"/>
        </w:rPr>
      </w:pPr>
      <w:r w:rsidRPr="005B0E5B">
        <w:rPr>
          <w:rFonts w:cs="Arial"/>
        </w:rPr>
        <w:t>Les boues provenant d’installations de traitement des déchets, de centrales de traitement de l’eau, ou d’installations de contrôle de la pollution de l’air, ainsi que des matières mises au rebut, y compris des matières solides, liquides, semi-solides ou gazeuses confinées résultant d’activités industrielles, doivent être évaluées au cas par cas afin d’établir s’il s’agit de déchets dangereux ou non dangereux.</w:t>
      </w:r>
    </w:p>
    <w:p w14:paraId="353693CA" w14:textId="77777777" w:rsidR="00836964" w:rsidRPr="005B0E5B" w:rsidRDefault="00836964" w:rsidP="00836964">
      <w:pPr>
        <w:widowControl w:val="0"/>
        <w:autoSpaceDE w:val="0"/>
        <w:autoSpaceDN w:val="0"/>
        <w:adjustRightInd w:val="0"/>
        <w:ind w:left="402"/>
        <w:rPr>
          <w:rFonts w:cs="Arial"/>
          <w:sz w:val="14"/>
          <w:szCs w:val="16"/>
        </w:rPr>
      </w:pPr>
    </w:p>
    <w:p w14:paraId="09D07358" w14:textId="77777777" w:rsidR="00836964" w:rsidRPr="005B0E5B" w:rsidRDefault="00836964" w:rsidP="00836964">
      <w:pPr>
        <w:widowControl w:val="0"/>
        <w:autoSpaceDE w:val="0"/>
        <w:autoSpaceDN w:val="0"/>
        <w:adjustRightInd w:val="0"/>
        <w:ind w:left="402"/>
        <w:rPr>
          <w:rFonts w:cs="Arial"/>
        </w:rPr>
      </w:pPr>
      <w:r w:rsidRPr="005B0E5B">
        <w:rPr>
          <w:rFonts w:cs="Arial"/>
        </w:rPr>
        <w:t>Les installations produisant et stockant des déchets doivent appliquer les modalités suivantes :</w:t>
      </w:r>
    </w:p>
    <w:p w14:paraId="31DCC82F" w14:textId="77777777" w:rsidR="00836964" w:rsidRPr="005B0E5B" w:rsidRDefault="00836964" w:rsidP="0095003D">
      <w:pPr>
        <w:pStyle w:val="Paragraphedeliste"/>
        <w:widowControl w:val="0"/>
        <w:numPr>
          <w:ilvl w:val="0"/>
          <w:numId w:val="192"/>
        </w:numPr>
        <w:autoSpaceDE w:val="0"/>
        <w:autoSpaceDN w:val="0"/>
        <w:adjustRightInd w:val="0"/>
        <w:spacing w:after="0"/>
        <w:rPr>
          <w:rFonts w:cs="Arial"/>
        </w:rPr>
      </w:pPr>
      <w:r w:rsidRPr="005B0E5B">
        <w:rPr>
          <w:rFonts w:cs="Arial"/>
        </w:rPr>
        <w:t>Définition des priorités de gestion des déchets dès le début des activités, sur la base des connaissances sur les risques et impacts potentiels sur l’environnement, la santé et la sécurité, et examen de la production de déchets et ses conséquences ;</w:t>
      </w:r>
    </w:p>
    <w:p w14:paraId="7DF86F9D" w14:textId="77777777" w:rsidR="00836964" w:rsidRPr="005B0E5B" w:rsidRDefault="00836964" w:rsidP="0095003D">
      <w:pPr>
        <w:pStyle w:val="Paragraphedeliste"/>
        <w:widowControl w:val="0"/>
        <w:numPr>
          <w:ilvl w:val="0"/>
          <w:numId w:val="192"/>
        </w:numPr>
        <w:autoSpaceDE w:val="0"/>
        <w:autoSpaceDN w:val="0"/>
        <w:adjustRightInd w:val="0"/>
        <w:spacing w:after="0"/>
        <w:rPr>
          <w:rFonts w:cs="Arial"/>
        </w:rPr>
      </w:pPr>
      <w:r w:rsidRPr="005B0E5B">
        <w:rPr>
          <w:rFonts w:cs="Arial"/>
        </w:rPr>
        <w:t>Établissement d’une hiérarchie dans la gestion des déchets examinant la prévention, la réduction, la réutilisation, la récupération, le recyclage, l’enlèvement et, enfin, l’élimination des déchets ;</w:t>
      </w:r>
    </w:p>
    <w:p w14:paraId="3EDED13F" w14:textId="77777777" w:rsidR="00836964" w:rsidRPr="005B0E5B" w:rsidRDefault="00836964" w:rsidP="0095003D">
      <w:pPr>
        <w:pStyle w:val="Paragraphedeliste"/>
        <w:widowControl w:val="0"/>
        <w:numPr>
          <w:ilvl w:val="0"/>
          <w:numId w:val="192"/>
        </w:numPr>
        <w:autoSpaceDE w:val="0"/>
        <w:autoSpaceDN w:val="0"/>
        <w:adjustRightInd w:val="0"/>
        <w:spacing w:after="0"/>
        <w:rPr>
          <w:rFonts w:cs="Arial"/>
        </w:rPr>
      </w:pPr>
      <w:r w:rsidRPr="005B0E5B">
        <w:rPr>
          <w:rFonts w:cs="Arial"/>
        </w:rPr>
        <w:t>Prévention ou minimisation de la production de déchets, dans la mesure du possible ;</w:t>
      </w:r>
    </w:p>
    <w:p w14:paraId="050E376E" w14:textId="77777777" w:rsidR="00836964" w:rsidRPr="005B0E5B" w:rsidRDefault="00836964" w:rsidP="0095003D">
      <w:pPr>
        <w:pStyle w:val="Paragraphedeliste"/>
        <w:widowControl w:val="0"/>
        <w:numPr>
          <w:ilvl w:val="0"/>
          <w:numId w:val="192"/>
        </w:numPr>
        <w:autoSpaceDE w:val="0"/>
        <w:autoSpaceDN w:val="0"/>
        <w:adjustRightInd w:val="0"/>
        <w:spacing w:after="0"/>
        <w:rPr>
          <w:rFonts w:cs="Arial"/>
        </w:rPr>
      </w:pPr>
      <w:r w:rsidRPr="005B0E5B">
        <w:rPr>
          <w:rFonts w:cs="Arial"/>
        </w:rPr>
        <w:t>Lorsqu’on ne peut éviter la production de déchets, mais que l’on est parvenu à la minimiser, avec la récupération et la réutilisation de déchets ;</w:t>
      </w:r>
    </w:p>
    <w:p w14:paraId="0D712CC3" w14:textId="77777777" w:rsidR="00836964" w:rsidRPr="005B0E5B" w:rsidRDefault="00836964" w:rsidP="0095003D">
      <w:pPr>
        <w:pStyle w:val="Paragraphedeliste"/>
        <w:widowControl w:val="0"/>
        <w:numPr>
          <w:ilvl w:val="0"/>
          <w:numId w:val="192"/>
        </w:numPr>
        <w:autoSpaceDE w:val="0"/>
        <w:autoSpaceDN w:val="0"/>
        <w:adjustRightInd w:val="0"/>
        <w:spacing w:after="0"/>
        <w:rPr>
          <w:rFonts w:cs="Arial"/>
        </w:rPr>
      </w:pPr>
      <w:r w:rsidRPr="005B0E5B">
        <w:rPr>
          <w:rFonts w:cs="Arial"/>
        </w:rPr>
        <w:t>Lorsqu’on ne peut récupérer ou réutiliser des déchets : traitement, destruction et élimination de ces mêmes déchets d’une façon qui ne nuise pas à l’environnement.</w:t>
      </w:r>
    </w:p>
    <w:p w14:paraId="49CEF85A" w14:textId="77777777" w:rsidR="00836964" w:rsidRPr="005B0E5B" w:rsidRDefault="00836964" w:rsidP="00836964">
      <w:pPr>
        <w:widowControl w:val="0"/>
        <w:autoSpaceDE w:val="0"/>
        <w:autoSpaceDN w:val="0"/>
        <w:adjustRightInd w:val="0"/>
        <w:ind w:left="762"/>
        <w:rPr>
          <w:rFonts w:cs="Arial"/>
        </w:rPr>
      </w:pPr>
    </w:p>
    <w:p w14:paraId="241A616D" w14:textId="77777777" w:rsidR="00836964" w:rsidRPr="005B0E5B" w:rsidRDefault="00836964" w:rsidP="00836964">
      <w:pPr>
        <w:autoSpaceDE w:val="0"/>
        <w:autoSpaceDN w:val="0"/>
        <w:adjustRightInd w:val="0"/>
        <w:rPr>
          <w:rFonts w:eastAsiaTheme="minorHAnsi" w:cs="Arial"/>
          <w:b/>
          <w:bCs/>
          <w:color w:val="000084"/>
          <w:lang w:eastAsia="en-US"/>
        </w:rPr>
      </w:pPr>
      <w:r w:rsidRPr="005B0E5B">
        <w:rPr>
          <w:rFonts w:eastAsiaTheme="minorHAnsi" w:cs="Arial"/>
          <w:b/>
          <w:bCs/>
          <w:color w:val="000084"/>
          <w:lang w:eastAsia="en-US"/>
        </w:rPr>
        <w:t>1.7 Bruit</w:t>
      </w:r>
    </w:p>
    <w:p w14:paraId="75451892" w14:textId="77777777" w:rsidR="00836964" w:rsidRPr="005B0E5B" w:rsidRDefault="00836964" w:rsidP="00836964">
      <w:pPr>
        <w:autoSpaceDE w:val="0"/>
        <w:autoSpaceDN w:val="0"/>
        <w:adjustRightInd w:val="0"/>
        <w:rPr>
          <w:rFonts w:eastAsiaTheme="minorHAnsi" w:cs="Arial"/>
          <w:color w:val="000084"/>
          <w:lang w:eastAsia="en-US"/>
        </w:rPr>
      </w:pPr>
      <w:r w:rsidRPr="005B0E5B">
        <w:rPr>
          <w:rFonts w:eastAsiaTheme="minorHAnsi" w:cs="Arial"/>
          <w:color w:val="000084"/>
          <w:lang w:eastAsia="en-US"/>
        </w:rPr>
        <w:t>Champ d'application</w:t>
      </w:r>
    </w:p>
    <w:p w14:paraId="76CC98CA" w14:textId="77777777" w:rsidR="00836964" w:rsidRPr="005B0E5B" w:rsidRDefault="00836964" w:rsidP="00836964">
      <w:pPr>
        <w:autoSpaceDE w:val="0"/>
        <w:autoSpaceDN w:val="0"/>
        <w:adjustRightInd w:val="0"/>
        <w:rPr>
          <w:rFonts w:eastAsiaTheme="minorHAnsi" w:cs="Arial"/>
          <w:color w:val="000000"/>
          <w:lang w:eastAsia="en-US"/>
        </w:rPr>
      </w:pPr>
      <w:r w:rsidRPr="005B0E5B">
        <w:rPr>
          <w:rFonts w:eastAsiaTheme="minorHAnsi" w:cs="Arial"/>
          <w:color w:val="000000"/>
          <w:lang w:eastAsia="en-US"/>
        </w:rPr>
        <w:t>La présente section se penche sur l’impact du bruit au-delà du périmètre de l’établissement. L’exposition des travailleurs au bruit est traitée dans la Section 2.0 : Santé et Sécurité au travail.</w:t>
      </w:r>
    </w:p>
    <w:p w14:paraId="1F3A0928" w14:textId="77777777" w:rsidR="00836964" w:rsidRPr="005B0E5B" w:rsidRDefault="00836964" w:rsidP="00836964">
      <w:pPr>
        <w:autoSpaceDE w:val="0"/>
        <w:autoSpaceDN w:val="0"/>
        <w:adjustRightInd w:val="0"/>
        <w:rPr>
          <w:rFonts w:eastAsiaTheme="minorHAnsi" w:cs="Arial"/>
          <w:color w:val="000084"/>
          <w:lang w:eastAsia="en-US"/>
        </w:rPr>
      </w:pPr>
      <w:r w:rsidRPr="005B0E5B">
        <w:rPr>
          <w:rFonts w:eastAsiaTheme="minorHAnsi" w:cs="Arial"/>
          <w:color w:val="000084"/>
          <w:lang w:eastAsia="en-US"/>
        </w:rPr>
        <w:t>Prévention et réduction</w:t>
      </w:r>
    </w:p>
    <w:p w14:paraId="107E125C" w14:textId="77777777" w:rsidR="00836964" w:rsidRPr="005B0E5B" w:rsidRDefault="00836964" w:rsidP="00836964">
      <w:pPr>
        <w:autoSpaceDE w:val="0"/>
        <w:autoSpaceDN w:val="0"/>
        <w:adjustRightInd w:val="0"/>
        <w:rPr>
          <w:rFonts w:eastAsiaTheme="minorHAnsi" w:cs="Arial"/>
          <w:color w:val="000000"/>
          <w:lang w:eastAsia="en-US"/>
        </w:rPr>
      </w:pPr>
      <w:r w:rsidRPr="005B0E5B">
        <w:rPr>
          <w:rFonts w:eastAsiaTheme="minorHAnsi" w:cs="Arial"/>
          <w:color w:val="000000"/>
          <w:lang w:eastAsia="en-US"/>
        </w:rPr>
        <w:t xml:space="preserve">On doit appliquer des mesures de prévention ou de mitigation du niveau de bruit lorsque l’impact prévu ou mesuré du bruit généré par un projet, une installation ou des opérations dépasse les indications pour le niveau de bruit applicables au point de réception le plus sensible. </w:t>
      </w:r>
    </w:p>
    <w:p w14:paraId="56FAF189" w14:textId="77777777" w:rsidR="00836964" w:rsidRPr="005B0E5B" w:rsidRDefault="00836964" w:rsidP="00836964">
      <w:pPr>
        <w:autoSpaceDE w:val="0"/>
        <w:autoSpaceDN w:val="0"/>
        <w:adjustRightInd w:val="0"/>
        <w:rPr>
          <w:rFonts w:eastAsiaTheme="minorHAnsi" w:cs="Arial"/>
          <w:color w:val="000000"/>
          <w:lang w:eastAsia="en-US"/>
        </w:rPr>
      </w:pPr>
      <w:r w:rsidRPr="005B0E5B">
        <w:rPr>
          <w:rFonts w:eastAsiaTheme="minorHAnsi" w:cs="Arial"/>
          <w:color w:val="000000"/>
          <w:lang w:eastAsia="en-US"/>
        </w:rPr>
        <w:t xml:space="preserve">La méthode préférentiellement retenue pour la mitigation du niveau de bruit émis par des sources fixes est l’application de mesures de mitigation du bruit à la source. </w:t>
      </w:r>
    </w:p>
    <w:p w14:paraId="4A1FD704" w14:textId="77777777" w:rsidR="00836964" w:rsidRPr="005B0E5B" w:rsidRDefault="00836964" w:rsidP="00836964">
      <w:pPr>
        <w:autoSpaceDE w:val="0"/>
        <w:autoSpaceDN w:val="0"/>
        <w:adjustRightInd w:val="0"/>
        <w:rPr>
          <w:rFonts w:eastAsiaTheme="minorHAnsi" w:cs="Arial"/>
          <w:color w:val="000000"/>
          <w:lang w:eastAsia="en-US"/>
        </w:rPr>
      </w:pPr>
      <w:r w:rsidRPr="005B0E5B">
        <w:rPr>
          <w:rFonts w:eastAsiaTheme="minorHAnsi" w:cs="Arial"/>
          <w:color w:val="000000"/>
          <w:lang w:eastAsia="en-US"/>
        </w:rPr>
        <w:t xml:space="preserve">Les méthodes de prévention et de réduction des émissions de bruit sont fonction de l’origine et de la proximité des récepteurs. </w:t>
      </w:r>
    </w:p>
    <w:p w14:paraId="6BD89B80" w14:textId="77777777" w:rsidR="00836964" w:rsidRPr="005B0E5B" w:rsidRDefault="00836964" w:rsidP="00836964">
      <w:pPr>
        <w:widowControl w:val="0"/>
        <w:autoSpaceDE w:val="0"/>
        <w:autoSpaceDN w:val="0"/>
        <w:adjustRightInd w:val="0"/>
        <w:rPr>
          <w:rFonts w:eastAsiaTheme="minorHAnsi" w:cs="Arial"/>
          <w:b/>
          <w:bCs/>
          <w:color w:val="000084"/>
          <w:lang w:eastAsia="en-US"/>
        </w:rPr>
      </w:pPr>
      <w:r w:rsidRPr="005B0E5B">
        <w:rPr>
          <w:rFonts w:eastAsiaTheme="minorHAnsi" w:cs="Arial"/>
          <w:b/>
          <w:bCs/>
          <w:color w:val="000084"/>
          <w:lang w:eastAsia="en-US"/>
        </w:rPr>
        <w:t>1.8 Sites et sols pollués</w:t>
      </w:r>
    </w:p>
    <w:p w14:paraId="6FD270E3" w14:textId="77777777" w:rsidR="00836964" w:rsidRPr="005B0E5B" w:rsidRDefault="00836964" w:rsidP="00836964">
      <w:pPr>
        <w:autoSpaceDE w:val="0"/>
        <w:autoSpaceDN w:val="0"/>
        <w:adjustRightInd w:val="0"/>
        <w:rPr>
          <w:rFonts w:eastAsiaTheme="minorHAnsi" w:cs="Arial"/>
          <w:lang w:eastAsia="en-US"/>
        </w:rPr>
      </w:pPr>
      <w:r w:rsidRPr="005B0E5B">
        <w:rPr>
          <w:rFonts w:eastAsiaTheme="minorHAnsi" w:cs="Arial"/>
          <w:lang w:eastAsia="en-US"/>
        </w:rPr>
        <w:t>La présente section présente un aperçu sur les principes de gestion de la contamination du sol due à des déversements anthropogéniques de matières dangereuses, déchets ou huiles, y compris des substances naturelles. Les déversements de ces matières peuvent être dus à des activités historiques ou en cours, y compris, entre autres, des accidents survenant au cours de la manutention et du stockage de ces matières, ou encore de leur mauvaise gestion ou élimination.</w:t>
      </w:r>
    </w:p>
    <w:p w14:paraId="2D2A67FA" w14:textId="77777777" w:rsidR="00836964" w:rsidRPr="005B0E5B" w:rsidRDefault="00836964" w:rsidP="00836964">
      <w:pPr>
        <w:autoSpaceDE w:val="0"/>
        <w:autoSpaceDN w:val="0"/>
        <w:adjustRightInd w:val="0"/>
        <w:rPr>
          <w:rFonts w:eastAsiaTheme="minorHAnsi" w:cs="Arial"/>
          <w:lang w:eastAsia="en-US"/>
        </w:rPr>
      </w:pPr>
      <w:r w:rsidRPr="005B0E5B">
        <w:rPr>
          <w:rFonts w:eastAsiaTheme="minorHAnsi" w:cs="Arial"/>
          <w:lang w:eastAsia="en-US"/>
        </w:rPr>
        <w:t>Un terrain est considéré contaminé lorsqu’il contient des concentrations dangereuses de matières ou d’huile au-dessus du sol ou à des niveaux naturels.</w:t>
      </w:r>
    </w:p>
    <w:p w14:paraId="0D19C851" w14:textId="77777777" w:rsidR="00836964" w:rsidRPr="005B0E5B" w:rsidRDefault="00836964" w:rsidP="00836964">
      <w:pPr>
        <w:autoSpaceDE w:val="0"/>
        <w:autoSpaceDN w:val="0"/>
        <w:adjustRightInd w:val="0"/>
        <w:rPr>
          <w:rFonts w:eastAsiaTheme="minorHAnsi" w:cs="Arial"/>
          <w:lang w:eastAsia="en-US"/>
        </w:rPr>
      </w:pPr>
      <w:r w:rsidRPr="005B0E5B">
        <w:rPr>
          <w:rFonts w:eastAsiaTheme="minorHAnsi" w:cs="Arial"/>
          <w:lang w:eastAsia="en-US"/>
        </w:rPr>
        <w:t xml:space="preserve">Les terrains contaminés peuvent comprendre des terrains en surface ou </w:t>
      </w:r>
      <w:proofErr w:type="spellStart"/>
      <w:r w:rsidRPr="005B0E5B">
        <w:rPr>
          <w:rFonts w:eastAsiaTheme="minorHAnsi" w:cs="Arial"/>
          <w:lang w:eastAsia="en-US"/>
        </w:rPr>
        <w:t>sub</w:t>
      </w:r>
      <w:proofErr w:type="spellEnd"/>
      <w:r w:rsidRPr="005B0E5B">
        <w:rPr>
          <w:rFonts w:eastAsiaTheme="minorHAnsi" w:cs="Arial"/>
          <w:lang w:eastAsia="en-US"/>
        </w:rPr>
        <w:t xml:space="preserve">-surface qui risquent, par lixiviation et transport, d’affecter la nappe phréatique, les eaux de surface et des sites adjacents. Lorsque les sources de contamination </w:t>
      </w:r>
      <w:proofErr w:type="spellStart"/>
      <w:r w:rsidRPr="005B0E5B">
        <w:rPr>
          <w:rFonts w:eastAsiaTheme="minorHAnsi" w:cs="Arial"/>
          <w:lang w:eastAsia="en-US"/>
        </w:rPr>
        <w:t>sub</w:t>
      </w:r>
      <w:proofErr w:type="spellEnd"/>
      <w:r w:rsidRPr="005B0E5B">
        <w:rPr>
          <w:rFonts w:eastAsiaTheme="minorHAnsi" w:cs="Arial"/>
          <w:lang w:eastAsia="en-US"/>
        </w:rPr>
        <w:t>-surface comprennent des substances volatiles, les vapeurs du sol peuvent devenir, elles aussi, un vecteur et un support d’exposition, et créer un potentiel d’infiltration de contaminants dans les espaces d’air intérieur de bâtiments.</w:t>
      </w:r>
    </w:p>
    <w:p w14:paraId="2F185BFC" w14:textId="77777777" w:rsidR="00836964" w:rsidRPr="005B0E5B" w:rsidRDefault="00836964" w:rsidP="00836964">
      <w:pPr>
        <w:autoSpaceDE w:val="0"/>
        <w:autoSpaceDN w:val="0"/>
        <w:adjustRightInd w:val="0"/>
        <w:rPr>
          <w:rFonts w:eastAsiaTheme="minorHAnsi" w:cs="Arial"/>
          <w:lang w:eastAsia="en-US"/>
        </w:rPr>
      </w:pPr>
      <w:r w:rsidRPr="005B0E5B">
        <w:rPr>
          <w:rFonts w:eastAsiaTheme="minorHAnsi" w:cs="Arial"/>
          <w:lang w:eastAsia="en-US"/>
        </w:rPr>
        <w:t>La stratégie préférentiellement adoptée pour la décontamination des terrains est la réduction du niveau de contamination sur le site afin d’éviter l’exposition de l’homme à la contamination.</w:t>
      </w:r>
    </w:p>
    <w:p w14:paraId="587D3642" w14:textId="77777777" w:rsidR="00836964" w:rsidRPr="005B0E5B" w:rsidRDefault="00836964" w:rsidP="00836964">
      <w:pPr>
        <w:widowControl w:val="0"/>
        <w:autoSpaceDE w:val="0"/>
        <w:autoSpaceDN w:val="0"/>
        <w:adjustRightInd w:val="0"/>
        <w:rPr>
          <w:rFonts w:eastAsiaTheme="minorHAnsi" w:cs="Arial"/>
          <w:lang w:eastAsia="en-US"/>
        </w:rPr>
      </w:pPr>
    </w:p>
    <w:p w14:paraId="56976D59" w14:textId="77777777" w:rsidR="00836964" w:rsidRPr="005B0E5B" w:rsidRDefault="00836964" w:rsidP="00836964">
      <w:pPr>
        <w:spacing w:after="160"/>
        <w:jc w:val="left"/>
        <w:rPr>
          <w:rFonts w:eastAsiaTheme="minorHAnsi" w:cs="Arial"/>
          <w:b/>
          <w:bCs/>
          <w:color w:val="000084"/>
          <w:lang w:eastAsia="en-US"/>
        </w:rPr>
      </w:pPr>
      <w:r w:rsidRPr="005B0E5B">
        <w:rPr>
          <w:rFonts w:eastAsiaTheme="minorHAnsi" w:cs="Arial"/>
          <w:b/>
          <w:bCs/>
          <w:color w:val="000084"/>
          <w:lang w:eastAsia="en-US"/>
        </w:rPr>
        <w:br w:type="page"/>
      </w:r>
    </w:p>
    <w:p w14:paraId="0A4AD457" w14:textId="77777777" w:rsidR="00836964" w:rsidRPr="005B0E5B" w:rsidRDefault="00836964" w:rsidP="00836964">
      <w:pPr>
        <w:rPr>
          <w:rFonts w:eastAsiaTheme="minorHAnsi" w:cs="Arial"/>
          <w:b/>
          <w:bCs/>
          <w:color w:val="000084"/>
          <w:lang w:eastAsia="en-US"/>
        </w:rPr>
      </w:pPr>
      <w:r w:rsidRPr="005B0E5B">
        <w:rPr>
          <w:rFonts w:eastAsiaTheme="minorHAnsi" w:cs="Arial"/>
          <w:b/>
          <w:bCs/>
          <w:color w:val="000084"/>
          <w:lang w:eastAsia="en-US"/>
        </w:rPr>
        <w:t>2.0 Hygiène et sécurité au travail</w:t>
      </w:r>
    </w:p>
    <w:p w14:paraId="73C0BB62" w14:textId="77777777" w:rsidR="00836964" w:rsidRPr="005B0E5B" w:rsidRDefault="00836964" w:rsidP="00836964">
      <w:pPr>
        <w:rPr>
          <w:rFonts w:eastAsiaTheme="minorHAnsi" w:cs="Arial"/>
          <w:lang w:eastAsia="en-US"/>
        </w:rPr>
      </w:pPr>
    </w:p>
    <w:tbl>
      <w:tblPr>
        <w:tblW w:w="0" w:type="auto"/>
        <w:tblLook w:val="04A0" w:firstRow="1" w:lastRow="0" w:firstColumn="1" w:lastColumn="0" w:noHBand="0" w:noVBand="1"/>
      </w:tblPr>
      <w:tblGrid>
        <w:gridCol w:w="4531"/>
        <w:gridCol w:w="4531"/>
      </w:tblGrid>
      <w:tr w:rsidR="00836964" w:rsidRPr="005B0E5B" w14:paraId="042D3FED" w14:textId="77777777" w:rsidTr="00836964">
        <w:tc>
          <w:tcPr>
            <w:tcW w:w="4531" w:type="dxa"/>
          </w:tcPr>
          <w:p w14:paraId="43E19E21" w14:textId="77777777" w:rsidR="00836964" w:rsidRPr="005B0E5B" w:rsidRDefault="00836964" w:rsidP="00836964">
            <w:pPr>
              <w:rPr>
                <w:rFonts w:eastAsiaTheme="minorHAnsi" w:cs="Arial"/>
                <w:sz w:val="18"/>
                <w:szCs w:val="18"/>
                <w:lang w:eastAsia="en-US"/>
              </w:rPr>
            </w:pPr>
            <w:r w:rsidRPr="005B0E5B">
              <w:rPr>
                <w:rFonts w:eastAsiaTheme="minorHAnsi" w:cs="Arial"/>
                <w:sz w:val="18"/>
                <w:szCs w:val="18"/>
                <w:lang w:eastAsia="en-US"/>
              </w:rPr>
              <w:t>2.1 Aspects généraux de la conception et de l’exploitation des installations</w:t>
            </w:r>
          </w:p>
          <w:p w14:paraId="417C37D2" w14:textId="77777777" w:rsidR="00836964" w:rsidRPr="005B0E5B" w:rsidRDefault="00836964" w:rsidP="00836964">
            <w:pPr>
              <w:ind w:left="708"/>
              <w:rPr>
                <w:rFonts w:eastAsiaTheme="minorHAnsi" w:cs="Arial"/>
                <w:sz w:val="18"/>
                <w:szCs w:val="18"/>
                <w:lang w:eastAsia="en-US"/>
              </w:rPr>
            </w:pPr>
            <w:r w:rsidRPr="005B0E5B">
              <w:rPr>
                <w:rFonts w:eastAsiaTheme="minorHAnsi" w:cs="Arial"/>
                <w:sz w:val="18"/>
                <w:szCs w:val="18"/>
                <w:lang w:eastAsia="en-US"/>
              </w:rPr>
              <w:t>Intégrité des structures sur les lieux de travail</w:t>
            </w:r>
          </w:p>
          <w:p w14:paraId="55765957" w14:textId="77777777" w:rsidR="00836964" w:rsidRPr="005B0E5B" w:rsidRDefault="00836964" w:rsidP="00836964">
            <w:pPr>
              <w:ind w:left="708"/>
              <w:rPr>
                <w:rFonts w:eastAsiaTheme="minorHAnsi" w:cs="Arial"/>
                <w:sz w:val="18"/>
                <w:szCs w:val="18"/>
                <w:lang w:eastAsia="en-US"/>
              </w:rPr>
            </w:pPr>
            <w:r w:rsidRPr="005B0E5B">
              <w:rPr>
                <w:rFonts w:eastAsiaTheme="minorHAnsi" w:cs="Arial"/>
                <w:sz w:val="18"/>
                <w:szCs w:val="18"/>
                <w:lang w:eastAsia="en-US"/>
              </w:rPr>
              <w:t>Intempéries et fermeture des lieux de travail</w:t>
            </w:r>
          </w:p>
          <w:p w14:paraId="384E4795" w14:textId="77777777" w:rsidR="00836964" w:rsidRPr="005B0E5B" w:rsidRDefault="00836964" w:rsidP="00836964">
            <w:pPr>
              <w:ind w:left="708"/>
              <w:rPr>
                <w:rFonts w:eastAsiaTheme="minorHAnsi" w:cs="Arial"/>
                <w:sz w:val="18"/>
                <w:szCs w:val="18"/>
                <w:lang w:eastAsia="en-US"/>
              </w:rPr>
            </w:pPr>
            <w:r w:rsidRPr="005B0E5B">
              <w:rPr>
                <w:rFonts w:eastAsiaTheme="minorHAnsi" w:cs="Arial"/>
                <w:sz w:val="18"/>
                <w:szCs w:val="18"/>
                <w:lang w:eastAsia="en-US"/>
              </w:rPr>
              <w:t>Lieux de travail et sorties</w:t>
            </w:r>
          </w:p>
          <w:p w14:paraId="2E1CE4F7" w14:textId="77777777" w:rsidR="00836964" w:rsidRPr="005B0E5B" w:rsidRDefault="00836964" w:rsidP="00836964">
            <w:pPr>
              <w:ind w:left="708"/>
              <w:rPr>
                <w:rFonts w:eastAsiaTheme="minorHAnsi" w:cs="Arial"/>
                <w:sz w:val="18"/>
                <w:szCs w:val="18"/>
                <w:lang w:eastAsia="en-US"/>
              </w:rPr>
            </w:pPr>
            <w:r w:rsidRPr="005B0E5B">
              <w:rPr>
                <w:rFonts w:eastAsiaTheme="minorHAnsi" w:cs="Arial"/>
                <w:sz w:val="18"/>
                <w:szCs w:val="18"/>
                <w:lang w:eastAsia="en-US"/>
              </w:rPr>
              <w:t>Précautions contre les incendies</w:t>
            </w:r>
          </w:p>
          <w:p w14:paraId="2588964C" w14:textId="77777777" w:rsidR="00836964" w:rsidRPr="005B0E5B" w:rsidRDefault="00836964" w:rsidP="00836964">
            <w:pPr>
              <w:ind w:left="708"/>
              <w:rPr>
                <w:rFonts w:eastAsiaTheme="minorHAnsi" w:cs="Arial"/>
                <w:sz w:val="18"/>
                <w:szCs w:val="18"/>
                <w:lang w:eastAsia="en-US"/>
              </w:rPr>
            </w:pPr>
            <w:r w:rsidRPr="005B0E5B">
              <w:rPr>
                <w:rFonts w:eastAsiaTheme="minorHAnsi" w:cs="Arial"/>
                <w:sz w:val="18"/>
                <w:szCs w:val="18"/>
                <w:lang w:eastAsia="en-US"/>
              </w:rPr>
              <w:t>Toilettes et douches</w:t>
            </w:r>
          </w:p>
          <w:p w14:paraId="03FAAECA" w14:textId="77777777" w:rsidR="00836964" w:rsidRPr="005B0E5B" w:rsidRDefault="00836964" w:rsidP="00836964">
            <w:pPr>
              <w:ind w:left="708"/>
              <w:rPr>
                <w:rFonts w:eastAsiaTheme="minorHAnsi" w:cs="Arial"/>
                <w:sz w:val="18"/>
                <w:szCs w:val="18"/>
                <w:lang w:eastAsia="en-US"/>
              </w:rPr>
            </w:pPr>
            <w:r w:rsidRPr="005B0E5B">
              <w:rPr>
                <w:rFonts w:eastAsiaTheme="minorHAnsi" w:cs="Arial"/>
                <w:sz w:val="18"/>
                <w:szCs w:val="18"/>
                <w:lang w:eastAsia="en-US"/>
              </w:rPr>
              <w:t>Approvisionnement en eau potable</w:t>
            </w:r>
          </w:p>
          <w:p w14:paraId="4310324E" w14:textId="77777777" w:rsidR="00836964" w:rsidRPr="005B0E5B" w:rsidRDefault="00836964" w:rsidP="00836964">
            <w:pPr>
              <w:ind w:left="708"/>
              <w:rPr>
                <w:rFonts w:eastAsiaTheme="minorHAnsi" w:cs="Arial"/>
                <w:sz w:val="18"/>
                <w:szCs w:val="18"/>
                <w:lang w:eastAsia="en-US"/>
              </w:rPr>
            </w:pPr>
            <w:r w:rsidRPr="005B0E5B">
              <w:rPr>
                <w:rFonts w:eastAsiaTheme="minorHAnsi" w:cs="Arial"/>
                <w:sz w:val="18"/>
                <w:szCs w:val="18"/>
                <w:lang w:eastAsia="en-US"/>
              </w:rPr>
              <w:t>Aire de repas propre</w:t>
            </w:r>
          </w:p>
          <w:p w14:paraId="5F66B9A5" w14:textId="77777777" w:rsidR="00836964" w:rsidRPr="005B0E5B" w:rsidRDefault="00836964" w:rsidP="00836964">
            <w:pPr>
              <w:ind w:left="708"/>
              <w:rPr>
                <w:rFonts w:eastAsiaTheme="minorHAnsi" w:cs="Arial"/>
                <w:sz w:val="18"/>
                <w:szCs w:val="18"/>
                <w:lang w:eastAsia="en-US"/>
              </w:rPr>
            </w:pPr>
            <w:r w:rsidRPr="005B0E5B">
              <w:rPr>
                <w:rFonts w:eastAsiaTheme="minorHAnsi" w:cs="Arial"/>
                <w:sz w:val="18"/>
                <w:szCs w:val="18"/>
                <w:lang w:eastAsia="en-US"/>
              </w:rPr>
              <w:t>Éclairage</w:t>
            </w:r>
          </w:p>
          <w:p w14:paraId="02ECCA95" w14:textId="77777777" w:rsidR="00836964" w:rsidRPr="005B0E5B" w:rsidRDefault="00836964" w:rsidP="00836964">
            <w:pPr>
              <w:ind w:left="708"/>
              <w:rPr>
                <w:rFonts w:eastAsiaTheme="minorHAnsi" w:cs="Arial"/>
                <w:sz w:val="18"/>
                <w:szCs w:val="18"/>
                <w:lang w:eastAsia="en-US"/>
              </w:rPr>
            </w:pPr>
            <w:r w:rsidRPr="005B0E5B">
              <w:rPr>
                <w:rFonts w:eastAsiaTheme="minorHAnsi" w:cs="Arial"/>
                <w:sz w:val="18"/>
                <w:szCs w:val="18"/>
                <w:lang w:eastAsia="en-US"/>
              </w:rPr>
              <w:t>Accès sans danger</w:t>
            </w:r>
          </w:p>
          <w:p w14:paraId="51246F39" w14:textId="77777777" w:rsidR="00836964" w:rsidRPr="005B0E5B" w:rsidRDefault="00836964" w:rsidP="00836964">
            <w:pPr>
              <w:ind w:left="708"/>
              <w:rPr>
                <w:rFonts w:eastAsiaTheme="minorHAnsi" w:cs="Arial"/>
                <w:sz w:val="18"/>
                <w:szCs w:val="18"/>
                <w:lang w:eastAsia="en-US"/>
              </w:rPr>
            </w:pPr>
            <w:r w:rsidRPr="005B0E5B">
              <w:rPr>
                <w:rFonts w:eastAsiaTheme="minorHAnsi" w:cs="Arial"/>
                <w:sz w:val="18"/>
                <w:szCs w:val="18"/>
                <w:lang w:eastAsia="en-US"/>
              </w:rPr>
              <w:t>Premiers secours</w:t>
            </w:r>
          </w:p>
          <w:p w14:paraId="7DCBC748" w14:textId="77777777" w:rsidR="00836964" w:rsidRPr="005B0E5B" w:rsidRDefault="00836964" w:rsidP="00836964">
            <w:pPr>
              <w:ind w:left="708"/>
              <w:rPr>
                <w:rFonts w:eastAsiaTheme="minorHAnsi" w:cs="Arial"/>
                <w:sz w:val="18"/>
                <w:szCs w:val="18"/>
                <w:lang w:eastAsia="en-US"/>
              </w:rPr>
            </w:pPr>
            <w:r w:rsidRPr="005B0E5B">
              <w:rPr>
                <w:rFonts w:eastAsiaTheme="minorHAnsi" w:cs="Arial"/>
                <w:sz w:val="18"/>
                <w:szCs w:val="18"/>
                <w:lang w:eastAsia="en-US"/>
              </w:rPr>
              <w:t>Aération</w:t>
            </w:r>
          </w:p>
          <w:p w14:paraId="0DA90361" w14:textId="77777777" w:rsidR="00836964" w:rsidRPr="005B0E5B" w:rsidRDefault="00836964" w:rsidP="00836964">
            <w:pPr>
              <w:ind w:left="708"/>
              <w:rPr>
                <w:rFonts w:eastAsiaTheme="minorHAnsi" w:cs="Arial"/>
                <w:sz w:val="18"/>
                <w:szCs w:val="18"/>
                <w:lang w:eastAsia="en-US"/>
              </w:rPr>
            </w:pPr>
            <w:r w:rsidRPr="005B0E5B">
              <w:rPr>
                <w:rFonts w:eastAsiaTheme="minorHAnsi" w:cs="Arial"/>
                <w:sz w:val="18"/>
                <w:szCs w:val="18"/>
                <w:lang w:eastAsia="en-US"/>
              </w:rPr>
              <w:t>Température sur les lieux de travail</w:t>
            </w:r>
          </w:p>
          <w:p w14:paraId="27F35B35" w14:textId="77777777" w:rsidR="00836964" w:rsidRPr="005B0E5B" w:rsidRDefault="00836964" w:rsidP="00836964">
            <w:pPr>
              <w:rPr>
                <w:rFonts w:eastAsiaTheme="minorHAnsi" w:cs="Arial"/>
                <w:sz w:val="18"/>
                <w:szCs w:val="18"/>
                <w:lang w:eastAsia="en-US"/>
              </w:rPr>
            </w:pPr>
            <w:r w:rsidRPr="005B0E5B">
              <w:rPr>
                <w:rFonts w:eastAsiaTheme="minorHAnsi" w:cs="Arial"/>
                <w:sz w:val="18"/>
                <w:szCs w:val="18"/>
                <w:lang w:eastAsia="en-US"/>
              </w:rPr>
              <w:t>2.2 Communication et formation</w:t>
            </w:r>
          </w:p>
          <w:p w14:paraId="3DFED838" w14:textId="77777777" w:rsidR="00836964" w:rsidRPr="005B0E5B" w:rsidRDefault="00836964" w:rsidP="00836964">
            <w:pPr>
              <w:ind w:left="708"/>
              <w:rPr>
                <w:rFonts w:eastAsiaTheme="minorHAnsi" w:cs="Arial"/>
                <w:sz w:val="18"/>
                <w:szCs w:val="18"/>
                <w:lang w:eastAsia="en-US"/>
              </w:rPr>
            </w:pPr>
            <w:r w:rsidRPr="005B0E5B">
              <w:rPr>
                <w:rFonts w:eastAsiaTheme="minorHAnsi" w:cs="Arial"/>
                <w:sz w:val="18"/>
                <w:szCs w:val="18"/>
                <w:lang w:eastAsia="en-US"/>
              </w:rPr>
              <w:t>Formation en matière d’hygiène et de sécurité au travail (HST)</w:t>
            </w:r>
          </w:p>
          <w:p w14:paraId="74B9BF9F" w14:textId="77777777" w:rsidR="00836964" w:rsidRPr="005B0E5B" w:rsidRDefault="00836964" w:rsidP="00836964">
            <w:pPr>
              <w:ind w:left="708"/>
              <w:rPr>
                <w:rFonts w:eastAsiaTheme="minorHAnsi" w:cs="Arial"/>
                <w:sz w:val="18"/>
                <w:szCs w:val="18"/>
                <w:lang w:eastAsia="en-US"/>
              </w:rPr>
            </w:pPr>
            <w:r w:rsidRPr="005B0E5B">
              <w:rPr>
                <w:rFonts w:eastAsiaTheme="minorHAnsi" w:cs="Arial"/>
                <w:sz w:val="18"/>
                <w:szCs w:val="18"/>
                <w:lang w:eastAsia="en-US"/>
              </w:rPr>
              <w:t>Programme d’information pour les visiteurs</w:t>
            </w:r>
          </w:p>
          <w:p w14:paraId="14F92A74" w14:textId="77777777" w:rsidR="00836964" w:rsidRPr="005B0E5B" w:rsidRDefault="00836964" w:rsidP="00836964">
            <w:pPr>
              <w:ind w:left="708"/>
              <w:rPr>
                <w:rFonts w:eastAsiaTheme="minorHAnsi" w:cs="Arial"/>
                <w:sz w:val="18"/>
                <w:szCs w:val="18"/>
                <w:lang w:eastAsia="en-US"/>
              </w:rPr>
            </w:pPr>
            <w:r w:rsidRPr="005B0E5B">
              <w:rPr>
                <w:rFonts w:eastAsiaTheme="minorHAnsi" w:cs="Arial"/>
                <w:sz w:val="18"/>
                <w:szCs w:val="18"/>
                <w:lang w:eastAsia="en-US"/>
              </w:rPr>
              <w:t>Formation des employés affectés à de nouvelles tâches et des sous-traitants</w:t>
            </w:r>
          </w:p>
          <w:p w14:paraId="35DE6900" w14:textId="77777777" w:rsidR="00836964" w:rsidRPr="005B0E5B" w:rsidRDefault="00836964" w:rsidP="00836964">
            <w:pPr>
              <w:ind w:left="708"/>
              <w:rPr>
                <w:rFonts w:eastAsiaTheme="minorHAnsi" w:cs="Arial"/>
                <w:sz w:val="18"/>
                <w:szCs w:val="18"/>
                <w:lang w:eastAsia="en-US"/>
              </w:rPr>
            </w:pPr>
            <w:r w:rsidRPr="005B0E5B">
              <w:rPr>
                <w:rFonts w:eastAsiaTheme="minorHAnsi" w:cs="Arial"/>
                <w:sz w:val="18"/>
                <w:szCs w:val="18"/>
                <w:lang w:eastAsia="en-US"/>
              </w:rPr>
              <w:t>Formation de base en HST</w:t>
            </w:r>
          </w:p>
          <w:p w14:paraId="306EFC11" w14:textId="77777777" w:rsidR="00836964" w:rsidRPr="005B0E5B" w:rsidRDefault="00836964" w:rsidP="00836964">
            <w:pPr>
              <w:ind w:left="708"/>
              <w:rPr>
                <w:rFonts w:eastAsiaTheme="minorHAnsi" w:cs="Arial"/>
                <w:sz w:val="18"/>
                <w:szCs w:val="18"/>
                <w:lang w:eastAsia="en-US"/>
              </w:rPr>
            </w:pPr>
            <w:r w:rsidRPr="005B0E5B">
              <w:rPr>
                <w:rFonts w:eastAsiaTheme="minorHAnsi" w:cs="Arial"/>
                <w:sz w:val="18"/>
                <w:szCs w:val="18"/>
                <w:lang w:eastAsia="en-US"/>
              </w:rPr>
              <w:t>Panneaux et signes</w:t>
            </w:r>
          </w:p>
          <w:p w14:paraId="2CC8F490" w14:textId="77777777" w:rsidR="00836964" w:rsidRPr="005B0E5B" w:rsidRDefault="00836964" w:rsidP="00836964">
            <w:pPr>
              <w:ind w:left="708"/>
              <w:rPr>
                <w:rFonts w:eastAsiaTheme="minorHAnsi" w:cs="Arial"/>
                <w:sz w:val="18"/>
                <w:szCs w:val="18"/>
                <w:lang w:eastAsia="en-US"/>
              </w:rPr>
            </w:pPr>
            <w:r w:rsidRPr="005B0E5B">
              <w:rPr>
                <w:rFonts w:eastAsiaTheme="minorHAnsi" w:cs="Arial"/>
                <w:sz w:val="18"/>
                <w:szCs w:val="18"/>
                <w:lang w:eastAsia="en-US"/>
              </w:rPr>
              <w:t>Informations apposées sur les équipements</w:t>
            </w:r>
          </w:p>
          <w:p w14:paraId="345B10BB" w14:textId="77777777" w:rsidR="00836964" w:rsidRPr="005B0E5B" w:rsidRDefault="00836964" w:rsidP="00836964">
            <w:pPr>
              <w:ind w:left="708"/>
              <w:rPr>
                <w:rFonts w:eastAsiaTheme="minorHAnsi" w:cs="Arial"/>
                <w:sz w:val="18"/>
                <w:szCs w:val="18"/>
                <w:lang w:eastAsia="en-US"/>
              </w:rPr>
            </w:pPr>
            <w:r w:rsidRPr="005B0E5B">
              <w:rPr>
                <w:rFonts w:eastAsiaTheme="minorHAnsi" w:cs="Arial"/>
                <w:sz w:val="18"/>
                <w:szCs w:val="18"/>
                <w:lang w:eastAsia="en-US"/>
              </w:rPr>
              <w:t>Communication des codes de risques</w:t>
            </w:r>
          </w:p>
          <w:p w14:paraId="249D964D" w14:textId="77777777" w:rsidR="00836964" w:rsidRPr="005B0E5B" w:rsidRDefault="00836964" w:rsidP="00836964">
            <w:pPr>
              <w:rPr>
                <w:rFonts w:eastAsiaTheme="minorHAnsi" w:cs="Arial"/>
                <w:sz w:val="18"/>
                <w:szCs w:val="18"/>
                <w:lang w:eastAsia="en-US"/>
              </w:rPr>
            </w:pPr>
            <w:r w:rsidRPr="005B0E5B">
              <w:rPr>
                <w:rFonts w:eastAsiaTheme="minorHAnsi" w:cs="Arial"/>
                <w:sz w:val="18"/>
                <w:szCs w:val="18"/>
                <w:lang w:eastAsia="en-US"/>
              </w:rPr>
              <w:t>2.3 Risques corporels</w:t>
            </w:r>
          </w:p>
          <w:p w14:paraId="4C9BBC92" w14:textId="77777777" w:rsidR="00836964" w:rsidRPr="005B0E5B" w:rsidRDefault="00836964" w:rsidP="00836964">
            <w:pPr>
              <w:ind w:left="708"/>
              <w:rPr>
                <w:rFonts w:eastAsiaTheme="minorHAnsi" w:cs="Arial"/>
                <w:sz w:val="18"/>
                <w:szCs w:val="18"/>
                <w:lang w:eastAsia="en-US"/>
              </w:rPr>
            </w:pPr>
            <w:r w:rsidRPr="005B0E5B">
              <w:rPr>
                <w:rFonts w:eastAsiaTheme="minorHAnsi" w:cs="Arial"/>
                <w:sz w:val="18"/>
                <w:szCs w:val="18"/>
                <w:lang w:eastAsia="en-US"/>
              </w:rPr>
              <w:t>Équipements rotatifs et mobiles</w:t>
            </w:r>
          </w:p>
        </w:tc>
        <w:tc>
          <w:tcPr>
            <w:tcW w:w="4531" w:type="dxa"/>
          </w:tcPr>
          <w:p w14:paraId="0D9E1A83" w14:textId="77777777" w:rsidR="00836964" w:rsidRPr="005B0E5B" w:rsidRDefault="00836964" w:rsidP="00836964">
            <w:pPr>
              <w:ind w:left="708"/>
              <w:rPr>
                <w:rFonts w:eastAsiaTheme="minorHAnsi" w:cs="Arial"/>
                <w:sz w:val="18"/>
                <w:szCs w:val="18"/>
                <w:lang w:eastAsia="en-US"/>
              </w:rPr>
            </w:pPr>
            <w:r w:rsidRPr="005B0E5B">
              <w:rPr>
                <w:rFonts w:eastAsiaTheme="minorHAnsi" w:cs="Arial"/>
                <w:sz w:val="18"/>
                <w:szCs w:val="18"/>
                <w:lang w:eastAsia="en-US"/>
              </w:rPr>
              <w:t>Bruit</w:t>
            </w:r>
          </w:p>
          <w:p w14:paraId="056BD588" w14:textId="77777777" w:rsidR="00836964" w:rsidRPr="005B0E5B" w:rsidRDefault="00836964" w:rsidP="00836964">
            <w:pPr>
              <w:ind w:left="708"/>
              <w:rPr>
                <w:rFonts w:eastAsiaTheme="minorHAnsi" w:cs="Arial"/>
                <w:sz w:val="18"/>
                <w:szCs w:val="18"/>
                <w:lang w:eastAsia="en-US"/>
              </w:rPr>
            </w:pPr>
            <w:r w:rsidRPr="005B0E5B">
              <w:rPr>
                <w:rFonts w:eastAsiaTheme="minorHAnsi" w:cs="Arial"/>
                <w:sz w:val="18"/>
                <w:szCs w:val="18"/>
                <w:lang w:eastAsia="en-US"/>
              </w:rPr>
              <w:t>Vibrations</w:t>
            </w:r>
          </w:p>
          <w:p w14:paraId="14EB6FE4" w14:textId="77777777" w:rsidR="00836964" w:rsidRPr="005B0E5B" w:rsidRDefault="00836964" w:rsidP="00836964">
            <w:pPr>
              <w:ind w:left="708"/>
              <w:rPr>
                <w:rFonts w:eastAsiaTheme="minorHAnsi" w:cs="Arial"/>
                <w:sz w:val="18"/>
                <w:szCs w:val="18"/>
                <w:lang w:eastAsia="en-US"/>
              </w:rPr>
            </w:pPr>
            <w:r w:rsidRPr="005B0E5B">
              <w:rPr>
                <w:rFonts w:eastAsiaTheme="minorHAnsi" w:cs="Arial"/>
                <w:sz w:val="18"/>
                <w:szCs w:val="18"/>
                <w:lang w:eastAsia="en-US"/>
              </w:rPr>
              <w:t>Risques électriques</w:t>
            </w:r>
          </w:p>
          <w:p w14:paraId="27303B1F" w14:textId="77777777" w:rsidR="00836964" w:rsidRPr="005B0E5B" w:rsidRDefault="00836964" w:rsidP="00836964">
            <w:pPr>
              <w:ind w:left="708"/>
              <w:rPr>
                <w:rFonts w:eastAsiaTheme="minorHAnsi" w:cs="Arial"/>
                <w:sz w:val="18"/>
                <w:szCs w:val="18"/>
                <w:lang w:eastAsia="en-US"/>
              </w:rPr>
            </w:pPr>
            <w:r w:rsidRPr="005B0E5B">
              <w:rPr>
                <w:rFonts w:eastAsiaTheme="minorHAnsi" w:cs="Arial"/>
                <w:sz w:val="18"/>
                <w:szCs w:val="18"/>
                <w:lang w:eastAsia="en-US"/>
              </w:rPr>
              <w:t>Risques pour les yeux</w:t>
            </w:r>
          </w:p>
          <w:p w14:paraId="0058DE12" w14:textId="77777777" w:rsidR="00836964" w:rsidRPr="005B0E5B" w:rsidRDefault="00836964" w:rsidP="00836964">
            <w:pPr>
              <w:ind w:left="708"/>
              <w:rPr>
                <w:rFonts w:eastAsiaTheme="minorHAnsi" w:cs="Arial"/>
                <w:sz w:val="18"/>
                <w:szCs w:val="18"/>
                <w:lang w:eastAsia="en-US"/>
              </w:rPr>
            </w:pPr>
            <w:r w:rsidRPr="005B0E5B">
              <w:rPr>
                <w:rFonts w:eastAsiaTheme="minorHAnsi" w:cs="Arial"/>
                <w:sz w:val="18"/>
                <w:szCs w:val="18"/>
                <w:lang w:eastAsia="en-US"/>
              </w:rPr>
              <w:t>Soudage/travail à chaud</w:t>
            </w:r>
          </w:p>
          <w:p w14:paraId="6C4C08CA" w14:textId="77777777" w:rsidR="00836964" w:rsidRPr="005B0E5B" w:rsidRDefault="00836964" w:rsidP="00836964">
            <w:pPr>
              <w:ind w:left="708"/>
              <w:rPr>
                <w:rFonts w:eastAsiaTheme="minorHAnsi" w:cs="Arial"/>
                <w:sz w:val="18"/>
                <w:szCs w:val="18"/>
                <w:lang w:eastAsia="en-US"/>
              </w:rPr>
            </w:pPr>
            <w:r w:rsidRPr="005B0E5B">
              <w:rPr>
                <w:rFonts w:eastAsiaTheme="minorHAnsi" w:cs="Arial"/>
                <w:sz w:val="18"/>
                <w:szCs w:val="18"/>
                <w:lang w:eastAsia="en-US"/>
              </w:rPr>
              <w:t>Conduite des véhicules industriels et circulation sur le site</w:t>
            </w:r>
          </w:p>
          <w:p w14:paraId="3BFA2CB0" w14:textId="77777777" w:rsidR="00836964" w:rsidRPr="005B0E5B" w:rsidRDefault="00836964" w:rsidP="00836964">
            <w:pPr>
              <w:ind w:left="708"/>
              <w:rPr>
                <w:rFonts w:eastAsiaTheme="minorHAnsi" w:cs="Arial"/>
                <w:sz w:val="18"/>
                <w:szCs w:val="18"/>
                <w:lang w:eastAsia="en-US"/>
              </w:rPr>
            </w:pPr>
            <w:r w:rsidRPr="005B0E5B">
              <w:rPr>
                <w:rFonts w:eastAsiaTheme="minorHAnsi" w:cs="Arial"/>
                <w:sz w:val="18"/>
                <w:szCs w:val="18"/>
                <w:lang w:eastAsia="en-US"/>
              </w:rPr>
              <w:t>Température sur les lieux de travail</w:t>
            </w:r>
          </w:p>
          <w:p w14:paraId="0791352E" w14:textId="77777777" w:rsidR="00836964" w:rsidRPr="005B0E5B" w:rsidRDefault="00836964" w:rsidP="00836964">
            <w:pPr>
              <w:ind w:left="708"/>
              <w:rPr>
                <w:rFonts w:eastAsiaTheme="minorHAnsi" w:cs="Arial"/>
                <w:sz w:val="18"/>
                <w:szCs w:val="18"/>
                <w:lang w:eastAsia="en-US"/>
              </w:rPr>
            </w:pPr>
            <w:r w:rsidRPr="005B0E5B">
              <w:rPr>
                <w:rFonts w:eastAsiaTheme="minorHAnsi" w:cs="Arial"/>
                <w:sz w:val="18"/>
                <w:szCs w:val="18"/>
                <w:lang w:eastAsia="en-US"/>
              </w:rPr>
              <w:t>Ergonomies, mouvements répétitifs, manutention</w:t>
            </w:r>
          </w:p>
          <w:p w14:paraId="68B1E5FF" w14:textId="77777777" w:rsidR="00836964" w:rsidRPr="005B0E5B" w:rsidRDefault="00836964" w:rsidP="00836964">
            <w:pPr>
              <w:ind w:left="708"/>
              <w:rPr>
                <w:rFonts w:eastAsiaTheme="minorHAnsi" w:cs="Arial"/>
                <w:sz w:val="18"/>
                <w:szCs w:val="18"/>
                <w:lang w:eastAsia="en-US"/>
              </w:rPr>
            </w:pPr>
            <w:r w:rsidRPr="005B0E5B">
              <w:rPr>
                <w:rFonts w:eastAsiaTheme="minorHAnsi" w:cs="Arial"/>
                <w:sz w:val="18"/>
                <w:szCs w:val="18"/>
                <w:lang w:eastAsia="en-US"/>
              </w:rPr>
              <w:t>Travail en hauteur</w:t>
            </w:r>
          </w:p>
          <w:p w14:paraId="0BD16200" w14:textId="77777777" w:rsidR="00836964" w:rsidRPr="005B0E5B" w:rsidRDefault="00836964" w:rsidP="00836964">
            <w:pPr>
              <w:ind w:left="708"/>
              <w:rPr>
                <w:rFonts w:eastAsiaTheme="minorHAnsi" w:cs="Arial"/>
                <w:sz w:val="18"/>
                <w:szCs w:val="18"/>
                <w:lang w:eastAsia="en-US"/>
              </w:rPr>
            </w:pPr>
            <w:r w:rsidRPr="005B0E5B">
              <w:rPr>
                <w:rFonts w:eastAsiaTheme="minorHAnsi" w:cs="Arial"/>
                <w:sz w:val="18"/>
                <w:szCs w:val="18"/>
                <w:lang w:eastAsia="en-US"/>
              </w:rPr>
              <w:t>Éclairage</w:t>
            </w:r>
          </w:p>
          <w:p w14:paraId="7AA93EDD" w14:textId="77777777" w:rsidR="00836964" w:rsidRPr="005B0E5B" w:rsidRDefault="00836964" w:rsidP="00836964">
            <w:pPr>
              <w:rPr>
                <w:rFonts w:eastAsiaTheme="minorHAnsi" w:cs="Arial"/>
                <w:sz w:val="18"/>
                <w:szCs w:val="18"/>
                <w:lang w:eastAsia="en-US"/>
              </w:rPr>
            </w:pPr>
            <w:r w:rsidRPr="005B0E5B">
              <w:rPr>
                <w:rFonts w:eastAsiaTheme="minorHAnsi" w:cs="Arial"/>
                <w:sz w:val="18"/>
                <w:szCs w:val="18"/>
                <w:lang w:eastAsia="en-US"/>
              </w:rPr>
              <w:t>2.4 Risques chimiques</w:t>
            </w:r>
          </w:p>
          <w:p w14:paraId="49DD8C36" w14:textId="77777777" w:rsidR="00836964" w:rsidRPr="005B0E5B" w:rsidRDefault="00836964" w:rsidP="00836964">
            <w:pPr>
              <w:ind w:left="708"/>
              <w:rPr>
                <w:rFonts w:eastAsiaTheme="minorHAnsi" w:cs="Arial"/>
                <w:sz w:val="18"/>
                <w:szCs w:val="18"/>
                <w:lang w:eastAsia="en-US"/>
              </w:rPr>
            </w:pPr>
            <w:r w:rsidRPr="005B0E5B">
              <w:rPr>
                <w:rFonts w:eastAsiaTheme="minorHAnsi" w:cs="Arial"/>
                <w:sz w:val="18"/>
                <w:szCs w:val="18"/>
                <w:lang w:eastAsia="en-US"/>
              </w:rPr>
              <w:t>Qualité de l’air</w:t>
            </w:r>
          </w:p>
          <w:p w14:paraId="5358CB0F" w14:textId="77777777" w:rsidR="00836964" w:rsidRPr="005B0E5B" w:rsidRDefault="00836964" w:rsidP="00836964">
            <w:pPr>
              <w:ind w:left="708"/>
              <w:rPr>
                <w:rFonts w:eastAsiaTheme="minorHAnsi" w:cs="Arial"/>
                <w:sz w:val="18"/>
                <w:szCs w:val="18"/>
                <w:lang w:eastAsia="en-US"/>
              </w:rPr>
            </w:pPr>
            <w:r w:rsidRPr="005B0E5B">
              <w:rPr>
                <w:rFonts w:eastAsiaTheme="minorHAnsi" w:cs="Arial"/>
                <w:sz w:val="18"/>
                <w:szCs w:val="18"/>
                <w:lang w:eastAsia="en-US"/>
              </w:rPr>
              <w:t>Incendies et explosions</w:t>
            </w:r>
          </w:p>
          <w:p w14:paraId="1072D751" w14:textId="77777777" w:rsidR="00836964" w:rsidRPr="005B0E5B" w:rsidRDefault="00836964" w:rsidP="00836964">
            <w:pPr>
              <w:ind w:left="708"/>
              <w:rPr>
                <w:rFonts w:eastAsiaTheme="minorHAnsi" w:cs="Arial"/>
                <w:sz w:val="18"/>
                <w:szCs w:val="18"/>
                <w:lang w:eastAsia="en-US"/>
              </w:rPr>
            </w:pPr>
            <w:r w:rsidRPr="005B0E5B">
              <w:rPr>
                <w:rFonts w:eastAsiaTheme="minorHAnsi" w:cs="Arial"/>
                <w:sz w:val="18"/>
                <w:szCs w:val="18"/>
                <w:lang w:eastAsia="en-US"/>
              </w:rPr>
              <w:t>Produits chimiques corrosifs, oxydants et réactifs</w:t>
            </w:r>
          </w:p>
          <w:p w14:paraId="20BB023D" w14:textId="77777777" w:rsidR="00836964" w:rsidRPr="005B0E5B" w:rsidRDefault="00836964" w:rsidP="00836964">
            <w:pPr>
              <w:ind w:left="708"/>
              <w:rPr>
                <w:rFonts w:eastAsiaTheme="minorHAnsi" w:cs="Arial"/>
                <w:sz w:val="18"/>
                <w:szCs w:val="18"/>
                <w:lang w:eastAsia="en-US"/>
              </w:rPr>
            </w:pPr>
            <w:r w:rsidRPr="005B0E5B">
              <w:rPr>
                <w:rFonts w:eastAsiaTheme="minorHAnsi" w:cs="Arial"/>
                <w:sz w:val="18"/>
                <w:szCs w:val="18"/>
                <w:lang w:eastAsia="en-US"/>
              </w:rPr>
              <w:t>Matières contenant de l’amiante</w:t>
            </w:r>
          </w:p>
          <w:p w14:paraId="4151A066" w14:textId="77777777" w:rsidR="00836964" w:rsidRPr="005B0E5B" w:rsidRDefault="00836964" w:rsidP="00836964">
            <w:pPr>
              <w:rPr>
                <w:rFonts w:eastAsiaTheme="minorHAnsi" w:cs="Arial"/>
                <w:sz w:val="18"/>
                <w:szCs w:val="18"/>
                <w:lang w:eastAsia="en-US"/>
              </w:rPr>
            </w:pPr>
            <w:r w:rsidRPr="005B0E5B">
              <w:rPr>
                <w:rFonts w:eastAsiaTheme="minorHAnsi" w:cs="Arial"/>
                <w:sz w:val="18"/>
                <w:szCs w:val="18"/>
                <w:lang w:eastAsia="en-US"/>
              </w:rPr>
              <w:t>2.5 Risques biologiques</w:t>
            </w:r>
          </w:p>
          <w:p w14:paraId="73833268" w14:textId="77777777" w:rsidR="00836964" w:rsidRPr="005B0E5B" w:rsidRDefault="00836964" w:rsidP="00836964">
            <w:pPr>
              <w:rPr>
                <w:rFonts w:eastAsiaTheme="minorHAnsi" w:cs="Arial"/>
                <w:sz w:val="18"/>
                <w:szCs w:val="18"/>
                <w:lang w:eastAsia="en-US"/>
              </w:rPr>
            </w:pPr>
            <w:r w:rsidRPr="005B0E5B">
              <w:rPr>
                <w:rFonts w:eastAsiaTheme="minorHAnsi" w:cs="Arial"/>
                <w:sz w:val="18"/>
                <w:szCs w:val="18"/>
                <w:lang w:eastAsia="en-US"/>
              </w:rPr>
              <w:t>2.6 Risques radiologiques</w:t>
            </w:r>
          </w:p>
          <w:p w14:paraId="0B31B952" w14:textId="77777777" w:rsidR="00836964" w:rsidRPr="005B0E5B" w:rsidRDefault="00836964" w:rsidP="00836964">
            <w:pPr>
              <w:rPr>
                <w:rFonts w:eastAsiaTheme="minorHAnsi" w:cs="Arial"/>
                <w:sz w:val="18"/>
                <w:szCs w:val="18"/>
                <w:lang w:eastAsia="en-US"/>
              </w:rPr>
            </w:pPr>
            <w:r w:rsidRPr="005B0E5B">
              <w:rPr>
                <w:rFonts w:eastAsiaTheme="minorHAnsi" w:cs="Arial"/>
                <w:sz w:val="18"/>
                <w:szCs w:val="18"/>
                <w:lang w:eastAsia="en-US"/>
              </w:rPr>
              <w:t>2.7 Équipement de protection individuel (EPI)</w:t>
            </w:r>
          </w:p>
          <w:p w14:paraId="0D9F23E2" w14:textId="77777777" w:rsidR="00836964" w:rsidRPr="005B0E5B" w:rsidRDefault="00836964" w:rsidP="00836964">
            <w:pPr>
              <w:rPr>
                <w:rFonts w:eastAsiaTheme="minorHAnsi" w:cs="Arial"/>
                <w:sz w:val="18"/>
                <w:szCs w:val="18"/>
                <w:lang w:eastAsia="en-US"/>
              </w:rPr>
            </w:pPr>
            <w:r w:rsidRPr="005B0E5B">
              <w:rPr>
                <w:rFonts w:eastAsiaTheme="minorHAnsi" w:cs="Arial"/>
                <w:sz w:val="18"/>
                <w:szCs w:val="18"/>
                <w:lang w:eastAsia="en-US"/>
              </w:rPr>
              <w:t>2.8 Environnements posant des risques particuliers</w:t>
            </w:r>
          </w:p>
          <w:p w14:paraId="2D304535" w14:textId="77777777" w:rsidR="00836964" w:rsidRPr="005B0E5B" w:rsidRDefault="00836964" w:rsidP="00836964">
            <w:pPr>
              <w:ind w:left="708"/>
              <w:rPr>
                <w:rFonts w:eastAsiaTheme="minorHAnsi" w:cs="Arial"/>
                <w:sz w:val="18"/>
                <w:szCs w:val="18"/>
                <w:lang w:eastAsia="en-US"/>
              </w:rPr>
            </w:pPr>
            <w:r w:rsidRPr="005B0E5B">
              <w:rPr>
                <w:rFonts w:eastAsiaTheme="minorHAnsi" w:cs="Arial"/>
                <w:sz w:val="18"/>
                <w:szCs w:val="18"/>
                <w:lang w:eastAsia="en-US"/>
              </w:rPr>
              <w:t>Espaces confinés</w:t>
            </w:r>
          </w:p>
          <w:p w14:paraId="2FDBCD42" w14:textId="77777777" w:rsidR="00836964" w:rsidRPr="005B0E5B" w:rsidRDefault="00836964" w:rsidP="00836964">
            <w:pPr>
              <w:ind w:left="708"/>
              <w:rPr>
                <w:rFonts w:eastAsiaTheme="minorHAnsi" w:cs="Arial"/>
                <w:sz w:val="18"/>
                <w:szCs w:val="18"/>
                <w:lang w:eastAsia="en-US"/>
              </w:rPr>
            </w:pPr>
            <w:r w:rsidRPr="005B0E5B">
              <w:rPr>
                <w:rFonts w:eastAsiaTheme="minorHAnsi" w:cs="Arial"/>
                <w:sz w:val="18"/>
                <w:szCs w:val="18"/>
                <w:lang w:eastAsia="en-US"/>
              </w:rPr>
              <w:t>Travailleurs seuls en des lieux isolés</w:t>
            </w:r>
          </w:p>
          <w:p w14:paraId="1E5E3000" w14:textId="77777777" w:rsidR="00836964" w:rsidRPr="005B0E5B" w:rsidRDefault="00836964" w:rsidP="00836964">
            <w:pPr>
              <w:rPr>
                <w:rFonts w:eastAsiaTheme="minorHAnsi" w:cs="Arial"/>
                <w:sz w:val="18"/>
                <w:szCs w:val="18"/>
                <w:lang w:eastAsia="en-US"/>
              </w:rPr>
            </w:pPr>
            <w:r w:rsidRPr="005B0E5B">
              <w:rPr>
                <w:rFonts w:eastAsiaTheme="minorHAnsi" w:cs="Arial"/>
                <w:sz w:val="18"/>
                <w:szCs w:val="18"/>
                <w:lang w:eastAsia="en-US"/>
              </w:rPr>
              <w:t>2.9 Suivi</w:t>
            </w:r>
          </w:p>
          <w:p w14:paraId="1E642D5E" w14:textId="77777777" w:rsidR="00836964" w:rsidRPr="005B0E5B" w:rsidRDefault="00836964" w:rsidP="00836964">
            <w:pPr>
              <w:ind w:left="708"/>
              <w:rPr>
                <w:rFonts w:eastAsiaTheme="minorHAnsi" w:cs="Arial"/>
                <w:sz w:val="18"/>
                <w:szCs w:val="18"/>
                <w:lang w:eastAsia="en-US"/>
              </w:rPr>
            </w:pPr>
            <w:r w:rsidRPr="005B0E5B">
              <w:rPr>
                <w:rFonts w:eastAsiaTheme="minorHAnsi" w:cs="Arial"/>
                <w:sz w:val="18"/>
                <w:szCs w:val="18"/>
                <w:lang w:eastAsia="en-US"/>
              </w:rPr>
              <w:t>Suivi des accidents et des maladies</w:t>
            </w:r>
          </w:p>
        </w:tc>
      </w:tr>
    </w:tbl>
    <w:p w14:paraId="56FA133B" w14:textId="77777777" w:rsidR="00836964" w:rsidRPr="005B0E5B" w:rsidRDefault="00836964" w:rsidP="00836964">
      <w:pPr>
        <w:autoSpaceDE w:val="0"/>
        <w:autoSpaceDN w:val="0"/>
        <w:adjustRightInd w:val="0"/>
        <w:rPr>
          <w:rFonts w:eastAsiaTheme="minorHAnsi" w:cs="Arial"/>
          <w:lang w:eastAsia="en-US"/>
        </w:rPr>
      </w:pPr>
    </w:p>
    <w:p w14:paraId="52C097BF" w14:textId="77777777" w:rsidR="00836964" w:rsidRPr="005B0E5B" w:rsidRDefault="00836964" w:rsidP="00836964">
      <w:pPr>
        <w:autoSpaceDE w:val="0"/>
        <w:autoSpaceDN w:val="0"/>
        <w:adjustRightInd w:val="0"/>
        <w:rPr>
          <w:rFonts w:eastAsiaTheme="minorHAnsi" w:cs="Arial"/>
          <w:color w:val="000084"/>
          <w:lang w:eastAsia="en-US"/>
        </w:rPr>
      </w:pPr>
      <w:r w:rsidRPr="005B0E5B">
        <w:rPr>
          <w:rFonts w:eastAsiaTheme="minorHAnsi" w:cs="Arial"/>
          <w:color w:val="000084"/>
          <w:lang w:eastAsia="en-US"/>
        </w:rPr>
        <w:t>Champ d’application et démarche</w:t>
      </w:r>
    </w:p>
    <w:p w14:paraId="418A6802" w14:textId="77777777" w:rsidR="00836964" w:rsidRPr="005B0E5B" w:rsidRDefault="00836964" w:rsidP="00836964">
      <w:pPr>
        <w:autoSpaceDE w:val="0"/>
        <w:autoSpaceDN w:val="0"/>
        <w:adjustRightInd w:val="0"/>
        <w:rPr>
          <w:rFonts w:eastAsiaTheme="minorHAnsi" w:cs="Arial"/>
          <w:color w:val="000000"/>
          <w:lang w:eastAsia="en-US"/>
        </w:rPr>
      </w:pPr>
      <w:r w:rsidRPr="005B0E5B">
        <w:rPr>
          <w:rFonts w:eastAsiaTheme="minorHAnsi" w:cs="Arial"/>
          <w:color w:val="000000"/>
          <w:lang w:eastAsia="en-US"/>
        </w:rPr>
        <w:t>Les employeurs et les agents de maîtrise sont tenus de prendre toutes les précautions raisonnables pour assurer la protection de la santé et la sécurité des travailleurs. La présente section fournit des conseils et des exemples de précautions raisonnables relativement à la gestion des principaux risques pour la santé et la sécurité au travail. Bien que l’on mette l’accent sur la phase opérationnelle des projets, une grande partie des conseils est également applicable aux activités de construction et de démantèlement. Il est conseillé aux entreprises d’utiliser des fournisseurs disposant des moyens techniques de gérer les problèmes de santé et sécurité du travail de leurs employés, en développant l’application des activités de gestion des risques par le biais d’accords de fourniture officiels.</w:t>
      </w:r>
    </w:p>
    <w:p w14:paraId="75C4E499" w14:textId="77777777" w:rsidR="00836964" w:rsidRPr="005B0E5B" w:rsidRDefault="00836964" w:rsidP="00836964">
      <w:pPr>
        <w:autoSpaceDE w:val="0"/>
        <w:autoSpaceDN w:val="0"/>
        <w:adjustRightInd w:val="0"/>
        <w:rPr>
          <w:rFonts w:eastAsiaTheme="minorHAnsi" w:cs="Arial"/>
          <w:color w:val="000000"/>
          <w:lang w:eastAsia="en-US"/>
        </w:rPr>
      </w:pPr>
    </w:p>
    <w:p w14:paraId="1D82B38D" w14:textId="77777777" w:rsidR="00836964" w:rsidRPr="005B0E5B" w:rsidRDefault="00836964" w:rsidP="00836964">
      <w:pPr>
        <w:autoSpaceDE w:val="0"/>
        <w:autoSpaceDN w:val="0"/>
        <w:adjustRightInd w:val="0"/>
        <w:rPr>
          <w:rFonts w:eastAsiaTheme="minorHAnsi" w:cs="Arial"/>
          <w:lang w:eastAsia="en-US"/>
        </w:rPr>
      </w:pPr>
      <w:r w:rsidRPr="005B0E5B">
        <w:rPr>
          <w:rFonts w:eastAsiaTheme="minorHAnsi" w:cs="Arial"/>
          <w:lang w:eastAsia="en-US"/>
        </w:rPr>
        <w:t xml:space="preserve">L’application de mesures de prévention et de limitation des risques au travail doit être basée sur des analyses globales de la sécurité ou des risques sur le lieu de travail. Les résultats de ces analyses devront être prioritaires dans le cadre d’un plan d’action basé sur la probabilité et la gravité des conséquences de l’exposition à des risques identifiés. </w:t>
      </w:r>
    </w:p>
    <w:tbl>
      <w:tblPr>
        <w:tblW w:w="0" w:type="auto"/>
        <w:tblLook w:val="04A0" w:firstRow="1" w:lastRow="0" w:firstColumn="1" w:lastColumn="0" w:noHBand="0" w:noVBand="1"/>
      </w:tblPr>
      <w:tblGrid>
        <w:gridCol w:w="2065"/>
        <w:gridCol w:w="1523"/>
        <w:gridCol w:w="1260"/>
        <w:gridCol w:w="1268"/>
        <w:gridCol w:w="1149"/>
        <w:gridCol w:w="1819"/>
      </w:tblGrid>
      <w:tr w:rsidR="00836964" w:rsidRPr="005B0E5B" w14:paraId="34476156" w14:textId="77777777" w:rsidTr="00836964">
        <w:tc>
          <w:tcPr>
            <w:tcW w:w="9062" w:type="dxa"/>
            <w:gridSpan w:val="6"/>
            <w:vAlign w:val="center"/>
          </w:tcPr>
          <w:p w14:paraId="3A2EE657" w14:textId="77777777" w:rsidR="00836964" w:rsidRPr="005B0E5B" w:rsidRDefault="00836964" w:rsidP="005247BD">
            <w:pPr>
              <w:spacing w:after="0"/>
              <w:rPr>
                <w:rFonts w:eastAsiaTheme="minorHAnsi" w:cs="Arial"/>
                <w:lang w:eastAsia="en-US"/>
              </w:rPr>
            </w:pPr>
            <w:r w:rsidRPr="005B0E5B">
              <w:rPr>
                <w:rFonts w:eastAsiaTheme="minorHAnsi" w:cs="Arial"/>
                <w:lang w:eastAsia="en-US"/>
              </w:rPr>
              <w:t>Tableau 2.1.1. Tableau de classement des risques pour la classification des scénarios de travailleurs sur la base des probabilités et des conséquences</w:t>
            </w:r>
          </w:p>
        </w:tc>
      </w:tr>
      <w:tr w:rsidR="00836964" w:rsidRPr="005B0E5B" w14:paraId="4012273B" w14:textId="77777777" w:rsidTr="00836964">
        <w:tc>
          <w:tcPr>
            <w:tcW w:w="2065" w:type="dxa"/>
            <w:vMerge w:val="restart"/>
            <w:vAlign w:val="center"/>
          </w:tcPr>
          <w:p w14:paraId="316DEFE4" w14:textId="77777777" w:rsidR="00836964" w:rsidRPr="005B0E5B" w:rsidRDefault="00836964" w:rsidP="005247BD">
            <w:pPr>
              <w:spacing w:after="0"/>
              <w:rPr>
                <w:rFonts w:eastAsiaTheme="minorHAnsi" w:cs="Arial"/>
                <w:lang w:eastAsia="en-US"/>
              </w:rPr>
            </w:pPr>
            <w:r w:rsidRPr="005B0E5B">
              <w:rPr>
                <w:rFonts w:eastAsiaTheme="minorHAnsi" w:cs="Arial"/>
                <w:lang w:eastAsia="en-US"/>
              </w:rPr>
              <w:t>Probabilité</w:t>
            </w:r>
          </w:p>
        </w:tc>
        <w:tc>
          <w:tcPr>
            <w:tcW w:w="6997" w:type="dxa"/>
            <w:gridSpan w:val="5"/>
            <w:vAlign w:val="center"/>
          </w:tcPr>
          <w:p w14:paraId="6198DAE3" w14:textId="77777777" w:rsidR="00836964" w:rsidRPr="005B0E5B" w:rsidRDefault="00836964" w:rsidP="005247BD">
            <w:pPr>
              <w:spacing w:after="0"/>
              <w:rPr>
                <w:rFonts w:eastAsiaTheme="minorHAnsi" w:cs="Arial"/>
                <w:lang w:eastAsia="en-US"/>
              </w:rPr>
            </w:pPr>
            <w:r w:rsidRPr="005B0E5B">
              <w:rPr>
                <w:rFonts w:eastAsiaTheme="minorHAnsi" w:cs="Arial"/>
                <w:lang w:eastAsia="en-US"/>
              </w:rPr>
              <w:t>Conséquences</w:t>
            </w:r>
          </w:p>
        </w:tc>
      </w:tr>
      <w:tr w:rsidR="00836964" w:rsidRPr="005B0E5B" w14:paraId="045C9008" w14:textId="77777777" w:rsidTr="00836964">
        <w:tc>
          <w:tcPr>
            <w:tcW w:w="2065" w:type="dxa"/>
            <w:vMerge/>
          </w:tcPr>
          <w:p w14:paraId="1377EA70" w14:textId="77777777" w:rsidR="00836964" w:rsidRPr="005B0E5B" w:rsidRDefault="00836964" w:rsidP="005247BD">
            <w:pPr>
              <w:spacing w:after="0"/>
              <w:rPr>
                <w:rFonts w:eastAsiaTheme="minorHAnsi" w:cs="Arial"/>
                <w:lang w:eastAsia="en-US"/>
              </w:rPr>
            </w:pPr>
          </w:p>
        </w:tc>
        <w:tc>
          <w:tcPr>
            <w:tcW w:w="1501" w:type="dxa"/>
          </w:tcPr>
          <w:p w14:paraId="7A6982A8" w14:textId="77777777" w:rsidR="00836964" w:rsidRPr="005B0E5B" w:rsidRDefault="00836964" w:rsidP="005247BD">
            <w:pPr>
              <w:spacing w:after="0"/>
              <w:rPr>
                <w:rFonts w:eastAsiaTheme="minorHAnsi" w:cs="Arial"/>
                <w:lang w:eastAsia="en-US"/>
              </w:rPr>
            </w:pPr>
            <w:r w:rsidRPr="005B0E5B">
              <w:rPr>
                <w:rFonts w:eastAsiaTheme="minorHAnsi" w:cs="Arial"/>
                <w:lang w:eastAsia="en-US"/>
              </w:rPr>
              <w:t>Insignifiantes</w:t>
            </w:r>
          </w:p>
          <w:p w14:paraId="3CC65B2C" w14:textId="77777777" w:rsidR="00836964" w:rsidRPr="005B0E5B" w:rsidRDefault="00836964" w:rsidP="005247BD">
            <w:pPr>
              <w:spacing w:after="0"/>
              <w:rPr>
                <w:rFonts w:eastAsiaTheme="minorHAnsi" w:cs="Arial"/>
                <w:lang w:eastAsia="en-US"/>
              </w:rPr>
            </w:pPr>
            <w:r w:rsidRPr="005B0E5B">
              <w:rPr>
                <w:rFonts w:eastAsiaTheme="minorHAnsi" w:cs="Arial"/>
                <w:lang w:eastAsia="en-US"/>
              </w:rPr>
              <w:t>1</w:t>
            </w:r>
          </w:p>
        </w:tc>
        <w:tc>
          <w:tcPr>
            <w:tcW w:w="1260" w:type="dxa"/>
          </w:tcPr>
          <w:p w14:paraId="20A46F71" w14:textId="77777777" w:rsidR="00836964" w:rsidRPr="005B0E5B" w:rsidRDefault="00836964" w:rsidP="005247BD">
            <w:pPr>
              <w:spacing w:after="0"/>
              <w:rPr>
                <w:rFonts w:eastAsiaTheme="minorHAnsi" w:cs="Arial"/>
                <w:lang w:eastAsia="en-US"/>
              </w:rPr>
            </w:pPr>
            <w:r w:rsidRPr="005B0E5B">
              <w:rPr>
                <w:rFonts w:eastAsiaTheme="minorHAnsi" w:cs="Arial"/>
                <w:lang w:eastAsia="en-US"/>
              </w:rPr>
              <w:t>Mineures</w:t>
            </w:r>
          </w:p>
          <w:p w14:paraId="5F540E54" w14:textId="77777777" w:rsidR="00836964" w:rsidRPr="005B0E5B" w:rsidRDefault="00836964" w:rsidP="005247BD">
            <w:pPr>
              <w:spacing w:after="0"/>
              <w:rPr>
                <w:rFonts w:eastAsiaTheme="minorHAnsi" w:cs="Arial"/>
                <w:lang w:eastAsia="en-US"/>
              </w:rPr>
            </w:pPr>
            <w:r w:rsidRPr="005B0E5B">
              <w:rPr>
                <w:rFonts w:eastAsiaTheme="minorHAnsi" w:cs="Arial"/>
                <w:lang w:eastAsia="en-US"/>
              </w:rPr>
              <w:t>2</w:t>
            </w:r>
          </w:p>
        </w:tc>
        <w:tc>
          <w:tcPr>
            <w:tcW w:w="1268" w:type="dxa"/>
          </w:tcPr>
          <w:p w14:paraId="36B682E9" w14:textId="77777777" w:rsidR="00836964" w:rsidRPr="005B0E5B" w:rsidRDefault="00836964" w:rsidP="005247BD">
            <w:pPr>
              <w:spacing w:after="0"/>
              <w:rPr>
                <w:rFonts w:eastAsiaTheme="minorHAnsi" w:cs="Arial"/>
                <w:lang w:eastAsia="en-US"/>
              </w:rPr>
            </w:pPr>
            <w:r w:rsidRPr="005B0E5B">
              <w:rPr>
                <w:rFonts w:eastAsiaTheme="minorHAnsi" w:cs="Arial"/>
                <w:lang w:eastAsia="en-US"/>
              </w:rPr>
              <w:t>Modérées</w:t>
            </w:r>
          </w:p>
          <w:p w14:paraId="12C8E8AF" w14:textId="77777777" w:rsidR="00836964" w:rsidRPr="005B0E5B" w:rsidRDefault="00836964" w:rsidP="005247BD">
            <w:pPr>
              <w:spacing w:after="0"/>
              <w:rPr>
                <w:rFonts w:eastAsiaTheme="minorHAnsi" w:cs="Arial"/>
                <w:lang w:eastAsia="en-US"/>
              </w:rPr>
            </w:pPr>
            <w:r w:rsidRPr="005B0E5B">
              <w:rPr>
                <w:rFonts w:eastAsiaTheme="minorHAnsi" w:cs="Arial"/>
                <w:lang w:eastAsia="en-US"/>
              </w:rPr>
              <w:t>3</w:t>
            </w:r>
          </w:p>
        </w:tc>
        <w:tc>
          <w:tcPr>
            <w:tcW w:w="1149" w:type="dxa"/>
          </w:tcPr>
          <w:p w14:paraId="4093325A" w14:textId="77777777" w:rsidR="00836964" w:rsidRPr="005B0E5B" w:rsidRDefault="00836964" w:rsidP="005247BD">
            <w:pPr>
              <w:spacing w:after="0"/>
              <w:rPr>
                <w:rFonts w:eastAsiaTheme="minorHAnsi" w:cs="Arial"/>
                <w:lang w:eastAsia="en-US"/>
              </w:rPr>
            </w:pPr>
            <w:r w:rsidRPr="005B0E5B">
              <w:rPr>
                <w:rFonts w:eastAsiaTheme="minorHAnsi" w:cs="Arial"/>
                <w:lang w:eastAsia="en-US"/>
              </w:rPr>
              <w:t>Majeures</w:t>
            </w:r>
          </w:p>
          <w:p w14:paraId="69FF8A0C" w14:textId="77777777" w:rsidR="00836964" w:rsidRPr="005B0E5B" w:rsidRDefault="00836964" w:rsidP="005247BD">
            <w:pPr>
              <w:spacing w:after="0"/>
              <w:rPr>
                <w:rFonts w:eastAsiaTheme="minorHAnsi" w:cs="Arial"/>
                <w:lang w:eastAsia="en-US"/>
              </w:rPr>
            </w:pPr>
            <w:r w:rsidRPr="005B0E5B">
              <w:rPr>
                <w:rFonts w:eastAsiaTheme="minorHAnsi" w:cs="Arial"/>
                <w:lang w:eastAsia="en-US"/>
              </w:rPr>
              <w:t>4</w:t>
            </w:r>
          </w:p>
        </w:tc>
        <w:tc>
          <w:tcPr>
            <w:tcW w:w="1819" w:type="dxa"/>
          </w:tcPr>
          <w:p w14:paraId="0B5FE905" w14:textId="77777777" w:rsidR="00836964" w:rsidRPr="005B0E5B" w:rsidRDefault="00836964" w:rsidP="005247BD">
            <w:pPr>
              <w:spacing w:after="0"/>
              <w:rPr>
                <w:rFonts w:eastAsiaTheme="minorHAnsi" w:cs="Arial"/>
                <w:lang w:eastAsia="en-US"/>
              </w:rPr>
            </w:pPr>
            <w:r w:rsidRPr="005B0E5B">
              <w:rPr>
                <w:rFonts w:eastAsiaTheme="minorHAnsi" w:cs="Arial"/>
                <w:lang w:eastAsia="en-US"/>
              </w:rPr>
              <w:t>Catastrophiques</w:t>
            </w:r>
          </w:p>
          <w:p w14:paraId="797B258D" w14:textId="77777777" w:rsidR="00836964" w:rsidRPr="005B0E5B" w:rsidRDefault="00836964" w:rsidP="005247BD">
            <w:pPr>
              <w:spacing w:after="0"/>
              <w:rPr>
                <w:rFonts w:eastAsiaTheme="minorHAnsi" w:cs="Arial"/>
                <w:lang w:eastAsia="en-US"/>
              </w:rPr>
            </w:pPr>
            <w:r w:rsidRPr="005B0E5B">
              <w:rPr>
                <w:rFonts w:eastAsiaTheme="minorHAnsi" w:cs="Arial"/>
                <w:lang w:eastAsia="en-US"/>
              </w:rPr>
              <w:t>5</w:t>
            </w:r>
          </w:p>
        </w:tc>
      </w:tr>
      <w:tr w:rsidR="00836964" w:rsidRPr="005B0E5B" w14:paraId="1898A4B4" w14:textId="77777777" w:rsidTr="00836964">
        <w:tc>
          <w:tcPr>
            <w:tcW w:w="2065" w:type="dxa"/>
          </w:tcPr>
          <w:p w14:paraId="6E0E357B" w14:textId="77777777" w:rsidR="00836964" w:rsidRPr="005B0E5B" w:rsidRDefault="00836964" w:rsidP="005247BD">
            <w:pPr>
              <w:spacing w:after="0"/>
              <w:rPr>
                <w:rFonts w:eastAsiaTheme="minorHAnsi" w:cs="Arial"/>
                <w:lang w:eastAsia="en-US"/>
              </w:rPr>
            </w:pPr>
            <w:r w:rsidRPr="005B0E5B">
              <w:rPr>
                <w:rFonts w:eastAsiaTheme="minorHAnsi" w:cs="Arial"/>
                <w:lang w:eastAsia="en-US"/>
              </w:rPr>
              <w:t xml:space="preserve">A. </w:t>
            </w:r>
            <w:proofErr w:type="spellStart"/>
            <w:r w:rsidRPr="005B0E5B">
              <w:rPr>
                <w:rFonts w:eastAsiaTheme="minorHAnsi" w:cs="Arial"/>
                <w:lang w:eastAsia="en-US"/>
              </w:rPr>
              <w:t>Quasicertaine</w:t>
            </w:r>
            <w:proofErr w:type="spellEnd"/>
          </w:p>
        </w:tc>
        <w:tc>
          <w:tcPr>
            <w:tcW w:w="1501" w:type="dxa"/>
          </w:tcPr>
          <w:p w14:paraId="3226A0D4" w14:textId="77777777" w:rsidR="00836964" w:rsidRPr="005B0E5B" w:rsidRDefault="00836964" w:rsidP="005247BD">
            <w:pPr>
              <w:spacing w:after="0"/>
              <w:rPr>
                <w:rFonts w:eastAsiaTheme="minorHAnsi" w:cs="Arial"/>
                <w:lang w:eastAsia="en-US"/>
              </w:rPr>
            </w:pPr>
            <w:r w:rsidRPr="005B0E5B">
              <w:rPr>
                <w:rFonts w:eastAsiaTheme="minorHAnsi" w:cs="Arial"/>
                <w:lang w:eastAsia="en-US"/>
              </w:rPr>
              <w:t>L</w:t>
            </w:r>
          </w:p>
        </w:tc>
        <w:tc>
          <w:tcPr>
            <w:tcW w:w="1260" w:type="dxa"/>
          </w:tcPr>
          <w:p w14:paraId="0EF4A349" w14:textId="77777777" w:rsidR="00836964" w:rsidRPr="005B0E5B" w:rsidRDefault="00836964" w:rsidP="005247BD">
            <w:pPr>
              <w:spacing w:after="0"/>
              <w:rPr>
                <w:rFonts w:eastAsiaTheme="minorHAnsi" w:cs="Arial"/>
                <w:lang w:eastAsia="en-US"/>
              </w:rPr>
            </w:pPr>
            <w:r w:rsidRPr="005B0E5B">
              <w:rPr>
                <w:rFonts w:eastAsiaTheme="minorHAnsi" w:cs="Arial"/>
                <w:lang w:eastAsia="en-US"/>
              </w:rPr>
              <w:t>M</w:t>
            </w:r>
          </w:p>
        </w:tc>
        <w:tc>
          <w:tcPr>
            <w:tcW w:w="1268" w:type="dxa"/>
          </w:tcPr>
          <w:p w14:paraId="5A28D8D2" w14:textId="77777777" w:rsidR="00836964" w:rsidRPr="005B0E5B" w:rsidRDefault="00836964" w:rsidP="005247BD">
            <w:pPr>
              <w:spacing w:after="0"/>
              <w:rPr>
                <w:rFonts w:eastAsiaTheme="minorHAnsi" w:cs="Arial"/>
                <w:lang w:eastAsia="en-US"/>
              </w:rPr>
            </w:pPr>
            <w:r w:rsidRPr="005B0E5B">
              <w:rPr>
                <w:rFonts w:eastAsiaTheme="minorHAnsi" w:cs="Arial"/>
                <w:lang w:eastAsia="en-US"/>
              </w:rPr>
              <w:t>E</w:t>
            </w:r>
          </w:p>
        </w:tc>
        <w:tc>
          <w:tcPr>
            <w:tcW w:w="1149" w:type="dxa"/>
          </w:tcPr>
          <w:p w14:paraId="6C12DE0F" w14:textId="77777777" w:rsidR="00836964" w:rsidRPr="005B0E5B" w:rsidRDefault="00836964" w:rsidP="005247BD">
            <w:pPr>
              <w:spacing w:after="0"/>
              <w:rPr>
                <w:rFonts w:eastAsiaTheme="minorHAnsi" w:cs="Arial"/>
                <w:lang w:eastAsia="en-US"/>
              </w:rPr>
            </w:pPr>
            <w:r w:rsidRPr="005B0E5B">
              <w:rPr>
                <w:rFonts w:eastAsiaTheme="minorHAnsi" w:cs="Arial"/>
                <w:lang w:eastAsia="en-US"/>
              </w:rPr>
              <w:t>E</w:t>
            </w:r>
          </w:p>
        </w:tc>
        <w:tc>
          <w:tcPr>
            <w:tcW w:w="1819" w:type="dxa"/>
          </w:tcPr>
          <w:p w14:paraId="2ADDC343" w14:textId="77777777" w:rsidR="00836964" w:rsidRPr="005B0E5B" w:rsidRDefault="00836964" w:rsidP="005247BD">
            <w:pPr>
              <w:spacing w:after="0"/>
              <w:rPr>
                <w:rFonts w:eastAsiaTheme="minorHAnsi" w:cs="Arial"/>
                <w:lang w:eastAsia="en-US"/>
              </w:rPr>
            </w:pPr>
            <w:r w:rsidRPr="005B0E5B">
              <w:rPr>
                <w:rFonts w:eastAsiaTheme="minorHAnsi" w:cs="Arial"/>
                <w:lang w:eastAsia="en-US"/>
              </w:rPr>
              <w:t>E</w:t>
            </w:r>
          </w:p>
        </w:tc>
      </w:tr>
      <w:tr w:rsidR="00836964" w:rsidRPr="005B0E5B" w14:paraId="7EDC153F" w14:textId="77777777" w:rsidTr="00836964">
        <w:tc>
          <w:tcPr>
            <w:tcW w:w="2065" w:type="dxa"/>
          </w:tcPr>
          <w:p w14:paraId="32F34C2F" w14:textId="77777777" w:rsidR="00836964" w:rsidRPr="005B0E5B" w:rsidRDefault="00836964" w:rsidP="005247BD">
            <w:pPr>
              <w:spacing w:after="0"/>
              <w:rPr>
                <w:rFonts w:eastAsiaTheme="minorHAnsi" w:cs="Arial"/>
                <w:lang w:eastAsia="en-US"/>
              </w:rPr>
            </w:pPr>
            <w:r w:rsidRPr="005B0E5B">
              <w:rPr>
                <w:rFonts w:eastAsiaTheme="minorHAnsi" w:cs="Arial"/>
                <w:lang w:eastAsia="en-US"/>
              </w:rPr>
              <w:t>B. probable</w:t>
            </w:r>
          </w:p>
        </w:tc>
        <w:tc>
          <w:tcPr>
            <w:tcW w:w="1501" w:type="dxa"/>
          </w:tcPr>
          <w:p w14:paraId="3ABE62CB" w14:textId="77777777" w:rsidR="00836964" w:rsidRPr="005B0E5B" w:rsidRDefault="00836964" w:rsidP="005247BD">
            <w:pPr>
              <w:spacing w:after="0"/>
              <w:rPr>
                <w:rFonts w:eastAsiaTheme="minorHAnsi" w:cs="Arial"/>
                <w:lang w:eastAsia="en-US"/>
              </w:rPr>
            </w:pPr>
            <w:r w:rsidRPr="005B0E5B">
              <w:rPr>
                <w:rFonts w:eastAsiaTheme="minorHAnsi" w:cs="Arial"/>
                <w:lang w:eastAsia="en-US"/>
              </w:rPr>
              <w:t>L</w:t>
            </w:r>
          </w:p>
        </w:tc>
        <w:tc>
          <w:tcPr>
            <w:tcW w:w="1260" w:type="dxa"/>
          </w:tcPr>
          <w:p w14:paraId="34E0D6AB" w14:textId="77777777" w:rsidR="00836964" w:rsidRPr="005B0E5B" w:rsidRDefault="00836964" w:rsidP="005247BD">
            <w:pPr>
              <w:spacing w:after="0"/>
              <w:rPr>
                <w:rFonts w:eastAsiaTheme="minorHAnsi" w:cs="Arial"/>
                <w:lang w:eastAsia="en-US"/>
              </w:rPr>
            </w:pPr>
            <w:r w:rsidRPr="005B0E5B">
              <w:rPr>
                <w:rFonts w:eastAsiaTheme="minorHAnsi" w:cs="Arial"/>
                <w:lang w:eastAsia="en-US"/>
              </w:rPr>
              <w:t>M</w:t>
            </w:r>
          </w:p>
        </w:tc>
        <w:tc>
          <w:tcPr>
            <w:tcW w:w="1268" w:type="dxa"/>
          </w:tcPr>
          <w:p w14:paraId="30983E8E" w14:textId="77777777" w:rsidR="00836964" w:rsidRPr="005B0E5B" w:rsidRDefault="00836964" w:rsidP="005247BD">
            <w:pPr>
              <w:spacing w:after="0"/>
              <w:rPr>
                <w:rFonts w:eastAsiaTheme="minorHAnsi" w:cs="Arial"/>
                <w:lang w:eastAsia="en-US"/>
              </w:rPr>
            </w:pPr>
            <w:r w:rsidRPr="005B0E5B">
              <w:rPr>
                <w:rFonts w:eastAsiaTheme="minorHAnsi" w:cs="Arial"/>
                <w:lang w:eastAsia="en-US"/>
              </w:rPr>
              <w:t>H</w:t>
            </w:r>
          </w:p>
        </w:tc>
        <w:tc>
          <w:tcPr>
            <w:tcW w:w="1149" w:type="dxa"/>
          </w:tcPr>
          <w:p w14:paraId="5BA49EA8" w14:textId="77777777" w:rsidR="00836964" w:rsidRPr="005B0E5B" w:rsidRDefault="00836964" w:rsidP="005247BD">
            <w:pPr>
              <w:spacing w:after="0"/>
              <w:rPr>
                <w:rFonts w:eastAsiaTheme="minorHAnsi" w:cs="Arial"/>
                <w:lang w:eastAsia="en-US"/>
              </w:rPr>
            </w:pPr>
            <w:r w:rsidRPr="005B0E5B">
              <w:rPr>
                <w:rFonts w:eastAsiaTheme="minorHAnsi" w:cs="Arial"/>
                <w:lang w:eastAsia="en-US"/>
              </w:rPr>
              <w:t>E</w:t>
            </w:r>
          </w:p>
        </w:tc>
        <w:tc>
          <w:tcPr>
            <w:tcW w:w="1819" w:type="dxa"/>
          </w:tcPr>
          <w:p w14:paraId="55678166" w14:textId="77777777" w:rsidR="00836964" w:rsidRPr="005B0E5B" w:rsidRDefault="00836964" w:rsidP="005247BD">
            <w:pPr>
              <w:spacing w:after="0"/>
              <w:rPr>
                <w:rFonts w:eastAsiaTheme="minorHAnsi" w:cs="Arial"/>
                <w:lang w:eastAsia="en-US"/>
              </w:rPr>
            </w:pPr>
            <w:r w:rsidRPr="005B0E5B">
              <w:rPr>
                <w:rFonts w:eastAsiaTheme="minorHAnsi" w:cs="Arial"/>
                <w:lang w:eastAsia="en-US"/>
              </w:rPr>
              <w:t>E</w:t>
            </w:r>
          </w:p>
        </w:tc>
      </w:tr>
      <w:tr w:rsidR="00836964" w:rsidRPr="005B0E5B" w14:paraId="21C2F45A" w14:textId="77777777" w:rsidTr="00836964">
        <w:tc>
          <w:tcPr>
            <w:tcW w:w="2065" w:type="dxa"/>
          </w:tcPr>
          <w:p w14:paraId="5C280101" w14:textId="77777777" w:rsidR="00836964" w:rsidRPr="005B0E5B" w:rsidRDefault="00836964" w:rsidP="005247BD">
            <w:pPr>
              <w:spacing w:after="0"/>
              <w:rPr>
                <w:rFonts w:eastAsiaTheme="minorHAnsi" w:cs="Arial"/>
                <w:lang w:eastAsia="en-US"/>
              </w:rPr>
            </w:pPr>
            <w:r w:rsidRPr="005B0E5B">
              <w:rPr>
                <w:rFonts w:eastAsiaTheme="minorHAnsi" w:cs="Arial"/>
                <w:lang w:eastAsia="en-US"/>
              </w:rPr>
              <w:t>C. Modéré</w:t>
            </w:r>
          </w:p>
        </w:tc>
        <w:tc>
          <w:tcPr>
            <w:tcW w:w="1501" w:type="dxa"/>
          </w:tcPr>
          <w:p w14:paraId="05BB6B98" w14:textId="77777777" w:rsidR="00836964" w:rsidRPr="005B0E5B" w:rsidRDefault="00836964" w:rsidP="005247BD">
            <w:pPr>
              <w:spacing w:after="0"/>
              <w:rPr>
                <w:rFonts w:eastAsiaTheme="minorHAnsi" w:cs="Arial"/>
                <w:lang w:eastAsia="en-US"/>
              </w:rPr>
            </w:pPr>
            <w:r w:rsidRPr="005B0E5B">
              <w:rPr>
                <w:rFonts w:eastAsiaTheme="minorHAnsi" w:cs="Arial"/>
                <w:lang w:eastAsia="en-US"/>
              </w:rPr>
              <w:t>L</w:t>
            </w:r>
          </w:p>
        </w:tc>
        <w:tc>
          <w:tcPr>
            <w:tcW w:w="1260" w:type="dxa"/>
          </w:tcPr>
          <w:p w14:paraId="021B4CBC" w14:textId="77777777" w:rsidR="00836964" w:rsidRPr="005B0E5B" w:rsidRDefault="00836964" w:rsidP="005247BD">
            <w:pPr>
              <w:spacing w:after="0"/>
              <w:rPr>
                <w:rFonts w:eastAsiaTheme="minorHAnsi" w:cs="Arial"/>
                <w:lang w:eastAsia="en-US"/>
              </w:rPr>
            </w:pPr>
            <w:r w:rsidRPr="005B0E5B">
              <w:rPr>
                <w:rFonts w:eastAsiaTheme="minorHAnsi" w:cs="Arial"/>
                <w:lang w:eastAsia="en-US"/>
              </w:rPr>
              <w:t>M</w:t>
            </w:r>
          </w:p>
        </w:tc>
        <w:tc>
          <w:tcPr>
            <w:tcW w:w="1268" w:type="dxa"/>
          </w:tcPr>
          <w:p w14:paraId="6C5B89B5" w14:textId="77777777" w:rsidR="00836964" w:rsidRPr="005B0E5B" w:rsidRDefault="00836964" w:rsidP="005247BD">
            <w:pPr>
              <w:spacing w:after="0"/>
              <w:rPr>
                <w:rFonts w:eastAsiaTheme="minorHAnsi" w:cs="Arial"/>
                <w:lang w:eastAsia="en-US"/>
              </w:rPr>
            </w:pPr>
            <w:r w:rsidRPr="005B0E5B">
              <w:rPr>
                <w:rFonts w:eastAsiaTheme="minorHAnsi" w:cs="Arial"/>
                <w:lang w:eastAsia="en-US"/>
              </w:rPr>
              <w:t>H</w:t>
            </w:r>
          </w:p>
        </w:tc>
        <w:tc>
          <w:tcPr>
            <w:tcW w:w="1149" w:type="dxa"/>
          </w:tcPr>
          <w:p w14:paraId="0EBED48D" w14:textId="77777777" w:rsidR="00836964" w:rsidRPr="005B0E5B" w:rsidRDefault="00836964" w:rsidP="005247BD">
            <w:pPr>
              <w:spacing w:after="0"/>
              <w:rPr>
                <w:rFonts w:eastAsiaTheme="minorHAnsi" w:cs="Arial"/>
                <w:lang w:eastAsia="en-US"/>
              </w:rPr>
            </w:pPr>
            <w:r w:rsidRPr="005B0E5B">
              <w:rPr>
                <w:rFonts w:eastAsiaTheme="minorHAnsi" w:cs="Arial"/>
                <w:lang w:eastAsia="en-US"/>
              </w:rPr>
              <w:t>E</w:t>
            </w:r>
          </w:p>
        </w:tc>
        <w:tc>
          <w:tcPr>
            <w:tcW w:w="1819" w:type="dxa"/>
          </w:tcPr>
          <w:p w14:paraId="49ECF013" w14:textId="77777777" w:rsidR="00836964" w:rsidRPr="005B0E5B" w:rsidRDefault="00836964" w:rsidP="005247BD">
            <w:pPr>
              <w:spacing w:after="0"/>
              <w:rPr>
                <w:rFonts w:eastAsiaTheme="minorHAnsi" w:cs="Arial"/>
                <w:lang w:eastAsia="en-US"/>
              </w:rPr>
            </w:pPr>
            <w:r w:rsidRPr="005B0E5B">
              <w:rPr>
                <w:rFonts w:eastAsiaTheme="minorHAnsi" w:cs="Arial"/>
                <w:lang w:eastAsia="en-US"/>
              </w:rPr>
              <w:t>E</w:t>
            </w:r>
          </w:p>
        </w:tc>
      </w:tr>
      <w:tr w:rsidR="00836964" w:rsidRPr="005B0E5B" w14:paraId="774925EB" w14:textId="77777777" w:rsidTr="00836964">
        <w:tc>
          <w:tcPr>
            <w:tcW w:w="2065" w:type="dxa"/>
          </w:tcPr>
          <w:p w14:paraId="4F24E64E" w14:textId="77777777" w:rsidR="00836964" w:rsidRPr="005B0E5B" w:rsidRDefault="00836964" w:rsidP="005247BD">
            <w:pPr>
              <w:spacing w:after="0"/>
              <w:rPr>
                <w:rFonts w:eastAsiaTheme="minorHAnsi" w:cs="Arial"/>
                <w:lang w:eastAsia="en-US"/>
              </w:rPr>
            </w:pPr>
            <w:r w:rsidRPr="005B0E5B">
              <w:rPr>
                <w:rFonts w:eastAsiaTheme="minorHAnsi" w:cs="Arial"/>
                <w:lang w:eastAsia="en-US"/>
              </w:rPr>
              <w:t>D. Improbable</w:t>
            </w:r>
          </w:p>
        </w:tc>
        <w:tc>
          <w:tcPr>
            <w:tcW w:w="1501" w:type="dxa"/>
          </w:tcPr>
          <w:p w14:paraId="55A40E5C" w14:textId="77777777" w:rsidR="00836964" w:rsidRPr="005B0E5B" w:rsidRDefault="00836964" w:rsidP="005247BD">
            <w:pPr>
              <w:spacing w:after="0"/>
              <w:rPr>
                <w:rFonts w:eastAsiaTheme="minorHAnsi" w:cs="Arial"/>
                <w:lang w:eastAsia="en-US"/>
              </w:rPr>
            </w:pPr>
            <w:r w:rsidRPr="005B0E5B">
              <w:rPr>
                <w:rFonts w:eastAsiaTheme="minorHAnsi" w:cs="Arial"/>
                <w:lang w:eastAsia="en-US"/>
              </w:rPr>
              <w:t>L</w:t>
            </w:r>
          </w:p>
        </w:tc>
        <w:tc>
          <w:tcPr>
            <w:tcW w:w="1260" w:type="dxa"/>
          </w:tcPr>
          <w:p w14:paraId="11C7B8F7" w14:textId="77777777" w:rsidR="00836964" w:rsidRPr="005B0E5B" w:rsidRDefault="00836964" w:rsidP="005247BD">
            <w:pPr>
              <w:spacing w:after="0"/>
              <w:rPr>
                <w:rFonts w:eastAsiaTheme="minorHAnsi" w:cs="Arial"/>
                <w:lang w:eastAsia="en-US"/>
              </w:rPr>
            </w:pPr>
            <w:r w:rsidRPr="005B0E5B">
              <w:rPr>
                <w:rFonts w:eastAsiaTheme="minorHAnsi" w:cs="Arial"/>
                <w:lang w:eastAsia="en-US"/>
              </w:rPr>
              <w:t>L</w:t>
            </w:r>
          </w:p>
        </w:tc>
        <w:tc>
          <w:tcPr>
            <w:tcW w:w="1268" w:type="dxa"/>
          </w:tcPr>
          <w:p w14:paraId="360F9188" w14:textId="77777777" w:rsidR="00836964" w:rsidRPr="005B0E5B" w:rsidRDefault="00836964" w:rsidP="005247BD">
            <w:pPr>
              <w:spacing w:after="0"/>
              <w:rPr>
                <w:rFonts w:eastAsiaTheme="minorHAnsi" w:cs="Arial"/>
                <w:lang w:eastAsia="en-US"/>
              </w:rPr>
            </w:pPr>
            <w:r w:rsidRPr="005B0E5B">
              <w:rPr>
                <w:rFonts w:eastAsiaTheme="minorHAnsi" w:cs="Arial"/>
                <w:lang w:eastAsia="en-US"/>
              </w:rPr>
              <w:t>M</w:t>
            </w:r>
          </w:p>
        </w:tc>
        <w:tc>
          <w:tcPr>
            <w:tcW w:w="1149" w:type="dxa"/>
          </w:tcPr>
          <w:p w14:paraId="0E4ED1EC" w14:textId="77777777" w:rsidR="00836964" w:rsidRPr="005B0E5B" w:rsidRDefault="00836964" w:rsidP="005247BD">
            <w:pPr>
              <w:spacing w:after="0"/>
              <w:rPr>
                <w:rFonts w:eastAsiaTheme="minorHAnsi" w:cs="Arial"/>
                <w:lang w:eastAsia="en-US"/>
              </w:rPr>
            </w:pPr>
            <w:r w:rsidRPr="005B0E5B">
              <w:rPr>
                <w:rFonts w:eastAsiaTheme="minorHAnsi" w:cs="Arial"/>
                <w:lang w:eastAsia="en-US"/>
              </w:rPr>
              <w:t>H</w:t>
            </w:r>
          </w:p>
        </w:tc>
        <w:tc>
          <w:tcPr>
            <w:tcW w:w="1819" w:type="dxa"/>
          </w:tcPr>
          <w:p w14:paraId="00D7F11A" w14:textId="77777777" w:rsidR="00836964" w:rsidRPr="005B0E5B" w:rsidRDefault="00836964" w:rsidP="005247BD">
            <w:pPr>
              <w:spacing w:after="0"/>
              <w:rPr>
                <w:rFonts w:eastAsiaTheme="minorHAnsi" w:cs="Arial"/>
                <w:lang w:eastAsia="en-US"/>
              </w:rPr>
            </w:pPr>
            <w:r w:rsidRPr="005B0E5B">
              <w:rPr>
                <w:rFonts w:eastAsiaTheme="minorHAnsi" w:cs="Arial"/>
                <w:lang w:eastAsia="en-US"/>
              </w:rPr>
              <w:t>E</w:t>
            </w:r>
          </w:p>
        </w:tc>
      </w:tr>
      <w:tr w:rsidR="00836964" w:rsidRPr="005B0E5B" w14:paraId="05285D5C" w14:textId="77777777" w:rsidTr="00836964">
        <w:tc>
          <w:tcPr>
            <w:tcW w:w="2065" w:type="dxa"/>
          </w:tcPr>
          <w:p w14:paraId="4C40A068" w14:textId="77777777" w:rsidR="00836964" w:rsidRPr="005B0E5B" w:rsidRDefault="00836964" w:rsidP="005247BD">
            <w:pPr>
              <w:spacing w:after="0"/>
              <w:rPr>
                <w:rFonts w:eastAsiaTheme="minorHAnsi" w:cs="Arial"/>
                <w:lang w:eastAsia="en-US"/>
              </w:rPr>
            </w:pPr>
            <w:r w:rsidRPr="005B0E5B">
              <w:rPr>
                <w:rFonts w:eastAsiaTheme="minorHAnsi" w:cs="Arial"/>
                <w:lang w:eastAsia="en-US"/>
              </w:rPr>
              <w:t>E. Rare</w:t>
            </w:r>
          </w:p>
        </w:tc>
        <w:tc>
          <w:tcPr>
            <w:tcW w:w="1501" w:type="dxa"/>
          </w:tcPr>
          <w:p w14:paraId="66569AB5" w14:textId="77777777" w:rsidR="00836964" w:rsidRPr="005B0E5B" w:rsidRDefault="00836964" w:rsidP="005247BD">
            <w:pPr>
              <w:spacing w:after="0"/>
              <w:rPr>
                <w:rFonts w:eastAsiaTheme="minorHAnsi" w:cs="Arial"/>
                <w:lang w:eastAsia="en-US"/>
              </w:rPr>
            </w:pPr>
            <w:r w:rsidRPr="005B0E5B">
              <w:rPr>
                <w:rFonts w:eastAsiaTheme="minorHAnsi" w:cs="Arial"/>
                <w:lang w:eastAsia="en-US"/>
              </w:rPr>
              <w:t>L</w:t>
            </w:r>
          </w:p>
        </w:tc>
        <w:tc>
          <w:tcPr>
            <w:tcW w:w="1260" w:type="dxa"/>
          </w:tcPr>
          <w:p w14:paraId="237A054C" w14:textId="77777777" w:rsidR="00836964" w:rsidRPr="005B0E5B" w:rsidRDefault="00836964" w:rsidP="005247BD">
            <w:pPr>
              <w:spacing w:after="0"/>
              <w:rPr>
                <w:rFonts w:eastAsiaTheme="minorHAnsi" w:cs="Arial"/>
                <w:lang w:eastAsia="en-US"/>
              </w:rPr>
            </w:pPr>
            <w:r w:rsidRPr="005B0E5B">
              <w:rPr>
                <w:rFonts w:eastAsiaTheme="minorHAnsi" w:cs="Arial"/>
                <w:lang w:eastAsia="en-US"/>
              </w:rPr>
              <w:t>L</w:t>
            </w:r>
          </w:p>
        </w:tc>
        <w:tc>
          <w:tcPr>
            <w:tcW w:w="1268" w:type="dxa"/>
          </w:tcPr>
          <w:p w14:paraId="1B29EB89" w14:textId="77777777" w:rsidR="00836964" w:rsidRPr="005B0E5B" w:rsidRDefault="00836964" w:rsidP="005247BD">
            <w:pPr>
              <w:spacing w:after="0"/>
              <w:rPr>
                <w:rFonts w:eastAsiaTheme="minorHAnsi" w:cs="Arial"/>
                <w:lang w:eastAsia="en-US"/>
              </w:rPr>
            </w:pPr>
            <w:r w:rsidRPr="005B0E5B">
              <w:rPr>
                <w:rFonts w:eastAsiaTheme="minorHAnsi" w:cs="Arial"/>
                <w:lang w:eastAsia="en-US"/>
              </w:rPr>
              <w:t>M</w:t>
            </w:r>
          </w:p>
        </w:tc>
        <w:tc>
          <w:tcPr>
            <w:tcW w:w="1149" w:type="dxa"/>
          </w:tcPr>
          <w:p w14:paraId="323D9FB7" w14:textId="77777777" w:rsidR="00836964" w:rsidRPr="005B0E5B" w:rsidRDefault="00836964" w:rsidP="005247BD">
            <w:pPr>
              <w:spacing w:after="0"/>
              <w:rPr>
                <w:rFonts w:eastAsiaTheme="minorHAnsi" w:cs="Arial"/>
                <w:lang w:eastAsia="en-US"/>
              </w:rPr>
            </w:pPr>
            <w:r w:rsidRPr="005B0E5B">
              <w:rPr>
                <w:rFonts w:eastAsiaTheme="minorHAnsi" w:cs="Arial"/>
                <w:lang w:eastAsia="en-US"/>
              </w:rPr>
              <w:t>H</w:t>
            </w:r>
          </w:p>
        </w:tc>
        <w:tc>
          <w:tcPr>
            <w:tcW w:w="1819" w:type="dxa"/>
          </w:tcPr>
          <w:p w14:paraId="01250B1F" w14:textId="77777777" w:rsidR="00836964" w:rsidRPr="005B0E5B" w:rsidRDefault="00836964" w:rsidP="005247BD">
            <w:pPr>
              <w:spacing w:after="0"/>
              <w:rPr>
                <w:rFonts w:eastAsiaTheme="minorHAnsi" w:cs="Arial"/>
                <w:lang w:eastAsia="en-US"/>
              </w:rPr>
            </w:pPr>
            <w:r w:rsidRPr="005B0E5B">
              <w:rPr>
                <w:rFonts w:eastAsiaTheme="minorHAnsi" w:cs="Arial"/>
                <w:lang w:eastAsia="en-US"/>
              </w:rPr>
              <w:t>H</w:t>
            </w:r>
          </w:p>
        </w:tc>
      </w:tr>
      <w:tr w:rsidR="00836964" w:rsidRPr="005B0E5B" w14:paraId="0E12E82B" w14:textId="77777777" w:rsidTr="00836964">
        <w:tc>
          <w:tcPr>
            <w:tcW w:w="9062" w:type="dxa"/>
            <w:gridSpan w:val="6"/>
          </w:tcPr>
          <w:p w14:paraId="789255A1" w14:textId="77777777" w:rsidR="00836964" w:rsidRPr="005B0E5B" w:rsidRDefault="00836964" w:rsidP="005247BD">
            <w:pPr>
              <w:spacing w:after="0"/>
              <w:ind w:left="708"/>
              <w:rPr>
                <w:rFonts w:eastAsiaTheme="minorHAnsi" w:cs="Arial"/>
                <w:lang w:eastAsia="en-US"/>
              </w:rPr>
            </w:pPr>
            <w:r w:rsidRPr="005B0E5B">
              <w:rPr>
                <w:rFonts w:eastAsiaTheme="minorHAnsi" w:cs="Arial"/>
                <w:lang w:eastAsia="en-US"/>
              </w:rPr>
              <w:t>E: risque extrême : une intervention immédiate est nécessaire</w:t>
            </w:r>
          </w:p>
          <w:p w14:paraId="20EC0A91" w14:textId="77777777" w:rsidR="00836964" w:rsidRPr="005B0E5B" w:rsidRDefault="00836964" w:rsidP="005247BD">
            <w:pPr>
              <w:spacing w:after="0"/>
              <w:ind w:left="708"/>
              <w:rPr>
                <w:rFonts w:eastAsiaTheme="minorHAnsi" w:cs="Arial"/>
                <w:lang w:eastAsia="en-US"/>
              </w:rPr>
            </w:pPr>
            <w:r w:rsidRPr="005B0E5B">
              <w:rPr>
                <w:rFonts w:eastAsiaTheme="minorHAnsi" w:cs="Arial"/>
                <w:lang w:eastAsia="en-US"/>
              </w:rPr>
              <w:t>H: risque élevé : signaler aux cadres supérieurs</w:t>
            </w:r>
          </w:p>
          <w:p w14:paraId="1A5E27AE" w14:textId="77777777" w:rsidR="00836964" w:rsidRPr="005B0E5B" w:rsidRDefault="00836964" w:rsidP="005247BD">
            <w:pPr>
              <w:spacing w:after="0"/>
              <w:ind w:left="708"/>
              <w:rPr>
                <w:rFonts w:eastAsiaTheme="minorHAnsi" w:cs="Arial"/>
                <w:lang w:eastAsia="en-US"/>
              </w:rPr>
            </w:pPr>
            <w:r w:rsidRPr="005B0E5B">
              <w:rPr>
                <w:rFonts w:eastAsiaTheme="minorHAnsi" w:cs="Arial"/>
                <w:lang w:eastAsia="en-US"/>
              </w:rPr>
              <w:t>M: risques modérés : spécifier la responsabilité de la direction</w:t>
            </w:r>
          </w:p>
          <w:p w14:paraId="2925113C" w14:textId="77777777" w:rsidR="00836964" w:rsidRPr="005B0E5B" w:rsidRDefault="00836964" w:rsidP="005247BD">
            <w:pPr>
              <w:spacing w:after="0"/>
              <w:ind w:left="708"/>
              <w:rPr>
                <w:rFonts w:eastAsiaTheme="minorHAnsi" w:cs="Arial"/>
                <w:lang w:eastAsia="en-US"/>
              </w:rPr>
            </w:pPr>
            <w:r w:rsidRPr="005B0E5B">
              <w:rPr>
                <w:rFonts w:eastAsiaTheme="minorHAnsi" w:cs="Arial"/>
                <w:lang w:eastAsia="en-US"/>
              </w:rPr>
              <w:t>L: faible risque; gérer avec des procédures de routine</w:t>
            </w:r>
          </w:p>
        </w:tc>
      </w:tr>
    </w:tbl>
    <w:p w14:paraId="06616409" w14:textId="77777777" w:rsidR="00836964" w:rsidRPr="005B0E5B" w:rsidRDefault="00836964" w:rsidP="00836964">
      <w:pPr>
        <w:autoSpaceDE w:val="0"/>
        <w:autoSpaceDN w:val="0"/>
        <w:adjustRightInd w:val="0"/>
        <w:rPr>
          <w:rFonts w:eastAsiaTheme="minorHAnsi" w:cs="Arial"/>
          <w:lang w:eastAsia="en-US"/>
        </w:rPr>
      </w:pPr>
    </w:p>
    <w:p w14:paraId="61475967" w14:textId="77777777" w:rsidR="00836964" w:rsidRPr="005B0E5B" w:rsidRDefault="00836964" w:rsidP="00836964">
      <w:pPr>
        <w:autoSpaceDE w:val="0"/>
        <w:autoSpaceDN w:val="0"/>
        <w:adjustRightInd w:val="0"/>
        <w:rPr>
          <w:rFonts w:eastAsiaTheme="minorHAnsi" w:cs="Arial"/>
          <w:b/>
          <w:bCs/>
          <w:color w:val="000084"/>
          <w:lang w:eastAsia="en-US"/>
        </w:rPr>
      </w:pPr>
      <w:r w:rsidRPr="005B0E5B">
        <w:rPr>
          <w:rFonts w:eastAsiaTheme="minorHAnsi" w:cs="Arial"/>
          <w:b/>
          <w:bCs/>
          <w:color w:val="000084"/>
          <w:lang w:eastAsia="en-US"/>
        </w:rPr>
        <w:t>2.2 Communication et formation</w:t>
      </w:r>
    </w:p>
    <w:p w14:paraId="1BD8FC8E" w14:textId="77777777" w:rsidR="00836964" w:rsidRPr="005B0E5B" w:rsidRDefault="00836964" w:rsidP="0095003D">
      <w:pPr>
        <w:pStyle w:val="Paragraphedeliste"/>
        <w:numPr>
          <w:ilvl w:val="0"/>
          <w:numId w:val="200"/>
        </w:numPr>
        <w:autoSpaceDE w:val="0"/>
        <w:autoSpaceDN w:val="0"/>
        <w:adjustRightInd w:val="0"/>
        <w:spacing w:after="0"/>
        <w:rPr>
          <w:rFonts w:eastAsiaTheme="minorHAnsi" w:cs="Arial"/>
          <w:i/>
          <w:iCs/>
          <w:lang w:eastAsia="en-US"/>
        </w:rPr>
      </w:pPr>
      <w:r w:rsidRPr="005B0E5B">
        <w:rPr>
          <w:rFonts w:eastAsiaTheme="minorHAnsi" w:cs="Arial"/>
          <w:i/>
          <w:iCs/>
          <w:lang w:eastAsia="en-US"/>
        </w:rPr>
        <w:t>Formation en santé et la sécurité sur le lieu de travail</w:t>
      </w:r>
    </w:p>
    <w:p w14:paraId="6E5DA375" w14:textId="77777777" w:rsidR="00836964" w:rsidRPr="005B0E5B" w:rsidRDefault="00836964" w:rsidP="0095003D">
      <w:pPr>
        <w:pStyle w:val="Paragraphedeliste"/>
        <w:numPr>
          <w:ilvl w:val="0"/>
          <w:numId w:val="200"/>
        </w:numPr>
        <w:autoSpaceDE w:val="0"/>
        <w:autoSpaceDN w:val="0"/>
        <w:adjustRightInd w:val="0"/>
        <w:spacing w:after="0"/>
        <w:rPr>
          <w:rFonts w:eastAsiaTheme="minorHAnsi" w:cs="Arial"/>
          <w:i/>
          <w:iCs/>
          <w:lang w:eastAsia="en-US"/>
        </w:rPr>
      </w:pPr>
      <w:r w:rsidRPr="005B0E5B">
        <w:rPr>
          <w:rFonts w:eastAsiaTheme="minorHAnsi" w:cs="Arial"/>
          <w:i/>
          <w:iCs/>
          <w:lang w:eastAsia="en-US"/>
        </w:rPr>
        <w:t>Orientation des visiteurs</w:t>
      </w:r>
    </w:p>
    <w:p w14:paraId="1954B179" w14:textId="77777777" w:rsidR="00836964" w:rsidRPr="005B0E5B" w:rsidRDefault="00836964" w:rsidP="0095003D">
      <w:pPr>
        <w:pStyle w:val="Paragraphedeliste"/>
        <w:numPr>
          <w:ilvl w:val="0"/>
          <w:numId w:val="200"/>
        </w:numPr>
        <w:autoSpaceDE w:val="0"/>
        <w:autoSpaceDN w:val="0"/>
        <w:adjustRightInd w:val="0"/>
        <w:spacing w:after="0"/>
        <w:rPr>
          <w:rFonts w:eastAsiaTheme="minorHAnsi" w:cs="Arial"/>
          <w:i/>
          <w:iCs/>
          <w:lang w:eastAsia="en-US"/>
        </w:rPr>
      </w:pPr>
      <w:r w:rsidRPr="005B0E5B">
        <w:rPr>
          <w:rFonts w:eastAsiaTheme="minorHAnsi" w:cs="Arial"/>
          <w:i/>
          <w:iCs/>
          <w:lang w:eastAsia="en-US"/>
        </w:rPr>
        <w:t>Formation des employés à de nouveaux emplois et des sous-traitants</w:t>
      </w:r>
    </w:p>
    <w:p w14:paraId="61292D12" w14:textId="77777777" w:rsidR="00836964" w:rsidRPr="005B0E5B" w:rsidRDefault="00836964" w:rsidP="0095003D">
      <w:pPr>
        <w:pStyle w:val="Paragraphedeliste"/>
        <w:numPr>
          <w:ilvl w:val="0"/>
          <w:numId w:val="200"/>
        </w:numPr>
        <w:autoSpaceDE w:val="0"/>
        <w:autoSpaceDN w:val="0"/>
        <w:adjustRightInd w:val="0"/>
        <w:spacing w:after="0"/>
        <w:rPr>
          <w:rFonts w:eastAsiaTheme="minorHAnsi" w:cs="Arial"/>
          <w:i/>
          <w:iCs/>
          <w:lang w:eastAsia="en-US"/>
        </w:rPr>
      </w:pPr>
      <w:r w:rsidRPr="005B0E5B">
        <w:rPr>
          <w:rFonts w:eastAsiaTheme="minorHAnsi" w:cs="Arial"/>
          <w:i/>
          <w:iCs/>
          <w:lang w:eastAsia="en-US"/>
        </w:rPr>
        <w:t>Formation de base sur la santé et la sécurité sur le lieu de travail</w:t>
      </w:r>
    </w:p>
    <w:p w14:paraId="03B2FBA3" w14:textId="77777777" w:rsidR="00836964" w:rsidRPr="005B0E5B" w:rsidRDefault="00836964" w:rsidP="0095003D">
      <w:pPr>
        <w:pStyle w:val="Paragraphedeliste"/>
        <w:numPr>
          <w:ilvl w:val="0"/>
          <w:numId w:val="200"/>
        </w:numPr>
        <w:autoSpaceDE w:val="0"/>
        <w:autoSpaceDN w:val="0"/>
        <w:adjustRightInd w:val="0"/>
        <w:spacing w:after="0"/>
        <w:rPr>
          <w:rFonts w:eastAsiaTheme="minorHAnsi" w:cs="Arial"/>
          <w:i/>
          <w:iCs/>
          <w:lang w:eastAsia="en-US"/>
        </w:rPr>
      </w:pPr>
      <w:r w:rsidRPr="005B0E5B">
        <w:rPr>
          <w:rFonts w:eastAsiaTheme="minorHAnsi" w:cs="Arial"/>
          <w:i/>
          <w:iCs/>
          <w:lang w:eastAsia="en-US"/>
        </w:rPr>
        <w:t>Signalisation des zones dangereuses</w:t>
      </w:r>
    </w:p>
    <w:p w14:paraId="046C4581" w14:textId="77777777" w:rsidR="00836964" w:rsidRPr="005B0E5B" w:rsidRDefault="00836964" w:rsidP="0095003D">
      <w:pPr>
        <w:pStyle w:val="Paragraphedeliste"/>
        <w:numPr>
          <w:ilvl w:val="0"/>
          <w:numId w:val="200"/>
        </w:numPr>
        <w:autoSpaceDE w:val="0"/>
        <w:autoSpaceDN w:val="0"/>
        <w:adjustRightInd w:val="0"/>
        <w:spacing w:after="0"/>
        <w:rPr>
          <w:rFonts w:eastAsiaTheme="minorHAnsi" w:cs="Arial"/>
          <w:i/>
          <w:iCs/>
          <w:lang w:eastAsia="en-US"/>
        </w:rPr>
      </w:pPr>
      <w:r w:rsidRPr="005B0E5B">
        <w:rPr>
          <w:rFonts w:eastAsiaTheme="minorHAnsi" w:cs="Arial"/>
          <w:i/>
          <w:iCs/>
          <w:lang w:eastAsia="en-US"/>
        </w:rPr>
        <w:t>Étiquetage de l’équipement</w:t>
      </w:r>
    </w:p>
    <w:p w14:paraId="48B31C90" w14:textId="77777777" w:rsidR="00836964" w:rsidRPr="005B0E5B" w:rsidRDefault="00836964" w:rsidP="00836964">
      <w:pPr>
        <w:rPr>
          <w:rFonts w:eastAsiaTheme="minorHAnsi" w:cs="Arial"/>
          <w:color w:val="000000"/>
          <w:lang w:eastAsia="en-US"/>
        </w:rPr>
      </w:pPr>
    </w:p>
    <w:p w14:paraId="1A5B8AB8" w14:textId="77777777" w:rsidR="00836964" w:rsidRPr="005B0E5B" w:rsidRDefault="00836964" w:rsidP="00836964">
      <w:pPr>
        <w:autoSpaceDE w:val="0"/>
        <w:autoSpaceDN w:val="0"/>
        <w:adjustRightInd w:val="0"/>
        <w:rPr>
          <w:rFonts w:eastAsiaTheme="minorHAnsi" w:cs="Arial"/>
          <w:b/>
          <w:bCs/>
          <w:color w:val="000084"/>
          <w:lang w:eastAsia="en-US"/>
        </w:rPr>
      </w:pPr>
      <w:r w:rsidRPr="005B0E5B">
        <w:rPr>
          <w:rFonts w:eastAsiaTheme="minorHAnsi" w:cs="Arial"/>
          <w:b/>
          <w:bCs/>
          <w:color w:val="000084"/>
          <w:lang w:eastAsia="en-US"/>
        </w:rPr>
        <w:t>2.3 Risques corporels</w:t>
      </w:r>
    </w:p>
    <w:p w14:paraId="44E5767B" w14:textId="77777777" w:rsidR="00836964" w:rsidRPr="005B0E5B" w:rsidRDefault="00836964" w:rsidP="00836964">
      <w:pPr>
        <w:autoSpaceDE w:val="0"/>
        <w:autoSpaceDN w:val="0"/>
        <w:adjustRightInd w:val="0"/>
        <w:rPr>
          <w:rFonts w:eastAsiaTheme="minorHAnsi" w:cs="Arial"/>
          <w:color w:val="000000"/>
          <w:lang w:eastAsia="en-US"/>
        </w:rPr>
      </w:pPr>
      <w:r w:rsidRPr="005B0E5B">
        <w:rPr>
          <w:rFonts w:eastAsiaTheme="minorHAnsi" w:cs="Arial"/>
          <w:color w:val="000000"/>
          <w:lang w:eastAsia="en-US"/>
        </w:rPr>
        <w:t>Les risques physiques constituent un potentiel d’accidents, blessures ou maladies en raison d’une exposition répétée à des actions mécaniques ou des activités professionnelles. Une exposition individuelle à des risques physiques risque de donner lieu à une vaste gamme de blessures, allant d’incidents secondaires se limitant à une assistance médicale seulement jusqu’à de graves sinistres avec infirmité et conséquences mortelles. De multiples expositions au cours de périodes prolongées risquent de se traduire par des blessures engendrant une invalidité.</w:t>
      </w:r>
    </w:p>
    <w:p w14:paraId="25222C98" w14:textId="77777777" w:rsidR="00836964" w:rsidRPr="005B0E5B" w:rsidRDefault="00836964" w:rsidP="0095003D">
      <w:pPr>
        <w:pStyle w:val="Paragraphedeliste"/>
        <w:numPr>
          <w:ilvl w:val="0"/>
          <w:numId w:val="201"/>
        </w:numPr>
        <w:autoSpaceDE w:val="0"/>
        <w:autoSpaceDN w:val="0"/>
        <w:adjustRightInd w:val="0"/>
        <w:spacing w:after="0"/>
        <w:rPr>
          <w:rFonts w:eastAsiaTheme="minorHAnsi" w:cs="Arial"/>
          <w:i/>
          <w:iCs/>
          <w:lang w:eastAsia="en-US"/>
        </w:rPr>
      </w:pPr>
      <w:r w:rsidRPr="005B0E5B">
        <w:rPr>
          <w:rFonts w:eastAsiaTheme="minorHAnsi" w:cs="Arial"/>
          <w:i/>
          <w:iCs/>
          <w:lang w:eastAsia="en-US"/>
        </w:rPr>
        <w:t>Équipements rotatifs et engins mobiles</w:t>
      </w:r>
    </w:p>
    <w:p w14:paraId="2B158B87" w14:textId="77777777" w:rsidR="00836964" w:rsidRPr="005B0E5B" w:rsidRDefault="00836964" w:rsidP="0095003D">
      <w:pPr>
        <w:pStyle w:val="Paragraphedeliste"/>
        <w:numPr>
          <w:ilvl w:val="0"/>
          <w:numId w:val="201"/>
        </w:numPr>
        <w:autoSpaceDE w:val="0"/>
        <w:autoSpaceDN w:val="0"/>
        <w:adjustRightInd w:val="0"/>
        <w:spacing w:after="0"/>
        <w:rPr>
          <w:rFonts w:eastAsiaTheme="minorHAnsi" w:cs="Arial"/>
          <w:i/>
          <w:iCs/>
          <w:lang w:eastAsia="en-US"/>
        </w:rPr>
      </w:pPr>
      <w:r w:rsidRPr="005B0E5B">
        <w:rPr>
          <w:rFonts w:eastAsiaTheme="minorHAnsi" w:cs="Arial"/>
          <w:i/>
          <w:iCs/>
          <w:lang w:eastAsia="en-US"/>
        </w:rPr>
        <w:t>Bruits</w:t>
      </w:r>
    </w:p>
    <w:p w14:paraId="74967861" w14:textId="77777777" w:rsidR="00836964" w:rsidRPr="005B0E5B" w:rsidRDefault="00836964" w:rsidP="0095003D">
      <w:pPr>
        <w:pStyle w:val="Paragraphedeliste"/>
        <w:numPr>
          <w:ilvl w:val="0"/>
          <w:numId w:val="201"/>
        </w:numPr>
        <w:autoSpaceDE w:val="0"/>
        <w:autoSpaceDN w:val="0"/>
        <w:adjustRightInd w:val="0"/>
        <w:spacing w:after="0"/>
        <w:rPr>
          <w:rFonts w:eastAsiaTheme="minorHAnsi" w:cs="Arial"/>
          <w:i/>
          <w:iCs/>
          <w:lang w:eastAsia="en-US"/>
        </w:rPr>
      </w:pPr>
      <w:r w:rsidRPr="005B0E5B">
        <w:rPr>
          <w:rFonts w:eastAsiaTheme="minorHAnsi" w:cs="Arial"/>
          <w:i/>
          <w:iCs/>
          <w:lang w:eastAsia="en-US"/>
        </w:rPr>
        <w:t>Vibrations</w:t>
      </w:r>
    </w:p>
    <w:p w14:paraId="4B95263C" w14:textId="77777777" w:rsidR="00836964" w:rsidRPr="005B0E5B" w:rsidRDefault="00836964" w:rsidP="0095003D">
      <w:pPr>
        <w:pStyle w:val="Paragraphedeliste"/>
        <w:numPr>
          <w:ilvl w:val="0"/>
          <w:numId w:val="201"/>
        </w:numPr>
        <w:autoSpaceDE w:val="0"/>
        <w:autoSpaceDN w:val="0"/>
        <w:adjustRightInd w:val="0"/>
        <w:spacing w:after="0"/>
        <w:rPr>
          <w:rFonts w:eastAsiaTheme="minorHAnsi" w:cs="Arial"/>
          <w:i/>
          <w:iCs/>
          <w:lang w:eastAsia="en-US"/>
        </w:rPr>
      </w:pPr>
      <w:r w:rsidRPr="005B0E5B">
        <w:rPr>
          <w:rFonts w:eastAsiaTheme="minorHAnsi" w:cs="Arial"/>
          <w:i/>
          <w:iCs/>
          <w:lang w:eastAsia="en-US"/>
        </w:rPr>
        <w:t>Conduite de véhicules industriels et circulation dans l’établissement / l’installation</w:t>
      </w:r>
    </w:p>
    <w:p w14:paraId="33E8B586" w14:textId="77777777" w:rsidR="00836964" w:rsidRPr="005B0E5B" w:rsidRDefault="00836964" w:rsidP="0095003D">
      <w:pPr>
        <w:pStyle w:val="Paragraphedeliste"/>
        <w:numPr>
          <w:ilvl w:val="0"/>
          <w:numId w:val="201"/>
        </w:numPr>
        <w:autoSpaceDE w:val="0"/>
        <w:autoSpaceDN w:val="0"/>
        <w:adjustRightInd w:val="0"/>
        <w:spacing w:after="0"/>
        <w:rPr>
          <w:rFonts w:eastAsiaTheme="minorHAnsi" w:cs="Arial"/>
          <w:i/>
          <w:iCs/>
          <w:lang w:eastAsia="en-US"/>
        </w:rPr>
      </w:pPr>
      <w:r w:rsidRPr="005B0E5B">
        <w:rPr>
          <w:rFonts w:eastAsiaTheme="minorHAnsi" w:cs="Arial"/>
          <w:i/>
          <w:iCs/>
          <w:lang w:eastAsia="en-US"/>
        </w:rPr>
        <w:t>Température du milieu de travail</w:t>
      </w:r>
    </w:p>
    <w:p w14:paraId="01889479" w14:textId="77777777" w:rsidR="00836964" w:rsidRPr="005B0E5B" w:rsidRDefault="00836964" w:rsidP="0095003D">
      <w:pPr>
        <w:pStyle w:val="Paragraphedeliste"/>
        <w:numPr>
          <w:ilvl w:val="0"/>
          <w:numId w:val="201"/>
        </w:numPr>
        <w:autoSpaceDE w:val="0"/>
        <w:autoSpaceDN w:val="0"/>
        <w:adjustRightInd w:val="0"/>
        <w:spacing w:after="0"/>
        <w:rPr>
          <w:rFonts w:eastAsiaTheme="minorHAnsi" w:cs="Arial"/>
          <w:i/>
          <w:iCs/>
          <w:lang w:eastAsia="en-US"/>
        </w:rPr>
      </w:pPr>
      <w:r w:rsidRPr="005B0E5B">
        <w:rPr>
          <w:rFonts w:eastAsiaTheme="minorHAnsi" w:cs="Arial"/>
          <w:i/>
          <w:iCs/>
          <w:lang w:eastAsia="en-US"/>
        </w:rPr>
        <w:t>Ergonomie, mouvements répétitifs, manutention</w:t>
      </w:r>
    </w:p>
    <w:p w14:paraId="6FB4A1AC" w14:textId="77777777" w:rsidR="00836964" w:rsidRPr="005B0E5B" w:rsidRDefault="00836964" w:rsidP="0095003D">
      <w:pPr>
        <w:pStyle w:val="Paragraphedeliste"/>
        <w:numPr>
          <w:ilvl w:val="0"/>
          <w:numId w:val="201"/>
        </w:numPr>
        <w:autoSpaceDE w:val="0"/>
        <w:autoSpaceDN w:val="0"/>
        <w:adjustRightInd w:val="0"/>
        <w:spacing w:after="0"/>
        <w:rPr>
          <w:rFonts w:eastAsiaTheme="minorHAnsi" w:cs="Arial"/>
          <w:i/>
          <w:iCs/>
          <w:lang w:eastAsia="en-US"/>
        </w:rPr>
      </w:pPr>
      <w:r w:rsidRPr="005B0E5B">
        <w:rPr>
          <w:rFonts w:eastAsiaTheme="minorHAnsi" w:cs="Arial"/>
          <w:i/>
          <w:iCs/>
          <w:lang w:eastAsia="en-US"/>
        </w:rPr>
        <w:t>Travaux en hauteur</w:t>
      </w:r>
    </w:p>
    <w:p w14:paraId="7FAB3AC5" w14:textId="77777777" w:rsidR="00836964" w:rsidRPr="005B0E5B" w:rsidRDefault="00836964" w:rsidP="00836964">
      <w:pPr>
        <w:rPr>
          <w:rFonts w:eastAsiaTheme="minorHAnsi" w:cs="Arial"/>
          <w:color w:val="000000"/>
          <w:lang w:eastAsia="en-US"/>
        </w:rPr>
      </w:pPr>
    </w:p>
    <w:p w14:paraId="66FA8389" w14:textId="77777777" w:rsidR="00836964" w:rsidRPr="005B0E5B" w:rsidRDefault="00836964" w:rsidP="00836964">
      <w:pPr>
        <w:autoSpaceDE w:val="0"/>
        <w:autoSpaceDN w:val="0"/>
        <w:adjustRightInd w:val="0"/>
        <w:rPr>
          <w:rFonts w:eastAsiaTheme="minorHAnsi" w:cs="Arial"/>
          <w:b/>
          <w:bCs/>
          <w:color w:val="000084"/>
          <w:lang w:eastAsia="en-US"/>
        </w:rPr>
      </w:pPr>
      <w:r w:rsidRPr="005B0E5B">
        <w:rPr>
          <w:rFonts w:eastAsiaTheme="minorHAnsi" w:cs="Arial"/>
          <w:b/>
          <w:bCs/>
          <w:color w:val="000084"/>
          <w:lang w:eastAsia="en-US"/>
        </w:rPr>
        <w:t>2.4 Risques chimiques</w:t>
      </w:r>
    </w:p>
    <w:p w14:paraId="3395153B" w14:textId="77777777" w:rsidR="00836964" w:rsidRPr="005B0E5B" w:rsidRDefault="00836964" w:rsidP="00836964">
      <w:pPr>
        <w:autoSpaceDE w:val="0"/>
        <w:autoSpaceDN w:val="0"/>
        <w:adjustRightInd w:val="0"/>
        <w:rPr>
          <w:rFonts w:eastAsiaTheme="minorHAnsi" w:cs="Arial"/>
          <w:color w:val="000000"/>
          <w:lang w:eastAsia="en-US"/>
        </w:rPr>
      </w:pPr>
      <w:r w:rsidRPr="005B0E5B">
        <w:rPr>
          <w:rFonts w:eastAsiaTheme="minorHAnsi" w:cs="Arial"/>
          <w:color w:val="000000"/>
          <w:lang w:eastAsia="en-US"/>
        </w:rPr>
        <w:t xml:space="preserve">Les risques chimiques sont des causes potentielles de maladies ou d’accidents avec blessures à la suite d’expositions uniques aiguës ou d’expositions chroniques répétées à des substances toxiques, corrosives, sensibilisatrices ou oxydantes. Les produits chimiques présentent également un risque de réactions incontrôlées, y compris des risques d’incendie et d’explosion, en cas de mélange fortuit de produits chimiques incompatibles. </w:t>
      </w:r>
    </w:p>
    <w:p w14:paraId="66CCED97" w14:textId="77777777" w:rsidR="00836964" w:rsidRPr="005B0E5B" w:rsidRDefault="00836964" w:rsidP="00836964">
      <w:pPr>
        <w:autoSpaceDE w:val="0"/>
        <w:autoSpaceDN w:val="0"/>
        <w:adjustRightInd w:val="0"/>
        <w:rPr>
          <w:rFonts w:eastAsiaTheme="minorHAnsi" w:cs="Arial"/>
          <w:i/>
          <w:iCs/>
          <w:color w:val="2F2F9F"/>
          <w:lang w:eastAsia="en-US"/>
        </w:rPr>
      </w:pPr>
      <w:r w:rsidRPr="005B0E5B">
        <w:rPr>
          <w:rFonts w:eastAsiaTheme="minorHAnsi" w:cs="Arial"/>
          <w:i/>
          <w:iCs/>
          <w:color w:val="2F2F9F"/>
          <w:lang w:eastAsia="en-US"/>
        </w:rPr>
        <w:t>Qualité de l’air</w:t>
      </w:r>
    </w:p>
    <w:p w14:paraId="5EC3A42D" w14:textId="77777777" w:rsidR="00836964" w:rsidRPr="005B0E5B" w:rsidRDefault="00836964" w:rsidP="00836964">
      <w:pPr>
        <w:autoSpaceDE w:val="0"/>
        <w:autoSpaceDN w:val="0"/>
        <w:adjustRightInd w:val="0"/>
        <w:rPr>
          <w:rFonts w:eastAsiaTheme="minorHAnsi" w:cs="Arial"/>
          <w:lang w:eastAsia="en-US"/>
        </w:rPr>
      </w:pPr>
      <w:r w:rsidRPr="005B0E5B">
        <w:rPr>
          <w:rFonts w:eastAsiaTheme="minorHAnsi" w:cs="Arial"/>
          <w:color w:val="000000"/>
          <w:lang w:eastAsia="en-US"/>
        </w:rPr>
        <w:t xml:space="preserve">La mauvaise qualité de l’air due au dégagement de contaminants sur le lieu de travail risque de donner lieu à des cas d’irritation des voies respiratoires, des malaises ou des maladies. L’employeur a le devoir de prendre des mesures appropriées pour maintenir la qualité de l’air sur le lieu de travail. </w:t>
      </w:r>
    </w:p>
    <w:p w14:paraId="11BEED95" w14:textId="77777777" w:rsidR="00836964" w:rsidRPr="005B0E5B" w:rsidRDefault="00836964" w:rsidP="00836964">
      <w:pPr>
        <w:autoSpaceDE w:val="0"/>
        <w:autoSpaceDN w:val="0"/>
        <w:adjustRightInd w:val="0"/>
        <w:rPr>
          <w:rFonts w:eastAsiaTheme="minorHAnsi" w:cs="Arial"/>
          <w:b/>
          <w:bCs/>
          <w:color w:val="000084"/>
          <w:lang w:eastAsia="en-US"/>
        </w:rPr>
      </w:pPr>
      <w:r w:rsidRPr="005B0E5B">
        <w:rPr>
          <w:rFonts w:eastAsiaTheme="minorHAnsi" w:cs="Arial"/>
          <w:b/>
          <w:bCs/>
          <w:color w:val="000084"/>
          <w:lang w:eastAsia="en-US"/>
        </w:rPr>
        <w:t>2.7 Équipements de protection individuelle</w:t>
      </w:r>
    </w:p>
    <w:p w14:paraId="64AD1AAF" w14:textId="77777777" w:rsidR="00836964" w:rsidRPr="005B0E5B" w:rsidRDefault="00836964" w:rsidP="00836964">
      <w:pPr>
        <w:autoSpaceDE w:val="0"/>
        <w:autoSpaceDN w:val="0"/>
        <w:adjustRightInd w:val="0"/>
        <w:rPr>
          <w:rFonts w:eastAsiaTheme="minorHAnsi" w:cs="Arial"/>
          <w:color w:val="000000"/>
          <w:lang w:eastAsia="en-US"/>
        </w:rPr>
      </w:pPr>
      <w:r w:rsidRPr="005B0E5B">
        <w:rPr>
          <w:rFonts w:eastAsiaTheme="minorHAnsi" w:cs="Arial"/>
          <w:color w:val="000000"/>
          <w:lang w:eastAsia="en-US"/>
        </w:rPr>
        <w:t>Les équipements de protection personnelle renforcent la protection du personnel exposé aux risques sur le lieu de travail, conjointement avec d’autres contrôles et systèmes de sécurité d’installation.</w:t>
      </w:r>
    </w:p>
    <w:p w14:paraId="05BFE837" w14:textId="77777777" w:rsidR="00836964" w:rsidRPr="005B0E5B" w:rsidRDefault="00836964" w:rsidP="00836964">
      <w:pPr>
        <w:autoSpaceDE w:val="0"/>
        <w:autoSpaceDN w:val="0"/>
        <w:adjustRightInd w:val="0"/>
        <w:rPr>
          <w:rFonts w:eastAsiaTheme="minorHAnsi" w:cs="Arial"/>
          <w:color w:val="000000"/>
          <w:lang w:eastAsia="en-US"/>
        </w:rPr>
      </w:pPr>
      <w:r w:rsidRPr="005B0E5B">
        <w:rPr>
          <w:rFonts w:eastAsiaTheme="minorHAnsi" w:cs="Arial"/>
          <w:color w:val="000000"/>
          <w:lang w:eastAsia="en-US"/>
        </w:rPr>
        <w:t xml:space="preserve">Les équipements de protection personnelle sont considérés comme des mesures de dernier recours, au-delà des autres contrôles de l’installation, et fournissant au travailleur un degré de protection personnelle supplémentaire. </w:t>
      </w:r>
    </w:p>
    <w:p w14:paraId="5707D417" w14:textId="77777777" w:rsidR="00836964" w:rsidRPr="005B0E5B" w:rsidRDefault="00836964" w:rsidP="00836964">
      <w:pPr>
        <w:autoSpaceDE w:val="0"/>
        <w:autoSpaceDN w:val="0"/>
        <w:adjustRightInd w:val="0"/>
        <w:rPr>
          <w:rFonts w:eastAsiaTheme="minorHAnsi" w:cs="Arial"/>
          <w:b/>
          <w:bCs/>
          <w:color w:val="000084"/>
          <w:lang w:eastAsia="en-US"/>
        </w:rPr>
      </w:pPr>
      <w:r w:rsidRPr="005B0E5B">
        <w:rPr>
          <w:rFonts w:eastAsiaTheme="minorHAnsi" w:cs="Arial"/>
          <w:b/>
          <w:bCs/>
          <w:color w:val="000084"/>
          <w:lang w:eastAsia="en-US"/>
        </w:rPr>
        <w:t>2.8 Environnements dangereux</w:t>
      </w:r>
    </w:p>
    <w:p w14:paraId="2458DB2F" w14:textId="6369ACC0" w:rsidR="00836964" w:rsidRPr="005B0E5B" w:rsidRDefault="00836964" w:rsidP="005247BD">
      <w:pPr>
        <w:autoSpaceDE w:val="0"/>
        <w:autoSpaceDN w:val="0"/>
        <w:adjustRightInd w:val="0"/>
        <w:rPr>
          <w:rFonts w:eastAsiaTheme="minorHAnsi" w:cs="Arial"/>
          <w:color w:val="000000"/>
          <w:lang w:eastAsia="en-US"/>
        </w:rPr>
      </w:pPr>
      <w:r w:rsidRPr="005B0E5B">
        <w:rPr>
          <w:rFonts w:eastAsiaTheme="minorHAnsi" w:cs="Arial"/>
          <w:color w:val="000000"/>
          <w:lang w:eastAsia="en-US"/>
        </w:rPr>
        <w:t>Les environnements de risques spéciaux sont des situations survenant sur le lieu de travail dans le cadre desquelles tous les risques décrits précédemment peuvent se produire dans des circonstances uniques ou particulièrement dangereuses. En conséquence, des précautions supplémentaires, ou une certaine rigueur dans l’application de précautions s’impose.</w:t>
      </w:r>
    </w:p>
    <w:p w14:paraId="7FDD5231" w14:textId="77777777" w:rsidR="00836964" w:rsidRPr="005B0E5B" w:rsidRDefault="00836964" w:rsidP="00836964">
      <w:pPr>
        <w:autoSpaceDE w:val="0"/>
        <w:autoSpaceDN w:val="0"/>
        <w:adjustRightInd w:val="0"/>
        <w:rPr>
          <w:rFonts w:eastAsiaTheme="minorHAnsi" w:cs="Arial"/>
          <w:b/>
          <w:bCs/>
          <w:color w:val="000084"/>
          <w:lang w:eastAsia="en-US"/>
        </w:rPr>
      </w:pPr>
      <w:r w:rsidRPr="005B0E5B">
        <w:rPr>
          <w:rFonts w:eastAsiaTheme="minorHAnsi" w:cs="Arial"/>
          <w:b/>
          <w:bCs/>
          <w:color w:val="000084"/>
          <w:lang w:eastAsia="en-US"/>
        </w:rPr>
        <w:t>2.9 Suivi</w:t>
      </w:r>
    </w:p>
    <w:p w14:paraId="68A723E0" w14:textId="77777777" w:rsidR="00836964" w:rsidRPr="005B0E5B" w:rsidRDefault="00836964" w:rsidP="00836964">
      <w:pPr>
        <w:autoSpaceDE w:val="0"/>
        <w:autoSpaceDN w:val="0"/>
        <w:adjustRightInd w:val="0"/>
        <w:rPr>
          <w:rFonts w:eastAsiaTheme="minorHAnsi" w:cs="Arial"/>
          <w:color w:val="000000"/>
          <w:lang w:eastAsia="en-US"/>
        </w:rPr>
      </w:pPr>
      <w:r w:rsidRPr="005B0E5B">
        <w:rPr>
          <w:rFonts w:eastAsiaTheme="minorHAnsi" w:cs="Arial"/>
          <w:color w:val="000000"/>
          <w:lang w:eastAsia="en-US"/>
        </w:rPr>
        <w:t>Les programmes de contrôle de la santé et la sécurité sur le lieu de travail doivent vérifier l’efficacité des stratégies de prévention et de contrôle. Les indicateurs sélectionnés doivent être représentatifs des risques pour le travail, la santé et la sécurité les plus significatifs, et de l’application des stratégies de prévention et de contrôle. Le programme de contrôle de la santé et la sécurité sur le lieu de travail doit comprendre :</w:t>
      </w:r>
    </w:p>
    <w:p w14:paraId="0DC853EE" w14:textId="77777777" w:rsidR="00836964" w:rsidRPr="005B0E5B" w:rsidRDefault="00836964" w:rsidP="0095003D">
      <w:pPr>
        <w:pStyle w:val="Paragraphedeliste"/>
        <w:numPr>
          <w:ilvl w:val="0"/>
          <w:numId w:val="193"/>
        </w:numPr>
        <w:autoSpaceDE w:val="0"/>
        <w:autoSpaceDN w:val="0"/>
        <w:adjustRightInd w:val="0"/>
        <w:spacing w:after="0"/>
        <w:rPr>
          <w:rFonts w:eastAsiaTheme="minorHAnsi" w:cs="Arial"/>
          <w:color w:val="000000"/>
          <w:lang w:eastAsia="en-US"/>
        </w:rPr>
      </w:pPr>
      <w:r w:rsidRPr="005B0E5B">
        <w:rPr>
          <w:rFonts w:eastAsiaTheme="minorHAnsi" w:cs="Arial"/>
          <w:i/>
          <w:iCs/>
          <w:color w:val="000000"/>
          <w:lang w:eastAsia="en-US"/>
        </w:rPr>
        <w:t xml:space="preserve">Fonctions de sécurité : inspection, tests et </w:t>
      </w:r>
    </w:p>
    <w:p w14:paraId="594882D6" w14:textId="77777777" w:rsidR="00836964" w:rsidRPr="005B0E5B" w:rsidRDefault="00836964" w:rsidP="0095003D">
      <w:pPr>
        <w:pStyle w:val="Paragraphedeliste"/>
        <w:numPr>
          <w:ilvl w:val="0"/>
          <w:numId w:val="193"/>
        </w:numPr>
        <w:autoSpaceDE w:val="0"/>
        <w:autoSpaceDN w:val="0"/>
        <w:adjustRightInd w:val="0"/>
        <w:spacing w:after="0"/>
        <w:rPr>
          <w:rFonts w:eastAsiaTheme="minorHAnsi" w:cs="Arial"/>
          <w:color w:val="000000"/>
          <w:lang w:eastAsia="en-US"/>
        </w:rPr>
      </w:pPr>
      <w:r w:rsidRPr="005B0E5B">
        <w:rPr>
          <w:rFonts w:eastAsiaTheme="minorHAnsi" w:cs="Arial"/>
          <w:i/>
          <w:iCs/>
          <w:color w:val="000000"/>
          <w:lang w:eastAsia="en-US"/>
        </w:rPr>
        <w:t xml:space="preserve">Surveillance du milieu de travail </w:t>
      </w:r>
    </w:p>
    <w:p w14:paraId="4DD0407B" w14:textId="77777777" w:rsidR="00836964" w:rsidRPr="005B0E5B" w:rsidRDefault="00836964" w:rsidP="0095003D">
      <w:pPr>
        <w:pStyle w:val="Paragraphedeliste"/>
        <w:numPr>
          <w:ilvl w:val="0"/>
          <w:numId w:val="193"/>
        </w:numPr>
        <w:autoSpaceDE w:val="0"/>
        <w:autoSpaceDN w:val="0"/>
        <w:adjustRightInd w:val="0"/>
        <w:spacing w:after="0"/>
        <w:rPr>
          <w:rFonts w:eastAsiaTheme="minorHAnsi" w:cs="Arial"/>
          <w:color w:val="000000"/>
          <w:lang w:eastAsia="en-US"/>
        </w:rPr>
      </w:pPr>
      <w:r w:rsidRPr="005B0E5B">
        <w:rPr>
          <w:rFonts w:eastAsiaTheme="minorHAnsi" w:cs="Arial"/>
          <w:i/>
          <w:iCs/>
          <w:color w:val="000000"/>
          <w:lang w:eastAsia="en-US"/>
        </w:rPr>
        <w:t xml:space="preserve">Contrôle de la santé des travailleurs </w:t>
      </w:r>
    </w:p>
    <w:p w14:paraId="4946885F" w14:textId="77777777" w:rsidR="00836964" w:rsidRPr="005B0E5B" w:rsidRDefault="00836964" w:rsidP="00836964">
      <w:pPr>
        <w:autoSpaceDE w:val="0"/>
        <w:autoSpaceDN w:val="0"/>
        <w:adjustRightInd w:val="0"/>
        <w:rPr>
          <w:rFonts w:eastAsiaTheme="minorHAnsi" w:cs="Arial"/>
          <w:i/>
          <w:iCs/>
          <w:color w:val="000000"/>
          <w:lang w:eastAsia="en-US"/>
        </w:rPr>
      </w:pPr>
      <w:r w:rsidRPr="005B0E5B">
        <w:rPr>
          <w:rFonts w:eastAsiaTheme="minorHAnsi" w:cs="Arial"/>
          <w:color w:val="000000"/>
          <w:lang w:eastAsia="en-US"/>
        </w:rPr>
        <w:t xml:space="preserve"> </w:t>
      </w:r>
    </w:p>
    <w:p w14:paraId="31EA8E9D" w14:textId="77777777" w:rsidR="00836964" w:rsidRPr="005B0E5B" w:rsidRDefault="00836964" w:rsidP="00836964">
      <w:pPr>
        <w:rPr>
          <w:rFonts w:eastAsiaTheme="minorHAnsi" w:cs="Arial"/>
          <w:b/>
          <w:bCs/>
          <w:color w:val="000084"/>
          <w:lang w:eastAsia="en-US"/>
        </w:rPr>
      </w:pPr>
      <w:r w:rsidRPr="005B0E5B">
        <w:rPr>
          <w:rFonts w:eastAsiaTheme="minorHAnsi" w:cs="Arial"/>
          <w:b/>
          <w:bCs/>
          <w:color w:val="000084"/>
          <w:lang w:eastAsia="en-US"/>
        </w:rPr>
        <w:t>Santé et sécurité de la population</w:t>
      </w:r>
    </w:p>
    <w:tbl>
      <w:tblPr>
        <w:tblW w:w="0" w:type="auto"/>
        <w:tblLook w:val="04A0" w:firstRow="1" w:lastRow="0" w:firstColumn="1" w:lastColumn="0" w:noHBand="0" w:noVBand="1"/>
      </w:tblPr>
      <w:tblGrid>
        <w:gridCol w:w="4390"/>
        <w:gridCol w:w="4672"/>
      </w:tblGrid>
      <w:tr w:rsidR="00836964" w:rsidRPr="005B0E5B" w14:paraId="6FF60A97" w14:textId="77777777" w:rsidTr="00836964">
        <w:tc>
          <w:tcPr>
            <w:tcW w:w="4390" w:type="dxa"/>
          </w:tcPr>
          <w:p w14:paraId="270FF5D0" w14:textId="77777777" w:rsidR="00836964" w:rsidRPr="005B0E5B" w:rsidRDefault="00836964" w:rsidP="005247BD">
            <w:pPr>
              <w:spacing w:after="0"/>
              <w:ind w:hanging="578"/>
              <w:rPr>
                <w:rFonts w:eastAsiaTheme="minorHAnsi" w:cs="Arial"/>
                <w:lang w:eastAsia="en-US"/>
              </w:rPr>
            </w:pPr>
            <w:r w:rsidRPr="005B0E5B">
              <w:rPr>
                <w:rFonts w:eastAsiaTheme="minorHAnsi" w:cs="Arial"/>
                <w:lang w:eastAsia="en-US"/>
              </w:rPr>
              <w:t xml:space="preserve">3.1 Qualité et disponibilité de l'eau </w:t>
            </w:r>
          </w:p>
          <w:p w14:paraId="2A55FF5C" w14:textId="77777777" w:rsidR="00836964" w:rsidRPr="005B0E5B" w:rsidRDefault="00836964" w:rsidP="005247BD">
            <w:pPr>
              <w:spacing w:after="0"/>
              <w:ind w:left="708" w:hanging="578"/>
              <w:rPr>
                <w:rFonts w:eastAsiaTheme="minorHAnsi" w:cs="Arial"/>
                <w:lang w:eastAsia="en-US"/>
              </w:rPr>
            </w:pPr>
            <w:r w:rsidRPr="005B0E5B">
              <w:rPr>
                <w:rFonts w:eastAsiaTheme="minorHAnsi" w:cs="Arial"/>
                <w:lang w:eastAsia="en-US"/>
              </w:rPr>
              <w:t>Qualité de l'eau</w:t>
            </w:r>
          </w:p>
          <w:p w14:paraId="40323B3F" w14:textId="77777777" w:rsidR="00836964" w:rsidRPr="005B0E5B" w:rsidRDefault="00836964" w:rsidP="005247BD">
            <w:pPr>
              <w:spacing w:after="0"/>
              <w:ind w:left="708" w:hanging="578"/>
              <w:rPr>
                <w:rFonts w:eastAsiaTheme="minorHAnsi" w:cs="Arial"/>
                <w:bCs/>
                <w:lang w:eastAsia="en-US"/>
              </w:rPr>
            </w:pPr>
            <w:r w:rsidRPr="005B0E5B">
              <w:rPr>
                <w:rFonts w:eastAsiaTheme="minorHAnsi" w:cs="Arial"/>
                <w:lang w:eastAsia="en-US"/>
              </w:rPr>
              <w:t>Disponibilité de l'eau</w:t>
            </w:r>
          </w:p>
          <w:p w14:paraId="6217BD05" w14:textId="77777777" w:rsidR="00836964" w:rsidRPr="005B0E5B" w:rsidRDefault="00836964" w:rsidP="005247BD">
            <w:pPr>
              <w:spacing w:after="0"/>
              <w:ind w:hanging="578"/>
              <w:rPr>
                <w:rFonts w:eastAsiaTheme="minorHAnsi" w:cs="Arial"/>
                <w:lang w:eastAsia="en-US"/>
              </w:rPr>
            </w:pPr>
            <w:r w:rsidRPr="005B0E5B">
              <w:rPr>
                <w:rFonts w:eastAsiaTheme="minorHAnsi" w:cs="Arial"/>
                <w:lang w:eastAsia="en-US"/>
              </w:rPr>
              <w:t xml:space="preserve">3.2 Sûreté structurelle de l'infrastructure du projet </w:t>
            </w:r>
          </w:p>
          <w:p w14:paraId="43BB608D" w14:textId="77777777" w:rsidR="00836964" w:rsidRPr="005B0E5B" w:rsidRDefault="00836964" w:rsidP="005247BD">
            <w:pPr>
              <w:spacing w:after="0"/>
              <w:ind w:hanging="578"/>
              <w:rPr>
                <w:rFonts w:eastAsiaTheme="minorHAnsi" w:cs="Arial"/>
                <w:lang w:eastAsia="en-US"/>
              </w:rPr>
            </w:pPr>
            <w:r w:rsidRPr="005B0E5B">
              <w:rPr>
                <w:rFonts w:eastAsiaTheme="minorHAnsi" w:cs="Arial"/>
                <w:lang w:eastAsia="en-US"/>
              </w:rPr>
              <w:t xml:space="preserve">3.3 Plan de sécurité et incendie </w:t>
            </w:r>
          </w:p>
          <w:p w14:paraId="0673E51B" w14:textId="77777777" w:rsidR="00836964" w:rsidRPr="005B0E5B" w:rsidRDefault="00836964" w:rsidP="005247BD">
            <w:pPr>
              <w:spacing w:after="0"/>
              <w:ind w:left="708" w:hanging="578"/>
              <w:rPr>
                <w:rFonts w:eastAsiaTheme="minorHAnsi" w:cs="Arial"/>
                <w:lang w:eastAsia="en-US"/>
              </w:rPr>
            </w:pPr>
            <w:r w:rsidRPr="005B0E5B">
              <w:rPr>
                <w:rFonts w:eastAsiaTheme="minorHAnsi" w:cs="Arial"/>
                <w:lang w:eastAsia="en-US"/>
              </w:rPr>
              <w:t xml:space="preserve">Champ d'application et démarche </w:t>
            </w:r>
          </w:p>
          <w:p w14:paraId="2728F528" w14:textId="77777777" w:rsidR="00836964" w:rsidRPr="005B0E5B" w:rsidRDefault="00836964" w:rsidP="005247BD">
            <w:pPr>
              <w:spacing w:after="0"/>
              <w:ind w:left="708" w:hanging="578"/>
              <w:rPr>
                <w:rFonts w:eastAsiaTheme="minorHAnsi" w:cs="Arial"/>
                <w:lang w:eastAsia="en-US"/>
              </w:rPr>
            </w:pPr>
            <w:r w:rsidRPr="005B0E5B">
              <w:rPr>
                <w:rFonts w:eastAsiaTheme="minorHAnsi" w:cs="Arial"/>
                <w:lang w:eastAsia="en-US"/>
              </w:rPr>
              <w:t xml:space="preserve">Normes à respecter pour les bâtiments neufs </w:t>
            </w:r>
          </w:p>
          <w:p w14:paraId="6951C9C8" w14:textId="77777777" w:rsidR="00836964" w:rsidRPr="005B0E5B" w:rsidRDefault="00836964" w:rsidP="005247BD">
            <w:pPr>
              <w:spacing w:after="0"/>
              <w:ind w:left="708" w:hanging="578"/>
              <w:rPr>
                <w:rFonts w:eastAsiaTheme="minorHAnsi" w:cs="Arial"/>
                <w:lang w:eastAsia="en-US"/>
              </w:rPr>
            </w:pPr>
            <w:r w:rsidRPr="005B0E5B">
              <w:rPr>
                <w:rFonts w:eastAsiaTheme="minorHAnsi" w:cs="Arial"/>
                <w:lang w:eastAsia="en-US"/>
              </w:rPr>
              <w:t>Examen du plan directeur et approbation</w:t>
            </w:r>
          </w:p>
          <w:p w14:paraId="01B6FE16" w14:textId="77777777" w:rsidR="00836964" w:rsidRPr="005B0E5B" w:rsidRDefault="00836964" w:rsidP="005247BD">
            <w:pPr>
              <w:spacing w:after="0"/>
              <w:ind w:left="708" w:hanging="578"/>
              <w:rPr>
                <w:rFonts w:eastAsiaTheme="minorHAnsi" w:cs="Arial"/>
                <w:lang w:eastAsia="en-US"/>
              </w:rPr>
            </w:pPr>
            <w:r w:rsidRPr="005B0E5B">
              <w:rPr>
                <w:rFonts w:eastAsiaTheme="minorHAnsi" w:cs="Arial"/>
                <w:lang w:eastAsia="en-US"/>
              </w:rPr>
              <w:t>Normes à respecter pour les bâtiments existants</w:t>
            </w:r>
          </w:p>
          <w:p w14:paraId="643E5234" w14:textId="77777777" w:rsidR="00836964" w:rsidRPr="005B0E5B" w:rsidRDefault="00836964" w:rsidP="005247BD">
            <w:pPr>
              <w:spacing w:after="0"/>
              <w:ind w:left="708" w:hanging="578"/>
              <w:rPr>
                <w:rFonts w:eastAsiaTheme="minorHAnsi" w:cs="Arial"/>
                <w:lang w:eastAsia="en-US"/>
              </w:rPr>
            </w:pPr>
            <w:r w:rsidRPr="005B0E5B">
              <w:rPr>
                <w:rFonts w:eastAsiaTheme="minorHAnsi" w:cs="Arial"/>
                <w:lang w:eastAsia="en-US"/>
              </w:rPr>
              <w:t>Autres risques</w:t>
            </w:r>
          </w:p>
          <w:p w14:paraId="45E48848" w14:textId="77777777" w:rsidR="00836964" w:rsidRPr="005B0E5B" w:rsidRDefault="00836964" w:rsidP="005247BD">
            <w:pPr>
              <w:spacing w:after="0"/>
              <w:ind w:left="708" w:hanging="578"/>
              <w:rPr>
                <w:rFonts w:eastAsiaTheme="minorHAnsi" w:cs="Arial"/>
                <w:lang w:eastAsia="en-US"/>
              </w:rPr>
            </w:pPr>
            <w:r w:rsidRPr="005B0E5B">
              <w:rPr>
                <w:rFonts w:eastAsiaTheme="minorHAnsi" w:cs="Arial"/>
                <w:lang w:eastAsia="en-US"/>
              </w:rPr>
              <w:t>Sécurité de la circulation</w:t>
            </w:r>
          </w:p>
        </w:tc>
        <w:tc>
          <w:tcPr>
            <w:tcW w:w="4672" w:type="dxa"/>
          </w:tcPr>
          <w:p w14:paraId="6B4D1882" w14:textId="77777777" w:rsidR="00836964" w:rsidRPr="005B0E5B" w:rsidRDefault="00836964" w:rsidP="005247BD">
            <w:pPr>
              <w:spacing w:after="0"/>
              <w:ind w:hanging="578"/>
              <w:rPr>
                <w:rFonts w:eastAsiaTheme="minorHAnsi" w:cs="Arial"/>
                <w:lang w:eastAsia="en-US"/>
              </w:rPr>
            </w:pPr>
            <w:r w:rsidRPr="005B0E5B">
              <w:rPr>
                <w:rFonts w:eastAsiaTheme="minorHAnsi" w:cs="Arial"/>
                <w:lang w:eastAsia="en-US"/>
              </w:rPr>
              <w:t>3.5 Transport de matières dangereuses</w:t>
            </w:r>
          </w:p>
          <w:p w14:paraId="07B211B7" w14:textId="77777777" w:rsidR="00836964" w:rsidRPr="005B0E5B" w:rsidRDefault="00836964" w:rsidP="005247BD">
            <w:pPr>
              <w:spacing w:after="0"/>
              <w:ind w:left="708" w:hanging="578"/>
              <w:rPr>
                <w:rFonts w:eastAsiaTheme="minorHAnsi" w:cs="Arial"/>
                <w:lang w:eastAsia="en-US"/>
              </w:rPr>
            </w:pPr>
            <w:r w:rsidRPr="005B0E5B">
              <w:rPr>
                <w:rFonts w:eastAsiaTheme="minorHAnsi" w:cs="Arial"/>
                <w:lang w:eastAsia="en-US"/>
              </w:rPr>
              <w:t>Aspects généraux du transport de matières dangereuses</w:t>
            </w:r>
          </w:p>
          <w:p w14:paraId="555E4EE7" w14:textId="77777777" w:rsidR="00836964" w:rsidRPr="005B0E5B" w:rsidRDefault="00836964" w:rsidP="005247BD">
            <w:pPr>
              <w:spacing w:after="0"/>
              <w:ind w:left="708" w:hanging="578"/>
              <w:rPr>
                <w:rFonts w:eastAsiaTheme="minorHAnsi" w:cs="Arial"/>
                <w:lang w:eastAsia="en-US"/>
              </w:rPr>
            </w:pPr>
            <w:r w:rsidRPr="005B0E5B">
              <w:rPr>
                <w:rFonts w:eastAsiaTheme="minorHAnsi" w:cs="Arial"/>
                <w:lang w:eastAsia="en-US"/>
              </w:rPr>
              <w:t>Risques de transport majeurs</w:t>
            </w:r>
          </w:p>
          <w:p w14:paraId="1E05E151" w14:textId="77777777" w:rsidR="00836964" w:rsidRPr="005B0E5B" w:rsidRDefault="00836964" w:rsidP="005247BD">
            <w:pPr>
              <w:spacing w:after="0"/>
              <w:ind w:hanging="578"/>
              <w:rPr>
                <w:rFonts w:eastAsiaTheme="minorHAnsi" w:cs="Arial"/>
                <w:lang w:eastAsia="en-US"/>
              </w:rPr>
            </w:pPr>
            <w:r w:rsidRPr="005B0E5B">
              <w:rPr>
                <w:rFonts w:eastAsiaTheme="minorHAnsi" w:cs="Arial"/>
                <w:lang w:eastAsia="en-US"/>
              </w:rPr>
              <w:t>3.6 Prévention des maladies</w:t>
            </w:r>
          </w:p>
          <w:p w14:paraId="62A19B64" w14:textId="77777777" w:rsidR="00836964" w:rsidRPr="005B0E5B" w:rsidRDefault="00836964" w:rsidP="005247BD">
            <w:pPr>
              <w:spacing w:after="0"/>
              <w:ind w:left="708" w:hanging="578"/>
              <w:rPr>
                <w:rFonts w:eastAsiaTheme="minorHAnsi" w:cs="Arial"/>
                <w:lang w:eastAsia="en-US"/>
              </w:rPr>
            </w:pPr>
            <w:r w:rsidRPr="005B0E5B">
              <w:rPr>
                <w:rFonts w:eastAsiaTheme="minorHAnsi" w:cs="Arial"/>
                <w:lang w:eastAsia="en-US"/>
              </w:rPr>
              <w:t>Maladies transmissibles</w:t>
            </w:r>
          </w:p>
          <w:p w14:paraId="6CD349A8" w14:textId="77777777" w:rsidR="00836964" w:rsidRPr="005B0E5B" w:rsidRDefault="00836964" w:rsidP="005247BD">
            <w:pPr>
              <w:spacing w:after="0"/>
              <w:ind w:left="708" w:hanging="578"/>
              <w:rPr>
                <w:rFonts w:eastAsiaTheme="minorHAnsi" w:cs="Arial"/>
                <w:lang w:eastAsia="en-US"/>
              </w:rPr>
            </w:pPr>
            <w:r w:rsidRPr="005B0E5B">
              <w:rPr>
                <w:rFonts w:eastAsiaTheme="minorHAnsi" w:cs="Arial"/>
                <w:lang w:eastAsia="en-US"/>
              </w:rPr>
              <w:t>Maladies transmises par un vecteur</w:t>
            </w:r>
          </w:p>
          <w:p w14:paraId="00BD9551" w14:textId="77777777" w:rsidR="00836964" w:rsidRPr="005B0E5B" w:rsidRDefault="00836964" w:rsidP="005247BD">
            <w:pPr>
              <w:spacing w:after="0"/>
              <w:ind w:hanging="578"/>
              <w:rPr>
                <w:rFonts w:eastAsiaTheme="minorHAnsi" w:cs="Arial"/>
                <w:lang w:eastAsia="en-US"/>
              </w:rPr>
            </w:pPr>
            <w:r w:rsidRPr="005B0E5B">
              <w:rPr>
                <w:rFonts w:eastAsiaTheme="minorHAnsi" w:cs="Arial"/>
                <w:lang w:eastAsia="en-US"/>
              </w:rPr>
              <w:t xml:space="preserve">3.7 Préparation et intervention en cas d'urgence </w:t>
            </w:r>
          </w:p>
          <w:p w14:paraId="0415EB78" w14:textId="77777777" w:rsidR="00836964" w:rsidRPr="005B0E5B" w:rsidRDefault="00836964" w:rsidP="005247BD">
            <w:pPr>
              <w:spacing w:after="0"/>
              <w:ind w:left="708" w:hanging="578"/>
              <w:rPr>
                <w:rFonts w:eastAsiaTheme="minorHAnsi" w:cs="Arial"/>
                <w:lang w:eastAsia="en-US"/>
              </w:rPr>
            </w:pPr>
            <w:r w:rsidRPr="005B0E5B">
              <w:rPr>
                <w:rFonts w:eastAsiaTheme="minorHAnsi" w:cs="Arial"/>
                <w:lang w:eastAsia="en-US"/>
              </w:rPr>
              <w:t>Systèmes de communication</w:t>
            </w:r>
          </w:p>
          <w:p w14:paraId="57F7000F" w14:textId="77777777" w:rsidR="00836964" w:rsidRPr="005B0E5B" w:rsidRDefault="00836964" w:rsidP="005247BD">
            <w:pPr>
              <w:spacing w:after="0"/>
              <w:ind w:left="708" w:hanging="578"/>
              <w:rPr>
                <w:rFonts w:eastAsiaTheme="minorHAnsi" w:cs="Arial"/>
                <w:lang w:eastAsia="en-US"/>
              </w:rPr>
            </w:pPr>
            <w:r w:rsidRPr="005B0E5B">
              <w:rPr>
                <w:rFonts w:eastAsiaTheme="minorHAnsi" w:cs="Arial"/>
                <w:lang w:eastAsia="en-US"/>
              </w:rPr>
              <w:t xml:space="preserve">Ressources pour les situations d'urgence </w:t>
            </w:r>
          </w:p>
          <w:p w14:paraId="39CA1DE4" w14:textId="77777777" w:rsidR="00836964" w:rsidRPr="005B0E5B" w:rsidRDefault="00836964" w:rsidP="005247BD">
            <w:pPr>
              <w:spacing w:after="0"/>
              <w:ind w:left="708" w:hanging="578"/>
              <w:rPr>
                <w:rFonts w:eastAsiaTheme="minorHAnsi" w:cs="Arial"/>
                <w:lang w:eastAsia="en-US"/>
              </w:rPr>
            </w:pPr>
            <w:r w:rsidRPr="005B0E5B">
              <w:rPr>
                <w:rFonts w:eastAsiaTheme="minorHAnsi" w:cs="Arial"/>
                <w:lang w:eastAsia="en-US"/>
              </w:rPr>
              <w:t xml:space="preserve">Formation et mise à niveau </w:t>
            </w:r>
          </w:p>
          <w:p w14:paraId="19E997A3" w14:textId="77777777" w:rsidR="00836964" w:rsidRPr="005B0E5B" w:rsidRDefault="00836964" w:rsidP="005247BD">
            <w:pPr>
              <w:spacing w:after="0"/>
              <w:ind w:left="708" w:hanging="578"/>
              <w:rPr>
                <w:rFonts w:eastAsiaTheme="minorHAnsi" w:cs="Arial"/>
                <w:lang w:eastAsia="en-US"/>
              </w:rPr>
            </w:pPr>
            <w:r w:rsidRPr="005B0E5B">
              <w:rPr>
                <w:rFonts w:eastAsiaTheme="minorHAnsi" w:cs="Arial"/>
                <w:lang w:eastAsia="en-US"/>
              </w:rPr>
              <w:t xml:space="preserve">Poursuite des activités et mesures </w:t>
            </w:r>
          </w:p>
          <w:p w14:paraId="316AF998" w14:textId="77777777" w:rsidR="00836964" w:rsidRPr="005B0E5B" w:rsidRDefault="00836964" w:rsidP="005247BD">
            <w:pPr>
              <w:spacing w:after="0"/>
              <w:ind w:hanging="578"/>
              <w:rPr>
                <w:rFonts w:eastAsiaTheme="minorHAnsi" w:cs="Arial"/>
                <w:lang w:eastAsia="en-US"/>
              </w:rPr>
            </w:pPr>
            <w:r w:rsidRPr="005B0E5B">
              <w:rPr>
                <w:rFonts w:eastAsiaTheme="minorHAnsi" w:cs="Arial"/>
                <w:lang w:eastAsia="en-US"/>
              </w:rPr>
              <w:t>Champ d'application et démarche</w:t>
            </w:r>
          </w:p>
        </w:tc>
      </w:tr>
    </w:tbl>
    <w:p w14:paraId="4D0142E8" w14:textId="77777777" w:rsidR="00836964" w:rsidRPr="005B0E5B" w:rsidRDefault="00836964" w:rsidP="00836964">
      <w:pPr>
        <w:rPr>
          <w:rFonts w:eastAsiaTheme="minorHAnsi" w:cs="Arial"/>
          <w:bCs/>
          <w:color w:val="000084"/>
          <w:lang w:eastAsia="en-US"/>
        </w:rPr>
      </w:pPr>
    </w:p>
    <w:p w14:paraId="4470A874" w14:textId="77777777" w:rsidR="00836964" w:rsidRPr="005B0E5B" w:rsidRDefault="00836964" w:rsidP="00836964">
      <w:pPr>
        <w:rPr>
          <w:rFonts w:eastAsiaTheme="minorHAnsi" w:cs="Arial"/>
          <w:color w:val="000000"/>
          <w:lang w:eastAsia="en-US"/>
        </w:rPr>
      </w:pPr>
      <w:r w:rsidRPr="005B0E5B">
        <w:rPr>
          <w:rFonts w:eastAsiaTheme="minorHAnsi" w:cs="Arial"/>
          <w:lang w:eastAsia="en-US"/>
        </w:rPr>
        <w:t xml:space="preserve"> </w:t>
      </w:r>
      <w:r w:rsidRPr="005B0E5B">
        <w:rPr>
          <w:rFonts w:eastAsiaTheme="minorHAnsi" w:cs="Arial"/>
          <w:color w:val="000000"/>
          <w:lang w:eastAsia="en-US"/>
        </w:rPr>
        <w:t>La présente section complète les lignes directrices fournies dans les sections précédentes sur l’environnement et sur la santé et la sécurité sur le lieu de travail, et se penche spécifiquement sur certains aspects des activités du projet qui se déroulent hors des limites traditionnelles des projets, mais concernant toutefois les opérations de projet, selon les applications en fonction des projets. Ces questions peuvent se présenter à tout moment au cours du cycle de vie d’un projet, et leur impact peut aller au-delà de la durée de vie du projet.</w:t>
      </w:r>
    </w:p>
    <w:p w14:paraId="34A20C61" w14:textId="77777777" w:rsidR="00836964" w:rsidRPr="005B0E5B" w:rsidRDefault="00836964" w:rsidP="00836964">
      <w:pPr>
        <w:autoSpaceDE w:val="0"/>
        <w:autoSpaceDN w:val="0"/>
        <w:adjustRightInd w:val="0"/>
        <w:rPr>
          <w:rFonts w:eastAsiaTheme="minorHAnsi" w:cs="Arial"/>
          <w:b/>
          <w:bCs/>
          <w:color w:val="000084"/>
          <w:lang w:eastAsia="en-US"/>
        </w:rPr>
      </w:pPr>
      <w:r w:rsidRPr="005B0E5B">
        <w:rPr>
          <w:rFonts w:eastAsiaTheme="minorHAnsi" w:cs="Arial"/>
          <w:b/>
          <w:bCs/>
          <w:color w:val="000084"/>
          <w:lang w:eastAsia="en-US"/>
        </w:rPr>
        <w:t>3.1 Qualité et disponibilité de l’eau</w:t>
      </w:r>
    </w:p>
    <w:p w14:paraId="47C1B869" w14:textId="77777777" w:rsidR="00836964" w:rsidRPr="005B0E5B" w:rsidRDefault="00836964" w:rsidP="00836964">
      <w:pPr>
        <w:autoSpaceDE w:val="0"/>
        <w:autoSpaceDN w:val="0"/>
        <w:adjustRightInd w:val="0"/>
        <w:rPr>
          <w:rFonts w:eastAsiaTheme="minorHAnsi" w:cs="Arial"/>
          <w:color w:val="000000"/>
          <w:lang w:eastAsia="en-US"/>
        </w:rPr>
      </w:pPr>
      <w:r w:rsidRPr="005B0E5B">
        <w:rPr>
          <w:rFonts w:eastAsiaTheme="minorHAnsi" w:cs="Arial"/>
          <w:color w:val="000000"/>
          <w:lang w:eastAsia="en-US"/>
        </w:rPr>
        <w:t>La nappe phréatique et l’eau de surface constituent des sources essentielles d’eau potable et d’irrigation dans les pays en voie de développement, notamment dans les zones rurales, où l’approvisionnement en eau par canalisation peut être limité ou inexistant, et où les ressources disponibles sont recueillies par le consommateur après un traitement limité ou nul. Les activités du projet comportant des décharges des eaux usées, l’extraction, la déviation ou l’endiguement de l’eau devraient empêcher les impacts négatifs sur la qualité et la disponibilité des ressources provenant de la nappe phréatique et de l’eau de surface.</w:t>
      </w:r>
    </w:p>
    <w:p w14:paraId="5476874F" w14:textId="77777777" w:rsidR="00836964" w:rsidRPr="005B0E5B" w:rsidRDefault="00836964" w:rsidP="00836964">
      <w:pPr>
        <w:autoSpaceDE w:val="0"/>
        <w:autoSpaceDN w:val="0"/>
        <w:adjustRightInd w:val="0"/>
        <w:rPr>
          <w:rFonts w:eastAsiaTheme="minorHAnsi" w:cs="Arial"/>
          <w:b/>
          <w:color w:val="000084"/>
          <w:lang w:eastAsia="en-US"/>
        </w:rPr>
      </w:pPr>
      <w:r w:rsidRPr="005B0E5B">
        <w:rPr>
          <w:rFonts w:eastAsiaTheme="minorHAnsi" w:cs="Arial"/>
          <w:b/>
          <w:color w:val="000084"/>
          <w:lang w:eastAsia="en-US"/>
        </w:rPr>
        <w:t>Qualité de l’eau</w:t>
      </w:r>
    </w:p>
    <w:p w14:paraId="6231B4F1" w14:textId="77777777" w:rsidR="00836964" w:rsidRPr="005B0E5B" w:rsidRDefault="00836964" w:rsidP="00836964">
      <w:pPr>
        <w:autoSpaceDE w:val="0"/>
        <w:autoSpaceDN w:val="0"/>
        <w:adjustRightInd w:val="0"/>
        <w:rPr>
          <w:rFonts w:eastAsiaTheme="minorHAnsi" w:cs="Arial"/>
          <w:color w:val="000000"/>
          <w:lang w:eastAsia="en-US"/>
        </w:rPr>
      </w:pPr>
      <w:r w:rsidRPr="005B0E5B">
        <w:rPr>
          <w:rFonts w:eastAsiaTheme="minorHAnsi" w:cs="Arial"/>
          <w:color w:val="000000"/>
          <w:lang w:eastAsia="en-US"/>
        </w:rPr>
        <w:t>On doit protéger en permanence les sources d’eau potable, publiques ou privées, de façon qu’elles soient conformes ou supérieures aux normes d’acceptabilité nationale applicables, ou, en leur absence, à l’édition en vigueur des directives de l’OMS sur la qualité de l’eau potable. Les émissions d’air, les effluents d’eaux usées, l’huile et les matières dangereuses, ainsi que les déchets, doivent être gérés conformément aux lignes directrices fournies dans les sections correspondantes des Directives Générales sur la santé, la sécurité et l’environnement, dans le but de protéger le sol et les ressources en eau.</w:t>
      </w:r>
    </w:p>
    <w:p w14:paraId="27F77A30" w14:textId="77777777" w:rsidR="00836964" w:rsidRPr="005B0E5B" w:rsidRDefault="00836964" w:rsidP="00836964">
      <w:pPr>
        <w:rPr>
          <w:rFonts w:eastAsiaTheme="minorHAnsi" w:cs="Arial"/>
          <w:color w:val="000000"/>
          <w:lang w:eastAsia="en-US"/>
        </w:rPr>
      </w:pPr>
    </w:p>
    <w:p w14:paraId="042C2375" w14:textId="77777777" w:rsidR="00836964" w:rsidRPr="005B0E5B" w:rsidRDefault="00836964" w:rsidP="00836964">
      <w:pPr>
        <w:autoSpaceDE w:val="0"/>
        <w:autoSpaceDN w:val="0"/>
        <w:adjustRightInd w:val="0"/>
        <w:rPr>
          <w:rFonts w:eastAsiaTheme="minorHAnsi" w:cs="Arial"/>
          <w:b/>
          <w:color w:val="000084"/>
          <w:lang w:eastAsia="en-US"/>
        </w:rPr>
      </w:pPr>
      <w:r w:rsidRPr="005B0E5B">
        <w:rPr>
          <w:rFonts w:eastAsiaTheme="minorHAnsi" w:cs="Arial"/>
          <w:b/>
          <w:color w:val="000084"/>
          <w:lang w:eastAsia="en-US"/>
        </w:rPr>
        <w:t>Disponibilité de l’eau</w:t>
      </w:r>
    </w:p>
    <w:p w14:paraId="2C58E7E4" w14:textId="77777777" w:rsidR="00836964" w:rsidRPr="005B0E5B" w:rsidRDefault="00836964" w:rsidP="00836964">
      <w:pPr>
        <w:autoSpaceDE w:val="0"/>
        <w:autoSpaceDN w:val="0"/>
        <w:adjustRightInd w:val="0"/>
        <w:rPr>
          <w:rFonts w:eastAsiaTheme="minorHAnsi" w:cs="Arial"/>
          <w:color w:val="000000"/>
          <w:lang w:eastAsia="en-US"/>
        </w:rPr>
      </w:pPr>
      <w:r w:rsidRPr="005B0E5B">
        <w:rPr>
          <w:rFonts w:eastAsiaTheme="minorHAnsi" w:cs="Arial"/>
          <w:color w:val="000000"/>
          <w:lang w:eastAsia="en-US"/>
        </w:rPr>
        <w:t>L’effet potentiel de l’abstraction d’eau souterraine ou de surface pour les activités d’un projet doit être évalué correctement à travers une combinaison de tests sur le terrain et de techniques de modélisation, en tenant compte de la variabilité saisonnière et des variations projetées de la demande dans la région du projet.</w:t>
      </w:r>
    </w:p>
    <w:p w14:paraId="69C4EBFE" w14:textId="77777777" w:rsidR="00836964" w:rsidRPr="005B0E5B" w:rsidRDefault="00836964" w:rsidP="00836964">
      <w:pPr>
        <w:rPr>
          <w:rFonts w:eastAsiaTheme="minorHAnsi" w:cs="Arial"/>
          <w:color w:val="000000"/>
          <w:lang w:eastAsia="en-US"/>
        </w:rPr>
      </w:pPr>
    </w:p>
    <w:p w14:paraId="429E6B21" w14:textId="77777777" w:rsidR="00836964" w:rsidRPr="005B0E5B" w:rsidRDefault="00836964" w:rsidP="00836964">
      <w:pPr>
        <w:autoSpaceDE w:val="0"/>
        <w:autoSpaceDN w:val="0"/>
        <w:adjustRightInd w:val="0"/>
        <w:rPr>
          <w:rFonts w:eastAsiaTheme="minorHAnsi" w:cs="Arial"/>
          <w:b/>
          <w:bCs/>
          <w:color w:val="000084"/>
          <w:lang w:eastAsia="en-US"/>
        </w:rPr>
      </w:pPr>
      <w:r w:rsidRPr="005B0E5B">
        <w:rPr>
          <w:rFonts w:eastAsiaTheme="minorHAnsi" w:cs="Arial"/>
          <w:b/>
          <w:bCs/>
          <w:color w:val="000084"/>
          <w:lang w:eastAsia="en-US"/>
        </w:rPr>
        <w:t>3.2 Sécurité structurelle des constructions</w:t>
      </w:r>
    </w:p>
    <w:p w14:paraId="5280B47E" w14:textId="77777777" w:rsidR="00836964" w:rsidRPr="005B0E5B" w:rsidRDefault="00836964" w:rsidP="00836964">
      <w:pPr>
        <w:autoSpaceDE w:val="0"/>
        <w:autoSpaceDN w:val="0"/>
        <w:adjustRightInd w:val="0"/>
        <w:rPr>
          <w:rFonts w:eastAsiaTheme="minorHAnsi" w:cs="Arial"/>
          <w:color w:val="000000"/>
          <w:lang w:eastAsia="en-US"/>
        </w:rPr>
      </w:pPr>
      <w:r w:rsidRPr="005B0E5B">
        <w:rPr>
          <w:rFonts w:eastAsiaTheme="minorHAnsi" w:cs="Arial"/>
          <w:color w:val="000000"/>
          <w:lang w:eastAsia="en-US"/>
        </w:rPr>
        <w:t>Les risques pour le public lors de l’accès aux installations du projet peuvent comprendre les risques suivants :</w:t>
      </w:r>
    </w:p>
    <w:p w14:paraId="44A08D39" w14:textId="77777777" w:rsidR="00836964" w:rsidRPr="005B0E5B" w:rsidRDefault="00836964" w:rsidP="0095003D">
      <w:pPr>
        <w:pStyle w:val="Paragraphedeliste"/>
        <w:numPr>
          <w:ilvl w:val="0"/>
          <w:numId w:val="194"/>
        </w:numPr>
        <w:autoSpaceDE w:val="0"/>
        <w:autoSpaceDN w:val="0"/>
        <w:adjustRightInd w:val="0"/>
        <w:spacing w:after="0"/>
        <w:rPr>
          <w:rFonts w:eastAsiaTheme="minorHAnsi" w:cs="Arial"/>
          <w:color w:val="000000"/>
          <w:lang w:eastAsia="en-US"/>
        </w:rPr>
      </w:pPr>
      <w:r w:rsidRPr="005B0E5B">
        <w:rPr>
          <w:rFonts w:eastAsiaTheme="minorHAnsi" w:cs="Arial"/>
          <w:color w:val="000000"/>
          <w:lang w:eastAsia="en-US"/>
        </w:rPr>
        <w:t>Traumas physiques découlant de la défaillance de structures</w:t>
      </w:r>
    </w:p>
    <w:p w14:paraId="5E569BE5" w14:textId="77777777" w:rsidR="00836964" w:rsidRPr="005B0E5B" w:rsidRDefault="00836964" w:rsidP="0095003D">
      <w:pPr>
        <w:pStyle w:val="Paragraphedeliste"/>
        <w:numPr>
          <w:ilvl w:val="0"/>
          <w:numId w:val="194"/>
        </w:numPr>
        <w:autoSpaceDE w:val="0"/>
        <w:autoSpaceDN w:val="0"/>
        <w:adjustRightInd w:val="0"/>
        <w:spacing w:after="0"/>
        <w:rPr>
          <w:rFonts w:eastAsiaTheme="minorHAnsi" w:cs="Arial"/>
          <w:color w:val="000000"/>
          <w:lang w:eastAsia="en-US"/>
        </w:rPr>
      </w:pPr>
      <w:r w:rsidRPr="005B0E5B">
        <w:rPr>
          <w:rFonts w:eastAsiaTheme="minorHAnsi" w:cs="Arial"/>
          <w:color w:val="000000"/>
          <w:lang w:eastAsia="en-US"/>
        </w:rPr>
        <w:t>Brûlures et inhalation de fumée dégagée par un incendie</w:t>
      </w:r>
    </w:p>
    <w:p w14:paraId="3BA79861" w14:textId="77777777" w:rsidR="00836964" w:rsidRPr="005B0E5B" w:rsidRDefault="00836964" w:rsidP="0095003D">
      <w:pPr>
        <w:pStyle w:val="Paragraphedeliste"/>
        <w:numPr>
          <w:ilvl w:val="0"/>
          <w:numId w:val="194"/>
        </w:numPr>
        <w:autoSpaceDE w:val="0"/>
        <w:autoSpaceDN w:val="0"/>
        <w:adjustRightInd w:val="0"/>
        <w:spacing w:after="0"/>
        <w:rPr>
          <w:rFonts w:eastAsiaTheme="minorHAnsi" w:cs="Arial"/>
          <w:color w:val="000000"/>
          <w:lang w:eastAsia="en-US"/>
        </w:rPr>
      </w:pPr>
      <w:r w:rsidRPr="005B0E5B">
        <w:rPr>
          <w:rFonts w:eastAsiaTheme="minorHAnsi" w:cs="Arial"/>
          <w:color w:val="000000"/>
          <w:lang w:eastAsia="en-US"/>
        </w:rPr>
        <w:t>Blessures subies à la suite de chutes ou au contact de matériel lourd</w:t>
      </w:r>
    </w:p>
    <w:p w14:paraId="278D8234" w14:textId="77777777" w:rsidR="00836964" w:rsidRPr="005B0E5B" w:rsidRDefault="00836964" w:rsidP="0095003D">
      <w:pPr>
        <w:pStyle w:val="Paragraphedeliste"/>
        <w:numPr>
          <w:ilvl w:val="0"/>
          <w:numId w:val="194"/>
        </w:numPr>
        <w:autoSpaceDE w:val="0"/>
        <w:autoSpaceDN w:val="0"/>
        <w:adjustRightInd w:val="0"/>
        <w:spacing w:after="0"/>
        <w:rPr>
          <w:rFonts w:eastAsiaTheme="minorHAnsi" w:cs="Arial"/>
          <w:color w:val="000000"/>
          <w:lang w:eastAsia="en-US"/>
        </w:rPr>
      </w:pPr>
      <w:r w:rsidRPr="005B0E5B">
        <w:rPr>
          <w:rFonts w:eastAsiaTheme="minorHAnsi" w:cs="Arial"/>
          <w:color w:val="000000"/>
          <w:lang w:eastAsia="en-US"/>
        </w:rPr>
        <w:t>Troubles de la respiration découlant de la poussière, de fumée et de mauvaises odeurs</w:t>
      </w:r>
    </w:p>
    <w:p w14:paraId="7AC8CADF" w14:textId="77777777" w:rsidR="00836964" w:rsidRPr="005B0E5B" w:rsidRDefault="00836964" w:rsidP="0095003D">
      <w:pPr>
        <w:pStyle w:val="Paragraphedeliste"/>
        <w:numPr>
          <w:ilvl w:val="0"/>
          <w:numId w:val="194"/>
        </w:numPr>
        <w:autoSpaceDE w:val="0"/>
        <w:autoSpaceDN w:val="0"/>
        <w:adjustRightInd w:val="0"/>
        <w:spacing w:after="0"/>
        <w:rPr>
          <w:rFonts w:eastAsiaTheme="minorHAnsi" w:cs="Arial"/>
          <w:color w:val="000000"/>
          <w:lang w:eastAsia="en-US"/>
        </w:rPr>
      </w:pPr>
      <w:r w:rsidRPr="005B0E5B">
        <w:rPr>
          <w:rFonts w:eastAsiaTheme="minorHAnsi" w:cs="Arial"/>
          <w:color w:val="000000"/>
          <w:lang w:eastAsia="en-US"/>
        </w:rPr>
        <w:t>Exposition à des matières dangereuses</w:t>
      </w:r>
      <w:r w:rsidRPr="005B0E5B">
        <w:rPr>
          <w:rFonts w:eastAsiaTheme="minorHAnsi" w:cs="Arial"/>
          <w:lang w:eastAsia="en-US"/>
        </w:rPr>
        <w:t xml:space="preserve"> La réduction de risques potentiels doit être effectuée, de préférence, au cours de la phase d’étude, lorsque la conception de la structure, la disposition et les modifications du site peuvent être adaptées plus facilement.</w:t>
      </w:r>
    </w:p>
    <w:p w14:paraId="041BBFE1" w14:textId="77777777" w:rsidR="00836964" w:rsidRPr="005B0E5B" w:rsidRDefault="00836964" w:rsidP="00836964">
      <w:pPr>
        <w:rPr>
          <w:rFonts w:eastAsiaTheme="minorHAnsi" w:cs="Arial"/>
          <w:color w:val="000000"/>
          <w:lang w:eastAsia="en-US"/>
        </w:rPr>
      </w:pPr>
    </w:p>
    <w:p w14:paraId="379CDFC0" w14:textId="77777777" w:rsidR="00836964" w:rsidRPr="005B0E5B" w:rsidRDefault="00836964" w:rsidP="00836964">
      <w:pPr>
        <w:autoSpaceDE w:val="0"/>
        <w:autoSpaceDN w:val="0"/>
        <w:adjustRightInd w:val="0"/>
        <w:rPr>
          <w:rFonts w:eastAsiaTheme="minorHAnsi" w:cs="Arial"/>
          <w:b/>
          <w:bCs/>
          <w:color w:val="000084"/>
          <w:lang w:eastAsia="en-US"/>
        </w:rPr>
      </w:pPr>
      <w:r w:rsidRPr="005B0E5B">
        <w:rPr>
          <w:rFonts w:eastAsiaTheme="minorHAnsi" w:cs="Arial"/>
          <w:b/>
          <w:bCs/>
          <w:color w:val="000084"/>
          <w:lang w:eastAsia="en-US"/>
        </w:rPr>
        <w:t>3.4 Sécurité de la circulation</w:t>
      </w:r>
    </w:p>
    <w:p w14:paraId="18408765" w14:textId="77777777" w:rsidR="00836964" w:rsidRPr="005B0E5B" w:rsidRDefault="00836964" w:rsidP="00836964">
      <w:pPr>
        <w:autoSpaceDE w:val="0"/>
        <w:autoSpaceDN w:val="0"/>
        <w:adjustRightInd w:val="0"/>
        <w:rPr>
          <w:rFonts w:eastAsiaTheme="minorHAnsi" w:cs="Arial"/>
          <w:color w:val="000000"/>
          <w:lang w:eastAsia="en-US"/>
        </w:rPr>
      </w:pPr>
      <w:r w:rsidRPr="005B0E5B">
        <w:rPr>
          <w:rFonts w:eastAsiaTheme="minorHAnsi" w:cs="Arial"/>
          <w:color w:val="000000"/>
          <w:lang w:eastAsia="en-US"/>
        </w:rPr>
        <w:t>Les accidents de la route sont désormais une des principales causes de blessures et de décès parmi les membres du public, et ceci dans le monde entier. Tous les membres du personnel doivent promouvoir la sécurité routière dans leurs déplacements vers le lieu de travail, et en provenance de celui-ci, et dans le cadre de l’utilisation des équipements du projet, sur des routes privées ou publiques. La prévention et la limitation des accidents de la route avec blessures ou mortels doivent comprendre l’adoption de mesures de sécurité assurant la protection du personnel du projet et des usagers de la route, y compris les personnes les plus vulnérables aux accidents de la route.</w:t>
      </w:r>
    </w:p>
    <w:p w14:paraId="7E96DB78" w14:textId="77777777" w:rsidR="00836964" w:rsidRPr="005B0E5B" w:rsidRDefault="00836964" w:rsidP="00836964">
      <w:pPr>
        <w:rPr>
          <w:rFonts w:eastAsiaTheme="minorHAnsi" w:cs="Arial"/>
          <w:lang w:eastAsia="en-US"/>
        </w:rPr>
      </w:pPr>
    </w:p>
    <w:p w14:paraId="7C6E8A1E" w14:textId="77777777" w:rsidR="00836964" w:rsidRPr="005B0E5B" w:rsidRDefault="00836964" w:rsidP="00836964">
      <w:pPr>
        <w:autoSpaceDE w:val="0"/>
        <w:autoSpaceDN w:val="0"/>
        <w:adjustRightInd w:val="0"/>
        <w:rPr>
          <w:rFonts w:eastAsiaTheme="minorHAnsi" w:cs="Arial"/>
          <w:b/>
          <w:bCs/>
          <w:color w:val="000084"/>
          <w:lang w:eastAsia="en-US"/>
        </w:rPr>
      </w:pPr>
      <w:r w:rsidRPr="005B0E5B">
        <w:rPr>
          <w:rFonts w:eastAsiaTheme="minorHAnsi" w:cs="Arial"/>
          <w:b/>
          <w:bCs/>
          <w:color w:val="000084"/>
          <w:lang w:eastAsia="en-US"/>
        </w:rPr>
        <w:t>3.6 Prévention des maladies</w:t>
      </w:r>
    </w:p>
    <w:p w14:paraId="37B5A719" w14:textId="77777777" w:rsidR="00836964" w:rsidRPr="005B0E5B" w:rsidRDefault="00836964" w:rsidP="00836964">
      <w:pPr>
        <w:autoSpaceDE w:val="0"/>
        <w:autoSpaceDN w:val="0"/>
        <w:adjustRightInd w:val="0"/>
        <w:rPr>
          <w:rFonts w:eastAsiaTheme="minorHAnsi" w:cs="Arial"/>
          <w:color w:val="000084"/>
          <w:lang w:eastAsia="en-US"/>
        </w:rPr>
      </w:pPr>
    </w:p>
    <w:p w14:paraId="4ED829D8" w14:textId="77777777" w:rsidR="00836964" w:rsidRPr="005B0E5B" w:rsidRDefault="00836964" w:rsidP="00836964">
      <w:pPr>
        <w:autoSpaceDE w:val="0"/>
        <w:autoSpaceDN w:val="0"/>
        <w:adjustRightInd w:val="0"/>
        <w:rPr>
          <w:rFonts w:eastAsiaTheme="minorHAnsi" w:cs="Arial"/>
          <w:b/>
          <w:color w:val="000084"/>
          <w:lang w:eastAsia="en-US"/>
        </w:rPr>
      </w:pPr>
      <w:r w:rsidRPr="005B0E5B">
        <w:rPr>
          <w:rFonts w:eastAsiaTheme="minorHAnsi" w:cs="Arial"/>
          <w:b/>
          <w:color w:val="000084"/>
          <w:lang w:eastAsia="en-US"/>
        </w:rPr>
        <w:t>Maladies transmissibles</w:t>
      </w:r>
    </w:p>
    <w:p w14:paraId="55CA3369" w14:textId="77777777" w:rsidR="00836964" w:rsidRPr="005B0E5B" w:rsidRDefault="00836964" w:rsidP="00836964">
      <w:pPr>
        <w:autoSpaceDE w:val="0"/>
        <w:autoSpaceDN w:val="0"/>
        <w:adjustRightInd w:val="0"/>
        <w:rPr>
          <w:rFonts w:eastAsiaTheme="minorHAnsi" w:cs="Arial"/>
          <w:color w:val="000000"/>
          <w:lang w:eastAsia="en-US"/>
        </w:rPr>
      </w:pPr>
      <w:r w:rsidRPr="005B0E5B">
        <w:rPr>
          <w:rFonts w:eastAsiaTheme="minorHAnsi" w:cs="Arial"/>
          <w:color w:val="000000"/>
          <w:lang w:eastAsia="en-US"/>
        </w:rPr>
        <w:t>Les maladies transmissibles posent une menace significative pour la santé publique, et ce dans le monde entier. Les risques pour la santé inhérente aux grands projets d’aménagement sont ceux qui découlent de mauvaises conditions de vie et d’hygiène, de maladies transmises par voie sexuelle, et d’infections transmises par vecteur. Les maladies transmissibles les plus graves, au cours de la phase des travaux de construction, sont, en raison de la mobilité de la main-d’œuvre, les maladies transmises par voie sexuelle, comme le VIH/SIDA. Force est de reconnaître qu’aucune mesure individuelle n’est susceptible d’apporter une solution efficace à long terme ; en conséquence, les initiatives qui remportent un succès sont généralement celles qui comportent une combinaison de modifications du comportement et du milieu.</w:t>
      </w:r>
    </w:p>
    <w:p w14:paraId="49232B38" w14:textId="77777777" w:rsidR="00836964" w:rsidRPr="005B0E5B" w:rsidRDefault="00836964" w:rsidP="00836964">
      <w:pPr>
        <w:autoSpaceDE w:val="0"/>
        <w:autoSpaceDN w:val="0"/>
        <w:adjustRightInd w:val="0"/>
        <w:rPr>
          <w:rFonts w:eastAsiaTheme="minorHAnsi" w:cs="Arial"/>
          <w:color w:val="000000"/>
          <w:lang w:eastAsia="en-US"/>
        </w:rPr>
      </w:pPr>
      <w:r w:rsidRPr="005B0E5B">
        <w:rPr>
          <w:rFonts w:eastAsiaTheme="minorHAnsi" w:cs="Arial"/>
          <w:color w:val="000000"/>
          <w:lang w:eastAsia="en-US"/>
        </w:rPr>
        <w:t>Les interventions préconisées au niveau du projet comprennent :</w:t>
      </w:r>
    </w:p>
    <w:p w14:paraId="653DE8A5" w14:textId="77777777" w:rsidR="00836964" w:rsidRPr="005B0E5B" w:rsidRDefault="00836964" w:rsidP="00836964">
      <w:pPr>
        <w:autoSpaceDE w:val="0"/>
        <w:autoSpaceDN w:val="0"/>
        <w:adjustRightInd w:val="0"/>
        <w:rPr>
          <w:rFonts w:eastAsiaTheme="minorHAnsi" w:cs="Arial"/>
          <w:color w:val="000000"/>
          <w:lang w:eastAsia="en-US"/>
        </w:rPr>
      </w:pPr>
    </w:p>
    <w:p w14:paraId="1312F1F6" w14:textId="77777777" w:rsidR="00836964" w:rsidRPr="005B0E5B" w:rsidRDefault="00836964" w:rsidP="0095003D">
      <w:pPr>
        <w:pStyle w:val="Paragraphedeliste"/>
        <w:numPr>
          <w:ilvl w:val="0"/>
          <w:numId w:val="199"/>
        </w:numPr>
        <w:autoSpaceDE w:val="0"/>
        <w:autoSpaceDN w:val="0"/>
        <w:adjustRightInd w:val="0"/>
        <w:spacing w:after="0"/>
        <w:rPr>
          <w:rFonts w:eastAsiaTheme="minorHAnsi" w:cs="Arial"/>
          <w:color w:val="000000"/>
          <w:lang w:eastAsia="en-US"/>
        </w:rPr>
      </w:pPr>
      <w:r w:rsidRPr="005B0E5B">
        <w:rPr>
          <w:rFonts w:eastAsiaTheme="minorHAnsi" w:cs="Arial"/>
          <w:color w:val="000000"/>
          <w:lang w:eastAsia="en-US"/>
        </w:rPr>
        <w:t>La prestation de services de contrôle, et de dépistage et soins actifs des travailleurs.</w:t>
      </w:r>
    </w:p>
    <w:p w14:paraId="58D9330C" w14:textId="77777777" w:rsidR="00836964" w:rsidRPr="005B0E5B" w:rsidRDefault="00836964" w:rsidP="0095003D">
      <w:pPr>
        <w:pStyle w:val="Paragraphedeliste"/>
        <w:numPr>
          <w:ilvl w:val="0"/>
          <w:numId w:val="199"/>
        </w:numPr>
        <w:autoSpaceDE w:val="0"/>
        <w:autoSpaceDN w:val="0"/>
        <w:adjustRightInd w:val="0"/>
        <w:spacing w:after="0"/>
        <w:rPr>
          <w:rFonts w:eastAsiaTheme="minorHAnsi" w:cs="Arial"/>
          <w:color w:val="000000"/>
          <w:lang w:eastAsia="en-US"/>
        </w:rPr>
      </w:pPr>
      <w:r w:rsidRPr="005B0E5B">
        <w:rPr>
          <w:rFonts w:eastAsiaTheme="minorHAnsi" w:cs="Arial"/>
          <w:color w:val="000000"/>
          <w:lang w:eastAsia="en-US"/>
        </w:rPr>
        <w:t>La prévention des maladies parmi les travailleurs faisant partie des populations locales, en :</w:t>
      </w:r>
    </w:p>
    <w:p w14:paraId="1F88348B" w14:textId="77777777" w:rsidR="00836964" w:rsidRPr="005B0E5B" w:rsidRDefault="00836964" w:rsidP="0095003D">
      <w:pPr>
        <w:pStyle w:val="Paragraphedeliste"/>
        <w:numPr>
          <w:ilvl w:val="0"/>
          <w:numId w:val="197"/>
        </w:numPr>
        <w:autoSpaceDE w:val="0"/>
        <w:autoSpaceDN w:val="0"/>
        <w:adjustRightInd w:val="0"/>
        <w:spacing w:after="0"/>
        <w:rPr>
          <w:rFonts w:eastAsiaTheme="minorHAnsi" w:cs="Arial"/>
          <w:lang w:eastAsia="en-US"/>
        </w:rPr>
      </w:pPr>
      <w:r w:rsidRPr="005B0E5B">
        <w:rPr>
          <w:rFonts w:eastAsiaTheme="minorHAnsi" w:cs="Arial"/>
          <w:lang w:eastAsia="en-US"/>
        </w:rPr>
        <w:t xml:space="preserve">Lançant des initiatives de sensibilisation et d’éducation sur la santé, par exemple en appliquant une stratégie d’information comportant un renforcement du counseling en tête à tête portant sur des facteurs systémiques qui pourraient </w:t>
      </w:r>
      <w:proofErr w:type="gramStart"/>
      <w:r w:rsidRPr="005B0E5B">
        <w:rPr>
          <w:rFonts w:eastAsiaTheme="minorHAnsi" w:cs="Arial"/>
          <w:lang w:eastAsia="en-US"/>
        </w:rPr>
        <w:t>influer</w:t>
      </w:r>
      <w:proofErr w:type="gramEnd"/>
      <w:r w:rsidRPr="005B0E5B">
        <w:rPr>
          <w:rFonts w:eastAsiaTheme="minorHAnsi" w:cs="Arial"/>
          <w:lang w:eastAsia="en-US"/>
        </w:rPr>
        <w:t xml:space="preserve"> le comportement du particulier, ainsi qu’en encourageant la protection personnelle et la protection des tiers contre l’infection, en encourageant l’emploi de préservatifs</w:t>
      </w:r>
    </w:p>
    <w:p w14:paraId="47548286" w14:textId="77777777" w:rsidR="00836964" w:rsidRPr="005B0E5B" w:rsidRDefault="00836964" w:rsidP="0095003D">
      <w:pPr>
        <w:pStyle w:val="Paragraphedeliste"/>
        <w:numPr>
          <w:ilvl w:val="0"/>
          <w:numId w:val="197"/>
        </w:numPr>
        <w:autoSpaceDE w:val="0"/>
        <w:autoSpaceDN w:val="0"/>
        <w:adjustRightInd w:val="0"/>
        <w:spacing w:after="0"/>
        <w:rPr>
          <w:rFonts w:eastAsiaTheme="minorHAnsi" w:cs="Arial"/>
          <w:lang w:eastAsia="en-US"/>
        </w:rPr>
      </w:pPr>
      <w:r w:rsidRPr="005B0E5B">
        <w:rPr>
          <w:rFonts w:eastAsiaTheme="minorHAnsi" w:cs="Arial"/>
          <w:lang w:eastAsia="en-US"/>
        </w:rPr>
        <w:t>Formant des professionnels de la santé sur le traitement des maladies</w:t>
      </w:r>
    </w:p>
    <w:p w14:paraId="10203A34" w14:textId="77777777" w:rsidR="00836964" w:rsidRPr="005B0E5B" w:rsidRDefault="00836964" w:rsidP="0095003D">
      <w:pPr>
        <w:pStyle w:val="Paragraphedeliste"/>
        <w:numPr>
          <w:ilvl w:val="0"/>
          <w:numId w:val="197"/>
        </w:numPr>
        <w:autoSpaceDE w:val="0"/>
        <w:autoSpaceDN w:val="0"/>
        <w:adjustRightInd w:val="0"/>
        <w:spacing w:after="0"/>
        <w:rPr>
          <w:rFonts w:eastAsiaTheme="minorHAnsi" w:cs="Arial"/>
          <w:lang w:eastAsia="en-US"/>
        </w:rPr>
      </w:pPr>
      <w:r w:rsidRPr="005B0E5B">
        <w:rPr>
          <w:rFonts w:eastAsiaTheme="minorHAnsi" w:cs="Arial"/>
          <w:lang w:eastAsia="en-US"/>
        </w:rPr>
        <w:t>En menant des campagnes d’immunisation pour les travailleurs dans les communautés locales, afin d’améliorer la santé et de protéger la population contre les infections</w:t>
      </w:r>
    </w:p>
    <w:p w14:paraId="3F65A978" w14:textId="77777777" w:rsidR="00836964" w:rsidRPr="005B0E5B" w:rsidRDefault="00836964" w:rsidP="0095003D">
      <w:pPr>
        <w:pStyle w:val="Paragraphedeliste"/>
        <w:numPr>
          <w:ilvl w:val="0"/>
          <w:numId w:val="197"/>
        </w:numPr>
        <w:autoSpaceDE w:val="0"/>
        <w:autoSpaceDN w:val="0"/>
        <w:adjustRightInd w:val="0"/>
        <w:spacing w:after="0"/>
        <w:rPr>
          <w:rFonts w:eastAsiaTheme="minorHAnsi" w:cs="Arial"/>
          <w:lang w:eastAsia="en-US"/>
        </w:rPr>
      </w:pPr>
      <w:r w:rsidRPr="005B0E5B">
        <w:rPr>
          <w:rFonts w:eastAsiaTheme="minorHAnsi" w:cs="Arial"/>
          <w:lang w:eastAsia="en-US"/>
        </w:rPr>
        <w:t>En créant des services de santé</w:t>
      </w:r>
    </w:p>
    <w:p w14:paraId="3A232C7F" w14:textId="77777777" w:rsidR="00836964" w:rsidRPr="005B0E5B" w:rsidRDefault="00836964" w:rsidP="0095003D">
      <w:pPr>
        <w:pStyle w:val="Paragraphedeliste"/>
        <w:numPr>
          <w:ilvl w:val="0"/>
          <w:numId w:val="198"/>
        </w:numPr>
        <w:autoSpaceDE w:val="0"/>
        <w:autoSpaceDN w:val="0"/>
        <w:adjustRightInd w:val="0"/>
        <w:spacing w:after="0"/>
        <w:rPr>
          <w:rFonts w:eastAsiaTheme="minorHAnsi" w:cs="Arial"/>
          <w:lang w:eastAsia="en-US"/>
        </w:rPr>
      </w:pPr>
      <w:r w:rsidRPr="005B0E5B">
        <w:rPr>
          <w:rFonts w:eastAsiaTheme="minorHAnsi" w:cs="Arial"/>
          <w:lang w:eastAsia="en-US"/>
        </w:rPr>
        <w:t>La prestation de soins par une gestion de cas standards, dans des centres de soins de santé sur site ou dans les communautés, prévoyant un accès rapide aux soins médicaux, offrant confidentialité et soins appropriés, notamment pour les travailleurs migrants.</w:t>
      </w:r>
    </w:p>
    <w:p w14:paraId="726EDE0C" w14:textId="77777777" w:rsidR="00836964" w:rsidRPr="005B0E5B" w:rsidRDefault="00836964" w:rsidP="0095003D">
      <w:pPr>
        <w:pStyle w:val="Paragraphedeliste"/>
        <w:numPr>
          <w:ilvl w:val="0"/>
          <w:numId w:val="198"/>
        </w:numPr>
        <w:autoSpaceDE w:val="0"/>
        <w:autoSpaceDN w:val="0"/>
        <w:adjustRightInd w:val="0"/>
        <w:spacing w:after="0"/>
        <w:rPr>
          <w:rFonts w:eastAsiaTheme="minorHAnsi" w:cs="Arial"/>
          <w:lang w:eastAsia="en-US"/>
        </w:rPr>
      </w:pPr>
      <w:r w:rsidRPr="005B0E5B">
        <w:rPr>
          <w:rFonts w:eastAsiaTheme="minorHAnsi" w:cs="Arial"/>
          <w:lang w:eastAsia="en-US"/>
        </w:rPr>
        <w:t>La promotion de la collaboration avec les pouvoirs publics locaux afin de renforcer l’accès des familles des travailleurs et de la communauté aux services de santé publique, et d’encourager l’immunisation.</w:t>
      </w:r>
    </w:p>
    <w:p w14:paraId="2249715D" w14:textId="77777777" w:rsidR="00836964" w:rsidRPr="005B0E5B" w:rsidRDefault="00836964" w:rsidP="00836964">
      <w:pPr>
        <w:rPr>
          <w:rFonts w:eastAsiaTheme="minorHAnsi" w:cs="Arial"/>
          <w:lang w:eastAsia="en-US"/>
        </w:rPr>
      </w:pPr>
    </w:p>
    <w:p w14:paraId="768ED220" w14:textId="77777777" w:rsidR="00836964" w:rsidRPr="005B0E5B" w:rsidRDefault="00836964" w:rsidP="00836964">
      <w:pPr>
        <w:autoSpaceDE w:val="0"/>
        <w:autoSpaceDN w:val="0"/>
        <w:adjustRightInd w:val="0"/>
        <w:rPr>
          <w:rFonts w:eastAsiaTheme="minorHAnsi" w:cs="Arial"/>
          <w:b/>
          <w:bCs/>
          <w:color w:val="000084"/>
          <w:lang w:eastAsia="en-US"/>
        </w:rPr>
      </w:pPr>
      <w:r w:rsidRPr="005B0E5B">
        <w:rPr>
          <w:rFonts w:eastAsiaTheme="minorHAnsi" w:cs="Arial"/>
          <w:b/>
          <w:bCs/>
          <w:color w:val="000084"/>
          <w:lang w:eastAsia="en-US"/>
        </w:rPr>
        <w:t>3.7 Préparation et interventions en cas d’urgence</w:t>
      </w:r>
    </w:p>
    <w:p w14:paraId="6020118E" w14:textId="77777777" w:rsidR="00836964" w:rsidRPr="005B0E5B" w:rsidRDefault="00836964" w:rsidP="00836964">
      <w:pPr>
        <w:autoSpaceDE w:val="0"/>
        <w:autoSpaceDN w:val="0"/>
        <w:adjustRightInd w:val="0"/>
        <w:rPr>
          <w:rFonts w:eastAsiaTheme="minorHAnsi" w:cs="Arial"/>
          <w:color w:val="000000"/>
          <w:lang w:eastAsia="en-US"/>
        </w:rPr>
      </w:pPr>
      <w:r w:rsidRPr="005B0E5B">
        <w:rPr>
          <w:rFonts w:eastAsiaTheme="minorHAnsi" w:cs="Arial"/>
          <w:color w:val="000000"/>
          <w:lang w:eastAsia="en-US"/>
        </w:rPr>
        <w:t>Une urgence est un événement imprévu à la suite duquel la réalisation d’un projet perd, ou pourrait perdre, le contrôle d’une situation, ce qui pourrait engendrer des risques pour la santé de l’homme, les biens matériels ou l’environnement, soit au sein de l’installation soit au niveau de la population locale. Les urgences ne comportent généralement pas de pratiques de travail en sécurité pour les difficultés ou évènements fréquents qui sont du ressort de la santé et la sécurité sur le lieu de travail. Tous les projets doivent posséder un Plan de Réponse de Préparation et d’Intervention pour les Urgences, proportionnel aux risques de l’installation et comprenant les éléments de base suivants :</w:t>
      </w:r>
    </w:p>
    <w:p w14:paraId="494E5F35" w14:textId="77777777" w:rsidR="00836964" w:rsidRPr="005B0E5B" w:rsidRDefault="00836964" w:rsidP="00836964">
      <w:pPr>
        <w:autoSpaceDE w:val="0"/>
        <w:autoSpaceDN w:val="0"/>
        <w:adjustRightInd w:val="0"/>
        <w:rPr>
          <w:rFonts w:eastAsiaTheme="minorHAnsi" w:cs="Arial"/>
          <w:color w:val="000000"/>
          <w:lang w:eastAsia="en-US"/>
        </w:rPr>
      </w:pPr>
    </w:p>
    <w:p w14:paraId="5EA7604D" w14:textId="77777777" w:rsidR="00836964" w:rsidRPr="005B0E5B" w:rsidRDefault="00836964" w:rsidP="0095003D">
      <w:pPr>
        <w:pStyle w:val="Paragraphedeliste"/>
        <w:numPr>
          <w:ilvl w:val="0"/>
          <w:numId w:val="195"/>
        </w:numPr>
        <w:autoSpaceDE w:val="0"/>
        <w:autoSpaceDN w:val="0"/>
        <w:adjustRightInd w:val="0"/>
        <w:spacing w:after="0"/>
        <w:rPr>
          <w:rFonts w:eastAsiaTheme="minorHAnsi" w:cs="Arial"/>
          <w:color w:val="000000"/>
          <w:lang w:eastAsia="en-US"/>
        </w:rPr>
      </w:pPr>
      <w:r w:rsidRPr="005B0E5B">
        <w:rPr>
          <w:rFonts w:eastAsiaTheme="minorHAnsi" w:cs="Arial"/>
          <w:color w:val="000000"/>
          <w:lang w:eastAsia="en-US"/>
        </w:rPr>
        <w:t>Administration (politique, objet, distribution, définitions, etc.)</w:t>
      </w:r>
    </w:p>
    <w:p w14:paraId="562640F7" w14:textId="77777777" w:rsidR="00836964" w:rsidRPr="005B0E5B" w:rsidRDefault="00836964" w:rsidP="0095003D">
      <w:pPr>
        <w:pStyle w:val="Paragraphedeliste"/>
        <w:numPr>
          <w:ilvl w:val="0"/>
          <w:numId w:val="195"/>
        </w:numPr>
        <w:autoSpaceDE w:val="0"/>
        <w:autoSpaceDN w:val="0"/>
        <w:adjustRightInd w:val="0"/>
        <w:spacing w:after="0"/>
        <w:rPr>
          <w:rFonts w:eastAsiaTheme="minorHAnsi" w:cs="Arial"/>
          <w:color w:val="000000"/>
          <w:lang w:eastAsia="en-US"/>
        </w:rPr>
      </w:pPr>
      <w:r w:rsidRPr="005B0E5B">
        <w:rPr>
          <w:rFonts w:eastAsiaTheme="minorHAnsi" w:cs="Arial"/>
          <w:color w:val="000000"/>
          <w:lang w:eastAsia="en-US"/>
        </w:rPr>
        <w:t>Organisation des zones d’intervention (centres de commandement, postes médicaux, etc.)</w:t>
      </w:r>
    </w:p>
    <w:p w14:paraId="14971927" w14:textId="77777777" w:rsidR="00836964" w:rsidRPr="005B0E5B" w:rsidRDefault="00836964" w:rsidP="0095003D">
      <w:pPr>
        <w:pStyle w:val="Paragraphedeliste"/>
        <w:numPr>
          <w:ilvl w:val="0"/>
          <w:numId w:val="195"/>
        </w:numPr>
        <w:autoSpaceDE w:val="0"/>
        <w:autoSpaceDN w:val="0"/>
        <w:adjustRightInd w:val="0"/>
        <w:spacing w:after="0"/>
        <w:rPr>
          <w:rFonts w:eastAsiaTheme="minorHAnsi" w:cs="Arial"/>
          <w:color w:val="000000"/>
          <w:lang w:eastAsia="en-US"/>
        </w:rPr>
      </w:pPr>
      <w:r w:rsidRPr="005B0E5B">
        <w:rPr>
          <w:rFonts w:eastAsiaTheme="minorHAnsi" w:cs="Arial"/>
          <w:color w:val="000000"/>
          <w:lang w:eastAsia="en-US"/>
        </w:rPr>
        <w:t>Rôles et responsabilités</w:t>
      </w:r>
    </w:p>
    <w:p w14:paraId="03ACA358" w14:textId="77777777" w:rsidR="00836964" w:rsidRPr="005B0E5B" w:rsidRDefault="00836964" w:rsidP="0095003D">
      <w:pPr>
        <w:pStyle w:val="Paragraphedeliste"/>
        <w:numPr>
          <w:ilvl w:val="0"/>
          <w:numId w:val="195"/>
        </w:numPr>
        <w:autoSpaceDE w:val="0"/>
        <w:autoSpaceDN w:val="0"/>
        <w:adjustRightInd w:val="0"/>
        <w:spacing w:after="0"/>
        <w:rPr>
          <w:rFonts w:eastAsiaTheme="minorHAnsi" w:cs="Arial"/>
          <w:color w:val="000000"/>
          <w:lang w:eastAsia="en-US"/>
        </w:rPr>
      </w:pPr>
      <w:r w:rsidRPr="005B0E5B">
        <w:rPr>
          <w:rFonts w:eastAsiaTheme="minorHAnsi" w:cs="Arial"/>
          <w:color w:val="000000"/>
          <w:lang w:eastAsia="en-US"/>
        </w:rPr>
        <w:t>Systèmes de communication</w:t>
      </w:r>
    </w:p>
    <w:p w14:paraId="110326F6" w14:textId="77777777" w:rsidR="00836964" w:rsidRPr="005B0E5B" w:rsidRDefault="00836964" w:rsidP="0095003D">
      <w:pPr>
        <w:pStyle w:val="Paragraphedeliste"/>
        <w:numPr>
          <w:ilvl w:val="0"/>
          <w:numId w:val="195"/>
        </w:numPr>
        <w:autoSpaceDE w:val="0"/>
        <w:autoSpaceDN w:val="0"/>
        <w:adjustRightInd w:val="0"/>
        <w:spacing w:after="0"/>
        <w:rPr>
          <w:rFonts w:eastAsiaTheme="minorHAnsi" w:cs="Arial"/>
          <w:color w:val="000000"/>
          <w:lang w:eastAsia="en-US"/>
        </w:rPr>
      </w:pPr>
      <w:r w:rsidRPr="005B0E5B">
        <w:rPr>
          <w:rFonts w:eastAsiaTheme="minorHAnsi" w:cs="Arial"/>
          <w:color w:val="000000"/>
          <w:lang w:eastAsia="en-US"/>
        </w:rPr>
        <w:t>Procédures d’intervention en cas d’urgence</w:t>
      </w:r>
    </w:p>
    <w:p w14:paraId="40FA637D" w14:textId="77777777" w:rsidR="00836964" w:rsidRPr="005B0E5B" w:rsidRDefault="00836964" w:rsidP="0095003D">
      <w:pPr>
        <w:pStyle w:val="Paragraphedeliste"/>
        <w:numPr>
          <w:ilvl w:val="0"/>
          <w:numId w:val="195"/>
        </w:numPr>
        <w:autoSpaceDE w:val="0"/>
        <w:autoSpaceDN w:val="0"/>
        <w:adjustRightInd w:val="0"/>
        <w:spacing w:after="0"/>
        <w:rPr>
          <w:rFonts w:eastAsiaTheme="minorHAnsi" w:cs="Arial"/>
          <w:color w:val="000000"/>
          <w:lang w:eastAsia="en-US"/>
        </w:rPr>
      </w:pPr>
      <w:r w:rsidRPr="005B0E5B">
        <w:rPr>
          <w:rFonts w:eastAsiaTheme="minorHAnsi" w:cs="Arial"/>
          <w:color w:val="000000"/>
          <w:lang w:eastAsia="en-US"/>
        </w:rPr>
        <w:t>Ressources pour les urgences</w:t>
      </w:r>
    </w:p>
    <w:p w14:paraId="60C78E1F" w14:textId="77777777" w:rsidR="00836964" w:rsidRPr="005B0E5B" w:rsidRDefault="00836964" w:rsidP="0095003D">
      <w:pPr>
        <w:pStyle w:val="Paragraphedeliste"/>
        <w:numPr>
          <w:ilvl w:val="0"/>
          <w:numId w:val="195"/>
        </w:numPr>
        <w:autoSpaceDE w:val="0"/>
        <w:autoSpaceDN w:val="0"/>
        <w:adjustRightInd w:val="0"/>
        <w:spacing w:after="0"/>
        <w:rPr>
          <w:rFonts w:eastAsiaTheme="minorHAnsi" w:cs="Arial"/>
          <w:color w:val="000000"/>
          <w:lang w:eastAsia="en-US"/>
        </w:rPr>
      </w:pPr>
      <w:r w:rsidRPr="005B0E5B">
        <w:rPr>
          <w:rFonts w:eastAsiaTheme="minorHAnsi" w:cs="Arial"/>
          <w:color w:val="000000"/>
          <w:lang w:eastAsia="en-US"/>
        </w:rPr>
        <w:t>Formation et recyclage</w:t>
      </w:r>
    </w:p>
    <w:p w14:paraId="62A421B0" w14:textId="77777777" w:rsidR="00836964" w:rsidRPr="005B0E5B" w:rsidRDefault="00836964" w:rsidP="0095003D">
      <w:pPr>
        <w:pStyle w:val="Paragraphedeliste"/>
        <w:numPr>
          <w:ilvl w:val="0"/>
          <w:numId w:val="195"/>
        </w:numPr>
        <w:autoSpaceDE w:val="0"/>
        <w:autoSpaceDN w:val="0"/>
        <w:adjustRightInd w:val="0"/>
        <w:spacing w:after="0"/>
        <w:rPr>
          <w:rFonts w:eastAsiaTheme="minorHAnsi" w:cs="Arial"/>
          <w:color w:val="000000"/>
          <w:lang w:eastAsia="en-US"/>
        </w:rPr>
      </w:pPr>
      <w:r w:rsidRPr="005B0E5B">
        <w:rPr>
          <w:rFonts w:eastAsiaTheme="minorHAnsi" w:cs="Arial"/>
          <w:color w:val="000000"/>
          <w:lang w:eastAsia="en-US"/>
        </w:rPr>
        <w:t>Listes de contrôles (liste des rôles et des mesures ; liste de contrôle des équipements)</w:t>
      </w:r>
    </w:p>
    <w:p w14:paraId="4DAD4264" w14:textId="77777777" w:rsidR="00836964" w:rsidRPr="005B0E5B" w:rsidRDefault="00836964" w:rsidP="0095003D">
      <w:pPr>
        <w:pStyle w:val="Paragraphedeliste"/>
        <w:numPr>
          <w:ilvl w:val="0"/>
          <w:numId w:val="195"/>
        </w:numPr>
        <w:autoSpaceDE w:val="0"/>
        <w:autoSpaceDN w:val="0"/>
        <w:adjustRightInd w:val="0"/>
        <w:spacing w:after="0"/>
        <w:rPr>
          <w:rFonts w:eastAsiaTheme="minorHAnsi" w:cs="Arial"/>
          <w:color w:val="000000"/>
          <w:lang w:eastAsia="en-US"/>
        </w:rPr>
      </w:pPr>
      <w:r w:rsidRPr="005B0E5B">
        <w:rPr>
          <w:rFonts w:eastAsiaTheme="minorHAnsi" w:cs="Arial"/>
          <w:color w:val="000000"/>
          <w:lang w:eastAsia="en-US"/>
        </w:rPr>
        <w:t>Maintien des activités et plans d’urgence</w:t>
      </w:r>
    </w:p>
    <w:p w14:paraId="3A60972C" w14:textId="77777777" w:rsidR="00836964" w:rsidRPr="005B0E5B" w:rsidRDefault="00836964" w:rsidP="005247BD">
      <w:pPr>
        <w:ind w:left="0" w:firstLine="0"/>
        <w:rPr>
          <w:rFonts w:eastAsiaTheme="minorHAnsi" w:cs="Arial"/>
          <w:color w:val="000000"/>
          <w:lang w:eastAsia="en-US"/>
        </w:rPr>
      </w:pPr>
    </w:p>
    <w:p w14:paraId="269454EB" w14:textId="77777777" w:rsidR="00836964" w:rsidRPr="005B0E5B" w:rsidRDefault="00836964" w:rsidP="00836964">
      <w:pPr>
        <w:rPr>
          <w:rFonts w:eastAsiaTheme="minorHAnsi" w:cs="Arial"/>
          <w:b/>
          <w:bCs/>
          <w:color w:val="000084"/>
          <w:lang w:eastAsia="en-US"/>
        </w:rPr>
      </w:pPr>
      <w:r w:rsidRPr="005B0E5B">
        <w:rPr>
          <w:rFonts w:eastAsiaTheme="minorHAnsi" w:cs="Arial"/>
          <w:b/>
          <w:bCs/>
          <w:color w:val="000084"/>
          <w:lang w:eastAsia="en-US"/>
        </w:rPr>
        <w:t>4.0 Construction et fermeture</w:t>
      </w:r>
    </w:p>
    <w:p w14:paraId="131E51BD" w14:textId="77777777" w:rsidR="00836964" w:rsidRPr="005B0E5B" w:rsidRDefault="00836964" w:rsidP="00836964">
      <w:pPr>
        <w:autoSpaceDE w:val="0"/>
        <w:autoSpaceDN w:val="0"/>
        <w:adjustRightInd w:val="0"/>
        <w:rPr>
          <w:rFonts w:eastAsiaTheme="minorHAnsi" w:cs="Arial"/>
          <w:lang w:eastAsia="en-US"/>
        </w:rPr>
      </w:pPr>
      <w:r w:rsidRPr="005B0E5B">
        <w:rPr>
          <w:rFonts w:eastAsiaTheme="minorHAnsi" w:cs="Arial"/>
          <w:lang w:eastAsia="en-US"/>
        </w:rPr>
        <w:t>4.1 Environnement</w:t>
      </w:r>
    </w:p>
    <w:p w14:paraId="0D3269A0" w14:textId="77777777" w:rsidR="00836964" w:rsidRPr="005B0E5B" w:rsidRDefault="00836964" w:rsidP="00836964">
      <w:pPr>
        <w:autoSpaceDE w:val="0"/>
        <w:autoSpaceDN w:val="0"/>
        <w:adjustRightInd w:val="0"/>
        <w:ind w:left="708"/>
        <w:rPr>
          <w:rFonts w:eastAsiaTheme="minorHAnsi" w:cs="Arial"/>
          <w:lang w:eastAsia="en-US"/>
        </w:rPr>
      </w:pPr>
      <w:r w:rsidRPr="005B0E5B">
        <w:rPr>
          <w:rFonts w:eastAsiaTheme="minorHAnsi" w:cs="Arial"/>
          <w:lang w:eastAsia="en-US"/>
        </w:rPr>
        <w:t xml:space="preserve">Bruit et vibrations </w:t>
      </w:r>
    </w:p>
    <w:p w14:paraId="620AC7CF" w14:textId="77777777" w:rsidR="00836964" w:rsidRPr="005B0E5B" w:rsidRDefault="00836964" w:rsidP="00836964">
      <w:pPr>
        <w:autoSpaceDE w:val="0"/>
        <w:autoSpaceDN w:val="0"/>
        <w:adjustRightInd w:val="0"/>
        <w:ind w:left="708"/>
        <w:rPr>
          <w:rFonts w:eastAsiaTheme="minorHAnsi" w:cs="Arial"/>
          <w:lang w:eastAsia="en-US"/>
        </w:rPr>
      </w:pPr>
      <w:r w:rsidRPr="005B0E5B">
        <w:rPr>
          <w:rFonts w:eastAsiaTheme="minorHAnsi" w:cs="Arial"/>
          <w:lang w:eastAsia="en-US"/>
        </w:rPr>
        <w:t xml:space="preserve">Érosion des sols </w:t>
      </w:r>
    </w:p>
    <w:p w14:paraId="52A0423D" w14:textId="77777777" w:rsidR="00836964" w:rsidRPr="005B0E5B" w:rsidRDefault="00836964" w:rsidP="00836964">
      <w:pPr>
        <w:autoSpaceDE w:val="0"/>
        <w:autoSpaceDN w:val="0"/>
        <w:adjustRightInd w:val="0"/>
        <w:ind w:left="708"/>
        <w:rPr>
          <w:rFonts w:eastAsiaTheme="minorHAnsi" w:cs="Arial"/>
          <w:lang w:eastAsia="en-US"/>
        </w:rPr>
      </w:pPr>
      <w:r w:rsidRPr="005B0E5B">
        <w:rPr>
          <w:rFonts w:eastAsiaTheme="minorHAnsi" w:cs="Arial"/>
          <w:lang w:eastAsia="en-US"/>
        </w:rPr>
        <w:t>Qualité de l’air</w:t>
      </w:r>
    </w:p>
    <w:p w14:paraId="691A0988" w14:textId="77777777" w:rsidR="00836964" w:rsidRPr="005B0E5B" w:rsidRDefault="00836964" w:rsidP="00836964">
      <w:pPr>
        <w:autoSpaceDE w:val="0"/>
        <w:autoSpaceDN w:val="0"/>
        <w:adjustRightInd w:val="0"/>
        <w:ind w:left="708"/>
        <w:rPr>
          <w:rFonts w:eastAsiaTheme="minorHAnsi" w:cs="Arial"/>
          <w:lang w:eastAsia="en-US"/>
        </w:rPr>
      </w:pPr>
      <w:r w:rsidRPr="005B0E5B">
        <w:rPr>
          <w:rFonts w:eastAsiaTheme="minorHAnsi" w:cs="Arial"/>
          <w:lang w:eastAsia="en-US"/>
        </w:rPr>
        <w:t xml:space="preserve">Déchets solides </w:t>
      </w:r>
    </w:p>
    <w:p w14:paraId="26EC8B69" w14:textId="77777777" w:rsidR="00836964" w:rsidRPr="005B0E5B" w:rsidRDefault="00836964" w:rsidP="00836964">
      <w:pPr>
        <w:autoSpaceDE w:val="0"/>
        <w:autoSpaceDN w:val="0"/>
        <w:adjustRightInd w:val="0"/>
        <w:ind w:left="708"/>
        <w:rPr>
          <w:rFonts w:eastAsiaTheme="minorHAnsi" w:cs="Arial"/>
          <w:lang w:eastAsia="en-US"/>
        </w:rPr>
      </w:pPr>
      <w:r w:rsidRPr="005B0E5B">
        <w:rPr>
          <w:rFonts w:eastAsiaTheme="minorHAnsi" w:cs="Arial"/>
          <w:lang w:eastAsia="en-US"/>
        </w:rPr>
        <w:t xml:space="preserve">Matières dangereuses </w:t>
      </w:r>
    </w:p>
    <w:p w14:paraId="5BAD0F4A" w14:textId="77777777" w:rsidR="00836964" w:rsidRPr="005B0E5B" w:rsidRDefault="00836964" w:rsidP="00836964">
      <w:pPr>
        <w:autoSpaceDE w:val="0"/>
        <w:autoSpaceDN w:val="0"/>
        <w:adjustRightInd w:val="0"/>
        <w:ind w:left="708"/>
        <w:rPr>
          <w:rFonts w:eastAsiaTheme="minorHAnsi" w:cs="Arial"/>
          <w:lang w:eastAsia="en-US"/>
        </w:rPr>
      </w:pPr>
      <w:r w:rsidRPr="005B0E5B">
        <w:rPr>
          <w:rFonts w:eastAsiaTheme="minorHAnsi" w:cs="Arial"/>
          <w:lang w:eastAsia="en-US"/>
        </w:rPr>
        <w:t xml:space="preserve">Rejets d’eaux usées </w:t>
      </w:r>
    </w:p>
    <w:p w14:paraId="1930630D" w14:textId="77777777" w:rsidR="00836964" w:rsidRPr="005B0E5B" w:rsidRDefault="00836964" w:rsidP="00836964">
      <w:pPr>
        <w:autoSpaceDE w:val="0"/>
        <w:autoSpaceDN w:val="0"/>
        <w:adjustRightInd w:val="0"/>
        <w:ind w:left="708"/>
        <w:rPr>
          <w:rFonts w:eastAsiaTheme="minorHAnsi" w:cs="Arial"/>
          <w:lang w:eastAsia="en-US"/>
        </w:rPr>
      </w:pPr>
      <w:r w:rsidRPr="005B0E5B">
        <w:rPr>
          <w:rFonts w:eastAsiaTheme="minorHAnsi" w:cs="Arial"/>
          <w:lang w:eastAsia="en-US"/>
        </w:rPr>
        <w:t xml:space="preserve">Sols contaminés </w:t>
      </w:r>
    </w:p>
    <w:p w14:paraId="7054A30A" w14:textId="77777777" w:rsidR="00836964" w:rsidRPr="005B0E5B" w:rsidRDefault="00836964" w:rsidP="00836964">
      <w:pPr>
        <w:autoSpaceDE w:val="0"/>
        <w:autoSpaceDN w:val="0"/>
        <w:adjustRightInd w:val="0"/>
        <w:rPr>
          <w:rFonts w:eastAsiaTheme="minorHAnsi" w:cs="Arial"/>
          <w:lang w:eastAsia="en-US"/>
        </w:rPr>
      </w:pPr>
      <w:r w:rsidRPr="005B0E5B">
        <w:rPr>
          <w:rFonts w:eastAsiaTheme="minorHAnsi" w:cs="Arial"/>
          <w:lang w:eastAsia="en-US"/>
        </w:rPr>
        <w:t>4.2 Hygiène et sécurité au travail</w:t>
      </w:r>
    </w:p>
    <w:p w14:paraId="79FFB51C" w14:textId="77777777" w:rsidR="00836964" w:rsidRPr="005B0E5B" w:rsidRDefault="00836964" w:rsidP="00836964">
      <w:pPr>
        <w:autoSpaceDE w:val="0"/>
        <w:autoSpaceDN w:val="0"/>
        <w:adjustRightInd w:val="0"/>
        <w:rPr>
          <w:rFonts w:eastAsiaTheme="minorHAnsi" w:cs="Arial"/>
          <w:lang w:eastAsia="en-US"/>
        </w:rPr>
      </w:pPr>
      <w:r w:rsidRPr="005B0E5B">
        <w:rPr>
          <w:rFonts w:eastAsiaTheme="minorHAnsi" w:cs="Arial"/>
          <w:lang w:eastAsia="en-US"/>
        </w:rPr>
        <w:t>4.3 Santé et sécurité de la population</w:t>
      </w:r>
    </w:p>
    <w:p w14:paraId="61D3E463" w14:textId="77777777" w:rsidR="00836964" w:rsidRPr="005B0E5B" w:rsidRDefault="00836964" w:rsidP="00836964">
      <w:pPr>
        <w:autoSpaceDE w:val="0"/>
        <w:autoSpaceDN w:val="0"/>
        <w:adjustRightInd w:val="0"/>
        <w:ind w:left="708"/>
        <w:rPr>
          <w:rFonts w:eastAsiaTheme="minorHAnsi" w:cs="Arial"/>
          <w:lang w:eastAsia="en-US"/>
        </w:rPr>
      </w:pPr>
      <w:r w:rsidRPr="005B0E5B">
        <w:rPr>
          <w:rFonts w:eastAsiaTheme="minorHAnsi" w:cs="Arial"/>
          <w:lang w:eastAsia="en-US"/>
        </w:rPr>
        <w:t xml:space="preserve">Risques généraux sur le site </w:t>
      </w:r>
    </w:p>
    <w:p w14:paraId="18ED957D" w14:textId="77777777" w:rsidR="00836964" w:rsidRPr="005B0E5B" w:rsidRDefault="00836964" w:rsidP="00836964">
      <w:pPr>
        <w:autoSpaceDE w:val="0"/>
        <w:autoSpaceDN w:val="0"/>
        <w:adjustRightInd w:val="0"/>
        <w:ind w:left="708"/>
        <w:rPr>
          <w:rFonts w:eastAsiaTheme="minorHAnsi" w:cs="Arial"/>
          <w:lang w:eastAsia="en-US"/>
        </w:rPr>
      </w:pPr>
      <w:r w:rsidRPr="005B0E5B">
        <w:rPr>
          <w:rFonts w:eastAsiaTheme="minorHAnsi" w:cs="Arial"/>
          <w:lang w:eastAsia="en-US"/>
        </w:rPr>
        <w:t xml:space="preserve">Prévention des maladies </w:t>
      </w:r>
    </w:p>
    <w:p w14:paraId="6D8CA8FC" w14:textId="77777777" w:rsidR="00836964" w:rsidRPr="005B0E5B" w:rsidRDefault="00836964" w:rsidP="00836964">
      <w:pPr>
        <w:ind w:left="708"/>
        <w:rPr>
          <w:rFonts w:eastAsiaTheme="minorHAnsi" w:cs="Arial"/>
          <w:lang w:eastAsia="en-US"/>
        </w:rPr>
      </w:pPr>
      <w:r w:rsidRPr="005B0E5B">
        <w:rPr>
          <w:rFonts w:eastAsiaTheme="minorHAnsi" w:cs="Arial"/>
          <w:lang w:eastAsia="en-US"/>
        </w:rPr>
        <w:t>Sécurité de la circulation</w:t>
      </w:r>
    </w:p>
    <w:p w14:paraId="483BBDD0" w14:textId="77777777" w:rsidR="00836964" w:rsidRPr="005B0E5B" w:rsidRDefault="00836964" w:rsidP="00836964">
      <w:pPr>
        <w:rPr>
          <w:rFonts w:eastAsiaTheme="minorHAnsi" w:cs="Arial"/>
          <w:lang w:eastAsia="en-US"/>
        </w:rPr>
      </w:pPr>
    </w:p>
    <w:p w14:paraId="36EDAE8D" w14:textId="77777777" w:rsidR="00836964" w:rsidRPr="005B0E5B" w:rsidRDefault="00836964" w:rsidP="00836964">
      <w:pPr>
        <w:autoSpaceDE w:val="0"/>
        <w:autoSpaceDN w:val="0"/>
        <w:adjustRightInd w:val="0"/>
        <w:rPr>
          <w:rFonts w:eastAsiaTheme="minorHAnsi" w:cs="Arial"/>
          <w:b/>
          <w:color w:val="000084"/>
          <w:lang w:eastAsia="en-US"/>
        </w:rPr>
      </w:pPr>
      <w:r w:rsidRPr="005B0E5B">
        <w:rPr>
          <w:rFonts w:eastAsiaTheme="minorHAnsi" w:cs="Arial"/>
          <w:b/>
          <w:color w:val="000084"/>
          <w:lang w:eastAsia="en-US"/>
        </w:rPr>
        <w:t>Champ d’application et démarche</w:t>
      </w:r>
    </w:p>
    <w:p w14:paraId="574E36D4" w14:textId="77777777" w:rsidR="00836964" w:rsidRPr="005B0E5B" w:rsidRDefault="00836964" w:rsidP="00836964">
      <w:pPr>
        <w:autoSpaceDE w:val="0"/>
        <w:autoSpaceDN w:val="0"/>
        <w:adjustRightInd w:val="0"/>
        <w:rPr>
          <w:rFonts w:eastAsiaTheme="minorHAnsi" w:cs="Arial"/>
          <w:color w:val="000000"/>
          <w:lang w:eastAsia="en-US"/>
        </w:rPr>
      </w:pPr>
      <w:r w:rsidRPr="005B0E5B">
        <w:rPr>
          <w:rFonts w:eastAsiaTheme="minorHAnsi" w:cs="Arial"/>
          <w:color w:val="000000"/>
          <w:lang w:eastAsia="en-US"/>
        </w:rPr>
        <w:t>La présente section présente des recommandations supplémentaires sur la prévention et la maîtrise des impacts sur la santé et la sécurité de la population qui peuvent se produire lors du lancement d’un nouveau projet, à la fin du cycle d’un projet, ou par suite de l’expansion ou de la modification des installations d’un projet en cours. Il est fait référence à différentes autres sections des Directives EHS générales.</w:t>
      </w:r>
    </w:p>
    <w:p w14:paraId="6E9A5A86" w14:textId="77777777" w:rsidR="00836964" w:rsidRPr="005B0E5B" w:rsidRDefault="00836964" w:rsidP="00836964">
      <w:pPr>
        <w:autoSpaceDE w:val="0"/>
        <w:autoSpaceDN w:val="0"/>
        <w:adjustRightInd w:val="0"/>
        <w:rPr>
          <w:rFonts w:eastAsiaTheme="minorHAnsi" w:cs="Arial"/>
          <w:b/>
          <w:bCs/>
          <w:color w:val="000084"/>
          <w:lang w:eastAsia="en-US"/>
        </w:rPr>
      </w:pPr>
    </w:p>
    <w:p w14:paraId="328FBC05" w14:textId="77777777" w:rsidR="00836964" w:rsidRPr="005B0E5B" w:rsidRDefault="00836964" w:rsidP="00836964">
      <w:pPr>
        <w:spacing w:after="160" w:line="259" w:lineRule="auto"/>
        <w:jc w:val="left"/>
        <w:rPr>
          <w:rFonts w:eastAsiaTheme="minorHAnsi" w:cs="Arial"/>
          <w:b/>
          <w:bCs/>
          <w:color w:val="000084"/>
          <w:lang w:eastAsia="en-US"/>
        </w:rPr>
      </w:pPr>
      <w:r w:rsidRPr="005B0E5B">
        <w:rPr>
          <w:rFonts w:eastAsiaTheme="minorHAnsi" w:cs="Arial"/>
          <w:b/>
          <w:bCs/>
          <w:color w:val="000084"/>
          <w:lang w:eastAsia="en-US"/>
        </w:rPr>
        <w:br w:type="page"/>
      </w:r>
    </w:p>
    <w:p w14:paraId="4F2CD0AD" w14:textId="77777777" w:rsidR="00836964" w:rsidRPr="005B0E5B" w:rsidRDefault="00836964" w:rsidP="00836964">
      <w:pPr>
        <w:autoSpaceDE w:val="0"/>
        <w:autoSpaceDN w:val="0"/>
        <w:adjustRightInd w:val="0"/>
        <w:rPr>
          <w:rFonts w:eastAsiaTheme="minorHAnsi" w:cs="Arial"/>
          <w:b/>
          <w:bCs/>
          <w:color w:val="000084"/>
          <w:lang w:eastAsia="en-US"/>
        </w:rPr>
      </w:pPr>
      <w:r w:rsidRPr="005B0E5B">
        <w:rPr>
          <w:rFonts w:eastAsiaTheme="minorHAnsi" w:cs="Arial"/>
          <w:b/>
          <w:bCs/>
          <w:color w:val="000084"/>
          <w:lang w:eastAsia="en-US"/>
        </w:rPr>
        <w:t>4.1 Environnement</w:t>
      </w:r>
    </w:p>
    <w:p w14:paraId="28F61465" w14:textId="77777777" w:rsidR="00836964" w:rsidRPr="005B0E5B" w:rsidRDefault="00836964" w:rsidP="00836964">
      <w:pPr>
        <w:autoSpaceDE w:val="0"/>
        <w:autoSpaceDN w:val="0"/>
        <w:adjustRightInd w:val="0"/>
        <w:ind w:left="708"/>
        <w:rPr>
          <w:rFonts w:eastAsiaTheme="minorHAnsi" w:cs="Arial"/>
          <w:b/>
          <w:color w:val="000084"/>
          <w:lang w:eastAsia="en-US"/>
        </w:rPr>
      </w:pPr>
      <w:r w:rsidRPr="005B0E5B">
        <w:rPr>
          <w:rFonts w:eastAsiaTheme="minorHAnsi" w:cs="Arial"/>
          <w:b/>
          <w:color w:val="000084"/>
          <w:lang w:eastAsia="en-US"/>
        </w:rPr>
        <w:t>Bruit et Vibrations</w:t>
      </w:r>
    </w:p>
    <w:p w14:paraId="03793F1C" w14:textId="77777777" w:rsidR="00836964" w:rsidRPr="005B0E5B" w:rsidRDefault="00836964" w:rsidP="00836964">
      <w:pPr>
        <w:autoSpaceDE w:val="0"/>
        <w:autoSpaceDN w:val="0"/>
        <w:adjustRightInd w:val="0"/>
        <w:rPr>
          <w:rFonts w:eastAsiaTheme="minorHAnsi" w:cs="Arial"/>
          <w:color w:val="000000"/>
          <w:lang w:eastAsia="en-US"/>
        </w:rPr>
      </w:pPr>
      <w:r w:rsidRPr="005B0E5B">
        <w:rPr>
          <w:rFonts w:eastAsiaTheme="minorHAnsi" w:cs="Arial"/>
          <w:color w:val="000000"/>
          <w:lang w:eastAsia="en-US"/>
        </w:rPr>
        <w:t>Durant les activités de construction et de fermeture d'installations, les marteaux batteurs de pieux, les engins de terrassement et d’excavation, les bétonneuses, les grues et les transports d’équipements, de matériaux et de personnel peuvent être source de bruit et causer des vibrations. Les stratégies recommandées pour atténuer et maitriser les émissions sonores à proximité d'établissements humains, consistent, entre autres, à :</w:t>
      </w:r>
    </w:p>
    <w:p w14:paraId="32EAC3BC" w14:textId="77777777" w:rsidR="00836964" w:rsidRPr="005B0E5B" w:rsidRDefault="00836964" w:rsidP="0095003D">
      <w:pPr>
        <w:pStyle w:val="Paragraphedeliste"/>
        <w:numPr>
          <w:ilvl w:val="0"/>
          <w:numId w:val="196"/>
        </w:numPr>
        <w:autoSpaceDE w:val="0"/>
        <w:autoSpaceDN w:val="0"/>
        <w:adjustRightInd w:val="0"/>
        <w:spacing w:after="0"/>
        <w:rPr>
          <w:rFonts w:eastAsiaTheme="minorHAnsi" w:cs="Arial"/>
          <w:color w:val="000000"/>
          <w:lang w:eastAsia="en-US"/>
        </w:rPr>
      </w:pPr>
      <w:r w:rsidRPr="005B0E5B">
        <w:rPr>
          <w:rFonts w:eastAsiaTheme="minorHAnsi" w:cs="Arial"/>
          <w:color w:val="000000"/>
          <w:lang w:eastAsia="en-US"/>
        </w:rPr>
        <w:t>Planifier les activités en consultation avec les communautés locales pour programmer les activités susceptibles de produire le plus de bruit aux heures où elles causeront le moins de perturbations.</w:t>
      </w:r>
    </w:p>
    <w:p w14:paraId="7363CA67" w14:textId="77777777" w:rsidR="00836964" w:rsidRPr="005B0E5B" w:rsidRDefault="00836964" w:rsidP="0095003D">
      <w:pPr>
        <w:pStyle w:val="Paragraphedeliste"/>
        <w:numPr>
          <w:ilvl w:val="0"/>
          <w:numId w:val="196"/>
        </w:numPr>
        <w:autoSpaceDE w:val="0"/>
        <w:autoSpaceDN w:val="0"/>
        <w:adjustRightInd w:val="0"/>
        <w:spacing w:after="0"/>
        <w:rPr>
          <w:rFonts w:eastAsiaTheme="minorHAnsi" w:cs="Arial"/>
          <w:color w:val="000000"/>
          <w:lang w:eastAsia="en-US"/>
        </w:rPr>
      </w:pPr>
      <w:r w:rsidRPr="005B0E5B">
        <w:rPr>
          <w:rFonts w:eastAsiaTheme="minorHAnsi" w:cs="Arial"/>
          <w:color w:val="000000"/>
          <w:lang w:eastAsia="en-US"/>
        </w:rPr>
        <w:t>Utiliser des dispositifs de réduction du bruit, comme les ouvrages et les écrans anti-bruit qui peuvent être employés, notamment dans les zones de tir de mine, ainsi que les atténuateurs de bruit d’échappement des moteurs à combustion.</w:t>
      </w:r>
    </w:p>
    <w:p w14:paraId="5658B9B8" w14:textId="77777777" w:rsidR="00836964" w:rsidRPr="005B0E5B" w:rsidRDefault="00836964" w:rsidP="0095003D">
      <w:pPr>
        <w:pStyle w:val="Paragraphedeliste"/>
        <w:numPr>
          <w:ilvl w:val="0"/>
          <w:numId w:val="196"/>
        </w:numPr>
        <w:autoSpaceDE w:val="0"/>
        <w:autoSpaceDN w:val="0"/>
        <w:adjustRightInd w:val="0"/>
        <w:spacing w:after="0"/>
        <w:rPr>
          <w:rFonts w:eastAsiaTheme="minorHAnsi" w:cs="Arial"/>
          <w:color w:val="000000"/>
          <w:lang w:eastAsia="en-US"/>
        </w:rPr>
      </w:pPr>
      <w:r w:rsidRPr="005B0E5B">
        <w:rPr>
          <w:rFonts w:eastAsiaTheme="minorHAnsi" w:cs="Arial"/>
          <w:color w:val="000000"/>
          <w:lang w:eastAsia="en-US"/>
        </w:rPr>
        <w:t>Eviter ou réduire le plus possible le passage de moyens de transport pour le projet dans les zones d’établissement humain.</w:t>
      </w:r>
    </w:p>
    <w:p w14:paraId="24D99BB1" w14:textId="77777777" w:rsidR="00836964" w:rsidRPr="005B0E5B" w:rsidRDefault="00836964" w:rsidP="00836964">
      <w:pPr>
        <w:autoSpaceDE w:val="0"/>
        <w:autoSpaceDN w:val="0"/>
        <w:adjustRightInd w:val="0"/>
        <w:rPr>
          <w:rFonts w:eastAsiaTheme="minorHAnsi" w:cs="Arial"/>
          <w:color w:val="000084"/>
          <w:lang w:eastAsia="en-US"/>
        </w:rPr>
      </w:pPr>
    </w:p>
    <w:p w14:paraId="4B369297" w14:textId="77777777" w:rsidR="00836964" w:rsidRPr="005B0E5B" w:rsidRDefault="00836964" w:rsidP="00836964">
      <w:pPr>
        <w:autoSpaceDE w:val="0"/>
        <w:autoSpaceDN w:val="0"/>
        <w:adjustRightInd w:val="0"/>
        <w:ind w:left="708"/>
        <w:rPr>
          <w:rFonts w:eastAsiaTheme="minorHAnsi" w:cs="Arial"/>
          <w:b/>
          <w:color w:val="000084"/>
          <w:lang w:eastAsia="en-US"/>
        </w:rPr>
      </w:pPr>
      <w:r w:rsidRPr="005B0E5B">
        <w:rPr>
          <w:rFonts w:eastAsiaTheme="minorHAnsi" w:cs="Arial"/>
          <w:b/>
          <w:color w:val="000084"/>
          <w:lang w:eastAsia="en-US"/>
        </w:rPr>
        <w:t>Érosion des sols</w:t>
      </w:r>
    </w:p>
    <w:p w14:paraId="07A29B07" w14:textId="77777777" w:rsidR="00836964" w:rsidRPr="005B0E5B" w:rsidRDefault="00836964" w:rsidP="00836964">
      <w:pPr>
        <w:autoSpaceDE w:val="0"/>
        <w:autoSpaceDN w:val="0"/>
        <w:adjustRightInd w:val="0"/>
        <w:rPr>
          <w:rFonts w:eastAsiaTheme="minorHAnsi" w:cs="Arial"/>
          <w:color w:val="000000"/>
          <w:lang w:eastAsia="en-US"/>
        </w:rPr>
      </w:pPr>
      <w:r w:rsidRPr="005B0E5B">
        <w:rPr>
          <w:rFonts w:eastAsiaTheme="minorHAnsi" w:cs="Arial"/>
          <w:color w:val="000000"/>
          <w:lang w:eastAsia="en-US"/>
        </w:rPr>
        <w:t>L’érosion des sols peut être due à l’exposition des sols à la pluie et au vent pendant les activités de déblaiement, terrassement et excavation. La mobilisation et le transport de particules du sol peut, dans certains cas, donner lieu à la sédimentation des réseaux de drainage de la surface, ce qui pourrait avoir un impact sur la qualité des réseaux d’eau naturelle et, éventuellement, sur les systèmes biologiques utilisant cette eau. Parmi les méthodes de gestion de l’érosion des sols et des systèmes hydriques, on indiquera les suivantes :</w:t>
      </w:r>
    </w:p>
    <w:p w14:paraId="292B6A0D" w14:textId="77777777" w:rsidR="00836964" w:rsidRPr="005B0E5B" w:rsidRDefault="00836964" w:rsidP="00836964">
      <w:pPr>
        <w:autoSpaceDE w:val="0"/>
        <w:autoSpaceDN w:val="0"/>
        <w:adjustRightInd w:val="0"/>
        <w:rPr>
          <w:rFonts w:eastAsiaTheme="minorHAnsi" w:cs="Arial"/>
          <w:i/>
          <w:iCs/>
          <w:color w:val="2F2F9F"/>
          <w:lang w:eastAsia="en-US"/>
        </w:rPr>
      </w:pPr>
      <w:r w:rsidRPr="005B0E5B">
        <w:rPr>
          <w:rFonts w:eastAsiaTheme="minorHAnsi" w:cs="Arial"/>
          <w:i/>
          <w:iCs/>
          <w:color w:val="2F2F9F"/>
          <w:lang w:eastAsia="en-US"/>
        </w:rPr>
        <w:t>Mobilisation et transport des sédiments</w:t>
      </w:r>
    </w:p>
    <w:p w14:paraId="15E0F5FB" w14:textId="77777777" w:rsidR="00836964" w:rsidRPr="005B0E5B" w:rsidRDefault="00836964" w:rsidP="0095003D">
      <w:pPr>
        <w:pStyle w:val="Paragraphedeliste"/>
        <w:numPr>
          <w:ilvl w:val="0"/>
          <w:numId w:val="173"/>
        </w:numPr>
        <w:autoSpaceDE w:val="0"/>
        <w:autoSpaceDN w:val="0"/>
        <w:adjustRightInd w:val="0"/>
        <w:spacing w:after="0"/>
        <w:rPr>
          <w:rFonts w:eastAsiaTheme="minorHAnsi" w:cs="Arial"/>
          <w:color w:val="000000"/>
          <w:lang w:eastAsia="en-US"/>
        </w:rPr>
      </w:pPr>
      <w:r w:rsidRPr="005B0E5B">
        <w:rPr>
          <w:rFonts w:eastAsiaTheme="minorHAnsi" w:cs="Arial"/>
          <w:color w:val="000000"/>
          <w:lang w:eastAsia="en-US"/>
        </w:rPr>
        <w:t>Réduction ou prévention de l’érosion en :</w:t>
      </w:r>
    </w:p>
    <w:p w14:paraId="05245729" w14:textId="77777777" w:rsidR="00836964" w:rsidRPr="005B0E5B" w:rsidRDefault="00836964" w:rsidP="0095003D">
      <w:pPr>
        <w:pStyle w:val="Paragraphedeliste"/>
        <w:numPr>
          <w:ilvl w:val="0"/>
          <w:numId w:val="174"/>
        </w:numPr>
        <w:autoSpaceDE w:val="0"/>
        <w:autoSpaceDN w:val="0"/>
        <w:adjustRightInd w:val="0"/>
        <w:spacing w:after="0"/>
        <w:rPr>
          <w:rFonts w:eastAsiaTheme="minorHAnsi" w:cs="Arial"/>
          <w:color w:val="000000"/>
          <w:lang w:eastAsia="en-US"/>
        </w:rPr>
      </w:pPr>
      <w:r w:rsidRPr="005B0E5B">
        <w:rPr>
          <w:rFonts w:eastAsiaTheme="minorHAnsi" w:cs="Arial"/>
          <w:color w:val="000000"/>
          <w:lang w:eastAsia="en-US"/>
        </w:rPr>
        <w:t>Prévoyant un ordonnancement évitant, dans la mesure du possible, les périodes de fortes précipitations (autrement dit, pendant la saison sèche)</w:t>
      </w:r>
    </w:p>
    <w:p w14:paraId="5E30855A" w14:textId="77777777" w:rsidR="00836964" w:rsidRPr="005B0E5B" w:rsidRDefault="00836964" w:rsidP="0095003D">
      <w:pPr>
        <w:pStyle w:val="Paragraphedeliste"/>
        <w:numPr>
          <w:ilvl w:val="0"/>
          <w:numId w:val="174"/>
        </w:numPr>
        <w:autoSpaceDE w:val="0"/>
        <w:autoSpaceDN w:val="0"/>
        <w:adjustRightInd w:val="0"/>
        <w:spacing w:after="0"/>
        <w:rPr>
          <w:rFonts w:eastAsiaTheme="minorHAnsi" w:cs="Arial"/>
          <w:color w:val="000000"/>
          <w:lang w:eastAsia="en-US"/>
        </w:rPr>
      </w:pPr>
      <w:r w:rsidRPr="005B0E5B">
        <w:rPr>
          <w:rFonts w:eastAsiaTheme="minorHAnsi" w:cs="Arial"/>
          <w:color w:val="000000"/>
          <w:lang w:eastAsia="en-US"/>
        </w:rPr>
        <w:t>Contournant et minimisant la longueur et la pente des talus</w:t>
      </w:r>
    </w:p>
    <w:p w14:paraId="0678B626" w14:textId="77777777" w:rsidR="00836964" w:rsidRPr="005B0E5B" w:rsidRDefault="00836964" w:rsidP="0095003D">
      <w:pPr>
        <w:pStyle w:val="Paragraphedeliste"/>
        <w:numPr>
          <w:ilvl w:val="0"/>
          <w:numId w:val="174"/>
        </w:numPr>
        <w:autoSpaceDE w:val="0"/>
        <w:autoSpaceDN w:val="0"/>
        <w:adjustRightInd w:val="0"/>
        <w:spacing w:after="0"/>
        <w:rPr>
          <w:rFonts w:eastAsiaTheme="minorHAnsi" w:cs="Arial"/>
          <w:color w:val="000000"/>
          <w:lang w:eastAsia="en-US"/>
        </w:rPr>
      </w:pPr>
      <w:r w:rsidRPr="005B0E5B">
        <w:rPr>
          <w:rFonts w:eastAsiaTheme="minorHAnsi" w:cs="Arial"/>
          <w:color w:val="000000"/>
          <w:lang w:eastAsia="en-US"/>
        </w:rPr>
        <w:t>Garnissant les pentes de façon à stabiliser les zones exposées</w:t>
      </w:r>
    </w:p>
    <w:p w14:paraId="5FF08B39" w14:textId="77777777" w:rsidR="00836964" w:rsidRPr="005B0E5B" w:rsidRDefault="00836964" w:rsidP="0095003D">
      <w:pPr>
        <w:pStyle w:val="Paragraphedeliste"/>
        <w:numPr>
          <w:ilvl w:val="0"/>
          <w:numId w:val="174"/>
        </w:numPr>
        <w:spacing w:after="0"/>
        <w:rPr>
          <w:rFonts w:eastAsiaTheme="minorHAnsi" w:cs="Arial"/>
          <w:color w:val="000000"/>
          <w:lang w:eastAsia="en-US"/>
        </w:rPr>
      </w:pPr>
      <w:r w:rsidRPr="005B0E5B">
        <w:rPr>
          <w:rFonts w:eastAsiaTheme="minorHAnsi" w:cs="Arial"/>
          <w:color w:val="000000"/>
          <w:lang w:eastAsia="en-US"/>
        </w:rPr>
        <w:t>Replantant les zones dans les meilleurs délais</w:t>
      </w:r>
    </w:p>
    <w:p w14:paraId="2A19E51F" w14:textId="77777777" w:rsidR="00836964" w:rsidRPr="005B0E5B" w:rsidRDefault="00836964" w:rsidP="0095003D">
      <w:pPr>
        <w:pStyle w:val="Paragraphedeliste"/>
        <w:numPr>
          <w:ilvl w:val="0"/>
          <w:numId w:val="174"/>
        </w:numPr>
        <w:autoSpaceDE w:val="0"/>
        <w:autoSpaceDN w:val="0"/>
        <w:adjustRightInd w:val="0"/>
        <w:spacing w:after="0"/>
        <w:rPr>
          <w:rFonts w:eastAsiaTheme="minorHAnsi" w:cs="Arial"/>
          <w:color w:val="000000"/>
          <w:lang w:eastAsia="en-US"/>
        </w:rPr>
      </w:pPr>
      <w:r w:rsidRPr="005B0E5B">
        <w:rPr>
          <w:rFonts w:eastAsiaTheme="minorHAnsi" w:cs="Arial"/>
          <w:color w:val="000000"/>
          <w:lang w:eastAsia="en-US"/>
        </w:rPr>
        <w:t>Concevant les caniveaux et les fossés pour la post construction</w:t>
      </w:r>
    </w:p>
    <w:p w14:paraId="3E77A0D1" w14:textId="77777777" w:rsidR="00836964" w:rsidRPr="005B0E5B" w:rsidRDefault="00836964" w:rsidP="0095003D">
      <w:pPr>
        <w:pStyle w:val="Paragraphedeliste"/>
        <w:numPr>
          <w:ilvl w:val="0"/>
          <w:numId w:val="174"/>
        </w:numPr>
        <w:autoSpaceDE w:val="0"/>
        <w:autoSpaceDN w:val="0"/>
        <w:adjustRightInd w:val="0"/>
        <w:spacing w:after="0"/>
        <w:rPr>
          <w:rFonts w:eastAsiaTheme="minorHAnsi" w:cs="Arial"/>
          <w:color w:val="000000"/>
          <w:lang w:eastAsia="en-US"/>
        </w:rPr>
      </w:pPr>
      <w:r w:rsidRPr="005B0E5B">
        <w:rPr>
          <w:rFonts w:eastAsiaTheme="minorHAnsi" w:cs="Arial"/>
          <w:color w:val="000000"/>
          <w:lang w:eastAsia="en-US"/>
        </w:rPr>
        <w:t>Garnissant les caniveaux et talus à forte pente (p.ex. avec des nappes de jute</w:t>
      </w:r>
    </w:p>
    <w:p w14:paraId="441AA198" w14:textId="77777777" w:rsidR="00836964" w:rsidRPr="005B0E5B" w:rsidRDefault="00836964" w:rsidP="0095003D">
      <w:pPr>
        <w:pStyle w:val="Paragraphedeliste"/>
        <w:numPr>
          <w:ilvl w:val="0"/>
          <w:numId w:val="175"/>
        </w:numPr>
        <w:autoSpaceDE w:val="0"/>
        <w:autoSpaceDN w:val="0"/>
        <w:adjustRightInd w:val="0"/>
        <w:spacing w:after="0"/>
        <w:rPr>
          <w:rFonts w:eastAsiaTheme="minorHAnsi" w:cs="Arial"/>
          <w:color w:val="000000"/>
          <w:lang w:eastAsia="en-US"/>
        </w:rPr>
      </w:pPr>
      <w:r w:rsidRPr="005B0E5B">
        <w:rPr>
          <w:rFonts w:eastAsiaTheme="minorHAnsi" w:cs="Arial"/>
          <w:color w:val="000000"/>
          <w:lang w:eastAsia="en-US"/>
        </w:rPr>
        <w:t>Réduction ou prévention du transport de sédiments hors site, au moyen de bassins de décantation, clôtures de dévasement, et du traitement de l’eau, et, dans la mesure du possible, par la modification ou la suspension des activités pendant les périodes de précipitations extrêmes et de vents forts.</w:t>
      </w:r>
    </w:p>
    <w:p w14:paraId="4CB612BE" w14:textId="77777777" w:rsidR="00836964" w:rsidRPr="005B0E5B" w:rsidRDefault="00836964" w:rsidP="00836964">
      <w:pPr>
        <w:autoSpaceDE w:val="0"/>
        <w:autoSpaceDN w:val="0"/>
        <w:adjustRightInd w:val="0"/>
        <w:rPr>
          <w:rFonts w:eastAsiaTheme="minorHAnsi" w:cs="Arial"/>
          <w:i/>
          <w:iCs/>
          <w:color w:val="2F2F9F"/>
          <w:lang w:eastAsia="en-US"/>
        </w:rPr>
      </w:pPr>
    </w:p>
    <w:p w14:paraId="7FF9EAA5" w14:textId="77777777" w:rsidR="00836964" w:rsidRPr="005B0E5B" w:rsidRDefault="00836964" w:rsidP="00836964">
      <w:pPr>
        <w:autoSpaceDE w:val="0"/>
        <w:autoSpaceDN w:val="0"/>
        <w:adjustRightInd w:val="0"/>
        <w:rPr>
          <w:rFonts w:eastAsiaTheme="minorHAnsi" w:cs="Arial"/>
          <w:i/>
          <w:iCs/>
          <w:color w:val="2F2F9F"/>
          <w:lang w:eastAsia="en-US"/>
        </w:rPr>
      </w:pPr>
      <w:r w:rsidRPr="005B0E5B">
        <w:rPr>
          <w:rFonts w:eastAsiaTheme="minorHAnsi" w:cs="Arial"/>
          <w:i/>
          <w:iCs/>
          <w:color w:val="2F2F9F"/>
          <w:lang w:eastAsia="en-US"/>
        </w:rPr>
        <w:t>Gestion de l’écoulement des eaux propres</w:t>
      </w:r>
    </w:p>
    <w:p w14:paraId="31ABC42A" w14:textId="77777777" w:rsidR="00836964" w:rsidRPr="005B0E5B" w:rsidRDefault="00836964" w:rsidP="0095003D">
      <w:pPr>
        <w:pStyle w:val="Paragraphedeliste"/>
        <w:numPr>
          <w:ilvl w:val="0"/>
          <w:numId w:val="175"/>
        </w:numPr>
        <w:autoSpaceDE w:val="0"/>
        <w:autoSpaceDN w:val="0"/>
        <w:adjustRightInd w:val="0"/>
        <w:spacing w:after="0"/>
        <w:rPr>
          <w:rFonts w:eastAsiaTheme="minorHAnsi" w:cs="Arial"/>
          <w:color w:val="000000"/>
          <w:lang w:eastAsia="en-US"/>
        </w:rPr>
      </w:pPr>
      <w:r w:rsidRPr="005B0E5B">
        <w:rPr>
          <w:rFonts w:eastAsiaTheme="minorHAnsi" w:cs="Arial"/>
          <w:color w:val="000000"/>
          <w:lang w:eastAsia="en-US"/>
        </w:rPr>
        <w:t>Séparation ou déviation de l’écoulement des eaux propres afin d’éviter qu’elles ne se mélangent avec des eaux à forte teneur en solides, afin de minimiser le volume d’eau à traiter préalablement à son écoulement.</w:t>
      </w:r>
    </w:p>
    <w:p w14:paraId="4FA198F7" w14:textId="77777777" w:rsidR="00836964" w:rsidRPr="005B0E5B" w:rsidRDefault="00836964" w:rsidP="00836964">
      <w:pPr>
        <w:autoSpaceDE w:val="0"/>
        <w:autoSpaceDN w:val="0"/>
        <w:adjustRightInd w:val="0"/>
        <w:rPr>
          <w:rFonts w:eastAsiaTheme="minorHAnsi" w:cs="Arial"/>
          <w:i/>
          <w:iCs/>
          <w:color w:val="2F2F9F"/>
          <w:lang w:eastAsia="en-US"/>
        </w:rPr>
      </w:pPr>
      <w:r w:rsidRPr="005B0E5B">
        <w:rPr>
          <w:rFonts w:eastAsiaTheme="minorHAnsi" w:cs="Arial"/>
          <w:i/>
          <w:iCs/>
          <w:color w:val="2F2F9F"/>
          <w:lang w:eastAsia="en-US"/>
        </w:rPr>
        <w:t>Étude des routes</w:t>
      </w:r>
    </w:p>
    <w:p w14:paraId="057629CE" w14:textId="77777777" w:rsidR="00836964" w:rsidRPr="005B0E5B" w:rsidRDefault="00836964" w:rsidP="0095003D">
      <w:pPr>
        <w:pStyle w:val="Paragraphedeliste"/>
        <w:numPr>
          <w:ilvl w:val="0"/>
          <w:numId w:val="176"/>
        </w:numPr>
        <w:autoSpaceDE w:val="0"/>
        <w:autoSpaceDN w:val="0"/>
        <w:adjustRightInd w:val="0"/>
        <w:spacing w:after="0"/>
        <w:rPr>
          <w:rFonts w:eastAsiaTheme="minorHAnsi" w:cs="Arial"/>
          <w:color w:val="000000"/>
          <w:lang w:eastAsia="en-US"/>
        </w:rPr>
      </w:pPr>
      <w:r w:rsidRPr="005B0E5B">
        <w:rPr>
          <w:rFonts w:eastAsiaTheme="minorHAnsi" w:cs="Arial"/>
          <w:color w:val="000000"/>
          <w:lang w:eastAsia="en-US"/>
        </w:rPr>
        <w:t>Limitation de la pente des routes d’accès afin de réduire l’érosion induite par ruissellement.</w:t>
      </w:r>
    </w:p>
    <w:p w14:paraId="212E70CC" w14:textId="77777777" w:rsidR="00836964" w:rsidRPr="005B0E5B" w:rsidRDefault="00836964" w:rsidP="0095003D">
      <w:pPr>
        <w:pStyle w:val="Paragraphedeliste"/>
        <w:numPr>
          <w:ilvl w:val="0"/>
          <w:numId w:val="176"/>
        </w:numPr>
        <w:autoSpaceDE w:val="0"/>
        <w:autoSpaceDN w:val="0"/>
        <w:adjustRightInd w:val="0"/>
        <w:spacing w:after="0"/>
        <w:rPr>
          <w:rFonts w:eastAsiaTheme="minorHAnsi" w:cs="Arial"/>
          <w:color w:val="000000"/>
          <w:lang w:eastAsia="en-US"/>
        </w:rPr>
      </w:pPr>
      <w:r w:rsidRPr="005B0E5B">
        <w:rPr>
          <w:rFonts w:eastAsiaTheme="minorHAnsi" w:cs="Arial"/>
          <w:color w:val="000000"/>
          <w:lang w:eastAsia="en-US"/>
        </w:rPr>
        <w:t>Installation d’un drainage adéquat des routes en fonction de la largeur, du revêtement, du compactage et de l’entretien des routes.</w:t>
      </w:r>
    </w:p>
    <w:p w14:paraId="4C284E33" w14:textId="77777777" w:rsidR="00836964" w:rsidRPr="005B0E5B" w:rsidRDefault="00836964" w:rsidP="00836964">
      <w:pPr>
        <w:autoSpaceDE w:val="0"/>
        <w:autoSpaceDN w:val="0"/>
        <w:adjustRightInd w:val="0"/>
        <w:rPr>
          <w:rFonts w:eastAsiaTheme="minorHAnsi" w:cs="Arial"/>
          <w:i/>
          <w:iCs/>
          <w:color w:val="2F2F9F"/>
          <w:lang w:eastAsia="en-US"/>
        </w:rPr>
      </w:pPr>
      <w:r w:rsidRPr="005B0E5B">
        <w:rPr>
          <w:rFonts w:eastAsiaTheme="minorHAnsi" w:cs="Arial"/>
          <w:i/>
          <w:iCs/>
          <w:color w:val="2F2F9F"/>
          <w:lang w:eastAsia="en-US"/>
        </w:rPr>
        <w:t>Perturbation des cours d’eau</w:t>
      </w:r>
    </w:p>
    <w:p w14:paraId="414CCE86" w14:textId="77777777" w:rsidR="00836964" w:rsidRPr="005B0E5B" w:rsidRDefault="00836964" w:rsidP="0095003D">
      <w:pPr>
        <w:pStyle w:val="Paragraphedeliste"/>
        <w:numPr>
          <w:ilvl w:val="0"/>
          <w:numId w:val="177"/>
        </w:numPr>
        <w:autoSpaceDE w:val="0"/>
        <w:autoSpaceDN w:val="0"/>
        <w:adjustRightInd w:val="0"/>
        <w:spacing w:after="0"/>
        <w:rPr>
          <w:rFonts w:eastAsiaTheme="minorHAnsi" w:cs="Arial"/>
          <w:color w:val="000000"/>
          <w:lang w:eastAsia="en-US"/>
        </w:rPr>
      </w:pPr>
      <w:r w:rsidRPr="005B0E5B">
        <w:rPr>
          <w:rFonts w:eastAsiaTheme="minorHAnsi" w:cs="Arial"/>
          <w:color w:val="000000"/>
          <w:lang w:eastAsia="en-US"/>
        </w:rPr>
        <w:t>En fonction des impacts négatifs potentiels, installation de structures à ouverture libre (p.ex. ponts à travée unique) pour la traversée des cours d’eau par les routes.</w:t>
      </w:r>
    </w:p>
    <w:p w14:paraId="3A9BB5E9" w14:textId="77777777" w:rsidR="00836964" w:rsidRPr="005B0E5B" w:rsidRDefault="00836964" w:rsidP="0095003D">
      <w:pPr>
        <w:pStyle w:val="Paragraphedeliste"/>
        <w:numPr>
          <w:ilvl w:val="0"/>
          <w:numId w:val="177"/>
        </w:numPr>
        <w:autoSpaceDE w:val="0"/>
        <w:autoSpaceDN w:val="0"/>
        <w:adjustRightInd w:val="0"/>
        <w:spacing w:after="0"/>
        <w:rPr>
          <w:rFonts w:eastAsiaTheme="minorHAnsi" w:cs="Arial"/>
          <w:color w:val="000000"/>
          <w:lang w:eastAsia="en-US"/>
        </w:rPr>
      </w:pPr>
      <w:r w:rsidRPr="005B0E5B">
        <w:rPr>
          <w:rFonts w:eastAsiaTheme="minorHAnsi" w:cs="Arial"/>
          <w:color w:val="000000"/>
          <w:lang w:eastAsia="en-US"/>
        </w:rPr>
        <w:t>Restriction de la durée et des périodes d’activités dans les cours d’eau aux périodes de basse, en évitant les périodes critiques pour les cycles biologiques de la flore et de la faune (migrations, ponte etc.).</w:t>
      </w:r>
    </w:p>
    <w:p w14:paraId="029E6D36" w14:textId="77777777" w:rsidR="00836964" w:rsidRPr="005B0E5B" w:rsidRDefault="00836964" w:rsidP="0095003D">
      <w:pPr>
        <w:pStyle w:val="Paragraphedeliste"/>
        <w:numPr>
          <w:ilvl w:val="0"/>
          <w:numId w:val="177"/>
        </w:numPr>
        <w:autoSpaceDE w:val="0"/>
        <w:autoSpaceDN w:val="0"/>
        <w:adjustRightInd w:val="0"/>
        <w:spacing w:after="0"/>
        <w:rPr>
          <w:rFonts w:eastAsiaTheme="minorHAnsi" w:cs="Arial"/>
          <w:color w:val="000000"/>
          <w:lang w:eastAsia="en-US"/>
        </w:rPr>
      </w:pPr>
      <w:r w:rsidRPr="005B0E5B">
        <w:rPr>
          <w:rFonts w:eastAsiaTheme="minorHAnsi" w:cs="Arial"/>
          <w:color w:val="000000"/>
          <w:lang w:eastAsia="en-US"/>
        </w:rPr>
        <w:t>Pour les interventions dans les cours d’eau, adoption de techniques d’isolation, comme les accrétions latérales ou les déviations, au cours des travaux de construction, afin de limiter l’exposition de sédiments déplacés par l’eau courante</w:t>
      </w:r>
    </w:p>
    <w:p w14:paraId="12D061A0" w14:textId="77777777" w:rsidR="00836964" w:rsidRPr="005B0E5B" w:rsidRDefault="00836964" w:rsidP="0095003D">
      <w:pPr>
        <w:pStyle w:val="Paragraphedeliste"/>
        <w:numPr>
          <w:ilvl w:val="0"/>
          <w:numId w:val="177"/>
        </w:numPr>
        <w:autoSpaceDE w:val="0"/>
        <w:autoSpaceDN w:val="0"/>
        <w:adjustRightInd w:val="0"/>
        <w:spacing w:after="0"/>
        <w:rPr>
          <w:rFonts w:eastAsiaTheme="minorHAnsi" w:cs="Arial"/>
          <w:color w:val="000000"/>
          <w:lang w:eastAsia="en-US"/>
        </w:rPr>
      </w:pPr>
      <w:r w:rsidRPr="005B0E5B">
        <w:rPr>
          <w:rFonts w:eastAsiaTheme="minorHAnsi" w:cs="Arial"/>
          <w:color w:val="000000"/>
          <w:lang w:eastAsia="en-US"/>
        </w:rPr>
        <w:t>Envisager l’emploi de technologies sans tranchées pour le passage des canalisations (p.ex. traversée suspendue), ou installation par forage directionnel.</w:t>
      </w:r>
    </w:p>
    <w:p w14:paraId="642D4C54" w14:textId="77777777" w:rsidR="00836964" w:rsidRPr="005B0E5B" w:rsidRDefault="00836964" w:rsidP="00836964">
      <w:pPr>
        <w:autoSpaceDE w:val="0"/>
        <w:autoSpaceDN w:val="0"/>
        <w:adjustRightInd w:val="0"/>
        <w:rPr>
          <w:rFonts w:eastAsiaTheme="minorHAnsi" w:cs="Arial"/>
          <w:i/>
          <w:iCs/>
          <w:color w:val="2F2F9F"/>
          <w:lang w:eastAsia="en-US"/>
        </w:rPr>
      </w:pPr>
      <w:r w:rsidRPr="005B0E5B">
        <w:rPr>
          <w:rFonts w:eastAsiaTheme="minorHAnsi" w:cs="Arial"/>
          <w:i/>
          <w:iCs/>
          <w:color w:val="2F2F9F"/>
          <w:lang w:eastAsia="en-US"/>
        </w:rPr>
        <w:t>Stabilité structurelle (des pentes)</w:t>
      </w:r>
    </w:p>
    <w:p w14:paraId="38D611AD" w14:textId="77777777" w:rsidR="00836964" w:rsidRPr="005B0E5B" w:rsidRDefault="00836964" w:rsidP="0095003D">
      <w:pPr>
        <w:pStyle w:val="Paragraphedeliste"/>
        <w:numPr>
          <w:ilvl w:val="0"/>
          <w:numId w:val="178"/>
        </w:numPr>
        <w:autoSpaceDE w:val="0"/>
        <w:autoSpaceDN w:val="0"/>
        <w:adjustRightInd w:val="0"/>
        <w:spacing w:after="0"/>
        <w:rPr>
          <w:rFonts w:eastAsiaTheme="minorHAnsi" w:cs="Arial"/>
          <w:color w:val="000000"/>
          <w:lang w:eastAsia="en-US"/>
        </w:rPr>
      </w:pPr>
      <w:r w:rsidRPr="005B0E5B">
        <w:rPr>
          <w:rFonts w:eastAsiaTheme="minorHAnsi" w:cs="Arial"/>
          <w:color w:val="000000"/>
          <w:lang w:eastAsia="en-US"/>
        </w:rPr>
        <w:t>Effectuer des mesures efficaces à court terme pour la stabilisation des pentes, la réduction des sédiments et le contrôle de l’affaissement, jusqu’à ce que l’on puisse appliquer des mesures à long terme pour la phase opérationnelle.</w:t>
      </w:r>
    </w:p>
    <w:p w14:paraId="0770E78D" w14:textId="77777777" w:rsidR="00836964" w:rsidRPr="005B0E5B" w:rsidRDefault="00836964" w:rsidP="0095003D">
      <w:pPr>
        <w:pStyle w:val="Paragraphedeliste"/>
        <w:numPr>
          <w:ilvl w:val="0"/>
          <w:numId w:val="178"/>
        </w:numPr>
        <w:autoSpaceDE w:val="0"/>
        <w:autoSpaceDN w:val="0"/>
        <w:adjustRightInd w:val="0"/>
        <w:spacing w:after="0"/>
        <w:rPr>
          <w:rFonts w:eastAsiaTheme="minorHAnsi" w:cs="Arial"/>
          <w:color w:val="000000"/>
          <w:lang w:eastAsia="en-US"/>
        </w:rPr>
      </w:pPr>
      <w:r w:rsidRPr="005B0E5B">
        <w:rPr>
          <w:rFonts w:eastAsiaTheme="minorHAnsi" w:cs="Arial"/>
          <w:color w:val="000000"/>
          <w:lang w:eastAsia="en-US"/>
        </w:rPr>
        <w:t>Prévoir des systèmes de drainage adéquats pour minimiser et contrôler les infiltrations.</w:t>
      </w:r>
    </w:p>
    <w:p w14:paraId="116FCD90" w14:textId="77777777" w:rsidR="00836964" w:rsidRPr="005B0E5B" w:rsidRDefault="00836964" w:rsidP="00836964">
      <w:pPr>
        <w:autoSpaceDE w:val="0"/>
        <w:autoSpaceDN w:val="0"/>
        <w:adjustRightInd w:val="0"/>
        <w:rPr>
          <w:rFonts w:eastAsiaTheme="minorHAnsi" w:cs="Arial"/>
          <w:color w:val="000000"/>
          <w:lang w:eastAsia="en-US"/>
        </w:rPr>
      </w:pPr>
    </w:p>
    <w:p w14:paraId="092DCFC7" w14:textId="77777777" w:rsidR="00836964" w:rsidRPr="005B0E5B" w:rsidRDefault="00836964" w:rsidP="00836964">
      <w:pPr>
        <w:autoSpaceDE w:val="0"/>
        <w:autoSpaceDN w:val="0"/>
        <w:adjustRightInd w:val="0"/>
        <w:ind w:left="360"/>
        <w:rPr>
          <w:rFonts w:eastAsiaTheme="minorHAnsi" w:cs="Arial"/>
          <w:b/>
          <w:color w:val="000084"/>
          <w:lang w:eastAsia="en-US"/>
        </w:rPr>
      </w:pPr>
      <w:r w:rsidRPr="005B0E5B">
        <w:rPr>
          <w:rFonts w:eastAsiaTheme="minorHAnsi" w:cs="Arial"/>
          <w:b/>
          <w:color w:val="000084"/>
          <w:lang w:eastAsia="en-US"/>
        </w:rPr>
        <w:t>Qualité de l’air</w:t>
      </w:r>
    </w:p>
    <w:p w14:paraId="3D88BD31" w14:textId="77777777" w:rsidR="00836964" w:rsidRPr="005B0E5B" w:rsidRDefault="00836964" w:rsidP="00836964">
      <w:pPr>
        <w:autoSpaceDE w:val="0"/>
        <w:autoSpaceDN w:val="0"/>
        <w:adjustRightInd w:val="0"/>
        <w:rPr>
          <w:rFonts w:eastAsiaTheme="minorHAnsi" w:cs="Arial"/>
          <w:color w:val="000000"/>
          <w:lang w:eastAsia="en-US"/>
        </w:rPr>
      </w:pPr>
      <w:r w:rsidRPr="005B0E5B">
        <w:rPr>
          <w:rFonts w:eastAsiaTheme="minorHAnsi" w:cs="Arial"/>
          <w:color w:val="000000"/>
          <w:lang w:eastAsia="en-US"/>
        </w:rPr>
        <w:t>Les activités de construction et de déclassement risquent de donner lieu au dégagement de poussières, dû à la fois aux excavations et au déblaiement sur site, au contact des engins de construction avec le sol nu, et à l’exposition du sol nu et des pieux au vent. Une deuxième source d’émissions pourra comprendre l’échappement des moteurs Diesel des engins de terrassement, ainsi que la combustion à ciel ouvert de déchets solides sur site.</w:t>
      </w:r>
    </w:p>
    <w:p w14:paraId="34CC781A" w14:textId="77777777" w:rsidR="00836964" w:rsidRPr="005B0E5B" w:rsidRDefault="00836964" w:rsidP="00836964">
      <w:pPr>
        <w:autoSpaceDE w:val="0"/>
        <w:autoSpaceDN w:val="0"/>
        <w:adjustRightInd w:val="0"/>
        <w:rPr>
          <w:rFonts w:eastAsiaTheme="minorHAnsi" w:cs="Arial"/>
          <w:color w:val="000000"/>
          <w:lang w:eastAsia="en-US"/>
        </w:rPr>
      </w:pPr>
      <w:r w:rsidRPr="005B0E5B">
        <w:rPr>
          <w:rFonts w:eastAsiaTheme="minorHAnsi" w:cs="Arial"/>
          <w:color w:val="000000"/>
          <w:lang w:eastAsia="en-US"/>
        </w:rPr>
        <w:t>Parmi les techniques à envisager pour la réduction et le contrôle des émissions d’air des chantiers de construction et de déclassement, on indiquera les techniques suivantes :</w:t>
      </w:r>
    </w:p>
    <w:p w14:paraId="597C0D4D" w14:textId="77777777" w:rsidR="00836964" w:rsidRPr="005B0E5B" w:rsidRDefault="00836964" w:rsidP="0095003D">
      <w:pPr>
        <w:pStyle w:val="Paragraphedeliste"/>
        <w:numPr>
          <w:ilvl w:val="0"/>
          <w:numId w:val="179"/>
        </w:numPr>
        <w:autoSpaceDE w:val="0"/>
        <w:autoSpaceDN w:val="0"/>
        <w:adjustRightInd w:val="0"/>
        <w:spacing w:after="0"/>
        <w:rPr>
          <w:rFonts w:eastAsiaTheme="minorHAnsi" w:cs="Arial"/>
          <w:color w:val="000000"/>
          <w:lang w:eastAsia="en-US"/>
        </w:rPr>
      </w:pPr>
      <w:r w:rsidRPr="005B0E5B">
        <w:rPr>
          <w:rFonts w:eastAsiaTheme="minorHAnsi" w:cs="Arial"/>
          <w:color w:val="000000"/>
          <w:lang w:eastAsia="en-US"/>
        </w:rPr>
        <w:t>Minimiser la poussière émise par les sources de manutention (bandes transporteuses et bennes) avec l’emploi de couvertures et/ou d’équipements de contrôle (eau de pulvérisation directe, chambre à filtres ou cyclone).</w:t>
      </w:r>
    </w:p>
    <w:p w14:paraId="07171ADE" w14:textId="77777777" w:rsidR="00836964" w:rsidRPr="005B0E5B" w:rsidRDefault="00836964" w:rsidP="0095003D">
      <w:pPr>
        <w:pStyle w:val="Paragraphedeliste"/>
        <w:numPr>
          <w:ilvl w:val="0"/>
          <w:numId w:val="179"/>
        </w:numPr>
        <w:autoSpaceDE w:val="0"/>
        <w:autoSpaceDN w:val="0"/>
        <w:adjustRightInd w:val="0"/>
        <w:spacing w:after="0"/>
        <w:rPr>
          <w:rFonts w:eastAsiaTheme="minorHAnsi" w:cs="Arial"/>
          <w:color w:val="000000"/>
          <w:lang w:eastAsia="en-US"/>
        </w:rPr>
      </w:pPr>
      <w:r w:rsidRPr="005B0E5B">
        <w:rPr>
          <w:rFonts w:eastAsiaTheme="minorHAnsi" w:cs="Arial"/>
          <w:color w:val="000000"/>
          <w:lang w:eastAsia="en-US"/>
        </w:rPr>
        <w:t>Minimiser la poussière émise pas des sources ouvertes, y compris les piles de stockage, en utilisant des mesures de contrôle, par exemple l’installation d’enceintes et de panneaux de couverture, et en augmentant la teneur en humidité.</w:t>
      </w:r>
    </w:p>
    <w:p w14:paraId="1C6E6C99" w14:textId="77777777" w:rsidR="00836964" w:rsidRPr="005B0E5B" w:rsidRDefault="00836964" w:rsidP="0095003D">
      <w:pPr>
        <w:pStyle w:val="Paragraphedeliste"/>
        <w:numPr>
          <w:ilvl w:val="0"/>
          <w:numId w:val="179"/>
        </w:numPr>
        <w:autoSpaceDE w:val="0"/>
        <w:autoSpaceDN w:val="0"/>
        <w:adjustRightInd w:val="0"/>
        <w:spacing w:after="0"/>
        <w:rPr>
          <w:rFonts w:eastAsiaTheme="minorHAnsi" w:cs="Arial"/>
          <w:color w:val="000000"/>
          <w:lang w:eastAsia="en-US"/>
        </w:rPr>
      </w:pPr>
      <w:r w:rsidRPr="005B0E5B">
        <w:rPr>
          <w:rFonts w:eastAsiaTheme="minorHAnsi" w:cs="Arial"/>
          <w:color w:val="000000"/>
          <w:lang w:eastAsia="en-US"/>
        </w:rPr>
        <w:t>Mettre en application des techniques de réduction de la poussière, comme l’utilisation d’eau ou de produits chimiques non toxiques, pour minimiser la poussière dégagée par les véhicules en déplacement.</w:t>
      </w:r>
    </w:p>
    <w:p w14:paraId="5348FB07" w14:textId="77777777" w:rsidR="00836964" w:rsidRPr="005B0E5B" w:rsidRDefault="00836964" w:rsidP="0095003D">
      <w:pPr>
        <w:pStyle w:val="Paragraphedeliste"/>
        <w:numPr>
          <w:ilvl w:val="0"/>
          <w:numId w:val="179"/>
        </w:numPr>
        <w:autoSpaceDE w:val="0"/>
        <w:autoSpaceDN w:val="0"/>
        <w:adjustRightInd w:val="0"/>
        <w:spacing w:after="0"/>
        <w:rPr>
          <w:rFonts w:eastAsiaTheme="minorHAnsi" w:cs="Arial"/>
          <w:color w:val="000000"/>
          <w:lang w:eastAsia="en-US"/>
        </w:rPr>
      </w:pPr>
      <w:r w:rsidRPr="005B0E5B">
        <w:rPr>
          <w:rFonts w:eastAsiaTheme="minorHAnsi" w:cs="Arial"/>
          <w:color w:val="000000"/>
          <w:lang w:eastAsia="en-US"/>
        </w:rPr>
        <w:t>Effectuer l’extraction sélective de polluants potentiellement dangereux de l’air, par exemple l’amiante, dans des infrastructures existantes, préalablement à la démolition. • Assurer la gestion des émissions de sources mobiles, conformément à la section 1.1.</w:t>
      </w:r>
    </w:p>
    <w:p w14:paraId="31D32664" w14:textId="77777777" w:rsidR="00836964" w:rsidRPr="005B0E5B" w:rsidRDefault="00836964" w:rsidP="0095003D">
      <w:pPr>
        <w:pStyle w:val="Paragraphedeliste"/>
        <w:numPr>
          <w:ilvl w:val="0"/>
          <w:numId w:val="179"/>
        </w:numPr>
        <w:autoSpaceDE w:val="0"/>
        <w:autoSpaceDN w:val="0"/>
        <w:adjustRightInd w:val="0"/>
        <w:spacing w:after="0"/>
        <w:rPr>
          <w:rFonts w:eastAsiaTheme="minorHAnsi" w:cs="Arial"/>
          <w:color w:val="000000"/>
          <w:lang w:eastAsia="en-US"/>
        </w:rPr>
      </w:pPr>
      <w:r w:rsidRPr="005B0E5B">
        <w:rPr>
          <w:rFonts w:eastAsiaTheme="minorHAnsi" w:cs="Arial"/>
          <w:color w:val="000000"/>
          <w:lang w:eastAsia="en-US"/>
        </w:rPr>
        <w:t>Éviter de brûler des matières solides à ciel ouvert (voir les lignes directrices sur la gestion des déchets solides, dans la section 1.6).</w:t>
      </w:r>
    </w:p>
    <w:p w14:paraId="0C74A4EB" w14:textId="77777777" w:rsidR="00836964" w:rsidRPr="005B0E5B" w:rsidRDefault="00836964" w:rsidP="00836964">
      <w:pPr>
        <w:autoSpaceDE w:val="0"/>
        <w:autoSpaceDN w:val="0"/>
        <w:adjustRightInd w:val="0"/>
        <w:rPr>
          <w:rFonts w:eastAsiaTheme="minorHAnsi" w:cs="Arial"/>
          <w:color w:val="000084"/>
          <w:lang w:eastAsia="en-US"/>
        </w:rPr>
      </w:pPr>
    </w:p>
    <w:p w14:paraId="71E795FF" w14:textId="77777777" w:rsidR="00836964" w:rsidRPr="005B0E5B" w:rsidRDefault="00836964" w:rsidP="00836964">
      <w:pPr>
        <w:autoSpaceDE w:val="0"/>
        <w:autoSpaceDN w:val="0"/>
        <w:adjustRightInd w:val="0"/>
        <w:ind w:left="360"/>
        <w:rPr>
          <w:rFonts w:eastAsiaTheme="minorHAnsi" w:cs="Arial"/>
          <w:b/>
          <w:color w:val="000084"/>
          <w:lang w:eastAsia="en-US"/>
        </w:rPr>
      </w:pPr>
      <w:r w:rsidRPr="005B0E5B">
        <w:rPr>
          <w:rFonts w:eastAsiaTheme="minorHAnsi" w:cs="Arial"/>
          <w:b/>
          <w:color w:val="000084"/>
          <w:lang w:eastAsia="en-US"/>
        </w:rPr>
        <w:t>Déchets solides</w:t>
      </w:r>
    </w:p>
    <w:p w14:paraId="5C72548A" w14:textId="77777777" w:rsidR="00836964" w:rsidRPr="005B0E5B" w:rsidRDefault="00836964" w:rsidP="00836964">
      <w:pPr>
        <w:autoSpaceDE w:val="0"/>
        <w:autoSpaceDN w:val="0"/>
        <w:adjustRightInd w:val="0"/>
        <w:rPr>
          <w:rFonts w:eastAsiaTheme="minorHAnsi" w:cs="Arial"/>
          <w:color w:val="000000"/>
          <w:lang w:eastAsia="en-US"/>
        </w:rPr>
      </w:pPr>
      <w:r w:rsidRPr="005B0E5B">
        <w:rPr>
          <w:rFonts w:eastAsiaTheme="minorHAnsi" w:cs="Arial"/>
          <w:color w:val="000000"/>
          <w:lang w:eastAsia="en-US"/>
        </w:rPr>
        <w:t xml:space="preserve">Les </w:t>
      </w:r>
      <w:r w:rsidRPr="005B0E5B">
        <w:rPr>
          <w:rFonts w:eastAsiaTheme="minorHAnsi" w:cs="Arial"/>
          <w:i/>
          <w:iCs/>
          <w:color w:val="000000"/>
          <w:lang w:eastAsia="en-US"/>
        </w:rPr>
        <w:t xml:space="preserve">déchets solides non dangereux </w:t>
      </w:r>
      <w:r w:rsidRPr="005B0E5B">
        <w:rPr>
          <w:rFonts w:eastAsiaTheme="minorHAnsi" w:cs="Arial"/>
          <w:color w:val="000000"/>
          <w:lang w:eastAsia="en-US"/>
        </w:rPr>
        <w:t xml:space="preserve">produits au cours des travaux de construction et de déclassement comprennent des matériaux de remblai en excédent, provenant d’activités de nivellement et d’excavation, des déchets de bois et la ferraille, ainsi que des déversements limités de béton. Parmi les autres déchets solides non dangereux, on indiquera des déchets de bureaux, cuisines et dortoirs, lorsque ces types d’opérations font partie d’activités de projet de construction. Les </w:t>
      </w:r>
      <w:r w:rsidRPr="005B0E5B">
        <w:rPr>
          <w:rFonts w:eastAsiaTheme="minorHAnsi" w:cs="Arial"/>
          <w:i/>
          <w:iCs/>
          <w:color w:val="000000"/>
          <w:lang w:eastAsia="en-US"/>
        </w:rPr>
        <w:t xml:space="preserve">déchets solides dangereux </w:t>
      </w:r>
      <w:r w:rsidRPr="005B0E5B">
        <w:rPr>
          <w:rFonts w:eastAsiaTheme="minorHAnsi" w:cs="Arial"/>
          <w:color w:val="000000"/>
          <w:lang w:eastAsia="en-US"/>
        </w:rPr>
        <w:t>comprennent des sols contaminés, que l’on est susceptible de trouver sur site, et qui résultent d’affectations précédentes du terrain, ou encore de petites quantités de matériaux d’entretien des machines, par exemple des chiffons huileux, des filtres d’huile et des huiles usagés, ainsi que des matières de nettoyage de déversements d’huile et de carburant. Les techniques de prévention et de contrôle de déchets solides non dangereux et dangereux de chantiers de construction comprennent celles dont on a déjà discuté dans la Section 1.6.</w:t>
      </w:r>
    </w:p>
    <w:p w14:paraId="29222A8B" w14:textId="77777777" w:rsidR="00836964" w:rsidRPr="005B0E5B" w:rsidRDefault="00836964" w:rsidP="00836964">
      <w:pPr>
        <w:autoSpaceDE w:val="0"/>
        <w:autoSpaceDN w:val="0"/>
        <w:adjustRightInd w:val="0"/>
        <w:rPr>
          <w:rFonts w:eastAsiaTheme="minorHAnsi" w:cs="Arial"/>
          <w:color w:val="000000"/>
          <w:lang w:eastAsia="en-US"/>
        </w:rPr>
      </w:pPr>
    </w:p>
    <w:p w14:paraId="1EC6EC5E" w14:textId="77777777" w:rsidR="00836964" w:rsidRPr="005B0E5B" w:rsidRDefault="00836964" w:rsidP="00836964">
      <w:pPr>
        <w:autoSpaceDE w:val="0"/>
        <w:autoSpaceDN w:val="0"/>
        <w:adjustRightInd w:val="0"/>
        <w:ind w:left="708"/>
        <w:rPr>
          <w:rFonts w:eastAsiaTheme="minorHAnsi" w:cs="Arial"/>
          <w:b/>
          <w:color w:val="000084"/>
          <w:lang w:eastAsia="en-US"/>
        </w:rPr>
      </w:pPr>
      <w:r w:rsidRPr="005B0E5B">
        <w:rPr>
          <w:rFonts w:eastAsiaTheme="minorHAnsi" w:cs="Arial"/>
          <w:b/>
          <w:color w:val="000084"/>
          <w:lang w:eastAsia="en-US"/>
        </w:rPr>
        <w:t>Matières dangereuses</w:t>
      </w:r>
    </w:p>
    <w:p w14:paraId="50668BC5" w14:textId="77777777" w:rsidR="00836964" w:rsidRPr="005B0E5B" w:rsidRDefault="00836964" w:rsidP="00836964">
      <w:pPr>
        <w:autoSpaceDE w:val="0"/>
        <w:autoSpaceDN w:val="0"/>
        <w:adjustRightInd w:val="0"/>
        <w:rPr>
          <w:rFonts w:eastAsiaTheme="minorHAnsi" w:cs="Arial"/>
          <w:color w:val="000000"/>
          <w:lang w:eastAsia="en-US"/>
        </w:rPr>
      </w:pPr>
      <w:r w:rsidRPr="005B0E5B">
        <w:rPr>
          <w:rFonts w:eastAsiaTheme="minorHAnsi" w:cs="Arial"/>
          <w:color w:val="000000"/>
          <w:lang w:eastAsia="en-US"/>
        </w:rPr>
        <w:t>Les activités de construction et de déclassement présentent parfois un risque de déversement de produits à base de pétrole par exemple lubrifiants, fluides hydrauliques ou carburants au cours de leur stockage, transfert ou utilisation dans les équipements. Il est également possible de trouver ces matières au cours des activités de démantèlement, dans des composants de bâtiments ou des équipements de traitement industriel. Parmi les techniques de prévention, minimisation et limitation de ces impacts, on indiquera les suivantes :</w:t>
      </w:r>
    </w:p>
    <w:p w14:paraId="4BE88288" w14:textId="77777777" w:rsidR="00836964" w:rsidRPr="005B0E5B" w:rsidRDefault="00836964" w:rsidP="0095003D">
      <w:pPr>
        <w:pStyle w:val="Paragraphedeliste"/>
        <w:numPr>
          <w:ilvl w:val="0"/>
          <w:numId w:val="180"/>
        </w:numPr>
        <w:autoSpaceDE w:val="0"/>
        <w:autoSpaceDN w:val="0"/>
        <w:adjustRightInd w:val="0"/>
        <w:spacing w:after="0"/>
        <w:rPr>
          <w:rFonts w:eastAsiaTheme="minorHAnsi" w:cs="Arial"/>
          <w:color w:val="000000"/>
          <w:lang w:eastAsia="en-US"/>
        </w:rPr>
      </w:pPr>
      <w:r w:rsidRPr="005B0E5B">
        <w:rPr>
          <w:rFonts w:eastAsiaTheme="minorHAnsi" w:cs="Arial"/>
          <w:color w:val="000000"/>
          <w:lang w:eastAsia="en-US"/>
        </w:rPr>
        <w:t>Installation de dispositifs de confinement secondaires adéquats pour réservoirs de carburant, et pour le stockage de fluides divers (huiles de lubrification et fluides hydrauliques).</w:t>
      </w:r>
    </w:p>
    <w:p w14:paraId="31E4885A" w14:textId="77777777" w:rsidR="00836964" w:rsidRPr="005B0E5B" w:rsidRDefault="00836964" w:rsidP="0095003D">
      <w:pPr>
        <w:pStyle w:val="Paragraphedeliste"/>
        <w:numPr>
          <w:ilvl w:val="0"/>
          <w:numId w:val="180"/>
        </w:numPr>
        <w:autoSpaceDE w:val="0"/>
        <w:autoSpaceDN w:val="0"/>
        <w:adjustRightInd w:val="0"/>
        <w:spacing w:after="0"/>
        <w:rPr>
          <w:rFonts w:eastAsiaTheme="minorHAnsi" w:cs="Arial"/>
          <w:color w:val="000000"/>
          <w:lang w:eastAsia="en-US"/>
        </w:rPr>
      </w:pPr>
      <w:r w:rsidRPr="005B0E5B">
        <w:rPr>
          <w:rFonts w:eastAsiaTheme="minorHAnsi" w:cs="Arial"/>
          <w:color w:val="000000"/>
          <w:lang w:eastAsia="en-US"/>
        </w:rPr>
        <w:t>Utilisation de surfaces imperméables pour les aires de ravitaillement en carburant et de transfert d’autres fluides.</w:t>
      </w:r>
    </w:p>
    <w:p w14:paraId="274FC295" w14:textId="77777777" w:rsidR="00836964" w:rsidRPr="005B0E5B" w:rsidRDefault="00836964" w:rsidP="0095003D">
      <w:pPr>
        <w:pStyle w:val="Paragraphedeliste"/>
        <w:numPr>
          <w:ilvl w:val="0"/>
          <w:numId w:val="180"/>
        </w:numPr>
        <w:autoSpaceDE w:val="0"/>
        <w:autoSpaceDN w:val="0"/>
        <w:adjustRightInd w:val="0"/>
        <w:spacing w:after="0"/>
        <w:rPr>
          <w:rFonts w:eastAsiaTheme="minorHAnsi" w:cs="Arial"/>
          <w:color w:val="000000"/>
          <w:lang w:eastAsia="en-US"/>
        </w:rPr>
      </w:pPr>
      <w:r w:rsidRPr="005B0E5B">
        <w:rPr>
          <w:rFonts w:eastAsiaTheme="minorHAnsi" w:cs="Arial"/>
          <w:color w:val="000000"/>
          <w:lang w:eastAsia="en-US"/>
        </w:rPr>
        <w:t>Formation de travailleurs sur les bonnes techniques de transfert et de manutention de carburants et produits chimiques, et sur les interventions en cas de déversement.</w:t>
      </w:r>
    </w:p>
    <w:p w14:paraId="39E89875" w14:textId="77777777" w:rsidR="00836964" w:rsidRPr="005B0E5B" w:rsidRDefault="00836964" w:rsidP="0095003D">
      <w:pPr>
        <w:pStyle w:val="Paragraphedeliste"/>
        <w:numPr>
          <w:ilvl w:val="0"/>
          <w:numId w:val="180"/>
        </w:numPr>
        <w:autoSpaceDE w:val="0"/>
        <w:autoSpaceDN w:val="0"/>
        <w:adjustRightInd w:val="0"/>
        <w:spacing w:after="0"/>
        <w:rPr>
          <w:rFonts w:eastAsiaTheme="minorHAnsi" w:cs="Arial"/>
          <w:color w:val="000000"/>
          <w:lang w:eastAsia="en-US"/>
        </w:rPr>
      </w:pPr>
      <w:r w:rsidRPr="005B0E5B">
        <w:rPr>
          <w:rFonts w:eastAsiaTheme="minorHAnsi" w:cs="Arial"/>
          <w:color w:val="000000"/>
          <w:lang w:eastAsia="en-US"/>
        </w:rPr>
        <w:t>Fourniture d’installations portables de confinement et de nettoyage des déversements sur chantier, et formation du personnel sur le déploiement de ces équipements.</w:t>
      </w:r>
    </w:p>
    <w:p w14:paraId="2B2DA18A" w14:textId="77777777" w:rsidR="00836964" w:rsidRPr="005B0E5B" w:rsidRDefault="00836964" w:rsidP="0095003D">
      <w:pPr>
        <w:pStyle w:val="Paragraphedeliste"/>
        <w:numPr>
          <w:ilvl w:val="0"/>
          <w:numId w:val="180"/>
        </w:numPr>
        <w:autoSpaceDE w:val="0"/>
        <w:autoSpaceDN w:val="0"/>
        <w:adjustRightInd w:val="0"/>
        <w:spacing w:after="0"/>
        <w:rPr>
          <w:rFonts w:eastAsiaTheme="minorHAnsi" w:cs="Arial"/>
          <w:color w:val="000000"/>
          <w:lang w:eastAsia="en-US"/>
        </w:rPr>
      </w:pPr>
      <w:r w:rsidRPr="005B0E5B">
        <w:rPr>
          <w:rFonts w:eastAsiaTheme="minorHAnsi" w:cs="Arial"/>
          <w:color w:val="000000"/>
          <w:lang w:eastAsia="en-US"/>
        </w:rPr>
        <w:t>Évaluation du contenu en matières dangereuses et produits à base de pétrole dans les systèmes de bâtiments (p.ex. équipements électriques contenant du PCB, matériaux de construction contenant de l’amiante) et les équipements de traitement ; élimination de ces matières et produits préalablement aux activités de démantèlement ; et gestion de leur traitement et de leur élimination conformément aux sections 1,5 et 1.6 sur les matières dangereuses et la gestion des déchets dangereux, respectivement.</w:t>
      </w:r>
    </w:p>
    <w:p w14:paraId="109AE73B" w14:textId="77777777" w:rsidR="00836964" w:rsidRPr="005B0E5B" w:rsidRDefault="00836964" w:rsidP="0095003D">
      <w:pPr>
        <w:pStyle w:val="Paragraphedeliste"/>
        <w:numPr>
          <w:ilvl w:val="0"/>
          <w:numId w:val="180"/>
        </w:numPr>
        <w:autoSpaceDE w:val="0"/>
        <w:autoSpaceDN w:val="0"/>
        <w:adjustRightInd w:val="0"/>
        <w:spacing w:after="0"/>
        <w:rPr>
          <w:rFonts w:eastAsiaTheme="minorHAnsi" w:cs="Arial"/>
          <w:color w:val="000000"/>
          <w:lang w:eastAsia="en-US"/>
        </w:rPr>
      </w:pPr>
      <w:r w:rsidRPr="005B0E5B">
        <w:rPr>
          <w:rFonts w:eastAsiaTheme="minorHAnsi" w:cs="Arial"/>
          <w:color w:val="000000"/>
          <w:lang w:eastAsia="en-US"/>
        </w:rPr>
        <w:t>Évaluation de la présence de substances dangereuses dans ou sur des matériaux de construction (p.ex. polychlorobiphényle (PCB)), planchers ou isolation contenant de l’amiante, et décontamination ou gestion appropriée des matériaux de construction contaminés.</w:t>
      </w:r>
    </w:p>
    <w:p w14:paraId="21A56979" w14:textId="77777777" w:rsidR="00836964" w:rsidRPr="005B0E5B" w:rsidRDefault="00836964" w:rsidP="00836964">
      <w:pPr>
        <w:autoSpaceDE w:val="0"/>
        <w:autoSpaceDN w:val="0"/>
        <w:adjustRightInd w:val="0"/>
        <w:rPr>
          <w:rFonts w:eastAsiaTheme="minorHAnsi" w:cs="Arial"/>
          <w:color w:val="000000"/>
          <w:lang w:eastAsia="en-US"/>
        </w:rPr>
      </w:pPr>
    </w:p>
    <w:p w14:paraId="61CC12C8" w14:textId="77777777" w:rsidR="00836964" w:rsidRPr="005B0E5B" w:rsidRDefault="00836964" w:rsidP="00836964">
      <w:pPr>
        <w:autoSpaceDE w:val="0"/>
        <w:autoSpaceDN w:val="0"/>
        <w:adjustRightInd w:val="0"/>
        <w:ind w:left="360"/>
        <w:rPr>
          <w:rFonts w:eastAsiaTheme="minorHAnsi" w:cs="Arial"/>
          <w:b/>
          <w:color w:val="000084"/>
          <w:lang w:eastAsia="en-US"/>
        </w:rPr>
      </w:pPr>
      <w:r w:rsidRPr="005B0E5B">
        <w:rPr>
          <w:rFonts w:eastAsiaTheme="minorHAnsi" w:cs="Arial"/>
          <w:b/>
          <w:color w:val="000084"/>
          <w:lang w:eastAsia="en-US"/>
        </w:rPr>
        <w:t>Décharges d’eaux usées</w:t>
      </w:r>
    </w:p>
    <w:p w14:paraId="6CF97BF6" w14:textId="77777777" w:rsidR="00836964" w:rsidRPr="005B0E5B" w:rsidRDefault="00836964" w:rsidP="00836964">
      <w:pPr>
        <w:autoSpaceDE w:val="0"/>
        <w:autoSpaceDN w:val="0"/>
        <w:adjustRightInd w:val="0"/>
        <w:rPr>
          <w:rFonts w:eastAsiaTheme="minorHAnsi" w:cs="Arial"/>
          <w:color w:val="000000"/>
          <w:lang w:eastAsia="en-US"/>
        </w:rPr>
      </w:pPr>
      <w:r w:rsidRPr="005B0E5B">
        <w:rPr>
          <w:rFonts w:eastAsiaTheme="minorHAnsi" w:cs="Arial"/>
          <w:color w:val="000000"/>
          <w:lang w:eastAsia="en-US"/>
        </w:rPr>
        <w:t>Les activités de construction et de déclassement comprennent parfois la production de volumes variables de décharges d’eaux sanitaires usées, en fonction du nombre de travailleurs présents.</w:t>
      </w:r>
    </w:p>
    <w:p w14:paraId="682EA9D1" w14:textId="77777777" w:rsidR="00836964" w:rsidRPr="005B0E5B" w:rsidRDefault="00836964" w:rsidP="00836964">
      <w:pPr>
        <w:autoSpaceDE w:val="0"/>
        <w:autoSpaceDN w:val="0"/>
        <w:adjustRightInd w:val="0"/>
        <w:rPr>
          <w:rFonts w:eastAsiaTheme="minorHAnsi" w:cs="Arial"/>
          <w:color w:val="000000"/>
          <w:lang w:eastAsia="en-US"/>
        </w:rPr>
      </w:pPr>
      <w:r w:rsidRPr="005B0E5B">
        <w:rPr>
          <w:rFonts w:eastAsiaTheme="minorHAnsi" w:cs="Arial"/>
          <w:color w:val="000000"/>
          <w:lang w:eastAsia="en-US"/>
        </w:rPr>
        <w:t>On doit prévoir la mise en place, dans tous les chantiers de construction, d’un nombre adéquat d’installations sanitaires portables ou fixes pour tous les membres du personnel. La gestion des eaux usées de sanitaires, dans des chantiers de construction et autres, doit être gérée de la façon décrite dans la Section 1.3.</w:t>
      </w:r>
    </w:p>
    <w:p w14:paraId="5FEE1624" w14:textId="77777777" w:rsidR="00836964" w:rsidRPr="005B0E5B" w:rsidRDefault="00836964" w:rsidP="00836964">
      <w:pPr>
        <w:autoSpaceDE w:val="0"/>
        <w:autoSpaceDN w:val="0"/>
        <w:adjustRightInd w:val="0"/>
        <w:ind w:left="708"/>
        <w:rPr>
          <w:rFonts w:eastAsiaTheme="minorHAnsi" w:cs="Arial"/>
          <w:b/>
          <w:color w:val="000084"/>
          <w:lang w:eastAsia="en-US"/>
        </w:rPr>
      </w:pPr>
      <w:r w:rsidRPr="005B0E5B">
        <w:rPr>
          <w:rFonts w:eastAsiaTheme="minorHAnsi" w:cs="Arial"/>
          <w:b/>
          <w:color w:val="000084"/>
          <w:lang w:eastAsia="en-US"/>
        </w:rPr>
        <w:t>Sols contaminés</w:t>
      </w:r>
    </w:p>
    <w:p w14:paraId="4BD43FB0" w14:textId="77777777" w:rsidR="00836964" w:rsidRPr="005B0E5B" w:rsidRDefault="00836964" w:rsidP="00836964">
      <w:pPr>
        <w:autoSpaceDE w:val="0"/>
        <w:autoSpaceDN w:val="0"/>
        <w:adjustRightInd w:val="0"/>
        <w:rPr>
          <w:rFonts w:eastAsiaTheme="minorHAnsi" w:cs="Arial"/>
          <w:color w:val="000000"/>
          <w:lang w:eastAsia="en-US"/>
        </w:rPr>
      </w:pPr>
      <w:r w:rsidRPr="005B0E5B">
        <w:rPr>
          <w:rFonts w:eastAsiaTheme="minorHAnsi" w:cs="Arial"/>
          <w:color w:val="000000"/>
          <w:lang w:eastAsia="en-US"/>
        </w:rPr>
        <w:t>Il est possible de détecter une contamination des sols dans des chantiers en cours de construction ou de démantèlement, due à des déversements historiques, connus ou non, de matières dangereuses ou d’huile, ou encore à la présence d’infrastructures abandonnées, utilisées précédemment pour le stockage ou la manutention de ces matières, y compris des réservoirs de stockage souterrains. Les mesures nécessaires pour la gestion des risques découlant de terrains contaminés dépendront de facteurs comme le niveau et l’emplacement de la contamination, le type et les risques de matières contaminées, et l’utilisation prévue pour les terrains. Toutefois, une stratégie de gestion de base devra comporter :</w:t>
      </w:r>
    </w:p>
    <w:p w14:paraId="0AF42E58" w14:textId="77777777" w:rsidR="00836964" w:rsidRPr="005B0E5B" w:rsidRDefault="00836964" w:rsidP="0095003D">
      <w:pPr>
        <w:pStyle w:val="Paragraphedeliste"/>
        <w:numPr>
          <w:ilvl w:val="0"/>
          <w:numId w:val="181"/>
        </w:numPr>
        <w:autoSpaceDE w:val="0"/>
        <w:autoSpaceDN w:val="0"/>
        <w:adjustRightInd w:val="0"/>
        <w:spacing w:after="0"/>
        <w:rPr>
          <w:rFonts w:eastAsiaTheme="minorHAnsi" w:cs="Arial"/>
          <w:color w:val="000000"/>
          <w:lang w:eastAsia="en-US"/>
        </w:rPr>
      </w:pPr>
      <w:r w:rsidRPr="005B0E5B">
        <w:rPr>
          <w:rFonts w:eastAsiaTheme="minorHAnsi" w:cs="Arial"/>
          <w:color w:val="000000"/>
          <w:lang w:eastAsia="en-US"/>
        </w:rPr>
        <w:t>La gestion des matières contaminées dans le but de la protection de la sécurité et la santé des occupants du chantier, de la communauté locale, et de l’environnement après les travaux de construction ou de déclassement.</w:t>
      </w:r>
    </w:p>
    <w:p w14:paraId="54A29BB1" w14:textId="77777777" w:rsidR="00836964" w:rsidRPr="005B0E5B" w:rsidRDefault="00836964" w:rsidP="0095003D">
      <w:pPr>
        <w:pStyle w:val="Paragraphedeliste"/>
        <w:numPr>
          <w:ilvl w:val="0"/>
          <w:numId w:val="181"/>
        </w:numPr>
        <w:autoSpaceDE w:val="0"/>
        <w:autoSpaceDN w:val="0"/>
        <w:adjustRightInd w:val="0"/>
        <w:spacing w:after="0"/>
        <w:rPr>
          <w:rFonts w:eastAsiaTheme="minorHAnsi" w:cs="Arial"/>
          <w:color w:val="000000"/>
          <w:lang w:eastAsia="en-US"/>
        </w:rPr>
      </w:pPr>
      <w:r w:rsidRPr="005B0E5B">
        <w:rPr>
          <w:rFonts w:eastAsiaTheme="minorHAnsi" w:cs="Arial"/>
          <w:color w:val="000000"/>
          <w:lang w:eastAsia="en-US"/>
        </w:rPr>
        <w:t>La connaissance de l’affectation historique des terrains relativement à la présence potentielle de matières dangereuses ou d’huile préalablement au lancement des travaux de construction ou de déclassement.</w:t>
      </w:r>
    </w:p>
    <w:p w14:paraId="7D3BB834" w14:textId="77777777" w:rsidR="00836964" w:rsidRPr="005B0E5B" w:rsidRDefault="00836964" w:rsidP="0095003D">
      <w:pPr>
        <w:pStyle w:val="Paragraphedeliste"/>
        <w:numPr>
          <w:ilvl w:val="0"/>
          <w:numId w:val="181"/>
        </w:numPr>
        <w:autoSpaceDE w:val="0"/>
        <w:autoSpaceDN w:val="0"/>
        <w:adjustRightInd w:val="0"/>
        <w:spacing w:after="0"/>
        <w:rPr>
          <w:rFonts w:eastAsiaTheme="minorHAnsi" w:cs="Arial"/>
          <w:color w:val="000000"/>
          <w:lang w:eastAsia="en-US"/>
        </w:rPr>
      </w:pPr>
      <w:r w:rsidRPr="005B0E5B">
        <w:rPr>
          <w:rFonts w:eastAsiaTheme="minorHAnsi" w:cs="Arial"/>
          <w:color w:val="000000"/>
          <w:lang w:eastAsia="en-US"/>
        </w:rPr>
        <w:t>L’élaboration de plans et de procédures pour les interventions à la suite de la découverte des matières contaminées, afin de minimiser ou de réduire les risques pour la santé, la sécurité et l’environnement dans l’optique de la politique relative aux terrains contaminés, dans la Section 1.6.</w:t>
      </w:r>
    </w:p>
    <w:p w14:paraId="77169A19" w14:textId="77777777" w:rsidR="00836964" w:rsidRPr="005B0E5B" w:rsidRDefault="00836964" w:rsidP="0095003D">
      <w:pPr>
        <w:pStyle w:val="Paragraphedeliste"/>
        <w:numPr>
          <w:ilvl w:val="0"/>
          <w:numId w:val="181"/>
        </w:numPr>
        <w:autoSpaceDE w:val="0"/>
        <w:autoSpaceDN w:val="0"/>
        <w:adjustRightInd w:val="0"/>
        <w:spacing w:after="0"/>
        <w:rPr>
          <w:rFonts w:eastAsiaTheme="minorHAnsi" w:cs="Arial"/>
          <w:color w:val="000000"/>
          <w:lang w:eastAsia="en-US"/>
        </w:rPr>
      </w:pPr>
      <w:r w:rsidRPr="005B0E5B">
        <w:rPr>
          <w:rFonts w:eastAsiaTheme="minorHAnsi" w:cs="Arial"/>
          <w:color w:val="000000"/>
          <w:lang w:eastAsia="en-US"/>
        </w:rPr>
        <w:t>L’élaboration d’un plan de gestion pour gérer les matières ou huiles obsolètes, abandonnées et dangereuses, conformément à la politique relative à la gestion des déchets dangereux, dans la Section 1.6.</w:t>
      </w:r>
    </w:p>
    <w:p w14:paraId="02EC8FCA" w14:textId="77777777" w:rsidR="00836964" w:rsidRPr="005B0E5B" w:rsidRDefault="00836964" w:rsidP="00836964">
      <w:pPr>
        <w:autoSpaceDE w:val="0"/>
        <w:autoSpaceDN w:val="0"/>
        <w:adjustRightInd w:val="0"/>
        <w:rPr>
          <w:rFonts w:eastAsiaTheme="minorHAnsi" w:cs="Arial"/>
          <w:color w:val="000000"/>
          <w:lang w:eastAsia="en-US"/>
        </w:rPr>
      </w:pPr>
      <w:r w:rsidRPr="005B0E5B">
        <w:rPr>
          <w:rFonts w:eastAsiaTheme="minorHAnsi" w:cs="Arial"/>
          <w:color w:val="000000"/>
          <w:lang w:eastAsia="en-US"/>
        </w:rPr>
        <w:t>Une bonne réalisation de la stratégie de la gestion pourra nécessiter l’identification et la collaboration des responsables de la contamination.</w:t>
      </w:r>
    </w:p>
    <w:p w14:paraId="7A9BE31B" w14:textId="77777777" w:rsidR="00836964" w:rsidRPr="005B0E5B" w:rsidRDefault="00836964" w:rsidP="00836964">
      <w:pPr>
        <w:autoSpaceDE w:val="0"/>
        <w:autoSpaceDN w:val="0"/>
        <w:adjustRightInd w:val="0"/>
        <w:rPr>
          <w:rFonts w:eastAsiaTheme="minorHAnsi" w:cs="Arial"/>
          <w:b/>
          <w:bCs/>
          <w:color w:val="000084"/>
          <w:lang w:eastAsia="en-US"/>
        </w:rPr>
      </w:pPr>
      <w:r w:rsidRPr="005B0E5B">
        <w:rPr>
          <w:rFonts w:eastAsiaTheme="minorHAnsi" w:cs="Arial"/>
          <w:b/>
          <w:bCs/>
          <w:color w:val="000084"/>
          <w:lang w:eastAsia="en-US"/>
        </w:rPr>
        <w:t>4.2 Hygiène et sécurité au travail</w:t>
      </w:r>
    </w:p>
    <w:p w14:paraId="49647406" w14:textId="77777777" w:rsidR="00836964" w:rsidRPr="005B0E5B" w:rsidRDefault="00836964" w:rsidP="00836964">
      <w:pPr>
        <w:autoSpaceDE w:val="0"/>
        <w:autoSpaceDN w:val="0"/>
        <w:adjustRightInd w:val="0"/>
        <w:rPr>
          <w:rFonts w:eastAsiaTheme="minorHAnsi" w:cs="Arial"/>
          <w:i/>
          <w:iCs/>
          <w:color w:val="2F2F9F"/>
          <w:lang w:eastAsia="en-US"/>
        </w:rPr>
      </w:pPr>
    </w:p>
    <w:p w14:paraId="2DC3F5B4" w14:textId="77777777" w:rsidR="00836964" w:rsidRPr="005B0E5B" w:rsidRDefault="00836964" w:rsidP="00836964">
      <w:pPr>
        <w:autoSpaceDE w:val="0"/>
        <w:autoSpaceDN w:val="0"/>
        <w:adjustRightInd w:val="0"/>
        <w:rPr>
          <w:rFonts w:eastAsiaTheme="minorHAnsi" w:cs="Arial"/>
          <w:i/>
          <w:iCs/>
          <w:color w:val="2F2F9F"/>
          <w:lang w:eastAsia="en-US"/>
        </w:rPr>
      </w:pPr>
      <w:r w:rsidRPr="005B0E5B">
        <w:rPr>
          <w:rFonts w:eastAsiaTheme="minorHAnsi" w:cs="Arial"/>
          <w:i/>
          <w:iCs/>
          <w:color w:val="2F2F9F"/>
          <w:lang w:eastAsia="en-US"/>
        </w:rPr>
        <w:t>Surmenage</w:t>
      </w:r>
    </w:p>
    <w:p w14:paraId="51B5C6F7" w14:textId="77777777" w:rsidR="00836964" w:rsidRPr="005B0E5B" w:rsidRDefault="00836964" w:rsidP="00836964">
      <w:pPr>
        <w:autoSpaceDE w:val="0"/>
        <w:autoSpaceDN w:val="0"/>
        <w:adjustRightInd w:val="0"/>
        <w:rPr>
          <w:rFonts w:eastAsiaTheme="minorHAnsi" w:cs="Arial"/>
          <w:color w:val="000000"/>
          <w:lang w:eastAsia="en-US"/>
        </w:rPr>
      </w:pPr>
      <w:r w:rsidRPr="005B0E5B">
        <w:rPr>
          <w:rFonts w:eastAsiaTheme="minorHAnsi" w:cs="Arial"/>
          <w:color w:val="000000"/>
          <w:lang w:eastAsia="en-US"/>
        </w:rPr>
        <w:t>Le surmenage, ainsi que les blessures et troubles ergonomiques (mouvements répétés, surmenage et manutention), comptent parmi les causes de blessures les plus fréquentes dans les chantiers de construction et de démantèlement. Les recommandations pour leur prévention et leur contrôle sont les suivantes :</w:t>
      </w:r>
    </w:p>
    <w:p w14:paraId="7B9D878C" w14:textId="77777777" w:rsidR="00836964" w:rsidRPr="005B0E5B" w:rsidRDefault="00836964" w:rsidP="0095003D">
      <w:pPr>
        <w:pStyle w:val="Paragraphedeliste"/>
        <w:numPr>
          <w:ilvl w:val="0"/>
          <w:numId w:val="182"/>
        </w:numPr>
        <w:autoSpaceDE w:val="0"/>
        <w:autoSpaceDN w:val="0"/>
        <w:adjustRightInd w:val="0"/>
        <w:spacing w:after="0"/>
        <w:rPr>
          <w:rFonts w:eastAsiaTheme="minorHAnsi" w:cs="Arial"/>
          <w:color w:val="000000"/>
          <w:lang w:eastAsia="en-US"/>
        </w:rPr>
      </w:pPr>
      <w:r w:rsidRPr="005B0E5B">
        <w:rPr>
          <w:rFonts w:eastAsiaTheme="minorHAnsi" w:cs="Arial"/>
          <w:color w:val="000000"/>
          <w:lang w:eastAsia="en-US"/>
        </w:rPr>
        <w:t>Formation des travailleurs dans les techniques de soulèvement et de manutention, dans les projets de construction et de démantèlement, y compris l’imposition de limites pour le placement de poids, au-dessus desquelles les opérations doivent être effectuées avec des dispositifs mécaniques ou à deux personnes.</w:t>
      </w:r>
    </w:p>
    <w:p w14:paraId="656604DC" w14:textId="77777777" w:rsidR="00836964" w:rsidRPr="005B0E5B" w:rsidRDefault="00836964" w:rsidP="0095003D">
      <w:pPr>
        <w:pStyle w:val="Paragraphedeliste"/>
        <w:numPr>
          <w:ilvl w:val="0"/>
          <w:numId w:val="182"/>
        </w:numPr>
        <w:autoSpaceDE w:val="0"/>
        <w:autoSpaceDN w:val="0"/>
        <w:adjustRightInd w:val="0"/>
        <w:spacing w:after="0"/>
        <w:rPr>
          <w:rFonts w:eastAsiaTheme="minorHAnsi" w:cs="Arial"/>
          <w:color w:val="000000"/>
          <w:lang w:eastAsia="en-US"/>
        </w:rPr>
      </w:pPr>
      <w:r w:rsidRPr="005B0E5B">
        <w:rPr>
          <w:rFonts w:eastAsiaTheme="minorHAnsi" w:cs="Arial"/>
          <w:color w:val="000000"/>
          <w:lang w:eastAsia="en-US"/>
        </w:rPr>
        <w:t>Planification de l’aménagement du chantier afin de minimiser la nécessité du transfert manuel de charges lourdes.</w:t>
      </w:r>
    </w:p>
    <w:p w14:paraId="15D567A2" w14:textId="77777777" w:rsidR="00836964" w:rsidRPr="005B0E5B" w:rsidRDefault="00836964" w:rsidP="0095003D">
      <w:pPr>
        <w:pStyle w:val="Paragraphedeliste"/>
        <w:numPr>
          <w:ilvl w:val="0"/>
          <w:numId w:val="182"/>
        </w:numPr>
        <w:autoSpaceDE w:val="0"/>
        <w:autoSpaceDN w:val="0"/>
        <w:adjustRightInd w:val="0"/>
        <w:spacing w:after="0"/>
        <w:rPr>
          <w:rFonts w:eastAsiaTheme="minorHAnsi" w:cs="Arial"/>
          <w:color w:val="000000"/>
          <w:lang w:eastAsia="en-US"/>
        </w:rPr>
      </w:pPr>
      <w:r w:rsidRPr="005B0E5B">
        <w:rPr>
          <w:rFonts w:eastAsiaTheme="minorHAnsi" w:cs="Arial"/>
          <w:color w:val="000000"/>
          <w:lang w:eastAsia="en-US"/>
        </w:rPr>
        <w:t>Sélection des outils et conception des postes de travail de façon à réduire la force nécessaire et les temps de tenue, et encourageant l’adoption de postures meilleures, y compris, le cas échéant, des postes de travail ajustables par l’utilisateur.</w:t>
      </w:r>
    </w:p>
    <w:p w14:paraId="36F5610F" w14:textId="77777777" w:rsidR="00836964" w:rsidRPr="005B0E5B" w:rsidRDefault="00836964" w:rsidP="0095003D">
      <w:pPr>
        <w:pStyle w:val="Paragraphedeliste"/>
        <w:numPr>
          <w:ilvl w:val="0"/>
          <w:numId w:val="182"/>
        </w:numPr>
        <w:autoSpaceDE w:val="0"/>
        <w:autoSpaceDN w:val="0"/>
        <w:adjustRightInd w:val="0"/>
        <w:spacing w:after="0"/>
        <w:rPr>
          <w:rFonts w:eastAsiaTheme="minorHAnsi" w:cs="Arial"/>
          <w:color w:val="000000"/>
          <w:lang w:eastAsia="en-US"/>
        </w:rPr>
      </w:pPr>
      <w:r w:rsidRPr="005B0E5B">
        <w:rPr>
          <w:rFonts w:eastAsiaTheme="minorHAnsi" w:cs="Arial"/>
          <w:color w:val="000000"/>
          <w:lang w:eastAsia="en-US"/>
        </w:rPr>
        <w:t>Application de contrôles administratifs de procédés de travail (rotation des tâches, temps de pause et de repos).</w:t>
      </w:r>
    </w:p>
    <w:p w14:paraId="584E8C0F" w14:textId="77777777" w:rsidR="00836964" w:rsidRPr="005B0E5B" w:rsidRDefault="00836964" w:rsidP="00836964">
      <w:pPr>
        <w:autoSpaceDE w:val="0"/>
        <w:autoSpaceDN w:val="0"/>
        <w:adjustRightInd w:val="0"/>
        <w:rPr>
          <w:rFonts w:eastAsiaTheme="minorHAnsi" w:cs="Arial"/>
          <w:i/>
          <w:iCs/>
          <w:color w:val="2F2F9F"/>
          <w:lang w:eastAsia="en-US"/>
        </w:rPr>
      </w:pPr>
      <w:r w:rsidRPr="005B0E5B">
        <w:rPr>
          <w:rFonts w:eastAsiaTheme="minorHAnsi" w:cs="Arial"/>
          <w:i/>
          <w:iCs/>
          <w:color w:val="2F2F9F"/>
          <w:lang w:eastAsia="en-US"/>
        </w:rPr>
        <w:t>Glissades et chutes</w:t>
      </w:r>
    </w:p>
    <w:p w14:paraId="585FFAAF" w14:textId="77777777" w:rsidR="00836964" w:rsidRPr="005B0E5B" w:rsidRDefault="00836964" w:rsidP="00836964">
      <w:pPr>
        <w:autoSpaceDE w:val="0"/>
        <w:autoSpaceDN w:val="0"/>
        <w:adjustRightInd w:val="0"/>
        <w:rPr>
          <w:rFonts w:eastAsiaTheme="minorHAnsi" w:cs="Arial"/>
          <w:color w:val="000000"/>
          <w:lang w:eastAsia="en-US"/>
        </w:rPr>
      </w:pPr>
      <w:r w:rsidRPr="005B0E5B">
        <w:rPr>
          <w:rFonts w:eastAsiaTheme="minorHAnsi" w:cs="Arial"/>
          <w:color w:val="000000"/>
          <w:lang w:eastAsia="en-US"/>
        </w:rPr>
        <w:t>Les glissades et les chutes sur un même niveau, dues à une mauvaise maintenance, par exemple la présence d’une quantité excessive de débris, de matériaux de construction en vrac, de déversements de liquides et de la présence incontrôlée de câbles électriques et de cordes au sol, comptent également parmi les causes d’accidents avec arrêt de travail les plus fréquentes dans les chantiers de construction et de démantèlement. Parmi les mesures de prévention des glissades et des chutes sur ou à partir d’un même niveau, on indiquera les mesures suivantes :</w:t>
      </w:r>
    </w:p>
    <w:p w14:paraId="09478E1B" w14:textId="77777777" w:rsidR="00836964" w:rsidRPr="005B0E5B" w:rsidRDefault="00836964" w:rsidP="0095003D">
      <w:pPr>
        <w:pStyle w:val="Paragraphedeliste"/>
        <w:numPr>
          <w:ilvl w:val="0"/>
          <w:numId w:val="183"/>
        </w:numPr>
        <w:autoSpaceDE w:val="0"/>
        <w:autoSpaceDN w:val="0"/>
        <w:adjustRightInd w:val="0"/>
        <w:spacing w:after="0"/>
        <w:rPr>
          <w:rFonts w:eastAsiaTheme="minorHAnsi" w:cs="Arial"/>
          <w:color w:val="000000"/>
          <w:lang w:eastAsia="en-US"/>
        </w:rPr>
      </w:pPr>
      <w:r w:rsidRPr="005B0E5B">
        <w:rPr>
          <w:rFonts w:eastAsiaTheme="minorHAnsi" w:cs="Arial"/>
          <w:color w:val="000000"/>
          <w:lang w:eastAsia="en-US"/>
        </w:rPr>
        <w:t>Application de bonnes pratiques de maintenance ; par exemple, trier et placer des matériaux de construction ou de démolition dans des aires à cet effet, hors des chemins de passage.</w:t>
      </w:r>
    </w:p>
    <w:p w14:paraId="192364B9" w14:textId="77777777" w:rsidR="00836964" w:rsidRPr="005B0E5B" w:rsidRDefault="00836964" w:rsidP="0095003D">
      <w:pPr>
        <w:pStyle w:val="Paragraphedeliste"/>
        <w:numPr>
          <w:ilvl w:val="0"/>
          <w:numId w:val="183"/>
        </w:numPr>
        <w:autoSpaceDE w:val="0"/>
        <w:autoSpaceDN w:val="0"/>
        <w:adjustRightInd w:val="0"/>
        <w:spacing w:after="0"/>
        <w:rPr>
          <w:rFonts w:eastAsiaTheme="minorHAnsi" w:cs="Arial"/>
          <w:color w:val="000000"/>
          <w:lang w:eastAsia="en-US"/>
        </w:rPr>
      </w:pPr>
      <w:r w:rsidRPr="005B0E5B">
        <w:rPr>
          <w:rFonts w:eastAsiaTheme="minorHAnsi" w:cs="Arial"/>
          <w:color w:val="000000"/>
          <w:lang w:eastAsia="en-US"/>
        </w:rPr>
        <w:t>Nettoyer, à des échéances régulières, les quantités de débris et les déversements de liquides excessifs.</w:t>
      </w:r>
    </w:p>
    <w:p w14:paraId="7DDBC88C" w14:textId="77777777" w:rsidR="00836964" w:rsidRPr="005B0E5B" w:rsidRDefault="00836964" w:rsidP="0095003D">
      <w:pPr>
        <w:pStyle w:val="Paragraphedeliste"/>
        <w:numPr>
          <w:ilvl w:val="0"/>
          <w:numId w:val="183"/>
        </w:numPr>
        <w:autoSpaceDE w:val="0"/>
        <w:autoSpaceDN w:val="0"/>
        <w:adjustRightInd w:val="0"/>
        <w:spacing w:after="0"/>
        <w:rPr>
          <w:rFonts w:eastAsiaTheme="minorHAnsi" w:cs="Arial"/>
          <w:color w:val="000000"/>
          <w:lang w:eastAsia="en-US"/>
        </w:rPr>
      </w:pPr>
      <w:r w:rsidRPr="005B0E5B">
        <w:rPr>
          <w:rFonts w:eastAsiaTheme="minorHAnsi" w:cs="Arial"/>
          <w:color w:val="000000"/>
          <w:lang w:eastAsia="en-US"/>
        </w:rPr>
        <w:t>Placer câbles et électriques et cordes dans des zones communes et des couloirs marqués à cet effet.</w:t>
      </w:r>
    </w:p>
    <w:p w14:paraId="73A99DAA" w14:textId="77777777" w:rsidR="00836964" w:rsidRPr="005B0E5B" w:rsidRDefault="00836964" w:rsidP="0095003D">
      <w:pPr>
        <w:pStyle w:val="Paragraphedeliste"/>
        <w:numPr>
          <w:ilvl w:val="0"/>
          <w:numId w:val="183"/>
        </w:numPr>
        <w:autoSpaceDE w:val="0"/>
        <w:autoSpaceDN w:val="0"/>
        <w:adjustRightInd w:val="0"/>
        <w:spacing w:after="0"/>
        <w:rPr>
          <w:rFonts w:eastAsiaTheme="minorHAnsi" w:cs="Arial"/>
          <w:color w:val="000000"/>
          <w:lang w:eastAsia="en-US"/>
        </w:rPr>
      </w:pPr>
      <w:r w:rsidRPr="005B0E5B">
        <w:rPr>
          <w:rFonts w:eastAsiaTheme="minorHAnsi" w:cs="Arial"/>
          <w:color w:val="000000"/>
          <w:lang w:eastAsia="en-US"/>
        </w:rPr>
        <w:t xml:space="preserve">Porter des chaussures à semelle </w:t>
      </w:r>
      <w:proofErr w:type="spellStart"/>
      <w:r w:rsidRPr="005B0E5B">
        <w:rPr>
          <w:rFonts w:eastAsiaTheme="minorHAnsi" w:cs="Arial"/>
          <w:color w:val="000000"/>
          <w:lang w:eastAsia="en-US"/>
        </w:rPr>
        <w:t>anti-glissante</w:t>
      </w:r>
      <w:proofErr w:type="spellEnd"/>
      <w:r w:rsidRPr="005B0E5B">
        <w:rPr>
          <w:rFonts w:eastAsiaTheme="minorHAnsi" w:cs="Arial"/>
          <w:color w:val="000000"/>
          <w:lang w:eastAsia="en-US"/>
        </w:rPr>
        <w:t>.</w:t>
      </w:r>
    </w:p>
    <w:p w14:paraId="4D1277DF" w14:textId="77777777" w:rsidR="00836964" w:rsidRPr="005B0E5B" w:rsidRDefault="00836964" w:rsidP="00836964">
      <w:pPr>
        <w:autoSpaceDE w:val="0"/>
        <w:autoSpaceDN w:val="0"/>
        <w:adjustRightInd w:val="0"/>
        <w:rPr>
          <w:rFonts w:eastAsiaTheme="minorHAnsi" w:cs="Arial"/>
          <w:color w:val="000000"/>
          <w:lang w:eastAsia="en-US"/>
        </w:rPr>
      </w:pPr>
    </w:p>
    <w:p w14:paraId="588D7C41" w14:textId="77777777" w:rsidR="00836964" w:rsidRPr="005B0E5B" w:rsidRDefault="00836964" w:rsidP="00836964">
      <w:pPr>
        <w:spacing w:after="160" w:line="259" w:lineRule="auto"/>
        <w:jc w:val="left"/>
        <w:rPr>
          <w:rFonts w:eastAsiaTheme="minorHAnsi" w:cs="Arial"/>
          <w:i/>
          <w:iCs/>
          <w:color w:val="2F2F9F"/>
          <w:lang w:eastAsia="en-US"/>
        </w:rPr>
      </w:pPr>
      <w:r w:rsidRPr="005B0E5B">
        <w:rPr>
          <w:rFonts w:eastAsiaTheme="minorHAnsi" w:cs="Arial"/>
          <w:i/>
          <w:iCs/>
          <w:color w:val="2F2F9F"/>
          <w:lang w:eastAsia="en-US"/>
        </w:rPr>
        <w:br w:type="page"/>
      </w:r>
    </w:p>
    <w:p w14:paraId="46E4A613" w14:textId="77777777" w:rsidR="00836964" w:rsidRPr="005B0E5B" w:rsidRDefault="00836964" w:rsidP="00836964">
      <w:pPr>
        <w:autoSpaceDE w:val="0"/>
        <w:autoSpaceDN w:val="0"/>
        <w:adjustRightInd w:val="0"/>
        <w:rPr>
          <w:rFonts w:eastAsiaTheme="minorHAnsi" w:cs="Arial"/>
          <w:i/>
          <w:iCs/>
          <w:color w:val="2F2F9F"/>
          <w:lang w:eastAsia="en-US"/>
        </w:rPr>
      </w:pPr>
      <w:r w:rsidRPr="005B0E5B">
        <w:rPr>
          <w:rFonts w:eastAsiaTheme="minorHAnsi" w:cs="Arial"/>
          <w:i/>
          <w:iCs/>
          <w:color w:val="2F2F9F"/>
          <w:lang w:eastAsia="en-US"/>
        </w:rPr>
        <w:t>Travail en hauteur</w:t>
      </w:r>
    </w:p>
    <w:p w14:paraId="4CC40649" w14:textId="77777777" w:rsidR="00836964" w:rsidRPr="005B0E5B" w:rsidRDefault="00836964" w:rsidP="00836964">
      <w:pPr>
        <w:autoSpaceDE w:val="0"/>
        <w:autoSpaceDN w:val="0"/>
        <w:adjustRightInd w:val="0"/>
        <w:rPr>
          <w:rFonts w:eastAsiaTheme="minorHAnsi" w:cs="Arial"/>
          <w:color w:val="000000"/>
          <w:lang w:eastAsia="en-US"/>
        </w:rPr>
      </w:pPr>
      <w:r w:rsidRPr="005B0E5B">
        <w:rPr>
          <w:rFonts w:eastAsiaTheme="minorHAnsi" w:cs="Arial"/>
          <w:color w:val="000000"/>
          <w:lang w:eastAsia="en-US"/>
        </w:rPr>
        <w:t>Les chutes en hauteur survenant au cours d’opérations effectuées sur des échelles, des échafaudages et des structures, partiellement construites ou démolies, comptent parmi les causes les plus fréquentes d’accidents mortels, ou entraînant des blessures avec invalidité permanente, dans les chantiers de construction et de déclassement. S’il existe un risque de chute, on doit mettre en place un plan de protection contre les chutes, comportant un ou plusieurs des aspects suivants, en fonction de la nature du risque de chute :</w:t>
      </w:r>
    </w:p>
    <w:p w14:paraId="746203F6" w14:textId="77777777" w:rsidR="00836964" w:rsidRPr="005B0E5B" w:rsidRDefault="00836964" w:rsidP="0095003D">
      <w:pPr>
        <w:pStyle w:val="Paragraphedeliste"/>
        <w:numPr>
          <w:ilvl w:val="0"/>
          <w:numId w:val="184"/>
        </w:numPr>
        <w:autoSpaceDE w:val="0"/>
        <w:autoSpaceDN w:val="0"/>
        <w:adjustRightInd w:val="0"/>
        <w:spacing w:after="0"/>
        <w:rPr>
          <w:rFonts w:eastAsiaTheme="minorHAnsi" w:cs="Arial"/>
          <w:color w:val="000000"/>
          <w:lang w:eastAsia="en-US"/>
        </w:rPr>
      </w:pPr>
      <w:r w:rsidRPr="005B0E5B">
        <w:rPr>
          <w:rFonts w:eastAsiaTheme="minorHAnsi" w:cs="Arial"/>
          <w:color w:val="000000"/>
          <w:lang w:eastAsia="en-US"/>
        </w:rPr>
        <w:t>Formation dans l’utilisation de dispositifs provisoires de prévention des chutes, par exemple des rambardes en mesure de soutenir un poids de 90 kg, pour les travaux à une hauteur égale ou supérieure à deux mètres, ou à une hauteur quelconque si le risque comprend la chute dans des machines en service, dans de l’eau ou autres liquides, dans des substances dangereuses, ou par une ouverture dans une surface de travail.</w:t>
      </w:r>
    </w:p>
    <w:p w14:paraId="6F3EDE50" w14:textId="77777777" w:rsidR="00836964" w:rsidRPr="005B0E5B" w:rsidRDefault="00836964" w:rsidP="0095003D">
      <w:pPr>
        <w:pStyle w:val="Paragraphedeliste"/>
        <w:numPr>
          <w:ilvl w:val="0"/>
          <w:numId w:val="184"/>
        </w:numPr>
        <w:autoSpaceDE w:val="0"/>
        <w:autoSpaceDN w:val="0"/>
        <w:adjustRightInd w:val="0"/>
        <w:spacing w:after="0"/>
        <w:rPr>
          <w:rFonts w:eastAsiaTheme="minorHAnsi" w:cs="Arial"/>
          <w:color w:val="000000"/>
          <w:lang w:eastAsia="en-US"/>
        </w:rPr>
      </w:pPr>
      <w:r w:rsidRPr="005B0E5B">
        <w:rPr>
          <w:rFonts w:eastAsiaTheme="minorHAnsi" w:cs="Arial"/>
          <w:color w:val="000000"/>
          <w:lang w:eastAsia="en-US"/>
        </w:rPr>
        <w:t xml:space="preserve">Formation et utilisation de systèmes personnels de prévention des chutes, par exemple harnais intégraux et attaches à absorption de l’énergie en mesure de soutenir un poids de 2 270 kg (5 000 </w:t>
      </w:r>
      <w:proofErr w:type="spellStart"/>
      <w:r w:rsidRPr="005B0E5B">
        <w:rPr>
          <w:rFonts w:eastAsiaTheme="minorHAnsi" w:cs="Arial"/>
          <w:color w:val="000000"/>
          <w:lang w:eastAsia="en-US"/>
        </w:rPr>
        <w:t>lbs</w:t>
      </w:r>
      <w:proofErr w:type="spellEnd"/>
      <w:r w:rsidRPr="005B0E5B">
        <w:rPr>
          <w:rFonts w:eastAsiaTheme="minorHAnsi" w:cs="Arial"/>
          <w:color w:val="000000"/>
          <w:lang w:eastAsia="en-US"/>
        </w:rPr>
        <w:t xml:space="preserve">) (décrit également dans la présente section, sous </w:t>
      </w:r>
      <w:r w:rsidRPr="005B0E5B">
        <w:rPr>
          <w:rFonts w:eastAsiaTheme="minorHAnsi" w:cs="Arial"/>
          <w:i/>
          <w:iCs/>
          <w:color w:val="000000"/>
          <w:lang w:eastAsia="en-US"/>
        </w:rPr>
        <w:t>Travail en hauteur</w:t>
      </w:r>
      <w:r w:rsidRPr="005B0E5B">
        <w:rPr>
          <w:rFonts w:eastAsiaTheme="minorHAnsi" w:cs="Arial"/>
          <w:color w:val="000000"/>
          <w:lang w:eastAsia="en-US"/>
        </w:rPr>
        <w:t xml:space="preserve">, ci-dessus), ainsi que des procédures de sauvetage après une chute, pour les travailleurs dont la chute a été enrayée avec succès. Le point d’ancrage du système d’arrêt de la chute doit être en mesure de soutenir 2 270 kg (5 000 </w:t>
      </w:r>
      <w:proofErr w:type="spellStart"/>
      <w:r w:rsidRPr="005B0E5B">
        <w:rPr>
          <w:rFonts w:eastAsiaTheme="minorHAnsi" w:cs="Arial"/>
          <w:color w:val="000000"/>
          <w:lang w:eastAsia="en-US"/>
        </w:rPr>
        <w:t>lbs</w:t>
      </w:r>
      <w:proofErr w:type="spellEnd"/>
      <w:r w:rsidRPr="005B0E5B">
        <w:rPr>
          <w:rFonts w:eastAsiaTheme="minorHAnsi" w:cs="Arial"/>
          <w:color w:val="000000"/>
          <w:lang w:eastAsia="en-US"/>
        </w:rPr>
        <w:t>).</w:t>
      </w:r>
    </w:p>
    <w:p w14:paraId="59E39D45" w14:textId="77777777" w:rsidR="00836964" w:rsidRPr="005B0E5B" w:rsidRDefault="00836964" w:rsidP="0095003D">
      <w:pPr>
        <w:pStyle w:val="Paragraphedeliste"/>
        <w:numPr>
          <w:ilvl w:val="0"/>
          <w:numId w:val="184"/>
        </w:numPr>
        <w:autoSpaceDE w:val="0"/>
        <w:autoSpaceDN w:val="0"/>
        <w:adjustRightInd w:val="0"/>
        <w:spacing w:after="0"/>
        <w:rPr>
          <w:rFonts w:eastAsiaTheme="minorHAnsi" w:cs="Arial"/>
          <w:color w:val="000000"/>
          <w:lang w:eastAsia="en-US"/>
        </w:rPr>
      </w:pPr>
      <w:r w:rsidRPr="005B0E5B">
        <w:rPr>
          <w:rFonts w:eastAsiaTheme="minorHAnsi" w:cs="Arial"/>
          <w:color w:val="000000"/>
          <w:lang w:eastAsia="en-US"/>
        </w:rPr>
        <w:t>Utilisation de zones de contrôle et de systèmes de contrôle de sécurité pour avertir les travailleurs de la proximité de zones à risque de chute, et emploi de couvercles de fixation, signalisation et marquage des ouvertures au sol, sur les toits ou sur les surfaces de passage.</w:t>
      </w:r>
    </w:p>
    <w:p w14:paraId="0C1543CD" w14:textId="77777777" w:rsidR="00836964" w:rsidRPr="005B0E5B" w:rsidRDefault="00836964" w:rsidP="00836964">
      <w:pPr>
        <w:autoSpaceDE w:val="0"/>
        <w:autoSpaceDN w:val="0"/>
        <w:adjustRightInd w:val="0"/>
        <w:rPr>
          <w:rFonts w:eastAsiaTheme="minorHAnsi" w:cs="Arial"/>
          <w:color w:val="000000"/>
          <w:lang w:eastAsia="en-US"/>
        </w:rPr>
      </w:pPr>
    </w:p>
    <w:p w14:paraId="26D6B9E2" w14:textId="77777777" w:rsidR="00836964" w:rsidRPr="005B0E5B" w:rsidRDefault="00836964" w:rsidP="00836964">
      <w:pPr>
        <w:autoSpaceDE w:val="0"/>
        <w:autoSpaceDN w:val="0"/>
        <w:adjustRightInd w:val="0"/>
        <w:rPr>
          <w:rFonts w:eastAsiaTheme="minorHAnsi" w:cs="Arial"/>
          <w:i/>
          <w:iCs/>
          <w:color w:val="2F2F9F"/>
          <w:lang w:eastAsia="en-US"/>
        </w:rPr>
      </w:pPr>
      <w:r w:rsidRPr="005B0E5B">
        <w:rPr>
          <w:rFonts w:eastAsiaTheme="minorHAnsi" w:cs="Arial"/>
          <w:i/>
          <w:iCs/>
          <w:color w:val="2F2F9F"/>
          <w:lang w:eastAsia="en-US"/>
        </w:rPr>
        <w:t>Travailleurs heurtés par des objets</w:t>
      </w:r>
    </w:p>
    <w:p w14:paraId="16A5E59A" w14:textId="77777777" w:rsidR="00836964" w:rsidRPr="005B0E5B" w:rsidRDefault="00836964" w:rsidP="00836964">
      <w:pPr>
        <w:autoSpaceDE w:val="0"/>
        <w:autoSpaceDN w:val="0"/>
        <w:adjustRightInd w:val="0"/>
        <w:rPr>
          <w:rFonts w:eastAsiaTheme="minorHAnsi" w:cs="Arial"/>
          <w:color w:val="000000"/>
          <w:lang w:eastAsia="en-US"/>
        </w:rPr>
      </w:pPr>
      <w:r w:rsidRPr="005B0E5B">
        <w:rPr>
          <w:rFonts w:eastAsiaTheme="minorHAnsi" w:cs="Arial"/>
          <w:color w:val="000000"/>
          <w:lang w:eastAsia="en-US"/>
        </w:rPr>
        <w:t>Les activités de construction et de démolition présentent parfois des risques graves dus aux chutes de matières ou d’outils, ainsi qu’à l’éjection de particules solides par des outils électriques, abrasifs ou autres, pouvant entraîner des blessures à la tête, aux yeux et aux extrémités. Parmi les techniques de prévention et de contrôle de ces risques, on indiquera les suivantes :</w:t>
      </w:r>
    </w:p>
    <w:p w14:paraId="63E3F9CF" w14:textId="77777777" w:rsidR="00836964" w:rsidRPr="005B0E5B" w:rsidRDefault="00836964" w:rsidP="0095003D">
      <w:pPr>
        <w:pStyle w:val="Paragraphedeliste"/>
        <w:numPr>
          <w:ilvl w:val="0"/>
          <w:numId w:val="185"/>
        </w:numPr>
        <w:autoSpaceDE w:val="0"/>
        <w:autoSpaceDN w:val="0"/>
        <w:adjustRightInd w:val="0"/>
        <w:spacing w:after="0"/>
        <w:rPr>
          <w:rFonts w:eastAsiaTheme="minorHAnsi" w:cs="Arial"/>
          <w:color w:val="000000"/>
          <w:lang w:eastAsia="en-US"/>
        </w:rPr>
      </w:pPr>
      <w:r w:rsidRPr="005B0E5B">
        <w:rPr>
          <w:rFonts w:eastAsiaTheme="minorHAnsi" w:cs="Arial"/>
          <w:color w:val="000000"/>
          <w:lang w:eastAsia="en-US"/>
        </w:rPr>
        <w:t>Utiliser des zones désignées et réservées pour la chute ou la décharge de déchets, et/ou des goulottes de déversement pour le déversement sans danger de déchets des étages supérieurs vers le bas.</w:t>
      </w:r>
    </w:p>
    <w:p w14:paraId="3BF37083" w14:textId="77777777" w:rsidR="00836964" w:rsidRPr="005B0E5B" w:rsidRDefault="00836964" w:rsidP="0095003D">
      <w:pPr>
        <w:pStyle w:val="Paragraphedeliste"/>
        <w:numPr>
          <w:ilvl w:val="0"/>
          <w:numId w:val="185"/>
        </w:numPr>
        <w:autoSpaceDE w:val="0"/>
        <w:autoSpaceDN w:val="0"/>
        <w:adjustRightInd w:val="0"/>
        <w:spacing w:after="0"/>
        <w:rPr>
          <w:rFonts w:eastAsiaTheme="minorHAnsi" w:cs="Arial"/>
          <w:color w:val="000000"/>
          <w:lang w:eastAsia="en-US"/>
        </w:rPr>
      </w:pPr>
      <w:r w:rsidRPr="005B0E5B">
        <w:rPr>
          <w:rFonts w:eastAsiaTheme="minorHAnsi" w:cs="Arial"/>
          <w:color w:val="000000"/>
          <w:lang w:eastAsia="en-US"/>
        </w:rPr>
        <w:t>Effectuer les opérations de sciage, coupe, meulage, sablage, travail au burin ou ciselage en utilisant des protections et fixations appropriées.</w:t>
      </w:r>
    </w:p>
    <w:p w14:paraId="0530242A" w14:textId="77777777" w:rsidR="00836964" w:rsidRPr="005B0E5B" w:rsidRDefault="00836964" w:rsidP="0095003D">
      <w:pPr>
        <w:pStyle w:val="Paragraphedeliste"/>
        <w:numPr>
          <w:ilvl w:val="0"/>
          <w:numId w:val="185"/>
        </w:numPr>
        <w:autoSpaceDE w:val="0"/>
        <w:autoSpaceDN w:val="0"/>
        <w:adjustRightInd w:val="0"/>
        <w:spacing w:after="0"/>
        <w:rPr>
          <w:rFonts w:eastAsiaTheme="minorHAnsi" w:cs="Arial"/>
          <w:color w:val="000000"/>
          <w:lang w:eastAsia="en-US"/>
        </w:rPr>
      </w:pPr>
      <w:r w:rsidRPr="005B0E5B">
        <w:rPr>
          <w:rFonts w:eastAsiaTheme="minorHAnsi" w:cs="Arial"/>
          <w:color w:val="000000"/>
          <w:lang w:eastAsia="en-US"/>
        </w:rPr>
        <w:t>Maintenir des voies de circulation bien dégagées afin de ne pas risquer de déplacer les engins sur des déchets en vrac.</w:t>
      </w:r>
    </w:p>
    <w:p w14:paraId="22E8192E" w14:textId="77777777" w:rsidR="00836964" w:rsidRPr="005B0E5B" w:rsidRDefault="00836964" w:rsidP="0095003D">
      <w:pPr>
        <w:pStyle w:val="Paragraphedeliste"/>
        <w:numPr>
          <w:ilvl w:val="0"/>
          <w:numId w:val="185"/>
        </w:numPr>
        <w:autoSpaceDE w:val="0"/>
        <w:autoSpaceDN w:val="0"/>
        <w:adjustRightInd w:val="0"/>
        <w:spacing w:after="0"/>
        <w:rPr>
          <w:rFonts w:eastAsiaTheme="minorHAnsi" w:cs="Arial"/>
          <w:color w:val="000000"/>
          <w:lang w:eastAsia="en-US"/>
        </w:rPr>
      </w:pPr>
      <w:r w:rsidRPr="005B0E5B">
        <w:rPr>
          <w:rFonts w:eastAsiaTheme="minorHAnsi" w:cs="Arial"/>
          <w:color w:val="000000"/>
          <w:lang w:eastAsia="en-US"/>
        </w:rPr>
        <w:t>Utiliser des dispositifs provisoires de protection contre les chutes sur les échafaudages et les bords saillants de surfaces pour les travaux en hauteur, par exemple mains courantes et garde-pieds, afin d’empêcher le détachement de matériels.</w:t>
      </w:r>
    </w:p>
    <w:p w14:paraId="3D1ABCD9" w14:textId="77777777" w:rsidR="00836964" w:rsidRPr="005B0E5B" w:rsidRDefault="00836964" w:rsidP="0095003D">
      <w:pPr>
        <w:pStyle w:val="Paragraphedeliste"/>
        <w:numPr>
          <w:ilvl w:val="0"/>
          <w:numId w:val="185"/>
        </w:numPr>
        <w:autoSpaceDE w:val="0"/>
        <w:autoSpaceDN w:val="0"/>
        <w:adjustRightInd w:val="0"/>
        <w:spacing w:after="0"/>
        <w:rPr>
          <w:rFonts w:eastAsiaTheme="minorHAnsi" w:cs="Arial"/>
          <w:color w:val="000000"/>
          <w:lang w:eastAsia="en-US"/>
        </w:rPr>
      </w:pPr>
      <w:r w:rsidRPr="005B0E5B">
        <w:rPr>
          <w:rFonts w:eastAsiaTheme="minorHAnsi" w:cs="Arial"/>
          <w:color w:val="000000"/>
          <w:lang w:eastAsia="en-US"/>
        </w:rPr>
        <w:t>Évacuer les zones de travail au cours des opérations d’abattage à l’explosif, en utilisant des treillis d’abattage ou autres dispositifs de déviation, afin de minimiser la présence d’éclats volants ou l’éjection de débris de démolition lorsque les travaux sont effectués à proximité du personnel ou des structures.</w:t>
      </w:r>
    </w:p>
    <w:p w14:paraId="45CBA115" w14:textId="77777777" w:rsidR="00836964" w:rsidRPr="005B0E5B" w:rsidRDefault="00836964" w:rsidP="0095003D">
      <w:pPr>
        <w:pStyle w:val="Paragraphedeliste"/>
        <w:numPr>
          <w:ilvl w:val="0"/>
          <w:numId w:val="185"/>
        </w:numPr>
        <w:autoSpaceDE w:val="0"/>
        <w:autoSpaceDN w:val="0"/>
        <w:adjustRightInd w:val="0"/>
        <w:spacing w:after="0"/>
        <w:rPr>
          <w:rFonts w:eastAsiaTheme="minorHAnsi" w:cs="Arial"/>
          <w:color w:val="000000"/>
          <w:lang w:eastAsia="en-US"/>
        </w:rPr>
      </w:pPr>
      <w:r w:rsidRPr="005B0E5B">
        <w:rPr>
          <w:rFonts w:eastAsiaTheme="minorHAnsi" w:cs="Arial"/>
          <w:color w:val="000000"/>
          <w:lang w:eastAsia="en-US"/>
        </w:rPr>
        <w:t>Porter des équipements de protection personnelle : lunettes de sécurité avec écran latéral, écran facial, casque et chaussures de sécurité.</w:t>
      </w:r>
    </w:p>
    <w:p w14:paraId="2FEF6AB6" w14:textId="77777777" w:rsidR="00836964" w:rsidRPr="005B0E5B" w:rsidRDefault="00836964" w:rsidP="00836964">
      <w:pPr>
        <w:autoSpaceDE w:val="0"/>
        <w:autoSpaceDN w:val="0"/>
        <w:adjustRightInd w:val="0"/>
        <w:rPr>
          <w:rFonts w:eastAsiaTheme="minorHAnsi" w:cs="Arial"/>
          <w:i/>
          <w:iCs/>
          <w:color w:val="2F2F9F"/>
          <w:lang w:eastAsia="en-US"/>
        </w:rPr>
      </w:pPr>
    </w:p>
    <w:p w14:paraId="0EDD97EB" w14:textId="77777777" w:rsidR="00836964" w:rsidRPr="005B0E5B" w:rsidRDefault="00836964" w:rsidP="00836964">
      <w:pPr>
        <w:autoSpaceDE w:val="0"/>
        <w:autoSpaceDN w:val="0"/>
        <w:adjustRightInd w:val="0"/>
        <w:rPr>
          <w:rFonts w:eastAsiaTheme="minorHAnsi" w:cs="Arial"/>
          <w:i/>
          <w:iCs/>
          <w:color w:val="2F2F9F"/>
          <w:lang w:eastAsia="en-US"/>
        </w:rPr>
      </w:pPr>
      <w:r w:rsidRPr="005B0E5B">
        <w:rPr>
          <w:rFonts w:eastAsiaTheme="minorHAnsi" w:cs="Arial"/>
          <w:i/>
          <w:iCs/>
          <w:color w:val="2F2F9F"/>
          <w:lang w:eastAsia="en-US"/>
        </w:rPr>
        <w:t>Circulation de machines et engins</w:t>
      </w:r>
    </w:p>
    <w:p w14:paraId="6619D701" w14:textId="77777777" w:rsidR="00836964" w:rsidRPr="005B0E5B" w:rsidRDefault="00836964" w:rsidP="00836964">
      <w:pPr>
        <w:autoSpaceDE w:val="0"/>
        <w:autoSpaceDN w:val="0"/>
        <w:adjustRightInd w:val="0"/>
        <w:rPr>
          <w:rFonts w:eastAsiaTheme="minorHAnsi" w:cs="Arial"/>
          <w:color w:val="000000"/>
          <w:lang w:eastAsia="en-US"/>
        </w:rPr>
      </w:pPr>
      <w:r w:rsidRPr="005B0E5B">
        <w:rPr>
          <w:rFonts w:eastAsiaTheme="minorHAnsi" w:cs="Arial"/>
          <w:color w:val="000000"/>
          <w:lang w:eastAsia="en-US"/>
        </w:rPr>
        <w:t>La circulation de véhicules et l’utilisation d’engins de levage pour le déplacement de machines et de matériel sur un chantier de construction posent parfois des risques provisoires, par exemple : contact physique, déversements, poussière, émissions et bruit.</w:t>
      </w:r>
    </w:p>
    <w:p w14:paraId="0605D238" w14:textId="77777777" w:rsidR="00836964" w:rsidRPr="005B0E5B" w:rsidRDefault="00836964" w:rsidP="00836964">
      <w:pPr>
        <w:autoSpaceDE w:val="0"/>
        <w:autoSpaceDN w:val="0"/>
        <w:adjustRightInd w:val="0"/>
        <w:rPr>
          <w:rFonts w:eastAsiaTheme="minorHAnsi" w:cs="Arial"/>
          <w:color w:val="000000"/>
          <w:lang w:eastAsia="en-US"/>
        </w:rPr>
      </w:pPr>
      <w:r w:rsidRPr="005B0E5B">
        <w:rPr>
          <w:rFonts w:eastAsiaTheme="minorHAnsi" w:cs="Arial"/>
          <w:color w:val="000000"/>
          <w:lang w:eastAsia="en-US"/>
        </w:rPr>
        <w:t>Les opérateurs d’engins lourds disposent d’un champ visuel limité à proximité de leur matériel, et ils ne sont parfois pas en mesure de voir des piétons situés tout près de leur véhicule. Les véhicules à articulation centrale créent une zone à risque d’impact ou d’écrasement sur l’extérieur d’un virage, en cours de déplacement. Parmi les techniques de prévention et de contrôle de ces impacts, on indiquera les suivantes :</w:t>
      </w:r>
    </w:p>
    <w:p w14:paraId="4779CB5C" w14:textId="77777777" w:rsidR="00836964" w:rsidRPr="005B0E5B" w:rsidRDefault="00836964" w:rsidP="0095003D">
      <w:pPr>
        <w:pStyle w:val="Paragraphedeliste"/>
        <w:numPr>
          <w:ilvl w:val="0"/>
          <w:numId w:val="186"/>
        </w:numPr>
        <w:autoSpaceDE w:val="0"/>
        <w:autoSpaceDN w:val="0"/>
        <w:adjustRightInd w:val="0"/>
        <w:spacing w:after="0"/>
        <w:rPr>
          <w:rFonts w:eastAsiaTheme="minorHAnsi" w:cs="Arial"/>
          <w:color w:val="000000"/>
          <w:lang w:eastAsia="en-US"/>
        </w:rPr>
      </w:pPr>
      <w:r w:rsidRPr="005B0E5B">
        <w:rPr>
          <w:rFonts w:eastAsiaTheme="minorHAnsi" w:cs="Arial"/>
          <w:color w:val="000000"/>
          <w:lang w:eastAsia="en-US"/>
        </w:rPr>
        <w:t>Assurer la planification et la séparation des zones de circulation des véhicules, d’utilisation des machines, et de passage des piétons, et la réglementation de la circulation automobile avec voies à sens unique, imposition de limitations de vitesse et emploi sur site de personnel de réglementation de la circulation portant des gilets ou des tenues à haute visibilité.</w:t>
      </w:r>
    </w:p>
    <w:p w14:paraId="267B547A" w14:textId="77777777" w:rsidR="00836964" w:rsidRPr="005B0E5B" w:rsidRDefault="00836964" w:rsidP="0095003D">
      <w:pPr>
        <w:pStyle w:val="Paragraphedeliste"/>
        <w:numPr>
          <w:ilvl w:val="0"/>
          <w:numId w:val="187"/>
        </w:numPr>
        <w:autoSpaceDE w:val="0"/>
        <w:autoSpaceDN w:val="0"/>
        <w:adjustRightInd w:val="0"/>
        <w:spacing w:after="0"/>
        <w:rPr>
          <w:rFonts w:eastAsiaTheme="minorHAnsi" w:cs="Arial"/>
          <w:color w:val="000000"/>
          <w:lang w:eastAsia="en-US"/>
        </w:rPr>
      </w:pPr>
      <w:r w:rsidRPr="005B0E5B">
        <w:rPr>
          <w:rFonts w:eastAsiaTheme="minorHAnsi" w:cs="Arial"/>
          <w:color w:val="000000"/>
          <w:lang w:eastAsia="en-US"/>
        </w:rPr>
        <w:t>Assurer la visibilité du personnel, qui doit porter des gilets à haute visibilité lorsqu’il travaille ou se déplace dans des zones où circulent des engins lourds, en enseignant aux travailleurs à vérifier l’établissement d’un contact visuel avec l’opérateur d’un engin en service avant de s’approcher de cet engin.</w:t>
      </w:r>
    </w:p>
    <w:p w14:paraId="64648DCE" w14:textId="77777777" w:rsidR="00836964" w:rsidRPr="005B0E5B" w:rsidRDefault="00836964" w:rsidP="0095003D">
      <w:pPr>
        <w:pStyle w:val="Paragraphedeliste"/>
        <w:numPr>
          <w:ilvl w:val="0"/>
          <w:numId w:val="187"/>
        </w:numPr>
        <w:autoSpaceDE w:val="0"/>
        <w:autoSpaceDN w:val="0"/>
        <w:adjustRightInd w:val="0"/>
        <w:spacing w:after="0"/>
        <w:rPr>
          <w:rFonts w:eastAsiaTheme="minorHAnsi" w:cs="Arial"/>
          <w:color w:val="000000"/>
          <w:lang w:eastAsia="en-US"/>
        </w:rPr>
      </w:pPr>
      <w:r w:rsidRPr="005B0E5B">
        <w:rPr>
          <w:rFonts w:eastAsiaTheme="minorHAnsi" w:cs="Arial"/>
          <w:color w:val="000000"/>
          <w:lang w:eastAsia="en-US"/>
        </w:rPr>
        <w:t>Assurer l’installation d’alarmes audibles de recul sur les engins de terrassement.</w:t>
      </w:r>
    </w:p>
    <w:p w14:paraId="00A10E9A" w14:textId="77777777" w:rsidR="00836964" w:rsidRPr="005B0E5B" w:rsidRDefault="00836964" w:rsidP="0095003D">
      <w:pPr>
        <w:pStyle w:val="Paragraphedeliste"/>
        <w:numPr>
          <w:ilvl w:val="0"/>
          <w:numId w:val="187"/>
        </w:numPr>
        <w:autoSpaceDE w:val="0"/>
        <w:autoSpaceDN w:val="0"/>
        <w:adjustRightInd w:val="0"/>
        <w:spacing w:after="0"/>
        <w:rPr>
          <w:rFonts w:eastAsiaTheme="minorHAnsi" w:cs="Arial"/>
          <w:color w:val="000000"/>
          <w:lang w:eastAsia="en-US"/>
        </w:rPr>
      </w:pPr>
      <w:r w:rsidRPr="005B0E5B">
        <w:rPr>
          <w:rFonts w:eastAsiaTheme="minorHAnsi" w:cs="Arial"/>
          <w:color w:val="000000"/>
          <w:lang w:eastAsia="en-US"/>
        </w:rPr>
        <w:t>Utiliser des dispositifs de levage inspectés et bien entretenus, appropriés pour la charge à soulever, par exemple des grues, et fixer les charges pour le levage de ces charges au-dessus du niveau des opérations sur chantier.</w:t>
      </w:r>
    </w:p>
    <w:p w14:paraId="3DB9D99A" w14:textId="77777777" w:rsidR="00836964" w:rsidRPr="005B0E5B" w:rsidRDefault="00836964" w:rsidP="00836964">
      <w:pPr>
        <w:autoSpaceDE w:val="0"/>
        <w:autoSpaceDN w:val="0"/>
        <w:adjustRightInd w:val="0"/>
        <w:rPr>
          <w:rFonts w:eastAsiaTheme="minorHAnsi" w:cs="Arial"/>
          <w:color w:val="000000"/>
          <w:lang w:eastAsia="en-US"/>
        </w:rPr>
      </w:pPr>
    </w:p>
    <w:p w14:paraId="1DDDB081" w14:textId="77777777" w:rsidR="00836964" w:rsidRPr="005B0E5B" w:rsidRDefault="00836964" w:rsidP="00836964">
      <w:pPr>
        <w:autoSpaceDE w:val="0"/>
        <w:autoSpaceDN w:val="0"/>
        <w:adjustRightInd w:val="0"/>
        <w:rPr>
          <w:rFonts w:eastAsiaTheme="minorHAnsi" w:cs="Arial"/>
          <w:i/>
          <w:iCs/>
          <w:color w:val="2F2F9F"/>
          <w:lang w:eastAsia="en-US"/>
        </w:rPr>
      </w:pPr>
      <w:r w:rsidRPr="005B0E5B">
        <w:rPr>
          <w:rFonts w:eastAsiaTheme="minorHAnsi" w:cs="Arial"/>
          <w:i/>
          <w:iCs/>
          <w:color w:val="2F2F9F"/>
          <w:lang w:eastAsia="en-US"/>
        </w:rPr>
        <w:t>Poussière</w:t>
      </w:r>
    </w:p>
    <w:p w14:paraId="5CC915B6" w14:textId="77777777" w:rsidR="00836964" w:rsidRPr="005B0E5B" w:rsidRDefault="00836964" w:rsidP="0095003D">
      <w:pPr>
        <w:pStyle w:val="Paragraphedeliste"/>
        <w:numPr>
          <w:ilvl w:val="0"/>
          <w:numId w:val="188"/>
        </w:numPr>
        <w:autoSpaceDE w:val="0"/>
        <w:autoSpaceDN w:val="0"/>
        <w:adjustRightInd w:val="0"/>
        <w:spacing w:after="0"/>
        <w:rPr>
          <w:rFonts w:eastAsiaTheme="minorHAnsi" w:cs="Arial"/>
          <w:color w:val="000000"/>
          <w:lang w:eastAsia="en-US"/>
        </w:rPr>
      </w:pPr>
      <w:r w:rsidRPr="005B0E5B">
        <w:rPr>
          <w:rFonts w:eastAsiaTheme="minorHAnsi" w:cs="Arial"/>
          <w:color w:val="000000"/>
          <w:lang w:eastAsia="en-US"/>
        </w:rPr>
        <w:t>Utiliser des techniques de dépoussiérage, comme la projection d’eau ou de produits chimiques non toxiques pour minimiser la poussière dégagée par la circulation des véhicules.</w:t>
      </w:r>
    </w:p>
    <w:p w14:paraId="2952C095" w14:textId="77777777" w:rsidR="00836964" w:rsidRPr="005B0E5B" w:rsidRDefault="00836964" w:rsidP="0095003D">
      <w:pPr>
        <w:pStyle w:val="Paragraphedeliste"/>
        <w:numPr>
          <w:ilvl w:val="0"/>
          <w:numId w:val="188"/>
        </w:numPr>
        <w:autoSpaceDE w:val="0"/>
        <w:autoSpaceDN w:val="0"/>
        <w:adjustRightInd w:val="0"/>
        <w:spacing w:after="0"/>
        <w:rPr>
          <w:rFonts w:eastAsiaTheme="minorHAnsi" w:cs="Arial"/>
          <w:color w:val="000000"/>
          <w:lang w:eastAsia="en-US"/>
        </w:rPr>
      </w:pPr>
      <w:r w:rsidRPr="005B0E5B">
        <w:rPr>
          <w:rFonts w:eastAsiaTheme="minorHAnsi" w:cs="Arial"/>
          <w:color w:val="000000"/>
          <w:lang w:eastAsia="en-US"/>
        </w:rPr>
        <w:t>Utiliser des équipements de protection personnelle, par exemple des masques à poussière, en présence de niveaux de poussière excessifs.</w:t>
      </w:r>
    </w:p>
    <w:p w14:paraId="66B2E952" w14:textId="77777777" w:rsidR="00836964" w:rsidRPr="005B0E5B" w:rsidRDefault="00836964" w:rsidP="00836964">
      <w:pPr>
        <w:autoSpaceDE w:val="0"/>
        <w:autoSpaceDN w:val="0"/>
        <w:adjustRightInd w:val="0"/>
        <w:rPr>
          <w:rFonts w:eastAsiaTheme="minorHAnsi" w:cs="Arial"/>
          <w:i/>
          <w:iCs/>
          <w:color w:val="2F2F9F"/>
          <w:lang w:eastAsia="en-US"/>
        </w:rPr>
      </w:pPr>
    </w:p>
    <w:p w14:paraId="78ADDCC8" w14:textId="77777777" w:rsidR="00836964" w:rsidRPr="005B0E5B" w:rsidRDefault="00836964" w:rsidP="00836964">
      <w:pPr>
        <w:autoSpaceDE w:val="0"/>
        <w:autoSpaceDN w:val="0"/>
        <w:adjustRightInd w:val="0"/>
        <w:rPr>
          <w:rFonts w:eastAsiaTheme="minorHAnsi" w:cs="Arial"/>
          <w:i/>
          <w:iCs/>
          <w:color w:val="2F2F9F"/>
          <w:lang w:eastAsia="en-US"/>
        </w:rPr>
      </w:pPr>
      <w:r w:rsidRPr="005B0E5B">
        <w:rPr>
          <w:rFonts w:eastAsiaTheme="minorHAnsi" w:cs="Arial"/>
          <w:i/>
          <w:iCs/>
          <w:color w:val="2F2F9F"/>
          <w:lang w:eastAsia="en-US"/>
        </w:rPr>
        <w:t>Espaces restreints et excavations</w:t>
      </w:r>
    </w:p>
    <w:p w14:paraId="40FBD75F" w14:textId="77777777" w:rsidR="00836964" w:rsidRPr="005B0E5B" w:rsidRDefault="00836964" w:rsidP="00836964">
      <w:pPr>
        <w:autoSpaceDE w:val="0"/>
        <w:autoSpaceDN w:val="0"/>
        <w:adjustRightInd w:val="0"/>
        <w:rPr>
          <w:rFonts w:eastAsiaTheme="minorHAnsi" w:cs="Arial"/>
          <w:color w:val="000000"/>
          <w:lang w:eastAsia="en-US"/>
        </w:rPr>
      </w:pPr>
      <w:r w:rsidRPr="005B0E5B">
        <w:rPr>
          <w:rFonts w:eastAsiaTheme="minorHAnsi" w:cs="Arial"/>
          <w:color w:val="000000"/>
          <w:lang w:eastAsia="en-US"/>
        </w:rPr>
        <w:t>Parmi les exemples d’espaces restreints qui pourraient être présents sur des chantiers de construction ou de démolition, on indiquera les suivants : silos, cuves, trémies, salles de services généraux, réservoirs, égouts, tuyaux et puits d’accès. Les caniveaux et les fossés pourront également être considérés comme des espaces restreints, lorsque les points d’accès ou de sortie sont limités. En plus des lignes directrices fournies dans la Section 2.8, on empêchera la présence des risques du travail relatif aux espaces restreints et aux excavations sur les chantiers de construction ou de démolition en suivant les recommandations suivantes :</w:t>
      </w:r>
    </w:p>
    <w:p w14:paraId="56361529" w14:textId="77777777" w:rsidR="00836964" w:rsidRPr="005B0E5B" w:rsidRDefault="00836964" w:rsidP="0095003D">
      <w:pPr>
        <w:pStyle w:val="Paragraphedeliste"/>
        <w:numPr>
          <w:ilvl w:val="0"/>
          <w:numId w:val="189"/>
        </w:numPr>
        <w:autoSpaceDE w:val="0"/>
        <w:autoSpaceDN w:val="0"/>
        <w:adjustRightInd w:val="0"/>
        <w:spacing w:after="0"/>
        <w:rPr>
          <w:rFonts w:eastAsiaTheme="minorHAnsi" w:cs="Arial"/>
          <w:color w:val="000000"/>
          <w:lang w:eastAsia="en-US"/>
        </w:rPr>
      </w:pPr>
      <w:r w:rsidRPr="005B0E5B">
        <w:rPr>
          <w:rFonts w:eastAsiaTheme="minorHAnsi" w:cs="Arial"/>
          <w:color w:val="000000"/>
          <w:lang w:eastAsia="en-US"/>
        </w:rPr>
        <w:t>Contrôle de facteurs spécifiques au chantier pouvant contribuer à l’instabilité des talus d’excavation ; par exemple l’utilisation de l’assèchement, de soutien des parois latérales et d’ajustage de la pente des talus permettant d’éliminer ou de minimiser les risques d’effondrement, de coincement ou de noyade.</w:t>
      </w:r>
    </w:p>
    <w:p w14:paraId="73D69949" w14:textId="77777777" w:rsidR="00836964" w:rsidRPr="005B0E5B" w:rsidRDefault="00836964" w:rsidP="0095003D">
      <w:pPr>
        <w:pStyle w:val="Paragraphedeliste"/>
        <w:numPr>
          <w:ilvl w:val="0"/>
          <w:numId w:val="189"/>
        </w:numPr>
        <w:autoSpaceDE w:val="0"/>
        <w:autoSpaceDN w:val="0"/>
        <w:adjustRightInd w:val="0"/>
        <w:spacing w:after="0"/>
        <w:rPr>
          <w:rFonts w:eastAsiaTheme="minorHAnsi" w:cs="Arial"/>
          <w:color w:val="000000"/>
          <w:lang w:eastAsia="en-US"/>
        </w:rPr>
      </w:pPr>
      <w:r w:rsidRPr="005B0E5B">
        <w:rPr>
          <w:rFonts w:eastAsiaTheme="minorHAnsi" w:cs="Arial"/>
          <w:color w:val="000000"/>
          <w:lang w:eastAsia="en-US"/>
        </w:rPr>
        <w:t>Mise en place de points d’entrée et sortie en sécurité des excavations : talus à pente, voie d’accès inclinée, ou escalier et échelles.</w:t>
      </w:r>
    </w:p>
    <w:p w14:paraId="0AC38C18" w14:textId="77777777" w:rsidR="00836964" w:rsidRPr="005B0E5B" w:rsidRDefault="00836964" w:rsidP="0095003D">
      <w:pPr>
        <w:pStyle w:val="Paragraphedeliste"/>
        <w:numPr>
          <w:ilvl w:val="0"/>
          <w:numId w:val="189"/>
        </w:numPr>
        <w:autoSpaceDE w:val="0"/>
        <w:autoSpaceDN w:val="0"/>
        <w:adjustRightInd w:val="0"/>
        <w:spacing w:after="0"/>
        <w:rPr>
          <w:rFonts w:eastAsiaTheme="minorHAnsi" w:cs="Arial"/>
          <w:color w:val="000000"/>
          <w:lang w:eastAsia="en-US"/>
        </w:rPr>
      </w:pPr>
      <w:r w:rsidRPr="005B0E5B">
        <w:rPr>
          <w:rFonts w:eastAsiaTheme="minorHAnsi" w:cs="Arial"/>
          <w:color w:val="000000"/>
          <w:lang w:eastAsia="en-US"/>
        </w:rPr>
        <w:t>Éviter l’utilisation d’équipements de combustion pendant des périodes prolongées à l’intérieur des zones d’excavations, dans lesquelles d’autres membres du personnel doivent se rendre, sauf si cette zone est bien ventilée.</w:t>
      </w:r>
    </w:p>
    <w:p w14:paraId="0AE230E4" w14:textId="77777777" w:rsidR="00836964" w:rsidRPr="005B0E5B" w:rsidRDefault="00836964" w:rsidP="00836964">
      <w:pPr>
        <w:autoSpaceDE w:val="0"/>
        <w:autoSpaceDN w:val="0"/>
        <w:adjustRightInd w:val="0"/>
        <w:rPr>
          <w:rFonts w:eastAsiaTheme="minorHAnsi" w:cs="Arial"/>
          <w:color w:val="000000"/>
          <w:lang w:eastAsia="en-US"/>
        </w:rPr>
      </w:pPr>
    </w:p>
    <w:p w14:paraId="227A48D6" w14:textId="77777777" w:rsidR="00836964" w:rsidRPr="005B0E5B" w:rsidRDefault="00836964" w:rsidP="00836964">
      <w:pPr>
        <w:autoSpaceDE w:val="0"/>
        <w:autoSpaceDN w:val="0"/>
        <w:adjustRightInd w:val="0"/>
        <w:rPr>
          <w:rFonts w:eastAsiaTheme="minorHAnsi" w:cs="Arial"/>
          <w:i/>
          <w:iCs/>
          <w:color w:val="2F2F9F"/>
          <w:lang w:eastAsia="en-US"/>
        </w:rPr>
      </w:pPr>
      <w:r w:rsidRPr="005B0E5B">
        <w:rPr>
          <w:rFonts w:eastAsiaTheme="minorHAnsi" w:cs="Arial"/>
          <w:i/>
          <w:iCs/>
          <w:color w:val="2F2F9F"/>
          <w:lang w:eastAsia="en-US"/>
        </w:rPr>
        <w:t>Risques divers sur site</w:t>
      </w:r>
    </w:p>
    <w:p w14:paraId="48490173" w14:textId="77777777" w:rsidR="00836964" w:rsidRPr="005B0E5B" w:rsidRDefault="00836964" w:rsidP="00836964">
      <w:pPr>
        <w:autoSpaceDE w:val="0"/>
        <w:autoSpaceDN w:val="0"/>
        <w:adjustRightInd w:val="0"/>
        <w:rPr>
          <w:rFonts w:eastAsiaTheme="minorHAnsi" w:cs="Arial"/>
          <w:color w:val="000000"/>
          <w:lang w:eastAsia="en-US"/>
        </w:rPr>
      </w:pPr>
      <w:r w:rsidRPr="005B0E5B">
        <w:rPr>
          <w:rFonts w:eastAsiaTheme="minorHAnsi" w:cs="Arial"/>
          <w:color w:val="000000"/>
          <w:lang w:eastAsia="en-US"/>
        </w:rPr>
        <w:t>Les chantiers de construction et de déclassement peuvent poser des risques d’exposition à la poussière, aux produits chimiques, à des matières dangereuses ou inflammables, ainsi qu’à des déchets sous forme liquide, solide ou gazeuse ; on doit assurer la prévention de ces risques avec l’application de plans spécifiques au projet et d’autres méthodes de gestion applicables, y compris les suivantes :</w:t>
      </w:r>
    </w:p>
    <w:p w14:paraId="5144D452" w14:textId="77777777" w:rsidR="00836964" w:rsidRPr="005B0E5B" w:rsidRDefault="00836964" w:rsidP="0095003D">
      <w:pPr>
        <w:pStyle w:val="Paragraphedeliste"/>
        <w:numPr>
          <w:ilvl w:val="0"/>
          <w:numId w:val="190"/>
        </w:numPr>
        <w:autoSpaceDE w:val="0"/>
        <w:autoSpaceDN w:val="0"/>
        <w:adjustRightInd w:val="0"/>
        <w:spacing w:after="0"/>
        <w:rPr>
          <w:rFonts w:eastAsiaTheme="minorHAnsi" w:cs="Arial"/>
          <w:color w:val="000000"/>
          <w:lang w:eastAsia="en-US"/>
        </w:rPr>
      </w:pPr>
      <w:r w:rsidRPr="005B0E5B">
        <w:rPr>
          <w:rFonts w:eastAsiaTheme="minorHAnsi" w:cs="Arial"/>
          <w:color w:val="000000"/>
          <w:lang w:eastAsia="en-US"/>
        </w:rPr>
        <w:t>Utilisation d’un personnel ayant suivi une formation spéciale, pour identifier et enlever les déchets de réservoirs, récipients, équipements de traitement ou terrains contaminés, en tant que premier niveau des activités de déclassement, afin de permettre le déroulement sans danger des opérations d’excavation, de construction, de démontage ou de démolition.</w:t>
      </w:r>
    </w:p>
    <w:p w14:paraId="58923471" w14:textId="77777777" w:rsidR="00836964" w:rsidRPr="005B0E5B" w:rsidRDefault="00836964" w:rsidP="0095003D">
      <w:pPr>
        <w:pStyle w:val="Paragraphedeliste"/>
        <w:numPr>
          <w:ilvl w:val="0"/>
          <w:numId w:val="190"/>
        </w:numPr>
        <w:autoSpaceDE w:val="0"/>
        <w:autoSpaceDN w:val="0"/>
        <w:adjustRightInd w:val="0"/>
        <w:spacing w:after="0"/>
        <w:rPr>
          <w:rFonts w:eastAsiaTheme="minorHAnsi" w:cs="Arial"/>
          <w:color w:val="000000"/>
          <w:lang w:eastAsia="en-US"/>
        </w:rPr>
      </w:pPr>
      <w:r w:rsidRPr="005B0E5B">
        <w:rPr>
          <w:rFonts w:eastAsiaTheme="minorHAnsi" w:cs="Arial"/>
          <w:color w:val="000000"/>
          <w:lang w:eastAsia="en-US"/>
        </w:rPr>
        <w:t>Utilisation d’un personnel ayant suivi une formation spéciale, pour identifier et enlever de façon sélective des matières potentiellement dangereuses dans des éléments du bâtiment, préalablement au démontage ou à la démolition ; par exemple des éléments d’isolation ou de structure contenant de l’amiante ou du polychlorobiphényle (PCB), des composants électriques contenant du mercure96.</w:t>
      </w:r>
    </w:p>
    <w:p w14:paraId="7BF2A70B" w14:textId="77777777" w:rsidR="00836964" w:rsidRPr="005B0E5B" w:rsidRDefault="00836964" w:rsidP="0095003D">
      <w:pPr>
        <w:pStyle w:val="Paragraphedeliste"/>
        <w:numPr>
          <w:ilvl w:val="0"/>
          <w:numId w:val="190"/>
        </w:numPr>
        <w:autoSpaceDE w:val="0"/>
        <w:autoSpaceDN w:val="0"/>
        <w:adjustRightInd w:val="0"/>
        <w:spacing w:after="0"/>
        <w:rPr>
          <w:rFonts w:eastAsiaTheme="minorHAnsi" w:cs="Arial"/>
          <w:color w:val="000000"/>
          <w:lang w:eastAsia="en-US"/>
        </w:rPr>
      </w:pPr>
      <w:r w:rsidRPr="005B0E5B">
        <w:rPr>
          <w:rFonts w:eastAsiaTheme="minorHAnsi" w:cs="Arial"/>
          <w:color w:val="000000"/>
          <w:lang w:eastAsia="en-US"/>
        </w:rPr>
        <w:t>Utilisation d’équipements de protection personnelle spécifiques aux déchets, sur la base des résultats d’une évaluation de la santé et de la sécurité sur le lieu de travail, y compris des masques respiratoires, des vêtements / tenues de protection, des gants et des lunettes de protection.</w:t>
      </w:r>
    </w:p>
    <w:p w14:paraId="26FF4297" w14:textId="77777777" w:rsidR="00836964" w:rsidRPr="005B0E5B" w:rsidRDefault="00836964" w:rsidP="00836964">
      <w:pPr>
        <w:autoSpaceDE w:val="0"/>
        <w:autoSpaceDN w:val="0"/>
        <w:adjustRightInd w:val="0"/>
        <w:rPr>
          <w:rFonts w:eastAsiaTheme="minorHAnsi" w:cs="Arial"/>
          <w:color w:val="000000"/>
          <w:lang w:eastAsia="en-US"/>
        </w:rPr>
      </w:pPr>
    </w:p>
    <w:p w14:paraId="29AA5C6B" w14:textId="77777777" w:rsidR="00836964" w:rsidRPr="005B0E5B" w:rsidRDefault="00836964" w:rsidP="00836964">
      <w:pPr>
        <w:autoSpaceDE w:val="0"/>
        <w:autoSpaceDN w:val="0"/>
        <w:adjustRightInd w:val="0"/>
        <w:rPr>
          <w:rFonts w:eastAsiaTheme="minorHAnsi" w:cs="Arial"/>
          <w:b/>
          <w:bCs/>
          <w:color w:val="000084"/>
          <w:lang w:eastAsia="en-US"/>
        </w:rPr>
      </w:pPr>
      <w:r w:rsidRPr="005B0E5B">
        <w:rPr>
          <w:rFonts w:eastAsiaTheme="minorHAnsi" w:cs="Arial"/>
          <w:b/>
          <w:bCs/>
          <w:color w:val="000084"/>
          <w:lang w:eastAsia="en-US"/>
        </w:rPr>
        <w:t>4.3 Santé et sécurité de la population</w:t>
      </w:r>
    </w:p>
    <w:p w14:paraId="5E81920E" w14:textId="77777777" w:rsidR="00836964" w:rsidRPr="005B0E5B" w:rsidRDefault="00836964" w:rsidP="00836964">
      <w:pPr>
        <w:autoSpaceDE w:val="0"/>
        <w:autoSpaceDN w:val="0"/>
        <w:adjustRightInd w:val="0"/>
        <w:ind w:left="708"/>
        <w:rPr>
          <w:rFonts w:eastAsiaTheme="minorHAnsi" w:cs="Arial"/>
          <w:b/>
          <w:color w:val="000084"/>
          <w:lang w:eastAsia="en-US"/>
        </w:rPr>
      </w:pPr>
      <w:r w:rsidRPr="005B0E5B">
        <w:rPr>
          <w:rFonts w:eastAsiaTheme="minorHAnsi" w:cs="Arial"/>
          <w:b/>
          <w:color w:val="000084"/>
          <w:lang w:eastAsia="en-US"/>
        </w:rPr>
        <w:t>Risques généraux sur site</w:t>
      </w:r>
    </w:p>
    <w:p w14:paraId="2BCD1162" w14:textId="77777777" w:rsidR="00836964" w:rsidRPr="005B0E5B" w:rsidRDefault="00836964" w:rsidP="00836964">
      <w:pPr>
        <w:autoSpaceDE w:val="0"/>
        <w:autoSpaceDN w:val="0"/>
        <w:adjustRightInd w:val="0"/>
        <w:rPr>
          <w:rFonts w:eastAsiaTheme="minorHAnsi" w:cs="Arial"/>
          <w:color w:val="000000"/>
          <w:lang w:eastAsia="en-US"/>
        </w:rPr>
      </w:pPr>
      <w:r w:rsidRPr="005B0E5B">
        <w:rPr>
          <w:rFonts w:eastAsiaTheme="minorHAnsi" w:cs="Arial"/>
          <w:color w:val="000000"/>
          <w:lang w:eastAsia="en-US"/>
        </w:rPr>
        <w:t>Les projets sont tenus de mettre en pratique des stratégies de gestion des risques assurant la protection de la communauté contre des risques physiques, chimiques et autres relatifs aux chantiers de construction et de déclassement. Des risques peuvent survenir en cas de pénétration illicite, par inadvertance ou intentionnelle, sur les lieux, y compris tout contact avec des matières dangereuses, des sols contaminés et autres éléments de l’environnement, des bâtiments vides ou en construction, ou encore des excavations et des structures posant des risques de chute et de coincement. Les stratégies de gestion des risques peuvent comprendre les suivantes :</w:t>
      </w:r>
    </w:p>
    <w:p w14:paraId="7F6C081A" w14:textId="77777777" w:rsidR="00836964" w:rsidRPr="005B0E5B" w:rsidRDefault="00836964" w:rsidP="0095003D">
      <w:pPr>
        <w:pStyle w:val="Paragraphedeliste"/>
        <w:numPr>
          <w:ilvl w:val="0"/>
          <w:numId w:val="191"/>
        </w:numPr>
        <w:autoSpaceDE w:val="0"/>
        <w:autoSpaceDN w:val="0"/>
        <w:adjustRightInd w:val="0"/>
        <w:spacing w:after="0"/>
        <w:rPr>
          <w:rFonts w:eastAsiaTheme="minorHAnsi" w:cs="Arial"/>
          <w:color w:val="000000"/>
          <w:lang w:eastAsia="en-US"/>
        </w:rPr>
      </w:pPr>
      <w:r w:rsidRPr="005B0E5B">
        <w:rPr>
          <w:rFonts w:eastAsiaTheme="minorHAnsi" w:cs="Arial"/>
          <w:color w:val="000000"/>
          <w:lang w:eastAsia="en-US"/>
        </w:rPr>
        <w:t>Limitation de l’accès au site par le biais d’un ensemble de contrôles institutionnels et administratifs, en particulier des structures ou des zones à risque élevé selon les circonstances spécifiques au site, y compris : clôtures, panneaux et communication des risques aux communautés locales.</w:t>
      </w:r>
    </w:p>
    <w:p w14:paraId="6E7FDBBB" w14:textId="77777777" w:rsidR="00836964" w:rsidRPr="005B0E5B" w:rsidRDefault="00836964" w:rsidP="0095003D">
      <w:pPr>
        <w:pStyle w:val="Paragraphedeliste"/>
        <w:numPr>
          <w:ilvl w:val="0"/>
          <w:numId w:val="191"/>
        </w:numPr>
        <w:autoSpaceDE w:val="0"/>
        <w:autoSpaceDN w:val="0"/>
        <w:adjustRightInd w:val="0"/>
        <w:spacing w:after="0"/>
        <w:rPr>
          <w:rFonts w:eastAsiaTheme="minorHAnsi" w:cs="Arial"/>
          <w:color w:val="000000"/>
          <w:lang w:eastAsia="en-US"/>
        </w:rPr>
      </w:pPr>
      <w:r w:rsidRPr="005B0E5B">
        <w:rPr>
          <w:rFonts w:eastAsiaTheme="minorHAnsi" w:cs="Arial"/>
          <w:color w:val="000000"/>
          <w:lang w:eastAsia="en-US"/>
        </w:rPr>
        <w:t>Élimination, dans les chantiers de construction, des risques qui ne peuvent pas être contrôlés de façon efficace par la restriction de l’accès ; par exemple en recouvrant des ouvertures d’accès dans des espaces restreints, en pratiquant des voies d’issue pour des ouvertures plus grandes (tranchées ou excavations), ou en enfermant sous clé les matières dangereuses.</w:t>
      </w:r>
    </w:p>
    <w:p w14:paraId="3A1D92BD" w14:textId="77777777" w:rsidR="00836964" w:rsidRPr="005B0E5B" w:rsidRDefault="00836964" w:rsidP="00836964">
      <w:pPr>
        <w:autoSpaceDE w:val="0"/>
        <w:autoSpaceDN w:val="0"/>
        <w:adjustRightInd w:val="0"/>
        <w:rPr>
          <w:rFonts w:eastAsiaTheme="minorHAnsi" w:cs="Arial"/>
          <w:color w:val="000084"/>
          <w:lang w:eastAsia="en-US"/>
        </w:rPr>
      </w:pPr>
    </w:p>
    <w:p w14:paraId="1B93359A" w14:textId="77777777" w:rsidR="00836964" w:rsidRPr="005B0E5B" w:rsidRDefault="00836964" w:rsidP="00836964">
      <w:pPr>
        <w:autoSpaceDE w:val="0"/>
        <w:autoSpaceDN w:val="0"/>
        <w:adjustRightInd w:val="0"/>
        <w:ind w:left="360"/>
        <w:rPr>
          <w:rFonts w:eastAsiaTheme="minorHAnsi" w:cs="Arial"/>
          <w:b/>
          <w:color w:val="000084"/>
          <w:lang w:eastAsia="en-US"/>
        </w:rPr>
      </w:pPr>
      <w:r w:rsidRPr="005B0E5B">
        <w:rPr>
          <w:rFonts w:eastAsiaTheme="minorHAnsi" w:cs="Arial"/>
          <w:b/>
          <w:color w:val="000084"/>
          <w:lang w:eastAsia="en-US"/>
        </w:rPr>
        <w:t>Prévention des maladies</w:t>
      </w:r>
    </w:p>
    <w:p w14:paraId="797C1FB8" w14:textId="77777777" w:rsidR="00836964" w:rsidRPr="005B0E5B" w:rsidRDefault="00836964" w:rsidP="00836964">
      <w:pPr>
        <w:autoSpaceDE w:val="0"/>
        <w:autoSpaceDN w:val="0"/>
        <w:adjustRightInd w:val="0"/>
        <w:rPr>
          <w:rFonts w:eastAsiaTheme="minorHAnsi" w:cs="Arial"/>
          <w:color w:val="000000"/>
          <w:lang w:eastAsia="en-US"/>
        </w:rPr>
      </w:pPr>
      <w:r w:rsidRPr="005B0E5B">
        <w:rPr>
          <w:rFonts w:eastAsiaTheme="minorHAnsi" w:cs="Arial"/>
          <w:color w:val="000000"/>
          <w:lang w:eastAsia="en-US"/>
        </w:rPr>
        <w:t>L’augmentation des cas de maladies transmissibles et transmises par vecteur attribuables à des activités de construction constituent une menace potentiellement grave pour le personnel travaillant au projet et pour les résidents des communautés locales. Des recommandations pour la prévention et le contrôle de maladies transmissibles et transmises par vecteur applicables aux activités de construction sont fournies dans la Section 3.6 (Prévention des maladies).</w:t>
      </w:r>
    </w:p>
    <w:p w14:paraId="268D89BE" w14:textId="77777777" w:rsidR="00836964" w:rsidRPr="005B0E5B" w:rsidRDefault="00836964" w:rsidP="00836964">
      <w:pPr>
        <w:autoSpaceDE w:val="0"/>
        <w:autoSpaceDN w:val="0"/>
        <w:adjustRightInd w:val="0"/>
        <w:ind w:left="708"/>
        <w:rPr>
          <w:rFonts w:eastAsiaTheme="minorHAnsi" w:cs="Arial"/>
          <w:b/>
          <w:color w:val="000084"/>
          <w:lang w:eastAsia="en-US"/>
        </w:rPr>
      </w:pPr>
      <w:r w:rsidRPr="005B0E5B">
        <w:rPr>
          <w:rFonts w:eastAsiaTheme="minorHAnsi" w:cs="Arial"/>
          <w:b/>
          <w:color w:val="000084"/>
          <w:lang w:eastAsia="en-US"/>
        </w:rPr>
        <w:t>Sécurité de la circulation</w:t>
      </w:r>
    </w:p>
    <w:p w14:paraId="1EEA14A5" w14:textId="77777777" w:rsidR="00836964" w:rsidRDefault="00836964" w:rsidP="00836964">
      <w:pPr>
        <w:autoSpaceDE w:val="0"/>
        <w:autoSpaceDN w:val="0"/>
        <w:adjustRightInd w:val="0"/>
        <w:rPr>
          <w:rFonts w:eastAsiaTheme="minorHAnsi" w:cs="Arial"/>
          <w:color w:val="000000"/>
          <w:lang w:eastAsia="en-US"/>
        </w:rPr>
      </w:pPr>
      <w:r w:rsidRPr="005B0E5B">
        <w:rPr>
          <w:rFonts w:eastAsiaTheme="minorHAnsi" w:cs="Arial"/>
          <w:color w:val="000000"/>
          <w:lang w:eastAsia="en-US"/>
        </w:rPr>
        <w:t>Les travaux de construction peuvent donner lieu à une augmentation significative de la circulation d’engins et de véhicules lourds pour le transport de matériaux et d’équipements de construction, et des risques d’accidents de la route pour le personnel et les communautés locales. Il est nécessaire de minimiser les cas d’accidents de la route avec des véhicules affectés au projet au cours des travaux de construction, en menant une campagne d’éducation et de sensibilisation, et en adoptant les procédures décrites dans la Section 3.</w:t>
      </w:r>
      <w:r>
        <w:rPr>
          <w:rFonts w:eastAsiaTheme="minorHAnsi" w:cs="Arial"/>
          <w:color w:val="000000"/>
          <w:lang w:eastAsia="en-US"/>
        </w:rPr>
        <w:t>4 (sécurité de la circulation).</w:t>
      </w:r>
    </w:p>
    <w:p w14:paraId="3DE6592E" w14:textId="48F81187" w:rsidR="005247BD" w:rsidRDefault="005247BD">
      <w:pPr>
        <w:rPr>
          <w:rFonts w:eastAsiaTheme="minorHAnsi" w:cs="Arial"/>
          <w:color w:val="000000"/>
          <w:lang w:eastAsia="en-US"/>
        </w:rPr>
      </w:pPr>
      <w:r>
        <w:rPr>
          <w:rFonts w:eastAsiaTheme="minorHAnsi" w:cs="Arial"/>
          <w:color w:val="000000"/>
          <w:lang w:eastAsia="en-US"/>
        </w:rPr>
        <w:br w:type="page"/>
      </w:r>
    </w:p>
    <w:p w14:paraId="1526B085" w14:textId="0D974E93" w:rsidR="00836964" w:rsidRPr="005B0E5B" w:rsidRDefault="005247BD" w:rsidP="00836964">
      <w:pPr>
        <w:pStyle w:val="Titre2"/>
      </w:pPr>
      <w:bookmarkStart w:id="617" w:name="_Toc511127844"/>
      <w:bookmarkStart w:id="618" w:name="_Toc511600706"/>
      <w:bookmarkStart w:id="619" w:name="_Toc799164"/>
      <w:bookmarkStart w:id="620" w:name="_Toc6519574"/>
      <w:bookmarkStart w:id="621" w:name="_Toc13739689"/>
      <w:bookmarkStart w:id="622" w:name="_Toc77182385"/>
      <w:r w:rsidRPr="005B0E5B">
        <w:t>PROPOSITION DE PRESCRIPTIONS ENVIRONNEMENTALES ET SOCIALES EN PHASE DE CHANTIER</w:t>
      </w:r>
      <w:bookmarkEnd w:id="617"/>
      <w:bookmarkEnd w:id="618"/>
      <w:bookmarkEnd w:id="619"/>
      <w:bookmarkEnd w:id="620"/>
      <w:bookmarkEnd w:id="621"/>
      <w:bookmarkEnd w:id="622"/>
    </w:p>
    <w:p w14:paraId="4CB9E232" w14:textId="77777777" w:rsidR="00836964" w:rsidRPr="005B0E5B" w:rsidRDefault="00836964" w:rsidP="00836964">
      <w:pPr>
        <w:rPr>
          <w:rFonts w:cs="Arial"/>
        </w:rPr>
      </w:pPr>
      <w:r w:rsidRPr="005B0E5B">
        <w:rPr>
          <w:rFonts w:cs="Arial"/>
          <w:color w:val="000000" w:themeColor="text1"/>
        </w:rPr>
        <w:t xml:space="preserve">Les prescriptions environnementales et sociales en phase de chantier sont destinées à informer l’Entrepreneur sur ses obligations concernant la protection de l’environnement, la sécurité du personnel de chantier et celle de la population et la prise en compte des aspects </w:t>
      </w:r>
      <w:r w:rsidRPr="005B0E5B">
        <w:rPr>
          <w:rFonts w:cs="Arial"/>
        </w:rPr>
        <w:t>socio-économiques.</w:t>
      </w:r>
    </w:p>
    <w:p w14:paraId="11A31BA1" w14:textId="77777777" w:rsidR="00836964" w:rsidRPr="005B0E5B" w:rsidRDefault="00836964" w:rsidP="00836964">
      <w:pPr>
        <w:rPr>
          <w:rFonts w:cs="Arial"/>
        </w:rPr>
      </w:pPr>
      <w:r w:rsidRPr="005B0E5B">
        <w:rPr>
          <w:rFonts w:cs="Arial"/>
        </w:rPr>
        <w:t>Les prescriptions précisent le contenu du Plan de Gestion Environnementale et Sociale à élaborer par l’Entrepreneur ainsi que les obligations pour le suivi de sa mise en œuvre.</w:t>
      </w:r>
    </w:p>
    <w:p w14:paraId="585F49D7" w14:textId="77777777" w:rsidR="00836964" w:rsidRPr="005B0E5B" w:rsidRDefault="00836964" w:rsidP="00836964">
      <w:pPr>
        <w:rPr>
          <w:rFonts w:cs="Arial"/>
        </w:rPr>
      </w:pPr>
      <w:r w:rsidRPr="005B0E5B">
        <w:rPr>
          <w:rFonts w:cs="Arial"/>
        </w:rPr>
        <w:t>Le document reprend certains articles présentés de manière dispersée dans le Cahier des Clauses administratives générales du contrat de l’Entreprise, ainsi que d’autres obligations émanant essentiellement des politiques de sauvegarde de la Banque Mondiale.</w:t>
      </w:r>
    </w:p>
    <w:p w14:paraId="5FEADB24" w14:textId="77777777" w:rsidR="00836964" w:rsidRPr="005B0E5B" w:rsidRDefault="00836964" w:rsidP="0095003D">
      <w:pPr>
        <w:pStyle w:val="Paragraphedeliste"/>
        <w:numPr>
          <w:ilvl w:val="0"/>
          <w:numId w:val="158"/>
        </w:numPr>
        <w:tabs>
          <w:tab w:val="left" w:pos="360"/>
        </w:tabs>
        <w:spacing w:after="0"/>
        <w:ind w:hanging="717"/>
        <w:rPr>
          <w:rFonts w:cs="Arial"/>
          <w:b/>
        </w:rPr>
      </w:pPr>
      <w:r w:rsidRPr="005B0E5B">
        <w:rPr>
          <w:rFonts w:cs="Arial"/>
          <w:b/>
        </w:rPr>
        <w:t>Obligations environnementales et sociales</w:t>
      </w:r>
    </w:p>
    <w:p w14:paraId="420A74A6" w14:textId="77777777" w:rsidR="00836964" w:rsidRPr="005B0E5B" w:rsidRDefault="00836964" w:rsidP="00836964">
      <w:pPr>
        <w:rPr>
          <w:rFonts w:cs="Arial"/>
          <w:b/>
        </w:rPr>
      </w:pPr>
      <w:bookmarkStart w:id="623" w:name="_Toc504382923"/>
      <w:bookmarkStart w:id="624" w:name="_Toc75583945"/>
      <w:bookmarkStart w:id="625" w:name="_Toc507663927"/>
      <w:r w:rsidRPr="005B0E5B">
        <w:rPr>
          <w:rFonts w:cs="Arial"/>
          <w:b/>
        </w:rPr>
        <w:t>1.1</w:t>
      </w:r>
      <w:r w:rsidRPr="005B0E5B">
        <w:rPr>
          <w:rFonts w:cs="Arial"/>
          <w:b/>
        </w:rPr>
        <w:tab/>
      </w:r>
      <w:bookmarkEnd w:id="623"/>
      <w:bookmarkEnd w:id="624"/>
      <w:r w:rsidRPr="005B0E5B">
        <w:rPr>
          <w:rFonts w:cs="Arial"/>
          <w:b/>
        </w:rPr>
        <w:t>Protection de l’environnement</w:t>
      </w:r>
      <w:bookmarkEnd w:id="625"/>
    </w:p>
    <w:p w14:paraId="2629E903" w14:textId="77777777" w:rsidR="00836964" w:rsidRPr="005B0E5B" w:rsidRDefault="00836964" w:rsidP="00836964">
      <w:pPr>
        <w:rPr>
          <w:rFonts w:cs="Arial"/>
        </w:rPr>
      </w:pPr>
      <w:r w:rsidRPr="005B0E5B">
        <w:rPr>
          <w:rFonts w:cs="Arial"/>
        </w:rPr>
        <w:t>L'Entrepreneur est tenu de respecter les dispositions législatives et réglementaires environnementales en vigueur et les dispositions contractuelles du marché. Il est tenu d'assurer l'exécution des travaux, sous le contrôle de l'administration, conformément aux normes et règles environnementales, en mettant tous ses moyens en œuvre pour préserver la qualité environnementale des opérations.</w:t>
      </w:r>
    </w:p>
    <w:p w14:paraId="22324313" w14:textId="77777777" w:rsidR="00836964" w:rsidRPr="005B0E5B" w:rsidRDefault="00836964" w:rsidP="00836964">
      <w:pPr>
        <w:rPr>
          <w:rFonts w:cs="Arial"/>
        </w:rPr>
      </w:pPr>
      <w:r w:rsidRPr="005B0E5B">
        <w:rPr>
          <w:rFonts w:cs="Arial"/>
        </w:rPr>
        <w:t>L'Entrepreneur assurera pleinement et entièrement ses responsabilités quant au choix des actions à entreprendre. En particulier, il assure, le cas échéant, la réparation à ses frais des préjudices causés à l'environnement par non-respect des dispositions réglementaires.</w:t>
      </w:r>
    </w:p>
    <w:p w14:paraId="311D8A69" w14:textId="77777777" w:rsidR="00836964" w:rsidRPr="005B0E5B" w:rsidRDefault="00836964" w:rsidP="00836964">
      <w:pPr>
        <w:rPr>
          <w:rFonts w:cs="Arial"/>
        </w:rPr>
      </w:pPr>
      <w:r w:rsidRPr="005B0E5B">
        <w:rPr>
          <w:rFonts w:cs="Arial"/>
        </w:rPr>
        <w:t>L'Entrepreneur veillera à utiliser rationnellement l'eau pour les besoins du chantier, sans concurrencer les usages des riverains. Il préservera la qualité de la ressource exploitée.</w:t>
      </w:r>
    </w:p>
    <w:p w14:paraId="0661A042" w14:textId="77777777" w:rsidR="00836964" w:rsidRPr="005B0E5B" w:rsidRDefault="00836964" w:rsidP="00836964">
      <w:pPr>
        <w:rPr>
          <w:rFonts w:cs="Arial"/>
        </w:rPr>
      </w:pPr>
      <w:r w:rsidRPr="005B0E5B">
        <w:rPr>
          <w:rFonts w:cs="Arial"/>
        </w:rPr>
        <w:t>Les sites d'emprise provisoire du chantier (carrière, zone d'emprunt, installations de chantier) feront l'objet de constats au début et à la fin de leur occupation. Ces sites seront nettoyés et remis en état avant réception des travaux.</w:t>
      </w:r>
    </w:p>
    <w:p w14:paraId="4449DA61" w14:textId="77777777" w:rsidR="00836964" w:rsidRPr="005B0E5B" w:rsidRDefault="00836964" w:rsidP="00836964">
      <w:pPr>
        <w:rPr>
          <w:rFonts w:cs="Arial"/>
        </w:rPr>
      </w:pPr>
      <w:r w:rsidRPr="005B0E5B">
        <w:rPr>
          <w:rFonts w:cs="Arial"/>
        </w:rPr>
        <w:t>L'Entrepreneur assure le contrôle des pollutions et nuisances engendrées par les travaux. Il contrôle les risques sanitaires dus aux travaux pour son personnel et la population riveraine.</w:t>
      </w:r>
    </w:p>
    <w:p w14:paraId="604B95AD" w14:textId="77777777" w:rsidR="00836964" w:rsidRPr="005B0E5B" w:rsidRDefault="00836964" w:rsidP="00836964">
      <w:pPr>
        <w:rPr>
          <w:rFonts w:cs="Arial"/>
        </w:rPr>
      </w:pPr>
      <w:r w:rsidRPr="005B0E5B">
        <w:rPr>
          <w:rFonts w:cs="Arial"/>
        </w:rPr>
        <w:t>L'Entrepreneur contrôle l'interdiction de l'exploitation de la flore et de la faune naturelles par le personnel du chantier.</w:t>
      </w:r>
    </w:p>
    <w:p w14:paraId="4E5BACB4" w14:textId="77777777" w:rsidR="00836964" w:rsidRPr="005B0E5B" w:rsidRDefault="00836964" w:rsidP="00836964">
      <w:pPr>
        <w:rPr>
          <w:rFonts w:cs="Arial"/>
        </w:rPr>
      </w:pPr>
      <w:r w:rsidRPr="005B0E5B">
        <w:rPr>
          <w:rFonts w:cs="Arial"/>
        </w:rPr>
        <w:t>L’Entrepreneur doit identifier, préalablement à l'ouverture du chantier, les zones d’environnement sensibles : zones habitées, parcelles cultivées, etc.</w:t>
      </w:r>
    </w:p>
    <w:p w14:paraId="2DFD469D" w14:textId="77777777" w:rsidR="00836964" w:rsidRPr="005B0E5B" w:rsidRDefault="00836964" w:rsidP="00836964">
      <w:pPr>
        <w:rPr>
          <w:rFonts w:cs="Arial"/>
        </w:rPr>
      </w:pPr>
    </w:p>
    <w:p w14:paraId="688ACAFA" w14:textId="77777777" w:rsidR="00836964" w:rsidRPr="005B0E5B" w:rsidRDefault="00836964" w:rsidP="00836964">
      <w:pPr>
        <w:rPr>
          <w:rFonts w:cs="Arial"/>
          <w:b/>
        </w:rPr>
      </w:pPr>
      <w:bookmarkStart w:id="626" w:name="_Toc507663928"/>
      <w:r w:rsidRPr="005B0E5B">
        <w:rPr>
          <w:rFonts w:cs="Arial"/>
          <w:b/>
        </w:rPr>
        <w:t>1.2</w:t>
      </w:r>
      <w:r w:rsidRPr="005B0E5B">
        <w:rPr>
          <w:rFonts w:cs="Arial"/>
          <w:b/>
        </w:rPr>
        <w:tab/>
        <w:t>Protection de la qualité des eaux</w:t>
      </w:r>
      <w:bookmarkEnd w:id="626"/>
    </w:p>
    <w:p w14:paraId="2F99BFC6" w14:textId="77777777" w:rsidR="00836964" w:rsidRPr="005B0E5B" w:rsidRDefault="00836964" w:rsidP="00836964">
      <w:pPr>
        <w:rPr>
          <w:rFonts w:cs="Arial"/>
        </w:rPr>
      </w:pPr>
      <w:r w:rsidRPr="005B0E5B">
        <w:rPr>
          <w:rFonts w:cs="Arial"/>
        </w:rPr>
        <w:t>Le risque majeur pour les eaux pendant la période des travaux concerne les installations de stockage et de manipulation des hydrocarbures et des produits toxiques, ainsi que les opérations de transport et de transfert de ces produits.</w:t>
      </w:r>
    </w:p>
    <w:p w14:paraId="29A1FB6F" w14:textId="77777777" w:rsidR="00836964" w:rsidRPr="005B0E5B" w:rsidRDefault="00836964" w:rsidP="00836964">
      <w:pPr>
        <w:rPr>
          <w:rFonts w:cs="Arial"/>
        </w:rPr>
      </w:pPr>
      <w:r w:rsidRPr="005B0E5B">
        <w:rPr>
          <w:rFonts w:cs="Arial"/>
        </w:rPr>
        <w:t xml:space="preserve">Le personnel chargé des opérations impliquant des produits polluants devra être formé en conséquence. Les matériels de transport et de stockage de ces produits devront répondre aux normes réglementaires. </w:t>
      </w:r>
    </w:p>
    <w:p w14:paraId="5D44633E" w14:textId="77777777" w:rsidR="00836964" w:rsidRPr="005B0E5B" w:rsidRDefault="00836964" w:rsidP="00836964">
      <w:pPr>
        <w:rPr>
          <w:rFonts w:cs="Arial"/>
        </w:rPr>
      </w:pPr>
      <w:r w:rsidRPr="005B0E5B">
        <w:rPr>
          <w:rFonts w:cs="Arial"/>
        </w:rPr>
        <w:t>Les règles suivantes sont à respecter :</w:t>
      </w:r>
    </w:p>
    <w:p w14:paraId="53FB25C7" w14:textId="77777777" w:rsidR="00836964" w:rsidRPr="005B0E5B" w:rsidRDefault="00836964" w:rsidP="0095003D">
      <w:pPr>
        <w:pStyle w:val="Puce1"/>
        <w:numPr>
          <w:ilvl w:val="0"/>
          <w:numId w:val="154"/>
        </w:numPr>
        <w:tabs>
          <w:tab w:val="clear" w:pos="36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num" w:pos="1260"/>
        </w:tabs>
        <w:spacing w:before="0" w:after="0"/>
        <w:ind w:left="1260"/>
        <w:rPr>
          <w:rFonts w:cs="Arial"/>
          <w:color w:val="auto"/>
        </w:rPr>
      </w:pPr>
      <w:r w:rsidRPr="005B0E5B">
        <w:rPr>
          <w:rFonts w:cs="Arial"/>
          <w:color w:val="auto"/>
        </w:rPr>
        <w:t>Les véhicules de transport de produits polluants devront être en bon état de fonctionnement et régulièrement entretenus, en particulier, les citernes, les vannes, les systèmes de distribution, les pompes.</w:t>
      </w:r>
    </w:p>
    <w:p w14:paraId="64E531CF" w14:textId="77777777" w:rsidR="00836964" w:rsidRPr="005B0E5B" w:rsidRDefault="00836964" w:rsidP="0095003D">
      <w:pPr>
        <w:pStyle w:val="Puce1"/>
        <w:numPr>
          <w:ilvl w:val="0"/>
          <w:numId w:val="154"/>
        </w:numPr>
        <w:tabs>
          <w:tab w:val="clear" w:pos="36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num" w:pos="1260"/>
        </w:tabs>
        <w:spacing w:before="0" w:after="0"/>
        <w:ind w:left="1260"/>
        <w:rPr>
          <w:rFonts w:cs="Arial"/>
          <w:color w:val="auto"/>
        </w:rPr>
      </w:pPr>
      <w:r w:rsidRPr="005B0E5B">
        <w:rPr>
          <w:rFonts w:cs="Arial"/>
          <w:color w:val="auto"/>
        </w:rPr>
        <w:t>La livraison des produits est interdite dans les lits majeurs ou mineurs des cours d'eau ou en limite de ceux-ci.</w:t>
      </w:r>
    </w:p>
    <w:p w14:paraId="47B4CF54" w14:textId="77777777" w:rsidR="00836964" w:rsidRPr="005B0E5B" w:rsidRDefault="00836964" w:rsidP="0095003D">
      <w:pPr>
        <w:pStyle w:val="Puce1"/>
        <w:numPr>
          <w:ilvl w:val="0"/>
          <w:numId w:val="154"/>
        </w:numPr>
        <w:tabs>
          <w:tab w:val="clear" w:pos="36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num" w:pos="1260"/>
        </w:tabs>
        <w:spacing w:before="0" w:after="0"/>
        <w:ind w:left="1260"/>
        <w:rPr>
          <w:rFonts w:cs="Arial"/>
          <w:color w:val="auto"/>
        </w:rPr>
      </w:pPr>
      <w:r w:rsidRPr="005B0E5B">
        <w:rPr>
          <w:rFonts w:cs="Arial"/>
          <w:color w:val="auto"/>
        </w:rPr>
        <w:t>Un inventaire des produits toxiques sera établi et remis au Maître d'Ouvrage.</w:t>
      </w:r>
    </w:p>
    <w:p w14:paraId="7E82B064" w14:textId="77777777" w:rsidR="00836964" w:rsidRPr="005B0E5B" w:rsidRDefault="00836964" w:rsidP="0095003D">
      <w:pPr>
        <w:pStyle w:val="Puce1"/>
        <w:numPr>
          <w:ilvl w:val="0"/>
          <w:numId w:val="154"/>
        </w:numPr>
        <w:tabs>
          <w:tab w:val="clear" w:pos="36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num" w:pos="1260"/>
        </w:tabs>
        <w:spacing w:before="0" w:after="0"/>
        <w:ind w:left="1260"/>
        <w:rPr>
          <w:rFonts w:cs="Arial"/>
          <w:color w:val="auto"/>
        </w:rPr>
      </w:pPr>
      <w:r w:rsidRPr="005B0E5B">
        <w:rPr>
          <w:rFonts w:cs="Arial"/>
          <w:color w:val="auto"/>
        </w:rPr>
        <w:t>Les produits seront séparés en catégories similaires.</w:t>
      </w:r>
    </w:p>
    <w:p w14:paraId="76B5D53A" w14:textId="77777777" w:rsidR="00836964" w:rsidRPr="005B0E5B" w:rsidRDefault="00836964" w:rsidP="0095003D">
      <w:pPr>
        <w:pStyle w:val="Puce1"/>
        <w:numPr>
          <w:ilvl w:val="0"/>
          <w:numId w:val="154"/>
        </w:numPr>
        <w:tabs>
          <w:tab w:val="clear" w:pos="36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num" w:pos="1260"/>
        </w:tabs>
        <w:spacing w:before="0" w:after="0"/>
        <w:ind w:left="1260"/>
        <w:rPr>
          <w:rFonts w:cs="Arial"/>
          <w:color w:val="auto"/>
        </w:rPr>
      </w:pPr>
      <w:r w:rsidRPr="005B0E5B">
        <w:rPr>
          <w:rFonts w:cs="Arial"/>
          <w:color w:val="auto"/>
        </w:rPr>
        <w:t>Les travailleurs ayant à manipuler ces produits utiliseront des vêtements et des équipements de protection et emploieront des techniques de manipulation adaptées.</w:t>
      </w:r>
    </w:p>
    <w:p w14:paraId="38C1F74D" w14:textId="77777777" w:rsidR="00836964" w:rsidRPr="005B0E5B" w:rsidRDefault="00836964" w:rsidP="0095003D">
      <w:pPr>
        <w:pStyle w:val="Puce1"/>
        <w:numPr>
          <w:ilvl w:val="0"/>
          <w:numId w:val="154"/>
        </w:numPr>
        <w:tabs>
          <w:tab w:val="clear" w:pos="36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num" w:pos="1260"/>
        </w:tabs>
        <w:spacing w:before="0" w:after="0"/>
        <w:ind w:left="1260"/>
        <w:rPr>
          <w:rFonts w:cs="Arial"/>
          <w:color w:val="auto"/>
        </w:rPr>
      </w:pPr>
      <w:r w:rsidRPr="005B0E5B">
        <w:rPr>
          <w:rFonts w:cs="Arial"/>
          <w:color w:val="auto"/>
        </w:rPr>
        <w:t xml:space="preserve">L'accès des locaux de stockages est réservé au personnel autorisé. Les aires de stockage seront protégées par des clôtures. Elles devront être aménagées pour assurer une protection efficace du sol et du sous-sol et permettre la récupération et l'évacuation des produits et/ou terres éventuellement pollués. </w:t>
      </w:r>
    </w:p>
    <w:p w14:paraId="043907BD" w14:textId="77777777" w:rsidR="00836964" w:rsidRPr="005B0E5B" w:rsidRDefault="00836964" w:rsidP="0095003D">
      <w:pPr>
        <w:pStyle w:val="Puce1"/>
        <w:numPr>
          <w:ilvl w:val="0"/>
          <w:numId w:val="154"/>
        </w:numPr>
        <w:tabs>
          <w:tab w:val="clear" w:pos="36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num" w:pos="1260"/>
        </w:tabs>
        <w:spacing w:before="0" w:after="0"/>
        <w:ind w:left="1260"/>
        <w:rPr>
          <w:rFonts w:cs="Arial"/>
          <w:color w:val="auto"/>
        </w:rPr>
      </w:pPr>
      <w:r w:rsidRPr="005B0E5B">
        <w:rPr>
          <w:rFonts w:cs="Arial"/>
          <w:color w:val="auto"/>
        </w:rPr>
        <w:t>Il est strictement interdit de déverser de l'huile usagée sur le sol. L'Entrepreneur devra assurer la collecte des huiles usagées sur les sites de maintenance des engins dans des fûts adaptés aux opérations de vidange des engins et véhicules. Le sol de ces sites devra être protégé vis-à-vis de tout déversement accidentel.</w:t>
      </w:r>
    </w:p>
    <w:p w14:paraId="1AEA8B12" w14:textId="77777777" w:rsidR="00836964" w:rsidRPr="005B0E5B" w:rsidRDefault="00836964" w:rsidP="00836964">
      <w:pPr>
        <w:pStyle w:val="Puce1"/>
        <w:numPr>
          <w:ilvl w:val="0"/>
          <w:numId w:val="0"/>
        </w:numPr>
        <w:spacing w:before="0" w:after="0"/>
        <w:ind w:left="1260" w:hanging="360"/>
        <w:rPr>
          <w:rFonts w:cs="Arial"/>
          <w:color w:val="auto"/>
        </w:rPr>
      </w:pPr>
    </w:p>
    <w:p w14:paraId="32E5E7DD" w14:textId="77777777" w:rsidR="00836964" w:rsidRPr="005B0E5B" w:rsidRDefault="00836964" w:rsidP="00836964">
      <w:pPr>
        <w:rPr>
          <w:rFonts w:cs="Arial"/>
          <w:b/>
        </w:rPr>
      </w:pPr>
      <w:bookmarkStart w:id="627" w:name="_Toc75583948"/>
      <w:bookmarkStart w:id="628" w:name="_Toc507663929"/>
      <w:r w:rsidRPr="005B0E5B">
        <w:rPr>
          <w:rFonts w:cs="Arial"/>
          <w:b/>
        </w:rPr>
        <w:t>1.3</w:t>
      </w:r>
      <w:r w:rsidRPr="005B0E5B">
        <w:rPr>
          <w:rFonts w:cs="Arial"/>
          <w:b/>
        </w:rPr>
        <w:tab/>
        <w:t>Terrains et lieux des installations de chantier</w:t>
      </w:r>
      <w:bookmarkEnd w:id="627"/>
      <w:bookmarkEnd w:id="628"/>
    </w:p>
    <w:p w14:paraId="38FCD736" w14:textId="77777777" w:rsidR="00836964" w:rsidRPr="005B0E5B" w:rsidRDefault="00836964" w:rsidP="00836964">
      <w:pPr>
        <w:rPr>
          <w:rFonts w:cs="Arial"/>
        </w:rPr>
      </w:pPr>
      <w:r w:rsidRPr="005B0E5B">
        <w:rPr>
          <w:rFonts w:cs="Arial"/>
        </w:rPr>
        <w:t xml:space="preserve">L'Entrepreneur proposera au Maître d'Ouvrage les lieux de ses installations de chantier et présentera un plan des installations de chantier. </w:t>
      </w:r>
      <w:r w:rsidRPr="005B0E5B">
        <w:rPr>
          <w:rFonts w:cs="Arial"/>
          <w:b/>
        </w:rPr>
        <w:t>Un procès-verbal constatant l'état des terrains et des lieux</w:t>
      </w:r>
      <w:r w:rsidRPr="005B0E5B">
        <w:rPr>
          <w:rFonts w:cs="Arial"/>
        </w:rPr>
        <w:t xml:space="preserve"> avant les travaux sera dressé sur chaque site d'installations.</w:t>
      </w:r>
    </w:p>
    <w:p w14:paraId="5F35BC62" w14:textId="77777777" w:rsidR="00836964" w:rsidRPr="005B0E5B" w:rsidRDefault="00836964" w:rsidP="00836964">
      <w:pPr>
        <w:rPr>
          <w:rFonts w:cs="Arial"/>
        </w:rPr>
      </w:pPr>
      <w:r w:rsidRPr="005B0E5B">
        <w:rPr>
          <w:rFonts w:cs="Arial"/>
        </w:rPr>
        <w:t>L'importance des installations est déterminée par le volume et la nature des travaux à réaliser, le nombre d'ouvriers, le nombre et le genre d'engins.</w:t>
      </w:r>
    </w:p>
    <w:p w14:paraId="3C45D827" w14:textId="77777777" w:rsidR="00836964" w:rsidRPr="005B0E5B" w:rsidRDefault="00836964" w:rsidP="00836964">
      <w:pPr>
        <w:rPr>
          <w:rFonts w:cs="Arial"/>
        </w:rPr>
      </w:pPr>
      <w:r w:rsidRPr="005B0E5B">
        <w:rPr>
          <w:rFonts w:cs="Arial"/>
        </w:rPr>
        <w:t>Le site sera choisi en limitant le débroussaillement, l'arrachage d'arbustes, l'abattage des arbres. Les arbres de qualité seront à préserver et à protéger.</w:t>
      </w:r>
    </w:p>
    <w:p w14:paraId="42CBDDD0" w14:textId="77777777" w:rsidR="00836964" w:rsidRPr="005B0E5B" w:rsidRDefault="00836964" w:rsidP="00836964">
      <w:pPr>
        <w:rPr>
          <w:rFonts w:cs="Arial"/>
        </w:rPr>
      </w:pPr>
      <w:r w:rsidRPr="005B0E5B">
        <w:rPr>
          <w:rFonts w:cs="Arial"/>
        </w:rPr>
        <w:t xml:space="preserve">A la fin des travaux, l'Entrepreneur réalisera tous les travaux nécessaires </w:t>
      </w:r>
      <w:r w:rsidRPr="005B0E5B">
        <w:rPr>
          <w:rFonts w:cs="Arial"/>
          <w:b/>
        </w:rPr>
        <w:t>à la remise en état des terrains et des lieux</w:t>
      </w:r>
      <w:r w:rsidRPr="005B0E5B">
        <w:rPr>
          <w:rFonts w:cs="Arial"/>
        </w:rPr>
        <w:t>. Il devra replier tout son matériel, engins et matériaux. Il devra démolir toute installation fixe, telle que fondation, support en béton ou métallique, etc.</w:t>
      </w:r>
    </w:p>
    <w:p w14:paraId="5925E1B1" w14:textId="77777777" w:rsidR="00836964" w:rsidRPr="005B0E5B" w:rsidRDefault="00836964" w:rsidP="00836964">
      <w:pPr>
        <w:rPr>
          <w:rFonts w:cs="Arial"/>
        </w:rPr>
      </w:pPr>
      <w:r w:rsidRPr="005B0E5B">
        <w:rPr>
          <w:rFonts w:cs="Arial"/>
        </w:rPr>
        <w:t>Il devra démolir les aires bétonnées, décontaminer le sol s'il en est besoin, remettre le site dans son état le plus proche possible de son état initial. Il ne pourra abandonner aucun équipement ni matériau sur le site ni dans les environs. Pour la mise en dépôt des matériaux de démolition, l'Entrepreneur devra obtenir l'approbation du Maître d'Ouvrage ou de son représentant.</w:t>
      </w:r>
    </w:p>
    <w:p w14:paraId="3153C588" w14:textId="00AE0857" w:rsidR="00836964" w:rsidRPr="005B0E5B" w:rsidRDefault="00836964" w:rsidP="005247BD">
      <w:pPr>
        <w:rPr>
          <w:rFonts w:cs="Arial"/>
        </w:rPr>
      </w:pPr>
      <w:r w:rsidRPr="005B0E5B">
        <w:rPr>
          <w:rFonts w:cs="Arial"/>
        </w:rPr>
        <w:t xml:space="preserve">Après le repli du matériel, un </w:t>
      </w:r>
      <w:r w:rsidRPr="005B0E5B">
        <w:rPr>
          <w:rFonts w:cs="Arial"/>
          <w:b/>
        </w:rPr>
        <w:t>procès-verbal constatant la remise en état des terrains et des lieux</w:t>
      </w:r>
      <w:r w:rsidRPr="005B0E5B">
        <w:rPr>
          <w:rFonts w:cs="Arial"/>
        </w:rPr>
        <w:t xml:space="preserve"> devra être dressé et joint au procès-verbal de la réception provisoire des travaux.</w:t>
      </w:r>
    </w:p>
    <w:p w14:paraId="714CD3A3" w14:textId="77777777" w:rsidR="00836964" w:rsidRPr="005B0E5B" w:rsidRDefault="00836964" w:rsidP="00836964">
      <w:pPr>
        <w:rPr>
          <w:rFonts w:cs="Arial"/>
          <w:b/>
        </w:rPr>
      </w:pPr>
      <w:bookmarkStart w:id="629" w:name="_Toc71509515"/>
      <w:bookmarkStart w:id="630" w:name="_Toc71511410"/>
      <w:bookmarkStart w:id="631" w:name="_Toc73159821"/>
      <w:bookmarkStart w:id="632" w:name="_Toc507663930"/>
      <w:r w:rsidRPr="005B0E5B">
        <w:rPr>
          <w:rFonts w:cs="Arial"/>
          <w:b/>
        </w:rPr>
        <w:t>1.4</w:t>
      </w:r>
      <w:r w:rsidRPr="005B0E5B">
        <w:rPr>
          <w:rFonts w:cs="Arial"/>
          <w:b/>
        </w:rPr>
        <w:tab/>
        <w:t>Gestion des ressources humaines</w:t>
      </w:r>
      <w:bookmarkEnd w:id="629"/>
      <w:bookmarkEnd w:id="630"/>
      <w:bookmarkEnd w:id="631"/>
      <w:bookmarkEnd w:id="632"/>
      <w:r w:rsidRPr="005B0E5B">
        <w:rPr>
          <w:rFonts w:cs="Arial"/>
          <w:b/>
        </w:rPr>
        <w:t> :</w:t>
      </w:r>
    </w:p>
    <w:p w14:paraId="2B60013D" w14:textId="77777777" w:rsidR="00836964" w:rsidRPr="005B0E5B" w:rsidRDefault="00836964" w:rsidP="00836964">
      <w:pPr>
        <w:rPr>
          <w:rFonts w:cs="Arial"/>
        </w:rPr>
      </w:pPr>
      <w:r w:rsidRPr="005B0E5B">
        <w:rPr>
          <w:rFonts w:cs="Arial"/>
        </w:rPr>
        <w:t>Le Maître d’Œuvre peut exiger à tout moment de l’Entrepreneur la justification qu’il est en règle, en ce qui concerne l’application à son personnel employé à l’exécution des travaux objet du Marché, à l’égard de la législation sociale, notamment en matière de salaires, d’hygiène et de sécurité.</w:t>
      </w:r>
    </w:p>
    <w:p w14:paraId="5FC58FBF" w14:textId="77777777" w:rsidR="00836964" w:rsidRPr="005B0E5B" w:rsidRDefault="00836964" w:rsidP="00836964">
      <w:pPr>
        <w:rPr>
          <w:rFonts w:cs="Arial"/>
        </w:rPr>
      </w:pPr>
      <w:r w:rsidRPr="005B0E5B">
        <w:rPr>
          <w:rFonts w:cs="Arial"/>
        </w:rPr>
        <w:t>Indépendamment des obligations prescrites par les lois et règlements concernant la main-d’œuvre, l’Entrepreneur est tenu de communiquer au Maître d’œuvre, sur sa demande, la liste nominative à jour du personnel qu’il emploie avec leur qualification.</w:t>
      </w:r>
    </w:p>
    <w:p w14:paraId="5F50F8CB" w14:textId="77777777" w:rsidR="00836964" w:rsidRPr="005B0E5B" w:rsidRDefault="00836964" w:rsidP="00836964">
      <w:pPr>
        <w:rPr>
          <w:rFonts w:cs="Arial"/>
        </w:rPr>
      </w:pPr>
      <w:r w:rsidRPr="005B0E5B">
        <w:rPr>
          <w:rFonts w:cs="Arial"/>
        </w:rPr>
        <w:t>L’Entrepreneur peut, s’il le juge utile et après accord du Maître d’œuvre, demander et utiliser après les avoir obtenues les dérogations à la réglementation en vigueur et aux conventions collectives existantes.  Aucune majoration du ou des prix, ni aucun paiement supplémentaire n’est accordé à l’Entrepreneur du fait de ces dérogations</w:t>
      </w:r>
    </w:p>
    <w:p w14:paraId="0C091210" w14:textId="77777777" w:rsidR="00836964" w:rsidRPr="005B0E5B" w:rsidRDefault="00836964" w:rsidP="00836964">
      <w:pPr>
        <w:rPr>
          <w:rFonts w:cs="Arial"/>
        </w:rPr>
      </w:pPr>
      <w:r w:rsidRPr="005B0E5B">
        <w:rPr>
          <w:rFonts w:cs="Arial"/>
        </w:rPr>
        <w:t>L’Entrepreneur doit, sauf disposition contraire du Marché, faire son affaire du recrutement du personnel et de la main-d’œuvre, d’origine nationale ou non, ainsi que de leur rémunération, hébergement, ravitaillement et transport dans le strict respect de la réglementation en vigueur en se conformant, en particulier, à la réglementation du travail (notamment en ce qui concerne les horaires de travail et les jours de repos), à la réglementation sociale et à l’ensemble de la réglementation applicable en matière d’hygiène et de sécurité.</w:t>
      </w:r>
    </w:p>
    <w:p w14:paraId="430EC465" w14:textId="77777777" w:rsidR="00836964" w:rsidRPr="005B0E5B" w:rsidRDefault="00836964" w:rsidP="00836964">
      <w:pPr>
        <w:rPr>
          <w:rFonts w:cs="Arial"/>
        </w:rPr>
      </w:pPr>
      <w:r w:rsidRPr="005B0E5B">
        <w:rPr>
          <w:rFonts w:cs="Arial"/>
        </w:rPr>
        <w:t>Le Maître d’œuvre peut exiger le départ du chantier de toute personne employée par l’Entrepreneur faisant preuve d’incapacité ou coupable de négligences, imprudences répétées ou défaut de probité et, plus généralement, de toute personne employée par lui et dont l’action est contraire à la bonne exécution des travaux.</w:t>
      </w:r>
    </w:p>
    <w:p w14:paraId="677806A0" w14:textId="77777777" w:rsidR="00836964" w:rsidRPr="005B0E5B" w:rsidRDefault="00836964" w:rsidP="00836964">
      <w:pPr>
        <w:rPr>
          <w:rFonts w:cs="Arial"/>
        </w:rPr>
      </w:pPr>
      <w:r w:rsidRPr="005B0E5B">
        <w:rPr>
          <w:rFonts w:cs="Arial"/>
        </w:rPr>
        <w:t>L’Entrepreneur supporte seul les conséquences dommageables des fraudes ou malfaçons commises par les personnes qu’il emploie dans l’exécution des travaux.</w:t>
      </w:r>
    </w:p>
    <w:p w14:paraId="449A5ADD" w14:textId="77777777" w:rsidR="00836964" w:rsidRPr="005B0E5B" w:rsidRDefault="00836964" w:rsidP="0095003D">
      <w:pPr>
        <w:pStyle w:val="Paragraphedeliste"/>
        <w:numPr>
          <w:ilvl w:val="0"/>
          <w:numId w:val="150"/>
        </w:numPr>
        <w:spacing w:after="0"/>
        <w:rPr>
          <w:rFonts w:cs="Arial"/>
          <w:b/>
        </w:rPr>
      </w:pPr>
      <w:bookmarkStart w:id="633" w:name="_Toc71509516"/>
      <w:bookmarkStart w:id="634" w:name="_Toc71511411"/>
      <w:bookmarkStart w:id="635" w:name="_Toc71536607"/>
      <w:bookmarkStart w:id="636" w:name="_Toc75666653"/>
      <w:bookmarkStart w:id="637" w:name="_Toc75697237"/>
      <w:bookmarkStart w:id="638" w:name="_Toc75738292"/>
      <w:bookmarkStart w:id="639" w:name="_Toc75738738"/>
      <w:r w:rsidRPr="005B0E5B">
        <w:rPr>
          <w:rFonts w:cs="Arial"/>
          <w:b/>
        </w:rPr>
        <w:t>Prescriptions spécifiques au recrutement du personnel non qualifié</w:t>
      </w:r>
      <w:bookmarkEnd w:id="633"/>
      <w:bookmarkEnd w:id="634"/>
      <w:bookmarkEnd w:id="635"/>
      <w:bookmarkEnd w:id="636"/>
      <w:bookmarkEnd w:id="637"/>
      <w:bookmarkEnd w:id="638"/>
      <w:bookmarkEnd w:id="639"/>
    </w:p>
    <w:p w14:paraId="709CBAE8" w14:textId="77777777" w:rsidR="00836964" w:rsidRPr="005B0E5B" w:rsidRDefault="00836964" w:rsidP="00836964">
      <w:pPr>
        <w:rPr>
          <w:rFonts w:cs="Arial"/>
        </w:rPr>
      </w:pPr>
      <w:r w:rsidRPr="005B0E5B">
        <w:rPr>
          <w:rFonts w:cs="Arial"/>
        </w:rPr>
        <w:t>Pour l'emploi des personnels non qualifiés, l'Entrepreneur devra mettre en œuvre un certain nombre de prescriptions :</w:t>
      </w:r>
    </w:p>
    <w:p w14:paraId="795EDFE0" w14:textId="77777777" w:rsidR="00836964" w:rsidRPr="005B0E5B" w:rsidRDefault="00836964" w:rsidP="0095003D">
      <w:pPr>
        <w:numPr>
          <w:ilvl w:val="0"/>
          <w:numId w:val="157"/>
        </w:numPr>
        <w:spacing w:after="0"/>
        <w:rPr>
          <w:rFonts w:cs="Arial"/>
        </w:rPr>
      </w:pPr>
      <w:r w:rsidRPr="005B0E5B">
        <w:rPr>
          <w:rFonts w:cs="Arial"/>
        </w:rPr>
        <w:t>Maximiser l'emploi de personnes issues des populations voisines du chantier.</w:t>
      </w:r>
    </w:p>
    <w:p w14:paraId="47BF97F3" w14:textId="77777777" w:rsidR="00836964" w:rsidRPr="005B0E5B" w:rsidRDefault="00836964" w:rsidP="0095003D">
      <w:pPr>
        <w:numPr>
          <w:ilvl w:val="0"/>
          <w:numId w:val="157"/>
        </w:numPr>
        <w:spacing w:after="0"/>
        <w:rPr>
          <w:rFonts w:cs="Arial"/>
        </w:rPr>
      </w:pPr>
      <w:r w:rsidRPr="005B0E5B">
        <w:rPr>
          <w:rFonts w:cs="Arial"/>
        </w:rPr>
        <w:t>Établir des procédures d'embauche et de débauche transparentes.</w:t>
      </w:r>
    </w:p>
    <w:p w14:paraId="1C351D9F" w14:textId="77777777" w:rsidR="00836964" w:rsidRPr="005B0E5B" w:rsidRDefault="00836964" w:rsidP="0095003D">
      <w:pPr>
        <w:numPr>
          <w:ilvl w:val="0"/>
          <w:numId w:val="157"/>
        </w:numPr>
        <w:spacing w:after="0"/>
        <w:rPr>
          <w:rFonts w:cs="Arial"/>
        </w:rPr>
      </w:pPr>
      <w:r w:rsidRPr="005B0E5B">
        <w:rPr>
          <w:rFonts w:cs="Arial"/>
        </w:rPr>
        <w:t xml:space="preserve">Établir une politique de communication et d'information explicitant ces procédures d'embauche et de débauche. Cette politique de communication s'adressera aux populations et aux diverses autorités administratives. </w:t>
      </w:r>
    </w:p>
    <w:p w14:paraId="3CBE1628" w14:textId="77777777" w:rsidR="00836964" w:rsidRPr="005B0E5B" w:rsidRDefault="00836964" w:rsidP="0095003D">
      <w:pPr>
        <w:numPr>
          <w:ilvl w:val="0"/>
          <w:numId w:val="157"/>
        </w:numPr>
        <w:spacing w:after="0"/>
        <w:rPr>
          <w:rFonts w:cs="Arial"/>
        </w:rPr>
      </w:pPr>
      <w:r w:rsidRPr="005B0E5B">
        <w:rPr>
          <w:rFonts w:cs="Arial"/>
        </w:rPr>
        <w:t>S'assurer que les conditions d'embauche et de débauche soient parfaitement comprises et acceptées.</w:t>
      </w:r>
    </w:p>
    <w:p w14:paraId="6364DB9D" w14:textId="77777777" w:rsidR="00836964" w:rsidRPr="005B0E5B" w:rsidRDefault="00836964" w:rsidP="0095003D">
      <w:pPr>
        <w:numPr>
          <w:ilvl w:val="0"/>
          <w:numId w:val="157"/>
        </w:numPr>
        <w:spacing w:after="0"/>
        <w:ind w:left="1570" w:hanging="357"/>
        <w:rPr>
          <w:rFonts w:cs="Arial"/>
        </w:rPr>
      </w:pPr>
      <w:r w:rsidRPr="005B0E5B">
        <w:rPr>
          <w:rFonts w:cs="Arial"/>
        </w:rPr>
        <w:t>Les mesures de sécurités et de santé en vigueur sur le chantier devront être appliquées avec un soin particulier au personnel sans qualification recruté temporairement.</w:t>
      </w:r>
    </w:p>
    <w:p w14:paraId="0B426F17" w14:textId="543AAC61" w:rsidR="00836964" w:rsidRPr="005B0E5B" w:rsidRDefault="00836964" w:rsidP="00836964">
      <w:pPr>
        <w:rPr>
          <w:rFonts w:cs="Arial"/>
        </w:rPr>
      </w:pPr>
      <w:r w:rsidRPr="005B0E5B">
        <w:rPr>
          <w:rFonts w:cs="Arial"/>
        </w:rPr>
        <w:t>Pendant l'exécution du chantier, l'Entrepreneur établira un tableau de suivi de l'embauche et de la débauche du personnel non qualifié. Il contiendra au moins les données suivantes : une liste nominative, la durée (en jours) de l'embauche, la date d'embauche, la date de débauche et l'origine géographique du personnel temporaire.</w:t>
      </w:r>
      <w:bookmarkStart w:id="640" w:name="_Toc507663931"/>
    </w:p>
    <w:p w14:paraId="0EAC7A68" w14:textId="77777777" w:rsidR="00836964" w:rsidRPr="005B0E5B" w:rsidRDefault="00836964" w:rsidP="00836964">
      <w:pPr>
        <w:rPr>
          <w:rFonts w:cs="Arial"/>
          <w:b/>
        </w:rPr>
      </w:pPr>
      <w:r w:rsidRPr="005B0E5B">
        <w:rPr>
          <w:rFonts w:cs="Arial"/>
          <w:b/>
        </w:rPr>
        <w:t>1.5</w:t>
      </w:r>
      <w:r w:rsidRPr="005B0E5B">
        <w:rPr>
          <w:rFonts w:cs="Arial"/>
          <w:b/>
        </w:rPr>
        <w:tab/>
      </w:r>
      <w:bookmarkStart w:id="641" w:name="_Toc71509533"/>
      <w:bookmarkStart w:id="642" w:name="_Toc71511426"/>
      <w:bookmarkStart w:id="643" w:name="_Toc75583957"/>
      <w:r w:rsidRPr="005B0E5B">
        <w:rPr>
          <w:rFonts w:cs="Arial"/>
          <w:b/>
        </w:rPr>
        <w:t>Communication et information dirigées vers les populations ainsi que les autorités locales</w:t>
      </w:r>
      <w:bookmarkEnd w:id="640"/>
      <w:bookmarkEnd w:id="641"/>
      <w:bookmarkEnd w:id="642"/>
      <w:bookmarkEnd w:id="643"/>
    </w:p>
    <w:p w14:paraId="09E0B257" w14:textId="77777777" w:rsidR="00836964" w:rsidRPr="005B0E5B" w:rsidRDefault="00836964" w:rsidP="00836964">
      <w:pPr>
        <w:rPr>
          <w:rFonts w:cs="Arial"/>
        </w:rPr>
      </w:pPr>
      <w:r w:rsidRPr="005B0E5B">
        <w:rPr>
          <w:rFonts w:cs="Arial"/>
        </w:rPr>
        <w:t>L’Entrepreneur informera les autorités locales et les populations du but, de la nature et du déroulement des travaux, avec les objectifs suivants :</w:t>
      </w:r>
    </w:p>
    <w:p w14:paraId="36C39405" w14:textId="77777777" w:rsidR="00836964" w:rsidRPr="005B0E5B" w:rsidRDefault="00836964" w:rsidP="0095003D">
      <w:pPr>
        <w:numPr>
          <w:ilvl w:val="0"/>
          <w:numId w:val="155"/>
        </w:numPr>
        <w:tabs>
          <w:tab w:val="clear" w:pos="1620"/>
          <w:tab w:val="num" w:pos="1080"/>
        </w:tabs>
        <w:spacing w:after="0"/>
        <w:ind w:left="1080"/>
        <w:rPr>
          <w:rFonts w:cs="Arial"/>
        </w:rPr>
      </w:pPr>
      <w:r w:rsidRPr="005B0E5B">
        <w:rPr>
          <w:rFonts w:cs="Arial"/>
        </w:rPr>
        <w:t>De permettre aux populations de prendre toutes les mesures qu’ils jugeront nécessaires, afin d'assurer, entre autres, leur sécurité et de leur permettre d'organiser leurs activités en tenant compte du déroulement du chantier.</w:t>
      </w:r>
    </w:p>
    <w:p w14:paraId="08125258" w14:textId="77777777" w:rsidR="00836964" w:rsidRPr="005B0E5B" w:rsidRDefault="00836964" w:rsidP="0095003D">
      <w:pPr>
        <w:numPr>
          <w:ilvl w:val="0"/>
          <w:numId w:val="155"/>
        </w:numPr>
        <w:tabs>
          <w:tab w:val="clear" w:pos="1620"/>
          <w:tab w:val="num" w:pos="1080"/>
        </w:tabs>
        <w:spacing w:after="0"/>
        <w:ind w:left="1080"/>
        <w:rPr>
          <w:rFonts w:cs="Arial"/>
        </w:rPr>
      </w:pPr>
      <w:r w:rsidRPr="005B0E5B">
        <w:rPr>
          <w:rFonts w:cs="Arial"/>
        </w:rPr>
        <w:t>De permettre aux populations et autorités d'émettre leurs objections ou leurs remarques par rapport au projet afin que l'ensemble des parties prenantes trouvent, si nécessaires, une conciliation.</w:t>
      </w:r>
    </w:p>
    <w:p w14:paraId="41EDBB3B" w14:textId="77777777" w:rsidR="00836964" w:rsidRPr="005B0E5B" w:rsidRDefault="00836964" w:rsidP="0095003D">
      <w:pPr>
        <w:numPr>
          <w:ilvl w:val="0"/>
          <w:numId w:val="155"/>
        </w:numPr>
        <w:tabs>
          <w:tab w:val="clear" w:pos="1620"/>
          <w:tab w:val="num" w:pos="1080"/>
        </w:tabs>
        <w:spacing w:after="0"/>
        <w:ind w:left="1080"/>
        <w:rPr>
          <w:rFonts w:cs="Arial"/>
        </w:rPr>
      </w:pPr>
      <w:r w:rsidRPr="005B0E5B">
        <w:rPr>
          <w:rFonts w:cs="Arial"/>
        </w:rPr>
        <w:t>De rendre transparente la politique de recueil, traitement et transmission des doléances vis-à-vis du chantier ou de l'Entrepreneur (Cf. gestion des conflits).</w:t>
      </w:r>
    </w:p>
    <w:p w14:paraId="5834A84A" w14:textId="77777777" w:rsidR="00836964" w:rsidRPr="005B0E5B" w:rsidRDefault="00836964" w:rsidP="0095003D">
      <w:pPr>
        <w:numPr>
          <w:ilvl w:val="0"/>
          <w:numId w:val="155"/>
        </w:numPr>
        <w:tabs>
          <w:tab w:val="clear" w:pos="1620"/>
          <w:tab w:val="num" w:pos="1080"/>
        </w:tabs>
        <w:spacing w:after="0"/>
        <w:ind w:left="1080"/>
        <w:rPr>
          <w:rFonts w:cs="Arial"/>
        </w:rPr>
      </w:pPr>
      <w:r w:rsidRPr="005B0E5B">
        <w:rPr>
          <w:rFonts w:cs="Arial"/>
        </w:rPr>
        <w:t>D'identifier à l'avance les échéances socio-économiques et/ou les difficultés que pourraient rencontrer le chantier.</w:t>
      </w:r>
    </w:p>
    <w:p w14:paraId="7B225422" w14:textId="77777777" w:rsidR="00836964" w:rsidRPr="005B0E5B" w:rsidRDefault="00836964" w:rsidP="00836964">
      <w:pPr>
        <w:rPr>
          <w:rFonts w:cs="Arial"/>
        </w:rPr>
      </w:pPr>
      <w:r w:rsidRPr="005B0E5B">
        <w:rPr>
          <w:rFonts w:cs="Arial"/>
        </w:rPr>
        <w:t>Cette diffusion de l'information devrait permettre de construire des relations de coopération avec les autorités nationales et locales.</w:t>
      </w:r>
    </w:p>
    <w:p w14:paraId="50C15667" w14:textId="77777777" w:rsidR="00836964" w:rsidRPr="005B0E5B" w:rsidRDefault="00836964" w:rsidP="00836964">
      <w:pPr>
        <w:rPr>
          <w:rFonts w:cs="Arial"/>
        </w:rPr>
      </w:pPr>
      <w:r w:rsidRPr="005B0E5B">
        <w:rPr>
          <w:rFonts w:cs="Arial"/>
        </w:rPr>
        <w:t>L'Entrepreneur est libre de choisir les moyens de communication et d'information pourvu que leur efficacité soit avérée. C'est-à-dire que les populations ainsi que les autorités locales et nationales soient averties de l'ensemble des points évoqués dans les paragraphes précédents et suivants avant l'ouverture d'un chantier dans leur voisinage.</w:t>
      </w:r>
    </w:p>
    <w:p w14:paraId="7783295E" w14:textId="77777777" w:rsidR="00836964" w:rsidRPr="005B0E5B" w:rsidRDefault="00836964" w:rsidP="00836964">
      <w:pPr>
        <w:rPr>
          <w:rFonts w:cs="Arial"/>
        </w:rPr>
      </w:pPr>
      <w:r w:rsidRPr="005B0E5B">
        <w:rPr>
          <w:rFonts w:cs="Arial"/>
        </w:rPr>
        <w:t>Chaque opération d'information et de communication sera l'objet d'un rapport au Maître d'Œuvre. Si le support du message est un tract ou une affiche, un exemplaire sera communiqué au Maître d’Œuvre et les points d'affichage et/ou de distribution seront notifiés. Si la communication s'est effectuée au cours d'une réunion ou par un moyen audiovisuel, le rapport contiendra les thématiques du message, les interventions du public, ses questions et les réponses fournies par le délégué de l'Entrepreneur, le nom des personnes qui ont pris part à la séance d'information y compris le(s) délégué(s) de l'Entrepreneur.</w:t>
      </w:r>
    </w:p>
    <w:p w14:paraId="3975D476" w14:textId="77777777" w:rsidR="00836964" w:rsidRPr="005B0E5B" w:rsidRDefault="00836964" w:rsidP="00836964">
      <w:pPr>
        <w:rPr>
          <w:rFonts w:cs="Arial"/>
          <w:b/>
        </w:rPr>
      </w:pPr>
      <w:bookmarkStart w:id="644" w:name="_Toc71509534"/>
      <w:bookmarkStart w:id="645" w:name="_Toc71511427"/>
      <w:bookmarkStart w:id="646" w:name="_Toc75583958"/>
      <w:bookmarkStart w:id="647" w:name="_Toc507663932"/>
      <w:r w:rsidRPr="005B0E5B">
        <w:rPr>
          <w:rFonts w:cs="Arial"/>
          <w:b/>
        </w:rPr>
        <w:t>1.6</w:t>
      </w:r>
      <w:r w:rsidRPr="005B0E5B">
        <w:rPr>
          <w:rFonts w:cs="Arial"/>
          <w:b/>
        </w:rPr>
        <w:tab/>
        <w:t>Gestion des conflits</w:t>
      </w:r>
      <w:bookmarkEnd w:id="644"/>
      <w:bookmarkEnd w:id="645"/>
      <w:bookmarkEnd w:id="646"/>
      <w:bookmarkEnd w:id="647"/>
    </w:p>
    <w:p w14:paraId="786497F1" w14:textId="77777777" w:rsidR="00836964" w:rsidRPr="005B0E5B" w:rsidRDefault="00836964" w:rsidP="00836964">
      <w:pPr>
        <w:rPr>
          <w:rFonts w:cs="Arial"/>
        </w:rPr>
      </w:pPr>
      <w:r w:rsidRPr="005B0E5B">
        <w:rPr>
          <w:rFonts w:cs="Arial"/>
        </w:rPr>
        <w:t xml:space="preserve">Les conflits pourront être collectifs ou individuels. L'Entrepreneur proposera des procédures pour trouver une solution à ces conflits. Elles pourront être modifiées pour que l'ensemble des parties prenantes les acceptent et les jugent équitables à la fois dans leur processus de résolution et leur processus de règlement. Si l'Entreprise est reconnue comme fautive, elle appliquera une procédure correctrice ou compensatrice qu'elle aura mise au point et qui devra être rapide et équitable. </w:t>
      </w:r>
    </w:p>
    <w:p w14:paraId="39F5B396" w14:textId="77777777" w:rsidR="00836964" w:rsidRPr="005B0E5B" w:rsidRDefault="00836964" w:rsidP="00836964">
      <w:pPr>
        <w:rPr>
          <w:rFonts w:cs="Arial"/>
        </w:rPr>
      </w:pPr>
      <w:r w:rsidRPr="005B0E5B">
        <w:rPr>
          <w:rFonts w:cs="Arial"/>
        </w:rPr>
        <w:t>Les conflits collectifs et individuels feront l'objet d'une procédure de consignation élaboré par l'Entrepreneur. Ce rapport fera l'objet d'une transmission rapide au Maître d'Œuvre. Si possible, tout conflit collectif sera signalé immédiatement au Maître d'Œuvre par un moyen de communication à déterminer par l'Entrepreneur.</w:t>
      </w:r>
    </w:p>
    <w:p w14:paraId="21F7618D" w14:textId="77777777" w:rsidR="00836964" w:rsidRPr="005B0E5B" w:rsidRDefault="00836964" w:rsidP="00836964">
      <w:pPr>
        <w:rPr>
          <w:rFonts w:cs="Arial"/>
        </w:rPr>
      </w:pPr>
    </w:p>
    <w:p w14:paraId="2A6632D1" w14:textId="77777777" w:rsidR="00836964" w:rsidRPr="005B0E5B" w:rsidRDefault="00836964" w:rsidP="00836964">
      <w:pPr>
        <w:rPr>
          <w:rFonts w:cs="Arial"/>
        </w:rPr>
      </w:pPr>
      <w:r w:rsidRPr="005B0E5B">
        <w:rPr>
          <w:rFonts w:cs="Arial"/>
        </w:rPr>
        <w:t>Dès l'offre, l'Entrepreneur nommera un responsable de la résolution des conflits dont la fonction sera de diriger les négociations et résolutions afférentes, de consigner la nature du conflit, l'identité des parties prenantes, les étapes de sa résolution et de sa clôture. Ces informations pourront faire l'objet de rapports successifs disjoints mais, lorsque le conflit sera clos, un rapport global sera élaboré.</w:t>
      </w:r>
    </w:p>
    <w:p w14:paraId="144AE5B9" w14:textId="77777777" w:rsidR="00836964" w:rsidRPr="005B0E5B" w:rsidRDefault="00836964" w:rsidP="0095003D">
      <w:pPr>
        <w:pStyle w:val="Paragraphedeliste"/>
        <w:numPr>
          <w:ilvl w:val="0"/>
          <w:numId w:val="159"/>
        </w:numPr>
        <w:spacing w:after="0"/>
        <w:rPr>
          <w:rFonts w:cs="Arial"/>
          <w:b/>
        </w:rPr>
      </w:pPr>
      <w:bookmarkStart w:id="648" w:name="_Toc71509535"/>
      <w:bookmarkStart w:id="649" w:name="_Toc71511428"/>
      <w:r w:rsidRPr="005B0E5B">
        <w:rPr>
          <w:rFonts w:cs="Arial"/>
          <w:b/>
        </w:rPr>
        <w:t>Conflits individuels</w:t>
      </w:r>
      <w:bookmarkEnd w:id="648"/>
      <w:bookmarkEnd w:id="649"/>
    </w:p>
    <w:p w14:paraId="185B9FEF" w14:textId="77777777" w:rsidR="00836964" w:rsidRPr="005B0E5B" w:rsidRDefault="00836964" w:rsidP="00836964">
      <w:pPr>
        <w:rPr>
          <w:rFonts w:cs="Arial"/>
        </w:rPr>
      </w:pPr>
      <w:r w:rsidRPr="005B0E5B">
        <w:rPr>
          <w:rFonts w:cs="Arial"/>
        </w:rPr>
        <w:t>Il s'agira :</w:t>
      </w:r>
    </w:p>
    <w:p w14:paraId="0E13505F" w14:textId="77777777" w:rsidR="00836964" w:rsidRPr="005B0E5B" w:rsidRDefault="00836964" w:rsidP="0095003D">
      <w:pPr>
        <w:numPr>
          <w:ilvl w:val="0"/>
          <w:numId w:val="156"/>
        </w:numPr>
        <w:spacing w:after="0"/>
        <w:rPr>
          <w:rFonts w:cs="Arial"/>
        </w:rPr>
      </w:pPr>
      <w:r w:rsidRPr="005B0E5B">
        <w:rPr>
          <w:rFonts w:cs="Arial"/>
        </w:rPr>
        <w:t>Des éventuelles et inattendues détériorations de biens individuels provoquées au cours du chantier par une action intentionnelle ou non.</w:t>
      </w:r>
    </w:p>
    <w:p w14:paraId="15FEF700" w14:textId="77777777" w:rsidR="00836964" w:rsidRPr="005B0E5B" w:rsidRDefault="00836964" w:rsidP="0095003D">
      <w:pPr>
        <w:numPr>
          <w:ilvl w:val="0"/>
          <w:numId w:val="156"/>
        </w:numPr>
        <w:spacing w:after="0"/>
        <w:rPr>
          <w:rFonts w:cs="Arial"/>
        </w:rPr>
      </w:pPr>
      <w:r w:rsidRPr="005B0E5B">
        <w:rPr>
          <w:rFonts w:cs="Arial"/>
        </w:rPr>
        <w:t>De la destruction partielle ou totale d'un bien individuel nécessaire pour la réalisation du chantier.</w:t>
      </w:r>
    </w:p>
    <w:p w14:paraId="71566E19" w14:textId="77777777" w:rsidR="00836964" w:rsidRPr="005B0E5B" w:rsidRDefault="00836964" w:rsidP="0095003D">
      <w:pPr>
        <w:numPr>
          <w:ilvl w:val="0"/>
          <w:numId w:val="156"/>
        </w:numPr>
        <w:spacing w:after="0"/>
        <w:rPr>
          <w:rFonts w:cs="Arial"/>
        </w:rPr>
      </w:pPr>
      <w:r w:rsidRPr="005B0E5B">
        <w:rPr>
          <w:rFonts w:cs="Arial"/>
        </w:rPr>
        <w:t>Des doléances vis-à-vis du chantier et de l'Entrepreneur.</w:t>
      </w:r>
    </w:p>
    <w:p w14:paraId="49E74B49" w14:textId="77777777" w:rsidR="00836964" w:rsidRPr="005B0E5B" w:rsidRDefault="00836964" w:rsidP="0095003D">
      <w:pPr>
        <w:pStyle w:val="Paragraphedeliste"/>
        <w:numPr>
          <w:ilvl w:val="0"/>
          <w:numId w:val="159"/>
        </w:numPr>
        <w:spacing w:after="0"/>
        <w:rPr>
          <w:rFonts w:cs="Arial"/>
          <w:b/>
        </w:rPr>
      </w:pPr>
      <w:bookmarkStart w:id="650" w:name="_Toc71509536"/>
      <w:bookmarkStart w:id="651" w:name="_Toc71511429"/>
      <w:r w:rsidRPr="005B0E5B">
        <w:rPr>
          <w:rFonts w:cs="Arial"/>
          <w:b/>
        </w:rPr>
        <w:t>Conflits collectifs</w:t>
      </w:r>
      <w:bookmarkEnd w:id="650"/>
      <w:bookmarkEnd w:id="651"/>
    </w:p>
    <w:p w14:paraId="494002D7" w14:textId="77777777" w:rsidR="00836964" w:rsidRPr="005B0E5B" w:rsidRDefault="00836964" w:rsidP="00836964">
      <w:pPr>
        <w:rPr>
          <w:rFonts w:cs="Arial"/>
        </w:rPr>
      </w:pPr>
      <w:r w:rsidRPr="005B0E5B">
        <w:rPr>
          <w:rFonts w:cs="Arial"/>
        </w:rPr>
        <w:t xml:space="preserve">Ce sont des conflits qui opposeront l'Entrepreneur à ses employés ou à une communauté. </w:t>
      </w:r>
    </w:p>
    <w:p w14:paraId="37B9CB59" w14:textId="77777777" w:rsidR="00836964" w:rsidRPr="005B0E5B" w:rsidRDefault="00836964" w:rsidP="00836964">
      <w:pPr>
        <w:rPr>
          <w:rFonts w:cs="Arial"/>
        </w:rPr>
      </w:pPr>
      <w:r w:rsidRPr="005B0E5B">
        <w:rPr>
          <w:rFonts w:cs="Arial"/>
        </w:rPr>
        <w:t>En ce qui concerne ce type de conflits, en plus des exigences générales, l'Entrepreneur établira une liste de personnes ou de fonctions administratives (ou autres) ressources qui pourront, éventuellement jouer le rôle de médiateur et/ou assurer la sécurité de l'ensemble des parties prenantes ainsi que la sauvegarde de leurs biens.</w:t>
      </w:r>
    </w:p>
    <w:p w14:paraId="33A208C2" w14:textId="77777777" w:rsidR="00836964" w:rsidRPr="005B0E5B" w:rsidRDefault="00836964" w:rsidP="00836964">
      <w:pPr>
        <w:rPr>
          <w:rFonts w:cs="Arial"/>
        </w:rPr>
      </w:pPr>
      <w:r w:rsidRPr="005B0E5B">
        <w:rPr>
          <w:rFonts w:cs="Arial"/>
        </w:rPr>
        <w:t>L'Entrepreneur élabora une procédure qui visera à assurer la sécurité de son personnel en cas de conflits collectifs. Elle comprendra les consignes que le personnel devra strictement observer pour sa propre protection et la protection des autres parties prenantes. Cette procédure sera l'objet d'une formation particulière qui sera fournie avant le début des travaux ou à l'arrivée d'un employé temporaire ou d'un visiteur.</w:t>
      </w:r>
    </w:p>
    <w:p w14:paraId="524E5230" w14:textId="77777777" w:rsidR="00836964" w:rsidRPr="005B0E5B" w:rsidRDefault="00836964" w:rsidP="00836964">
      <w:pPr>
        <w:rPr>
          <w:rFonts w:cs="Arial"/>
          <w:b/>
        </w:rPr>
      </w:pPr>
      <w:bookmarkStart w:id="652" w:name="_Toc71509517"/>
      <w:bookmarkStart w:id="653" w:name="_Toc71511412"/>
      <w:bookmarkStart w:id="654" w:name="_Toc73159822"/>
      <w:bookmarkStart w:id="655" w:name="_Toc507663933"/>
      <w:r w:rsidRPr="005B0E5B">
        <w:rPr>
          <w:rFonts w:cs="Arial"/>
          <w:b/>
        </w:rPr>
        <w:t>1.7</w:t>
      </w:r>
      <w:r w:rsidRPr="005B0E5B">
        <w:rPr>
          <w:rFonts w:cs="Arial"/>
          <w:b/>
        </w:rPr>
        <w:tab/>
        <w:t>Santé et sécurité sur les chantiers</w:t>
      </w:r>
      <w:bookmarkEnd w:id="652"/>
      <w:bookmarkEnd w:id="653"/>
      <w:bookmarkEnd w:id="654"/>
      <w:bookmarkEnd w:id="655"/>
    </w:p>
    <w:p w14:paraId="21B3CEAF" w14:textId="77777777" w:rsidR="00836964" w:rsidRPr="005B0E5B" w:rsidRDefault="00836964" w:rsidP="00836964">
      <w:pPr>
        <w:rPr>
          <w:rFonts w:cs="Arial"/>
        </w:rPr>
      </w:pPr>
      <w:r w:rsidRPr="005B0E5B">
        <w:rPr>
          <w:rFonts w:cs="Arial"/>
        </w:rPr>
        <w:t xml:space="preserve">L’Entrepreneur doit prendre sur ses chantiers toutes les mesures d’ordre et de sécurité propres à éviter des accidents, tant à l’égard du personnel qu’à l’égard des tiers. Il organise un </w:t>
      </w:r>
      <w:r w:rsidRPr="005B0E5B">
        <w:rPr>
          <w:rFonts w:cs="Arial"/>
          <w:b/>
        </w:rPr>
        <w:t>service médical</w:t>
      </w:r>
      <w:r w:rsidRPr="005B0E5B">
        <w:rPr>
          <w:rFonts w:cs="Arial"/>
        </w:rPr>
        <w:t xml:space="preserve"> courant et d'urgence sur le chantier, adapté au nombre de son personnel.</w:t>
      </w:r>
    </w:p>
    <w:p w14:paraId="2B41063E" w14:textId="77777777" w:rsidR="00836964" w:rsidRPr="005B0E5B" w:rsidRDefault="00836964" w:rsidP="00836964">
      <w:pPr>
        <w:rPr>
          <w:rFonts w:cs="Arial"/>
        </w:rPr>
      </w:pPr>
      <w:r w:rsidRPr="005B0E5B">
        <w:rPr>
          <w:rFonts w:cs="Arial"/>
        </w:rPr>
        <w:t>L’Entrepreneur est tenu d’observer tous les règlements et consignes de l’autorité compétente. Il assure notamment l’éclairage et le gardiennage de ses chantiers, ainsi que leur signalisation tant intérieure qu’extérieure.  Il assure également, en tant que de besoin, la clôture de ses chantiers.</w:t>
      </w:r>
    </w:p>
    <w:p w14:paraId="2C0AF631" w14:textId="77777777" w:rsidR="00836964" w:rsidRPr="005B0E5B" w:rsidRDefault="00836964" w:rsidP="00836964">
      <w:pPr>
        <w:rPr>
          <w:rFonts w:cs="Arial"/>
        </w:rPr>
      </w:pPr>
      <w:r w:rsidRPr="005B0E5B">
        <w:rPr>
          <w:rFonts w:cs="Arial"/>
        </w:rPr>
        <w:t>Il doit prendre toutes les précautions nécessaires pour éviter que les travaux ne constituent un danger pour des tiers, notamment pour la circulation publique si celle</w:t>
      </w:r>
      <w:r w:rsidRPr="005B0E5B">
        <w:rPr>
          <w:rFonts w:cs="Arial"/>
        </w:rPr>
        <w:noBreakHyphen/>
        <w:t xml:space="preserve">ci n’a pas été déviée.  </w:t>
      </w:r>
    </w:p>
    <w:p w14:paraId="3FE48DE3" w14:textId="386A60EF" w:rsidR="00836964" w:rsidRPr="005B0E5B" w:rsidRDefault="00836964" w:rsidP="005247BD">
      <w:pPr>
        <w:rPr>
          <w:rFonts w:cs="Arial"/>
        </w:rPr>
      </w:pPr>
      <w:r w:rsidRPr="005B0E5B">
        <w:rPr>
          <w:rFonts w:cs="Arial"/>
        </w:rPr>
        <w:t>Les fosses et excavations doivent être protégés par des garde</w:t>
      </w:r>
      <w:r w:rsidRPr="005B0E5B">
        <w:rPr>
          <w:rFonts w:cs="Arial"/>
        </w:rPr>
        <w:noBreakHyphen/>
        <w:t>corps provisoires ou par tout autre dispositif approprié ; ils doivent être éclairés et, au besoin, gardés.</w:t>
      </w:r>
    </w:p>
    <w:p w14:paraId="3E242012" w14:textId="77777777" w:rsidR="00836964" w:rsidRPr="005B0E5B" w:rsidRDefault="00836964" w:rsidP="00836964">
      <w:pPr>
        <w:rPr>
          <w:rFonts w:cs="Arial"/>
        </w:rPr>
      </w:pPr>
      <w:r w:rsidRPr="005B0E5B">
        <w:rPr>
          <w:rFonts w:cs="Arial"/>
        </w:rPr>
        <w:t xml:space="preserve">L’Entrepreneur doit prendre les dispositions utiles pour assurer l’hygiène des installations de chantier destinées au personnel, notamment par l’établissement des réseaux de voirie, d’alimentation en eau potable et d’assainissement, si l’importance des chantiers le justifie. </w:t>
      </w:r>
    </w:p>
    <w:p w14:paraId="14BFD454" w14:textId="77777777" w:rsidR="00836964" w:rsidRPr="005B0E5B" w:rsidRDefault="00836964" w:rsidP="00836964">
      <w:pPr>
        <w:rPr>
          <w:rFonts w:cs="Arial"/>
        </w:rPr>
      </w:pPr>
      <w:r w:rsidRPr="005B0E5B">
        <w:rPr>
          <w:rFonts w:cs="Arial"/>
        </w:rPr>
        <w:t>Sauf dispositions contraires du Marché, toutes les mesures d’ordre, de sécurité et d’hygiène prescrites ci</w:t>
      </w:r>
      <w:r w:rsidRPr="005B0E5B">
        <w:rPr>
          <w:rFonts w:cs="Arial"/>
        </w:rPr>
        <w:noBreakHyphen/>
        <w:t xml:space="preserve">dessus sont à la charge de l’Entrepreneur. </w:t>
      </w:r>
    </w:p>
    <w:p w14:paraId="1E4147DA" w14:textId="77777777" w:rsidR="00836964" w:rsidRPr="005B0E5B" w:rsidRDefault="00836964" w:rsidP="00836964">
      <w:pPr>
        <w:rPr>
          <w:rFonts w:cs="Arial"/>
        </w:rPr>
      </w:pPr>
    </w:p>
    <w:p w14:paraId="496E258D" w14:textId="77777777" w:rsidR="00836964" w:rsidRPr="005B0E5B" w:rsidRDefault="00836964" w:rsidP="00836964">
      <w:pPr>
        <w:rPr>
          <w:rFonts w:cs="Arial"/>
          <w:b/>
        </w:rPr>
      </w:pPr>
      <w:bookmarkStart w:id="656" w:name="_Toc507663934"/>
      <w:r w:rsidRPr="005B0E5B">
        <w:rPr>
          <w:rFonts w:cs="Arial"/>
          <w:b/>
        </w:rPr>
        <w:t>1.8</w:t>
      </w:r>
      <w:r w:rsidRPr="005B0E5B">
        <w:rPr>
          <w:rFonts w:cs="Arial"/>
          <w:b/>
        </w:rPr>
        <w:tab/>
        <w:t>Formation</w:t>
      </w:r>
      <w:bookmarkEnd w:id="656"/>
    </w:p>
    <w:p w14:paraId="21A36445" w14:textId="77777777" w:rsidR="00836964" w:rsidRPr="005B0E5B" w:rsidRDefault="00836964" w:rsidP="00836964">
      <w:pPr>
        <w:rPr>
          <w:rFonts w:cs="Arial"/>
        </w:rPr>
      </w:pPr>
      <w:r w:rsidRPr="005B0E5B">
        <w:rPr>
          <w:rFonts w:cs="Arial"/>
        </w:rPr>
        <w:t>Une formation sera donnée par l’Entrepreneur à tous les employés permanents ou temporaires du chantier. Elle consistera en une présentation du projet et des consignes de sécurité à respecter sur le chantier (importance du port des protections individuelles, règles de circulation, abstinence alcoolique, etc.) et à la santé au travail et dans la vie quotidienne (prévention des MST, VIH-SIDA et Covid-19, prévention du paludisme, prévention du péril fécal, techniques de portage des charges lourdes, etc.), au Droit du travail, au règlement intérieur de l’Entreprise, etc.</w:t>
      </w:r>
    </w:p>
    <w:p w14:paraId="094130D0" w14:textId="77777777" w:rsidR="00836964" w:rsidRPr="005B0E5B" w:rsidRDefault="00836964" w:rsidP="00836964">
      <w:pPr>
        <w:rPr>
          <w:rFonts w:cs="Arial"/>
        </w:rPr>
      </w:pPr>
      <w:r w:rsidRPr="005B0E5B">
        <w:rPr>
          <w:rFonts w:cs="Arial"/>
        </w:rPr>
        <w:t>Chaque séance de formation sera consignée dans un formulaire mis au point par l'Entrepreneur qui comprendra, au moins, le nom des formés, leur statut, l'intitulé de la formation et la date.</w:t>
      </w:r>
    </w:p>
    <w:p w14:paraId="24FA42D4" w14:textId="77777777" w:rsidR="00836964" w:rsidRPr="005B0E5B" w:rsidRDefault="00836964" w:rsidP="00836964">
      <w:pPr>
        <w:rPr>
          <w:rFonts w:cs="Arial"/>
        </w:rPr>
      </w:pPr>
    </w:p>
    <w:p w14:paraId="2FE27963" w14:textId="77777777" w:rsidR="00836964" w:rsidRPr="005B0E5B" w:rsidRDefault="00836964" w:rsidP="00836964">
      <w:pPr>
        <w:rPr>
          <w:rFonts w:cs="Arial"/>
          <w:b/>
        </w:rPr>
      </w:pPr>
      <w:bookmarkStart w:id="657" w:name="_Toc71509519"/>
      <w:bookmarkStart w:id="658" w:name="_Toc71511414"/>
      <w:bookmarkStart w:id="659" w:name="_Toc73159823"/>
      <w:bookmarkStart w:id="660" w:name="_Toc507663936"/>
      <w:r w:rsidRPr="005B0E5B">
        <w:rPr>
          <w:rFonts w:cs="Arial"/>
          <w:b/>
        </w:rPr>
        <w:t>1.10</w:t>
      </w:r>
      <w:r w:rsidRPr="005B0E5B">
        <w:rPr>
          <w:rFonts w:cs="Arial"/>
          <w:b/>
        </w:rPr>
        <w:tab/>
        <w:t>Sujétions (Assujettissements/Subordinations/Dépendances) spéciales pour les travaux exécutés à proximité de lieux habités, fréquentés ou protégés</w:t>
      </w:r>
      <w:bookmarkEnd w:id="657"/>
      <w:bookmarkEnd w:id="658"/>
      <w:bookmarkEnd w:id="659"/>
      <w:bookmarkEnd w:id="660"/>
    </w:p>
    <w:p w14:paraId="1E57918D" w14:textId="77777777" w:rsidR="00836964" w:rsidRPr="005B0E5B" w:rsidRDefault="00836964" w:rsidP="00836964">
      <w:pPr>
        <w:rPr>
          <w:rFonts w:cs="Arial"/>
        </w:rPr>
      </w:pPr>
      <w:r w:rsidRPr="005B0E5B">
        <w:rPr>
          <w:rFonts w:cs="Arial"/>
        </w:rPr>
        <w:t>Sans préjudice de l’application des dispositions législatives et réglementaires en vigueur, lorsque les travaux sont exécutés à proximité de lieux habités ou fréquentés, ou méritant une protection au titre de la sauvegarde de l’environnement, l’Entrepreneur doit prendre à ses frais et risques les dispositions nécessaires pour réduire, dans toute la mesure du possible, les gênes imposées aux usagers et aux voisins, notamment celles qui peuvent être causées par les difficultés d’accès, le bruit des engins, les vibrations, les fumées, les poussières.</w:t>
      </w:r>
    </w:p>
    <w:p w14:paraId="2452BAB8" w14:textId="77777777" w:rsidR="00836964" w:rsidRPr="005B0E5B" w:rsidRDefault="00836964" w:rsidP="00836964">
      <w:pPr>
        <w:rPr>
          <w:rFonts w:cs="Arial"/>
        </w:rPr>
      </w:pPr>
      <w:r w:rsidRPr="005B0E5B">
        <w:rPr>
          <w:rFonts w:cs="Arial"/>
        </w:rPr>
        <w:t>Si à la suite d'une action intentionnelle ou non, prévue ou non, l'Entrepreneur endommage ou détruit un bien mobilier ou immobilier privé ou public, il doit mettre en œuvre une procédure correctrice et/ou compensatrice dont l'objectif est de rendre la complète jouissance du bien ou de ce que le lésé, après accord l'Entrepreneur, estimera comme équivalent à ce bien.</w:t>
      </w:r>
    </w:p>
    <w:p w14:paraId="14D1DF84" w14:textId="77777777" w:rsidR="00836964" w:rsidRPr="005B0E5B" w:rsidRDefault="00836964" w:rsidP="00836964">
      <w:pPr>
        <w:rPr>
          <w:rFonts w:cs="Arial"/>
          <w:b/>
          <w:u w:val="single"/>
        </w:rPr>
      </w:pPr>
      <w:bookmarkStart w:id="661" w:name="_Toc71509520"/>
      <w:bookmarkStart w:id="662" w:name="_Toc71511415"/>
      <w:bookmarkStart w:id="663" w:name="_Toc71536612"/>
    </w:p>
    <w:p w14:paraId="5278870B" w14:textId="77777777" w:rsidR="00836964" w:rsidRPr="005B0E5B" w:rsidRDefault="00836964" w:rsidP="00836964">
      <w:pPr>
        <w:rPr>
          <w:rFonts w:cs="Arial"/>
          <w:b/>
        </w:rPr>
      </w:pPr>
      <w:bookmarkStart w:id="664" w:name="_Toc71509522"/>
      <w:bookmarkStart w:id="665" w:name="_Toc71511417"/>
      <w:bookmarkStart w:id="666" w:name="_Toc73159824"/>
      <w:bookmarkStart w:id="667" w:name="_Toc507663937"/>
      <w:bookmarkEnd w:id="661"/>
      <w:bookmarkEnd w:id="662"/>
      <w:bookmarkEnd w:id="663"/>
      <w:r w:rsidRPr="005B0E5B">
        <w:rPr>
          <w:rFonts w:cs="Arial"/>
          <w:b/>
        </w:rPr>
        <w:t>1.11</w:t>
      </w:r>
      <w:r w:rsidRPr="005B0E5B">
        <w:rPr>
          <w:rFonts w:cs="Arial"/>
          <w:b/>
        </w:rPr>
        <w:tab/>
        <w:t>Matériaux, objets et vestiges trouvés sur les chantiers et ressources culturelles</w:t>
      </w:r>
      <w:bookmarkEnd w:id="664"/>
      <w:bookmarkEnd w:id="665"/>
      <w:bookmarkEnd w:id="666"/>
      <w:bookmarkEnd w:id="667"/>
    </w:p>
    <w:p w14:paraId="0F7A98AC" w14:textId="77777777" w:rsidR="00836964" w:rsidRPr="005B0E5B" w:rsidRDefault="00836964" w:rsidP="00836964">
      <w:pPr>
        <w:rPr>
          <w:rFonts w:cs="Arial"/>
          <w:b/>
          <w:u w:val="single"/>
        </w:rPr>
      </w:pPr>
      <w:bookmarkStart w:id="668" w:name="_Toc71509523"/>
      <w:bookmarkStart w:id="669" w:name="_Toc71511418"/>
      <w:r w:rsidRPr="005B0E5B">
        <w:rPr>
          <w:rFonts w:cs="Arial"/>
          <w:b/>
        </w:rPr>
        <w:t>Vestiges archéologiques et restes humains</w:t>
      </w:r>
      <w:bookmarkEnd w:id="668"/>
      <w:bookmarkEnd w:id="669"/>
      <w:r w:rsidRPr="005B0E5B">
        <w:rPr>
          <w:rFonts w:cs="Arial"/>
        </w:rPr>
        <w:t xml:space="preserve"> : L’Entrepreneur n’a aucun droit sur les matériaux et objets de toute nature trouvés sur les chantiers en cours de travaux, notamment dans les fouilles ou dans les démolitions, mais il a droit à être indemnisé si le Maître d’œuvre lui demande de les extraire ou de les conserver avec des soins particuliers.</w:t>
      </w:r>
    </w:p>
    <w:p w14:paraId="6D3FAB10" w14:textId="77777777" w:rsidR="00836964" w:rsidRPr="005B0E5B" w:rsidRDefault="00836964" w:rsidP="00836964">
      <w:pPr>
        <w:rPr>
          <w:rFonts w:cs="Arial"/>
          <w:sz w:val="16"/>
        </w:rPr>
      </w:pPr>
    </w:p>
    <w:p w14:paraId="3E9287F0" w14:textId="77777777" w:rsidR="00836964" w:rsidRPr="005B0E5B" w:rsidRDefault="00836964" w:rsidP="00836964">
      <w:pPr>
        <w:rPr>
          <w:rFonts w:cs="Arial"/>
        </w:rPr>
      </w:pPr>
      <w:r w:rsidRPr="005B0E5B">
        <w:rPr>
          <w:rFonts w:cs="Arial"/>
        </w:rPr>
        <w:t>Lorsque les travaux mettent au jour des objets ou des vestiges pouvant avoir un caractère artistique, archéologique ou historique, l’Entrepreneur doit le signaler au Maître d’œuvre et faire toute déclaration prévue par la réglementation en vigueur.  Sans préjudice des dispositions législatives ou réglementaires en vigueur, l’Entrepreneur ne doit pas déplacer ces objets ou vestiges sans autorisation du Maître d’œuvre.  Il doit mettre en lieu sûr ceux qui auraient été détachés fortuitement du sol.</w:t>
      </w:r>
    </w:p>
    <w:p w14:paraId="41CED27E" w14:textId="77777777" w:rsidR="00836964" w:rsidRPr="005B0E5B" w:rsidRDefault="00836964" w:rsidP="00836964">
      <w:pPr>
        <w:rPr>
          <w:rFonts w:cs="Arial"/>
        </w:rPr>
      </w:pPr>
      <w:r w:rsidRPr="005B0E5B">
        <w:rPr>
          <w:rFonts w:cs="Arial"/>
        </w:rPr>
        <w:t>Sans préjudice de la réglementation en vigueur, lorsque les travaux mettent au jour des restes humains, l’Entrepreneur en informe immédiatement l’autorité compétente sur le territoire de laquelle cette découverte a été faite et en rend compte au Maître d’œuvre.</w:t>
      </w:r>
    </w:p>
    <w:p w14:paraId="3510F2C3" w14:textId="77777777" w:rsidR="00836964" w:rsidRPr="005B0E5B" w:rsidRDefault="00836964" w:rsidP="00836964">
      <w:pPr>
        <w:rPr>
          <w:rFonts w:cs="Arial"/>
        </w:rPr>
      </w:pPr>
      <w:r w:rsidRPr="005B0E5B">
        <w:rPr>
          <w:rFonts w:cs="Arial"/>
        </w:rPr>
        <w:t>Dans les cas prévus aux quatre paragraphes précédents, l’Entrepreneur a droit à être indemnisé des dépenses justifiées entraînées par ces découvertes.</w:t>
      </w:r>
    </w:p>
    <w:p w14:paraId="703F1178" w14:textId="77777777" w:rsidR="00836964" w:rsidRPr="005B0E5B" w:rsidRDefault="00836964" w:rsidP="00836964">
      <w:pPr>
        <w:rPr>
          <w:rFonts w:cs="Arial"/>
          <w:b/>
          <w:u w:val="single"/>
        </w:rPr>
      </w:pPr>
      <w:bookmarkStart w:id="670" w:name="_Toc71509524"/>
      <w:bookmarkStart w:id="671" w:name="_Toc71511419"/>
      <w:r w:rsidRPr="005B0E5B">
        <w:rPr>
          <w:rFonts w:cs="Arial"/>
          <w:b/>
        </w:rPr>
        <w:t>Sauvegarde et protection des ressources culturelles</w:t>
      </w:r>
      <w:bookmarkEnd w:id="670"/>
      <w:bookmarkEnd w:id="671"/>
      <w:r w:rsidRPr="005B0E5B">
        <w:rPr>
          <w:rFonts w:cs="Arial"/>
        </w:rPr>
        <w:t xml:space="preserve"> : En ce qui concerne les artefacts, les objets naturels, les espaces présentant un caractère sacré, cérémoniel, religieux ou historique aux yeux des populations, l'Entrepreneur devra s'enquérir de leur existence bien avant l'ouverture d'une portion du chantier (y compris les zones extérieures au site du chantier : zone d'emprunt ou de dépôt). En cas de présence de tels objets ou espace, l'Entrepreneur en avertira promptement le Maître d'œuvre. Autant que possible, leur déplacement ou leur destruction sont à proscrire. L'ensemble du personnel ne doit pas les toucher ou y pénétrer sans une autorisation de la personne ou du groupe en charge de ces objets ou espaces. Cette personne ou ce groupe doivent être formellement identifiés, si cela est possible. </w:t>
      </w:r>
    </w:p>
    <w:p w14:paraId="6F1627F9" w14:textId="77777777" w:rsidR="00836964" w:rsidRPr="005B0E5B" w:rsidRDefault="00836964" w:rsidP="00836964">
      <w:pPr>
        <w:rPr>
          <w:rFonts w:cs="Arial"/>
        </w:rPr>
      </w:pPr>
      <w:r w:rsidRPr="005B0E5B">
        <w:rPr>
          <w:rFonts w:cs="Arial"/>
        </w:rPr>
        <w:t>Si la réalisation du projet implique impérativement la destruction ou le déplacement d'un tel objet ou d'une telle zone, une procédure de compensation sera mise en place en concertation avec le Maître d'œuvre.</w:t>
      </w:r>
    </w:p>
    <w:p w14:paraId="202F378F" w14:textId="77777777" w:rsidR="00836964" w:rsidRPr="005B0E5B" w:rsidRDefault="00836964" w:rsidP="00836964">
      <w:pPr>
        <w:rPr>
          <w:rFonts w:cs="Arial"/>
        </w:rPr>
      </w:pPr>
      <w:r w:rsidRPr="005B0E5B">
        <w:rPr>
          <w:rFonts w:cs="Arial"/>
        </w:rPr>
        <w:t xml:space="preserve">En aucun cas, l'exécution du chantier ne doit empêcher le libre accès à un lieu de culte, un cimetière, centre de pèlerinage, etc. </w:t>
      </w:r>
    </w:p>
    <w:p w14:paraId="4E733E84" w14:textId="77777777" w:rsidR="00836964" w:rsidRPr="005B0E5B" w:rsidRDefault="00836964" w:rsidP="00836964">
      <w:pPr>
        <w:tabs>
          <w:tab w:val="left" w:pos="900"/>
        </w:tabs>
        <w:ind w:right="-72"/>
        <w:rPr>
          <w:rFonts w:cs="Arial"/>
        </w:rPr>
      </w:pPr>
    </w:p>
    <w:p w14:paraId="3632386D" w14:textId="77777777" w:rsidR="00836964" w:rsidRPr="005B0E5B" w:rsidRDefault="00836964" w:rsidP="00836964">
      <w:pPr>
        <w:rPr>
          <w:rFonts w:cs="Arial"/>
          <w:b/>
        </w:rPr>
      </w:pPr>
      <w:bookmarkStart w:id="672" w:name="_Toc71509525"/>
      <w:bookmarkStart w:id="673" w:name="_Toc71511420"/>
      <w:bookmarkStart w:id="674" w:name="_Toc73159825"/>
      <w:bookmarkStart w:id="675" w:name="_Toc507663938"/>
      <w:r w:rsidRPr="005B0E5B">
        <w:rPr>
          <w:rFonts w:cs="Arial"/>
          <w:b/>
        </w:rPr>
        <w:t>1.12</w:t>
      </w:r>
      <w:r w:rsidRPr="005B0E5B">
        <w:rPr>
          <w:rFonts w:cs="Arial"/>
          <w:b/>
        </w:rPr>
        <w:tab/>
        <w:t>Dégradations causées aux voies publiques</w:t>
      </w:r>
      <w:bookmarkEnd w:id="672"/>
      <w:bookmarkEnd w:id="673"/>
      <w:bookmarkEnd w:id="674"/>
      <w:bookmarkEnd w:id="675"/>
      <w:r w:rsidRPr="005B0E5B">
        <w:rPr>
          <w:rFonts w:cs="Arial"/>
          <w:b/>
        </w:rPr>
        <w:t> :</w:t>
      </w:r>
    </w:p>
    <w:p w14:paraId="3FAB8BB5" w14:textId="77777777" w:rsidR="00836964" w:rsidRPr="005B0E5B" w:rsidRDefault="00836964" w:rsidP="00836964">
      <w:pPr>
        <w:rPr>
          <w:rFonts w:cs="Arial"/>
        </w:rPr>
      </w:pPr>
      <w:r w:rsidRPr="005B0E5B">
        <w:rPr>
          <w:rFonts w:cs="Arial"/>
        </w:rPr>
        <w:t>L’Entrepreneur doit utiliser tous les moyens raisonnables pour éviter que les routes ou les ponts communiquant avec ou se trouvant sur les itinéraires menant au Site ne soient endommagés ou détériorés par la circulation des véhicules et engins de l’Entrepreneur ou de l’un quelconque de ses sous</w:t>
      </w:r>
      <w:r w:rsidRPr="005B0E5B">
        <w:rPr>
          <w:rFonts w:cs="Arial"/>
        </w:rPr>
        <w:noBreakHyphen/>
        <w:t>traitants; en particulier, il doit choisir des itinéraires et des véhicules adaptés et limiter et répartir les chargements de manière à ce que toute circulation exceptionnelle qui résultera du déplacement des équipements, fournitures, matériels et matériaux de l’Entrepreneur et de ses sous</w:t>
      </w:r>
      <w:r w:rsidRPr="005B0E5B">
        <w:rPr>
          <w:rFonts w:cs="Arial"/>
        </w:rPr>
        <w:noBreakHyphen/>
        <w:t>traitants vers ou en provenance du Site soit aussi limitée que possible et que ces routes et ponts ne subissent aucun dommage ou détérioration inutile.</w:t>
      </w:r>
    </w:p>
    <w:p w14:paraId="40BD2794" w14:textId="77777777" w:rsidR="00836964" w:rsidRPr="005B0E5B" w:rsidRDefault="00836964" w:rsidP="00836964">
      <w:pPr>
        <w:rPr>
          <w:rFonts w:cs="Arial"/>
        </w:rPr>
      </w:pPr>
      <w:r w:rsidRPr="005B0E5B">
        <w:rPr>
          <w:rFonts w:cs="Arial"/>
        </w:rPr>
        <w:t>Sauf dispositions contraires du Marché, l’Entrepreneur est responsable et doit faire exécuter à ses frais tout renforcement des ponts ou modification ou amélioration des routes communiquant avec ou se trouvant sur les itinéraires menant au Site qui faciliterait le transport des équipements, fournitures, matériels et matériaux de l’Entrepreneur et de ses sous</w:t>
      </w:r>
      <w:r w:rsidRPr="005B0E5B">
        <w:rPr>
          <w:rFonts w:cs="Arial"/>
        </w:rPr>
        <w:noBreakHyphen/>
        <w:t>traitants et l’Entrepreneur doit indemniser le Maître de l’Ouvrage de toutes réclamations relatives à des dégâts occasionnés à ces routes ou ponts par ledit transport, y compris les réclamations directement adressées au Maître de l’Ouvrage.</w:t>
      </w:r>
    </w:p>
    <w:p w14:paraId="3EABE52B" w14:textId="77777777" w:rsidR="00836964" w:rsidRPr="005B0E5B" w:rsidRDefault="00836964" w:rsidP="00836964">
      <w:pPr>
        <w:rPr>
          <w:rFonts w:cs="Arial"/>
          <w:b/>
        </w:rPr>
      </w:pPr>
      <w:bookmarkStart w:id="676" w:name="_Toc71509526"/>
      <w:bookmarkStart w:id="677" w:name="_Toc71511421"/>
      <w:bookmarkStart w:id="678" w:name="_Toc73159826"/>
      <w:bookmarkStart w:id="679" w:name="_Toc507663939"/>
      <w:r w:rsidRPr="005B0E5B">
        <w:rPr>
          <w:rFonts w:cs="Arial"/>
          <w:b/>
        </w:rPr>
        <w:t>1.13</w:t>
      </w:r>
      <w:r w:rsidRPr="005B0E5B">
        <w:rPr>
          <w:rFonts w:cs="Arial"/>
          <w:b/>
        </w:rPr>
        <w:tab/>
        <w:t>Dommages divers causés par la conduite des travaux ou les modalités de leur exécution</w:t>
      </w:r>
      <w:bookmarkEnd w:id="676"/>
      <w:bookmarkEnd w:id="677"/>
      <w:bookmarkEnd w:id="678"/>
      <w:bookmarkEnd w:id="679"/>
      <w:r w:rsidRPr="005B0E5B">
        <w:rPr>
          <w:rFonts w:cs="Arial"/>
          <w:b/>
        </w:rPr>
        <w:t> :</w:t>
      </w:r>
    </w:p>
    <w:p w14:paraId="63837D5B" w14:textId="77777777" w:rsidR="00836964" w:rsidRPr="005B0E5B" w:rsidRDefault="00836964" w:rsidP="00836964">
      <w:pPr>
        <w:rPr>
          <w:rFonts w:cs="Arial"/>
        </w:rPr>
      </w:pPr>
      <w:r w:rsidRPr="005B0E5B">
        <w:rPr>
          <w:rFonts w:cs="Arial"/>
        </w:rPr>
        <w:t>L’Entrepreneur a, à l’égard du Maître de l’Ouvrage, la responsabilité pécuniaire des dommages aux personnes et aux biens causés par la conduite des travaux ou les modalités de leur exécution, sauf s’il établit que cette conduite ou ces modalités résultent nécessairement des dispositions du Marché ou de prescriptions d’ordre de service, ou sauf si le Maître de l’Ouvrage, poursuivi par le tiers victime de tels dommages, a été condamné sans avoir appelé l’Entrepreneur en garantie devant la juridiction saisie.</w:t>
      </w:r>
    </w:p>
    <w:p w14:paraId="604B5A35" w14:textId="77777777" w:rsidR="00836964" w:rsidRPr="005B0E5B" w:rsidRDefault="00836964" w:rsidP="00836964">
      <w:pPr>
        <w:pStyle w:val="Paragraphedeliste"/>
        <w:ind w:left="717"/>
        <w:rPr>
          <w:rFonts w:cs="Arial"/>
        </w:rPr>
      </w:pPr>
      <w:r w:rsidRPr="005B0E5B">
        <w:rPr>
          <w:rFonts w:cs="Arial"/>
          <w:b/>
        </w:rPr>
        <w:t>2.</w:t>
      </w:r>
      <w:r w:rsidRPr="005B0E5B">
        <w:rPr>
          <w:rFonts w:cs="Arial"/>
          <w:b/>
        </w:rPr>
        <w:tab/>
        <w:t>Plan de gestion environnementale et sociale :</w:t>
      </w:r>
    </w:p>
    <w:p w14:paraId="45D09C57" w14:textId="77777777" w:rsidR="00836964" w:rsidRPr="005B0E5B" w:rsidRDefault="00836964" w:rsidP="00836964">
      <w:pPr>
        <w:keepNext/>
        <w:keepLines/>
        <w:ind w:right="-1"/>
        <w:rPr>
          <w:rFonts w:cs="Arial"/>
        </w:rPr>
      </w:pPr>
      <w:r w:rsidRPr="005B0E5B">
        <w:rPr>
          <w:rFonts w:cs="Arial"/>
        </w:rPr>
        <w:t xml:space="preserve">Dans un délai de 15 jours à compter de la notification de l'attribution du marché, l'Entrepreneur devra établir et soumettre à l'approbation du Maître d’œuvre un </w:t>
      </w:r>
      <w:r w:rsidRPr="005B0E5B">
        <w:rPr>
          <w:rFonts w:cs="Arial"/>
          <w:b/>
        </w:rPr>
        <w:t xml:space="preserve">Plan de gestion environnementale et sociale </w:t>
      </w:r>
      <w:r w:rsidRPr="005B0E5B">
        <w:rPr>
          <w:rFonts w:cs="Arial"/>
        </w:rPr>
        <w:t>pour le chantier, détaillé et comportant les informations suivantes :</w:t>
      </w:r>
    </w:p>
    <w:p w14:paraId="007BF921" w14:textId="77777777" w:rsidR="00836964" w:rsidRPr="005B0E5B" w:rsidRDefault="00836964" w:rsidP="0095003D">
      <w:pPr>
        <w:numPr>
          <w:ilvl w:val="0"/>
          <w:numId w:val="148"/>
        </w:numPr>
        <w:tabs>
          <w:tab w:val="clear" w:pos="927"/>
          <w:tab w:val="num" w:pos="360"/>
        </w:tabs>
        <w:autoSpaceDE w:val="0"/>
        <w:autoSpaceDN w:val="0"/>
        <w:spacing w:after="0"/>
        <w:ind w:left="360" w:right="-1"/>
        <w:rPr>
          <w:rFonts w:cs="Arial"/>
        </w:rPr>
      </w:pPr>
      <w:r w:rsidRPr="005B0E5B">
        <w:rPr>
          <w:rFonts w:cs="Arial"/>
        </w:rPr>
        <w:t>L'organigramme du personnel dirigeant avec identification claire d’un Chargé de HSE, présentation de leur CV, et définition des rôles et responsabilités de chacun.</w:t>
      </w:r>
    </w:p>
    <w:p w14:paraId="3CE3A7E8" w14:textId="77777777" w:rsidR="00836964" w:rsidRPr="005B0E5B" w:rsidRDefault="00836964" w:rsidP="0095003D">
      <w:pPr>
        <w:numPr>
          <w:ilvl w:val="0"/>
          <w:numId w:val="148"/>
        </w:numPr>
        <w:tabs>
          <w:tab w:val="clear" w:pos="927"/>
          <w:tab w:val="num" w:pos="360"/>
        </w:tabs>
        <w:autoSpaceDE w:val="0"/>
        <w:autoSpaceDN w:val="0"/>
        <w:spacing w:after="0"/>
        <w:ind w:left="360" w:right="-1"/>
        <w:rPr>
          <w:rFonts w:cs="Arial"/>
        </w:rPr>
      </w:pPr>
      <w:r w:rsidRPr="005B0E5B">
        <w:rPr>
          <w:rFonts w:cs="Arial"/>
        </w:rPr>
        <w:t>Les plans de gestion décrivant les dispositions concrètes retenues par l’Entrepreneur pour mettre en application les obligations environnementales et sociales décrites dans le chapitre précédent. Les plans suivants seront élaborés :</w:t>
      </w:r>
    </w:p>
    <w:p w14:paraId="05699C98" w14:textId="77777777" w:rsidR="00836964" w:rsidRPr="005B0E5B" w:rsidRDefault="00836964" w:rsidP="0095003D">
      <w:pPr>
        <w:numPr>
          <w:ilvl w:val="0"/>
          <w:numId w:val="149"/>
        </w:numPr>
        <w:tabs>
          <w:tab w:val="clear" w:pos="360"/>
          <w:tab w:val="num" w:pos="720"/>
        </w:tabs>
        <w:autoSpaceDE w:val="0"/>
        <w:autoSpaceDN w:val="0"/>
        <w:spacing w:after="0"/>
        <w:ind w:left="720" w:right="-1"/>
        <w:rPr>
          <w:rFonts w:cs="Arial"/>
        </w:rPr>
      </w:pPr>
      <w:r w:rsidRPr="005B0E5B">
        <w:rPr>
          <w:rFonts w:cs="Arial"/>
        </w:rPr>
        <w:t>Un PGES chantier</w:t>
      </w:r>
    </w:p>
    <w:p w14:paraId="3FA92233" w14:textId="77777777" w:rsidR="00836964" w:rsidRPr="005B0E5B" w:rsidRDefault="00836964" w:rsidP="0095003D">
      <w:pPr>
        <w:numPr>
          <w:ilvl w:val="0"/>
          <w:numId w:val="149"/>
        </w:numPr>
        <w:tabs>
          <w:tab w:val="clear" w:pos="360"/>
          <w:tab w:val="num" w:pos="720"/>
        </w:tabs>
        <w:autoSpaceDE w:val="0"/>
        <w:autoSpaceDN w:val="0"/>
        <w:spacing w:after="0"/>
        <w:ind w:left="720" w:right="-1"/>
        <w:rPr>
          <w:rFonts w:cs="Arial"/>
        </w:rPr>
      </w:pPr>
      <w:r w:rsidRPr="005B0E5B">
        <w:rPr>
          <w:rFonts w:cs="Arial"/>
        </w:rPr>
        <w:t>Un plan de gestion des déchets de chantier (type de déchets prévus, mode de récolte, mode et lieu de stockage, mode et lieu d'élimination) ;</w:t>
      </w:r>
    </w:p>
    <w:p w14:paraId="5691D418" w14:textId="77777777" w:rsidR="00836964" w:rsidRPr="005B0E5B" w:rsidRDefault="00836964" w:rsidP="0095003D">
      <w:pPr>
        <w:numPr>
          <w:ilvl w:val="0"/>
          <w:numId w:val="149"/>
        </w:numPr>
        <w:tabs>
          <w:tab w:val="clear" w:pos="360"/>
          <w:tab w:val="num" w:pos="720"/>
        </w:tabs>
        <w:autoSpaceDE w:val="0"/>
        <w:autoSpaceDN w:val="0"/>
        <w:spacing w:after="0"/>
        <w:ind w:left="720" w:right="-1"/>
        <w:rPr>
          <w:rFonts w:cs="Arial"/>
        </w:rPr>
      </w:pPr>
      <w:r w:rsidRPr="005B0E5B">
        <w:rPr>
          <w:rFonts w:cs="Arial"/>
        </w:rPr>
        <w:t>Un plan de gestion de l'eau (approvisionnement, quantité, système d'épuration prévu pour les eaux sanitaires et industrielles des chantiers, lieu de rejets, type de contrôles prévus) ;</w:t>
      </w:r>
    </w:p>
    <w:p w14:paraId="33828731" w14:textId="77777777" w:rsidR="00836964" w:rsidRPr="005B0E5B" w:rsidRDefault="00836964" w:rsidP="0095003D">
      <w:pPr>
        <w:numPr>
          <w:ilvl w:val="0"/>
          <w:numId w:val="149"/>
        </w:numPr>
        <w:tabs>
          <w:tab w:val="clear" w:pos="360"/>
          <w:tab w:val="num" w:pos="720"/>
        </w:tabs>
        <w:autoSpaceDE w:val="0"/>
        <w:autoSpaceDN w:val="0"/>
        <w:spacing w:after="0"/>
        <w:ind w:left="720" w:right="-1"/>
        <w:rPr>
          <w:rFonts w:cs="Arial"/>
        </w:rPr>
      </w:pPr>
      <w:r w:rsidRPr="005B0E5B">
        <w:rPr>
          <w:rFonts w:cs="Arial"/>
        </w:rPr>
        <w:t>Un plan de gestion globale pour l'exploitation et la remise en état des zones d'emprunts et des carrières (action antiérosive prévue, reboisement, réaménagement prévu) ;</w:t>
      </w:r>
    </w:p>
    <w:p w14:paraId="318940E9" w14:textId="77777777" w:rsidR="00836964" w:rsidRPr="005B0E5B" w:rsidRDefault="00836964" w:rsidP="0095003D">
      <w:pPr>
        <w:numPr>
          <w:ilvl w:val="0"/>
          <w:numId w:val="149"/>
        </w:numPr>
        <w:tabs>
          <w:tab w:val="clear" w:pos="360"/>
          <w:tab w:val="num" w:pos="720"/>
        </w:tabs>
        <w:autoSpaceDE w:val="0"/>
        <w:autoSpaceDN w:val="0"/>
        <w:spacing w:after="0"/>
        <w:ind w:left="720" w:right="-1"/>
        <w:rPr>
          <w:rFonts w:cs="Arial"/>
        </w:rPr>
      </w:pPr>
      <w:r w:rsidRPr="005B0E5B">
        <w:rPr>
          <w:rFonts w:cs="Arial"/>
        </w:rPr>
        <w:t>Un plan de gestion des déversements accidentels ;</w:t>
      </w:r>
    </w:p>
    <w:p w14:paraId="798C09E0" w14:textId="77777777" w:rsidR="00836964" w:rsidRPr="005B0E5B" w:rsidRDefault="00836964" w:rsidP="0095003D">
      <w:pPr>
        <w:numPr>
          <w:ilvl w:val="0"/>
          <w:numId w:val="149"/>
        </w:numPr>
        <w:tabs>
          <w:tab w:val="clear" w:pos="360"/>
          <w:tab w:val="num" w:pos="720"/>
        </w:tabs>
        <w:autoSpaceDE w:val="0"/>
        <w:autoSpaceDN w:val="0"/>
        <w:spacing w:after="0"/>
        <w:ind w:left="720" w:right="-1"/>
        <w:rPr>
          <w:rFonts w:cs="Arial"/>
        </w:rPr>
      </w:pPr>
      <w:r w:rsidRPr="005B0E5B">
        <w:rPr>
          <w:rFonts w:cs="Arial"/>
        </w:rPr>
        <w:t>Un plan de communication (modalités pour l’information et la consultation des populations et des autorités locales, signalisation des déviations de la circulation, recueil des doléances, etc.) ;</w:t>
      </w:r>
    </w:p>
    <w:p w14:paraId="0C63D169" w14:textId="77777777" w:rsidR="00836964" w:rsidRPr="005B0E5B" w:rsidRDefault="00836964" w:rsidP="0095003D">
      <w:pPr>
        <w:numPr>
          <w:ilvl w:val="0"/>
          <w:numId w:val="149"/>
        </w:numPr>
        <w:tabs>
          <w:tab w:val="clear" w:pos="360"/>
          <w:tab w:val="num" w:pos="720"/>
        </w:tabs>
        <w:autoSpaceDE w:val="0"/>
        <w:autoSpaceDN w:val="0"/>
        <w:spacing w:after="0"/>
        <w:ind w:left="720" w:right="-1"/>
        <w:rPr>
          <w:rFonts w:cs="Arial"/>
        </w:rPr>
      </w:pPr>
      <w:r w:rsidRPr="005B0E5B">
        <w:rPr>
          <w:rFonts w:cs="Arial"/>
        </w:rPr>
        <w:t>Un plan de gestion des conflits (personne à prévenir, conduite à tenir, etc.) ;</w:t>
      </w:r>
    </w:p>
    <w:p w14:paraId="6C656682" w14:textId="77777777" w:rsidR="00836964" w:rsidRPr="005B0E5B" w:rsidRDefault="00836964" w:rsidP="0095003D">
      <w:pPr>
        <w:numPr>
          <w:ilvl w:val="0"/>
          <w:numId w:val="149"/>
        </w:numPr>
        <w:tabs>
          <w:tab w:val="clear" w:pos="360"/>
          <w:tab w:val="num" w:pos="720"/>
        </w:tabs>
        <w:autoSpaceDE w:val="0"/>
        <w:autoSpaceDN w:val="0"/>
        <w:spacing w:after="0"/>
        <w:ind w:left="720" w:right="-1"/>
        <w:rPr>
          <w:rFonts w:cs="Arial"/>
        </w:rPr>
      </w:pPr>
      <w:r w:rsidRPr="005B0E5B">
        <w:rPr>
          <w:rFonts w:cs="Arial"/>
        </w:rPr>
        <w:t>Un plan santé et sécurité (dispositions pour assurer la santé et la sécurité des travailleurs et de la population, fourniture des équipements de sécurité, traitement des urgences, personne à prévenir, etc.).</w:t>
      </w:r>
    </w:p>
    <w:p w14:paraId="091A805E" w14:textId="77777777" w:rsidR="00836964" w:rsidRPr="005B0E5B" w:rsidRDefault="00836964" w:rsidP="0095003D">
      <w:pPr>
        <w:numPr>
          <w:ilvl w:val="0"/>
          <w:numId w:val="149"/>
        </w:numPr>
        <w:tabs>
          <w:tab w:val="clear" w:pos="360"/>
          <w:tab w:val="num" w:pos="720"/>
        </w:tabs>
        <w:autoSpaceDE w:val="0"/>
        <w:autoSpaceDN w:val="0"/>
        <w:spacing w:after="0"/>
        <w:ind w:left="720" w:right="-1"/>
        <w:rPr>
          <w:rFonts w:cs="Arial"/>
        </w:rPr>
      </w:pPr>
      <w:r w:rsidRPr="005B0E5B">
        <w:rPr>
          <w:rFonts w:cs="Arial"/>
        </w:rPr>
        <w:t>Un plan de formation.</w:t>
      </w:r>
    </w:p>
    <w:p w14:paraId="58BB426E" w14:textId="77777777" w:rsidR="00836964" w:rsidRPr="005B0E5B" w:rsidRDefault="00836964" w:rsidP="00836964">
      <w:pPr>
        <w:autoSpaceDE w:val="0"/>
        <w:autoSpaceDN w:val="0"/>
        <w:ind w:right="-1"/>
        <w:rPr>
          <w:rFonts w:cs="Arial"/>
        </w:rPr>
      </w:pPr>
    </w:p>
    <w:p w14:paraId="22F05D37" w14:textId="77777777" w:rsidR="00836964" w:rsidRPr="005B0E5B" w:rsidRDefault="00836964" w:rsidP="00836964">
      <w:pPr>
        <w:autoSpaceDE w:val="0"/>
        <w:autoSpaceDN w:val="0"/>
        <w:ind w:right="-1"/>
        <w:rPr>
          <w:rFonts w:cs="Arial"/>
        </w:rPr>
      </w:pPr>
      <w:r w:rsidRPr="005B0E5B">
        <w:rPr>
          <w:rFonts w:cs="Arial"/>
        </w:rPr>
        <w:t>Et, si nécessaire, il sera élaboré également un plan de relocalisation des populations et un plan de sauvegarde et protection des ressources culturelles.</w:t>
      </w:r>
    </w:p>
    <w:p w14:paraId="559C9842" w14:textId="77777777" w:rsidR="00836964" w:rsidRPr="005B0E5B" w:rsidRDefault="00836964" w:rsidP="0095003D">
      <w:pPr>
        <w:numPr>
          <w:ilvl w:val="0"/>
          <w:numId w:val="148"/>
        </w:numPr>
        <w:tabs>
          <w:tab w:val="clear" w:pos="927"/>
        </w:tabs>
        <w:autoSpaceDE w:val="0"/>
        <w:autoSpaceDN w:val="0"/>
        <w:spacing w:after="0"/>
        <w:ind w:left="360" w:right="-1"/>
        <w:rPr>
          <w:rFonts w:cs="Arial"/>
        </w:rPr>
      </w:pPr>
      <w:r w:rsidRPr="005B0E5B">
        <w:rPr>
          <w:rFonts w:cs="Arial"/>
        </w:rPr>
        <w:t>Pour chaque tâche du chantier, une identification des impacts environnementaux et sociaux potentiels et des mesures que l'Entreprise propose d'adopter en vue d’éliminer, de compenser ou de réduire ces impacts négatifs à un niveau acceptable. Les actions à entreprendre et les moyens à mobiliser pour la mise en place de ces mesures, ainsi que les responsabilités, seront définis.</w:t>
      </w:r>
    </w:p>
    <w:p w14:paraId="738A06E5" w14:textId="77777777" w:rsidR="00836964" w:rsidRPr="005B0E5B" w:rsidRDefault="00836964" w:rsidP="00836964">
      <w:pPr>
        <w:autoSpaceDE w:val="0"/>
        <w:autoSpaceDN w:val="0"/>
        <w:ind w:right="-1"/>
        <w:rPr>
          <w:rFonts w:cs="Arial"/>
        </w:rPr>
      </w:pPr>
    </w:p>
    <w:p w14:paraId="1137871D" w14:textId="77777777" w:rsidR="00836964" w:rsidRPr="005B0E5B" w:rsidRDefault="00836964" w:rsidP="00836964">
      <w:pPr>
        <w:autoSpaceDE w:val="0"/>
        <w:autoSpaceDN w:val="0"/>
        <w:ind w:right="-1"/>
        <w:rPr>
          <w:rFonts w:cs="Arial"/>
        </w:rPr>
      </w:pPr>
      <w:r w:rsidRPr="005B0E5B">
        <w:rPr>
          <w:rFonts w:cs="Arial"/>
        </w:rPr>
        <w:t>Les impacts potentiels et les mesures correctives et compensatrices seront résumées sous forme de Fiche de Déclaration d’Impact selon le modèle fournit ci-après.</w:t>
      </w:r>
    </w:p>
    <w:p w14:paraId="7449B93C" w14:textId="64157468" w:rsidR="00836964" w:rsidRPr="005B0E5B" w:rsidRDefault="00836964" w:rsidP="005247BD">
      <w:pPr>
        <w:keepNext/>
        <w:keepLines/>
        <w:ind w:right="-1"/>
        <w:rPr>
          <w:rFonts w:cs="Arial"/>
        </w:rPr>
      </w:pPr>
      <w:r w:rsidRPr="005B0E5B">
        <w:rPr>
          <w:rFonts w:cs="Arial"/>
        </w:rPr>
        <w:t>Ces documents seront soumis à l'approbation du Maître d’œuvre qui fera part de ses observations et de sa décision dans un délai de 20 jours à compter de leur réception.</w:t>
      </w:r>
    </w:p>
    <w:p w14:paraId="4B543A91" w14:textId="77777777" w:rsidR="00836964" w:rsidRPr="005B0E5B" w:rsidRDefault="00836964" w:rsidP="00836964">
      <w:pPr>
        <w:pStyle w:val="Paragraphedeliste"/>
        <w:ind w:left="717"/>
        <w:rPr>
          <w:rFonts w:cs="Arial"/>
          <w:b/>
        </w:rPr>
      </w:pPr>
      <w:r w:rsidRPr="005B0E5B">
        <w:rPr>
          <w:rFonts w:cs="Arial"/>
          <w:b/>
        </w:rPr>
        <w:t>3. Suivi et contrôle de la gestion environnementale et sociale du chantier :</w:t>
      </w:r>
    </w:p>
    <w:p w14:paraId="335F5ED5" w14:textId="77777777" w:rsidR="00836964" w:rsidRPr="005B0E5B" w:rsidRDefault="00836964" w:rsidP="00836964">
      <w:pPr>
        <w:rPr>
          <w:rFonts w:cs="Arial"/>
          <w:b/>
        </w:rPr>
      </w:pPr>
      <w:r w:rsidRPr="005B0E5B">
        <w:rPr>
          <w:rFonts w:cs="Arial"/>
          <w:b/>
        </w:rPr>
        <w:t>3.1.</w:t>
      </w:r>
      <w:r w:rsidRPr="005B0E5B">
        <w:rPr>
          <w:rFonts w:cs="Arial"/>
          <w:b/>
        </w:rPr>
        <w:tab/>
        <w:t>Rapports sur la gestion environnementale et sociale :</w:t>
      </w:r>
    </w:p>
    <w:p w14:paraId="6CC5DF3A" w14:textId="77777777" w:rsidR="00836964" w:rsidRPr="005B0E5B" w:rsidRDefault="00836964" w:rsidP="00836964">
      <w:pPr>
        <w:rPr>
          <w:rFonts w:cs="Arial"/>
        </w:rPr>
      </w:pPr>
      <w:r w:rsidRPr="005B0E5B">
        <w:rPr>
          <w:rFonts w:cs="Arial"/>
        </w:rPr>
        <w:t>Afin de permettre au Maître d’œuvre d’apprécier l’application des prescriptions environnementales et sociales, l’Entrepreneur établira tous les 15 jours un rapport de suivi des actions environnementales et sociales. Ce rapport présentera les actions prises par l’Entrepreneur pour la maîtrise des impacts du chantier, les évènements particuliers et les incidents survenus. Il comprendra également un tableau de suivi de l’embauche et de la débauche du personnel non qualifié (liste nominative, dates d’emploi, origine géographique), un résumé des formations réalisées, un compte rendu des opérations d’information et de communication dirigées vers la population et les autorités locales.</w:t>
      </w:r>
    </w:p>
    <w:p w14:paraId="06A8657D" w14:textId="77777777" w:rsidR="00836964" w:rsidRPr="005B0E5B" w:rsidRDefault="00836964" w:rsidP="00836964">
      <w:pPr>
        <w:rPr>
          <w:rFonts w:cs="Arial"/>
        </w:rPr>
      </w:pPr>
      <w:r w:rsidRPr="005B0E5B">
        <w:rPr>
          <w:rFonts w:cs="Arial"/>
        </w:rPr>
        <w:t>Tout incident d’ordre environnemental ou social sera immédiatement signalé au Maître d’œuvre et fera l’objet d’une fiche d’incident sur laquelle seront précisées les dispositions prises par l’Entreprise pour remédier au problème.</w:t>
      </w:r>
    </w:p>
    <w:p w14:paraId="0A95F808" w14:textId="77777777" w:rsidR="00836964" w:rsidRPr="005B0E5B" w:rsidRDefault="00836964" w:rsidP="00836964">
      <w:pPr>
        <w:rPr>
          <w:rFonts w:cs="Arial"/>
        </w:rPr>
      </w:pPr>
      <w:r w:rsidRPr="005B0E5B">
        <w:rPr>
          <w:rFonts w:cs="Arial"/>
        </w:rPr>
        <w:t>Un évènement susceptible d’entraîner un impact environnemental ou social significatif (stockage d’une grande quantité de produits chimiques, travaux dans une zone sensible, etc.) sera signalé par avance au Maître d’œuvre, avec établissement d’une fiche d’évènement.</w:t>
      </w:r>
    </w:p>
    <w:p w14:paraId="3659111D" w14:textId="77777777" w:rsidR="00836964" w:rsidRPr="005B0E5B" w:rsidRDefault="00836964" w:rsidP="00836964">
      <w:pPr>
        <w:rPr>
          <w:rFonts w:cs="Arial"/>
          <w:b/>
        </w:rPr>
      </w:pPr>
    </w:p>
    <w:p w14:paraId="11F266F2" w14:textId="77777777" w:rsidR="00836964" w:rsidRPr="005B0E5B" w:rsidRDefault="00836964" w:rsidP="00836964">
      <w:pPr>
        <w:rPr>
          <w:rFonts w:cs="Arial"/>
          <w:b/>
        </w:rPr>
      </w:pPr>
      <w:r w:rsidRPr="005B0E5B">
        <w:rPr>
          <w:rFonts w:cs="Arial"/>
          <w:b/>
        </w:rPr>
        <w:t xml:space="preserve">3.2. </w:t>
      </w:r>
      <w:r w:rsidRPr="005B0E5B">
        <w:rPr>
          <w:rFonts w:cs="Arial"/>
          <w:b/>
        </w:rPr>
        <w:tab/>
        <w:t>Contrôle et inspections :</w:t>
      </w:r>
    </w:p>
    <w:p w14:paraId="1B640A7D" w14:textId="77777777" w:rsidR="00836964" w:rsidRPr="005B0E5B" w:rsidRDefault="00836964" w:rsidP="00836964">
      <w:pPr>
        <w:rPr>
          <w:rFonts w:cs="Arial"/>
        </w:rPr>
      </w:pPr>
      <w:r w:rsidRPr="005B0E5B">
        <w:rPr>
          <w:rFonts w:cs="Arial"/>
        </w:rPr>
        <w:t>Le Maître d’Ouvrage s’assure que la surveillance est planifiée, réalisée et documentée de manière systématique ainsi qu’archivée et que le compte-rendu et le suivi sont bien réalisés.</w:t>
      </w:r>
    </w:p>
    <w:p w14:paraId="73A7BCF4" w14:textId="77777777" w:rsidR="00836964" w:rsidRPr="005B0E5B" w:rsidRDefault="00836964" w:rsidP="00836964">
      <w:pPr>
        <w:rPr>
          <w:rFonts w:cs="Arial"/>
        </w:rPr>
      </w:pPr>
      <w:r w:rsidRPr="005B0E5B">
        <w:rPr>
          <w:rFonts w:cs="Arial"/>
        </w:rPr>
        <w:t>Le contrôle de l’application effective des prescriptions environnementales et sociales est assuré par le Maître d’œuvre appuyé par le bureau de contrôle. Le Responsable Environnement du Maître d’œuvre valide le Plan de gestion environnementale et sociale du chantier, reçoit les rapports de suivi émis par l’Entreprise, inspecte le chantier, observe la prise en compte de l’environnement dans les travaux, rencontre le personnel d’encadrement, assiste aux réunions de chantier, revoit, commente et/ou approuve les actions correctives déclenchées suite aux écarts constatés.</w:t>
      </w:r>
    </w:p>
    <w:p w14:paraId="0508C458" w14:textId="77777777" w:rsidR="00836964" w:rsidRPr="005B0E5B" w:rsidRDefault="00836964" w:rsidP="00836964">
      <w:pPr>
        <w:rPr>
          <w:rFonts w:cs="Arial"/>
        </w:rPr>
      </w:pPr>
    </w:p>
    <w:p w14:paraId="3C61266E" w14:textId="77777777" w:rsidR="00836964" w:rsidRPr="005B0E5B" w:rsidRDefault="00836964" w:rsidP="00836964">
      <w:pPr>
        <w:tabs>
          <w:tab w:val="left" w:pos="720"/>
        </w:tabs>
        <w:rPr>
          <w:rFonts w:cs="Arial"/>
        </w:rPr>
      </w:pPr>
      <w:r w:rsidRPr="005B0E5B">
        <w:rPr>
          <w:rFonts w:cs="Arial"/>
        </w:rPr>
        <w:t>Le Maître d’Ouvrage et le Maître d’Œuvre ont la faculté, dans le cadre du marché, de déclencher à tout moment de l’exécution du marché une inspection du système de management environnemental de l’Entreprise, de son ou ses cotraitants éventuels, de ses sous-traitants, fournisseurs et prestataires ; l’inspection analyse les dispositions concrètes prises par l’Entreprise pour éliminer, réduire ou compenser les impacts négatifs du chantier telle que décrites dans les Fiches de Déclaration d’Impact.</w:t>
      </w:r>
    </w:p>
    <w:p w14:paraId="4B6FD984" w14:textId="77777777" w:rsidR="00836964" w:rsidRPr="005B0E5B" w:rsidRDefault="00836964" w:rsidP="00836964">
      <w:pPr>
        <w:rPr>
          <w:rFonts w:cs="Arial"/>
        </w:rPr>
      </w:pPr>
      <w:r w:rsidRPr="005B0E5B">
        <w:rPr>
          <w:rFonts w:cs="Arial"/>
        </w:rPr>
        <w:t>L’Entreprise doit permettre, sur demande préalable de la personne responsable de l’inspection, l’accès à ses locaux, ceux de ses cotraitants et sous-traitants et aux éléments de preuve.</w:t>
      </w:r>
    </w:p>
    <w:p w14:paraId="00F27271" w14:textId="77777777" w:rsidR="00836964" w:rsidRPr="005B0E5B" w:rsidRDefault="00836964" w:rsidP="00836964">
      <w:pPr>
        <w:rPr>
          <w:rFonts w:cs="Arial"/>
        </w:rPr>
      </w:pPr>
      <w:r w:rsidRPr="005B0E5B">
        <w:rPr>
          <w:rFonts w:cs="Arial"/>
        </w:rPr>
        <w:t>Les écarts (non-conformités, remarques ou observations) constatés lors de l’inspection font l’objet d’un rapport présenté par le responsable de l’inspection au Maître d’œuvre et au Maître d’ouvrage et d’un plan d’actions correctives par l’Entreprise.</w:t>
      </w:r>
    </w:p>
    <w:p w14:paraId="701D10B8" w14:textId="77777777" w:rsidR="00836964" w:rsidRPr="005B0E5B" w:rsidRDefault="00836964" w:rsidP="00836964">
      <w:pPr>
        <w:rPr>
          <w:rFonts w:eastAsia="Helvetica Neue"/>
        </w:rPr>
      </w:pPr>
      <w:bookmarkStart w:id="680" w:name="_Toc799165"/>
    </w:p>
    <w:p w14:paraId="2617617A" w14:textId="77777777" w:rsidR="00836964" w:rsidRPr="005B0E5B" w:rsidRDefault="00836964" w:rsidP="00836964">
      <w:pPr>
        <w:rPr>
          <w:rFonts w:eastAsia="Helvetica Neue" w:cs="Arial"/>
          <w:b/>
        </w:rPr>
      </w:pPr>
      <w:r w:rsidRPr="005B0E5B">
        <w:rPr>
          <w:rFonts w:eastAsia="Helvetica Neue" w:cs="Arial"/>
        </w:rPr>
        <w:br w:type="page"/>
      </w:r>
    </w:p>
    <w:p w14:paraId="6A034349" w14:textId="6F999F5C" w:rsidR="00836964" w:rsidRPr="005B0E5B" w:rsidRDefault="005247BD" w:rsidP="00836964">
      <w:pPr>
        <w:pStyle w:val="Titre2"/>
      </w:pPr>
      <w:bookmarkStart w:id="681" w:name="_Toc6519575"/>
      <w:bookmarkStart w:id="682" w:name="_Toc13739690"/>
      <w:bookmarkStart w:id="683" w:name="_Toc77182386"/>
      <w:r w:rsidRPr="005B0E5B">
        <w:t>REGLEMENT INTERIEUR ET CODE DE BONNE CONDUITE</w:t>
      </w:r>
      <w:bookmarkEnd w:id="680"/>
      <w:bookmarkEnd w:id="681"/>
      <w:bookmarkEnd w:id="682"/>
      <w:bookmarkEnd w:id="683"/>
    </w:p>
    <w:p w14:paraId="1E00A9BE" w14:textId="77777777" w:rsidR="00836964" w:rsidRPr="005B0E5B" w:rsidRDefault="00836964" w:rsidP="00836964">
      <w:pPr>
        <w:pStyle w:val="Normal1"/>
        <w:shd w:val="clear" w:color="auto" w:fill="FFFFFF"/>
        <w:rPr>
          <w:rFonts w:ascii="Arial" w:eastAsia="Helvetica Neue" w:hAnsi="Arial" w:cs="Arial"/>
          <w:b/>
          <w:color w:val="000000" w:themeColor="text1"/>
          <w:sz w:val="22"/>
          <w:szCs w:val="22"/>
        </w:rPr>
      </w:pPr>
      <w:r w:rsidRPr="005B0E5B">
        <w:rPr>
          <w:rFonts w:ascii="Arial" w:eastAsia="Helvetica Neue" w:hAnsi="Arial" w:cs="Arial"/>
          <w:b/>
          <w:color w:val="000000" w:themeColor="text1"/>
          <w:sz w:val="22"/>
          <w:szCs w:val="22"/>
        </w:rPr>
        <w:t>PREAMBULE</w:t>
      </w:r>
    </w:p>
    <w:p w14:paraId="1A7C93F9" w14:textId="77777777" w:rsidR="00836964" w:rsidRPr="005B0E5B" w:rsidRDefault="00836964" w:rsidP="00836964">
      <w:pPr>
        <w:pStyle w:val="Normal1"/>
        <w:shd w:val="clear" w:color="auto" w:fill="FFFFFF"/>
        <w:ind w:left="284"/>
        <w:rPr>
          <w:rFonts w:ascii="Arial" w:eastAsia="Helvetica Neue" w:hAnsi="Arial" w:cs="Arial"/>
          <w:b/>
          <w:color w:val="000000" w:themeColor="text1"/>
          <w:sz w:val="22"/>
          <w:szCs w:val="22"/>
        </w:rPr>
      </w:pPr>
    </w:p>
    <w:p w14:paraId="384588E8" w14:textId="77777777" w:rsidR="00836964" w:rsidRPr="005B0E5B" w:rsidRDefault="00836964" w:rsidP="00836964">
      <w:pPr>
        <w:pStyle w:val="Normal1"/>
        <w:shd w:val="clear" w:color="auto" w:fill="FFFFFF"/>
        <w:rPr>
          <w:rFonts w:ascii="Arial" w:eastAsia="Helvetica Neue" w:hAnsi="Arial" w:cs="Arial"/>
          <w:sz w:val="22"/>
          <w:szCs w:val="22"/>
        </w:rPr>
      </w:pPr>
      <w:r w:rsidRPr="005B0E5B">
        <w:rPr>
          <w:rFonts w:ascii="Arial" w:eastAsia="Helvetica Neue" w:hAnsi="Arial" w:cs="Arial"/>
          <w:color w:val="000000" w:themeColor="text1"/>
          <w:sz w:val="22"/>
          <w:szCs w:val="22"/>
        </w:rPr>
        <w:t xml:space="preserve">Afin d‘assurer la bonne marche du chantier et la bonne exécution des travaux, et soucieuse de voir le personnel travailler dans de bonnes conditions, le maitre d’ouvrage a établi le présent </w:t>
      </w:r>
      <w:r w:rsidRPr="005B0E5B">
        <w:rPr>
          <w:rFonts w:ascii="Arial" w:eastAsia="Helvetica Neue" w:hAnsi="Arial" w:cs="Arial"/>
          <w:sz w:val="22"/>
          <w:szCs w:val="22"/>
        </w:rPr>
        <w:t>Règlement intérieur et code de bonne conduite.</w:t>
      </w:r>
    </w:p>
    <w:p w14:paraId="5EA1F0C4" w14:textId="77777777" w:rsidR="00836964" w:rsidRPr="005B0E5B" w:rsidRDefault="00836964" w:rsidP="00836964">
      <w:pPr>
        <w:pStyle w:val="Normal1"/>
        <w:shd w:val="clear" w:color="auto" w:fill="FFFFFF"/>
        <w:rPr>
          <w:rFonts w:ascii="Arial" w:eastAsia="Helvetica Neue" w:hAnsi="Arial" w:cs="Arial"/>
          <w:sz w:val="22"/>
          <w:szCs w:val="22"/>
        </w:rPr>
      </w:pPr>
    </w:p>
    <w:p w14:paraId="059E69CC" w14:textId="77777777" w:rsidR="00836964" w:rsidRPr="005B0E5B" w:rsidRDefault="00836964" w:rsidP="00836964">
      <w:pPr>
        <w:pStyle w:val="Normal1"/>
        <w:shd w:val="clear" w:color="auto" w:fill="FFFFFF"/>
        <w:rPr>
          <w:rFonts w:ascii="Arial" w:eastAsia="Helvetica Neue" w:hAnsi="Arial" w:cs="Arial"/>
          <w:sz w:val="22"/>
          <w:szCs w:val="22"/>
        </w:rPr>
      </w:pPr>
      <w:r w:rsidRPr="005B0E5B">
        <w:rPr>
          <w:rFonts w:ascii="Arial" w:eastAsia="Helvetica Neue" w:hAnsi="Arial" w:cs="Arial"/>
          <w:sz w:val="22"/>
          <w:szCs w:val="22"/>
        </w:rPr>
        <w:t>Le présent Règlement intérieur et code de bonne conduite a pour objet de définir :</w:t>
      </w:r>
    </w:p>
    <w:p w14:paraId="294D5B60" w14:textId="77777777" w:rsidR="00836964" w:rsidRPr="005B0E5B" w:rsidRDefault="00836964" w:rsidP="00836964">
      <w:pPr>
        <w:pStyle w:val="Normal1"/>
        <w:shd w:val="clear" w:color="auto" w:fill="FFFFFF"/>
        <w:rPr>
          <w:rFonts w:ascii="Arial" w:eastAsia="Helvetica Neue" w:hAnsi="Arial" w:cs="Arial"/>
          <w:sz w:val="22"/>
          <w:szCs w:val="22"/>
        </w:rPr>
      </w:pPr>
    </w:p>
    <w:p w14:paraId="17B7486C" w14:textId="77777777" w:rsidR="00836964" w:rsidRPr="005B0E5B" w:rsidRDefault="00836964" w:rsidP="0095003D">
      <w:pPr>
        <w:pStyle w:val="Normal1"/>
        <w:numPr>
          <w:ilvl w:val="0"/>
          <w:numId w:val="151"/>
        </w:numPr>
        <w:pBdr>
          <w:top w:val="nil"/>
          <w:left w:val="nil"/>
          <w:bottom w:val="nil"/>
          <w:right w:val="nil"/>
          <w:between w:val="nil"/>
        </w:pBdr>
        <w:shd w:val="clear" w:color="auto" w:fill="FFFFFF"/>
        <w:tabs>
          <w:tab w:val="clear" w:pos="1134"/>
        </w:tabs>
        <w:rPr>
          <w:rFonts w:ascii="Arial" w:eastAsia="Helvetica Neue" w:hAnsi="Arial" w:cs="Arial"/>
          <w:sz w:val="22"/>
          <w:szCs w:val="22"/>
        </w:rPr>
      </w:pPr>
      <w:r w:rsidRPr="005B0E5B">
        <w:rPr>
          <w:rFonts w:ascii="Arial" w:eastAsia="Helvetica Neue" w:hAnsi="Arial" w:cs="Arial"/>
          <w:sz w:val="22"/>
          <w:szCs w:val="22"/>
        </w:rPr>
        <w:t>les règles générales et permanentes relatives à la discipline au travail ;</w:t>
      </w:r>
    </w:p>
    <w:p w14:paraId="6D6202D7" w14:textId="77777777" w:rsidR="00836964" w:rsidRPr="005B0E5B" w:rsidRDefault="00836964" w:rsidP="0095003D">
      <w:pPr>
        <w:pStyle w:val="Normal1"/>
        <w:numPr>
          <w:ilvl w:val="0"/>
          <w:numId w:val="151"/>
        </w:numPr>
        <w:pBdr>
          <w:top w:val="nil"/>
          <w:left w:val="nil"/>
          <w:bottom w:val="nil"/>
          <w:right w:val="nil"/>
          <w:between w:val="nil"/>
        </w:pBdr>
        <w:shd w:val="clear" w:color="auto" w:fill="FFFFFF"/>
        <w:tabs>
          <w:tab w:val="clear" w:pos="1134"/>
        </w:tabs>
        <w:rPr>
          <w:rFonts w:ascii="Arial" w:eastAsia="Helvetica Neue" w:hAnsi="Arial" w:cs="Arial"/>
          <w:sz w:val="22"/>
          <w:szCs w:val="22"/>
        </w:rPr>
      </w:pPr>
      <w:r w:rsidRPr="005B0E5B">
        <w:rPr>
          <w:rFonts w:ascii="Arial" w:eastAsia="Helvetica Neue" w:hAnsi="Arial" w:cs="Arial"/>
          <w:sz w:val="22"/>
          <w:szCs w:val="22"/>
        </w:rPr>
        <w:t>les principales mesures en matière d’hygiène et de sécurité dans l’entreprise ;</w:t>
      </w:r>
    </w:p>
    <w:p w14:paraId="6413E75E" w14:textId="77777777" w:rsidR="00836964" w:rsidRPr="005B0E5B" w:rsidRDefault="00836964" w:rsidP="0095003D">
      <w:pPr>
        <w:pStyle w:val="Normal1"/>
        <w:numPr>
          <w:ilvl w:val="0"/>
          <w:numId w:val="151"/>
        </w:numPr>
        <w:pBdr>
          <w:top w:val="nil"/>
          <w:left w:val="nil"/>
          <w:bottom w:val="nil"/>
          <w:right w:val="nil"/>
          <w:between w:val="nil"/>
        </w:pBdr>
        <w:shd w:val="clear" w:color="auto" w:fill="FFFFFF"/>
        <w:tabs>
          <w:tab w:val="clear" w:pos="1134"/>
        </w:tabs>
        <w:rPr>
          <w:rFonts w:ascii="Arial" w:eastAsia="Helvetica Neue" w:hAnsi="Arial" w:cs="Arial"/>
          <w:sz w:val="22"/>
          <w:szCs w:val="22"/>
        </w:rPr>
      </w:pPr>
      <w:r w:rsidRPr="005B0E5B">
        <w:rPr>
          <w:rFonts w:ascii="Arial" w:eastAsia="Helvetica Neue" w:hAnsi="Arial" w:cs="Arial"/>
          <w:sz w:val="22"/>
          <w:szCs w:val="22"/>
        </w:rPr>
        <w:t>le respect des droits de l’homme ;</w:t>
      </w:r>
    </w:p>
    <w:p w14:paraId="6A9FE553" w14:textId="77777777" w:rsidR="00836964" w:rsidRPr="005B0E5B" w:rsidRDefault="00836964" w:rsidP="0095003D">
      <w:pPr>
        <w:pStyle w:val="Normal1"/>
        <w:numPr>
          <w:ilvl w:val="0"/>
          <w:numId w:val="151"/>
        </w:numPr>
        <w:pBdr>
          <w:top w:val="nil"/>
          <w:left w:val="nil"/>
          <w:bottom w:val="nil"/>
          <w:right w:val="nil"/>
          <w:between w:val="nil"/>
        </w:pBdr>
        <w:shd w:val="clear" w:color="auto" w:fill="FFFFFF"/>
        <w:tabs>
          <w:tab w:val="clear" w:pos="1134"/>
        </w:tabs>
        <w:rPr>
          <w:rFonts w:ascii="Arial" w:eastAsia="Helvetica Neue" w:hAnsi="Arial" w:cs="Arial"/>
          <w:sz w:val="22"/>
          <w:szCs w:val="22"/>
        </w:rPr>
      </w:pPr>
      <w:r w:rsidRPr="005B0E5B">
        <w:rPr>
          <w:rFonts w:ascii="Arial" w:eastAsia="Helvetica Neue" w:hAnsi="Arial" w:cs="Arial"/>
          <w:sz w:val="22"/>
          <w:szCs w:val="22"/>
        </w:rPr>
        <w:t>le respect de l’environnement ;</w:t>
      </w:r>
    </w:p>
    <w:p w14:paraId="132D9BBD" w14:textId="77777777" w:rsidR="00836964" w:rsidRPr="005B0E5B" w:rsidRDefault="00836964" w:rsidP="0095003D">
      <w:pPr>
        <w:pStyle w:val="Normal1"/>
        <w:numPr>
          <w:ilvl w:val="0"/>
          <w:numId w:val="151"/>
        </w:numPr>
        <w:pBdr>
          <w:top w:val="nil"/>
          <w:left w:val="nil"/>
          <w:bottom w:val="nil"/>
          <w:right w:val="nil"/>
          <w:between w:val="nil"/>
        </w:pBdr>
        <w:shd w:val="clear" w:color="auto" w:fill="FFFFFF"/>
        <w:tabs>
          <w:tab w:val="clear" w:pos="1134"/>
        </w:tabs>
        <w:rPr>
          <w:rFonts w:ascii="Arial" w:eastAsia="Helvetica Neue" w:hAnsi="Arial" w:cs="Arial"/>
          <w:sz w:val="22"/>
          <w:szCs w:val="22"/>
        </w:rPr>
      </w:pPr>
      <w:r w:rsidRPr="005B0E5B">
        <w:rPr>
          <w:rFonts w:ascii="Arial" w:eastAsia="Helvetica Neue" w:hAnsi="Arial" w:cs="Arial"/>
          <w:sz w:val="22"/>
          <w:szCs w:val="22"/>
        </w:rPr>
        <w:t>les dispositions relatives à la défense des droits des employés ;</w:t>
      </w:r>
    </w:p>
    <w:p w14:paraId="57BC5B6E" w14:textId="77777777" w:rsidR="00836964" w:rsidRPr="005B0E5B" w:rsidRDefault="00836964" w:rsidP="0095003D">
      <w:pPr>
        <w:pStyle w:val="Normal1"/>
        <w:numPr>
          <w:ilvl w:val="0"/>
          <w:numId w:val="151"/>
        </w:numPr>
        <w:pBdr>
          <w:top w:val="nil"/>
          <w:left w:val="nil"/>
          <w:bottom w:val="nil"/>
          <w:right w:val="nil"/>
          <w:between w:val="nil"/>
        </w:pBdr>
        <w:shd w:val="clear" w:color="auto" w:fill="FFFFFF"/>
        <w:tabs>
          <w:tab w:val="clear" w:pos="1134"/>
        </w:tabs>
        <w:rPr>
          <w:rFonts w:ascii="Arial" w:eastAsia="Helvetica Neue" w:hAnsi="Arial" w:cs="Arial"/>
          <w:sz w:val="22"/>
          <w:szCs w:val="22"/>
        </w:rPr>
      </w:pPr>
      <w:r w:rsidRPr="005B0E5B">
        <w:rPr>
          <w:rFonts w:ascii="Arial" w:eastAsia="Helvetica Neue" w:hAnsi="Arial" w:cs="Arial"/>
          <w:sz w:val="22"/>
          <w:szCs w:val="22"/>
        </w:rPr>
        <w:t>les mesures disciplinaires ;</w:t>
      </w:r>
    </w:p>
    <w:p w14:paraId="700C6685" w14:textId="77777777" w:rsidR="00836964" w:rsidRPr="005B0E5B" w:rsidRDefault="00836964" w:rsidP="0095003D">
      <w:pPr>
        <w:pStyle w:val="Normal1"/>
        <w:numPr>
          <w:ilvl w:val="0"/>
          <w:numId w:val="151"/>
        </w:numPr>
        <w:pBdr>
          <w:top w:val="nil"/>
          <w:left w:val="nil"/>
          <w:bottom w:val="nil"/>
          <w:right w:val="nil"/>
          <w:between w:val="nil"/>
        </w:pBdr>
        <w:shd w:val="clear" w:color="auto" w:fill="FFFFFF"/>
        <w:tabs>
          <w:tab w:val="clear" w:pos="1134"/>
        </w:tabs>
        <w:rPr>
          <w:rFonts w:ascii="Arial" w:eastAsia="Helvetica Neue" w:hAnsi="Arial" w:cs="Arial"/>
          <w:sz w:val="22"/>
          <w:szCs w:val="22"/>
        </w:rPr>
      </w:pPr>
      <w:r w:rsidRPr="005B0E5B">
        <w:rPr>
          <w:rFonts w:ascii="Arial" w:eastAsia="Helvetica Neue" w:hAnsi="Arial" w:cs="Arial"/>
          <w:sz w:val="22"/>
          <w:szCs w:val="22"/>
        </w:rPr>
        <w:t>les formalités de son application.</w:t>
      </w:r>
    </w:p>
    <w:p w14:paraId="26C5FB2C" w14:textId="77777777" w:rsidR="00836964" w:rsidRPr="005B0E5B" w:rsidRDefault="00836964" w:rsidP="00836964">
      <w:pPr>
        <w:pStyle w:val="Normal1"/>
        <w:shd w:val="clear" w:color="auto" w:fill="FFFFFF"/>
        <w:ind w:left="720"/>
        <w:rPr>
          <w:rFonts w:ascii="Arial" w:eastAsia="Helvetica Neue" w:hAnsi="Arial" w:cs="Arial"/>
          <w:sz w:val="22"/>
          <w:szCs w:val="22"/>
        </w:rPr>
      </w:pPr>
    </w:p>
    <w:p w14:paraId="14418E65" w14:textId="77777777" w:rsidR="00836964" w:rsidRPr="005B0E5B" w:rsidRDefault="00836964" w:rsidP="00836964">
      <w:pPr>
        <w:pStyle w:val="Normal1"/>
        <w:shd w:val="clear" w:color="auto" w:fill="FFFFFF"/>
        <w:rPr>
          <w:rFonts w:ascii="Arial" w:eastAsia="Helvetica Neue" w:hAnsi="Arial" w:cs="Arial"/>
          <w:sz w:val="22"/>
          <w:szCs w:val="22"/>
        </w:rPr>
      </w:pPr>
      <w:r w:rsidRPr="005B0E5B">
        <w:rPr>
          <w:rFonts w:ascii="Arial" w:eastAsia="Helvetica Neue" w:hAnsi="Arial" w:cs="Arial"/>
          <w:sz w:val="22"/>
          <w:szCs w:val="22"/>
        </w:rPr>
        <w:t>Le présent Règlement et Code de bonne conduite s’applique sans restriction ni réserve à l’ensemble des salariés et apprentis de l’Entreprise, y compris, ses sous-traitants et partenaires sécuritaires et autres.</w:t>
      </w:r>
    </w:p>
    <w:p w14:paraId="32007024" w14:textId="77777777" w:rsidR="00836964" w:rsidRPr="005B0E5B" w:rsidRDefault="00836964" w:rsidP="00836964">
      <w:pPr>
        <w:pStyle w:val="Normal1"/>
        <w:shd w:val="clear" w:color="auto" w:fill="FFFFFF"/>
        <w:rPr>
          <w:rFonts w:ascii="Arial" w:eastAsia="Helvetica Neue" w:hAnsi="Arial" w:cs="Arial"/>
          <w:sz w:val="22"/>
          <w:szCs w:val="22"/>
        </w:rPr>
      </w:pPr>
    </w:p>
    <w:p w14:paraId="55DAD870" w14:textId="77777777" w:rsidR="00836964" w:rsidRPr="005B0E5B" w:rsidRDefault="00836964" w:rsidP="00836964">
      <w:pPr>
        <w:pStyle w:val="Normal1"/>
        <w:shd w:val="clear" w:color="auto" w:fill="FFFFFF"/>
        <w:rPr>
          <w:rFonts w:ascii="Arial" w:eastAsia="Helvetica Neue" w:hAnsi="Arial" w:cs="Arial"/>
          <w:b/>
          <w:sz w:val="22"/>
          <w:szCs w:val="22"/>
        </w:rPr>
      </w:pPr>
      <w:r w:rsidRPr="005B0E5B">
        <w:rPr>
          <w:rFonts w:ascii="Arial" w:eastAsia="Helvetica Neue" w:hAnsi="Arial" w:cs="Arial"/>
          <w:b/>
          <w:sz w:val="22"/>
          <w:szCs w:val="22"/>
        </w:rPr>
        <w:t>Article 1 – DE LA DISCIPLINE GENERALE</w:t>
      </w:r>
    </w:p>
    <w:p w14:paraId="47AE25D7" w14:textId="77777777" w:rsidR="00836964" w:rsidRPr="005B0E5B" w:rsidRDefault="00836964" w:rsidP="00836964">
      <w:pPr>
        <w:autoSpaceDE w:val="0"/>
        <w:autoSpaceDN w:val="0"/>
        <w:adjustRightInd w:val="0"/>
        <w:rPr>
          <w:rFonts w:cs="Arial"/>
          <w:iCs/>
        </w:rPr>
      </w:pPr>
      <w:r w:rsidRPr="005B0E5B">
        <w:rPr>
          <w:rFonts w:cs="Arial"/>
        </w:rPr>
        <w:t>La durée du travail est fixée conformément aux dispositions légales et conventionnelles du code du travail en vigueur en République du Mali.</w:t>
      </w:r>
    </w:p>
    <w:p w14:paraId="205E815D" w14:textId="77777777" w:rsidR="00836964" w:rsidRPr="005B0E5B" w:rsidRDefault="00836964" w:rsidP="00836964">
      <w:pPr>
        <w:autoSpaceDE w:val="0"/>
        <w:autoSpaceDN w:val="0"/>
        <w:adjustRightInd w:val="0"/>
        <w:rPr>
          <w:rFonts w:cs="Arial"/>
          <w:iCs/>
        </w:rPr>
      </w:pPr>
      <w:r w:rsidRPr="005B0E5B">
        <w:rPr>
          <w:rFonts w:cs="Arial"/>
        </w:rPr>
        <w:t xml:space="preserve">Les Employés sont astreints à l’horaire arrêté par la Direction tel qu’affiché sur les lieux de travail et communiqué à l’Inspection </w:t>
      </w:r>
      <w:r w:rsidRPr="005B0E5B">
        <w:rPr>
          <w:rFonts w:cs="Arial"/>
          <w:iCs/>
        </w:rPr>
        <w:t>du Travail. Les heures de travail ne devront pas dépasser 8 heures.</w:t>
      </w:r>
    </w:p>
    <w:p w14:paraId="576350A1" w14:textId="77777777" w:rsidR="00836964" w:rsidRPr="005B0E5B" w:rsidRDefault="00836964" w:rsidP="00836964">
      <w:pPr>
        <w:autoSpaceDE w:val="0"/>
        <w:autoSpaceDN w:val="0"/>
        <w:adjustRightInd w:val="0"/>
        <w:rPr>
          <w:rFonts w:eastAsia="Helvetica Neue" w:cs="Arial"/>
        </w:rPr>
      </w:pPr>
      <w:r w:rsidRPr="005B0E5B">
        <w:rPr>
          <w:rFonts w:eastAsia="Helvetica Neue" w:cs="Arial"/>
        </w:rPr>
        <w:t>Les jours de travail sont donc les suivants : du lundi au samedi.</w:t>
      </w:r>
    </w:p>
    <w:p w14:paraId="18191EDC" w14:textId="77777777" w:rsidR="00836964" w:rsidRPr="005B0E5B" w:rsidRDefault="00836964" w:rsidP="00836964">
      <w:pPr>
        <w:pStyle w:val="Normal1"/>
        <w:shd w:val="clear" w:color="auto" w:fill="FFFFFF"/>
        <w:rPr>
          <w:rFonts w:ascii="Arial" w:eastAsia="Helvetica Neue" w:hAnsi="Arial" w:cs="Arial"/>
          <w:sz w:val="16"/>
          <w:szCs w:val="16"/>
        </w:rPr>
      </w:pPr>
    </w:p>
    <w:p w14:paraId="16C1A6C1" w14:textId="77777777" w:rsidR="00836964" w:rsidRPr="005B0E5B" w:rsidRDefault="00836964" w:rsidP="00836964">
      <w:pPr>
        <w:pStyle w:val="Normal1"/>
        <w:shd w:val="clear" w:color="auto" w:fill="FFFFFF"/>
        <w:rPr>
          <w:rFonts w:ascii="Arial" w:eastAsia="Helvetica Neue" w:hAnsi="Arial" w:cs="Arial"/>
          <w:sz w:val="22"/>
          <w:szCs w:val="22"/>
        </w:rPr>
      </w:pPr>
      <w:r w:rsidRPr="005B0E5B">
        <w:rPr>
          <w:rFonts w:ascii="Arial" w:eastAsia="Helvetica Neue" w:hAnsi="Arial" w:cs="Arial"/>
          <w:sz w:val="22"/>
          <w:szCs w:val="22"/>
        </w:rPr>
        <w:t>Toutefois, pour l’avancement du chantier, l’Entreprise peut demander au personnel d’effectuer des heures supplémentaires au-delà des huit (8) heures de travail journalier. Les heures supplémentaires sont rémunérées conformément au code du travail.</w:t>
      </w:r>
    </w:p>
    <w:p w14:paraId="1E2702DF" w14:textId="77777777" w:rsidR="00836964" w:rsidRPr="005B0E5B" w:rsidRDefault="00836964" w:rsidP="00836964">
      <w:pPr>
        <w:pStyle w:val="Normal1"/>
        <w:shd w:val="clear" w:color="auto" w:fill="FFFFFF"/>
        <w:rPr>
          <w:rFonts w:ascii="Arial" w:eastAsia="Helvetica Neue" w:hAnsi="Arial" w:cs="Arial"/>
          <w:sz w:val="16"/>
          <w:szCs w:val="16"/>
        </w:rPr>
      </w:pPr>
    </w:p>
    <w:p w14:paraId="59A5E6CC" w14:textId="77777777" w:rsidR="00836964" w:rsidRPr="005B0E5B" w:rsidRDefault="00836964" w:rsidP="00836964">
      <w:pPr>
        <w:pStyle w:val="Normal1"/>
        <w:shd w:val="clear" w:color="auto" w:fill="FFFFFF"/>
        <w:rPr>
          <w:rFonts w:ascii="Arial" w:eastAsia="Helvetica Neue" w:hAnsi="Arial" w:cs="Arial"/>
          <w:sz w:val="22"/>
          <w:szCs w:val="22"/>
        </w:rPr>
      </w:pPr>
      <w:r w:rsidRPr="005B0E5B">
        <w:rPr>
          <w:rFonts w:ascii="Arial" w:eastAsia="Helvetica Neue" w:hAnsi="Arial" w:cs="Arial"/>
          <w:sz w:val="22"/>
          <w:szCs w:val="22"/>
        </w:rPr>
        <w:t xml:space="preserve">Les </w:t>
      </w:r>
      <w:r w:rsidRPr="005B0E5B">
        <w:rPr>
          <w:rFonts w:ascii="Arial" w:hAnsi="Arial" w:cs="Arial"/>
          <w:iCs/>
          <w:sz w:val="22"/>
          <w:szCs w:val="22"/>
        </w:rPr>
        <w:t xml:space="preserve">Employés </w:t>
      </w:r>
      <w:r w:rsidRPr="005B0E5B">
        <w:rPr>
          <w:rFonts w:ascii="Arial" w:eastAsia="Helvetica Neue" w:hAnsi="Arial" w:cs="Arial"/>
          <w:sz w:val="22"/>
          <w:szCs w:val="22"/>
        </w:rPr>
        <w:t>doivent se soumettre aux mesures de contrôle des entrées et des sorties mises en place par la Direction. Le Personnel doit se trouver à son poste de travail à l’heure fixée pour le début du travail et à celle prévue pour la fin de celui-ci. Aucun retard au travail ou arrêt prématuré du travail sans autorisation n’est toléré.</w:t>
      </w:r>
    </w:p>
    <w:p w14:paraId="4C940C61" w14:textId="77777777" w:rsidR="00836964" w:rsidRPr="005B0E5B" w:rsidRDefault="00836964" w:rsidP="00836964">
      <w:pPr>
        <w:pStyle w:val="Normal1"/>
        <w:shd w:val="clear" w:color="auto" w:fill="FFFFFF"/>
        <w:rPr>
          <w:rFonts w:ascii="Arial" w:eastAsia="Helvetica Neue" w:hAnsi="Arial" w:cs="Arial"/>
          <w:sz w:val="16"/>
          <w:szCs w:val="16"/>
        </w:rPr>
      </w:pPr>
    </w:p>
    <w:p w14:paraId="66ABD122" w14:textId="77777777" w:rsidR="00836964" w:rsidRPr="005B0E5B" w:rsidRDefault="00836964" w:rsidP="00836964">
      <w:pPr>
        <w:autoSpaceDE w:val="0"/>
        <w:autoSpaceDN w:val="0"/>
        <w:adjustRightInd w:val="0"/>
        <w:rPr>
          <w:rFonts w:cs="Arial"/>
          <w:iCs/>
        </w:rPr>
      </w:pPr>
      <w:r w:rsidRPr="005B0E5B">
        <w:rPr>
          <w:rFonts w:cs="Arial"/>
          <w:iCs/>
        </w:rPr>
        <w:t>Le travail du dimanche et des jours fériés n’est pas obligatoire en République du Mali. Toute personne ayant travaillé les dimanche et jours fériés est rémunérée conformément aux grilles des heures supplémentaires prévues par le Code du travail en vigueur en République Mali.</w:t>
      </w:r>
    </w:p>
    <w:p w14:paraId="6882F4C5" w14:textId="77777777" w:rsidR="00836964" w:rsidRPr="005B0E5B" w:rsidRDefault="00836964" w:rsidP="00836964">
      <w:pPr>
        <w:pStyle w:val="Normal1"/>
        <w:shd w:val="clear" w:color="auto" w:fill="FFFFFF"/>
        <w:rPr>
          <w:rFonts w:ascii="Arial" w:eastAsia="Helvetica Neue" w:hAnsi="Arial" w:cs="Arial"/>
          <w:sz w:val="16"/>
          <w:szCs w:val="16"/>
        </w:rPr>
      </w:pPr>
    </w:p>
    <w:p w14:paraId="02F5073B" w14:textId="77777777" w:rsidR="00836964" w:rsidRPr="005B0E5B" w:rsidRDefault="00836964" w:rsidP="00836964">
      <w:pPr>
        <w:pStyle w:val="Normal1"/>
        <w:shd w:val="clear" w:color="auto" w:fill="FFFFFF"/>
        <w:rPr>
          <w:rFonts w:ascii="Arial" w:eastAsia="Helvetica Neue" w:hAnsi="Arial" w:cs="Arial"/>
          <w:sz w:val="22"/>
          <w:szCs w:val="22"/>
        </w:rPr>
      </w:pPr>
      <w:r w:rsidRPr="005B0E5B">
        <w:rPr>
          <w:rFonts w:ascii="Arial" w:eastAsia="Helvetica Neue" w:hAnsi="Arial" w:cs="Arial"/>
          <w:sz w:val="22"/>
          <w:szCs w:val="22"/>
        </w:rPr>
        <w:t xml:space="preserve">Le travailleur n’est pas autorisé à exercer une activité autre que celle confiée par l’Entreprise. </w:t>
      </w:r>
    </w:p>
    <w:p w14:paraId="0D2317DC" w14:textId="77777777" w:rsidR="00836964" w:rsidRPr="005B0E5B" w:rsidRDefault="00836964" w:rsidP="00836964">
      <w:pPr>
        <w:autoSpaceDE w:val="0"/>
        <w:autoSpaceDN w:val="0"/>
        <w:adjustRightInd w:val="0"/>
        <w:rPr>
          <w:rFonts w:cs="Arial"/>
          <w:iCs/>
          <w:sz w:val="16"/>
          <w:szCs w:val="16"/>
        </w:rPr>
      </w:pPr>
    </w:p>
    <w:p w14:paraId="165719F6" w14:textId="77777777" w:rsidR="00836964" w:rsidRPr="005B0E5B" w:rsidRDefault="00836964" w:rsidP="00836964">
      <w:pPr>
        <w:pStyle w:val="Normal1"/>
        <w:shd w:val="clear" w:color="auto" w:fill="FFFFFF"/>
        <w:rPr>
          <w:rFonts w:ascii="Arial" w:eastAsia="Helvetica Neue" w:hAnsi="Arial" w:cs="Arial"/>
          <w:sz w:val="22"/>
          <w:szCs w:val="22"/>
        </w:rPr>
      </w:pPr>
      <w:r w:rsidRPr="005B0E5B">
        <w:rPr>
          <w:rFonts w:ascii="Arial" w:eastAsia="Helvetica Neue" w:hAnsi="Arial" w:cs="Arial"/>
          <w:sz w:val="22"/>
          <w:szCs w:val="22"/>
        </w:rPr>
        <w:t xml:space="preserve">Aucune absence injustifiée n’est tolérée. Toute absence doit, sauf cas de force majeure, faire l’objet d’une autorisation préalable de la Direction. L’absence non autorisée constitue une absence irrégulière qui est sanctionnée. Toute indisponibilité consécutive à la maladie doit, être justifiée auprès de la Direction dans les 48 heures qui suivent l’arrêt. </w:t>
      </w:r>
    </w:p>
    <w:p w14:paraId="268B9DF8" w14:textId="77777777" w:rsidR="00836964" w:rsidRPr="005B0E5B" w:rsidRDefault="00836964" w:rsidP="00836964">
      <w:pPr>
        <w:pStyle w:val="Normal1"/>
        <w:shd w:val="clear" w:color="auto" w:fill="FFFFFF"/>
        <w:rPr>
          <w:rFonts w:ascii="Arial" w:eastAsia="Helvetica Neue" w:hAnsi="Arial" w:cs="Arial"/>
          <w:sz w:val="16"/>
          <w:szCs w:val="16"/>
        </w:rPr>
      </w:pPr>
    </w:p>
    <w:p w14:paraId="5537F2BF" w14:textId="77777777" w:rsidR="00836964" w:rsidRPr="005B0E5B" w:rsidRDefault="00836964" w:rsidP="00836964">
      <w:pPr>
        <w:pStyle w:val="Normal1"/>
        <w:shd w:val="clear" w:color="auto" w:fill="FFFFFF"/>
        <w:rPr>
          <w:rFonts w:ascii="Arial" w:eastAsia="Helvetica Neue" w:hAnsi="Arial" w:cs="Arial"/>
          <w:sz w:val="22"/>
          <w:szCs w:val="22"/>
        </w:rPr>
      </w:pPr>
      <w:r w:rsidRPr="005B0E5B">
        <w:rPr>
          <w:rFonts w:ascii="Arial" w:eastAsia="Helvetica Neue" w:hAnsi="Arial" w:cs="Arial"/>
          <w:sz w:val="22"/>
          <w:szCs w:val="22"/>
        </w:rPr>
        <w:t>Aucun travailleur ne peut être absent plus de 3 jours au cours d’un mois sans justification valable.</w:t>
      </w:r>
    </w:p>
    <w:p w14:paraId="5E685BB2" w14:textId="77777777" w:rsidR="00836964" w:rsidRPr="005B0E5B" w:rsidRDefault="00836964" w:rsidP="00836964">
      <w:pPr>
        <w:pStyle w:val="Normal1"/>
        <w:shd w:val="clear" w:color="auto" w:fill="FFFFFF"/>
        <w:rPr>
          <w:rFonts w:ascii="Arial" w:eastAsia="Helvetica Neue" w:hAnsi="Arial" w:cs="Arial"/>
          <w:sz w:val="22"/>
          <w:szCs w:val="22"/>
        </w:rPr>
      </w:pPr>
    </w:p>
    <w:p w14:paraId="649296C6" w14:textId="77777777" w:rsidR="00836964" w:rsidRPr="005B0E5B" w:rsidRDefault="00836964" w:rsidP="00836964">
      <w:pPr>
        <w:pStyle w:val="Normal1"/>
        <w:shd w:val="clear" w:color="auto" w:fill="FFFFFF"/>
        <w:rPr>
          <w:rFonts w:ascii="Arial" w:eastAsia="Helvetica Neue" w:hAnsi="Arial" w:cs="Arial"/>
          <w:sz w:val="22"/>
          <w:szCs w:val="22"/>
        </w:rPr>
      </w:pPr>
      <w:r w:rsidRPr="005B0E5B">
        <w:rPr>
          <w:rFonts w:ascii="Arial" w:eastAsia="Helvetica Neue" w:hAnsi="Arial" w:cs="Arial"/>
          <w:b/>
          <w:sz w:val="22"/>
          <w:szCs w:val="22"/>
        </w:rPr>
        <w:t>IL EST FORMELLEMENT INTERDIT</w:t>
      </w:r>
      <w:r w:rsidRPr="005B0E5B">
        <w:rPr>
          <w:rFonts w:ascii="Arial" w:eastAsia="Helvetica Neue" w:hAnsi="Arial" w:cs="Arial"/>
          <w:sz w:val="22"/>
          <w:szCs w:val="22"/>
        </w:rPr>
        <w:t xml:space="preserve"> au travailleur, sous peine de sanctions pouvant aller jusqu’au licenciement, sans préjudice des éventuelles poursuites judiciaires par l’autorité publique, de :</w:t>
      </w:r>
    </w:p>
    <w:p w14:paraId="66AF2556" w14:textId="77777777" w:rsidR="00836964" w:rsidRPr="005B0E5B" w:rsidRDefault="00836964" w:rsidP="00836964">
      <w:pPr>
        <w:autoSpaceDE w:val="0"/>
        <w:autoSpaceDN w:val="0"/>
        <w:adjustRightInd w:val="0"/>
        <w:rPr>
          <w:rFonts w:cs="Arial"/>
          <w:iCs/>
          <w:sz w:val="10"/>
          <w:szCs w:val="16"/>
        </w:rPr>
      </w:pPr>
    </w:p>
    <w:p w14:paraId="6838344C" w14:textId="77777777" w:rsidR="00836964" w:rsidRPr="005B0E5B" w:rsidRDefault="00836964" w:rsidP="0095003D">
      <w:pPr>
        <w:pStyle w:val="Paragraphedeliste"/>
        <w:numPr>
          <w:ilvl w:val="0"/>
          <w:numId w:val="152"/>
        </w:numPr>
        <w:autoSpaceDE w:val="0"/>
        <w:autoSpaceDN w:val="0"/>
        <w:adjustRightInd w:val="0"/>
        <w:spacing w:after="0"/>
        <w:ind w:left="360"/>
        <w:rPr>
          <w:rFonts w:cs="Arial"/>
          <w:iCs/>
        </w:rPr>
      </w:pPr>
      <w:r w:rsidRPr="005B0E5B">
        <w:rPr>
          <w:rFonts w:cs="Arial"/>
        </w:rPr>
        <w:t>Tenir des propos et attitudes déplacés vis-à-vis des personnes de sexe féminin ;</w:t>
      </w:r>
    </w:p>
    <w:p w14:paraId="4F3B4291" w14:textId="77777777" w:rsidR="00836964" w:rsidRPr="005B0E5B" w:rsidRDefault="00836964" w:rsidP="0095003D">
      <w:pPr>
        <w:pStyle w:val="Paragraphedeliste"/>
        <w:numPr>
          <w:ilvl w:val="0"/>
          <w:numId w:val="152"/>
        </w:numPr>
        <w:autoSpaceDE w:val="0"/>
        <w:autoSpaceDN w:val="0"/>
        <w:adjustRightInd w:val="0"/>
        <w:spacing w:after="0"/>
        <w:ind w:left="360"/>
        <w:rPr>
          <w:rFonts w:cs="Arial"/>
          <w:iCs/>
        </w:rPr>
      </w:pPr>
      <w:r w:rsidRPr="005B0E5B">
        <w:rPr>
          <w:rFonts w:cs="Arial"/>
        </w:rPr>
        <w:t>Avoir recours aux services de prostituées durant les heures de chantier ;</w:t>
      </w:r>
    </w:p>
    <w:p w14:paraId="2F75914A" w14:textId="77777777" w:rsidR="00836964" w:rsidRPr="005B0E5B" w:rsidRDefault="00836964" w:rsidP="0095003D">
      <w:pPr>
        <w:pStyle w:val="Paragraphedeliste"/>
        <w:numPr>
          <w:ilvl w:val="0"/>
          <w:numId w:val="152"/>
        </w:numPr>
        <w:autoSpaceDE w:val="0"/>
        <w:autoSpaceDN w:val="0"/>
        <w:adjustRightInd w:val="0"/>
        <w:spacing w:after="0"/>
        <w:ind w:left="360"/>
        <w:rPr>
          <w:rFonts w:eastAsia="Helvetica Neue" w:cs="Arial"/>
        </w:rPr>
      </w:pPr>
      <w:r w:rsidRPr="005B0E5B">
        <w:rPr>
          <w:rFonts w:eastAsia="Helvetica Neue" w:cs="Arial"/>
        </w:rPr>
        <w:t>Avoir des comportements de violences physiques ou verbales violents dans les installations ou sur les lieux de travail ;</w:t>
      </w:r>
    </w:p>
    <w:p w14:paraId="4C538AD7" w14:textId="77777777" w:rsidR="00836964" w:rsidRPr="005B0E5B" w:rsidRDefault="00836964" w:rsidP="0095003D">
      <w:pPr>
        <w:pStyle w:val="Paragraphedeliste"/>
        <w:numPr>
          <w:ilvl w:val="0"/>
          <w:numId w:val="152"/>
        </w:numPr>
        <w:autoSpaceDE w:val="0"/>
        <w:autoSpaceDN w:val="0"/>
        <w:adjustRightInd w:val="0"/>
        <w:spacing w:after="0"/>
        <w:ind w:left="360"/>
        <w:rPr>
          <w:rFonts w:eastAsia="Helvetica Neue" w:cs="Arial"/>
        </w:rPr>
      </w:pPr>
      <w:r w:rsidRPr="005B0E5B">
        <w:rPr>
          <w:rFonts w:eastAsia="Helvetica Neue" w:cs="Arial"/>
        </w:rPr>
        <w:t>Attenter volontairement aux biens et intérêts d’autrui ou à l’environnement ;</w:t>
      </w:r>
    </w:p>
    <w:p w14:paraId="3C023478" w14:textId="77777777" w:rsidR="00836964" w:rsidRPr="005B0E5B" w:rsidRDefault="00836964" w:rsidP="0095003D">
      <w:pPr>
        <w:pStyle w:val="Paragraphedeliste"/>
        <w:numPr>
          <w:ilvl w:val="0"/>
          <w:numId w:val="152"/>
        </w:numPr>
        <w:autoSpaceDE w:val="0"/>
        <w:autoSpaceDN w:val="0"/>
        <w:adjustRightInd w:val="0"/>
        <w:spacing w:after="0"/>
        <w:ind w:left="360"/>
        <w:rPr>
          <w:rFonts w:eastAsia="Helvetica Neue" w:cs="Arial"/>
        </w:rPr>
      </w:pPr>
      <w:r w:rsidRPr="005B0E5B">
        <w:rPr>
          <w:rFonts w:eastAsia="Helvetica Neue" w:cs="Arial"/>
        </w:rPr>
        <w:t>Commettre des actes de vandalisme ou de vol ;</w:t>
      </w:r>
    </w:p>
    <w:p w14:paraId="3BA3BBAE" w14:textId="77777777" w:rsidR="00836964" w:rsidRPr="005B0E5B" w:rsidRDefault="00836964" w:rsidP="0095003D">
      <w:pPr>
        <w:pStyle w:val="Paragraphedeliste"/>
        <w:numPr>
          <w:ilvl w:val="0"/>
          <w:numId w:val="152"/>
        </w:numPr>
        <w:autoSpaceDE w:val="0"/>
        <w:autoSpaceDN w:val="0"/>
        <w:adjustRightInd w:val="0"/>
        <w:spacing w:after="0"/>
        <w:ind w:left="360"/>
        <w:rPr>
          <w:rFonts w:eastAsia="Helvetica Neue" w:cs="Arial"/>
        </w:rPr>
      </w:pPr>
      <w:r w:rsidRPr="005B0E5B">
        <w:rPr>
          <w:rFonts w:eastAsia="Helvetica Neue" w:cs="Arial"/>
        </w:rPr>
        <w:t>Refuser de mettre en application les ordres donnés par sa hiérarchie et les procédures internes édictées par la direction du chantier ;</w:t>
      </w:r>
    </w:p>
    <w:p w14:paraId="1363E51F" w14:textId="77777777" w:rsidR="00836964" w:rsidRPr="005B0E5B" w:rsidRDefault="00836964" w:rsidP="0095003D">
      <w:pPr>
        <w:pStyle w:val="Paragraphedeliste"/>
        <w:numPr>
          <w:ilvl w:val="0"/>
          <w:numId w:val="152"/>
        </w:numPr>
        <w:autoSpaceDE w:val="0"/>
        <w:autoSpaceDN w:val="0"/>
        <w:adjustRightInd w:val="0"/>
        <w:spacing w:after="0"/>
        <w:ind w:left="360"/>
        <w:rPr>
          <w:rFonts w:cs="Arial"/>
          <w:iCs/>
        </w:rPr>
      </w:pPr>
      <w:r w:rsidRPr="005B0E5B">
        <w:rPr>
          <w:rFonts w:eastAsia="Helvetica Neue" w:cs="Arial"/>
        </w:rPr>
        <w:t xml:space="preserve">Faire preuve d’actes de négligence dans le cadre de ses fonctions ou d’imprudences entraînant des dommages ou préjudices à la population, aux biens d’autrui ou de l’entreprise, à l’environnement, notamment en rapport avec les prescriptions de lutte contre la propagation des </w:t>
      </w:r>
      <w:proofErr w:type="spellStart"/>
      <w:r w:rsidRPr="005B0E5B">
        <w:rPr>
          <w:rFonts w:eastAsia="Helvetica Neue" w:cs="Arial"/>
        </w:rPr>
        <w:t>ist</w:t>
      </w:r>
      <w:proofErr w:type="spellEnd"/>
      <w:r w:rsidRPr="005B0E5B">
        <w:rPr>
          <w:rFonts w:eastAsia="Helvetica Neue" w:cs="Arial"/>
        </w:rPr>
        <w:t xml:space="preserve">, du </w:t>
      </w:r>
      <w:proofErr w:type="spellStart"/>
      <w:r w:rsidRPr="005B0E5B">
        <w:rPr>
          <w:rFonts w:eastAsia="Helvetica Neue" w:cs="Arial"/>
        </w:rPr>
        <w:t>vih</w:t>
      </w:r>
      <w:proofErr w:type="spellEnd"/>
      <w:r w:rsidRPr="005B0E5B">
        <w:rPr>
          <w:rFonts w:eastAsia="Helvetica Neue" w:cs="Arial"/>
        </w:rPr>
        <w:t xml:space="preserve"> sida et du covid-19.</w:t>
      </w:r>
    </w:p>
    <w:p w14:paraId="7A5980BE" w14:textId="77777777" w:rsidR="00836964" w:rsidRPr="005B0E5B" w:rsidRDefault="00836964" w:rsidP="0095003D">
      <w:pPr>
        <w:pStyle w:val="Paragraphedeliste"/>
        <w:numPr>
          <w:ilvl w:val="0"/>
          <w:numId w:val="152"/>
        </w:numPr>
        <w:autoSpaceDE w:val="0"/>
        <w:autoSpaceDN w:val="0"/>
        <w:adjustRightInd w:val="0"/>
        <w:spacing w:after="0"/>
        <w:ind w:left="360"/>
        <w:rPr>
          <w:rFonts w:cs="Arial"/>
          <w:iCs/>
        </w:rPr>
      </w:pPr>
      <w:r w:rsidRPr="005B0E5B">
        <w:rPr>
          <w:rFonts w:cs="Arial"/>
        </w:rPr>
        <w:t>Quitter son poste de travail sans autorisation de la direction du chantier ;</w:t>
      </w:r>
    </w:p>
    <w:p w14:paraId="56ACF8DA" w14:textId="77777777" w:rsidR="00836964" w:rsidRPr="005B0E5B" w:rsidRDefault="00836964" w:rsidP="0095003D">
      <w:pPr>
        <w:pStyle w:val="Paragraphedeliste"/>
        <w:numPr>
          <w:ilvl w:val="0"/>
          <w:numId w:val="152"/>
        </w:numPr>
        <w:autoSpaceDE w:val="0"/>
        <w:autoSpaceDN w:val="0"/>
        <w:adjustRightInd w:val="0"/>
        <w:spacing w:after="0"/>
        <w:ind w:left="360"/>
        <w:rPr>
          <w:rFonts w:cs="Arial"/>
          <w:iCs/>
        </w:rPr>
      </w:pPr>
      <w:r w:rsidRPr="005B0E5B">
        <w:rPr>
          <w:rFonts w:cs="Arial"/>
        </w:rPr>
        <w:t>Introduire et diffuser à l’intérieur de l’entreprise des tracts et pétitions ;</w:t>
      </w:r>
    </w:p>
    <w:p w14:paraId="44D3988A" w14:textId="77777777" w:rsidR="00836964" w:rsidRPr="005B0E5B" w:rsidRDefault="00836964" w:rsidP="0095003D">
      <w:pPr>
        <w:pStyle w:val="Paragraphedeliste"/>
        <w:numPr>
          <w:ilvl w:val="0"/>
          <w:numId w:val="152"/>
        </w:numPr>
        <w:autoSpaceDE w:val="0"/>
        <w:autoSpaceDN w:val="0"/>
        <w:adjustRightInd w:val="0"/>
        <w:spacing w:after="0"/>
        <w:ind w:left="360"/>
        <w:rPr>
          <w:rFonts w:cs="Arial"/>
          <w:iCs/>
        </w:rPr>
      </w:pPr>
      <w:r w:rsidRPr="005B0E5B">
        <w:rPr>
          <w:rFonts w:cs="Arial"/>
        </w:rPr>
        <w:t>Procéder à des affichages non autorisés sous réserve de l’exercice du droit syndical ;</w:t>
      </w:r>
    </w:p>
    <w:p w14:paraId="048FBBB4" w14:textId="77777777" w:rsidR="00836964" w:rsidRPr="005B0E5B" w:rsidRDefault="00836964" w:rsidP="0095003D">
      <w:pPr>
        <w:pStyle w:val="Paragraphedeliste"/>
        <w:numPr>
          <w:ilvl w:val="0"/>
          <w:numId w:val="152"/>
        </w:numPr>
        <w:autoSpaceDE w:val="0"/>
        <w:autoSpaceDN w:val="0"/>
        <w:adjustRightInd w:val="0"/>
        <w:spacing w:after="0"/>
        <w:ind w:left="360"/>
        <w:rPr>
          <w:rFonts w:cs="Arial"/>
          <w:iCs/>
        </w:rPr>
      </w:pPr>
      <w:r w:rsidRPr="005B0E5B">
        <w:rPr>
          <w:rFonts w:cs="Arial"/>
        </w:rPr>
        <w:t>Introduire sans autorisation dans l’entreprise des personnes étrangères au service sous réserve du respect du droit syndical ;</w:t>
      </w:r>
    </w:p>
    <w:p w14:paraId="1920AC81" w14:textId="77777777" w:rsidR="00836964" w:rsidRPr="005B0E5B" w:rsidRDefault="00836964" w:rsidP="0095003D">
      <w:pPr>
        <w:pStyle w:val="Paragraphedeliste"/>
        <w:numPr>
          <w:ilvl w:val="0"/>
          <w:numId w:val="152"/>
        </w:numPr>
        <w:autoSpaceDE w:val="0"/>
        <w:autoSpaceDN w:val="0"/>
        <w:adjustRightInd w:val="0"/>
        <w:spacing w:after="0"/>
        <w:ind w:left="360"/>
        <w:rPr>
          <w:rFonts w:cs="Arial"/>
          <w:iCs/>
        </w:rPr>
      </w:pPr>
      <w:r w:rsidRPr="005B0E5B">
        <w:rPr>
          <w:rFonts w:cs="Arial"/>
        </w:rPr>
        <w:t>Emporter sans autorisation écrite des objets appartenant à l’entreprise ;</w:t>
      </w:r>
    </w:p>
    <w:p w14:paraId="1586889D" w14:textId="77777777" w:rsidR="00836964" w:rsidRPr="005B0E5B" w:rsidRDefault="00836964" w:rsidP="0095003D">
      <w:pPr>
        <w:pStyle w:val="Paragraphedeliste"/>
        <w:numPr>
          <w:ilvl w:val="0"/>
          <w:numId w:val="152"/>
        </w:numPr>
        <w:autoSpaceDE w:val="0"/>
        <w:autoSpaceDN w:val="0"/>
        <w:adjustRightInd w:val="0"/>
        <w:spacing w:after="0"/>
        <w:ind w:left="360"/>
        <w:rPr>
          <w:rFonts w:cs="Arial"/>
          <w:iCs/>
        </w:rPr>
      </w:pPr>
      <w:r w:rsidRPr="005B0E5B">
        <w:rPr>
          <w:rFonts w:cs="Arial"/>
        </w:rPr>
        <w:t>Se livrer à des travaux personnels sur les lieux du travail ;</w:t>
      </w:r>
    </w:p>
    <w:p w14:paraId="6533A7E7" w14:textId="77777777" w:rsidR="00836964" w:rsidRPr="005B0E5B" w:rsidRDefault="00836964" w:rsidP="0095003D">
      <w:pPr>
        <w:pStyle w:val="Paragraphedeliste"/>
        <w:numPr>
          <w:ilvl w:val="0"/>
          <w:numId w:val="152"/>
        </w:numPr>
        <w:autoSpaceDE w:val="0"/>
        <w:autoSpaceDN w:val="0"/>
        <w:adjustRightInd w:val="0"/>
        <w:spacing w:after="0"/>
        <w:ind w:left="360"/>
        <w:rPr>
          <w:rFonts w:cs="Arial"/>
          <w:iCs/>
        </w:rPr>
      </w:pPr>
      <w:r w:rsidRPr="005B0E5B">
        <w:rPr>
          <w:rFonts w:cs="Arial"/>
        </w:rPr>
        <w:t>Introduire dans l’entreprise des marchandises destinées à être vendues pour son compte personnel ;</w:t>
      </w:r>
    </w:p>
    <w:p w14:paraId="09BD43F4" w14:textId="77777777" w:rsidR="00836964" w:rsidRPr="005B0E5B" w:rsidRDefault="00836964" w:rsidP="0095003D">
      <w:pPr>
        <w:pStyle w:val="Paragraphedeliste"/>
        <w:numPr>
          <w:ilvl w:val="0"/>
          <w:numId w:val="152"/>
        </w:numPr>
        <w:autoSpaceDE w:val="0"/>
        <w:autoSpaceDN w:val="0"/>
        <w:adjustRightInd w:val="0"/>
        <w:spacing w:after="0"/>
        <w:ind w:left="360"/>
        <w:rPr>
          <w:rFonts w:cs="Arial"/>
          <w:iCs/>
        </w:rPr>
      </w:pPr>
      <w:r w:rsidRPr="005B0E5B">
        <w:rPr>
          <w:rFonts w:cs="Arial"/>
        </w:rPr>
        <w:t>Divulguer tous renseignements ayant trait aux opérations confidentielles dont le personnel aurait connaissance dans l’exercice de ses fonctions ;</w:t>
      </w:r>
    </w:p>
    <w:p w14:paraId="3CE4A4DC" w14:textId="77777777" w:rsidR="00836964" w:rsidRPr="005B0E5B" w:rsidRDefault="00836964" w:rsidP="0095003D">
      <w:pPr>
        <w:pStyle w:val="Paragraphedeliste"/>
        <w:numPr>
          <w:ilvl w:val="0"/>
          <w:numId w:val="152"/>
        </w:numPr>
        <w:autoSpaceDE w:val="0"/>
        <w:autoSpaceDN w:val="0"/>
        <w:adjustRightInd w:val="0"/>
        <w:spacing w:after="0"/>
        <w:ind w:left="360"/>
        <w:rPr>
          <w:rFonts w:cs="Arial"/>
          <w:iCs/>
        </w:rPr>
      </w:pPr>
      <w:r w:rsidRPr="005B0E5B">
        <w:rPr>
          <w:rFonts w:cs="Arial"/>
        </w:rPr>
        <w:t>Garer les véhicules de l’entreprise hors des emplacements prévus à cet effet ;</w:t>
      </w:r>
    </w:p>
    <w:p w14:paraId="2A954EC2" w14:textId="77777777" w:rsidR="00836964" w:rsidRPr="005B0E5B" w:rsidRDefault="00836964" w:rsidP="0095003D">
      <w:pPr>
        <w:pStyle w:val="Paragraphedeliste"/>
        <w:numPr>
          <w:ilvl w:val="0"/>
          <w:numId w:val="152"/>
        </w:numPr>
        <w:autoSpaceDE w:val="0"/>
        <w:autoSpaceDN w:val="0"/>
        <w:adjustRightInd w:val="0"/>
        <w:spacing w:after="0"/>
        <w:ind w:left="360"/>
        <w:rPr>
          <w:rFonts w:cs="Arial"/>
          <w:iCs/>
        </w:rPr>
      </w:pPr>
      <w:r w:rsidRPr="005B0E5B">
        <w:rPr>
          <w:rFonts w:cs="Arial"/>
        </w:rPr>
        <w:t>Quitter son poste de travail sans motif valable ;</w:t>
      </w:r>
    </w:p>
    <w:p w14:paraId="3CFB4337" w14:textId="77777777" w:rsidR="00836964" w:rsidRPr="005B0E5B" w:rsidRDefault="00836964" w:rsidP="0095003D">
      <w:pPr>
        <w:pStyle w:val="Paragraphedeliste"/>
        <w:numPr>
          <w:ilvl w:val="0"/>
          <w:numId w:val="152"/>
        </w:numPr>
        <w:autoSpaceDE w:val="0"/>
        <w:autoSpaceDN w:val="0"/>
        <w:adjustRightInd w:val="0"/>
        <w:spacing w:after="0"/>
        <w:ind w:left="360"/>
        <w:rPr>
          <w:rFonts w:cs="Arial"/>
          <w:iCs/>
        </w:rPr>
      </w:pPr>
      <w:r w:rsidRPr="005B0E5B">
        <w:rPr>
          <w:rFonts w:eastAsia="Helvetica Neue" w:cs="Arial"/>
        </w:rPr>
        <w:t>Consommer de l’alcool ou être en état d’ébriété pendant les heures de travail, entraînant des risques pour la sécurité des riverains, clients, usagers et personnels de chantier, ainsi que pour la préservation de l’environnement ;</w:t>
      </w:r>
    </w:p>
    <w:p w14:paraId="0E4E6D8D" w14:textId="77777777" w:rsidR="00836964" w:rsidRPr="005B0E5B" w:rsidRDefault="00836964" w:rsidP="0095003D">
      <w:pPr>
        <w:pStyle w:val="Paragraphedeliste"/>
        <w:numPr>
          <w:ilvl w:val="0"/>
          <w:numId w:val="152"/>
        </w:numPr>
        <w:autoSpaceDE w:val="0"/>
        <w:autoSpaceDN w:val="0"/>
        <w:adjustRightInd w:val="0"/>
        <w:spacing w:after="0"/>
        <w:ind w:left="360"/>
        <w:rPr>
          <w:rFonts w:cs="Arial"/>
          <w:iCs/>
        </w:rPr>
      </w:pPr>
      <w:r w:rsidRPr="005B0E5B">
        <w:rPr>
          <w:rFonts w:cs="Arial"/>
        </w:rPr>
        <w:t>Signer des pièces ou des lettres au nom de l’entreprise sans y être expressément autorisé;</w:t>
      </w:r>
    </w:p>
    <w:p w14:paraId="71CD6228" w14:textId="77777777" w:rsidR="00836964" w:rsidRPr="005B0E5B" w:rsidRDefault="00836964" w:rsidP="0095003D">
      <w:pPr>
        <w:pStyle w:val="Paragraphedeliste"/>
        <w:numPr>
          <w:ilvl w:val="0"/>
          <w:numId w:val="152"/>
        </w:numPr>
        <w:autoSpaceDE w:val="0"/>
        <w:autoSpaceDN w:val="0"/>
        <w:adjustRightInd w:val="0"/>
        <w:spacing w:after="0"/>
        <w:ind w:left="360"/>
        <w:rPr>
          <w:rFonts w:cs="Arial"/>
          <w:iCs/>
        </w:rPr>
      </w:pPr>
      <w:r w:rsidRPr="005B0E5B">
        <w:rPr>
          <w:rFonts w:cs="Arial"/>
        </w:rPr>
        <w:t>Conserver des fonds appartenant à l’entreprise ;</w:t>
      </w:r>
    </w:p>
    <w:p w14:paraId="6F3B919D" w14:textId="77777777" w:rsidR="00836964" w:rsidRPr="005B0E5B" w:rsidRDefault="00836964" w:rsidP="0095003D">
      <w:pPr>
        <w:pStyle w:val="Paragraphedeliste"/>
        <w:numPr>
          <w:ilvl w:val="0"/>
          <w:numId w:val="152"/>
        </w:numPr>
        <w:autoSpaceDE w:val="0"/>
        <w:autoSpaceDN w:val="0"/>
        <w:adjustRightInd w:val="0"/>
        <w:spacing w:after="0"/>
        <w:ind w:left="360"/>
        <w:rPr>
          <w:rFonts w:cs="Arial"/>
          <w:iCs/>
        </w:rPr>
      </w:pPr>
      <w:r w:rsidRPr="005B0E5B">
        <w:rPr>
          <w:rFonts w:cs="Arial"/>
        </w:rPr>
        <w:t>Frauder dans le domaine du contrôle de la durée du travail ;</w:t>
      </w:r>
    </w:p>
    <w:p w14:paraId="5B4E2241" w14:textId="77777777" w:rsidR="00836964" w:rsidRPr="005B0E5B" w:rsidRDefault="00836964" w:rsidP="0095003D">
      <w:pPr>
        <w:pStyle w:val="Paragraphedeliste"/>
        <w:numPr>
          <w:ilvl w:val="0"/>
          <w:numId w:val="152"/>
        </w:numPr>
        <w:autoSpaceDE w:val="0"/>
        <w:autoSpaceDN w:val="0"/>
        <w:adjustRightInd w:val="0"/>
        <w:spacing w:after="0"/>
        <w:ind w:left="360"/>
        <w:rPr>
          <w:rFonts w:cs="Arial"/>
          <w:iCs/>
        </w:rPr>
      </w:pPr>
      <w:r w:rsidRPr="005B0E5B">
        <w:rPr>
          <w:rFonts w:cs="Arial"/>
        </w:rPr>
        <w:t>Commettre toute action et comportement contraires à la réglementation et à la jurisprudence du droit du travail ;</w:t>
      </w:r>
    </w:p>
    <w:p w14:paraId="5F84F8F2" w14:textId="77777777" w:rsidR="00836964" w:rsidRPr="005B0E5B" w:rsidRDefault="00836964" w:rsidP="0095003D">
      <w:pPr>
        <w:pStyle w:val="Paragraphedeliste"/>
        <w:numPr>
          <w:ilvl w:val="0"/>
          <w:numId w:val="152"/>
        </w:numPr>
        <w:autoSpaceDE w:val="0"/>
        <w:autoSpaceDN w:val="0"/>
        <w:adjustRightInd w:val="0"/>
        <w:spacing w:after="0"/>
        <w:ind w:left="360"/>
        <w:rPr>
          <w:rFonts w:cs="Arial"/>
          <w:iCs/>
        </w:rPr>
      </w:pPr>
      <w:r w:rsidRPr="005B0E5B">
        <w:rPr>
          <w:rFonts w:cs="Arial"/>
        </w:rPr>
        <w:t xml:space="preserve">Se livrer dans les installations de la société à une activité autre que celle confiée par l’entreprise ; </w:t>
      </w:r>
    </w:p>
    <w:p w14:paraId="0B4F33E2" w14:textId="77777777" w:rsidR="00836964" w:rsidRPr="005B0E5B" w:rsidRDefault="00836964" w:rsidP="0095003D">
      <w:pPr>
        <w:pStyle w:val="Paragraphedeliste"/>
        <w:numPr>
          <w:ilvl w:val="0"/>
          <w:numId w:val="152"/>
        </w:numPr>
        <w:autoSpaceDE w:val="0"/>
        <w:autoSpaceDN w:val="0"/>
        <w:adjustRightInd w:val="0"/>
        <w:spacing w:after="0"/>
        <w:ind w:left="360"/>
        <w:rPr>
          <w:rFonts w:cs="Arial"/>
          <w:iCs/>
        </w:rPr>
      </w:pPr>
      <w:r w:rsidRPr="005B0E5B">
        <w:rPr>
          <w:rFonts w:cs="Arial"/>
        </w:rPr>
        <w:t xml:space="preserve">Utiliser les matériels et équipements mis à sa disposition à des fins personnelles et emporter sans autorisation écrite des objets appartenant à l’entreprise ; </w:t>
      </w:r>
    </w:p>
    <w:p w14:paraId="78862204" w14:textId="77777777" w:rsidR="00836964" w:rsidRPr="005B0E5B" w:rsidRDefault="00836964" w:rsidP="00836964">
      <w:pPr>
        <w:autoSpaceDE w:val="0"/>
        <w:autoSpaceDN w:val="0"/>
        <w:adjustRightInd w:val="0"/>
        <w:rPr>
          <w:rFonts w:cs="Arial"/>
          <w:iCs/>
        </w:rPr>
      </w:pPr>
    </w:p>
    <w:p w14:paraId="4CD3E724" w14:textId="77777777" w:rsidR="00836964" w:rsidRPr="005B0E5B" w:rsidRDefault="00836964" w:rsidP="00836964">
      <w:pPr>
        <w:autoSpaceDE w:val="0"/>
        <w:autoSpaceDN w:val="0"/>
        <w:adjustRightInd w:val="0"/>
        <w:rPr>
          <w:rFonts w:cs="Arial"/>
          <w:b/>
          <w:bCs/>
          <w:iCs/>
        </w:rPr>
      </w:pPr>
      <w:r w:rsidRPr="005B0E5B">
        <w:rPr>
          <w:rFonts w:cs="Arial"/>
          <w:b/>
          <w:bCs/>
        </w:rPr>
        <w:t>Article 2 – DE L’HYGIENE ET SECURITE</w:t>
      </w:r>
    </w:p>
    <w:p w14:paraId="78573B4C" w14:textId="77777777" w:rsidR="00836964" w:rsidRPr="005B0E5B" w:rsidRDefault="00836964" w:rsidP="00836964">
      <w:pPr>
        <w:autoSpaceDE w:val="0"/>
        <w:autoSpaceDN w:val="0"/>
        <w:adjustRightInd w:val="0"/>
        <w:rPr>
          <w:rFonts w:cs="Arial"/>
          <w:iCs/>
        </w:rPr>
      </w:pPr>
      <w:r w:rsidRPr="005B0E5B">
        <w:rPr>
          <w:rFonts w:cs="Arial"/>
        </w:rPr>
        <w:t>Le Personnel est tenu d’observer les mesures d’hygiène et de sécurité ainsi que les prescriptions de la médecine du Travail qui résultent de la réglementation en vigueur.</w:t>
      </w:r>
    </w:p>
    <w:p w14:paraId="795BEC2B" w14:textId="77777777" w:rsidR="00836964" w:rsidRPr="005B0E5B" w:rsidRDefault="00836964" w:rsidP="00836964">
      <w:pPr>
        <w:autoSpaceDE w:val="0"/>
        <w:autoSpaceDN w:val="0"/>
        <w:adjustRightInd w:val="0"/>
        <w:rPr>
          <w:rFonts w:eastAsia="Helvetica Neue" w:cs="Arial"/>
        </w:rPr>
      </w:pPr>
      <w:r w:rsidRPr="005B0E5B">
        <w:rPr>
          <w:rFonts w:eastAsia="Helvetica Neue" w:cs="Arial"/>
        </w:rPr>
        <w:t>L’Entreprise organise un service médical courant et d’urgence à la base-vie (dispensaire), adapté à l’effectif du personnel, et fournit les services de premiers secours nécessaires, y compris le transfert des membres du personnel blessés à l’hôpital ou dans d’autres lieux appropriés, le cas échéant.</w:t>
      </w:r>
    </w:p>
    <w:p w14:paraId="0A8B1618" w14:textId="77777777" w:rsidR="00836964" w:rsidRPr="005B0E5B" w:rsidRDefault="00836964" w:rsidP="00836964">
      <w:pPr>
        <w:autoSpaceDE w:val="0"/>
        <w:autoSpaceDN w:val="0"/>
        <w:adjustRightInd w:val="0"/>
        <w:rPr>
          <w:rFonts w:cs="Arial"/>
          <w:iCs/>
        </w:rPr>
      </w:pPr>
      <w:r w:rsidRPr="005B0E5B">
        <w:rPr>
          <w:rFonts w:eastAsia="Helvetica Neue" w:cs="Arial"/>
        </w:rPr>
        <w:t>L’Entreprise met à la disposition du personnel des équipements de protection individuelle (EPI) et les badges et en veillant à ce que l’affectation des équipements soit faite en adéquation avec la fonction de chaque Employé ;</w:t>
      </w:r>
    </w:p>
    <w:p w14:paraId="14DB5A02" w14:textId="77777777" w:rsidR="00836964" w:rsidRPr="005B0E5B" w:rsidRDefault="00836964" w:rsidP="00836964">
      <w:pPr>
        <w:autoSpaceDE w:val="0"/>
        <w:autoSpaceDN w:val="0"/>
        <w:adjustRightInd w:val="0"/>
        <w:rPr>
          <w:rFonts w:cs="Arial"/>
          <w:iCs/>
        </w:rPr>
      </w:pPr>
    </w:p>
    <w:p w14:paraId="3E18B68C" w14:textId="77777777" w:rsidR="00836964" w:rsidRPr="005B0E5B" w:rsidRDefault="00836964" w:rsidP="00836964">
      <w:pPr>
        <w:autoSpaceDE w:val="0"/>
        <w:autoSpaceDN w:val="0"/>
        <w:adjustRightInd w:val="0"/>
        <w:rPr>
          <w:rFonts w:cs="Arial"/>
          <w:b/>
          <w:bCs/>
          <w:iCs/>
        </w:rPr>
      </w:pPr>
      <w:r w:rsidRPr="005B0E5B">
        <w:rPr>
          <w:rFonts w:cs="Arial"/>
          <w:b/>
          <w:bCs/>
        </w:rPr>
        <w:t>IL EST NOTAMMENT OBLIGATOIRE :</w:t>
      </w:r>
    </w:p>
    <w:p w14:paraId="4788D95C" w14:textId="77777777" w:rsidR="00836964" w:rsidRPr="005B0E5B" w:rsidRDefault="00836964" w:rsidP="00836964">
      <w:pPr>
        <w:autoSpaceDE w:val="0"/>
        <w:autoSpaceDN w:val="0"/>
        <w:adjustRightInd w:val="0"/>
        <w:rPr>
          <w:rFonts w:eastAsia="Helvetica Neue" w:cs="Arial"/>
        </w:rPr>
      </w:pPr>
      <w:r w:rsidRPr="005B0E5B">
        <w:rPr>
          <w:rFonts w:eastAsia="Helvetica Neue" w:cs="Arial"/>
          <w:b/>
          <w:u w:val="single"/>
        </w:rPr>
        <w:t>Pour l’Employé</w:t>
      </w:r>
      <w:r w:rsidRPr="005B0E5B">
        <w:rPr>
          <w:rFonts w:eastAsia="Helvetica Neue" w:cs="Arial"/>
        </w:rPr>
        <w:t> : de se présenter à son poste muni des équipements qui lui ont été attribués (paire de chaussures de sécurité ou bottes, combinaison appropriée pour chaque tâche, gant, cache-nez, casque, etc.) ; utiliser les accessoires et vêtements de sécurité mis à sa disposition par l’entreprise, chaque jour travaillé.</w:t>
      </w:r>
    </w:p>
    <w:p w14:paraId="0321828F" w14:textId="77777777" w:rsidR="00836964" w:rsidRPr="005B0E5B" w:rsidRDefault="00836964" w:rsidP="00836964">
      <w:pPr>
        <w:autoSpaceDE w:val="0"/>
        <w:autoSpaceDN w:val="0"/>
        <w:adjustRightInd w:val="0"/>
        <w:rPr>
          <w:rFonts w:eastAsia="Helvetica Neue" w:cs="Arial"/>
        </w:rPr>
      </w:pPr>
      <w:r w:rsidRPr="005B0E5B">
        <w:rPr>
          <w:rFonts w:eastAsia="Helvetica Neue" w:cs="Arial"/>
        </w:rPr>
        <w:t>L’Employé ne peut utiliser pour son intérêt personnel lesdits équipements, lesquels doivent être conservés par lui et utilisés en bon père de famille.</w:t>
      </w:r>
    </w:p>
    <w:p w14:paraId="34BE3849" w14:textId="77777777" w:rsidR="00836964" w:rsidRPr="005B0E5B" w:rsidRDefault="00836964" w:rsidP="00836964">
      <w:pPr>
        <w:autoSpaceDE w:val="0"/>
        <w:autoSpaceDN w:val="0"/>
        <w:adjustRightInd w:val="0"/>
        <w:rPr>
          <w:rFonts w:cs="Arial"/>
          <w:b/>
          <w:bCs/>
          <w:i/>
        </w:rPr>
      </w:pPr>
    </w:p>
    <w:p w14:paraId="00821C38" w14:textId="77777777" w:rsidR="00836964" w:rsidRPr="005B0E5B" w:rsidRDefault="00836964" w:rsidP="00836964">
      <w:pPr>
        <w:autoSpaceDE w:val="0"/>
        <w:autoSpaceDN w:val="0"/>
        <w:adjustRightInd w:val="0"/>
        <w:rPr>
          <w:rFonts w:cs="Arial"/>
          <w:b/>
          <w:bCs/>
          <w:iCs/>
        </w:rPr>
      </w:pPr>
      <w:r w:rsidRPr="005B0E5B">
        <w:rPr>
          <w:rFonts w:cs="Arial"/>
          <w:b/>
          <w:bCs/>
        </w:rPr>
        <w:t>IL EST FORMELLEMENT INTERDIT DE :</w:t>
      </w:r>
    </w:p>
    <w:p w14:paraId="6B758813" w14:textId="77777777" w:rsidR="00836964" w:rsidRPr="005B0E5B" w:rsidRDefault="00836964" w:rsidP="0095003D">
      <w:pPr>
        <w:pStyle w:val="Paragraphedeliste"/>
        <w:numPr>
          <w:ilvl w:val="0"/>
          <w:numId w:val="152"/>
        </w:numPr>
        <w:autoSpaceDE w:val="0"/>
        <w:autoSpaceDN w:val="0"/>
        <w:adjustRightInd w:val="0"/>
        <w:spacing w:after="0"/>
        <w:ind w:left="360"/>
        <w:rPr>
          <w:rFonts w:cs="Arial"/>
          <w:iCs/>
        </w:rPr>
      </w:pPr>
      <w:r w:rsidRPr="005B0E5B">
        <w:rPr>
          <w:rFonts w:cs="Arial"/>
        </w:rPr>
        <w:t>Pénétrer et séjourner dans l’entreprise en état d’ébriété ou sous l’effet de stupéfiants ;</w:t>
      </w:r>
    </w:p>
    <w:p w14:paraId="16F22246" w14:textId="77777777" w:rsidR="00836964" w:rsidRPr="005B0E5B" w:rsidRDefault="00836964" w:rsidP="0095003D">
      <w:pPr>
        <w:pStyle w:val="Paragraphedeliste"/>
        <w:numPr>
          <w:ilvl w:val="0"/>
          <w:numId w:val="152"/>
        </w:numPr>
        <w:autoSpaceDE w:val="0"/>
        <w:autoSpaceDN w:val="0"/>
        <w:adjustRightInd w:val="0"/>
        <w:spacing w:after="0"/>
        <w:ind w:left="360"/>
        <w:rPr>
          <w:rFonts w:cs="Arial"/>
          <w:iCs/>
        </w:rPr>
      </w:pPr>
      <w:r w:rsidRPr="005B0E5B">
        <w:rPr>
          <w:rFonts w:cs="Arial"/>
        </w:rPr>
        <w:t>Consommer des boissons alcoolisées ou des stupéfiants pendant les heures de travail ;</w:t>
      </w:r>
    </w:p>
    <w:p w14:paraId="62199FBC" w14:textId="77777777" w:rsidR="00836964" w:rsidRPr="005B0E5B" w:rsidRDefault="00836964" w:rsidP="0095003D">
      <w:pPr>
        <w:pStyle w:val="Paragraphedeliste"/>
        <w:numPr>
          <w:ilvl w:val="0"/>
          <w:numId w:val="152"/>
        </w:numPr>
        <w:autoSpaceDE w:val="0"/>
        <w:autoSpaceDN w:val="0"/>
        <w:adjustRightInd w:val="0"/>
        <w:spacing w:after="0"/>
        <w:ind w:left="360"/>
        <w:rPr>
          <w:rFonts w:cs="Arial"/>
          <w:iCs/>
        </w:rPr>
      </w:pPr>
      <w:r w:rsidRPr="005B0E5B">
        <w:rPr>
          <w:rFonts w:cs="Arial"/>
        </w:rPr>
        <w:t>Fumer en dehors des locaux prévus par l’entreprise à cet effet ;</w:t>
      </w:r>
    </w:p>
    <w:p w14:paraId="0C11D401" w14:textId="77777777" w:rsidR="00836964" w:rsidRPr="005B0E5B" w:rsidRDefault="00836964" w:rsidP="0095003D">
      <w:pPr>
        <w:pStyle w:val="Paragraphedeliste"/>
        <w:numPr>
          <w:ilvl w:val="0"/>
          <w:numId w:val="152"/>
        </w:numPr>
        <w:autoSpaceDE w:val="0"/>
        <w:autoSpaceDN w:val="0"/>
        <w:adjustRightInd w:val="0"/>
        <w:spacing w:after="0"/>
        <w:ind w:left="360"/>
        <w:rPr>
          <w:rFonts w:cs="Arial"/>
          <w:iCs/>
        </w:rPr>
      </w:pPr>
      <w:r w:rsidRPr="005B0E5B">
        <w:rPr>
          <w:rFonts w:cs="Arial"/>
        </w:rPr>
        <w:t>Détenir ou transporter des armes exception faite des partenaires sécuritaires ;</w:t>
      </w:r>
    </w:p>
    <w:p w14:paraId="22FEE2A3" w14:textId="77777777" w:rsidR="00836964" w:rsidRPr="005B0E5B" w:rsidRDefault="00836964" w:rsidP="0095003D">
      <w:pPr>
        <w:pStyle w:val="Paragraphedeliste"/>
        <w:numPr>
          <w:ilvl w:val="0"/>
          <w:numId w:val="152"/>
        </w:numPr>
        <w:autoSpaceDE w:val="0"/>
        <w:autoSpaceDN w:val="0"/>
        <w:adjustRightInd w:val="0"/>
        <w:spacing w:after="0"/>
        <w:ind w:left="360"/>
        <w:rPr>
          <w:rFonts w:cs="Arial"/>
          <w:iCs/>
        </w:rPr>
      </w:pPr>
      <w:r w:rsidRPr="005B0E5B">
        <w:rPr>
          <w:rFonts w:cs="Arial"/>
        </w:rPr>
        <w:t>Transporter à bord des véhicules des personnes étrangères à l’entreprise ;</w:t>
      </w:r>
    </w:p>
    <w:p w14:paraId="27494A81" w14:textId="77777777" w:rsidR="00836964" w:rsidRPr="005B0E5B" w:rsidRDefault="00836964" w:rsidP="0095003D">
      <w:pPr>
        <w:pStyle w:val="Paragraphedeliste"/>
        <w:numPr>
          <w:ilvl w:val="0"/>
          <w:numId w:val="152"/>
        </w:numPr>
        <w:autoSpaceDE w:val="0"/>
        <w:autoSpaceDN w:val="0"/>
        <w:adjustRightInd w:val="0"/>
        <w:spacing w:after="0"/>
        <w:ind w:left="360"/>
        <w:rPr>
          <w:rFonts w:cs="Arial"/>
          <w:iCs/>
        </w:rPr>
      </w:pPr>
      <w:r w:rsidRPr="005B0E5B">
        <w:rPr>
          <w:rFonts w:cs="Arial"/>
        </w:rPr>
        <w:t>Se servir des véhicules de l’entreprise à d’autres fins que celles prévues par l’entreprise;</w:t>
      </w:r>
    </w:p>
    <w:p w14:paraId="41BBEEAF" w14:textId="77777777" w:rsidR="00836964" w:rsidRPr="005B0E5B" w:rsidRDefault="00836964" w:rsidP="0095003D">
      <w:pPr>
        <w:pStyle w:val="Paragraphedeliste"/>
        <w:numPr>
          <w:ilvl w:val="0"/>
          <w:numId w:val="152"/>
        </w:numPr>
        <w:autoSpaceDE w:val="0"/>
        <w:autoSpaceDN w:val="0"/>
        <w:adjustRightInd w:val="0"/>
        <w:spacing w:after="0"/>
        <w:ind w:left="360"/>
        <w:rPr>
          <w:rFonts w:eastAsia="Helvetica Neue" w:cs="Arial"/>
        </w:rPr>
      </w:pPr>
      <w:r w:rsidRPr="005B0E5B">
        <w:rPr>
          <w:rFonts w:eastAsia="Helvetica Neue" w:cs="Arial"/>
        </w:rPr>
        <w:t>Utiliser des matériels électriques, engins, véhicules, machines dangereux sans formation, sans compétence et sans autorisation préalables ;</w:t>
      </w:r>
    </w:p>
    <w:p w14:paraId="61C095C6" w14:textId="77777777" w:rsidR="00836964" w:rsidRPr="005B0E5B" w:rsidRDefault="00836964" w:rsidP="0095003D">
      <w:pPr>
        <w:pStyle w:val="Paragraphedeliste"/>
        <w:numPr>
          <w:ilvl w:val="0"/>
          <w:numId w:val="152"/>
        </w:numPr>
        <w:autoSpaceDE w:val="0"/>
        <w:autoSpaceDN w:val="0"/>
        <w:adjustRightInd w:val="0"/>
        <w:spacing w:after="0"/>
        <w:ind w:left="360"/>
        <w:rPr>
          <w:rFonts w:cs="Arial"/>
          <w:iCs/>
        </w:rPr>
      </w:pPr>
      <w:r w:rsidRPr="005B0E5B">
        <w:rPr>
          <w:rFonts w:cs="Arial"/>
        </w:rPr>
        <w:t>Provoquer ou subir un accident sans informer dès le retour à l’entreprise, la personne responsable ;</w:t>
      </w:r>
    </w:p>
    <w:p w14:paraId="343EC3D8" w14:textId="77777777" w:rsidR="00836964" w:rsidRPr="005B0E5B" w:rsidRDefault="00836964" w:rsidP="0095003D">
      <w:pPr>
        <w:pStyle w:val="Paragraphedeliste"/>
        <w:numPr>
          <w:ilvl w:val="0"/>
          <w:numId w:val="152"/>
        </w:numPr>
        <w:autoSpaceDE w:val="0"/>
        <w:autoSpaceDN w:val="0"/>
        <w:adjustRightInd w:val="0"/>
        <w:spacing w:after="0"/>
        <w:ind w:left="360"/>
        <w:rPr>
          <w:rFonts w:cs="Arial"/>
          <w:iCs/>
        </w:rPr>
      </w:pPr>
      <w:r w:rsidRPr="005B0E5B">
        <w:rPr>
          <w:rFonts w:cs="Arial"/>
        </w:rPr>
        <w:t>Rouler avec un camion présentant une anomalie flagrante de fonctionnement sans le signaler aux personnes responsables et risquer ainsi de provoquer une détérioration plus importante du matériel ou encore un accident.</w:t>
      </w:r>
    </w:p>
    <w:p w14:paraId="66EBF30F" w14:textId="77777777" w:rsidR="00836964" w:rsidRPr="005B0E5B" w:rsidRDefault="00836964" w:rsidP="00836964">
      <w:pPr>
        <w:pStyle w:val="Normal1"/>
        <w:shd w:val="clear" w:color="auto" w:fill="FFFFFF"/>
        <w:rPr>
          <w:rFonts w:ascii="Arial" w:eastAsia="Helvetica Neue" w:hAnsi="Arial" w:cs="Arial"/>
          <w:sz w:val="22"/>
          <w:szCs w:val="22"/>
        </w:rPr>
      </w:pPr>
    </w:p>
    <w:p w14:paraId="04D86C21" w14:textId="77777777" w:rsidR="00836964" w:rsidRPr="005B0E5B" w:rsidRDefault="00836964" w:rsidP="00836964">
      <w:pPr>
        <w:rPr>
          <w:rFonts w:cs="Arial"/>
          <w:b/>
          <w:iCs/>
        </w:rPr>
      </w:pPr>
      <w:r w:rsidRPr="005B0E5B">
        <w:rPr>
          <w:rFonts w:cs="Arial"/>
          <w:b/>
        </w:rPr>
        <w:t>Article 3 – DU RESPECT DES DROITS DE L’HOMME</w:t>
      </w:r>
    </w:p>
    <w:p w14:paraId="7DB8F41E" w14:textId="77777777" w:rsidR="00836964" w:rsidRPr="005B0E5B" w:rsidRDefault="00836964" w:rsidP="00836964">
      <w:pPr>
        <w:rPr>
          <w:rFonts w:cs="Arial"/>
          <w:b/>
          <w:iCs/>
          <w:sz w:val="16"/>
          <w:szCs w:val="16"/>
        </w:rPr>
      </w:pPr>
    </w:p>
    <w:p w14:paraId="3B7A23B3" w14:textId="77777777" w:rsidR="00836964" w:rsidRPr="005B0E5B" w:rsidRDefault="00836964" w:rsidP="00836964">
      <w:pPr>
        <w:autoSpaceDE w:val="0"/>
        <w:autoSpaceDN w:val="0"/>
        <w:adjustRightInd w:val="0"/>
        <w:rPr>
          <w:rFonts w:cs="Arial"/>
          <w:iCs/>
        </w:rPr>
      </w:pPr>
      <w:r w:rsidRPr="005B0E5B">
        <w:rPr>
          <w:rFonts w:cs="Arial"/>
        </w:rPr>
        <w:t>La personne humaine est sacrée dans sa dignité et ne peut faire l’objet d’un traitement inhumain, cruel et dégradant sous aucune forme. Par conséquent, les actes de barbarie suivants sont sévèrement réprimés :</w:t>
      </w:r>
    </w:p>
    <w:p w14:paraId="57B86D28" w14:textId="77777777" w:rsidR="00836964" w:rsidRPr="005B0E5B" w:rsidRDefault="00836964" w:rsidP="00836964">
      <w:pPr>
        <w:autoSpaceDE w:val="0"/>
        <w:autoSpaceDN w:val="0"/>
        <w:adjustRightInd w:val="0"/>
        <w:rPr>
          <w:rFonts w:cs="Arial"/>
          <w:b/>
          <w:i/>
          <w:u w:val="single"/>
        </w:rPr>
      </w:pPr>
    </w:p>
    <w:p w14:paraId="59407D48" w14:textId="77777777" w:rsidR="00836964" w:rsidRPr="005B0E5B" w:rsidRDefault="00836964" w:rsidP="00836964">
      <w:pPr>
        <w:autoSpaceDE w:val="0"/>
        <w:autoSpaceDN w:val="0"/>
        <w:adjustRightInd w:val="0"/>
        <w:rPr>
          <w:rFonts w:cs="Arial"/>
          <w:b/>
          <w:i/>
          <w:iCs/>
          <w:u w:val="single"/>
        </w:rPr>
      </w:pPr>
      <w:r w:rsidRPr="005B0E5B">
        <w:rPr>
          <w:rFonts w:cs="Arial"/>
          <w:b/>
          <w:i/>
          <w:u w:val="single"/>
        </w:rPr>
        <w:t>Du harcèlement moral</w:t>
      </w:r>
    </w:p>
    <w:p w14:paraId="1A1326A0" w14:textId="77777777" w:rsidR="00836964" w:rsidRPr="005B0E5B" w:rsidRDefault="00836964" w:rsidP="00836964">
      <w:pPr>
        <w:autoSpaceDE w:val="0"/>
        <w:autoSpaceDN w:val="0"/>
        <w:adjustRightInd w:val="0"/>
        <w:rPr>
          <w:rFonts w:cs="Arial"/>
          <w:iCs/>
        </w:rPr>
      </w:pPr>
      <w:r w:rsidRPr="005B0E5B">
        <w:rPr>
          <w:rFonts w:cs="Arial"/>
        </w:rPr>
        <w:t>Aucun Employé et apprenant de l’Entreprise, ses sous-traitants ainsi que ses partenaires sécuritaires et autres ne doivent subir ou faire subir des agissements répétés de harcèlement moral ayant pour objet ou effet une dégradation des conditions de travail susceptibles de porter atteinte aux droits et à la dignité, d’altérer sa santé physique ou compromettre son avenir professionnel.</w:t>
      </w:r>
    </w:p>
    <w:p w14:paraId="5EB47AB2" w14:textId="77777777" w:rsidR="00836964" w:rsidRPr="005B0E5B" w:rsidRDefault="00836964" w:rsidP="00836964">
      <w:pPr>
        <w:autoSpaceDE w:val="0"/>
        <w:autoSpaceDN w:val="0"/>
        <w:adjustRightInd w:val="0"/>
        <w:rPr>
          <w:rFonts w:cs="Arial"/>
          <w:iCs/>
        </w:rPr>
      </w:pPr>
      <w:r w:rsidRPr="005B0E5B">
        <w:rPr>
          <w:rFonts w:cs="Arial"/>
        </w:rPr>
        <w:t>Aucun salarié ne peut être sanctionné, licencié ou faire l’objet d’une mesure discriminatoire pour avoir subi ou refusé de subir les agissements définis ci-dessus ou pour avoir témoigné de tels agissements ou les avoir relatés.</w:t>
      </w:r>
    </w:p>
    <w:p w14:paraId="765F1BF2" w14:textId="77777777" w:rsidR="00836964" w:rsidRPr="005B0E5B" w:rsidRDefault="00836964" w:rsidP="00836964">
      <w:pPr>
        <w:autoSpaceDE w:val="0"/>
        <w:autoSpaceDN w:val="0"/>
        <w:adjustRightInd w:val="0"/>
        <w:rPr>
          <w:rFonts w:cs="Arial"/>
          <w:iCs/>
        </w:rPr>
      </w:pPr>
      <w:r w:rsidRPr="005B0E5B">
        <w:rPr>
          <w:rFonts w:cs="Arial"/>
        </w:rPr>
        <w:t>Est donc passible d’une sanction disciplinaire tout Employé et apprenant de l’Entreprise, ses sous-traitants ainsi que ses partenaires sécuritaires qui aura commis de tels actes répréhensibles.</w:t>
      </w:r>
    </w:p>
    <w:p w14:paraId="39C00CF9" w14:textId="77777777" w:rsidR="00836964" w:rsidRPr="005B0E5B" w:rsidRDefault="00836964" w:rsidP="00836964">
      <w:pPr>
        <w:autoSpaceDE w:val="0"/>
        <w:autoSpaceDN w:val="0"/>
        <w:adjustRightInd w:val="0"/>
        <w:rPr>
          <w:rFonts w:cs="Arial"/>
          <w:iCs/>
        </w:rPr>
      </w:pPr>
    </w:p>
    <w:p w14:paraId="17BE8241" w14:textId="77777777" w:rsidR="00836964" w:rsidRPr="005B0E5B" w:rsidRDefault="00836964" w:rsidP="00836964">
      <w:pPr>
        <w:autoSpaceDE w:val="0"/>
        <w:autoSpaceDN w:val="0"/>
        <w:adjustRightInd w:val="0"/>
        <w:rPr>
          <w:rFonts w:cs="Arial"/>
          <w:b/>
          <w:i/>
          <w:iCs/>
          <w:u w:val="single"/>
        </w:rPr>
      </w:pPr>
      <w:r w:rsidRPr="005B0E5B">
        <w:rPr>
          <w:rFonts w:cs="Arial"/>
          <w:b/>
          <w:i/>
          <w:u w:val="single"/>
        </w:rPr>
        <w:t>Des violences physiques</w:t>
      </w:r>
    </w:p>
    <w:p w14:paraId="0297AA45" w14:textId="77777777" w:rsidR="00836964" w:rsidRPr="005B0E5B" w:rsidRDefault="00836964" w:rsidP="00836964">
      <w:pPr>
        <w:autoSpaceDE w:val="0"/>
        <w:autoSpaceDN w:val="0"/>
        <w:adjustRightInd w:val="0"/>
        <w:rPr>
          <w:rFonts w:cs="Arial"/>
          <w:iCs/>
        </w:rPr>
      </w:pPr>
      <w:r w:rsidRPr="005B0E5B">
        <w:rPr>
          <w:rFonts w:cs="Arial"/>
        </w:rPr>
        <w:t xml:space="preserve">Aucun Employé et apprenant de l’Entreprise, ses sous-traitants ainsi que ses partenaires sécuritaires et autres ne doivent subir ou faire subir des violences physiques, sous toutes ses formes, des voies de faits, des coups et blessures volontaires, des mutilations physiques à l’endroit de tout être humain ou ses biens personnels. </w:t>
      </w:r>
    </w:p>
    <w:p w14:paraId="0F6BC474" w14:textId="77777777" w:rsidR="00836964" w:rsidRPr="005B0E5B" w:rsidRDefault="00836964" w:rsidP="00836964">
      <w:pPr>
        <w:autoSpaceDE w:val="0"/>
        <w:autoSpaceDN w:val="0"/>
        <w:adjustRightInd w:val="0"/>
        <w:rPr>
          <w:rFonts w:cs="Arial"/>
          <w:i/>
          <w:iCs/>
        </w:rPr>
      </w:pPr>
    </w:p>
    <w:p w14:paraId="547B2FD2" w14:textId="77777777" w:rsidR="00836964" w:rsidRPr="005B0E5B" w:rsidRDefault="00836964" w:rsidP="00836964">
      <w:pPr>
        <w:autoSpaceDE w:val="0"/>
        <w:autoSpaceDN w:val="0"/>
        <w:adjustRightInd w:val="0"/>
        <w:rPr>
          <w:rFonts w:cs="Arial"/>
          <w:b/>
          <w:i/>
          <w:iCs/>
          <w:u w:val="single"/>
        </w:rPr>
      </w:pPr>
      <w:r w:rsidRPr="005B0E5B">
        <w:rPr>
          <w:rFonts w:cs="Arial"/>
          <w:b/>
          <w:i/>
          <w:u w:val="single"/>
        </w:rPr>
        <w:t>De proxénétisme, harcèlement et violences sexuels et pédophilie</w:t>
      </w:r>
    </w:p>
    <w:p w14:paraId="14E674B7" w14:textId="77777777" w:rsidR="00836964" w:rsidRPr="005B0E5B" w:rsidRDefault="00836964" w:rsidP="00836964">
      <w:pPr>
        <w:autoSpaceDE w:val="0"/>
        <w:autoSpaceDN w:val="0"/>
        <w:adjustRightInd w:val="0"/>
        <w:rPr>
          <w:rFonts w:cs="Arial"/>
          <w:iCs/>
        </w:rPr>
      </w:pPr>
      <w:r w:rsidRPr="005B0E5B">
        <w:rPr>
          <w:rFonts w:cs="Arial"/>
        </w:rPr>
        <w:t>Conformément aux textes nationaux, régionaux et internationaux sur le proxénétisme, le harcèlement et les violences sexuelles contre les femmes, la pédophilie et le respect des us et coutumes des populations et des relations humaines d’une manière générale, tout acte de proxénétisme, harcèlement, abus, violences sexuelles, pédophilie (</w:t>
      </w:r>
      <w:proofErr w:type="spellStart"/>
      <w:r w:rsidRPr="005B0E5B">
        <w:rPr>
          <w:rFonts w:cs="Arial"/>
        </w:rPr>
        <w:t>cfr</w:t>
      </w:r>
      <w:proofErr w:type="spellEnd"/>
      <w:r w:rsidRPr="005B0E5B">
        <w:rPr>
          <w:rFonts w:cs="Arial"/>
        </w:rPr>
        <w:t xml:space="preserve"> : (i) Résolution 48/104 des Nations Unies relative à la déclaration sur l’élimination des violences contre les femmes et (ii) Résolution 2011/33 sur la prévention, la protection et la coopération internationale contre l’utilisation des nouvelles technologies d’information pour abuser et/ou exploiter les enfants) sera immédiatement sanctionné par un licenciement dès la première constatation de la faute, avec transmission des éléments caractéristiques de la faute pour les poursuites judiciaires par l’autorité publique compétente.</w:t>
      </w:r>
    </w:p>
    <w:p w14:paraId="681859C2" w14:textId="77777777" w:rsidR="00836964" w:rsidRPr="005B0E5B" w:rsidRDefault="00836964" w:rsidP="00836964">
      <w:pPr>
        <w:autoSpaceDE w:val="0"/>
        <w:autoSpaceDN w:val="0"/>
        <w:adjustRightInd w:val="0"/>
        <w:rPr>
          <w:rFonts w:cs="Arial"/>
          <w:iCs/>
        </w:rPr>
      </w:pPr>
    </w:p>
    <w:p w14:paraId="09385A0C" w14:textId="77777777" w:rsidR="00836964" w:rsidRPr="005B0E5B" w:rsidRDefault="00836964" w:rsidP="00836964">
      <w:pPr>
        <w:autoSpaceDE w:val="0"/>
        <w:autoSpaceDN w:val="0"/>
        <w:adjustRightInd w:val="0"/>
        <w:rPr>
          <w:rFonts w:cs="Arial"/>
          <w:b/>
          <w:i/>
          <w:iCs/>
          <w:u w:val="single"/>
        </w:rPr>
      </w:pPr>
      <w:r w:rsidRPr="005B0E5B">
        <w:rPr>
          <w:rFonts w:cs="Arial"/>
          <w:b/>
          <w:i/>
          <w:u w:val="single"/>
        </w:rPr>
        <w:t>De l’exploitation des enfants</w:t>
      </w:r>
    </w:p>
    <w:p w14:paraId="51E3276B" w14:textId="77777777" w:rsidR="00836964" w:rsidRPr="005B0E5B" w:rsidRDefault="00836964" w:rsidP="00836964">
      <w:pPr>
        <w:autoSpaceDE w:val="0"/>
        <w:autoSpaceDN w:val="0"/>
        <w:adjustRightInd w:val="0"/>
        <w:rPr>
          <w:rFonts w:cs="Arial"/>
          <w:iCs/>
        </w:rPr>
      </w:pPr>
      <w:r w:rsidRPr="005B0E5B">
        <w:rPr>
          <w:rFonts w:cs="Arial"/>
        </w:rPr>
        <w:t>Conformément aux textes nationaux, régionaux, et internationaux : ((i) Résolution 2011/33 sur la prévention, la protection et la coopération internationale contre l’utilisation des nouvelles technologies d’information pour abuser et/ou exploiter les enfants et (ii) Résolution 44/25 du 20 novembre 1989 sur les droits des enfants), l’emploi et l’exploitation des enfants sont strictement interdits au sein de l’entreprise.</w:t>
      </w:r>
    </w:p>
    <w:p w14:paraId="126C2265" w14:textId="77777777" w:rsidR="00836964" w:rsidRPr="005B0E5B" w:rsidRDefault="00836964" w:rsidP="00836964">
      <w:pPr>
        <w:autoSpaceDE w:val="0"/>
        <w:autoSpaceDN w:val="0"/>
        <w:adjustRightInd w:val="0"/>
        <w:rPr>
          <w:rFonts w:cs="Arial"/>
          <w:iCs/>
        </w:rPr>
      </w:pPr>
    </w:p>
    <w:p w14:paraId="59702D18" w14:textId="77777777" w:rsidR="00836964" w:rsidRPr="005B0E5B" w:rsidRDefault="00836964" w:rsidP="00836964">
      <w:pPr>
        <w:rPr>
          <w:rFonts w:cs="Arial"/>
          <w:b/>
          <w:iCs/>
        </w:rPr>
      </w:pPr>
      <w:r w:rsidRPr="005B0E5B">
        <w:rPr>
          <w:rFonts w:cs="Arial"/>
          <w:b/>
        </w:rPr>
        <w:t>Article 4 – DU RESPECT DE L’ENVIRONNEMENT</w:t>
      </w:r>
    </w:p>
    <w:p w14:paraId="3F7ED898" w14:textId="77777777" w:rsidR="00836964" w:rsidRPr="005B0E5B" w:rsidRDefault="00836964" w:rsidP="00836964">
      <w:pPr>
        <w:autoSpaceDE w:val="0"/>
        <w:autoSpaceDN w:val="0"/>
        <w:adjustRightInd w:val="0"/>
        <w:rPr>
          <w:rFonts w:cs="Arial"/>
          <w:b/>
          <w:bCs/>
          <w:i/>
        </w:rPr>
      </w:pPr>
    </w:p>
    <w:p w14:paraId="0048281F" w14:textId="77777777" w:rsidR="00836964" w:rsidRPr="005B0E5B" w:rsidRDefault="00836964" w:rsidP="00836964">
      <w:pPr>
        <w:autoSpaceDE w:val="0"/>
        <w:autoSpaceDN w:val="0"/>
        <w:adjustRightInd w:val="0"/>
        <w:rPr>
          <w:rFonts w:cs="Arial"/>
          <w:b/>
          <w:bCs/>
          <w:i/>
        </w:rPr>
      </w:pPr>
      <w:r w:rsidRPr="005B0E5B">
        <w:rPr>
          <w:rFonts w:cs="Arial"/>
          <w:b/>
          <w:bCs/>
          <w:i/>
        </w:rPr>
        <w:t>IL EST FORMELLEMENT INTERDIT DE :</w:t>
      </w:r>
    </w:p>
    <w:p w14:paraId="6B37EC20" w14:textId="77777777" w:rsidR="00836964" w:rsidRPr="005B0E5B" w:rsidRDefault="00836964" w:rsidP="00836964">
      <w:pPr>
        <w:autoSpaceDE w:val="0"/>
        <w:autoSpaceDN w:val="0"/>
        <w:adjustRightInd w:val="0"/>
        <w:rPr>
          <w:rFonts w:cs="Arial"/>
          <w:b/>
          <w:bCs/>
          <w:i/>
          <w:iCs/>
          <w:sz w:val="16"/>
          <w:szCs w:val="16"/>
        </w:rPr>
      </w:pPr>
    </w:p>
    <w:p w14:paraId="5B6A70AD" w14:textId="77777777" w:rsidR="00836964" w:rsidRPr="005B0E5B" w:rsidRDefault="00836964" w:rsidP="0095003D">
      <w:pPr>
        <w:pStyle w:val="Paragraphedeliste"/>
        <w:numPr>
          <w:ilvl w:val="0"/>
          <w:numId w:val="152"/>
        </w:numPr>
        <w:autoSpaceDE w:val="0"/>
        <w:autoSpaceDN w:val="0"/>
        <w:adjustRightInd w:val="0"/>
        <w:spacing w:after="0"/>
        <w:ind w:left="360"/>
        <w:rPr>
          <w:rFonts w:cs="Arial"/>
          <w:iCs/>
        </w:rPr>
      </w:pPr>
      <w:r w:rsidRPr="005B0E5B">
        <w:rPr>
          <w:rFonts w:cs="Arial"/>
        </w:rPr>
        <w:t>Transporter, détenir et/ou consommer de la viande de brousse et des végétaux d’espèces protégées par la convention de Washington (CITES), l’Union Internationale pour la Conservation de la Nature (UICN) et la réglementation nationale ;</w:t>
      </w:r>
    </w:p>
    <w:p w14:paraId="1D71780A" w14:textId="77777777" w:rsidR="00836964" w:rsidRPr="005B0E5B" w:rsidRDefault="00836964" w:rsidP="0095003D">
      <w:pPr>
        <w:pStyle w:val="Paragraphedeliste"/>
        <w:numPr>
          <w:ilvl w:val="0"/>
          <w:numId w:val="152"/>
        </w:numPr>
        <w:autoSpaceDE w:val="0"/>
        <w:autoSpaceDN w:val="0"/>
        <w:adjustRightInd w:val="0"/>
        <w:spacing w:after="0"/>
        <w:ind w:left="360"/>
        <w:rPr>
          <w:rFonts w:cs="Arial"/>
        </w:rPr>
      </w:pPr>
      <w:r w:rsidRPr="005B0E5B">
        <w:rPr>
          <w:rFonts w:eastAsia="Helvetica Neue" w:cs="Arial"/>
        </w:rPr>
        <w:t>S’adonner au commerce et/ou trafic de tout ou partie d’espèces protégées et/ou d’espèces provenant d’aires protégées, notamment l’ivoire ;</w:t>
      </w:r>
    </w:p>
    <w:p w14:paraId="2516CD49" w14:textId="77777777" w:rsidR="00836964" w:rsidRPr="005B0E5B" w:rsidRDefault="00836964" w:rsidP="0095003D">
      <w:pPr>
        <w:pStyle w:val="Paragraphedeliste"/>
        <w:numPr>
          <w:ilvl w:val="0"/>
          <w:numId w:val="152"/>
        </w:numPr>
        <w:autoSpaceDE w:val="0"/>
        <w:autoSpaceDN w:val="0"/>
        <w:adjustRightInd w:val="0"/>
        <w:spacing w:after="0"/>
        <w:ind w:left="360"/>
        <w:rPr>
          <w:rFonts w:eastAsia="Helvetica Neue" w:cs="Arial"/>
        </w:rPr>
      </w:pPr>
      <w:r w:rsidRPr="005B0E5B">
        <w:rPr>
          <w:rFonts w:eastAsia="Helvetica Neue" w:cs="Arial"/>
        </w:rPr>
        <w:t>Abattre les arbres dans le campement et dans les zones environnantes ou dans les zones du projet, que ce soit pour la commercialisation du bois de chauffe, du charbon de bois ou pour les besoins personnels ;</w:t>
      </w:r>
    </w:p>
    <w:p w14:paraId="76CE1F17" w14:textId="77777777" w:rsidR="00836964" w:rsidRPr="005B0E5B" w:rsidRDefault="00836964" w:rsidP="0095003D">
      <w:pPr>
        <w:pStyle w:val="Paragraphedeliste"/>
        <w:numPr>
          <w:ilvl w:val="0"/>
          <w:numId w:val="152"/>
        </w:numPr>
        <w:autoSpaceDE w:val="0"/>
        <w:autoSpaceDN w:val="0"/>
        <w:adjustRightInd w:val="0"/>
        <w:spacing w:after="0"/>
        <w:ind w:left="360"/>
        <w:rPr>
          <w:rFonts w:cs="Arial"/>
          <w:iCs/>
        </w:rPr>
      </w:pPr>
      <w:r w:rsidRPr="005B0E5B">
        <w:rPr>
          <w:rFonts w:cs="Arial"/>
        </w:rPr>
        <w:t>De polluer volontairement l’environnement ;</w:t>
      </w:r>
    </w:p>
    <w:p w14:paraId="5C8BB0B0" w14:textId="77777777" w:rsidR="00836964" w:rsidRPr="005B0E5B" w:rsidRDefault="00836964" w:rsidP="0095003D">
      <w:pPr>
        <w:pStyle w:val="Paragraphedeliste"/>
        <w:numPr>
          <w:ilvl w:val="0"/>
          <w:numId w:val="152"/>
        </w:numPr>
        <w:autoSpaceDE w:val="0"/>
        <w:autoSpaceDN w:val="0"/>
        <w:adjustRightInd w:val="0"/>
        <w:spacing w:after="0"/>
        <w:ind w:left="360"/>
        <w:rPr>
          <w:rFonts w:eastAsia="Helvetica Neue" w:cs="Arial"/>
        </w:rPr>
      </w:pPr>
      <w:r w:rsidRPr="005B0E5B">
        <w:rPr>
          <w:rFonts w:eastAsia="Helvetica Neue" w:cs="Arial"/>
        </w:rPr>
        <w:t>De faire preuve d’actes de négligence ou d’imprudences entraînant des dommages ou préjudices à l’environnement.</w:t>
      </w:r>
    </w:p>
    <w:p w14:paraId="7606292D" w14:textId="77777777" w:rsidR="00836964" w:rsidRPr="005B0E5B" w:rsidRDefault="00836964" w:rsidP="0095003D">
      <w:pPr>
        <w:pStyle w:val="Paragraphedeliste"/>
        <w:numPr>
          <w:ilvl w:val="0"/>
          <w:numId w:val="152"/>
        </w:numPr>
        <w:autoSpaceDE w:val="0"/>
        <w:autoSpaceDN w:val="0"/>
        <w:adjustRightInd w:val="0"/>
        <w:spacing w:after="0"/>
        <w:ind w:left="360"/>
        <w:rPr>
          <w:rFonts w:eastAsia="Helvetica Neue" w:cs="Arial"/>
        </w:rPr>
      </w:pPr>
      <w:r w:rsidRPr="005B0E5B">
        <w:rPr>
          <w:rFonts w:eastAsia="Helvetica Neue" w:cs="Arial"/>
        </w:rPr>
        <w:t>Les activités de pêche, de chasse</w:t>
      </w:r>
    </w:p>
    <w:p w14:paraId="656689FF" w14:textId="77777777" w:rsidR="00836964" w:rsidRPr="005B0E5B" w:rsidRDefault="00836964" w:rsidP="0095003D">
      <w:pPr>
        <w:pStyle w:val="Paragraphedeliste"/>
        <w:numPr>
          <w:ilvl w:val="0"/>
          <w:numId w:val="152"/>
        </w:numPr>
        <w:autoSpaceDE w:val="0"/>
        <w:autoSpaceDN w:val="0"/>
        <w:adjustRightInd w:val="0"/>
        <w:spacing w:after="0"/>
        <w:ind w:left="360"/>
        <w:rPr>
          <w:rFonts w:eastAsia="Helvetica Neue" w:cs="Arial"/>
        </w:rPr>
      </w:pPr>
      <w:r w:rsidRPr="005B0E5B">
        <w:rPr>
          <w:rFonts w:eastAsia="Helvetica Neue" w:cs="Arial"/>
        </w:rPr>
        <w:t>Les feux de brousses</w:t>
      </w:r>
    </w:p>
    <w:p w14:paraId="29C8F625" w14:textId="77777777" w:rsidR="00836964" w:rsidRPr="005B0E5B" w:rsidRDefault="00836964" w:rsidP="00836964">
      <w:pPr>
        <w:pStyle w:val="Normal1"/>
        <w:shd w:val="clear" w:color="auto" w:fill="FFFFFF"/>
        <w:rPr>
          <w:rFonts w:ascii="Arial" w:eastAsia="Helvetica Neue" w:hAnsi="Arial" w:cs="Arial"/>
          <w:sz w:val="22"/>
          <w:szCs w:val="22"/>
        </w:rPr>
      </w:pPr>
    </w:p>
    <w:p w14:paraId="1D97C29C" w14:textId="77777777" w:rsidR="00836964" w:rsidRPr="005B0E5B" w:rsidRDefault="00836964" w:rsidP="00836964">
      <w:pPr>
        <w:pStyle w:val="Normal1"/>
        <w:shd w:val="clear" w:color="auto" w:fill="FFFFFF"/>
        <w:rPr>
          <w:rFonts w:ascii="Arial" w:eastAsia="Helvetica Neue" w:hAnsi="Arial" w:cs="Arial"/>
          <w:sz w:val="22"/>
          <w:szCs w:val="22"/>
        </w:rPr>
      </w:pPr>
      <w:r w:rsidRPr="005B0E5B">
        <w:rPr>
          <w:rFonts w:ascii="Arial" w:eastAsia="Helvetica Neue" w:hAnsi="Arial" w:cs="Arial"/>
          <w:sz w:val="22"/>
          <w:szCs w:val="22"/>
        </w:rPr>
        <w:t>Tout feu allumé devra être contrôlé et éteint après usage pour lequel il a été allumé.</w:t>
      </w:r>
    </w:p>
    <w:p w14:paraId="294314D3" w14:textId="77777777" w:rsidR="005247BD" w:rsidRDefault="005247BD" w:rsidP="00836964">
      <w:pPr>
        <w:autoSpaceDE w:val="0"/>
        <w:autoSpaceDN w:val="0"/>
        <w:adjustRightInd w:val="0"/>
        <w:rPr>
          <w:rFonts w:eastAsia="Helvetica Neue" w:cs="Arial"/>
          <w:b/>
        </w:rPr>
      </w:pPr>
    </w:p>
    <w:p w14:paraId="57674F63" w14:textId="77777777" w:rsidR="00836964" w:rsidRPr="005B0E5B" w:rsidRDefault="00836964" w:rsidP="00836964">
      <w:pPr>
        <w:autoSpaceDE w:val="0"/>
        <w:autoSpaceDN w:val="0"/>
        <w:adjustRightInd w:val="0"/>
        <w:rPr>
          <w:rFonts w:eastAsia="Helvetica Neue" w:cs="Arial"/>
          <w:b/>
        </w:rPr>
      </w:pPr>
      <w:r w:rsidRPr="005B0E5B">
        <w:rPr>
          <w:rFonts w:eastAsia="Helvetica Neue" w:cs="Arial"/>
          <w:b/>
        </w:rPr>
        <w:t>Article 5 – DES DROITS DE LA DEFENSE DES EMPLOYES</w:t>
      </w:r>
    </w:p>
    <w:p w14:paraId="6A252228" w14:textId="77777777" w:rsidR="00836964" w:rsidRPr="005B0E5B" w:rsidRDefault="00836964" w:rsidP="00836964">
      <w:pPr>
        <w:autoSpaceDE w:val="0"/>
        <w:autoSpaceDN w:val="0"/>
        <w:adjustRightInd w:val="0"/>
        <w:rPr>
          <w:rFonts w:cs="Arial"/>
          <w:b/>
          <w:bCs/>
          <w:i/>
          <w:iCs/>
        </w:rPr>
      </w:pPr>
      <w:r w:rsidRPr="005B0E5B">
        <w:rPr>
          <w:rFonts w:cs="Arial"/>
          <w:b/>
          <w:bCs/>
          <w:i/>
        </w:rPr>
        <w:t>Des procédures disciplinaires :</w:t>
      </w:r>
    </w:p>
    <w:p w14:paraId="2D9C4481" w14:textId="77777777" w:rsidR="00836964" w:rsidRPr="005B0E5B" w:rsidRDefault="00836964" w:rsidP="00836964">
      <w:pPr>
        <w:autoSpaceDE w:val="0"/>
        <w:autoSpaceDN w:val="0"/>
        <w:adjustRightInd w:val="0"/>
        <w:rPr>
          <w:rFonts w:cs="Arial"/>
        </w:rPr>
      </w:pPr>
      <w:r w:rsidRPr="005B0E5B">
        <w:rPr>
          <w:rFonts w:cs="Arial"/>
        </w:rPr>
        <w:t>Hormis les cas des infractions considérés comme imprescriptibles par la loi, aucune faute commise par un travailleur ne peut être invoquée au-delà d’un délai de 2 mois à compter du jour où l’entreprise en a eu connaissance, à moins que des poursuites pénales n’aient été exercées dans ce même délai.</w:t>
      </w:r>
    </w:p>
    <w:p w14:paraId="25195602" w14:textId="77777777" w:rsidR="00836964" w:rsidRPr="005B0E5B" w:rsidRDefault="00836964" w:rsidP="00836964">
      <w:pPr>
        <w:autoSpaceDE w:val="0"/>
        <w:autoSpaceDN w:val="0"/>
        <w:adjustRightInd w:val="0"/>
        <w:rPr>
          <w:rFonts w:cs="Arial"/>
        </w:rPr>
      </w:pPr>
      <w:r w:rsidRPr="005B0E5B">
        <w:rPr>
          <w:rFonts w:cs="Arial"/>
        </w:rPr>
        <w:t>Aucune faute antérieure de plus de (3) trois ans à l’engagement des poursuites disciplinaires ne peuvent être invoquée à l’appui d’une nouvelle faute dûment commise.</w:t>
      </w:r>
    </w:p>
    <w:p w14:paraId="5C893E8D" w14:textId="77777777" w:rsidR="00836964" w:rsidRPr="005B0E5B" w:rsidRDefault="00836964" w:rsidP="00836964">
      <w:pPr>
        <w:autoSpaceDE w:val="0"/>
        <w:autoSpaceDN w:val="0"/>
        <w:adjustRightInd w:val="0"/>
        <w:rPr>
          <w:rFonts w:cs="Arial"/>
        </w:rPr>
      </w:pPr>
      <w:r w:rsidRPr="005B0E5B">
        <w:rPr>
          <w:rFonts w:cs="Arial"/>
        </w:rPr>
        <w:t>Toute sanction disciplinaire notifiée doit comporter l’énonciation des griefs qui la motive.</w:t>
      </w:r>
    </w:p>
    <w:p w14:paraId="41F9C8E7" w14:textId="77777777" w:rsidR="00836964" w:rsidRPr="005B0E5B" w:rsidRDefault="00836964" w:rsidP="00836964">
      <w:pPr>
        <w:autoSpaceDE w:val="0"/>
        <w:autoSpaceDN w:val="0"/>
        <w:adjustRightInd w:val="0"/>
        <w:rPr>
          <w:rFonts w:cs="Arial"/>
          <w:iCs/>
        </w:rPr>
      </w:pPr>
      <w:r w:rsidRPr="005B0E5B">
        <w:rPr>
          <w:rFonts w:cs="Arial"/>
        </w:rPr>
        <w:t>Toute sanction disciplinaire est précédée d’une convocation de l’Employé. Ce dernier peut se faire assister d’un Conseil de son choix lors de l’entretien.</w:t>
      </w:r>
    </w:p>
    <w:p w14:paraId="739ED53E" w14:textId="77777777" w:rsidR="00836964" w:rsidRPr="005B0E5B" w:rsidRDefault="00836964" w:rsidP="00836964">
      <w:pPr>
        <w:spacing w:after="160" w:line="259" w:lineRule="auto"/>
        <w:jc w:val="left"/>
        <w:rPr>
          <w:rFonts w:eastAsia="Helvetica Neue"/>
          <w:b/>
        </w:rPr>
      </w:pPr>
      <w:r w:rsidRPr="005B0E5B">
        <w:rPr>
          <w:rFonts w:eastAsia="Helvetica Neue"/>
          <w:b/>
        </w:rPr>
        <w:br w:type="page"/>
      </w:r>
    </w:p>
    <w:p w14:paraId="2F67A01D" w14:textId="77777777" w:rsidR="00836964" w:rsidRPr="005B0E5B" w:rsidRDefault="00836964" w:rsidP="00836964">
      <w:pPr>
        <w:rPr>
          <w:rFonts w:eastAsia="Helvetica Neue"/>
          <w:b/>
        </w:rPr>
      </w:pPr>
      <w:r w:rsidRPr="005B0E5B">
        <w:rPr>
          <w:rFonts w:eastAsia="Helvetica Neue"/>
          <w:b/>
        </w:rPr>
        <w:t>Article 6 – PRINCIPALES FAUTES ET SANCTIONS</w:t>
      </w:r>
    </w:p>
    <w:p w14:paraId="3576444A" w14:textId="77777777" w:rsidR="00836964" w:rsidRPr="005B0E5B" w:rsidRDefault="00836964" w:rsidP="00836964">
      <w:pPr>
        <w:rPr>
          <w:rFonts w:eastAsia="Helvetica Neue"/>
        </w:rPr>
      </w:pPr>
      <w:r w:rsidRPr="005B0E5B">
        <w:rPr>
          <w:rFonts w:eastAsia="Helvetica Neue"/>
        </w:rPr>
        <w:t>Les griefs articulés et les sanctions allant jusqu’au licenciement selon la gravité des faits reprochés au travailleur sont repris ci-dessous.</w:t>
      </w:r>
    </w:p>
    <w:p w14:paraId="152696DD" w14:textId="77777777" w:rsidR="00836964" w:rsidRPr="005B0E5B" w:rsidRDefault="00836964" w:rsidP="00836964">
      <w:pPr>
        <w:pStyle w:val="Normal1"/>
        <w:shd w:val="clear" w:color="auto" w:fill="FFFFFF"/>
        <w:rPr>
          <w:rFonts w:ascii="Arial" w:eastAsia="Helvetica Neue" w:hAnsi="Arial" w:cs="Arial"/>
          <w:sz w:val="22"/>
          <w:szCs w:val="22"/>
        </w:rPr>
      </w:pPr>
    </w:p>
    <w:p w14:paraId="047656CF" w14:textId="77777777" w:rsidR="00836964" w:rsidRPr="005B0E5B" w:rsidRDefault="00836964" w:rsidP="00836964">
      <w:pPr>
        <w:rPr>
          <w:rFonts w:eastAsia="Helvetica Neue"/>
        </w:rPr>
      </w:pPr>
      <w:r w:rsidRPr="005B0E5B">
        <w:rPr>
          <w:rFonts w:eastAsia="Helvetica Neue"/>
        </w:rPr>
        <w:t>En cas de violation de ces interdictions, le travailleur contrevenant est passible de sanctions. Lorsque la responsabilité de l’Entreprise est civilement engagée, elle se réserve le droit de poursuivre en réparation civile ou en action de remboursement, le travailleur responsable.</w:t>
      </w:r>
    </w:p>
    <w:p w14:paraId="4AECF15B" w14:textId="77777777" w:rsidR="00836964" w:rsidRPr="005B0E5B" w:rsidRDefault="00836964" w:rsidP="00836964">
      <w:pPr>
        <w:pStyle w:val="Normal1"/>
        <w:shd w:val="clear" w:color="auto" w:fill="FFFFFF"/>
        <w:rPr>
          <w:rFonts w:ascii="Arial" w:eastAsia="Helvetica Neue" w:hAnsi="Arial" w:cs="Arial"/>
          <w:sz w:val="22"/>
          <w:szCs w:val="22"/>
        </w:rPr>
      </w:pP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255"/>
      </w:tblGrid>
      <w:tr w:rsidR="00836964" w:rsidRPr="005B0E5B" w14:paraId="6FF1F6BB" w14:textId="77777777" w:rsidTr="00836964">
        <w:trPr>
          <w:trHeight w:val="570"/>
          <w:tblHeader/>
          <w:jc w:val="center"/>
        </w:trPr>
        <w:tc>
          <w:tcPr>
            <w:tcW w:w="5807" w:type="dxa"/>
            <w:tcBorders>
              <w:top w:val="single" w:sz="12" w:space="0" w:color="auto"/>
              <w:left w:val="single" w:sz="12" w:space="0" w:color="auto"/>
              <w:bottom w:val="single" w:sz="12" w:space="0" w:color="auto"/>
              <w:right w:val="single" w:sz="12" w:space="0" w:color="auto"/>
            </w:tcBorders>
            <w:shd w:val="clear" w:color="auto" w:fill="auto"/>
            <w:vAlign w:val="center"/>
          </w:tcPr>
          <w:p w14:paraId="7EF405B3" w14:textId="77777777" w:rsidR="00836964" w:rsidRPr="005B0E5B" w:rsidRDefault="00836964" w:rsidP="00836964">
            <w:pPr>
              <w:rPr>
                <w:rFonts w:eastAsia="Helvetica Neue"/>
                <w:b/>
              </w:rPr>
            </w:pPr>
            <w:r w:rsidRPr="005B0E5B">
              <w:rPr>
                <w:rFonts w:eastAsia="Helvetica Neue"/>
                <w:b/>
              </w:rPr>
              <w:t>Fautes</w:t>
            </w:r>
          </w:p>
        </w:tc>
        <w:tc>
          <w:tcPr>
            <w:tcW w:w="3255" w:type="dxa"/>
            <w:tcBorders>
              <w:top w:val="single" w:sz="12" w:space="0" w:color="auto"/>
              <w:left w:val="single" w:sz="12" w:space="0" w:color="auto"/>
              <w:bottom w:val="single" w:sz="12" w:space="0" w:color="auto"/>
              <w:right w:val="single" w:sz="12" w:space="0" w:color="auto"/>
            </w:tcBorders>
            <w:shd w:val="clear" w:color="auto" w:fill="auto"/>
            <w:vAlign w:val="center"/>
          </w:tcPr>
          <w:p w14:paraId="728B9577" w14:textId="77777777" w:rsidR="00836964" w:rsidRPr="005B0E5B" w:rsidRDefault="00836964" w:rsidP="00836964">
            <w:pPr>
              <w:rPr>
                <w:rFonts w:eastAsia="Helvetica Neue"/>
                <w:b/>
              </w:rPr>
            </w:pPr>
            <w:r w:rsidRPr="005B0E5B">
              <w:rPr>
                <w:rFonts w:eastAsia="Helvetica Neue"/>
                <w:b/>
              </w:rPr>
              <w:t>Sanctions</w:t>
            </w:r>
          </w:p>
        </w:tc>
      </w:tr>
      <w:tr w:rsidR="00836964" w:rsidRPr="005B0E5B" w14:paraId="5B654E57" w14:textId="77777777" w:rsidTr="00836964">
        <w:trPr>
          <w:jc w:val="center"/>
        </w:trPr>
        <w:tc>
          <w:tcPr>
            <w:tcW w:w="5807" w:type="dxa"/>
            <w:tcBorders>
              <w:top w:val="single" w:sz="12" w:space="0" w:color="auto"/>
            </w:tcBorders>
            <w:shd w:val="clear" w:color="auto" w:fill="auto"/>
            <w:vAlign w:val="center"/>
          </w:tcPr>
          <w:p w14:paraId="3093518E" w14:textId="77777777" w:rsidR="00836964" w:rsidRPr="005B0E5B" w:rsidRDefault="00836964" w:rsidP="00836964">
            <w:pPr>
              <w:rPr>
                <w:rFonts w:eastAsia="Helvetica Neue"/>
              </w:rPr>
            </w:pPr>
            <w:r w:rsidRPr="005B0E5B">
              <w:rPr>
                <w:rFonts w:eastAsia="Helvetica Neue"/>
              </w:rPr>
              <w:t xml:space="preserve">Trois jours de retards injustifiés dans la même quinzaine </w:t>
            </w:r>
          </w:p>
        </w:tc>
        <w:tc>
          <w:tcPr>
            <w:tcW w:w="3255" w:type="dxa"/>
            <w:tcBorders>
              <w:top w:val="single" w:sz="12" w:space="0" w:color="auto"/>
            </w:tcBorders>
            <w:shd w:val="clear" w:color="auto" w:fill="auto"/>
            <w:vAlign w:val="center"/>
          </w:tcPr>
          <w:p w14:paraId="1EAC8489" w14:textId="77777777" w:rsidR="00836964" w:rsidRPr="005B0E5B" w:rsidRDefault="00836964" w:rsidP="00836964">
            <w:pPr>
              <w:rPr>
                <w:rFonts w:eastAsia="Helvetica Neue"/>
              </w:rPr>
            </w:pPr>
            <w:r w:rsidRPr="005B0E5B">
              <w:rPr>
                <w:rFonts w:eastAsia="Helvetica Neue"/>
              </w:rPr>
              <w:t xml:space="preserve">Blâme </w:t>
            </w:r>
          </w:p>
        </w:tc>
      </w:tr>
      <w:tr w:rsidR="00836964" w:rsidRPr="005B0E5B" w14:paraId="69B363FA" w14:textId="77777777" w:rsidTr="00836964">
        <w:trPr>
          <w:jc w:val="center"/>
        </w:trPr>
        <w:tc>
          <w:tcPr>
            <w:tcW w:w="5807" w:type="dxa"/>
            <w:shd w:val="clear" w:color="auto" w:fill="auto"/>
            <w:vAlign w:val="center"/>
          </w:tcPr>
          <w:p w14:paraId="587B3FE3" w14:textId="77777777" w:rsidR="00836964" w:rsidRPr="005B0E5B" w:rsidRDefault="00836964" w:rsidP="00836964">
            <w:pPr>
              <w:rPr>
                <w:rFonts w:eastAsia="Helvetica Neue"/>
              </w:rPr>
            </w:pPr>
            <w:r w:rsidRPr="005B0E5B">
              <w:rPr>
                <w:rFonts w:eastAsia="Helvetica Neue"/>
              </w:rPr>
              <w:t xml:space="preserve">Mauvaise exécution du travail </w:t>
            </w:r>
          </w:p>
        </w:tc>
        <w:tc>
          <w:tcPr>
            <w:tcW w:w="3255" w:type="dxa"/>
            <w:shd w:val="clear" w:color="auto" w:fill="auto"/>
            <w:vAlign w:val="center"/>
          </w:tcPr>
          <w:p w14:paraId="0B4ED0F8" w14:textId="77777777" w:rsidR="00836964" w:rsidRPr="005B0E5B" w:rsidRDefault="00836964" w:rsidP="00836964">
            <w:pPr>
              <w:rPr>
                <w:rFonts w:eastAsia="Helvetica Neue"/>
              </w:rPr>
            </w:pPr>
            <w:r w:rsidRPr="005B0E5B">
              <w:rPr>
                <w:rFonts w:eastAsia="Helvetica Neue"/>
              </w:rPr>
              <w:t xml:space="preserve">Avertissement </w:t>
            </w:r>
          </w:p>
        </w:tc>
      </w:tr>
      <w:tr w:rsidR="00836964" w:rsidRPr="005B0E5B" w14:paraId="15765580" w14:textId="77777777" w:rsidTr="00836964">
        <w:trPr>
          <w:jc w:val="center"/>
        </w:trPr>
        <w:tc>
          <w:tcPr>
            <w:tcW w:w="5807" w:type="dxa"/>
            <w:shd w:val="clear" w:color="auto" w:fill="auto"/>
            <w:vAlign w:val="center"/>
          </w:tcPr>
          <w:p w14:paraId="220F5C44" w14:textId="77777777" w:rsidR="00836964" w:rsidRPr="005B0E5B" w:rsidRDefault="00836964" w:rsidP="00836964">
            <w:pPr>
              <w:rPr>
                <w:rFonts w:eastAsia="Helvetica Neue"/>
              </w:rPr>
            </w:pPr>
            <w:r w:rsidRPr="005B0E5B">
              <w:rPr>
                <w:rFonts w:eastAsia="Helvetica Neue"/>
              </w:rPr>
              <w:t>Abandon du poste de travail sans motif</w:t>
            </w:r>
          </w:p>
        </w:tc>
        <w:tc>
          <w:tcPr>
            <w:tcW w:w="3255" w:type="dxa"/>
            <w:shd w:val="clear" w:color="auto" w:fill="auto"/>
            <w:vAlign w:val="center"/>
          </w:tcPr>
          <w:p w14:paraId="42536C80" w14:textId="77777777" w:rsidR="00836964" w:rsidRPr="005B0E5B" w:rsidRDefault="00836964" w:rsidP="00836964">
            <w:pPr>
              <w:rPr>
                <w:rFonts w:eastAsia="Helvetica Neue"/>
              </w:rPr>
            </w:pPr>
            <w:r w:rsidRPr="005B0E5B">
              <w:rPr>
                <w:rFonts w:eastAsia="Helvetica Neue"/>
              </w:rPr>
              <w:t xml:space="preserve">Avertissement </w:t>
            </w:r>
          </w:p>
        </w:tc>
      </w:tr>
      <w:tr w:rsidR="00836964" w:rsidRPr="005B0E5B" w14:paraId="01D947E3" w14:textId="77777777" w:rsidTr="00836964">
        <w:trPr>
          <w:jc w:val="center"/>
        </w:trPr>
        <w:tc>
          <w:tcPr>
            <w:tcW w:w="5807" w:type="dxa"/>
            <w:shd w:val="clear" w:color="auto" w:fill="auto"/>
            <w:vAlign w:val="center"/>
          </w:tcPr>
          <w:p w14:paraId="77BAD1A9" w14:textId="77777777" w:rsidR="00836964" w:rsidRPr="005B0E5B" w:rsidRDefault="00836964" w:rsidP="00836964">
            <w:pPr>
              <w:rPr>
                <w:rFonts w:eastAsia="Helvetica Neue"/>
              </w:rPr>
            </w:pPr>
            <w:r w:rsidRPr="005B0E5B">
              <w:rPr>
                <w:rFonts w:eastAsia="Helvetica Neue"/>
              </w:rPr>
              <w:t xml:space="preserve">Refus d’obéir à un ordre du supérieur hiérarchique </w:t>
            </w:r>
          </w:p>
        </w:tc>
        <w:tc>
          <w:tcPr>
            <w:tcW w:w="3255" w:type="dxa"/>
            <w:shd w:val="clear" w:color="auto" w:fill="auto"/>
            <w:vAlign w:val="center"/>
          </w:tcPr>
          <w:p w14:paraId="550A2925" w14:textId="77777777" w:rsidR="00836964" w:rsidRPr="005B0E5B" w:rsidRDefault="00836964" w:rsidP="00836964">
            <w:pPr>
              <w:rPr>
                <w:rFonts w:eastAsia="Helvetica Neue"/>
              </w:rPr>
            </w:pPr>
            <w:r w:rsidRPr="005B0E5B">
              <w:rPr>
                <w:rFonts w:eastAsia="Helvetica Neue"/>
              </w:rPr>
              <w:t xml:space="preserve">Mise à pied de 1 à 3 jours </w:t>
            </w:r>
          </w:p>
        </w:tc>
      </w:tr>
      <w:tr w:rsidR="00836964" w:rsidRPr="005B0E5B" w14:paraId="5141FF83" w14:textId="77777777" w:rsidTr="00836964">
        <w:trPr>
          <w:jc w:val="center"/>
        </w:trPr>
        <w:tc>
          <w:tcPr>
            <w:tcW w:w="5807" w:type="dxa"/>
            <w:shd w:val="clear" w:color="auto" w:fill="auto"/>
            <w:vAlign w:val="center"/>
          </w:tcPr>
          <w:p w14:paraId="07A781F8" w14:textId="77777777" w:rsidR="00836964" w:rsidRPr="005B0E5B" w:rsidRDefault="00836964" w:rsidP="00836964">
            <w:pPr>
              <w:rPr>
                <w:rFonts w:eastAsia="Helvetica Neue"/>
              </w:rPr>
            </w:pPr>
            <w:r w:rsidRPr="005B0E5B">
              <w:rPr>
                <w:rFonts w:eastAsia="Helvetica Neue"/>
              </w:rPr>
              <w:t xml:space="preserve">Introduction de marchandise dans le chantier pour vente </w:t>
            </w:r>
          </w:p>
        </w:tc>
        <w:tc>
          <w:tcPr>
            <w:tcW w:w="3255" w:type="dxa"/>
            <w:shd w:val="clear" w:color="auto" w:fill="auto"/>
            <w:vAlign w:val="center"/>
          </w:tcPr>
          <w:p w14:paraId="4031CAE8" w14:textId="77777777" w:rsidR="00836964" w:rsidRPr="005B0E5B" w:rsidRDefault="00836964" w:rsidP="00836964">
            <w:pPr>
              <w:rPr>
                <w:rFonts w:eastAsia="Helvetica Neue"/>
              </w:rPr>
            </w:pPr>
            <w:r w:rsidRPr="005B0E5B">
              <w:rPr>
                <w:rFonts w:eastAsia="Helvetica Neue"/>
              </w:rPr>
              <w:t xml:space="preserve">Mise à pied de 1  à 7 jours </w:t>
            </w:r>
          </w:p>
        </w:tc>
      </w:tr>
      <w:tr w:rsidR="00836964" w:rsidRPr="005B0E5B" w14:paraId="75F600EC" w14:textId="77777777" w:rsidTr="00836964">
        <w:trPr>
          <w:jc w:val="center"/>
        </w:trPr>
        <w:tc>
          <w:tcPr>
            <w:tcW w:w="5807" w:type="dxa"/>
            <w:shd w:val="clear" w:color="auto" w:fill="auto"/>
            <w:vAlign w:val="center"/>
          </w:tcPr>
          <w:p w14:paraId="6BF41BF4" w14:textId="77777777" w:rsidR="00836964" w:rsidRPr="005B0E5B" w:rsidRDefault="00836964" w:rsidP="00836964">
            <w:pPr>
              <w:rPr>
                <w:rFonts w:eastAsia="Helvetica Neue"/>
              </w:rPr>
            </w:pPr>
            <w:r w:rsidRPr="005B0E5B">
              <w:rPr>
                <w:rFonts w:eastAsia="Helvetica Neue"/>
              </w:rPr>
              <w:t>Trafic illicite de marchandises ou boissons alcoolisées et autres articles  dans les lieux de travail</w:t>
            </w:r>
          </w:p>
        </w:tc>
        <w:tc>
          <w:tcPr>
            <w:tcW w:w="3255" w:type="dxa"/>
            <w:shd w:val="clear" w:color="auto" w:fill="auto"/>
            <w:vAlign w:val="center"/>
          </w:tcPr>
          <w:p w14:paraId="0EE157E7" w14:textId="77777777" w:rsidR="00836964" w:rsidRPr="005B0E5B" w:rsidRDefault="00836964" w:rsidP="00836964">
            <w:pPr>
              <w:rPr>
                <w:rFonts w:eastAsia="Helvetica Neue"/>
              </w:rPr>
            </w:pPr>
            <w:r w:rsidRPr="005B0E5B">
              <w:rPr>
                <w:rFonts w:eastAsia="Helvetica Neue"/>
              </w:rPr>
              <w:t xml:space="preserve">Mise à pied de 1 à 8 jours </w:t>
            </w:r>
          </w:p>
        </w:tc>
      </w:tr>
      <w:tr w:rsidR="00836964" w:rsidRPr="005B0E5B" w14:paraId="5F969934" w14:textId="77777777" w:rsidTr="00836964">
        <w:trPr>
          <w:jc w:val="center"/>
        </w:trPr>
        <w:tc>
          <w:tcPr>
            <w:tcW w:w="5807" w:type="dxa"/>
            <w:shd w:val="clear" w:color="auto" w:fill="auto"/>
            <w:vAlign w:val="center"/>
          </w:tcPr>
          <w:p w14:paraId="798E4CED" w14:textId="77777777" w:rsidR="00836964" w:rsidRPr="005B0E5B" w:rsidRDefault="00836964" w:rsidP="00836964">
            <w:pPr>
              <w:rPr>
                <w:rFonts w:eastAsia="Helvetica Neue"/>
              </w:rPr>
            </w:pPr>
            <w:r w:rsidRPr="005B0E5B">
              <w:rPr>
                <w:rFonts w:eastAsia="Helvetica Neue"/>
              </w:rPr>
              <w:t>Etat d’ébriété pendant les heures de travail, entraînant des risques pour la sécurité des riverains, clients, usagers et personnels, ainsi que pour la préservation de l’environnement</w:t>
            </w:r>
          </w:p>
        </w:tc>
        <w:tc>
          <w:tcPr>
            <w:tcW w:w="3255" w:type="dxa"/>
            <w:shd w:val="clear" w:color="auto" w:fill="auto"/>
            <w:vAlign w:val="center"/>
          </w:tcPr>
          <w:p w14:paraId="632A0F37" w14:textId="77777777" w:rsidR="00836964" w:rsidRPr="005B0E5B" w:rsidRDefault="00836964" w:rsidP="00836964">
            <w:pPr>
              <w:rPr>
                <w:rFonts w:eastAsia="Helvetica Neue"/>
              </w:rPr>
            </w:pPr>
            <w:r w:rsidRPr="005B0E5B">
              <w:rPr>
                <w:rFonts w:eastAsia="Helvetica Neue"/>
              </w:rPr>
              <w:t>Mise à pied de 8 jours</w:t>
            </w:r>
          </w:p>
        </w:tc>
      </w:tr>
      <w:tr w:rsidR="00836964" w:rsidRPr="005B0E5B" w14:paraId="0CE428A3" w14:textId="77777777" w:rsidTr="00836964">
        <w:trPr>
          <w:jc w:val="center"/>
        </w:trPr>
        <w:tc>
          <w:tcPr>
            <w:tcW w:w="5807" w:type="dxa"/>
            <w:shd w:val="clear" w:color="auto" w:fill="auto"/>
            <w:vAlign w:val="center"/>
          </w:tcPr>
          <w:p w14:paraId="2F805322" w14:textId="77777777" w:rsidR="00836964" w:rsidRPr="005B0E5B" w:rsidRDefault="00836964" w:rsidP="00836964">
            <w:pPr>
              <w:rPr>
                <w:rFonts w:eastAsia="Helvetica Neue"/>
              </w:rPr>
            </w:pPr>
            <w:r w:rsidRPr="005B0E5B">
              <w:rPr>
                <w:rFonts w:eastAsia="Helvetica Neue"/>
              </w:rPr>
              <w:t xml:space="preserve">Absence non motivée d’une durée supérieure à une demi-journée mais inférieure à 2 jours </w:t>
            </w:r>
          </w:p>
        </w:tc>
        <w:tc>
          <w:tcPr>
            <w:tcW w:w="3255" w:type="dxa"/>
            <w:shd w:val="clear" w:color="auto" w:fill="auto"/>
            <w:vAlign w:val="center"/>
          </w:tcPr>
          <w:p w14:paraId="690200C3" w14:textId="77777777" w:rsidR="00836964" w:rsidRPr="005B0E5B" w:rsidRDefault="00836964" w:rsidP="00836964">
            <w:pPr>
              <w:rPr>
                <w:rFonts w:eastAsia="Helvetica Neue"/>
              </w:rPr>
            </w:pPr>
            <w:r w:rsidRPr="005B0E5B">
              <w:rPr>
                <w:rFonts w:eastAsia="Helvetica Neue"/>
              </w:rPr>
              <w:t>Mise à pied de 1 à 8 jours assortie du non-paiement du salaire correspondant au temps perdu</w:t>
            </w:r>
          </w:p>
        </w:tc>
      </w:tr>
      <w:tr w:rsidR="00836964" w:rsidRPr="005B0E5B" w14:paraId="18FB5469" w14:textId="77777777" w:rsidTr="00836964">
        <w:trPr>
          <w:jc w:val="center"/>
        </w:trPr>
        <w:tc>
          <w:tcPr>
            <w:tcW w:w="5807" w:type="dxa"/>
            <w:shd w:val="clear" w:color="auto" w:fill="auto"/>
            <w:vAlign w:val="center"/>
          </w:tcPr>
          <w:p w14:paraId="27F7A8FE" w14:textId="77777777" w:rsidR="00836964" w:rsidRPr="005B0E5B" w:rsidRDefault="00836964" w:rsidP="00836964">
            <w:pPr>
              <w:rPr>
                <w:rFonts w:eastAsia="Helvetica Neue"/>
              </w:rPr>
            </w:pPr>
            <w:r w:rsidRPr="005B0E5B">
              <w:rPr>
                <w:rFonts w:eastAsia="Helvetica Neue"/>
              </w:rPr>
              <w:t>Absence non motivée excédant 72 heures</w:t>
            </w:r>
          </w:p>
        </w:tc>
        <w:tc>
          <w:tcPr>
            <w:tcW w:w="3255" w:type="dxa"/>
            <w:shd w:val="clear" w:color="auto" w:fill="auto"/>
            <w:vAlign w:val="center"/>
          </w:tcPr>
          <w:p w14:paraId="631ADF74" w14:textId="77777777" w:rsidR="00836964" w:rsidRPr="005B0E5B" w:rsidRDefault="00836964" w:rsidP="00836964">
            <w:pPr>
              <w:rPr>
                <w:rFonts w:eastAsia="Helvetica Neue"/>
              </w:rPr>
            </w:pPr>
            <w:r w:rsidRPr="005B0E5B">
              <w:rPr>
                <w:rFonts w:eastAsia="Helvetica Neue"/>
              </w:rPr>
              <w:t>Licenciement avec préavis ou sans préavis assorti du non-paiement du salaire correspondant aux heures d’absence</w:t>
            </w:r>
          </w:p>
        </w:tc>
      </w:tr>
      <w:tr w:rsidR="00836964" w:rsidRPr="005B0E5B" w14:paraId="786C2891" w14:textId="77777777" w:rsidTr="00836964">
        <w:trPr>
          <w:jc w:val="center"/>
        </w:trPr>
        <w:tc>
          <w:tcPr>
            <w:tcW w:w="5807" w:type="dxa"/>
            <w:shd w:val="clear" w:color="auto" w:fill="auto"/>
            <w:vAlign w:val="center"/>
          </w:tcPr>
          <w:p w14:paraId="7CE20FDD" w14:textId="77777777" w:rsidR="00836964" w:rsidRPr="005B0E5B" w:rsidRDefault="00836964" w:rsidP="00836964">
            <w:pPr>
              <w:rPr>
                <w:rFonts w:eastAsia="Helvetica Neue"/>
              </w:rPr>
            </w:pPr>
            <w:r w:rsidRPr="005B0E5B">
              <w:rPr>
                <w:rFonts w:eastAsia="Helvetica Neue"/>
              </w:rPr>
              <w:t xml:space="preserve">Bagarre sur le lieu de travail et tout autre manquement grave ou léger à répétition à l’intérieur de l’établissement </w:t>
            </w:r>
          </w:p>
        </w:tc>
        <w:tc>
          <w:tcPr>
            <w:tcW w:w="3255" w:type="dxa"/>
            <w:shd w:val="clear" w:color="auto" w:fill="auto"/>
            <w:vAlign w:val="center"/>
          </w:tcPr>
          <w:p w14:paraId="07879BAE" w14:textId="77777777" w:rsidR="00836964" w:rsidRPr="005B0E5B" w:rsidRDefault="00836964" w:rsidP="00836964">
            <w:pPr>
              <w:rPr>
                <w:rFonts w:eastAsia="Helvetica Neue"/>
              </w:rPr>
            </w:pPr>
            <w:r w:rsidRPr="005B0E5B">
              <w:rPr>
                <w:rFonts w:eastAsia="Helvetica Neue"/>
              </w:rPr>
              <w:t xml:space="preserve">Licenciement sans préavis </w:t>
            </w:r>
          </w:p>
        </w:tc>
      </w:tr>
      <w:tr w:rsidR="00836964" w:rsidRPr="005B0E5B" w14:paraId="006FDAE1" w14:textId="77777777" w:rsidTr="00836964">
        <w:trPr>
          <w:jc w:val="center"/>
        </w:trPr>
        <w:tc>
          <w:tcPr>
            <w:tcW w:w="5807" w:type="dxa"/>
            <w:shd w:val="clear" w:color="auto" w:fill="auto"/>
            <w:vAlign w:val="center"/>
          </w:tcPr>
          <w:p w14:paraId="685D3204" w14:textId="77777777" w:rsidR="00836964" w:rsidRPr="005B0E5B" w:rsidRDefault="00836964" w:rsidP="00836964">
            <w:pPr>
              <w:rPr>
                <w:rFonts w:eastAsia="Helvetica Neue"/>
              </w:rPr>
            </w:pPr>
            <w:r w:rsidRPr="005B0E5B">
              <w:rPr>
                <w:rFonts w:eastAsia="Helvetica Neue"/>
              </w:rPr>
              <w:t>Vol</w:t>
            </w:r>
          </w:p>
        </w:tc>
        <w:tc>
          <w:tcPr>
            <w:tcW w:w="3255" w:type="dxa"/>
            <w:shd w:val="clear" w:color="auto" w:fill="auto"/>
            <w:vAlign w:val="center"/>
          </w:tcPr>
          <w:p w14:paraId="5A54C0A8" w14:textId="77777777" w:rsidR="00836964" w:rsidRPr="005B0E5B" w:rsidRDefault="00836964" w:rsidP="00836964">
            <w:pPr>
              <w:rPr>
                <w:rFonts w:eastAsia="Helvetica Neue"/>
              </w:rPr>
            </w:pPr>
            <w:r w:rsidRPr="005B0E5B">
              <w:rPr>
                <w:rFonts w:eastAsia="Helvetica Neue"/>
              </w:rPr>
              <w:t xml:space="preserve">Licenciement sans préavis </w:t>
            </w:r>
          </w:p>
        </w:tc>
      </w:tr>
      <w:tr w:rsidR="00836964" w:rsidRPr="005B0E5B" w14:paraId="7A1F078E" w14:textId="77777777" w:rsidTr="00836964">
        <w:trPr>
          <w:jc w:val="center"/>
        </w:trPr>
        <w:tc>
          <w:tcPr>
            <w:tcW w:w="5807" w:type="dxa"/>
            <w:shd w:val="clear" w:color="auto" w:fill="auto"/>
            <w:vAlign w:val="center"/>
          </w:tcPr>
          <w:p w14:paraId="5E2CA827" w14:textId="77777777" w:rsidR="00836964" w:rsidRPr="005B0E5B" w:rsidRDefault="00836964" w:rsidP="00836964">
            <w:pPr>
              <w:rPr>
                <w:rFonts w:eastAsia="Helvetica Neue"/>
              </w:rPr>
            </w:pPr>
            <w:r w:rsidRPr="005B0E5B">
              <w:rPr>
                <w:rFonts w:eastAsia="Helvetica Neue"/>
              </w:rPr>
              <w:t>Propos et attitudes déplacés vis-à-vis des personnes de sexe féminin dans les lieux de travail</w:t>
            </w:r>
          </w:p>
        </w:tc>
        <w:tc>
          <w:tcPr>
            <w:tcW w:w="3255" w:type="dxa"/>
            <w:shd w:val="clear" w:color="auto" w:fill="auto"/>
            <w:vAlign w:val="center"/>
          </w:tcPr>
          <w:p w14:paraId="723BC5C5" w14:textId="77777777" w:rsidR="00836964" w:rsidRPr="005B0E5B" w:rsidRDefault="00836964" w:rsidP="00836964">
            <w:pPr>
              <w:rPr>
                <w:rFonts w:eastAsia="Helvetica Neue"/>
              </w:rPr>
            </w:pPr>
            <w:r w:rsidRPr="005B0E5B">
              <w:rPr>
                <w:rFonts w:eastAsia="Helvetica Neue"/>
              </w:rPr>
              <w:t xml:space="preserve">Licenciement avec préavis </w:t>
            </w:r>
          </w:p>
        </w:tc>
      </w:tr>
      <w:tr w:rsidR="00836964" w:rsidRPr="005B0E5B" w14:paraId="6570DC28" w14:textId="77777777" w:rsidTr="00836964">
        <w:trPr>
          <w:jc w:val="center"/>
        </w:trPr>
        <w:tc>
          <w:tcPr>
            <w:tcW w:w="5807" w:type="dxa"/>
            <w:shd w:val="clear" w:color="auto" w:fill="auto"/>
            <w:vAlign w:val="center"/>
          </w:tcPr>
          <w:p w14:paraId="1371CF7F" w14:textId="77777777" w:rsidR="00836964" w:rsidRPr="005B0E5B" w:rsidRDefault="00836964" w:rsidP="00836964">
            <w:pPr>
              <w:rPr>
                <w:rFonts w:eastAsia="Helvetica Neue"/>
              </w:rPr>
            </w:pPr>
            <w:r w:rsidRPr="005B0E5B">
              <w:rPr>
                <w:rFonts w:eastAsia="Helvetica Neue"/>
              </w:rPr>
              <w:t>Recours aux services de prostituées durant les heures de chantier</w:t>
            </w:r>
          </w:p>
        </w:tc>
        <w:tc>
          <w:tcPr>
            <w:tcW w:w="3255" w:type="dxa"/>
            <w:shd w:val="clear" w:color="auto" w:fill="auto"/>
            <w:vAlign w:val="center"/>
          </w:tcPr>
          <w:p w14:paraId="1031E6D3" w14:textId="77777777" w:rsidR="00836964" w:rsidRPr="005B0E5B" w:rsidRDefault="00836964" w:rsidP="00836964">
            <w:pPr>
              <w:rPr>
                <w:rFonts w:eastAsia="Helvetica Neue"/>
              </w:rPr>
            </w:pPr>
            <w:r w:rsidRPr="005B0E5B">
              <w:rPr>
                <w:rFonts w:eastAsia="Helvetica Neue"/>
              </w:rPr>
              <w:t xml:space="preserve">Licenciement sans préavis </w:t>
            </w:r>
          </w:p>
        </w:tc>
      </w:tr>
      <w:tr w:rsidR="00836964" w:rsidRPr="005B0E5B" w14:paraId="18E1C980" w14:textId="77777777" w:rsidTr="00836964">
        <w:trPr>
          <w:jc w:val="center"/>
        </w:trPr>
        <w:tc>
          <w:tcPr>
            <w:tcW w:w="5807" w:type="dxa"/>
            <w:shd w:val="clear" w:color="auto" w:fill="auto"/>
            <w:vAlign w:val="center"/>
          </w:tcPr>
          <w:p w14:paraId="35BACA84" w14:textId="77777777" w:rsidR="00836964" w:rsidRPr="005B0E5B" w:rsidRDefault="00836964" w:rsidP="00836964">
            <w:pPr>
              <w:rPr>
                <w:rFonts w:eastAsia="Helvetica Neue"/>
              </w:rPr>
            </w:pPr>
            <w:r w:rsidRPr="005B0E5B">
              <w:rPr>
                <w:rFonts w:eastAsia="Helvetica Neue"/>
              </w:rPr>
              <w:t>Violences physiques et voies des faits dans les lieux de travail</w:t>
            </w:r>
          </w:p>
        </w:tc>
        <w:tc>
          <w:tcPr>
            <w:tcW w:w="3255" w:type="dxa"/>
            <w:shd w:val="clear" w:color="auto" w:fill="auto"/>
            <w:vAlign w:val="center"/>
          </w:tcPr>
          <w:p w14:paraId="59F7F794" w14:textId="77777777" w:rsidR="00836964" w:rsidRPr="005B0E5B" w:rsidRDefault="00836964" w:rsidP="00836964">
            <w:pPr>
              <w:rPr>
                <w:rFonts w:eastAsia="Helvetica Neue"/>
              </w:rPr>
            </w:pPr>
            <w:r w:rsidRPr="005B0E5B">
              <w:rPr>
                <w:rFonts w:eastAsia="Helvetica Neue"/>
              </w:rPr>
              <w:t xml:space="preserve">Licenciement sans préavis </w:t>
            </w:r>
          </w:p>
        </w:tc>
      </w:tr>
      <w:tr w:rsidR="00836964" w:rsidRPr="005B0E5B" w14:paraId="0BCCF349" w14:textId="77777777" w:rsidTr="00836964">
        <w:trPr>
          <w:jc w:val="center"/>
        </w:trPr>
        <w:tc>
          <w:tcPr>
            <w:tcW w:w="5807" w:type="dxa"/>
            <w:shd w:val="clear" w:color="auto" w:fill="auto"/>
            <w:vAlign w:val="center"/>
          </w:tcPr>
          <w:p w14:paraId="28FBFA16" w14:textId="77777777" w:rsidR="00836964" w:rsidRPr="005B0E5B" w:rsidRDefault="00836964" w:rsidP="00836964">
            <w:pPr>
              <w:rPr>
                <w:rFonts w:eastAsia="Helvetica Neue"/>
              </w:rPr>
            </w:pPr>
            <w:r w:rsidRPr="005B0E5B">
              <w:rPr>
                <w:rFonts w:eastAsia="Helvetica Neue"/>
              </w:rPr>
              <w:t>Atteintes volontaires aux biens et intérêts d’autrui ou à l’environnement dans les lieux de travail</w:t>
            </w:r>
          </w:p>
        </w:tc>
        <w:tc>
          <w:tcPr>
            <w:tcW w:w="3255" w:type="dxa"/>
            <w:shd w:val="clear" w:color="auto" w:fill="auto"/>
            <w:vAlign w:val="center"/>
          </w:tcPr>
          <w:p w14:paraId="65B5D583" w14:textId="77777777" w:rsidR="00836964" w:rsidRPr="005B0E5B" w:rsidRDefault="00836964" w:rsidP="00836964">
            <w:pPr>
              <w:rPr>
                <w:rFonts w:eastAsia="Helvetica Neue"/>
              </w:rPr>
            </w:pPr>
            <w:r w:rsidRPr="005B0E5B">
              <w:rPr>
                <w:rFonts w:eastAsia="Helvetica Neue"/>
              </w:rPr>
              <w:t xml:space="preserve">Licenciement sans préavis </w:t>
            </w:r>
          </w:p>
        </w:tc>
      </w:tr>
      <w:tr w:rsidR="00836964" w:rsidRPr="005B0E5B" w14:paraId="61F90797" w14:textId="77777777" w:rsidTr="00836964">
        <w:trPr>
          <w:jc w:val="center"/>
        </w:trPr>
        <w:tc>
          <w:tcPr>
            <w:tcW w:w="5807" w:type="dxa"/>
            <w:shd w:val="clear" w:color="auto" w:fill="auto"/>
            <w:vAlign w:val="center"/>
          </w:tcPr>
          <w:p w14:paraId="509DF230" w14:textId="77777777" w:rsidR="00836964" w:rsidRPr="005B0E5B" w:rsidRDefault="00836964" w:rsidP="00836964">
            <w:pPr>
              <w:rPr>
                <w:rFonts w:eastAsia="Helvetica Neue"/>
              </w:rPr>
            </w:pPr>
            <w:r w:rsidRPr="005B0E5B">
              <w:rPr>
                <w:rFonts w:eastAsia="Helvetica Neue"/>
              </w:rPr>
              <w:t>Refus de mise en application des procédures internes de l’Entreprise malgré rappel de la part de la hiérarchie</w:t>
            </w:r>
          </w:p>
        </w:tc>
        <w:tc>
          <w:tcPr>
            <w:tcW w:w="3255" w:type="dxa"/>
            <w:shd w:val="clear" w:color="auto" w:fill="auto"/>
            <w:vAlign w:val="center"/>
          </w:tcPr>
          <w:p w14:paraId="5660FDE4" w14:textId="77777777" w:rsidR="00836964" w:rsidRPr="005B0E5B" w:rsidRDefault="00836964" w:rsidP="00836964">
            <w:pPr>
              <w:rPr>
                <w:rFonts w:eastAsia="Helvetica Neue"/>
              </w:rPr>
            </w:pPr>
            <w:r w:rsidRPr="005B0E5B">
              <w:rPr>
                <w:rFonts w:eastAsia="Helvetica Neue"/>
              </w:rPr>
              <w:t>Mise à pied de 15 jours</w:t>
            </w:r>
          </w:p>
        </w:tc>
      </w:tr>
      <w:tr w:rsidR="00836964" w:rsidRPr="005B0E5B" w14:paraId="16CCDE1A" w14:textId="77777777" w:rsidTr="00836964">
        <w:trPr>
          <w:jc w:val="center"/>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tcPr>
          <w:p w14:paraId="29A51E0C" w14:textId="77777777" w:rsidR="00836964" w:rsidRPr="005B0E5B" w:rsidRDefault="00836964" w:rsidP="00836964">
            <w:pPr>
              <w:rPr>
                <w:rFonts w:eastAsia="Helvetica Neue"/>
              </w:rPr>
            </w:pPr>
            <w:r w:rsidRPr="005B0E5B">
              <w:rPr>
                <w:rFonts w:eastAsia="Helvetica Neue"/>
              </w:rPr>
              <w:t>Dans le cadre du travail, négligences ou imprudences répétées ayant entraîné des dommages ou préjudices à la population, aux biens, à l’environnement notamment en rapport avec les prescriptions de lutte contre la propagation des IST et du VIH-SIDA ou en cas de contamination volontaire de VIH</w:t>
            </w:r>
          </w:p>
        </w:tc>
        <w:tc>
          <w:tcPr>
            <w:tcW w:w="3255" w:type="dxa"/>
            <w:tcBorders>
              <w:top w:val="single" w:sz="4" w:space="0" w:color="auto"/>
              <w:left w:val="single" w:sz="4" w:space="0" w:color="auto"/>
              <w:bottom w:val="single" w:sz="4" w:space="0" w:color="auto"/>
              <w:right w:val="single" w:sz="4" w:space="0" w:color="auto"/>
            </w:tcBorders>
            <w:shd w:val="clear" w:color="auto" w:fill="auto"/>
            <w:vAlign w:val="center"/>
          </w:tcPr>
          <w:p w14:paraId="3E7E854E" w14:textId="77777777" w:rsidR="00836964" w:rsidRPr="005B0E5B" w:rsidRDefault="00836964" w:rsidP="00836964">
            <w:pPr>
              <w:rPr>
                <w:rFonts w:eastAsia="Helvetica Neue"/>
              </w:rPr>
            </w:pPr>
            <w:r w:rsidRPr="005B0E5B">
              <w:rPr>
                <w:rFonts w:eastAsia="Helvetica Neue"/>
              </w:rPr>
              <w:t xml:space="preserve">Licenciement sans préavis </w:t>
            </w:r>
          </w:p>
        </w:tc>
      </w:tr>
    </w:tbl>
    <w:p w14:paraId="4C7139FA" w14:textId="77777777" w:rsidR="00836964" w:rsidRPr="005B0E5B" w:rsidRDefault="00836964" w:rsidP="00836964"/>
    <w:p w14:paraId="2EC9FDF1" w14:textId="77777777" w:rsidR="00836964" w:rsidRPr="005B0E5B" w:rsidRDefault="00836964" w:rsidP="00836964">
      <w:pPr>
        <w:spacing w:after="160" w:line="259" w:lineRule="auto"/>
        <w:jc w:val="left"/>
      </w:pPr>
      <w:r w:rsidRPr="005B0E5B">
        <w:br w:type="page"/>
      </w:r>
    </w:p>
    <w:p w14:paraId="161FE364" w14:textId="77777777" w:rsidR="00836964" w:rsidRPr="005B0E5B" w:rsidRDefault="00836964" w:rsidP="00836964"/>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255"/>
      </w:tblGrid>
      <w:tr w:rsidR="00836964" w:rsidRPr="005B0E5B" w14:paraId="527345AA" w14:textId="77777777" w:rsidTr="00836964">
        <w:trPr>
          <w:trHeight w:val="570"/>
          <w:tblHeader/>
          <w:jc w:val="center"/>
        </w:trPr>
        <w:tc>
          <w:tcPr>
            <w:tcW w:w="5807" w:type="dxa"/>
            <w:tcBorders>
              <w:top w:val="single" w:sz="12" w:space="0" w:color="auto"/>
              <w:left w:val="single" w:sz="12" w:space="0" w:color="auto"/>
              <w:bottom w:val="single" w:sz="12" w:space="0" w:color="auto"/>
              <w:right w:val="single" w:sz="12" w:space="0" w:color="auto"/>
            </w:tcBorders>
            <w:shd w:val="clear" w:color="auto" w:fill="auto"/>
            <w:vAlign w:val="center"/>
          </w:tcPr>
          <w:p w14:paraId="606328D3" w14:textId="77777777" w:rsidR="00836964" w:rsidRPr="005B0E5B" w:rsidRDefault="00836964" w:rsidP="00836964">
            <w:pPr>
              <w:pStyle w:val="Normal1"/>
              <w:shd w:val="clear" w:color="auto" w:fill="FFFFFF"/>
              <w:rPr>
                <w:rFonts w:ascii="Arial" w:eastAsia="Helvetica Neue" w:hAnsi="Arial" w:cs="Arial"/>
                <w:b/>
                <w:sz w:val="22"/>
                <w:szCs w:val="22"/>
              </w:rPr>
            </w:pPr>
            <w:r w:rsidRPr="005B0E5B">
              <w:rPr>
                <w:rFonts w:ascii="Arial" w:eastAsia="Helvetica Neue" w:hAnsi="Arial" w:cs="Arial"/>
                <w:b/>
                <w:sz w:val="22"/>
                <w:szCs w:val="22"/>
              </w:rPr>
              <w:t>Fautes</w:t>
            </w:r>
          </w:p>
        </w:tc>
        <w:tc>
          <w:tcPr>
            <w:tcW w:w="3255" w:type="dxa"/>
            <w:tcBorders>
              <w:top w:val="single" w:sz="12" w:space="0" w:color="auto"/>
              <w:left w:val="single" w:sz="12" w:space="0" w:color="auto"/>
              <w:bottom w:val="single" w:sz="12" w:space="0" w:color="auto"/>
              <w:right w:val="single" w:sz="12" w:space="0" w:color="auto"/>
            </w:tcBorders>
            <w:shd w:val="clear" w:color="auto" w:fill="auto"/>
            <w:vAlign w:val="center"/>
          </w:tcPr>
          <w:p w14:paraId="57221B04" w14:textId="77777777" w:rsidR="00836964" w:rsidRPr="005B0E5B" w:rsidRDefault="00836964" w:rsidP="00836964">
            <w:pPr>
              <w:pStyle w:val="Normal1"/>
              <w:shd w:val="clear" w:color="auto" w:fill="FFFFFF"/>
              <w:rPr>
                <w:rFonts w:ascii="Arial" w:eastAsia="Helvetica Neue" w:hAnsi="Arial" w:cs="Arial"/>
                <w:b/>
                <w:sz w:val="22"/>
                <w:szCs w:val="22"/>
              </w:rPr>
            </w:pPr>
            <w:r w:rsidRPr="005B0E5B">
              <w:rPr>
                <w:rFonts w:ascii="Arial" w:eastAsia="Helvetica Neue" w:hAnsi="Arial" w:cs="Arial"/>
                <w:b/>
                <w:sz w:val="22"/>
                <w:szCs w:val="22"/>
              </w:rPr>
              <w:t>Sanctions</w:t>
            </w:r>
          </w:p>
        </w:tc>
      </w:tr>
      <w:tr w:rsidR="00836964" w:rsidRPr="005B0E5B" w14:paraId="3A733831" w14:textId="77777777" w:rsidTr="00836964">
        <w:trPr>
          <w:jc w:val="center"/>
        </w:trPr>
        <w:tc>
          <w:tcPr>
            <w:tcW w:w="5807" w:type="dxa"/>
            <w:shd w:val="clear" w:color="auto" w:fill="auto"/>
            <w:vAlign w:val="center"/>
          </w:tcPr>
          <w:p w14:paraId="2B44631A" w14:textId="77777777" w:rsidR="00836964" w:rsidRPr="005B0E5B" w:rsidRDefault="00836964" w:rsidP="00836964">
            <w:pPr>
              <w:pStyle w:val="Normal1"/>
              <w:shd w:val="clear" w:color="auto" w:fill="FFFFFF"/>
              <w:rPr>
                <w:rFonts w:ascii="Arial" w:eastAsia="Helvetica Neue" w:hAnsi="Arial" w:cs="Arial"/>
                <w:sz w:val="22"/>
                <w:szCs w:val="22"/>
              </w:rPr>
            </w:pPr>
            <w:r w:rsidRPr="005B0E5B">
              <w:rPr>
                <w:rFonts w:ascii="Arial" w:eastAsia="Helvetica Neue" w:hAnsi="Arial" w:cs="Arial"/>
                <w:sz w:val="22"/>
                <w:szCs w:val="22"/>
              </w:rPr>
              <w:t>Consommation de stupéfiants dans les lieux de travail</w:t>
            </w:r>
          </w:p>
        </w:tc>
        <w:tc>
          <w:tcPr>
            <w:tcW w:w="3255" w:type="dxa"/>
            <w:shd w:val="clear" w:color="auto" w:fill="auto"/>
            <w:vAlign w:val="center"/>
          </w:tcPr>
          <w:p w14:paraId="799A95D6" w14:textId="77777777" w:rsidR="00836964" w:rsidRPr="005B0E5B" w:rsidRDefault="00836964" w:rsidP="00836964">
            <w:pPr>
              <w:pStyle w:val="Normal1"/>
              <w:shd w:val="clear" w:color="auto" w:fill="FFFFFF"/>
              <w:rPr>
                <w:rFonts w:ascii="Arial" w:eastAsia="Helvetica Neue" w:hAnsi="Arial" w:cs="Arial"/>
                <w:sz w:val="22"/>
                <w:szCs w:val="22"/>
              </w:rPr>
            </w:pPr>
            <w:r w:rsidRPr="005B0E5B">
              <w:rPr>
                <w:rFonts w:ascii="Arial" w:eastAsia="Helvetica Neue" w:hAnsi="Arial" w:cs="Arial"/>
                <w:sz w:val="22"/>
                <w:szCs w:val="22"/>
              </w:rPr>
              <w:t>Licenciement immédiat</w:t>
            </w:r>
          </w:p>
        </w:tc>
      </w:tr>
      <w:tr w:rsidR="00836964" w:rsidRPr="005B0E5B" w14:paraId="24D4A26A" w14:textId="77777777" w:rsidTr="00836964">
        <w:trPr>
          <w:jc w:val="center"/>
        </w:trPr>
        <w:tc>
          <w:tcPr>
            <w:tcW w:w="5807" w:type="dxa"/>
            <w:shd w:val="clear" w:color="auto" w:fill="auto"/>
            <w:vAlign w:val="center"/>
          </w:tcPr>
          <w:p w14:paraId="713F769B" w14:textId="77777777" w:rsidR="00836964" w:rsidRPr="005B0E5B" w:rsidRDefault="00836964" w:rsidP="00836964">
            <w:pPr>
              <w:pStyle w:val="Commentaire"/>
              <w:jc w:val="left"/>
              <w:rPr>
                <w:rFonts w:eastAsia="Helvetica Neue" w:cs="Arial"/>
                <w:sz w:val="22"/>
                <w:szCs w:val="22"/>
              </w:rPr>
            </w:pPr>
            <w:r w:rsidRPr="005B0E5B">
              <w:rPr>
                <w:rFonts w:eastAsia="Helvetica Neue" w:cs="Arial"/>
                <w:sz w:val="22"/>
                <w:szCs w:val="22"/>
              </w:rPr>
              <w:t xml:space="preserve">Dans des lieux de travail, transport, possession et/ou consommation de viande ou de tout autre partie animale ou végétale issue d’espèces protégées au sens de la Convention de Washington (CITES),de l’Union Internationale pour la Conservation de la Nature (UICN)  et de la réglementation nationale </w:t>
            </w:r>
          </w:p>
        </w:tc>
        <w:tc>
          <w:tcPr>
            <w:tcW w:w="3255" w:type="dxa"/>
            <w:shd w:val="clear" w:color="auto" w:fill="auto"/>
            <w:vAlign w:val="center"/>
          </w:tcPr>
          <w:p w14:paraId="2AB60B1A" w14:textId="77777777" w:rsidR="00836964" w:rsidRPr="005B0E5B" w:rsidRDefault="00836964" w:rsidP="00836964">
            <w:pPr>
              <w:pStyle w:val="Normal1"/>
              <w:shd w:val="clear" w:color="auto" w:fill="FFFFFF"/>
              <w:rPr>
                <w:rFonts w:ascii="Arial" w:eastAsia="Helvetica Neue" w:hAnsi="Arial" w:cs="Arial"/>
                <w:sz w:val="22"/>
                <w:szCs w:val="22"/>
              </w:rPr>
            </w:pPr>
            <w:r w:rsidRPr="005B0E5B">
              <w:rPr>
                <w:rFonts w:ascii="Arial" w:eastAsia="Helvetica Neue" w:hAnsi="Arial" w:cs="Arial"/>
                <w:sz w:val="22"/>
                <w:szCs w:val="22"/>
              </w:rPr>
              <w:t>Licenciement immédiat</w:t>
            </w:r>
          </w:p>
        </w:tc>
      </w:tr>
      <w:tr w:rsidR="00836964" w:rsidRPr="005B0E5B" w14:paraId="3A446F99" w14:textId="77777777" w:rsidTr="00836964">
        <w:trPr>
          <w:jc w:val="center"/>
        </w:trPr>
        <w:tc>
          <w:tcPr>
            <w:tcW w:w="5807" w:type="dxa"/>
            <w:shd w:val="clear" w:color="auto" w:fill="auto"/>
            <w:vAlign w:val="center"/>
          </w:tcPr>
          <w:p w14:paraId="0C67784E" w14:textId="77777777" w:rsidR="00836964" w:rsidRPr="005B0E5B" w:rsidRDefault="00836964" w:rsidP="00836964">
            <w:pPr>
              <w:pStyle w:val="Normal1"/>
              <w:shd w:val="clear" w:color="auto" w:fill="FFFFFF"/>
              <w:rPr>
                <w:rFonts w:ascii="Arial" w:eastAsia="Helvetica Neue" w:hAnsi="Arial" w:cs="Arial"/>
                <w:sz w:val="22"/>
                <w:szCs w:val="22"/>
              </w:rPr>
            </w:pPr>
            <w:r w:rsidRPr="005B0E5B">
              <w:rPr>
                <w:rFonts w:ascii="Arial" w:eastAsia="Helvetica Neue" w:hAnsi="Arial" w:cs="Arial"/>
                <w:sz w:val="22"/>
                <w:szCs w:val="22"/>
              </w:rPr>
              <w:t>Dans les lieux de travail, proxénétisme, harcèlement, abus et violences sexuels sur les femmes, pédophilie, coups et blessures, trafic de stupéfiants, pollution volontaire grave, commerce et/ou trafic de tout ou partie d’espèces protégées et/ou d’espèces provenant d’aires protégées, notamment l’ivoire, etc.</w:t>
            </w:r>
          </w:p>
        </w:tc>
        <w:tc>
          <w:tcPr>
            <w:tcW w:w="3255" w:type="dxa"/>
            <w:shd w:val="clear" w:color="auto" w:fill="auto"/>
            <w:vAlign w:val="center"/>
          </w:tcPr>
          <w:p w14:paraId="787EF9DC" w14:textId="77777777" w:rsidR="00836964" w:rsidRPr="005B0E5B" w:rsidRDefault="00836964" w:rsidP="00836964">
            <w:pPr>
              <w:pStyle w:val="Normal1"/>
              <w:shd w:val="clear" w:color="auto" w:fill="FFFFFF"/>
              <w:rPr>
                <w:rFonts w:ascii="Arial" w:eastAsia="Helvetica Neue" w:hAnsi="Arial" w:cs="Arial"/>
                <w:sz w:val="22"/>
                <w:szCs w:val="22"/>
              </w:rPr>
            </w:pPr>
            <w:r w:rsidRPr="005B0E5B">
              <w:rPr>
                <w:rFonts w:ascii="Arial" w:eastAsia="Helvetica Neue" w:hAnsi="Arial" w:cs="Arial"/>
                <w:sz w:val="22"/>
                <w:szCs w:val="22"/>
              </w:rPr>
              <w:t>Licenciement immédiat dès la première constatation de la faute, ainsi qu’à la transmission des éléments caractéristiques de la faute aux services compétents de répression de l’Etat</w:t>
            </w:r>
          </w:p>
        </w:tc>
      </w:tr>
      <w:tr w:rsidR="00836964" w:rsidRPr="005B0E5B" w14:paraId="4CFAB411" w14:textId="77777777" w:rsidTr="00836964">
        <w:trPr>
          <w:jc w:val="center"/>
        </w:trPr>
        <w:tc>
          <w:tcPr>
            <w:tcW w:w="5807" w:type="dxa"/>
            <w:shd w:val="clear" w:color="auto" w:fill="auto"/>
            <w:vAlign w:val="center"/>
          </w:tcPr>
          <w:p w14:paraId="6E7A1207" w14:textId="77777777" w:rsidR="00836964" w:rsidRPr="005B0E5B" w:rsidRDefault="00836964" w:rsidP="00836964">
            <w:pPr>
              <w:pStyle w:val="Normal1"/>
              <w:shd w:val="clear" w:color="auto" w:fill="FFFFFF"/>
              <w:rPr>
                <w:rFonts w:ascii="Arial" w:eastAsia="Helvetica Neue" w:hAnsi="Arial" w:cs="Arial"/>
                <w:sz w:val="22"/>
                <w:szCs w:val="22"/>
              </w:rPr>
            </w:pPr>
            <w:r w:rsidRPr="005B0E5B">
              <w:rPr>
                <w:rFonts w:ascii="Arial" w:eastAsia="Helvetica Neue" w:hAnsi="Arial" w:cs="Arial"/>
                <w:sz w:val="22"/>
                <w:szCs w:val="22"/>
              </w:rPr>
              <w:t xml:space="preserve">Toute autre faute non-prévue par le présent règlement  </w:t>
            </w:r>
          </w:p>
        </w:tc>
        <w:tc>
          <w:tcPr>
            <w:tcW w:w="3255" w:type="dxa"/>
            <w:shd w:val="clear" w:color="auto" w:fill="auto"/>
            <w:vAlign w:val="center"/>
          </w:tcPr>
          <w:p w14:paraId="5C128164" w14:textId="77777777" w:rsidR="00836964" w:rsidRPr="005B0E5B" w:rsidRDefault="00836964" w:rsidP="00836964">
            <w:pPr>
              <w:pStyle w:val="Normal1"/>
              <w:shd w:val="clear" w:color="auto" w:fill="FFFFFF"/>
              <w:rPr>
                <w:rFonts w:ascii="Arial" w:eastAsia="Helvetica Neue" w:hAnsi="Arial" w:cs="Arial"/>
                <w:sz w:val="22"/>
                <w:szCs w:val="22"/>
              </w:rPr>
            </w:pPr>
            <w:r w:rsidRPr="005B0E5B">
              <w:rPr>
                <w:rFonts w:ascii="Arial" w:eastAsia="Helvetica Neue" w:hAnsi="Arial" w:cs="Arial"/>
                <w:sz w:val="22"/>
                <w:szCs w:val="22"/>
              </w:rPr>
              <w:t>Sera soumise à un comité de discipline ad hoc de l’Entreprise pour qualification et proposition d’une sanction</w:t>
            </w:r>
          </w:p>
        </w:tc>
      </w:tr>
    </w:tbl>
    <w:p w14:paraId="48DAC8BE" w14:textId="77777777" w:rsidR="00836964" w:rsidRPr="005B0E5B" w:rsidRDefault="00836964" w:rsidP="00836964">
      <w:pPr>
        <w:pStyle w:val="Normal1"/>
        <w:shd w:val="clear" w:color="auto" w:fill="FFFFFF"/>
        <w:rPr>
          <w:rFonts w:ascii="Arial" w:eastAsia="Helvetica Neue" w:hAnsi="Arial" w:cs="Arial"/>
          <w:sz w:val="22"/>
          <w:szCs w:val="22"/>
        </w:rPr>
      </w:pPr>
    </w:p>
    <w:p w14:paraId="0C53EF54" w14:textId="77777777" w:rsidR="00836964" w:rsidRPr="005B0E5B" w:rsidRDefault="00836964" w:rsidP="00836964">
      <w:pPr>
        <w:pStyle w:val="Normal1"/>
        <w:shd w:val="clear" w:color="auto" w:fill="FFFFFF"/>
        <w:rPr>
          <w:rFonts w:ascii="Arial" w:eastAsia="Helvetica Neue" w:hAnsi="Arial" w:cs="Arial"/>
          <w:sz w:val="22"/>
          <w:szCs w:val="22"/>
        </w:rPr>
      </w:pPr>
    </w:p>
    <w:p w14:paraId="0B1115E0" w14:textId="77777777" w:rsidR="00836964" w:rsidRPr="005B0E5B" w:rsidRDefault="00836964" w:rsidP="00836964">
      <w:pPr>
        <w:rPr>
          <w:rFonts w:eastAsia="Helvetica Neue"/>
          <w:b/>
        </w:rPr>
      </w:pPr>
      <w:r w:rsidRPr="005B0E5B">
        <w:rPr>
          <w:rFonts w:eastAsia="Helvetica Neue"/>
          <w:b/>
        </w:rPr>
        <w:t>Article 7 – FORMALITES ET DEPOT</w:t>
      </w:r>
    </w:p>
    <w:p w14:paraId="2980FA3C" w14:textId="77777777" w:rsidR="00836964" w:rsidRPr="005B0E5B" w:rsidRDefault="00836964" w:rsidP="00836964">
      <w:pPr>
        <w:pStyle w:val="Normal1"/>
        <w:shd w:val="clear" w:color="auto" w:fill="FFFFFF"/>
        <w:rPr>
          <w:rFonts w:ascii="Arial" w:eastAsia="Helvetica Neue" w:hAnsi="Arial" w:cs="Arial"/>
          <w:sz w:val="22"/>
          <w:szCs w:val="22"/>
        </w:rPr>
      </w:pPr>
      <w:r w:rsidRPr="005B0E5B">
        <w:rPr>
          <w:rFonts w:ascii="Arial" w:eastAsia="Helvetica Neue" w:hAnsi="Arial" w:cs="Arial"/>
          <w:sz w:val="22"/>
          <w:szCs w:val="22"/>
        </w:rPr>
        <w:t xml:space="preserve">Le présent Règlement Intérieur et Code de bonne conduite a fait l’objet d’une présentation à tous les Employés </w:t>
      </w:r>
      <w:r w:rsidRPr="005B0E5B">
        <w:rPr>
          <w:rFonts w:ascii="Arial" w:hAnsi="Arial" w:cs="Arial"/>
          <w:iCs/>
          <w:sz w:val="22"/>
          <w:szCs w:val="22"/>
        </w:rPr>
        <w:t>et apprenants de l’Entreprise, ses sous-traitants ainsi que ses partenaires sécuritaires</w:t>
      </w:r>
      <w:r w:rsidRPr="005B0E5B">
        <w:rPr>
          <w:rFonts w:ascii="Arial" w:eastAsia="Helvetica Neue" w:hAnsi="Arial" w:cs="Arial"/>
          <w:sz w:val="22"/>
          <w:szCs w:val="22"/>
        </w:rPr>
        <w:t>.</w:t>
      </w:r>
    </w:p>
    <w:p w14:paraId="540C8AB1" w14:textId="77777777" w:rsidR="00836964" w:rsidRPr="005B0E5B" w:rsidRDefault="00836964" w:rsidP="00836964">
      <w:pPr>
        <w:pStyle w:val="Normal1"/>
        <w:shd w:val="clear" w:color="auto" w:fill="FFFFFF"/>
        <w:rPr>
          <w:rFonts w:ascii="Arial" w:eastAsia="Helvetica Neue" w:hAnsi="Arial" w:cs="Arial"/>
          <w:sz w:val="22"/>
          <w:szCs w:val="22"/>
        </w:rPr>
      </w:pPr>
    </w:p>
    <w:p w14:paraId="0031794D" w14:textId="77777777" w:rsidR="00836964" w:rsidRPr="005B0E5B" w:rsidRDefault="00836964" w:rsidP="00836964">
      <w:pPr>
        <w:autoSpaceDE w:val="0"/>
        <w:autoSpaceDN w:val="0"/>
        <w:adjustRightInd w:val="0"/>
        <w:rPr>
          <w:rFonts w:cs="Arial"/>
          <w:iCs/>
        </w:rPr>
      </w:pPr>
      <w:r w:rsidRPr="005B0E5B">
        <w:rPr>
          <w:rFonts w:cs="Arial"/>
        </w:rPr>
        <w:t>Il a été également :</w:t>
      </w:r>
    </w:p>
    <w:p w14:paraId="05074004" w14:textId="77777777" w:rsidR="00836964" w:rsidRPr="005B0E5B" w:rsidRDefault="00836964" w:rsidP="00836964">
      <w:pPr>
        <w:autoSpaceDE w:val="0"/>
        <w:autoSpaceDN w:val="0"/>
        <w:adjustRightInd w:val="0"/>
        <w:rPr>
          <w:rFonts w:cs="Arial"/>
          <w:iCs/>
        </w:rPr>
      </w:pPr>
    </w:p>
    <w:p w14:paraId="022F800C" w14:textId="77777777" w:rsidR="00836964" w:rsidRPr="005B0E5B" w:rsidRDefault="00836964" w:rsidP="0095003D">
      <w:pPr>
        <w:pStyle w:val="Paragraphedeliste"/>
        <w:numPr>
          <w:ilvl w:val="0"/>
          <w:numId w:val="152"/>
        </w:numPr>
        <w:autoSpaceDE w:val="0"/>
        <w:autoSpaceDN w:val="0"/>
        <w:adjustRightInd w:val="0"/>
        <w:spacing w:after="0"/>
        <w:ind w:left="360"/>
        <w:rPr>
          <w:rFonts w:cs="Arial"/>
          <w:iCs/>
        </w:rPr>
      </w:pPr>
      <w:r w:rsidRPr="005B0E5B">
        <w:rPr>
          <w:rFonts w:cs="Arial"/>
        </w:rPr>
        <w:t>Communiqué à l’Inspection du Travail ;</w:t>
      </w:r>
    </w:p>
    <w:p w14:paraId="734FFCBF" w14:textId="77777777" w:rsidR="00836964" w:rsidRPr="005B0E5B" w:rsidRDefault="00836964" w:rsidP="0095003D">
      <w:pPr>
        <w:pStyle w:val="Paragraphedeliste"/>
        <w:numPr>
          <w:ilvl w:val="0"/>
          <w:numId w:val="152"/>
        </w:numPr>
        <w:autoSpaceDE w:val="0"/>
        <w:autoSpaceDN w:val="0"/>
        <w:adjustRightInd w:val="0"/>
        <w:spacing w:after="0"/>
        <w:ind w:left="360"/>
        <w:rPr>
          <w:rFonts w:cs="Arial"/>
          <w:iCs/>
        </w:rPr>
      </w:pPr>
      <w:r w:rsidRPr="005B0E5B">
        <w:rPr>
          <w:rFonts w:cs="Arial"/>
        </w:rPr>
        <w:t xml:space="preserve">Affiché </w:t>
      </w:r>
      <w:r w:rsidRPr="005B0E5B">
        <w:rPr>
          <w:rFonts w:eastAsia="Helvetica Neue" w:cs="Arial"/>
        </w:rPr>
        <w:t>à la base-vie de l’entreprise et dans les véhicules et engins</w:t>
      </w:r>
      <w:r w:rsidRPr="005B0E5B">
        <w:rPr>
          <w:rFonts w:cs="Arial"/>
        </w:rPr>
        <w:t>.</w:t>
      </w:r>
    </w:p>
    <w:p w14:paraId="5EA021BE" w14:textId="77777777" w:rsidR="00836964" w:rsidRPr="005B0E5B" w:rsidRDefault="00836964" w:rsidP="00836964">
      <w:pPr>
        <w:pStyle w:val="Normal1"/>
        <w:shd w:val="clear" w:color="auto" w:fill="FFFFFF"/>
        <w:rPr>
          <w:rFonts w:ascii="Arial" w:hAnsi="Arial" w:cs="Arial"/>
          <w:iCs/>
          <w:sz w:val="22"/>
          <w:szCs w:val="22"/>
        </w:rPr>
      </w:pPr>
    </w:p>
    <w:p w14:paraId="403B57A8" w14:textId="77777777" w:rsidR="00836964" w:rsidRPr="005B0E5B" w:rsidRDefault="00836964" w:rsidP="00836964">
      <w:pPr>
        <w:pStyle w:val="Normal1"/>
        <w:shd w:val="clear" w:color="auto" w:fill="FFFFFF"/>
        <w:rPr>
          <w:rFonts w:ascii="Arial" w:hAnsi="Arial" w:cs="Arial"/>
          <w:iCs/>
          <w:sz w:val="22"/>
          <w:szCs w:val="22"/>
        </w:rPr>
      </w:pPr>
      <w:r w:rsidRPr="005B0E5B">
        <w:rPr>
          <w:rFonts w:ascii="Arial" w:hAnsi="Arial" w:cs="Arial"/>
          <w:iCs/>
          <w:sz w:val="22"/>
          <w:szCs w:val="22"/>
        </w:rPr>
        <w:t>Et un exemplaire remis à chaque Employé. Il en sera de même en particulier lors de chaque embauche.</w:t>
      </w:r>
    </w:p>
    <w:p w14:paraId="3F9E9582" w14:textId="77777777" w:rsidR="00836964" w:rsidRPr="005B0E5B" w:rsidRDefault="00836964" w:rsidP="00836964">
      <w:pPr>
        <w:pStyle w:val="Normal1"/>
        <w:shd w:val="clear" w:color="auto" w:fill="FFFFFF"/>
        <w:rPr>
          <w:rFonts w:ascii="Arial" w:hAnsi="Arial" w:cs="Arial"/>
          <w:iCs/>
          <w:sz w:val="22"/>
          <w:szCs w:val="22"/>
        </w:rPr>
      </w:pPr>
    </w:p>
    <w:p w14:paraId="41DA6F06" w14:textId="77777777" w:rsidR="00836964" w:rsidRPr="005B0E5B" w:rsidRDefault="00836964" w:rsidP="00836964">
      <w:pPr>
        <w:pStyle w:val="Normal1"/>
        <w:shd w:val="clear" w:color="auto" w:fill="FFFFFF"/>
        <w:rPr>
          <w:rFonts w:ascii="Arial" w:hAnsi="Arial" w:cs="Arial"/>
          <w:iCs/>
          <w:sz w:val="22"/>
          <w:szCs w:val="22"/>
        </w:rPr>
      </w:pPr>
      <w:r w:rsidRPr="005B0E5B">
        <w:rPr>
          <w:rFonts w:ascii="Arial" w:hAnsi="Arial" w:cs="Arial"/>
          <w:iCs/>
          <w:sz w:val="22"/>
          <w:szCs w:val="22"/>
        </w:rPr>
        <w:t>Pour tout cas de plainte de quelque nature que ce soit ; prière contacter les personnes suivantes :</w:t>
      </w:r>
    </w:p>
    <w:p w14:paraId="73E20800" w14:textId="77777777" w:rsidR="00836964" w:rsidRPr="005B0E5B" w:rsidRDefault="00836964" w:rsidP="00836964">
      <w:pPr>
        <w:pStyle w:val="Normal1"/>
        <w:shd w:val="clear" w:color="auto" w:fill="FFFFFF"/>
        <w:rPr>
          <w:rFonts w:ascii="Arial" w:hAnsi="Arial" w:cs="Arial"/>
          <w:iCs/>
          <w:sz w:val="22"/>
          <w:szCs w:val="22"/>
        </w:rPr>
      </w:pPr>
    </w:p>
    <w:p w14:paraId="4159EB80" w14:textId="77777777" w:rsidR="00836964" w:rsidRPr="005B0E5B" w:rsidRDefault="00836964" w:rsidP="00836964">
      <w:pPr>
        <w:pStyle w:val="Normal1"/>
        <w:shd w:val="clear" w:color="auto" w:fill="FFFFFF"/>
        <w:rPr>
          <w:rFonts w:ascii="Arial" w:eastAsia="Helvetica Neue" w:hAnsi="Arial" w:cs="Arial"/>
          <w:sz w:val="22"/>
          <w:szCs w:val="22"/>
        </w:rPr>
      </w:pPr>
      <w:r w:rsidRPr="005B0E5B">
        <w:rPr>
          <w:rFonts w:ascii="Arial" w:eastAsia="Helvetica Neue" w:hAnsi="Arial" w:cs="Arial"/>
          <w:sz w:val="22"/>
          <w:szCs w:val="22"/>
        </w:rPr>
        <w:t>+223…………………… : Environnementaliste entreprise </w:t>
      </w:r>
    </w:p>
    <w:p w14:paraId="31AC5EF3" w14:textId="77777777" w:rsidR="00836964" w:rsidRPr="005B0E5B" w:rsidRDefault="00836964" w:rsidP="00836964">
      <w:pPr>
        <w:pStyle w:val="Normal1"/>
        <w:shd w:val="clear" w:color="auto" w:fill="FFFFFF"/>
        <w:rPr>
          <w:rFonts w:ascii="Arial" w:eastAsia="Helvetica Neue" w:hAnsi="Arial" w:cs="Arial"/>
          <w:sz w:val="22"/>
          <w:szCs w:val="22"/>
        </w:rPr>
      </w:pPr>
      <w:r w:rsidRPr="005B0E5B">
        <w:rPr>
          <w:rFonts w:ascii="Arial" w:eastAsia="Helvetica Neue" w:hAnsi="Arial" w:cs="Arial"/>
          <w:sz w:val="22"/>
          <w:szCs w:val="22"/>
        </w:rPr>
        <w:t>+223…………………… : Chef de Mission de Contrôle :</w:t>
      </w:r>
    </w:p>
    <w:p w14:paraId="3CC354C3" w14:textId="77777777" w:rsidR="00836964" w:rsidRPr="005B0E5B" w:rsidRDefault="00836964" w:rsidP="00836964">
      <w:pPr>
        <w:pStyle w:val="Normal1"/>
        <w:shd w:val="clear" w:color="auto" w:fill="FFFFFF"/>
        <w:rPr>
          <w:rFonts w:ascii="Arial" w:eastAsia="Helvetica Neue" w:hAnsi="Arial" w:cs="Arial"/>
          <w:sz w:val="22"/>
          <w:szCs w:val="22"/>
        </w:rPr>
      </w:pPr>
    </w:p>
    <w:p w14:paraId="2C97976E" w14:textId="77777777" w:rsidR="00836964" w:rsidRPr="005B0E5B" w:rsidRDefault="00836964" w:rsidP="00836964">
      <w:pPr>
        <w:pStyle w:val="Normal1"/>
        <w:shd w:val="clear" w:color="auto" w:fill="FFFFFF"/>
        <w:rPr>
          <w:rFonts w:ascii="Arial" w:eastAsia="Helvetica Neue" w:hAnsi="Arial" w:cs="Arial"/>
          <w:sz w:val="22"/>
          <w:szCs w:val="22"/>
        </w:rPr>
      </w:pPr>
    </w:p>
    <w:p w14:paraId="4E992197" w14:textId="77777777" w:rsidR="00836964" w:rsidRPr="005B0E5B" w:rsidRDefault="00836964" w:rsidP="00836964">
      <w:pPr>
        <w:pStyle w:val="Normal1"/>
        <w:shd w:val="clear" w:color="auto" w:fill="FFFFFF"/>
        <w:jc w:val="right"/>
        <w:rPr>
          <w:rFonts w:ascii="Arial" w:eastAsia="Helvetica Neue" w:hAnsi="Arial" w:cs="Arial"/>
          <w:sz w:val="22"/>
          <w:szCs w:val="22"/>
        </w:rPr>
      </w:pPr>
      <w:r w:rsidRPr="005B0E5B">
        <w:rPr>
          <w:rFonts w:ascii="Arial" w:eastAsia="Helvetica Neue" w:hAnsi="Arial" w:cs="Arial"/>
          <w:sz w:val="22"/>
          <w:szCs w:val="22"/>
        </w:rPr>
        <w:t xml:space="preserve"> Fait à ……, le  </w:t>
      </w:r>
    </w:p>
    <w:p w14:paraId="63AA7465" w14:textId="77777777" w:rsidR="00836964" w:rsidRPr="005B0E5B" w:rsidRDefault="00836964" w:rsidP="00836964">
      <w:pPr>
        <w:pStyle w:val="Normal1"/>
        <w:shd w:val="clear" w:color="auto" w:fill="FFFFFF"/>
        <w:rPr>
          <w:rFonts w:ascii="Arial" w:eastAsia="Helvetica Neue" w:hAnsi="Arial" w:cs="Arial"/>
          <w:sz w:val="22"/>
          <w:szCs w:val="22"/>
        </w:rPr>
      </w:pPr>
    </w:p>
    <w:p w14:paraId="1D403F07" w14:textId="77777777" w:rsidR="00836964" w:rsidRPr="005B0E5B" w:rsidRDefault="00836964" w:rsidP="00836964">
      <w:pPr>
        <w:pStyle w:val="Normal1"/>
        <w:shd w:val="clear" w:color="auto" w:fill="FFFFFF"/>
        <w:jc w:val="center"/>
        <w:rPr>
          <w:rFonts w:ascii="Arial" w:eastAsia="Helvetica Neue" w:hAnsi="Arial" w:cs="Arial"/>
          <w:sz w:val="22"/>
          <w:szCs w:val="22"/>
        </w:rPr>
      </w:pPr>
      <w:r w:rsidRPr="005B0E5B">
        <w:rPr>
          <w:rFonts w:ascii="Arial" w:eastAsia="Helvetica Neue" w:hAnsi="Arial" w:cs="Arial"/>
          <w:sz w:val="22"/>
          <w:szCs w:val="22"/>
        </w:rPr>
        <w:t>Signature et cachet de l’entreprise</w:t>
      </w:r>
    </w:p>
    <w:p w14:paraId="44BEBE71" w14:textId="77777777" w:rsidR="00836964" w:rsidRPr="005B0E5B" w:rsidRDefault="00836964" w:rsidP="00836964">
      <w:pPr>
        <w:rPr>
          <w:rFonts w:cs="Arial"/>
        </w:rPr>
      </w:pPr>
      <w:r w:rsidRPr="005B0E5B">
        <w:rPr>
          <w:rFonts w:cs="Arial"/>
        </w:rPr>
        <w:br w:type="page"/>
      </w:r>
    </w:p>
    <w:p w14:paraId="649CD927" w14:textId="1ECF3624" w:rsidR="00836964" w:rsidRPr="005B0E5B" w:rsidRDefault="005247BD" w:rsidP="00836964">
      <w:pPr>
        <w:pStyle w:val="Titre2"/>
      </w:pPr>
      <w:bookmarkStart w:id="684" w:name="_Toc77182387"/>
      <w:bookmarkStart w:id="685" w:name="_Toc511127842"/>
      <w:bookmarkStart w:id="686" w:name="_Toc511600704"/>
      <w:bookmarkStart w:id="687" w:name="_Toc799166"/>
      <w:bookmarkStart w:id="688" w:name="_Toc6519576"/>
      <w:bookmarkStart w:id="689" w:name="_Toc13739691"/>
      <w:r w:rsidRPr="005B0E5B">
        <w:t>PROCEDURE DE DECOUVERTE FORTUITE DE PATRIMOINE ENFOUI</w:t>
      </w:r>
      <w:bookmarkEnd w:id="684"/>
      <w:r w:rsidRPr="005B0E5B">
        <w:t xml:space="preserve"> </w:t>
      </w:r>
      <w:bookmarkEnd w:id="685"/>
      <w:bookmarkEnd w:id="686"/>
      <w:bookmarkEnd w:id="687"/>
      <w:bookmarkEnd w:id="688"/>
      <w:bookmarkEnd w:id="689"/>
    </w:p>
    <w:p w14:paraId="7043A0C8" w14:textId="77777777" w:rsidR="00836964" w:rsidRPr="005B0E5B" w:rsidRDefault="00836964" w:rsidP="00836964">
      <w:pPr>
        <w:rPr>
          <w:rFonts w:cs="Arial"/>
          <w:b/>
          <w:smallCaps/>
        </w:rPr>
      </w:pPr>
    </w:p>
    <w:p w14:paraId="6D7BFCE8" w14:textId="77777777" w:rsidR="00836964" w:rsidRPr="005B0E5B" w:rsidRDefault="00836964" w:rsidP="00836964">
      <w:pPr>
        <w:pStyle w:val="Normal1"/>
        <w:shd w:val="clear" w:color="auto" w:fill="FFFFFF"/>
        <w:rPr>
          <w:rFonts w:ascii="Arial" w:eastAsia="Helvetica Neue" w:hAnsi="Arial" w:cs="Arial"/>
          <w:b/>
          <w:sz w:val="22"/>
          <w:szCs w:val="22"/>
        </w:rPr>
      </w:pPr>
      <w:r w:rsidRPr="005B0E5B">
        <w:rPr>
          <w:rFonts w:ascii="Arial" w:eastAsia="Helvetica Neue" w:hAnsi="Arial" w:cs="Arial"/>
          <w:b/>
          <w:sz w:val="22"/>
          <w:szCs w:val="22"/>
        </w:rPr>
        <w:t xml:space="preserve">Introduction </w:t>
      </w:r>
    </w:p>
    <w:p w14:paraId="48A251FB" w14:textId="77777777" w:rsidR="00836964" w:rsidRPr="005B0E5B" w:rsidRDefault="00836964" w:rsidP="00836964">
      <w:pPr>
        <w:rPr>
          <w:rFonts w:cs="Arial"/>
        </w:rPr>
      </w:pPr>
      <w:r w:rsidRPr="005B0E5B">
        <w:rPr>
          <w:rFonts w:cs="Arial"/>
        </w:rPr>
        <w:t xml:space="preserve">L’application de la procédure de découverte fortuite de patrimoine enfoui permet de sauvegarder les vestiges historiques au bénéfice de la culture. </w:t>
      </w:r>
    </w:p>
    <w:p w14:paraId="48B86FEB" w14:textId="77777777" w:rsidR="00836964" w:rsidRPr="005B0E5B" w:rsidRDefault="00836964" w:rsidP="00836964">
      <w:pPr>
        <w:rPr>
          <w:rFonts w:cs="Arial"/>
        </w:rPr>
      </w:pPr>
      <w:r w:rsidRPr="005B0E5B">
        <w:rPr>
          <w:rFonts w:cs="Arial"/>
        </w:rPr>
        <w:t>Elle consiste à alerter la Direction Nationale du Patrimoine Culturel (DNPC) à Bamako ou la Direction Régionale de la Culture</w:t>
      </w:r>
      <w:r w:rsidRPr="005B0E5B">
        <w:rPr>
          <w:rStyle w:val="Appelnotedebasdep"/>
          <w:rFonts w:cs="Arial"/>
        </w:rPr>
        <w:footnoteReference w:id="27"/>
      </w:r>
      <w:r w:rsidRPr="005B0E5B">
        <w:rPr>
          <w:rFonts w:cs="Arial"/>
        </w:rPr>
        <w:t xml:space="preserve"> de Koulikoro  en cas de découverte de vestige (objets d’art ancien, vestiges archéologiques, etc.) pendant l’ouverture et l’exploitation des carrières d’emprunt et fosses, pendant les travaux.</w:t>
      </w:r>
    </w:p>
    <w:p w14:paraId="30970B84" w14:textId="77777777" w:rsidR="00836964" w:rsidRPr="005B0E5B" w:rsidRDefault="00836964" w:rsidP="00836964">
      <w:pPr>
        <w:rPr>
          <w:rFonts w:cs="Arial"/>
        </w:rPr>
      </w:pPr>
      <w:r w:rsidRPr="005B0E5B">
        <w:rPr>
          <w:rFonts w:cs="Arial"/>
        </w:rPr>
        <w:t xml:space="preserve">Il s’agira pour les entreprises qui seront chargées des travaux de : </w:t>
      </w:r>
    </w:p>
    <w:p w14:paraId="2B82EA5A" w14:textId="77777777" w:rsidR="00836964" w:rsidRPr="005B0E5B" w:rsidRDefault="00836964" w:rsidP="0095003D">
      <w:pPr>
        <w:numPr>
          <w:ilvl w:val="0"/>
          <w:numId w:val="147"/>
        </w:numPr>
        <w:spacing w:after="0"/>
        <w:rPr>
          <w:rFonts w:cs="Arial"/>
        </w:rPr>
      </w:pPr>
      <w:r w:rsidRPr="005B0E5B">
        <w:rPr>
          <w:rFonts w:cs="Arial"/>
        </w:rPr>
        <w:t xml:space="preserve">Bien informer les ouvriers sur les biens concernés et la procédure à suivre ; </w:t>
      </w:r>
    </w:p>
    <w:p w14:paraId="58654E31" w14:textId="77777777" w:rsidR="00836964" w:rsidRPr="005B0E5B" w:rsidRDefault="00836964" w:rsidP="0095003D">
      <w:pPr>
        <w:numPr>
          <w:ilvl w:val="0"/>
          <w:numId w:val="147"/>
        </w:numPr>
        <w:spacing w:after="0"/>
        <w:rPr>
          <w:rFonts w:cs="Arial"/>
        </w:rPr>
      </w:pPr>
      <w:r w:rsidRPr="005B0E5B">
        <w:rPr>
          <w:rFonts w:cs="Arial"/>
        </w:rPr>
        <w:t>Arrêter immédiatement les travaux dans le cas d’un vestige archéologique (grotte, caverne, fourneaux, cimetière, sépulture) en attendant la décision de la Direction Nationale du Patrimoine Culturel (DNPC) à Bamako ou de la Direction Régionale de la Culture de Koulikoro ;</w:t>
      </w:r>
    </w:p>
    <w:p w14:paraId="4175A34A" w14:textId="77777777" w:rsidR="00836964" w:rsidRPr="005B0E5B" w:rsidRDefault="00836964" w:rsidP="0095003D">
      <w:pPr>
        <w:numPr>
          <w:ilvl w:val="0"/>
          <w:numId w:val="147"/>
        </w:numPr>
        <w:spacing w:after="0"/>
        <w:rPr>
          <w:rFonts w:cs="Arial"/>
        </w:rPr>
      </w:pPr>
      <w:r w:rsidRPr="005B0E5B">
        <w:rPr>
          <w:rFonts w:cs="Arial"/>
        </w:rPr>
        <w:t>Dans le cas des objets (figurines, statuettes) circonscrire la zone et alerter la Direction Nationale du Patrimoine Culturel (DNPC) à Bamako ou de la Direction Régionale de la Culture de Koulikoro ;</w:t>
      </w:r>
    </w:p>
    <w:p w14:paraId="59062087" w14:textId="77777777" w:rsidR="00836964" w:rsidRPr="005B0E5B" w:rsidRDefault="00836964" w:rsidP="0095003D">
      <w:pPr>
        <w:numPr>
          <w:ilvl w:val="0"/>
          <w:numId w:val="147"/>
        </w:numPr>
        <w:spacing w:after="0"/>
        <w:rPr>
          <w:rFonts w:cs="Arial"/>
        </w:rPr>
      </w:pPr>
      <w:r w:rsidRPr="005B0E5B">
        <w:rPr>
          <w:rFonts w:cs="Arial"/>
        </w:rPr>
        <w:t>Ne reprendre les travaux que sur autorisation de la Direction Nationale du Patrimoine Culturel (DNPC) à Bamako ou de la Direction Régionale de la Culture de Koulikoro.</w:t>
      </w:r>
    </w:p>
    <w:p w14:paraId="2C9C9CA0" w14:textId="77777777" w:rsidR="00836964" w:rsidRPr="005B0E5B" w:rsidRDefault="00836964" w:rsidP="00836964">
      <w:pPr>
        <w:rPr>
          <w:rFonts w:cs="Arial"/>
        </w:rPr>
      </w:pPr>
      <w:r w:rsidRPr="005B0E5B">
        <w:rPr>
          <w:rFonts w:cs="Arial"/>
        </w:rPr>
        <w:t>Au total, les différentes phases de gestion des découvertes fortuites de vestiges de patrimoines sont décrites comme suit :</w:t>
      </w:r>
    </w:p>
    <w:p w14:paraId="77A5684E" w14:textId="77777777" w:rsidR="00836964" w:rsidRPr="005B0E5B" w:rsidRDefault="00836964" w:rsidP="00836964">
      <w:pPr>
        <w:pStyle w:val="Normal1"/>
        <w:shd w:val="clear" w:color="auto" w:fill="FFFFFF"/>
        <w:rPr>
          <w:rFonts w:ascii="Arial" w:eastAsia="Helvetica Neue" w:hAnsi="Arial" w:cs="Arial"/>
          <w:b/>
          <w:sz w:val="22"/>
          <w:szCs w:val="22"/>
        </w:rPr>
      </w:pPr>
      <w:r w:rsidRPr="005B0E5B">
        <w:rPr>
          <w:rFonts w:ascii="Arial" w:eastAsia="Helvetica Neue" w:hAnsi="Arial" w:cs="Arial"/>
          <w:b/>
          <w:sz w:val="22"/>
          <w:szCs w:val="22"/>
        </w:rPr>
        <w:t xml:space="preserve">Suspension des travaux </w:t>
      </w:r>
    </w:p>
    <w:p w14:paraId="1F9F8042" w14:textId="77777777" w:rsidR="00836964" w:rsidRPr="005B0E5B" w:rsidRDefault="00836964" w:rsidP="00836964">
      <w:pPr>
        <w:rPr>
          <w:rFonts w:cs="Arial"/>
        </w:rPr>
      </w:pPr>
      <w:r w:rsidRPr="005B0E5B">
        <w:rPr>
          <w:rFonts w:cs="Arial"/>
        </w:rPr>
        <w:t xml:space="preserve">Ce paragraphe peut indiquer que l’entreprise doit arrêter les travaux si des biens culturels physiques sont découverts durant les fouilles. Il convient toutefois de préciser si tous les travaux doivent être interrompus, ou uniquement ceux en rapport direct avec la découverte. Dans les cas où l’on s’attend à découvrir d’importants ouvrages enfouis, tous les travaux pourront être suspendus dans un certain périmètre (de 50 mètres par exemple) autour du bien découvert. Il importe de faire appel à un archéologue qualifié pour régler cette question. Après la suspension des travaux, l’entreprise doit immédiatement signaler la découverte à la mission de contrôle. Il se peut que l’entreprise ne soit pas en droit de réclamer une indemnisation pour la période de suspension des travaux. La mission de contrôle peut être habileté à suspendre les travaux et à demander à l’entreprise de procéder à des fouilles à ses propres frais s’il estime qu’une découverte qui vient d’être faite n’a pas été signalée. </w:t>
      </w:r>
    </w:p>
    <w:p w14:paraId="65586DB4" w14:textId="77777777" w:rsidR="00836964" w:rsidRPr="005B0E5B" w:rsidRDefault="00836964" w:rsidP="00836964">
      <w:pPr>
        <w:pStyle w:val="Normal1"/>
        <w:shd w:val="clear" w:color="auto" w:fill="FFFFFF"/>
        <w:rPr>
          <w:rFonts w:ascii="Arial" w:eastAsia="Helvetica Neue" w:hAnsi="Arial" w:cs="Arial"/>
          <w:b/>
          <w:sz w:val="22"/>
          <w:szCs w:val="22"/>
        </w:rPr>
      </w:pPr>
      <w:r w:rsidRPr="005B0E5B">
        <w:rPr>
          <w:rFonts w:ascii="Arial" w:eastAsia="Helvetica Neue" w:hAnsi="Arial" w:cs="Arial"/>
          <w:b/>
          <w:sz w:val="22"/>
          <w:szCs w:val="22"/>
        </w:rPr>
        <w:t xml:space="preserve">Délimitation du site de la découverte </w:t>
      </w:r>
    </w:p>
    <w:p w14:paraId="0C757EF7" w14:textId="77777777" w:rsidR="00836964" w:rsidRPr="005B0E5B" w:rsidRDefault="00836964" w:rsidP="00836964">
      <w:pPr>
        <w:rPr>
          <w:rFonts w:cs="Arial"/>
        </w:rPr>
      </w:pPr>
      <w:r w:rsidRPr="005B0E5B">
        <w:rPr>
          <w:rFonts w:cs="Arial"/>
        </w:rPr>
        <w:t xml:space="preserve">Avec l’approbation de l’ingénieur résident (mission de contrôle), il est ensuite demandé à l’entreprise de délimiter temporairement le site et d’en restreindre l’accès. </w:t>
      </w:r>
    </w:p>
    <w:p w14:paraId="66B67EDD" w14:textId="77777777" w:rsidR="00836964" w:rsidRPr="005B0E5B" w:rsidRDefault="00836964" w:rsidP="00836964">
      <w:pPr>
        <w:pStyle w:val="Normal1"/>
        <w:shd w:val="clear" w:color="auto" w:fill="FFFFFF"/>
        <w:rPr>
          <w:rFonts w:ascii="Arial" w:eastAsia="Helvetica Neue" w:hAnsi="Arial" w:cs="Arial"/>
          <w:b/>
          <w:sz w:val="22"/>
          <w:szCs w:val="22"/>
        </w:rPr>
      </w:pPr>
      <w:r w:rsidRPr="005B0E5B">
        <w:rPr>
          <w:rFonts w:ascii="Arial" w:eastAsia="Helvetica Neue" w:hAnsi="Arial" w:cs="Arial"/>
          <w:b/>
          <w:sz w:val="22"/>
          <w:szCs w:val="22"/>
        </w:rPr>
        <w:t xml:space="preserve">Non-suspension des travaux </w:t>
      </w:r>
    </w:p>
    <w:p w14:paraId="022DC373" w14:textId="77777777" w:rsidR="00836964" w:rsidRPr="005B0E5B" w:rsidRDefault="00836964" w:rsidP="00836964">
      <w:pPr>
        <w:rPr>
          <w:rFonts w:cs="Arial"/>
        </w:rPr>
      </w:pPr>
      <w:r w:rsidRPr="005B0E5B">
        <w:rPr>
          <w:rFonts w:cs="Arial"/>
        </w:rPr>
        <w:t xml:space="preserve">La procédure peut autoriser la Mission de Contrôle à déterminer si le bien culturel physique peut être transporté ailleurs afin de poursuivre les travaux, par exemple si l’objet découvert est une pièce de monnaie. </w:t>
      </w:r>
    </w:p>
    <w:p w14:paraId="6083D23D" w14:textId="77777777" w:rsidR="00836964" w:rsidRPr="005B0E5B" w:rsidRDefault="00836964" w:rsidP="00836964">
      <w:pPr>
        <w:pStyle w:val="Normal1"/>
        <w:shd w:val="clear" w:color="auto" w:fill="FFFFFF"/>
        <w:rPr>
          <w:rFonts w:ascii="Arial" w:eastAsia="Helvetica Neue" w:hAnsi="Arial" w:cs="Arial"/>
          <w:b/>
          <w:sz w:val="22"/>
          <w:szCs w:val="22"/>
        </w:rPr>
      </w:pPr>
      <w:r w:rsidRPr="005B0E5B">
        <w:rPr>
          <w:rFonts w:ascii="Arial" w:eastAsia="Helvetica Neue" w:hAnsi="Arial" w:cs="Arial"/>
          <w:b/>
          <w:sz w:val="22"/>
          <w:szCs w:val="22"/>
        </w:rPr>
        <w:t xml:space="preserve">Rapport de découverte fortuite </w:t>
      </w:r>
    </w:p>
    <w:p w14:paraId="3C2547A0" w14:textId="77777777" w:rsidR="00836964" w:rsidRPr="005B0E5B" w:rsidRDefault="00836964" w:rsidP="00836964">
      <w:pPr>
        <w:rPr>
          <w:rFonts w:cs="Arial"/>
        </w:rPr>
      </w:pPr>
      <w:r w:rsidRPr="005B0E5B">
        <w:rPr>
          <w:rFonts w:cs="Arial"/>
        </w:rPr>
        <w:t>L’entreprise doit ensuite, sur la demande de la mission de contrôle et dans les détails spécifiés, établir un Rapport de découverte fortuite fournissant les informations suivantes :</w:t>
      </w:r>
    </w:p>
    <w:p w14:paraId="25E2036C" w14:textId="77777777" w:rsidR="00836964" w:rsidRPr="005B0E5B" w:rsidRDefault="00836964" w:rsidP="0095003D">
      <w:pPr>
        <w:numPr>
          <w:ilvl w:val="0"/>
          <w:numId w:val="147"/>
        </w:numPr>
        <w:spacing w:after="0"/>
        <w:rPr>
          <w:rFonts w:cs="Arial"/>
        </w:rPr>
      </w:pPr>
      <w:r w:rsidRPr="005B0E5B">
        <w:rPr>
          <w:rFonts w:cs="Arial"/>
        </w:rPr>
        <w:t xml:space="preserve">Date et heure de la découverte ; </w:t>
      </w:r>
    </w:p>
    <w:p w14:paraId="6AAA1296" w14:textId="77777777" w:rsidR="00836964" w:rsidRPr="005B0E5B" w:rsidRDefault="00836964" w:rsidP="0095003D">
      <w:pPr>
        <w:numPr>
          <w:ilvl w:val="0"/>
          <w:numId w:val="147"/>
        </w:numPr>
        <w:spacing w:after="0"/>
        <w:rPr>
          <w:rFonts w:cs="Arial"/>
        </w:rPr>
      </w:pPr>
      <w:r w:rsidRPr="005B0E5B">
        <w:rPr>
          <w:rFonts w:cs="Arial"/>
        </w:rPr>
        <w:t xml:space="preserve">Emplacement de la découverte ; </w:t>
      </w:r>
    </w:p>
    <w:p w14:paraId="1997E1DB" w14:textId="77777777" w:rsidR="00836964" w:rsidRPr="005B0E5B" w:rsidRDefault="00836964" w:rsidP="0095003D">
      <w:pPr>
        <w:numPr>
          <w:ilvl w:val="0"/>
          <w:numId w:val="147"/>
        </w:numPr>
        <w:spacing w:after="0"/>
        <w:rPr>
          <w:rFonts w:cs="Arial"/>
        </w:rPr>
      </w:pPr>
      <w:r w:rsidRPr="005B0E5B">
        <w:rPr>
          <w:rFonts w:cs="Arial"/>
        </w:rPr>
        <w:t xml:space="preserve">Description du bien culturel physique ; </w:t>
      </w:r>
    </w:p>
    <w:p w14:paraId="72C04E78" w14:textId="77777777" w:rsidR="00836964" w:rsidRPr="005B0E5B" w:rsidRDefault="00836964" w:rsidP="0095003D">
      <w:pPr>
        <w:numPr>
          <w:ilvl w:val="0"/>
          <w:numId w:val="147"/>
        </w:numPr>
        <w:spacing w:after="0"/>
        <w:rPr>
          <w:rFonts w:cs="Arial"/>
        </w:rPr>
      </w:pPr>
      <w:r w:rsidRPr="005B0E5B">
        <w:rPr>
          <w:rFonts w:cs="Arial"/>
        </w:rPr>
        <w:t xml:space="preserve">Estimation du poids et des dimensions du bien ; </w:t>
      </w:r>
    </w:p>
    <w:p w14:paraId="52E8B4CA" w14:textId="69A13223" w:rsidR="00836964" w:rsidRPr="005247BD" w:rsidRDefault="00836964" w:rsidP="0095003D">
      <w:pPr>
        <w:numPr>
          <w:ilvl w:val="0"/>
          <w:numId w:val="147"/>
        </w:numPr>
        <w:spacing w:after="0"/>
        <w:rPr>
          <w:rFonts w:cs="Arial"/>
        </w:rPr>
      </w:pPr>
      <w:r w:rsidRPr="005B0E5B">
        <w:rPr>
          <w:rFonts w:cs="Arial"/>
        </w:rPr>
        <w:t xml:space="preserve">Mesures de protection temporaire mises en place. </w:t>
      </w:r>
    </w:p>
    <w:p w14:paraId="446C8F6F" w14:textId="77777777" w:rsidR="00836964" w:rsidRPr="005B0E5B" w:rsidRDefault="00836964" w:rsidP="00836964">
      <w:pPr>
        <w:rPr>
          <w:rFonts w:cs="Arial"/>
        </w:rPr>
      </w:pPr>
      <w:r w:rsidRPr="005B0E5B">
        <w:rPr>
          <w:rFonts w:cs="Arial"/>
        </w:rPr>
        <w:t xml:space="preserve">Le Rapport de découverte fortuite doit être présenté à la mission de contrôle et aux autres parties désignées d’un commun accord avec les parties désignées d’un commun accord avec les services en charge du patrimoine culturel, et conformément à la législation nationale. </w:t>
      </w:r>
    </w:p>
    <w:p w14:paraId="674515CE" w14:textId="77777777" w:rsidR="00836964" w:rsidRPr="005B0E5B" w:rsidRDefault="00836964" w:rsidP="00836964">
      <w:pPr>
        <w:rPr>
          <w:rFonts w:cs="Arial"/>
        </w:rPr>
      </w:pPr>
      <w:r w:rsidRPr="005B0E5B">
        <w:rPr>
          <w:rFonts w:cs="Arial"/>
        </w:rPr>
        <w:t xml:space="preserve">La mission de contrôle, ou toute autre partie d’un commun accord, doivent informer les services culturels de la découverte. </w:t>
      </w:r>
    </w:p>
    <w:p w14:paraId="39C08061" w14:textId="77777777" w:rsidR="00836964" w:rsidRPr="005B0E5B" w:rsidRDefault="00836964" w:rsidP="00836964">
      <w:pPr>
        <w:pStyle w:val="Normal1"/>
        <w:shd w:val="clear" w:color="auto" w:fill="FFFFFF"/>
        <w:rPr>
          <w:rFonts w:ascii="Arial" w:eastAsia="Helvetica Neue" w:hAnsi="Arial" w:cs="Arial"/>
          <w:b/>
          <w:sz w:val="22"/>
          <w:szCs w:val="22"/>
        </w:rPr>
      </w:pPr>
      <w:r w:rsidRPr="005B0E5B">
        <w:rPr>
          <w:rFonts w:ascii="Arial" w:eastAsia="Helvetica Neue" w:hAnsi="Arial" w:cs="Arial"/>
          <w:b/>
          <w:sz w:val="22"/>
          <w:szCs w:val="22"/>
        </w:rPr>
        <w:t xml:space="preserve">Arrivée des services culturels et mesures prises </w:t>
      </w:r>
    </w:p>
    <w:p w14:paraId="2909E687" w14:textId="77777777" w:rsidR="00836964" w:rsidRPr="005B0E5B" w:rsidRDefault="00836964" w:rsidP="00836964">
      <w:pPr>
        <w:rPr>
          <w:rFonts w:cs="Arial"/>
        </w:rPr>
      </w:pPr>
      <w:r w:rsidRPr="005B0E5B">
        <w:rPr>
          <w:rFonts w:cs="Arial"/>
        </w:rPr>
        <w:t xml:space="preserve">Les services responsables du patrimoine culturel font le nécessaire pour envoyer un représentant sur le lieu de la découverte dans un délai de 24 heures au maximum et déterminer les mesures à prendre, notamment : </w:t>
      </w:r>
    </w:p>
    <w:p w14:paraId="7BD0A28B" w14:textId="77777777" w:rsidR="00836964" w:rsidRPr="005B0E5B" w:rsidRDefault="00836964" w:rsidP="0095003D">
      <w:pPr>
        <w:numPr>
          <w:ilvl w:val="0"/>
          <w:numId w:val="147"/>
        </w:numPr>
        <w:spacing w:after="0"/>
        <w:rPr>
          <w:rFonts w:cs="Arial"/>
        </w:rPr>
      </w:pPr>
      <w:r w:rsidRPr="005B0E5B">
        <w:rPr>
          <w:rFonts w:cs="Arial"/>
        </w:rPr>
        <w:t xml:space="preserve">Retrait des biens culturels physiques jugés importants ; </w:t>
      </w:r>
    </w:p>
    <w:p w14:paraId="0DF8B465" w14:textId="77777777" w:rsidR="00836964" w:rsidRPr="005B0E5B" w:rsidRDefault="00836964" w:rsidP="0095003D">
      <w:pPr>
        <w:numPr>
          <w:ilvl w:val="0"/>
          <w:numId w:val="147"/>
        </w:numPr>
        <w:spacing w:after="0"/>
        <w:rPr>
          <w:rFonts w:cs="Arial"/>
        </w:rPr>
      </w:pPr>
      <w:r w:rsidRPr="005B0E5B">
        <w:rPr>
          <w:rFonts w:cs="Arial"/>
        </w:rPr>
        <w:t xml:space="preserve">Poursuite des travaux d’excavation dans un rayon spécifié autour du site de la découverte ; </w:t>
      </w:r>
    </w:p>
    <w:p w14:paraId="192D50F3" w14:textId="77777777" w:rsidR="00836964" w:rsidRPr="005B0E5B" w:rsidRDefault="00836964" w:rsidP="0095003D">
      <w:pPr>
        <w:numPr>
          <w:ilvl w:val="0"/>
          <w:numId w:val="147"/>
        </w:numPr>
        <w:spacing w:after="0"/>
        <w:rPr>
          <w:rFonts w:cs="Arial"/>
        </w:rPr>
      </w:pPr>
      <w:r w:rsidRPr="005B0E5B">
        <w:rPr>
          <w:rFonts w:cs="Arial"/>
        </w:rPr>
        <w:t xml:space="preserve">Élargissement ou réduction de la zone délimitée par l’entreprise. </w:t>
      </w:r>
    </w:p>
    <w:p w14:paraId="2EFBB666" w14:textId="77777777" w:rsidR="00836964" w:rsidRPr="005B0E5B" w:rsidRDefault="00836964" w:rsidP="00836964">
      <w:pPr>
        <w:rPr>
          <w:rFonts w:cs="Arial"/>
        </w:rPr>
      </w:pPr>
      <w:r w:rsidRPr="005B0E5B">
        <w:rPr>
          <w:rFonts w:cs="Arial"/>
        </w:rPr>
        <w:t xml:space="preserve">Ces mesures doivent être prises dans un délai donné (dans les 7 jours qui suivent la découverte par exemple). </w:t>
      </w:r>
    </w:p>
    <w:p w14:paraId="228AB8DA" w14:textId="77777777" w:rsidR="00836964" w:rsidRPr="005B0E5B" w:rsidRDefault="00836964" w:rsidP="00836964">
      <w:pPr>
        <w:rPr>
          <w:rFonts w:cs="Arial"/>
        </w:rPr>
      </w:pPr>
      <w:r w:rsidRPr="005B0E5B">
        <w:rPr>
          <w:rFonts w:cs="Arial"/>
        </w:rPr>
        <w:t xml:space="preserve">L’entreprise peut, mais pas nécessairement, prétendre à une indemnisation pour la période de suspension des travaux. </w:t>
      </w:r>
    </w:p>
    <w:p w14:paraId="08C8259B" w14:textId="77777777" w:rsidR="00836964" w:rsidRPr="005B0E5B" w:rsidRDefault="00836964" w:rsidP="00836964">
      <w:pPr>
        <w:rPr>
          <w:rFonts w:cs="Arial"/>
        </w:rPr>
      </w:pPr>
      <w:r w:rsidRPr="005B0E5B">
        <w:rPr>
          <w:rFonts w:cs="Arial"/>
        </w:rPr>
        <w:t xml:space="preserve">NB1 : Si les services en charge du patrimoine culturel n’envoient pas un représentant dans les délais spécifiés (dans les 24 heures, par exemple), la mission de contrôle peut être autorisée à proroger ces délais pour une période spécifiée </w:t>
      </w:r>
    </w:p>
    <w:p w14:paraId="113AC6EB" w14:textId="77777777" w:rsidR="00836964" w:rsidRPr="005B0E5B" w:rsidRDefault="00836964" w:rsidP="00836964">
      <w:pPr>
        <w:rPr>
          <w:rFonts w:cs="Arial"/>
        </w:rPr>
      </w:pPr>
      <w:r w:rsidRPr="005B0E5B">
        <w:rPr>
          <w:rFonts w:cs="Arial"/>
        </w:rPr>
        <w:t xml:space="preserve">NB2 : Si les services en charge du patrimoine culturel n’envoient pas un représentant dans la période de prorogation, la mission de contrôle peut-être autoriser à demander à l’entreprise de déplacer le bien culturel physique ou de prendre d’autres mesures d’atténuation et de reprendre les travaux. Les travaux supplémentaires seront imputés sur le marché mais l’entreprise ne pourra pas réclamer une indemnisation pour la période de suspension des travaux. </w:t>
      </w:r>
    </w:p>
    <w:p w14:paraId="3CF861C4" w14:textId="77777777" w:rsidR="00836964" w:rsidRPr="005B0E5B" w:rsidRDefault="00836964" w:rsidP="00836964">
      <w:pPr>
        <w:pStyle w:val="Normal1"/>
        <w:shd w:val="clear" w:color="auto" w:fill="FFFFFF"/>
        <w:rPr>
          <w:rFonts w:ascii="Arial" w:eastAsia="Helvetica Neue" w:hAnsi="Arial" w:cs="Arial"/>
          <w:b/>
          <w:sz w:val="22"/>
          <w:szCs w:val="22"/>
        </w:rPr>
      </w:pPr>
      <w:r w:rsidRPr="005B0E5B">
        <w:rPr>
          <w:rFonts w:ascii="Arial" w:eastAsia="Helvetica Neue" w:hAnsi="Arial" w:cs="Arial"/>
          <w:b/>
          <w:sz w:val="22"/>
          <w:szCs w:val="22"/>
        </w:rPr>
        <w:t xml:space="preserve">Suspension supplémentaire des travaux </w:t>
      </w:r>
    </w:p>
    <w:p w14:paraId="1FCB6EF7" w14:textId="77777777" w:rsidR="00836964" w:rsidRPr="005B0E5B" w:rsidRDefault="00836964" w:rsidP="00836964">
      <w:pPr>
        <w:rPr>
          <w:rFonts w:cs="Arial"/>
        </w:rPr>
      </w:pPr>
      <w:r w:rsidRPr="005B0E5B">
        <w:rPr>
          <w:rFonts w:cs="Arial"/>
        </w:rPr>
        <w:t>Durant la période de 07 jours, les services culturels peuvent être en droit de demander la suspension temporaire des travaux sur le site de la découverte ou à proximité pendant une période supplémentaire de 30 jours, par exemple. L’entreprise peut, mais pas nécessairement, prétendre à une indemnisation pour la période de suspension des travaux. L’entreprise peut être cependant être autorisée à signer avec les services responsables du patrimoine culturel un nouvel accord portant sur la fourniture de services ou de ressources supplémentaires durant cette période.</w:t>
      </w:r>
    </w:p>
    <w:p w14:paraId="166A8117" w14:textId="77777777" w:rsidR="00836964" w:rsidRDefault="00836964" w:rsidP="00EA3472">
      <w:pPr>
        <w:spacing w:after="0"/>
        <w:rPr>
          <w:rStyle w:val="Lienhypertexte"/>
          <w:noProof/>
          <w:color w:val="FF0000"/>
          <w:sz w:val="40"/>
          <w:szCs w:val="40"/>
        </w:rPr>
      </w:pPr>
    </w:p>
    <w:p w14:paraId="3F162D24" w14:textId="77777777" w:rsidR="00836964" w:rsidRDefault="00836964" w:rsidP="0095003D">
      <w:pPr>
        <w:spacing w:after="0"/>
        <w:ind w:left="0" w:firstLine="0"/>
        <w:rPr>
          <w:rStyle w:val="Lienhypertexte"/>
          <w:noProof/>
          <w:color w:val="FF0000"/>
          <w:sz w:val="40"/>
          <w:szCs w:val="40"/>
        </w:rPr>
      </w:pPr>
    </w:p>
    <w:p w14:paraId="50CE990A" w14:textId="77777777" w:rsidR="00836964" w:rsidRDefault="00836964" w:rsidP="00EA3472">
      <w:pPr>
        <w:spacing w:after="0"/>
        <w:rPr>
          <w:rStyle w:val="Lienhypertexte"/>
          <w:noProof/>
          <w:color w:val="FF0000"/>
          <w:sz w:val="40"/>
          <w:szCs w:val="40"/>
        </w:rPr>
      </w:pPr>
    </w:p>
    <w:p w14:paraId="1D3F3F82" w14:textId="77777777" w:rsidR="00D62C56" w:rsidRPr="00ED1413" w:rsidRDefault="00D62C56" w:rsidP="00D62C56">
      <w:pPr>
        <w:spacing w:after="0"/>
        <w:jc w:val="center"/>
        <w:rPr>
          <w:rStyle w:val="Lienhypertexte"/>
          <w:noProof/>
          <w:color w:val="auto"/>
          <w:sz w:val="32"/>
          <w:szCs w:val="32"/>
        </w:rPr>
      </w:pPr>
      <w:bookmarkStart w:id="690" w:name="_Toc49726553"/>
      <w:r w:rsidRPr="00ED1413">
        <w:rPr>
          <w:rStyle w:val="Lienhypertexte"/>
          <w:noProof/>
          <w:color w:val="auto"/>
          <w:sz w:val="32"/>
          <w:szCs w:val="32"/>
        </w:rPr>
        <w:t>MESURES DE GESTION ET ESTIMATION DES COUTS</w:t>
      </w:r>
      <w:bookmarkEnd w:id="690"/>
    </w:p>
    <w:p w14:paraId="1E742902" w14:textId="77777777" w:rsidR="00D62C56" w:rsidRPr="00E6699C" w:rsidRDefault="00D62C56" w:rsidP="00D62C56">
      <w:pPr>
        <w:spacing w:after="0" w:line="276" w:lineRule="auto"/>
        <w:contextualSpacing/>
        <w:rPr>
          <w:rFonts w:cs="Arial"/>
          <w:szCs w:val="24"/>
          <w:lang w:val="fr-CA"/>
        </w:rPr>
      </w:pPr>
      <w:r w:rsidRPr="00ED1413">
        <w:rPr>
          <w:rFonts w:cs="Arial"/>
          <w:szCs w:val="24"/>
          <w:lang w:val="fr-CA"/>
        </w:rPr>
        <w:t xml:space="preserve">À l’issue de l’analyse des impacts environnementaux et sociaux du projet, il s’avère nécessaire de </w:t>
      </w:r>
      <w:r w:rsidRPr="00E6699C">
        <w:rPr>
          <w:rFonts w:cs="Arial"/>
          <w:szCs w:val="24"/>
          <w:lang w:val="fr-CA"/>
        </w:rPr>
        <w:t>proposer des mesures environnementales et sociales et des programmes de surveillance et de suivi de mise en œuvre de ces mesures afin d’assurer la qualité du projet et son insertion dans l’environnement local. L’analyse des effets du projet et la planification de la gestion environnementale et sociale ci-après a été réalisée en sachant par expérience que :</w:t>
      </w:r>
    </w:p>
    <w:p w14:paraId="6955EFD7" w14:textId="39F79B2F" w:rsidR="00D62C56" w:rsidRPr="00E6699C" w:rsidRDefault="00D62C56" w:rsidP="0095003D">
      <w:pPr>
        <w:numPr>
          <w:ilvl w:val="0"/>
          <w:numId w:val="125"/>
        </w:numPr>
        <w:spacing w:after="0" w:line="276" w:lineRule="auto"/>
        <w:ind w:left="754" w:hanging="357"/>
        <w:contextualSpacing/>
        <w:rPr>
          <w:rFonts w:cs="Arial"/>
          <w:szCs w:val="24"/>
        </w:rPr>
      </w:pPr>
      <w:r w:rsidRPr="00E6699C">
        <w:rPr>
          <w:rFonts w:cs="Arial"/>
          <w:szCs w:val="24"/>
        </w:rPr>
        <w:t xml:space="preserve">certains impacts ont une forte rémanence dans le temps, leurs effets n’étant pas toujours limités à la durée des </w:t>
      </w:r>
      <w:r w:rsidR="00BF7A56" w:rsidRPr="00E6699C">
        <w:rPr>
          <w:rFonts w:cs="Arial"/>
          <w:szCs w:val="24"/>
        </w:rPr>
        <w:t>travaux ;</w:t>
      </w:r>
    </w:p>
    <w:p w14:paraId="20DEFB33" w14:textId="77777777" w:rsidR="00D62C56" w:rsidRPr="00E6699C" w:rsidRDefault="00D62C56" w:rsidP="0095003D">
      <w:pPr>
        <w:numPr>
          <w:ilvl w:val="0"/>
          <w:numId w:val="125"/>
        </w:numPr>
        <w:spacing w:after="0" w:line="276" w:lineRule="auto"/>
        <w:ind w:left="754" w:hanging="357"/>
        <w:contextualSpacing/>
        <w:rPr>
          <w:rFonts w:cs="Arial"/>
          <w:szCs w:val="24"/>
        </w:rPr>
      </w:pPr>
      <w:r w:rsidRPr="00E6699C">
        <w:rPr>
          <w:rFonts w:cs="Arial"/>
          <w:szCs w:val="24"/>
        </w:rPr>
        <w:t xml:space="preserve">les impacts couvrent une zone plus petite se limitant à la simple emprise du </w:t>
      </w:r>
      <w:proofErr w:type="gramStart"/>
      <w:r w:rsidRPr="00E6699C">
        <w:rPr>
          <w:rFonts w:cs="Arial"/>
          <w:szCs w:val="24"/>
        </w:rPr>
        <w:t>projet  ;</w:t>
      </w:r>
      <w:proofErr w:type="gramEnd"/>
    </w:p>
    <w:p w14:paraId="2557A32E" w14:textId="77777777" w:rsidR="00D62C56" w:rsidRPr="00E6699C" w:rsidRDefault="00D62C56" w:rsidP="0095003D">
      <w:pPr>
        <w:numPr>
          <w:ilvl w:val="0"/>
          <w:numId w:val="125"/>
        </w:numPr>
        <w:spacing w:after="0" w:line="276" w:lineRule="auto"/>
        <w:ind w:left="754" w:hanging="357"/>
        <w:contextualSpacing/>
        <w:rPr>
          <w:rFonts w:cs="Arial"/>
          <w:szCs w:val="24"/>
        </w:rPr>
      </w:pPr>
      <w:r w:rsidRPr="00E6699C">
        <w:rPr>
          <w:rFonts w:cs="Arial"/>
          <w:szCs w:val="24"/>
        </w:rPr>
        <w:t>les projets de cette envergure s’accompagnent de la création d’activités induites, elles-mêmes génératrices d’impacts.</w:t>
      </w:r>
    </w:p>
    <w:p w14:paraId="2E1BD269" w14:textId="77777777" w:rsidR="00D62C56" w:rsidRPr="00E6699C" w:rsidRDefault="00D62C56" w:rsidP="00D62C56">
      <w:pPr>
        <w:spacing w:after="0" w:line="276" w:lineRule="auto"/>
        <w:contextualSpacing/>
        <w:rPr>
          <w:rFonts w:cs="Arial"/>
          <w:szCs w:val="24"/>
          <w:lang w:val="fr-CA"/>
        </w:rPr>
      </w:pPr>
      <w:r w:rsidRPr="00E6699C">
        <w:rPr>
          <w:rFonts w:cs="Arial"/>
          <w:szCs w:val="24"/>
          <w:lang w:val="fr-CA"/>
        </w:rPr>
        <w:t xml:space="preserve">Les mesures de gestion seront élaborées dans le cadre d’un plan de gestion environnementale et sociale (PGES). Il faut le rappeler, l’objectif global du PGES est de mettre en œuvre les mesures d’annihilation, d’atténuation, de bonification, de compensation et suivi institutionnel requis afin de prévenir, réduire, annihiler, bonifier, voire compenser les effets et impacts des travaux et d’exploitation du projet prévu. </w:t>
      </w:r>
    </w:p>
    <w:p w14:paraId="7C63D08C" w14:textId="77777777" w:rsidR="00D62C56" w:rsidRPr="00E6699C" w:rsidRDefault="00D62C56" w:rsidP="00D62C56">
      <w:pPr>
        <w:spacing w:after="0" w:line="276" w:lineRule="auto"/>
        <w:contextualSpacing/>
        <w:rPr>
          <w:rFonts w:cs="Arial"/>
          <w:szCs w:val="24"/>
          <w:lang w:val="fr-CA"/>
        </w:rPr>
      </w:pPr>
      <w:r w:rsidRPr="00E6699C">
        <w:rPr>
          <w:rFonts w:cs="Arial"/>
          <w:szCs w:val="24"/>
          <w:lang w:val="fr-CA"/>
        </w:rPr>
        <w:t xml:space="preserve">Les impacts identifiés dans les chapitres précédents auront les effets positifs et négatifs sur les milieux biophysique et humain du projet. </w:t>
      </w:r>
    </w:p>
    <w:p w14:paraId="1C4472DD" w14:textId="77777777" w:rsidR="00D62C56" w:rsidRPr="00E6699C" w:rsidRDefault="00D62C56" w:rsidP="00D62C56">
      <w:pPr>
        <w:spacing w:after="0" w:line="276" w:lineRule="auto"/>
        <w:contextualSpacing/>
        <w:rPr>
          <w:rFonts w:cs="Arial"/>
          <w:szCs w:val="24"/>
          <w:lang w:val="fr-CA"/>
        </w:rPr>
      </w:pPr>
      <w:r w:rsidRPr="00E6699C">
        <w:rPr>
          <w:rFonts w:cs="Arial"/>
          <w:szCs w:val="24"/>
          <w:lang w:val="fr-CA"/>
        </w:rPr>
        <w:t xml:space="preserve">Comme les impacts du projet, les mesures tendant à atténuer et/ou éliminer les effets négatifs des travaux sur son environnement, peuvent intervenir pendant et après les travaux. Les activités de prévention des impacts négatifs du projet doivent figurer en bonne place. Leur mise en œuvre permettrait de réduire les risques d’effets négatifs des travaux notamment sur les populations riveraines.   </w:t>
      </w:r>
    </w:p>
    <w:p w14:paraId="08F74043" w14:textId="77777777" w:rsidR="00D62C56" w:rsidRPr="00E6699C" w:rsidRDefault="00D62C56" w:rsidP="00D62C56">
      <w:pPr>
        <w:spacing w:after="0" w:line="276" w:lineRule="auto"/>
        <w:contextualSpacing/>
        <w:rPr>
          <w:rFonts w:cs="Arial"/>
          <w:szCs w:val="24"/>
          <w:lang w:val="fr-CA"/>
        </w:rPr>
      </w:pPr>
      <w:r w:rsidRPr="00E6699C">
        <w:rPr>
          <w:rFonts w:cs="Arial"/>
          <w:szCs w:val="24"/>
          <w:lang w:val="fr-CA"/>
        </w:rPr>
        <w:t>Les meilleures techniques de construction et d’exploitation retenues seront celles qui préserveront au mieux l’environnement et le milieu humain, de réduire autant que faire se peut les diverses pollutions.</w:t>
      </w:r>
    </w:p>
    <w:p w14:paraId="1068F1C1" w14:textId="77777777" w:rsidR="00D62C56" w:rsidRPr="00E6699C" w:rsidRDefault="00D62C56" w:rsidP="00D62C56">
      <w:pPr>
        <w:rPr>
          <w:lang w:val="fr-CA"/>
        </w:rPr>
      </w:pPr>
    </w:p>
    <w:p w14:paraId="250F416C" w14:textId="77777777" w:rsidR="00D62C56" w:rsidRPr="00E6699C" w:rsidRDefault="00D62C56" w:rsidP="00D62C56">
      <w:pPr>
        <w:rPr>
          <w:b/>
        </w:rPr>
      </w:pPr>
      <w:r w:rsidRPr="00E6699C">
        <w:rPr>
          <w:b/>
        </w:rPr>
        <w:t>1 MESURES D’ATTÉNUATION, DE BONIFICATION ET DE COMPENSATION DES IMPACTS POTENTIELS DU PROJET</w:t>
      </w:r>
    </w:p>
    <w:p w14:paraId="554D8A93" w14:textId="58E5686B" w:rsidR="00D62C56" w:rsidRPr="00E6699C" w:rsidRDefault="00D62C56" w:rsidP="00D62C56">
      <w:pPr>
        <w:spacing w:after="0"/>
      </w:pPr>
      <w:r w:rsidRPr="00E6699C">
        <w:t xml:space="preserve">Les mesures d’atténuation visent à prévenir un impact négatif potentiel sur l’environnement ou à </w:t>
      </w:r>
      <w:r w:rsidR="009C0A23" w:rsidRPr="00E6699C">
        <w:t>minimiser son</w:t>
      </w:r>
      <w:r w:rsidRPr="00E6699C">
        <w:t xml:space="preserve"> importance. Les mesures de bonification ou d’optimisation ont pour objectif d’accroître le bénéfice des impacts positifs potentiels. Les mesures de compensation, qui peuvent être assimilées dans bien des cas aux mesures d’accompagnement du projet, sont quant à elles proposées en compensation d’un impact négatif qui ne peut être ni supprimé ni atténué.</w:t>
      </w:r>
    </w:p>
    <w:p w14:paraId="1ACA080A" w14:textId="77777777" w:rsidR="00D62C56" w:rsidRPr="00E6699C" w:rsidRDefault="00D62C56" w:rsidP="00D62C56">
      <w:pPr>
        <w:spacing w:after="0"/>
      </w:pPr>
    </w:p>
    <w:p w14:paraId="76D0EFBF" w14:textId="21BC1214" w:rsidR="00BF7A56" w:rsidRPr="0095003D" w:rsidRDefault="00BF7A56" w:rsidP="00BF7A56">
      <w:pPr>
        <w:pStyle w:val="Titre4"/>
        <w:numPr>
          <w:ilvl w:val="0"/>
          <w:numId w:val="0"/>
        </w:numPr>
        <w:ind w:left="360"/>
        <w:rPr>
          <w:b/>
          <w:bCs/>
          <w:u w:val="single"/>
          <w:lang w:val="fr-FR"/>
        </w:rPr>
      </w:pPr>
      <w:r w:rsidRPr="0095003D">
        <w:rPr>
          <w:b/>
          <w:bCs/>
          <w:u w:val="single"/>
          <w:lang w:val="fr-FR"/>
        </w:rPr>
        <w:t>Air :</w:t>
      </w:r>
    </w:p>
    <w:p w14:paraId="488A761C" w14:textId="77777777" w:rsidR="00BF7A56" w:rsidRPr="005B0E5B" w:rsidRDefault="00BF7A56" w:rsidP="00BF7A56">
      <w:r w:rsidRPr="005B0E5B">
        <w:rPr>
          <w:b/>
        </w:rPr>
        <w:t>1. Phase préparatoire</w:t>
      </w:r>
      <w:r w:rsidRPr="005B0E5B">
        <w:t xml:space="preserve"> </w:t>
      </w:r>
    </w:p>
    <w:p w14:paraId="31BE3109" w14:textId="609CA059" w:rsidR="00BF7A56" w:rsidRPr="005B0E5B" w:rsidRDefault="00BF7A56" w:rsidP="00BF7A56">
      <w:r w:rsidRPr="005B0E5B">
        <w:t xml:space="preserve">Durant la phase préparatoire des travaux d’aménagement du bas fond de </w:t>
      </w:r>
      <w:proofErr w:type="spellStart"/>
      <w:r w:rsidRPr="005B0E5B">
        <w:t>Kissakoro</w:t>
      </w:r>
      <w:proofErr w:type="spellEnd"/>
      <w:r w:rsidRPr="005B0E5B">
        <w:t xml:space="preserve"> sur 212 ha dans la commune de </w:t>
      </w:r>
      <w:proofErr w:type="spellStart"/>
      <w:r w:rsidRPr="005B0E5B">
        <w:t>Benkadi</w:t>
      </w:r>
      <w:proofErr w:type="spellEnd"/>
      <w:r w:rsidRPr="005B0E5B">
        <w:t xml:space="preserve">, l’air ambiant est le plus exposé. Sa qualité dépendra pour une grande partie de ce qui y sera rejeté. Pour atténuer l’envol des poussières et des fumées émanant des chantiers et leur concentration dans l’atmosphère les dispositions suivantes devront être observées : </w:t>
      </w:r>
    </w:p>
    <w:p w14:paraId="686BFDDC" w14:textId="77777777" w:rsidR="00BF7A56" w:rsidRPr="005B0E5B" w:rsidRDefault="00BF7A56" w:rsidP="0095003D">
      <w:pPr>
        <w:pStyle w:val="Paragraphedeliste"/>
        <w:numPr>
          <w:ilvl w:val="0"/>
          <w:numId w:val="128"/>
        </w:numPr>
        <w:spacing w:after="0" w:line="259" w:lineRule="auto"/>
      </w:pPr>
      <w:r w:rsidRPr="005B0E5B">
        <w:t xml:space="preserve">Respect strict des clauses techniques environnementales consignées dans le cahier des charges de l’entreprise sur l’arrosage périodique et compactage des voies, chantiers et zones d’emprunt. ; </w:t>
      </w:r>
    </w:p>
    <w:p w14:paraId="11F6DEBB" w14:textId="77777777" w:rsidR="00BF7A56" w:rsidRPr="005B0E5B" w:rsidRDefault="00BF7A56" w:rsidP="0095003D">
      <w:pPr>
        <w:pStyle w:val="Paragraphedeliste"/>
        <w:numPr>
          <w:ilvl w:val="0"/>
          <w:numId w:val="128"/>
        </w:numPr>
        <w:spacing w:after="0" w:line="259" w:lineRule="auto"/>
      </w:pPr>
      <w:r w:rsidRPr="005B0E5B">
        <w:t xml:space="preserve">Respect des normes de rejets de polluants dans l’air par les engins de terrassement et d’excavation et, les véhicules de chantiers et de transport d’une manière générale. Cette disposition émane du Décret n°01-397/P-RM du 06 septembre 2001 fixant les modalités de gestion des polluants de l’atmosphère. </w:t>
      </w:r>
    </w:p>
    <w:p w14:paraId="46CB5E6F" w14:textId="77777777" w:rsidR="00BF7A56" w:rsidRPr="005B0E5B" w:rsidRDefault="00BF7A56" w:rsidP="0095003D">
      <w:pPr>
        <w:pStyle w:val="Paragraphedeliste"/>
        <w:numPr>
          <w:ilvl w:val="0"/>
          <w:numId w:val="128"/>
        </w:numPr>
        <w:spacing w:after="0" w:line="259" w:lineRule="auto"/>
      </w:pPr>
      <w:r w:rsidRPr="005B0E5B">
        <w:t xml:space="preserve">Tous les engins et véhicules sur le chantier doivent être munis d’une visite technique à jour de validité, ce qui a l’avantage de réduire les taux de rejets du moteur ; </w:t>
      </w:r>
    </w:p>
    <w:p w14:paraId="02F2B280" w14:textId="77777777" w:rsidR="00BF7A56" w:rsidRPr="005B0E5B" w:rsidRDefault="00BF7A56" w:rsidP="0095003D">
      <w:pPr>
        <w:pStyle w:val="Paragraphedeliste"/>
        <w:numPr>
          <w:ilvl w:val="0"/>
          <w:numId w:val="128"/>
        </w:numPr>
        <w:spacing w:after="0" w:line="259" w:lineRule="auto"/>
      </w:pPr>
      <w:r w:rsidRPr="005B0E5B">
        <w:t xml:space="preserve">Usage des véhicules plus performants (moins de consommation de carburants) ; par ailleurs, les dispositions préventives suivantes seront respectées : limitation de vitesse dans la zone des chantiers ; </w:t>
      </w:r>
    </w:p>
    <w:p w14:paraId="33B69ABD" w14:textId="77777777" w:rsidR="00BF7A56" w:rsidRPr="005B0E5B" w:rsidRDefault="00BF7A56" w:rsidP="0095003D">
      <w:pPr>
        <w:pStyle w:val="Paragraphedeliste"/>
        <w:numPr>
          <w:ilvl w:val="0"/>
          <w:numId w:val="128"/>
        </w:numPr>
        <w:spacing w:after="0" w:line="259" w:lineRule="auto"/>
      </w:pPr>
      <w:r w:rsidRPr="005B0E5B">
        <w:t xml:space="preserve">Limitation de vitesse au niveau des déviations ; </w:t>
      </w:r>
    </w:p>
    <w:p w14:paraId="7F5B0E04" w14:textId="77777777" w:rsidR="00BF7A56" w:rsidRPr="005B0E5B" w:rsidRDefault="00BF7A56" w:rsidP="0095003D">
      <w:pPr>
        <w:pStyle w:val="Paragraphedeliste"/>
        <w:numPr>
          <w:ilvl w:val="0"/>
          <w:numId w:val="128"/>
        </w:numPr>
        <w:spacing w:after="0" w:line="259" w:lineRule="auto"/>
      </w:pPr>
      <w:r w:rsidRPr="005B0E5B">
        <w:t xml:space="preserve">Mise en place de ralentisseurs aux traversées des localités ; </w:t>
      </w:r>
    </w:p>
    <w:p w14:paraId="1A5377CD" w14:textId="0DD99741" w:rsidR="00BF7A56" w:rsidRDefault="00BF7A56" w:rsidP="0095003D">
      <w:pPr>
        <w:pStyle w:val="Paragraphedeliste"/>
        <w:numPr>
          <w:ilvl w:val="0"/>
          <w:numId w:val="128"/>
        </w:numPr>
        <w:spacing w:after="0" w:line="259" w:lineRule="auto"/>
      </w:pPr>
      <w:r w:rsidRPr="005B0E5B">
        <w:t xml:space="preserve">Limitation de vitesse dans les agglomérations. </w:t>
      </w:r>
    </w:p>
    <w:p w14:paraId="6F8C454E" w14:textId="77777777" w:rsidR="00BF7A56" w:rsidRPr="005B0E5B" w:rsidRDefault="00BF7A56" w:rsidP="00BF7A56">
      <w:pPr>
        <w:pStyle w:val="Paragraphedeliste"/>
        <w:spacing w:after="0" w:line="259" w:lineRule="auto"/>
        <w:ind w:firstLine="0"/>
      </w:pPr>
    </w:p>
    <w:p w14:paraId="0F27C3CD" w14:textId="77777777" w:rsidR="00BF7A56" w:rsidRPr="005B0E5B" w:rsidRDefault="00BF7A56" w:rsidP="00BF7A56">
      <w:pPr>
        <w:rPr>
          <w:b/>
        </w:rPr>
      </w:pPr>
      <w:r w:rsidRPr="005B0E5B">
        <w:rPr>
          <w:b/>
        </w:rPr>
        <w:t xml:space="preserve">2. Phase de construction </w:t>
      </w:r>
    </w:p>
    <w:p w14:paraId="286A4893" w14:textId="73C05C28" w:rsidR="00BF7A56" w:rsidRPr="005B0E5B" w:rsidRDefault="00BF7A56" w:rsidP="00BF7A56">
      <w:r w:rsidRPr="005B0E5B">
        <w:t xml:space="preserve">En considération des impacts énumérés, nous estimons que les mesures d’atténuation prises pour gérer la phase préparatoire sur l’air sont applicables aussi en phase construction. </w:t>
      </w:r>
    </w:p>
    <w:p w14:paraId="106EF46A" w14:textId="77777777" w:rsidR="00BF7A56" w:rsidRPr="005B0E5B" w:rsidRDefault="00BF7A56" w:rsidP="00BF7A56">
      <w:pPr>
        <w:rPr>
          <w:b/>
        </w:rPr>
      </w:pPr>
      <w:r w:rsidRPr="005B0E5B">
        <w:rPr>
          <w:b/>
        </w:rPr>
        <w:t xml:space="preserve">3. Phase d’exploitation </w:t>
      </w:r>
    </w:p>
    <w:p w14:paraId="11A096F4" w14:textId="573EBDBD" w:rsidR="00BF7A56" w:rsidRPr="005B0E5B" w:rsidRDefault="00BF7A56" w:rsidP="00BF7A56">
      <w:r w:rsidRPr="005B0E5B">
        <w:t xml:space="preserve">En phase d’exploitation les dispositions suivantes devront être exigées : </w:t>
      </w:r>
    </w:p>
    <w:p w14:paraId="58CBC171" w14:textId="77777777" w:rsidR="00BF7A56" w:rsidRPr="005B0E5B" w:rsidRDefault="00BF7A56" w:rsidP="0095003D">
      <w:pPr>
        <w:pStyle w:val="Paragraphedeliste"/>
        <w:numPr>
          <w:ilvl w:val="0"/>
          <w:numId w:val="129"/>
        </w:numPr>
        <w:spacing w:after="0" w:line="259" w:lineRule="auto"/>
      </w:pPr>
      <w:r w:rsidRPr="005B0E5B">
        <w:t xml:space="preserve">Mise en place de ralentisseurs aux traversées des localités ; </w:t>
      </w:r>
    </w:p>
    <w:p w14:paraId="1BC8EBBD" w14:textId="77777777" w:rsidR="00BF7A56" w:rsidRPr="005B0E5B" w:rsidRDefault="00BF7A56" w:rsidP="0095003D">
      <w:pPr>
        <w:pStyle w:val="Paragraphedeliste"/>
        <w:numPr>
          <w:ilvl w:val="0"/>
          <w:numId w:val="129"/>
        </w:numPr>
        <w:spacing w:after="0" w:line="259" w:lineRule="auto"/>
      </w:pPr>
      <w:r w:rsidRPr="005B0E5B">
        <w:t>Limitation de vitesse dans les agglomérations.</w:t>
      </w:r>
    </w:p>
    <w:p w14:paraId="0608636B" w14:textId="77777777" w:rsidR="00BF7A56" w:rsidRPr="005B0E5B" w:rsidRDefault="00BF7A56" w:rsidP="00BF7A56">
      <w:pPr>
        <w:spacing w:after="160"/>
        <w:jc w:val="left"/>
        <w:rPr>
          <w:b/>
        </w:rPr>
      </w:pPr>
    </w:p>
    <w:p w14:paraId="00E048E0" w14:textId="1D01F113" w:rsidR="00BF7A56" w:rsidRPr="0095003D" w:rsidRDefault="00BF7A56" w:rsidP="00BF7A56">
      <w:pPr>
        <w:pStyle w:val="Titre4"/>
        <w:numPr>
          <w:ilvl w:val="0"/>
          <w:numId w:val="0"/>
        </w:numPr>
        <w:rPr>
          <w:b/>
          <w:bCs/>
          <w:u w:val="single"/>
          <w:lang w:val="fr-FR"/>
        </w:rPr>
      </w:pPr>
      <w:r w:rsidRPr="0095003D">
        <w:rPr>
          <w:b/>
          <w:bCs/>
          <w:u w:val="single"/>
          <w:lang w:val="fr-FR"/>
        </w:rPr>
        <w:t>Ambiance sonore :</w:t>
      </w:r>
    </w:p>
    <w:p w14:paraId="3758589F" w14:textId="77777777" w:rsidR="00BF7A56" w:rsidRPr="005B0E5B" w:rsidRDefault="00BF7A56" w:rsidP="00BF7A56">
      <w:r w:rsidRPr="005B0E5B">
        <w:rPr>
          <w:b/>
        </w:rPr>
        <w:t>1. Phase préparatoire</w:t>
      </w:r>
      <w:r w:rsidRPr="005B0E5B">
        <w:t xml:space="preserve"> </w:t>
      </w:r>
    </w:p>
    <w:p w14:paraId="3D015306" w14:textId="02F293DD" w:rsidR="00BF7A56" w:rsidRPr="005B0E5B" w:rsidRDefault="00BF7A56" w:rsidP="00BF7A56">
      <w:r w:rsidRPr="005B0E5B">
        <w:t xml:space="preserve">Durant la phase préparatoire des travaux d’aménagement du bas fond de </w:t>
      </w:r>
      <w:proofErr w:type="spellStart"/>
      <w:r w:rsidRPr="005B0E5B">
        <w:t>Kissakoro</w:t>
      </w:r>
      <w:proofErr w:type="spellEnd"/>
      <w:r w:rsidRPr="005B0E5B">
        <w:t xml:space="preserve"> sur 212 ha dans la commune de </w:t>
      </w:r>
      <w:proofErr w:type="spellStart"/>
      <w:r w:rsidRPr="005B0E5B">
        <w:t>Benkadi</w:t>
      </w:r>
      <w:proofErr w:type="spellEnd"/>
      <w:r w:rsidRPr="005B0E5B">
        <w:t xml:space="preserve">, l’atmosphère </w:t>
      </w:r>
      <w:proofErr w:type="gramStart"/>
      <w:r w:rsidRPr="005B0E5B">
        <w:t>ambiant</w:t>
      </w:r>
      <w:proofErr w:type="gramEnd"/>
      <w:r w:rsidRPr="005B0E5B">
        <w:t xml:space="preserve"> est exposée. Sa qualité dépendra pour une grande partie des engins, machines, moteurs, etc. et leurs états qui y seront utilisés. Pour atténuer les productions de nuisances sonores émanant du chantier et leurs émissions dans l’atmosphère ambiante les dispositions suivantes devront être observées : </w:t>
      </w:r>
    </w:p>
    <w:p w14:paraId="76DAE152" w14:textId="77777777" w:rsidR="00BF7A56" w:rsidRPr="005B0E5B" w:rsidRDefault="00BF7A56" w:rsidP="0095003D">
      <w:pPr>
        <w:pStyle w:val="Paragraphedeliste"/>
        <w:numPr>
          <w:ilvl w:val="0"/>
          <w:numId w:val="128"/>
        </w:numPr>
        <w:spacing w:after="0" w:line="259" w:lineRule="auto"/>
      </w:pPr>
      <w:r w:rsidRPr="005B0E5B">
        <w:t xml:space="preserve">Respect des normes de rejets de polluants sonores dans l’environnement par les engins de terrassement/excavation et les véhicules de chantiers et de transport d’une manière générale. Cette disposition émane du décret N°01-396/P-RM du 06 Septembre 2001 fixant les modalités de gestion des polluants sonores. </w:t>
      </w:r>
    </w:p>
    <w:p w14:paraId="46030651" w14:textId="77777777" w:rsidR="00BF7A56" w:rsidRPr="005B0E5B" w:rsidRDefault="00BF7A56" w:rsidP="0095003D">
      <w:pPr>
        <w:pStyle w:val="Paragraphedeliste"/>
        <w:numPr>
          <w:ilvl w:val="0"/>
          <w:numId w:val="128"/>
        </w:numPr>
        <w:spacing w:after="0" w:line="259" w:lineRule="auto"/>
      </w:pPr>
      <w:r w:rsidRPr="005B0E5B">
        <w:t xml:space="preserve">Tous les engins et véhicules sur le chantier doivent suivre une ligne d’entretien régulier et être munis d’une fiche de visite technique à jour, ce qui a l’avantage de réduire les taux de production de bruits du moteur ; </w:t>
      </w:r>
    </w:p>
    <w:p w14:paraId="7D163141" w14:textId="77777777" w:rsidR="00BF7A56" w:rsidRPr="005B0E5B" w:rsidRDefault="00BF7A56" w:rsidP="0095003D">
      <w:pPr>
        <w:pStyle w:val="Paragraphedeliste"/>
        <w:numPr>
          <w:ilvl w:val="0"/>
          <w:numId w:val="128"/>
        </w:numPr>
        <w:spacing w:after="0" w:line="259" w:lineRule="auto"/>
      </w:pPr>
      <w:r w:rsidRPr="005B0E5B">
        <w:t xml:space="preserve">Eviter, quand cela n’est pas nécessaire, de ronfler ou de klaxonner au niveau des agglomérations. </w:t>
      </w:r>
    </w:p>
    <w:p w14:paraId="576C9707" w14:textId="77777777" w:rsidR="00BF7A56" w:rsidRPr="005B0E5B" w:rsidRDefault="00BF7A56" w:rsidP="00BF7A56"/>
    <w:p w14:paraId="7BEAD0AA" w14:textId="77777777" w:rsidR="00BF7A56" w:rsidRPr="005B0E5B" w:rsidRDefault="00BF7A56" w:rsidP="00BF7A56">
      <w:pPr>
        <w:rPr>
          <w:b/>
        </w:rPr>
      </w:pPr>
      <w:r w:rsidRPr="005B0E5B">
        <w:rPr>
          <w:b/>
        </w:rPr>
        <w:t xml:space="preserve">2. Phase de construction </w:t>
      </w:r>
    </w:p>
    <w:p w14:paraId="04261EAB" w14:textId="2F1F33F8" w:rsidR="00BF7A56" w:rsidRPr="005B0E5B" w:rsidRDefault="00BF7A56" w:rsidP="00BF7A56">
      <w:r w:rsidRPr="005B0E5B">
        <w:t xml:space="preserve">En considération des impacts énumérés ci-dessus, nous estimons que les mesures d’atténuation prises pour gérer la phase préparatoire sur l’ambiance sonore sont applicables aussi en phase construction. </w:t>
      </w:r>
    </w:p>
    <w:p w14:paraId="45733BB2" w14:textId="77777777" w:rsidR="00BF7A56" w:rsidRPr="005B0E5B" w:rsidRDefault="00BF7A56" w:rsidP="00BF7A56">
      <w:pPr>
        <w:rPr>
          <w:b/>
        </w:rPr>
      </w:pPr>
      <w:r w:rsidRPr="005B0E5B">
        <w:rPr>
          <w:b/>
        </w:rPr>
        <w:t xml:space="preserve">3. Phase d’exploitation </w:t>
      </w:r>
    </w:p>
    <w:p w14:paraId="70C5F0A1" w14:textId="77777777" w:rsidR="00BF7A56" w:rsidRPr="005B0E5B" w:rsidRDefault="00BF7A56" w:rsidP="00BF7A56">
      <w:r w:rsidRPr="005B0E5B">
        <w:t xml:space="preserve">En phase d’exploitation les dispositions suivantes devront être exigées : </w:t>
      </w:r>
    </w:p>
    <w:p w14:paraId="74AD4FF0" w14:textId="77777777" w:rsidR="00BF7A56" w:rsidRPr="005B0E5B" w:rsidRDefault="00BF7A56" w:rsidP="00BF7A56"/>
    <w:p w14:paraId="37E0A957" w14:textId="77777777" w:rsidR="00BF7A56" w:rsidRPr="005B0E5B" w:rsidRDefault="00BF7A56" w:rsidP="0095003D">
      <w:pPr>
        <w:pStyle w:val="Paragraphedeliste"/>
        <w:numPr>
          <w:ilvl w:val="0"/>
          <w:numId w:val="129"/>
        </w:numPr>
        <w:spacing w:after="0" w:line="259" w:lineRule="auto"/>
      </w:pPr>
      <w:r w:rsidRPr="005B0E5B">
        <w:t xml:space="preserve">Utiliser les engins pour les travaux d’entretien et les véhicules de chantiers et de transport bien entretenus et munis de fiches de visite technique à jour de validité ;  </w:t>
      </w:r>
    </w:p>
    <w:p w14:paraId="40CD51E3" w14:textId="77777777" w:rsidR="00BF7A56" w:rsidRPr="005B0E5B" w:rsidRDefault="00BF7A56" w:rsidP="0095003D">
      <w:pPr>
        <w:pStyle w:val="Paragraphedeliste"/>
        <w:numPr>
          <w:ilvl w:val="0"/>
          <w:numId w:val="129"/>
        </w:numPr>
        <w:spacing w:after="0" w:line="259" w:lineRule="auto"/>
      </w:pPr>
      <w:r w:rsidRPr="005B0E5B">
        <w:t xml:space="preserve">Concernant le bruit, il faut éviter, quand cela n’est pas nécessaire, de ronfler ou de klaxonner au niveau des agglomérations. </w:t>
      </w:r>
    </w:p>
    <w:p w14:paraId="1FCB3ECB" w14:textId="77777777" w:rsidR="00BF7A56" w:rsidRPr="005B0E5B" w:rsidRDefault="00BF7A56" w:rsidP="00BF7A56"/>
    <w:p w14:paraId="284E2F61" w14:textId="077650B3" w:rsidR="00BF7A56" w:rsidRPr="0095003D" w:rsidRDefault="00BF7A56" w:rsidP="00BF7A56">
      <w:pPr>
        <w:pStyle w:val="Titre4"/>
        <w:numPr>
          <w:ilvl w:val="0"/>
          <w:numId w:val="0"/>
        </w:numPr>
        <w:rPr>
          <w:b/>
          <w:bCs/>
          <w:u w:val="single"/>
          <w:lang w:val="fr-FR"/>
        </w:rPr>
      </w:pPr>
      <w:r w:rsidRPr="0095003D">
        <w:rPr>
          <w:b/>
          <w:bCs/>
          <w:u w:val="single"/>
          <w:lang w:val="fr-FR"/>
        </w:rPr>
        <w:t>Sols :</w:t>
      </w:r>
    </w:p>
    <w:p w14:paraId="5A7C5243" w14:textId="77777777" w:rsidR="00BF7A56" w:rsidRPr="005B0E5B" w:rsidRDefault="00BF7A56" w:rsidP="00BF7A56">
      <w:pPr>
        <w:rPr>
          <w:b/>
        </w:rPr>
      </w:pPr>
      <w:r w:rsidRPr="005B0E5B">
        <w:rPr>
          <w:b/>
        </w:rPr>
        <w:t xml:space="preserve">1. Phase préparatoire </w:t>
      </w:r>
    </w:p>
    <w:p w14:paraId="5A2C4ED7" w14:textId="269EF337" w:rsidR="00BF7A56" w:rsidRPr="00BF7A56" w:rsidRDefault="00BF7A56" w:rsidP="00BF7A56">
      <w:r w:rsidRPr="005B0E5B">
        <w:t xml:space="preserve">Un cahier des charges portant sur les clauses techniques environnementales inhérentes au sol sera imposé à l’entreprise. L’exploitation de chaque zone d’emprunt pour les travaux d’aménagement du bas fond de </w:t>
      </w:r>
      <w:proofErr w:type="spellStart"/>
      <w:r w:rsidRPr="005B0E5B">
        <w:t>Kissakoro</w:t>
      </w:r>
      <w:proofErr w:type="spellEnd"/>
      <w:r w:rsidRPr="005B0E5B">
        <w:t xml:space="preserve"> devra respecter les principes suivants : </w:t>
      </w:r>
    </w:p>
    <w:p w14:paraId="70D96924" w14:textId="77777777" w:rsidR="00BF7A56" w:rsidRPr="005B0E5B" w:rsidRDefault="00BF7A56" w:rsidP="0095003D">
      <w:pPr>
        <w:pStyle w:val="Paragraphedeliste"/>
        <w:numPr>
          <w:ilvl w:val="0"/>
          <w:numId w:val="130"/>
        </w:numPr>
        <w:spacing w:after="0" w:line="259" w:lineRule="auto"/>
      </w:pPr>
      <w:r w:rsidRPr="005B0E5B">
        <w:t xml:space="preserve">Choix approprié des zones d’emprunt ou des carrières qui répondent à des critères économiques et environnementales ; </w:t>
      </w:r>
    </w:p>
    <w:p w14:paraId="5FA37E84" w14:textId="77777777" w:rsidR="00BF7A56" w:rsidRPr="005B0E5B" w:rsidRDefault="00BF7A56" w:rsidP="0095003D">
      <w:pPr>
        <w:pStyle w:val="Paragraphedeliste"/>
        <w:numPr>
          <w:ilvl w:val="0"/>
          <w:numId w:val="130"/>
        </w:numPr>
        <w:spacing w:after="0" w:line="259" w:lineRule="auto"/>
      </w:pPr>
      <w:r w:rsidRPr="005B0E5B">
        <w:t xml:space="preserve">Choix judicieux et exploitation adéquate des carrières et des zones d’emprunts dans le souci de causer moins de dégradation du sol et de l’environnement en général par érosion ; </w:t>
      </w:r>
    </w:p>
    <w:p w14:paraId="1CE21651" w14:textId="5BC1342D" w:rsidR="00BF7A56" w:rsidRDefault="00BF7A56" w:rsidP="0095003D">
      <w:pPr>
        <w:pStyle w:val="Paragraphedeliste"/>
        <w:numPr>
          <w:ilvl w:val="0"/>
          <w:numId w:val="130"/>
        </w:numPr>
        <w:spacing w:after="0" w:line="259" w:lineRule="auto"/>
      </w:pPr>
      <w:r w:rsidRPr="005B0E5B">
        <w:t xml:space="preserve">Localisation sur carte des emprunts et carrières, des points de prélèvement d’eau dans le PGES chantier de l’entreprise en charge des travaux. </w:t>
      </w:r>
    </w:p>
    <w:p w14:paraId="1DFB8E66" w14:textId="77777777" w:rsidR="00BF7A56" w:rsidRPr="005B0E5B" w:rsidRDefault="00BF7A56" w:rsidP="00BF7A56">
      <w:pPr>
        <w:pStyle w:val="Paragraphedeliste"/>
        <w:spacing w:after="0" w:line="259" w:lineRule="auto"/>
        <w:ind w:firstLine="0"/>
      </w:pPr>
    </w:p>
    <w:p w14:paraId="246FB6F4" w14:textId="366F2FB1" w:rsidR="00BF7A56" w:rsidRPr="00BF7A56" w:rsidRDefault="00BF7A56" w:rsidP="00BF7A56">
      <w:pPr>
        <w:rPr>
          <w:b/>
        </w:rPr>
      </w:pPr>
      <w:r w:rsidRPr="005B0E5B">
        <w:rPr>
          <w:b/>
        </w:rPr>
        <w:t xml:space="preserve">2. Phase de construction </w:t>
      </w:r>
    </w:p>
    <w:p w14:paraId="6CCA8016" w14:textId="77777777" w:rsidR="00BF7A56" w:rsidRPr="005B0E5B" w:rsidRDefault="00BF7A56" w:rsidP="0095003D">
      <w:pPr>
        <w:pStyle w:val="Paragraphedeliste"/>
        <w:numPr>
          <w:ilvl w:val="0"/>
          <w:numId w:val="131"/>
        </w:numPr>
        <w:spacing w:after="0" w:line="259" w:lineRule="auto"/>
      </w:pPr>
      <w:r w:rsidRPr="005B0E5B">
        <w:t xml:space="preserve">Mesures contre l’imperméabilisation et le compactage du sol, préservation de terre cultivable et de la qualité du sol ; </w:t>
      </w:r>
    </w:p>
    <w:p w14:paraId="2FA0B6D7" w14:textId="77777777" w:rsidR="00BF7A56" w:rsidRPr="005B0E5B" w:rsidRDefault="00BF7A56" w:rsidP="0095003D">
      <w:pPr>
        <w:pStyle w:val="Paragraphedeliste"/>
        <w:numPr>
          <w:ilvl w:val="0"/>
          <w:numId w:val="131"/>
        </w:numPr>
        <w:spacing w:after="0" w:line="259" w:lineRule="auto"/>
      </w:pPr>
      <w:r w:rsidRPr="005B0E5B">
        <w:t xml:space="preserve">Respect de l’emprise des sites ; </w:t>
      </w:r>
    </w:p>
    <w:p w14:paraId="439330D8" w14:textId="77777777" w:rsidR="00BF7A56" w:rsidRPr="005B0E5B" w:rsidRDefault="00BF7A56" w:rsidP="0095003D">
      <w:pPr>
        <w:pStyle w:val="Paragraphedeliste"/>
        <w:numPr>
          <w:ilvl w:val="0"/>
          <w:numId w:val="131"/>
        </w:numPr>
        <w:spacing w:after="0" w:line="259" w:lineRule="auto"/>
      </w:pPr>
      <w:r w:rsidRPr="005B0E5B">
        <w:t xml:space="preserve">Respect strict des périmètres dans l’exploitation des zones d’emprunts. </w:t>
      </w:r>
    </w:p>
    <w:p w14:paraId="00C5A70A" w14:textId="77777777" w:rsidR="00BF7A56" w:rsidRPr="005B0E5B" w:rsidRDefault="00BF7A56" w:rsidP="0095003D">
      <w:pPr>
        <w:pStyle w:val="Paragraphedeliste"/>
        <w:numPr>
          <w:ilvl w:val="0"/>
          <w:numId w:val="131"/>
        </w:numPr>
        <w:spacing w:after="0" w:line="259" w:lineRule="auto"/>
      </w:pPr>
      <w:r w:rsidRPr="005B0E5B">
        <w:t xml:space="preserve">Remise en état de certaines zones d’emprunt, de carrières et de base de vie ; </w:t>
      </w:r>
    </w:p>
    <w:p w14:paraId="39A5D292" w14:textId="77777777" w:rsidR="00BF7A56" w:rsidRPr="005B0E5B" w:rsidRDefault="00BF7A56" w:rsidP="0095003D">
      <w:pPr>
        <w:pStyle w:val="Paragraphedeliste"/>
        <w:numPr>
          <w:ilvl w:val="0"/>
          <w:numId w:val="131"/>
        </w:numPr>
        <w:spacing w:after="0" w:line="259" w:lineRule="auto"/>
      </w:pPr>
      <w:r w:rsidRPr="005B0E5B">
        <w:t xml:space="preserve">Aménagement sur demande de la population de certains sites d’emprunt ou carrières en point d’eau temporaire pour les animaux sauvages et/ou domestiques ; </w:t>
      </w:r>
    </w:p>
    <w:p w14:paraId="298BFDC3" w14:textId="77777777" w:rsidR="00BF7A56" w:rsidRPr="005B0E5B" w:rsidRDefault="00BF7A56" w:rsidP="0095003D">
      <w:pPr>
        <w:pStyle w:val="Paragraphedeliste"/>
        <w:numPr>
          <w:ilvl w:val="0"/>
          <w:numId w:val="131"/>
        </w:numPr>
        <w:spacing w:after="0" w:line="259" w:lineRule="auto"/>
      </w:pPr>
      <w:r w:rsidRPr="005B0E5B">
        <w:t xml:space="preserve">Protection des ouvrages avec les dispositifs de lutte contre l’érosion hydrique ou éolienne ; </w:t>
      </w:r>
    </w:p>
    <w:p w14:paraId="7A92F528" w14:textId="77777777" w:rsidR="00BF7A56" w:rsidRPr="005B0E5B" w:rsidRDefault="00BF7A56" w:rsidP="00BF7A56"/>
    <w:p w14:paraId="72D3FF22" w14:textId="77777777" w:rsidR="00BF7A56" w:rsidRPr="005B0E5B" w:rsidRDefault="00BF7A56" w:rsidP="00BF7A56">
      <w:pPr>
        <w:rPr>
          <w:b/>
        </w:rPr>
      </w:pPr>
      <w:r w:rsidRPr="005B0E5B">
        <w:rPr>
          <w:b/>
        </w:rPr>
        <w:t xml:space="preserve">3. Phase d’exploitation </w:t>
      </w:r>
    </w:p>
    <w:p w14:paraId="0929B44F" w14:textId="4F9A1F40" w:rsidR="00BF7A56" w:rsidRPr="00BF7A56" w:rsidRDefault="00BF7A56" w:rsidP="00BF7A56">
      <w:r w:rsidRPr="005B0E5B">
        <w:t xml:space="preserve">La phase exploitation intervient après réception des travaux par le maître d’ouvrage à l’issue de la prise en compte des mesures de protection de sols comme évoquées ci-dessus. En matière de paysage, des mesures de reconstitution et ou d’amélioration de l’existant peuvent être prises : </w:t>
      </w:r>
    </w:p>
    <w:p w14:paraId="1FF6E26A" w14:textId="77777777" w:rsidR="00BF7A56" w:rsidRPr="005B0E5B" w:rsidRDefault="00BF7A56" w:rsidP="0095003D">
      <w:pPr>
        <w:pStyle w:val="Paragraphedeliste"/>
        <w:numPr>
          <w:ilvl w:val="0"/>
          <w:numId w:val="132"/>
        </w:numPr>
        <w:spacing w:after="0" w:line="259" w:lineRule="auto"/>
      </w:pPr>
      <w:r w:rsidRPr="005B0E5B">
        <w:t xml:space="preserve">Reconstitution du paysage à travers la réhabilitation après les travaux ; </w:t>
      </w:r>
    </w:p>
    <w:p w14:paraId="5D58BA52" w14:textId="77777777" w:rsidR="00BF7A56" w:rsidRPr="005B0E5B" w:rsidRDefault="00BF7A56" w:rsidP="0095003D">
      <w:pPr>
        <w:pStyle w:val="Paragraphedeliste"/>
        <w:numPr>
          <w:ilvl w:val="0"/>
          <w:numId w:val="132"/>
        </w:numPr>
        <w:spacing w:after="0" w:line="259" w:lineRule="auto"/>
      </w:pPr>
      <w:r w:rsidRPr="005B0E5B">
        <w:t xml:space="preserve">Plantation d’arbres des espèces rencontrées et suivant la localité ; </w:t>
      </w:r>
    </w:p>
    <w:p w14:paraId="2FF0D660" w14:textId="77777777" w:rsidR="00BF7A56" w:rsidRPr="005B0E5B" w:rsidRDefault="00BF7A56" w:rsidP="0095003D">
      <w:pPr>
        <w:pStyle w:val="Paragraphedeliste"/>
        <w:numPr>
          <w:ilvl w:val="0"/>
          <w:numId w:val="132"/>
        </w:numPr>
        <w:spacing w:after="0" w:line="259" w:lineRule="auto"/>
      </w:pPr>
      <w:r w:rsidRPr="005B0E5B">
        <w:t xml:space="preserve">Amélioration du paysage dégradé par de nouvelles plantations qui transformeront la vision et perception visuelle ; </w:t>
      </w:r>
    </w:p>
    <w:p w14:paraId="163CC782" w14:textId="0CE55982" w:rsidR="00BF7A56" w:rsidRDefault="00BF7A56" w:rsidP="0095003D">
      <w:pPr>
        <w:pStyle w:val="Paragraphedeliste"/>
        <w:numPr>
          <w:ilvl w:val="0"/>
          <w:numId w:val="132"/>
        </w:numPr>
        <w:spacing w:after="0" w:line="259" w:lineRule="auto"/>
      </w:pPr>
      <w:r w:rsidRPr="005B0E5B">
        <w:t xml:space="preserve">Plantation au niveau des emprunts et du village de </w:t>
      </w:r>
      <w:proofErr w:type="spellStart"/>
      <w:r w:rsidRPr="005B0E5B">
        <w:t>Kissakoro</w:t>
      </w:r>
      <w:proofErr w:type="spellEnd"/>
      <w:r w:rsidRPr="005B0E5B">
        <w:t xml:space="preserve">. </w:t>
      </w:r>
    </w:p>
    <w:p w14:paraId="55A77A2F" w14:textId="77777777" w:rsidR="00BF7A56" w:rsidRPr="005B0E5B" w:rsidRDefault="00BF7A56" w:rsidP="00BF7A56">
      <w:pPr>
        <w:pStyle w:val="Paragraphedeliste"/>
        <w:spacing w:after="0" w:line="259" w:lineRule="auto"/>
        <w:ind w:left="1080" w:firstLine="0"/>
      </w:pPr>
    </w:p>
    <w:p w14:paraId="0A1C0265" w14:textId="4FA53C1C" w:rsidR="00BF7A56" w:rsidRPr="00BF7A56" w:rsidRDefault="00BF7A56" w:rsidP="00BF7A56">
      <w:r w:rsidRPr="005B0E5B">
        <w:t xml:space="preserve">Dispositions particulières concernant les emprunts de matériaux : Les mesures restrictives ci-après relatives à la gestion des sites d’emprunts et de carrières devront être scrupuleusement respectées : </w:t>
      </w:r>
    </w:p>
    <w:p w14:paraId="6F948D2B" w14:textId="77777777" w:rsidR="00BF7A56" w:rsidRPr="005B0E5B" w:rsidRDefault="00BF7A56" w:rsidP="0095003D">
      <w:pPr>
        <w:pStyle w:val="Paragraphedeliste"/>
        <w:numPr>
          <w:ilvl w:val="0"/>
          <w:numId w:val="133"/>
        </w:numPr>
        <w:spacing w:after="0" w:line="259" w:lineRule="auto"/>
      </w:pPr>
      <w:r w:rsidRPr="005B0E5B">
        <w:t xml:space="preserve">Tout prélèvement de matériaux devra être subordonné à une autorisation de PARIIS et des autorités communales et matérialisé par un PV ; </w:t>
      </w:r>
    </w:p>
    <w:p w14:paraId="30F89878" w14:textId="77777777" w:rsidR="00BF7A56" w:rsidRPr="005B0E5B" w:rsidRDefault="00BF7A56" w:rsidP="0095003D">
      <w:pPr>
        <w:pStyle w:val="Paragraphedeliste"/>
        <w:numPr>
          <w:ilvl w:val="0"/>
          <w:numId w:val="133"/>
        </w:numPr>
        <w:spacing w:after="0" w:line="259" w:lineRule="auto"/>
      </w:pPr>
      <w:r w:rsidRPr="005B0E5B">
        <w:t xml:space="preserve">Choix des zones d’emprunt ou de carrières identifiées lors de l’étude géotechnique seront prioritairement utilisées pour le prélèvement des matériaux dans la zone du projet ; </w:t>
      </w:r>
    </w:p>
    <w:p w14:paraId="4BFDF229" w14:textId="77777777" w:rsidR="00BF7A56" w:rsidRPr="005B0E5B" w:rsidRDefault="00BF7A56" w:rsidP="0095003D">
      <w:pPr>
        <w:pStyle w:val="Paragraphedeliste"/>
        <w:numPr>
          <w:ilvl w:val="0"/>
          <w:numId w:val="133"/>
        </w:numPr>
        <w:spacing w:after="0" w:line="259" w:lineRule="auto"/>
      </w:pPr>
      <w:r w:rsidRPr="005B0E5B">
        <w:t xml:space="preserve">Tout nouveau site d’emprunt devra être soumis à validation par la MDC, les autorités locales et coutumières avec une évaluation environnementale préalable ; </w:t>
      </w:r>
    </w:p>
    <w:p w14:paraId="683FDC12" w14:textId="77777777" w:rsidR="00BF7A56" w:rsidRPr="005B0E5B" w:rsidRDefault="00BF7A56" w:rsidP="0095003D">
      <w:pPr>
        <w:pStyle w:val="Paragraphedeliste"/>
        <w:numPr>
          <w:ilvl w:val="0"/>
          <w:numId w:val="133"/>
        </w:numPr>
        <w:spacing w:after="0" w:line="259" w:lineRule="auto"/>
      </w:pPr>
      <w:r w:rsidRPr="005B0E5B">
        <w:t xml:space="preserve">Aucun emprunt ne sera créé à l’intérieur d’une zone appartenant au patrimoine culturel (site sacré et forêts), religieux (mosquée, église), ou reconnue d’utilité publique ; </w:t>
      </w:r>
    </w:p>
    <w:p w14:paraId="74EA7BD2" w14:textId="77777777" w:rsidR="00BF7A56" w:rsidRPr="005B0E5B" w:rsidRDefault="00BF7A56" w:rsidP="0095003D">
      <w:pPr>
        <w:pStyle w:val="Paragraphedeliste"/>
        <w:numPr>
          <w:ilvl w:val="0"/>
          <w:numId w:val="133"/>
        </w:numPr>
        <w:spacing w:after="0" w:line="259" w:lineRule="auto"/>
      </w:pPr>
      <w:r w:rsidRPr="005B0E5B">
        <w:t xml:space="preserve">Les nouveaux emprunts ne pourront être réalisés partout où les excavations pourront constituer des nuisances et/ou un danger pour les populations notamment à proximité des zones habitées et des lieux publics (école, marché, lieux de culte), d’une route nationale (à moins de 30 m de la route) et des zones d'intérêt archéologique, écologique, touristique, paysager ou culturel. </w:t>
      </w:r>
    </w:p>
    <w:p w14:paraId="629D2CF6" w14:textId="77777777" w:rsidR="00BF7A56" w:rsidRPr="005B0E5B" w:rsidRDefault="00BF7A56" w:rsidP="0095003D">
      <w:pPr>
        <w:pStyle w:val="Paragraphedeliste"/>
        <w:numPr>
          <w:ilvl w:val="0"/>
          <w:numId w:val="133"/>
        </w:numPr>
        <w:spacing w:after="0" w:line="259" w:lineRule="auto"/>
      </w:pPr>
      <w:r w:rsidRPr="005B0E5B">
        <w:t xml:space="preserve">L’aménagement des zones d’emprunt devra être réalisée afin de réduire les impacts liés à l'érosion des sols par la réalisation d’une couverture végétale appropriée : herbacée, arbustive ou/et arborée. Au besoin, des mesures de lutte contre l’érosion, seront mises en œuvre (cordons pierreux, demi-lune) pour réduire l’érosion et favoriser la recolonisation naturelle par la végétation après les travaux d’aménagement du bas fond de </w:t>
      </w:r>
      <w:proofErr w:type="spellStart"/>
      <w:r w:rsidRPr="005B0E5B">
        <w:t>Kissakoro</w:t>
      </w:r>
      <w:proofErr w:type="spellEnd"/>
      <w:r w:rsidRPr="005B0E5B">
        <w:t xml:space="preserve">. </w:t>
      </w:r>
    </w:p>
    <w:p w14:paraId="42D2B501" w14:textId="77777777" w:rsidR="00BF7A56" w:rsidRPr="005B0E5B" w:rsidRDefault="00BF7A56" w:rsidP="0095003D">
      <w:pPr>
        <w:pStyle w:val="Paragraphedeliste"/>
        <w:numPr>
          <w:ilvl w:val="0"/>
          <w:numId w:val="133"/>
        </w:numPr>
        <w:spacing w:after="0" w:line="259" w:lineRule="auto"/>
      </w:pPr>
      <w:r w:rsidRPr="005B0E5B">
        <w:t xml:space="preserve">Avant tout prélèvement, les horizons superficiels (terre arable) devront être prélevée et stockés dans de bonnes conditions afin d’être utilisés à la fin des travaux pour la remise en état des sites dégradés (zones d’emprunt, carrière, garages et base vie, etc.). </w:t>
      </w:r>
    </w:p>
    <w:p w14:paraId="2876C6D3" w14:textId="77777777" w:rsidR="00BF7A56" w:rsidRPr="005B0E5B" w:rsidRDefault="00BF7A56" w:rsidP="0095003D">
      <w:pPr>
        <w:pStyle w:val="Paragraphedeliste"/>
        <w:numPr>
          <w:ilvl w:val="0"/>
          <w:numId w:val="133"/>
        </w:numPr>
        <w:spacing w:after="0" w:line="259" w:lineRule="auto"/>
      </w:pPr>
      <w:r w:rsidRPr="005B0E5B">
        <w:t xml:space="preserve">Toutes les zones d’emprunt et de carrières exploitées seront remises en état après exploitation pour en restituer le plus possible la morphologie d’un milieu naturel en comblant les excavations et en restituant la terre végétale mise en réserve ; </w:t>
      </w:r>
    </w:p>
    <w:p w14:paraId="6FB64FDC" w14:textId="77777777" w:rsidR="00BF7A56" w:rsidRPr="005B0E5B" w:rsidRDefault="00BF7A56" w:rsidP="0095003D">
      <w:pPr>
        <w:pStyle w:val="Paragraphedeliste"/>
        <w:numPr>
          <w:ilvl w:val="0"/>
          <w:numId w:val="133"/>
        </w:numPr>
        <w:spacing w:after="0" w:line="259" w:lineRule="auto"/>
      </w:pPr>
      <w:r w:rsidRPr="005B0E5B">
        <w:t xml:space="preserve">Etalager la terre végétale préalablement stockée sur la surface en vue d’une </w:t>
      </w:r>
      <w:proofErr w:type="spellStart"/>
      <w:r w:rsidRPr="005B0E5B">
        <w:t>revégétalisation</w:t>
      </w:r>
      <w:proofErr w:type="spellEnd"/>
      <w:r w:rsidRPr="005B0E5B">
        <w:t xml:space="preserve"> des emprunts. </w:t>
      </w:r>
    </w:p>
    <w:p w14:paraId="4022A881" w14:textId="77777777" w:rsidR="00BF7A56" w:rsidRPr="005B0E5B" w:rsidRDefault="00BF7A56" w:rsidP="0095003D">
      <w:pPr>
        <w:pStyle w:val="Paragraphedeliste"/>
        <w:numPr>
          <w:ilvl w:val="0"/>
          <w:numId w:val="133"/>
        </w:numPr>
        <w:spacing w:after="0" w:line="259" w:lineRule="auto"/>
      </w:pPr>
      <w:r w:rsidRPr="005B0E5B">
        <w:t xml:space="preserve">Transformer les emprunts en point d’eau sur la demande des populations riveraines, avec adoucissement des rampes d’accès et des plantations de compensation. </w:t>
      </w:r>
    </w:p>
    <w:p w14:paraId="0CA720D4" w14:textId="77777777" w:rsidR="00BF7A56" w:rsidRPr="005B0E5B" w:rsidRDefault="00BF7A56" w:rsidP="0095003D">
      <w:pPr>
        <w:pStyle w:val="Paragraphedeliste"/>
        <w:numPr>
          <w:ilvl w:val="0"/>
          <w:numId w:val="133"/>
        </w:numPr>
        <w:spacing w:after="0" w:line="259" w:lineRule="auto"/>
      </w:pPr>
      <w:r w:rsidRPr="005B0E5B">
        <w:t xml:space="preserve">Assainir par l’enlèvement à la fin des travaux, de tous les objets et déchets issus du chantier. </w:t>
      </w:r>
    </w:p>
    <w:p w14:paraId="02A30ED4" w14:textId="77777777" w:rsidR="00BF7A56" w:rsidRPr="005B0E5B" w:rsidRDefault="00BF7A56" w:rsidP="00BF7A56">
      <w:pPr>
        <w:rPr>
          <w:sz w:val="12"/>
        </w:rPr>
      </w:pPr>
    </w:p>
    <w:p w14:paraId="7B7E71E8" w14:textId="0655B68E" w:rsidR="00BF7A56" w:rsidRPr="005B0E5B" w:rsidRDefault="00BF7A56" w:rsidP="00BF7A56">
      <w:r w:rsidRPr="005B0E5B">
        <w:t xml:space="preserve">En somme, il sera mis en place des dispositifs de collecte et d’évacuation des déchets solides et liquides. Les zones d’emprunt et de carrières exploitées seront remises en état après exploitation. </w:t>
      </w:r>
    </w:p>
    <w:p w14:paraId="3CE4D2E8" w14:textId="0604EF1C" w:rsidR="00BF7A56" w:rsidRPr="0095003D" w:rsidRDefault="00BF7A56" w:rsidP="00BF7A56">
      <w:pPr>
        <w:pStyle w:val="Titre4"/>
        <w:numPr>
          <w:ilvl w:val="0"/>
          <w:numId w:val="0"/>
        </w:numPr>
        <w:rPr>
          <w:b/>
          <w:bCs/>
          <w:u w:val="single"/>
          <w:lang w:val="fr-FR"/>
        </w:rPr>
      </w:pPr>
      <w:r w:rsidRPr="0095003D">
        <w:rPr>
          <w:b/>
          <w:bCs/>
          <w:u w:val="single"/>
          <w:lang w:val="fr-FR"/>
        </w:rPr>
        <w:t>Eaux de surface:</w:t>
      </w:r>
    </w:p>
    <w:p w14:paraId="7AE92EE5" w14:textId="51CDFF8B" w:rsidR="00BF7A56" w:rsidRPr="005B0E5B" w:rsidRDefault="00BF7A56" w:rsidP="00BF7A56">
      <w:r w:rsidRPr="005B0E5B">
        <w:t xml:space="preserve">L’entreprise exploitera les points d’eau existants dans la zone du projet, des points d’eau de surface aussi bien permanents que temporaires existants. </w:t>
      </w:r>
    </w:p>
    <w:p w14:paraId="7974D56C" w14:textId="21490D9A" w:rsidR="00BF7A56" w:rsidRPr="005B0E5B" w:rsidRDefault="00BF7A56" w:rsidP="00BF7A56">
      <w:r w:rsidRPr="005B0E5B">
        <w:t xml:space="preserve">La seule eau de surface permanente présente dans la zone du projet est le Bagoé, qui constitue le principal point d’eau. Compte tenu du caractère multifonctionnel de ce plan d’eau, il est recommandé un peu plus d’égards et de responsabilités dans l’exploitation pour éviter de polluer cette ressource qui est précieuse. </w:t>
      </w:r>
    </w:p>
    <w:p w14:paraId="122C7AA3" w14:textId="77777777" w:rsidR="00BF7A56" w:rsidRPr="005B0E5B" w:rsidRDefault="00BF7A56" w:rsidP="00BF7A56">
      <w:pPr>
        <w:rPr>
          <w:b/>
        </w:rPr>
      </w:pPr>
      <w:r w:rsidRPr="005B0E5B">
        <w:rPr>
          <w:b/>
        </w:rPr>
        <w:t xml:space="preserve">1. Phase préparatoire </w:t>
      </w:r>
    </w:p>
    <w:p w14:paraId="1AFA46A2" w14:textId="0A9B8046" w:rsidR="00BF7A56" w:rsidRPr="005B0E5B" w:rsidRDefault="00BF7A56" w:rsidP="00BF7A56">
      <w:r w:rsidRPr="005B0E5B">
        <w:t>Pour minimiser le risque de pollution de la seule eau de surface permanente avec le carburant et les huiles des engins lourds de terrassement, un cahier des charges imposera la collecte obligatoire des huiles de vidange, pour un recyclage et réutilisation ultérieure. Les déchets solides et liquides générés par le chantier feront l’objet d’une gestion adéquate édictée par le cahier des charges.</w:t>
      </w:r>
    </w:p>
    <w:p w14:paraId="0E7462C9" w14:textId="77777777" w:rsidR="00BF7A56" w:rsidRPr="005B0E5B" w:rsidRDefault="00BF7A56" w:rsidP="00BF7A56">
      <w:pPr>
        <w:rPr>
          <w:b/>
        </w:rPr>
      </w:pPr>
      <w:r w:rsidRPr="005B0E5B">
        <w:rPr>
          <w:b/>
        </w:rPr>
        <w:t xml:space="preserve">2. Phase de construction </w:t>
      </w:r>
    </w:p>
    <w:p w14:paraId="3A91DEEB" w14:textId="063CA32E" w:rsidR="00BF7A56" w:rsidRPr="005B0E5B" w:rsidRDefault="00BF7A56" w:rsidP="00BF7A56">
      <w:r w:rsidRPr="005B0E5B">
        <w:t xml:space="preserve">Une partie des huiles usées pourra être récupérée sous contrôle pour être valorisée par les structures habilitées et par les populations dans le domaine de lutte contre les insectes nuisibles des bois d’œuvre et de service. Les points de prélèvements d’eau par pompage pour le chantier au niveau des divers plans et retenues seront aménagés pour circonscrire les pollutions par les déversements des hydrocarbures et des lubrifiants. Une plateforme capable de circonscrire les cas de pollution sera aménagée pour abriter les pompes. Une distance minimale variant entre 15 à 20m devra séparer la plateforme du point de prélèvement de l’eau. </w:t>
      </w:r>
    </w:p>
    <w:p w14:paraId="0921B63D" w14:textId="77777777" w:rsidR="00BF7A56" w:rsidRPr="005B0E5B" w:rsidRDefault="00BF7A56" w:rsidP="00BF7A56">
      <w:pPr>
        <w:rPr>
          <w:b/>
        </w:rPr>
      </w:pPr>
      <w:r w:rsidRPr="005B0E5B">
        <w:rPr>
          <w:b/>
        </w:rPr>
        <w:t xml:space="preserve">3. Phase d’exploitation </w:t>
      </w:r>
    </w:p>
    <w:p w14:paraId="0B46E3B2" w14:textId="5F4CD27B" w:rsidR="00BF7A56" w:rsidRPr="005B0E5B" w:rsidRDefault="00BF7A56" w:rsidP="00BF7A56">
      <w:r w:rsidRPr="005B0E5B">
        <w:t xml:space="preserve">En phase d’exploitation du bas fond aménagé, il n’existe aucune concurrence dans les prélèvements d’eau avec les populations riveraines. </w:t>
      </w:r>
    </w:p>
    <w:p w14:paraId="3999ED05" w14:textId="1A30F083" w:rsidR="00BF7A56" w:rsidRPr="0095003D" w:rsidRDefault="00BF7A56" w:rsidP="00BF7A56">
      <w:pPr>
        <w:pStyle w:val="Titre3"/>
        <w:ind w:left="0" w:firstLine="0"/>
        <w:rPr>
          <w:b/>
          <w:bCs/>
          <w:u w:val="single"/>
          <w:lang w:val="fr-FR"/>
        </w:rPr>
      </w:pPr>
      <w:bookmarkStart w:id="691" w:name="_Toc77182374"/>
      <w:r w:rsidRPr="0095003D">
        <w:rPr>
          <w:b/>
          <w:bCs/>
          <w:u w:val="single"/>
          <w:lang w:val="fr-FR"/>
        </w:rPr>
        <w:t xml:space="preserve">Milieu </w:t>
      </w:r>
      <w:bookmarkEnd w:id="691"/>
      <w:r w:rsidR="006B3F77" w:rsidRPr="0095003D">
        <w:rPr>
          <w:b/>
          <w:bCs/>
          <w:u w:val="single"/>
          <w:lang w:val="fr-FR"/>
        </w:rPr>
        <w:t>biologique:</w:t>
      </w:r>
    </w:p>
    <w:p w14:paraId="6126ABFC" w14:textId="77777777" w:rsidR="00BF7A56" w:rsidRPr="005B0E5B" w:rsidRDefault="00BF7A56" w:rsidP="00BF7A56">
      <w:pPr>
        <w:rPr>
          <w:b/>
        </w:rPr>
      </w:pPr>
    </w:p>
    <w:p w14:paraId="23A0D437" w14:textId="1C0A204E" w:rsidR="00BF7A56" w:rsidRPr="00BF7A56" w:rsidRDefault="00BF7A56" w:rsidP="00BF7A56">
      <w:pPr>
        <w:pStyle w:val="Titre4"/>
        <w:numPr>
          <w:ilvl w:val="0"/>
          <w:numId w:val="0"/>
        </w:numPr>
        <w:rPr>
          <w:u w:val="single"/>
          <w:lang w:val="fr-FR"/>
        </w:rPr>
      </w:pPr>
      <w:r w:rsidRPr="0095003D">
        <w:rPr>
          <w:b/>
          <w:bCs/>
          <w:u w:val="single"/>
          <w:lang w:val="fr-FR"/>
        </w:rPr>
        <w:t>Flore:</w:t>
      </w:r>
      <w:r w:rsidRPr="00BF7A56">
        <w:rPr>
          <w:u w:val="single"/>
          <w:lang w:val="fr-FR"/>
        </w:rPr>
        <w:t xml:space="preserve"> </w:t>
      </w:r>
    </w:p>
    <w:p w14:paraId="727216D5" w14:textId="7CB51F16" w:rsidR="00BF7A56" w:rsidRPr="005B0E5B" w:rsidRDefault="00BF7A56" w:rsidP="00BF7A56">
      <w:r w:rsidRPr="005B0E5B">
        <w:t xml:space="preserve">Les dispositions écologiques ont été retenues afin que le projet soit en conformité avec le texte juridique de protection de l’environnement. Les mesures de protection du couvert végétal prises durant les travaux consisteront entre autres à : </w:t>
      </w:r>
    </w:p>
    <w:p w14:paraId="240857CF" w14:textId="4B768B39" w:rsidR="00BF7A56" w:rsidRPr="00BF7A56" w:rsidRDefault="00BF7A56" w:rsidP="00BF7A56">
      <w:pPr>
        <w:rPr>
          <w:b/>
        </w:rPr>
      </w:pPr>
      <w:r w:rsidRPr="005B0E5B">
        <w:rPr>
          <w:b/>
        </w:rPr>
        <w:t>1. Phase préparatoire</w:t>
      </w:r>
      <w:r w:rsidRPr="005B0E5B">
        <w:t xml:space="preserve"> </w:t>
      </w:r>
    </w:p>
    <w:p w14:paraId="6F1D76AA" w14:textId="77777777" w:rsidR="00BF7A56" w:rsidRPr="005B0E5B" w:rsidRDefault="00BF7A56" w:rsidP="0095003D">
      <w:pPr>
        <w:pStyle w:val="Paragraphedeliste"/>
        <w:numPr>
          <w:ilvl w:val="0"/>
          <w:numId w:val="134"/>
        </w:numPr>
        <w:spacing w:after="0" w:line="259" w:lineRule="auto"/>
      </w:pPr>
      <w:r w:rsidRPr="005B0E5B">
        <w:t xml:space="preserve">Eviter les tracés des routes et pistes dans les zones de diversité biologique (zone d'inondation), les cimetières, les sites historiques et les sites culturels (lieux de sacrifice, de prière, etc.) pour accéder aux emprunts de matériaux et aux stations de prélèvement de l'eau pour les travaux, </w:t>
      </w:r>
    </w:p>
    <w:p w14:paraId="585E4920" w14:textId="77777777" w:rsidR="00BF7A56" w:rsidRPr="005B0E5B" w:rsidRDefault="00BF7A56" w:rsidP="0095003D">
      <w:pPr>
        <w:pStyle w:val="Paragraphedeliste"/>
        <w:numPr>
          <w:ilvl w:val="0"/>
          <w:numId w:val="134"/>
        </w:numPr>
        <w:spacing w:after="0" w:line="259" w:lineRule="auto"/>
      </w:pPr>
      <w:r w:rsidRPr="005B0E5B">
        <w:t xml:space="preserve">Installer la base vie et les parkings de stationnement des engins sur les zones dégagées de toutes végétations (notamment les clairières), </w:t>
      </w:r>
    </w:p>
    <w:p w14:paraId="2DBF8526" w14:textId="1325B6A8" w:rsidR="00BF7A56" w:rsidRDefault="00BF7A56" w:rsidP="0095003D">
      <w:pPr>
        <w:pStyle w:val="Paragraphedeliste"/>
        <w:numPr>
          <w:ilvl w:val="0"/>
          <w:numId w:val="134"/>
        </w:numPr>
        <w:spacing w:after="0" w:line="259" w:lineRule="auto"/>
      </w:pPr>
      <w:r w:rsidRPr="005B0E5B">
        <w:t xml:space="preserve">Abattage sélectif des arbres quand cela est possible. </w:t>
      </w:r>
    </w:p>
    <w:p w14:paraId="28DCFF8F" w14:textId="77777777" w:rsidR="00BF7A56" w:rsidRPr="00BF7A56" w:rsidRDefault="00BF7A56" w:rsidP="00BF7A56">
      <w:pPr>
        <w:pStyle w:val="Paragraphedeliste"/>
        <w:spacing w:after="0" w:line="259" w:lineRule="auto"/>
        <w:ind w:firstLine="0"/>
      </w:pPr>
    </w:p>
    <w:p w14:paraId="3C093AA5" w14:textId="45F35632" w:rsidR="00BF7A56" w:rsidRPr="00BF7A56" w:rsidRDefault="00BF7A56" w:rsidP="00BF7A56">
      <w:pPr>
        <w:rPr>
          <w:b/>
        </w:rPr>
      </w:pPr>
      <w:r w:rsidRPr="005B0E5B">
        <w:rPr>
          <w:b/>
        </w:rPr>
        <w:t xml:space="preserve">2. Phase de construction </w:t>
      </w:r>
    </w:p>
    <w:p w14:paraId="491B9BE4" w14:textId="77777777" w:rsidR="00BF7A56" w:rsidRPr="005B0E5B" w:rsidRDefault="00BF7A56" w:rsidP="0095003D">
      <w:pPr>
        <w:pStyle w:val="Paragraphedeliste"/>
        <w:numPr>
          <w:ilvl w:val="0"/>
          <w:numId w:val="134"/>
        </w:numPr>
        <w:spacing w:after="0" w:line="259" w:lineRule="auto"/>
      </w:pPr>
      <w:r w:rsidRPr="005B0E5B">
        <w:t xml:space="preserve">Opter pour l'abattage sélectif des arbres ; </w:t>
      </w:r>
    </w:p>
    <w:p w14:paraId="43384C66" w14:textId="77777777" w:rsidR="00BF7A56" w:rsidRPr="005B0E5B" w:rsidRDefault="00BF7A56" w:rsidP="0095003D">
      <w:pPr>
        <w:pStyle w:val="Paragraphedeliste"/>
        <w:numPr>
          <w:ilvl w:val="0"/>
          <w:numId w:val="134"/>
        </w:numPr>
        <w:spacing w:after="0" w:line="259" w:lineRule="auto"/>
      </w:pPr>
      <w:r w:rsidRPr="005B0E5B">
        <w:t xml:space="preserve">Disposer soigneusement les terres de dépôt afin d'éviter de détruire les espaces végétales ligneuses, </w:t>
      </w:r>
    </w:p>
    <w:p w14:paraId="61D7C556" w14:textId="77777777" w:rsidR="00BF7A56" w:rsidRPr="005B0E5B" w:rsidRDefault="00BF7A56" w:rsidP="0095003D">
      <w:pPr>
        <w:pStyle w:val="Paragraphedeliste"/>
        <w:numPr>
          <w:ilvl w:val="0"/>
          <w:numId w:val="134"/>
        </w:numPr>
        <w:spacing w:after="0" w:line="259" w:lineRule="auto"/>
      </w:pPr>
      <w:r w:rsidRPr="005B0E5B">
        <w:t xml:space="preserve">Eviter l'ouverture incontrôlée de pistes pour l'approvisionnement des matériaux (multiplication des pistes accès) quand une même piste peut être utilisée à plusieurs fins. </w:t>
      </w:r>
    </w:p>
    <w:p w14:paraId="2DBA5DBE" w14:textId="77777777" w:rsidR="00BF7A56" w:rsidRPr="005B0E5B" w:rsidRDefault="00BF7A56" w:rsidP="0095003D">
      <w:pPr>
        <w:pStyle w:val="Paragraphedeliste"/>
        <w:numPr>
          <w:ilvl w:val="0"/>
          <w:numId w:val="134"/>
        </w:numPr>
        <w:spacing w:after="0" w:line="259" w:lineRule="auto"/>
      </w:pPr>
      <w:r w:rsidRPr="005B0E5B">
        <w:t xml:space="preserve">Interdire strictement la coupe et le transport du bois avec les camions de chantier. </w:t>
      </w:r>
    </w:p>
    <w:p w14:paraId="61AB1245" w14:textId="77777777" w:rsidR="00BF7A56" w:rsidRPr="005B0E5B" w:rsidRDefault="00BF7A56" w:rsidP="0095003D">
      <w:pPr>
        <w:pStyle w:val="Paragraphedeliste"/>
        <w:numPr>
          <w:ilvl w:val="0"/>
          <w:numId w:val="134"/>
        </w:numPr>
        <w:spacing w:after="0" w:line="259" w:lineRule="auto"/>
      </w:pPr>
      <w:r w:rsidRPr="005B0E5B">
        <w:t xml:space="preserve">Compenser les arbres abattus par des plantations au niveau du village de </w:t>
      </w:r>
      <w:proofErr w:type="spellStart"/>
      <w:r w:rsidRPr="005B0E5B">
        <w:t>Kissakoro</w:t>
      </w:r>
      <w:proofErr w:type="spellEnd"/>
      <w:r w:rsidRPr="005B0E5B">
        <w:t xml:space="preserve"> et des emprunts / carrières utilisés par le projet en orientant le choix des espèces. </w:t>
      </w:r>
    </w:p>
    <w:p w14:paraId="7AE8CF82" w14:textId="77777777" w:rsidR="00BF7A56" w:rsidRPr="005B0E5B" w:rsidRDefault="00BF7A56" w:rsidP="00BF7A56"/>
    <w:p w14:paraId="506DA463" w14:textId="77777777" w:rsidR="00BF7A56" w:rsidRPr="005B0E5B" w:rsidRDefault="00BF7A56" w:rsidP="00BF7A56">
      <w:pPr>
        <w:rPr>
          <w:b/>
        </w:rPr>
      </w:pPr>
      <w:r w:rsidRPr="005B0E5B">
        <w:rPr>
          <w:b/>
        </w:rPr>
        <w:t xml:space="preserve">3. Phase d’exploitation </w:t>
      </w:r>
    </w:p>
    <w:p w14:paraId="06F329C4" w14:textId="4144D117" w:rsidR="00BF7A56" w:rsidRPr="005B0E5B" w:rsidRDefault="00BF7A56" w:rsidP="00BF7A56">
      <w:r w:rsidRPr="005B0E5B">
        <w:t xml:space="preserve">En phase exploitation du bas fond, susciter la protection des plants mis en terre par l’ensemble des populations riveraines et par les usagers. </w:t>
      </w:r>
    </w:p>
    <w:p w14:paraId="39960278" w14:textId="77777777" w:rsidR="00BF7A56" w:rsidRPr="005B0E5B" w:rsidRDefault="00BF7A56" w:rsidP="00BF7A56">
      <w:r w:rsidRPr="005B0E5B">
        <w:t xml:space="preserve">Cas spécifique des plantations compensatoires : En raison du taux de suivi des jeunes plants à mettre en terre, la plantation compensatoire sur deux (02) hectares se fera au niveau du village de </w:t>
      </w:r>
      <w:proofErr w:type="spellStart"/>
      <w:r w:rsidRPr="005B0E5B">
        <w:t>Kissakoro</w:t>
      </w:r>
      <w:proofErr w:type="spellEnd"/>
      <w:r w:rsidRPr="005B0E5B">
        <w:t xml:space="preserve"> et les emprunts / carrières utilisés par le projet. Le choix des arbres à produire ou à acheter se portera sur les espèces autochtones adaptées.  </w:t>
      </w:r>
    </w:p>
    <w:p w14:paraId="7CDD0ABE" w14:textId="70793B96" w:rsidR="00BF7A56" w:rsidRPr="00BF7A56" w:rsidRDefault="007218DF" w:rsidP="00BF7A56">
      <w:pPr>
        <w:pStyle w:val="Titre4"/>
        <w:numPr>
          <w:ilvl w:val="0"/>
          <w:numId w:val="0"/>
        </w:numPr>
        <w:rPr>
          <w:lang w:val="fr-FR"/>
        </w:rPr>
      </w:pPr>
      <w:r w:rsidRPr="0095003D">
        <w:rPr>
          <w:b/>
          <w:bCs/>
          <w:u w:val="single"/>
          <w:lang w:val="fr-FR"/>
        </w:rPr>
        <w:t>Faune:</w:t>
      </w:r>
      <w:r w:rsidR="00BF7A56" w:rsidRPr="00BF7A56">
        <w:rPr>
          <w:lang w:val="fr-FR"/>
        </w:rPr>
        <w:t xml:space="preserve"> </w:t>
      </w:r>
    </w:p>
    <w:p w14:paraId="51A3AAE3" w14:textId="452529B3" w:rsidR="00BF7A56" w:rsidRPr="005B0E5B" w:rsidRDefault="00BF7A56" w:rsidP="007218DF">
      <w:r w:rsidRPr="005B0E5B">
        <w:t xml:space="preserve">Les mesures d’atténuation des impacts sur la faune se résument ainsi qu’il suit : </w:t>
      </w:r>
    </w:p>
    <w:p w14:paraId="35C7AE7B" w14:textId="3DBD9A7C" w:rsidR="00BF7A56" w:rsidRPr="007218DF" w:rsidRDefault="00BF7A56" w:rsidP="007218DF">
      <w:pPr>
        <w:rPr>
          <w:b/>
        </w:rPr>
      </w:pPr>
      <w:r w:rsidRPr="005B0E5B">
        <w:rPr>
          <w:b/>
        </w:rPr>
        <w:t xml:space="preserve">1. Phase préparatoire </w:t>
      </w:r>
    </w:p>
    <w:p w14:paraId="487D759B" w14:textId="77777777" w:rsidR="00BF7A56" w:rsidRPr="005B0E5B" w:rsidRDefault="00BF7A56" w:rsidP="0095003D">
      <w:pPr>
        <w:pStyle w:val="Paragraphedeliste"/>
        <w:numPr>
          <w:ilvl w:val="0"/>
          <w:numId w:val="135"/>
        </w:numPr>
        <w:spacing w:after="0" w:line="259" w:lineRule="auto"/>
      </w:pPr>
      <w:r w:rsidRPr="005B0E5B">
        <w:t xml:space="preserve">Sensibilisation du personnel au respect de la législation en vigueur en matière de la faune avec prise en compte des espèces intégralement protégées par les différentes conventions internationales signées par le Mali ; </w:t>
      </w:r>
    </w:p>
    <w:p w14:paraId="10159BBF" w14:textId="77777777" w:rsidR="00BF7A56" w:rsidRPr="005B0E5B" w:rsidRDefault="00BF7A56" w:rsidP="0095003D">
      <w:pPr>
        <w:pStyle w:val="Paragraphedeliste"/>
        <w:numPr>
          <w:ilvl w:val="0"/>
          <w:numId w:val="135"/>
        </w:numPr>
        <w:spacing w:after="0" w:line="259" w:lineRule="auto"/>
      </w:pPr>
      <w:r w:rsidRPr="005B0E5B">
        <w:t xml:space="preserve">Elaboration de l’horaire de travail et du calendrier des activités en tenant compte des utilisations du terroir par la faune (éviter le travail de nuit) ; </w:t>
      </w:r>
    </w:p>
    <w:p w14:paraId="53721C16" w14:textId="22D7A4FB" w:rsidR="00BF7A56" w:rsidRDefault="00BF7A56" w:rsidP="0095003D">
      <w:pPr>
        <w:pStyle w:val="Paragraphedeliste"/>
        <w:numPr>
          <w:ilvl w:val="0"/>
          <w:numId w:val="135"/>
        </w:numPr>
        <w:spacing w:after="0" w:line="259" w:lineRule="auto"/>
      </w:pPr>
      <w:r w:rsidRPr="005B0E5B">
        <w:t xml:space="preserve">Interdiction de transporter du gibier ou de la viande sauvage avec les véhicules et engins du chantier. </w:t>
      </w:r>
    </w:p>
    <w:p w14:paraId="45E0E329" w14:textId="77777777" w:rsidR="007218DF" w:rsidRPr="005B0E5B" w:rsidRDefault="007218DF" w:rsidP="007218DF">
      <w:pPr>
        <w:pStyle w:val="Paragraphedeliste"/>
        <w:spacing w:after="0" w:line="259" w:lineRule="auto"/>
        <w:ind w:firstLine="0"/>
      </w:pPr>
    </w:p>
    <w:p w14:paraId="7FFF6530" w14:textId="5F777BA7" w:rsidR="00BF7A56" w:rsidRPr="007218DF" w:rsidRDefault="00BF7A56" w:rsidP="007218DF">
      <w:pPr>
        <w:rPr>
          <w:b/>
        </w:rPr>
      </w:pPr>
      <w:r w:rsidRPr="005B0E5B">
        <w:rPr>
          <w:b/>
        </w:rPr>
        <w:t>2. Phase de construction</w:t>
      </w:r>
    </w:p>
    <w:p w14:paraId="03D9F0F5" w14:textId="77777777" w:rsidR="00BF7A56" w:rsidRPr="005B0E5B" w:rsidRDefault="00BF7A56" w:rsidP="0095003D">
      <w:pPr>
        <w:pStyle w:val="Paragraphedeliste"/>
        <w:numPr>
          <w:ilvl w:val="0"/>
          <w:numId w:val="136"/>
        </w:numPr>
        <w:spacing w:after="0" w:line="259" w:lineRule="auto"/>
      </w:pPr>
      <w:r w:rsidRPr="005B0E5B">
        <w:t xml:space="preserve">Interdiction absolue aux ouvriers des chantiers de pratiquer la chasse/braconnage ; </w:t>
      </w:r>
    </w:p>
    <w:p w14:paraId="4B25547F" w14:textId="043993D0" w:rsidR="00BF7A56" w:rsidRPr="005B0E5B" w:rsidRDefault="00BF7A56" w:rsidP="0095003D">
      <w:pPr>
        <w:pStyle w:val="Paragraphedeliste"/>
        <w:numPr>
          <w:ilvl w:val="0"/>
          <w:numId w:val="136"/>
        </w:numPr>
        <w:spacing w:after="0" w:line="259" w:lineRule="auto"/>
      </w:pPr>
      <w:r w:rsidRPr="005B0E5B">
        <w:t xml:space="preserve">Interdiction de transporter du gibier ou de la viande sauvage avec les véhicules et engins du chantier. </w:t>
      </w:r>
    </w:p>
    <w:p w14:paraId="6E7FA278" w14:textId="2FE836C1" w:rsidR="00BF7A56" w:rsidRPr="007218DF" w:rsidRDefault="00BF7A56" w:rsidP="007218DF">
      <w:pPr>
        <w:rPr>
          <w:b/>
        </w:rPr>
      </w:pPr>
      <w:r w:rsidRPr="005B0E5B">
        <w:rPr>
          <w:b/>
        </w:rPr>
        <w:t xml:space="preserve">3. Phase d’exploitation </w:t>
      </w:r>
    </w:p>
    <w:p w14:paraId="3188D0B4" w14:textId="77777777" w:rsidR="00BF7A56" w:rsidRPr="005B0E5B" w:rsidRDefault="00BF7A56" w:rsidP="0095003D">
      <w:pPr>
        <w:pStyle w:val="Paragraphedeliste"/>
        <w:numPr>
          <w:ilvl w:val="0"/>
          <w:numId w:val="136"/>
        </w:numPr>
        <w:spacing w:after="0" w:line="259" w:lineRule="auto"/>
      </w:pPr>
      <w:r w:rsidRPr="005B0E5B">
        <w:t>Création de zones de passage ou de traversée de la faune.</w:t>
      </w:r>
    </w:p>
    <w:p w14:paraId="0A05E4B1" w14:textId="77777777" w:rsidR="00BF7A56" w:rsidRPr="005B0E5B" w:rsidRDefault="00BF7A56" w:rsidP="007218DF">
      <w:pPr>
        <w:ind w:left="0" w:firstLine="0"/>
      </w:pPr>
    </w:p>
    <w:p w14:paraId="1F23096F" w14:textId="718F855D" w:rsidR="00BF7A56" w:rsidRPr="0095003D" w:rsidRDefault="00BF7A56" w:rsidP="007218DF">
      <w:pPr>
        <w:pStyle w:val="Titre4"/>
        <w:numPr>
          <w:ilvl w:val="0"/>
          <w:numId w:val="0"/>
        </w:numPr>
        <w:rPr>
          <w:b/>
          <w:bCs/>
          <w:u w:val="single"/>
          <w:lang w:val="fr-FR"/>
        </w:rPr>
      </w:pPr>
      <w:r w:rsidRPr="0095003D">
        <w:rPr>
          <w:b/>
          <w:bCs/>
          <w:u w:val="single"/>
          <w:lang w:val="fr-FR"/>
        </w:rPr>
        <w:t xml:space="preserve">Santé et Sécurité </w:t>
      </w:r>
      <w:r w:rsidR="007218DF" w:rsidRPr="0095003D">
        <w:rPr>
          <w:b/>
          <w:bCs/>
          <w:u w:val="single"/>
          <w:lang w:val="fr-FR"/>
        </w:rPr>
        <w:t>:</w:t>
      </w:r>
    </w:p>
    <w:p w14:paraId="580B4B76" w14:textId="42026EF7" w:rsidR="00BF7A56" w:rsidRPr="005B0E5B" w:rsidRDefault="00BF7A56" w:rsidP="007218DF">
      <w:r w:rsidRPr="005B0E5B">
        <w:t xml:space="preserve">En vue d’assurer la santé et la sécurité aux populations et aux travailleurs de l’entreprise pendant les travaux et durant la période d’exploitation des infrastructures, les précautions suivantes seront prises : </w:t>
      </w:r>
    </w:p>
    <w:p w14:paraId="6C04B1A9" w14:textId="7267D61D" w:rsidR="00BF7A56" w:rsidRPr="007218DF" w:rsidRDefault="00BF7A56" w:rsidP="007218DF">
      <w:pPr>
        <w:rPr>
          <w:b/>
        </w:rPr>
      </w:pPr>
      <w:r w:rsidRPr="005B0E5B">
        <w:rPr>
          <w:b/>
        </w:rPr>
        <w:t xml:space="preserve">1. Phase préparatoire </w:t>
      </w:r>
    </w:p>
    <w:p w14:paraId="0B2087B9" w14:textId="77777777" w:rsidR="00BF7A56" w:rsidRPr="005B0E5B" w:rsidRDefault="00BF7A56" w:rsidP="0095003D">
      <w:pPr>
        <w:pStyle w:val="Paragraphedeliste"/>
        <w:numPr>
          <w:ilvl w:val="0"/>
          <w:numId w:val="137"/>
        </w:numPr>
        <w:spacing w:after="0" w:line="259" w:lineRule="auto"/>
      </w:pPr>
      <w:r w:rsidRPr="005B0E5B">
        <w:t xml:space="preserve">Réduire l’altération de la qualité de l’air et de l’eau potable à travers l’observation des bonnes pratiques ; </w:t>
      </w:r>
    </w:p>
    <w:p w14:paraId="7A038A43" w14:textId="77777777" w:rsidR="00BF7A56" w:rsidRPr="005B0E5B" w:rsidRDefault="00BF7A56" w:rsidP="0095003D">
      <w:pPr>
        <w:pStyle w:val="Paragraphedeliste"/>
        <w:numPr>
          <w:ilvl w:val="0"/>
          <w:numId w:val="137"/>
        </w:numPr>
        <w:spacing w:after="0" w:line="259" w:lineRule="auto"/>
      </w:pPr>
      <w:r w:rsidRPr="005B0E5B">
        <w:t xml:space="preserve">Doter la main d’œuvre d’équipements adéquats (EPI) pour les travaux de chantiers (masques anti-poussière et </w:t>
      </w:r>
      <w:proofErr w:type="spellStart"/>
      <w:r w:rsidRPr="005B0E5B">
        <w:t>anti-fumée</w:t>
      </w:r>
      <w:proofErr w:type="spellEnd"/>
      <w:r w:rsidRPr="005B0E5B">
        <w:t xml:space="preserve">, gants, bottes, casque de sécurité, etc.). </w:t>
      </w:r>
    </w:p>
    <w:p w14:paraId="74DC262C" w14:textId="77777777" w:rsidR="00BF7A56" w:rsidRPr="005B0E5B" w:rsidRDefault="00BF7A56" w:rsidP="00BF7A56"/>
    <w:p w14:paraId="78EFBC1E" w14:textId="148E1551" w:rsidR="00BF7A56" w:rsidRPr="007218DF" w:rsidRDefault="00BF7A56" w:rsidP="007218DF">
      <w:pPr>
        <w:rPr>
          <w:b/>
        </w:rPr>
      </w:pPr>
      <w:r w:rsidRPr="005B0E5B">
        <w:rPr>
          <w:b/>
        </w:rPr>
        <w:t xml:space="preserve">2. Phase exécution </w:t>
      </w:r>
    </w:p>
    <w:p w14:paraId="2010C4BC" w14:textId="77777777" w:rsidR="00BF7A56" w:rsidRPr="005B0E5B" w:rsidRDefault="00BF7A56" w:rsidP="0095003D">
      <w:pPr>
        <w:pStyle w:val="Paragraphedeliste"/>
        <w:numPr>
          <w:ilvl w:val="0"/>
          <w:numId w:val="138"/>
        </w:numPr>
        <w:spacing w:after="0" w:line="259" w:lineRule="auto"/>
      </w:pPr>
      <w:r w:rsidRPr="005B0E5B">
        <w:t xml:space="preserve">Arroser périodiquement les routes et pistes utilisées par l’entreprise pour ses approvisionnements pour ne pas soulever trop de poussières et autres matières en suspension ; </w:t>
      </w:r>
    </w:p>
    <w:p w14:paraId="3E582143" w14:textId="77777777" w:rsidR="00BF7A56" w:rsidRPr="005B0E5B" w:rsidRDefault="00BF7A56" w:rsidP="0095003D">
      <w:pPr>
        <w:pStyle w:val="Paragraphedeliste"/>
        <w:numPr>
          <w:ilvl w:val="0"/>
          <w:numId w:val="138"/>
        </w:numPr>
        <w:spacing w:after="0" w:line="259" w:lineRule="auto"/>
      </w:pPr>
      <w:r w:rsidRPr="005B0E5B">
        <w:t xml:space="preserve">Organiser des campagnes de sensibilisations sur les Maladies Sexuellement Transmissible (MST et le VIH/SIDA) ; </w:t>
      </w:r>
    </w:p>
    <w:p w14:paraId="5600CD52" w14:textId="77777777" w:rsidR="00BF7A56" w:rsidRPr="005B0E5B" w:rsidRDefault="00BF7A56" w:rsidP="0095003D">
      <w:pPr>
        <w:pStyle w:val="Paragraphedeliste"/>
        <w:numPr>
          <w:ilvl w:val="0"/>
          <w:numId w:val="138"/>
        </w:numPr>
        <w:spacing w:after="0" w:line="259" w:lineRule="auto"/>
      </w:pPr>
      <w:r w:rsidRPr="005B0E5B">
        <w:t xml:space="preserve">Réduire les rejets de gaz et des fumées dans l’atmosphère par des contrôles techniques bien à jour et usage des filtres. </w:t>
      </w:r>
    </w:p>
    <w:p w14:paraId="77D1B5A7" w14:textId="77777777" w:rsidR="00BF7A56" w:rsidRPr="005B0E5B" w:rsidRDefault="00BF7A56" w:rsidP="0095003D">
      <w:pPr>
        <w:pStyle w:val="Paragraphedeliste"/>
        <w:numPr>
          <w:ilvl w:val="0"/>
          <w:numId w:val="138"/>
        </w:numPr>
        <w:spacing w:after="0" w:line="259" w:lineRule="auto"/>
      </w:pPr>
      <w:r w:rsidRPr="005B0E5B">
        <w:t xml:space="preserve">Améliorer la visibilité par la réduction des divers rejets ; </w:t>
      </w:r>
    </w:p>
    <w:p w14:paraId="4332B2F7" w14:textId="77777777" w:rsidR="00BF7A56" w:rsidRPr="005B0E5B" w:rsidRDefault="00BF7A56" w:rsidP="0095003D">
      <w:pPr>
        <w:pStyle w:val="Paragraphedeliste"/>
        <w:numPr>
          <w:ilvl w:val="0"/>
          <w:numId w:val="138"/>
        </w:numPr>
        <w:spacing w:after="0" w:line="259" w:lineRule="auto"/>
      </w:pPr>
      <w:r w:rsidRPr="005B0E5B">
        <w:t xml:space="preserve">Placer des balises et des panneaux de signalisation pendant et après les travaux sur les chantiers à renforcer ; </w:t>
      </w:r>
    </w:p>
    <w:p w14:paraId="0B088BC5" w14:textId="77777777" w:rsidR="00BF7A56" w:rsidRPr="005B0E5B" w:rsidRDefault="00BF7A56" w:rsidP="0095003D">
      <w:pPr>
        <w:pStyle w:val="Paragraphedeliste"/>
        <w:numPr>
          <w:ilvl w:val="0"/>
          <w:numId w:val="138"/>
        </w:numPr>
        <w:spacing w:after="0" w:line="259" w:lineRule="auto"/>
      </w:pPr>
      <w:r w:rsidRPr="005B0E5B">
        <w:t xml:space="preserve">Construire des ralentisseurs de vitesse au niveau des agglomérations traversées ; </w:t>
      </w:r>
    </w:p>
    <w:p w14:paraId="61E6B678" w14:textId="77777777" w:rsidR="00BF7A56" w:rsidRPr="005B0E5B" w:rsidRDefault="00BF7A56" w:rsidP="0095003D">
      <w:pPr>
        <w:pStyle w:val="Paragraphedeliste"/>
        <w:numPr>
          <w:ilvl w:val="0"/>
          <w:numId w:val="138"/>
        </w:numPr>
        <w:spacing w:after="0" w:line="259" w:lineRule="auto"/>
      </w:pPr>
      <w:r w:rsidRPr="005B0E5B">
        <w:t xml:space="preserve">Imposer la limitation de vitesse dans les zones habitées selon la réglementation en vigueur en la matière ; </w:t>
      </w:r>
    </w:p>
    <w:p w14:paraId="6AF2F262" w14:textId="77777777" w:rsidR="00BF7A56" w:rsidRPr="005B0E5B" w:rsidRDefault="00BF7A56" w:rsidP="0095003D">
      <w:pPr>
        <w:pStyle w:val="Paragraphedeliste"/>
        <w:numPr>
          <w:ilvl w:val="0"/>
          <w:numId w:val="138"/>
        </w:numPr>
        <w:spacing w:after="0" w:line="259" w:lineRule="auto"/>
      </w:pPr>
      <w:r w:rsidRPr="005B0E5B">
        <w:t xml:space="preserve">Doter la main d’œuvre d’équipements adéquats (EPI) pour les travaux de chantiers (masques anti-poussière et </w:t>
      </w:r>
      <w:proofErr w:type="spellStart"/>
      <w:r w:rsidRPr="005B0E5B">
        <w:t>anti-fumée</w:t>
      </w:r>
      <w:proofErr w:type="spellEnd"/>
      <w:r w:rsidRPr="005B0E5B">
        <w:t xml:space="preserve">, gants, bottes, casque de sécurité, etc.). </w:t>
      </w:r>
    </w:p>
    <w:p w14:paraId="05497CCF" w14:textId="77777777" w:rsidR="00BF7A56" w:rsidRPr="005B0E5B" w:rsidRDefault="00BF7A56" w:rsidP="00BF7A56"/>
    <w:p w14:paraId="656B51ED" w14:textId="29D484CA" w:rsidR="00BF7A56" w:rsidRPr="007218DF" w:rsidRDefault="00BF7A56" w:rsidP="007218DF">
      <w:pPr>
        <w:rPr>
          <w:b/>
        </w:rPr>
      </w:pPr>
      <w:r w:rsidRPr="005B0E5B">
        <w:rPr>
          <w:b/>
        </w:rPr>
        <w:t>3. Phase exploitation</w:t>
      </w:r>
    </w:p>
    <w:p w14:paraId="6132EE4D" w14:textId="77777777" w:rsidR="00BF7A56" w:rsidRPr="005B0E5B" w:rsidRDefault="00BF7A56" w:rsidP="0095003D">
      <w:pPr>
        <w:pStyle w:val="Paragraphedeliste"/>
        <w:numPr>
          <w:ilvl w:val="0"/>
          <w:numId w:val="139"/>
        </w:numPr>
        <w:spacing w:after="0" w:line="259" w:lineRule="auto"/>
      </w:pPr>
      <w:r w:rsidRPr="005B0E5B">
        <w:t xml:space="preserve">Eviter les rejets de gaz et des fumées dans l’atmosphère par des contrôles techniques bien à jour et usage des pots catalytiques ou filtres. </w:t>
      </w:r>
    </w:p>
    <w:p w14:paraId="79ECEDD0" w14:textId="77777777" w:rsidR="00BF7A56" w:rsidRPr="005B0E5B" w:rsidRDefault="00BF7A56" w:rsidP="0095003D">
      <w:pPr>
        <w:pStyle w:val="Paragraphedeliste"/>
        <w:numPr>
          <w:ilvl w:val="0"/>
          <w:numId w:val="139"/>
        </w:numPr>
        <w:spacing w:after="0" w:line="259" w:lineRule="auto"/>
      </w:pPr>
      <w:r w:rsidRPr="005B0E5B">
        <w:t xml:space="preserve">Construire des ralentisseurs de vitesse au niveau des agglomérations traversées ; </w:t>
      </w:r>
    </w:p>
    <w:p w14:paraId="116C4FB5" w14:textId="77777777" w:rsidR="00BF7A56" w:rsidRPr="005B0E5B" w:rsidRDefault="00BF7A56" w:rsidP="0095003D">
      <w:pPr>
        <w:pStyle w:val="Paragraphedeliste"/>
        <w:numPr>
          <w:ilvl w:val="0"/>
          <w:numId w:val="139"/>
        </w:numPr>
        <w:spacing w:after="0" w:line="259" w:lineRule="auto"/>
      </w:pPr>
      <w:r w:rsidRPr="005B0E5B">
        <w:t xml:space="preserve">Imposer la limitation de vitesse dans les zones habitées selon la réglementation en vigueur en la matière ; </w:t>
      </w:r>
    </w:p>
    <w:p w14:paraId="033A9213" w14:textId="77777777" w:rsidR="00BF7A56" w:rsidRPr="005B0E5B" w:rsidRDefault="00BF7A56" w:rsidP="00BF7A56"/>
    <w:p w14:paraId="705BDAEC" w14:textId="553B01AD" w:rsidR="00BF7A56" w:rsidRPr="007218DF" w:rsidRDefault="007218DF" w:rsidP="007218DF">
      <w:pPr>
        <w:pStyle w:val="Titre4"/>
        <w:numPr>
          <w:ilvl w:val="0"/>
          <w:numId w:val="0"/>
        </w:numPr>
        <w:rPr>
          <w:b/>
          <w:bCs/>
          <w:u w:val="single"/>
        </w:rPr>
      </w:pPr>
      <w:proofErr w:type="spellStart"/>
      <w:r w:rsidRPr="007218DF">
        <w:rPr>
          <w:b/>
          <w:bCs/>
          <w:u w:val="single"/>
        </w:rPr>
        <w:t>Emploi</w:t>
      </w:r>
      <w:proofErr w:type="spellEnd"/>
      <w:r w:rsidRPr="007218DF">
        <w:rPr>
          <w:b/>
          <w:bCs/>
          <w:u w:val="single"/>
        </w:rPr>
        <w:t>:</w:t>
      </w:r>
    </w:p>
    <w:p w14:paraId="56B5068A" w14:textId="66957C45" w:rsidR="00BF7A56" w:rsidRPr="007218DF" w:rsidRDefault="00BF7A56" w:rsidP="007218DF">
      <w:pPr>
        <w:rPr>
          <w:b/>
        </w:rPr>
      </w:pPr>
      <w:r w:rsidRPr="005B0E5B">
        <w:rPr>
          <w:b/>
        </w:rPr>
        <w:t xml:space="preserve">1. Phase préparatoire </w:t>
      </w:r>
    </w:p>
    <w:p w14:paraId="79C8B525" w14:textId="77777777" w:rsidR="00BF7A56" w:rsidRPr="005B0E5B" w:rsidRDefault="00BF7A56" w:rsidP="0095003D">
      <w:pPr>
        <w:pStyle w:val="Paragraphedeliste"/>
        <w:numPr>
          <w:ilvl w:val="0"/>
          <w:numId w:val="139"/>
        </w:numPr>
        <w:spacing w:after="0" w:line="259" w:lineRule="auto"/>
      </w:pPr>
      <w:r w:rsidRPr="005B0E5B">
        <w:t xml:space="preserve">Hormis la main d’œuvre qualifiée, l’entreprise effectuera en priorité l’embauche des travailleurs au sein des populations des villages concernés (priorité à </w:t>
      </w:r>
      <w:proofErr w:type="spellStart"/>
      <w:r w:rsidRPr="005B0E5B">
        <w:t>Kissakoro</w:t>
      </w:r>
      <w:proofErr w:type="spellEnd"/>
      <w:r w:rsidRPr="005B0E5B">
        <w:t>) par projet mises en étude.</w:t>
      </w:r>
    </w:p>
    <w:p w14:paraId="0784B5A9" w14:textId="1A83F3EE" w:rsidR="00BF7A56" w:rsidRDefault="00BF7A56" w:rsidP="0095003D">
      <w:pPr>
        <w:pStyle w:val="Paragraphedeliste"/>
        <w:numPr>
          <w:ilvl w:val="0"/>
          <w:numId w:val="139"/>
        </w:numPr>
        <w:spacing w:after="0" w:line="259" w:lineRule="auto"/>
      </w:pPr>
      <w:r w:rsidRPr="005B0E5B">
        <w:t xml:space="preserve"> L’approche utilisation d’une haute intensité de main d’œuvre (HIMO) sera privilégiée pour certains types de travaux par rapport à l’utilisation massive des machines et engins divers. </w:t>
      </w:r>
    </w:p>
    <w:p w14:paraId="5331AA1B" w14:textId="77777777" w:rsidR="007218DF" w:rsidRPr="005B0E5B" w:rsidRDefault="007218DF" w:rsidP="007218DF">
      <w:pPr>
        <w:pStyle w:val="Paragraphedeliste"/>
        <w:spacing w:after="0" w:line="259" w:lineRule="auto"/>
        <w:ind w:firstLine="0"/>
      </w:pPr>
    </w:p>
    <w:p w14:paraId="0939BF1B" w14:textId="77777777" w:rsidR="00BF7A56" w:rsidRPr="005B0E5B" w:rsidRDefault="00BF7A56" w:rsidP="00BF7A56">
      <w:pPr>
        <w:rPr>
          <w:b/>
        </w:rPr>
      </w:pPr>
      <w:r w:rsidRPr="005B0E5B">
        <w:rPr>
          <w:b/>
        </w:rPr>
        <w:t xml:space="preserve">2. Phase d’exécution </w:t>
      </w:r>
    </w:p>
    <w:p w14:paraId="076536D2" w14:textId="77777777" w:rsidR="00BF7A56" w:rsidRPr="005B0E5B" w:rsidRDefault="00BF7A56" w:rsidP="0095003D">
      <w:pPr>
        <w:pStyle w:val="Paragraphedeliste"/>
        <w:numPr>
          <w:ilvl w:val="0"/>
          <w:numId w:val="139"/>
        </w:numPr>
        <w:spacing w:after="0" w:line="259" w:lineRule="auto"/>
      </w:pPr>
      <w:r w:rsidRPr="005B0E5B">
        <w:t xml:space="preserve">L’approche HIMO est aussi valable en phase d’exécution des travaux. </w:t>
      </w:r>
    </w:p>
    <w:p w14:paraId="50F4B8C1" w14:textId="77777777" w:rsidR="00BF7A56" w:rsidRPr="005B0E5B" w:rsidRDefault="00BF7A56" w:rsidP="00BF7A56"/>
    <w:p w14:paraId="5760B33B" w14:textId="77777777" w:rsidR="00BF7A56" w:rsidRPr="005B0E5B" w:rsidRDefault="00BF7A56" w:rsidP="00BF7A56">
      <w:pPr>
        <w:rPr>
          <w:b/>
        </w:rPr>
      </w:pPr>
      <w:r w:rsidRPr="005B0E5B">
        <w:rPr>
          <w:b/>
        </w:rPr>
        <w:t xml:space="preserve">3. Phase d’exploitation </w:t>
      </w:r>
    </w:p>
    <w:p w14:paraId="33C8C696" w14:textId="77777777" w:rsidR="00BF7A56" w:rsidRPr="005B0E5B" w:rsidRDefault="00BF7A56" w:rsidP="0095003D">
      <w:pPr>
        <w:pStyle w:val="Paragraphedeliste"/>
        <w:numPr>
          <w:ilvl w:val="0"/>
          <w:numId w:val="139"/>
        </w:numPr>
        <w:spacing w:after="0" w:line="259" w:lineRule="auto"/>
      </w:pPr>
      <w:r w:rsidRPr="005B0E5B">
        <w:t xml:space="preserve">Utiliser de l’approche d’une haute intensité de main d’œuvre lors de l’entretien des installations sur le bas fond. </w:t>
      </w:r>
    </w:p>
    <w:p w14:paraId="32273C87" w14:textId="77777777" w:rsidR="00BF7A56" w:rsidRPr="005B0E5B" w:rsidRDefault="00BF7A56" w:rsidP="007218DF">
      <w:pPr>
        <w:ind w:left="0" w:firstLine="0"/>
      </w:pPr>
    </w:p>
    <w:p w14:paraId="776B1C21" w14:textId="199C6FB1" w:rsidR="00BF7A56" w:rsidRPr="0095003D" w:rsidRDefault="00BF7A56" w:rsidP="007218DF">
      <w:pPr>
        <w:pStyle w:val="Titre3"/>
        <w:ind w:left="0" w:firstLine="0"/>
        <w:rPr>
          <w:b/>
          <w:bCs/>
          <w:u w:val="single"/>
          <w:lang w:val="fr-FR"/>
        </w:rPr>
      </w:pPr>
      <w:bookmarkStart w:id="692" w:name="_Toc77182376"/>
      <w:r w:rsidRPr="0095003D">
        <w:rPr>
          <w:b/>
          <w:bCs/>
          <w:u w:val="single"/>
          <w:lang w:val="fr-FR"/>
        </w:rPr>
        <w:t xml:space="preserve">Changement </w:t>
      </w:r>
      <w:bookmarkEnd w:id="692"/>
      <w:r w:rsidR="007218DF" w:rsidRPr="0095003D">
        <w:rPr>
          <w:b/>
          <w:bCs/>
          <w:u w:val="single"/>
          <w:lang w:val="fr-FR"/>
        </w:rPr>
        <w:t>Climatique:</w:t>
      </w:r>
    </w:p>
    <w:p w14:paraId="5455BA9D" w14:textId="6122318E" w:rsidR="00BF7A56" w:rsidRPr="005B0E5B" w:rsidRDefault="00BF7A56" w:rsidP="007218DF">
      <w:r w:rsidRPr="005B0E5B">
        <w:rPr>
          <w:b/>
        </w:rPr>
        <w:t xml:space="preserve">Principaux enjeux </w:t>
      </w:r>
      <w:r w:rsidRPr="005B0E5B">
        <w:t xml:space="preserve">: Les principaux enjeux identifiés sont les suivants : </w:t>
      </w:r>
    </w:p>
    <w:p w14:paraId="77E50561" w14:textId="77777777" w:rsidR="00BF7A56" w:rsidRPr="005B0E5B" w:rsidRDefault="00BF7A56" w:rsidP="0095003D">
      <w:pPr>
        <w:pStyle w:val="Paragraphedeliste"/>
        <w:numPr>
          <w:ilvl w:val="0"/>
          <w:numId w:val="140"/>
        </w:numPr>
        <w:spacing w:after="0" w:line="259" w:lineRule="auto"/>
      </w:pPr>
      <w:r w:rsidRPr="005B0E5B">
        <w:t xml:space="preserve">Une baisse de la pluviométrie ; </w:t>
      </w:r>
    </w:p>
    <w:p w14:paraId="280C4D1B" w14:textId="77777777" w:rsidR="00BF7A56" w:rsidRPr="005B0E5B" w:rsidRDefault="00BF7A56" w:rsidP="0095003D">
      <w:pPr>
        <w:pStyle w:val="Paragraphedeliste"/>
        <w:numPr>
          <w:ilvl w:val="0"/>
          <w:numId w:val="140"/>
        </w:numPr>
        <w:spacing w:after="0" w:line="259" w:lineRule="auto"/>
      </w:pPr>
      <w:r w:rsidRPr="005B0E5B">
        <w:t xml:space="preserve">La production des gaz à effet de serre (GES). </w:t>
      </w:r>
    </w:p>
    <w:p w14:paraId="5C8AFDA4" w14:textId="1BA69053" w:rsidR="00BF7A56" w:rsidRPr="005B0E5B" w:rsidRDefault="00BF7A56" w:rsidP="007218DF">
      <w:pPr>
        <w:ind w:left="0" w:firstLine="0"/>
      </w:pPr>
      <w:r w:rsidRPr="005B0E5B">
        <w:rPr>
          <w:b/>
        </w:rPr>
        <w:t xml:space="preserve">Mesures d’adaptation et d’atténuation </w:t>
      </w:r>
      <w:r w:rsidRPr="005B0E5B">
        <w:t xml:space="preserve">: Il n’existe pas de données de référence sur les émissions de GES dans la zone du projet. On peut cependant estimer une légère augmentation des émissions du fait principalement des mouvements des engins et véhicules pour les travaux d’aménagement du bas fond de </w:t>
      </w:r>
      <w:proofErr w:type="spellStart"/>
      <w:r w:rsidRPr="005B0E5B">
        <w:t>Kissakoro</w:t>
      </w:r>
      <w:proofErr w:type="spellEnd"/>
      <w:r w:rsidRPr="005B0E5B">
        <w:t xml:space="preserve">. Les principales mesures qui concourent à l’adaptation et à l’atténuation comprennent : </w:t>
      </w:r>
    </w:p>
    <w:p w14:paraId="5B3154B1" w14:textId="77777777" w:rsidR="00BF7A56" w:rsidRPr="005B0E5B" w:rsidRDefault="00BF7A56" w:rsidP="0095003D">
      <w:pPr>
        <w:pStyle w:val="Paragraphedeliste"/>
        <w:numPr>
          <w:ilvl w:val="0"/>
          <w:numId w:val="140"/>
        </w:numPr>
        <w:spacing w:after="0" w:line="259" w:lineRule="auto"/>
      </w:pPr>
      <w:r w:rsidRPr="005B0E5B">
        <w:t xml:space="preserve">Le dimensionnement approprié des ouvrages hydrauliques en tenant compte de la pluviométrie dans la zone du projet ; </w:t>
      </w:r>
    </w:p>
    <w:p w14:paraId="0E8AFB85" w14:textId="77777777" w:rsidR="00BF7A56" w:rsidRPr="005B0E5B" w:rsidRDefault="00BF7A56" w:rsidP="0095003D">
      <w:pPr>
        <w:pStyle w:val="Paragraphedeliste"/>
        <w:numPr>
          <w:ilvl w:val="0"/>
          <w:numId w:val="140"/>
        </w:numPr>
        <w:spacing w:after="0" w:line="259" w:lineRule="auto"/>
      </w:pPr>
      <w:r w:rsidRPr="005B0E5B">
        <w:t xml:space="preserve">La régulation des mouvements des engins et véhicules pour les travaux et le transport qui peuvent minimiser les émissions de co2 dans les chantiers et les parcours ; </w:t>
      </w:r>
    </w:p>
    <w:p w14:paraId="04DFE267" w14:textId="77777777" w:rsidR="00BF7A56" w:rsidRPr="005B0E5B" w:rsidRDefault="00BF7A56" w:rsidP="0095003D">
      <w:pPr>
        <w:pStyle w:val="Paragraphedeliste"/>
        <w:numPr>
          <w:ilvl w:val="0"/>
          <w:numId w:val="140"/>
        </w:numPr>
        <w:spacing w:after="0" w:line="259" w:lineRule="auto"/>
      </w:pPr>
      <w:r w:rsidRPr="005B0E5B">
        <w:t xml:space="preserve">La plantation d’arbres au niveau du village de </w:t>
      </w:r>
      <w:proofErr w:type="spellStart"/>
      <w:r w:rsidRPr="005B0E5B">
        <w:t>Kissakoro</w:t>
      </w:r>
      <w:proofErr w:type="spellEnd"/>
      <w:r w:rsidRPr="005B0E5B">
        <w:t xml:space="preserve"> et dans les emprunts utilisés et réhabilités par le projet qui contribueront à séquestrer une partie du carbone qui sera émis du fait de l’aménagement du bas fond. </w:t>
      </w:r>
    </w:p>
    <w:p w14:paraId="6C098736" w14:textId="37A108A1" w:rsidR="00BF7A56" w:rsidRPr="005B0E5B" w:rsidRDefault="00BF7A56" w:rsidP="007218DF">
      <w:pPr>
        <w:spacing w:after="160" w:line="259" w:lineRule="auto"/>
        <w:ind w:left="0" w:firstLine="0"/>
        <w:jc w:val="left"/>
      </w:pPr>
      <w:r w:rsidRPr="005B0E5B">
        <w:t xml:space="preserve">Par ailleurs, dans le cadre des travaux du bas fond, il est prévu la régénérescence des emprunts par la plantation systématique d’arbres et la reconstitution de la végétation contribuant ainsi à lutter contre les effets du réchauffement climatique. </w:t>
      </w:r>
    </w:p>
    <w:p w14:paraId="5761DBBF" w14:textId="77777777" w:rsidR="00D62C56" w:rsidRDefault="00D62C56" w:rsidP="00D62C56">
      <w:pPr>
        <w:spacing w:after="0"/>
        <w:rPr>
          <w:szCs w:val="24"/>
        </w:rPr>
      </w:pPr>
    </w:p>
    <w:p w14:paraId="0E7C689A" w14:textId="77777777" w:rsidR="00EE5A0D" w:rsidRDefault="00EE5A0D" w:rsidP="00D62C56">
      <w:pPr>
        <w:spacing w:after="0"/>
        <w:rPr>
          <w:szCs w:val="24"/>
        </w:rPr>
      </w:pPr>
    </w:p>
    <w:p w14:paraId="55C59052" w14:textId="77777777" w:rsidR="00EE5A0D" w:rsidRDefault="00EE5A0D" w:rsidP="00D62C56">
      <w:pPr>
        <w:spacing w:after="0"/>
        <w:rPr>
          <w:szCs w:val="24"/>
        </w:rPr>
      </w:pPr>
    </w:p>
    <w:p w14:paraId="173E725B" w14:textId="77777777" w:rsidR="00EE5A0D" w:rsidRDefault="00EE5A0D" w:rsidP="00D62C56">
      <w:pPr>
        <w:spacing w:after="0"/>
        <w:rPr>
          <w:szCs w:val="24"/>
        </w:rPr>
      </w:pPr>
    </w:p>
    <w:p w14:paraId="51B5DB5C" w14:textId="77777777" w:rsidR="00EE5A0D" w:rsidRDefault="00EE5A0D" w:rsidP="00D62C56">
      <w:pPr>
        <w:spacing w:after="0"/>
        <w:rPr>
          <w:szCs w:val="24"/>
        </w:rPr>
      </w:pPr>
    </w:p>
    <w:p w14:paraId="48AD2B24" w14:textId="77777777" w:rsidR="00EE5A0D" w:rsidRDefault="00EE5A0D" w:rsidP="00D62C56">
      <w:pPr>
        <w:spacing w:after="0"/>
        <w:rPr>
          <w:szCs w:val="24"/>
        </w:rPr>
      </w:pPr>
    </w:p>
    <w:p w14:paraId="365CF24C" w14:textId="77777777" w:rsidR="00EE5A0D" w:rsidRDefault="00EE5A0D" w:rsidP="00D62C56">
      <w:pPr>
        <w:spacing w:after="0"/>
        <w:rPr>
          <w:szCs w:val="24"/>
        </w:rPr>
      </w:pPr>
    </w:p>
    <w:p w14:paraId="26C82EDE" w14:textId="77777777" w:rsidR="00EE5A0D" w:rsidRPr="00E6699C" w:rsidRDefault="00EE5A0D" w:rsidP="00D62C56">
      <w:pPr>
        <w:spacing w:after="0"/>
        <w:rPr>
          <w:szCs w:val="24"/>
        </w:rPr>
      </w:pPr>
    </w:p>
    <w:p w14:paraId="60380F44" w14:textId="77777777" w:rsidR="00D62C56" w:rsidRPr="00E6699C" w:rsidRDefault="00D62C56" w:rsidP="00D62C56">
      <w:pPr>
        <w:rPr>
          <w:b/>
        </w:rPr>
      </w:pPr>
      <w:bookmarkStart w:id="693" w:name="_Toc11060723"/>
      <w:bookmarkStart w:id="694" w:name="_Toc49725683"/>
      <w:bookmarkStart w:id="695" w:name="_Toc518518676"/>
      <w:r w:rsidRPr="00E6699C">
        <w:rPr>
          <w:b/>
        </w:rPr>
        <w:t>2. PLAN DE SURVEILLANCE ET SUIVI</w:t>
      </w:r>
      <w:bookmarkEnd w:id="693"/>
      <w:bookmarkEnd w:id="694"/>
      <w:r w:rsidRPr="00E6699C">
        <w:rPr>
          <w:b/>
        </w:rPr>
        <w:t xml:space="preserve"> </w:t>
      </w:r>
      <w:bookmarkEnd w:id="695"/>
    </w:p>
    <w:p w14:paraId="61AE9E95" w14:textId="77777777" w:rsidR="00D62C56" w:rsidRPr="00E6699C" w:rsidRDefault="00D62C56" w:rsidP="00D62C56">
      <w:pPr>
        <w:spacing w:after="0" w:line="276" w:lineRule="auto"/>
        <w:contextualSpacing/>
        <w:rPr>
          <w:szCs w:val="24"/>
        </w:rPr>
      </w:pPr>
      <w:r w:rsidRPr="00E6699C">
        <w:rPr>
          <w:szCs w:val="24"/>
        </w:rPr>
        <w:t>Le programme de surveillance et de suivi vise à s’assurer que les mesures d’atténuation et de bonification soient mises en œuvre, qu'elles produisent les résultats anticipés et qu'elles soient modifiées, interrompues ou remplacées si elles s’avéreront inadéquates. De plus, il permet d’évaluer la conformité aux politiques et aux normes environnementales et sociales nationales, ainsi qu’aux directives de la Banque mondiale.</w:t>
      </w:r>
    </w:p>
    <w:p w14:paraId="0306B624" w14:textId="77777777" w:rsidR="00D62C56" w:rsidRPr="00E6699C" w:rsidRDefault="00D62C56" w:rsidP="00D62C56">
      <w:pPr>
        <w:pStyle w:val="Titre2"/>
        <w:spacing w:before="240" w:after="240"/>
        <w:ind w:left="360" w:firstLine="0"/>
        <w:rPr>
          <w:rFonts w:asciiTheme="minorHAnsi" w:hAnsiTheme="minorHAnsi" w:cstheme="minorHAnsi"/>
          <w:sz w:val="24"/>
        </w:rPr>
      </w:pPr>
      <w:bookmarkStart w:id="696" w:name="_Toc11060724"/>
      <w:bookmarkStart w:id="697" w:name="_Toc49725684"/>
      <w:r w:rsidRPr="0097311D">
        <w:rPr>
          <w:sz w:val="24"/>
        </w:rPr>
        <w:t>2.1.</w:t>
      </w:r>
      <w:r w:rsidRPr="00E6699C">
        <w:rPr>
          <w:rFonts w:asciiTheme="minorHAnsi" w:hAnsiTheme="minorHAnsi" w:cstheme="minorHAnsi"/>
          <w:sz w:val="24"/>
        </w:rPr>
        <w:tab/>
      </w:r>
      <w:r w:rsidRPr="0097311D">
        <w:rPr>
          <w:sz w:val="24"/>
        </w:rPr>
        <w:t>Surveillance environnementale</w:t>
      </w:r>
      <w:bookmarkEnd w:id="696"/>
      <w:bookmarkEnd w:id="697"/>
    </w:p>
    <w:p w14:paraId="338627CB" w14:textId="77777777" w:rsidR="00D62C56" w:rsidRPr="00E6699C" w:rsidRDefault="00D62C56" w:rsidP="00D62C56">
      <w:pPr>
        <w:spacing w:after="0" w:line="276" w:lineRule="auto"/>
        <w:contextualSpacing/>
        <w:rPr>
          <w:szCs w:val="24"/>
        </w:rPr>
      </w:pPr>
      <w:r w:rsidRPr="00E6699C">
        <w:rPr>
          <w:szCs w:val="24"/>
        </w:rPr>
        <w:t>La surveillance environnementale est une activité qui vise à s’assurer que les entreprises respectent leurs engagements et obligations en matière d’environnement tout au long du cycle du projet. Elle vise à s’assurer que les mesures de bonification et d’atténuation proposées soient effectivement mises en œuvre pendant la phase d’exécution. La surveillance a donc comme objectif de réduire les désagréments pour les populations d’accueil et les effets sur le milieu des différentes activités du projet.</w:t>
      </w:r>
    </w:p>
    <w:p w14:paraId="3CB170BD" w14:textId="77777777" w:rsidR="00D62C56" w:rsidRPr="00E6699C" w:rsidRDefault="00D62C56" w:rsidP="00D62C56">
      <w:pPr>
        <w:spacing w:after="0" w:line="276" w:lineRule="auto"/>
        <w:contextualSpacing/>
        <w:rPr>
          <w:szCs w:val="24"/>
        </w:rPr>
      </w:pPr>
      <w:r w:rsidRPr="00E6699C">
        <w:rPr>
          <w:szCs w:val="24"/>
        </w:rPr>
        <w:t>Les critères de surveillance environnementale sont :</w:t>
      </w:r>
    </w:p>
    <w:p w14:paraId="7E3ED2E8" w14:textId="4D4170AB" w:rsidR="00D62C56" w:rsidRPr="00E6699C" w:rsidRDefault="0097311D" w:rsidP="0095003D">
      <w:pPr>
        <w:numPr>
          <w:ilvl w:val="0"/>
          <w:numId w:val="125"/>
        </w:numPr>
        <w:spacing w:after="0" w:line="276" w:lineRule="auto"/>
        <w:ind w:left="754" w:hanging="357"/>
        <w:contextualSpacing/>
        <w:rPr>
          <w:szCs w:val="24"/>
        </w:rPr>
      </w:pPr>
      <w:r w:rsidRPr="00E6699C">
        <w:rPr>
          <w:szCs w:val="24"/>
        </w:rPr>
        <w:t>L’hygiène</w:t>
      </w:r>
      <w:r w:rsidR="00D62C56" w:rsidRPr="00E6699C">
        <w:rPr>
          <w:szCs w:val="24"/>
        </w:rPr>
        <w:t xml:space="preserve"> et l’assainissement au niveau du </w:t>
      </w:r>
      <w:r w:rsidRPr="00E6699C">
        <w:rPr>
          <w:szCs w:val="24"/>
        </w:rPr>
        <w:t>site ;</w:t>
      </w:r>
    </w:p>
    <w:p w14:paraId="4B2DFCBA" w14:textId="31DC3217" w:rsidR="00D62C56" w:rsidRPr="00E6699C" w:rsidRDefault="0097311D" w:rsidP="0095003D">
      <w:pPr>
        <w:numPr>
          <w:ilvl w:val="0"/>
          <w:numId w:val="125"/>
        </w:numPr>
        <w:spacing w:after="0" w:line="276" w:lineRule="auto"/>
        <w:ind w:left="754" w:hanging="357"/>
        <w:contextualSpacing/>
        <w:rPr>
          <w:szCs w:val="24"/>
        </w:rPr>
      </w:pPr>
      <w:r w:rsidRPr="00E6699C">
        <w:rPr>
          <w:szCs w:val="24"/>
        </w:rPr>
        <w:t>Le</w:t>
      </w:r>
      <w:r w:rsidR="00D62C56" w:rsidRPr="00E6699C">
        <w:rPr>
          <w:szCs w:val="24"/>
        </w:rPr>
        <w:t xml:space="preserve"> choix des lieux de stockage des </w:t>
      </w:r>
      <w:r w:rsidRPr="00E6699C">
        <w:rPr>
          <w:szCs w:val="24"/>
        </w:rPr>
        <w:t>produits ;</w:t>
      </w:r>
    </w:p>
    <w:p w14:paraId="3E453B85" w14:textId="5B1E5A5C" w:rsidR="00D62C56" w:rsidRPr="00E6699C" w:rsidRDefault="0097311D" w:rsidP="0095003D">
      <w:pPr>
        <w:numPr>
          <w:ilvl w:val="0"/>
          <w:numId w:val="125"/>
        </w:numPr>
        <w:spacing w:after="0" w:line="276" w:lineRule="auto"/>
        <w:ind w:left="754" w:hanging="357"/>
        <w:contextualSpacing/>
        <w:rPr>
          <w:szCs w:val="24"/>
        </w:rPr>
      </w:pPr>
      <w:r w:rsidRPr="00E6699C">
        <w:rPr>
          <w:szCs w:val="24"/>
        </w:rPr>
        <w:t>Le</w:t>
      </w:r>
      <w:r w:rsidR="00D62C56" w:rsidRPr="00E6699C">
        <w:rPr>
          <w:szCs w:val="24"/>
        </w:rPr>
        <w:t xml:space="preserve"> niveau d’entretien des engins et des camions (fiches </w:t>
      </w:r>
      <w:r w:rsidRPr="00E6699C">
        <w:rPr>
          <w:szCs w:val="24"/>
        </w:rPr>
        <w:t>d’entretien) ;</w:t>
      </w:r>
    </w:p>
    <w:p w14:paraId="01092FE4" w14:textId="01D51629" w:rsidR="00D62C56" w:rsidRPr="00E6699C" w:rsidRDefault="0097311D" w:rsidP="0095003D">
      <w:pPr>
        <w:numPr>
          <w:ilvl w:val="0"/>
          <w:numId w:val="125"/>
        </w:numPr>
        <w:spacing w:after="0" w:line="276" w:lineRule="auto"/>
        <w:ind w:left="754" w:hanging="357"/>
        <w:contextualSpacing/>
        <w:rPr>
          <w:szCs w:val="24"/>
        </w:rPr>
      </w:pPr>
      <w:r w:rsidRPr="00E6699C">
        <w:rPr>
          <w:szCs w:val="24"/>
        </w:rPr>
        <w:t>L’utilisation</w:t>
      </w:r>
      <w:r w:rsidR="00D62C56" w:rsidRPr="00E6699C">
        <w:rPr>
          <w:szCs w:val="24"/>
        </w:rPr>
        <w:t xml:space="preserve"> des </w:t>
      </w:r>
      <w:r w:rsidRPr="00E6699C">
        <w:rPr>
          <w:szCs w:val="24"/>
        </w:rPr>
        <w:t>EPI ;</w:t>
      </w:r>
    </w:p>
    <w:p w14:paraId="587EF7BF" w14:textId="5AD093D1" w:rsidR="00D62C56" w:rsidRPr="00E6699C" w:rsidRDefault="0097311D" w:rsidP="0095003D">
      <w:pPr>
        <w:numPr>
          <w:ilvl w:val="0"/>
          <w:numId w:val="125"/>
        </w:numPr>
        <w:spacing w:after="0" w:line="276" w:lineRule="auto"/>
        <w:ind w:left="754" w:hanging="357"/>
        <w:contextualSpacing/>
        <w:rPr>
          <w:szCs w:val="24"/>
        </w:rPr>
      </w:pPr>
      <w:r w:rsidRPr="00E6699C">
        <w:rPr>
          <w:szCs w:val="24"/>
        </w:rPr>
        <w:t>Le</w:t>
      </w:r>
      <w:r w:rsidR="00D62C56" w:rsidRPr="00E6699C">
        <w:rPr>
          <w:szCs w:val="24"/>
        </w:rPr>
        <w:t xml:space="preserve"> rythme de la mise en place des panneaux de signalisation </w:t>
      </w:r>
      <w:r w:rsidRPr="00E6699C">
        <w:rPr>
          <w:szCs w:val="24"/>
        </w:rPr>
        <w:t>temporaires ;</w:t>
      </w:r>
      <w:r w:rsidR="00D62C56" w:rsidRPr="00E6699C">
        <w:rPr>
          <w:szCs w:val="24"/>
        </w:rPr>
        <w:t xml:space="preserve"> </w:t>
      </w:r>
    </w:p>
    <w:p w14:paraId="19F343E4" w14:textId="51296A5F" w:rsidR="00D62C56" w:rsidRPr="00E6699C" w:rsidRDefault="0097311D" w:rsidP="0095003D">
      <w:pPr>
        <w:numPr>
          <w:ilvl w:val="0"/>
          <w:numId w:val="125"/>
        </w:numPr>
        <w:spacing w:after="0" w:line="276" w:lineRule="auto"/>
        <w:ind w:left="754" w:hanging="357"/>
        <w:contextualSpacing/>
        <w:rPr>
          <w:szCs w:val="24"/>
        </w:rPr>
      </w:pPr>
      <w:r w:rsidRPr="00E6699C">
        <w:rPr>
          <w:szCs w:val="24"/>
        </w:rPr>
        <w:t>Le</w:t>
      </w:r>
      <w:r w:rsidR="00D62C56" w:rsidRPr="00E6699C">
        <w:rPr>
          <w:szCs w:val="24"/>
        </w:rPr>
        <w:t xml:space="preserve"> niveau de mise en œuvre des autres mesures d’atténuation et d’élimination des impacts négatifs et de bonification des impacts positifs.</w:t>
      </w:r>
    </w:p>
    <w:p w14:paraId="2480372E" w14:textId="77777777" w:rsidR="00D62C56" w:rsidRPr="00E6699C" w:rsidRDefault="00D62C56" w:rsidP="00D62C56">
      <w:pPr>
        <w:spacing w:after="0" w:line="276" w:lineRule="auto"/>
        <w:contextualSpacing/>
        <w:rPr>
          <w:szCs w:val="24"/>
        </w:rPr>
      </w:pPr>
      <w:r w:rsidRPr="00E6699C">
        <w:rPr>
          <w:szCs w:val="24"/>
        </w:rPr>
        <w:t>Les indicateurs de surveillance sont :</w:t>
      </w:r>
    </w:p>
    <w:p w14:paraId="65D19FC6" w14:textId="5FE6DEDE" w:rsidR="00D62C56" w:rsidRPr="00E6699C" w:rsidRDefault="0097311D" w:rsidP="0095003D">
      <w:pPr>
        <w:numPr>
          <w:ilvl w:val="0"/>
          <w:numId w:val="125"/>
        </w:numPr>
        <w:spacing w:after="0" w:line="276" w:lineRule="auto"/>
        <w:ind w:left="754" w:hanging="357"/>
        <w:contextualSpacing/>
        <w:rPr>
          <w:szCs w:val="24"/>
        </w:rPr>
      </w:pPr>
      <w:r w:rsidRPr="00E6699C">
        <w:rPr>
          <w:szCs w:val="24"/>
        </w:rPr>
        <w:t>Les</w:t>
      </w:r>
      <w:r w:rsidR="00D62C56" w:rsidRPr="00E6699C">
        <w:rPr>
          <w:szCs w:val="24"/>
        </w:rPr>
        <w:t xml:space="preserve"> consultations pour maladies liées à </w:t>
      </w:r>
      <w:r w:rsidRPr="00E6699C">
        <w:rPr>
          <w:szCs w:val="24"/>
        </w:rPr>
        <w:t>l’activité ;</w:t>
      </w:r>
    </w:p>
    <w:p w14:paraId="35EB5462" w14:textId="37335668" w:rsidR="00D62C56" w:rsidRPr="00E6699C" w:rsidRDefault="0097311D" w:rsidP="0095003D">
      <w:pPr>
        <w:numPr>
          <w:ilvl w:val="0"/>
          <w:numId w:val="125"/>
        </w:numPr>
        <w:spacing w:after="0" w:line="276" w:lineRule="auto"/>
        <w:ind w:left="754" w:hanging="357"/>
        <w:contextualSpacing/>
        <w:rPr>
          <w:szCs w:val="24"/>
        </w:rPr>
      </w:pPr>
      <w:r w:rsidRPr="00E6699C">
        <w:rPr>
          <w:szCs w:val="24"/>
        </w:rPr>
        <w:t>Les</w:t>
      </w:r>
      <w:r w:rsidR="00D62C56" w:rsidRPr="00E6699C">
        <w:rPr>
          <w:szCs w:val="24"/>
        </w:rPr>
        <w:t xml:space="preserve"> emplois crées pour les travailleurs </w:t>
      </w:r>
      <w:r w:rsidRPr="00E6699C">
        <w:rPr>
          <w:szCs w:val="24"/>
        </w:rPr>
        <w:t>locaux ;</w:t>
      </w:r>
    </w:p>
    <w:p w14:paraId="20110B32" w14:textId="379F4D14" w:rsidR="00D62C56" w:rsidRPr="00E6699C" w:rsidRDefault="0097311D" w:rsidP="0095003D">
      <w:pPr>
        <w:numPr>
          <w:ilvl w:val="0"/>
          <w:numId w:val="125"/>
        </w:numPr>
        <w:spacing w:after="0" w:line="276" w:lineRule="auto"/>
        <w:ind w:left="754" w:hanging="357"/>
        <w:contextualSpacing/>
        <w:rPr>
          <w:szCs w:val="24"/>
        </w:rPr>
      </w:pPr>
      <w:r w:rsidRPr="00E6699C">
        <w:rPr>
          <w:szCs w:val="24"/>
        </w:rPr>
        <w:t>L’évolution</w:t>
      </w:r>
      <w:r w:rsidR="00D62C56" w:rsidRPr="00E6699C">
        <w:rPr>
          <w:szCs w:val="24"/>
        </w:rPr>
        <w:t xml:space="preserve"> des accidents liés à la perturbation de la circulation pendant les </w:t>
      </w:r>
      <w:r w:rsidRPr="00E6699C">
        <w:rPr>
          <w:szCs w:val="24"/>
        </w:rPr>
        <w:t>travaux ;</w:t>
      </w:r>
    </w:p>
    <w:p w14:paraId="48E73D9A" w14:textId="04EF67BE" w:rsidR="00D62C56" w:rsidRPr="00E6699C" w:rsidRDefault="0097311D" w:rsidP="0095003D">
      <w:pPr>
        <w:numPr>
          <w:ilvl w:val="0"/>
          <w:numId w:val="125"/>
        </w:numPr>
        <w:spacing w:after="0" w:line="276" w:lineRule="auto"/>
        <w:ind w:left="754" w:hanging="357"/>
        <w:contextualSpacing/>
        <w:rPr>
          <w:szCs w:val="24"/>
        </w:rPr>
      </w:pPr>
      <w:r w:rsidRPr="00E6699C">
        <w:rPr>
          <w:szCs w:val="24"/>
        </w:rPr>
        <w:t>Les</w:t>
      </w:r>
      <w:r w:rsidR="00D62C56" w:rsidRPr="00E6699C">
        <w:rPr>
          <w:szCs w:val="24"/>
        </w:rPr>
        <w:t xml:space="preserve"> panneaux de signalisation mis en </w:t>
      </w:r>
      <w:r w:rsidRPr="00E6699C">
        <w:rPr>
          <w:szCs w:val="24"/>
        </w:rPr>
        <w:t>place ;</w:t>
      </w:r>
    </w:p>
    <w:p w14:paraId="6A331EE0" w14:textId="705D052D" w:rsidR="00D62C56" w:rsidRPr="00E6699C" w:rsidRDefault="0097311D" w:rsidP="0095003D">
      <w:pPr>
        <w:numPr>
          <w:ilvl w:val="0"/>
          <w:numId w:val="125"/>
        </w:numPr>
        <w:spacing w:after="0" w:line="276" w:lineRule="auto"/>
        <w:ind w:left="754" w:hanging="357"/>
        <w:contextualSpacing/>
        <w:rPr>
          <w:szCs w:val="24"/>
        </w:rPr>
      </w:pPr>
      <w:r w:rsidRPr="00E6699C">
        <w:rPr>
          <w:szCs w:val="24"/>
        </w:rPr>
        <w:t>Les</w:t>
      </w:r>
      <w:r w:rsidR="00D62C56" w:rsidRPr="00E6699C">
        <w:rPr>
          <w:szCs w:val="24"/>
        </w:rPr>
        <w:t xml:space="preserve"> séances de sensibilisation </w:t>
      </w:r>
      <w:r w:rsidRPr="00E6699C">
        <w:rPr>
          <w:szCs w:val="24"/>
        </w:rPr>
        <w:t>organisées ;</w:t>
      </w:r>
    </w:p>
    <w:p w14:paraId="463460B9" w14:textId="472985EE" w:rsidR="00D62C56" w:rsidRPr="00E6699C" w:rsidRDefault="0097311D" w:rsidP="0095003D">
      <w:pPr>
        <w:numPr>
          <w:ilvl w:val="0"/>
          <w:numId w:val="125"/>
        </w:numPr>
        <w:spacing w:after="0" w:line="276" w:lineRule="auto"/>
        <w:ind w:left="754" w:hanging="357"/>
        <w:contextualSpacing/>
        <w:rPr>
          <w:szCs w:val="24"/>
        </w:rPr>
      </w:pPr>
      <w:r w:rsidRPr="00E6699C">
        <w:rPr>
          <w:szCs w:val="24"/>
        </w:rPr>
        <w:t>Les</w:t>
      </w:r>
      <w:r w:rsidR="00D62C56" w:rsidRPr="00E6699C">
        <w:rPr>
          <w:szCs w:val="24"/>
        </w:rPr>
        <w:t xml:space="preserve"> relations de l’entreprise avec les autorités politiques, administratives et les populations des communes.</w:t>
      </w:r>
    </w:p>
    <w:p w14:paraId="626F81E1" w14:textId="77777777" w:rsidR="00D62C56" w:rsidRPr="00E6699C" w:rsidRDefault="00D62C56" w:rsidP="00D62C56">
      <w:pPr>
        <w:spacing w:after="0" w:line="276" w:lineRule="auto"/>
        <w:contextualSpacing/>
        <w:rPr>
          <w:szCs w:val="24"/>
        </w:rPr>
      </w:pPr>
      <w:r w:rsidRPr="00E6699C">
        <w:rPr>
          <w:szCs w:val="24"/>
        </w:rPr>
        <w:t>L’analyse de ces indicateurs constitue l’intrant principal des rapports de surveillance.</w:t>
      </w:r>
    </w:p>
    <w:p w14:paraId="6AD68B6C" w14:textId="77777777" w:rsidR="00D62C56" w:rsidRPr="00E6699C" w:rsidRDefault="00D62C56" w:rsidP="00D62C56">
      <w:pPr>
        <w:pStyle w:val="Lgende"/>
        <w:spacing w:before="120"/>
        <w:rPr>
          <w:sz w:val="22"/>
        </w:rPr>
      </w:pPr>
      <w:bookmarkStart w:id="698" w:name="_Toc49725717"/>
    </w:p>
    <w:p w14:paraId="43AFA3A6" w14:textId="6993E4F8" w:rsidR="00D62C56" w:rsidRPr="00E6699C" w:rsidRDefault="00D62C56" w:rsidP="00D62C56">
      <w:pPr>
        <w:pStyle w:val="Lgende"/>
        <w:spacing w:before="120"/>
        <w:rPr>
          <w:sz w:val="22"/>
          <w:szCs w:val="24"/>
        </w:rPr>
      </w:pPr>
      <w:r w:rsidRPr="00E6699C">
        <w:rPr>
          <w:sz w:val="22"/>
        </w:rPr>
        <w:t xml:space="preserve">Tableau </w:t>
      </w:r>
      <w:r w:rsidRPr="00E6699C">
        <w:rPr>
          <w:sz w:val="22"/>
        </w:rPr>
        <w:fldChar w:fldCharType="begin"/>
      </w:r>
      <w:r w:rsidRPr="00E6699C">
        <w:rPr>
          <w:sz w:val="22"/>
        </w:rPr>
        <w:instrText xml:space="preserve"> SEQ Tableau \* ARABIC </w:instrText>
      </w:r>
      <w:r w:rsidRPr="00E6699C">
        <w:rPr>
          <w:sz w:val="22"/>
        </w:rPr>
        <w:fldChar w:fldCharType="separate"/>
      </w:r>
      <w:r w:rsidR="006C5B9E">
        <w:rPr>
          <w:noProof/>
          <w:sz w:val="22"/>
        </w:rPr>
        <w:t>1</w:t>
      </w:r>
      <w:r w:rsidRPr="00E6699C">
        <w:rPr>
          <w:sz w:val="22"/>
        </w:rPr>
        <w:fldChar w:fldCharType="end"/>
      </w:r>
      <w:r w:rsidRPr="00E6699C">
        <w:rPr>
          <w:sz w:val="22"/>
        </w:rPr>
        <w:t>: Niveau de surveillance environnementale correspondant aux activités successives</w:t>
      </w:r>
      <w:bookmarkEnd w:id="69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52"/>
        <w:gridCol w:w="3594"/>
        <w:gridCol w:w="2898"/>
      </w:tblGrid>
      <w:tr w:rsidR="00D62C56" w:rsidRPr="00E6699C" w14:paraId="60C3F347" w14:textId="77777777" w:rsidTr="00FB5DF2">
        <w:trPr>
          <w:trHeight w:val="223"/>
        </w:trPr>
        <w:tc>
          <w:tcPr>
            <w:tcW w:w="1599" w:type="pct"/>
            <w:shd w:val="clear" w:color="auto" w:fill="BFBFBF" w:themeFill="background1" w:themeFillShade="BF"/>
            <w:vAlign w:val="center"/>
          </w:tcPr>
          <w:p w14:paraId="4425E30F" w14:textId="77777777" w:rsidR="00D62C56" w:rsidRPr="00E6699C" w:rsidRDefault="00D62C56" w:rsidP="00FB5DF2">
            <w:pPr>
              <w:spacing w:after="0"/>
              <w:rPr>
                <w:b/>
                <w:szCs w:val="24"/>
                <w:lang w:val="fr-CA"/>
              </w:rPr>
            </w:pPr>
            <w:bookmarkStart w:id="699" w:name="_Hlk50559107"/>
            <w:r w:rsidRPr="00E6699C">
              <w:rPr>
                <w:b/>
                <w:szCs w:val="24"/>
                <w:lang w:val="fr-CA"/>
              </w:rPr>
              <w:t>Activités du sous-projet</w:t>
            </w:r>
          </w:p>
        </w:tc>
        <w:tc>
          <w:tcPr>
            <w:tcW w:w="1883" w:type="pct"/>
            <w:shd w:val="clear" w:color="auto" w:fill="BFBFBF" w:themeFill="background1" w:themeFillShade="BF"/>
            <w:vAlign w:val="center"/>
          </w:tcPr>
          <w:p w14:paraId="7C84826C" w14:textId="77777777" w:rsidR="00D62C56" w:rsidRPr="00E6699C" w:rsidRDefault="00D62C56" w:rsidP="00FB5DF2">
            <w:pPr>
              <w:spacing w:after="0"/>
              <w:rPr>
                <w:b/>
                <w:szCs w:val="24"/>
                <w:lang w:val="fr-CA"/>
              </w:rPr>
            </w:pPr>
            <w:r w:rsidRPr="00E6699C">
              <w:rPr>
                <w:b/>
                <w:szCs w:val="24"/>
                <w:lang w:val="fr-CA"/>
              </w:rPr>
              <w:t>Acteurs impliqués</w:t>
            </w:r>
          </w:p>
        </w:tc>
        <w:tc>
          <w:tcPr>
            <w:tcW w:w="1518" w:type="pct"/>
            <w:shd w:val="clear" w:color="auto" w:fill="BFBFBF" w:themeFill="background1" w:themeFillShade="BF"/>
            <w:vAlign w:val="center"/>
          </w:tcPr>
          <w:p w14:paraId="028C707C" w14:textId="77777777" w:rsidR="00D62C56" w:rsidRPr="00E6699C" w:rsidRDefault="00D62C56" w:rsidP="00FB5DF2">
            <w:pPr>
              <w:spacing w:after="0"/>
              <w:rPr>
                <w:b/>
                <w:szCs w:val="24"/>
                <w:lang w:val="fr-CA"/>
              </w:rPr>
            </w:pPr>
            <w:r w:rsidRPr="00E6699C">
              <w:rPr>
                <w:b/>
                <w:szCs w:val="24"/>
                <w:lang w:val="fr-CA"/>
              </w:rPr>
              <w:t>Niveau de surveillance</w:t>
            </w:r>
          </w:p>
        </w:tc>
      </w:tr>
      <w:tr w:rsidR="00D62C56" w:rsidRPr="00E6699C" w14:paraId="490DDE35" w14:textId="77777777" w:rsidTr="00FB5DF2">
        <w:trPr>
          <w:trHeight w:val="454"/>
        </w:trPr>
        <w:tc>
          <w:tcPr>
            <w:tcW w:w="1599" w:type="pct"/>
            <w:vAlign w:val="center"/>
          </w:tcPr>
          <w:p w14:paraId="5858C768" w14:textId="77777777" w:rsidR="00D62C56" w:rsidRPr="00E6699C" w:rsidRDefault="00D62C56" w:rsidP="00FB5DF2">
            <w:pPr>
              <w:rPr>
                <w:szCs w:val="24"/>
              </w:rPr>
            </w:pPr>
            <w:r w:rsidRPr="00E6699C">
              <w:rPr>
                <w:szCs w:val="24"/>
              </w:rPr>
              <w:t>Installation du chantier</w:t>
            </w:r>
          </w:p>
        </w:tc>
        <w:tc>
          <w:tcPr>
            <w:tcW w:w="1883" w:type="pct"/>
            <w:vAlign w:val="center"/>
          </w:tcPr>
          <w:p w14:paraId="60E6BEBD" w14:textId="77777777" w:rsidR="00D62C56" w:rsidRPr="00E6699C" w:rsidRDefault="00D62C56" w:rsidP="0095003D">
            <w:pPr>
              <w:numPr>
                <w:ilvl w:val="0"/>
                <w:numId w:val="125"/>
              </w:numPr>
              <w:spacing w:after="0"/>
              <w:ind w:left="720"/>
            </w:pPr>
            <w:r w:rsidRPr="00E6699C">
              <w:t>Communes</w:t>
            </w:r>
          </w:p>
          <w:p w14:paraId="0F305053" w14:textId="77777777" w:rsidR="00D62C56" w:rsidRPr="00E6699C" w:rsidRDefault="00D62C56" w:rsidP="0095003D">
            <w:pPr>
              <w:numPr>
                <w:ilvl w:val="0"/>
                <w:numId w:val="125"/>
              </w:numPr>
              <w:spacing w:after="0"/>
              <w:ind w:left="720"/>
            </w:pPr>
            <w:r w:rsidRPr="00E6699C">
              <w:t>Bureau de contrôle</w:t>
            </w:r>
          </w:p>
          <w:p w14:paraId="4B8636B3" w14:textId="77777777" w:rsidR="00D62C56" w:rsidRPr="00E6699C" w:rsidRDefault="00D62C56" w:rsidP="0095003D">
            <w:pPr>
              <w:numPr>
                <w:ilvl w:val="0"/>
                <w:numId w:val="125"/>
              </w:numPr>
              <w:spacing w:after="0"/>
              <w:ind w:left="720"/>
            </w:pPr>
            <w:r w:rsidRPr="00E6699C">
              <w:t>Opérateur de Solution d’Irrigation</w:t>
            </w:r>
          </w:p>
          <w:p w14:paraId="76ED53DB" w14:textId="77777777" w:rsidR="00D62C56" w:rsidRPr="00E6699C" w:rsidRDefault="00D62C56" w:rsidP="0095003D">
            <w:pPr>
              <w:numPr>
                <w:ilvl w:val="0"/>
                <w:numId w:val="125"/>
              </w:numPr>
              <w:spacing w:after="0"/>
              <w:ind w:left="720"/>
            </w:pPr>
            <w:r w:rsidRPr="00E6699C">
              <w:t xml:space="preserve">CES/Entreprises </w:t>
            </w:r>
          </w:p>
        </w:tc>
        <w:tc>
          <w:tcPr>
            <w:tcW w:w="1518" w:type="pct"/>
            <w:vAlign w:val="center"/>
          </w:tcPr>
          <w:p w14:paraId="09B6E8CE" w14:textId="77777777" w:rsidR="00D62C56" w:rsidRPr="00E6699C" w:rsidRDefault="00D62C56" w:rsidP="00FB5DF2">
            <w:pPr>
              <w:spacing w:after="0"/>
              <w:rPr>
                <w:szCs w:val="24"/>
              </w:rPr>
            </w:pPr>
            <w:r w:rsidRPr="00E6699C">
              <w:rPr>
                <w:szCs w:val="24"/>
              </w:rPr>
              <w:t>Quotidienne</w:t>
            </w:r>
          </w:p>
        </w:tc>
      </w:tr>
      <w:tr w:rsidR="00D62C56" w:rsidRPr="00E6699C" w14:paraId="3B5841F6" w14:textId="77777777" w:rsidTr="00FB5DF2">
        <w:trPr>
          <w:trHeight w:val="454"/>
        </w:trPr>
        <w:tc>
          <w:tcPr>
            <w:tcW w:w="1599" w:type="pct"/>
            <w:vAlign w:val="center"/>
          </w:tcPr>
          <w:p w14:paraId="34127A03" w14:textId="77777777" w:rsidR="00D62C56" w:rsidRPr="00E6699C" w:rsidRDefault="00D62C56" w:rsidP="00FB5DF2">
            <w:pPr>
              <w:rPr>
                <w:szCs w:val="24"/>
              </w:rPr>
            </w:pPr>
            <w:r w:rsidRPr="00E6699C">
              <w:rPr>
                <w:szCs w:val="24"/>
              </w:rPr>
              <w:t>Exécution des travaux</w:t>
            </w:r>
          </w:p>
        </w:tc>
        <w:tc>
          <w:tcPr>
            <w:tcW w:w="1883" w:type="pct"/>
            <w:vAlign w:val="center"/>
          </w:tcPr>
          <w:p w14:paraId="43DF8800" w14:textId="77777777" w:rsidR="00D62C56" w:rsidRPr="00E6699C" w:rsidRDefault="00D62C56" w:rsidP="0095003D">
            <w:pPr>
              <w:numPr>
                <w:ilvl w:val="0"/>
                <w:numId w:val="125"/>
              </w:numPr>
              <w:spacing w:after="0"/>
              <w:ind w:left="720"/>
            </w:pPr>
            <w:r w:rsidRPr="00E6699C">
              <w:t>Bureau de contrôle</w:t>
            </w:r>
          </w:p>
          <w:p w14:paraId="717149B4" w14:textId="77777777" w:rsidR="00D62C56" w:rsidRPr="00E6699C" w:rsidRDefault="00D62C56" w:rsidP="0095003D">
            <w:pPr>
              <w:numPr>
                <w:ilvl w:val="0"/>
                <w:numId w:val="125"/>
              </w:numPr>
              <w:spacing w:after="0"/>
              <w:ind w:left="720"/>
            </w:pPr>
            <w:r w:rsidRPr="00E6699C">
              <w:t>Opérateur de Solution d’Irrigation</w:t>
            </w:r>
          </w:p>
          <w:p w14:paraId="22257933" w14:textId="77777777" w:rsidR="00D62C56" w:rsidRPr="00E6699C" w:rsidRDefault="00D62C56" w:rsidP="0095003D">
            <w:pPr>
              <w:numPr>
                <w:ilvl w:val="0"/>
                <w:numId w:val="125"/>
              </w:numPr>
              <w:spacing w:after="0"/>
              <w:ind w:left="720"/>
            </w:pPr>
            <w:r w:rsidRPr="00E6699C">
              <w:t>CES/Entreprises</w:t>
            </w:r>
          </w:p>
        </w:tc>
        <w:tc>
          <w:tcPr>
            <w:tcW w:w="1518" w:type="pct"/>
            <w:vAlign w:val="center"/>
          </w:tcPr>
          <w:p w14:paraId="12A76848" w14:textId="77777777" w:rsidR="00D62C56" w:rsidRPr="00E6699C" w:rsidRDefault="00D62C56" w:rsidP="00FB5DF2">
            <w:pPr>
              <w:spacing w:after="0"/>
              <w:rPr>
                <w:szCs w:val="24"/>
              </w:rPr>
            </w:pPr>
            <w:r w:rsidRPr="00E6699C">
              <w:rPr>
                <w:szCs w:val="24"/>
              </w:rPr>
              <w:t>Quotidienne</w:t>
            </w:r>
          </w:p>
        </w:tc>
      </w:tr>
      <w:tr w:rsidR="00D62C56" w:rsidRPr="00E6699C" w14:paraId="64D94336" w14:textId="77777777" w:rsidTr="00FB5DF2">
        <w:trPr>
          <w:trHeight w:val="454"/>
        </w:trPr>
        <w:tc>
          <w:tcPr>
            <w:tcW w:w="1599" w:type="pct"/>
            <w:vAlign w:val="center"/>
          </w:tcPr>
          <w:p w14:paraId="43E74FDC" w14:textId="77777777" w:rsidR="00D62C56" w:rsidRPr="00E6699C" w:rsidRDefault="00D62C56" w:rsidP="00FB5DF2">
            <w:pPr>
              <w:rPr>
                <w:szCs w:val="24"/>
              </w:rPr>
            </w:pPr>
            <w:r w:rsidRPr="00E6699C">
              <w:rPr>
                <w:szCs w:val="24"/>
              </w:rPr>
              <w:t>Activités de fin de travaux</w:t>
            </w:r>
          </w:p>
        </w:tc>
        <w:tc>
          <w:tcPr>
            <w:tcW w:w="1883" w:type="pct"/>
            <w:vAlign w:val="center"/>
          </w:tcPr>
          <w:p w14:paraId="1BEF8E6E" w14:textId="77777777" w:rsidR="00D62C56" w:rsidRPr="00E6699C" w:rsidRDefault="00D62C56" w:rsidP="0095003D">
            <w:pPr>
              <w:numPr>
                <w:ilvl w:val="0"/>
                <w:numId w:val="125"/>
              </w:numPr>
              <w:spacing w:after="0"/>
              <w:ind w:left="720"/>
            </w:pPr>
            <w:r w:rsidRPr="00E6699C">
              <w:t>Communes</w:t>
            </w:r>
          </w:p>
          <w:p w14:paraId="5037CDD4" w14:textId="77777777" w:rsidR="00D62C56" w:rsidRPr="00E6699C" w:rsidRDefault="00D62C56" w:rsidP="0095003D">
            <w:pPr>
              <w:numPr>
                <w:ilvl w:val="0"/>
                <w:numId w:val="125"/>
              </w:numPr>
              <w:spacing w:after="0"/>
              <w:ind w:left="720"/>
            </w:pPr>
          </w:p>
          <w:p w14:paraId="07E01CE1" w14:textId="77777777" w:rsidR="00D62C56" w:rsidRPr="00E6699C" w:rsidRDefault="00D62C56" w:rsidP="0095003D">
            <w:pPr>
              <w:numPr>
                <w:ilvl w:val="0"/>
                <w:numId w:val="125"/>
              </w:numPr>
              <w:spacing w:after="0"/>
              <w:ind w:left="720"/>
            </w:pPr>
            <w:r w:rsidRPr="00E6699C">
              <w:t>Bureau de contrôle</w:t>
            </w:r>
          </w:p>
          <w:p w14:paraId="3BC09591" w14:textId="77777777" w:rsidR="00D62C56" w:rsidRPr="00E6699C" w:rsidRDefault="00D62C56" w:rsidP="0095003D">
            <w:pPr>
              <w:numPr>
                <w:ilvl w:val="0"/>
                <w:numId w:val="125"/>
              </w:numPr>
              <w:spacing w:after="0"/>
              <w:ind w:left="720"/>
            </w:pPr>
            <w:r w:rsidRPr="00E6699C">
              <w:t>Opérateur de Solution d’Irrigation</w:t>
            </w:r>
          </w:p>
          <w:p w14:paraId="6636AD7F" w14:textId="77777777" w:rsidR="00D62C56" w:rsidRPr="00E6699C" w:rsidRDefault="00D62C56" w:rsidP="0095003D">
            <w:pPr>
              <w:numPr>
                <w:ilvl w:val="0"/>
                <w:numId w:val="125"/>
              </w:numPr>
              <w:spacing w:after="0"/>
              <w:ind w:left="720"/>
            </w:pPr>
            <w:r w:rsidRPr="00E6699C">
              <w:t xml:space="preserve">CES/Entreprises </w:t>
            </w:r>
          </w:p>
        </w:tc>
        <w:tc>
          <w:tcPr>
            <w:tcW w:w="1518" w:type="pct"/>
            <w:vAlign w:val="center"/>
          </w:tcPr>
          <w:p w14:paraId="5AAAC876" w14:textId="77777777" w:rsidR="00D62C56" w:rsidRPr="00E6699C" w:rsidRDefault="00D62C56" w:rsidP="00FB5DF2">
            <w:pPr>
              <w:spacing w:after="0"/>
              <w:rPr>
                <w:szCs w:val="24"/>
              </w:rPr>
            </w:pPr>
            <w:r w:rsidRPr="00E6699C">
              <w:rPr>
                <w:szCs w:val="24"/>
              </w:rPr>
              <w:t>Quotidienne</w:t>
            </w:r>
          </w:p>
        </w:tc>
      </w:tr>
    </w:tbl>
    <w:p w14:paraId="4C48F938" w14:textId="3B9C928C" w:rsidR="00D62C56" w:rsidRPr="00E6699C" w:rsidRDefault="00D62C56" w:rsidP="0097311D">
      <w:bookmarkStart w:id="700" w:name="_Hlk51154544"/>
      <w:bookmarkStart w:id="701" w:name="_Toc11060725"/>
      <w:bookmarkStart w:id="702" w:name="_Toc49725685"/>
      <w:bookmarkEnd w:id="699"/>
      <w:r w:rsidRPr="00E6699C">
        <w:t xml:space="preserve">L’UGP/PARIIS assurera la supervision générale des activités. </w:t>
      </w:r>
    </w:p>
    <w:bookmarkEnd w:id="700"/>
    <w:p w14:paraId="268DB19C" w14:textId="77777777" w:rsidR="00D62C56" w:rsidRPr="00E6699C" w:rsidRDefault="00D62C56" w:rsidP="00D62C56">
      <w:pPr>
        <w:pStyle w:val="Titre2"/>
        <w:spacing w:before="240" w:after="240"/>
        <w:ind w:left="360" w:firstLine="0"/>
        <w:rPr>
          <w:rFonts w:asciiTheme="minorHAnsi" w:hAnsiTheme="minorHAnsi" w:cstheme="minorHAnsi"/>
          <w:sz w:val="24"/>
        </w:rPr>
      </w:pPr>
      <w:r w:rsidRPr="0097311D">
        <w:rPr>
          <w:sz w:val="24"/>
          <w:szCs w:val="24"/>
        </w:rPr>
        <w:t>2.2.</w:t>
      </w:r>
      <w:r w:rsidRPr="0097311D">
        <w:rPr>
          <w:sz w:val="24"/>
          <w:szCs w:val="24"/>
        </w:rPr>
        <w:tab/>
      </w:r>
      <w:r w:rsidRPr="0097311D">
        <w:rPr>
          <w:sz w:val="24"/>
        </w:rPr>
        <w:t>Suivi environnemental</w:t>
      </w:r>
      <w:bookmarkEnd w:id="701"/>
      <w:bookmarkEnd w:id="702"/>
    </w:p>
    <w:p w14:paraId="6119A747" w14:textId="7AFBD6A5" w:rsidR="0097311D" w:rsidRPr="005B0E5B" w:rsidRDefault="0097311D" w:rsidP="0097311D">
      <w:bookmarkStart w:id="703" w:name="_Toc49725718"/>
      <w:r w:rsidRPr="005B0E5B">
        <w:t>Le suivi environnemental est une activité d'observations et de mesures à moyen et long terme qui</w:t>
      </w:r>
      <w:r>
        <w:t xml:space="preserve"> </w:t>
      </w:r>
      <w:r w:rsidRPr="005B0E5B">
        <w:t>vise à déterminer les impacts réels les plus préoccupants du projet comparativement aux pronostics d'impacts réalisés lors de l’étude d'impact. Cela permet au promoteur de réagir promptement à la défaillance d’une mesure d’atténuation ou à toute nouvelle perturbation du milieu par la mise en œuvre, le cas échant, les correctifs nécessaires. Il s’agira d’observer l’évolution de certaines composantes des milieux biologique, physique et humain affectés par la réalisation du projet. En somme, l’opération de suivi vise à vérifier l’efficacité de la mise en œuvre des mesures du plan de gestion environnementale et sociale, le respect des recommandations de l’avis du Ministre chargé de l’Environnement et la pertinence en cours d’exécution des mesures d’atténuation et de compensation préalablement proposées. Le suivi environnemental sera de la responsabilité des différents organismes impliqués dans l'exécution et l'opérationnalisation du projet.</w:t>
      </w:r>
    </w:p>
    <w:p w14:paraId="3033445B" w14:textId="77777777" w:rsidR="0097311D" w:rsidRPr="005B0E5B" w:rsidRDefault="0097311D" w:rsidP="0095003D">
      <w:pPr>
        <w:pStyle w:val="Paragraphedeliste"/>
        <w:numPr>
          <w:ilvl w:val="0"/>
          <w:numId w:val="143"/>
        </w:numPr>
        <w:spacing w:after="120" w:line="276" w:lineRule="auto"/>
        <w:rPr>
          <w:rFonts w:cs="Arial"/>
          <w:b/>
        </w:rPr>
      </w:pPr>
      <w:r w:rsidRPr="005B0E5B">
        <w:rPr>
          <w:rFonts w:cs="Arial"/>
          <w:b/>
        </w:rPr>
        <w:t>UGP/ PARIIS et DRACPN</w:t>
      </w:r>
    </w:p>
    <w:p w14:paraId="72783E5D" w14:textId="7F8A8F49" w:rsidR="0097311D" w:rsidRPr="005B0E5B" w:rsidRDefault="0097311D" w:rsidP="0097311D">
      <w:pPr>
        <w:spacing w:line="276" w:lineRule="auto"/>
        <w:contextualSpacing/>
      </w:pPr>
      <w:r w:rsidRPr="005B0E5B">
        <w:t xml:space="preserve">L’UGP/PARIIS et la DRACPN de Koulikoro auront en charge la coordination de toutes les activités du PGES proprement dites sur le projet. Ils canaliseront l’intervention des différents partenaires sur les différents sites des travaux. Ils assureront les missions de suivi environnemental. Elles canaliseront à son niveau toutes les informations et toutes les correspondances liées aux activités du chantier concernant la mise en application du </w:t>
      </w:r>
      <w:proofErr w:type="spellStart"/>
      <w:r w:rsidRPr="005B0E5B">
        <w:t>PGES.Pour</w:t>
      </w:r>
      <w:proofErr w:type="spellEnd"/>
      <w:r w:rsidRPr="005B0E5B">
        <w:t xml:space="preserve"> les activités de suivi, la DRACPN est la courroie de transmission entre les autres acteurs et le maître d’ouvrage.</w:t>
      </w:r>
    </w:p>
    <w:p w14:paraId="5D19035F" w14:textId="6E50938E" w:rsidR="0097311D" w:rsidRPr="005B0E5B" w:rsidRDefault="0097311D" w:rsidP="0097311D">
      <w:pPr>
        <w:spacing w:line="276" w:lineRule="auto"/>
        <w:ind w:left="0" w:firstLine="0"/>
        <w:contextualSpacing/>
      </w:pPr>
      <w:r w:rsidRPr="005B0E5B">
        <w:t>A la fin des travaux, le suivi de l’UGP/PARIIS portera principalement sur les travaux de finition qui renforceront l’image du projet. Il s’agit du suivi des travaux portant sur :</w:t>
      </w:r>
    </w:p>
    <w:p w14:paraId="23A34D92" w14:textId="77777777" w:rsidR="0097311D" w:rsidRPr="005B0E5B" w:rsidRDefault="0097311D" w:rsidP="0095003D">
      <w:pPr>
        <w:pStyle w:val="Paragraphedeliste"/>
        <w:numPr>
          <w:ilvl w:val="0"/>
          <w:numId w:val="142"/>
        </w:numPr>
        <w:spacing w:after="0" w:line="276" w:lineRule="auto"/>
        <w:rPr>
          <w:rFonts w:cs="Arial"/>
        </w:rPr>
      </w:pPr>
      <w:r w:rsidRPr="005B0E5B">
        <w:rPr>
          <w:rFonts w:cs="Arial"/>
        </w:rPr>
        <w:t xml:space="preserve">Le nettoyage des sites des installations de chantier ; </w:t>
      </w:r>
    </w:p>
    <w:p w14:paraId="4AE3AFC2" w14:textId="77777777" w:rsidR="0097311D" w:rsidRPr="005B0E5B" w:rsidRDefault="0097311D" w:rsidP="0095003D">
      <w:pPr>
        <w:pStyle w:val="Paragraphedeliste"/>
        <w:numPr>
          <w:ilvl w:val="0"/>
          <w:numId w:val="142"/>
        </w:numPr>
        <w:spacing w:after="0" w:line="276" w:lineRule="auto"/>
        <w:rPr>
          <w:rFonts w:cs="Arial"/>
        </w:rPr>
      </w:pPr>
      <w:r w:rsidRPr="005B0E5B">
        <w:rPr>
          <w:rFonts w:cs="Arial"/>
        </w:rPr>
        <w:t xml:space="preserve">La remise en état des sites dégradés ; </w:t>
      </w:r>
    </w:p>
    <w:p w14:paraId="2728258D" w14:textId="31EEAA2A" w:rsidR="0097311D" w:rsidRPr="0097311D" w:rsidRDefault="0097311D" w:rsidP="0095003D">
      <w:pPr>
        <w:pStyle w:val="Paragraphedeliste"/>
        <w:numPr>
          <w:ilvl w:val="0"/>
          <w:numId w:val="142"/>
        </w:numPr>
        <w:spacing w:after="0" w:line="276" w:lineRule="auto"/>
        <w:rPr>
          <w:rFonts w:cs="Arial"/>
        </w:rPr>
      </w:pPr>
      <w:r w:rsidRPr="005B0E5B">
        <w:rPr>
          <w:rFonts w:cs="Arial"/>
        </w:rPr>
        <w:t>Le transfert aux populations riveraines de certaines installations de chantier.</w:t>
      </w:r>
    </w:p>
    <w:p w14:paraId="79AB6B17" w14:textId="2C02E47A" w:rsidR="0097311D" w:rsidRPr="005B0E5B" w:rsidRDefault="0097311D" w:rsidP="0097311D">
      <w:pPr>
        <w:spacing w:line="276" w:lineRule="auto"/>
        <w:contextualSpacing/>
      </w:pPr>
      <w:r w:rsidRPr="005B0E5B">
        <w:t>Pour la bonne exécution de sa mission, elle pourrait au besoin avoir recours aux compétences d’autres services comme la DREF, la DRA, DRGR, la DRH, les laboratoires d’analyse des eaux et d’autres prestataires (ONG, associations, bureaux d’étude).</w:t>
      </w:r>
    </w:p>
    <w:p w14:paraId="40385874" w14:textId="77777777" w:rsidR="0097311D" w:rsidRPr="005B0E5B" w:rsidRDefault="0097311D" w:rsidP="0095003D">
      <w:pPr>
        <w:pStyle w:val="Paragraphedeliste"/>
        <w:numPr>
          <w:ilvl w:val="0"/>
          <w:numId w:val="144"/>
        </w:numPr>
        <w:spacing w:after="120" w:line="276" w:lineRule="auto"/>
        <w:contextualSpacing w:val="0"/>
        <w:rPr>
          <w:rFonts w:cs="Arial"/>
          <w:b/>
        </w:rPr>
      </w:pPr>
      <w:r w:rsidRPr="005B0E5B">
        <w:rPr>
          <w:rFonts w:cs="Arial"/>
          <w:b/>
        </w:rPr>
        <w:t>Bureau de contrôle et de surveillance des travaux (Mission de Contrôle : MOD)</w:t>
      </w:r>
    </w:p>
    <w:p w14:paraId="218EC7F1" w14:textId="207A3B49" w:rsidR="0097311D" w:rsidRPr="0097311D" w:rsidRDefault="0097311D" w:rsidP="0097311D">
      <w:pPr>
        <w:spacing w:before="120"/>
        <w:rPr>
          <w:rFonts w:cs="Arial"/>
        </w:rPr>
      </w:pPr>
      <w:r w:rsidRPr="005B0E5B">
        <w:rPr>
          <w:rFonts w:cs="Arial"/>
        </w:rPr>
        <w:t>L’expert en sauvegarde environnementale et sociale du Bureau de Contrôle assurera la surveillance des travaux et la mise en œuvre des mesures contenues dans le PGES.</w:t>
      </w:r>
    </w:p>
    <w:p w14:paraId="7D992397" w14:textId="77777777" w:rsidR="0097311D" w:rsidRPr="005B0E5B" w:rsidRDefault="0097311D" w:rsidP="0095003D">
      <w:pPr>
        <w:pStyle w:val="Paragraphedeliste"/>
        <w:numPr>
          <w:ilvl w:val="0"/>
          <w:numId w:val="144"/>
        </w:numPr>
        <w:spacing w:after="120" w:line="276" w:lineRule="auto"/>
        <w:contextualSpacing w:val="0"/>
        <w:rPr>
          <w:rFonts w:cs="Arial"/>
          <w:b/>
        </w:rPr>
      </w:pPr>
      <w:r w:rsidRPr="005B0E5B">
        <w:rPr>
          <w:rFonts w:cs="Arial"/>
          <w:b/>
        </w:rPr>
        <w:t>Entreprise en charge des travaux</w:t>
      </w:r>
    </w:p>
    <w:p w14:paraId="7CB94370" w14:textId="3099166E" w:rsidR="0097311D" w:rsidRPr="0097311D" w:rsidRDefault="0097311D" w:rsidP="0097311D">
      <w:pPr>
        <w:spacing w:line="276" w:lineRule="auto"/>
        <w:rPr>
          <w:rFonts w:cs="Arial"/>
          <w:bCs/>
          <w:color w:val="000000" w:themeColor="text1"/>
        </w:rPr>
      </w:pPr>
      <w:r w:rsidRPr="005B0E5B">
        <w:t xml:space="preserve">Elle mettra en place les moyens matériels, humains et financiers pour la stricte application des mesures de surveillance environnementale contenues dans le </w:t>
      </w:r>
      <w:proofErr w:type="spellStart"/>
      <w:r w:rsidRPr="005B0E5B">
        <w:t>PGES.</w:t>
      </w:r>
      <w:r w:rsidRPr="005B0E5B">
        <w:rPr>
          <w:rFonts w:cs="Arial"/>
          <w:bCs/>
        </w:rPr>
        <w:t>L’équipe</w:t>
      </w:r>
      <w:proofErr w:type="spellEnd"/>
      <w:r w:rsidRPr="005B0E5B">
        <w:rPr>
          <w:rFonts w:cs="Arial"/>
          <w:bCs/>
        </w:rPr>
        <w:t xml:space="preserve"> de suivi sera mise en place dès la phase d’avant-projet détaillé, afin de donner toute leur portée aux dispositions environnementales et sociales prévues, et d’anticiper très en amont les difficultés pouvant survenir. Elle aura en charge les opérations suivantes :</w:t>
      </w:r>
    </w:p>
    <w:p w14:paraId="6A5D2B20" w14:textId="77777777" w:rsidR="0097311D" w:rsidRPr="005B0E5B" w:rsidRDefault="0097311D" w:rsidP="0095003D">
      <w:pPr>
        <w:numPr>
          <w:ilvl w:val="0"/>
          <w:numId w:val="141"/>
        </w:numPr>
        <w:spacing w:after="0"/>
        <w:rPr>
          <w:rFonts w:cs="Arial"/>
          <w:bCs/>
        </w:rPr>
      </w:pPr>
      <w:r w:rsidRPr="005B0E5B">
        <w:rPr>
          <w:rFonts w:cs="Arial"/>
          <w:bCs/>
        </w:rPr>
        <w:t xml:space="preserve">Participation aux études, à la rédaction des cahiers des charges, à la phase de préparation des travaux ; </w:t>
      </w:r>
    </w:p>
    <w:p w14:paraId="134C6C2E" w14:textId="77777777" w:rsidR="0097311D" w:rsidRPr="005B0E5B" w:rsidRDefault="0097311D" w:rsidP="0095003D">
      <w:pPr>
        <w:numPr>
          <w:ilvl w:val="0"/>
          <w:numId w:val="141"/>
        </w:numPr>
        <w:spacing w:after="0"/>
        <w:rPr>
          <w:rFonts w:cs="Arial"/>
          <w:bCs/>
        </w:rPr>
      </w:pPr>
      <w:r w:rsidRPr="005B0E5B">
        <w:rPr>
          <w:rFonts w:cs="Arial"/>
          <w:bCs/>
        </w:rPr>
        <w:t>Suivi des travaux, avec rédaction, sur une base trimestrielle, de rapports de suivi ;</w:t>
      </w:r>
    </w:p>
    <w:p w14:paraId="75DED65B" w14:textId="77777777" w:rsidR="0097311D" w:rsidRPr="005B0E5B" w:rsidRDefault="0097311D" w:rsidP="0095003D">
      <w:pPr>
        <w:numPr>
          <w:ilvl w:val="0"/>
          <w:numId w:val="141"/>
        </w:numPr>
        <w:spacing w:after="0"/>
        <w:rPr>
          <w:rFonts w:cs="Arial"/>
          <w:bCs/>
        </w:rPr>
      </w:pPr>
      <w:r w:rsidRPr="005B0E5B">
        <w:rPr>
          <w:rFonts w:cs="Arial"/>
          <w:bCs/>
        </w:rPr>
        <w:t>Gestion des contacts avec les autorités administratives et les bailleurs de fonds concernés par les travaux ; documentation des activités environnementales dans le cadre des travaux ;</w:t>
      </w:r>
    </w:p>
    <w:p w14:paraId="223A9578" w14:textId="71D45AA9" w:rsidR="0097311D" w:rsidRDefault="0097311D" w:rsidP="0095003D">
      <w:pPr>
        <w:numPr>
          <w:ilvl w:val="0"/>
          <w:numId w:val="141"/>
        </w:numPr>
        <w:spacing w:after="0" w:line="276" w:lineRule="auto"/>
        <w:rPr>
          <w:rFonts w:cs="Arial"/>
          <w:bCs/>
        </w:rPr>
      </w:pPr>
      <w:r w:rsidRPr="005B0E5B">
        <w:rPr>
          <w:rFonts w:cs="Arial"/>
          <w:bCs/>
        </w:rPr>
        <w:t>Suivi des mesures prévues en phase d’exploitation.</w:t>
      </w:r>
    </w:p>
    <w:p w14:paraId="7AA6F7E2" w14:textId="77777777" w:rsidR="0097311D" w:rsidRPr="0097311D" w:rsidRDefault="0097311D" w:rsidP="0097311D">
      <w:pPr>
        <w:spacing w:after="0" w:line="276" w:lineRule="auto"/>
        <w:ind w:left="720" w:firstLine="0"/>
        <w:rPr>
          <w:rFonts w:cs="Arial"/>
          <w:bCs/>
        </w:rPr>
      </w:pPr>
    </w:p>
    <w:p w14:paraId="41B4C61E" w14:textId="2FEC7643" w:rsidR="0097311D" w:rsidRPr="005B0E5B" w:rsidRDefault="0097311D" w:rsidP="0097311D">
      <w:pPr>
        <w:spacing w:line="276" w:lineRule="auto"/>
        <w:rPr>
          <w:rFonts w:cs="Arial"/>
          <w:bCs/>
        </w:rPr>
      </w:pPr>
      <w:r w:rsidRPr="005B0E5B">
        <w:rPr>
          <w:rFonts w:cs="Arial"/>
          <w:bCs/>
        </w:rPr>
        <w:t>De manière générale, l’équipe de suivi environnemental devra s’assurer du respect des prescriptions règlementaires et normatives, de la bonne exécution des mesures prévues, et anticiper les difficultés pouvant survenir au cours du projet. Le suivi s’appuiera au maximum sur des indicateurs précisément définis. Dans le cas où les entreprises de travaux, pour ce qui les concerne, n’appliqueraient pas les mesures requises, l’équipe en charge du suivi environnemental signale à la maîtrise d’ouvrage les manquements correspondants. L’application éventuelle de sanctions incombe ensuite à la maîtrise d’ouvrage.</w:t>
      </w:r>
    </w:p>
    <w:p w14:paraId="31F9DB17" w14:textId="77777777" w:rsidR="00D62C56" w:rsidRPr="00E6699C" w:rsidRDefault="00D62C56" w:rsidP="00D62C56">
      <w:pPr>
        <w:rPr>
          <w:sz w:val="22"/>
        </w:rPr>
      </w:pPr>
      <w:r w:rsidRPr="00E6699C">
        <w:rPr>
          <w:sz w:val="22"/>
        </w:rPr>
        <w:br w:type="page"/>
      </w:r>
    </w:p>
    <w:p w14:paraId="5956D44D" w14:textId="0E4DE451" w:rsidR="00D62C56" w:rsidRDefault="00D62C56" w:rsidP="00D62C56">
      <w:pPr>
        <w:pStyle w:val="Lgende"/>
        <w:spacing w:before="120"/>
        <w:jc w:val="left"/>
        <w:rPr>
          <w:sz w:val="22"/>
        </w:rPr>
      </w:pPr>
      <w:r w:rsidRPr="00E6699C">
        <w:rPr>
          <w:sz w:val="22"/>
        </w:rPr>
        <w:t xml:space="preserve">Tableau </w:t>
      </w:r>
      <w:r w:rsidRPr="00E6699C">
        <w:rPr>
          <w:sz w:val="22"/>
        </w:rPr>
        <w:fldChar w:fldCharType="begin"/>
      </w:r>
      <w:r w:rsidRPr="00E6699C">
        <w:rPr>
          <w:sz w:val="22"/>
        </w:rPr>
        <w:instrText xml:space="preserve"> SEQ Tableau \* ARABIC </w:instrText>
      </w:r>
      <w:r w:rsidRPr="00E6699C">
        <w:rPr>
          <w:sz w:val="22"/>
        </w:rPr>
        <w:fldChar w:fldCharType="separate"/>
      </w:r>
      <w:r w:rsidR="006C5B9E">
        <w:rPr>
          <w:noProof/>
          <w:sz w:val="22"/>
        </w:rPr>
        <w:t>2</w:t>
      </w:r>
      <w:r w:rsidRPr="00E6699C">
        <w:rPr>
          <w:sz w:val="22"/>
        </w:rPr>
        <w:fldChar w:fldCharType="end"/>
      </w:r>
      <w:r w:rsidRPr="00E6699C">
        <w:rPr>
          <w:sz w:val="22"/>
        </w:rPr>
        <w:t>: Canevas de suivi</w:t>
      </w:r>
      <w:bookmarkEnd w:id="703"/>
    </w:p>
    <w:tbl>
      <w:tblPr>
        <w:tblW w:w="5279" w:type="pct"/>
        <w:tblLayout w:type="fixed"/>
        <w:tblLook w:val="04A0" w:firstRow="1" w:lastRow="0" w:firstColumn="1" w:lastColumn="0" w:noHBand="0" w:noVBand="1"/>
      </w:tblPr>
      <w:tblGrid>
        <w:gridCol w:w="1303"/>
        <w:gridCol w:w="2031"/>
        <w:gridCol w:w="2033"/>
        <w:gridCol w:w="1452"/>
        <w:gridCol w:w="1595"/>
        <w:gridCol w:w="1743"/>
      </w:tblGrid>
      <w:tr w:rsidR="00C86E74" w:rsidRPr="00C86E74" w14:paraId="2BC734F0" w14:textId="77777777" w:rsidTr="00C86E74">
        <w:trPr>
          <w:trHeight w:val="20"/>
        </w:trPr>
        <w:tc>
          <w:tcPr>
            <w:tcW w:w="641" w:type="pct"/>
            <w:shd w:val="clear" w:color="auto" w:fill="E36C0A" w:themeFill="accent6" w:themeFillShade="BF"/>
            <w:vAlign w:val="center"/>
          </w:tcPr>
          <w:p w14:paraId="5E32E17F" w14:textId="77777777" w:rsidR="00C86E74" w:rsidRPr="00C86E74" w:rsidRDefault="00C86E74" w:rsidP="00C86E74">
            <w:pPr>
              <w:jc w:val="left"/>
              <w:rPr>
                <w:sz w:val="22"/>
                <w:szCs w:val="18"/>
              </w:rPr>
            </w:pPr>
            <w:r w:rsidRPr="00C86E74">
              <w:rPr>
                <w:sz w:val="22"/>
                <w:szCs w:val="18"/>
              </w:rPr>
              <w:t>Récepteurs</w:t>
            </w:r>
          </w:p>
        </w:tc>
        <w:tc>
          <w:tcPr>
            <w:tcW w:w="1000" w:type="pct"/>
            <w:shd w:val="clear" w:color="auto" w:fill="E36C0A" w:themeFill="accent6" w:themeFillShade="BF"/>
            <w:vAlign w:val="center"/>
          </w:tcPr>
          <w:p w14:paraId="6101AA4A" w14:textId="2488D5A4" w:rsidR="00C86E74" w:rsidRPr="00C86E74" w:rsidRDefault="00C86E74" w:rsidP="00C86E74">
            <w:pPr>
              <w:ind w:left="0" w:firstLine="0"/>
              <w:jc w:val="left"/>
              <w:rPr>
                <w:sz w:val="22"/>
                <w:szCs w:val="18"/>
              </w:rPr>
            </w:pPr>
            <w:r w:rsidRPr="00C86E74">
              <w:rPr>
                <w:sz w:val="22"/>
                <w:szCs w:val="18"/>
              </w:rPr>
              <w:t>Composants de suivi</w:t>
            </w:r>
          </w:p>
        </w:tc>
        <w:tc>
          <w:tcPr>
            <w:tcW w:w="1001" w:type="pct"/>
            <w:shd w:val="clear" w:color="auto" w:fill="E36C0A" w:themeFill="accent6" w:themeFillShade="BF"/>
            <w:vAlign w:val="center"/>
          </w:tcPr>
          <w:p w14:paraId="17EEC66E" w14:textId="77777777" w:rsidR="00C86E74" w:rsidRPr="00C86E74" w:rsidRDefault="00C86E74" w:rsidP="00C86E74">
            <w:pPr>
              <w:jc w:val="left"/>
              <w:rPr>
                <w:sz w:val="22"/>
                <w:szCs w:val="18"/>
              </w:rPr>
            </w:pPr>
            <w:r w:rsidRPr="00C86E74">
              <w:rPr>
                <w:sz w:val="22"/>
                <w:szCs w:val="18"/>
              </w:rPr>
              <w:t>Bénéficiaires/</w:t>
            </w:r>
          </w:p>
          <w:p w14:paraId="3E3F32DE" w14:textId="77777777" w:rsidR="00C86E74" w:rsidRPr="00C86E74" w:rsidRDefault="00C86E74" w:rsidP="00C86E74">
            <w:pPr>
              <w:jc w:val="left"/>
              <w:rPr>
                <w:sz w:val="22"/>
                <w:szCs w:val="18"/>
              </w:rPr>
            </w:pPr>
            <w:r w:rsidRPr="00C86E74">
              <w:rPr>
                <w:sz w:val="22"/>
                <w:szCs w:val="18"/>
              </w:rPr>
              <w:t>Localisation des</w:t>
            </w:r>
          </w:p>
          <w:p w14:paraId="198F3E60" w14:textId="75F0293F" w:rsidR="00C86E74" w:rsidRPr="00C86E74" w:rsidRDefault="00C86E74" w:rsidP="00C86E74">
            <w:pPr>
              <w:jc w:val="left"/>
              <w:rPr>
                <w:sz w:val="22"/>
                <w:szCs w:val="18"/>
              </w:rPr>
            </w:pPr>
            <w:r w:rsidRPr="00C86E74">
              <w:rPr>
                <w:sz w:val="22"/>
                <w:szCs w:val="18"/>
              </w:rPr>
              <w:t>Stations de suivi</w:t>
            </w:r>
          </w:p>
        </w:tc>
        <w:tc>
          <w:tcPr>
            <w:tcW w:w="715" w:type="pct"/>
            <w:shd w:val="clear" w:color="auto" w:fill="E36C0A" w:themeFill="accent6" w:themeFillShade="BF"/>
            <w:vAlign w:val="center"/>
          </w:tcPr>
          <w:p w14:paraId="2758A68B" w14:textId="77777777" w:rsidR="00C86E74" w:rsidRPr="00C86E74" w:rsidRDefault="00C86E74" w:rsidP="00C86E74">
            <w:pPr>
              <w:jc w:val="left"/>
              <w:rPr>
                <w:sz w:val="22"/>
                <w:szCs w:val="18"/>
              </w:rPr>
            </w:pPr>
            <w:r w:rsidRPr="00C86E74">
              <w:rPr>
                <w:sz w:val="22"/>
                <w:szCs w:val="18"/>
              </w:rPr>
              <w:t>Fréquences</w:t>
            </w:r>
          </w:p>
        </w:tc>
        <w:tc>
          <w:tcPr>
            <w:tcW w:w="785" w:type="pct"/>
            <w:shd w:val="clear" w:color="auto" w:fill="E36C0A" w:themeFill="accent6" w:themeFillShade="BF"/>
            <w:vAlign w:val="center"/>
          </w:tcPr>
          <w:p w14:paraId="0EF9E8C8" w14:textId="77777777" w:rsidR="00C86E74" w:rsidRPr="00C86E74" w:rsidRDefault="00C86E74" w:rsidP="00C86E74">
            <w:pPr>
              <w:jc w:val="left"/>
              <w:rPr>
                <w:sz w:val="22"/>
                <w:szCs w:val="18"/>
              </w:rPr>
            </w:pPr>
            <w:r w:rsidRPr="00C86E74">
              <w:rPr>
                <w:sz w:val="22"/>
                <w:szCs w:val="18"/>
              </w:rPr>
              <w:t>Indicateurs de suivi</w:t>
            </w:r>
          </w:p>
        </w:tc>
        <w:tc>
          <w:tcPr>
            <w:tcW w:w="858" w:type="pct"/>
            <w:shd w:val="clear" w:color="auto" w:fill="E36C0A" w:themeFill="accent6" w:themeFillShade="BF"/>
            <w:vAlign w:val="center"/>
          </w:tcPr>
          <w:p w14:paraId="246402AC" w14:textId="77777777" w:rsidR="00C86E74" w:rsidRPr="00C86E74" w:rsidRDefault="00C86E74" w:rsidP="00C86E74">
            <w:pPr>
              <w:jc w:val="left"/>
              <w:rPr>
                <w:sz w:val="22"/>
                <w:szCs w:val="18"/>
              </w:rPr>
            </w:pPr>
            <w:r w:rsidRPr="00C86E74">
              <w:rPr>
                <w:sz w:val="22"/>
                <w:szCs w:val="18"/>
              </w:rPr>
              <w:t>Responsables de suivi</w:t>
            </w:r>
          </w:p>
        </w:tc>
      </w:tr>
      <w:tr w:rsidR="00C86E74" w:rsidRPr="00C86E74" w14:paraId="3F76E5D4" w14:textId="77777777" w:rsidTr="00C86E74">
        <w:trPr>
          <w:trHeight w:val="20"/>
        </w:trPr>
        <w:tc>
          <w:tcPr>
            <w:tcW w:w="641" w:type="pct"/>
            <w:shd w:val="clear" w:color="auto" w:fill="FBD4B4" w:themeFill="accent6" w:themeFillTint="66"/>
            <w:vAlign w:val="center"/>
          </w:tcPr>
          <w:p w14:paraId="1446945C" w14:textId="77777777" w:rsidR="00C86E74" w:rsidRPr="00C86E74" w:rsidRDefault="00C86E74" w:rsidP="00BE6D61">
            <w:pPr>
              <w:jc w:val="left"/>
              <w:rPr>
                <w:sz w:val="22"/>
                <w:szCs w:val="18"/>
              </w:rPr>
            </w:pPr>
            <w:r w:rsidRPr="00C86E74">
              <w:rPr>
                <w:sz w:val="22"/>
                <w:szCs w:val="18"/>
              </w:rPr>
              <w:t>Air</w:t>
            </w:r>
          </w:p>
          <w:p w14:paraId="72B65799" w14:textId="77777777" w:rsidR="00C86E74" w:rsidRPr="00C86E74" w:rsidRDefault="00C86E74" w:rsidP="00BE6D61">
            <w:pPr>
              <w:jc w:val="left"/>
              <w:rPr>
                <w:sz w:val="22"/>
                <w:szCs w:val="18"/>
              </w:rPr>
            </w:pPr>
          </w:p>
        </w:tc>
        <w:tc>
          <w:tcPr>
            <w:tcW w:w="1000" w:type="pct"/>
            <w:vAlign w:val="center"/>
          </w:tcPr>
          <w:p w14:paraId="584B820A" w14:textId="77777777" w:rsidR="00C86E74" w:rsidRPr="00C86E74" w:rsidRDefault="00C86E74" w:rsidP="0095003D">
            <w:pPr>
              <w:pStyle w:val="Paragraphedeliste"/>
              <w:numPr>
                <w:ilvl w:val="0"/>
                <w:numId w:val="145"/>
              </w:numPr>
              <w:spacing w:after="0"/>
              <w:jc w:val="left"/>
              <w:rPr>
                <w:sz w:val="22"/>
                <w:szCs w:val="18"/>
              </w:rPr>
            </w:pPr>
            <w:r w:rsidRPr="00C86E74">
              <w:rPr>
                <w:sz w:val="22"/>
                <w:szCs w:val="18"/>
              </w:rPr>
              <w:t>Etat et niveau d’émission des engins, véhicules et moteurs utilisés</w:t>
            </w:r>
          </w:p>
        </w:tc>
        <w:tc>
          <w:tcPr>
            <w:tcW w:w="1001" w:type="pct"/>
            <w:vAlign w:val="center"/>
          </w:tcPr>
          <w:p w14:paraId="63C8A467" w14:textId="77777777" w:rsidR="00C86E74" w:rsidRPr="00C86E74" w:rsidRDefault="00C86E74" w:rsidP="0095003D">
            <w:pPr>
              <w:pStyle w:val="Paragraphedeliste"/>
              <w:numPr>
                <w:ilvl w:val="0"/>
                <w:numId w:val="145"/>
              </w:numPr>
              <w:spacing w:after="0"/>
              <w:jc w:val="left"/>
              <w:rPr>
                <w:sz w:val="22"/>
                <w:szCs w:val="18"/>
              </w:rPr>
            </w:pPr>
            <w:r w:rsidRPr="00C86E74">
              <w:rPr>
                <w:sz w:val="22"/>
                <w:szCs w:val="18"/>
              </w:rPr>
              <w:t>Chantier</w:t>
            </w:r>
          </w:p>
          <w:p w14:paraId="2357FD67" w14:textId="77777777" w:rsidR="00C86E74" w:rsidRPr="00C86E74" w:rsidRDefault="00C86E74" w:rsidP="0095003D">
            <w:pPr>
              <w:pStyle w:val="Paragraphedeliste"/>
              <w:numPr>
                <w:ilvl w:val="0"/>
                <w:numId w:val="145"/>
              </w:numPr>
              <w:spacing w:after="0"/>
              <w:jc w:val="left"/>
              <w:rPr>
                <w:sz w:val="22"/>
                <w:szCs w:val="18"/>
              </w:rPr>
            </w:pPr>
            <w:r w:rsidRPr="00C86E74">
              <w:rPr>
                <w:sz w:val="22"/>
                <w:szCs w:val="18"/>
              </w:rPr>
              <w:t>Zones d’emprunt</w:t>
            </w:r>
          </w:p>
          <w:p w14:paraId="01A1272C" w14:textId="77777777" w:rsidR="00C86E74" w:rsidRPr="00C86E74" w:rsidRDefault="00C86E74" w:rsidP="0095003D">
            <w:pPr>
              <w:pStyle w:val="Paragraphedeliste"/>
              <w:numPr>
                <w:ilvl w:val="0"/>
                <w:numId w:val="145"/>
              </w:numPr>
              <w:spacing w:after="0"/>
              <w:jc w:val="left"/>
              <w:rPr>
                <w:sz w:val="22"/>
                <w:szCs w:val="18"/>
              </w:rPr>
            </w:pPr>
            <w:r w:rsidRPr="00C86E74">
              <w:rPr>
                <w:sz w:val="22"/>
                <w:szCs w:val="18"/>
              </w:rPr>
              <w:t>Parking</w:t>
            </w:r>
          </w:p>
        </w:tc>
        <w:tc>
          <w:tcPr>
            <w:tcW w:w="715" w:type="pct"/>
            <w:vAlign w:val="center"/>
          </w:tcPr>
          <w:p w14:paraId="1E6872CA" w14:textId="77777777" w:rsidR="00C86E74" w:rsidRPr="00C86E74" w:rsidRDefault="00C86E74" w:rsidP="0095003D">
            <w:pPr>
              <w:pStyle w:val="Paragraphedeliste"/>
              <w:numPr>
                <w:ilvl w:val="0"/>
                <w:numId w:val="145"/>
              </w:numPr>
              <w:spacing w:after="0"/>
              <w:jc w:val="left"/>
              <w:rPr>
                <w:sz w:val="22"/>
                <w:szCs w:val="18"/>
              </w:rPr>
            </w:pPr>
            <w:r w:rsidRPr="00C86E74">
              <w:rPr>
                <w:sz w:val="22"/>
                <w:szCs w:val="18"/>
              </w:rPr>
              <w:t>Journalière</w:t>
            </w:r>
          </w:p>
          <w:p w14:paraId="280884E1" w14:textId="77777777" w:rsidR="00C86E74" w:rsidRPr="00C86E74" w:rsidRDefault="00C86E74" w:rsidP="0095003D">
            <w:pPr>
              <w:pStyle w:val="Paragraphedeliste"/>
              <w:numPr>
                <w:ilvl w:val="0"/>
                <w:numId w:val="145"/>
              </w:numPr>
              <w:spacing w:after="0"/>
              <w:jc w:val="left"/>
              <w:rPr>
                <w:sz w:val="22"/>
                <w:szCs w:val="18"/>
              </w:rPr>
            </w:pPr>
            <w:r w:rsidRPr="00C86E74">
              <w:rPr>
                <w:sz w:val="22"/>
                <w:szCs w:val="18"/>
              </w:rPr>
              <w:t>Pendant les travaux</w:t>
            </w:r>
          </w:p>
        </w:tc>
        <w:tc>
          <w:tcPr>
            <w:tcW w:w="785" w:type="pct"/>
            <w:vAlign w:val="center"/>
          </w:tcPr>
          <w:p w14:paraId="69DE7461" w14:textId="77777777" w:rsidR="00C86E74" w:rsidRPr="00C86E74" w:rsidRDefault="00C86E74" w:rsidP="0095003D">
            <w:pPr>
              <w:pStyle w:val="Paragraphedeliste"/>
              <w:numPr>
                <w:ilvl w:val="0"/>
                <w:numId w:val="145"/>
              </w:numPr>
              <w:spacing w:after="0"/>
              <w:jc w:val="left"/>
              <w:rPr>
                <w:sz w:val="22"/>
                <w:szCs w:val="18"/>
              </w:rPr>
            </w:pPr>
            <w:r w:rsidRPr="00C86E74">
              <w:rPr>
                <w:sz w:val="22"/>
                <w:szCs w:val="18"/>
              </w:rPr>
              <w:t>Les émissions sont réduites à la normale</w:t>
            </w:r>
          </w:p>
          <w:p w14:paraId="16239E1F" w14:textId="77777777" w:rsidR="00C86E74" w:rsidRPr="00C86E74" w:rsidRDefault="00C86E74" w:rsidP="0095003D">
            <w:pPr>
              <w:pStyle w:val="Paragraphedeliste"/>
              <w:numPr>
                <w:ilvl w:val="0"/>
                <w:numId w:val="145"/>
              </w:numPr>
              <w:spacing w:after="0"/>
              <w:jc w:val="left"/>
              <w:rPr>
                <w:sz w:val="22"/>
                <w:szCs w:val="18"/>
              </w:rPr>
            </w:pPr>
            <w:r w:rsidRPr="00C86E74">
              <w:rPr>
                <w:sz w:val="22"/>
                <w:szCs w:val="18"/>
              </w:rPr>
              <w:t>Cahier de visite technique</w:t>
            </w:r>
          </w:p>
        </w:tc>
        <w:tc>
          <w:tcPr>
            <w:tcW w:w="858" w:type="pct"/>
            <w:vAlign w:val="center"/>
          </w:tcPr>
          <w:p w14:paraId="6F75C434" w14:textId="77777777" w:rsidR="00C86E74" w:rsidRPr="00C86E74" w:rsidRDefault="00C86E74" w:rsidP="0095003D">
            <w:pPr>
              <w:pStyle w:val="Paragraphedeliste"/>
              <w:numPr>
                <w:ilvl w:val="0"/>
                <w:numId w:val="145"/>
              </w:numPr>
              <w:spacing w:after="0"/>
              <w:jc w:val="left"/>
              <w:rPr>
                <w:sz w:val="22"/>
                <w:szCs w:val="18"/>
              </w:rPr>
            </w:pPr>
            <w:r w:rsidRPr="00C86E74">
              <w:rPr>
                <w:sz w:val="22"/>
                <w:szCs w:val="18"/>
              </w:rPr>
              <w:t>Entreprise</w:t>
            </w:r>
          </w:p>
          <w:p w14:paraId="13F500E5" w14:textId="77777777" w:rsidR="00C86E74" w:rsidRPr="00C86E74" w:rsidRDefault="00C86E74" w:rsidP="0095003D">
            <w:pPr>
              <w:pStyle w:val="Paragraphedeliste"/>
              <w:numPr>
                <w:ilvl w:val="0"/>
                <w:numId w:val="145"/>
              </w:numPr>
              <w:spacing w:after="0"/>
              <w:jc w:val="left"/>
              <w:rPr>
                <w:sz w:val="22"/>
                <w:szCs w:val="18"/>
              </w:rPr>
            </w:pPr>
            <w:r w:rsidRPr="00C86E74">
              <w:rPr>
                <w:sz w:val="22"/>
                <w:szCs w:val="18"/>
              </w:rPr>
              <w:t xml:space="preserve">UGP/PARIIS </w:t>
            </w:r>
          </w:p>
          <w:p w14:paraId="39300A5D" w14:textId="77777777" w:rsidR="00C86E74" w:rsidRPr="00C86E74" w:rsidRDefault="00C86E74" w:rsidP="0095003D">
            <w:pPr>
              <w:pStyle w:val="Paragraphedeliste"/>
              <w:numPr>
                <w:ilvl w:val="0"/>
                <w:numId w:val="145"/>
              </w:numPr>
              <w:spacing w:after="0"/>
              <w:jc w:val="left"/>
              <w:rPr>
                <w:sz w:val="22"/>
                <w:szCs w:val="18"/>
              </w:rPr>
            </w:pPr>
            <w:r w:rsidRPr="00C86E74">
              <w:rPr>
                <w:sz w:val="22"/>
                <w:szCs w:val="18"/>
              </w:rPr>
              <w:t>MOD</w:t>
            </w:r>
          </w:p>
          <w:p w14:paraId="030A5BF8" w14:textId="77777777" w:rsidR="00C86E74" w:rsidRPr="00C86E74" w:rsidRDefault="00C86E74" w:rsidP="0095003D">
            <w:pPr>
              <w:pStyle w:val="Paragraphedeliste"/>
              <w:numPr>
                <w:ilvl w:val="0"/>
                <w:numId w:val="145"/>
              </w:numPr>
              <w:spacing w:after="0"/>
              <w:jc w:val="left"/>
              <w:rPr>
                <w:sz w:val="22"/>
                <w:szCs w:val="18"/>
              </w:rPr>
            </w:pPr>
            <w:r w:rsidRPr="00C86E74">
              <w:rPr>
                <w:sz w:val="22"/>
                <w:szCs w:val="18"/>
              </w:rPr>
              <w:t>DRACPN</w:t>
            </w:r>
          </w:p>
        </w:tc>
      </w:tr>
      <w:tr w:rsidR="00C86E74" w:rsidRPr="00C86E74" w14:paraId="3F0FDC31" w14:textId="77777777" w:rsidTr="00C86E74">
        <w:trPr>
          <w:trHeight w:val="20"/>
        </w:trPr>
        <w:tc>
          <w:tcPr>
            <w:tcW w:w="641" w:type="pct"/>
            <w:shd w:val="clear" w:color="auto" w:fill="FBD4B4" w:themeFill="accent6" w:themeFillTint="66"/>
            <w:vAlign w:val="center"/>
          </w:tcPr>
          <w:p w14:paraId="4C37AD0F" w14:textId="77777777" w:rsidR="00C86E74" w:rsidRDefault="00C86E74" w:rsidP="00BE6D61">
            <w:pPr>
              <w:jc w:val="left"/>
              <w:rPr>
                <w:sz w:val="22"/>
                <w:szCs w:val="18"/>
              </w:rPr>
            </w:pPr>
            <w:r w:rsidRPr="00C86E74">
              <w:rPr>
                <w:sz w:val="22"/>
                <w:szCs w:val="18"/>
              </w:rPr>
              <w:t>Ambiance</w:t>
            </w:r>
          </w:p>
          <w:p w14:paraId="4F5BBA5A" w14:textId="5D5CD564" w:rsidR="00C86E74" w:rsidRPr="00C86E74" w:rsidRDefault="00C86E74" w:rsidP="00BE6D61">
            <w:pPr>
              <w:jc w:val="left"/>
              <w:rPr>
                <w:sz w:val="22"/>
                <w:szCs w:val="18"/>
              </w:rPr>
            </w:pPr>
            <w:r w:rsidRPr="00C86E74">
              <w:rPr>
                <w:sz w:val="22"/>
                <w:szCs w:val="18"/>
              </w:rPr>
              <w:t>Sonore</w:t>
            </w:r>
          </w:p>
        </w:tc>
        <w:tc>
          <w:tcPr>
            <w:tcW w:w="1000" w:type="pct"/>
            <w:vAlign w:val="center"/>
          </w:tcPr>
          <w:p w14:paraId="0D08F25A" w14:textId="3E3EF47E" w:rsidR="00C86E74" w:rsidRPr="00C86E74" w:rsidRDefault="00C86E74" w:rsidP="0095003D">
            <w:pPr>
              <w:pStyle w:val="Paragraphedeliste"/>
              <w:numPr>
                <w:ilvl w:val="0"/>
                <w:numId w:val="145"/>
              </w:numPr>
              <w:spacing w:after="0"/>
              <w:jc w:val="left"/>
              <w:rPr>
                <w:sz w:val="22"/>
                <w:szCs w:val="18"/>
              </w:rPr>
            </w:pPr>
            <w:r w:rsidRPr="00C86E74">
              <w:rPr>
                <w:sz w:val="22"/>
                <w:szCs w:val="18"/>
              </w:rPr>
              <w:t>Etat et niveau des bruits généré par les engins, véhicules et moteurs utilisés</w:t>
            </w:r>
          </w:p>
        </w:tc>
        <w:tc>
          <w:tcPr>
            <w:tcW w:w="1001" w:type="pct"/>
            <w:vAlign w:val="center"/>
          </w:tcPr>
          <w:p w14:paraId="2B463080" w14:textId="77777777" w:rsidR="00C86E74" w:rsidRPr="00C86E74" w:rsidRDefault="00C86E74" w:rsidP="0095003D">
            <w:pPr>
              <w:pStyle w:val="Paragraphedeliste"/>
              <w:numPr>
                <w:ilvl w:val="0"/>
                <w:numId w:val="145"/>
              </w:numPr>
              <w:spacing w:after="0"/>
              <w:jc w:val="left"/>
              <w:rPr>
                <w:sz w:val="22"/>
                <w:szCs w:val="18"/>
              </w:rPr>
            </w:pPr>
            <w:r w:rsidRPr="00C86E74">
              <w:rPr>
                <w:sz w:val="22"/>
                <w:szCs w:val="18"/>
              </w:rPr>
              <w:t>Chantier</w:t>
            </w:r>
          </w:p>
          <w:p w14:paraId="3EBF751E" w14:textId="77777777" w:rsidR="00C86E74" w:rsidRPr="00C86E74" w:rsidRDefault="00C86E74" w:rsidP="0095003D">
            <w:pPr>
              <w:pStyle w:val="Paragraphedeliste"/>
              <w:numPr>
                <w:ilvl w:val="0"/>
                <w:numId w:val="145"/>
              </w:numPr>
              <w:spacing w:after="0"/>
              <w:jc w:val="left"/>
              <w:rPr>
                <w:sz w:val="22"/>
                <w:szCs w:val="18"/>
              </w:rPr>
            </w:pPr>
            <w:r w:rsidRPr="00C86E74">
              <w:rPr>
                <w:sz w:val="22"/>
                <w:szCs w:val="18"/>
              </w:rPr>
              <w:t>Zones d’emprunt</w:t>
            </w:r>
          </w:p>
          <w:p w14:paraId="51FCD8D6" w14:textId="77777777" w:rsidR="00C86E74" w:rsidRPr="00C86E74" w:rsidRDefault="00C86E74" w:rsidP="0095003D">
            <w:pPr>
              <w:pStyle w:val="Paragraphedeliste"/>
              <w:numPr>
                <w:ilvl w:val="0"/>
                <w:numId w:val="145"/>
              </w:numPr>
              <w:spacing w:after="0"/>
              <w:jc w:val="left"/>
              <w:rPr>
                <w:sz w:val="22"/>
                <w:szCs w:val="18"/>
              </w:rPr>
            </w:pPr>
            <w:r w:rsidRPr="00C86E74">
              <w:rPr>
                <w:sz w:val="22"/>
                <w:szCs w:val="18"/>
              </w:rPr>
              <w:t>Parking</w:t>
            </w:r>
          </w:p>
        </w:tc>
        <w:tc>
          <w:tcPr>
            <w:tcW w:w="715" w:type="pct"/>
            <w:vAlign w:val="center"/>
          </w:tcPr>
          <w:p w14:paraId="6C177AE2" w14:textId="77777777" w:rsidR="00C86E74" w:rsidRPr="00C86E74" w:rsidRDefault="00C86E74" w:rsidP="0095003D">
            <w:pPr>
              <w:pStyle w:val="Paragraphedeliste"/>
              <w:numPr>
                <w:ilvl w:val="0"/>
                <w:numId w:val="145"/>
              </w:numPr>
              <w:spacing w:after="0"/>
              <w:jc w:val="left"/>
              <w:rPr>
                <w:sz w:val="22"/>
                <w:szCs w:val="18"/>
              </w:rPr>
            </w:pPr>
            <w:r w:rsidRPr="00C86E74">
              <w:rPr>
                <w:sz w:val="22"/>
                <w:szCs w:val="18"/>
              </w:rPr>
              <w:t>Journalière</w:t>
            </w:r>
          </w:p>
          <w:p w14:paraId="5BD21494" w14:textId="77777777" w:rsidR="00C86E74" w:rsidRPr="00C86E74" w:rsidRDefault="00C86E74" w:rsidP="0095003D">
            <w:pPr>
              <w:pStyle w:val="Paragraphedeliste"/>
              <w:numPr>
                <w:ilvl w:val="0"/>
                <w:numId w:val="145"/>
              </w:numPr>
              <w:spacing w:after="0"/>
              <w:jc w:val="left"/>
              <w:rPr>
                <w:sz w:val="22"/>
                <w:szCs w:val="18"/>
              </w:rPr>
            </w:pPr>
            <w:r w:rsidRPr="00C86E74">
              <w:rPr>
                <w:sz w:val="22"/>
                <w:szCs w:val="18"/>
              </w:rPr>
              <w:t>Pendant les travaux</w:t>
            </w:r>
          </w:p>
        </w:tc>
        <w:tc>
          <w:tcPr>
            <w:tcW w:w="785" w:type="pct"/>
            <w:vAlign w:val="center"/>
          </w:tcPr>
          <w:p w14:paraId="256C61EF" w14:textId="77777777" w:rsidR="00C86E74" w:rsidRPr="00C86E74" w:rsidRDefault="00C86E74" w:rsidP="0095003D">
            <w:pPr>
              <w:pStyle w:val="Paragraphedeliste"/>
              <w:numPr>
                <w:ilvl w:val="0"/>
                <w:numId w:val="145"/>
              </w:numPr>
              <w:spacing w:after="0"/>
              <w:jc w:val="left"/>
              <w:rPr>
                <w:sz w:val="22"/>
                <w:szCs w:val="18"/>
              </w:rPr>
            </w:pPr>
            <w:r w:rsidRPr="00C86E74">
              <w:rPr>
                <w:sz w:val="22"/>
                <w:szCs w:val="18"/>
              </w:rPr>
              <w:t>Les émissions sont réduites à la normale</w:t>
            </w:r>
          </w:p>
          <w:p w14:paraId="49F5E471" w14:textId="77777777" w:rsidR="00C86E74" w:rsidRPr="00C86E74" w:rsidRDefault="00C86E74" w:rsidP="0095003D">
            <w:pPr>
              <w:pStyle w:val="Paragraphedeliste"/>
              <w:numPr>
                <w:ilvl w:val="0"/>
                <w:numId w:val="145"/>
              </w:numPr>
              <w:spacing w:after="0"/>
              <w:jc w:val="left"/>
              <w:rPr>
                <w:sz w:val="22"/>
                <w:szCs w:val="18"/>
              </w:rPr>
            </w:pPr>
            <w:r w:rsidRPr="00C86E74">
              <w:rPr>
                <w:sz w:val="22"/>
                <w:szCs w:val="18"/>
              </w:rPr>
              <w:t>Cahier de visite technique</w:t>
            </w:r>
          </w:p>
        </w:tc>
        <w:tc>
          <w:tcPr>
            <w:tcW w:w="858" w:type="pct"/>
            <w:vAlign w:val="center"/>
          </w:tcPr>
          <w:p w14:paraId="79499BFD" w14:textId="77777777" w:rsidR="00C86E74" w:rsidRPr="00C86E74" w:rsidRDefault="00C86E74" w:rsidP="0095003D">
            <w:pPr>
              <w:pStyle w:val="Paragraphedeliste"/>
              <w:numPr>
                <w:ilvl w:val="0"/>
                <w:numId w:val="145"/>
              </w:numPr>
              <w:spacing w:after="0"/>
              <w:jc w:val="left"/>
              <w:rPr>
                <w:sz w:val="22"/>
                <w:szCs w:val="18"/>
              </w:rPr>
            </w:pPr>
            <w:r w:rsidRPr="00C86E74">
              <w:rPr>
                <w:sz w:val="22"/>
                <w:szCs w:val="18"/>
              </w:rPr>
              <w:t>Entreprise</w:t>
            </w:r>
          </w:p>
          <w:p w14:paraId="17F22A0E" w14:textId="77777777" w:rsidR="00C86E74" w:rsidRPr="00C86E74" w:rsidRDefault="00C86E74" w:rsidP="0095003D">
            <w:pPr>
              <w:pStyle w:val="Paragraphedeliste"/>
              <w:numPr>
                <w:ilvl w:val="0"/>
                <w:numId w:val="145"/>
              </w:numPr>
              <w:spacing w:after="0"/>
              <w:jc w:val="left"/>
              <w:rPr>
                <w:sz w:val="22"/>
                <w:szCs w:val="18"/>
              </w:rPr>
            </w:pPr>
            <w:r w:rsidRPr="00C86E74">
              <w:rPr>
                <w:sz w:val="22"/>
                <w:szCs w:val="18"/>
              </w:rPr>
              <w:t xml:space="preserve">UGP/PARIIS </w:t>
            </w:r>
          </w:p>
          <w:p w14:paraId="4044195A" w14:textId="77777777" w:rsidR="00C86E74" w:rsidRPr="00C86E74" w:rsidRDefault="00C86E74" w:rsidP="0095003D">
            <w:pPr>
              <w:pStyle w:val="Paragraphedeliste"/>
              <w:numPr>
                <w:ilvl w:val="0"/>
                <w:numId w:val="145"/>
              </w:numPr>
              <w:spacing w:after="0"/>
              <w:jc w:val="left"/>
              <w:rPr>
                <w:sz w:val="22"/>
                <w:szCs w:val="18"/>
              </w:rPr>
            </w:pPr>
            <w:r w:rsidRPr="00C86E74">
              <w:rPr>
                <w:sz w:val="22"/>
                <w:szCs w:val="18"/>
              </w:rPr>
              <w:t>MOD</w:t>
            </w:r>
          </w:p>
          <w:p w14:paraId="0F8D695D" w14:textId="77777777" w:rsidR="00C86E74" w:rsidRPr="00C86E74" w:rsidRDefault="00C86E74" w:rsidP="0095003D">
            <w:pPr>
              <w:pStyle w:val="Paragraphedeliste"/>
              <w:numPr>
                <w:ilvl w:val="0"/>
                <w:numId w:val="145"/>
              </w:numPr>
              <w:spacing w:after="0"/>
              <w:jc w:val="left"/>
              <w:rPr>
                <w:sz w:val="22"/>
                <w:szCs w:val="18"/>
              </w:rPr>
            </w:pPr>
            <w:r w:rsidRPr="00C86E74">
              <w:rPr>
                <w:sz w:val="22"/>
                <w:szCs w:val="18"/>
              </w:rPr>
              <w:t>DRACPN</w:t>
            </w:r>
          </w:p>
        </w:tc>
      </w:tr>
      <w:tr w:rsidR="00C86E74" w:rsidRPr="00C86E74" w14:paraId="68EA49C9" w14:textId="77777777" w:rsidTr="00C86E74">
        <w:trPr>
          <w:trHeight w:val="20"/>
        </w:trPr>
        <w:tc>
          <w:tcPr>
            <w:tcW w:w="641" w:type="pct"/>
            <w:vMerge w:val="restart"/>
            <w:shd w:val="clear" w:color="auto" w:fill="FBD4B4" w:themeFill="accent6" w:themeFillTint="66"/>
            <w:vAlign w:val="center"/>
          </w:tcPr>
          <w:p w14:paraId="5E7F219C" w14:textId="77777777" w:rsidR="00C86E74" w:rsidRPr="00C86E74" w:rsidRDefault="00C86E74" w:rsidP="00BE6D61">
            <w:pPr>
              <w:jc w:val="left"/>
              <w:rPr>
                <w:sz w:val="22"/>
                <w:szCs w:val="18"/>
              </w:rPr>
            </w:pPr>
            <w:r w:rsidRPr="00C86E74">
              <w:rPr>
                <w:sz w:val="22"/>
                <w:szCs w:val="18"/>
              </w:rPr>
              <w:t>Sol</w:t>
            </w:r>
          </w:p>
        </w:tc>
        <w:tc>
          <w:tcPr>
            <w:tcW w:w="1000" w:type="pct"/>
            <w:vAlign w:val="center"/>
          </w:tcPr>
          <w:p w14:paraId="4E394765" w14:textId="77777777" w:rsidR="00C86E74" w:rsidRPr="00C86E74" w:rsidRDefault="00C86E74" w:rsidP="0095003D">
            <w:pPr>
              <w:pStyle w:val="Paragraphedeliste"/>
              <w:numPr>
                <w:ilvl w:val="0"/>
                <w:numId w:val="145"/>
              </w:numPr>
              <w:spacing w:after="0"/>
              <w:jc w:val="left"/>
              <w:rPr>
                <w:sz w:val="22"/>
                <w:szCs w:val="18"/>
              </w:rPr>
            </w:pPr>
            <w:r w:rsidRPr="00C86E74">
              <w:rPr>
                <w:sz w:val="22"/>
                <w:szCs w:val="18"/>
              </w:rPr>
              <w:t>Mode d’exploitation des sites à usage temporaire,</w:t>
            </w:r>
          </w:p>
          <w:p w14:paraId="0674D2D9" w14:textId="77777777" w:rsidR="00C86E74" w:rsidRPr="00C86E74" w:rsidRDefault="00C86E74" w:rsidP="0095003D">
            <w:pPr>
              <w:pStyle w:val="Paragraphedeliste"/>
              <w:numPr>
                <w:ilvl w:val="0"/>
                <w:numId w:val="145"/>
              </w:numPr>
              <w:spacing w:after="0"/>
              <w:jc w:val="left"/>
              <w:rPr>
                <w:sz w:val="22"/>
                <w:szCs w:val="18"/>
              </w:rPr>
            </w:pPr>
            <w:r w:rsidRPr="00C86E74">
              <w:rPr>
                <w:sz w:val="22"/>
                <w:szCs w:val="18"/>
              </w:rPr>
              <w:t>Mode de gestion des effluents liquides, huiles usées et déchets solides des sites à usage temporaire</w:t>
            </w:r>
          </w:p>
        </w:tc>
        <w:tc>
          <w:tcPr>
            <w:tcW w:w="1001" w:type="pct"/>
            <w:vAlign w:val="center"/>
          </w:tcPr>
          <w:p w14:paraId="4AC98A8D" w14:textId="77777777" w:rsidR="00C86E74" w:rsidRPr="00C86E74" w:rsidRDefault="00C86E74" w:rsidP="0095003D">
            <w:pPr>
              <w:pStyle w:val="Paragraphedeliste"/>
              <w:numPr>
                <w:ilvl w:val="0"/>
                <w:numId w:val="145"/>
              </w:numPr>
              <w:spacing w:after="0"/>
              <w:jc w:val="left"/>
              <w:rPr>
                <w:sz w:val="22"/>
                <w:szCs w:val="18"/>
              </w:rPr>
            </w:pPr>
            <w:r w:rsidRPr="00C86E74">
              <w:rPr>
                <w:sz w:val="22"/>
                <w:szCs w:val="18"/>
              </w:rPr>
              <w:t>Parking,</w:t>
            </w:r>
          </w:p>
          <w:p w14:paraId="30D51425" w14:textId="77777777" w:rsidR="00C86E74" w:rsidRPr="00C86E74" w:rsidRDefault="00C86E74" w:rsidP="0095003D">
            <w:pPr>
              <w:pStyle w:val="Paragraphedeliste"/>
              <w:numPr>
                <w:ilvl w:val="0"/>
                <w:numId w:val="145"/>
              </w:numPr>
              <w:spacing w:after="0"/>
              <w:jc w:val="left"/>
              <w:rPr>
                <w:sz w:val="22"/>
                <w:szCs w:val="18"/>
              </w:rPr>
            </w:pPr>
            <w:r w:rsidRPr="00C86E74">
              <w:rPr>
                <w:sz w:val="22"/>
                <w:szCs w:val="18"/>
              </w:rPr>
              <w:t>Base vie</w:t>
            </w:r>
          </w:p>
          <w:p w14:paraId="7972AFDF" w14:textId="77777777" w:rsidR="00C86E74" w:rsidRPr="00C86E74" w:rsidRDefault="00C86E74" w:rsidP="0095003D">
            <w:pPr>
              <w:pStyle w:val="Paragraphedeliste"/>
              <w:numPr>
                <w:ilvl w:val="0"/>
                <w:numId w:val="145"/>
              </w:numPr>
              <w:spacing w:after="0"/>
              <w:jc w:val="left"/>
              <w:rPr>
                <w:sz w:val="22"/>
                <w:szCs w:val="18"/>
              </w:rPr>
            </w:pPr>
            <w:r w:rsidRPr="00C86E74">
              <w:rPr>
                <w:sz w:val="22"/>
                <w:szCs w:val="18"/>
              </w:rPr>
              <w:t>Aire d’entretien des engins</w:t>
            </w:r>
          </w:p>
          <w:p w14:paraId="3FD1F573" w14:textId="77777777" w:rsidR="00C86E74" w:rsidRPr="00C86E74" w:rsidRDefault="00C86E74" w:rsidP="0095003D">
            <w:pPr>
              <w:pStyle w:val="Paragraphedeliste"/>
              <w:numPr>
                <w:ilvl w:val="0"/>
                <w:numId w:val="145"/>
              </w:numPr>
              <w:spacing w:after="0"/>
              <w:jc w:val="left"/>
              <w:rPr>
                <w:sz w:val="22"/>
                <w:szCs w:val="18"/>
              </w:rPr>
            </w:pPr>
            <w:r w:rsidRPr="00C86E74">
              <w:rPr>
                <w:sz w:val="22"/>
                <w:szCs w:val="18"/>
              </w:rPr>
              <w:t>Aire de stockage des hydrocarbures et lubrifiants,</w:t>
            </w:r>
          </w:p>
          <w:p w14:paraId="74C204EE" w14:textId="77777777" w:rsidR="00C86E74" w:rsidRPr="00C86E74" w:rsidRDefault="00C86E74" w:rsidP="0095003D">
            <w:pPr>
              <w:pStyle w:val="Paragraphedeliste"/>
              <w:numPr>
                <w:ilvl w:val="0"/>
                <w:numId w:val="145"/>
              </w:numPr>
              <w:spacing w:after="0"/>
              <w:jc w:val="left"/>
              <w:rPr>
                <w:sz w:val="22"/>
                <w:szCs w:val="18"/>
              </w:rPr>
            </w:pPr>
            <w:r w:rsidRPr="00C86E74">
              <w:rPr>
                <w:sz w:val="22"/>
                <w:szCs w:val="18"/>
              </w:rPr>
              <w:t>Zone d’emprunt des matériaux,</w:t>
            </w:r>
          </w:p>
          <w:p w14:paraId="52441B97" w14:textId="77777777" w:rsidR="00C86E74" w:rsidRPr="00C86E74" w:rsidRDefault="00C86E74" w:rsidP="0095003D">
            <w:pPr>
              <w:pStyle w:val="Paragraphedeliste"/>
              <w:numPr>
                <w:ilvl w:val="0"/>
                <w:numId w:val="145"/>
              </w:numPr>
              <w:spacing w:after="0"/>
              <w:jc w:val="left"/>
              <w:rPr>
                <w:sz w:val="22"/>
                <w:szCs w:val="18"/>
              </w:rPr>
            </w:pPr>
            <w:r w:rsidRPr="00C86E74">
              <w:rPr>
                <w:sz w:val="22"/>
                <w:szCs w:val="18"/>
              </w:rPr>
              <w:t>Lieu de dépôt du tout-venant</w:t>
            </w:r>
          </w:p>
        </w:tc>
        <w:tc>
          <w:tcPr>
            <w:tcW w:w="715" w:type="pct"/>
            <w:vAlign w:val="center"/>
          </w:tcPr>
          <w:p w14:paraId="19E356E2" w14:textId="77777777" w:rsidR="00C86E74" w:rsidRPr="00C86E74" w:rsidRDefault="00C86E74" w:rsidP="0095003D">
            <w:pPr>
              <w:pStyle w:val="Paragraphedeliste"/>
              <w:numPr>
                <w:ilvl w:val="0"/>
                <w:numId w:val="145"/>
              </w:numPr>
              <w:spacing w:after="0"/>
              <w:jc w:val="left"/>
              <w:rPr>
                <w:sz w:val="22"/>
                <w:szCs w:val="18"/>
              </w:rPr>
            </w:pPr>
            <w:r w:rsidRPr="00C86E74">
              <w:rPr>
                <w:sz w:val="22"/>
                <w:szCs w:val="18"/>
              </w:rPr>
              <w:t>Journalière</w:t>
            </w:r>
          </w:p>
          <w:p w14:paraId="4188EC93" w14:textId="77777777" w:rsidR="00C86E74" w:rsidRPr="00C86E74" w:rsidRDefault="00C86E74" w:rsidP="0095003D">
            <w:pPr>
              <w:pStyle w:val="Paragraphedeliste"/>
              <w:numPr>
                <w:ilvl w:val="0"/>
                <w:numId w:val="145"/>
              </w:numPr>
              <w:spacing w:after="0"/>
              <w:jc w:val="left"/>
              <w:rPr>
                <w:sz w:val="22"/>
                <w:szCs w:val="18"/>
              </w:rPr>
            </w:pPr>
            <w:r w:rsidRPr="00C86E74">
              <w:rPr>
                <w:sz w:val="22"/>
                <w:szCs w:val="18"/>
              </w:rPr>
              <w:t>Pendant et après les travaux</w:t>
            </w:r>
          </w:p>
        </w:tc>
        <w:tc>
          <w:tcPr>
            <w:tcW w:w="785" w:type="pct"/>
            <w:vAlign w:val="center"/>
          </w:tcPr>
          <w:p w14:paraId="3CE8A064" w14:textId="77777777" w:rsidR="00C86E74" w:rsidRPr="00C86E74" w:rsidRDefault="00C86E74" w:rsidP="0095003D">
            <w:pPr>
              <w:pStyle w:val="Paragraphedeliste"/>
              <w:numPr>
                <w:ilvl w:val="0"/>
                <w:numId w:val="145"/>
              </w:numPr>
              <w:spacing w:after="0"/>
              <w:jc w:val="left"/>
              <w:rPr>
                <w:sz w:val="22"/>
                <w:szCs w:val="18"/>
              </w:rPr>
            </w:pPr>
            <w:r w:rsidRPr="00C86E74">
              <w:rPr>
                <w:sz w:val="22"/>
                <w:szCs w:val="18"/>
              </w:rPr>
              <w:t>Les bacs à ordures existent dans le parking, la base vie et l’aire d’entretien des engins</w:t>
            </w:r>
          </w:p>
          <w:p w14:paraId="435DDFC4" w14:textId="77777777" w:rsidR="00C86E74" w:rsidRPr="00C86E74" w:rsidRDefault="00C86E74" w:rsidP="0095003D">
            <w:pPr>
              <w:pStyle w:val="Paragraphedeliste"/>
              <w:numPr>
                <w:ilvl w:val="0"/>
                <w:numId w:val="145"/>
              </w:numPr>
              <w:spacing w:after="0"/>
              <w:jc w:val="left"/>
              <w:rPr>
                <w:sz w:val="22"/>
                <w:szCs w:val="18"/>
              </w:rPr>
            </w:pPr>
            <w:r w:rsidRPr="00C86E74">
              <w:rPr>
                <w:sz w:val="22"/>
                <w:szCs w:val="18"/>
              </w:rPr>
              <w:t>Les effluents liquides, huiles usées et déchets solides sont collectés et éliminés</w:t>
            </w:r>
          </w:p>
        </w:tc>
        <w:tc>
          <w:tcPr>
            <w:tcW w:w="858" w:type="pct"/>
            <w:vAlign w:val="center"/>
          </w:tcPr>
          <w:p w14:paraId="035E27F7" w14:textId="77777777" w:rsidR="00C86E74" w:rsidRPr="00C86E74" w:rsidRDefault="00C86E74" w:rsidP="0095003D">
            <w:pPr>
              <w:pStyle w:val="Paragraphedeliste"/>
              <w:numPr>
                <w:ilvl w:val="0"/>
                <w:numId w:val="145"/>
              </w:numPr>
              <w:spacing w:after="0"/>
              <w:jc w:val="left"/>
              <w:rPr>
                <w:sz w:val="22"/>
                <w:szCs w:val="18"/>
              </w:rPr>
            </w:pPr>
            <w:r w:rsidRPr="00C86E74">
              <w:rPr>
                <w:sz w:val="22"/>
                <w:szCs w:val="18"/>
              </w:rPr>
              <w:t>Entreprise</w:t>
            </w:r>
          </w:p>
          <w:p w14:paraId="4E2FE654" w14:textId="77777777" w:rsidR="00C86E74" w:rsidRPr="00C86E74" w:rsidRDefault="00C86E74" w:rsidP="0095003D">
            <w:pPr>
              <w:pStyle w:val="Paragraphedeliste"/>
              <w:numPr>
                <w:ilvl w:val="0"/>
                <w:numId w:val="145"/>
              </w:numPr>
              <w:spacing w:after="0"/>
              <w:jc w:val="left"/>
              <w:rPr>
                <w:sz w:val="22"/>
                <w:szCs w:val="18"/>
              </w:rPr>
            </w:pPr>
            <w:r w:rsidRPr="00C86E74">
              <w:rPr>
                <w:sz w:val="22"/>
                <w:szCs w:val="18"/>
              </w:rPr>
              <w:t xml:space="preserve">UGP/PARIIS </w:t>
            </w:r>
          </w:p>
          <w:p w14:paraId="1EA3F5D1" w14:textId="77777777" w:rsidR="00C86E74" w:rsidRPr="00C86E74" w:rsidRDefault="00C86E74" w:rsidP="0095003D">
            <w:pPr>
              <w:pStyle w:val="Paragraphedeliste"/>
              <w:numPr>
                <w:ilvl w:val="0"/>
                <w:numId w:val="145"/>
              </w:numPr>
              <w:spacing w:after="0"/>
              <w:jc w:val="left"/>
              <w:rPr>
                <w:sz w:val="22"/>
                <w:szCs w:val="18"/>
              </w:rPr>
            </w:pPr>
            <w:r w:rsidRPr="00C86E74">
              <w:rPr>
                <w:sz w:val="22"/>
                <w:szCs w:val="18"/>
              </w:rPr>
              <w:t>MOD</w:t>
            </w:r>
          </w:p>
          <w:p w14:paraId="131A097A" w14:textId="77777777" w:rsidR="00C86E74" w:rsidRPr="00C86E74" w:rsidRDefault="00C86E74" w:rsidP="0095003D">
            <w:pPr>
              <w:pStyle w:val="Paragraphedeliste"/>
              <w:numPr>
                <w:ilvl w:val="0"/>
                <w:numId w:val="145"/>
              </w:numPr>
              <w:spacing w:after="0"/>
              <w:jc w:val="left"/>
              <w:rPr>
                <w:sz w:val="22"/>
                <w:szCs w:val="18"/>
              </w:rPr>
            </w:pPr>
            <w:r w:rsidRPr="00C86E74">
              <w:rPr>
                <w:sz w:val="22"/>
                <w:szCs w:val="18"/>
              </w:rPr>
              <w:t>DRACPN</w:t>
            </w:r>
          </w:p>
        </w:tc>
      </w:tr>
      <w:tr w:rsidR="00C86E74" w:rsidRPr="00C86E74" w14:paraId="2ACD2EB4" w14:textId="77777777" w:rsidTr="00C86E74">
        <w:trPr>
          <w:trHeight w:val="20"/>
        </w:trPr>
        <w:tc>
          <w:tcPr>
            <w:tcW w:w="641" w:type="pct"/>
            <w:vMerge/>
            <w:shd w:val="clear" w:color="auto" w:fill="FBD4B4" w:themeFill="accent6" w:themeFillTint="66"/>
            <w:vAlign w:val="center"/>
          </w:tcPr>
          <w:p w14:paraId="7F1D9442" w14:textId="77777777" w:rsidR="00C86E74" w:rsidRPr="00C86E74" w:rsidRDefault="00C86E74" w:rsidP="00BE6D61">
            <w:pPr>
              <w:jc w:val="left"/>
              <w:rPr>
                <w:sz w:val="22"/>
                <w:szCs w:val="18"/>
              </w:rPr>
            </w:pPr>
          </w:p>
        </w:tc>
        <w:tc>
          <w:tcPr>
            <w:tcW w:w="1000" w:type="pct"/>
            <w:vAlign w:val="center"/>
          </w:tcPr>
          <w:p w14:paraId="2CCDABED" w14:textId="77777777" w:rsidR="00C86E74" w:rsidRPr="00C86E74" w:rsidRDefault="00C86E74" w:rsidP="0095003D">
            <w:pPr>
              <w:pStyle w:val="Paragraphedeliste"/>
              <w:numPr>
                <w:ilvl w:val="0"/>
                <w:numId w:val="145"/>
              </w:numPr>
              <w:spacing w:after="0"/>
              <w:jc w:val="left"/>
              <w:rPr>
                <w:sz w:val="22"/>
                <w:szCs w:val="18"/>
              </w:rPr>
            </w:pPr>
            <w:r w:rsidRPr="00C86E74">
              <w:rPr>
                <w:sz w:val="22"/>
                <w:szCs w:val="18"/>
              </w:rPr>
              <w:t>Remise en état des sites à usage temporaire</w:t>
            </w:r>
          </w:p>
        </w:tc>
        <w:tc>
          <w:tcPr>
            <w:tcW w:w="1001" w:type="pct"/>
            <w:vAlign w:val="center"/>
          </w:tcPr>
          <w:p w14:paraId="694977FD" w14:textId="77777777" w:rsidR="00C86E74" w:rsidRPr="00C86E74" w:rsidRDefault="00C86E74" w:rsidP="0095003D">
            <w:pPr>
              <w:pStyle w:val="Paragraphedeliste"/>
              <w:numPr>
                <w:ilvl w:val="0"/>
                <w:numId w:val="145"/>
              </w:numPr>
              <w:spacing w:after="0"/>
              <w:jc w:val="left"/>
              <w:rPr>
                <w:sz w:val="22"/>
                <w:szCs w:val="18"/>
              </w:rPr>
            </w:pPr>
            <w:r w:rsidRPr="00C86E74">
              <w:rPr>
                <w:sz w:val="22"/>
                <w:szCs w:val="18"/>
              </w:rPr>
              <w:t>Parking,</w:t>
            </w:r>
          </w:p>
          <w:p w14:paraId="428D1D65" w14:textId="77777777" w:rsidR="00C86E74" w:rsidRPr="00C86E74" w:rsidRDefault="00C86E74" w:rsidP="0095003D">
            <w:pPr>
              <w:pStyle w:val="Paragraphedeliste"/>
              <w:numPr>
                <w:ilvl w:val="0"/>
                <w:numId w:val="145"/>
              </w:numPr>
              <w:spacing w:after="0"/>
              <w:jc w:val="left"/>
              <w:rPr>
                <w:sz w:val="22"/>
                <w:szCs w:val="18"/>
              </w:rPr>
            </w:pPr>
            <w:r w:rsidRPr="00C86E74">
              <w:rPr>
                <w:sz w:val="22"/>
                <w:szCs w:val="18"/>
              </w:rPr>
              <w:t>Base vie</w:t>
            </w:r>
          </w:p>
          <w:p w14:paraId="3AAD8887" w14:textId="77777777" w:rsidR="00C86E74" w:rsidRPr="00C86E74" w:rsidRDefault="00C86E74" w:rsidP="0095003D">
            <w:pPr>
              <w:pStyle w:val="Paragraphedeliste"/>
              <w:numPr>
                <w:ilvl w:val="0"/>
                <w:numId w:val="145"/>
              </w:numPr>
              <w:spacing w:after="0"/>
              <w:jc w:val="left"/>
              <w:rPr>
                <w:sz w:val="22"/>
                <w:szCs w:val="18"/>
              </w:rPr>
            </w:pPr>
            <w:r w:rsidRPr="00C86E74">
              <w:rPr>
                <w:sz w:val="22"/>
                <w:szCs w:val="18"/>
              </w:rPr>
              <w:t>Aire d’entretien des engins</w:t>
            </w:r>
          </w:p>
          <w:p w14:paraId="2E5B7EE8" w14:textId="77777777" w:rsidR="00C86E74" w:rsidRPr="00C86E74" w:rsidRDefault="00C86E74" w:rsidP="0095003D">
            <w:pPr>
              <w:pStyle w:val="Paragraphedeliste"/>
              <w:numPr>
                <w:ilvl w:val="0"/>
                <w:numId w:val="145"/>
              </w:numPr>
              <w:spacing w:after="0"/>
              <w:jc w:val="left"/>
              <w:rPr>
                <w:sz w:val="22"/>
                <w:szCs w:val="18"/>
              </w:rPr>
            </w:pPr>
            <w:r w:rsidRPr="00C86E74">
              <w:rPr>
                <w:sz w:val="22"/>
                <w:szCs w:val="18"/>
              </w:rPr>
              <w:t>Aire de stockage des hydrocarbures et lubrifiants,</w:t>
            </w:r>
          </w:p>
          <w:p w14:paraId="07205849" w14:textId="77777777" w:rsidR="00C86E74" w:rsidRPr="00C86E74" w:rsidRDefault="00C86E74" w:rsidP="0095003D">
            <w:pPr>
              <w:pStyle w:val="Paragraphedeliste"/>
              <w:numPr>
                <w:ilvl w:val="0"/>
                <w:numId w:val="145"/>
              </w:numPr>
              <w:spacing w:after="0"/>
              <w:jc w:val="left"/>
              <w:rPr>
                <w:sz w:val="22"/>
                <w:szCs w:val="18"/>
              </w:rPr>
            </w:pPr>
            <w:r w:rsidRPr="00C86E74">
              <w:rPr>
                <w:sz w:val="22"/>
                <w:szCs w:val="18"/>
              </w:rPr>
              <w:t>Zone d’emprunt des matériaux,</w:t>
            </w:r>
          </w:p>
          <w:p w14:paraId="7EE79F5D" w14:textId="77777777" w:rsidR="00C86E74" w:rsidRPr="00C86E74" w:rsidRDefault="00C86E74" w:rsidP="0095003D">
            <w:pPr>
              <w:pStyle w:val="Paragraphedeliste"/>
              <w:numPr>
                <w:ilvl w:val="0"/>
                <w:numId w:val="145"/>
              </w:numPr>
              <w:spacing w:after="0"/>
              <w:jc w:val="left"/>
              <w:rPr>
                <w:sz w:val="22"/>
                <w:szCs w:val="18"/>
              </w:rPr>
            </w:pPr>
            <w:r w:rsidRPr="00C86E74">
              <w:rPr>
                <w:sz w:val="22"/>
                <w:szCs w:val="18"/>
              </w:rPr>
              <w:t>Lieu de dépôt du tout-venant</w:t>
            </w:r>
          </w:p>
        </w:tc>
        <w:tc>
          <w:tcPr>
            <w:tcW w:w="715" w:type="pct"/>
            <w:vAlign w:val="center"/>
          </w:tcPr>
          <w:p w14:paraId="16D9B17E" w14:textId="77777777" w:rsidR="00C86E74" w:rsidRPr="00C86E74" w:rsidRDefault="00C86E74" w:rsidP="0095003D">
            <w:pPr>
              <w:pStyle w:val="Paragraphedeliste"/>
              <w:numPr>
                <w:ilvl w:val="0"/>
                <w:numId w:val="145"/>
              </w:numPr>
              <w:spacing w:after="0"/>
              <w:jc w:val="left"/>
              <w:rPr>
                <w:sz w:val="22"/>
                <w:szCs w:val="18"/>
              </w:rPr>
            </w:pPr>
            <w:r w:rsidRPr="00C86E74">
              <w:rPr>
                <w:sz w:val="22"/>
                <w:szCs w:val="18"/>
              </w:rPr>
              <w:t>Journalière</w:t>
            </w:r>
          </w:p>
          <w:p w14:paraId="387AE83F" w14:textId="77777777" w:rsidR="00C86E74" w:rsidRPr="00C86E74" w:rsidRDefault="00C86E74" w:rsidP="0095003D">
            <w:pPr>
              <w:pStyle w:val="Paragraphedeliste"/>
              <w:numPr>
                <w:ilvl w:val="0"/>
                <w:numId w:val="145"/>
              </w:numPr>
              <w:spacing w:after="0"/>
              <w:jc w:val="left"/>
              <w:rPr>
                <w:sz w:val="22"/>
                <w:szCs w:val="18"/>
              </w:rPr>
            </w:pPr>
            <w:r w:rsidRPr="00C86E74">
              <w:rPr>
                <w:sz w:val="22"/>
                <w:szCs w:val="18"/>
              </w:rPr>
              <w:t>Pendant les travaux</w:t>
            </w:r>
          </w:p>
        </w:tc>
        <w:tc>
          <w:tcPr>
            <w:tcW w:w="785" w:type="pct"/>
            <w:vAlign w:val="center"/>
          </w:tcPr>
          <w:p w14:paraId="5E2C7893" w14:textId="77777777" w:rsidR="00C86E74" w:rsidRPr="00C86E74" w:rsidRDefault="00C86E74" w:rsidP="0095003D">
            <w:pPr>
              <w:pStyle w:val="Paragraphedeliste"/>
              <w:numPr>
                <w:ilvl w:val="0"/>
                <w:numId w:val="145"/>
              </w:numPr>
              <w:spacing w:after="0"/>
              <w:jc w:val="left"/>
              <w:rPr>
                <w:sz w:val="22"/>
                <w:szCs w:val="18"/>
              </w:rPr>
            </w:pPr>
            <w:r w:rsidRPr="00C86E74">
              <w:rPr>
                <w:sz w:val="22"/>
                <w:szCs w:val="18"/>
              </w:rPr>
              <w:t>Le matériel est replié à la fin des travaux</w:t>
            </w:r>
          </w:p>
          <w:p w14:paraId="6B1A8860" w14:textId="77777777" w:rsidR="00C86E74" w:rsidRPr="00C86E74" w:rsidRDefault="00C86E74" w:rsidP="0095003D">
            <w:pPr>
              <w:pStyle w:val="Paragraphedeliste"/>
              <w:numPr>
                <w:ilvl w:val="0"/>
                <w:numId w:val="145"/>
              </w:numPr>
              <w:spacing w:after="0"/>
              <w:jc w:val="left"/>
              <w:rPr>
                <w:sz w:val="22"/>
                <w:szCs w:val="18"/>
              </w:rPr>
            </w:pPr>
            <w:r w:rsidRPr="00C86E74">
              <w:rPr>
                <w:sz w:val="22"/>
                <w:szCs w:val="18"/>
              </w:rPr>
              <w:t>Les déchets sont collectés et éliminés et le site est dépollué</w:t>
            </w:r>
          </w:p>
          <w:p w14:paraId="73EEB712" w14:textId="77777777" w:rsidR="00C86E74" w:rsidRPr="00C86E74" w:rsidRDefault="00C86E74" w:rsidP="0095003D">
            <w:pPr>
              <w:pStyle w:val="Paragraphedeliste"/>
              <w:numPr>
                <w:ilvl w:val="0"/>
                <w:numId w:val="145"/>
              </w:numPr>
              <w:spacing w:after="0"/>
              <w:jc w:val="left"/>
              <w:rPr>
                <w:sz w:val="22"/>
                <w:szCs w:val="18"/>
              </w:rPr>
            </w:pPr>
            <w:r w:rsidRPr="00C86E74">
              <w:rPr>
                <w:sz w:val="22"/>
                <w:szCs w:val="18"/>
              </w:rPr>
              <w:t>La zone d’emprunt des matériaux est réhabilitée</w:t>
            </w:r>
          </w:p>
        </w:tc>
        <w:tc>
          <w:tcPr>
            <w:tcW w:w="858" w:type="pct"/>
            <w:vAlign w:val="center"/>
          </w:tcPr>
          <w:p w14:paraId="27F21278" w14:textId="77777777" w:rsidR="00C86E74" w:rsidRPr="00C86E74" w:rsidRDefault="00C86E74" w:rsidP="0095003D">
            <w:pPr>
              <w:pStyle w:val="Paragraphedeliste"/>
              <w:numPr>
                <w:ilvl w:val="0"/>
                <w:numId w:val="145"/>
              </w:numPr>
              <w:spacing w:after="0"/>
              <w:jc w:val="left"/>
              <w:rPr>
                <w:sz w:val="22"/>
                <w:szCs w:val="18"/>
              </w:rPr>
            </w:pPr>
            <w:r w:rsidRPr="00C86E74">
              <w:rPr>
                <w:sz w:val="22"/>
                <w:szCs w:val="18"/>
              </w:rPr>
              <w:t>Entreprise</w:t>
            </w:r>
          </w:p>
          <w:p w14:paraId="0CBB52D9" w14:textId="77777777" w:rsidR="00C86E74" w:rsidRPr="00C86E74" w:rsidRDefault="00C86E74" w:rsidP="0095003D">
            <w:pPr>
              <w:pStyle w:val="Paragraphedeliste"/>
              <w:numPr>
                <w:ilvl w:val="0"/>
                <w:numId w:val="145"/>
              </w:numPr>
              <w:spacing w:after="0"/>
              <w:jc w:val="left"/>
              <w:rPr>
                <w:sz w:val="22"/>
                <w:szCs w:val="18"/>
              </w:rPr>
            </w:pPr>
            <w:r w:rsidRPr="00C86E74">
              <w:rPr>
                <w:sz w:val="22"/>
                <w:szCs w:val="18"/>
              </w:rPr>
              <w:t xml:space="preserve">UGP/PARIIS </w:t>
            </w:r>
          </w:p>
          <w:p w14:paraId="09660CBA" w14:textId="77777777" w:rsidR="00C86E74" w:rsidRPr="00C86E74" w:rsidRDefault="00C86E74" w:rsidP="0095003D">
            <w:pPr>
              <w:pStyle w:val="Paragraphedeliste"/>
              <w:numPr>
                <w:ilvl w:val="0"/>
                <w:numId w:val="145"/>
              </w:numPr>
              <w:spacing w:after="0"/>
              <w:jc w:val="left"/>
              <w:rPr>
                <w:sz w:val="22"/>
                <w:szCs w:val="18"/>
              </w:rPr>
            </w:pPr>
            <w:r w:rsidRPr="00C86E74">
              <w:rPr>
                <w:sz w:val="22"/>
                <w:szCs w:val="18"/>
              </w:rPr>
              <w:t>MOD</w:t>
            </w:r>
          </w:p>
          <w:p w14:paraId="2B02F065" w14:textId="77777777" w:rsidR="00C86E74" w:rsidRPr="00C86E74" w:rsidRDefault="00C86E74" w:rsidP="0095003D">
            <w:pPr>
              <w:pStyle w:val="Paragraphedeliste"/>
              <w:numPr>
                <w:ilvl w:val="0"/>
                <w:numId w:val="145"/>
              </w:numPr>
              <w:spacing w:after="0"/>
              <w:jc w:val="left"/>
              <w:rPr>
                <w:sz w:val="22"/>
                <w:szCs w:val="18"/>
              </w:rPr>
            </w:pPr>
            <w:r w:rsidRPr="00C86E74">
              <w:rPr>
                <w:sz w:val="22"/>
                <w:szCs w:val="18"/>
              </w:rPr>
              <w:t>DRACPN</w:t>
            </w:r>
          </w:p>
        </w:tc>
      </w:tr>
    </w:tbl>
    <w:p w14:paraId="7923D59C" w14:textId="5AA2684E" w:rsidR="00D62C56" w:rsidRDefault="00D62C56" w:rsidP="00C86E74">
      <w:pPr>
        <w:ind w:left="0" w:firstLine="0"/>
      </w:pPr>
    </w:p>
    <w:tbl>
      <w:tblPr>
        <w:tblW w:w="9918" w:type="dxa"/>
        <w:tblLayout w:type="fixed"/>
        <w:tblLook w:val="04A0" w:firstRow="1" w:lastRow="0" w:firstColumn="1" w:lastColumn="0" w:noHBand="0" w:noVBand="1"/>
      </w:tblPr>
      <w:tblGrid>
        <w:gridCol w:w="1282"/>
        <w:gridCol w:w="1732"/>
        <w:gridCol w:w="2226"/>
        <w:gridCol w:w="1418"/>
        <w:gridCol w:w="1559"/>
        <w:gridCol w:w="1701"/>
      </w:tblGrid>
      <w:tr w:rsidR="00EF0D19" w:rsidRPr="00EF0D19" w14:paraId="04F5822A" w14:textId="77777777" w:rsidTr="00EF0D19">
        <w:tc>
          <w:tcPr>
            <w:tcW w:w="1282" w:type="dxa"/>
            <w:shd w:val="clear" w:color="auto" w:fill="E36C0A" w:themeFill="accent6" w:themeFillShade="BF"/>
            <w:vAlign w:val="center"/>
          </w:tcPr>
          <w:p w14:paraId="3335BEAC" w14:textId="77777777" w:rsidR="00EF0D19" w:rsidRPr="00EF0D19" w:rsidRDefault="00EF0D19" w:rsidP="00BE6D61">
            <w:pPr>
              <w:jc w:val="left"/>
              <w:rPr>
                <w:sz w:val="22"/>
                <w:szCs w:val="22"/>
              </w:rPr>
            </w:pPr>
            <w:r w:rsidRPr="00EF0D19">
              <w:rPr>
                <w:sz w:val="22"/>
                <w:szCs w:val="22"/>
              </w:rPr>
              <w:t>Récepteurs</w:t>
            </w:r>
          </w:p>
        </w:tc>
        <w:tc>
          <w:tcPr>
            <w:tcW w:w="1732" w:type="dxa"/>
            <w:shd w:val="clear" w:color="auto" w:fill="E36C0A" w:themeFill="accent6" w:themeFillShade="BF"/>
            <w:vAlign w:val="center"/>
          </w:tcPr>
          <w:p w14:paraId="2FE0A25A" w14:textId="17FEDD87" w:rsidR="00EF0D19" w:rsidRPr="00EF0D19" w:rsidRDefault="00EF0D19" w:rsidP="00BE6D61">
            <w:pPr>
              <w:jc w:val="left"/>
              <w:rPr>
                <w:sz w:val="22"/>
                <w:szCs w:val="22"/>
              </w:rPr>
            </w:pPr>
            <w:r w:rsidRPr="00EF0D19">
              <w:rPr>
                <w:sz w:val="22"/>
                <w:szCs w:val="22"/>
              </w:rPr>
              <w:t>Composantes de suivi</w:t>
            </w:r>
          </w:p>
        </w:tc>
        <w:tc>
          <w:tcPr>
            <w:tcW w:w="2226" w:type="dxa"/>
            <w:shd w:val="clear" w:color="auto" w:fill="E36C0A" w:themeFill="accent6" w:themeFillShade="BF"/>
            <w:vAlign w:val="center"/>
          </w:tcPr>
          <w:p w14:paraId="57C136AD" w14:textId="77777777" w:rsidR="00EF0D19" w:rsidRPr="00EF0D19" w:rsidRDefault="00EF0D19" w:rsidP="00BE6D61">
            <w:pPr>
              <w:jc w:val="left"/>
              <w:rPr>
                <w:sz w:val="22"/>
                <w:szCs w:val="22"/>
              </w:rPr>
            </w:pPr>
            <w:r w:rsidRPr="00EF0D19">
              <w:rPr>
                <w:sz w:val="22"/>
                <w:szCs w:val="22"/>
              </w:rPr>
              <w:t>Bénéficiaires/</w:t>
            </w:r>
          </w:p>
          <w:p w14:paraId="2A5B7ED7" w14:textId="77777777" w:rsidR="00EF0D19" w:rsidRPr="00EF0D19" w:rsidRDefault="00EF0D19" w:rsidP="00BE6D61">
            <w:pPr>
              <w:jc w:val="left"/>
              <w:rPr>
                <w:sz w:val="22"/>
                <w:szCs w:val="22"/>
              </w:rPr>
            </w:pPr>
            <w:r w:rsidRPr="00EF0D19">
              <w:rPr>
                <w:sz w:val="22"/>
                <w:szCs w:val="22"/>
              </w:rPr>
              <w:t>Localisation des</w:t>
            </w:r>
          </w:p>
          <w:p w14:paraId="131DB87A" w14:textId="2C2078E6" w:rsidR="00EF0D19" w:rsidRPr="00EF0D19" w:rsidRDefault="00EF0D19" w:rsidP="00BE6D61">
            <w:pPr>
              <w:jc w:val="left"/>
              <w:rPr>
                <w:sz w:val="22"/>
                <w:szCs w:val="22"/>
              </w:rPr>
            </w:pPr>
            <w:r w:rsidRPr="00EF0D19">
              <w:rPr>
                <w:sz w:val="22"/>
                <w:szCs w:val="22"/>
              </w:rPr>
              <w:t>Stations de suivi</w:t>
            </w:r>
          </w:p>
        </w:tc>
        <w:tc>
          <w:tcPr>
            <w:tcW w:w="1418" w:type="dxa"/>
            <w:shd w:val="clear" w:color="auto" w:fill="E36C0A" w:themeFill="accent6" w:themeFillShade="BF"/>
            <w:vAlign w:val="center"/>
          </w:tcPr>
          <w:p w14:paraId="763AE6E6" w14:textId="77777777" w:rsidR="00EF0D19" w:rsidRPr="00EF0D19" w:rsidRDefault="00EF0D19" w:rsidP="00BE6D61">
            <w:pPr>
              <w:jc w:val="left"/>
              <w:rPr>
                <w:sz w:val="22"/>
                <w:szCs w:val="22"/>
              </w:rPr>
            </w:pPr>
            <w:r w:rsidRPr="00EF0D19">
              <w:rPr>
                <w:sz w:val="22"/>
                <w:szCs w:val="22"/>
              </w:rPr>
              <w:t>Fréquences</w:t>
            </w:r>
          </w:p>
        </w:tc>
        <w:tc>
          <w:tcPr>
            <w:tcW w:w="1559" w:type="dxa"/>
            <w:shd w:val="clear" w:color="auto" w:fill="E36C0A" w:themeFill="accent6" w:themeFillShade="BF"/>
            <w:vAlign w:val="center"/>
          </w:tcPr>
          <w:p w14:paraId="4CB909CD" w14:textId="77777777" w:rsidR="00EF0D19" w:rsidRPr="00EF0D19" w:rsidRDefault="00EF0D19" w:rsidP="00BE6D61">
            <w:pPr>
              <w:jc w:val="left"/>
              <w:rPr>
                <w:sz w:val="22"/>
                <w:szCs w:val="22"/>
              </w:rPr>
            </w:pPr>
            <w:r w:rsidRPr="00EF0D19">
              <w:rPr>
                <w:sz w:val="22"/>
                <w:szCs w:val="22"/>
              </w:rPr>
              <w:t>Indicateurs de suivi</w:t>
            </w:r>
          </w:p>
        </w:tc>
        <w:tc>
          <w:tcPr>
            <w:tcW w:w="1701" w:type="dxa"/>
            <w:shd w:val="clear" w:color="auto" w:fill="E36C0A" w:themeFill="accent6" w:themeFillShade="BF"/>
            <w:vAlign w:val="center"/>
          </w:tcPr>
          <w:p w14:paraId="71B9EE3D" w14:textId="77777777" w:rsidR="00EF0D19" w:rsidRPr="00EF0D19" w:rsidRDefault="00EF0D19" w:rsidP="00BE6D61">
            <w:pPr>
              <w:jc w:val="left"/>
              <w:rPr>
                <w:sz w:val="22"/>
                <w:szCs w:val="22"/>
              </w:rPr>
            </w:pPr>
            <w:r w:rsidRPr="00EF0D19">
              <w:rPr>
                <w:sz w:val="22"/>
                <w:szCs w:val="22"/>
              </w:rPr>
              <w:t>Responsables de suivi</w:t>
            </w:r>
          </w:p>
        </w:tc>
      </w:tr>
      <w:tr w:rsidR="00EF0D19" w:rsidRPr="00EF0D19" w14:paraId="6B715BDF" w14:textId="77777777" w:rsidTr="00EF0D19">
        <w:tc>
          <w:tcPr>
            <w:tcW w:w="1282" w:type="dxa"/>
            <w:shd w:val="clear" w:color="auto" w:fill="FBD4B4" w:themeFill="accent6" w:themeFillTint="66"/>
            <w:vAlign w:val="center"/>
          </w:tcPr>
          <w:p w14:paraId="598F3D3A" w14:textId="77777777" w:rsidR="00EF0D19" w:rsidRPr="00EF0D19" w:rsidRDefault="00EF0D19" w:rsidP="00BE6D61">
            <w:pPr>
              <w:jc w:val="left"/>
              <w:rPr>
                <w:sz w:val="22"/>
                <w:szCs w:val="22"/>
              </w:rPr>
            </w:pPr>
            <w:r w:rsidRPr="00EF0D19">
              <w:rPr>
                <w:sz w:val="22"/>
                <w:szCs w:val="22"/>
              </w:rPr>
              <w:t>Eau de surface</w:t>
            </w:r>
          </w:p>
        </w:tc>
        <w:tc>
          <w:tcPr>
            <w:tcW w:w="1732" w:type="dxa"/>
            <w:vAlign w:val="center"/>
          </w:tcPr>
          <w:p w14:paraId="672CCE35" w14:textId="77777777" w:rsidR="00EF0D19" w:rsidRPr="00EF0D19" w:rsidRDefault="00EF0D19" w:rsidP="0095003D">
            <w:pPr>
              <w:pStyle w:val="Paragraphedeliste"/>
              <w:numPr>
                <w:ilvl w:val="0"/>
                <w:numId w:val="145"/>
              </w:numPr>
              <w:spacing w:after="0"/>
              <w:jc w:val="left"/>
              <w:rPr>
                <w:sz w:val="22"/>
                <w:szCs w:val="22"/>
              </w:rPr>
            </w:pPr>
            <w:r w:rsidRPr="00EF0D19">
              <w:rPr>
                <w:sz w:val="22"/>
                <w:szCs w:val="22"/>
              </w:rPr>
              <w:t>Création de points d’eau pour l’homme et l’abreuvement des animaux</w:t>
            </w:r>
          </w:p>
        </w:tc>
        <w:tc>
          <w:tcPr>
            <w:tcW w:w="2226" w:type="dxa"/>
            <w:vAlign w:val="center"/>
          </w:tcPr>
          <w:p w14:paraId="3CEFB5EC" w14:textId="77777777" w:rsidR="00EF0D19" w:rsidRPr="00EF0D19" w:rsidRDefault="00EF0D19" w:rsidP="0095003D">
            <w:pPr>
              <w:pStyle w:val="Paragraphedeliste"/>
              <w:numPr>
                <w:ilvl w:val="0"/>
                <w:numId w:val="145"/>
              </w:numPr>
              <w:spacing w:after="0"/>
              <w:jc w:val="left"/>
              <w:rPr>
                <w:sz w:val="22"/>
                <w:szCs w:val="22"/>
              </w:rPr>
            </w:pPr>
            <w:r w:rsidRPr="00EF0D19">
              <w:rPr>
                <w:sz w:val="22"/>
                <w:szCs w:val="22"/>
              </w:rPr>
              <w:t>Zone d’emprunt à découverte de plus de 20 cm</w:t>
            </w:r>
          </w:p>
        </w:tc>
        <w:tc>
          <w:tcPr>
            <w:tcW w:w="1418" w:type="dxa"/>
            <w:vAlign w:val="center"/>
          </w:tcPr>
          <w:p w14:paraId="53230370" w14:textId="77777777" w:rsidR="00EF0D19" w:rsidRPr="00EF0D19" w:rsidRDefault="00EF0D19" w:rsidP="0095003D">
            <w:pPr>
              <w:pStyle w:val="Paragraphedeliste"/>
              <w:numPr>
                <w:ilvl w:val="0"/>
                <w:numId w:val="145"/>
              </w:numPr>
              <w:spacing w:after="0"/>
              <w:jc w:val="left"/>
              <w:rPr>
                <w:sz w:val="22"/>
                <w:szCs w:val="22"/>
              </w:rPr>
            </w:pPr>
            <w:r w:rsidRPr="00EF0D19">
              <w:rPr>
                <w:sz w:val="22"/>
                <w:szCs w:val="22"/>
              </w:rPr>
              <w:t>Une fois</w:t>
            </w:r>
          </w:p>
        </w:tc>
        <w:tc>
          <w:tcPr>
            <w:tcW w:w="1559" w:type="dxa"/>
            <w:vAlign w:val="center"/>
          </w:tcPr>
          <w:p w14:paraId="0147BE53" w14:textId="77777777" w:rsidR="00EF0D19" w:rsidRPr="00EF0D19" w:rsidRDefault="00EF0D19" w:rsidP="0095003D">
            <w:pPr>
              <w:pStyle w:val="Paragraphedeliste"/>
              <w:numPr>
                <w:ilvl w:val="0"/>
                <w:numId w:val="145"/>
              </w:numPr>
              <w:spacing w:after="0"/>
              <w:jc w:val="left"/>
              <w:rPr>
                <w:sz w:val="22"/>
                <w:szCs w:val="22"/>
              </w:rPr>
            </w:pPr>
            <w:r w:rsidRPr="00EF0D19">
              <w:rPr>
                <w:sz w:val="22"/>
                <w:szCs w:val="22"/>
              </w:rPr>
              <w:t xml:space="preserve">Après exploitation de l’emprunt deux </w:t>
            </w:r>
            <w:proofErr w:type="spellStart"/>
            <w:r w:rsidRPr="00EF0D19">
              <w:rPr>
                <w:sz w:val="22"/>
                <w:szCs w:val="22"/>
              </w:rPr>
              <w:t>boulis</w:t>
            </w:r>
            <w:proofErr w:type="spellEnd"/>
            <w:r w:rsidRPr="00EF0D19">
              <w:rPr>
                <w:sz w:val="22"/>
                <w:szCs w:val="22"/>
              </w:rPr>
              <w:t xml:space="preserve"> sont crées</w:t>
            </w:r>
          </w:p>
        </w:tc>
        <w:tc>
          <w:tcPr>
            <w:tcW w:w="1701" w:type="dxa"/>
            <w:vAlign w:val="center"/>
          </w:tcPr>
          <w:p w14:paraId="385D3970" w14:textId="77777777" w:rsidR="00EF0D19" w:rsidRPr="00EF0D19" w:rsidRDefault="00EF0D19" w:rsidP="00BE6D61">
            <w:pPr>
              <w:jc w:val="left"/>
              <w:rPr>
                <w:sz w:val="22"/>
                <w:szCs w:val="22"/>
              </w:rPr>
            </w:pPr>
          </w:p>
        </w:tc>
      </w:tr>
      <w:tr w:rsidR="00EF0D19" w:rsidRPr="00EF0D19" w14:paraId="1F16FF9A" w14:textId="77777777" w:rsidTr="00EF0D19">
        <w:tc>
          <w:tcPr>
            <w:tcW w:w="1282" w:type="dxa"/>
            <w:vMerge w:val="restart"/>
            <w:shd w:val="clear" w:color="auto" w:fill="FBD4B4" w:themeFill="accent6" w:themeFillTint="66"/>
            <w:vAlign w:val="center"/>
          </w:tcPr>
          <w:p w14:paraId="76DE6BAD" w14:textId="77777777" w:rsidR="00EF0D19" w:rsidRPr="00EF0D19" w:rsidRDefault="00EF0D19" w:rsidP="00BE6D61">
            <w:pPr>
              <w:jc w:val="left"/>
              <w:rPr>
                <w:sz w:val="22"/>
                <w:szCs w:val="22"/>
              </w:rPr>
            </w:pPr>
            <w:r w:rsidRPr="00EF0D19">
              <w:rPr>
                <w:sz w:val="22"/>
                <w:szCs w:val="22"/>
              </w:rPr>
              <w:t>Végétation</w:t>
            </w:r>
          </w:p>
        </w:tc>
        <w:tc>
          <w:tcPr>
            <w:tcW w:w="1732" w:type="dxa"/>
            <w:vAlign w:val="center"/>
          </w:tcPr>
          <w:p w14:paraId="4DD5BAD1" w14:textId="77777777" w:rsidR="00EF0D19" w:rsidRPr="00EF0D19" w:rsidRDefault="00EF0D19" w:rsidP="0095003D">
            <w:pPr>
              <w:pStyle w:val="Paragraphedeliste"/>
              <w:numPr>
                <w:ilvl w:val="0"/>
                <w:numId w:val="145"/>
              </w:numPr>
              <w:spacing w:after="0"/>
              <w:jc w:val="left"/>
              <w:rPr>
                <w:sz w:val="22"/>
                <w:szCs w:val="22"/>
              </w:rPr>
            </w:pPr>
            <w:r w:rsidRPr="00EF0D19">
              <w:rPr>
                <w:sz w:val="22"/>
                <w:szCs w:val="22"/>
              </w:rPr>
              <w:t>Mode d’exploitation des zones d’emprunt</w:t>
            </w:r>
          </w:p>
        </w:tc>
        <w:tc>
          <w:tcPr>
            <w:tcW w:w="2226" w:type="dxa"/>
            <w:vAlign w:val="center"/>
          </w:tcPr>
          <w:p w14:paraId="1B6CBE38" w14:textId="77777777" w:rsidR="00EF0D19" w:rsidRPr="00EF0D19" w:rsidRDefault="00EF0D19" w:rsidP="0095003D">
            <w:pPr>
              <w:pStyle w:val="Paragraphedeliste"/>
              <w:numPr>
                <w:ilvl w:val="0"/>
                <w:numId w:val="145"/>
              </w:numPr>
              <w:spacing w:after="0"/>
              <w:jc w:val="left"/>
              <w:rPr>
                <w:sz w:val="22"/>
                <w:szCs w:val="22"/>
              </w:rPr>
            </w:pPr>
            <w:r w:rsidRPr="00EF0D19">
              <w:rPr>
                <w:sz w:val="22"/>
                <w:szCs w:val="22"/>
              </w:rPr>
              <w:t>Zone d’emprunt</w:t>
            </w:r>
          </w:p>
        </w:tc>
        <w:tc>
          <w:tcPr>
            <w:tcW w:w="1418" w:type="dxa"/>
            <w:vAlign w:val="center"/>
          </w:tcPr>
          <w:p w14:paraId="35CA191A" w14:textId="77777777" w:rsidR="00EF0D19" w:rsidRPr="00EF0D19" w:rsidRDefault="00EF0D19" w:rsidP="0095003D">
            <w:pPr>
              <w:pStyle w:val="Paragraphedeliste"/>
              <w:numPr>
                <w:ilvl w:val="0"/>
                <w:numId w:val="145"/>
              </w:numPr>
              <w:spacing w:after="0"/>
              <w:jc w:val="left"/>
              <w:rPr>
                <w:sz w:val="22"/>
                <w:szCs w:val="22"/>
              </w:rPr>
            </w:pPr>
            <w:r w:rsidRPr="00EF0D19">
              <w:rPr>
                <w:sz w:val="22"/>
                <w:szCs w:val="22"/>
              </w:rPr>
              <w:t>Hebdomadaire</w:t>
            </w:r>
          </w:p>
          <w:p w14:paraId="2531BB1C" w14:textId="77777777" w:rsidR="00EF0D19" w:rsidRPr="00EF0D19" w:rsidRDefault="00EF0D19" w:rsidP="0095003D">
            <w:pPr>
              <w:pStyle w:val="Paragraphedeliste"/>
              <w:numPr>
                <w:ilvl w:val="0"/>
                <w:numId w:val="145"/>
              </w:numPr>
              <w:spacing w:after="0"/>
              <w:jc w:val="left"/>
              <w:rPr>
                <w:sz w:val="22"/>
                <w:szCs w:val="22"/>
              </w:rPr>
            </w:pPr>
            <w:r w:rsidRPr="00EF0D19">
              <w:rPr>
                <w:sz w:val="22"/>
                <w:szCs w:val="22"/>
              </w:rPr>
              <w:t>Pendant exploitation d’emprunt</w:t>
            </w:r>
          </w:p>
        </w:tc>
        <w:tc>
          <w:tcPr>
            <w:tcW w:w="1559" w:type="dxa"/>
            <w:vAlign w:val="center"/>
          </w:tcPr>
          <w:p w14:paraId="7FE3F1A4" w14:textId="77777777" w:rsidR="00EF0D19" w:rsidRPr="00EF0D19" w:rsidRDefault="00EF0D19" w:rsidP="0095003D">
            <w:pPr>
              <w:pStyle w:val="Paragraphedeliste"/>
              <w:numPr>
                <w:ilvl w:val="0"/>
                <w:numId w:val="145"/>
              </w:numPr>
              <w:spacing w:after="0"/>
              <w:jc w:val="left"/>
              <w:rPr>
                <w:sz w:val="22"/>
                <w:szCs w:val="22"/>
              </w:rPr>
            </w:pPr>
            <w:r w:rsidRPr="00EF0D19">
              <w:rPr>
                <w:sz w:val="22"/>
                <w:szCs w:val="22"/>
              </w:rPr>
              <w:t>Les arbres sont abattus sélectivement</w:t>
            </w:r>
          </w:p>
        </w:tc>
        <w:tc>
          <w:tcPr>
            <w:tcW w:w="1701" w:type="dxa"/>
            <w:vMerge w:val="restart"/>
            <w:vAlign w:val="center"/>
          </w:tcPr>
          <w:p w14:paraId="66BA23ED" w14:textId="77777777" w:rsidR="00EF0D19" w:rsidRPr="00EF0D19" w:rsidRDefault="00EF0D19" w:rsidP="0095003D">
            <w:pPr>
              <w:pStyle w:val="Paragraphedeliste"/>
              <w:numPr>
                <w:ilvl w:val="0"/>
                <w:numId w:val="145"/>
              </w:numPr>
              <w:spacing w:after="0"/>
              <w:jc w:val="left"/>
              <w:rPr>
                <w:sz w:val="22"/>
                <w:szCs w:val="22"/>
              </w:rPr>
            </w:pPr>
            <w:r w:rsidRPr="00EF0D19">
              <w:rPr>
                <w:sz w:val="22"/>
                <w:szCs w:val="22"/>
              </w:rPr>
              <w:t>Entreprise</w:t>
            </w:r>
          </w:p>
          <w:p w14:paraId="0E0124FA" w14:textId="77777777" w:rsidR="00EF0D19" w:rsidRPr="00EF0D19" w:rsidRDefault="00EF0D19" w:rsidP="0095003D">
            <w:pPr>
              <w:pStyle w:val="Paragraphedeliste"/>
              <w:numPr>
                <w:ilvl w:val="0"/>
                <w:numId w:val="145"/>
              </w:numPr>
              <w:spacing w:after="0"/>
              <w:jc w:val="left"/>
              <w:rPr>
                <w:sz w:val="22"/>
                <w:szCs w:val="22"/>
              </w:rPr>
            </w:pPr>
            <w:r w:rsidRPr="00EF0D19">
              <w:rPr>
                <w:sz w:val="22"/>
                <w:szCs w:val="22"/>
              </w:rPr>
              <w:t xml:space="preserve">UGP/PARIIS </w:t>
            </w:r>
          </w:p>
          <w:p w14:paraId="5CF4312F" w14:textId="77777777" w:rsidR="00EF0D19" w:rsidRPr="00EF0D19" w:rsidRDefault="00EF0D19" w:rsidP="0095003D">
            <w:pPr>
              <w:pStyle w:val="Paragraphedeliste"/>
              <w:numPr>
                <w:ilvl w:val="0"/>
                <w:numId w:val="145"/>
              </w:numPr>
              <w:spacing w:after="0"/>
              <w:jc w:val="left"/>
              <w:rPr>
                <w:sz w:val="22"/>
                <w:szCs w:val="22"/>
              </w:rPr>
            </w:pPr>
            <w:r w:rsidRPr="00EF0D19">
              <w:rPr>
                <w:sz w:val="22"/>
                <w:szCs w:val="22"/>
              </w:rPr>
              <w:t>MOD</w:t>
            </w:r>
          </w:p>
          <w:p w14:paraId="1F0FB1EA" w14:textId="77777777" w:rsidR="00EF0D19" w:rsidRPr="00EF0D19" w:rsidRDefault="00EF0D19" w:rsidP="0095003D">
            <w:pPr>
              <w:pStyle w:val="Paragraphedeliste"/>
              <w:numPr>
                <w:ilvl w:val="0"/>
                <w:numId w:val="145"/>
              </w:numPr>
              <w:spacing w:after="0"/>
              <w:jc w:val="left"/>
              <w:rPr>
                <w:sz w:val="22"/>
                <w:szCs w:val="22"/>
              </w:rPr>
            </w:pPr>
            <w:r w:rsidRPr="00EF0D19">
              <w:rPr>
                <w:sz w:val="22"/>
                <w:szCs w:val="22"/>
              </w:rPr>
              <w:t>DRACPN</w:t>
            </w:r>
          </w:p>
          <w:p w14:paraId="38292FAE" w14:textId="77777777" w:rsidR="00EF0D19" w:rsidRPr="00EF0D19" w:rsidRDefault="00EF0D19" w:rsidP="0095003D">
            <w:pPr>
              <w:pStyle w:val="Paragraphedeliste"/>
              <w:numPr>
                <w:ilvl w:val="0"/>
                <w:numId w:val="145"/>
              </w:numPr>
              <w:spacing w:after="0"/>
              <w:jc w:val="left"/>
              <w:rPr>
                <w:sz w:val="22"/>
                <w:szCs w:val="22"/>
              </w:rPr>
            </w:pPr>
            <w:r w:rsidRPr="00EF0D19">
              <w:rPr>
                <w:sz w:val="22"/>
                <w:szCs w:val="22"/>
              </w:rPr>
              <w:t>Commune</w:t>
            </w:r>
          </w:p>
        </w:tc>
      </w:tr>
      <w:tr w:rsidR="00EF0D19" w:rsidRPr="00EF0D19" w14:paraId="797260C0" w14:textId="77777777" w:rsidTr="00EF0D19">
        <w:tc>
          <w:tcPr>
            <w:tcW w:w="1282" w:type="dxa"/>
            <w:vMerge/>
            <w:shd w:val="clear" w:color="auto" w:fill="FBD4B4" w:themeFill="accent6" w:themeFillTint="66"/>
            <w:vAlign w:val="center"/>
          </w:tcPr>
          <w:p w14:paraId="5058852B" w14:textId="77777777" w:rsidR="00EF0D19" w:rsidRPr="00EF0D19" w:rsidRDefault="00EF0D19" w:rsidP="00BE6D61">
            <w:pPr>
              <w:jc w:val="left"/>
              <w:rPr>
                <w:sz w:val="22"/>
                <w:szCs w:val="22"/>
              </w:rPr>
            </w:pPr>
          </w:p>
        </w:tc>
        <w:tc>
          <w:tcPr>
            <w:tcW w:w="1732" w:type="dxa"/>
            <w:vAlign w:val="center"/>
          </w:tcPr>
          <w:p w14:paraId="6EF9B4BC" w14:textId="77777777" w:rsidR="00EF0D19" w:rsidRPr="00EF0D19" w:rsidRDefault="00EF0D19" w:rsidP="0095003D">
            <w:pPr>
              <w:pStyle w:val="Paragraphedeliste"/>
              <w:numPr>
                <w:ilvl w:val="0"/>
                <w:numId w:val="145"/>
              </w:numPr>
              <w:spacing w:after="0"/>
              <w:jc w:val="left"/>
              <w:rPr>
                <w:sz w:val="22"/>
                <w:szCs w:val="22"/>
              </w:rPr>
            </w:pPr>
            <w:r w:rsidRPr="00EF0D19">
              <w:rPr>
                <w:sz w:val="22"/>
                <w:szCs w:val="22"/>
              </w:rPr>
              <w:t xml:space="preserve">Remise en état des zones d’emprunt à découverte de moins de 20 cm </w:t>
            </w:r>
          </w:p>
        </w:tc>
        <w:tc>
          <w:tcPr>
            <w:tcW w:w="2226" w:type="dxa"/>
            <w:vAlign w:val="center"/>
          </w:tcPr>
          <w:p w14:paraId="7C9782A2" w14:textId="77777777" w:rsidR="00EF0D19" w:rsidRPr="00EF0D19" w:rsidRDefault="00EF0D19" w:rsidP="0095003D">
            <w:pPr>
              <w:pStyle w:val="Paragraphedeliste"/>
              <w:numPr>
                <w:ilvl w:val="0"/>
                <w:numId w:val="145"/>
              </w:numPr>
              <w:spacing w:after="0"/>
              <w:jc w:val="left"/>
              <w:rPr>
                <w:sz w:val="22"/>
                <w:szCs w:val="22"/>
              </w:rPr>
            </w:pPr>
            <w:r w:rsidRPr="00EF0D19">
              <w:rPr>
                <w:sz w:val="22"/>
                <w:szCs w:val="22"/>
              </w:rPr>
              <w:t>Zones d’emprunt</w:t>
            </w:r>
          </w:p>
        </w:tc>
        <w:tc>
          <w:tcPr>
            <w:tcW w:w="1418" w:type="dxa"/>
            <w:vAlign w:val="center"/>
          </w:tcPr>
          <w:p w14:paraId="5B7B883F" w14:textId="77777777" w:rsidR="00EF0D19" w:rsidRPr="00EF0D19" w:rsidRDefault="00EF0D19" w:rsidP="0095003D">
            <w:pPr>
              <w:pStyle w:val="Paragraphedeliste"/>
              <w:numPr>
                <w:ilvl w:val="0"/>
                <w:numId w:val="145"/>
              </w:numPr>
              <w:spacing w:after="0"/>
              <w:jc w:val="left"/>
              <w:rPr>
                <w:sz w:val="22"/>
                <w:szCs w:val="22"/>
              </w:rPr>
            </w:pPr>
            <w:r w:rsidRPr="00EF0D19">
              <w:rPr>
                <w:sz w:val="22"/>
                <w:szCs w:val="22"/>
              </w:rPr>
              <w:t>Une fois</w:t>
            </w:r>
          </w:p>
          <w:p w14:paraId="2D26BB6B" w14:textId="77777777" w:rsidR="00EF0D19" w:rsidRPr="00EF0D19" w:rsidRDefault="00EF0D19" w:rsidP="0095003D">
            <w:pPr>
              <w:pStyle w:val="Paragraphedeliste"/>
              <w:numPr>
                <w:ilvl w:val="0"/>
                <w:numId w:val="145"/>
              </w:numPr>
              <w:spacing w:after="0"/>
              <w:jc w:val="left"/>
              <w:rPr>
                <w:sz w:val="22"/>
                <w:szCs w:val="22"/>
              </w:rPr>
            </w:pPr>
            <w:r w:rsidRPr="00EF0D19">
              <w:rPr>
                <w:sz w:val="22"/>
                <w:szCs w:val="22"/>
              </w:rPr>
              <w:t>Après exploitation de l’emprunt</w:t>
            </w:r>
          </w:p>
        </w:tc>
        <w:tc>
          <w:tcPr>
            <w:tcW w:w="1559" w:type="dxa"/>
            <w:vAlign w:val="center"/>
          </w:tcPr>
          <w:p w14:paraId="41F0CC3E" w14:textId="77777777" w:rsidR="00EF0D19" w:rsidRPr="00EF0D19" w:rsidRDefault="00EF0D19" w:rsidP="0095003D">
            <w:pPr>
              <w:pStyle w:val="Paragraphedeliste"/>
              <w:numPr>
                <w:ilvl w:val="0"/>
                <w:numId w:val="145"/>
              </w:numPr>
              <w:spacing w:after="0"/>
              <w:jc w:val="left"/>
              <w:rPr>
                <w:sz w:val="22"/>
                <w:szCs w:val="22"/>
              </w:rPr>
            </w:pPr>
            <w:r w:rsidRPr="00EF0D19">
              <w:rPr>
                <w:sz w:val="22"/>
                <w:szCs w:val="22"/>
              </w:rPr>
              <w:t>La terre végétale est étalée sur deux emprunts</w:t>
            </w:r>
          </w:p>
        </w:tc>
        <w:tc>
          <w:tcPr>
            <w:tcW w:w="1701" w:type="dxa"/>
            <w:vMerge/>
            <w:vAlign w:val="center"/>
          </w:tcPr>
          <w:p w14:paraId="4DD82E3B" w14:textId="77777777" w:rsidR="00EF0D19" w:rsidRPr="00EF0D19" w:rsidRDefault="00EF0D19" w:rsidP="0095003D">
            <w:pPr>
              <w:pStyle w:val="Paragraphedeliste"/>
              <w:numPr>
                <w:ilvl w:val="0"/>
                <w:numId w:val="145"/>
              </w:numPr>
              <w:spacing w:after="0"/>
              <w:jc w:val="left"/>
              <w:rPr>
                <w:sz w:val="22"/>
                <w:szCs w:val="22"/>
              </w:rPr>
            </w:pPr>
          </w:p>
        </w:tc>
      </w:tr>
      <w:tr w:rsidR="00EF0D19" w:rsidRPr="00EF0D19" w14:paraId="3BFBD19D" w14:textId="77777777" w:rsidTr="00EF0D19">
        <w:tc>
          <w:tcPr>
            <w:tcW w:w="1282" w:type="dxa"/>
            <w:vMerge/>
            <w:shd w:val="clear" w:color="auto" w:fill="FBD4B4" w:themeFill="accent6" w:themeFillTint="66"/>
          </w:tcPr>
          <w:p w14:paraId="33F6A55B" w14:textId="77777777" w:rsidR="00EF0D19" w:rsidRPr="00EF0D19" w:rsidRDefault="00EF0D19" w:rsidP="00BE6D61">
            <w:pPr>
              <w:jc w:val="left"/>
              <w:rPr>
                <w:sz w:val="22"/>
                <w:szCs w:val="22"/>
              </w:rPr>
            </w:pPr>
          </w:p>
        </w:tc>
        <w:tc>
          <w:tcPr>
            <w:tcW w:w="1732" w:type="dxa"/>
          </w:tcPr>
          <w:p w14:paraId="1832546D" w14:textId="77777777" w:rsidR="00EF0D19" w:rsidRPr="00EF0D19" w:rsidRDefault="00EF0D19" w:rsidP="0095003D">
            <w:pPr>
              <w:pStyle w:val="Paragraphedeliste"/>
              <w:numPr>
                <w:ilvl w:val="0"/>
                <w:numId w:val="145"/>
              </w:numPr>
              <w:spacing w:after="0"/>
              <w:jc w:val="left"/>
              <w:rPr>
                <w:sz w:val="22"/>
                <w:szCs w:val="22"/>
              </w:rPr>
            </w:pPr>
            <w:r w:rsidRPr="00EF0D19">
              <w:rPr>
                <w:sz w:val="22"/>
                <w:szCs w:val="22"/>
              </w:rPr>
              <w:t>Aire d’implantation des sites à usage temporaire</w:t>
            </w:r>
          </w:p>
        </w:tc>
        <w:tc>
          <w:tcPr>
            <w:tcW w:w="2226" w:type="dxa"/>
          </w:tcPr>
          <w:p w14:paraId="5DDD8E32" w14:textId="77777777" w:rsidR="00EF0D19" w:rsidRPr="00EF0D19" w:rsidRDefault="00EF0D19" w:rsidP="0095003D">
            <w:pPr>
              <w:pStyle w:val="Paragraphedeliste"/>
              <w:numPr>
                <w:ilvl w:val="0"/>
                <w:numId w:val="145"/>
              </w:numPr>
              <w:spacing w:after="0"/>
              <w:jc w:val="left"/>
              <w:rPr>
                <w:sz w:val="22"/>
                <w:szCs w:val="22"/>
              </w:rPr>
            </w:pPr>
            <w:r w:rsidRPr="00EF0D19">
              <w:rPr>
                <w:sz w:val="22"/>
                <w:szCs w:val="22"/>
              </w:rPr>
              <w:t>Parking</w:t>
            </w:r>
          </w:p>
          <w:p w14:paraId="17A501A3" w14:textId="77777777" w:rsidR="00EF0D19" w:rsidRPr="00EF0D19" w:rsidRDefault="00EF0D19" w:rsidP="0095003D">
            <w:pPr>
              <w:pStyle w:val="Paragraphedeliste"/>
              <w:numPr>
                <w:ilvl w:val="0"/>
                <w:numId w:val="145"/>
              </w:numPr>
              <w:spacing w:after="0"/>
              <w:jc w:val="left"/>
              <w:rPr>
                <w:sz w:val="22"/>
                <w:szCs w:val="22"/>
              </w:rPr>
            </w:pPr>
            <w:r w:rsidRPr="00EF0D19">
              <w:rPr>
                <w:sz w:val="22"/>
                <w:szCs w:val="22"/>
              </w:rPr>
              <w:t>Base vie</w:t>
            </w:r>
          </w:p>
          <w:p w14:paraId="303C8C27" w14:textId="77777777" w:rsidR="00EF0D19" w:rsidRPr="00EF0D19" w:rsidRDefault="00EF0D19" w:rsidP="0095003D">
            <w:pPr>
              <w:pStyle w:val="Paragraphedeliste"/>
              <w:numPr>
                <w:ilvl w:val="0"/>
                <w:numId w:val="145"/>
              </w:numPr>
              <w:spacing w:after="0"/>
              <w:jc w:val="left"/>
              <w:rPr>
                <w:sz w:val="22"/>
                <w:szCs w:val="22"/>
              </w:rPr>
            </w:pPr>
            <w:r w:rsidRPr="00EF0D19">
              <w:rPr>
                <w:sz w:val="22"/>
                <w:szCs w:val="22"/>
              </w:rPr>
              <w:t>Aire de stockage des hydrocarbures et lubrifiants,</w:t>
            </w:r>
          </w:p>
          <w:p w14:paraId="1DD98804" w14:textId="77777777" w:rsidR="00EF0D19" w:rsidRPr="00EF0D19" w:rsidRDefault="00EF0D19" w:rsidP="0095003D">
            <w:pPr>
              <w:pStyle w:val="Paragraphedeliste"/>
              <w:numPr>
                <w:ilvl w:val="0"/>
                <w:numId w:val="145"/>
              </w:numPr>
              <w:spacing w:after="0"/>
              <w:jc w:val="left"/>
              <w:rPr>
                <w:sz w:val="22"/>
                <w:szCs w:val="22"/>
              </w:rPr>
            </w:pPr>
            <w:r w:rsidRPr="00EF0D19">
              <w:rPr>
                <w:sz w:val="22"/>
                <w:szCs w:val="22"/>
              </w:rPr>
              <w:t>Aire d’entretien des engins</w:t>
            </w:r>
          </w:p>
          <w:p w14:paraId="3D43BEBF" w14:textId="77777777" w:rsidR="00EF0D19" w:rsidRPr="00EF0D19" w:rsidRDefault="00EF0D19" w:rsidP="0095003D">
            <w:pPr>
              <w:pStyle w:val="Paragraphedeliste"/>
              <w:numPr>
                <w:ilvl w:val="0"/>
                <w:numId w:val="145"/>
              </w:numPr>
              <w:spacing w:after="0"/>
              <w:jc w:val="left"/>
              <w:rPr>
                <w:sz w:val="22"/>
                <w:szCs w:val="22"/>
              </w:rPr>
            </w:pPr>
            <w:r w:rsidRPr="00EF0D19">
              <w:rPr>
                <w:sz w:val="22"/>
                <w:szCs w:val="22"/>
              </w:rPr>
              <w:t>Site d’emprunt</w:t>
            </w:r>
          </w:p>
          <w:p w14:paraId="6AF96F30" w14:textId="77777777" w:rsidR="00EF0D19" w:rsidRPr="00EF0D19" w:rsidRDefault="00EF0D19" w:rsidP="0095003D">
            <w:pPr>
              <w:pStyle w:val="Paragraphedeliste"/>
              <w:numPr>
                <w:ilvl w:val="0"/>
                <w:numId w:val="145"/>
              </w:numPr>
              <w:spacing w:after="0"/>
              <w:jc w:val="left"/>
              <w:rPr>
                <w:sz w:val="22"/>
                <w:szCs w:val="22"/>
              </w:rPr>
            </w:pPr>
            <w:r w:rsidRPr="00EF0D19">
              <w:rPr>
                <w:sz w:val="22"/>
                <w:szCs w:val="22"/>
              </w:rPr>
              <w:t>Lieu de dépôt du tout-venant</w:t>
            </w:r>
          </w:p>
        </w:tc>
        <w:tc>
          <w:tcPr>
            <w:tcW w:w="1418" w:type="dxa"/>
          </w:tcPr>
          <w:p w14:paraId="7E2B816A" w14:textId="77777777" w:rsidR="00EF0D19" w:rsidRPr="00EF0D19" w:rsidRDefault="00EF0D19" w:rsidP="0095003D">
            <w:pPr>
              <w:pStyle w:val="Paragraphedeliste"/>
              <w:numPr>
                <w:ilvl w:val="0"/>
                <w:numId w:val="145"/>
              </w:numPr>
              <w:spacing w:after="0"/>
              <w:jc w:val="left"/>
              <w:rPr>
                <w:sz w:val="22"/>
                <w:szCs w:val="22"/>
              </w:rPr>
            </w:pPr>
            <w:r w:rsidRPr="00EF0D19">
              <w:rPr>
                <w:sz w:val="22"/>
                <w:szCs w:val="22"/>
              </w:rPr>
              <w:t xml:space="preserve">Une fois </w:t>
            </w:r>
          </w:p>
          <w:p w14:paraId="6610BECF" w14:textId="77777777" w:rsidR="00EF0D19" w:rsidRPr="00EF0D19" w:rsidRDefault="00EF0D19" w:rsidP="0095003D">
            <w:pPr>
              <w:pStyle w:val="Paragraphedeliste"/>
              <w:numPr>
                <w:ilvl w:val="0"/>
                <w:numId w:val="145"/>
              </w:numPr>
              <w:spacing w:after="0"/>
              <w:jc w:val="left"/>
              <w:rPr>
                <w:sz w:val="22"/>
                <w:szCs w:val="22"/>
              </w:rPr>
            </w:pPr>
            <w:r w:rsidRPr="00EF0D19">
              <w:rPr>
                <w:sz w:val="22"/>
                <w:szCs w:val="22"/>
              </w:rPr>
              <w:t>Avant implantation</w:t>
            </w:r>
          </w:p>
        </w:tc>
        <w:tc>
          <w:tcPr>
            <w:tcW w:w="1559" w:type="dxa"/>
          </w:tcPr>
          <w:p w14:paraId="2B74FC6B" w14:textId="77777777" w:rsidR="00EF0D19" w:rsidRPr="00EF0D19" w:rsidRDefault="00EF0D19" w:rsidP="0095003D">
            <w:pPr>
              <w:pStyle w:val="Paragraphedeliste"/>
              <w:numPr>
                <w:ilvl w:val="0"/>
                <w:numId w:val="145"/>
              </w:numPr>
              <w:spacing w:after="0"/>
              <w:jc w:val="left"/>
              <w:rPr>
                <w:sz w:val="22"/>
                <w:szCs w:val="22"/>
              </w:rPr>
            </w:pPr>
            <w:r w:rsidRPr="00EF0D19">
              <w:rPr>
                <w:sz w:val="22"/>
                <w:szCs w:val="22"/>
              </w:rPr>
              <w:t>Les sites à usage temporaire sont implantés dans les clairières</w:t>
            </w:r>
          </w:p>
        </w:tc>
        <w:tc>
          <w:tcPr>
            <w:tcW w:w="1701" w:type="dxa"/>
            <w:vMerge/>
          </w:tcPr>
          <w:p w14:paraId="420459F5" w14:textId="77777777" w:rsidR="00EF0D19" w:rsidRPr="00EF0D19" w:rsidRDefault="00EF0D19" w:rsidP="0095003D">
            <w:pPr>
              <w:pStyle w:val="Paragraphedeliste"/>
              <w:numPr>
                <w:ilvl w:val="0"/>
                <w:numId w:val="145"/>
              </w:numPr>
              <w:spacing w:after="0"/>
              <w:jc w:val="left"/>
              <w:rPr>
                <w:sz w:val="22"/>
                <w:szCs w:val="22"/>
              </w:rPr>
            </w:pPr>
          </w:p>
        </w:tc>
      </w:tr>
      <w:tr w:rsidR="00EF0D19" w:rsidRPr="00EF0D19" w14:paraId="10BA9D98" w14:textId="77777777" w:rsidTr="00EF0D19">
        <w:tc>
          <w:tcPr>
            <w:tcW w:w="1282" w:type="dxa"/>
            <w:vMerge/>
          </w:tcPr>
          <w:p w14:paraId="46A5440F" w14:textId="77777777" w:rsidR="00EF0D19" w:rsidRPr="00EF0D19" w:rsidRDefault="00EF0D19" w:rsidP="00BE6D61">
            <w:pPr>
              <w:jc w:val="left"/>
              <w:rPr>
                <w:sz w:val="22"/>
                <w:szCs w:val="22"/>
              </w:rPr>
            </w:pPr>
          </w:p>
        </w:tc>
        <w:tc>
          <w:tcPr>
            <w:tcW w:w="1732" w:type="dxa"/>
          </w:tcPr>
          <w:p w14:paraId="4D30CCFD" w14:textId="77777777" w:rsidR="00EF0D19" w:rsidRPr="00EF0D19" w:rsidRDefault="00EF0D19" w:rsidP="0095003D">
            <w:pPr>
              <w:pStyle w:val="Paragraphedeliste"/>
              <w:numPr>
                <w:ilvl w:val="0"/>
                <w:numId w:val="145"/>
              </w:numPr>
              <w:spacing w:after="0"/>
              <w:jc w:val="left"/>
              <w:rPr>
                <w:sz w:val="22"/>
                <w:szCs w:val="22"/>
              </w:rPr>
            </w:pPr>
            <w:r w:rsidRPr="00EF0D19">
              <w:rPr>
                <w:sz w:val="22"/>
                <w:szCs w:val="22"/>
              </w:rPr>
              <w:t>Plantation compensatoire d’arbre</w:t>
            </w:r>
          </w:p>
        </w:tc>
        <w:tc>
          <w:tcPr>
            <w:tcW w:w="2226" w:type="dxa"/>
          </w:tcPr>
          <w:p w14:paraId="6434E212" w14:textId="77777777" w:rsidR="00EF0D19" w:rsidRPr="00EF0D19" w:rsidRDefault="00EF0D19" w:rsidP="0095003D">
            <w:pPr>
              <w:pStyle w:val="Paragraphedeliste"/>
              <w:numPr>
                <w:ilvl w:val="0"/>
                <w:numId w:val="145"/>
              </w:numPr>
              <w:spacing w:after="0"/>
              <w:jc w:val="left"/>
              <w:rPr>
                <w:sz w:val="22"/>
                <w:szCs w:val="22"/>
              </w:rPr>
            </w:pPr>
            <w:r w:rsidRPr="00EF0D19">
              <w:rPr>
                <w:sz w:val="22"/>
                <w:szCs w:val="22"/>
              </w:rPr>
              <w:t xml:space="preserve">Village de </w:t>
            </w:r>
            <w:proofErr w:type="spellStart"/>
            <w:r w:rsidRPr="00EF0D19">
              <w:rPr>
                <w:sz w:val="22"/>
                <w:szCs w:val="22"/>
              </w:rPr>
              <w:t>Kissakoro</w:t>
            </w:r>
            <w:proofErr w:type="spellEnd"/>
          </w:p>
          <w:p w14:paraId="5BD1B669" w14:textId="77777777" w:rsidR="00EF0D19" w:rsidRPr="00EF0D19" w:rsidRDefault="00EF0D19" w:rsidP="0095003D">
            <w:pPr>
              <w:pStyle w:val="Paragraphedeliste"/>
              <w:numPr>
                <w:ilvl w:val="0"/>
                <w:numId w:val="145"/>
              </w:numPr>
              <w:spacing w:after="0"/>
              <w:jc w:val="left"/>
              <w:rPr>
                <w:sz w:val="22"/>
                <w:szCs w:val="22"/>
              </w:rPr>
            </w:pPr>
            <w:r w:rsidRPr="00EF0D19">
              <w:rPr>
                <w:sz w:val="22"/>
                <w:szCs w:val="22"/>
              </w:rPr>
              <w:t>Emprunts</w:t>
            </w:r>
          </w:p>
        </w:tc>
        <w:tc>
          <w:tcPr>
            <w:tcW w:w="1418" w:type="dxa"/>
          </w:tcPr>
          <w:p w14:paraId="174FCD3D" w14:textId="77777777" w:rsidR="00EF0D19" w:rsidRPr="00EF0D19" w:rsidRDefault="00EF0D19" w:rsidP="0095003D">
            <w:pPr>
              <w:pStyle w:val="Paragraphedeliste"/>
              <w:numPr>
                <w:ilvl w:val="0"/>
                <w:numId w:val="145"/>
              </w:numPr>
              <w:spacing w:after="0"/>
              <w:jc w:val="left"/>
              <w:rPr>
                <w:sz w:val="22"/>
                <w:szCs w:val="22"/>
              </w:rPr>
            </w:pPr>
            <w:r w:rsidRPr="00EF0D19">
              <w:rPr>
                <w:sz w:val="22"/>
                <w:szCs w:val="22"/>
              </w:rPr>
              <w:t>Hebdomadaire</w:t>
            </w:r>
          </w:p>
          <w:p w14:paraId="6B8150A2" w14:textId="77777777" w:rsidR="00EF0D19" w:rsidRPr="00EF0D19" w:rsidRDefault="00EF0D19" w:rsidP="0095003D">
            <w:pPr>
              <w:pStyle w:val="Paragraphedeliste"/>
              <w:numPr>
                <w:ilvl w:val="0"/>
                <w:numId w:val="145"/>
              </w:numPr>
              <w:spacing w:after="0"/>
              <w:jc w:val="left"/>
              <w:rPr>
                <w:sz w:val="22"/>
                <w:szCs w:val="22"/>
              </w:rPr>
            </w:pPr>
            <w:r w:rsidRPr="00EF0D19">
              <w:rPr>
                <w:sz w:val="22"/>
                <w:szCs w:val="22"/>
              </w:rPr>
              <w:t>Pendant ou après travaux</w:t>
            </w:r>
          </w:p>
        </w:tc>
        <w:tc>
          <w:tcPr>
            <w:tcW w:w="1559" w:type="dxa"/>
          </w:tcPr>
          <w:p w14:paraId="5AFF4EE3" w14:textId="77777777" w:rsidR="00EF0D19" w:rsidRPr="00EF0D19" w:rsidRDefault="00EF0D19" w:rsidP="0095003D">
            <w:pPr>
              <w:pStyle w:val="Paragraphedeliste"/>
              <w:numPr>
                <w:ilvl w:val="0"/>
                <w:numId w:val="145"/>
              </w:numPr>
              <w:spacing w:after="0"/>
              <w:jc w:val="left"/>
              <w:rPr>
                <w:sz w:val="22"/>
                <w:szCs w:val="22"/>
              </w:rPr>
            </w:pPr>
            <w:r w:rsidRPr="00EF0D19">
              <w:rPr>
                <w:sz w:val="22"/>
                <w:szCs w:val="22"/>
              </w:rPr>
              <w:t>Taux de réussite des plantations</w:t>
            </w:r>
          </w:p>
        </w:tc>
        <w:tc>
          <w:tcPr>
            <w:tcW w:w="1701" w:type="dxa"/>
          </w:tcPr>
          <w:p w14:paraId="0F823402" w14:textId="77777777" w:rsidR="00EF0D19" w:rsidRPr="00EF0D19" w:rsidRDefault="00EF0D19" w:rsidP="0095003D">
            <w:pPr>
              <w:pStyle w:val="Paragraphedeliste"/>
              <w:numPr>
                <w:ilvl w:val="0"/>
                <w:numId w:val="145"/>
              </w:numPr>
              <w:spacing w:after="0"/>
              <w:jc w:val="left"/>
              <w:rPr>
                <w:sz w:val="22"/>
                <w:szCs w:val="22"/>
              </w:rPr>
            </w:pPr>
            <w:r w:rsidRPr="00EF0D19">
              <w:rPr>
                <w:sz w:val="22"/>
                <w:szCs w:val="22"/>
              </w:rPr>
              <w:t>Entreprise</w:t>
            </w:r>
          </w:p>
          <w:p w14:paraId="1111E687" w14:textId="77777777" w:rsidR="00EF0D19" w:rsidRPr="00EF0D19" w:rsidRDefault="00EF0D19" w:rsidP="0095003D">
            <w:pPr>
              <w:pStyle w:val="Paragraphedeliste"/>
              <w:numPr>
                <w:ilvl w:val="0"/>
                <w:numId w:val="145"/>
              </w:numPr>
              <w:spacing w:after="0"/>
              <w:jc w:val="left"/>
              <w:rPr>
                <w:sz w:val="22"/>
                <w:szCs w:val="22"/>
              </w:rPr>
            </w:pPr>
            <w:r w:rsidRPr="00EF0D19">
              <w:rPr>
                <w:sz w:val="22"/>
                <w:szCs w:val="22"/>
              </w:rPr>
              <w:t xml:space="preserve">UGP/PARIIS </w:t>
            </w:r>
          </w:p>
          <w:p w14:paraId="76C58C8D" w14:textId="77777777" w:rsidR="00EF0D19" w:rsidRPr="00EF0D19" w:rsidRDefault="00EF0D19" w:rsidP="0095003D">
            <w:pPr>
              <w:pStyle w:val="Paragraphedeliste"/>
              <w:numPr>
                <w:ilvl w:val="0"/>
                <w:numId w:val="145"/>
              </w:numPr>
              <w:spacing w:after="0"/>
              <w:jc w:val="left"/>
              <w:rPr>
                <w:sz w:val="22"/>
                <w:szCs w:val="22"/>
              </w:rPr>
            </w:pPr>
            <w:r w:rsidRPr="00EF0D19">
              <w:rPr>
                <w:sz w:val="22"/>
                <w:szCs w:val="22"/>
              </w:rPr>
              <w:t>MOD</w:t>
            </w:r>
          </w:p>
          <w:p w14:paraId="13ADF051" w14:textId="77777777" w:rsidR="00EF0D19" w:rsidRPr="00EF0D19" w:rsidRDefault="00EF0D19" w:rsidP="0095003D">
            <w:pPr>
              <w:pStyle w:val="Paragraphedeliste"/>
              <w:numPr>
                <w:ilvl w:val="0"/>
                <w:numId w:val="145"/>
              </w:numPr>
              <w:spacing w:after="0"/>
              <w:jc w:val="left"/>
              <w:rPr>
                <w:sz w:val="22"/>
                <w:szCs w:val="22"/>
              </w:rPr>
            </w:pPr>
            <w:r w:rsidRPr="00EF0D19">
              <w:rPr>
                <w:sz w:val="22"/>
                <w:szCs w:val="22"/>
              </w:rPr>
              <w:t>DRACPN</w:t>
            </w:r>
          </w:p>
          <w:p w14:paraId="12E906E8" w14:textId="77777777" w:rsidR="00EF0D19" w:rsidRPr="00EF0D19" w:rsidRDefault="00EF0D19" w:rsidP="0095003D">
            <w:pPr>
              <w:pStyle w:val="Paragraphedeliste"/>
              <w:numPr>
                <w:ilvl w:val="0"/>
                <w:numId w:val="145"/>
              </w:numPr>
              <w:spacing w:after="0"/>
              <w:jc w:val="left"/>
              <w:rPr>
                <w:sz w:val="22"/>
                <w:szCs w:val="22"/>
              </w:rPr>
            </w:pPr>
            <w:r w:rsidRPr="00EF0D19">
              <w:rPr>
                <w:sz w:val="22"/>
                <w:szCs w:val="22"/>
              </w:rPr>
              <w:t>Commune</w:t>
            </w:r>
          </w:p>
        </w:tc>
      </w:tr>
    </w:tbl>
    <w:p w14:paraId="2388576C" w14:textId="408E90F8" w:rsidR="00405807" w:rsidRDefault="00405807" w:rsidP="00C86E74">
      <w:pPr>
        <w:ind w:left="0" w:firstLine="0"/>
      </w:pPr>
    </w:p>
    <w:tbl>
      <w:tblPr>
        <w:tblW w:w="9918" w:type="dxa"/>
        <w:tblLayout w:type="fixed"/>
        <w:tblLook w:val="04A0" w:firstRow="1" w:lastRow="0" w:firstColumn="1" w:lastColumn="0" w:noHBand="0" w:noVBand="1"/>
      </w:tblPr>
      <w:tblGrid>
        <w:gridCol w:w="1329"/>
        <w:gridCol w:w="1584"/>
        <w:gridCol w:w="2327"/>
        <w:gridCol w:w="1418"/>
        <w:gridCol w:w="1701"/>
        <w:gridCol w:w="1559"/>
      </w:tblGrid>
      <w:tr w:rsidR="005A6F8B" w:rsidRPr="005A6F8B" w14:paraId="10B19B84" w14:textId="77777777" w:rsidTr="005A6F8B">
        <w:tc>
          <w:tcPr>
            <w:tcW w:w="1329" w:type="dxa"/>
            <w:shd w:val="clear" w:color="auto" w:fill="E36C0A" w:themeFill="accent6" w:themeFillShade="BF"/>
            <w:vAlign w:val="center"/>
          </w:tcPr>
          <w:p w14:paraId="38D0EFBD" w14:textId="77777777" w:rsidR="005A6F8B" w:rsidRPr="005A6F8B" w:rsidRDefault="005A6F8B" w:rsidP="00BE6D61">
            <w:pPr>
              <w:jc w:val="left"/>
              <w:rPr>
                <w:rFonts w:cs="Arial"/>
                <w:sz w:val="22"/>
                <w:szCs w:val="18"/>
              </w:rPr>
            </w:pPr>
            <w:r w:rsidRPr="005A6F8B">
              <w:rPr>
                <w:rFonts w:cs="Arial"/>
                <w:sz w:val="22"/>
                <w:szCs w:val="18"/>
              </w:rPr>
              <w:t>Récepteurs</w:t>
            </w:r>
          </w:p>
        </w:tc>
        <w:tc>
          <w:tcPr>
            <w:tcW w:w="1584" w:type="dxa"/>
            <w:shd w:val="clear" w:color="auto" w:fill="E36C0A" w:themeFill="accent6" w:themeFillShade="BF"/>
            <w:vAlign w:val="center"/>
          </w:tcPr>
          <w:p w14:paraId="4289EB6B" w14:textId="088EFD65" w:rsidR="005A6F8B" w:rsidRPr="005A6F8B" w:rsidRDefault="005A6F8B" w:rsidP="00BE6D61">
            <w:pPr>
              <w:jc w:val="left"/>
              <w:rPr>
                <w:rFonts w:cs="Arial"/>
                <w:sz w:val="22"/>
                <w:szCs w:val="18"/>
              </w:rPr>
            </w:pPr>
            <w:r w:rsidRPr="005A6F8B">
              <w:rPr>
                <w:rFonts w:cs="Arial"/>
                <w:sz w:val="22"/>
                <w:szCs w:val="18"/>
              </w:rPr>
              <w:t>Composantes de suivi</w:t>
            </w:r>
          </w:p>
        </w:tc>
        <w:tc>
          <w:tcPr>
            <w:tcW w:w="2327" w:type="dxa"/>
            <w:shd w:val="clear" w:color="auto" w:fill="E36C0A" w:themeFill="accent6" w:themeFillShade="BF"/>
            <w:vAlign w:val="center"/>
          </w:tcPr>
          <w:p w14:paraId="401945D5" w14:textId="77777777" w:rsidR="005A6F8B" w:rsidRPr="005A6F8B" w:rsidRDefault="005A6F8B" w:rsidP="00BE6D61">
            <w:pPr>
              <w:jc w:val="left"/>
              <w:rPr>
                <w:rFonts w:cs="Arial"/>
                <w:sz w:val="22"/>
                <w:szCs w:val="18"/>
              </w:rPr>
            </w:pPr>
            <w:r w:rsidRPr="005A6F8B">
              <w:rPr>
                <w:rFonts w:cs="Arial"/>
                <w:sz w:val="22"/>
                <w:szCs w:val="18"/>
              </w:rPr>
              <w:t>Bénéficiaires/</w:t>
            </w:r>
          </w:p>
          <w:p w14:paraId="2498CDAE" w14:textId="77777777" w:rsidR="005A6F8B" w:rsidRPr="005A6F8B" w:rsidRDefault="005A6F8B" w:rsidP="00BE6D61">
            <w:pPr>
              <w:jc w:val="left"/>
              <w:rPr>
                <w:rFonts w:cs="Arial"/>
                <w:sz w:val="22"/>
                <w:szCs w:val="18"/>
              </w:rPr>
            </w:pPr>
            <w:r w:rsidRPr="005A6F8B">
              <w:rPr>
                <w:rFonts w:cs="Arial"/>
                <w:sz w:val="22"/>
                <w:szCs w:val="18"/>
              </w:rPr>
              <w:t>Localisation des</w:t>
            </w:r>
          </w:p>
          <w:p w14:paraId="151742C3" w14:textId="7B4F6D1A" w:rsidR="005A6F8B" w:rsidRPr="005A6F8B" w:rsidRDefault="005A6F8B" w:rsidP="00BE6D61">
            <w:pPr>
              <w:jc w:val="left"/>
              <w:rPr>
                <w:rFonts w:cs="Arial"/>
                <w:sz w:val="22"/>
                <w:szCs w:val="18"/>
              </w:rPr>
            </w:pPr>
            <w:r w:rsidRPr="005A6F8B">
              <w:rPr>
                <w:rFonts w:cs="Arial"/>
                <w:sz w:val="22"/>
                <w:szCs w:val="18"/>
              </w:rPr>
              <w:t>Stations de suivi</w:t>
            </w:r>
          </w:p>
        </w:tc>
        <w:tc>
          <w:tcPr>
            <w:tcW w:w="1418" w:type="dxa"/>
            <w:shd w:val="clear" w:color="auto" w:fill="E36C0A" w:themeFill="accent6" w:themeFillShade="BF"/>
            <w:vAlign w:val="center"/>
          </w:tcPr>
          <w:p w14:paraId="3868EF4F" w14:textId="77777777" w:rsidR="005A6F8B" w:rsidRPr="005A6F8B" w:rsidRDefault="005A6F8B" w:rsidP="00BE6D61">
            <w:pPr>
              <w:jc w:val="left"/>
              <w:rPr>
                <w:rFonts w:cs="Arial"/>
                <w:sz w:val="22"/>
                <w:szCs w:val="18"/>
              </w:rPr>
            </w:pPr>
            <w:r w:rsidRPr="005A6F8B">
              <w:rPr>
                <w:rFonts w:cs="Arial"/>
                <w:sz w:val="22"/>
                <w:szCs w:val="18"/>
              </w:rPr>
              <w:t>Fréquences</w:t>
            </w:r>
          </w:p>
        </w:tc>
        <w:tc>
          <w:tcPr>
            <w:tcW w:w="1701" w:type="dxa"/>
            <w:shd w:val="clear" w:color="auto" w:fill="E36C0A" w:themeFill="accent6" w:themeFillShade="BF"/>
            <w:vAlign w:val="center"/>
          </w:tcPr>
          <w:p w14:paraId="2CB17394" w14:textId="77777777" w:rsidR="005A6F8B" w:rsidRPr="005A6F8B" w:rsidRDefault="005A6F8B" w:rsidP="00BE6D61">
            <w:pPr>
              <w:jc w:val="left"/>
              <w:rPr>
                <w:rFonts w:cs="Arial"/>
                <w:sz w:val="22"/>
                <w:szCs w:val="18"/>
              </w:rPr>
            </w:pPr>
            <w:r w:rsidRPr="005A6F8B">
              <w:rPr>
                <w:rFonts w:cs="Arial"/>
                <w:sz w:val="22"/>
                <w:szCs w:val="18"/>
              </w:rPr>
              <w:t>Indicateurs de suivi</w:t>
            </w:r>
          </w:p>
        </w:tc>
        <w:tc>
          <w:tcPr>
            <w:tcW w:w="1559" w:type="dxa"/>
            <w:shd w:val="clear" w:color="auto" w:fill="E36C0A" w:themeFill="accent6" w:themeFillShade="BF"/>
            <w:vAlign w:val="center"/>
          </w:tcPr>
          <w:p w14:paraId="2EABD25A" w14:textId="77777777" w:rsidR="005A6F8B" w:rsidRPr="005A6F8B" w:rsidRDefault="005A6F8B" w:rsidP="00BE6D61">
            <w:pPr>
              <w:jc w:val="left"/>
              <w:rPr>
                <w:rFonts w:cs="Arial"/>
                <w:sz w:val="22"/>
                <w:szCs w:val="18"/>
              </w:rPr>
            </w:pPr>
            <w:r w:rsidRPr="005A6F8B">
              <w:rPr>
                <w:rFonts w:cs="Arial"/>
                <w:sz w:val="22"/>
                <w:szCs w:val="18"/>
              </w:rPr>
              <w:t>Responsables de suivi</w:t>
            </w:r>
          </w:p>
        </w:tc>
      </w:tr>
      <w:tr w:rsidR="005A6F8B" w:rsidRPr="005A6F8B" w14:paraId="6899EA18" w14:textId="77777777" w:rsidTr="005A6F8B">
        <w:tc>
          <w:tcPr>
            <w:tcW w:w="1329" w:type="dxa"/>
            <w:vMerge w:val="restart"/>
            <w:shd w:val="clear" w:color="auto" w:fill="FBD4B4" w:themeFill="accent6" w:themeFillTint="66"/>
            <w:vAlign w:val="center"/>
          </w:tcPr>
          <w:p w14:paraId="08A7E21C" w14:textId="77777777" w:rsidR="005A6F8B" w:rsidRPr="005A6F8B" w:rsidRDefault="005A6F8B" w:rsidP="00BE6D61">
            <w:pPr>
              <w:jc w:val="left"/>
              <w:rPr>
                <w:rFonts w:cs="Arial"/>
                <w:sz w:val="22"/>
                <w:szCs w:val="18"/>
              </w:rPr>
            </w:pPr>
            <w:r w:rsidRPr="005A6F8B">
              <w:rPr>
                <w:rFonts w:cs="Arial"/>
                <w:sz w:val="22"/>
                <w:szCs w:val="18"/>
              </w:rPr>
              <w:t>Santé / sécurité</w:t>
            </w:r>
          </w:p>
        </w:tc>
        <w:tc>
          <w:tcPr>
            <w:tcW w:w="1584" w:type="dxa"/>
            <w:vAlign w:val="center"/>
          </w:tcPr>
          <w:p w14:paraId="2B9A06C4" w14:textId="77777777" w:rsidR="005A6F8B" w:rsidRPr="005A6F8B" w:rsidRDefault="005A6F8B" w:rsidP="0095003D">
            <w:pPr>
              <w:pStyle w:val="Paragraphedeliste"/>
              <w:numPr>
                <w:ilvl w:val="0"/>
                <w:numId w:val="145"/>
              </w:numPr>
              <w:spacing w:after="0"/>
              <w:jc w:val="left"/>
              <w:rPr>
                <w:rFonts w:cs="Arial"/>
                <w:sz w:val="22"/>
                <w:szCs w:val="18"/>
              </w:rPr>
            </w:pPr>
            <w:r w:rsidRPr="005A6F8B">
              <w:rPr>
                <w:rFonts w:cs="Arial"/>
                <w:sz w:val="22"/>
                <w:szCs w:val="18"/>
              </w:rPr>
              <w:t>Port d’Equipement de Protection Individuel (EPI)</w:t>
            </w:r>
          </w:p>
        </w:tc>
        <w:tc>
          <w:tcPr>
            <w:tcW w:w="2327" w:type="dxa"/>
            <w:vAlign w:val="center"/>
          </w:tcPr>
          <w:p w14:paraId="4F0268B1" w14:textId="77777777" w:rsidR="005A6F8B" w:rsidRPr="005A6F8B" w:rsidRDefault="005A6F8B" w:rsidP="0095003D">
            <w:pPr>
              <w:pStyle w:val="Paragraphedeliste"/>
              <w:numPr>
                <w:ilvl w:val="0"/>
                <w:numId w:val="145"/>
              </w:numPr>
              <w:spacing w:after="0"/>
              <w:jc w:val="left"/>
              <w:rPr>
                <w:rFonts w:cs="Arial"/>
                <w:sz w:val="22"/>
                <w:szCs w:val="18"/>
              </w:rPr>
            </w:pPr>
            <w:r w:rsidRPr="005A6F8B">
              <w:rPr>
                <w:rFonts w:cs="Arial"/>
                <w:sz w:val="22"/>
                <w:szCs w:val="18"/>
              </w:rPr>
              <w:t>Ouvrier temporaire et temporaires</w:t>
            </w:r>
          </w:p>
        </w:tc>
        <w:tc>
          <w:tcPr>
            <w:tcW w:w="1418" w:type="dxa"/>
            <w:vAlign w:val="center"/>
          </w:tcPr>
          <w:p w14:paraId="2A771FD3" w14:textId="77777777" w:rsidR="005A6F8B" w:rsidRPr="005A6F8B" w:rsidRDefault="005A6F8B" w:rsidP="0095003D">
            <w:pPr>
              <w:pStyle w:val="Paragraphedeliste"/>
              <w:numPr>
                <w:ilvl w:val="0"/>
                <w:numId w:val="145"/>
              </w:numPr>
              <w:spacing w:after="0"/>
              <w:jc w:val="left"/>
              <w:rPr>
                <w:rFonts w:cs="Arial"/>
                <w:sz w:val="22"/>
                <w:szCs w:val="18"/>
              </w:rPr>
            </w:pPr>
            <w:r w:rsidRPr="005A6F8B">
              <w:rPr>
                <w:rFonts w:cs="Arial"/>
                <w:sz w:val="22"/>
                <w:szCs w:val="18"/>
              </w:rPr>
              <w:t>Journalière</w:t>
            </w:r>
          </w:p>
          <w:p w14:paraId="370CAD1B" w14:textId="77777777" w:rsidR="005A6F8B" w:rsidRPr="005A6F8B" w:rsidRDefault="005A6F8B" w:rsidP="0095003D">
            <w:pPr>
              <w:pStyle w:val="Paragraphedeliste"/>
              <w:numPr>
                <w:ilvl w:val="0"/>
                <w:numId w:val="145"/>
              </w:numPr>
              <w:spacing w:after="0"/>
              <w:jc w:val="left"/>
              <w:rPr>
                <w:rFonts w:cs="Arial"/>
                <w:sz w:val="22"/>
                <w:szCs w:val="18"/>
              </w:rPr>
            </w:pPr>
            <w:r w:rsidRPr="005A6F8B">
              <w:rPr>
                <w:rFonts w:cs="Arial"/>
                <w:sz w:val="22"/>
                <w:szCs w:val="18"/>
              </w:rPr>
              <w:t>Pendant travaux</w:t>
            </w:r>
          </w:p>
        </w:tc>
        <w:tc>
          <w:tcPr>
            <w:tcW w:w="1701" w:type="dxa"/>
            <w:vAlign w:val="center"/>
          </w:tcPr>
          <w:p w14:paraId="7C59BB46" w14:textId="77777777" w:rsidR="005A6F8B" w:rsidRPr="005A6F8B" w:rsidRDefault="005A6F8B" w:rsidP="0095003D">
            <w:pPr>
              <w:pStyle w:val="Paragraphedeliste"/>
              <w:numPr>
                <w:ilvl w:val="0"/>
                <w:numId w:val="145"/>
              </w:numPr>
              <w:spacing w:after="0"/>
              <w:jc w:val="left"/>
              <w:rPr>
                <w:rFonts w:cs="Arial"/>
                <w:sz w:val="22"/>
                <w:szCs w:val="18"/>
              </w:rPr>
            </w:pPr>
            <w:r w:rsidRPr="005A6F8B">
              <w:rPr>
                <w:rFonts w:cs="Arial"/>
                <w:sz w:val="22"/>
                <w:szCs w:val="18"/>
              </w:rPr>
              <w:t>Le personnel utilise les EPI</w:t>
            </w:r>
          </w:p>
        </w:tc>
        <w:tc>
          <w:tcPr>
            <w:tcW w:w="1559" w:type="dxa"/>
            <w:vMerge w:val="restart"/>
            <w:vAlign w:val="center"/>
          </w:tcPr>
          <w:p w14:paraId="19725DCD" w14:textId="77777777" w:rsidR="005A6F8B" w:rsidRPr="005A6F8B" w:rsidRDefault="005A6F8B" w:rsidP="0095003D">
            <w:pPr>
              <w:pStyle w:val="Paragraphedeliste"/>
              <w:numPr>
                <w:ilvl w:val="0"/>
                <w:numId w:val="145"/>
              </w:numPr>
              <w:spacing w:after="0"/>
              <w:jc w:val="left"/>
              <w:rPr>
                <w:rFonts w:cs="Arial"/>
                <w:sz w:val="22"/>
                <w:szCs w:val="18"/>
              </w:rPr>
            </w:pPr>
            <w:r w:rsidRPr="005A6F8B">
              <w:rPr>
                <w:rFonts w:cs="Arial"/>
                <w:sz w:val="22"/>
                <w:szCs w:val="18"/>
              </w:rPr>
              <w:t>Entreprise</w:t>
            </w:r>
          </w:p>
          <w:p w14:paraId="53852E34" w14:textId="77777777" w:rsidR="005A6F8B" w:rsidRPr="005A6F8B" w:rsidRDefault="005A6F8B" w:rsidP="0095003D">
            <w:pPr>
              <w:pStyle w:val="Paragraphedeliste"/>
              <w:numPr>
                <w:ilvl w:val="0"/>
                <w:numId w:val="145"/>
              </w:numPr>
              <w:spacing w:after="0"/>
              <w:jc w:val="left"/>
              <w:rPr>
                <w:rFonts w:cs="Arial"/>
                <w:sz w:val="22"/>
                <w:szCs w:val="18"/>
              </w:rPr>
            </w:pPr>
            <w:r w:rsidRPr="005A6F8B">
              <w:rPr>
                <w:rFonts w:cs="Arial"/>
                <w:sz w:val="22"/>
                <w:szCs w:val="18"/>
              </w:rPr>
              <w:t xml:space="preserve">UGP/PARIIS </w:t>
            </w:r>
          </w:p>
          <w:p w14:paraId="374A6B97" w14:textId="77777777" w:rsidR="005A6F8B" w:rsidRPr="005A6F8B" w:rsidRDefault="005A6F8B" w:rsidP="0095003D">
            <w:pPr>
              <w:pStyle w:val="Paragraphedeliste"/>
              <w:numPr>
                <w:ilvl w:val="0"/>
                <w:numId w:val="145"/>
              </w:numPr>
              <w:spacing w:after="0"/>
              <w:jc w:val="left"/>
              <w:rPr>
                <w:rFonts w:cs="Arial"/>
                <w:sz w:val="22"/>
                <w:szCs w:val="18"/>
              </w:rPr>
            </w:pPr>
            <w:r w:rsidRPr="005A6F8B">
              <w:rPr>
                <w:rFonts w:cs="Arial"/>
                <w:sz w:val="22"/>
                <w:szCs w:val="18"/>
              </w:rPr>
              <w:t>MOD</w:t>
            </w:r>
          </w:p>
          <w:p w14:paraId="3D0E4C82" w14:textId="77777777" w:rsidR="005A6F8B" w:rsidRPr="005A6F8B" w:rsidRDefault="005A6F8B" w:rsidP="0095003D">
            <w:pPr>
              <w:pStyle w:val="Paragraphedeliste"/>
              <w:numPr>
                <w:ilvl w:val="0"/>
                <w:numId w:val="145"/>
              </w:numPr>
              <w:spacing w:after="0"/>
              <w:jc w:val="left"/>
              <w:rPr>
                <w:rFonts w:cs="Arial"/>
                <w:sz w:val="22"/>
                <w:szCs w:val="18"/>
              </w:rPr>
            </w:pPr>
            <w:r w:rsidRPr="005A6F8B">
              <w:rPr>
                <w:rFonts w:cs="Arial"/>
                <w:sz w:val="22"/>
                <w:szCs w:val="18"/>
              </w:rPr>
              <w:t>DRACPN</w:t>
            </w:r>
          </w:p>
        </w:tc>
      </w:tr>
      <w:tr w:rsidR="005A6F8B" w:rsidRPr="005A6F8B" w14:paraId="370A6525" w14:textId="77777777" w:rsidTr="005A6F8B">
        <w:tc>
          <w:tcPr>
            <w:tcW w:w="1329" w:type="dxa"/>
            <w:vMerge/>
            <w:shd w:val="clear" w:color="auto" w:fill="FBD4B4" w:themeFill="accent6" w:themeFillTint="66"/>
            <w:vAlign w:val="center"/>
          </w:tcPr>
          <w:p w14:paraId="73B696DF" w14:textId="77777777" w:rsidR="005A6F8B" w:rsidRPr="005A6F8B" w:rsidRDefault="005A6F8B" w:rsidP="00BE6D61">
            <w:pPr>
              <w:jc w:val="left"/>
              <w:rPr>
                <w:rFonts w:cs="Arial"/>
                <w:sz w:val="22"/>
                <w:szCs w:val="18"/>
              </w:rPr>
            </w:pPr>
          </w:p>
        </w:tc>
        <w:tc>
          <w:tcPr>
            <w:tcW w:w="1584" w:type="dxa"/>
            <w:vAlign w:val="center"/>
          </w:tcPr>
          <w:p w14:paraId="3EC6E864" w14:textId="77777777" w:rsidR="005A6F8B" w:rsidRPr="005A6F8B" w:rsidRDefault="005A6F8B" w:rsidP="0095003D">
            <w:pPr>
              <w:pStyle w:val="Paragraphedeliste"/>
              <w:numPr>
                <w:ilvl w:val="0"/>
                <w:numId w:val="145"/>
              </w:numPr>
              <w:spacing w:after="0"/>
              <w:jc w:val="left"/>
              <w:rPr>
                <w:rFonts w:cs="Arial"/>
                <w:sz w:val="22"/>
                <w:szCs w:val="18"/>
              </w:rPr>
            </w:pPr>
            <w:r w:rsidRPr="005A6F8B">
              <w:rPr>
                <w:rFonts w:cs="Arial"/>
                <w:sz w:val="22"/>
                <w:szCs w:val="18"/>
              </w:rPr>
              <w:t>Respect des mesures d’hygiène, sécurité et salubrité</w:t>
            </w:r>
          </w:p>
          <w:p w14:paraId="6FCE1613" w14:textId="77777777" w:rsidR="005A6F8B" w:rsidRPr="005A6F8B" w:rsidRDefault="005A6F8B" w:rsidP="0095003D">
            <w:pPr>
              <w:pStyle w:val="Paragraphedeliste"/>
              <w:numPr>
                <w:ilvl w:val="0"/>
                <w:numId w:val="145"/>
              </w:numPr>
              <w:spacing w:after="0"/>
              <w:jc w:val="left"/>
              <w:rPr>
                <w:rFonts w:cs="Arial"/>
                <w:sz w:val="22"/>
                <w:szCs w:val="18"/>
              </w:rPr>
            </w:pPr>
            <w:r w:rsidRPr="005A6F8B">
              <w:rPr>
                <w:rFonts w:cs="Arial"/>
                <w:sz w:val="22"/>
                <w:szCs w:val="18"/>
              </w:rPr>
              <w:t>Bruit et vibration</w:t>
            </w:r>
          </w:p>
          <w:p w14:paraId="5031B742" w14:textId="77777777" w:rsidR="005A6F8B" w:rsidRPr="005A6F8B" w:rsidRDefault="005A6F8B" w:rsidP="0095003D">
            <w:pPr>
              <w:pStyle w:val="Paragraphedeliste"/>
              <w:numPr>
                <w:ilvl w:val="0"/>
                <w:numId w:val="145"/>
              </w:numPr>
              <w:spacing w:after="0"/>
              <w:jc w:val="left"/>
              <w:rPr>
                <w:rFonts w:cs="Arial"/>
                <w:sz w:val="22"/>
                <w:szCs w:val="18"/>
              </w:rPr>
            </w:pPr>
            <w:r w:rsidRPr="005A6F8B">
              <w:rPr>
                <w:rFonts w:cs="Arial"/>
                <w:sz w:val="22"/>
                <w:szCs w:val="18"/>
              </w:rPr>
              <w:t>Accessibilité aux dispositifs de sécurité et d’urgence</w:t>
            </w:r>
          </w:p>
        </w:tc>
        <w:tc>
          <w:tcPr>
            <w:tcW w:w="2327" w:type="dxa"/>
            <w:vAlign w:val="center"/>
          </w:tcPr>
          <w:p w14:paraId="1E504F99" w14:textId="77777777" w:rsidR="005A6F8B" w:rsidRPr="005A6F8B" w:rsidRDefault="005A6F8B" w:rsidP="0095003D">
            <w:pPr>
              <w:pStyle w:val="Paragraphedeliste"/>
              <w:numPr>
                <w:ilvl w:val="0"/>
                <w:numId w:val="145"/>
              </w:numPr>
              <w:spacing w:after="0"/>
              <w:jc w:val="left"/>
              <w:rPr>
                <w:rFonts w:cs="Arial"/>
                <w:sz w:val="22"/>
                <w:szCs w:val="18"/>
              </w:rPr>
            </w:pPr>
            <w:r w:rsidRPr="005A6F8B">
              <w:rPr>
                <w:rFonts w:cs="Arial"/>
                <w:sz w:val="22"/>
                <w:szCs w:val="18"/>
              </w:rPr>
              <w:t xml:space="preserve">Personnel </w:t>
            </w:r>
          </w:p>
          <w:p w14:paraId="0A0A5449" w14:textId="77777777" w:rsidR="005A6F8B" w:rsidRPr="005A6F8B" w:rsidRDefault="005A6F8B" w:rsidP="0095003D">
            <w:pPr>
              <w:pStyle w:val="Paragraphedeliste"/>
              <w:numPr>
                <w:ilvl w:val="0"/>
                <w:numId w:val="145"/>
              </w:numPr>
              <w:spacing w:after="0"/>
              <w:jc w:val="left"/>
              <w:rPr>
                <w:rFonts w:cs="Arial"/>
                <w:sz w:val="22"/>
                <w:szCs w:val="18"/>
              </w:rPr>
            </w:pPr>
            <w:r w:rsidRPr="005A6F8B">
              <w:rPr>
                <w:rFonts w:cs="Arial"/>
                <w:sz w:val="22"/>
                <w:szCs w:val="18"/>
              </w:rPr>
              <w:t>Chantier</w:t>
            </w:r>
          </w:p>
          <w:p w14:paraId="495034BC" w14:textId="77777777" w:rsidR="005A6F8B" w:rsidRPr="005A6F8B" w:rsidRDefault="005A6F8B" w:rsidP="0095003D">
            <w:pPr>
              <w:pStyle w:val="Paragraphedeliste"/>
              <w:numPr>
                <w:ilvl w:val="0"/>
                <w:numId w:val="145"/>
              </w:numPr>
              <w:spacing w:after="0"/>
              <w:jc w:val="left"/>
              <w:rPr>
                <w:rFonts w:cs="Arial"/>
                <w:sz w:val="22"/>
                <w:szCs w:val="18"/>
              </w:rPr>
            </w:pPr>
            <w:r w:rsidRPr="005A6F8B">
              <w:rPr>
                <w:rFonts w:cs="Arial"/>
                <w:sz w:val="22"/>
                <w:szCs w:val="18"/>
              </w:rPr>
              <w:t>Base vie</w:t>
            </w:r>
          </w:p>
          <w:p w14:paraId="2503DD53" w14:textId="77777777" w:rsidR="005A6F8B" w:rsidRPr="005A6F8B" w:rsidRDefault="005A6F8B" w:rsidP="0095003D">
            <w:pPr>
              <w:pStyle w:val="Paragraphedeliste"/>
              <w:numPr>
                <w:ilvl w:val="0"/>
                <w:numId w:val="145"/>
              </w:numPr>
              <w:spacing w:after="0"/>
              <w:jc w:val="left"/>
              <w:rPr>
                <w:rFonts w:cs="Arial"/>
                <w:sz w:val="22"/>
                <w:szCs w:val="18"/>
              </w:rPr>
            </w:pPr>
            <w:r w:rsidRPr="005A6F8B">
              <w:rPr>
                <w:rFonts w:cs="Arial"/>
                <w:sz w:val="22"/>
                <w:szCs w:val="18"/>
              </w:rPr>
              <w:t>Aire de stockage des hydrocarbures et lubrifiants</w:t>
            </w:r>
          </w:p>
        </w:tc>
        <w:tc>
          <w:tcPr>
            <w:tcW w:w="1418" w:type="dxa"/>
            <w:vAlign w:val="center"/>
          </w:tcPr>
          <w:p w14:paraId="204E8881" w14:textId="77777777" w:rsidR="005A6F8B" w:rsidRPr="005A6F8B" w:rsidRDefault="005A6F8B" w:rsidP="0095003D">
            <w:pPr>
              <w:pStyle w:val="Paragraphedeliste"/>
              <w:numPr>
                <w:ilvl w:val="0"/>
                <w:numId w:val="145"/>
              </w:numPr>
              <w:spacing w:after="0"/>
              <w:jc w:val="left"/>
              <w:rPr>
                <w:rFonts w:cs="Arial"/>
                <w:sz w:val="22"/>
                <w:szCs w:val="18"/>
              </w:rPr>
            </w:pPr>
            <w:r w:rsidRPr="005A6F8B">
              <w:rPr>
                <w:rFonts w:cs="Arial"/>
                <w:sz w:val="22"/>
                <w:szCs w:val="18"/>
              </w:rPr>
              <w:t>Journalière</w:t>
            </w:r>
          </w:p>
          <w:p w14:paraId="7FD77E0C" w14:textId="77777777" w:rsidR="005A6F8B" w:rsidRPr="005A6F8B" w:rsidRDefault="005A6F8B" w:rsidP="0095003D">
            <w:pPr>
              <w:pStyle w:val="Paragraphedeliste"/>
              <w:numPr>
                <w:ilvl w:val="0"/>
                <w:numId w:val="145"/>
              </w:numPr>
              <w:spacing w:after="0"/>
              <w:jc w:val="left"/>
              <w:rPr>
                <w:rFonts w:cs="Arial"/>
                <w:sz w:val="22"/>
                <w:szCs w:val="18"/>
              </w:rPr>
            </w:pPr>
            <w:r w:rsidRPr="005A6F8B">
              <w:rPr>
                <w:rFonts w:cs="Arial"/>
                <w:sz w:val="22"/>
                <w:szCs w:val="18"/>
              </w:rPr>
              <w:t>Pendant travaux</w:t>
            </w:r>
          </w:p>
        </w:tc>
        <w:tc>
          <w:tcPr>
            <w:tcW w:w="1701" w:type="dxa"/>
            <w:vAlign w:val="center"/>
          </w:tcPr>
          <w:p w14:paraId="090B939D" w14:textId="77777777" w:rsidR="005A6F8B" w:rsidRPr="005A6F8B" w:rsidRDefault="005A6F8B" w:rsidP="0095003D">
            <w:pPr>
              <w:pStyle w:val="Paragraphedeliste"/>
              <w:numPr>
                <w:ilvl w:val="0"/>
                <w:numId w:val="145"/>
              </w:numPr>
              <w:spacing w:after="0"/>
              <w:jc w:val="left"/>
              <w:rPr>
                <w:rFonts w:cs="Arial"/>
                <w:sz w:val="22"/>
                <w:szCs w:val="18"/>
              </w:rPr>
            </w:pPr>
            <w:r w:rsidRPr="005A6F8B">
              <w:rPr>
                <w:rFonts w:cs="Arial"/>
                <w:sz w:val="22"/>
                <w:szCs w:val="18"/>
              </w:rPr>
              <w:t>Un plan d’hygiène, sécurité et santé existe et est respecté</w:t>
            </w:r>
          </w:p>
          <w:p w14:paraId="1C2AAE40" w14:textId="77777777" w:rsidR="005A6F8B" w:rsidRPr="005A6F8B" w:rsidRDefault="005A6F8B" w:rsidP="0095003D">
            <w:pPr>
              <w:pStyle w:val="Paragraphedeliste"/>
              <w:numPr>
                <w:ilvl w:val="0"/>
                <w:numId w:val="145"/>
              </w:numPr>
              <w:spacing w:after="0"/>
              <w:jc w:val="left"/>
              <w:rPr>
                <w:rFonts w:cs="Arial"/>
                <w:sz w:val="22"/>
                <w:szCs w:val="18"/>
              </w:rPr>
            </w:pPr>
            <w:r w:rsidRPr="005A6F8B">
              <w:rPr>
                <w:rFonts w:cs="Arial"/>
                <w:sz w:val="22"/>
                <w:szCs w:val="18"/>
              </w:rPr>
              <w:t>Existence de dispositif de sécurité (extincteur, boite à pharmacie, détecteur d’incendie, etc.)</w:t>
            </w:r>
          </w:p>
        </w:tc>
        <w:tc>
          <w:tcPr>
            <w:tcW w:w="1559" w:type="dxa"/>
            <w:vMerge/>
            <w:vAlign w:val="center"/>
          </w:tcPr>
          <w:p w14:paraId="2C6B9A47" w14:textId="77777777" w:rsidR="005A6F8B" w:rsidRPr="005A6F8B" w:rsidRDefault="005A6F8B" w:rsidP="00BE6D61">
            <w:pPr>
              <w:jc w:val="left"/>
              <w:rPr>
                <w:rFonts w:cs="Arial"/>
                <w:sz w:val="22"/>
                <w:szCs w:val="18"/>
              </w:rPr>
            </w:pPr>
          </w:p>
        </w:tc>
      </w:tr>
      <w:tr w:rsidR="005A6F8B" w:rsidRPr="005A6F8B" w14:paraId="08243778" w14:textId="77777777" w:rsidTr="005A6F8B">
        <w:tc>
          <w:tcPr>
            <w:tcW w:w="1329" w:type="dxa"/>
            <w:shd w:val="clear" w:color="auto" w:fill="FBD4B4" w:themeFill="accent6" w:themeFillTint="66"/>
            <w:vAlign w:val="center"/>
          </w:tcPr>
          <w:p w14:paraId="24D6FDA2" w14:textId="77777777" w:rsidR="005A6F8B" w:rsidRPr="005A6F8B" w:rsidRDefault="005A6F8B" w:rsidP="00BE6D61">
            <w:pPr>
              <w:jc w:val="left"/>
              <w:rPr>
                <w:rFonts w:cs="Arial"/>
                <w:sz w:val="22"/>
                <w:szCs w:val="18"/>
              </w:rPr>
            </w:pPr>
            <w:r w:rsidRPr="005A6F8B">
              <w:rPr>
                <w:rFonts w:cs="Arial"/>
                <w:sz w:val="22"/>
                <w:szCs w:val="18"/>
              </w:rPr>
              <w:t>Circulation/</w:t>
            </w:r>
          </w:p>
          <w:p w14:paraId="66CCE460" w14:textId="77777777" w:rsidR="005A6F8B" w:rsidRPr="005A6F8B" w:rsidRDefault="005A6F8B" w:rsidP="00BE6D61">
            <w:pPr>
              <w:jc w:val="left"/>
              <w:rPr>
                <w:rFonts w:cs="Arial"/>
                <w:sz w:val="22"/>
                <w:szCs w:val="18"/>
              </w:rPr>
            </w:pPr>
            <w:r w:rsidRPr="005A6F8B">
              <w:rPr>
                <w:rFonts w:cs="Arial"/>
                <w:sz w:val="22"/>
                <w:szCs w:val="18"/>
              </w:rPr>
              <w:t xml:space="preserve">Sécurité </w:t>
            </w:r>
          </w:p>
        </w:tc>
        <w:tc>
          <w:tcPr>
            <w:tcW w:w="1584" w:type="dxa"/>
            <w:vAlign w:val="center"/>
          </w:tcPr>
          <w:p w14:paraId="5D621D60" w14:textId="77777777" w:rsidR="005A6F8B" w:rsidRPr="005A6F8B" w:rsidRDefault="005A6F8B" w:rsidP="0095003D">
            <w:pPr>
              <w:pStyle w:val="Paragraphedeliste"/>
              <w:numPr>
                <w:ilvl w:val="0"/>
                <w:numId w:val="145"/>
              </w:numPr>
              <w:spacing w:after="0"/>
              <w:jc w:val="left"/>
              <w:rPr>
                <w:rFonts w:cs="Arial"/>
                <w:sz w:val="22"/>
                <w:szCs w:val="18"/>
              </w:rPr>
            </w:pPr>
            <w:r w:rsidRPr="005A6F8B">
              <w:rPr>
                <w:rFonts w:cs="Arial"/>
                <w:sz w:val="22"/>
                <w:szCs w:val="18"/>
              </w:rPr>
              <w:t>Accident de circulation</w:t>
            </w:r>
          </w:p>
        </w:tc>
        <w:tc>
          <w:tcPr>
            <w:tcW w:w="2327" w:type="dxa"/>
            <w:vAlign w:val="center"/>
          </w:tcPr>
          <w:p w14:paraId="180DD84D" w14:textId="77777777" w:rsidR="005A6F8B" w:rsidRPr="005A6F8B" w:rsidRDefault="005A6F8B" w:rsidP="0095003D">
            <w:pPr>
              <w:pStyle w:val="Paragraphedeliste"/>
              <w:numPr>
                <w:ilvl w:val="0"/>
                <w:numId w:val="145"/>
              </w:numPr>
              <w:spacing w:after="0"/>
              <w:jc w:val="left"/>
              <w:rPr>
                <w:rFonts w:cs="Arial"/>
                <w:sz w:val="22"/>
                <w:szCs w:val="18"/>
              </w:rPr>
            </w:pPr>
            <w:r w:rsidRPr="005A6F8B">
              <w:rPr>
                <w:rFonts w:cs="Arial"/>
                <w:sz w:val="22"/>
                <w:szCs w:val="18"/>
              </w:rPr>
              <w:t>Déviations</w:t>
            </w:r>
          </w:p>
          <w:p w14:paraId="662FAF14" w14:textId="77777777" w:rsidR="005A6F8B" w:rsidRPr="005A6F8B" w:rsidRDefault="005A6F8B" w:rsidP="0095003D">
            <w:pPr>
              <w:pStyle w:val="Paragraphedeliste"/>
              <w:numPr>
                <w:ilvl w:val="0"/>
                <w:numId w:val="145"/>
              </w:numPr>
              <w:spacing w:after="0"/>
              <w:jc w:val="left"/>
              <w:rPr>
                <w:rFonts w:cs="Arial"/>
                <w:sz w:val="22"/>
                <w:szCs w:val="18"/>
              </w:rPr>
            </w:pPr>
            <w:r w:rsidRPr="005A6F8B">
              <w:rPr>
                <w:rFonts w:cs="Arial"/>
                <w:sz w:val="22"/>
                <w:szCs w:val="18"/>
              </w:rPr>
              <w:t>Zones habitées</w:t>
            </w:r>
          </w:p>
          <w:p w14:paraId="4E5C7971" w14:textId="77777777" w:rsidR="005A6F8B" w:rsidRPr="005A6F8B" w:rsidRDefault="005A6F8B" w:rsidP="0095003D">
            <w:pPr>
              <w:pStyle w:val="Paragraphedeliste"/>
              <w:numPr>
                <w:ilvl w:val="0"/>
                <w:numId w:val="145"/>
              </w:numPr>
              <w:spacing w:after="0"/>
              <w:jc w:val="left"/>
              <w:rPr>
                <w:rFonts w:cs="Arial"/>
                <w:sz w:val="22"/>
                <w:szCs w:val="18"/>
              </w:rPr>
            </w:pPr>
            <w:r w:rsidRPr="005A6F8B">
              <w:rPr>
                <w:rFonts w:cs="Arial"/>
                <w:sz w:val="22"/>
                <w:szCs w:val="18"/>
              </w:rPr>
              <w:t>Entrée et sortie de chantier et base vie</w:t>
            </w:r>
          </w:p>
          <w:p w14:paraId="4CABC276" w14:textId="77777777" w:rsidR="005A6F8B" w:rsidRPr="005A6F8B" w:rsidRDefault="005A6F8B" w:rsidP="0095003D">
            <w:pPr>
              <w:pStyle w:val="Paragraphedeliste"/>
              <w:numPr>
                <w:ilvl w:val="0"/>
                <w:numId w:val="145"/>
              </w:numPr>
              <w:spacing w:after="0"/>
              <w:jc w:val="left"/>
              <w:rPr>
                <w:rFonts w:cs="Arial"/>
                <w:sz w:val="22"/>
                <w:szCs w:val="18"/>
              </w:rPr>
            </w:pPr>
            <w:r w:rsidRPr="005A6F8B">
              <w:rPr>
                <w:rFonts w:cs="Arial"/>
                <w:sz w:val="22"/>
                <w:szCs w:val="18"/>
              </w:rPr>
              <w:t>Tronçons aménagé</w:t>
            </w:r>
          </w:p>
        </w:tc>
        <w:tc>
          <w:tcPr>
            <w:tcW w:w="1418" w:type="dxa"/>
            <w:vAlign w:val="center"/>
          </w:tcPr>
          <w:p w14:paraId="744FFD9C" w14:textId="77777777" w:rsidR="005A6F8B" w:rsidRPr="005A6F8B" w:rsidRDefault="005A6F8B" w:rsidP="0095003D">
            <w:pPr>
              <w:pStyle w:val="Paragraphedeliste"/>
              <w:numPr>
                <w:ilvl w:val="0"/>
                <w:numId w:val="145"/>
              </w:numPr>
              <w:spacing w:after="0"/>
              <w:jc w:val="left"/>
              <w:rPr>
                <w:rFonts w:cs="Arial"/>
                <w:sz w:val="22"/>
                <w:szCs w:val="18"/>
              </w:rPr>
            </w:pPr>
            <w:r w:rsidRPr="005A6F8B">
              <w:rPr>
                <w:rFonts w:cs="Arial"/>
                <w:sz w:val="22"/>
                <w:szCs w:val="18"/>
              </w:rPr>
              <w:t>Journalière</w:t>
            </w:r>
          </w:p>
          <w:p w14:paraId="3BC13438" w14:textId="77777777" w:rsidR="005A6F8B" w:rsidRPr="005A6F8B" w:rsidRDefault="005A6F8B" w:rsidP="0095003D">
            <w:pPr>
              <w:pStyle w:val="Paragraphedeliste"/>
              <w:numPr>
                <w:ilvl w:val="0"/>
                <w:numId w:val="145"/>
              </w:numPr>
              <w:spacing w:after="0"/>
              <w:jc w:val="left"/>
              <w:rPr>
                <w:rFonts w:cs="Arial"/>
                <w:sz w:val="22"/>
                <w:szCs w:val="18"/>
              </w:rPr>
            </w:pPr>
            <w:r w:rsidRPr="005A6F8B">
              <w:rPr>
                <w:rFonts w:cs="Arial"/>
                <w:sz w:val="22"/>
                <w:szCs w:val="18"/>
              </w:rPr>
              <w:t>Pendant travaux</w:t>
            </w:r>
          </w:p>
        </w:tc>
        <w:tc>
          <w:tcPr>
            <w:tcW w:w="1701" w:type="dxa"/>
            <w:vAlign w:val="center"/>
          </w:tcPr>
          <w:p w14:paraId="7DFD2D92" w14:textId="77777777" w:rsidR="005A6F8B" w:rsidRPr="005A6F8B" w:rsidRDefault="005A6F8B" w:rsidP="0095003D">
            <w:pPr>
              <w:pStyle w:val="Paragraphedeliste"/>
              <w:numPr>
                <w:ilvl w:val="0"/>
                <w:numId w:val="145"/>
              </w:numPr>
              <w:spacing w:after="0"/>
              <w:jc w:val="left"/>
              <w:rPr>
                <w:rFonts w:cs="Arial"/>
                <w:sz w:val="22"/>
                <w:szCs w:val="18"/>
              </w:rPr>
            </w:pPr>
            <w:r w:rsidRPr="005A6F8B">
              <w:rPr>
                <w:rFonts w:cs="Arial"/>
                <w:sz w:val="22"/>
                <w:szCs w:val="18"/>
              </w:rPr>
              <w:t>Les panneaux de signalisation temporaire/définitif existent</w:t>
            </w:r>
          </w:p>
          <w:p w14:paraId="74CA2316" w14:textId="77777777" w:rsidR="005A6F8B" w:rsidRPr="005A6F8B" w:rsidRDefault="005A6F8B" w:rsidP="0095003D">
            <w:pPr>
              <w:pStyle w:val="Paragraphedeliste"/>
              <w:numPr>
                <w:ilvl w:val="0"/>
                <w:numId w:val="145"/>
              </w:numPr>
              <w:spacing w:after="0"/>
              <w:jc w:val="left"/>
              <w:rPr>
                <w:rFonts w:cs="Arial"/>
                <w:sz w:val="22"/>
                <w:szCs w:val="18"/>
              </w:rPr>
            </w:pPr>
            <w:r w:rsidRPr="005A6F8B">
              <w:rPr>
                <w:rFonts w:cs="Arial"/>
                <w:sz w:val="22"/>
                <w:szCs w:val="18"/>
              </w:rPr>
              <w:t>Le nombre d’accident enregistré est très faible ou nul</w:t>
            </w:r>
          </w:p>
        </w:tc>
        <w:tc>
          <w:tcPr>
            <w:tcW w:w="1559" w:type="dxa"/>
            <w:vAlign w:val="center"/>
          </w:tcPr>
          <w:p w14:paraId="09B0F64F" w14:textId="77777777" w:rsidR="005A6F8B" w:rsidRPr="005A6F8B" w:rsidRDefault="005A6F8B" w:rsidP="0095003D">
            <w:pPr>
              <w:pStyle w:val="Paragraphedeliste"/>
              <w:numPr>
                <w:ilvl w:val="0"/>
                <w:numId w:val="145"/>
              </w:numPr>
              <w:spacing w:after="0"/>
              <w:jc w:val="left"/>
              <w:rPr>
                <w:rFonts w:cs="Arial"/>
                <w:sz w:val="22"/>
                <w:szCs w:val="18"/>
              </w:rPr>
            </w:pPr>
            <w:r w:rsidRPr="005A6F8B">
              <w:rPr>
                <w:rFonts w:cs="Arial"/>
                <w:sz w:val="22"/>
                <w:szCs w:val="18"/>
              </w:rPr>
              <w:t>Entreprise</w:t>
            </w:r>
          </w:p>
          <w:p w14:paraId="64E5FD27" w14:textId="77777777" w:rsidR="005A6F8B" w:rsidRPr="005A6F8B" w:rsidRDefault="005A6F8B" w:rsidP="0095003D">
            <w:pPr>
              <w:pStyle w:val="Paragraphedeliste"/>
              <w:numPr>
                <w:ilvl w:val="0"/>
                <w:numId w:val="145"/>
              </w:numPr>
              <w:spacing w:after="0"/>
              <w:jc w:val="left"/>
              <w:rPr>
                <w:rFonts w:cs="Arial"/>
                <w:sz w:val="22"/>
                <w:szCs w:val="18"/>
              </w:rPr>
            </w:pPr>
            <w:r w:rsidRPr="005A6F8B">
              <w:rPr>
                <w:rFonts w:cs="Arial"/>
                <w:sz w:val="22"/>
                <w:szCs w:val="18"/>
              </w:rPr>
              <w:t xml:space="preserve">UGP/PARIIS </w:t>
            </w:r>
          </w:p>
          <w:p w14:paraId="662DB3CE" w14:textId="77777777" w:rsidR="005A6F8B" w:rsidRPr="005A6F8B" w:rsidRDefault="005A6F8B" w:rsidP="0095003D">
            <w:pPr>
              <w:pStyle w:val="Paragraphedeliste"/>
              <w:numPr>
                <w:ilvl w:val="0"/>
                <w:numId w:val="145"/>
              </w:numPr>
              <w:spacing w:after="0"/>
              <w:jc w:val="left"/>
              <w:rPr>
                <w:rFonts w:cs="Arial"/>
                <w:sz w:val="22"/>
                <w:szCs w:val="18"/>
              </w:rPr>
            </w:pPr>
            <w:r w:rsidRPr="005A6F8B">
              <w:rPr>
                <w:rFonts w:cs="Arial"/>
                <w:sz w:val="22"/>
                <w:szCs w:val="18"/>
              </w:rPr>
              <w:t>MOD</w:t>
            </w:r>
          </w:p>
          <w:p w14:paraId="0257E298" w14:textId="77777777" w:rsidR="005A6F8B" w:rsidRPr="005A6F8B" w:rsidRDefault="005A6F8B" w:rsidP="0095003D">
            <w:pPr>
              <w:pStyle w:val="Paragraphedeliste"/>
              <w:numPr>
                <w:ilvl w:val="0"/>
                <w:numId w:val="145"/>
              </w:numPr>
              <w:spacing w:after="0"/>
              <w:jc w:val="left"/>
              <w:rPr>
                <w:rFonts w:cs="Arial"/>
                <w:sz w:val="22"/>
                <w:szCs w:val="18"/>
              </w:rPr>
            </w:pPr>
            <w:r w:rsidRPr="005A6F8B">
              <w:rPr>
                <w:rFonts w:cs="Arial"/>
                <w:sz w:val="22"/>
                <w:szCs w:val="18"/>
              </w:rPr>
              <w:t>DRACPN</w:t>
            </w:r>
          </w:p>
          <w:p w14:paraId="009CA542" w14:textId="77777777" w:rsidR="005A6F8B" w:rsidRPr="005A6F8B" w:rsidRDefault="005A6F8B" w:rsidP="0095003D">
            <w:pPr>
              <w:pStyle w:val="Paragraphedeliste"/>
              <w:numPr>
                <w:ilvl w:val="0"/>
                <w:numId w:val="145"/>
              </w:numPr>
              <w:spacing w:after="0"/>
              <w:jc w:val="left"/>
              <w:rPr>
                <w:rFonts w:cs="Arial"/>
                <w:sz w:val="22"/>
                <w:szCs w:val="18"/>
              </w:rPr>
            </w:pPr>
            <w:r w:rsidRPr="005A6F8B">
              <w:rPr>
                <w:rFonts w:cs="Arial"/>
                <w:sz w:val="22"/>
                <w:szCs w:val="18"/>
              </w:rPr>
              <w:t>ANASER</w:t>
            </w:r>
          </w:p>
          <w:p w14:paraId="147C85C3" w14:textId="77777777" w:rsidR="005A6F8B" w:rsidRPr="005A6F8B" w:rsidRDefault="005A6F8B" w:rsidP="0095003D">
            <w:pPr>
              <w:pStyle w:val="Paragraphedeliste"/>
              <w:numPr>
                <w:ilvl w:val="0"/>
                <w:numId w:val="145"/>
              </w:numPr>
              <w:spacing w:after="0"/>
              <w:jc w:val="left"/>
              <w:rPr>
                <w:rFonts w:cs="Arial"/>
                <w:sz w:val="22"/>
                <w:szCs w:val="18"/>
              </w:rPr>
            </w:pPr>
            <w:r w:rsidRPr="005A6F8B">
              <w:rPr>
                <w:rFonts w:cs="Arial"/>
                <w:sz w:val="22"/>
                <w:szCs w:val="18"/>
              </w:rPr>
              <w:t>Commune</w:t>
            </w:r>
          </w:p>
        </w:tc>
      </w:tr>
      <w:tr w:rsidR="005A6F8B" w:rsidRPr="005A6F8B" w14:paraId="41D487CD" w14:textId="77777777" w:rsidTr="005A6F8B">
        <w:tc>
          <w:tcPr>
            <w:tcW w:w="1329" w:type="dxa"/>
            <w:shd w:val="clear" w:color="auto" w:fill="FBD4B4" w:themeFill="accent6" w:themeFillTint="66"/>
            <w:vAlign w:val="center"/>
          </w:tcPr>
          <w:p w14:paraId="7070AEB2" w14:textId="77777777" w:rsidR="005A6F8B" w:rsidRPr="005A6F8B" w:rsidRDefault="005A6F8B" w:rsidP="00BE6D61">
            <w:pPr>
              <w:jc w:val="left"/>
              <w:rPr>
                <w:rFonts w:cs="Arial"/>
                <w:sz w:val="22"/>
                <w:szCs w:val="18"/>
              </w:rPr>
            </w:pPr>
            <w:r w:rsidRPr="005A6F8B">
              <w:rPr>
                <w:rFonts w:cs="Arial"/>
                <w:sz w:val="22"/>
                <w:szCs w:val="18"/>
              </w:rPr>
              <w:t>Emploi</w:t>
            </w:r>
          </w:p>
        </w:tc>
        <w:tc>
          <w:tcPr>
            <w:tcW w:w="1584" w:type="dxa"/>
            <w:vAlign w:val="center"/>
          </w:tcPr>
          <w:p w14:paraId="2DEAC63A" w14:textId="77777777" w:rsidR="005A6F8B" w:rsidRPr="005A6F8B" w:rsidRDefault="005A6F8B" w:rsidP="0095003D">
            <w:pPr>
              <w:pStyle w:val="Paragraphedeliste"/>
              <w:numPr>
                <w:ilvl w:val="0"/>
                <w:numId w:val="145"/>
              </w:numPr>
              <w:spacing w:after="0"/>
              <w:jc w:val="left"/>
              <w:rPr>
                <w:rFonts w:cs="Arial"/>
                <w:sz w:val="22"/>
                <w:szCs w:val="18"/>
              </w:rPr>
            </w:pPr>
            <w:r w:rsidRPr="005A6F8B">
              <w:rPr>
                <w:rFonts w:cs="Arial"/>
                <w:sz w:val="22"/>
                <w:szCs w:val="18"/>
              </w:rPr>
              <w:t>Embauche de la main d’œuvre locale</w:t>
            </w:r>
          </w:p>
        </w:tc>
        <w:tc>
          <w:tcPr>
            <w:tcW w:w="2327" w:type="dxa"/>
            <w:vAlign w:val="center"/>
          </w:tcPr>
          <w:p w14:paraId="22C369C7" w14:textId="77777777" w:rsidR="005A6F8B" w:rsidRPr="005A6F8B" w:rsidRDefault="005A6F8B" w:rsidP="0095003D">
            <w:pPr>
              <w:pStyle w:val="Paragraphedeliste"/>
              <w:numPr>
                <w:ilvl w:val="0"/>
                <w:numId w:val="145"/>
              </w:numPr>
              <w:spacing w:after="0"/>
              <w:jc w:val="left"/>
              <w:rPr>
                <w:rFonts w:cs="Arial"/>
                <w:sz w:val="22"/>
                <w:szCs w:val="18"/>
              </w:rPr>
            </w:pPr>
            <w:r w:rsidRPr="005A6F8B">
              <w:rPr>
                <w:rFonts w:cs="Arial"/>
                <w:sz w:val="22"/>
                <w:szCs w:val="18"/>
              </w:rPr>
              <w:t>Personnel</w:t>
            </w:r>
          </w:p>
        </w:tc>
        <w:tc>
          <w:tcPr>
            <w:tcW w:w="1418" w:type="dxa"/>
            <w:vAlign w:val="center"/>
          </w:tcPr>
          <w:p w14:paraId="3DBDAE71" w14:textId="77777777" w:rsidR="005A6F8B" w:rsidRPr="005A6F8B" w:rsidRDefault="005A6F8B" w:rsidP="0095003D">
            <w:pPr>
              <w:pStyle w:val="Paragraphedeliste"/>
              <w:numPr>
                <w:ilvl w:val="0"/>
                <w:numId w:val="145"/>
              </w:numPr>
              <w:spacing w:after="0"/>
              <w:jc w:val="left"/>
              <w:rPr>
                <w:rFonts w:cs="Arial"/>
                <w:sz w:val="22"/>
                <w:szCs w:val="18"/>
              </w:rPr>
            </w:pPr>
            <w:r w:rsidRPr="005A6F8B">
              <w:rPr>
                <w:rFonts w:cs="Arial"/>
                <w:sz w:val="22"/>
                <w:szCs w:val="18"/>
              </w:rPr>
              <w:t>Avant et pendant les travaux</w:t>
            </w:r>
          </w:p>
        </w:tc>
        <w:tc>
          <w:tcPr>
            <w:tcW w:w="1701" w:type="dxa"/>
            <w:vAlign w:val="center"/>
          </w:tcPr>
          <w:p w14:paraId="30D9F2E7" w14:textId="77777777" w:rsidR="005A6F8B" w:rsidRPr="005A6F8B" w:rsidRDefault="005A6F8B" w:rsidP="0095003D">
            <w:pPr>
              <w:pStyle w:val="Paragraphedeliste"/>
              <w:numPr>
                <w:ilvl w:val="0"/>
                <w:numId w:val="145"/>
              </w:numPr>
              <w:spacing w:after="0"/>
              <w:jc w:val="left"/>
              <w:rPr>
                <w:rFonts w:cs="Arial"/>
                <w:sz w:val="22"/>
                <w:szCs w:val="18"/>
              </w:rPr>
            </w:pPr>
            <w:r w:rsidRPr="005A6F8B">
              <w:rPr>
                <w:rFonts w:cs="Arial"/>
                <w:sz w:val="22"/>
                <w:szCs w:val="18"/>
              </w:rPr>
              <w:t>Le nombre d’emplois créés</w:t>
            </w:r>
          </w:p>
        </w:tc>
        <w:tc>
          <w:tcPr>
            <w:tcW w:w="1559" w:type="dxa"/>
            <w:vAlign w:val="center"/>
          </w:tcPr>
          <w:p w14:paraId="34485731" w14:textId="77777777" w:rsidR="005A6F8B" w:rsidRPr="005A6F8B" w:rsidRDefault="005A6F8B" w:rsidP="0095003D">
            <w:pPr>
              <w:pStyle w:val="Paragraphedeliste"/>
              <w:numPr>
                <w:ilvl w:val="0"/>
                <w:numId w:val="145"/>
              </w:numPr>
              <w:spacing w:after="0"/>
              <w:jc w:val="left"/>
              <w:rPr>
                <w:rFonts w:cs="Arial"/>
                <w:sz w:val="22"/>
                <w:szCs w:val="18"/>
              </w:rPr>
            </w:pPr>
            <w:r w:rsidRPr="005A6F8B">
              <w:rPr>
                <w:rFonts w:cs="Arial"/>
                <w:sz w:val="22"/>
                <w:szCs w:val="18"/>
              </w:rPr>
              <w:t>Entreprise</w:t>
            </w:r>
          </w:p>
          <w:p w14:paraId="5645D362" w14:textId="77777777" w:rsidR="005A6F8B" w:rsidRPr="005A6F8B" w:rsidRDefault="005A6F8B" w:rsidP="0095003D">
            <w:pPr>
              <w:pStyle w:val="Paragraphedeliste"/>
              <w:numPr>
                <w:ilvl w:val="0"/>
                <w:numId w:val="145"/>
              </w:numPr>
              <w:spacing w:after="0"/>
              <w:jc w:val="left"/>
              <w:rPr>
                <w:rFonts w:cs="Arial"/>
                <w:sz w:val="22"/>
                <w:szCs w:val="18"/>
              </w:rPr>
            </w:pPr>
            <w:r w:rsidRPr="005A6F8B">
              <w:rPr>
                <w:rFonts w:cs="Arial"/>
                <w:sz w:val="22"/>
                <w:szCs w:val="18"/>
              </w:rPr>
              <w:t>Mairie</w:t>
            </w:r>
          </w:p>
          <w:p w14:paraId="4FCB359C" w14:textId="77777777" w:rsidR="005A6F8B" w:rsidRPr="005A6F8B" w:rsidRDefault="005A6F8B" w:rsidP="0095003D">
            <w:pPr>
              <w:pStyle w:val="Paragraphedeliste"/>
              <w:numPr>
                <w:ilvl w:val="0"/>
                <w:numId w:val="145"/>
              </w:numPr>
              <w:spacing w:after="0"/>
              <w:jc w:val="left"/>
              <w:rPr>
                <w:rFonts w:cs="Arial"/>
                <w:sz w:val="22"/>
                <w:szCs w:val="18"/>
              </w:rPr>
            </w:pPr>
            <w:r w:rsidRPr="005A6F8B">
              <w:rPr>
                <w:rFonts w:cs="Arial"/>
                <w:sz w:val="22"/>
                <w:szCs w:val="18"/>
              </w:rPr>
              <w:t>Associations</w:t>
            </w:r>
          </w:p>
        </w:tc>
      </w:tr>
    </w:tbl>
    <w:p w14:paraId="2BE43B47" w14:textId="77777777" w:rsidR="00405807" w:rsidRPr="00E6699C" w:rsidRDefault="00405807" w:rsidP="00C86E74">
      <w:pPr>
        <w:ind w:left="0" w:firstLine="0"/>
      </w:pPr>
    </w:p>
    <w:p w14:paraId="6EC6C851" w14:textId="77777777" w:rsidR="00D62C56" w:rsidRPr="00C86E74" w:rsidRDefault="00D62C56" w:rsidP="00D62C56">
      <w:pPr>
        <w:pStyle w:val="Titre2"/>
        <w:spacing w:before="240" w:after="240"/>
        <w:ind w:left="360" w:firstLine="0"/>
        <w:rPr>
          <w:sz w:val="24"/>
          <w:szCs w:val="24"/>
        </w:rPr>
      </w:pPr>
      <w:bookmarkStart w:id="704" w:name="_Toc11060726"/>
      <w:bookmarkStart w:id="705" w:name="_Toc49725686"/>
      <w:r w:rsidRPr="00C86E74">
        <w:rPr>
          <w:sz w:val="24"/>
          <w:szCs w:val="24"/>
        </w:rPr>
        <w:t>2.3.</w:t>
      </w:r>
      <w:r w:rsidRPr="00C86E74">
        <w:rPr>
          <w:sz w:val="24"/>
          <w:szCs w:val="24"/>
        </w:rPr>
        <w:tab/>
      </w:r>
      <w:bookmarkStart w:id="706" w:name="_Hlk53492387"/>
      <w:r w:rsidRPr="00C86E74">
        <w:rPr>
          <w:sz w:val="24"/>
          <w:szCs w:val="24"/>
        </w:rPr>
        <w:t>Responsabilités institutionnelles de la surveillance et du suivi</w:t>
      </w:r>
      <w:bookmarkEnd w:id="704"/>
      <w:bookmarkEnd w:id="705"/>
      <w:r w:rsidRPr="00C86E74">
        <w:rPr>
          <w:sz w:val="24"/>
          <w:szCs w:val="24"/>
        </w:rPr>
        <w:t xml:space="preserve"> </w:t>
      </w:r>
      <w:bookmarkEnd w:id="706"/>
    </w:p>
    <w:p w14:paraId="5AFFB500" w14:textId="77777777" w:rsidR="00D62C56" w:rsidRPr="00E6699C" w:rsidRDefault="00D62C56" w:rsidP="00D62C56">
      <w:pPr>
        <w:spacing w:after="0" w:line="276" w:lineRule="auto"/>
        <w:contextualSpacing/>
        <w:rPr>
          <w:szCs w:val="24"/>
        </w:rPr>
      </w:pPr>
      <w:r w:rsidRPr="00E6699C">
        <w:rPr>
          <w:szCs w:val="24"/>
        </w:rPr>
        <w:t>La mise en œuvre des mesures de bonification, d’atténuation et de suivi exige de définir clairement les responsabilités des différents organismes impliqués dans l'exécution et l'opérationnalisation du projet.</w:t>
      </w:r>
    </w:p>
    <w:p w14:paraId="1ECF984B" w14:textId="77777777" w:rsidR="00D62C56" w:rsidRPr="00E6699C" w:rsidRDefault="00D62C56" w:rsidP="0095003D">
      <w:pPr>
        <w:pStyle w:val="Paragraphedeliste"/>
        <w:numPr>
          <w:ilvl w:val="0"/>
          <w:numId w:val="127"/>
        </w:numPr>
        <w:spacing w:before="120" w:after="120" w:line="276" w:lineRule="auto"/>
        <w:ind w:left="754" w:hanging="357"/>
        <w:contextualSpacing w:val="0"/>
        <w:rPr>
          <w:rFonts w:asciiTheme="minorHAnsi" w:hAnsiTheme="minorHAnsi" w:cstheme="minorHAnsi"/>
          <w:b/>
          <w:szCs w:val="24"/>
        </w:rPr>
      </w:pPr>
      <w:bookmarkStart w:id="707" w:name="_Toc11060727"/>
      <w:r w:rsidRPr="00E6699C">
        <w:rPr>
          <w:rFonts w:asciiTheme="minorHAnsi" w:hAnsiTheme="minorHAnsi" w:cstheme="minorHAnsi"/>
          <w:b/>
          <w:szCs w:val="24"/>
        </w:rPr>
        <w:t>UGP/ PARIIS et DRACPN</w:t>
      </w:r>
      <w:bookmarkEnd w:id="707"/>
    </w:p>
    <w:p w14:paraId="1D12402D" w14:textId="77777777" w:rsidR="00D62C56" w:rsidRPr="00E6699C" w:rsidRDefault="00D62C56" w:rsidP="00D62C56">
      <w:pPr>
        <w:spacing w:after="0" w:line="276" w:lineRule="auto"/>
        <w:contextualSpacing/>
        <w:rPr>
          <w:szCs w:val="24"/>
        </w:rPr>
      </w:pPr>
      <w:r w:rsidRPr="00E6699C">
        <w:rPr>
          <w:i/>
          <w:szCs w:val="24"/>
        </w:rPr>
        <w:t>L’UGP/PARIIS</w:t>
      </w:r>
      <w:r w:rsidRPr="00E6699C">
        <w:rPr>
          <w:szCs w:val="24"/>
        </w:rPr>
        <w:t xml:space="preserve"> et la </w:t>
      </w:r>
      <w:r w:rsidRPr="00E6699C">
        <w:rPr>
          <w:i/>
          <w:szCs w:val="24"/>
        </w:rPr>
        <w:t>DRACPN</w:t>
      </w:r>
      <w:r w:rsidRPr="00E6699C">
        <w:rPr>
          <w:szCs w:val="24"/>
        </w:rPr>
        <w:t xml:space="preserve"> de Koulikoro auront en charge la coordination de toutes les activités du PGES proprement dites sur le projet. Ils canaliseront l’intervention des différents partenaires sur les différents sites des travaux.</w:t>
      </w:r>
    </w:p>
    <w:p w14:paraId="6034CA66" w14:textId="77777777" w:rsidR="00D62C56" w:rsidRPr="00E6699C" w:rsidRDefault="00D62C56" w:rsidP="00D62C56">
      <w:pPr>
        <w:spacing w:after="0" w:line="276" w:lineRule="auto"/>
        <w:contextualSpacing/>
        <w:rPr>
          <w:szCs w:val="24"/>
        </w:rPr>
      </w:pPr>
      <w:r w:rsidRPr="00E6699C">
        <w:rPr>
          <w:szCs w:val="24"/>
        </w:rPr>
        <w:t>Ils assureront les missions de suivi environnemental. Elles canaliseront à son niveau toutes les informations et toutes les correspondances liées aux activités du chantier concernant la mise en application du PGES.</w:t>
      </w:r>
    </w:p>
    <w:p w14:paraId="644592E7" w14:textId="77777777" w:rsidR="00D62C56" w:rsidRPr="00E6699C" w:rsidRDefault="00D62C56" w:rsidP="00D62C56">
      <w:pPr>
        <w:spacing w:after="0" w:line="276" w:lineRule="auto"/>
        <w:contextualSpacing/>
        <w:rPr>
          <w:szCs w:val="24"/>
        </w:rPr>
      </w:pPr>
      <w:r w:rsidRPr="00E6699C">
        <w:rPr>
          <w:szCs w:val="24"/>
        </w:rPr>
        <w:t xml:space="preserve">Pour les activités de suivi, la </w:t>
      </w:r>
      <w:r w:rsidRPr="00E6699C">
        <w:rPr>
          <w:i/>
          <w:szCs w:val="24"/>
        </w:rPr>
        <w:t>DRACPN</w:t>
      </w:r>
      <w:r w:rsidRPr="00E6699C">
        <w:rPr>
          <w:szCs w:val="24"/>
        </w:rPr>
        <w:t xml:space="preserve"> est la courroie de transmission entre les autres acteurs et le maître d’ouvrage.</w:t>
      </w:r>
    </w:p>
    <w:p w14:paraId="5C219EAE" w14:textId="77777777" w:rsidR="00D62C56" w:rsidRPr="00E6699C" w:rsidRDefault="00D62C56" w:rsidP="00D62C56">
      <w:pPr>
        <w:spacing w:after="0" w:line="276" w:lineRule="auto"/>
        <w:contextualSpacing/>
        <w:rPr>
          <w:szCs w:val="24"/>
        </w:rPr>
      </w:pPr>
      <w:r w:rsidRPr="00E6699C">
        <w:rPr>
          <w:szCs w:val="24"/>
        </w:rPr>
        <w:t xml:space="preserve">A la fin des travaux, le suivi de </w:t>
      </w:r>
      <w:r w:rsidRPr="00E6699C">
        <w:rPr>
          <w:i/>
          <w:szCs w:val="24"/>
        </w:rPr>
        <w:t>l’UGP/PARIIS</w:t>
      </w:r>
      <w:r w:rsidRPr="00E6699C">
        <w:rPr>
          <w:szCs w:val="24"/>
        </w:rPr>
        <w:t xml:space="preserve"> portera principalement sur les travaux de finition qui renforceront l’image du projet. Il s’agit du suivi des travaux portant sur :</w:t>
      </w:r>
    </w:p>
    <w:p w14:paraId="10D14F3B" w14:textId="6F45F8A1" w:rsidR="00D62C56" w:rsidRPr="00E6699C" w:rsidRDefault="00387674" w:rsidP="0095003D">
      <w:pPr>
        <w:pStyle w:val="Paragraphedeliste"/>
        <w:numPr>
          <w:ilvl w:val="0"/>
          <w:numId w:val="126"/>
        </w:numPr>
        <w:spacing w:after="0" w:line="276" w:lineRule="auto"/>
        <w:ind w:left="754" w:hanging="357"/>
        <w:rPr>
          <w:rFonts w:ascii="Book Antiqua" w:hAnsi="Book Antiqua"/>
          <w:szCs w:val="24"/>
        </w:rPr>
      </w:pPr>
      <w:r w:rsidRPr="00E6699C">
        <w:rPr>
          <w:rFonts w:ascii="Book Antiqua" w:hAnsi="Book Antiqua"/>
          <w:szCs w:val="24"/>
        </w:rPr>
        <w:t>Le</w:t>
      </w:r>
      <w:r w:rsidR="00D62C56" w:rsidRPr="00E6699C">
        <w:rPr>
          <w:rFonts w:ascii="Book Antiqua" w:hAnsi="Book Antiqua"/>
          <w:szCs w:val="24"/>
        </w:rPr>
        <w:t xml:space="preserve"> nettoyage des sites des installations de </w:t>
      </w:r>
      <w:r w:rsidRPr="00E6699C">
        <w:rPr>
          <w:rFonts w:ascii="Book Antiqua" w:hAnsi="Book Antiqua"/>
          <w:szCs w:val="24"/>
        </w:rPr>
        <w:t>chantier ;</w:t>
      </w:r>
      <w:r w:rsidR="00D62C56" w:rsidRPr="00E6699C">
        <w:rPr>
          <w:rFonts w:ascii="Book Antiqua" w:hAnsi="Book Antiqua"/>
          <w:szCs w:val="24"/>
        </w:rPr>
        <w:t xml:space="preserve"> </w:t>
      </w:r>
    </w:p>
    <w:p w14:paraId="48D951FD" w14:textId="22DE6D47" w:rsidR="00D62C56" w:rsidRPr="00E6699C" w:rsidRDefault="00387674" w:rsidP="0095003D">
      <w:pPr>
        <w:pStyle w:val="Paragraphedeliste"/>
        <w:numPr>
          <w:ilvl w:val="0"/>
          <w:numId w:val="126"/>
        </w:numPr>
        <w:spacing w:after="0" w:line="276" w:lineRule="auto"/>
        <w:ind w:left="754" w:hanging="357"/>
        <w:rPr>
          <w:rFonts w:ascii="Book Antiqua" w:hAnsi="Book Antiqua"/>
          <w:szCs w:val="24"/>
        </w:rPr>
      </w:pPr>
      <w:r w:rsidRPr="00E6699C">
        <w:rPr>
          <w:rFonts w:ascii="Book Antiqua" w:hAnsi="Book Antiqua"/>
          <w:szCs w:val="24"/>
        </w:rPr>
        <w:t>La</w:t>
      </w:r>
      <w:r w:rsidR="00D62C56" w:rsidRPr="00E6699C">
        <w:rPr>
          <w:rFonts w:ascii="Book Antiqua" w:hAnsi="Book Antiqua"/>
          <w:szCs w:val="24"/>
        </w:rPr>
        <w:t xml:space="preserve"> remise en état des sites </w:t>
      </w:r>
      <w:r w:rsidRPr="00E6699C">
        <w:rPr>
          <w:rFonts w:ascii="Book Antiqua" w:hAnsi="Book Antiqua"/>
          <w:szCs w:val="24"/>
        </w:rPr>
        <w:t>dégradés ;</w:t>
      </w:r>
      <w:r w:rsidR="00D62C56" w:rsidRPr="00E6699C">
        <w:rPr>
          <w:rFonts w:ascii="Book Antiqua" w:hAnsi="Book Antiqua"/>
          <w:szCs w:val="24"/>
        </w:rPr>
        <w:t xml:space="preserve"> </w:t>
      </w:r>
    </w:p>
    <w:p w14:paraId="542B42A8" w14:textId="05551106" w:rsidR="00D62C56" w:rsidRPr="00E6699C" w:rsidRDefault="00387674" w:rsidP="0095003D">
      <w:pPr>
        <w:pStyle w:val="Paragraphedeliste"/>
        <w:numPr>
          <w:ilvl w:val="0"/>
          <w:numId w:val="126"/>
        </w:numPr>
        <w:spacing w:after="0" w:line="276" w:lineRule="auto"/>
        <w:ind w:left="754" w:hanging="357"/>
        <w:rPr>
          <w:rFonts w:ascii="Book Antiqua" w:hAnsi="Book Antiqua"/>
          <w:szCs w:val="24"/>
        </w:rPr>
      </w:pPr>
      <w:r w:rsidRPr="00E6699C">
        <w:rPr>
          <w:rFonts w:ascii="Book Antiqua" w:hAnsi="Book Antiqua"/>
          <w:szCs w:val="24"/>
        </w:rPr>
        <w:t>Le</w:t>
      </w:r>
      <w:r w:rsidR="00D62C56" w:rsidRPr="00E6699C">
        <w:rPr>
          <w:rFonts w:ascii="Book Antiqua" w:hAnsi="Book Antiqua"/>
          <w:szCs w:val="24"/>
        </w:rPr>
        <w:t xml:space="preserve"> transfert aux populations riveraines de certaines installations de chantier.</w:t>
      </w:r>
    </w:p>
    <w:p w14:paraId="1AA90884" w14:textId="77777777" w:rsidR="00D62C56" w:rsidRPr="00E6699C" w:rsidRDefault="00D62C56" w:rsidP="00D62C56">
      <w:pPr>
        <w:spacing w:after="0" w:line="276" w:lineRule="auto"/>
        <w:contextualSpacing/>
        <w:rPr>
          <w:szCs w:val="24"/>
        </w:rPr>
      </w:pPr>
      <w:r w:rsidRPr="00E6699C">
        <w:rPr>
          <w:szCs w:val="24"/>
        </w:rPr>
        <w:t>Pour la bonne exécution de sa mission, elle pourrait au besoin avoir recours aux compétences d’autres services comme la DREF, la DRA, DRGR, la DRH, les laboratoires d’analyse des eaux et d’autres prestataires (ONG, associations, bureaux d’étude).</w:t>
      </w:r>
    </w:p>
    <w:p w14:paraId="61B86F7E" w14:textId="77777777" w:rsidR="00D62C56" w:rsidRPr="00E6699C" w:rsidRDefault="00D62C56" w:rsidP="0095003D">
      <w:pPr>
        <w:pStyle w:val="Paragraphedeliste"/>
        <w:numPr>
          <w:ilvl w:val="0"/>
          <w:numId w:val="127"/>
        </w:numPr>
        <w:spacing w:before="120" w:after="120" w:line="276" w:lineRule="auto"/>
        <w:ind w:left="754" w:hanging="357"/>
        <w:contextualSpacing w:val="0"/>
        <w:rPr>
          <w:rFonts w:asciiTheme="minorHAnsi" w:hAnsiTheme="minorHAnsi" w:cstheme="minorHAnsi"/>
          <w:b/>
          <w:szCs w:val="24"/>
        </w:rPr>
      </w:pPr>
      <w:bookmarkStart w:id="708" w:name="_Toc11060728"/>
      <w:r w:rsidRPr="00E6699C">
        <w:rPr>
          <w:rFonts w:asciiTheme="minorHAnsi" w:hAnsiTheme="minorHAnsi" w:cstheme="minorHAnsi"/>
          <w:b/>
          <w:szCs w:val="24"/>
        </w:rPr>
        <w:t>Entreprise en charge des travaux</w:t>
      </w:r>
      <w:bookmarkEnd w:id="708"/>
    </w:p>
    <w:p w14:paraId="7B9A0FCF" w14:textId="77777777" w:rsidR="00D62C56" w:rsidRPr="00E6699C" w:rsidRDefault="00D62C56" w:rsidP="00D62C56">
      <w:pPr>
        <w:spacing w:after="0" w:line="276" w:lineRule="auto"/>
        <w:contextualSpacing/>
        <w:rPr>
          <w:szCs w:val="24"/>
        </w:rPr>
      </w:pPr>
      <w:r w:rsidRPr="00E6699C">
        <w:rPr>
          <w:szCs w:val="24"/>
        </w:rPr>
        <w:t>Elle mettra en place les moyens matériels, humains et financiers pour la stricte application des mesures de surveillance environnementale contenues dans la NIES.</w:t>
      </w:r>
    </w:p>
    <w:p w14:paraId="7B1D8D8A" w14:textId="77777777" w:rsidR="00D62C56" w:rsidRPr="00E6699C" w:rsidRDefault="00D62C56" w:rsidP="00D62C56">
      <w:r w:rsidRPr="00E6699C">
        <w:t>Dans un délai de 15 jours (à définir par l’UGP) à compter de la notification de l’attribution du marché, l’Entrepreneur devra établir et soumettre à l’approbation du Maître d’Œuvre et de la Maitrise d’Ouvrage, un programme définitif de gestion environnementale et sociale (PGES) détaillé, comportant les indications suivantes :</w:t>
      </w:r>
    </w:p>
    <w:p w14:paraId="37CBEFA7" w14:textId="1B4FDEB6" w:rsidR="00D62C56" w:rsidRPr="00E6699C" w:rsidRDefault="00D62C56" w:rsidP="00D62C56">
      <w:r w:rsidRPr="00E6699C">
        <w:t>1.</w:t>
      </w:r>
      <w:r w:rsidRPr="00E6699C">
        <w:tab/>
        <w:t xml:space="preserve">L’organigramme du personnel dirigeant avec identification claire de la (des) personne(s) responsable(s) de la gestion environnementale et sociale du projet et son (leur) curriculum </w:t>
      </w:r>
      <w:r w:rsidR="009C0A23" w:rsidRPr="00E6699C">
        <w:t>vitae ;</w:t>
      </w:r>
    </w:p>
    <w:p w14:paraId="25B5B1B6" w14:textId="77777777" w:rsidR="00D62C56" w:rsidRPr="00E6699C" w:rsidRDefault="00D62C56" w:rsidP="00D62C56">
      <w:r w:rsidRPr="00E6699C">
        <w:t>2.</w:t>
      </w:r>
      <w:r w:rsidRPr="00E6699C">
        <w:tab/>
        <w:t>Un plan de gestion environnementale et social du chantier comportant notamment :</w:t>
      </w:r>
    </w:p>
    <w:p w14:paraId="466F5701" w14:textId="4812BFFE" w:rsidR="00D62C56" w:rsidRPr="00E6699C" w:rsidRDefault="00D62C56" w:rsidP="00D62C56">
      <w:r w:rsidRPr="00E6699C">
        <w:t>•</w:t>
      </w:r>
      <w:r w:rsidRPr="00E6699C">
        <w:tab/>
        <w:t>un plan de gestion des déchets de chantier (type de déchets prévus, mode de collecte, mode de stockage, mode et lieu d’élimination, etc.</w:t>
      </w:r>
      <w:r w:rsidR="009C0A23" w:rsidRPr="00E6699C">
        <w:t>) ;</w:t>
      </w:r>
    </w:p>
    <w:p w14:paraId="38698A92" w14:textId="6D07E901" w:rsidR="00D62C56" w:rsidRPr="00E6699C" w:rsidRDefault="00D62C56" w:rsidP="00D62C56">
      <w:r w:rsidRPr="00E6699C">
        <w:t>•</w:t>
      </w:r>
      <w:r w:rsidRPr="00E6699C">
        <w:tab/>
        <w:t xml:space="preserve">un plan de gestion de l’eau (mode et source d’approvisionnement, débits utilisés, rejets, etc.), le système de traitement prévu pour les eaux résiduaires des chantiers, le lieu de rejet et le type de contrôle prévu, </w:t>
      </w:r>
      <w:r w:rsidR="009C0A23" w:rsidRPr="00E6699C">
        <w:t>etc. ;</w:t>
      </w:r>
    </w:p>
    <w:p w14:paraId="43F5C846" w14:textId="3C1EF937" w:rsidR="00D62C56" w:rsidRPr="00E6699C" w:rsidRDefault="00D62C56" w:rsidP="00D62C56">
      <w:r w:rsidRPr="00E6699C">
        <w:t>•</w:t>
      </w:r>
      <w:r w:rsidRPr="00E6699C">
        <w:tab/>
        <w:t xml:space="preserve">un plan de gestion globale pour l’exploitation et la remise en état des zones d’emprunt et des carrières (action anti-érosion, réaménagement </w:t>
      </w:r>
      <w:r w:rsidR="009C0A23" w:rsidRPr="00E6699C">
        <w:t>prévu) ;</w:t>
      </w:r>
    </w:p>
    <w:p w14:paraId="4710F8FA" w14:textId="60F52929" w:rsidR="00D62C56" w:rsidRPr="00E6699C" w:rsidRDefault="00D62C56" w:rsidP="00D62C56">
      <w:r w:rsidRPr="00E6699C">
        <w:t>•</w:t>
      </w:r>
      <w:r w:rsidRPr="00E6699C">
        <w:tab/>
        <w:t xml:space="preserve">une description générale des méthodes que l’Entrepreneur propose d’adopter pour réduire les impacts sur l’environnement physique et biologique de chaque phase de </w:t>
      </w:r>
      <w:r w:rsidR="009C0A23" w:rsidRPr="00E6699C">
        <w:t>travaux ;</w:t>
      </w:r>
    </w:p>
    <w:p w14:paraId="712C5699" w14:textId="77777777" w:rsidR="00D62C56" w:rsidRPr="00E6699C" w:rsidRDefault="00D62C56" w:rsidP="00D62C56">
      <w:r w:rsidRPr="00E6699C">
        <w:t>•</w:t>
      </w:r>
      <w:r w:rsidRPr="00E6699C">
        <w:tab/>
        <w:t>une description générale des mesures que l’Entrepreneur propose d’adopter pour favoriser les impacts socio-économiques positifs et éviter les incidences négatives.</w:t>
      </w:r>
    </w:p>
    <w:p w14:paraId="4D032C3C" w14:textId="77777777" w:rsidR="00D62C56" w:rsidRPr="00E6699C" w:rsidRDefault="00D62C56" w:rsidP="00D62C56">
      <w:pPr>
        <w:rPr>
          <w:b/>
        </w:rPr>
      </w:pPr>
      <w:r w:rsidRPr="00E6699C">
        <w:rPr>
          <w:b/>
        </w:rPr>
        <w:t>3. ÉVALUATION DES COÛTS DES MESURES ENVIRONNEMENTALES ET SOCIALES</w:t>
      </w:r>
    </w:p>
    <w:p w14:paraId="53BB8259" w14:textId="6C207F0E" w:rsidR="009C07C8" w:rsidRPr="005B0E5B" w:rsidRDefault="009C07C8" w:rsidP="009C07C8">
      <w:pPr>
        <w:rPr>
          <w:rFonts w:cs="Arial"/>
        </w:rPr>
      </w:pPr>
      <w:bookmarkStart w:id="709" w:name="_Hlk81298558"/>
      <w:r w:rsidRPr="005B0E5B">
        <w:rPr>
          <w:rFonts w:cs="Arial"/>
        </w:rPr>
        <w:t>L'évaluation des coûts des mesures environnementales et sociales proposées vise à :</w:t>
      </w:r>
    </w:p>
    <w:p w14:paraId="5B8476E8" w14:textId="77777777" w:rsidR="009C07C8" w:rsidRPr="005B0E5B" w:rsidRDefault="009C07C8" w:rsidP="0095003D">
      <w:pPr>
        <w:pStyle w:val="Paragraphedeliste"/>
        <w:numPr>
          <w:ilvl w:val="0"/>
          <w:numId w:val="146"/>
        </w:numPr>
        <w:spacing w:after="0" w:line="259" w:lineRule="auto"/>
        <w:rPr>
          <w:rFonts w:cs="Arial"/>
        </w:rPr>
      </w:pPr>
      <w:r w:rsidRPr="005B0E5B">
        <w:rPr>
          <w:rFonts w:cs="Arial"/>
        </w:rPr>
        <w:t>Permettre au promoteur de mesurer les implications financières de son engagement,</w:t>
      </w:r>
    </w:p>
    <w:p w14:paraId="40C4B6D5" w14:textId="04499C30" w:rsidR="009C07C8" w:rsidRPr="009C07C8" w:rsidRDefault="009C07C8" w:rsidP="0095003D">
      <w:pPr>
        <w:pStyle w:val="Paragraphedeliste"/>
        <w:numPr>
          <w:ilvl w:val="0"/>
          <w:numId w:val="146"/>
        </w:numPr>
        <w:spacing w:after="0" w:line="259" w:lineRule="auto"/>
        <w:rPr>
          <w:rFonts w:cs="Arial"/>
        </w:rPr>
      </w:pPr>
      <w:r w:rsidRPr="005B0E5B">
        <w:rPr>
          <w:rFonts w:cs="Arial"/>
        </w:rPr>
        <w:t>Gérer les impacts de son projet sur l'environnement biophysique et humain.</w:t>
      </w:r>
    </w:p>
    <w:p w14:paraId="0075B55A" w14:textId="16F98F31" w:rsidR="009C07C8" w:rsidRPr="005B0E5B" w:rsidRDefault="009C07C8" w:rsidP="009C07C8">
      <w:pPr>
        <w:rPr>
          <w:rFonts w:cs="Arial"/>
        </w:rPr>
      </w:pPr>
      <w:r w:rsidRPr="005B0E5B">
        <w:rPr>
          <w:rFonts w:cs="Arial"/>
        </w:rPr>
        <w:t>Le budget, à la charge du promoteur mentionne les coûts des mesures d’atténuation des impacts négatifs sur l’environnement ou de renforcement des impacts positifs. Il prend également en compte le coût des équipements complémentaires nécessaires pour minimiser les impacts négatifs.</w:t>
      </w:r>
    </w:p>
    <w:p w14:paraId="26A8C0CE" w14:textId="7EF715A7" w:rsidR="009C07C8" w:rsidRPr="005B0E5B" w:rsidRDefault="009C07C8" w:rsidP="009C07C8">
      <w:pPr>
        <w:rPr>
          <w:rFonts w:cs="Arial"/>
        </w:rPr>
      </w:pPr>
      <w:r w:rsidRPr="005B0E5B">
        <w:rPr>
          <w:rFonts w:cs="Arial"/>
        </w:rPr>
        <w:t>Au stade d’avant-projet sommaire (APS), l’évaluation préliminaire des coûts des mesures environnementales concernent essentiellement :</w:t>
      </w:r>
    </w:p>
    <w:p w14:paraId="32F95768" w14:textId="77777777" w:rsidR="009C07C8" w:rsidRPr="005B0E5B" w:rsidRDefault="009C07C8" w:rsidP="0095003D">
      <w:pPr>
        <w:pStyle w:val="Paragraphedeliste"/>
        <w:numPr>
          <w:ilvl w:val="0"/>
          <w:numId w:val="146"/>
        </w:numPr>
        <w:spacing w:after="0" w:line="259" w:lineRule="auto"/>
        <w:rPr>
          <w:rFonts w:cs="Arial"/>
        </w:rPr>
      </w:pPr>
      <w:r w:rsidRPr="005B0E5B">
        <w:rPr>
          <w:rFonts w:cs="Arial"/>
        </w:rPr>
        <w:t>Les coûts des actions d’indemnisation, d’atténuation ou de compensatrices des divers préjudices occasionnés par la construction de la route sur les milieux naturel et humain ;</w:t>
      </w:r>
    </w:p>
    <w:p w14:paraId="31BF5E41" w14:textId="7DFA6C1B" w:rsidR="009C07C8" w:rsidRPr="009C07C8" w:rsidRDefault="009C07C8" w:rsidP="0095003D">
      <w:pPr>
        <w:pStyle w:val="Paragraphedeliste"/>
        <w:numPr>
          <w:ilvl w:val="0"/>
          <w:numId w:val="146"/>
        </w:numPr>
        <w:spacing w:after="0" w:line="259" w:lineRule="auto"/>
        <w:rPr>
          <w:rFonts w:cs="Arial"/>
        </w:rPr>
      </w:pPr>
      <w:r w:rsidRPr="005B0E5B">
        <w:rPr>
          <w:rFonts w:cs="Arial"/>
        </w:rPr>
        <w:t>Les coûts de la surveillance et du suivi environnemental.</w:t>
      </w:r>
    </w:p>
    <w:p w14:paraId="42B7E71A" w14:textId="0B12380E" w:rsidR="009C07C8" w:rsidRPr="005B0E5B" w:rsidRDefault="009C07C8" w:rsidP="009C07C8">
      <w:pPr>
        <w:rPr>
          <w:rFonts w:cs="Arial"/>
        </w:rPr>
      </w:pPr>
      <w:r w:rsidRPr="005B0E5B">
        <w:rPr>
          <w:rFonts w:cs="Arial"/>
        </w:rPr>
        <w:t>Certains coûts imputables directement dans les charges de l’entreprise ne seront répertoriés à nouveau dans notre évaluation pour éviter des surcoûts ou des dédoublements de prévisions avec la partie technique.</w:t>
      </w:r>
    </w:p>
    <w:p w14:paraId="2CBC3EB5" w14:textId="2AA9B6CB" w:rsidR="00D62C56" w:rsidRPr="009C07C8" w:rsidRDefault="009C07C8" w:rsidP="009C07C8">
      <w:pPr>
        <w:rPr>
          <w:rFonts w:cs="Arial"/>
        </w:rPr>
      </w:pPr>
      <w:r w:rsidRPr="005B0E5B">
        <w:rPr>
          <w:rFonts w:cs="Arial"/>
        </w:rPr>
        <w:t>Sont indiqués pour mémoire (PM) les coûts qui sont soit intégrés dans le coût des travaux de l’entreprise, soit à considérer par les programmes nationaux de développement local conformément au tableau suivant.</w:t>
      </w:r>
      <w:bookmarkEnd w:id="709"/>
    </w:p>
    <w:p w14:paraId="07C1EC34" w14:textId="50137F99" w:rsidR="000A450A" w:rsidRPr="009C0A23" w:rsidRDefault="000A450A" w:rsidP="00E938A9">
      <w:pPr>
        <w:pStyle w:val="S6-Header1"/>
        <w:rPr>
          <w:lang w:val="fr-FR"/>
        </w:rPr>
      </w:pPr>
      <w:bookmarkStart w:id="710" w:name="_Toc327539144"/>
      <w:bookmarkStart w:id="711" w:name="_Toc487641562"/>
      <w:r w:rsidRPr="009C0A23">
        <w:rPr>
          <w:lang w:val="fr-FR"/>
        </w:rPr>
        <w:t>Spécifications</w:t>
      </w:r>
      <w:bookmarkEnd w:id="710"/>
      <w:bookmarkEnd w:id="711"/>
      <w:r w:rsidRPr="009C0A23">
        <w:rPr>
          <w:lang w:val="fr-FR"/>
        </w:rPr>
        <w:t xml:space="preserve"> </w:t>
      </w:r>
    </w:p>
    <w:p w14:paraId="6D7EA6F5" w14:textId="41240608" w:rsidR="00656F5B" w:rsidRPr="009C0A23" w:rsidRDefault="00AD2A90" w:rsidP="00AD2A90">
      <w:pPr>
        <w:pStyle w:val="S6-Header1"/>
        <w:rPr>
          <w:lang w:val="fr-FR"/>
        </w:rPr>
      </w:pPr>
      <w:bookmarkStart w:id="712" w:name="_Toc487641563"/>
      <w:r w:rsidRPr="009C0A23">
        <w:rPr>
          <w:lang w:val="fr-FR"/>
        </w:rPr>
        <w:t xml:space="preserve">Exigences environnementales, sociales, </w:t>
      </w:r>
      <w:r w:rsidR="00994494" w:rsidRPr="009C0A23">
        <w:rPr>
          <w:lang w:val="fr-FR"/>
        </w:rPr>
        <w:t>hygiène</w:t>
      </w:r>
      <w:r w:rsidRPr="009C0A23">
        <w:rPr>
          <w:lang w:val="fr-FR"/>
        </w:rPr>
        <w:t xml:space="preserve"> et </w:t>
      </w:r>
      <w:r w:rsidR="00994494" w:rsidRPr="009C0A23">
        <w:rPr>
          <w:lang w:val="fr-FR"/>
        </w:rPr>
        <w:t>sécurité</w:t>
      </w:r>
      <w:r w:rsidRPr="009C0A23">
        <w:rPr>
          <w:lang w:val="fr-FR"/>
        </w:rPr>
        <w:t xml:space="preserve"> (ESHS)</w:t>
      </w:r>
      <w:bookmarkEnd w:id="712"/>
    </w:p>
    <w:p w14:paraId="7BDE3260" w14:textId="77777777" w:rsidR="00655472" w:rsidRPr="009C0A23" w:rsidRDefault="007A25D5" w:rsidP="00655472">
      <w:pPr>
        <w:tabs>
          <w:tab w:val="center" w:pos="4678"/>
        </w:tabs>
        <w:spacing w:after="240"/>
        <w:ind w:left="0" w:right="48" w:firstLine="0"/>
        <w:rPr>
          <w:rFonts w:asciiTheme="majorBidi" w:hAnsiTheme="majorBidi" w:cstheme="majorBidi"/>
        </w:rPr>
      </w:pPr>
      <w:r w:rsidRPr="009C0A23">
        <w:rPr>
          <w:rFonts w:asciiTheme="majorBidi" w:hAnsiTheme="majorBidi" w:cstheme="majorBidi"/>
          <w:i/>
        </w:rPr>
        <w:tab/>
      </w:r>
      <w:r w:rsidR="00655472" w:rsidRPr="009C0A23">
        <w:rPr>
          <w:rFonts w:asciiTheme="majorBidi" w:hAnsiTheme="majorBidi" w:cstheme="majorBidi"/>
        </w:rPr>
        <w:t>Le Maître d’Ouvrage doit recourir aux services d’un spécialiste qualifié dans le domaine environnemental, social, hygiène et sécurité afin de préparer les spécifications ESHS, en collaboration avec un spécialiste en passation des marchés.</w:t>
      </w:r>
    </w:p>
    <w:p w14:paraId="2F2A4124" w14:textId="163F7E78" w:rsidR="00656F5B" w:rsidRPr="009C0A23" w:rsidRDefault="00655472" w:rsidP="00655472">
      <w:pPr>
        <w:tabs>
          <w:tab w:val="center" w:pos="4678"/>
        </w:tabs>
        <w:spacing w:after="240"/>
        <w:ind w:left="0" w:right="48" w:firstLine="0"/>
        <w:rPr>
          <w:rFonts w:asciiTheme="majorBidi" w:hAnsiTheme="majorBidi" w:cstheme="majorBidi"/>
        </w:rPr>
      </w:pPr>
      <w:r w:rsidRPr="009C0A23">
        <w:rPr>
          <w:rFonts w:asciiTheme="majorBidi" w:hAnsiTheme="majorBidi" w:cstheme="majorBidi"/>
        </w:rPr>
        <w:t>Le Maître d’Ouvrage doit joindre ou se référer à sa politique/ses règles environnementales, sociales, hygiène et sécurité applicables au projet. Si cette politique ou ces règles n’existent pas, le Maître d’Ouvrage devrait se référer aux conseils ci-après afin de préparer des règles applicables aux Travaux.</w:t>
      </w:r>
    </w:p>
    <w:p w14:paraId="0311BD47" w14:textId="6E0B3AC9" w:rsidR="00656F5B" w:rsidRPr="009C0A23" w:rsidRDefault="00656F5B" w:rsidP="00AD2A90">
      <w:pPr>
        <w:widowControl w:val="0"/>
        <w:autoSpaceDE w:val="0"/>
        <w:autoSpaceDN w:val="0"/>
        <w:spacing w:after="120"/>
        <w:ind w:left="0" w:firstLine="0"/>
        <w:jc w:val="left"/>
        <w:rPr>
          <w:b/>
          <w:smallCaps/>
          <w:sz w:val="28"/>
          <w:szCs w:val="28"/>
          <w:lang w:eastAsia="en-US"/>
        </w:rPr>
      </w:pPr>
      <w:r w:rsidRPr="009C0A23">
        <w:rPr>
          <w:b/>
          <w:smallCaps/>
          <w:sz w:val="28"/>
          <w:szCs w:val="28"/>
          <w:lang w:eastAsia="en-US"/>
        </w:rPr>
        <w:t>Contenu recommandé pour des règles environnementales et sociales</w:t>
      </w:r>
    </w:p>
    <w:p w14:paraId="0197BCB1" w14:textId="77777777" w:rsidR="00236FDF" w:rsidRPr="009C0A23" w:rsidRDefault="00236FDF" w:rsidP="00236FDF">
      <w:pPr>
        <w:spacing w:after="120"/>
        <w:ind w:left="0" w:right="48" w:firstLine="0"/>
        <w:rPr>
          <w:rFonts w:asciiTheme="majorBidi" w:hAnsiTheme="majorBidi" w:cstheme="majorBidi"/>
          <w:i/>
        </w:rPr>
      </w:pPr>
      <w:r w:rsidRPr="009C0A23">
        <w:rPr>
          <w:rFonts w:asciiTheme="majorBidi" w:hAnsiTheme="majorBidi" w:cstheme="majorBidi"/>
          <w:i/>
        </w:rPr>
        <w:t>L’objectif d’une politique applicable aux Travaux devrait au minimum être formulé en vue d’intégrer la protection de l’environnement, l’hygiène et la sécurité au travail et dans les communautés concernées, l’égalité des sexes, la protection des enfants, les groupes vulnérables (y compris les handicapés), la violence à caractère sexiste (VCS), la prévention et l’information concernant le VIH/SIDA, et l’engagement des parties prenantes dans les processus de planification, les programmes et activités des parties concernées par la réalisation des Travaux. Il est conseillé au Maître d’Ouvrage de consulter la Banque mondiale afin de convenir des aspects à inclure, qui peuvent également traiter de : l’adaptation climatique, la relocalisation et l’expropriation, les populations indigènes, etc. La politique applicable devrait établir le cadre de suivi, les processus et activités d’amélioration continue, et les mécanismes destinés à rendre compte de la conformité aux règles.</w:t>
      </w:r>
    </w:p>
    <w:p w14:paraId="352E91B1" w14:textId="77777777" w:rsidR="00236FDF" w:rsidRPr="009C0A23" w:rsidRDefault="00236FDF" w:rsidP="00236FDF">
      <w:pPr>
        <w:spacing w:after="120"/>
        <w:ind w:left="0" w:right="48" w:firstLine="0"/>
        <w:rPr>
          <w:rFonts w:asciiTheme="majorBidi" w:hAnsiTheme="majorBidi" w:cstheme="majorBidi"/>
          <w:i/>
        </w:rPr>
      </w:pPr>
      <w:r w:rsidRPr="009C0A23">
        <w:rPr>
          <w:rFonts w:asciiTheme="majorBidi" w:hAnsiTheme="majorBidi" w:cstheme="majorBidi"/>
          <w:i/>
        </w:rPr>
        <w:t>La politique applicable devrait dans toute la mesure du possible être brève mais spécifique et explicite, et mesurable afin de permettre de rendre compte de la conformité aux règles applicables en conformité avec la Clause 26.2 du CCAP et l’Annexe B du CCAG.</w:t>
      </w:r>
    </w:p>
    <w:p w14:paraId="56980067" w14:textId="77777777" w:rsidR="00236FDF" w:rsidRPr="009C0A23" w:rsidRDefault="00236FDF" w:rsidP="00236FDF">
      <w:pPr>
        <w:spacing w:after="120"/>
        <w:ind w:right="48"/>
        <w:rPr>
          <w:rFonts w:asciiTheme="majorBidi" w:hAnsiTheme="majorBidi" w:cstheme="majorBidi"/>
          <w:i/>
        </w:rPr>
      </w:pPr>
      <w:r w:rsidRPr="009C0A23">
        <w:rPr>
          <w:rFonts w:asciiTheme="majorBidi" w:hAnsiTheme="majorBidi" w:cstheme="majorBidi"/>
          <w:i/>
        </w:rPr>
        <w:t>Au minimum, la politique doit contenir les engagements à :</w:t>
      </w:r>
    </w:p>
    <w:p w14:paraId="2054513D" w14:textId="1452EF76" w:rsidR="00236FDF" w:rsidRPr="009C0A23" w:rsidRDefault="00FA65A5" w:rsidP="002A45C1">
      <w:pPr>
        <w:pStyle w:val="Paragraphedeliste"/>
        <w:numPr>
          <w:ilvl w:val="0"/>
          <w:numId w:val="59"/>
        </w:numPr>
        <w:suppressAutoHyphens/>
        <w:overflowPunct w:val="0"/>
        <w:autoSpaceDE w:val="0"/>
        <w:autoSpaceDN w:val="0"/>
        <w:adjustRightInd w:val="0"/>
        <w:spacing w:after="120"/>
        <w:ind w:right="48"/>
        <w:contextualSpacing w:val="0"/>
        <w:textAlignment w:val="baseline"/>
        <w:rPr>
          <w:rFonts w:asciiTheme="majorBidi" w:hAnsiTheme="majorBidi" w:cstheme="majorBidi"/>
          <w:i/>
        </w:rPr>
      </w:pPr>
      <w:r w:rsidRPr="009C0A23">
        <w:rPr>
          <w:rFonts w:asciiTheme="majorBidi" w:hAnsiTheme="majorBidi" w:cstheme="majorBidi"/>
          <w:i/>
        </w:rPr>
        <w:t>Appliquer</w:t>
      </w:r>
      <w:r w:rsidR="00236FDF" w:rsidRPr="009C0A23">
        <w:rPr>
          <w:rFonts w:asciiTheme="majorBidi" w:hAnsiTheme="majorBidi" w:cstheme="majorBidi"/>
          <w:i/>
        </w:rPr>
        <w:t xml:space="preserve"> les bonnes pratiques professionnelles internationales pour la protection et la conservation de l’environnement naturel et minimiser les impacts inévitables ;</w:t>
      </w:r>
    </w:p>
    <w:p w14:paraId="5DBD5CD6" w14:textId="77DE8709" w:rsidR="00236FDF" w:rsidRPr="009C0A23" w:rsidRDefault="00FA65A5" w:rsidP="002A45C1">
      <w:pPr>
        <w:pStyle w:val="Paragraphedeliste"/>
        <w:numPr>
          <w:ilvl w:val="0"/>
          <w:numId w:val="59"/>
        </w:numPr>
        <w:suppressAutoHyphens/>
        <w:overflowPunct w:val="0"/>
        <w:autoSpaceDE w:val="0"/>
        <w:autoSpaceDN w:val="0"/>
        <w:adjustRightInd w:val="0"/>
        <w:spacing w:after="120"/>
        <w:ind w:right="48"/>
        <w:contextualSpacing w:val="0"/>
        <w:textAlignment w:val="baseline"/>
        <w:rPr>
          <w:rFonts w:asciiTheme="majorBidi" w:hAnsiTheme="majorBidi" w:cstheme="majorBidi"/>
          <w:i/>
        </w:rPr>
      </w:pPr>
      <w:r w:rsidRPr="009C0A23">
        <w:rPr>
          <w:rFonts w:asciiTheme="majorBidi" w:hAnsiTheme="majorBidi" w:cstheme="majorBidi"/>
          <w:i/>
        </w:rPr>
        <w:t>Procurer</w:t>
      </w:r>
      <w:r w:rsidR="00236FDF" w:rsidRPr="009C0A23">
        <w:rPr>
          <w:rFonts w:asciiTheme="majorBidi" w:hAnsiTheme="majorBidi" w:cstheme="majorBidi"/>
          <w:i/>
        </w:rPr>
        <w:t xml:space="preserve"> et maintenir un cadre de travail respectant l’hygiène et la sécurité et des systèmes de travail sécures ;</w:t>
      </w:r>
    </w:p>
    <w:p w14:paraId="449F691D" w14:textId="2EDD5F80" w:rsidR="00236FDF" w:rsidRPr="009C0A23" w:rsidRDefault="00FA65A5" w:rsidP="002A45C1">
      <w:pPr>
        <w:pStyle w:val="Paragraphedeliste"/>
        <w:numPr>
          <w:ilvl w:val="0"/>
          <w:numId w:val="59"/>
        </w:numPr>
        <w:suppressAutoHyphens/>
        <w:overflowPunct w:val="0"/>
        <w:autoSpaceDE w:val="0"/>
        <w:autoSpaceDN w:val="0"/>
        <w:adjustRightInd w:val="0"/>
        <w:spacing w:after="120"/>
        <w:ind w:right="48"/>
        <w:contextualSpacing w:val="0"/>
        <w:textAlignment w:val="baseline"/>
        <w:rPr>
          <w:rFonts w:asciiTheme="majorBidi" w:hAnsiTheme="majorBidi" w:cstheme="majorBidi"/>
          <w:i/>
        </w:rPr>
      </w:pPr>
      <w:r w:rsidRPr="009C0A23">
        <w:rPr>
          <w:rFonts w:asciiTheme="majorBidi" w:hAnsiTheme="majorBidi" w:cstheme="majorBidi"/>
          <w:i/>
        </w:rPr>
        <w:t>Protéger</w:t>
      </w:r>
      <w:r w:rsidR="00236FDF" w:rsidRPr="009C0A23">
        <w:rPr>
          <w:rFonts w:asciiTheme="majorBidi" w:hAnsiTheme="majorBidi" w:cstheme="majorBidi"/>
          <w:i/>
        </w:rPr>
        <w:t xml:space="preserve"> la santé et la sécurité des communautés locales et des usagers, avec une attention particulière pour les personnes handicapées, âgées ou plus généralement vulnérables ;</w:t>
      </w:r>
    </w:p>
    <w:p w14:paraId="3290628A" w14:textId="52807E8B" w:rsidR="00236FDF" w:rsidRPr="009C0A23" w:rsidRDefault="00FA65A5" w:rsidP="002A45C1">
      <w:pPr>
        <w:pStyle w:val="Paragraphedeliste"/>
        <w:numPr>
          <w:ilvl w:val="0"/>
          <w:numId w:val="59"/>
        </w:numPr>
        <w:suppressAutoHyphens/>
        <w:overflowPunct w:val="0"/>
        <w:autoSpaceDE w:val="0"/>
        <w:autoSpaceDN w:val="0"/>
        <w:adjustRightInd w:val="0"/>
        <w:spacing w:after="120"/>
        <w:ind w:right="48"/>
        <w:contextualSpacing w:val="0"/>
        <w:textAlignment w:val="baseline"/>
        <w:rPr>
          <w:rFonts w:asciiTheme="majorBidi" w:hAnsiTheme="majorBidi" w:cstheme="majorBidi"/>
          <w:i/>
        </w:rPr>
      </w:pPr>
      <w:r w:rsidRPr="009C0A23">
        <w:rPr>
          <w:rFonts w:asciiTheme="majorBidi" w:hAnsiTheme="majorBidi" w:cstheme="majorBidi"/>
          <w:i/>
        </w:rPr>
        <w:t>Assurer</w:t>
      </w:r>
      <w:r w:rsidR="00236FDF" w:rsidRPr="009C0A23">
        <w:rPr>
          <w:rFonts w:asciiTheme="majorBidi" w:hAnsiTheme="majorBidi" w:cstheme="majorBidi"/>
          <w:i/>
        </w:rPr>
        <w:t xml:space="preserve"> que les conditions d’embauche et de travail de tous les travailleurs engagés pour les Travaux se conforment aux conventions du BIT relatives à la main d’œuvre auxquelles le pays hôte a adhéré ;</w:t>
      </w:r>
    </w:p>
    <w:p w14:paraId="68211C46" w14:textId="1F26757B" w:rsidR="00236FDF" w:rsidRPr="009C0A23" w:rsidRDefault="00FA65A5" w:rsidP="002A45C1">
      <w:pPr>
        <w:pStyle w:val="Paragraphedeliste"/>
        <w:numPr>
          <w:ilvl w:val="0"/>
          <w:numId w:val="59"/>
        </w:numPr>
        <w:suppressAutoHyphens/>
        <w:overflowPunct w:val="0"/>
        <w:autoSpaceDE w:val="0"/>
        <w:autoSpaceDN w:val="0"/>
        <w:adjustRightInd w:val="0"/>
        <w:spacing w:after="120"/>
        <w:ind w:right="48"/>
        <w:contextualSpacing w:val="0"/>
        <w:textAlignment w:val="baseline"/>
        <w:rPr>
          <w:rFonts w:asciiTheme="majorBidi" w:hAnsiTheme="majorBidi" w:cstheme="majorBidi"/>
          <w:i/>
        </w:rPr>
      </w:pPr>
      <w:r w:rsidRPr="009C0A23">
        <w:rPr>
          <w:rFonts w:asciiTheme="majorBidi" w:hAnsiTheme="majorBidi" w:cstheme="majorBidi"/>
          <w:i/>
        </w:rPr>
        <w:t>Ne</w:t>
      </w:r>
      <w:r w:rsidR="00236FDF" w:rsidRPr="009C0A23">
        <w:rPr>
          <w:rFonts w:asciiTheme="majorBidi" w:hAnsiTheme="majorBidi" w:cstheme="majorBidi"/>
          <w:i/>
        </w:rPr>
        <w:t xml:space="preserve"> pas tolérer les activités illégales et mettre en œuvre les mesures disciplinaires à leur encontre. Ne pas tolérer les activités VCS, sacrifice d’enfants, atteintes sexuelles aux enfants, et harcèlement sexuel et mettre en œuvre les mesures disciplinaires à leur encontre ;</w:t>
      </w:r>
    </w:p>
    <w:p w14:paraId="5946A8F5" w14:textId="3C3188D7" w:rsidR="00236FDF" w:rsidRPr="009C0A23" w:rsidRDefault="00FA65A5" w:rsidP="002A45C1">
      <w:pPr>
        <w:pStyle w:val="Paragraphedeliste"/>
        <w:numPr>
          <w:ilvl w:val="0"/>
          <w:numId w:val="59"/>
        </w:numPr>
        <w:suppressAutoHyphens/>
        <w:overflowPunct w:val="0"/>
        <w:autoSpaceDE w:val="0"/>
        <w:autoSpaceDN w:val="0"/>
        <w:adjustRightInd w:val="0"/>
        <w:spacing w:after="120"/>
        <w:ind w:right="48"/>
        <w:contextualSpacing w:val="0"/>
        <w:textAlignment w:val="baseline"/>
        <w:rPr>
          <w:rFonts w:asciiTheme="majorBidi" w:hAnsiTheme="majorBidi" w:cstheme="majorBidi"/>
          <w:i/>
        </w:rPr>
      </w:pPr>
      <w:r w:rsidRPr="009C0A23">
        <w:rPr>
          <w:rFonts w:asciiTheme="majorBidi" w:hAnsiTheme="majorBidi" w:cstheme="majorBidi"/>
          <w:i/>
        </w:rPr>
        <w:t>Adopter</w:t>
      </w:r>
      <w:r w:rsidR="00236FDF" w:rsidRPr="009C0A23">
        <w:rPr>
          <w:rFonts w:asciiTheme="majorBidi" w:hAnsiTheme="majorBidi" w:cstheme="majorBidi"/>
          <w:i/>
        </w:rPr>
        <w:t xml:space="preserve"> une perspective </w:t>
      </w:r>
      <w:proofErr w:type="spellStart"/>
      <w:r w:rsidR="00236FDF" w:rsidRPr="009C0A23">
        <w:rPr>
          <w:rFonts w:asciiTheme="majorBidi" w:hAnsiTheme="majorBidi" w:cstheme="majorBidi"/>
          <w:i/>
        </w:rPr>
        <w:t>sexo</w:t>
      </w:r>
      <w:proofErr w:type="spellEnd"/>
      <w:r w:rsidR="00236FDF" w:rsidRPr="009C0A23">
        <w:rPr>
          <w:rFonts w:asciiTheme="majorBidi" w:hAnsiTheme="majorBidi" w:cstheme="majorBidi"/>
          <w:i/>
        </w:rPr>
        <w:t>-spécifique et procurer un cadre favorisant l’égalité des hommes et des femmes dans la participation à la planification et à la préparation des Travaux et leur permettant d’en bénéficier de manière égale ;</w:t>
      </w:r>
    </w:p>
    <w:p w14:paraId="06CC9EB1" w14:textId="74656CFC" w:rsidR="00236FDF" w:rsidRPr="009C0A23" w:rsidRDefault="00FA65A5" w:rsidP="002A45C1">
      <w:pPr>
        <w:pStyle w:val="Paragraphedeliste"/>
        <w:numPr>
          <w:ilvl w:val="0"/>
          <w:numId w:val="59"/>
        </w:numPr>
        <w:suppressAutoHyphens/>
        <w:overflowPunct w:val="0"/>
        <w:autoSpaceDE w:val="0"/>
        <w:autoSpaceDN w:val="0"/>
        <w:adjustRightInd w:val="0"/>
        <w:spacing w:after="120"/>
        <w:ind w:right="48"/>
        <w:contextualSpacing w:val="0"/>
        <w:textAlignment w:val="baseline"/>
        <w:rPr>
          <w:rFonts w:asciiTheme="majorBidi" w:hAnsiTheme="majorBidi" w:cstheme="majorBidi"/>
          <w:i/>
        </w:rPr>
      </w:pPr>
      <w:r w:rsidRPr="009C0A23">
        <w:rPr>
          <w:rFonts w:asciiTheme="majorBidi" w:hAnsiTheme="majorBidi" w:cstheme="majorBidi"/>
          <w:i/>
        </w:rPr>
        <w:t>Travailler</w:t>
      </w:r>
      <w:r w:rsidR="00236FDF" w:rsidRPr="009C0A23">
        <w:rPr>
          <w:rFonts w:asciiTheme="majorBidi" w:hAnsiTheme="majorBidi" w:cstheme="majorBidi"/>
          <w:i/>
        </w:rPr>
        <w:t xml:space="preserve"> de manière collaborative, y compris avec les usagers in fine des Travaux, les autorités concernées, les entreprises et les communautés locales ;</w:t>
      </w:r>
    </w:p>
    <w:p w14:paraId="72F09E0D" w14:textId="5B665777" w:rsidR="00236FDF" w:rsidRPr="009C0A23" w:rsidRDefault="00FA65A5" w:rsidP="002A45C1">
      <w:pPr>
        <w:pStyle w:val="Paragraphedeliste"/>
        <w:numPr>
          <w:ilvl w:val="0"/>
          <w:numId w:val="59"/>
        </w:numPr>
        <w:suppressAutoHyphens/>
        <w:overflowPunct w:val="0"/>
        <w:autoSpaceDE w:val="0"/>
        <w:autoSpaceDN w:val="0"/>
        <w:adjustRightInd w:val="0"/>
        <w:spacing w:after="120"/>
        <w:ind w:right="48"/>
        <w:contextualSpacing w:val="0"/>
        <w:textAlignment w:val="baseline"/>
        <w:rPr>
          <w:rFonts w:asciiTheme="majorBidi" w:hAnsiTheme="majorBidi" w:cstheme="majorBidi"/>
          <w:i/>
        </w:rPr>
      </w:pPr>
      <w:r w:rsidRPr="009C0A23">
        <w:rPr>
          <w:rFonts w:asciiTheme="majorBidi" w:hAnsiTheme="majorBidi" w:cstheme="majorBidi"/>
          <w:i/>
        </w:rPr>
        <w:t>Entendre</w:t>
      </w:r>
      <w:r w:rsidR="00236FDF" w:rsidRPr="009C0A23">
        <w:rPr>
          <w:rFonts w:asciiTheme="majorBidi" w:hAnsiTheme="majorBidi" w:cstheme="majorBidi"/>
          <w:i/>
        </w:rPr>
        <w:t xml:space="preserve"> et écouter les personnes et organisations affectées et répondre à leurs préoccupations, avec une attention particulière pour les personnes vulnérables, handicapées, ou âgées ;</w:t>
      </w:r>
    </w:p>
    <w:p w14:paraId="13EC49F1" w14:textId="6393A1E3" w:rsidR="00236FDF" w:rsidRPr="009C0A23" w:rsidRDefault="00FA65A5" w:rsidP="002A45C1">
      <w:pPr>
        <w:pStyle w:val="Paragraphedeliste"/>
        <w:numPr>
          <w:ilvl w:val="0"/>
          <w:numId w:val="59"/>
        </w:numPr>
        <w:suppressAutoHyphens/>
        <w:overflowPunct w:val="0"/>
        <w:autoSpaceDE w:val="0"/>
        <w:autoSpaceDN w:val="0"/>
        <w:adjustRightInd w:val="0"/>
        <w:spacing w:after="120"/>
        <w:ind w:right="48"/>
        <w:contextualSpacing w:val="0"/>
        <w:textAlignment w:val="baseline"/>
        <w:rPr>
          <w:rFonts w:asciiTheme="majorBidi" w:hAnsiTheme="majorBidi" w:cstheme="majorBidi"/>
          <w:i/>
        </w:rPr>
      </w:pPr>
      <w:r w:rsidRPr="009C0A23">
        <w:rPr>
          <w:rFonts w:asciiTheme="majorBidi" w:hAnsiTheme="majorBidi" w:cstheme="majorBidi"/>
          <w:i/>
        </w:rPr>
        <w:t>Procurer</w:t>
      </w:r>
      <w:r w:rsidR="00236FDF" w:rsidRPr="009C0A23">
        <w:rPr>
          <w:rFonts w:asciiTheme="majorBidi" w:hAnsiTheme="majorBidi" w:cstheme="majorBidi"/>
          <w:i/>
        </w:rPr>
        <w:t xml:space="preserve"> un cadre faisant la promotion d’échange d’information, de vues et d’idées en toute liberté et sans crainte de représailles ;</w:t>
      </w:r>
    </w:p>
    <w:p w14:paraId="6ADD67B5" w14:textId="3D40E0D8" w:rsidR="00236FDF" w:rsidRPr="009C0A23" w:rsidRDefault="00FA65A5" w:rsidP="002A45C1">
      <w:pPr>
        <w:pStyle w:val="Paragraphedeliste"/>
        <w:numPr>
          <w:ilvl w:val="0"/>
          <w:numId w:val="59"/>
        </w:numPr>
        <w:suppressAutoHyphens/>
        <w:overflowPunct w:val="0"/>
        <w:autoSpaceDE w:val="0"/>
        <w:autoSpaceDN w:val="0"/>
        <w:adjustRightInd w:val="0"/>
        <w:spacing w:after="120"/>
        <w:ind w:right="48"/>
        <w:contextualSpacing w:val="0"/>
        <w:textAlignment w:val="baseline"/>
        <w:rPr>
          <w:rFonts w:asciiTheme="majorBidi" w:hAnsiTheme="majorBidi" w:cstheme="majorBidi"/>
          <w:i/>
        </w:rPr>
      </w:pPr>
      <w:r w:rsidRPr="009C0A23">
        <w:rPr>
          <w:rFonts w:asciiTheme="majorBidi" w:hAnsiTheme="majorBidi" w:cstheme="majorBidi"/>
          <w:i/>
        </w:rPr>
        <w:t>Minimiser</w:t>
      </w:r>
      <w:r w:rsidR="00236FDF" w:rsidRPr="009C0A23">
        <w:rPr>
          <w:rFonts w:asciiTheme="majorBidi" w:hAnsiTheme="majorBidi" w:cstheme="majorBidi"/>
          <w:i/>
        </w:rPr>
        <w:t xml:space="preserve"> le risque de transmission VIH et réduire les effets de VIH/SIDA liés à la réalisation des Travaux.</w:t>
      </w:r>
    </w:p>
    <w:p w14:paraId="4AE07DB2" w14:textId="77777777" w:rsidR="00236FDF" w:rsidRPr="009C0A23" w:rsidRDefault="00236FDF" w:rsidP="00236FDF">
      <w:pPr>
        <w:spacing w:after="120"/>
        <w:ind w:left="0" w:right="48" w:firstLine="0"/>
        <w:rPr>
          <w:rFonts w:asciiTheme="majorBidi" w:hAnsiTheme="majorBidi" w:cstheme="majorBidi"/>
          <w:i/>
        </w:rPr>
      </w:pPr>
      <w:r w:rsidRPr="009C0A23">
        <w:rPr>
          <w:rFonts w:asciiTheme="majorBidi" w:hAnsiTheme="majorBidi" w:cstheme="majorBidi"/>
          <w:i/>
        </w:rPr>
        <w:t>Le document de politique devrait être signé par la plus haute autorité du Maître d’Ouvrage, afin de signaler l’intention de mettre la politique en œuvre de manière rigoureuse.</w:t>
      </w:r>
    </w:p>
    <w:p w14:paraId="16247698" w14:textId="77777777" w:rsidR="00A913D4" w:rsidRPr="009C0A23" w:rsidRDefault="00A913D4" w:rsidP="00A913D4">
      <w:pPr>
        <w:pStyle w:val="Style50"/>
        <w:spacing w:line="240" w:lineRule="auto"/>
        <w:jc w:val="left"/>
        <w:rPr>
          <w:b/>
          <w:smallCaps/>
          <w:sz w:val="28"/>
          <w:szCs w:val="28"/>
          <w:lang w:val="fr-FR"/>
        </w:rPr>
      </w:pPr>
    </w:p>
    <w:p w14:paraId="612FD61D" w14:textId="64651D5D" w:rsidR="00656F5B" w:rsidRPr="009C0A23" w:rsidRDefault="00656F5B" w:rsidP="00AD2A90">
      <w:pPr>
        <w:pStyle w:val="Style50"/>
        <w:spacing w:after="120" w:line="240" w:lineRule="auto"/>
        <w:jc w:val="left"/>
        <w:rPr>
          <w:b/>
          <w:smallCaps/>
          <w:sz w:val="28"/>
          <w:szCs w:val="28"/>
          <w:lang w:val="fr-FR"/>
        </w:rPr>
      </w:pPr>
      <w:r w:rsidRPr="009C0A23">
        <w:rPr>
          <w:b/>
          <w:smallCaps/>
          <w:sz w:val="28"/>
          <w:szCs w:val="28"/>
          <w:lang w:val="fr-FR"/>
        </w:rPr>
        <w:t>Contenu minimum pour les Spécifications ESHS</w:t>
      </w:r>
    </w:p>
    <w:p w14:paraId="72B1C9CE" w14:textId="77777777" w:rsidR="00236FDF" w:rsidRPr="009C0A23" w:rsidRDefault="00236FDF" w:rsidP="00236FDF">
      <w:pPr>
        <w:spacing w:before="120" w:after="120"/>
        <w:rPr>
          <w:rFonts w:asciiTheme="majorBidi" w:hAnsiTheme="majorBidi" w:cstheme="majorBidi"/>
          <w:i/>
        </w:rPr>
      </w:pPr>
      <w:r w:rsidRPr="009C0A23">
        <w:rPr>
          <w:rFonts w:asciiTheme="majorBidi" w:hAnsiTheme="majorBidi" w:cstheme="majorBidi"/>
          <w:i/>
        </w:rPr>
        <w:t>Les spécialistes préparant les spécifications ESHS doivent se référer aux documents ci-après :</w:t>
      </w:r>
    </w:p>
    <w:p w14:paraId="2997E0D1" w14:textId="77777777" w:rsidR="00236FDF" w:rsidRPr="009C0A23" w:rsidRDefault="00236FDF" w:rsidP="002A45C1">
      <w:pPr>
        <w:numPr>
          <w:ilvl w:val="0"/>
          <w:numId w:val="60"/>
        </w:numPr>
        <w:spacing w:after="120"/>
        <w:rPr>
          <w:rFonts w:asciiTheme="majorBidi" w:hAnsiTheme="majorBidi" w:cstheme="majorBidi"/>
          <w:i/>
        </w:rPr>
      </w:pPr>
      <w:r w:rsidRPr="009C0A23">
        <w:rPr>
          <w:rFonts w:asciiTheme="majorBidi" w:hAnsiTheme="majorBidi" w:cstheme="majorBidi"/>
          <w:i/>
        </w:rPr>
        <w:t>Rapports du projet, par ex. EIES, PGES</w:t>
      </w:r>
    </w:p>
    <w:p w14:paraId="42988ADE" w14:textId="77777777" w:rsidR="00236FDF" w:rsidRPr="009C0A23" w:rsidRDefault="00236FDF" w:rsidP="002A45C1">
      <w:pPr>
        <w:numPr>
          <w:ilvl w:val="0"/>
          <w:numId w:val="60"/>
        </w:numPr>
        <w:spacing w:after="120"/>
        <w:rPr>
          <w:rFonts w:asciiTheme="majorBidi" w:hAnsiTheme="majorBidi" w:cstheme="majorBidi"/>
          <w:i/>
        </w:rPr>
      </w:pPr>
      <w:r w:rsidRPr="009C0A23">
        <w:rPr>
          <w:rFonts w:asciiTheme="majorBidi" w:hAnsiTheme="majorBidi" w:cstheme="majorBidi"/>
          <w:i/>
        </w:rPr>
        <w:t>Conditions d’obtention de consentements/permis</w:t>
      </w:r>
    </w:p>
    <w:p w14:paraId="7114316D" w14:textId="77777777" w:rsidR="00236FDF" w:rsidRPr="009C0A23" w:rsidRDefault="00236FDF" w:rsidP="002A45C1">
      <w:pPr>
        <w:numPr>
          <w:ilvl w:val="0"/>
          <w:numId w:val="60"/>
        </w:numPr>
        <w:spacing w:after="120"/>
        <w:rPr>
          <w:rFonts w:asciiTheme="majorBidi" w:hAnsiTheme="majorBidi" w:cstheme="majorBidi"/>
          <w:i/>
        </w:rPr>
      </w:pPr>
      <w:r w:rsidRPr="009C0A23">
        <w:rPr>
          <w:rFonts w:asciiTheme="majorBidi" w:hAnsiTheme="majorBidi" w:cstheme="majorBidi"/>
          <w:i/>
        </w:rPr>
        <w:t>Normes applicables, y compris les Directives EHS du Groupe de la Banque mondiale</w:t>
      </w:r>
    </w:p>
    <w:p w14:paraId="2EB90714" w14:textId="77777777" w:rsidR="00236FDF" w:rsidRPr="009C0A23" w:rsidRDefault="00236FDF" w:rsidP="002A45C1">
      <w:pPr>
        <w:numPr>
          <w:ilvl w:val="0"/>
          <w:numId w:val="60"/>
        </w:numPr>
        <w:spacing w:after="120"/>
        <w:rPr>
          <w:rFonts w:asciiTheme="majorBidi" w:hAnsiTheme="majorBidi" w:cstheme="majorBidi"/>
          <w:i/>
        </w:rPr>
      </w:pPr>
      <w:r w:rsidRPr="009C0A23">
        <w:rPr>
          <w:rFonts w:asciiTheme="majorBidi" w:hAnsiTheme="majorBidi" w:cstheme="majorBidi"/>
          <w:i/>
        </w:rPr>
        <w:t>Normes et dispositions légales et réglementaires nationales (lorsqu’elles reflètent des exigences supérieures à celles des Directives EHS du Groupe de la Banque mondiale)</w:t>
      </w:r>
    </w:p>
    <w:p w14:paraId="0B515413" w14:textId="77777777" w:rsidR="00236FDF" w:rsidRPr="009C0A23" w:rsidRDefault="00236FDF" w:rsidP="002A45C1">
      <w:pPr>
        <w:numPr>
          <w:ilvl w:val="0"/>
          <w:numId w:val="60"/>
        </w:numPr>
        <w:spacing w:after="120"/>
        <w:rPr>
          <w:rFonts w:asciiTheme="majorBidi" w:hAnsiTheme="majorBidi" w:cstheme="majorBidi"/>
          <w:i/>
        </w:rPr>
      </w:pPr>
      <w:r w:rsidRPr="009C0A23">
        <w:rPr>
          <w:rFonts w:asciiTheme="majorBidi" w:hAnsiTheme="majorBidi" w:cstheme="majorBidi"/>
          <w:i/>
        </w:rPr>
        <w:t>Normes internationales pertinentes, par ex. les Directives de l’OMS sur l’utilisation sans danger des Pesticides</w:t>
      </w:r>
    </w:p>
    <w:p w14:paraId="4A130D28" w14:textId="77777777" w:rsidR="00236FDF" w:rsidRPr="009C0A23" w:rsidRDefault="00236FDF" w:rsidP="002A45C1">
      <w:pPr>
        <w:numPr>
          <w:ilvl w:val="0"/>
          <w:numId w:val="60"/>
        </w:numPr>
        <w:spacing w:after="120"/>
        <w:rPr>
          <w:rFonts w:asciiTheme="majorBidi" w:hAnsiTheme="majorBidi" w:cstheme="majorBidi"/>
          <w:i/>
        </w:rPr>
      </w:pPr>
      <w:r w:rsidRPr="009C0A23">
        <w:rPr>
          <w:rFonts w:asciiTheme="majorBidi" w:hAnsiTheme="majorBidi" w:cstheme="majorBidi"/>
          <w:i/>
        </w:rPr>
        <w:t>Normes sectorielles pertinentes, par ex. Directive 91/27/CEE de l’UE sur le traitement des eaux usées urbaines</w:t>
      </w:r>
    </w:p>
    <w:p w14:paraId="57EC9078" w14:textId="77777777" w:rsidR="00236FDF" w:rsidRPr="009C0A23" w:rsidRDefault="00236FDF" w:rsidP="002A45C1">
      <w:pPr>
        <w:numPr>
          <w:ilvl w:val="0"/>
          <w:numId w:val="60"/>
        </w:numPr>
        <w:spacing w:after="120"/>
        <w:rPr>
          <w:rFonts w:asciiTheme="majorBidi" w:hAnsiTheme="majorBidi" w:cstheme="majorBidi"/>
          <w:i/>
        </w:rPr>
      </w:pPr>
      <w:r w:rsidRPr="009C0A23">
        <w:rPr>
          <w:rFonts w:asciiTheme="majorBidi" w:hAnsiTheme="majorBidi" w:cstheme="majorBidi"/>
          <w:i/>
        </w:rPr>
        <w:t>Mécanismes de prise en charge des réclamations.</w:t>
      </w:r>
    </w:p>
    <w:p w14:paraId="539DFAE8" w14:textId="34EE2F88" w:rsidR="00D01401" w:rsidRPr="0054338F" w:rsidRDefault="00236FDF" w:rsidP="0054338F">
      <w:pPr>
        <w:spacing w:after="120"/>
        <w:ind w:left="284" w:firstLine="0"/>
        <w:rPr>
          <w:rFonts w:asciiTheme="majorBidi" w:hAnsiTheme="majorBidi" w:cstheme="majorBidi"/>
          <w:i/>
        </w:rPr>
      </w:pPr>
      <w:r w:rsidRPr="009C0A23">
        <w:rPr>
          <w:rFonts w:asciiTheme="majorBidi" w:hAnsiTheme="majorBidi" w:cstheme="majorBidi"/>
          <w:i/>
        </w:rPr>
        <w:t>Les spécifications ESHS devraient être préparées de manière à ne pas entrer en conflit avec les dispositions pertinentes du CCAG et du CCAP, et en particulier :</w:t>
      </w:r>
    </w:p>
    <w:p w14:paraId="7132F37E" w14:textId="70140573" w:rsidR="00656F5B" w:rsidRPr="009C0A23" w:rsidRDefault="00656F5B" w:rsidP="00AD2A90">
      <w:pPr>
        <w:tabs>
          <w:tab w:val="left" w:pos="2410"/>
        </w:tabs>
        <w:spacing w:after="120"/>
        <w:ind w:left="993" w:firstLine="0"/>
        <w:rPr>
          <w:rFonts w:asciiTheme="majorBidi" w:hAnsiTheme="majorBidi" w:cstheme="majorBidi"/>
          <w:i/>
          <w:u w:val="single"/>
        </w:rPr>
      </w:pPr>
      <w:r w:rsidRPr="009C0A23">
        <w:rPr>
          <w:rFonts w:asciiTheme="majorBidi" w:hAnsiTheme="majorBidi" w:cstheme="majorBidi"/>
          <w:i/>
          <w:u w:val="single"/>
        </w:rPr>
        <w:t>CCAG</w:t>
      </w:r>
    </w:p>
    <w:p w14:paraId="4AB41379" w14:textId="13892C01" w:rsidR="00656F5B" w:rsidRPr="009C0A23" w:rsidRDefault="00656F5B" w:rsidP="00AD2A90">
      <w:pPr>
        <w:tabs>
          <w:tab w:val="left" w:pos="2410"/>
        </w:tabs>
        <w:spacing w:after="120"/>
        <w:ind w:left="993" w:firstLine="0"/>
        <w:rPr>
          <w:rFonts w:asciiTheme="majorBidi" w:hAnsiTheme="majorBidi" w:cstheme="majorBidi"/>
        </w:rPr>
      </w:pPr>
      <w:r w:rsidRPr="009C0A23">
        <w:rPr>
          <w:rFonts w:asciiTheme="majorBidi" w:hAnsiTheme="majorBidi" w:cstheme="majorBidi"/>
        </w:rPr>
        <w:t xml:space="preserve">Clause </w:t>
      </w:r>
      <w:r w:rsidR="00975418" w:rsidRPr="009C0A23">
        <w:rPr>
          <w:rFonts w:asciiTheme="majorBidi" w:hAnsiTheme="majorBidi" w:cstheme="majorBidi"/>
        </w:rPr>
        <w:t>3</w:t>
      </w:r>
      <w:r w:rsidRPr="009C0A23">
        <w:rPr>
          <w:rFonts w:asciiTheme="majorBidi" w:hAnsiTheme="majorBidi" w:cstheme="majorBidi"/>
        </w:rPr>
        <w:tab/>
        <w:t>Langue et droit applicable</w:t>
      </w:r>
    </w:p>
    <w:p w14:paraId="531E948B" w14:textId="5536B94F" w:rsidR="00656F5B" w:rsidRPr="009C0A23" w:rsidRDefault="00656F5B" w:rsidP="00AD2A90">
      <w:pPr>
        <w:tabs>
          <w:tab w:val="left" w:pos="2410"/>
        </w:tabs>
        <w:spacing w:after="120"/>
        <w:ind w:left="993" w:firstLine="0"/>
        <w:rPr>
          <w:rFonts w:asciiTheme="majorBidi" w:hAnsiTheme="majorBidi" w:cstheme="majorBidi"/>
        </w:rPr>
      </w:pPr>
      <w:r w:rsidRPr="009C0A23">
        <w:rPr>
          <w:rFonts w:asciiTheme="majorBidi" w:hAnsiTheme="majorBidi" w:cstheme="majorBidi"/>
        </w:rPr>
        <w:t xml:space="preserve">Clause </w:t>
      </w:r>
      <w:r w:rsidR="00975418" w:rsidRPr="009C0A23">
        <w:rPr>
          <w:rFonts w:asciiTheme="majorBidi" w:hAnsiTheme="majorBidi" w:cstheme="majorBidi"/>
        </w:rPr>
        <w:t>7.1</w:t>
      </w:r>
      <w:r w:rsidRPr="009C0A23">
        <w:rPr>
          <w:rFonts w:asciiTheme="majorBidi" w:hAnsiTheme="majorBidi" w:cstheme="majorBidi"/>
        </w:rPr>
        <w:tab/>
        <w:t>Sous-traitants</w:t>
      </w:r>
    </w:p>
    <w:p w14:paraId="73470AFB" w14:textId="40865FA8" w:rsidR="00975418" w:rsidRPr="009C0A23" w:rsidRDefault="00975418" w:rsidP="00AD2A90">
      <w:pPr>
        <w:tabs>
          <w:tab w:val="left" w:pos="2410"/>
        </w:tabs>
        <w:spacing w:after="120"/>
        <w:ind w:left="993" w:firstLine="0"/>
        <w:rPr>
          <w:rFonts w:asciiTheme="majorBidi" w:hAnsiTheme="majorBidi" w:cstheme="majorBidi"/>
        </w:rPr>
      </w:pPr>
      <w:r w:rsidRPr="009C0A23">
        <w:rPr>
          <w:rFonts w:asciiTheme="majorBidi" w:hAnsiTheme="majorBidi" w:cstheme="majorBidi"/>
        </w:rPr>
        <w:t>Clause 8.1</w:t>
      </w:r>
      <w:r w:rsidRPr="009C0A23">
        <w:rPr>
          <w:rFonts w:asciiTheme="majorBidi" w:hAnsiTheme="majorBidi" w:cstheme="majorBidi"/>
        </w:rPr>
        <w:tab/>
        <w:t>Autres Entrepreneurs</w:t>
      </w:r>
    </w:p>
    <w:p w14:paraId="344FBF88" w14:textId="77777777" w:rsidR="00975418" w:rsidRPr="009C0A23" w:rsidRDefault="00975418" w:rsidP="00AD2A90">
      <w:pPr>
        <w:tabs>
          <w:tab w:val="left" w:pos="2410"/>
        </w:tabs>
        <w:spacing w:after="120"/>
        <w:ind w:left="993" w:firstLine="0"/>
        <w:rPr>
          <w:rFonts w:asciiTheme="majorBidi" w:hAnsiTheme="majorBidi" w:cstheme="majorBidi"/>
        </w:rPr>
      </w:pPr>
      <w:r w:rsidRPr="009C0A23">
        <w:rPr>
          <w:rFonts w:asciiTheme="majorBidi" w:hAnsiTheme="majorBidi" w:cstheme="majorBidi"/>
        </w:rPr>
        <w:t>Clause 9</w:t>
      </w:r>
      <w:r w:rsidRPr="009C0A23">
        <w:rPr>
          <w:rFonts w:asciiTheme="majorBidi" w:hAnsiTheme="majorBidi" w:cstheme="majorBidi"/>
        </w:rPr>
        <w:tab/>
        <w:t>Personnel et Matériel</w:t>
      </w:r>
    </w:p>
    <w:p w14:paraId="2BB96DE1" w14:textId="4E2E9735" w:rsidR="00975418" w:rsidRPr="009C0A23" w:rsidRDefault="00975418" w:rsidP="00AD2A90">
      <w:pPr>
        <w:tabs>
          <w:tab w:val="left" w:pos="2410"/>
        </w:tabs>
        <w:spacing w:after="120"/>
        <w:ind w:left="993" w:firstLine="0"/>
        <w:rPr>
          <w:rFonts w:asciiTheme="majorBidi" w:hAnsiTheme="majorBidi" w:cstheme="majorBidi"/>
        </w:rPr>
      </w:pPr>
      <w:r w:rsidRPr="009C0A23">
        <w:rPr>
          <w:rFonts w:asciiTheme="majorBidi" w:hAnsiTheme="majorBidi" w:cstheme="majorBidi"/>
        </w:rPr>
        <w:t>Clause 12</w:t>
      </w:r>
      <w:r w:rsidRPr="009C0A23">
        <w:rPr>
          <w:rFonts w:asciiTheme="majorBidi" w:hAnsiTheme="majorBidi" w:cstheme="majorBidi"/>
        </w:rPr>
        <w:tab/>
        <w:t>Risques de l’Entrepreneur</w:t>
      </w:r>
    </w:p>
    <w:p w14:paraId="03B92843" w14:textId="78CFB863" w:rsidR="00975418" w:rsidRPr="009C0A23" w:rsidRDefault="00975418" w:rsidP="00AD2A90">
      <w:pPr>
        <w:tabs>
          <w:tab w:val="left" w:pos="2410"/>
        </w:tabs>
        <w:spacing w:after="120"/>
        <w:ind w:left="993" w:firstLine="0"/>
        <w:rPr>
          <w:rFonts w:asciiTheme="majorBidi" w:hAnsiTheme="majorBidi" w:cstheme="majorBidi"/>
        </w:rPr>
      </w:pPr>
      <w:r w:rsidRPr="009C0A23">
        <w:rPr>
          <w:rFonts w:asciiTheme="majorBidi" w:hAnsiTheme="majorBidi" w:cstheme="majorBidi"/>
        </w:rPr>
        <w:t>Clause 15.1</w:t>
      </w:r>
      <w:r w:rsidRPr="009C0A23">
        <w:rPr>
          <w:rFonts w:asciiTheme="majorBidi" w:hAnsiTheme="majorBidi" w:cstheme="majorBidi"/>
        </w:rPr>
        <w:tab/>
        <w:t>Responsabilités de l’Entrepreneur</w:t>
      </w:r>
    </w:p>
    <w:p w14:paraId="57356E70" w14:textId="5F9A43F1" w:rsidR="00656F5B" w:rsidRPr="009C0A23" w:rsidRDefault="00656F5B" w:rsidP="00AD2A90">
      <w:pPr>
        <w:tabs>
          <w:tab w:val="left" w:pos="2410"/>
        </w:tabs>
        <w:spacing w:after="120"/>
        <w:ind w:left="993" w:firstLine="0"/>
        <w:rPr>
          <w:rFonts w:asciiTheme="majorBidi" w:hAnsiTheme="majorBidi" w:cstheme="majorBidi"/>
        </w:rPr>
      </w:pPr>
      <w:r w:rsidRPr="009C0A23">
        <w:rPr>
          <w:rFonts w:asciiTheme="majorBidi" w:hAnsiTheme="majorBidi" w:cstheme="majorBidi"/>
        </w:rPr>
        <w:t>Clause 18</w:t>
      </w:r>
      <w:r w:rsidR="00975418" w:rsidRPr="009C0A23">
        <w:rPr>
          <w:rFonts w:asciiTheme="majorBidi" w:hAnsiTheme="majorBidi" w:cstheme="majorBidi"/>
        </w:rPr>
        <w:t>.1</w:t>
      </w:r>
      <w:r w:rsidRPr="009C0A23">
        <w:rPr>
          <w:rFonts w:asciiTheme="majorBidi" w:hAnsiTheme="majorBidi" w:cstheme="majorBidi"/>
        </w:rPr>
        <w:tab/>
      </w:r>
      <w:r w:rsidR="00975418" w:rsidRPr="009C0A23">
        <w:rPr>
          <w:rFonts w:asciiTheme="majorBidi" w:hAnsiTheme="majorBidi" w:cstheme="majorBidi"/>
        </w:rPr>
        <w:t>Sécurité</w:t>
      </w:r>
    </w:p>
    <w:p w14:paraId="5A114E15" w14:textId="45826AF1" w:rsidR="00656F5B" w:rsidRPr="009C0A23" w:rsidRDefault="00656F5B" w:rsidP="00AD2A90">
      <w:pPr>
        <w:tabs>
          <w:tab w:val="left" w:pos="2410"/>
        </w:tabs>
        <w:spacing w:after="120"/>
        <w:ind w:left="993" w:firstLine="0"/>
        <w:rPr>
          <w:rFonts w:asciiTheme="majorBidi" w:hAnsiTheme="majorBidi" w:cstheme="majorBidi"/>
        </w:rPr>
      </w:pPr>
      <w:r w:rsidRPr="009C0A23">
        <w:rPr>
          <w:rFonts w:asciiTheme="majorBidi" w:hAnsiTheme="majorBidi" w:cstheme="majorBidi"/>
        </w:rPr>
        <w:t xml:space="preserve">Clause </w:t>
      </w:r>
      <w:r w:rsidR="00975418" w:rsidRPr="009C0A23">
        <w:rPr>
          <w:rFonts w:asciiTheme="majorBidi" w:hAnsiTheme="majorBidi" w:cstheme="majorBidi"/>
        </w:rPr>
        <w:t>19.1</w:t>
      </w:r>
      <w:r w:rsidRPr="009C0A23">
        <w:rPr>
          <w:rFonts w:asciiTheme="majorBidi" w:hAnsiTheme="majorBidi" w:cstheme="majorBidi"/>
        </w:rPr>
        <w:tab/>
      </w:r>
      <w:r w:rsidR="00975418" w:rsidRPr="009C0A23">
        <w:rPr>
          <w:rFonts w:asciiTheme="majorBidi" w:hAnsiTheme="majorBidi" w:cstheme="majorBidi"/>
        </w:rPr>
        <w:t>Découvertes</w:t>
      </w:r>
    </w:p>
    <w:p w14:paraId="64ED5CBC" w14:textId="38BAE9E5" w:rsidR="00656F5B" w:rsidRPr="009C0A23" w:rsidRDefault="00656F5B" w:rsidP="00AD2A90">
      <w:pPr>
        <w:tabs>
          <w:tab w:val="left" w:pos="2410"/>
        </w:tabs>
        <w:spacing w:after="120"/>
        <w:ind w:left="993" w:firstLine="0"/>
        <w:rPr>
          <w:rFonts w:asciiTheme="majorBidi" w:hAnsiTheme="majorBidi" w:cstheme="majorBidi"/>
        </w:rPr>
      </w:pPr>
      <w:r w:rsidRPr="009C0A23">
        <w:rPr>
          <w:rFonts w:asciiTheme="majorBidi" w:hAnsiTheme="majorBidi" w:cstheme="majorBidi"/>
        </w:rPr>
        <w:t xml:space="preserve">Clause </w:t>
      </w:r>
      <w:r w:rsidR="00975418" w:rsidRPr="009C0A23">
        <w:rPr>
          <w:rFonts w:asciiTheme="majorBidi" w:hAnsiTheme="majorBidi" w:cstheme="majorBidi"/>
        </w:rPr>
        <w:t>31</w:t>
      </w:r>
      <w:r w:rsidRPr="009C0A23">
        <w:rPr>
          <w:rFonts w:asciiTheme="majorBidi" w:hAnsiTheme="majorBidi" w:cstheme="majorBidi"/>
        </w:rPr>
        <w:tab/>
      </w:r>
      <w:r w:rsidR="00975418" w:rsidRPr="009C0A23">
        <w:rPr>
          <w:rFonts w:asciiTheme="majorBidi" w:hAnsiTheme="majorBidi" w:cstheme="majorBidi"/>
        </w:rPr>
        <w:t>Préavis</w:t>
      </w:r>
    </w:p>
    <w:p w14:paraId="7500BF61" w14:textId="3F12FE1C" w:rsidR="00975418" w:rsidRPr="009C0A23" w:rsidRDefault="00975418" w:rsidP="00AD2A90">
      <w:pPr>
        <w:tabs>
          <w:tab w:val="left" w:pos="2410"/>
        </w:tabs>
        <w:spacing w:after="120"/>
        <w:ind w:left="993" w:firstLine="0"/>
        <w:rPr>
          <w:rFonts w:asciiTheme="majorBidi" w:hAnsiTheme="majorBidi" w:cstheme="majorBidi"/>
        </w:rPr>
      </w:pPr>
      <w:r w:rsidRPr="009C0A23">
        <w:rPr>
          <w:rFonts w:asciiTheme="majorBidi" w:hAnsiTheme="majorBidi" w:cstheme="majorBidi"/>
        </w:rPr>
        <w:t>Clause 41.4</w:t>
      </w:r>
      <w:r w:rsidRPr="009C0A23">
        <w:rPr>
          <w:rFonts w:asciiTheme="majorBidi" w:hAnsiTheme="majorBidi" w:cstheme="majorBidi"/>
        </w:rPr>
        <w:tab/>
        <w:t>Paiements</w:t>
      </w:r>
    </w:p>
    <w:p w14:paraId="56AB45B9" w14:textId="77777777" w:rsidR="007A25D5" w:rsidRPr="009C0A23" w:rsidRDefault="007A25D5" w:rsidP="00AD2A90">
      <w:pPr>
        <w:tabs>
          <w:tab w:val="left" w:pos="2410"/>
        </w:tabs>
        <w:spacing w:after="120"/>
        <w:ind w:left="993" w:firstLine="0"/>
        <w:rPr>
          <w:rFonts w:asciiTheme="majorBidi" w:hAnsiTheme="majorBidi" w:cstheme="majorBidi"/>
          <w:i/>
        </w:rPr>
      </w:pPr>
    </w:p>
    <w:p w14:paraId="010B81BA" w14:textId="5E75CAEB" w:rsidR="00656F5B" w:rsidRPr="009C0A23" w:rsidRDefault="00656F5B" w:rsidP="00656F5B">
      <w:pPr>
        <w:spacing w:after="120"/>
        <w:ind w:right="-540"/>
        <w:rPr>
          <w:rFonts w:asciiTheme="majorBidi" w:hAnsiTheme="majorBidi" w:cstheme="majorBidi"/>
          <w:b/>
          <w:smallCaps/>
          <w:sz w:val="28"/>
          <w:szCs w:val="28"/>
        </w:rPr>
      </w:pPr>
      <w:r w:rsidRPr="009C0A23">
        <w:rPr>
          <w:rFonts w:asciiTheme="majorBidi" w:hAnsiTheme="majorBidi" w:cstheme="majorBidi"/>
          <w:b/>
          <w:smallCaps/>
          <w:sz w:val="28"/>
          <w:szCs w:val="28"/>
        </w:rPr>
        <w:t>Contenu minimum du Code de Conduite</w:t>
      </w:r>
    </w:p>
    <w:p w14:paraId="67F688B6" w14:textId="77777777" w:rsidR="007A25D5" w:rsidRPr="009C0A23" w:rsidRDefault="007A25D5" w:rsidP="00A913D4">
      <w:pPr>
        <w:spacing w:after="0"/>
        <w:ind w:right="-540"/>
        <w:rPr>
          <w:rFonts w:asciiTheme="majorBidi" w:hAnsiTheme="majorBidi" w:cstheme="majorBidi"/>
          <w:b/>
          <w:smallCaps/>
          <w:sz w:val="28"/>
          <w:szCs w:val="28"/>
        </w:rPr>
      </w:pPr>
    </w:p>
    <w:p w14:paraId="682EBF78" w14:textId="77777777" w:rsidR="00656F5B" w:rsidRPr="009C0A23" w:rsidRDefault="00656F5B" w:rsidP="00872C38">
      <w:pPr>
        <w:spacing w:after="120"/>
        <w:ind w:left="0" w:firstLine="0"/>
        <w:jc w:val="left"/>
        <w:rPr>
          <w:b/>
          <w:smallCaps/>
          <w:sz w:val="28"/>
          <w:szCs w:val="28"/>
          <w:lang w:eastAsia="en-US"/>
        </w:rPr>
      </w:pPr>
      <w:r w:rsidRPr="009C0A23">
        <w:rPr>
          <w:b/>
          <w:smallCaps/>
          <w:sz w:val="28"/>
          <w:szCs w:val="28"/>
          <w:lang w:eastAsia="en-US"/>
        </w:rPr>
        <w:t>Exigences du Code de Conduite</w:t>
      </w:r>
    </w:p>
    <w:p w14:paraId="64743CA0" w14:textId="28028716" w:rsidR="00656F5B" w:rsidRPr="009C0A23" w:rsidRDefault="00656F5B" w:rsidP="00656F5B">
      <w:pPr>
        <w:spacing w:after="120"/>
        <w:ind w:left="0" w:firstLine="0"/>
        <w:rPr>
          <w:rFonts w:asciiTheme="majorBidi" w:hAnsiTheme="majorBidi" w:cstheme="majorBidi"/>
          <w:iCs/>
        </w:rPr>
      </w:pPr>
      <w:r w:rsidRPr="009C0A23">
        <w:rPr>
          <w:rFonts w:asciiTheme="majorBidi" w:hAnsiTheme="majorBidi" w:cstheme="majorBidi"/>
          <w:iCs/>
        </w:rPr>
        <w:t xml:space="preserve">Un code de conduite satisfaisant devra imposer des obligations à </w:t>
      </w:r>
      <w:r w:rsidR="0054338F" w:rsidRPr="009C0A23">
        <w:rPr>
          <w:rFonts w:asciiTheme="majorBidi" w:hAnsiTheme="majorBidi" w:cstheme="majorBidi"/>
          <w:iCs/>
        </w:rPr>
        <w:t>tout le personnel</w:t>
      </w:r>
      <w:r w:rsidRPr="009C0A23">
        <w:rPr>
          <w:rFonts w:asciiTheme="majorBidi" w:hAnsiTheme="majorBidi" w:cstheme="majorBidi"/>
          <w:iCs/>
        </w:rPr>
        <w:t xml:space="preserve"> de projet (y compris les sous-traitants et les journaliers) adaptées pour tacler </w:t>
      </w:r>
      <w:r w:rsidR="0054338F" w:rsidRPr="009C0A23">
        <w:rPr>
          <w:rFonts w:asciiTheme="majorBidi" w:hAnsiTheme="majorBidi" w:cstheme="majorBidi"/>
          <w:iCs/>
        </w:rPr>
        <w:t>les points suivants</w:t>
      </w:r>
      <w:r w:rsidRPr="009C0A23">
        <w:rPr>
          <w:rFonts w:asciiTheme="majorBidi" w:hAnsiTheme="majorBidi" w:cstheme="majorBidi"/>
          <w:iCs/>
        </w:rPr>
        <w:t>, au minimum.</w:t>
      </w:r>
      <w:r w:rsidR="009B2302" w:rsidRPr="009C0A23">
        <w:rPr>
          <w:rFonts w:asciiTheme="majorBidi" w:hAnsiTheme="majorBidi" w:cstheme="majorBidi"/>
          <w:iCs/>
        </w:rPr>
        <w:t xml:space="preserve"> </w:t>
      </w:r>
      <w:r w:rsidRPr="009C0A23">
        <w:rPr>
          <w:rFonts w:asciiTheme="majorBidi" w:hAnsiTheme="majorBidi" w:cstheme="majorBidi"/>
          <w:iCs/>
        </w:rPr>
        <w:t>Des obligations supplémentaires peuvent être ajoutées afin de prendre en compte des préoccupations de la région, de la localisation, du secteur ou des exigences spécifiques du projet.</w:t>
      </w:r>
      <w:r w:rsidR="009B2302" w:rsidRPr="009C0A23">
        <w:rPr>
          <w:rFonts w:asciiTheme="majorBidi" w:hAnsiTheme="majorBidi" w:cstheme="majorBidi"/>
          <w:iCs/>
        </w:rPr>
        <w:t xml:space="preserve"> </w:t>
      </w:r>
      <w:r w:rsidRPr="009C0A23">
        <w:rPr>
          <w:rFonts w:asciiTheme="majorBidi" w:hAnsiTheme="majorBidi" w:cstheme="majorBidi"/>
          <w:iCs/>
        </w:rPr>
        <w:t>Les points à traiter comprennent</w:t>
      </w:r>
      <w:r w:rsidR="009B2302" w:rsidRPr="009C0A23">
        <w:rPr>
          <w:rFonts w:asciiTheme="majorBidi" w:hAnsiTheme="majorBidi" w:cstheme="majorBidi"/>
          <w:iCs/>
        </w:rPr>
        <w:t> :</w:t>
      </w:r>
    </w:p>
    <w:p w14:paraId="5A46C4C1" w14:textId="77777777" w:rsidR="00656F5B" w:rsidRPr="009C0A23" w:rsidRDefault="00656F5B" w:rsidP="002A45C1">
      <w:pPr>
        <w:numPr>
          <w:ilvl w:val="0"/>
          <w:numId w:val="61"/>
        </w:numPr>
        <w:spacing w:after="120"/>
        <w:rPr>
          <w:rFonts w:asciiTheme="majorBidi" w:hAnsiTheme="majorBidi" w:cstheme="majorBidi"/>
          <w:iCs/>
        </w:rPr>
      </w:pPr>
      <w:r w:rsidRPr="009C0A23">
        <w:rPr>
          <w:rFonts w:asciiTheme="majorBidi" w:hAnsiTheme="majorBidi" w:cstheme="majorBidi"/>
          <w:iCs/>
        </w:rPr>
        <w:t>Conformité avec les lois et règlements applicables à la juridiction</w:t>
      </w:r>
    </w:p>
    <w:p w14:paraId="67F6F8E7" w14:textId="168FF30D" w:rsidR="00656F5B" w:rsidRPr="009C0A23" w:rsidRDefault="00656F5B" w:rsidP="002A45C1">
      <w:pPr>
        <w:numPr>
          <w:ilvl w:val="0"/>
          <w:numId w:val="61"/>
        </w:numPr>
        <w:spacing w:after="120"/>
        <w:rPr>
          <w:rFonts w:asciiTheme="majorBidi" w:hAnsiTheme="majorBidi" w:cstheme="majorBidi"/>
          <w:iCs/>
        </w:rPr>
      </w:pPr>
      <w:r w:rsidRPr="009C0A23">
        <w:rPr>
          <w:rFonts w:asciiTheme="majorBidi" w:hAnsiTheme="majorBidi" w:cstheme="majorBidi"/>
          <w:iCs/>
        </w:rPr>
        <w:t>Conformité avec les exigences applicables d’hygiène et de sécurité (y compris le port d’équipement personnel protectif, la prévention d’accidents évitables et le devoir de signaler des situations ou des pratiques présentant un risque de sécurité ou une menace à l’environnement)</w:t>
      </w:r>
    </w:p>
    <w:p w14:paraId="08B79920" w14:textId="77777777" w:rsidR="00656F5B" w:rsidRPr="009C0A23" w:rsidRDefault="00656F5B" w:rsidP="002A45C1">
      <w:pPr>
        <w:numPr>
          <w:ilvl w:val="0"/>
          <w:numId w:val="61"/>
        </w:numPr>
        <w:spacing w:after="120"/>
        <w:rPr>
          <w:rFonts w:asciiTheme="majorBidi" w:hAnsiTheme="majorBidi" w:cstheme="majorBidi"/>
          <w:iCs/>
        </w:rPr>
      </w:pPr>
      <w:r w:rsidRPr="009C0A23">
        <w:rPr>
          <w:rFonts w:asciiTheme="majorBidi" w:hAnsiTheme="majorBidi" w:cstheme="majorBidi"/>
          <w:iCs/>
        </w:rPr>
        <w:t>L’usage de substances illégales</w:t>
      </w:r>
    </w:p>
    <w:p w14:paraId="067A26FD" w14:textId="2B6BE8C7" w:rsidR="00656F5B" w:rsidRPr="009C0A23" w:rsidRDefault="00656F5B" w:rsidP="002A45C1">
      <w:pPr>
        <w:numPr>
          <w:ilvl w:val="0"/>
          <w:numId w:val="61"/>
        </w:numPr>
        <w:spacing w:after="120"/>
        <w:rPr>
          <w:rFonts w:asciiTheme="majorBidi" w:hAnsiTheme="majorBidi" w:cstheme="majorBidi"/>
          <w:iCs/>
        </w:rPr>
      </w:pPr>
      <w:r w:rsidRPr="009C0A23">
        <w:rPr>
          <w:rFonts w:asciiTheme="majorBidi" w:hAnsiTheme="majorBidi" w:cstheme="majorBidi"/>
          <w:iCs/>
        </w:rPr>
        <w:t>L’absence de discrimination (par exemple sur la base du statut familial, l’origine ethnique, le sexe, la religion, la langue, le statut marital, l’âge, la naissance ou les convictions politiques)</w:t>
      </w:r>
    </w:p>
    <w:p w14:paraId="17365A88" w14:textId="77777777" w:rsidR="00656F5B" w:rsidRPr="009C0A23" w:rsidRDefault="00656F5B" w:rsidP="002A45C1">
      <w:pPr>
        <w:numPr>
          <w:ilvl w:val="0"/>
          <w:numId w:val="61"/>
        </w:numPr>
        <w:spacing w:after="120"/>
        <w:rPr>
          <w:rFonts w:asciiTheme="majorBidi" w:hAnsiTheme="majorBidi" w:cstheme="majorBidi"/>
          <w:iCs/>
        </w:rPr>
      </w:pPr>
      <w:r w:rsidRPr="009C0A23">
        <w:rPr>
          <w:rFonts w:asciiTheme="majorBidi" w:hAnsiTheme="majorBidi" w:cstheme="majorBidi"/>
          <w:iCs/>
        </w:rPr>
        <w:t>Les interactions avec les membres des communautés (par exemple afin de promouvoir une attitude respectueuse et non-discriminatoire)</w:t>
      </w:r>
    </w:p>
    <w:p w14:paraId="1B3BC3BD" w14:textId="00AED791" w:rsidR="00656F5B" w:rsidRPr="009C0A23" w:rsidRDefault="00656F5B" w:rsidP="002A45C1">
      <w:pPr>
        <w:numPr>
          <w:ilvl w:val="0"/>
          <w:numId w:val="61"/>
        </w:numPr>
        <w:spacing w:after="120"/>
        <w:rPr>
          <w:rFonts w:asciiTheme="majorBidi" w:hAnsiTheme="majorBidi" w:cstheme="majorBidi"/>
          <w:iCs/>
        </w:rPr>
      </w:pPr>
      <w:r w:rsidRPr="009C0A23">
        <w:rPr>
          <w:rFonts w:asciiTheme="majorBidi" w:hAnsiTheme="majorBidi" w:cstheme="majorBidi"/>
          <w:iCs/>
        </w:rPr>
        <w:t>Le harcèlement sexuel (par exemple afin de prohiber l’usage de langage ou de comportement -- notamment à l’égard des femmes et des enfants—qui serait inapproprié, ou s’apparenterait à du harcèlement, serait abusif, sexuellement provocateur, humiliant ou culturellement inapproprié)</w:t>
      </w:r>
    </w:p>
    <w:p w14:paraId="5ED0E334" w14:textId="77777777" w:rsidR="00656F5B" w:rsidRPr="009C0A23" w:rsidRDefault="00656F5B" w:rsidP="002A45C1">
      <w:pPr>
        <w:numPr>
          <w:ilvl w:val="0"/>
          <w:numId w:val="61"/>
        </w:numPr>
        <w:spacing w:after="120"/>
        <w:rPr>
          <w:rFonts w:asciiTheme="majorBidi" w:hAnsiTheme="majorBidi" w:cstheme="majorBidi"/>
          <w:iCs/>
        </w:rPr>
      </w:pPr>
      <w:r w:rsidRPr="009C0A23">
        <w:rPr>
          <w:rFonts w:asciiTheme="majorBidi" w:hAnsiTheme="majorBidi" w:cstheme="majorBidi"/>
          <w:iCs/>
        </w:rPr>
        <w:t xml:space="preserve">La violence et l’exploitation (par exemple la prohibition d’échange monétaire, d’emploi, de biens ou de services en échange d’actes sexuels, y compris des faveurs sexuelles ou autres formes de comportement humiliant, dégradant ou de nature </w:t>
      </w:r>
      <w:proofErr w:type="spellStart"/>
      <w:r w:rsidRPr="009C0A23">
        <w:rPr>
          <w:rFonts w:asciiTheme="majorBidi" w:hAnsiTheme="majorBidi" w:cstheme="majorBidi"/>
          <w:iCs/>
        </w:rPr>
        <w:t>exploitive</w:t>
      </w:r>
      <w:proofErr w:type="spellEnd"/>
      <w:r w:rsidRPr="009C0A23">
        <w:rPr>
          <w:rFonts w:asciiTheme="majorBidi" w:hAnsiTheme="majorBidi" w:cstheme="majorBidi"/>
          <w:iCs/>
        </w:rPr>
        <w:t>)</w:t>
      </w:r>
    </w:p>
    <w:p w14:paraId="0EA92EEA" w14:textId="77777777" w:rsidR="00656F5B" w:rsidRPr="009C0A23" w:rsidRDefault="00656F5B" w:rsidP="002A45C1">
      <w:pPr>
        <w:numPr>
          <w:ilvl w:val="0"/>
          <w:numId w:val="61"/>
        </w:numPr>
        <w:spacing w:after="120"/>
        <w:rPr>
          <w:rFonts w:asciiTheme="majorBidi" w:hAnsiTheme="majorBidi" w:cstheme="majorBidi"/>
          <w:iCs/>
        </w:rPr>
      </w:pPr>
      <w:r w:rsidRPr="009C0A23">
        <w:rPr>
          <w:rFonts w:asciiTheme="majorBidi" w:hAnsiTheme="majorBidi" w:cstheme="majorBidi"/>
          <w:iCs/>
        </w:rPr>
        <w:t>La protection des enfants (y compris la prohibition d’abus, d’agression sexuelle ou autres comportements inacceptables à l’égard des enfants, restreignant les interactions avec les enfants et assurant leur sécurité dans les zones du projet)</w:t>
      </w:r>
    </w:p>
    <w:p w14:paraId="0B798580" w14:textId="52DCAD07" w:rsidR="00656F5B" w:rsidRPr="009C0A23" w:rsidRDefault="00656F5B" w:rsidP="002A45C1">
      <w:pPr>
        <w:numPr>
          <w:ilvl w:val="0"/>
          <w:numId w:val="61"/>
        </w:numPr>
        <w:spacing w:after="120"/>
        <w:rPr>
          <w:rFonts w:asciiTheme="majorBidi" w:hAnsiTheme="majorBidi" w:cstheme="majorBidi"/>
          <w:iCs/>
        </w:rPr>
      </w:pPr>
      <w:r w:rsidRPr="009C0A23">
        <w:rPr>
          <w:rFonts w:asciiTheme="majorBidi" w:hAnsiTheme="majorBidi" w:cstheme="majorBidi"/>
          <w:iCs/>
        </w:rPr>
        <w:t>Les dispositifs sanitaires (par exemple afin d’assurer que les travailleurs utilisent des installations sanitaires spécifiées fournies par leur employeur et non pas des zones extérieures)</w:t>
      </w:r>
    </w:p>
    <w:p w14:paraId="500345B5" w14:textId="77777777" w:rsidR="00656F5B" w:rsidRPr="009C0A23" w:rsidRDefault="00656F5B" w:rsidP="002A45C1">
      <w:pPr>
        <w:numPr>
          <w:ilvl w:val="0"/>
          <w:numId w:val="61"/>
        </w:numPr>
        <w:spacing w:after="120"/>
        <w:rPr>
          <w:rFonts w:asciiTheme="majorBidi" w:hAnsiTheme="majorBidi" w:cstheme="majorBidi"/>
          <w:iCs/>
        </w:rPr>
      </w:pPr>
      <w:r w:rsidRPr="009C0A23">
        <w:rPr>
          <w:rFonts w:asciiTheme="majorBidi" w:hAnsiTheme="majorBidi" w:cstheme="majorBidi"/>
          <w:iCs/>
        </w:rPr>
        <w:t>La prévention des conflits d’intérêts (afin que des avantages, des contrats ou l’emploi, ou toute sorte de traitement préférentiel ou faveur ne soient pas accordés à toute personne ayant une relation financière, familiale ou personnelle)</w:t>
      </w:r>
    </w:p>
    <w:p w14:paraId="2896122A" w14:textId="77777777" w:rsidR="00656F5B" w:rsidRPr="009C0A23" w:rsidRDefault="00656F5B" w:rsidP="002A45C1">
      <w:pPr>
        <w:numPr>
          <w:ilvl w:val="0"/>
          <w:numId w:val="61"/>
        </w:numPr>
        <w:spacing w:after="120"/>
        <w:rPr>
          <w:rFonts w:asciiTheme="majorBidi" w:hAnsiTheme="majorBidi" w:cstheme="majorBidi"/>
          <w:iCs/>
        </w:rPr>
      </w:pPr>
      <w:r w:rsidRPr="009C0A23">
        <w:rPr>
          <w:rFonts w:asciiTheme="majorBidi" w:hAnsiTheme="majorBidi" w:cstheme="majorBidi"/>
          <w:iCs/>
        </w:rPr>
        <w:t>Le respect des instructions de travail raisonnables (y compris concernant les normes environnementales et sociales)</w:t>
      </w:r>
    </w:p>
    <w:p w14:paraId="20438DD5" w14:textId="77777777" w:rsidR="00656F5B" w:rsidRPr="009C0A23" w:rsidRDefault="00656F5B" w:rsidP="002A45C1">
      <w:pPr>
        <w:numPr>
          <w:ilvl w:val="0"/>
          <w:numId w:val="61"/>
        </w:numPr>
        <w:spacing w:after="120"/>
        <w:rPr>
          <w:rFonts w:asciiTheme="majorBidi" w:hAnsiTheme="majorBidi" w:cstheme="majorBidi"/>
          <w:iCs/>
        </w:rPr>
      </w:pPr>
      <w:r w:rsidRPr="009C0A23">
        <w:rPr>
          <w:rFonts w:asciiTheme="majorBidi" w:hAnsiTheme="majorBidi" w:cstheme="majorBidi"/>
          <w:iCs/>
        </w:rPr>
        <w:t>La protection et l’utilisation appropriée de la propriété (par exemple afin de prohiber le vol, la négligence ou le gaspillage)</w:t>
      </w:r>
    </w:p>
    <w:p w14:paraId="5AA4DD2C" w14:textId="77777777" w:rsidR="00656F5B" w:rsidRPr="009C0A23" w:rsidRDefault="00656F5B" w:rsidP="002A45C1">
      <w:pPr>
        <w:numPr>
          <w:ilvl w:val="0"/>
          <w:numId w:val="61"/>
        </w:numPr>
        <w:spacing w:after="120"/>
        <w:rPr>
          <w:rFonts w:asciiTheme="majorBidi" w:hAnsiTheme="majorBidi" w:cstheme="majorBidi"/>
          <w:iCs/>
        </w:rPr>
      </w:pPr>
      <w:r w:rsidRPr="009C0A23">
        <w:rPr>
          <w:rFonts w:asciiTheme="majorBidi" w:hAnsiTheme="majorBidi" w:cstheme="majorBidi"/>
          <w:iCs/>
        </w:rPr>
        <w:t>L’obligation de signaler les infractions au Code</w:t>
      </w:r>
    </w:p>
    <w:p w14:paraId="01C5D50D" w14:textId="77777777" w:rsidR="00656F5B" w:rsidRPr="009C0A23" w:rsidRDefault="00656F5B" w:rsidP="002A45C1">
      <w:pPr>
        <w:numPr>
          <w:ilvl w:val="0"/>
          <w:numId w:val="61"/>
        </w:numPr>
        <w:spacing w:after="120"/>
        <w:rPr>
          <w:rFonts w:asciiTheme="majorBidi" w:hAnsiTheme="majorBidi" w:cstheme="majorBidi"/>
          <w:iCs/>
        </w:rPr>
      </w:pPr>
      <w:r w:rsidRPr="009C0A23">
        <w:rPr>
          <w:rFonts w:asciiTheme="majorBidi" w:hAnsiTheme="majorBidi" w:cstheme="majorBidi"/>
          <w:iCs/>
        </w:rPr>
        <w:t>L’absence de représailles à l’encontre des travailleurs qui signalent des infractions au Code, si cela est effectué de bonne foi.</w:t>
      </w:r>
    </w:p>
    <w:p w14:paraId="1D8B1510" w14:textId="0ADFF239" w:rsidR="00656F5B" w:rsidRPr="009C0A23" w:rsidRDefault="00656F5B" w:rsidP="00416D3B">
      <w:pPr>
        <w:spacing w:before="120" w:after="120"/>
        <w:ind w:left="0" w:firstLine="0"/>
        <w:rPr>
          <w:rFonts w:asciiTheme="majorBidi" w:hAnsiTheme="majorBidi" w:cstheme="majorBidi"/>
          <w:iCs/>
        </w:rPr>
      </w:pPr>
      <w:r w:rsidRPr="009C0A23">
        <w:rPr>
          <w:rFonts w:asciiTheme="majorBidi" w:hAnsiTheme="majorBidi" w:cstheme="majorBidi"/>
          <w:iCs/>
        </w:rPr>
        <w:t>Le Code de Conduite doit être formulé en langage clair et signé par chaque travailleur afin d’indiquer qu’ils ont</w:t>
      </w:r>
      <w:r w:rsidR="009B2302" w:rsidRPr="009C0A23">
        <w:rPr>
          <w:rFonts w:asciiTheme="majorBidi" w:hAnsiTheme="majorBidi" w:cstheme="majorBidi"/>
          <w:iCs/>
        </w:rPr>
        <w:t> :</w:t>
      </w:r>
    </w:p>
    <w:p w14:paraId="7BB3C946" w14:textId="7A559D81" w:rsidR="00656F5B" w:rsidRPr="009C0A23" w:rsidRDefault="00A46057" w:rsidP="002A45C1">
      <w:pPr>
        <w:numPr>
          <w:ilvl w:val="0"/>
          <w:numId w:val="62"/>
        </w:numPr>
        <w:spacing w:after="120"/>
        <w:rPr>
          <w:rFonts w:asciiTheme="majorBidi" w:hAnsiTheme="majorBidi" w:cstheme="majorBidi"/>
          <w:iCs/>
        </w:rPr>
      </w:pPr>
      <w:r w:rsidRPr="009C0A23">
        <w:rPr>
          <w:rFonts w:asciiTheme="majorBidi" w:hAnsiTheme="majorBidi" w:cstheme="majorBidi"/>
          <w:iCs/>
        </w:rPr>
        <w:t>Reçu</w:t>
      </w:r>
      <w:r w:rsidR="00656F5B" w:rsidRPr="009C0A23">
        <w:rPr>
          <w:rFonts w:asciiTheme="majorBidi" w:hAnsiTheme="majorBidi" w:cstheme="majorBidi"/>
          <w:iCs/>
        </w:rPr>
        <w:t xml:space="preserve"> une copie du code</w:t>
      </w:r>
      <w:r w:rsidR="009B2302" w:rsidRPr="009C0A23">
        <w:rPr>
          <w:rFonts w:asciiTheme="majorBidi" w:hAnsiTheme="majorBidi" w:cstheme="majorBidi"/>
          <w:iCs/>
        </w:rPr>
        <w:t> ;</w:t>
      </w:r>
    </w:p>
    <w:p w14:paraId="3B3D77B1" w14:textId="250C80B0" w:rsidR="00656F5B" w:rsidRPr="009C0A23" w:rsidRDefault="00A46057" w:rsidP="002A45C1">
      <w:pPr>
        <w:numPr>
          <w:ilvl w:val="0"/>
          <w:numId w:val="62"/>
        </w:numPr>
        <w:spacing w:after="120"/>
        <w:rPr>
          <w:rFonts w:asciiTheme="majorBidi" w:hAnsiTheme="majorBidi" w:cstheme="majorBidi"/>
          <w:iCs/>
        </w:rPr>
      </w:pPr>
      <w:r w:rsidRPr="009C0A23">
        <w:rPr>
          <w:rFonts w:asciiTheme="majorBidi" w:hAnsiTheme="majorBidi" w:cstheme="majorBidi"/>
          <w:iCs/>
        </w:rPr>
        <w:t>Reçu</w:t>
      </w:r>
      <w:r w:rsidR="00656F5B" w:rsidRPr="009C0A23">
        <w:rPr>
          <w:rFonts w:asciiTheme="majorBidi" w:hAnsiTheme="majorBidi" w:cstheme="majorBidi"/>
          <w:iCs/>
        </w:rPr>
        <w:t xml:space="preserve"> une explication sur le contenu du code</w:t>
      </w:r>
    </w:p>
    <w:p w14:paraId="4025A57B" w14:textId="1BDD7CB8" w:rsidR="00656F5B" w:rsidRPr="009C0A23" w:rsidRDefault="00A46057" w:rsidP="002A45C1">
      <w:pPr>
        <w:numPr>
          <w:ilvl w:val="0"/>
          <w:numId w:val="62"/>
        </w:numPr>
        <w:spacing w:after="120"/>
        <w:rPr>
          <w:rFonts w:asciiTheme="majorBidi" w:hAnsiTheme="majorBidi" w:cstheme="majorBidi"/>
          <w:iCs/>
        </w:rPr>
      </w:pPr>
      <w:r w:rsidRPr="009C0A23">
        <w:rPr>
          <w:rFonts w:asciiTheme="majorBidi" w:hAnsiTheme="majorBidi" w:cstheme="majorBidi"/>
          <w:iCs/>
        </w:rPr>
        <w:t>Pris</w:t>
      </w:r>
      <w:r w:rsidR="00656F5B" w:rsidRPr="009C0A23">
        <w:rPr>
          <w:rFonts w:asciiTheme="majorBidi" w:hAnsiTheme="majorBidi" w:cstheme="majorBidi"/>
          <w:iCs/>
        </w:rPr>
        <w:t xml:space="preserve"> connaissance que le respect du code est une exigence de leur contrat d’embauche</w:t>
      </w:r>
      <w:r w:rsidR="009B2302" w:rsidRPr="009C0A23">
        <w:rPr>
          <w:rFonts w:asciiTheme="majorBidi" w:hAnsiTheme="majorBidi" w:cstheme="majorBidi"/>
          <w:iCs/>
        </w:rPr>
        <w:t> ;</w:t>
      </w:r>
      <w:r w:rsidR="00656F5B" w:rsidRPr="009C0A23">
        <w:rPr>
          <w:rFonts w:asciiTheme="majorBidi" w:hAnsiTheme="majorBidi" w:cstheme="majorBidi"/>
          <w:iCs/>
        </w:rPr>
        <w:t xml:space="preserve"> et</w:t>
      </w:r>
    </w:p>
    <w:p w14:paraId="7F4A33E6" w14:textId="5D2C1E7A" w:rsidR="00656F5B" w:rsidRPr="009C0A23" w:rsidRDefault="00A46057" w:rsidP="002A45C1">
      <w:pPr>
        <w:numPr>
          <w:ilvl w:val="0"/>
          <w:numId w:val="62"/>
        </w:numPr>
        <w:spacing w:after="120"/>
        <w:rPr>
          <w:rFonts w:asciiTheme="majorBidi" w:hAnsiTheme="majorBidi" w:cstheme="majorBidi"/>
          <w:iCs/>
        </w:rPr>
      </w:pPr>
      <w:r w:rsidRPr="009C0A23">
        <w:rPr>
          <w:rFonts w:asciiTheme="majorBidi" w:hAnsiTheme="majorBidi" w:cstheme="majorBidi"/>
          <w:iCs/>
        </w:rPr>
        <w:t>Compris</w:t>
      </w:r>
      <w:r w:rsidR="00656F5B" w:rsidRPr="009C0A23">
        <w:rPr>
          <w:rFonts w:asciiTheme="majorBidi" w:hAnsiTheme="majorBidi" w:cstheme="majorBidi"/>
          <w:iCs/>
        </w:rPr>
        <w:t xml:space="preserve"> que toute infraction au code peut avoir de sérieuses conséquences, y compris le licenciement, ou le </w:t>
      </w:r>
      <w:r w:rsidR="00975418" w:rsidRPr="009C0A23">
        <w:rPr>
          <w:rFonts w:asciiTheme="majorBidi" w:hAnsiTheme="majorBidi" w:cstheme="majorBidi"/>
          <w:iCs/>
        </w:rPr>
        <w:t>déferrement</w:t>
      </w:r>
      <w:r w:rsidR="00656F5B" w:rsidRPr="009C0A23">
        <w:rPr>
          <w:rFonts w:asciiTheme="majorBidi" w:hAnsiTheme="majorBidi" w:cstheme="majorBidi"/>
          <w:iCs/>
        </w:rPr>
        <w:t xml:space="preserve"> aux autorités judiciaires.</w:t>
      </w:r>
    </w:p>
    <w:p w14:paraId="271C546F" w14:textId="77777777" w:rsidR="0032636C" w:rsidRPr="009C0A23" w:rsidRDefault="0032636C" w:rsidP="00A913D4">
      <w:pPr>
        <w:tabs>
          <w:tab w:val="left" w:pos="2970"/>
        </w:tabs>
        <w:spacing w:after="0"/>
        <w:ind w:left="0" w:firstLine="0"/>
        <w:jc w:val="left"/>
        <w:rPr>
          <w:b/>
          <w:smallCaps/>
          <w:sz w:val="28"/>
          <w:szCs w:val="28"/>
          <w:lang w:eastAsia="en-US"/>
        </w:rPr>
      </w:pPr>
    </w:p>
    <w:p w14:paraId="4DEC9F5C" w14:textId="7ADD1772" w:rsidR="00656F5B" w:rsidRPr="009C0A23" w:rsidRDefault="00656F5B" w:rsidP="00416D3B">
      <w:pPr>
        <w:tabs>
          <w:tab w:val="left" w:pos="2970"/>
        </w:tabs>
        <w:spacing w:after="120"/>
        <w:ind w:left="0" w:firstLine="0"/>
        <w:jc w:val="left"/>
        <w:rPr>
          <w:b/>
          <w:smallCaps/>
          <w:sz w:val="28"/>
          <w:szCs w:val="28"/>
          <w:lang w:eastAsia="en-US"/>
        </w:rPr>
      </w:pPr>
      <w:r w:rsidRPr="009C0A23">
        <w:rPr>
          <w:b/>
          <w:smallCaps/>
          <w:sz w:val="28"/>
          <w:szCs w:val="28"/>
          <w:lang w:eastAsia="en-US"/>
        </w:rPr>
        <w:t>Paiement pour les exigences ESHS</w:t>
      </w:r>
    </w:p>
    <w:p w14:paraId="6E9B764C" w14:textId="024E2FC2" w:rsidR="00DF74D7" w:rsidRPr="00D048AA" w:rsidRDefault="00DF74D7" w:rsidP="00975418">
      <w:pPr>
        <w:pStyle w:val="Retraitnormal"/>
        <w:spacing w:before="120" w:after="120"/>
        <w:ind w:left="0"/>
        <w:rPr>
          <w:rFonts w:asciiTheme="majorBidi" w:hAnsiTheme="majorBidi" w:cstheme="majorBidi"/>
          <w:i/>
          <w:color w:val="FF0000"/>
          <w:lang w:val="fr-FR"/>
        </w:rPr>
      </w:pPr>
    </w:p>
    <w:p w14:paraId="19D38685" w14:textId="3A25339B" w:rsidR="00DF74D7" w:rsidRDefault="00DF74D7" w:rsidP="00975418">
      <w:pPr>
        <w:pStyle w:val="Retraitnormal"/>
        <w:spacing w:before="120" w:after="120"/>
        <w:ind w:left="0"/>
        <w:rPr>
          <w:rFonts w:asciiTheme="majorBidi" w:hAnsiTheme="majorBidi" w:cstheme="majorBidi"/>
          <w:i/>
          <w:lang w:val="fr-FR"/>
        </w:rPr>
      </w:pPr>
    </w:p>
    <w:p w14:paraId="403989C4" w14:textId="37631817" w:rsidR="00DF74D7" w:rsidRDefault="00DF74D7" w:rsidP="00975418">
      <w:pPr>
        <w:pStyle w:val="Retraitnormal"/>
        <w:spacing w:before="120" w:after="120"/>
        <w:ind w:left="0"/>
        <w:rPr>
          <w:rFonts w:asciiTheme="majorBidi" w:hAnsiTheme="majorBidi" w:cstheme="majorBidi"/>
          <w:i/>
          <w:lang w:val="fr-FR"/>
        </w:rPr>
      </w:pPr>
    </w:p>
    <w:p w14:paraId="7CBC493A" w14:textId="1809C7FE" w:rsidR="00DF74D7" w:rsidRDefault="00DF74D7" w:rsidP="00975418">
      <w:pPr>
        <w:pStyle w:val="Retraitnormal"/>
        <w:spacing w:before="120" w:after="120"/>
        <w:ind w:left="0"/>
        <w:rPr>
          <w:rFonts w:asciiTheme="majorBidi" w:hAnsiTheme="majorBidi" w:cstheme="majorBidi"/>
          <w:i/>
          <w:lang w:val="fr-FR"/>
        </w:rPr>
      </w:pPr>
    </w:p>
    <w:p w14:paraId="4A4A0BC0" w14:textId="52576410" w:rsidR="00DF74D7" w:rsidRDefault="00DF74D7" w:rsidP="00975418">
      <w:pPr>
        <w:pStyle w:val="Retraitnormal"/>
        <w:spacing w:before="120" w:after="120"/>
        <w:ind w:left="0"/>
        <w:rPr>
          <w:rFonts w:asciiTheme="majorBidi" w:hAnsiTheme="majorBidi" w:cstheme="majorBidi"/>
          <w:i/>
          <w:lang w:val="fr-FR"/>
        </w:rPr>
      </w:pPr>
    </w:p>
    <w:p w14:paraId="7DA69512" w14:textId="71119AC9" w:rsidR="00DF74D7" w:rsidRDefault="00DF74D7" w:rsidP="00975418">
      <w:pPr>
        <w:pStyle w:val="Retraitnormal"/>
        <w:spacing w:before="120" w:after="120"/>
        <w:ind w:left="0"/>
        <w:rPr>
          <w:rFonts w:asciiTheme="majorBidi" w:hAnsiTheme="majorBidi" w:cstheme="majorBidi"/>
          <w:i/>
          <w:lang w:val="fr-FR"/>
        </w:rPr>
      </w:pPr>
    </w:p>
    <w:p w14:paraId="4B6C0E00" w14:textId="7F643D10" w:rsidR="00DF74D7" w:rsidRDefault="00DF74D7" w:rsidP="00975418">
      <w:pPr>
        <w:pStyle w:val="Retraitnormal"/>
        <w:spacing w:before="120" w:after="120"/>
        <w:ind w:left="0"/>
        <w:rPr>
          <w:rFonts w:asciiTheme="majorBidi" w:hAnsiTheme="majorBidi" w:cstheme="majorBidi"/>
          <w:i/>
          <w:lang w:val="fr-FR"/>
        </w:rPr>
      </w:pPr>
    </w:p>
    <w:p w14:paraId="438782F4" w14:textId="13E3BCB0" w:rsidR="00DF74D7" w:rsidRDefault="00DF74D7" w:rsidP="00975418">
      <w:pPr>
        <w:pStyle w:val="Retraitnormal"/>
        <w:spacing w:before="120" w:after="120"/>
        <w:ind w:left="0"/>
        <w:rPr>
          <w:rFonts w:asciiTheme="majorBidi" w:hAnsiTheme="majorBidi" w:cstheme="majorBidi"/>
          <w:i/>
          <w:lang w:val="fr-FR"/>
        </w:rPr>
      </w:pPr>
    </w:p>
    <w:p w14:paraId="22CA5E71" w14:textId="447A7941" w:rsidR="00DF74D7" w:rsidRDefault="00DF74D7" w:rsidP="00975418">
      <w:pPr>
        <w:pStyle w:val="Retraitnormal"/>
        <w:spacing w:before="120" w:after="120"/>
        <w:ind w:left="0"/>
        <w:rPr>
          <w:rFonts w:asciiTheme="majorBidi" w:hAnsiTheme="majorBidi" w:cstheme="majorBidi"/>
          <w:i/>
          <w:lang w:val="fr-FR"/>
        </w:rPr>
      </w:pPr>
    </w:p>
    <w:p w14:paraId="298A863C" w14:textId="7B906E4D" w:rsidR="00DF74D7" w:rsidRDefault="00DF74D7" w:rsidP="00975418">
      <w:pPr>
        <w:pStyle w:val="Retraitnormal"/>
        <w:spacing w:before="120" w:after="120"/>
        <w:ind w:left="0"/>
        <w:rPr>
          <w:rFonts w:asciiTheme="majorBidi" w:hAnsiTheme="majorBidi" w:cstheme="majorBidi"/>
          <w:i/>
          <w:lang w:val="fr-FR"/>
        </w:rPr>
      </w:pPr>
    </w:p>
    <w:p w14:paraId="6EE47828" w14:textId="04051FFA" w:rsidR="00DF74D7" w:rsidRDefault="00DF74D7" w:rsidP="00975418">
      <w:pPr>
        <w:pStyle w:val="Retraitnormal"/>
        <w:spacing w:before="120" w:after="120"/>
        <w:ind w:left="0"/>
        <w:rPr>
          <w:rFonts w:asciiTheme="majorBidi" w:hAnsiTheme="majorBidi" w:cstheme="majorBidi"/>
          <w:i/>
          <w:lang w:val="fr-FR"/>
        </w:rPr>
      </w:pPr>
    </w:p>
    <w:p w14:paraId="53A86A26" w14:textId="7EFD13B6" w:rsidR="0054338F" w:rsidRDefault="0054338F" w:rsidP="00975418">
      <w:pPr>
        <w:pStyle w:val="Retraitnormal"/>
        <w:spacing w:before="120" w:after="120"/>
        <w:ind w:left="0"/>
        <w:rPr>
          <w:rFonts w:asciiTheme="majorBidi" w:hAnsiTheme="majorBidi" w:cstheme="majorBidi"/>
          <w:i/>
          <w:lang w:val="fr-FR"/>
        </w:rPr>
      </w:pPr>
    </w:p>
    <w:p w14:paraId="4DEA1A23" w14:textId="28F995A5" w:rsidR="0054338F" w:rsidRDefault="0054338F" w:rsidP="00975418">
      <w:pPr>
        <w:pStyle w:val="Retraitnormal"/>
        <w:spacing w:before="120" w:after="120"/>
        <w:ind w:left="0"/>
        <w:rPr>
          <w:rFonts w:asciiTheme="majorBidi" w:hAnsiTheme="majorBidi" w:cstheme="majorBidi"/>
          <w:i/>
          <w:lang w:val="fr-FR"/>
        </w:rPr>
      </w:pPr>
    </w:p>
    <w:p w14:paraId="09EEA81F" w14:textId="23B46430" w:rsidR="0054338F" w:rsidRDefault="0054338F" w:rsidP="00975418">
      <w:pPr>
        <w:pStyle w:val="Retraitnormal"/>
        <w:spacing w:before="120" w:after="120"/>
        <w:ind w:left="0"/>
        <w:rPr>
          <w:rFonts w:asciiTheme="majorBidi" w:hAnsiTheme="majorBidi" w:cstheme="majorBidi"/>
          <w:i/>
          <w:lang w:val="fr-FR"/>
        </w:rPr>
      </w:pPr>
    </w:p>
    <w:p w14:paraId="5A743E62" w14:textId="388A113D" w:rsidR="0054338F" w:rsidRDefault="0054338F" w:rsidP="00975418">
      <w:pPr>
        <w:pStyle w:val="Retraitnormal"/>
        <w:spacing w:before="120" w:after="120"/>
        <w:ind w:left="0"/>
        <w:rPr>
          <w:rFonts w:asciiTheme="majorBidi" w:hAnsiTheme="majorBidi" w:cstheme="majorBidi"/>
          <w:i/>
          <w:lang w:val="fr-FR"/>
        </w:rPr>
      </w:pPr>
    </w:p>
    <w:p w14:paraId="23C4309F" w14:textId="388A06F9" w:rsidR="0054338F" w:rsidRDefault="0054338F" w:rsidP="00975418">
      <w:pPr>
        <w:pStyle w:val="Retraitnormal"/>
        <w:spacing w:before="120" w:after="120"/>
        <w:ind w:left="0"/>
        <w:rPr>
          <w:rFonts w:asciiTheme="majorBidi" w:hAnsiTheme="majorBidi" w:cstheme="majorBidi"/>
          <w:i/>
          <w:lang w:val="fr-FR"/>
        </w:rPr>
      </w:pPr>
    </w:p>
    <w:p w14:paraId="223A55AD" w14:textId="32F591CF" w:rsidR="0054338F" w:rsidRDefault="0054338F" w:rsidP="00975418">
      <w:pPr>
        <w:pStyle w:val="Retraitnormal"/>
        <w:spacing w:before="120" w:after="120"/>
        <w:ind w:left="0"/>
        <w:rPr>
          <w:rFonts w:asciiTheme="majorBidi" w:hAnsiTheme="majorBidi" w:cstheme="majorBidi"/>
          <w:i/>
          <w:lang w:val="fr-FR"/>
        </w:rPr>
      </w:pPr>
    </w:p>
    <w:p w14:paraId="11E78260" w14:textId="79815DFC" w:rsidR="0054338F" w:rsidRDefault="0054338F" w:rsidP="00975418">
      <w:pPr>
        <w:pStyle w:val="Retraitnormal"/>
        <w:spacing w:before="120" w:after="120"/>
        <w:ind w:left="0"/>
        <w:rPr>
          <w:rFonts w:asciiTheme="majorBidi" w:hAnsiTheme="majorBidi" w:cstheme="majorBidi"/>
          <w:i/>
          <w:lang w:val="fr-FR"/>
        </w:rPr>
      </w:pPr>
    </w:p>
    <w:p w14:paraId="72FF86D4" w14:textId="4FE45DA3" w:rsidR="0054338F" w:rsidRDefault="0054338F" w:rsidP="00975418">
      <w:pPr>
        <w:pStyle w:val="Retraitnormal"/>
        <w:spacing w:before="120" w:after="120"/>
        <w:ind w:left="0"/>
        <w:rPr>
          <w:rFonts w:asciiTheme="majorBidi" w:hAnsiTheme="majorBidi" w:cstheme="majorBidi"/>
          <w:i/>
          <w:lang w:val="fr-FR"/>
        </w:rPr>
      </w:pPr>
    </w:p>
    <w:p w14:paraId="06E92257" w14:textId="38D71B34" w:rsidR="0054338F" w:rsidRDefault="0054338F" w:rsidP="00975418">
      <w:pPr>
        <w:pStyle w:val="Retraitnormal"/>
        <w:spacing w:before="120" w:after="120"/>
        <w:ind w:left="0"/>
        <w:rPr>
          <w:rFonts w:asciiTheme="majorBidi" w:hAnsiTheme="majorBidi" w:cstheme="majorBidi"/>
          <w:i/>
          <w:lang w:val="fr-FR"/>
        </w:rPr>
      </w:pPr>
    </w:p>
    <w:p w14:paraId="2F3B6B30" w14:textId="158BED5A" w:rsidR="0054338F" w:rsidRDefault="0054338F" w:rsidP="00975418">
      <w:pPr>
        <w:pStyle w:val="Retraitnormal"/>
        <w:spacing w:before="120" w:after="120"/>
        <w:ind w:left="0"/>
        <w:rPr>
          <w:rFonts w:asciiTheme="majorBidi" w:hAnsiTheme="majorBidi" w:cstheme="majorBidi"/>
          <w:i/>
          <w:lang w:val="fr-FR"/>
        </w:rPr>
      </w:pPr>
    </w:p>
    <w:p w14:paraId="341D522A" w14:textId="63E5DF23" w:rsidR="0054338F" w:rsidRDefault="0054338F" w:rsidP="00975418">
      <w:pPr>
        <w:pStyle w:val="Retraitnormal"/>
        <w:spacing w:before="120" w:after="120"/>
        <w:ind w:left="0"/>
        <w:rPr>
          <w:rFonts w:asciiTheme="majorBidi" w:hAnsiTheme="majorBidi" w:cstheme="majorBidi"/>
          <w:i/>
          <w:lang w:val="fr-FR"/>
        </w:rPr>
      </w:pPr>
    </w:p>
    <w:p w14:paraId="04AE1F4E" w14:textId="26F3A1CB" w:rsidR="0054338F" w:rsidRDefault="0054338F" w:rsidP="00975418">
      <w:pPr>
        <w:pStyle w:val="Retraitnormal"/>
        <w:spacing w:before="120" w:after="120"/>
        <w:ind w:left="0"/>
        <w:rPr>
          <w:rFonts w:asciiTheme="majorBidi" w:hAnsiTheme="majorBidi" w:cstheme="majorBidi"/>
          <w:i/>
          <w:lang w:val="fr-FR"/>
        </w:rPr>
      </w:pPr>
    </w:p>
    <w:p w14:paraId="6B92B3E6" w14:textId="760C5F82" w:rsidR="0054338F" w:rsidRDefault="0054338F" w:rsidP="00975418">
      <w:pPr>
        <w:pStyle w:val="Retraitnormal"/>
        <w:spacing w:before="120" w:after="120"/>
        <w:ind w:left="0"/>
        <w:rPr>
          <w:rFonts w:asciiTheme="majorBidi" w:hAnsiTheme="majorBidi" w:cstheme="majorBidi"/>
          <w:i/>
          <w:lang w:val="fr-FR"/>
        </w:rPr>
      </w:pPr>
    </w:p>
    <w:p w14:paraId="53B9003A" w14:textId="7B4A909A" w:rsidR="0054338F" w:rsidRDefault="0054338F" w:rsidP="00975418">
      <w:pPr>
        <w:pStyle w:val="Retraitnormal"/>
        <w:spacing w:before="120" w:after="120"/>
        <w:ind w:left="0"/>
        <w:rPr>
          <w:rFonts w:asciiTheme="majorBidi" w:hAnsiTheme="majorBidi" w:cstheme="majorBidi"/>
          <w:i/>
          <w:lang w:val="fr-FR"/>
        </w:rPr>
      </w:pPr>
    </w:p>
    <w:p w14:paraId="769A547C" w14:textId="19A812A8" w:rsidR="0054338F" w:rsidRDefault="0054338F" w:rsidP="00975418">
      <w:pPr>
        <w:pStyle w:val="Retraitnormal"/>
        <w:spacing w:before="120" w:after="120"/>
        <w:ind w:left="0"/>
        <w:rPr>
          <w:rFonts w:asciiTheme="majorBidi" w:hAnsiTheme="majorBidi" w:cstheme="majorBidi"/>
          <w:i/>
          <w:lang w:val="fr-FR"/>
        </w:rPr>
      </w:pPr>
    </w:p>
    <w:p w14:paraId="5FE08960" w14:textId="4403199E" w:rsidR="0054338F" w:rsidRDefault="0054338F" w:rsidP="00975418">
      <w:pPr>
        <w:pStyle w:val="Retraitnormal"/>
        <w:spacing w:before="120" w:after="120"/>
        <w:ind w:left="0"/>
        <w:rPr>
          <w:rFonts w:asciiTheme="majorBidi" w:hAnsiTheme="majorBidi" w:cstheme="majorBidi"/>
          <w:i/>
          <w:lang w:val="fr-FR"/>
        </w:rPr>
      </w:pPr>
    </w:p>
    <w:p w14:paraId="45FA91E6" w14:textId="38BBF3AE" w:rsidR="0054338F" w:rsidRDefault="0054338F" w:rsidP="00975418">
      <w:pPr>
        <w:pStyle w:val="Retraitnormal"/>
        <w:spacing w:before="120" w:after="120"/>
        <w:ind w:left="0"/>
        <w:rPr>
          <w:rFonts w:asciiTheme="majorBidi" w:hAnsiTheme="majorBidi" w:cstheme="majorBidi"/>
          <w:i/>
          <w:lang w:val="fr-FR"/>
        </w:rPr>
      </w:pPr>
    </w:p>
    <w:p w14:paraId="1D802CDC" w14:textId="5945B4CF" w:rsidR="0054338F" w:rsidRDefault="0054338F" w:rsidP="00975418">
      <w:pPr>
        <w:pStyle w:val="Retraitnormal"/>
        <w:spacing w:before="120" w:after="120"/>
        <w:ind w:left="0"/>
        <w:rPr>
          <w:rFonts w:asciiTheme="majorBidi" w:hAnsiTheme="majorBidi" w:cstheme="majorBidi"/>
          <w:i/>
          <w:lang w:val="fr-FR"/>
        </w:rPr>
      </w:pPr>
    </w:p>
    <w:p w14:paraId="62364E93" w14:textId="58715463" w:rsidR="0054338F" w:rsidRDefault="0054338F" w:rsidP="00975418">
      <w:pPr>
        <w:pStyle w:val="Retraitnormal"/>
        <w:spacing w:before="120" w:after="120"/>
        <w:ind w:left="0"/>
        <w:rPr>
          <w:rFonts w:asciiTheme="majorBidi" w:hAnsiTheme="majorBidi" w:cstheme="majorBidi"/>
          <w:i/>
          <w:lang w:val="fr-FR"/>
        </w:rPr>
      </w:pPr>
    </w:p>
    <w:p w14:paraId="0EBF44E4" w14:textId="5AC29A05" w:rsidR="0054338F" w:rsidRDefault="0054338F" w:rsidP="00975418">
      <w:pPr>
        <w:pStyle w:val="Retraitnormal"/>
        <w:spacing w:before="120" w:after="120"/>
        <w:ind w:left="0"/>
        <w:rPr>
          <w:rFonts w:asciiTheme="majorBidi" w:hAnsiTheme="majorBidi" w:cstheme="majorBidi"/>
          <w:i/>
          <w:lang w:val="fr-FR"/>
        </w:rPr>
      </w:pPr>
    </w:p>
    <w:p w14:paraId="769B9EAF" w14:textId="77777777" w:rsidR="0054338F" w:rsidRDefault="0054338F" w:rsidP="00975418">
      <w:pPr>
        <w:pStyle w:val="Retraitnormal"/>
        <w:spacing w:before="120" w:after="120"/>
        <w:ind w:left="0"/>
        <w:rPr>
          <w:rFonts w:asciiTheme="majorBidi" w:hAnsiTheme="majorBidi" w:cstheme="majorBidi"/>
          <w:i/>
          <w:lang w:val="fr-FR"/>
        </w:rPr>
      </w:pPr>
    </w:p>
    <w:p w14:paraId="121BA7AE" w14:textId="310A5708" w:rsidR="00A913D4" w:rsidRDefault="00A913D4" w:rsidP="00975418">
      <w:pPr>
        <w:pStyle w:val="Retraitnormal"/>
        <w:spacing w:before="120" w:after="120"/>
        <w:ind w:left="0"/>
        <w:rPr>
          <w:rFonts w:asciiTheme="majorBidi" w:hAnsiTheme="majorBidi" w:cstheme="majorBidi"/>
          <w:i/>
          <w:lang w:val="fr-FR"/>
        </w:rPr>
      </w:pPr>
    </w:p>
    <w:p w14:paraId="74B9A4D2" w14:textId="77777777" w:rsidR="00A913D4" w:rsidRDefault="00A913D4" w:rsidP="00975418">
      <w:pPr>
        <w:pStyle w:val="Retraitnormal"/>
        <w:spacing w:before="120" w:after="120"/>
        <w:ind w:left="0"/>
        <w:rPr>
          <w:rFonts w:asciiTheme="majorBidi" w:hAnsiTheme="majorBidi" w:cstheme="majorBidi"/>
          <w:i/>
          <w:lang w:val="fr-FR"/>
        </w:rPr>
      </w:pPr>
    </w:p>
    <w:p w14:paraId="46CB0C83" w14:textId="64B1DFDB" w:rsidR="00DF74D7" w:rsidRDefault="00DF74D7" w:rsidP="00975418">
      <w:pPr>
        <w:pStyle w:val="Retraitnormal"/>
        <w:spacing w:before="120" w:after="120"/>
        <w:ind w:left="0"/>
        <w:rPr>
          <w:rFonts w:asciiTheme="majorBidi" w:hAnsiTheme="majorBidi" w:cstheme="majorBidi"/>
          <w:i/>
          <w:lang w:val="fr-FR"/>
        </w:rPr>
      </w:pPr>
    </w:p>
    <w:p w14:paraId="16E5B31F" w14:textId="1D7763E0" w:rsidR="00DF74D7" w:rsidRDefault="00DF74D7" w:rsidP="00975418">
      <w:pPr>
        <w:pStyle w:val="Retraitnormal"/>
        <w:spacing w:before="120" w:after="120"/>
        <w:ind w:left="0"/>
        <w:rPr>
          <w:rFonts w:asciiTheme="majorBidi" w:hAnsiTheme="majorBidi" w:cstheme="majorBidi"/>
          <w:i/>
          <w:lang w:val="fr-FR"/>
        </w:rPr>
      </w:pPr>
    </w:p>
    <w:p w14:paraId="083F599A" w14:textId="6ECA9BB5" w:rsidR="00DF74D7" w:rsidRDefault="00DF74D7" w:rsidP="00975418">
      <w:pPr>
        <w:pStyle w:val="Retraitnormal"/>
        <w:spacing w:before="120" w:after="120"/>
        <w:ind w:left="0"/>
        <w:rPr>
          <w:rFonts w:asciiTheme="majorBidi" w:hAnsiTheme="majorBidi" w:cstheme="majorBidi"/>
          <w:i/>
          <w:lang w:val="fr-FR"/>
        </w:rPr>
      </w:pPr>
    </w:p>
    <w:p w14:paraId="6DC4516F" w14:textId="78A159B8" w:rsidR="00DF74D7" w:rsidRDefault="00DF74D7" w:rsidP="00975418">
      <w:pPr>
        <w:pStyle w:val="Retraitnormal"/>
        <w:spacing w:before="120" w:after="120"/>
        <w:ind w:left="0"/>
        <w:rPr>
          <w:rFonts w:asciiTheme="majorBidi" w:hAnsiTheme="majorBidi" w:cstheme="majorBidi"/>
          <w:i/>
          <w:lang w:val="fr-FR"/>
        </w:rPr>
      </w:pPr>
    </w:p>
    <w:p w14:paraId="60FBEB44" w14:textId="77777777" w:rsidR="00DF74D7" w:rsidRPr="00A67F27" w:rsidRDefault="00DF74D7" w:rsidP="00975418">
      <w:pPr>
        <w:pStyle w:val="Retraitnormal"/>
        <w:spacing w:before="120" w:after="120"/>
        <w:ind w:left="0"/>
        <w:rPr>
          <w:rFonts w:asciiTheme="majorBidi" w:hAnsiTheme="majorBidi" w:cstheme="majorBidi"/>
          <w:lang w:val="fr-FR"/>
        </w:rPr>
      </w:pPr>
    </w:p>
    <w:p w14:paraId="47204753" w14:textId="53D5C4E4" w:rsidR="00E44597" w:rsidRPr="00DF74D7" w:rsidRDefault="000A450A">
      <w:pPr>
        <w:pStyle w:val="S6-Header1"/>
        <w:rPr>
          <w:sz w:val="52"/>
          <w:szCs w:val="52"/>
          <w:lang w:val="fr-FR"/>
        </w:rPr>
      </w:pPr>
      <w:bookmarkStart w:id="713" w:name="_Toc327539145"/>
      <w:bookmarkStart w:id="714" w:name="_Toc487641564"/>
      <w:r w:rsidRPr="008324AC">
        <w:rPr>
          <w:sz w:val="52"/>
          <w:szCs w:val="52"/>
          <w:lang w:val="fr-FR"/>
        </w:rPr>
        <w:t>Plans</w:t>
      </w:r>
      <w:bookmarkEnd w:id="713"/>
      <w:bookmarkEnd w:id="714"/>
    </w:p>
    <w:p w14:paraId="295F94A1" w14:textId="77777777" w:rsidR="000605B6" w:rsidRPr="00960482" w:rsidRDefault="000605B6" w:rsidP="00CC459A">
      <w:pPr>
        <w:pStyle w:val="S6-Header1"/>
        <w:jc w:val="both"/>
        <w:rPr>
          <w:lang w:val="fr-FR"/>
        </w:rPr>
        <w:sectPr w:rsidR="000605B6" w:rsidRPr="00960482" w:rsidSect="008D2EE3">
          <w:headerReference w:type="even" r:id="rId33"/>
          <w:headerReference w:type="default" r:id="rId34"/>
          <w:headerReference w:type="first" r:id="rId35"/>
          <w:footnotePr>
            <w:numRestart w:val="eachPage"/>
          </w:footnotePr>
          <w:endnotePr>
            <w:numFmt w:val="decimal"/>
          </w:endnotePr>
          <w:pgSz w:w="12240" w:h="15840" w:code="1"/>
          <w:pgMar w:top="1418" w:right="1418" w:bottom="1418" w:left="1418" w:header="720" w:footer="720" w:gutter="0"/>
          <w:cols w:space="720"/>
          <w:titlePg/>
        </w:sectPr>
      </w:pPr>
    </w:p>
    <w:p w14:paraId="39529902" w14:textId="77777777" w:rsidR="00552458" w:rsidRPr="00A67F27" w:rsidRDefault="00552458" w:rsidP="00945661">
      <w:pPr>
        <w:pStyle w:val="Part"/>
        <w:keepNext/>
        <w:spacing w:before="2280" w:after="0"/>
        <w:ind w:left="0" w:firstLine="0"/>
        <w:rPr>
          <w:sz w:val="52"/>
          <w:szCs w:val="24"/>
          <w:lang w:eastAsia="en-US"/>
        </w:rPr>
      </w:pPr>
      <w:bookmarkStart w:id="715" w:name="_Toc483210561"/>
      <w:bookmarkStart w:id="716" w:name="_Toc487641848"/>
    </w:p>
    <w:p w14:paraId="5FE11249" w14:textId="4B62BD37" w:rsidR="006C0D0E" w:rsidRPr="001453D6" w:rsidRDefault="006C0D0E" w:rsidP="00945661">
      <w:pPr>
        <w:pStyle w:val="Part"/>
        <w:keepNext/>
        <w:spacing w:before="2280" w:after="0"/>
        <w:ind w:left="0" w:firstLine="0"/>
        <w:rPr>
          <w:sz w:val="52"/>
          <w:szCs w:val="24"/>
          <w:lang w:eastAsia="en-US"/>
        </w:rPr>
      </w:pPr>
      <w:r w:rsidRPr="001453D6">
        <w:rPr>
          <w:sz w:val="52"/>
          <w:szCs w:val="24"/>
          <w:lang w:eastAsia="en-US"/>
        </w:rPr>
        <w:t xml:space="preserve">PARTIE </w:t>
      </w:r>
      <w:r w:rsidR="004F75DC" w:rsidRPr="001453D6">
        <w:rPr>
          <w:sz w:val="52"/>
          <w:szCs w:val="24"/>
          <w:lang w:eastAsia="en-US"/>
        </w:rPr>
        <w:t xml:space="preserve">3 </w:t>
      </w:r>
      <w:r w:rsidRPr="001453D6">
        <w:rPr>
          <w:sz w:val="52"/>
          <w:szCs w:val="24"/>
          <w:lang w:eastAsia="en-US"/>
        </w:rPr>
        <w:t>– Marché</w:t>
      </w:r>
      <w:bookmarkEnd w:id="715"/>
      <w:bookmarkEnd w:id="716"/>
    </w:p>
    <w:p w14:paraId="58876093" w14:textId="77777777" w:rsidR="006C0D0E" w:rsidRPr="00435C9E" w:rsidRDefault="006C0D0E" w:rsidP="00DC57DA">
      <w:pPr>
        <w:spacing w:before="120" w:after="120"/>
        <w:rPr>
          <w:rFonts w:asciiTheme="majorBidi" w:hAnsiTheme="majorBidi" w:cstheme="majorBidi"/>
        </w:rPr>
      </w:pPr>
    </w:p>
    <w:p w14:paraId="5C90C104" w14:textId="77777777" w:rsidR="000A450A" w:rsidRPr="00A67F27" w:rsidRDefault="000A450A" w:rsidP="00DC57DA">
      <w:pPr>
        <w:spacing w:before="120" w:after="120"/>
        <w:rPr>
          <w:rFonts w:asciiTheme="majorBidi" w:hAnsiTheme="majorBidi" w:cstheme="majorBidi"/>
        </w:rPr>
        <w:sectPr w:rsidR="000A450A" w:rsidRPr="00A67F27" w:rsidSect="008D2EE3">
          <w:footnotePr>
            <w:numRestart w:val="eachPage"/>
          </w:footnotePr>
          <w:endnotePr>
            <w:numFmt w:val="decimal"/>
          </w:endnotePr>
          <w:type w:val="oddPage"/>
          <w:pgSz w:w="12240" w:h="15840" w:code="1"/>
          <w:pgMar w:top="1418" w:right="1418" w:bottom="1418" w:left="1418" w:header="720" w:footer="720" w:gutter="0"/>
          <w:cols w:space="720"/>
          <w:titlePg/>
        </w:sectPr>
      </w:pPr>
    </w:p>
    <w:p w14:paraId="7A95CEE1" w14:textId="0816D6B2" w:rsidR="000A450A" w:rsidRPr="00C84A3E" w:rsidRDefault="000A450A" w:rsidP="00421566">
      <w:pPr>
        <w:pStyle w:val="Sous-titre"/>
        <w:spacing w:before="120" w:after="240"/>
        <w:ind w:left="0" w:firstLine="0"/>
        <w:rPr>
          <w:sz w:val="36"/>
          <w:lang w:val="fr-FR" w:eastAsia="en-US"/>
        </w:rPr>
      </w:pPr>
      <w:bookmarkStart w:id="717" w:name="_Toc326657869"/>
      <w:bookmarkStart w:id="718" w:name="_Toc483210562"/>
      <w:bookmarkStart w:id="719" w:name="_Toc487641849"/>
      <w:bookmarkStart w:id="720" w:name="_Toc156372855"/>
      <w:r w:rsidRPr="00C84A3E">
        <w:rPr>
          <w:sz w:val="36"/>
          <w:lang w:val="fr-FR" w:eastAsia="en-US"/>
        </w:rPr>
        <w:t>Section VIII.</w:t>
      </w:r>
      <w:r w:rsidR="009B2302" w:rsidRPr="00C84A3E">
        <w:rPr>
          <w:sz w:val="36"/>
          <w:lang w:val="fr-FR" w:eastAsia="en-US"/>
        </w:rPr>
        <w:t xml:space="preserve"> </w:t>
      </w:r>
      <w:r w:rsidRPr="00C84A3E">
        <w:rPr>
          <w:sz w:val="36"/>
          <w:lang w:val="fr-FR" w:eastAsia="en-US"/>
        </w:rPr>
        <w:t>Cahier des Clauses administratives générales</w:t>
      </w:r>
      <w:bookmarkEnd w:id="717"/>
      <w:bookmarkEnd w:id="718"/>
      <w:bookmarkEnd w:id="719"/>
      <w:r w:rsidRPr="00C84A3E">
        <w:rPr>
          <w:sz w:val="36"/>
          <w:lang w:val="fr-FR" w:eastAsia="en-US"/>
        </w:rPr>
        <w:t xml:space="preserve"> </w:t>
      </w:r>
      <w:bookmarkEnd w:id="2"/>
      <w:bookmarkEnd w:id="720"/>
    </w:p>
    <w:p w14:paraId="7EF3ED71" w14:textId="4B1AA821" w:rsidR="00BC7757" w:rsidRPr="00853F92" w:rsidRDefault="00BC7757">
      <w:pPr>
        <w:rPr>
          <w:bCs/>
          <w:szCs w:val="24"/>
          <w:lang w:eastAsia="en-US"/>
        </w:rPr>
      </w:pPr>
      <w:bookmarkStart w:id="721" w:name="_Toc70236420"/>
      <w:r w:rsidRPr="00853F92">
        <w:rPr>
          <w:bCs/>
          <w:szCs w:val="24"/>
          <w:lang w:eastAsia="en-US"/>
        </w:rPr>
        <w:br w:type="page"/>
      </w:r>
    </w:p>
    <w:p w14:paraId="44C78250" w14:textId="77777777" w:rsidR="00BC7757" w:rsidRPr="00BC7757" w:rsidRDefault="00BC7757" w:rsidP="00BC7757">
      <w:pPr>
        <w:pStyle w:val="Titre2"/>
      </w:pPr>
      <w:bookmarkStart w:id="722" w:name="_Toc348175652"/>
      <w:r w:rsidRPr="00BC7757">
        <w:t>Table des Matières</w:t>
      </w:r>
      <w:bookmarkEnd w:id="722"/>
    </w:p>
    <w:p w14:paraId="34DF0DAE" w14:textId="47AA543D" w:rsidR="00BC7757" w:rsidRPr="00BC7757" w:rsidRDefault="00BC7757" w:rsidP="00BC7757">
      <w:pPr>
        <w:pStyle w:val="TM1"/>
        <w:rPr>
          <w:rFonts w:ascii="Calibri" w:hAnsi="Calibri"/>
          <w:b w:val="0"/>
          <w:noProof/>
          <w:sz w:val="22"/>
          <w:szCs w:val="22"/>
          <w:lang w:eastAsia="en-US"/>
        </w:rPr>
      </w:pPr>
      <w:r w:rsidRPr="00BC7757">
        <w:rPr>
          <w:b w:val="0"/>
        </w:rPr>
        <w:fldChar w:fldCharType="begin"/>
      </w:r>
      <w:r w:rsidRPr="00BC7757">
        <w:rPr>
          <w:b w:val="0"/>
        </w:rPr>
        <w:instrText xml:space="preserve"> TOC \t "Head 4.1,1,Head 4.2,2" </w:instrText>
      </w:r>
      <w:r w:rsidRPr="00BC7757">
        <w:rPr>
          <w:b w:val="0"/>
        </w:rPr>
        <w:fldChar w:fldCharType="separate"/>
      </w:r>
      <w:r w:rsidRPr="00BC7757">
        <w:rPr>
          <w:noProof/>
        </w:rPr>
        <w:t>A.  Généralités</w:t>
      </w:r>
      <w:r w:rsidRPr="00BC7757">
        <w:rPr>
          <w:noProof/>
        </w:rPr>
        <w:tab/>
      </w:r>
      <w:r w:rsidRPr="00BC7757">
        <w:rPr>
          <w:noProof/>
        </w:rPr>
        <w:fldChar w:fldCharType="begin"/>
      </w:r>
      <w:r w:rsidRPr="00BC7757">
        <w:rPr>
          <w:noProof/>
        </w:rPr>
        <w:instrText xml:space="preserve"> PAGEREF _Toc327539545 \h </w:instrText>
      </w:r>
      <w:r w:rsidRPr="00BC7757">
        <w:rPr>
          <w:noProof/>
        </w:rPr>
      </w:r>
      <w:r w:rsidRPr="00BC7757">
        <w:rPr>
          <w:noProof/>
        </w:rPr>
        <w:fldChar w:fldCharType="separate"/>
      </w:r>
      <w:r w:rsidR="006C5B9E">
        <w:rPr>
          <w:noProof/>
        </w:rPr>
        <w:t>225</w:t>
      </w:r>
      <w:r w:rsidRPr="00BC7757">
        <w:rPr>
          <w:noProof/>
        </w:rPr>
        <w:fldChar w:fldCharType="end"/>
      </w:r>
    </w:p>
    <w:p w14:paraId="6C1CA526" w14:textId="690D6E2F" w:rsidR="00BC7757" w:rsidRPr="00BC7757" w:rsidRDefault="00BC7757" w:rsidP="00BC7757">
      <w:pPr>
        <w:pStyle w:val="TM2"/>
        <w:tabs>
          <w:tab w:val="left" w:pos="1440"/>
        </w:tabs>
        <w:rPr>
          <w:rFonts w:ascii="Calibri" w:hAnsi="Calibri"/>
          <w:noProof/>
          <w:sz w:val="22"/>
          <w:szCs w:val="22"/>
          <w:lang w:eastAsia="en-US"/>
        </w:rPr>
      </w:pPr>
      <w:r w:rsidRPr="00BC7757">
        <w:rPr>
          <w:noProof/>
        </w:rPr>
        <w:t>1.</w:t>
      </w:r>
      <w:r w:rsidRPr="00BC7757">
        <w:rPr>
          <w:rFonts w:ascii="Calibri" w:hAnsi="Calibri"/>
          <w:noProof/>
          <w:sz w:val="22"/>
          <w:szCs w:val="22"/>
          <w:lang w:eastAsia="en-US"/>
        </w:rPr>
        <w:tab/>
      </w:r>
      <w:r w:rsidRPr="00BC7757">
        <w:rPr>
          <w:noProof/>
        </w:rPr>
        <w:t>Champ d’application</w:t>
      </w:r>
      <w:r w:rsidRPr="00BC7757">
        <w:rPr>
          <w:noProof/>
        </w:rPr>
        <w:tab/>
      </w:r>
      <w:r w:rsidRPr="00BC7757">
        <w:rPr>
          <w:noProof/>
        </w:rPr>
        <w:fldChar w:fldCharType="begin"/>
      </w:r>
      <w:r w:rsidRPr="00BC7757">
        <w:rPr>
          <w:noProof/>
        </w:rPr>
        <w:instrText xml:space="preserve"> PAGEREF _Toc327539546 \h </w:instrText>
      </w:r>
      <w:r w:rsidRPr="00BC7757">
        <w:rPr>
          <w:noProof/>
        </w:rPr>
      </w:r>
      <w:r w:rsidRPr="00BC7757">
        <w:rPr>
          <w:noProof/>
        </w:rPr>
        <w:fldChar w:fldCharType="separate"/>
      </w:r>
      <w:r w:rsidR="006C5B9E">
        <w:rPr>
          <w:noProof/>
        </w:rPr>
        <w:t>225</w:t>
      </w:r>
      <w:r w:rsidRPr="00BC7757">
        <w:rPr>
          <w:noProof/>
        </w:rPr>
        <w:fldChar w:fldCharType="end"/>
      </w:r>
    </w:p>
    <w:p w14:paraId="21F893F3" w14:textId="5FE2F392" w:rsidR="00BC7757" w:rsidRPr="00BC7757" w:rsidRDefault="00BC7757" w:rsidP="00BC7757">
      <w:pPr>
        <w:pStyle w:val="TM2"/>
        <w:tabs>
          <w:tab w:val="left" w:pos="1440"/>
        </w:tabs>
        <w:rPr>
          <w:rFonts w:ascii="Calibri" w:hAnsi="Calibri"/>
          <w:noProof/>
          <w:sz w:val="22"/>
          <w:szCs w:val="22"/>
          <w:lang w:eastAsia="en-US"/>
        </w:rPr>
      </w:pPr>
      <w:r w:rsidRPr="00BC7757">
        <w:rPr>
          <w:noProof/>
        </w:rPr>
        <w:t>2.</w:t>
      </w:r>
      <w:r w:rsidRPr="00BC7757">
        <w:rPr>
          <w:rFonts w:ascii="Calibri" w:hAnsi="Calibri"/>
          <w:noProof/>
          <w:sz w:val="22"/>
          <w:szCs w:val="22"/>
          <w:lang w:eastAsia="en-US"/>
        </w:rPr>
        <w:tab/>
      </w:r>
      <w:r w:rsidRPr="00BC7757">
        <w:rPr>
          <w:noProof/>
        </w:rPr>
        <w:t>Définitions, interprétation</w:t>
      </w:r>
      <w:r w:rsidRPr="00BC7757">
        <w:rPr>
          <w:noProof/>
        </w:rPr>
        <w:tab/>
      </w:r>
      <w:r w:rsidRPr="00BC7757">
        <w:rPr>
          <w:noProof/>
        </w:rPr>
        <w:fldChar w:fldCharType="begin"/>
      </w:r>
      <w:r w:rsidRPr="00BC7757">
        <w:rPr>
          <w:noProof/>
        </w:rPr>
        <w:instrText xml:space="preserve"> PAGEREF _Toc327539547 \h </w:instrText>
      </w:r>
      <w:r w:rsidRPr="00BC7757">
        <w:rPr>
          <w:noProof/>
        </w:rPr>
      </w:r>
      <w:r w:rsidRPr="00BC7757">
        <w:rPr>
          <w:noProof/>
        </w:rPr>
        <w:fldChar w:fldCharType="separate"/>
      </w:r>
      <w:r w:rsidR="006C5B9E">
        <w:rPr>
          <w:noProof/>
        </w:rPr>
        <w:t>225</w:t>
      </w:r>
      <w:r w:rsidRPr="00BC7757">
        <w:rPr>
          <w:noProof/>
        </w:rPr>
        <w:fldChar w:fldCharType="end"/>
      </w:r>
    </w:p>
    <w:p w14:paraId="58508F8B" w14:textId="44CE8614" w:rsidR="00BC7757" w:rsidRPr="00BC7757" w:rsidRDefault="00BC7757" w:rsidP="00BC7757">
      <w:pPr>
        <w:pStyle w:val="TM2"/>
        <w:tabs>
          <w:tab w:val="left" w:pos="1440"/>
        </w:tabs>
        <w:rPr>
          <w:rFonts w:ascii="Calibri" w:hAnsi="Calibri"/>
          <w:noProof/>
          <w:sz w:val="22"/>
          <w:szCs w:val="22"/>
          <w:lang w:eastAsia="en-US"/>
        </w:rPr>
      </w:pPr>
      <w:r w:rsidRPr="00BC7757">
        <w:rPr>
          <w:noProof/>
        </w:rPr>
        <w:t>3.</w:t>
      </w:r>
      <w:r w:rsidRPr="00BC7757">
        <w:rPr>
          <w:rFonts w:ascii="Calibri" w:hAnsi="Calibri"/>
          <w:noProof/>
          <w:sz w:val="22"/>
          <w:szCs w:val="22"/>
          <w:lang w:eastAsia="en-US"/>
        </w:rPr>
        <w:tab/>
      </w:r>
      <w:r w:rsidRPr="00BC7757">
        <w:rPr>
          <w:noProof/>
        </w:rPr>
        <w:t>Intervenants au Marché</w:t>
      </w:r>
      <w:r w:rsidRPr="00BC7757">
        <w:rPr>
          <w:noProof/>
        </w:rPr>
        <w:tab/>
      </w:r>
      <w:r w:rsidRPr="00BC7757">
        <w:rPr>
          <w:noProof/>
        </w:rPr>
        <w:fldChar w:fldCharType="begin"/>
      </w:r>
      <w:r w:rsidRPr="00BC7757">
        <w:rPr>
          <w:noProof/>
        </w:rPr>
        <w:instrText xml:space="preserve"> PAGEREF _Toc327539548 \h </w:instrText>
      </w:r>
      <w:r w:rsidRPr="00BC7757">
        <w:rPr>
          <w:noProof/>
        </w:rPr>
      </w:r>
      <w:r w:rsidRPr="00BC7757">
        <w:rPr>
          <w:noProof/>
        </w:rPr>
        <w:fldChar w:fldCharType="separate"/>
      </w:r>
      <w:r w:rsidR="006C5B9E">
        <w:rPr>
          <w:noProof/>
        </w:rPr>
        <w:t>226</w:t>
      </w:r>
      <w:r w:rsidRPr="00BC7757">
        <w:rPr>
          <w:noProof/>
        </w:rPr>
        <w:fldChar w:fldCharType="end"/>
      </w:r>
    </w:p>
    <w:p w14:paraId="259F9F2A" w14:textId="43E15FB0" w:rsidR="00BC7757" w:rsidRPr="00BC7757" w:rsidRDefault="00BC7757" w:rsidP="00BC7757">
      <w:pPr>
        <w:pStyle w:val="TM2"/>
        <w:tabs>
          <w:tab w:val="left" w:pos="1440"/>
        </w:tabs>
        <w:rPr>
          <w:rFonts w:ascii="Calibri" w:hAnsi="Calibri"/>
          <w:noProof/>
          <w:sz w:val="22"/>
          <w:szCs w:val="22"/>
          <w:lang w:eastAsia="en-US"/>
        </w:rPr>
      </w:pPr>
      <w:r w:rsidRPr="00BC7757">
        <w:rPr>
          <w:noProof/>
        </w:rPr>
        <w:t>4.</w:t>
      </w:r>
      <w:r w:rsidRPr="00BC7757">
        <w:rPr>
          <w:rFonts w:ascii="Calibri" w:hAnsi="Calibri"/>
          <w:noProof/>
          <w:sz w:val="22"/>
          <w:szCs w:val="22"/>
          <w:lang w:eastAsia="en-US"/>
        </w:rPr>
        <w:tab/>
      </w:r>
      <w:r w:rsidRPr="00BC7757">
        <w:rPr>
          <w:noProof/>
        </w:rPr>
        <w:t>Pièces contractuelles</w:t>
      </w:r>
      <w:r w:rsidRPr="00BC7757">
        <w:rPr>
          <w:noProof/>
        </w:rPr>
        <w:tab/>
      </w:r>
      <w:r w:rsidRPr="00BC7757">
        <w:rPr>
          <w:noProof/>
        </w:rPr>
        <w:fldChar w:fldCharType="begin"/>
      </w:r>
      <w:r w:rsidRPr="00BC7757">
        <w:rPr>
          <w:noProof/>
        </w:rPr>
        <w:instrText xml:space="preserve"> PAGEREF _Toc327539549 \h </w:instrText>
      </w:r>
      <w:r w:rsidRPr="00BC7757">
        <w:rPr>
          <w:noProof/>
        </w:rPr>
      </w:r>
      <w:r w:rsidRPr="00BC7757">
        <w:rPr>
          <w:noProof/>
        </w:rPr>
        <w:fldChar w:fldCharType="separate"/>
      </w:r>
      <w:r w:rsidR="006C5B9E">
        <w:rPr>
          <w:noProof/>
        </w:rPr>
        <w:t>229</w:t>
      </w:r>
      <w:r w:rsidRPr="00BC7757">
        <w:rPr>
          <w:noProof/>
        </w:rPr>
        <w:fldChar w:fldCharType="end"/>
      </w:r>
    </w:p>
    <w:p w14:paraId="77A9D5A9" w14:textId="592544EA" w:rsidR="00BC7757" w:rsidRPr="00BC7757" w:rsidRDefault="00BC7757" w:rsidP="00BC7757">
      <w:pPr>
        <w:pStyle w:val="TM2"/>
        <w:tabs>
          <w:tab w:val="left" w:pos="1440"/>
        </w:tabs>
        <w:rPr>
          <w:rFonts w:ascii="Calibri" w:hAnsi="Calibri"/>
          <w:noProof/>
          <w:sz w:val="22"/>
          <w:szCs w:val="22"/>
          <w:lang w:eastAsia="en-US"/>
        </w:rPr>
      </w:pPr>
      <w:r w:rsidRPr="00BC7757">
        <w:rPr>
          <w:noProof/>
        </w:rPr>
        <w:t>5.</w:t>
      </w:r>
      <w:r w:rsidRPr="00BC7757">
        <w:rPr>
          <w:rFonts w:ascii="Calibri" w:hAnsi="Calibri"/>
          <w:noProof/>
          <w:sz w:val="22"/>
          <w:szCs w:val="22"/>
          <w:lang w:eastAsia="en-US"/>
        </w:rPr>
        <w:tab/>
      </w:r>
      <w:r w:rsidRPr="00BC7757">
        <w:rPr>
          <w:noProof/>
        </w:rPr>
        <w:t>Obligations générales</w:t>
      </w:r>
      <w:r w:rsidRPr="00BC7757">
        <w:rPr>
          <w:noProof/>
        </w:rPr>
        <w:tab/>
      </w:r>
      <w:r w:rsidRPr="00BC7757">
        <w:rPr>
          <w:noProof/>
        </w:rPr>
        <w:fldChar w:fldCharType="begin"/>
      </w:r>
      <w:r w:rsidRPr="00BC7757">
        <w:rPr>
          <w:noProof/>
        </w:rPr>
        <w:instrText xml:space="preserve"> PAGEREF _Toc327539550 \h </w:instrText>
      </w:r>
      <w:r w:rsidRPr="00BC7757">
        <w:rPr>
          <w:noProof/>
        </w:rPr>
      </w:r>
      <w:r w:rsidRPr="00BC7757">
        <w:rPr>
          <w:noProof/>
        </w:rPr>
        <w:fldChar w:fldCharType="separate"/>
      </w:r>
      <w:r w:rsidR="006C5B9E">
        <w:rPr>
          <w:noProof/>
        </w:rPr>
        <w:t>231</w:t>
      </w:r>
      <w:r w:rsidRPr="00BC7757">
        <w:rPr>
          <w:noProof/>
        </w:rPr>
        <w:fldChar w:fldCharType="end"/>
      </w:r>
    </w:p>
    <w:p w14:paraId="4976B891" w14:textId="5806A2A3" w:rsidR="00BC7757" w:rsidRPr="00BC7757" w:rsidRDefault="00BC7757" w:rsidP="00BC7757">
      <w:pPr>
        <w:pStyle w:val="TM2"/>
        <w:tabs>
          <w:tab w:val="left" w:pos="1440"/>
        </w:tabs>
        <w:rPr>
          <w:rFonts w:ascii="Calibri" w:hAnsi="Calibri"/>
          <w:noProof/>
          <w:sz w:val="22"/>
          <w:szCs w:val="22"/>
          <w:lang w:eastAsia="en-US"/>
        </w:rPr>
      </w:pPr>
      <w:r w:rsidRPr="00BC7757">
        <w:rPr>
          <w:noProof/>
        </w:rPr>
        <w:t>6.</w:t>
      </w:r>
      <w:r w:rsidRPr="00BC7757">
        <w:rPr>
          <w:rFonts w:ascii="Calibri" w:hAnsi="Calibri"/>
          <w:noProof/>
          <w:sz w:val="22"/>
          <w:szCs w:val="22"/>
          <w:lang w:eastAsia="en-US"/>
        </w:rPr>
        <w:tab/>
      </w:r>
      <w:r w:rsidRPr="00BC7757">
        <w:rPr>
          <w:noProof/>
        </w:rPr>
        <w:t>Garanties de bonne exécution et de parfait achèvement - Retenue de garantie - Responsabilité - Assurances</w:t>
      </w:r>
      <w:r w:rsidRPr="00BC7757">
        <w:rPr>
          <w:noProof/>
        </w:rPr>
        <w:tab/>
      </w:r>
      <w:r w:rsidRPr="00BC7757">
        <w:rPr>
          <w:noProof/>
        </w:rPr>
        <w:fldChar w:fldCharType="begin"/>
      </w:r>
      <w:r w:rsidRPr="00BC7757">
        <w:rPr>
          <w:noProof/>
        </w:rPr>
        <w:instrText xml:space="preserve"> PAGEREF _Toc327539551 \h </w:instrText>
      </w:r>
      <w:r w:rsidRPr="00BC7757">
        <w:rPr>
          <w:noProof/>
        </w:rPr>
      </w:r>
      <w:r w:rsidRPr="00BC7757">
        <w:rPr>
          <w:noProof/>
        </w:rPr>
        <w:fldChar w:fldCharType="separate"/>
      </w:r>
      <w:r w:rsidR="006C5B9E">
        <w:rPr>
          <w:noProof/>
        </w:rPr>
        <w:t>236</w:t>
      </w:r>
      <w:r w:rsidRPr="00BC7757">
        <w:rPr>
          <w:noProof/>
        </w:rPr>
        <w:fldChar w:fldCharType="end"/>
      </w:r>
    </w:p>
    <w:p w14:paraId="6A937C66" w14:textId="63D88664" w:rsidR="00BC7757" w:rsidRPr="00BC7757" w:rsidRDefault="00BC7757" w:rsidP="00BC7757">
      <w:pPr>
        <w:pStyle w:val="TM2"/>
        <w:tabs>
          <w:tab w:val="left" w:pos="1440"/>
        </w:tabs>
        <w:rPr>
          <w:rFonts w:ascii="Calibri" w:hAnsi="Calibri"/>
          <w:noProof/>
          <w:sz w:val="22"/>
          <w:szCs w:val="22"/>
          <w:lang w:eastAsia="en-US"/>
        </w:rPr>
      </w:pPr>
      <w:r w:rsidRPr="00BC7757">
        <w:rPr>
          <w:noProof/>
        </w:rPr>
        <w:t>7.</w:t>
      </w:r>
      <w:r w:rsidRPr="00BC7757">
        <w:rPr>
          <w:rFonts w:ascii="Calibri" w:hAnsi="Calibri"/>
          <w:noProof/>
          <w:sz w:val="22"/>
          <w:szCs w:val="22"/>
          <w:lang w:eastAsia="en-US"/>
        </w:rPr>
        <w:tab/>
      </w:r>
      <w:r w:rsidRPr="00BC7757">
        <w:rPr>
          <w:noProof/>
        </w:rPr>
        <w:t>Décompte de délais - Formes des notifications</w:t>
      </w:r>
      <w:r w:rsidRPr="00BC7757">
        <w:rPr>
          <w:noProof/>
        </w:rPr>
        <w:tab/>
      </w:r>
      <w:r w:rsidRPr="00BC7757">
        <w:rPr>
          <w:noProof/>
        </w:rPr>
        <w:fldChar w:fldCharType="begin"/>
      </w:r>
      <w:r w:rsidRPr="00BC7757">
        <w:rPr>
          <w:noProof/>
        </w:rPr>
        <w:instrText xml:space="preserve"> PAGEREF _Toc327539552 \h </w:instrText>
      </w:r>
      <w:r w:rsidRPr="00BC7757">
        <w:rPr>
          <w:noProof/>
        </w:rPr>
      </w:r>
      <w:r w:rsidRPr="00BC7757">
        <w:rPr>
          <w:noProof/>
        </w:rPr>
        <w:fldChar w:fldCharType="separate"/>
      </w:r>
      <w:r w:rsidR="006C5B9E">
        <w:rPr>
          <w:noProof/>
        </w:rPr>
        <w:t>238</w:t>
      </w:r>
      <w:r w:rsidRPr="00BC7757">
        <w:rPr>
          <w:noProof/>
        </w:rPr>
        <w:fldChar w:fldCharType="end"/>
      </w:r>
    </w:p>
    <w:p w14:paraId="37183A35" w14:textId="5175A530" w:rsidR="00BC7757" w:rsidRPr="00BC7757" w:rsidRDefault="00BC7757" w:rsidP="00BC7757">
      <w:pPr>
        <w:pStyle w:val="TM2"/>
        <w:tabs>
          <w:tab w:val="left" w:pos="1440"/>
        </w:tabs>
        <w:rPr>
          <w:rFonts w:ascii="Calibri" w:hAnsi="Calibri"/>
          <w:noProof/>
          <w:sz w:val="22"/>
          <w:szCs w:val="22"/>
          <w:lang w:eastAsia="en-US"/>
        </w:rPr>
      </w:pPr>
      <w:r w:rsidRPr="00BC7757">
        <w:rPr>
          <w:noProof/>
        </w:rPr>
        <w:t>8.</w:t>
      </w:r>
      <w:r w:rsidRPr="00BC7757">
        <w:rPr>
          <w:rFonts w:ascii="Calibri" w:hAnsi="Calibri"/>
          <w:noProof/>
          <w:sz w:val="22"/>
          <w:szCs w:val="22"/>
          <w:lang w:eastAsia="en-US"/>
        </w:rPr>
        <w:tab/>
      </w:r>
      <w:r w:rsidRPr="00BC7757">
        <w:rPr>
          <w:noProof/>
        </w:rPr>
        <w:t>Propriété industrielle ou commerciale</w:t>
      </w:r>
      <w:r w:rsidRPr="00BC7757">
        <w:rPr>
          <w:noProof/>
        </w:rPr>
        <w:tab/>
      </w:r>
      <w:r w:rsidRPr="00BC7757">
        <w:rPr>
          <w:noProof/>
        </w:rPr>
        <w:fldChar w:fldCharType="begin"/>
      </w:r>
      <w:r w:rsidRPr="00BC7757">
        <w:rPr>
          <w:noProof/>
        </w:rPr>
        <w:instrText xml:space="preserve"> PAGEREF _Toc327539553 \h </w:instrText>
      </w:r>
      <w:r w:rsidRPr="00BC7757">
        <w:rPr>
          <w:noProof/>
        </w:rPr>
      </w:r>
      <w:r w:rsidRPr="00BC7757">
        <w:rPr>
          <w:noProof/>
        </w:rPr>
        <w:fldChar w:fldCharType="separate"/>
      </w:r>
      <w:r w:rsidR="006C5B9E">
        <w:rPr>
          <w:noProof/>
        </w:rPr>
        <w:t>239</w:t>
      </w:r>
      <w:r w:rsidRPr="00BC7757">
        <w:rPr>
          <w:noProof/>
        </w:rPr>
        <w:fldChar w:fldCharType="end"/>
      </w:r>
    </w:p>
    <w:p w14:paraId="377DE556" w14:textId="55E644D4" w:rsidR="00BC7757" w:rsidRPr="00BC7757" w:rsidRDefault="00BC7757" w:rsidP="00BC7757">
      <w:pPr>
        <w:pStyle w:val="TM2"/>
        <w:tabs>
          <w:tab w:val="left" w:pos="1440"/>
        </w:tabs>
        <w:rPr>
          <w:rFonts w:ascii="Calibri" w:hAnsi="Calibri"/>
          <w:noProof/>
          <w:sz w:val="22"/>
          <w:szCs w:val="22"/>
          <w:lang w:eastAsia="en-US"/>
        </w:rPr>
      </w:pPr>
      <w:r w:rsidRPr="00BC7757">
        <w:rPr>
          <w:noProof/>
        </w:rPr>
        <w:t>9.</w:t>
      </w:r>
      <w:r w:rsidRPr="00BC7757">
        <w:rPr>
          <w:rFonts w:ascii="Calibri" w:hAnsi="Calibri"/>
          <w:noProof/>
          <w:sz w:val="22"/>
          <w:szCs w:val="22"/>
          <w:lang w:eastAsia="en-US"/>
        </w:rPr>
        <w:tab/>
      </w:r>
      <w:r w:rsidRPr="00BC7757">
        <w:rPr>
          <w:noProof/>
        </w:rPr>
        <w:t>Protection de la main-d’œuvre et conditions de travail</w:t>
      </w:r>
      <w:r w:rsidRPr="00BC7757">
        <w:rPr>
          <w:noProof/>
        </w:rPr>
        <w:tab/>
      </w:r>
      <w:r w:rsidRPr="00BC7757">
        <w:rPr>
          <w:noProof/>
        </w:rPr>
        <w:fldChar w:fldCharType="begin"/>
      </w:r>
      <w:r w:rsidRPr="00BC7757">
        <w:rPr>
          <w:noProof/>
        </w:rPr>
        <w:instrText xml:space="preserve"> PAGEREF _Toc327539554 \h </w:instrText>
      </w:r>
      <w:r w:rsidRPr="00BC7757">
        <w:rPr>
          <w:noProof/>
        </w:rPr>
      </w:r>
      <w:r w:rsidRPr="00BC7757">
        <w:rPr>
          <w:noProof/>
        </w:rPr>
        <w:fldChar w:fldCharType="separate"/>
      </w:r>
      <w:r w:rsidR="006C5B9E">
        <w:rPr>
          <w:noProof/>
        </w:rPr>
        <w:t>240</w:t>
      </w:r>
      <w:r w:rsidRPr="00BC7757">
        <w:rPr>
          <w:noProof/>
        </w:rPr>
        <w:fldChar w:fldCharType="end"/>
      </w:r>
    </w:p>
    <w:p w14:paraId="73D3E529" w14:textId="46947BB7" w:rsidR="00BC7757" w:rsidRPr="00BC7757" w:rsidRDefault="00BC7757" w:rsidP="00BC7757">
      <w:pPr>
        <w:pStyle w:val="TM1"/>
        <w:rPr>
          <w:rFonts w:ascii="Calibri" w:hAnsi="Calibri"/>
          <w:b w:val="0"/>
          <w:noProof/>
          <w:sz w:val="22"/>
          <w:szCs w:val="22"/>
          <w:lang w:eastAsia="en-US"/>
        </w:rPr>
      </w:pPr>
      <w:r w:rsidRPr="00BC7757">
        <w:rPr>
          <w:noProof/>
        </w:rPr>
        <w:t>B.  Prix et règlement des comptes</w:t>
      </w:r>
      <w:r w:rsidRPr="00BC7757">
        <w:rPr>
          <w:noProof/>
        </w:rPr>
        <w:tab/>
      </w:r>
      <w:r w:rsidRPr="00BC7757">
        <w:rPr>
          <w:noProof/>
        </w:rPr>
        <w:fldChar w:fldCharType="begin"/>
      </w:r>
      <w:r w:rsidRPr="00BC7757">
        <w:rPr>
          <w:noProof/>
        </w:rPr>
        <w:instrText xml:space="preserve"> PAGEREF _Toc327539555 \h </w:instrText>
      </w:r>
      <w:r w:rsidRPr="00BC7757">
        <w:rPr>
          <w:noProof/>
        </w:rPr>
      </w:r>
      <w:r w:rsidRPr="00BC7757">
        <w:rPr>
          <w:noProof/>
        </w:rPr>
        <w:fldChar w:fldCharType="separate"/>
      </w:r>
      <w:r w:rsidR="006C5B9E">
        <w:rPr>
          <w:noProof/>
        </w:rPr>
        <w:t>245</w:t>
      </w:r>
      <w:r w:rsidRPr="00BC7757">
        <w:rPr>
          <w:noProof/>
        </w:rPr>
        <w:fldChar w:fldCharType="end"/>
      </w:r>
    </w:p>
    <w:p w14:paraId="230B5CB1" w14:textId="41A49AE9" w:rsidR="00BC7757" w:rsidRPr="00BC7757" w:rsidRDefault="00BC7757" w:rsidP="00BC7757">
      <w:pPr>
        <w:pStyle w:val="TM2"/>
        <w:tabs>
          <w:tab w:val="left" w:pos="1440"/>
        </w:tabs>
        <w:rPr>
          <w:rFonts w:ascii="Calibri" w:hAnsi="Calibri"/>
          <w:noProof/>
          <w:sz w:val="22"/>
          <w:szCs w:val="22"/>
          <w:lang w:eastAsia="en-US"/>
        </w:rPr>
      </w:pPr>
      <w:r w:rsidRPr="00BC7757">
        <w:rPr>
          <w:noProof/>
        </w:rPr>
        <w:t>10.</w:t>
      </w:r>
      <w:r w:rsidRPr="00BC7757">
        <w:rPr>
          <w:rFonts w:ascii="Calibri" w:hAnsi="Calibri"/>
          <w:noProof/>
          <w:sz w:val="22"/>
          <w:szCs w:val="22"/>
          <w:lang w:eastAsia="en-US"/>
        </w:rPr>
        <w:tab/>
      </w:r>
      <w:r w:rsidRPr="00BC7757">
        <w:rPr>
          <w:noProof/>
        </w:rPr>
        <w:t>Contenu et caractère des prix</w:t>
      </w:r>
      <w:r w:rsidRPr="00BC7757">
        <w:rPr>
          <w:noProof/>
        </w:rPr>
        <w:tab/>
      </w:r>
      <w:r w:rsidRPr="00BC7757">
        <w:rPr>
          <w:noProof/>
        </w:rPr>
        <w:fldChar w:fldCharType="begin"/>
      </w:r>
      <w:r w:rsidRPr="00BC7757">
        <w:rPr>
          <w:noProof/>
        </w:rPr>
        <w:instrText xml:space="preserve"> PAGEREF _Toc327539556 \h </w:instrText>
      </w:r>
      <w:r w:rsidRPr="00BC7757">
        <w:rPr>
          <w:noProof/>
        </w:rPr>
      </w:r>
      <w:r w:rsidRPr="00BC7757">
        <w:rPr>
          <w:noProof/>
        </w:rPr>
        <w:fldChar w:fldCharType="separate"/>
      </w:r>
      <w:r w:rsidR="006C5B9E">
        <w:rPr>
          <w:noProof/>
        </w:rPr>
        <w:t>245</w:t>
      </w:r>
      <w:r w:rsidRPr="00BC7757">
        <w:rPr>
          <w:noProof/>
        </w:rPr>
        <w:fldChar w:fldCharType="end"/>
      </w:r>
    </w:p>
    <w:p w14:paraId="05EFC374" w14:textId="06C5D8A4" w:rsidR="00BC7757" w:rsidRPr="00BC7757" w:rsidRDefault="00BC7757" w:rsidP="00BC7757">
      <w:pPr>
        <w:pStyle w:val="TM2"/>
        <w:tabs>
          <w:tab w:val="left" w:pos="1440"/>
        </w:tabs>
        <w:rPr>
          <w:rFonts w:ascii="Calibri" w:hAnsi="Calibri"/>
          <w:noProof/>
          <w:sz w:val="22"/>
          <w:szCs w:val="22"/>
          <w:lang w:eastAsia="en-US"/>
        </w:rPr>
      </w:pPr>
      <w:r w:rsidRPr="00BC7757">
        <w:rPr>
          <w:noProof/>
        </w:rPr>
        <w:t>11.</w:t>
      </w:r>
      <w:r w:rsidRPr="00BC7757">
        <w:rPr>
          <w:rFonts w:ascii="Calibri" w:hAnsi="Calibri"/>
          <w:noProof/>
          <w:sz w:val="22"/>
          <w:szCs w:val="22"/>
          <w:lang w:eastAsia="en-US"/>
        </w:rPr>
        <w:tab/>
      </w:r>
      <w:r w:rsidRPr="00BC7757">
        <w:rPr>
          <w:noProof/>
        </w:rPr>
        <w:t>Rémunération de l’Entrepreneur</w:t>
      </w:r>
      <w:r w:rsidRPr="00BC7757">
        <w:rPr>
          <w:noProof/>
        </w:rPr>
        <w:tab/>
      </w:r>
      <w:r w:rsidRPr="00BC7757">
        <w:rPr>
          <w:noProof/>
        </w:rPr>
        <w:fldChar w:fldCharType="begin"/>
      </w:r>
      <w:r w:rsidRPr="00BC7757">
        <w:rPr>
          <w:noProof/>
        </w:rPr>
        <w:instrText xml:space="preserve"> PAGEREF _Toc327539557 \h </w:instrText>
      </w:r>
      <w:r w:rsidRPr="00BC7757">
        <w:rPr>
          <w:noProof/>
        </w:rPr>
      </w:r>
      <w:r w:rsidRPr="00BC7757">
        <w:rPr>
          <w:noProof/>
        </w:rPr>
        <w:fldChar w:fldCharType="separate"/>
      </w:r>
      <w:r w:rsidR="006C5B9E">
        <w:rPr>
          <w:noProof/>
        </w:rPr>
        <w:t>251</w:t>
      </w:r>
      <w:r w:rsidRPr="00BC7757">
        <w:rPr>
          <w:noProof/>
        </w:rPr>
        <w:fldChar w:fldCharType="end"/>
      </w:r>
    </w:p>
    <w:p w14:paraId="5A29E1C0" w14:textId="07406CCD" w:rsidR="00BC7757" w:rsidRPr="00BC7757" w:rsidRDefault="00BC7757" w:rsidP="00BC7757">
      <w:pPr>
        <w:pStyle w:val="TM2"/>
        <w:tabs>
          <w:tab w:val="left" w:pos="1440"/>
        </w:tabs>
        <w:rPr>
          <w:rFonts w:ascii="Calibri" w:hAnsi="Calibri"/>
          <w:noProof/>
          <w:sz w:val="22"/>
          <w:szCs w:val="22"/>
          <w:lang w:eastAsia="en-US"/>
        </w:rPr>
      </w:pPr>
      <w:r w:rsidRPr="00BC7757">
        <w:rPr>
          <w:noProof/>
        </w:rPr>
        <w:t>12.</w:t>
      </w:r>
      <w:r w:rsidRPr="00BC7757">
        <w:rPr>
          <w:rFonts w:ascii="Calibri" w:hAnsi="Calibri"/>
          <w:noProof/>
          <w:sz w:val="22"/>
          <w:szCs w:val="22"/>
          <w:lang w:eastAsia="en-US"/>
        </w:rPr>
        <w:tab/>
      </w:r>
      <w:r w:rsidRPr="00BC7757">
        <w:rPr>
          <w:noProof/>
        </w:rPr>
        <w:t>Constatations et constats contradictoires</w:t>
      </w:r>
      <w:r w:rsidRPr="00BC7757">
        <w:rPr>
          <w:noProof/>
        </w:rPr>
        <w:tab/>
      </w:r>
      <w:r w:rsidRPr="00BC7757">
        <w:rPr>
          <w:noProof/>
        </w:rPr>
        <w:fldChar w:fldCharType="begin"/>
      </w:r>
      <w:r w:rsidRPr="00BC7757">
        <w:rPr>
          <w:noProof/>
        </w:rPr>
        <w:instrText xml:space="preserve"> PAGEREF _Toc327539558 \h </w:instrText>
      </w:r>
      <w:r w:rsidRPr="00BC7757">
        <w:rPr>
          <w:noProof/>
        </w:rPr>
      </w:r>
      <w:r w:rsidRPr="00BC7757">
        <w:rPr>
          <w:noProof/>
        </w:rPr>
        <w:fldChar w:fldCharType="separate"/>
      </w:r>
      <w:r w:rsidR="006C5B9E">
        <w:rPr>
          <w:noProof/>
        </w:rPr>
        <w:t>253</w:t>
      </w:r>
      <w:r w:rsidRPr="00BC7757">
        <w:rPr>
          <w:noProof/>
        </w:rPr>
        <w:fldChar w:fldCharType="end"/>
      </w:r>
    </w:p>
    <w:p w14:paraId="13C66DD3" w14:textId="3FDC75F4" w:rsidR="00BC7757" w:rsidRPr="00BC7757" w:rsidRDefault="00BC7757" w:rsidP="00BC7757">
      <w:pPr>
        <w:pStyle w:val="TM2"/>
        <w:tabs>
          <w:tab w:val="left" w:pos="1440"/>
        </w:tabs>
        <w:rPr>
          <w:rFonts w:ascii="Calibri" w:hAnsi="Calibri"/>
          <w:noProof/>
          <w:sz w:val="22"/>
          <w:szCs w:val="22"/>
          <w:lang w:eastAsia="en-US"/>
        </w:rPr>
      </w:pPr>
      <w:r w:rsidRPr="00BC7757">
        <w:rPr>
          <w:noProof/>
        </w:rPr>
        <w:t>13.</w:t>
      </w:r>
      <w:r w:rsidRPr="00BC7757">
        <w:rPr>
          <w:rFonts w:ascii="Calibri" w:hAnsi="Calibri"/>
          <w:noProof/>
          <w:sz w:val="22"/>
          <w:szCs w:val="22"/>
          <w:lang w:eastAsia="en-US"/>
        </w:rPr>
        <w:tab/>
      </w:r>
      <w:r w:rsidRPr="00BC7757">
        <w:rPr>
          <w:noProof/>
        </w:rPr>
        <w:t>Modalités de règlement des comptes</w:t>
      </w:r>
      <w:r w:rsidRPr="00BC7757">
        <w:rPr>
          <w:noProof/>
        </w:rPr>
        <w:tab/>
      </w:r>
      <w:r w:rsidRPr="00BC7757">
        <w:rPr>
          <w:noProof/>
        </w:rPr>
        <w:fldChar w:fldCharType="begin"/>
      </w:r>
      <w:r w:rsidRPr="00BC7757">
        <w:rPr>
          <w:noProof/>
        </w:rPr>
        <w:instrText xml:space="preserve"> PAGEREF _Toc327539559 \h </w:instrText>
      </w:r>
      <w:r w:rsidRPr="00BC7757">
        <w:rPr>
          <w:noProof/>
        </w:rPr>
      </w:r>
      <w:r w:rsidRPr="00BC7757">
        <w:rPr>
          <w:noProof/>
        </w:rPr>
        <w:fldChar w:fldCharType="separate"/>
      </w:r>
      <w:r w:rsidR="006C5B9E">
        <w:rPr>
          <w:noProof/>
        </w:rPr>
        <w:t>254</w:t>
      </w:r>
      <w:r w:rsidRPr="00BC7757">
        <w:rPr>
          <w:noProof/>
        </w:rPr>
        <w:fldChar w:fldCharType="end"/>
      </w:r>
    </w:p>
    <w:p w14:paraId="3E7000C8" w14:textId="001D03D4" w:rsidR="00BC7757" w:rsidRPr="00BC7757" w:rsidRDefault="00BC7757" w:rsidP="00BC7757">
      <w:pPr>
        <w:pStyle w:val="TM2"/>
        <w:tabs>
          <w:tab w:val="left" w:pos="1440"/>
        </w:tabs>
        <w:rPr>
          <w:rFonts w:ascii="Calibri" w:hAnsi="Calibri"/>
          <w:noProof/>
          <w:sz w:val="22"/>
          <w:szCs w:val="22"/>
          <w:lang w:eastAsia="en-US"/>
        </w:rPr>
      </w:pPr>
      <w:r w:rsidRPr="00BC7757">
        <w:rPr>
          <w:noProof/>
        </w:rPr>
        <w:t>14.</w:t>
      </w:r>
      <w:r w:rsidRPr="00BC7757">
        <w:rPr>
          <w:rFonts w:ascii="Calibri" w:hAnsi="Calibri"/>
          <w:noProof/>
          <w:sz w:val="22"/>
          <w:szCs w:val="22"/>
          <w:lang w:eastAsia="en-US"/>
        </w:rPr>
        <w:tab/>
      </w:r>
      <w:r w:rsidRPr="00BC7757">
        <w:rPr>
          <w:noProof/>
        </w:rPr>
        <w:t>Règlement du prix des ouvrages ou travaux non prévus</w:t>
      </w:r>
      <w:r w:rsidRPr="00BC7757">
        <w:rPr>
          <w:noProof/>
        </w:rPr>
        <w:tab/>
      </w:r>
      <w:r w:rsidRPr="00BC7757">
        <w:rPr>
          <w:noProof/>
        </w:rPr>
        <w:fldChar w:fldCharType="begin"/>
      </w:r>
      <w:r w:rsidRPr="00BC7757">
        <w:rPr>
          <w:noProof/>
        </w:rPr>
        <w:instrText xml:space="preserve"> PAGEREF _Toc327539560 \h </w:instrText>
      </w:r>
      <w:r w:rsidRPr="00BC7757">
        <w:rPr>
          <w:noProof/>
        </w:rPr>
      </w:r>
      <w:r w:rsidRPr="00BC7757">
        <w:rPr>
          <w:noProof/>
        </w:rPr>
        <w:fldChar w:fldCharType="separate"/>
      </w:r>
      <w:r w:rsidR="006C5B9E">
        <w:rPr>
          <w:noProof/>
        </w:rPr>
        <w:t>259</w:t>
      </w:r>
      <w:r w:rsidRPr="00BC7757">
        <w:rPr>
          <w:noProof/>
        </w:rPr>
        <w:fldChar w:fldCharType="end"/>
      </w:r>
    </w:p>
    <w:p w14:paraId="69DADD48" w14:textId="54B393D3" w:rsidR="00BC7757" w:rsidRPr="00BC7757" w:rsidRDefault="00BC7757" w:rsidP="00BC7757">
      <w:pPr>
        <w:pStyle w:val="TM2"/>
        <w:tabs>
          <w:tab w:val="left" w:pos="1440"/>
        </w:tabs>
        <w:rPr>
          <w:rFonts w:ascii="Calibri" w:hAnsi="Calibri"/>
          <w:noProof/>
          <w:sz w:val="22"/>
          <w:szCs w:val="22"/>
          <w:lang w:eastAsia="en-US"/>
        </w:rPr>
      </w:pPr>
      <w:r w:rsidRPr="00BC7757">
        <w:rPr>
          <w:noProof/>
        </w:rPr>
        <w:t>15.</w:t>
      </w:r>
      <w:r w:rsidRPr="00BC7757">
        <w:rPr>
          <w:rFonts w:ascii="Calibri" w:hAnsi="Calibri"/>
          <w:noProof/>
          <w:sz w:val="22"/>
          <w:szCs w:val="22"/>
          <w:lang w:eastAsia="en-US"/>
        </w:rPr>
        <w:tab/>
      </w:r>
      <w:r w:rsidRPr="00BC7757">
        <w:rPr>
          <w:noProof/>
        </w:rPr>
        <w:t>Augmentation dans la masse des travaux</w:t>
      </w:r>
      <w:r w:rsidRPr="00BC7757">
        <w:rPr>
          <w:noProof/>
        </w:rPr>
        <w:tab/>
      </w:r>
      <w:r w:rsidRPr="00BC7757">
        <w:rPr>
          <w:noProof/>
        </w:rPr>
        <w:fldChar w:fldCharType="begin"/>
      </w:r>
      <w:r w:rsidRPr="00BC7757">
        <w:rPr>
          <w:noProof/>
        </w:rPr>
        <w:instrText xml:space="preserve"> PAGEREF _Toc327539561 \h </w:instrText>
      </w:r>
      <w:r w:rsidRPr="00BC7757">
        <w:rPr>
          <w:noProof/>
        </w:rPr>
      </w:r>
      <w:r w:rsidRPr="00BC7757">
        <w:rPr>
          <w:noProof/>
        </w:rPr>
        <w:fldChar w:fldCharType="separate"/>
      </w:r>
      <w:r w:rsidR="006C5B9E">
        <w:rPr>
          <w:noProof/>
        </w:rPr>
        <w:t>261</w:t>
      </w:r>
      <w:r w:rsidRPr="00BC7757">
        <w:rPr>
          <w:noProof/>
        </w:rPr>
        <w:fldChar w:fldCharType="end"/>
      </w:r>
    </w:p>
    <w:p w14:paraId="0C681130" w14:textId="55017D6E" w:rsidR="00BC7757" w:rsidRPr="00BC7757" w:rsidRDefault="00BC7757" w:rsidP="00BC7757">
      <w:pPr>
        <w:pStyle w:val="TM2"/>
        <w:tabs>
          <w:tab w:val="left" w:pos="1440"/>
        </w:tabs>
        <w:rPr>
          <w:rFonts w:ascii="Calibri" w:hAnsi="Calibri"/>
          <w:noProof/>
          <w:sz w:val="22"/>
          <w:szCs w:val="22"/>
          <w:lang w:eastAsia="en-US"/>
        </w:rPr>
      </w:pPr>
      <w:r w:rsidRPr="00BC7757">
        <w:rPr>
          <w:noProof/>
        </w:rPr>
        <w:t>16.</w:t>
      </w:r>
      <w:r w:rsidRPr="00BC7757">
        <w:rPr>
          <w:rFonts w:ascii="Calibri" w:hAnsi="Calibri"/>
          <w:noProof/>
          <w:sz w:val="22"/>
          <w:szCs w:val="22"/>
          <w:lang w:eastAsia="en-US"/>
        </w:rPr>
        <w:tab/>
      </w:r>
      <w:r w:rsidRPr="00BC7757">
        <w:rPr>
          <w:noProof/>
        </w:rPr>
        <w:t>Diminution de la masse des travaux</w:t>
      </w:r>
      <w:r w:rsidRPr="00BC7757">
        <w:rPr>
          <w:noProof/>
        </w:rPr>
        <w:tab/>
      </w:r>
      <w:r w:rsidRPr="00BC7757">
        <w:rPr>
          <w:noProof/>
        </w:rPr>
        <w:fldChar w:fldCharType="begin"/>
      </w:r>
      <w:r w:rsidRPr="00BC7757">
        <w:rPr>
          <w:noProof/>
        </w:rPr>
        <w:instrText xml:space="preserve"> PAGEREF _Toc327539562 \h </w:instrText>
      </w:r>
      <w:r w:rsidRPr="00BC7757">
        <w:rPr>
          <w:noProof/>
        </w:rPr>
      </w:r>
      <w:r w:rsidRPr="00BC7757">
        <w:rPr>
          <w:noProof/>
        </w:rPr>
        <w:fldChar w:fldCharType="separate"/>
      </w:r>
      <w:r w:rsidR="006C5B9E">
        <w:rPr>
          <w:noProof/>
        </w:rPr>
        <w:t>262</w:t>
      </w:r>
      <w:r w:rsidRPr="00BC7757">
        <w:rPr>
          <w:noProof/>
        </w:rPr>
        <w:fldChar w:fldCharType="end"/>
      </w:r>
    </w:p>
    <w:p w14:paraId="0F6825D9" w14:textId="68AF1E1C" w:rsidR="00BC7757" w:rsidRPr="00BC7757" w:rsidRDefault="00BC7757" w:rsidP="00BC7757">
      <w:pPr>
        <w:pStyle w:val="TM2"/>
        <w:tabs>
          <w:tab w:val="left" w:pos="1440"/>
        </w:tabs>
        <w:rPr>
          <w:rFonts w:ascii="Calibri" w:hAnsi="Calibri"/>
          <w:noProof/>
          <w:sz w:val="22"/>
          <w:szCs w:val="22"/>
          <w:lang w:eastAsia="en-US"/>
        </w:rPr>
      </w:pPr>
      <w:r w:rsidRPr="00BC7757">
        <w:rPr>
          <w:noProof/>
        </w:rPr>
        <w:t>17.</w:t>
      </w:r>
      <w:r w:rsidRPr="00BC7757">
        <w:rPr>
          <w:rFonts w:ascii="Calibri" w:hAnsi="Calibri"/>
          <w:noProof/>
          <w:sz w:val="22"/>
          <w:szCs w:val="22"/>
          <w:lang w:eastAsia="en-US"/>
        </w:rPr>
        <w:tab/>
      </w:r>
      <w:r w:rsidRPr="00BC7757">
        <w:rPr>
          <w:noProof/>
        </w:rPr>
        <w:t>Changement dans l’importance des diverses natures d’ouvrage</w:t>
      </w:r>
      <w:r w:rsidRPr="00BC7757">
        <w:rPr>
          <w:noProof/>
        </w:rPr>
        <w:tab/>
      </w:r>
      <w:r w:rsidRPr="00BC7757">
        <w:rPr>
          <w:noProof/>
        </w:rPr>
        <w:fldChar w:fldCharType="begin"/>
      </w:r>
      <w:r w:rsidRPr="00BC7757">
        <w:rPr>
          <w:noProof/>
        </w:rPr>
        <w:instrText xml:space="preserve"> PAGEREF _Toc327539563 \h </w:instrText>
      </w:r>
      <w:r w:rsidRPr="00BC7757">
        <w:rPr>
          <w:noProof/>
        </w:rPr>
      </w:r>
      <w:r w:rsidRPr="00BC7757">
        <w:rPr>
          <w:noProof/>
        </w:rPr>
        <w:fldChar w:fldCharType="separate"/>
      </w:r>
      <w:r w:rsidR="006C5B9E">
        <w:rPr>
          <w:noProof/>
        </w:rPr>
        <w:t>262</w:t>
      </w:r>
      <w:r w:rsidRPr="00BC7757">
        <w:rPr>
          <w:noProof/>
        </w:rPr>
        <w:fldChar w:fldCharType="end"/>
      </w:r>
    </w:p>
    <w:p w14:paraId="2980AD48" w14:textId="580F47B4" w:rsidR="00BC7757" w:rsidRPr="00BC7757" w:rsidRDefault="00BC7757" w:rsidP="00BC7757">
      <w:pPr>
        <w:pStyle w:val="TM2"/>
        <w:tabs>
          <w:tab w:val="left" w:pos="1440"/>
        </w:tabs>
        <w:rPr>
          <w:rFonts w:ascii="Calibri" w:hAnsi="Calibri"/>
          <w:noProof/>
          <w:sz w:val="22"/>
          <w:szCs w:val="22"/>
          <w:lang w:eastAsia="en-US"/>
        </w:rPr>
      </w:pPr>
      <w:r w:rsidRPr="00BC7757">
        <w:rPr>
          <w:noProof/>
        </w:rPr>
        <w:t>18.</w:t>
      </w:r>
      <w:r w:rsidRPr="00BC7757">
        <w:rPr>
          <w:rFonts w:ascii="Calibri" w:hAnsi="Calibri"/>
          <w:noProof/>
          <w:sz w:val="22"/>
          <w:szCs w:val="22"/>
          <w:lang w:eastAsia="en-US"/>
        </w:rPr>
        <w:tab/>
      </w:r>
      <w:r w:rsidRPr="00BC7757">
        <w:rPr>
          <w:noProof/>
        </w:rPr>
        <w:t>Pertes et avaries - Force majeure</w:t>
      </w:r>
      <w:r w:rsidRPr="00BC7757">
        <w:rPr>
          <w:noProof/>
        </w:rPr>
        <w:tab/>
      </w:r>
      <w:r w:rsidRPr="00BC7757">
        <w:rPr>
          <w:noProof/>
        </w:rPr>
        <w:fldChar w:fldCharType="begin"/>
      </w:r>
      <w:r w:rsidRPr="00BC7757">
        <w:rPr>
          <w:noProof/>
        </w:rPr>
        <w:instrText xml:space="preserve"> PAGEREF _Toc327539564 \h </w:instrText>
      </w:r>
      <w:r w:rsidRPr="00BC7757">
        <w:rPr>
          <w:noProof/>
        </w:rPr>
      </w:r>
      <w:r w:rsidRPr="00BC7757">
        <w:rPr>
          <w:noProof/>
        </w:rPr>
        <w:fldChar w:fldCharType="separate"/>
      </w:r>
      <w:r w:rsidR="006C5B9E">
        <w:rPr>
          <w:noProof/>
        </w:rPr>
        <w:t>262</w:t>
      </w:r>
      <w:r w:rsidRPr="00BC7757">
        <w:rPr>
          <w:noProof/>
        </w:rPr>
        <w:fldChar w:fldCharType="end"/>
      </w:r>
    </w:p>
    <w:p w14:paraId="48846684" w14:textId="496DEAE5" w:rsidR="00BC7757" w:rsidRPr="00BC7757" w:rsidRDefault="00BC7757" w:rsidP="00BC7757">
      <w:pPr>
        <w:pStyle w:val="TM1"/>
        <w:rPr>
          <w:rFonts w:ascii="Calibri" w:hAnsi="Calibri"/>
          <w:b w:val="0"/>
          <w:noProof/>
          <w:sz w:val="22"/>
          <w:szCs w:val="22"/>
          <w:lang w:eastAsia="en-US"/>
        </w:rPr>
      </w:pPr>
      <w:r w:rsidRPr="00BC7757">
        <w:rPr>
          <w:noProof/>
        </w:rPr>
        <w:t>C.  Délais</w:t>
      </w:r>
      <w:r w:rsidRPr="00BC7757">
        <w:rPr>
          <w:noProof/>
        </w:rPr>
        <w:tab/>
      </w:r>
      <w:r w:rsidRPr="00BC7757">
        <w:rPr>
          <w:noProof/>
        </w:rPr>
        <w:fldChar w:fldCharType="begin"/>
      </w:r>
      <w:r w:rsidRPr="00BC7757">
        <w:rPr>
          <w:noProof/>
        </w:rPr>
        <w:instrText xml:space="preserve"> PAGEREF _Toc327539565 \h </w:instrText>
      </w:r>
      <w:r w:rsidRPr="00BC7757">
        <w:rPr>
          <w:noProof/>
        </w:rPr>
      </w:r>
      <w:r w:rsidRPr="00BC7757">
        <w:rPr>
          <w:noProof/>
        </w:rPr>
        <w:fldChar w:fldCharType="separate"/>
      </w:r>
      <w:r w:rsidR="006C5B9E">
        <w:rPr>
          <w:noProof/>
        </w:rPr>
        <w:t>264</w:t>
      </w:r>
      <w:r w:rsidRPr="00BC7757">
        <w:rPr>
          <w:noProof/>
        </w:rPr>
        <w:fldChar w:fldCharType="end"/>
      </w:r>
    </w:p>
    <w:p w14:paraId="1A5DBB1C" w14:textId="5E1D2387" w:rsidR="00BC7757" w:rsidRPr="00BC7757" w:rsidRDefault="00BC7757" w:rsidP="00BC7757">
      <w:pPr>
        <w:pStyle w:val="TM2"/>
        <w:tabs>
          <w:tab w:val="left" w:pos="1440"/>
        </w:tabs>
        <w:rPr>
          <w:rFonts w:ascii="Calibri" w:hAnsi="Calibri"/>
          <w:noProof/>
          <w:sz w:val="22"/>
          <w:szCs w:val="22"/>
          <w:lang w:eastAsia="en-US"/>
        </w:rPr>
      </w:pPr>
      <w:r w:rsidRPr="00BC7757">
        <w:rPr>
          <w:noProof/>
        </w:rPr>
        <w:t>19.</w:t>
      </w:r>
      <w:r w:rsidRPr="00BC7757">
        <w:rPr>
          <w:rFonts w:ascii="Calibri" w:hAnsi="Calibri"/>
          <w:noProof/>
          <w:sz w:val="22"/>
          <w:szCs w:val="22"/>
          <w:lang w:eastAsia="en-US"/>
        </w:rPr>
        <w:tab/>
      </w:r>
      <w:r w:rsidRPr="00BC7757">
        <w:rPr>
          <w:noProof/>
        </w:rPr>
        <w:t>Fixation et prolongation des délais</w:t>
      </w:r>
      <w:r w:rsidRPr="00BC7757">
        <w:rPr>
          <w:noProof/>
        </w:rPr>
        <w:tab/>
      </w:r>
      <w:r w:rsidRPr="00BC7757">
        <w:rPr>
          <w:noProof/>
        </w:rPr>
        <w:fldChar w:fldCharType="begin"/>
      </w:r>
      <w:r w:rsidRPr="00BC7757">
        <w:rPr>
          <w:noProof/>
        </w:rPr>
        <w:instrText xml:space="preserve"> PAGEREF _Toc327539566 \h </w:instrText>
      </w:r>
      <w:r w:rsidRPr="00BC7757">
        <w:rPr>
          <w:noProof/>
        </w:rPr>
      </w:r>
      <w:r w:rsidRPr="00BC7757">
        <w:rPr>
          <w:noProof/>
        </w:rPr>
        <w:fldChar w:fldCharType="separate"/>
      </w:r>
      <w:r w:rsidR="006C5B9E">
        <w:rPr>
          <w:noProof/>
        </w:rPr>
        <w:t>264</w:t>
      </w:r>
      <w:r w:rsidRPr="00BC7757">
        <w:rPr>
          <w:noProof/>
        </w:rPr>
        <w:fldChar w:fldCharType="end"/>
      </w:r>
    </w:p>
    <w:p w14:paraId="18DFDCE4" w14:textId="637AF36D" w:rsidR="00BC7757" w:rsidRPr="00BC7757" w:rsidRDefault="00BC7757" w:rsidP="00BC7757">
      <w:pPr>
        <w:pStyle w:val="TM2"/>
        <w:tabs>
          <w:tab w:val="left" w:pos="1440"/>
        </w:tabs>
        <w:rPr>
          <w:rFonts w:ascii="Calibri" w:hAnsi="Calibri"/>
          <w:noProof/>
          <w:sz w:val="22"/>
          <w:szCs w:val="22"/>
          <w:lang w:eastAsia="en-US"/>
        </w:rPr>
      </w:pPr>
      <w:r w:rsidRPr="00BC7757">
        <w:rPr>
          <w:noProof/>
        </w:rPr>
        <w:t>20.</w:t>
      </w:r>
      <w:r w:rsidRPr="00BC7757">
        <w:rPr>
          <w:rFonts w:ascii="Calibri" w:hAnsi="Calibri"/>
          <w:noProof/>
          <w:sz w:val="22"/>
          <w:szCs w:val="22"/>
          <w:lang w:eastAsia="en-US"/>
        </w:rPr>
        <w:tab/>
      </w:r>
      <w:r w:rsidRPr="00BC7757">
        <w:rPr>
          <w:noProof/>
        </w:rPr>
        <w:t>Pénalités, primes et retenues</w:t>
      </w:r>
      <w:r w:rsidRPr="00BC7757">
        <w:rPr>
          <w:noProof/>
        </w:rPr>
        <w:tab/>
      </w:r>
      <w:r w:rsidRPr="00BC7757">
        <w:rPr>
          <w:noProof/>
        </w:rPr>
        <w:fldChar w:fldCharType="begin"/>
      </w:r>
      <w:r w:rsidRPr="00BC7757">
        <w:rPr>
          <w:noProof/>
        </w:rPr>
        <w:instrText xml:space="preserve"> PAGEREF _Toc327539567 \h </w:instrText>
      </w:r>
      <w:r w:rsidRPr="00BC7757">
        <w:rPr>
          <w:noProof/>
        </w:rPr>
      </w:r>
      <w:r w:rsidRPr="00BC7757">
        <w:rPr>
          <w:noProof/>
        </w:rPr>
        <w:fldChar w:fldCharType="separate"/>
      </w:r>
      <w:r w:rsidR="006C5B9E">
        <w:rPr>
          <w:noProof/>
        </w:rPr>
        <w:t>265</w:t>
      </w:r>
      <w:r w:rsidRPr="00BC7757">
        <w:rPr>
          <w:noProof/>
        </w:rPr>
        <w:fldChar w:fldCharType="end"/>
      </w:r>
    </w:p>
    <w:p w14:paraId="5F29E7C0" w14:textId="7C8C7FB6" w:rsidR="00BC7757" w:rsidRPr="00BC7757" w:rsidRDefault="00BC7757" w:rsidP="00BC7757">
      <w:pPr>
        <w:pStyle w:val="TM1"/>
        <w:rPr>
          <w:rFonts w:ascii="Calibri" w:hAnsi="Calibri"/>
          <w:b w:val="0"/>
          <w:noProof/>
          <w:sz w:val="22"/>
          <w:szCs w:val="22"/>
          <w:lang w:eastAsia="en-US"/>
        </w:rPr>
      </w:pPr>
      <w:r w:rsidRPr="00BC7757">
        <w:rPr>
          <w:noProof/>
        </w:rPr>
        <w:t>D.  Réalisation des ouvrages</w:t>
      </w:r>
      <w:r w:rsidRPr="00BC7757">
        <w:rPr>
          <w:noProof/>
        </w:rPr>
        <w:tab/>
      </w:r>
      <w:r w:rsidRPr="00BC7757">
        <w:rPr>
          <w:noProof/>
        </w:rPr>
        <w:fldChar w:fldCharType="begin"/>
      </w:r>
      <w:r w:rsidRPr="00BC7757">
        <w:rPr>
          <w:noProof/>
        </w:rPr>
        <w:instrText xml:space="preserve"> PAGEREF _Toc327539568 \h </w:instrText>
      </w:r>
      <w:r w:rsidRPr="00BC7757">
        <w:rPr>
          <w:noProof/>
        </w:rPr>
      </w:r>
      <w:r w:rsidRPr="00BC7757">
        <w:rPr>
          <w:noProof/>
        </w:rPr>
        <w:fldChar w:fldCharType="separate"/>
      </w:r>
      <w:r w:rsidR="006C5B9E">
        <w:rPr>
          <w:noProof/>
        </w:rPr>
        <w:t>266</w:t>
      </w:r>
      <w:r w:rsidRPr="00BC7757">
        <w:rPr>
          <w:noProof/>
        </w:rPr>
        <w:fldChar w:fldCharType="end"/>
      </w:r>
    </w:p>
    <w:p w14:paraId="65AC912E" w14:textId="37D544AD" w:rsidR="00BC7757" w:rsidRPr="00BC7757" w:rsidRDefault="00BC7757" w:rsidP="00BC7757">
      <w:pPr>
        <w:pStyle w:val="TM2"/>
        <w:tabs>
          <w:tab w:val="left" w:pos="1440"/>
        </w:tabs>
        <w:rPr>
          <w:rFonts w:ascii="Calibri" w:hAnsi="Calibri"/>
          <w:noProof/>
          <w:sz w:val="22"/>
          <w:szCs w:val="22"/>
          <w:lang w:eastAsia="en-US"/>
        </w:rPr>
      </w:pPr>
      <w:r w:rsidRPr="00BC7757">
        <w:rPr>
          <w:noProof/>
        </w:rPr>
        <w:t>21.</w:t>
      </w:r>
      <w:r w:rsidRPr="00BC7757">
        <w:rPr>
          <w:rFonts w:ascii="Calibri" w:hAnsi="Calibri"/>
          <w:noProof/>
          <w:sz w:val="22"/>
          <w:szCs w:val="22"/>
          <w:lang w:eastAsia="en-US"/>
        </w:rPr>
        <w:tab/>
      </w:r>
      <w:r w:rsidRPr="00BC7757">
        <w:rPr>
          <w:noProof/>
        </w:rPr>
        <w:t>Provenance des fournitures, équipements, matériels, matériaux et produits</w:t>
      </w:r>
      <w:r w:rsidRPr="00BC7757">
        <w:rPr>
          <w:noProof/>
        </w:rPr>
        <w:tab/>
      </w:r>
      <w:r w:rsidRPr="00BC7757">
        <w:rPr>
          <w:noProof/>
        </w:rPr>
        <w:fldChar w:fldCharType="begin"/>
      </w:r>
      <w:r w:rsidRPr="00BC7757">
        <w:rPr>
          <w:noProof/>
        </w:rPr>
        <w:instrText xml:space="preserve"> PAGEREF _Toc327539569 \h </w:instrText>
      </w:r>
      <w:r w:rsidRPr="00BC7757">
        <w:rPr>
          <w:noProof/>
        </w:rPr>
      </w:r>
      <w:r w:rsidRPr="00BC7757">
        <w:rPr>
          <w:noProof/>
        </w:rPr>
        <w:fldChar w:fldCharType="separate"/>
      </w:r>
      <w:r w:rsidR="006C5B9E">
        <w:rPr>
          <w:noProof/>
        </w:rPr>
        <w:t>266</w:t>
      </w:r>
      <w:r w:rsidRPr="00BC7757">
        <w:rPr>
          <w:noProof/>
        </w:rPr>
        <w:fldChar w:fldCharType="end"/>
      </w:r>
    </w:p>
    <w:p w14:paraId="284A8926" w14:textId="3D05BD9B" w:rsidR="00BC7757" w:rsidRPr="00BC7757" w:rsidRDefault="00BC7757" w:rsidP="00BC7757">
      <w:pPr>
        <w:pStyle w:val="TM2"/>
        <w:tabs>
          <w:tab w:val="left" w:pos="1440"/>
        </w:tabs>
        <w:rPr>
          <w:rFonts w:ascii="Calibri" w:hAnsi="Calibri"/>
          <w:noProof/>
          <w:sz w:val="22"/>
          <w:szCs w:val="22"/>
          <w:lang w:eastAsia="en-US"/>
        </w:rPr>
      </w:pPr>
      <w:r w:rsidRPr="00BC7757">
        <w:rPr>
          <w:noProof/>
        </w:rPr>
        <w:t>22.</w:t>
      </w:r>
      <w:r w:rsidRPr="00BC7757">
        <w:rPr>
          <w:rFonts w:ascii="Calibri" w:hAnsi="Calibri"/>
          <w:noProof/>
          <w:sz w:val="22"/>
          <w:szCs w:val="22"/>
          <w:lang w:eastAsia="en-US"/>
        </w:rPr>
        <w:tab/>
      </w:r>
      <w:r w:rsidRPr="00BC7757">
        <w:rPr>
          <w:noProof/>
        </w:rPr>
        <w:t>Lieux d’extraction ou emprunt des matériaux</w:t>
      </w:r>
      <w:r w:rsidRPr="00BC7757">
        <w:rPr>
          <w:noProof/>
        </w:rPr>
        <w:tab/>
      </w:r>
      <w:r w:rsidRPr="00BC7757">
        <w:rPr>
          <w:noProof/>
        </w:rPr>
        <w:fldChar w:fldCharType="begin"/>
      </w:r>
      <w:r w:rsidRPr="00BC7757">
        <w:rPr>
          <w:noProof/>
        </w:rPr>
        <w:instrText xml:space="preserve"> PAGEREF _Toc327539570 \h </w:instrText>
      </w:r>
      <w:r w:rsidRPr="00BC7757">
        <w:rPr>
          <w:noProof/>
        </w:rPr>
      </w:r>
      <w:r w:rsidRPr="00BC7757">
        <w:rPr>
          <w:noProof/>
        </w:rPr>
        <w:fldChar w:fldCharType="separate"/>
      </w:r>
      <w:r w:rsidR="006C5B9E">
        <w:rPr>
          <w:noProof/>
        </w:rPr>
        <w:t>267</w:t>
      </w:r>
      <w:r w:rsidRPr="00BC7757">
        <w:rPr>
          <w:noProof/>
        </w:rPr>
        <w:fldChar w:fldCharType="end"/>
      </w:r>
    </w:p>
    <w:p w14:paraId="4E7C3ECF" w14:textId="78C62847" w:rsidR="00BC7757" w:rsidRPr="00BC7757" w:rsidRDefault="00BC7757" w:rsidP="00BC7757">
      <w:pPr>
        <w:pStyle w:val="TM2"/>
        <w:tabs>
          <w:tab w:val="left" w:pos="1440"/>
        </w:tabs>
        <w:rPr>
          <w:rFonts w:ascii="Calibri" w:hAnsi="Calibri"/>
          <w:noProof/>
          <w:sz w:val="22"/>
          <w:szCs w:val="22"/>
          <w:lang w:eastAsia="en-US"/>
        </w:rPr>
      </w:pPr>
      <w:r w:rsidRPr="00BC7757">
        <w:rPr>
          <w:noProof/>
        </w:rPr>
        <w:t>23.</w:t>
      </w:r>
      <w:r w:rsidRPr="00BC7757">
        <w:rPr>
          <w:rFonts w:ascii="Calibri" w:hAnsi="Calibri"/>
          <w:noProof/>
          <w:sz w:val="22"/>
          <w:szCs w:val="22"/>
          <w:lang w:eastAsia="en-US"/>
        </w:rPr>
        <w:tab/>
      </w:r>
      <w:r w:rsidRPr="00BC7757">
        <w:rPr>
          <w:noProof/>
        </w:rPr>
        <w:t>Qualité des matériaux et produits Application des normes</w:t>
      </w:r>
      <w:r w:rsidRPr="00BC7757">
        <w:rPr>
          <w:noProof/>
        </w:rPr>
        <w:tab/>
      </w:r>
      <w:r w:rsidRPr="00BC7757">
        <w:rPr>
          <w:noProof/>
        </w:rPr>
        <w:fldChar w:fldCharType="begin"/>
      </w:r>
      <w:r w:rsidRPr="00BC7757">
        <w:rPr>
          <w:noProof/>
        </w:rPr>
        <w:instrText xml:space="preserve"> PAGEREF _Toc327539571 \h </w:instrText>
      </w:r>
      <w:r w:rsidRPr="00BC7757">
        <w:rPr>
          <w:noProof/>
        </w:rPr>
      </w:r>
      <w:r w:rsidRPr="00BC7757">
        <w:rPr>
          <w:noProof/>
        </w:rPr>
        <w:fldChar w:fldCharType="separate"/>
      </w:r>
      <w:r w:rsidR="006C5B9E">
        <w:rPr>
          <w:noProof/>
        </w:rPr>
        <w:t>267</w:t>
      </w:r>
      <w:r w:rsidRPr="00BC7757">
        <w:rPr>
          <w:noProof/>
        </w:rPr>
        <w:fldChar w:fldCharType="end"/>
      </w:r>
    </w:p>
    <w:p w14:paraId="0F827A65" w14:textId="6C9441E5" w:rsidR="00BC7757" w:rsidRPr="00BC7757" w:rsidRDefault="00BC7757" w:rsidP="00BC7757">
      <w:pPr>
        <w:pStyle w:val="TM2"/>
        <w:tabs>
          <w:tab w:val="left" w:pos="1440"/>
        </w:tabs>
        <w:rPr>
          <w:rFonts w:ascii="Calibri" w:hAnsi="Calibri"/>
          <w:noProof/>
          <w:sz w:val="22"/>
          <w:szCs w:val="22"/>
          <w:lang w:eastAsia="en-US"/>
        </w:rPr>
      </w:pPr>
      <w:r w:rsidRPr="00BC7757">
        <w:rPr>
          <w:noProof/>
        </w:rPr>
        <w:t>24.</w:t>
      </w:r>
      <w:r w:rsidRPr="00BC7757">
        <w:rPr>
          <w:rFonts w:ascii="Calibri" w:hAnsi="Calibri"/>
          <w:noProof/>
          <w:sz w:val="22"/>
          <w:szCs w:val="22"/>
          <w:lang w:eastAsia="en-US"/>
        </w:rPr>
        <w:tab/>
      </w:r>
      <w:r w:rsidRPr="00BC7757">
        <w:rPr>
          <w:noProof/>
        </w:rPr>
        <w:t>Vérification qualitative des matériaux et produits - Essais et épreuves</w:t>
      </w:r>
      <w:r w:rsidRPr="00BC7757">
        <w:rPr>
          <w:noProof/>
        </w:rPr>
        <w:tab/>
      </w:r>
      <w:r w:rsidRPr="00BC7757">
        <w:rPr>
          <w:noProof/>
        </w:rPr>
        <w:fldChar w:fldCharType="begin"/>
      </w:r>
      <w:r w:rsidRPr="00BC7757">
        <w:rPr>
          <w:noProof/>
        </w:rPr>
        <w:instrText xml:space="preserve"> PAGEREF _Toc327539572 \h </w:instrText>
      </w:r>
      <w:r w:rsidRPr="00BC7757">
        <w:rPr>
          <w:noProof/>
        </w:rPr>
      </w:r>
      <w:r w:rsidRPr="00BC7757">
        <w:rPr>
          <w:noProof/>
        </w:rPr>
        <w:fldChar w:fldCharType="separate"/>
      </w:r>
      <w:r w:rsidR="006C5B9E">
        <w:rPr>
          <w:noProof/>
        </w:rPr>
        <w:t>268</w:t>
      </w:r>
      <w:r w:rsidRPr="00BC7757">
        <w:rPr>
          <w:noProof/>
        </w:rPr>
        <w:fldChar w:fldCharType="end"/>
      </w:r>
    </w:p>
    <w:p w14:paraId="1B9E3D73" w14:textId="332C9C3B" w:rsidR="00BC7757" w:rsidRPr="00BC7757" w:rsidRDefault="00BC7757" w:rsidP="00BC7757">
      <w:pPr>
        <w:pStyle w:val="TM2"/>
        <w:tabs>
          <w:tab w:val="left" w:pos="1440"/>
        </w:tabs>
        <w:rPr>
          <w:rFonts w:ascii="Calibri" w:hAnsi="Calibri"/>
          <w:noProof/>
          <w:sz w:val="22"/>
          <w:szCs w:val="22"/>
          <w:lang w:eastAsia="en-US"/>
        </w:rPr>
      </w:pPr>
      <w:r w:rsidRPr="00BC7757">
        <w:rPr>
          <w:noProof/>
        </w:rPr>
        <w:t>25.</w:t>
      </w:r>
      <w:r w:rsidRPr="00BC7757">
        <w:rPr>
          <w:rFonts w:ascii="Calibri" w:hAnsi="Calibri"/>
          <w:noProof/>
          <w:sz w:val="22"/>
          <w:szCs w:val="22"/>
          <w:lang w:eastAsia="en-US"/>
        </w:rPr>
        <w:tab/>
      </w:r>
      <w:r w:rsidRPr="00BC7757">
        <w:rPr>
          <w:noProof/>
        </w:rPr>
        <w:t>Vérification quantitative des matériaux et produits</w:t>
      </w:r>
      <w:r w:rsidRPr="00BC7757">
        <w:rPr>
          <w:noProof/>
        </w:rPr>
        <w:tab/>
      </w:r>
      <w:r w:rsidRPr="00BC7757">
        <w:rPr>
          <w:noProof/>
        </w:rPr>
        <w:fldChar w:fldCharType="begin"/>
      </w:r>
      <w:r w:rsidRPr="00BC7757">
        <w:rPr>
          <w:noProof/>
        </w:rPr>
        <w:instrText xml:space="preserve"> PAGEREF _Toc327539573 \h </w:instrText>
      </w:r>
      <w:r w:rsidRPr="00BC7757">
        <w:rPr>
          <w:noProof/>
        </w:rPr>
      </w:r>
      <w:r w:rsidRPr="00BC7757">
        <w:rPr>
          <w:noProof/>
        </w:rPr>
        <w:fldChar w:fldCharType="separate"/>
      </w:r>
      <w:r w:rsidR="006C5B9E">
        <w:rPr>
          <w:noProof/>
        </w:rPr>
        <w:t>270</w:t>
      </w:r>
      <w:r w:rsidRPr="00BC7757">
        <w:rPr>
          <w:noProof/>
        </w:rPr>
        <w:fldChar w:fldCharType="end"/>
      </w:r>
    </w:p>
    <w:p w14:paraId="20A82691" w14:textId="2BD5B394" w:rsidR="00BC7757" w:rsidRPr="00BC7757" w:rsidRDefault="00BC7757" w:rsidP="00BC7757">
      <w:pPr>
        <w:pStyle w:val="TM2"/>
        <w:tabs>
          <w:tab w:val="left" w:pos="1440"/>
        </w:tabs>
        <w:rPr>
          <w:rFonts w:ascii="Calibri" w:hAnsi="Calibri"/>
          <w:noProof/>
          <w:sz w:val="22"/>
          <w:szCs w:val="22"/>
          <w:lang w:eastAsia="en-US"/>
        </w:rPr>
      </w:pPr>
      <w:r w:rsidRPr="00BC7757">
        <w:rPr>
          <w:noProof/>
        </w:rPr>
        <w:t>26.</w:t>
      </w:r>
      <w:r w:rsidRPr="00BC7757">
        <w:rPr>
          <w:rFonts w:ascii="Calibri" w:hAnsi="Calibri"/>
          <w:noProof/>
          <w:sz w:val="22"/>
          <w:szCs w:val="22"/>
          <w:lang w:eastAsia="en-US"/>
        </w:rPr>
        <w:tab/>
      </w:r>
      <w:r w:rsidRPr="00BC7757">
        <w:rPr>
          <w:noProof/>
        </w:rPr>
        <w:t>Prise en charge, manutention et conservation par l’Entrepreneur des matériaux et produits fournis par le Maître de l’Ouvrage dans le cadre du Marché</w:t>
      </w:r>
      <w:r w:rsidRPr="00BC7757">
        <w:rPr>
          <w:noProof/>
        </w:rPr>
        <w:tab/>
      </w:r>
      <w:r w:rsidRPr="00BC7757">
        <w:rPr>
          <w:noProof/>
        </w:rPr>
        <w:fldChar w:fldCharType="begin"/>
      </w:r>
      <w:r w:rsidRPr="00BC7757">
        <w:rPr>
          <w:noProof/>
        </w:rPr>
        <w:instrText xml:space="preserve"> PAGEREF _Toc327539574 \h </w:instrText>
      </w:r>
      <w:r w:rsidRPr="00BC7757">
        <w:rPr>
          <w:noProof/>
        </w:rPr>
      </w:r>
      <w:r w:rsidRPr="00BC7757">
        <w:rPr>
          <w:noProof/>
        </w:rPr>
        <w:fldChar w:fldCharType="separate"/>
      </w:r>
      <w:r w:rsidR="006C5B9E">
        <w:rPr>
          <w:noProof/>
        </w:rPr>
        <w:t>270</w:t>
      </w:r>
      <w:r w:rsidRPr="00BC7757">
        <w:rPr>
          <w:noProof/>
        </w:rPr>
        <w:fldChar w:fldCharType="end"/>
      </w:r>
    </w:p>
    <w:p w14:paraId="6DDC4E95" w14:textId="6268B510" w:rsidR="00BC7757" w:rsidRPr="00BC7757" w:rsidRDefault="00BC7757" w:rsidP="00BC7757">
      <w:pPr>
        <w:pStyle w:val="TM2"/>
        <w:tabs>
          <w:tab w:val="left" w:pos="1440"/>
        </w:tabs>
        <w:rPr>
          <w:rFonts w:ascii="Calibri" w:hAnsi="Calibri"/>
          <w:noProof/>
          <w:sz w:val="22"/>
          <w:szCs w:val="22"/>
          <w:lang w:eastAsia="en-US"/>
        </w:rPr>
      </w:pPr>
      <w:r w:rsidRPr="00BC7757">
        <w:rPr>
          <w:noProof/>
        </w:rPr>
        <w:t>27.</w:t>
      </w:r>
      <w:r w:rsidRPr="00BC7757">
        <w:rPr>
          <w:rFonts w:ascii="Calibri" w:hAnsi="Calibri"/>
          <w:noProof/>
          <w:sz w:val="22"/>
          <w:szCs w:val="22"/>
          <w:lang w:eastAsia="en-US"/>
        </w:rPr>
        <w:tab/>
      </w:r>
      <w:r w:rsidRPr="00BC7757">
        <w:rPr>
          <w:noProof/>
        </w:rPr>
        <w:t>Implantation des ouvrages</w:t>
      </w:r>
      <w:r w:rsidRPr="00BC7757">
        <w:rPr>
          <w:noProof/>
        </w:rPr>
        <w:tab/>
      </w:r>
      <w:r w:rsidRPr="00BC7757">
        <w:rPr>
          <w:noProof/>
        </w:rPr>
        <w:fldChar w:fldCharType="begin"/>
      </w:r>
      <w:r w:rsidRPr="00BC7757">
        <w:rPr>
          <w:noProof/>
        </w:rPr>
        <w:instrText xml:space="preserve"> PAGEREF _Toc327539575 \h </w:instrText>
      </w:r>
      <w:r w:rsidRPr="00BC7757">
        <w:rPr>
          <w:noProof/>
        </w:rPr>
      </w:r>
      <w:r w:rsidRPr="00BC7757">
        <w:rPr>
          <w:noProof/>
        </w:rPr>
        <w:fldChar w:fldCharType="separate"/>
      </w:r>
      <w:r w:rsidR="006C5B9E">
        <w:rPr>
          <w:noProof/>
        </w:rPr>
        <w:t>272</w:t>
      </w:r>
      <w:r w:rsidRPr="00BC7757">
        <w:rPr>
          <w:noProof/>
        </w:rPr>
        <w:fldChar w:fldCharType="end"/>
      </w:r>
    </w:p>
    <w:p w14:paraId="37BF9607" w14:textId="524ADC89" w:rsidR="00BC7757" w:rsidRPr="00BC7757" w:rsidRDefault="00BC7757" w:rsidP="00BC7757">
      <w:pPr>
        <w:pStyle w:val="TM2"/>
        <w:tabs>
          <w:tab w:val="left" w:pos="1440"/>
        </w:tabs>
        <w:rPr>
          <w:rFonts w:ascii="Calibri" w:hAnsi="Calibri"/>
          <w:noProof/>
          <w:sz w:val="22"/>
          <w:szCs w:val="22"/>
          <w:lang w:eastAsia="en-US"/>
        </w:rPr>
      </w:pPr>
      <w:r w:rsidRPr="00BC7757">
        <w:rPr>
          <w:noProof/>
        </w:rPr>
        <w:t>28.</w:t>
      </w:r>
      <w:r w:rsidRPr="00BC7757">
        <w:rPr>
          <w:rFonts w:ascii="Calibri" w:hAnsi="Calibri"/>
          <w:noProof/>
          <w:sz w:val="22"/>
          <w:szCs w:val="22"/>
          <w:lang w:eastAsia="en-US"/>
        </w:rPr>
        <w:tab/>
      </w:r>
      <w:r w:rsidRPr="00BC7757">
        <w:rPr>
          <w:noProof/>
        </w:rPr>
        <w:t>Préparation des travaux</w:t>
      </w:r>
      <w:r w:rsidRPr="00BC7757">
        <w:rPr>
          <w:noProof/>
        </w:rPr>
        <w:tab/>
      </w:r>
      <w:r w:rsidRPr="00BC7757">
        <w:rPr>
          <w:noProof/>
        </w:rPr>
        <w:fldChar w:fldCharType="begin"/>
      </w:r>
      <w:r w:rsidRPr="00BC7757">
        <w:rPr>
          <w:noProof/>
        </w:rPr>
        <w:instrText xml:space="preserve"> PAGEREF _Toc327539576 \h </w:instrText>
      </w:r>
      <w:r w:rsidRPr="00BC7757">
        <w:rPr>
          <w:noProof/>
        </w:rPr>
      </w:r>
      <w:r w:rsidRPr="00BC7757">
        <w:rPr>
          <w:noProof/>
        </w:rPr>
        <w:fldChar w:fldCharType="separate"/>
      </w:r>
      <w:r w:rsidR="006C5B9E">
        <w:rPr>
          <w:noProof/>
        </w:rPr>
        <w:t>273</w:t>
      </w:r>
      <w:r w:rsidRPr="00BC7757">
        <w:rPr>
          <w:noProof/>
        </w:rPr>
        <w:fldChar w:fldCharType="end"/>
      </w:r>
    </w:p>
    <w:p w14:paraId="4BEB5399" w14:textId="6F3F1274" w:rsidR="00BC7757" w:rsidRPr="00BC7757" w:rsidRDefault="00BC7757" w:rsidP="00BC7757">
      <w:pPr>
        <w:pStyle w:val="TM2"/>
        <w:tabs>
          <w:tab w:val="left" w:pos="1440"/>
        </w:tabs>
        <w:rPr>
          <w:rFonts w:ascii="Calibri" w:hAnsi="Calibri"/>
          <w:noProof/>
          <w:sz w:val="22"/>
          <w:szCs w:val="22"/>
          <w:lang w:eastAsia="en-US"/>
        </w:rPr>
      </w:pPr>
      <w:r w:rsidRPr="00BC7757">
        <w:rPr>
          <w:noProof/>
        </w:rPr>
        <w:t>29.</w:t>
      </w:r>
      <w:r w:rsidRPr="00BC7757">
        <w:rPr>
          <w:rFonts w:ascii="Calibri" w:hAnsi="Calibri"/>
          <w:noProof/>
          <w:sz w:val="22"/>
          <w:szCs w:val="22"/>
          <w:lang w:eastAsia="en-US"/>
        </w:rPr>
        <w:tab/>
      </w:r>
      <w:r w:rsidRPr="00BC7757">
        <w:rPr>
          <w:noProof/>
        </w:rPr>
        <w:t>Plans d’exécution - Notes de calculs - Etudes de détail</w:t>
      </w:r>
      <w:r w:rsidRPr="00BC7757">
        <w:rPr>
          <w:noProof/>
        </w:rPr>
        <w:tab/>
      </w:r>
      <w:r w:rsidRPr="00BC7757">
        <w:rPr>
          <w:noProof/>
        </w:rPr>
        <w:fldChar w:fldCharType="begin"/>
      </w:r>
      <w:r w:rsidRPr="00BC7757">
        <w:rPr>
          <w:noProof/>
        </w:rPr>
        <w:instrText xml:space="preserve"> PAGEREF _Toc327539577 \h </w:instrText>
      </w:r>
      <w:r w:rsidRPr="00BC7757">
        <w:rPr>
          <w:noProof/>
        </w:rPr>
      </w:r>
      <w:r w:rsidRPr="00BC7757">
        <w:rPr>
          <w:noProof/>
        </w:rPr>
        <w:fldChar w:fldCharType="separate"/>
      </w:r>
      <w:r w:rsidR="006C5B9E">
        <w:rPr>
          <w:noProof/>
        </w:rPr>
        <w:t>274</w:t>
      </w:r>
      <w:r w:rsidRPr="00BC7757">
        <w:rPr>
          <w:noProof/>
        </w:rPr>
        <w:fldChar w:fldCharType="end"/>
      </w:r>
    </w:p>
    <w:p w14:paraId="1DF2F23F" w14:textId="4DE664A5" w:rsidR="00BC7757" w:rsidRPr="00BC7757" w:rsidRDefault="00BC7757" w:rsidP="00BC7757">
      <w:pPr>
        <w:pStyle w:val="TM2"/>
        <w:tabs>
          <w:tab w:val="left" w:pos="1440"/>
        </w:tabs>
        <w:rPr>
          <w:rFonts w:ascii="Calibri" w:hAnsi="Calibri"/>
          <w:noProof/>
          <w:sz w:val="22"/>
          <w:szCs w:val="22"/>
          <w:lang w:eastAsia="en-US"/>
        </w:rPr>
      </w:pPr>
      <w:r w:rsidRPr="00BC7757">
        <w:rPr>
          <w:noProof/>
        </w:rPr>
        <w:t>30.</w:t>
      </w:r>
      <w:r w:rsidRPr="00BC7757">
        <w:rPr>
          <w:rFonts w:ascii="Calibri" w:hAnsi="Calibri"/>
          <w:noProof/>
          <w:sz w:val="22"/>
          <w:szCs w:val="22"/>
          <w:lang w:eastAsia="en-US"/>
        </w:rPr>
        <w:tab/>
      </w:r>
      <w:r w:rsidRPr="00BC7757">
        <w:rPr>
          <w:noProof/>
        </w:rPr>
        <w:t>Modifications apportées aux dispositions techniques</w:t>
      </w:r>
      <w:r w:rsidRPr="00BC7757">
        <w:rPr>
          <w:noProof/>
        </w:rPr>
        <w:tab/>
      </w:r>
      <w:r w:rsidRPr="00BC7757">
        <w:rPr>
          <w:noProof/>
        </w:rPr>
        <w:fldChar w:fldCharType="begin"/>
      </w:r>
      <w:r w:rsidRPr="00BC7757">
        <w:rPr>
          <w:noProof/>
        </w:rPr>
        <w:instrText xml:space="preserve"> PAGEREF _Toc327539578 \h </w:instrText>
      </w:r>
      <w:r w:rsidRPr="00BC7757">
        <w:rPr>
          <w:noProof/>
        </w:rPr>
      </w:r>
      <w:r w:rsidRPr="00BC7757">
        <w:rPr>
          <w:noProof/>
        </w:rPr>
        <w:fldChar w:fldCharType="separate"/>
      </w:r>
      <w:r w:rsidR="006C5B9E">
        <w:rPr>
          <w:noProof/>
        </w:rPr>
        <w:t>275</w:t>
      </w:r>
      <w:r w:rsidRPr="00BC7757">
        <w:rPr>
          <w:noProof/>
        </w:rPr>
        <w:fldChar w:fldCharType="end"/>
      </w:r>
    </w:p>
    <w:p w14:paraId="0C441050" w14:textId="699DD25A" w:rsidR="00BC7757" w:rsidRPr="00BC7757" w:rsidRDefault="00BC7757" w:rsidP="00BC7757">
      <w:pPr>
        <w:pStyle w:val="TM2"/>
        <w:tabs>
          <w:tab w:val="left" w:pos="1440"/>
        </w:tabs>
        <w:rPr>
          <w:rFonts w:ascii="Calibri" w:hAnsi="Calibri"/>
          <w:noProof/>
          <w:sz w:val="22"/>
          <w:szCs w:val="22"/>
          <w:lang w:eastAsia="en-US"/>
        </w:rPr>
      </w:pPr>
      <w:r w:rsidRPr="00BC7757">
        <w:rPr>
          <w:noProof/>
        </w:rPr>
        <w:t>31.</w:t>
      </w:r>
      <w:r w:rsidRPr="00BC7757">
        <w:rPr>
          <w:rFonts w:ascii="Calibri" w:hAnsi="Calibri"/>
          <w:noProof/>
          <w:sz w:val="22"/>
          <w:szCs w:val="22"/>
          <w:lang w:eastAsia="en-US"/>
        </w:rPr>
        <w:tab/>
      </w:r>
      <w:r w:rsidRPr="00BC7757">
        <w:rPr>
          <w:noProof/>
        </w:rPr>
        <w:t>Installation, organisation, sécurité et hygiène des chantiers</w:t>
      </w:r>
      <w:r w:rsidRPr="00BC7757">
        <w:rPr>
          <w:noProof/>
        </w:rPr>
        <w:tab/>
      </w:r>
      <w:r w:rsidRPr="00BC7757">
        <w:rPr>
          <w:noProof/>
        </w:rPr>
        <w:fldChar w:fldCharType="begin"/>
      </w:r>
      <w:r w:rsidRPr="00BC7757">
        <w:rPr>
          <w:noProof/>
        </w:rPr>
        <w:instrText xml:space="preserve"> PAGEREF _Toc327539579 \h </w:instrText>
      </w:r>
      <w:r w:rsidRPr="00BC7757">
        <w:rPr>
          <w:noProof/>
        </w:rPr>
      </w:r>
      <w:r w:rsidRPr="00BC7757">
        <w:rPr>
          <w:noProof/>
        </w:rPr>
        <w:fldChar w:fldCharType="separate"/>
      </w:r>
      <w:r w:rsidR="006C5B9E">
        <w:rPr>
          <w:noProof/>
        </w:rPr>
        <w:t>275</w:t>
      </w:r>
      <w:r w:rsidRPr="00BC7757">
        <w:rPr>
          <w:noProof/>
        </w:rPr>
        <w:fldChar w:fldCharType="end"/>
      </w:r>
    </w:p>
    <w:p w14:paraId="2A329419" w14:textId="7E64372B" w:rsidR="00BC7757" w:rsidRPr="00BC7757" w:rsidRDefault="00BC7757" w:rsidP="00BC7757">
      <w:pPr>
        <w:pStyle w:val="TM2"/>
        <w:tabs>
          <w:tab w:val="left" w:pos="1440"/>
        </w:tabs>
        <w:rPr>
          <w:rFonts w:ascii="Calibri" w:hAnsi="Calibri"/>
          <w:noProof/>
          <w:sz w:val="22"/>
          <w:szCs w:val="22"/>
          <w:lang w:eastAsia="en-US"/>
        </w:rPr>
      </w:pPr>
      <w:r w:rsidRPr="00BC7757">
        <w:rPr>
          <w:noProof/>
        </w:rPr>
        <w:t>32.</w:t>
      </w:r>
      <w:r w:rsidRPr="00BC7757">
        <w:rPr>
          <w:rFonts w:ascii="Calibri" w:hAnsi="Calibri"/>
          <w:noProof/>
          <w:sz w:val="22"/>
          <w:szCs w:val="22"/>
          <w:lang w:eastAsia="en-US"/>
        </w:rPr>
        <w:tab/>
      </w:r>
      <w:r w:rsidRPr="00BC7757">
        <w:rPr>
          <w:noProof/>
        </w:rPr>
        <w:t>Engins explosifs de guerre</w:t>
      </w:r>
      <w:r w:rsidRPr="00BC7757">
        <w:rPr>
          <w:noProof/>
        </w:rPr>
        <w:tab/>
      </w:r>
      <w:r w:rsidRPr="00BC7757">
        <w:rPr>
          <w:noProof/>
        </w:rPr>
        <w:fldChar w:fldCharType="begin"/>
      </w:r>
      <w:r w:rsidRPr="00BC7757">
        <w:rPr>
          <w:noProof/>
        </w:rPr>
        <w:instrText xml:space="preserve"> PAGEREF _Toc327539580 \h </w:instrText>
      </w:r>
      <w:r w:rsidRPr="00BC7757">
        <w:rPr>
          <w:noProof/>
        </w:rPr>
      </w:r>
      <w:r w:rsidRPr="00BC7757">
        <w:rPr>
          <w:noProof/>
        </w:rPr>
        <w:fldChar w:fldCharType="separate"/>
      </w:r>
      <w:r w:rsidR="006C5B9E">
        <w:rPr>
          <w:noProof/>
        </w:rPr>
        <w:t>280</w:t>
      </w:r>
      <w:r w:rsidRPr="00BC7757">
        <w:rPr>
          <w:noProof/>
        </w:rPr>
        <w:fldChar w:fldCharType="end"/>
      </w:r>
    </w:p>
    <w:p w14:paraId="71683E0C" w14:textId="138C6C29" w:rsidR="00BC7757" w:rsidRPr="00BC7757" w:rsidRDefault="00BC7757" w:rsidP="00BC7757">
      <w:pPr>
        <w:pStyle w:val="TM2"/>
        <w:tabs>
          <w:tab w:val="left" w:pos="1440"/>
        </w:tabs>
        <w:rPr>
          <w:rFonts w:ascii="Calibri" w:hAnsi="Calibri"/>
          <w:noProof/>
          <w:sz w:val="22"/>
          <w:szCs w:val="22"/>
          <w:lang w:eastAsia="en-US"/>
        </w:rPr>
      </w:pPr>
      <w:r w:rsidRPr="00BC7757">
        <w:rPr>
          <w:noProof/>
        </w:rPr>
        <w:t>33.</w:t>
      </w:r>
      <w:r w:rsidRPr="00BC7757">
        <w:rPr>
          <w:rFonts w:ascii="Calibri" w:hAnsi="Calibri"/>
          <w:noProof/>
          <w:sz w:val="22"/>
          <w:szCs w:val="22"/>
          <w:lang w:eastAsia="en-US"/>
        </w:rPr>
        <w:tab/>
      </w:r>
      <w:r w:rsidRPr="00BC7757">
        <w:rPr>
          <w:noProof/>
        </w:rPr>
        <w:t>Matériaux, objets et vestiges trouvés sur les chantiers</w:t>
      </w:r>
      <w:r w:rsidRPr="00BC7757">
        <w:rPr>
          <w:noProof/>
        </w:rPr>
        <w:tab/>
      </w:r>
      <w:r w:rsidRPr="00BC7757">
        <w:rPr>
          <w:noProof/>
        </w:rPr>
        <w:fldChar w:fldCharType="begin"/>
      </w:r>
      <w:r w:rsidRPr="00BC7757">
        <w:rPr>
          <w:noProof/>
        </w:rPr>
        <w:instrText xml:space="preserve"> PAGEREF _Toc327539581 \h </w:instrText>
      </w:r>
      <w:r w:rsidRPr="00BC7757">
        <w:rPr>
          <w:noProof/>
        </w:rPr>
      </w:r>
      <w:r w:rsidRPr="00BC7757">
        <w:rPr>
          <w:noProof/>
        </w:rPr>
        <w:fldChar w:fldCharType="separate"/>
      </w:r>
      <w:r w:rsidR="006C5B9E">
        <w:rPr>
          <w:noProof/>
        </w:rPr>
        <w:t>280</w:t>
      </w:r>
      <w:r w:rsidRPr="00BC7757">
        <w:rPr>
          <w:noProof/>
        </w:rPr>
        <w:fldChar w:fldCharType="end"/>
      </w:r>
    </w:p>
    <w:p w14:paraId="472150B0" w14:textId="59DA45D3" w:rsidR="00BC7757" w:rsidRPr="00BC7757" w:rsidRDefault="00BC7757" w:rsidP="00BC7757">
      <w:pPr>
        <w:pStyle w:val="TM2"/>
        <w:tabs>
          <w:tab w:val="left" w:pos="1440"/>
        </w:tabs>
        <w:rPr>
          <w:rFonts w:ascii="Calibri" w:hAnsi="Calibri"/>
          <w:noProof/>
          <w:sz w:val="22"/>
          <w:szCs w:val="22"/>
          <w:lang w:eastAsia="en-US"/>
        </w:rPr>
      </w:pPr>
      <w:r w:rsidRPr="00BC7757">
        <w:rPr>
          <w:noProof/>
        </w:rPr>
        <w:t>34.</w:t>
      </w:r>
      <w:r w:rsidRPr="00BC7757">
        <w:rPr>
          <w:rFonts w:ascii="Calibri" w:hAnsi="Calibri"/>
          <w:noProof/>
          <w:sz w:val="22"/>
          <w:szCs w:val="22"/>
          <w:lang w:eastAsia="en-US"/>
        </w:rPr>
        <w:tab/>
      </w:r>
      <w:r w:rsidRPr="00BC7757">
        <w:rPr>
          <w:noProof/>
        </w:rPr>
        <w:t>Dégradations causées aux voies publiques</w:t>
      </w:r>
      <w:r w:rsidRPr="00BC7757">
        <w:rPr>
          <w:noProof/>
        </w:rPr>
        <w:tab/>
      </w:r>
      <w:r w:rsidRPr="00BC7757">
        <w:rPr>
          <w:noProof/>
        </w:rPr>
        <w:fldChar w:fldCharType="begin"/>
      </w:r>
      <w:r w:rsidRPr="00BC7757">
        <w:rPr>
          <w:noProof/>
        </w:rPr>
        <w:instrText xml:space="preserve"> PAGEREF _Toc327539582 \h </w:instrText>
      </w:r>
      <w:r w:rsidRPr="00BC7757">
        <w:rPr>
          <w:noProof/>
        </w:rPr>
      </w:r>
      <w:r w:rsidRPr="00BC7757">
        <w:rPr>
          <w:noProof/>
        </w:rPr>
        <w:fldChar w:fldCharType="separate"/>
      </w:r>
      <w:r w:rsidR="006C5B9E">
        <w:rPr>
          <w:noProof/>
        </w:rPr>
        <w:t>281</w:t>
      </w:r>
      <w:r w:rsidRPr="00BC7757">
        <w:rPr>
          <w:noProof/>
        </w:rPr>
        <w:fldChar w:fldCharType="end"/>
      </w:r>
    </w:p>
    <w:p w14:paraId="6421535E" w14:textId="413A4F01" w:rsidR="00BC7757" w:rsidRPr="00BC7757" w:rsidRDefault="00BC7757" w:rsidP="00BC7757">
      <w:pPr>
        <w:pStyle w:val="TM2"/>
        <w:tabs>
          <w:tab w:val="left" w:pos="1440"/>
        </w:tabs>
        <w:rPr>
          <w:rFonts w:ascii="Calibri" w:hAnsi="Calibri"/>
          <w:noProof/>
          <w:sz w:val="22"/>
          <w:szCs w:val="22"/>
          <w:lang w:eastAsia="en-US"/>
        </w:rPr>
      </w:pPr>
      <w:r w:rsidRPr="00BC7757">
        <w:rPr>
          <w:noProof/>
        </w:rPr>
        <w:t>35.</w:t>
      </w:r>
      <w:r w:rsidRPr="00BC7757">
        <w:rPr>
          <w:rFonts w:ascii="Calibri" w:hAnsi="Calibri"/>
          <w:noProof/>
          <w:sz w:val="22"/>
          <w:szCs w:val="22"/>
          <w:lang w:eastAsia="en-US"/>
        </w:rPr>
        <w:tab/>
      </w:r>
      <w:r w:rsidRPr="00BC7757">
        <w:rPr>
          <w:noProof/>
        </w:rPr>
        <w:t>Dommages divers causés par la conduite des travaux ou les modalités de leur exécution</w:t>
      </w:r>
      <w:r w:rsidRPr="00BC7757">
        <w:rPr>
          <w:noProof/>
        </w:rPr>
        <w:tab/>
      </w:r>
      <w:r w:rsidRPr="00BC7757">
        <w:rPr>
          <w:noProof/>
        </w:rPr>
        <w:fldChar w:fldCharType="begin"/>
      </w:r>
      <w:r w:rsidRPr="00BC7757">
        <w:rPr>
          <w:noProof/>
        </w:rPr>
        <w:instrText xml:space="preserve"> PAGEREF _Toc327539583 \h </w:instrText>
      </w:r>
      <w:r w:rsidRPr="00BC7757">
        <w:rPr>
          <w:noProof/>
        </w:rPr>
      </w:r>
      <w:r w:rsidRPr="00BC7757">
        <w:rPr>
          <w:noProof/>
        </w:rPr>
        <w:fldChar w:fldCharType="separate"/>
      </w:r>
      <w:r w:rsidR="006C5B9E">
        <w:rPr>
          <w:noProof/>
        </w:rPr>
        <w:t>281</w:t>
      </w:r>
      <w:r w:rsidRPr="00BC7757">
        <w:rPr>
          <w:noProof/>
        </w:rPr>
        <w:fldChar w:fldCharType="end"/>
      </w:r>
    </w:p>
    <w:p w14:paraId="6D881869" w14:textId="11C039DE" w:rsidR="00BC7757" w:rsidRPr="00BC7757" w:rsidRDefault="00BC7757" w:rsidP="00BC7757">
      <w:pPr>
        <w:pStyle w:val="TM2"/>
        <w:tabs>
          <w:tab w:val="left" w:pos="1440"/>
        </w:tabs>
        <w:rPr>
          <w:rFonts w:ascii="Calibri" w:hAnsi="Calibri"/>
          <w:noProof/>
          <w:sz w:val="22"/>
          <w:szCs w:val="22"/>
          <w:lang w:eastAsia="en-US"/>
        </w:rPr>
      </w:pPr>
      <w:r w:rsidRPr="00BC7757">
        <w:rPr>
          <w:noProof/>
        </w:rPr>
        <w:t>36.</w:t>
      </w:r>
      <w:r w:rsidRPr="00BC7757">
        <w:rPr>
          <w:rFonts w:ascii="Calibri" w:hAnsi="Calibri"/>
          <w:noProof/>
          <w:sz w:val="22"/>
          <w:szCs w:val="22"/>
          <w:lang w:eastAsia="en-US"/>
        </w:rPr>
        <w:tab/>
      </w:r>
      <w:r w:rsidRPr="00BC7757">
        <w:rPr>
          <w:noProof/>
        </w:rPr>
        <w:t>Réservé</w:t>
      </w:r>
      <w:r w:rsidRPr="00BC7757">
        <w:rPr>
          <w:noProof/>
        </w:rPr>
        <w:tab/>
      </w:r>
      <w:r w:rsidRPr="00BC7757">
        <w:rPr>
          <w:noProof/>
        </w:rPr>
        <w:fldChar w:fldCharType="begin"/>
      </w:r>
      <w:r w:rsidRPr="00BC7757">
        <w:rPr>
          <w:noProof/>
        </w:rPr>
        <w:instrText xml:space="preserve"> PAGEREF _Toc327539584 \h </w:instrText>
      </w:r>
      <w:r w:rsidRPr="00BC7757">
        <w:rPr>
          <w:noProof/>
        </w:rPr>
      </w:r>
      <w:r w:rsidRPr="00BC7757">
        <w:rPr>
          <w:noProof/>
        </w:rPr>
        <w:fldChar w:fldCharType="separate"/>
      </w:r>
      <w:r w:rsidR="006C5B9E">
        <w:rPr>
          <w:noProof/>
        </w:rPr>
        <w:t>282</w:t>
      </w:r>
      <w:r w:rsidRPr="00BC7757">
        <w:rPr>
          <w:noProof/>
        </w:rPr>
        <w:fldChar w:fldCharType="end"/>
      </w:r>
    </w:p>
    <w:p w14:paraId="191D5721" w14:textId="2E34BAB2" w:rsidR="00BC7757" w:rsidRPr="00BC7757" w:rsidRDefault="00BC7757" w:rsidP="00BC7757">
      <w:pPr>
        <w:pStyle w:val="TM2"/>
        <w:tabs>
          <w:tab w:val="left" w:pos="1440"/>
        </w:tabs>
        <w:rPr>
          <w:rFonts w:ascii="Calibri" w:hAnsi="Calibri"/>
          <w:noProof/>
          <w:sz w:val="22"/>
          <w:szCs w:val="22"/>
          <w:lang w:eastAsia="en-US"/>
        </w:rPr>
      </w:pPr>
      <w:r w:rsidRPr="00BC7757">
        <w:rPr>
          <w:noProof/>
        </w:rPr>
        <w:t>37.</w:t>
      </w:r>
      <w:r w:rsidRPr="00BC7757">
        <w:rPr>
          <w:rFonts w:ascii="Calibri" w:hAnsi="Calibri"/>
          <w:noProof/>
          <w:sz w:val="22"/>
          <w:szCs w:val="22"/>
          <w:lang w:eastAsia="en-US"/>
        </w:rPr>
        <w:tab/>
      </w:r>
      <w:r w:rsidRPr="00BC7757">
        <w:rPr>
          <w:noProof/>
        </w:rPr>
        <w:t>Enlèvement du matériel et des matériaux sans emploi</w:t>
      </w:r>
      <w:r w:rsidRPr="00BC7757">
        <w:rPr>
          <w:noProof/>
        </w:rPr>
        <w:tab/>
      </w:r>
      <w:r w:rsidRPr="00BC7757">
        <w:rPr>
          <w:noProof/>
        </w:rPr>
        <w:fldChar w:fldCharType="begin"/>
      </w:r>
      <w:r w:rsidRPr="00BC7757">
        <w:rPr>
          <w:noProof/>
        </w:rPr>
        <w:instrText xml:space="preserve"> PAGEREF _Toc327539585 \h </w:instrText>
      </w:r>
      <w:r w:rsidRPr="00BC7757">
        <w:rPr>
          <w:noProof/>
        </w:rPr>
      </w:r>
      <w:r w:rsidRPr="00BC7757">
        <w:rPr>
          <w:noProof/>
        </w:rPr>
        <w:fldChar w:fldCharType="separate"/>
      </w:r>
      <w:r w:rsidR="006C5B9E">
        <w:rPr>
          <w:noProof/>
        </w:rPr>
        <w:t>282</w:t>
      </w:r>
      <w:r w:rsidRPr="00BC7757">
        <w:rPr>
          <w:noProof/>
        </w:rPr>
        <w:fldChar w:fldCharType="end"/>
      </w:r>
    </w:p>
    <w:p w14:paraId="15A43E85" w14:textId="4F06F655" w:rsidR="00BC7757" w:rsidRPr="00BC7757" w:rsidRDefault="00BC7757" w:rsidP="00BC7757">
      <w:pPr>
        <w:pStyle w:val="TM2"/>
        <w:tabs>
          <w:tab w:val="left" w:pos="1440"/>
        </w:tabs>
        <w:rPr>
          <w:rFonts w:ascii="Calibri" w:hAnsi="Calibri"/>
          <w:noProof/>
          <w:sz w:val="22"/>
          <w:szCs w:val="22"/>
          <w:lang w:eastAsia="en-US"/>
        </w:rPr>
      </w:pPr>
      <w:r w:rsidRPr="00BC7757">
        <w:rPr>
          <w:noProof/>
        </w:rPr>
        <w:t>38.</w:t>
      </w:r>
      <w:r w:rsidRPr="00BC7757">
        <w:rPr>
          <w:rFonts w:ascii="Calibri" w:hAnsi="Calibri"/>
          <w:noProof/>
          <w:sz w:val="22"/>
          <w:szCs w:val="22"/>
          <w:lang w:eastAsia="en-US"/>
        </w:rPr>
        <w:tab/>
      </w:r>
      <w:r w:rsidRPr="00BC7757">
        <w:rPr>
          <w:noProof/>
        </w:rPr>
        <w:t>Essais et contrôle des ouvrages</w:t>
      </w:r>
      <w:r w:rsidRPr="00BC7757">
        <w:rPr>
          <w:noProof/>
        </w:rPr>
        <w:tab/>
      </w:r>
      <w:r w:rsidRPr="00BC7757">
        <w:rPr>
          <w:noProof/>
        </w:rPr>
        <w:fldChar w:fldCharType="begin"/>
      </w:r>
      <w:r w:rsidRPr="00BC7757">
        <w:rPr>
          <w:noProof/>
        </w:rPr>
        <w:instrText xml:space="preserve"> PAGEREF _Toc327539586 \h </w:instrText>
      </w:r>
      <w:r w:rsidRPr="00BC7757">
        <w:rPr>
          <w:noProof/>
        </w:rPr>
      </w:r>
      <w:r w:rsidRPr="00BC7757">
        <w:rPr>
          <w:noProof/>
        </w:rPr>
        <w:fldChar w:fldCharType="separate"/>
      </w:r>
      <w:r w:rsidR="006C5B9E">
        <w:rPr>
          <w:noProof/>
        </w:rPr>
        <w:t>282</w:t>
      </w:r>
      <w:r w:rsidRPr="00BC7757">
        <w:rPr>
          <w:noProof/>
        </w:rPr>
        <w:fldChar w:fldCharType="end"/>
      </w:r>
    </w:p>
    <w:p w14:paraId="58FF2A43" w14:textId="7862D8CF" w:rsidR="00BC7757" w:rsidRPr="00BC7757" w:rsidRDefault="00BC7757" w:rsidP="00BC7757">
      <w:pPr>
        <w:pStyle w:val="TM2"/>
        <w:tabs>
          <w:tab w:val="left" w:pos="1440"/>
        </w:tabs>
        <w:rPr>
          <w:rFonts w:ascii="Calibri" w:hAnsi="Calibri"/>
          <w:noProof/>
          <w:sz w:val="22"/>
          <w:szCs w:val="22"/>
          <w:lang w:eastAsia="en-US"/>
        </w:rPr>
      </w:pPr>
      <w:r w:rsidRPr="00BC7757">
        <w:rPr>
          <w:noProof/>
        </w:rPr>
        <w:t>39.</w:t>
      </w:r>
      <w:r w:rsidRPr="00BC7757">
        <w:rPr>
          <w:rFonts w:ascii="Calibri" w:hAnsi="Calibri"/>
          <w:noProof/>
          <w:sz w:val="22"/>
          <w:szCs w:val="22"/>
          <w:lang w:eastAsia="en-US"/>
        </w:rPr>
        <w:tab/>
      </w:r>
      <w:r w:rsidRPr="00BC7757">
        <w:rPr>
          <w:noProof/>
        </w:rPr>
        <w:t>Vices de construction</w:t>
      </w:r>
      <w:r w:rsidRPr="00BC7757">
        <w:rPr>
          <w:noProof/>
        </w:rPr>
        <w:tab/>
      </w:r>
      <w:r w:rsidRPr="00BC7757">
        <w:rPr>
          <w:noProof/>
        </w:rPr>
        <w:fldChar w:fldCharType="begin"/>
      </w:r>
      <w:r w:rsidRPr="00BC7757">
        <w:rPr>
          <w:noProof/>
        </w:rPr>
        <w:instrText xml:space="preserve"> PAGEREF _Toc327539587 \h </w:instrText>
      </w:r>
      <w:r w:rsidRPr="00BC7757">
        <w:rPr>
          <w:noProof/>
        </w:rPr>
      </w:r>
      <w:r w:rsidRPr="00BC7757">
        <w:rPr>
          <w:noProof/>
        </w:rPr>
        <w:fldChar w:fldCharType="separate"/>
      </w:r>
      <w:r w:rsidR="006C5B9E">
        <w:rPr>
          <w:noProof/>
        </w:rPr>
        <w:t>282</w:t>
      </w:r>
      <w:r w:rsidRPr="00BC7757">
        <w:rPr>
          <w:noProof/>
        </w:rPr>
        <w:fldChar w:fldCharType="end"/>
      </w:r>
    </w:p>
    <w:p w14:paraId="50054426" w14:textId="272E49B9" w:rsidR="00BC7757" w:rsidRPr="00BC7757" w:rsidRDefault="00BC7757" w:rsidP="00BC7757">
      <w:pPr>
        <w:pStyle w:val="TM2"/>
        <w:tabs>
          <w:tab w:val="left" w:pos="1440"/>
        </w:tabs>
        <w:rPr>
          <w:rFonts w:ascii="Calibri" w:hAnsi="Calibri"/>
          <w:noProof/>
          <w:sz w:val="22"/>
          <w:szCs w:val="22"/>
          <w:lang w:eastAsia="en-US"/>
        </w:rPr>
      </w:pPr>
      <w:r w:rsidRPr="00BC7757">
        <w:rPr>
          <w:noProof/>
        </w:rPr>
        <w:t>40.</w:t>
      </w:r>
      <w:r w:rsidRPr="00BC7757">
        <w:rPr>
          <w:rFonts w:ascii="Calibri" w:hAnsi="Calibri"/>
          <w:noProof/>
          <w:sz w:val="22"/>
          <w:szCs w:val="22"/>
          <w:lang w:eastAsia="en-US"/>
        </w:rPr>
        <w:tab/>
      </w:r>
      <w:r w:rsidRPr="00BC7757">
        <w:rPr>
          <w:noProof/>
        </w:rPr>
        <w:t>Documents fournis après exécution</w:t>
      </w:r>
      <w:r w:rsidRPr="00BC7757">
        <w:rPr>
          <w:noProof/>
        </w:rPr>
        <w:tab/>
      </w:r>
      <w:r w:rsidRPr="00BC7757">
        <w:rPr>
          <w:noProof/>
        </w:rPr>
        <w:fldChar w:fldCharType="begin"/>
      </w:r>
      <w:r w:rsidRPr="00BC7757">
        <w:rPr>
          <w:noProof/>
        </w:rPr>
        <w:instrText xml:space="preserve"> PAGEREF _Toc327539588 \h </w:instrText>
      </w:r>
      <w:r w:rsidRPr="00BC7757">
        <w:rPr>
          <w:noProof/>
        </w:rPr>
      </w:r>
      <w:r w:rsidRPr="00BC7757">
        <w:rPr>
          <w:noProof/>
        </w:rPr>
        <w:fldChar w:fldCharType="separate"/>
      </w:r>
      <w:r w:rsidR="006C5B9E">
        <w:rPr>
          <w:noProof/>
        </w:rPr>
        <w:t>283</w:t>
      </w:r>
      <w:r w:rsidRPr="00BC7757">
        <w:rPr>
          <w:noProof/>
        </w:rPr>
        <w:fldChar w:fldCharType="end"/>
      </w:r>
    </w:p>
    <w:p w14:paraId="751450A6" w14:textId="614B3607" w:rsidR="00BC7757" w:rsidRPr="00BC7757" w:rsidRDefault="00BC7757" w:rsidP="00BC7757">
      <w:pPr>
        <w:pStyle w:val="TM1"/>
        <w:rPr>
          <w:rFonts w:ascii="Calibri" w:hAnsi="Calibri"/>
          <w:b w:val="0"/>
          <w:noProof/>
          <w:sz w:val="22"/>
          <w:szCs w:val="22"/>
          <w:lang w:eastAsia="en-US"/>
        </w:rPr>
      </w:pPr>
      <w:r w:rsidRPr="00BC7757">
        <w:rPr>
          <w:noProof/>
        </w:rPr>
        <w:t>E.  Réception et Garanties</w:t>
      </w:r>
      <w:r w:rsidRPr="00BC7757">
        <w:rPr>
          <w:noProof/>
        </w:rPr>
        <w:tab/>
      </w:r>
      <w:r w:rsidRPr="00BC7757">
        <w:rPr>
          <w:noProof/>
        </w:rPr>
        <w:fldChar w:fldCharType="begin"/>
      </w:r>
      <w:r w:rsidRPr="00BC7757">
        <w:rPr>
          <w:noProof/>
        </w:rPr>
        <w:instrText xml:space="preserve"> PAGEREF _Toc327539589 \h </w:instrText>
      </w:r>
      <w:r w:rsidRPr="00BC7757">
        <w:rPr>
          <w:noProof/>
        </w:rPr>
      </w:r>
      <w:r w:rsidRPr="00BC7757">
        <w:rPr>
          <w:noProof/>
        </w:rPr>
        <w:fldChar w:fldCharType="separate"/>
      </w:r>
      <w:r w:rsidR="006C5B9E">
        <w:rPr>
          <w:noProof/>
        </w:rPr>
        <w:t>283</w:t>
      </w:r>
      <w:r w:rsidRPr="00BC7757">
        <w:rPr>
          <w:noProof/>
        </w:rPr>
        <w:fldChar w:fldCharType="end"/>
      </w:r>
    </w:p>
    <w:p w14:paraId="2766F142" w14:textId="38D7BFFE" w:rsidR="00BC7757" w:rsidRPr="00BC7757" w:rsidRDefault="00BC7757" w:rsidP="00BC7757">
      <w:pPr>
        <w:pStyle w:val="TM2"/>
        <w:tabs>
          <w:tab w:val="left" w:pos="1440"/>
        </w:tabs>
        <w:rPr>
          <w:rFonts w:ascii="Calibri" w:hAnsi="Calibri"/>
          <w:noProof/>
          <w:sz w:val="22"/>
          <w:szCs w:val="22"/>
          <w:lang w:eastAsia="en-US"/>
        </w:rPr>
      </w:pPr>
      <w:r w:rsidRPr="00BC7757">
        <w:rPr>
          <w:noProof/>
        </w:rPr>
        <w:t>41.</w:t>
      </w:r>
      <w:r w:rsidRPr="00BC7757">
        <w:rPr>
          <w:rFonts w:ascii="Calibri" w:hAnsi="Calibri"/>
          <w:noProof/>
          <w:sz w:val="22"/>
          <w:szCs w:val="22"/>
          <w:lang w:eastAsia="en-US"/>
        </w:rPr>
        <w:tab/>
      </w:r>
      <w:r w:rsidRPr="00BC7757">
        <w:rPr>
          <w:noProof/>
        </w:rPr>
        <w:t>Réception provisoire</w:t>
      </w:r>
      <w:r w:rsidRPr="00BC7757">
        <w:rPr>
          <w:noProof/>
        </w:rPr>
        <w:tab/>
      </w:r>
      <w:r w:rsidRPr="00BC7757">
        <w:rPr>
          <w:noProof/>
        </w:rPr>
        <w:fldChar w:fldCharType="begin"/>
      </w:r>
      <w:r w:rsidRPr="00BC7757">
        <w:rPr>
          <w:noProof/>
        </w:rPr>
        <w:instrText xml:space="preserve"> PAGEREF _Toc327539590 \h </w:instrText>
      </w:r>
      <w:r w:rsidRPr="00BC7757">
        <w:rPr>
          <w:noProof/>
        </w:rPr>
      </w:r>
      <w:r w:rsidRPr="00BC7757">
        <w:rPr>
          <w:noProof/>
        </w:rPr>
        <w:fldChar w:fldCharType="separate"/>
      </w:r>
      <w:r w:rsidR="006C5B9E">
        <w:rPr>
          <w:noProof/>
        </w:rPr>
        <w:t>283</w:t>
      </w:r>
      <w:r w:rsidRPr="00BC7757">
        <w:rPr>
          <w:noProof/>
        </w:rPr>
        <w:fldChar w:fldCharType="end"/>
      </w:r>
    </w:p>
    <w:p w14:paraId="33423BAE" w14:textId="7427750D" w:rsidR="00BC7757" w:rsidRPr="00BC7757" w:rsidRDefault="00BC7757" w:rsidP="00BC7757">
      <w:pPr>
        <w:pStyle w:val="TM2"/>
        <w:tabs>
          <w:tab w:val="left" w:pos="1440"/>
        </w:tabs>
        <w:rPr>
          <w:rFonts w:ascii="Calibri" w:hAnsi="Calibri"/>
          <w:noProof/>
          <w:sz w:val="22"/>
          <w:szCs w:val="22"/>
          <w:lang w:eastAsia="en-US"/>
        </w:rPr>
      </w:pPr>
      <w:r w:rsidRPr="00BC7757">
        <w:rPr>
          <w:noProof/>
        </w:rPr>
        <w:t>42.</w:t>
      </w:r>
      <w:r w:rsidRPr="00BC7757">
        <w:rPr>
          <w:rFonts w:ascii="Calibri" w:hAnsi="Calibri"/>
          <w:noProof/>
          <w:sz w:val="22"/>
          <w:szCs w:val="22"/>
          <w:lang w:eastAsia="en-US"/>
        </w:rPr>
        <w:tab/>
      </w:r>
      <w:r w:rsidRPr="00BC7757">
        <w:rPr>
          <w:noProof/>
        </w:rPr>
        <w:t>Réception définitive</w:t>
      </w:r>
      <w:r w:rsidRPr="00BC7757">
        <w:rPr>
          <w:noProof/>
        </w:rPr>
        <w:tab/>
      </w:r>
      <w:r w:rsidRPr="00BC7757">
        <w:rPr>
          <w:noProof/>
        </w:rPr>
        <w:fldChar w:fldCharType="begin"/>
      </w:r>
      <w:r w:rsidRPr="00BC7757">
        <w:rPr>
          <w:noProof/>
        </w:rPr>
        <w:instrText xml:space="preserve"> PAGEREF _Toc327539591 \h </w:instrText>
      </w:r>
      <w:r w:rsidRPr="00BC7757">
        <w:rPr>
          <w:noProof/>
        </w:rPr>
      </w:r>
      <w:r w:rsidRPr="00BC7757">
        <w:rPr>
          <w:noProof/>
        </w:rPr>
        <w:fldChar w:fldCharType="separate"/>
      </w:r>
      <w:r w:rsidR="006C5B9E">
        <w:rPr>
          <w:noProof/>
        </w:rPr>
        <w:t>286</w:t>
      </w:r>
      <w:r w:rsidRPr="00BC7757">
        <w:rPr>
          <w:noProof/>
        </w:rPr>
        <w:fldChar w:fldCharType="end"/>
      </w:r>
    </w:p>
    <w:p w14:paraId="0EF85FBA" w14:textId="45D22942" w:rsidR="00BC7757" w:rsidRPr="00BC7757" w:rsidRDefault="00BC7757" w:rsidP="00BC7757">
      <w:pPr>
        <w:pStyle w:val="TM2"/>
        <w:tabs>
          <w:tab w:val="left" w:pos="1440"/>
        </w:tabs>
        <w:rPr>
          <w:rFonts w:ascii="Calibri" w:hAnsi="Calibri"/>
          <w:noProof/>
          <w:sz w:val="22"/>
          <w:szCs w:val="22"/>
          <w:lang w:eastAsia="en-US"/>
        </w:rPr>
      </w:pPr>
      <w:r w:rsidRPr="00BC7757">
        <w:rPr>
          <w:noProof/>
        </w:rPr>
        <w:t>43.</w:t>
      </w:r>
      <w:r w:rsidRPr="00BC7757">
        <w:rPr>
          <w:rFonts w:ascii="Calibri" w:hAnsi="Calibri"/>
          <w:noProof/>
          <w:sz w:val="22"/>
          <w:szCs w:val="22"/>
          <w:lang w:eastAsia="en-US"/>
        </w:rPr>
        <w:tab/>
      </w:r>
      <w:r w:rsidRPr="00BC7757">
        <w:rPr>
          <w:noProof/>
        </w:rPr>
        <w:t>Mise à disposition de certains ouvrages ou parties d’ouvrages</w:t>
      </w:r>
      <w:r w:rsidRPr="00BC7757">
        <w:rPr>
          <w:noProof/>
        </w:rPr>
        <w:tab/>
      </w:r>
      <w:r w:rsidRPr="00BC7757">
        <w:rPr>
          <w:noProof/>
        </w:rPr>
        <w:fldChar w:fldCharType="begin"/>
      </w:r>
      <w:r w:rsidRPr="00BC7757">
        <w:rPr>
          <w:noProof/>
        </w:rPr>
        <w:instrText xml:space="preserve"> PAGEREF _Toc327539592 \h </w:instrText>
      </w:r>
      <w:r w:rsidRPr="00BC7757">
        <w:rPr>
          <w:noProof/>
        </w:rPr>
      </w:r>
      <w:r w:rsidRPr="00BC7757">
        <w:rPr>
          <w:noProof/>
        </w:rPr>
        <w:fldChar w:fldCharType="separate"/>
      </w:r>
      <w:r w:rsidR="006C5B9E">
        <w:rPr>
          <w:noProof/>
        </w:rPr>
        <w:t>286</w:t>
      </w:r>
      <w:r w:rsidRPr="00BC7757">
        <w:rPr>
          <w:noProof/>
        </w:rPr>
        <w:fldChar w:fldCharType="end"/>
      </w:r>
    </w:p>
    <w:p w14:paraId="697D0A0E" w14:textId="6689FDA7" w:rsidR="00BC7757" w:rsidRPr="00BC7757" w:rsidRDefault="00BC7757" w:rsidP="00BC7757">
      <w:pPr>
        <w:pStyle w:val="TM2"/>
        <w:tabs>
          <w:tab w:val="left" w:pos="1440"/>
        </w:tabs>
        <w:rPr>
          <w:rFonts w:ascii="Calibri" w:hAnsi="Calibri"/>
          <w:noProof/>
          <w:sz w:val="22"/>
          <w:szCs w:val="22"/>
          <w:lang w:eastAsia="en-US"/>
        </w:rPr>
      </w:pPr>
      <w:r w:rsidRPr="00BC7757">
        <w:rPr>
          <w:noProof/>
        </w:rPr>
        <w:t>44.</w:t>
      </w:r>
      <w:r w:rsidRPr="00BC7757">
        <w:rPr>
          <w:rFonts w:ascii="Calibri" w:hAnsi="Calibri"/>
          <w:noProof/>
          <w:sz w:val="22"/>
          <w:szCs w:val="22"/>
          <w:lang w:eastAsia="en-US"/>
        </w:rPr>
        <w:tab/>
      </w:r>
      <w:r w:rsidRPr="00BC7757">
        <w:rPr>
          <w:noProof/>
        </w:rPr>
        <w:t>Garanties contractuelles</w:t>
      </w:r>
      <w:r w:rsidRPr="00BC7757">
        <w:rPr>
          <w:noProof/>
        </w:rPr>
        <w:tab/>
      </w:r>
      <w:r w:rsidRPr="00BC7757">
        <w:rPr>
          <w:noProof/>
        </w:rPr>
        <w:fldChar w:fldCharType="begin"/>
      </w:r>
      <w:r w:rsidRPr="00BC7757">
        <w:rPr>
          <w:noProof/>
        </w:rPr>
        <w:instrText xml:space="preserve"> PAGEREF _Toc327539593 \h </w:instrText>
      </w:r>
      <w:r w:rsidRPr="00BC7757">
        <w:rPr>
          <w:noProof/>
        </w:rPr>
      </w:r>
      <w:r w:rsidRPr="00BC7757">
        <w:rPr>
          <w:noProof/>
        </w:rPr>
        <w:fldChar w:fldCharType="separate"/>
      </w:r>
      <w:r w:rsidR="006C5B9E">
        <w:rPr>
          <w:noProof/>
        </w:rPr>
        <w:t>287</w:t>
      </w:r>
      <w:r w:rsidRPr="00BC7757">
        <w:rPr>
          <w:noProof/>
        </w:rPr>
        <w:fldChar w:fldCharType="end"/>
      </w:r>
    </w:p>
    <w:p w14:paraId="7CF7B0B8" w14:textId="3EE113C4" w:rsidR="00BC7757" w:rsidRPr="00BC7757" w:rsidRDefault="00BC7757" w:rsidP="00BC7757">
      <w:pPr>
        <w:pStyle w:val="TM2"/>
        <w:tabs>
          <w:tab w:val="left" w:pos="1440"/>
        </w:tabs>
        <w:rPr>
          <w:rFonts w:ascii="Calibri" w:hAnsi="Calibri"/>
          <w:noProof/>
          <w:sz w:val="22"/>
          <w:szCs w:val="22"/>
          <w:lang w:eastAsia="en-US"/>
        </w:rPr>
      </w:pPr>
      <w:r w:rsidRPr="00BC7757">
        <w:rPr>
          <w:noProof/>
        </w:rPr>
        <w:t>45.</w:t>
      </w:r>
      <w:r w:rsidRPr="00BC7757">
        <w:rPr>
          <w:rFonts w:ascii="Calibri" w:hAnsi="Calibri"/>
          <w:noProof/>
          <w:sz w:val="22"/>
          <w:szCs w:val="22"/>
          <w:lang w:eastAsia="en-US"/>
        </w:rPr>
        <w:tab/>
      </w:r>
      <w:r w:rsidRPr="00BC7757">
        <w:rPr>
          <w:noProof/>
        </w:rPr>
        <w:t>Garantie légale</w:t>
      </w:r>
      <w:r w:rsidRPr="00BC7757">
        <w:rPr>
          <w:noProof/>
        </w:rPr>
        <w:tab/>
      </w:r>
      <w:r w:rsidRPr="00BC7757">
        <w:rPr>
          <w:noProof/>
        </w:rPr>
        <w:fldChar w:fldCharType="begin"/>
      </w:r>
      <w:r w:rsidRPr="00BC7757">
        <w:rPr>
          <w:noProof/>
        </w:rPr>
        <w:instrText xml:space="preserve"> PAGEREF _Toc327539594 \h </w:instrText>
      </w:r>
      <w:r w:rsidRPr="00BC7757">
        <w:rPr>
          <w:noProof/>
        </w:rPr>
      </w:r>
      <w:r w:rsidRPr="00BC7757">
        <w:rPr>
          <w:noProof/>
        </w:rPr>
        <w:fldChar w:fldCharType="separate"/>
      </w:r>
      <w:r w:rsidR="006C5B9E">
        <w:rPr>
          <w:noProof/>
        </w:rPr>
        <w:t>288</w:t>
      </w:r>
      <w:r w:rsidRPr="00BC7757">
        <w:rPr>
          <w:noProof/>
        </w:rPr>
        <w:fldChar w:fldCharType="end"/>
      </w:r>
    </w:p>
    <w:p w14:paraId="454389CA" w14:textId="745DBA62" w:rsidR="00BC7757" w:rsidRPr="00BC7757" w:rsidRDefault="00BC7757" w:rsidP="00BC7757">
      <w:pPr>
        <w:pStyle w:val="TM1"/>
        <w:rPr>
          <w:rFonts w:ascii="Calibri" w:hAnsi="Calibri"/>
          <w:b w:val="0"/>
          <w:noProof/>
          <w:sz w:val="22"/>
          <w:szCs w:val="22"/>
          <w:lang w:eastAsia="en-US"/>
        </w:rPr>
      </w:pPr>
      <w:r w:rsidRPr="00BC7757">
        <w:rPr>
          <w:noProof/>
        </w:rPr>
        <w:t>F.  Résiliation du Marché - Interruption des Travaux</w:t>
      </w:r>
      <w:r w:rsidRPr="00BC7757">
        <w:rPr>
          <w:noProof/>
        </w:rPr>
        <w:tab/>
      </w:r>
      <w:r w:rsidRPr="00BC7757">
        <w:rPr>
          <w:noProof/>
        </w:rPr>
        <w:fldChar w:fldCharType="begin"/>
      </w:r>
      <w:r w:rsidRPr="00BC7757">
        <w:rPr>
          <w:noProof/>
        </w:rPr>
        <w:instrText xml:space="preserve"> PAGEREF _Toc327539595 \h </w:instrText>
      </w:r>
      <w:r w:rsidRPr="00BC7757">
        <w:rPr>
          <w:noProof/>
        </w:rPr>
      </w:r>
      <w:r w:rsidRPr="00BC7757">
        <w:rPr>
          <w:noProof/>
        </w:rPr>
        <w:fldChar w:fldCharType="separate"/>
      </w:r>
      <w:r w:rsidR="006C5B9E">
        <w:rPr>
          <w:noProof/>
        </w:rPr>
        <w:t>288</w:t>
      </w:r>
      <w:r w:rsidRPr="00BC7757">
        <w:rPr>
          <w:noProof/>
        </w:rPr>
        <w:fldChar w:fldCharType="end"/>
      </w:r>
    </w:p>
    <w:p w14:paraId="4B09E977" w14:textId="61C4DF8E" w:rsidR="00BC7757" w:rsidRPr="00BC7757" w:rsidRDefault="00BC7757" w:rsidP="00BC7757">
      <w:pPr>
        <w:pStyle w:val="TM2"/>
        <w:tabs>
          <w:tab w:val="left" w:pos="1440"/>
        </w:tabs>
        <w:rPr>
          <w:rFonts w:ascii="Calibri" w:hAnsi="Calibri"/>
          <w:noProof/>
          <w:sz w:val="22"/>
          <w:szCs w:val="22"/>
          <w:lang w:eastAsia="en-US"/>
        </w:rPr>
      </w:pPr>
      <w:r w:rsidRPr="00BC7757">
        <w:rPr>
          <w:noProof/>
        </w:rPr>
        <w:t>46.</w:t>
      </w:r>
      <w:r w:rsidRPr="00BC7757">
        <w:rPr>
          <w:rFonts w:ascii="Calibri" w:hAnsi="Calibri"/>
          <w:noProof/>
          <w:sz w:val="22"/>
          <w:szCs w:val="22"/>
          <w:lang w:eastAsia="en-US"/>
        </w:rPr>
        <w:tab/>
      </w:r>
      <w:r w:rsidRPr="00BC7757">
        <w:rPr>
          <w:noProof/>
        </w:rPr>
        <w:t>Résiliation du Marché</w:t>
      </w:r>
      <w:r w:rsidRPr="00BC7757">
        <w:rPr>
          <w:noProof/>
        </w:rPr>
        <w:tab/>
      </w:r>
      <w:r w:rsidRPr="00BC7757">
        <w:rPr>
          <w:noProof/>
        </w:rPr>
        <w:fldChar w:fldCharType="begin"/>
      </w:r>
      <w:r w:rsidRPr="00BC7757">
        <w:rPr>
          <w:noProof/>
        </w:rPr>
        <w:instrText xml:space="preserve"> PAGEREF _Toc327539596 \h </w:instrText>
      </w:r>
      <w:r w:rsidRPr="00BC7757">
        <w:rPr>
          <w:noProof/>
        </w:rPr>
      </w:r>
      <w:r w:rsidRPr="00BC7757">
        <w:rPr>
          <w:noProof/>
        </w:rPr>
        <w:fldChar w:fldCharType="separate"/>
      </w:r>
      <w:r w:rsidR="006C5B9E">
        <w:rPr>
          <w:noProof/>
        </w:rPr>
        <w:t>288</w:t>
      </w:r>
      <w:r w:rsidRPr="00BC7757">
        <w:rPr>
          <w:noProof/>
        </w:rPr>
        <w:fldChar w:fldCharType="end"/>
      </w:r>
    </w:p>
    <w:p w14:paraId="564E6753" w14:textId="07D83628" w:rsidR="00BC7757" w:rsidRPr="00BC7757" w:rsidRDefault="00BC7757" w:rsidP="00BC7757">
      <w:pPr>
        <w:pStyle w:val="TM2"/>
        <w:tabs>
          <w:tab w:val="left" w:pos="1440"/>
        </w:tabs>
        <w:rPr>
          <w:rFonts w:ascii="Calibri" w:hAnsi="Calibri"/>
          <w:noProof/>
          <w:sz w:val="22"/>
          <w:szCs w:val="22"/>
          <w:lang w:eastAsia="en-US"/>
        </w:rPr>
      </w:pPr>
      <w:r w:rsidRPr="00BC7757">
        <w:rPr>
          <w:noProof/>
        </w:rPr>
        <w:t>47.</w:t>
      </w:r>
      <w:r w:rsidRPr="00BC7757">
        <w:rPr>
          <w:rFonts w:ascii="Calibri" w:hAnsi="Calibri"/>
          <w:noProof/>
          <w:sz w:val="22"/>
          <w:szCs w:val="22"/>
          <w:lang w:eastAsia="en-US"/>
        </w:rPr>
        <w:tab/>
      </w:r>
      <w:r w:rsidRPr="00BC7757">
        <w:rPr>
          <w:noProof/>
        </w:rPr>
        <w:t>Décès, incapacité, règlement judiciaire ou liquidation des biens de l’Entrepreneur</w:t>
      </w:r>
      <w:r w:rsidRPr="00BC7757">
        <w:rPr>
          <w:noProof/>
        </w:rPr>
        <w:tab/>
      </w:r>
      <w:r w:rsidRPr="00BC7757">
        <w:rPr>
          <w:noProof/>
        </w:rPr>
        <w:fldChar w:fldCharType="begin"/>
      </w:r>
      <w:r w:rsidRPr="00BC7757">
        <w:rPr>
          <w:noProof/>
        </w:rPr>
        <w:instrText xml:space="preserve"> PAGEREF _Toc327539597 \h </w:instrText>
      </w:r>
      <w:r w:rsidRPr="00BC7757">
        <w:rPr>
          <w:noProof/>
        </w:rPr>
      </w:r>
      <w:r w:rsidRPr="00BC7757">
        <w:rPr>
          <w:noProof/>
        </w:rPr>
        <w:fldChar w:fldCharType="separate"/>
      </w:r>
      <w:r w:rsidR="006C5B9E">
        <w:rPr>
          <w:noProof/>
        </w:rPr>
        <w:t>290</w:t>
      </w:r>
      <w:r w:rsidRPr="00BC7757">
        <w:rPr>
          <w:noProof/>
        </w:rPr>
        <w:fldChar w:fldCharType="end"/>
      </w:r>
    </w:p>
    <w:p w14:paraId="18DEC6FA" w14:textId="4ACD03EC" w:rsidR="00BC7757" w:rsidRPr="00BC7757" w:rsidRDefault="00BC7757" w:rsidP="00BC7757">
      <w:pPr>
        <w:pStyle w:val="TM2"/>
        <w:tabs>
          <w:tab w:val="left" w:pos="1440"/>
        </w:tabs>
        <w:rPr>
          <w:rFonts w:ascii="Calibri" w:hAnsi="Calibri"/>
          <w:noProof/>
          <w:sz w:val="22"/>
          <w:szCs w:val="22"/>
          <w:lang w:eastAsia="en-US"/>
        </w:rPr>
      </w:pPr>
      <w:r w:rsidRPr="00BC7757">
        <w:rPr>
          <w:noProof/>
        </w:rPr>
        <w:t>48.</w:t>
      </w:r>
      <w:r w:rsidRPr="00BC7757">
        <w:rPr>
          <w:rFonts w:ascii="Calibri" w:hAnsi="Calibri"/>
          <w:noProof/>
          <w:sz w:val="22"/>
          <w:szCs w:val="22"/>
          <w:lang w:eastAsia="en-US"/>
        </w:rPr>
        <w:tab/>
      </w:r>
      <w:r w:rsidRPr="00BC7757">
        <w:rPr>
          <w:noProof/>
        </w:rPr>
        <w:t>Ajournement des travaux</w:t>
      </w:r>
      <w:r w:rsidRPr="00BC7757">
        <w:rPr>
          <w:noProof/>
        </w:rPr>
        <w:tab/>
      </w:r>
      <w:r w:rsidRPr="00BC7757">
        <w:rPr>
          <w:noProof/>
        </w:rPr>
        <w:fldChar w:fldCharType="begin"/>
      </w:r>
      <w:r w:rsidRPr="00BC7757">
        <w:rPr>
          <w:noProof/>
        </w:rPr>
        <w:instrText xml:space="preserve"> PAGEREF _Toc327539598 \h </w:instrText>
      </w:r>
      <w:r w:rsidRPr="00BC7757">
        <w:rPr>
          <w:noProof/>
        </w:rPr>
      </w:r>
      <w:r w:rsidRPr="00BC7757">
        <w:rPr>
          <w:noProof/>
        </w:rPr>
        <w:fldChar w:fldCharType="separate"/>
      </w:r>
      <w:r w:rsidR="006C5B9E">
        <w:rPr>
          <w:noProof/>
        </w:rPr>
        <w:t>290</w:t>
      </w:r>
      <w:r w:rsidRPr="00BC7757">
        <w:rPr>
          <w:noProof/>
        </w:rPr>
        <w:fldChar w:fldCharType="end"/>
      </w:r>
    </w:p>
    <w:p w14:paraId="358426E8" w14:textId="78A5BC0F" w:rsidR="00BC7757" w:rsidRPr="00BC7757" w:rsidRDefault="00BC7757" w:rsidP="00BC7757">
      <w:pPr>
        <w:pStyle w:val="TM1"/>
        <w:rPr>
          <w:rFonts w:ascii="Calibri" w:hAnsi="Calibri"/>
          <w:b w:val="0"/>
          <w:noProof/>
          <w:sz w:val="22"/>
          <w:szCs w:val="22"/>
          <w:lang w:eastAsia="en-US"/>
        </w:rPr>
      </w:pPr>
      <w:r w:rsidRPr="00BC7757">
        <w:rPr>
          <w:noProof/>
        </w:rPr>
        <w:t>G.  Mesures coercitives - Règlement des différends et des litiges - Entrée en vigueur</w:t>
      </w:r>
      <w:r w:rsidRPr="00BC7757">
        <w:rPr>
          <w:noProof/>
        </w:rPr>
        <w:tab/>
      </w:r>
      <w:r w:rsidRPr="00BC7757">
        <w:rPr>
          <w:noProof/>
        </w:rPr>
        <w:fldChar w:fldCharType="begin"/>
      </w:r>
      <w:r w:rsidRPr="00BC7757">
        <w:rPr>
          <w:noProof/>
        </w:rPr>
        <w:instrText xml:space="preserve"> PAGEREF _Toc327539599 \h </w:instrText>
      </w:r>
      <w:r w:rsidRPr="00BC7757">
        <w:rPr>
          <w:noProof/>
        </w:rPr>
      </w:r>
      <w:r w:rsidRPr="00BC7757">
        <w:rPr>
          <w:noProof/>
        </w:rPr>
        <w:fldChar w:fldCharType="separate"/>
      </w:r>
      <w:r w:rsidR="006C5B9E">
        <w:rPr>
          <w:noProof/>
        </w:rPr>
        <w:t>291</w:t>
      </w:r>
      <w:r w:rsidRPr="00BC7757">
        <w:rPr>
          <w:noProof/>
        </w:rPr>
        <w:fldChar w:fldCharType="end"/>
      </w:r>
    </w:p>
    <w:p w14:paraId="29D57410" w14:textId="0E18AA48" w:rsidR="00BC7757" w:rsidRPr="00BC7757" w:rsidRDefault="00BC7757" w:rsidP="00BC7757">
      <w:pPr>
        <w:pStyle w:val="TM2"/>
        <w:tabs>
          <w:tab w:val="left" w:pos="1440"/>
        </w:tabs>
        <w:rPr>
          <w:rFonts w:ascii="Calibri" w:hAnsi="Calibri"/>
          <w:noProof/>
          <w:sz w:val="22"/>
          <w:szCs w:val="22"/>
          <w:lang w:eastAsia="en-US"/>
        </w:rPr>
      </w:pPr>
      <w:r w:rsidRPr="00BC7757">
        <w:rPr>
          <w:noProof/>
        </w:rPr>
        <w:t>49.</w:t>
      </w:r>
      <w:r w:rsidRPr="00BC7757">
        <w:rPr>
          <w:rFonts w:ascii="Calibri" w:hAnsi="Calibri"/>
          <w:noProof/>
          <w:sz w:val="22"/>
          <w:szCs w:val="22"/>
          <w:lang w:eastAsia="en-US"/>
        </w:rPr>
        <w:tab/>
      </w:r>
      <w:r w:rsidRPr="00BC7757">
        <w:rPr>
          <w:noProof/>
        </w:rPr>
        <w:t>Mesures coercitives</w:t>
      </w:r>
      <w:r w:rsidRPr="00BC7757">
        <w:rPr>
          <w:noProof/>
        </w:rPr>
        <w:tab/>
      </w:r>
      <w:r w:rsidRPr="00BC7757">
        <w:rPr>
          <w:noProof/>
        </w:rPr>
        <w:fldChar w:fldCharType="begin"/>
      </w:r>
      <w:r w:rsidRPr="00BC7757">
        <w:rPr>
          <w:noProof/>
        </w:rPr>
        <w:instrText xml:space="preserve"> PAGEREF _Toc327539600 \h </w:instrText>
      </w:r>
      <w:r w:rsidRPr="00BC7757">
        <w:rPr>
          <w:noProof/>
        </w:rPr>
      </w:r>
      <w:r w:rsidRPr="00BC7757">
        <w:rPr>
          <w:noProof/>
        </w:rPr>
        <w:fldChar w:fldCharType="separate"/>
      </w:r>
      <w:r w:rsidR="006C5B9E">
        <w:rPr>
          <w:noProof/>
        </w:rPr>
        <w:t>291</w:t>
      </w:r>
      <w:r w:rsidRPr="00BC7757">
        <w:rPr>
          <w:noProof/>
        </w:rPr>
        <w:fldChar w:fldCharType="end"/>
      </w:r>
    </w:p>
    <w:p w14:paraId="7CD26539" w14:textId="0CE71258" w:rsidR="00BC7757" w:rsidRPr="00BC7757" w:rsidRDefault="00BC7757" w:rsidP="00BC7757">
      <w:pPr>
        <w:pStyle w:val="TM2"/>
        <w:tabs>
          <w:tab w:val="left" w:pos="1440"/>
        </w:tabs>
        <w:rPr>
          <w:rFonts w:ascii="Calibri" w:hAnsi="Calibri"/>
          <w:noProof/>
          <w:sz w:val="22"/>
          <w:szCs w:val="22"/>
          <w:lang w:eastAsia="en-US"/>
        </w:rPr>
      </w:pPr>
      <w:r w:rsidRPr="00BC7757">
        <w:rPr>
          <w:noProof/>
        </w:rPr>
        <w:t>50.</w:t>
      </w:r>
      <w:r w:rsidRPr="00BC7757">
        <w:rPr>
          <w:rFonts w:ascii="Calibri" w:hAnsi="Calibri"/>
          <w:noProof/>
          <w:sz w:val="22"/>
          <w:szCs w:val="22"/>
          <w:lang w:eastAsia="en-US"/>
        </w:rPr>
        <w:tab/>
      </w:r>
      <w:r w:rsidRPr="00BC7757">
        <w:rPr>
          <w:noProof/>
        </w:rPr>
        <w:t>Règlement des différends et des litiges</w:t>
      </w:r>
      <w:r w:rsidRPr="00BC7757">
        <w:rPr>
          <w:noProof/>
        </w:rPr>
        <w:tab/>
      </w:r>
      <w:r w:rsidRPr="00BC7757">
        <w:rPr>
          <w:noProof/>
        </w:rPr>
        <w:fldChar w:fldCharType="begin"/>
      </w:r>
      <w:r w:rsidRPr="00BC7757">
        <w:rPr>
          <w:noProof/>
        </w:rPr>
        <w:instrText xml:space="preserve"> PAGEREF _Toc327539601 \h </w:instrText>
      </w:r>
      <w:r w:rsidRPr="00BC7757">
        <w:rPr>
          <w:noProof/>
        </w:rPr>
      </w:r>
      <w:r w:rsidRPr="00BC7757">
        <w:rPr>
          <w:noProof/>
        </w:rPr>
        <w:fldChar w:fldCharType="separate"/>
      </w:r>
      <w:r w:rsidR="006C5B9E">
        <w:rPr>
          <w:noProof/>
        </w:rPr>
        <w:t>292</w:t>
      </w:r>
      <w:r w:rsidRPr="00BC7757">
        <w:rPr>
          <w:noProof/>
        </w:rPr>
        <w:fldChar w:fldCharType="end"/>
      </w:r>
    </w:p>
    <w:p w14:paraId="2E822CA0" w14:textId="75024828" w:rsidR="00BC7757" w:rsidRPr="00BC7757" w:rsidRDefault="00BC7757" w:rsidP="00BC7757">
      <w:pPr>
        <w:pStyle w:val="TM2"/>
        <w:tabs>
          <w:tab w:val="left" w:pos="1440"/>
        </w:tabs>
        <w:rPr>
          <w:rFonts w:ascii="Calibri" w:hAnsi="Calibri"/>
          <w:noProof/>
          <w:sz w:val="22"/>
          <w:szCs w:val="22"/>
          <w:lang w:eastAsia="en-US"/>
        </w:rPr>
      </w:pPr>
      <w:r w:rsidRPr="00BC7757">
        <w:rPr>
          <w:noProof/>
        </w:rPr>
        <w:t>51.</w:t>
      </w:r>
      <w:r w:rsidRPr="00BC7757">
        <w:rPr>
          <w:rFonts w:ascii="Calibri" w:hAnsi="Calibri"/>
          <w:noProof/>
          <w:sz w:val="22"/>
          <w:szCs w:val="22"/>
          <w:lang w:eastAsia="en-US"/>
        </w:rPr>
        <w:tab/>
      </w:r>
      <w:r w:rsidRPr="00BC7757">
        <w:rPr>
          <w:noProof/>
        </w:rPr>
        <w:t>Droit applicable et changement dans la réglementation</w:t>
      </w:r>
      <w:r w:rsidRPr="00BC7757">
        <w:rPr>
          <w:noProof/>
        </w:rPr>
        <w:tab/>
      </w:r>
      <w:r w:rsidRPr="00BC7757">
        <w:rPr>
          <w:noProof/>
        </w:rPr>
        <w:fldChar w:fldCharType="begin"/>
      </w:r>
      <w:r w:rsidRPr="00BC7757">
        <w:rPr>
          <w:noProof/>
        </w:rPr>
        <w:instrText xml:space="preserve"> PAGEREF _Toc327539602 \h </w:instrText>
      </w:r>
      <w:r w:rsidRPr="00BC7757">
        <w:rPr>
          <w:noProof/>
        </w:rPr>
      </w:r>
      <w:r w:rsidRPr="00BC7757">
        <w:rPr>
          <w:noProof/>
        </w:rPr>
        <w:fldChar w:fldCharType="separate"/>
      </w:r>
      <w:r w:rsidR="006C5B9E">
        <w:rPr>
          <w:noProof/>
        </w:rPr>
        <w:t>295</w:t>
      </w:r>
      <w:r w:rsidRPr="00BC7757">
        <w:rPr>
          <w:noProof/>
        </w:rPr>
        <w:fldChar w:fldCharType="end"/>
      </w:r>
    </w:p>
    <w:p w14:paraId="52F6C5C6" w14:textId="095F647E" w:rsidR="00BC7757" w:rsidRPr="00BC7757" w:rsidRDefault="00BC7757" w:rsidP="00BC7757">
      <w:pPr>
        <w:pStyle w:val="TM2"/>
        <w:tabs>
          <w:tab w:val="left" w:pos="1440"/>
        </w:tabs>
        <w:rPr>
          <w:rFonts w:ascii="Calibri" w:hAnsi="Calibri"/>
          <w:noProof/>
          <w:sz w:val="22"/>
          <w:szCs w:val="22"/>
          <w:lang w:eastAsia="en-US"/>
        </w:rPr>
      </w:pPr>
      <w:r w:rsidRPr="00BC7757">
        <w:rPr>
          <w:noProof/>
        </w:rPr>
        <w:t>52</w:t>
      </w:r>
      <w:r w:rsidRPr="00BC7757">
        <w:rPr>
          <w:rFonts w:ascii="Calibri" w:hAnsi="Calibri"/>
          <w:noProof/>
          <w:sz w:val="22"/>
          <w:szCs w:val="22"/>
          <w:lang w:eastAsia="en-US"/>
        </w:rPr>
        <w:tab/>
      </w:r>
      <w:r w:rsidRPr="00BC7757">
        <w:rPr>
          <w:noProof/>
        </w:rPr>
        <w:t>Entrée en vigueur du Marché</w:t>
      </w:r>
      <w:r w:rsidRPr="00BC7757">
        <w:rPr>
          <w:noProof/>
        </w:rPr>
        <w:tab/>
      </w:r>
      <w:r w:rsidRPr="00BC7757">
        <w:rPr>
          <w:noProof/>
        </w:rPr>
        <w:fldChar w:fldCharType="begin"/>
      </w:r>
      <w:r w:rsidRPr="00BC7757">
        <w:rPr>
          <w:noProof/>
        </w:rPr>
        <w:instrText xml:space="preserve"> PAGEREF _Toc327539603 \h </w:instrText>
      </w:r>
      <w:r w:rsidRPr="00BC7757">
        <w:rPr>
          <w:noProof/>
        </w:rPr>
      </w:r>
      <w:r w:rsidRPr="00BC7757">
        <w:rPr>
          <w:noProof/>
        </w:rPr>
        <w:fldChar w:fldCharType="separate"/>
      </w:r>
      <w:r w:rsidR="006C5B9E">
        <w:rPr>
          <w:noProof/>
        </w:rPr>
        <w:t>296</w:t>
      </w:r>
      <w:r w:rsidRPr="00BC7757">
        <w:rPr>
          <w:noProof/>
        </w:rPr>
        <w:fldChar w:fldCharType="end"/>
      </w:r>
    </w:p>
    <w:p w14:paraId="600E19FD" w14:textId="3B9796E9" w:rsidR="00BC7757" w:rsidRPr="00BC7757" w:rsidRDefault="00BC7757" w:rsidP="00BC7757">
      <w:pPr>
        <w:pStyle w:val="TM1"/>
        <w:rPr>
          <w:rFonts w:ascii="Calibri" w:hAnsi="Calibri"/>
          <w:b w:val="0"/>
          <w:noProof/>
          <w:sz w:val="22"/>
          <w:szCs w:val="22"/>
          <w:lang w:eastAsia="en-US"/>
        </w:rPr>
      </w:pPr>
      <w:r w:rsidRPr="00BC7757">
        <w:rPr>
          <w:noProof/>
        </w:rPr>
        <w:t>Annexe 1 au Cahier des Clauses Administratives Générales : Règles de la Banque - Pratiques de Fraude et Corruption</w:t>
      </w:r>
      <w:r w:rsidRPr="00BC7757">
        <w:rPr>
          <w:noProof/>
        </w:rPr>
        <w:tab/>
      </w:r>
      <w:r w:rsidR="00F244FD">
        <w:rPr>
          <w:noProof/>
        </w:rPr>
        <w:t>300</w:t>
      </w:r>
    </w:p>
    <w:p w14:paraId="1807EFAE" w14:textId="77777777" w:rsidR="00BC7757" w:rsidRPr="00BC7757" w:rsidRDefault="00BC7757" w:rsidP="00BC7757">
      <w:r w:rsidRPr="00BC7757">
        <w:rPr>
          <w:b/>
        </w:rPr>
        <w:fldChar w:fldCharType="end"/>
      </w:r>
    </w:p>
    <w:p w14:paraId="0382A7DA" w14:textId="77777777" w:rsidR="00BC7757" w:rsidRPr="00BC7757" w:rsidRDefault="00BC7757" w:rsidP="00BC7757">
      <w:pPr>
        <w:pStyle w:val="Head41"/>
      </w:pPr>
      <w:r w:rsidRPr="00BC7757">
        <w:br w:type="page"/>
      </w:r>
      <w:bookmarkStart w:id="723" w:name="_Toc348175933"/>
      <w:bookmarkStart w:id="724" w:name="_Toc327539545"/>
      <w:r w:rsidRPr="00BC7757">
        <w:t>A.  Généralités</w:t>
      </w:r>
      <w:bookmarkEnd w:id="723"/>
      <w:bookmarkEnd w:id="724"/>
    </w:p>
    <w:p w14:paraId="466E0E2B" w14:textId="77777777" w:rsidR="00BC7757" w:rsidRPr="00BC7757" w:rsidRDefault="00BC7757" w:rsidP="00BC7757"/>
    <w:tbl>
      <w:tblPr>
        <w:tblW w:w="0" w:type="auto"/>
        <w:tblLayout w:type="fixed"/>
        <w:tblLook w:val="0000" w:firstRow="0" w:lastRow="0" w:firstColumn="0" w:lastColumn="0" w:noHBand="0" w:noVBand="0"/>
      </w:tblPr>
      <w:tblGrid>
        <w:gridCol w:w="2160"/>
        <w:gridCol w:w="7304"/>
      </w:tblGrid>
      <w:tr w:rsidR="00BC7757" w:rsidRPr="00BC7757" w14:paraId="1F40E243" w14:textId="77777777" w:rsidTr="009B6B8C">
        <w:tc>
          <w:tcPr>
            <w:tcW w:w="2160" w:type="dxa"/>
            <w:tcBorders>
              <w:top w:val="nil"/>
              <w:left w:val="nil"/>
              <w:bottom w:val="nil"/>
              <w:right w:val="nil"/>
            </w:tcBorders>
            <w:shd w:val="clear" w:color="auto" w:fill="auto"/>
          </w:tcPr>
          <w:p w14:paraId="07225567" w14:textId="77777777" w:rsidR="00BC7757" w:rsidRPr="00BC7757" w:rsidRDefault="00BC7757" w:rsidP="00BC7757">
            <w:pPr>
              <w:pStyle w:val="Head42"/>
            </w:pPr>
            <w:bookmarkStart w:id="725" w:name="_Toc348175934"/>
            <w:bookmarkStart w:id="726" w:name="_Toc327539546"/>
            <w:r w:rsidRPr="00BC7757">
              <w:t>1.</w:t>
            </w:r>
            <w:r w:rsidRPr="00BC7757">
              <w:tab/>
              <w:t>Champ d’application</w:t>
            </w:r>
            <w:bookmarkEnd w:id="725"/>
            <w:bookmarkEnd w:id="726"/>
          </w:p>
        </w:tc>
        <w:tc>
          <w:tcPr>
            <w:tcW w:w="7304" w:type="dxa"/>
            <w:tcBorders>
              <w:top w:val="nil"/>
              <w:left w:val="nil"/>
              <w:bottom w:val="nil"/>
              <w:right w:val="nil"/>
            </w:tcBorders>
            <w:shd w:val="clear" w:color="auto" w:fill="auto"/>
          </w:tcPr>
          <w:p w14:paraId="4B32F25C" w14:textId="77777777" w:rsidR="00BC7757" w:rsidRPr="00BC7757" w:rsidRDefault="00BC7757" w:rsidP="00BC7757">
            <w:pPr>
              <w:tabs>
                <w:tab w:val="left" w:pos="540"/>
              </w:tabs>
              <w:ind w:left="540" w:right="-72" w:hanging="540"/>
            </w:pPr>
            <w:r w:rsidRPr="00BC7757">
              <w:t>1.1</w:t>
            </w:r>
            <w:r w:rsidRPr="00BC7757">
              <w:tab/>
              <w:t>Les présentes Clauses administratives générales s’appliquent à tous les marchés de travaux qui sont en tout ou en partie financés par la Banque définie à l’Article 2.1 du CCAG et à tout autre marché qui y fait expressément référence.  Elles remplacent et annulent les Cahiers des Clauses administratives générales applicables, le cas échéant, en vertu de la réglementation en vigueur.</w:t>
            </w:r>
          </w:p>
          <w:p w14:paraId="7C88981F" w14:textId="77777777" w:rsidR="00BC7757" w:rsidRPr="00BC7757" w:rsidRDefault="00BC7757" w:rsidP="00BC7757">
            <w:pPr>
              <w:ind w:left="540" w:right="-72"/>
            </w:pPr>
            <w:r w:rsidRPr="00BC7757">
              <w:t>Il ne peut y être dérogé qu’à la condition que les articles, paragraphes et alinéas auxquels il est dérogé soient expressément indiqués ou récapitulés dans le Cahier des Clauses administratives particulières.</w:t>
            </w:r>
          </w:p>
        </w:tc>
      </w:tr>
      <w:tr w:rsidR="00BC7757" w:rsidRPr="00BC7757" w14:paraId="783F65F6" w14:textId="77777777" w:rsidTr="009B6B8C">
        <w:tc>
          <w:tcPr>
            <w:tcW w:w="2160" w:type="dxa"/>
            <w:tcBorders>
              <w:top w:val="nil"/>
              <w:left w:val="nil"/>
              <w:bottom w:val="nil"/>
              <w:right w:val="nil"/>
            </w:tcBorders>
            <w:shd w:val="clear" w:color="auto" w:fill="auto"/>
          </w:tcPr>
          <w:p w14:paraId="1734E7B4" w14:textId="77777777" w:rsidR="00BC7757" w:rsidRPr="00BC7757" w:rsidRDefault="00BC7757" w:rsidP="00BC7757">
            <w:pPr>
              <w:pStyle w:val="Head42"/>
            </w:pPr>
            <w:bookmarkStart w:id="727" w:name="_Toc348175935"/>
            <w:bookmarkStart w:id="728" w:name="_Toc327539547"/>
            <w:r w:rsidRPr="00BC7757">
              <w:t>2.</w:t>
            </w:r>
            <w:r w:rsidRPr="00BC7757">
              <w:tab/>
              <w:t>Définitions, interprétation</w:t>
            </w:r>
            <w:bookmarkEnd w:id="727"/>
            <w:bookmarkEnd w:id="728"/>
          </w:p>
        </w:tc>
        <w:tc>
          <w:tcPr>
            <w:tcW w:w="7304" w:type="dxa"/>
            <w:tcBorders>
              <w:top w:val="nil"/>
              <w:left w:val="nil"/>
              <w:bottom w:val="nil"/>
              <w:right w:val="nil"/>
            </w:tcBorders>
            <w:shd w:val="clear" w:color="auto" w:fill="auto"/>
          </w:tcPr>
          <w:p w14:paraId="63A9A32E" w14:textId="77777777" w:rsidR="00BC7757" w:rsidRPr="00BC7757" w:rsidRDefault="00BC7757" w:rsidP="00BC7757">
            <w:pPr>
              <w:tabs>
                <w:tab w:val="left" w:pos="540"/>
              </w:tabs>
              <w:ind w:left="540" w:right="-72" w:hanging="540"/>
              <w:rPr>
                <w:b/>
              </w:rPr>
            </w:pPr>
            <w:r w:rsidRPr="00BC7757">
              <w:t>2.1</w:t>
            </w:r>
            <w:r w:rsidRPr="00BC7757">
              <w:tab/>
              <w:t xml:space="preserve">Définitions </w:t>
            </w:r>
          </w:p>
          <w:p w14:paraId="7DE5FDCA" w14:textId="77777777" w:rsidR="00BC7757" w:rsidRPr="00BC7757" w:rsidRDefault="00BC7757" w:rsidP="00BC7757">
            <w:pPr>
              <w:ind w:left="540" w:right="-72"/>
            </w:pPr>
            <w:r w:rsidRPr="00BC7757">
              <w:t>Au sens du présent document :</w:t>
            </w:r>
          </w:p>
          <w:p w14:paraId="7B4625AA" w14:textId="77777777" w:rsidR="00BC7757" w:rsidRPr="00BC7757" w:rsidRDefault="00BC7757" w:rsidP="00BC7757">
            <w:pPr>
              <w:tabs>
                <w:tab w:val="left" w:pos="540"/>
              </w:tabs>
              <w:ind w:left="540" w:right="-72"/>
            </w:pPr>
            <w:r w:rsidRPr="00BC7757">
              <w:t>“Marché” désigne l’ensemble des droits et obligations souscrits par les parties au titre de la réalisation des travaux.  Les documents et pièces contractuelles sont énumérés à l’Article 4.2.  du CCAG.</w:t>
            </w:r>
          </w:p>
          <w:p w14:paraId="4D1FF18E" w14:textId="77777777" w:rsidR="00BC7757" w:rsidRPr="00BC7757" w:rsidRDefault="00BC7757" w:rsidP="00BC7757">
            <w:pPr>
              <w:tabs>
                <w:tab w:val="left" w:pos="540"/>
              </w:tabs>
              <w:ind w:left="540" w:right="-72"/>
            </w:pPr>
            <w:r w:rsidRPr="00BC7757">
              <w:t>“Montant du Marché” désigne la somme des prix de base définis au paragraphe 13.1.1 du CCAG.</w:t>
            </w:r>
          </w:p>
          <w:p w14:paraId="5D82A5BB" w14:textId="77777777" w:rsidR="00BC7757" w:rsidRPr="00BC7757" w:rsidRDefault="00BC7757" w:rsidP="00BC7757">
            <w:pPr>
              <w:tabs>
                <w:tab w:val="left" w:pos="540"/>
              </w:tabs>
              <w:ind w:left="540" w:right="-72"/>
            </w:pPr>
            <w:r w:rsidRPr="00BC7757">
              <w:t>“Maître de l’Ouvrage” désigne la division administrative, l’entité ou la personne morale pour le compte de laquelle les travaux sont exécutés et dont l’identification complète figure au Cahier des Clauses administratives particulières.</w:t>
            </w:r>
          </w:p>
          <w:p w14:paraId="781CEC45" w14:textId="77777777" w:rsidR="00BC7757" w:rsidRPr="00BC7757" w:rsidRDefault="00BC7757" w:rsidP="00BC7757">
            <w:pPr>
              <w:tabs>
                <w:tab w:val="left" w:pos="540"/>
              </w:tabs>
              <w:ind w:left="540" w:right="-72"/>
            </w:pPr>
            <w:r w:rsidRPr="00BC7757">
              <w:t>“Chef de Projet” désigne le représentant légal du Maître de l’Ouvrage au cours de l’exécution du Marché.</w:t>
            </w:r>
          </w:p>
          <w:p w14:paraId="08A0FE25" w14:textId="58A4FE38" w:rsidR="00BC7757" w:rsidRPr="00BC7757" w:rsidRDefault="00BC7757" w:rsidP="00BC7757">
            <w:pPr>
              <w:tabs>
                <w:tab w:val="left" w:pos="540"/>
              </w:tabs>
              <w:ind w:left="540" w:right="-72"/>
            </w:pPr>
            <w:r w:rsidRPr="00BC7757">
              <w:t>“Maître d’Œuvre” désigne la personne physique ou morale qui, pour sa compétence technique, est chargée par le Maître de l’Ouvrage de diriger et de contrôler l’exécution des travaux et de proposer leur réception et leur règlement ; si le Maître d’Œuvre est une personne morale, il désigne également la personne physique qui a seule qualité pour le représenter, notamment pour signer les ordres de service.</w:t>
            </w:r>
          </w:p>
          <w:p w14:paraId="23427449" w14:textId="77777777" w:rsidR="00BC7757" w:rsidRPr="00BC7757" w:rsidRDefault="00BC7757" w:rsidP="00BC7757">
            <w:pPr>
              <w:tabs>
                <w:tab w:val="left" w:pos="540"/>
              </w:tabs>
              <w:ind w:left="540" w:right="-72"/>
            </w:pPr>
            <w:r w:rsidRPr="00BC7757">
              <w:t>“L’Entrepreneur” désigne la personne morale dont l’offre a été acceptée par le Maître de l’Ouvrage.</w:t>
            </w:r>
          </w:p>
          <w:p w14:paraId="4773D9C1" w14:textId="77777777" w:rsidR="00BC7757" w:rsidRPr="00BC7757" w:rsidRDefault="00BC7757" w:rsidP="00BC7757">
            <w:pPr>
              <w:tabs>
                <w:tab w:val="left" w:pos="540"/>
              </w:tabs>
              <w:ind w:left="540" w:right="-72"/>
            </w:pPr>
            <w:r w:rsidRPr="00BC7757">
              <w:t>« La Banque » désigne l’institution financière multilatérale, visée au Cahier des Clauses Administratives Particulières, qui apporte son concours (don, crédit ou prêt) au Maître de l’Ouvrage pour le financement des travaux du Marché.</w:t>
            </w:r>
          </w:p>
          <w:p w14:paraId="427594A9" w14:textId="77777777" w:rsidR="00BC7757" w:rsidRPr="00BC7757" w:rsidRDefault="00BC7757" w:rsidP="00BC7757">
            <w:pPr>
              <w:tabs>
                <w:tab w:val="left" w:pos="540"/>
              </w:tabs>
              <w:ind w:left="540" w:right="-72"/>
            </w:pPr>
            <w:r w:rsidRPr="00BC7757">
              <w:t>“Site” désigne l’ensemble des terrains sur lesquels seront réalisés les travaux et les ouvrages ainsi que l’ensemble des terrains nécessaires aux installations de chantier et comprenant les voies d’accès spéciales ainsi que tous autres lieux spécifiquement désignés dans le Marché.</w:t>
            </w:r>
          </w:p>
          <w:p w14:paraId="33D4DF2D" w14:textId="4E2CC9A9" w:rsidR="00BC7757" w:rsidRPr="00BC7757" w:rsidRDefault="00BC7757" w:rsidP="00BC7757">
            <w:pPr>
              <w:tabs>
                <w:tab w:val="left" w:pos="540"/>
              </w:tabs>
              <w:ind w:left="540" w:right="-72"/>
            </w:pPr>
            <w:r w:rsidRPr="00BC7757">
              <w:t xml:space="preserve">“Cahier des Clauses administratives particulières” (CCAP) signifie le document établi par le Maître de l’Ouvrage faisant partie du Dossier d’Appel d’Offres, modifié en tant que de besoin et inclus dans les pièces constitutives du </w:t>
            </w:r>
            <w:r w:rsidR="009233EA" w:rsidRPr="00BC7757">
              <w:t>Marché ;</w:t>
            </w:r>
            <w:r w:rsidRPr="00BC7757">
              <w:t xml:space="preserve"> il est référé ci-après sous le nom de CCAP et comprend :</w:t>
            </w:r>
          </w:p>
          <w:p w14:paraId="08829BA4" w14:textId="77777777" w:rsidR="00BC7757" w:rsidRPr="00BC7757" w:rsidRDefault="00BC7757" w:rsidP="00BC7757">
            <w:pPr>
              <w:tabs>
                <w:tab w:val="left" w:pos="1080"/>
              </w:tabs>
              <w:ind w:left="1080" w:right="-72" w:hanging="540"/>
            </w:pPr>
            <w:r w:rsidRPr="00BC7757">
              <w:t>a)</w:t>
            </w:r>
            <w:r w:rsidRPr="00BC7757">
              <w:tab/>
              <w:t>les modifications au présent Cahier des Clauses administratives générales (CCAG);</w:t>
            </w:r>
          </w:p>
          <w:p w14:paraId="15999156" w14:textId="77777777" w:rsidR="00BC7757" w:rsidRPr="00BC7757" w:rsidRDefault="00BC7757" w:rsidP="00BC7757">
            <w:pPr>
              <w:tabs>
                <w:tab w:val="left" w:pos="1080"/>
              </w:tabs>
              <w:ind w:left="1080" w:right="-72" w:hanging="540"/>
            </w:pPr>
            <w:r w:rsidRPr="00BC7757">
              <w:t>b)</w:t>
            </w:r>
            <w:r w:rsidRPr="00BC7757">
              <w:tab/>
              <w:t>les dispositions contractuelles spécifiques à chaque Marché.</w:t>
            </w:r>
          </w:p>
          <w:p w14:paraId="3F6950E8" w14:textId="77777777" w:rsidR="00BC7757" w:rsidRPr="00BC7757" w:rsidRDefault="00BC7757" w:rsidP="00BC7757">
            <w:pPr>
              <w:ind w:left="540" w:right="-72"/>
            </w:pPr>
            <w:r w:rsidRPr="00BC7757">
              <w:t>“Ordre de service” signifie toute instruction écrite donnée par le Maître d’Œuvre à l’Entrepreneur concernant l’exécution du Marché.</w:t>
            </w:r>
          </w:p>
          <w:p w14:paraId="4651A4C1" w14:textId="77777777" w:rsidR="00BC7757" w:rsidRPr="00BC7757" w:rsidRDefault="00BC7757" w:rsidP="00BC7757">
            <w:pPr>
              <w:ind w:left="540" w:right="-72"/>
            </w:pPr>
            <w:r w:rsidRPr="00BC7757">
              <w:t>“Sous-traitant” désigne la ou les personnes morales chargées par l’Entrepreneur de réaliser une partie des travaux.</w:t>
            </w:r>
          </w:p>
          <w:p w14:paraId="452A5D19" w14:textId="77777777" w:rsidR="00BC7757" w:rsidRPr="00BC7757" w:rsidRDefault="00BC7757" w:rsidP="00BC7757">
            <w:pPr>
              <w:ind w:left="540" w:right="-72"/>
            </w:pPr>
            <w:r w:rsidRPr="00BC7757">
              <w:t>“Conciliateur” désigne la personne nommée conjointement par le Maître de l’Ouvrage et l’Entrepreneur pour exercer les fonctions décrites à l’Article 50 du CCAG.  Son nom est mentionné dans l’Acte d’engagement.</w:t>
            </w:r>
          </w:p>
          <w:p w14:paraId="054271E2" w14:textId="77777777" w:rsidR="00BC7757" w:rsidRPr="00BC7757" w:rsidRDefault="00BC7757" w:rsidP="00BC7757">
            <w:pPr>
              <w:tabs>
                <w:tab w:val="left" w:pos="540"/>
              </w:tabs>
              <w:ind w:left="540" w:right="-72" w:hanging="540"/>
            </w:pPr>
            <w:r w:rsidRPr="00BC7757">
              <w:t>2.2.</w:t>
            </w:r>
            <w:r w:rsidRPr="00BC7757">
              <w:tab/>
              <w:t>Interprétation</w:t>
            </w:r>
          </w:p>
          <w:p w14:paraId="6117B0DC" w14:textId="77777777" w:rsidR="00BC7757" w:rsidRPr="00BC7757" w:rsidRDefault="00BC7757" w:rsidP="00BC7757">
            <w:pPr>
              <w:tabs>
                <w:tab w:val="left" w:pos="1080"/>
              </w:tabs>
              <w:ind w:left="1080" w:right="-72" w:hanging="540"/>
            </w:pPr>
            <w:r w:rsidRPr="00BC7757">
              <w:t>2.2.1</w:t>
            </w:r>
            <w:r w:rsidRPr="00BC7757">
              <w:tab/>
              <w:t>Les titres et sous-titres du présent Cahier sont exclusivement destinés à en faciliter l’usage mais ne possèdent aucune valeur contractuelle.</w:t>
            </w:r>
          </w:p>
          <w:p w14:paraId="64E8C5E1" w14:textId="77777777" w:rsidR="00BC7757" w:rsidRPr="00BC7757" w:rsidRDefault="00BC7757" w:rsidP="00BC7757">
            <w:pPr>
              <w:tabs>
                <w:tab w:val="left" w:pos="1080"/>
              </w:tabs>
              <w:ind w:left="1080" w:right="-72" w:hanging="540"/>
            </w:pPr>
            <w:r w:rsidRPr="00BC7757">
              <w:t>2.2.2</w:t>
            </w:r>
            <w:r w:rsidRPr="00BC7757">
              <w:tab/>
              <w:t>Les mots désignant des personnes ou les parties peuvent englober également des sociétés, entreprises et toute organisation ou groupement ayant une personnalité juridique.</w:t>
            </w:r>
          </w:p>
          <w:p w14:paraId="50FC4066" w14:textId="77777777" w:rsidR="00BC7757" w:rsidRPr="00BC7757" w:rsidRDefault="00BC7757" w:rsidP="00BC7757">
            <w:pPr>
              <w:tabs>
                <w:tab w:val="left" w:pos="1080"/>
              </w:tabs>
              <w:ind w:left="1080" w:right="-72" w:hanging="540"/>
            </w:pPr>
            <w:r w:rsidRPr="00BC7757">
              <w:t>2.2.3</w:t>
            </w:r>
            <w:r w:rsidRPr="00BC7757">
              <w:tab/>
              <w:t>Les mots comportant le singulier seulement doivent également s’entendre au pluriel et réciproquement selon le contexte.</w:t>
            </w:r>
          </w:p>
        </w:tc>
      </w:tr>
      <w:tr w:rsidR="00BC7757" w:rsidRPr="00BC7757" w14:paraId="35D4F484" w14:textId="77777777" w:rsidTr="009B6B8C">
        <w:tc>
          <w:tcPr>
            <w:tcW w:w="2160" w:type="dxa"/>
            <w:tcBorders>
              <w:top w:val="nil"/>
              <w:left w:val="nil"/>
              <w:bottom w:val="nil"/>
              <w:right w:val="nil"/>
            </w:tcBorders>
            <w:shd w:val="clear" w:color="auto" w:fill="auto"/>
          </w:tcPr>
          <w:p w14:paraId="33379790" w14:textId="77777777" w:rsidR="00BC7757" w:rsidRPr="00BC7757" w:rsidRDefault="00BC7757" w:rsidP="00BC7757">
            <w:pPr>
              <w:pStyle w:val="Head42"/>
              <w:rPr>
                <w:b w:val="0"/>
              </w:rPr>
            </w:pPr>
            <w:bookmarkStart w:id="729" w:name="_Toc348175936"/>
            <w:bookmarkStart w:id="730" w:name="_Toc327539548"/>
            <w:r w:rsidRPr="00BC7757">
              <w:t>3.</w:t>
            </w:r>
            <w:r w:rsidRPr="00BC7757">
              <w:tab/>
              <w:t>Intervenants au Marché</w:t>
            </w:r>
            <w:bookmarkEnd w:id="729"/>
            <w:bookmarkEnd w:id="730"/>
          </w:p>
        </w:tc>
        <w:tc>
          <w:tcPr>
            <w:tcW w:w="7304" w:type="dxa"/>
            <w:tcBorders>
              <w:top w:val="nil"/>
              <w:left w:val="nil"/>
              <w:bottom w:val="nil"/>
              <w:right w:val="nil"/>
            </w:tcBorders>
            <w:shd w:val="clear" w:color="auto" w:fill="auto"/>
          </w:tcPr>
          <w:p w14:paraId="76BE3944" w14:textId="77777777" w:rsidR="00BC7757" w:rsidRPr="00BC7757" w:rsidRDefault="00BC7757" w:rsidP="00BC7757">
            <w:pPr>
              <w:tabs>
                <w:tab w:val="left" w:pos="540"/>
              </w:tabs>
              <w:ind w:left="540" w:right="-72" w:hanging="540"/>
            </w:pPr>
            <w:r w:rsidRPr="00BC7757">
              <w:t>3.1</w:t>
            </w:r>
            <w:r w:rsidRPr="00BC7757">
              <w:tab/>
              <w:t>Désignation des Intervenants</w:t>
            </w:r>
          </w:p>
          <w:p w14:paraId="7AA7CA41" w14:textId="77777777" w:rsidR="00BC7757" w:rsidRPr="00BC7757" w:rsidRDefault="00BC7757" w:rsidP="00BC7757">
            <w:pPr>
              <w:tabs>
                <w:tab w:val="left" w:pos="1080"/>
              </w:tabs>
              <w:ind w:left="1080" w:right="-72" w:hanging="540"/>
            </w:pPr>
            <w:r w:rsidRPr="00BC7757">
              <w:t>3.1.1</w:t>
            </w:r>
            <w:r w:rsidRPr="00BC7757">
              <w:tab/>
              <w:t>Le CCAP désigne le Maître de l’Ouvrage, le Chef de Projet et le Maître d’Œuvre.</w:t>
            </w:r>
          </w:p>
          <w:p w14:paraId="120716D4" w14:textId="77777777" w:rsidR="00BC7757" w:rsidRPr="00BC7757" w:rsidRDefault="00BC7757" w:rsidP="00BC7757">
            <w:pPr>
              <w:tabs>
                <w:tab w:val="left" w:pos="1080"/>
              </w:tabs>
              <w:ind w:left="1080" w:right="-72" w:hanging="540"/>
            </w:pPr>
            <w:r w:rsidRPr="00BC7757">
              <w:t>3.1.2</w:t>
            </w:r>
            <w:r w:rsidRPr="00BC7757">
              <w:tab/>
              <w:t>La soumission de l’Entrepreneur (ci-après la « Soumission ») comprend toutes les indications nécessaires ou utiles à l’identification de l’Entrepreneur et de son ou ses représentants légaux.</w:t>
            </w:r>
          </w:p>
          <w:p w14:paraId="35037631" w14:textId="77777777" w:rsidR="00BC7757" w:rsidRPr="00BC7757" w:rsidRDefault="00BC7757" w:rsidP="00BC7757">
            <w:pPr>
              <w:tabs>
                <w:tab w:val="left" w:pos="540"/>
              </w:tabs>
              <w:ind w:left="540" w:right="-72" w:hanging="540"/>
            </w:pPr>
            <w:r w:rsidRPr="00BC7757">
              <w:t>3.2</w:t>
            </w:r>
            <w:r w:rsidRPr="00BC7757">
              <w:tab/>
              <w:t>Entrepreneurs groupés</w:t>
            </w:r>
          </w:p>
          <w:p w14:paraId="60DA11F6" w14:textId="77777777" w:rsidR="00BC7757" w:rsidRPr="00BC7757" w:rsidRDefault="00BC7757" w:rsidP="00BC7757">
            <w:pPr>
              <w:tabs>
                <w:tab w:val="left" w:pos="1080"/>
              </w:tabs>
              <w:ind w:left="1080" w:right="-72" w:hanging="540"/>
            </w:pPr>
            <w:r w:rsidRPr="00BC7757">
              <w:t>3.2.1</w:t>
            </w:r>
            <w:r w:rsidRPr="00BC7757">
              <w:tab/>
              <w:t>Au sens du présent document, des Entrepreneurs sont considérés comme groupés s’ils ont souscrit un Acte d’engagement unique.</w:t>
            </w:r>
          </w:p>
          <w:p w14:paraId="28EFF43E" w14:textId="06C6C3DF" w:rsidR="00BC7757" w:rsidRPr="00BC7757" w:rsidRDefault="00BC7757" w:rsidP="00BC7757">
            <w:pPr>
              <w:tabs>
                <w:tab w:val="left" w:pos="1080"/>
              </w:tabs>
              <w:ind w:left="1080" w:right="-72" w:hanging="540"/>
            </w:pPr>
            <w:r w:rsidRPr="00BC7757">
              <w:t>3.2.2</w:t>
            </w:r>
            <w:r w:rsidRPr="00BC7757">
              <w:tab/>
              <w:t xml:space="preserve">Les Entrepreneurs groupés sont toujours </w:t>
            </w:r>
            <w:r w:rsidR="00FB5DF2" w:rsidRPr="00BC7757">
              <w:t>solidaires :</w:t>
            </w:r>
            <w:r w:rsidRPr="00BC7757">
              <w:t xml:space="preserve"> dès lors, chacun d’entre eux est engagé pour la totalité du Marché et doit pallier une éventuelle défaillance de ses partenaires.  L’un d’entre eux, désigné dans l’Acte d’engagement comme mandataire commun, représente l’ensemble des Entrepreneurs, vis-à-vis du Maître de l’Ouvrage, du Chef de Projet et du Maître d’Œuvre, pour l’exécution du Marché.</w:t>
            </w:r>
          </w:p>
          <w:p w14:paraId="1879BB41" w14:textId="77777777" w:rsidR="00BC7757" w:rsidRPr="00BC7757" w:rsidRDefault="00BC7757" w:rsidP="00BC7757">
            <w:pPr>
              <w:tabs>
                <w:tab w:val="left" w:pos="540"/>
              </w:tabs>
              <w:ind w:left="540" w:right="-72" w:hanging="540"/>
            </w:pPr>
            <w:r w:rsidRPr="00BC7757">
              <w:t>3.3</w:t>
            </w:r>
            <w:r w:rsidRPr="00BC7757">
              <w:tab/>
              <w:t>Cession, délégation, sous-traitance</w:t>
            </w:r>
          </w:p>
          <w:p w14:paraId="11116018" w14:textId="77777777" w:rsidR="00BC7757" w:rsidRPr="00BC7757" w:rsidRDefault="00BC7757" w:rsidP="00BC7757">
            <w:pPr>
              <w:tabs>
                <w:tab w:val="left" w:pos="1080"/>
              </w:tabs>
              <w:ind w:left="1080" w:right="-72" w:hanging="540"/>
            </w:pPr>
            <w:r w:rsidRPr="00BC7757">
              <w:t>3.3.1</w:t>
            </w:r>
            <w:r w:rsidRPr="00BC7757">
              <w:tab/>
              <w:t>Sauf accord préalable du Maître de l’Ouvrage, l’Entrepreneur ne peut en aucun cas céder ou déléguer tout ou partie du Marché, à l’exception d’une cession ou délégation aux assureurs de l’Entrepreneur (dans le cas où les assureurs ont dégagé l’Entrepreneur de toute perte en responsabilité) de son droit à obtenir réparation de la part d’une partie responsable.</w:t>
            </w:r>
          </w:p>
          <w:p w14:paraId="62A02407" w14:textId="77777777" w:rsidR="00BC7757" w:rsidRPr="00BC7757" w:rsidRDefault="00BC7757" w:rsidP="00BC7757">
            <w:pPr>
              <w:tabs>
                <w:tab w:val="left" w:pos="1080"/>
              </w:tabs>
              <w:ind w:left="1080" w:right="-72" w:hanging="540"/>
            </w:pPr>
            <w:r w:rsidRPr="00BC7757">
              <w:t>3.3.2</w:t>
            </w:r>
            <w:r w:rsidRPr="00BC7757">
              <w:tab/>
              <w:t>L’Entrepreneur ne peut sous-traiter l’intégralité de son Marché.  Il peut, toutefois, sous-traiter l’exécution de certaines parties de son Marché à condition d’avoir obtenu l’accord préalable du Maître de l’Ouvrage, laquelle est réputée obtenue pour tout sous-traitant désigné dans le Marché et, lorsque la sous-traitance projetée est supérieure à dix (10) pour cent du Montant du Marché, des autorités dont l’approbation est nécessaire à l’entrée en vigueur du Marché.  Dans tous les cas, l’Entrepreneur reste pleinement responsable des actes, défaillances et négligences des sous-traitants, de leurs représentants, employés ou ouvriers aussi pleinement que s’il s’agissait de ses propres actes, défaillances ou négligences ou de ceux de ses propres représentants, employés ou ouvriers.</w:t>
            </w:r>
          </w:p>
          <w:p w14:paraId="3492F9EF" w14:textId="77777777" w:rsidR="00BC7757" w:rsidRPr="00BC7757" w:rsidRDefault="00BC7757" w:rsidP="00BC7757">
            <w:pPr>
              <w:tabs>
                <w:tab w:val="left" w:pos="1080"/>
              </w:tabs>
              <w:ind w:left="1080" w:right="-72" w:hanging="540"/>
            </w:pPr>
            <w:r w:rsidRPr="00BC7757">
              <w:t>3.3.3</w:t>
            </w:r>
            <w:r w:rsidRPr="00BC7757">
              <w:tab/>
              <w:t>Les sous-traitants ne peuvent être acceptés que s’ils ont justifié avoir contracté les assurances garantissant pleinement leur responsabilité conformément à l’Article 6 du CCAG.</w:t>
            </w:r>
          </w:p>
          <w:p w14:paraId="058B140E" w14:textId="77777777" w:rsidR="00BC7757" w:rsidRPr="00BC7757" w:rsidRDefault="00BC7757" w:rsidP="00BC7757">
            <w:pPr>
              <w:tabs>
                <w:tab w:val="left" w:pos="1080"/>
              </w:tabs>
              <w:ind w:left="1080" w:right="-72" w:hanging="540"/>
            </w:pPr>
            <w:r w:rsidRPr="00BC7757">
              <w:t>3.3.4</w:t>
            </w:r>
            <w:r w:rsidRPr="00BC7757">
              <w:tab/>
              <w:t>Dès que l’acceptation et l’agrément ont été obtenus, l’Entrepreneur fait connaître au Chef de Projet le nom de la personne physique qualifiée pour représenter le sous-traitant et le domicile élu par ce dernier à proximité des travaux.</w:t>
            </w:r>
          </w:p>
          <w:p w14:paraId="438D027A" w14:textId="77777777" w:rsidR="00BC7757" w:rsidRPr="00BC7757" w:rsidRDefault="00BC7757" w:rsidP="00BC7757">
            <w:pPr>
              <w:tabs>
                <w:tab w:val="left" w:pos="1080"/>
              </w:tabs>
              <w:ind w:left="1080" w:right="-72" w:hanging="540"/>
            </w:pPr>
            <w:r w:rsidRPr="00BC7757">
              <w:t>3.3.5</w:t>
            </w:r>
            <w:r w:rsidRPr="00BC7757">
              <w:tab/>
              <w:t>Le recours à la sous-traitance sans acceptation préalable du sous-traitant par le Maître de l’Ouvrage expose l’Entrepreneur à l’application des mesures prévues à l’Article 49 du CCAG.</w:t>
            </w:r>
          </w:p>
          <w:p w14:paraId="13A4CE4D" w14:textId="77777777" w:rsidR="00BC7757" w:rsidRPr="00BC7757" w:rsidRDefault="00BC7757" w:rsidP="00BC7757">
            <w:pPr>
              <w:tabs>
                <w:tab w:val="left" w:pos="540"/>
              </w:tabs>
              <w:ind w:left="540" w:right="-72" w:hanging="540"/>
            </w:pPr>
            <w:r w:rsidRPr="00BC7757">
              <w:t>3.4</w:t>
            </w:r>
            <w:r w:rsidRPr="00BC7757">
              <w:tab/>
              <w:t>Représentant de l’Entrepreneur</w:t>
            </w:r>
          </w:p>
          <w:p w14:paraId="348B1A7E" w14:textId="0B40F01B" w:rsidR="00BC7757" w:rsidRPr="00BC7757" w:rsidRDefault="00BC7757" w:rsidP="00BC7757">
            <w:pPr>
              <w:ind w:left="540" w:right="-72"/>
            </w:pPr>
            <w:r w:rsidRPr="00BC7757">
              <w:t>Dès l’entrée en vigueur du Marché, l’Entrepreneur confirme l’identité de son représentant, c’est-à-dire de la personne physique qui le représente vis</w:t>
            </w:r>
            <w:r w:rsidRPr="00BC7757">
              <w:noBreakHyphen/>
              <w:t>à</w:t>
            </w:r>
            <w:r w:rsidRPr="00BC7757">
              <w:noBreakHyphen/>
              <w:t xml:space="preserve">vis du Maître d’Œuvre, du Chef de Projet et du Maître de l’Ouvrage pour tout ce qui concerne l’exécution du </w:t>
            </w:r>
            <w:r w:rsidR="00FB5DF2" w:rsidRPr="00BC7757">
              <w:t>Marché ;</w:t>
            </w:r>
            <w:r w:rsidRPr="00BC7757">
              <w:t xml:space="preserve"> cette personne, chargée de la conduite des travaux, doit disposer de pouvoirs suffisants pour prendre sans délai les décisions nécessaires.  A défaut d’une telle désignation, l’Entrepreneur, ou son représentant légal, est réputé personnellement chargé de la conduite des travaux.</w:t>
            </w:r>
          </w:p>
          <w:p w14:paraId="5784284B" w14:textId="77777777" w:rsidR="00BC7757" w:rsidRPr="00BC7757" w:rsidRDefault="00BC7757" w:rsidP="00BC7757">
            <w:pPr>
              <w:tabs>
                <w:tab w:val="left" w:pos="540"/>
              </w:tabs>
              <w:ind w:left="540" w:right="-72" w:hanging="540"/>
            </w:pPr>
            <w:r w:rsidRPr="00BC7757">
              <w:t>3.5</w:t>
            </w:r>
            <w:r w:rsidRPr="00BC7757">
              <w:tab/>
              <w:t>Domicile de l’Entrepreneur</w:t>
            </w:r>
          </w:p>
          <w:p w14:paraId="040A9AE5" w14:textId="4DBB5234" w:rsidR="00BC7757" w:rsidRPr="00BC7757" w:rsidRDefault="00BC7757" w:rsidP="00BC7757">
            <w:pPr>
              <w:tabs>
                <w:tab w:val="left" w:pos="1080"/>
              </w:tabs>
              <w:ind w:left="1080" w:right="-72" w:hanging="540"/>
            </w:pPr>
            <w:r w:rsidRPr="00BC7757">
              <w:t>3.5.1</w:t>
            </w:r>
            <w:r w:rsidRPr="00BC7757">
              <w:tab/>
              <w:t xml:space="preserve">L’Entrepreneur est tenu d’élire domicile à proximité des travaux et de faire connaître l’adresse de ce domicile au Chef de Projet, au Maître </w:t>
            </w:r>
            <w:r w:rsidR="00FB5DF2" w:rsidRPr="00BC7757">
              <w:t>d’Œuvre et</w:t>
            </w:r>
            <w:r w:rsidRPr="00BC7757">
              <w:t xml:space="preserve"> au Maître de l’Ouvrage.  Faute par lui d’avoir satisfait à cette obligation dans un délai de quinze (15) jours à dater de la notification du Marché, toutes les notifications qui se rapportent au Marché seront valables lorsqu’elles ont été faites à l’adresse du site principal des travaux.</w:t>
            </w:r>
          </w:p>
          <w:p w14:paraId="25E4E7E8" w14:textId="0474A590" w:rsidR="00BC7757" w:rsidRPr="00BC7757" w:rsidRDefault="00BC7757" w:rsidP="00BC7757">
            <w:pPr>
              <w:tabs>
                <w:tab w:val="left" w:pos="1080"/>
              </w:tabs>
              <w:ind w:left="1080" w:right="-72" w:hanging="540"/>
            </w:pPr>
            <w:r w:rsidRPr="00BC7757">
              <w:t>3.5.2</w:t>
            </w:r>
            <w:r w:rsidRPr="00BC7757">
              <w:tab/>
              <w:t>Après la réception provisoire</w:t>
            </w:r>
            <w:r w:rsidRPr="00BC7757">
              <w:rPr>
                <w:i/>
              </w:rPr>
              <w:t xml:space="preserve"> </w:t>
            </w:r>
            <w:r w:rsidRPr="00BC7757">
              <w:t xml:space="preserve">des travaux, l’Entrepreneur est relevé de l’obligation indiquée à l’alinéa qui </w:t>
            </w:r>
            <w:r w:rsidR="00FB5DF2" w:rsidRPr="00BC7757">
              <w:t>précède ;</w:t>
            </w:r>
            <w:r w:rsidRPr="00BC7757">
              <w:t xml:space="preserve"> toute notification lui est alors valablement faite au domicile ou au siège social mentionné dans l’Acte d’engagement.</w:t>
            </w:r>
          </w:p>
          <w:p w14:paraId="59A18945" w14:textId="77777777" w:rsidR="00BC7757" w:rsidRPr="00BC7757" w:rsidRDefault="00BC7757" w:rsidP="00BC7757">
            <w:pPr>
              <w:tabs>
                <w:tab w:val="left" w:pos="540"/>
              </w:tabs>
              <w:ind w:left="540" w:right="-72" w:hanging="540"/>
            </w:pPr>
            <w:r w:rsidRPr="00BC7757">
              <w:t>3.6</w:t>
            </w:r>
            <w:r w:rsidRPr="00BC7757">
              <w:tab/>
              <w:t>Modification de l’entreprise</w:t>
            </w:r>
          </w:p>
          <w:p w14:paraId="251BFBAD" w14:textId="77777777" w:rsidR="00BC7757" w:rsidRPr="00BC7757" w:rsidRDefault="00BC7757" w:rsidP="00BC7757">
            <w:pPr>
              <w:ind w:left="540" w:right="-72"/>
            </w:pPr>
            <w:r w:rsidRPr="00BC7757">
              <w:t>L’Entrepreneur est tenu de notifier immédiatement au Chef de Projet les modifications à son entreprise survenant au cours de l’exécution du Marché, qui se rapportent :</w:t>
            </w:r>
          </w:p>
          <w:p w14:paraId="3D92ECFF" w14:textId="71DB2E4A" w:rsidR="00BC7757" w:rsidRPr="00BC7757" w:rsidRDefault="00BC7757" w:rsidP="00BC7757">
            <w:pPr>
              <w:tabs>
                <w:tab w:val="left" w:pos="1080"/>
              </w:tabs>
              <w:ind w:left="1080" w:right="-72" w:hanging="540"/>
            </w:pPr>
            <w:r w:rsidRPr="00BC7757">
              <w:t>a)</w:t>
            </w:r>
            <w:r w:rsidRPr="00BC7757">
              <w:tab/>
              <w:t>aux personnes ayant le pouvoir d’engager l’entreprise ;</w:t>
            </w:r>
          </w:p>
          <w:p w14:paraId="489AC19C" w14:textId="14AE6258" w:rsidR="00BC7757" w:rsidRPr="00BC7757" w:rsidRDefault="00BC7757" w:rsidP="00BC7757">
            <w:pPr>
              <w:tabs>
                <w:tab w:val="left" w:pos="1080"/>
              </w:tabs>
              <w:ind w:left="1080" w:right="-72" w:hanging="540"/>
            </w:pPr>
            <w:r w:rsidRPr="00BC7757">
              <w:t>b)</w:t>
            </w:r>
            <w:r w:rsidRPr="00BC7757">
              <w:tab/>
              <w:t>à la forme de l’entreprise ;</w:t>
            </w:r>
          </w:p>
          <w:p w14:paraId="740268BE" w14:textId="194379B2" w:rsidR="00BC7757" w:rsidRPr="00BC7757" w:rsidRDefault="00BC7757" w:rsidP="00BC7757">
            <w:pPr>
              <w:tabs>
                <w:tab w:val="left" w:pos="1080"/>
              </w:tabs>
              <w:ind w:left="1080" w:right="-72" w:hanging="540"/>
            </w:pPr>
            <w:r w:rsidRPr="00BC7757">
              <w:t>c)</w:t>
            </w:r>
            <w:r w:rsidRPr="00BC7757">
              <w:tab/>
              <w:t>à la raison sociale de l’entreprise ou à sa dénomination ;</w:t>
            </w:r>
          </w:p>
          <w:p w14:paraId="1B793085" w14:textId="2E090853" w:rsidR="00BC7757" w:rsidRPr="00BC7757" w:rsidRDefault="00BC7757" w:rsidP="00BC7757">
            <w:pPr>
              <w:tabs>
                <w:tab w:val="left" w:pos="1080"/>
              </w:tabs>
              <w:ind w:left="1080" w:right="-72" w:hanging="540"/>
            </w:pPr>
            <w:r w:rsidRPr="00BC7757">
              <w:t>d)</w:t>
            </w:r>
            <w:r w:rsidRPr="00BC7757">
              <w:tab/>
              <w:t xml:space="preserve">à l’adresse du siège de </w:t>
            </w:r>
            <w:r w:rsidR="00FB5DF2" w:rsidRPr="00BC7757">
              <w:t>l’entreprise ;</w:t>
            </w:r>
          </w:p>
          <w:p w14:paraId="13471C96" w14:textId="44724D84" w:rsidR="00BC7757" w:rsidRPr="00BC7757" w:rsidRDefault="00BC7757" w:rsidP="00BC7757">
            <w:pPr>
              <w:tabs>
                <w:tab w:val="left" w:pos="1080"/>
              </w:tabs>
              <w:ind w:left="1080" w:right="-72" w:hanging="540"/>
            </w:pPr>
            <w:r w:rsidRPr="00BC7757">
              <w:t>e)</w:t>
            </w:r>
            <w:r w:rsidRPr="00BC7757">
              <w:tab/>
              <w:t xml:space="preserve">au capital social de </w:t>
            </w:r>
            <w:r w:rsidR="00FB5DF2" w:rsidRPr="00BC7757">
              <w:t>l’entreprise ;</w:t>
            </w:r>
          </w:p>
          <w:p w14:paraId="2A2057CC" w14:textId="77777777" w:rsidR="00BC7757" w:rsidRPr="00BC7757" w:rsidRDefault="00BC7757" w:rsidP="00BC7757">
            <w:pPr>
              <w:ind w:left="540" w:right="-72"/>
            </w:pPr>
            <w:r w:rsidRPr="00BC7757">
              <w:t>et, généralement, toutes les modifications importantes relatives au fonctionnement de l’entreprise.</w:t>
            </w:r>
          </w:p>
        </w:tc>
      </w:tr>
      <w:tr w:rsidR="00BC7757" w:rsidRPr="00BC7757" w14:paraId="4722624B" w14:textId="77777777" w:rsidTr="009B6B8C">
        <w:tc>
          <w:tcPr>
            <w:tcW w:w="2160" w:type="dxa"/>
            <w:tcBorders>
              <w:top w:val="nil"/>
              <w:left w:val="nil"/>
              <w:bottom w:val="nil"/>
              <w:right w:val="nil"/>
            </w:tcBorders>
            <w:shd w:val="clear" w:color="auto" w:fill="auto"/>
          </w:tcPr>
          <w:p w14:paraId="45B549C3" w14:textId="77777777" w:rsidR="00BC7757" w:rsidRPr="00BC7757" w:rsidRDefault="00BC7757" w:rsidP="00BC7757">
            <w:pPr>
              <w:pStyle w:val="Head42"/>
            </w:pPr>
            <w:bookmarkStart w:id="731" w:name="_Toc348175937"/>
            <w:bookmarkStart w:id="732" w:name="_Toc327539549"/>
            <w:r w:rsidRPr="00BC7757">
              <w:t>4.</w:t>
            </w:r>
            <w:r w:rsidRPr="00BC7757">
              <w:tab/>
              <w:t>Pièces contractuelles</w:t>
            </w:r>
            <w:bookmarkEnd w:id="731"/>
            <w:bookmarkEnd w:id="732"/>
          </w:p>
        </w:tc>
        <w:tc>
          <w:tcPr>
            <w:tcW w:w="7304" w:type="dxa"/>
            <w:tcBorders>
              <w:top w:val="nil"/>
              <w:left w:val="nil"/>
              <w:bottom w:val="nil"/>
              <w:right w:val="nil"/>
            </w:tcBorders>
            <w:shd w:val="clear" w:color="auto" w:fill="auto"/>
          </w:tcPr>
          <w:p w14:paraId="56DBA790" w14:textId="77777777" w:rsidR="00BC7757" w:rsidRPr="00BC7757" w:rsidRDefault="00BC7757" w:rsidP="00BC7757">
            <w:pPr>
              <w:tabs>
                <w:tab w:val="left" w:pos="540"/>
              </w:tabs>
              <w:ind w:left="540" w:right="-72" w:hanging="540"/>
            </w:pPr>
            <w:r w:rsidRPr="00BC7757">
              <w:t>4.1</w:t>
            </w:r>
            <w:r w:rsidRPr="00BC7757">
              <w:tab/>
              <w:t>Langue</w:t>
            </w:r>
          </w:p>
          <w:p w14:paraId="43B82477" w14:textId="77777777" w:rsidR="00BC7757" w:rsidRPr="00BC7757" w:rsidRDefault="00BC7757" w:rsidP="00BC7757">
            <w:pPr>
              <w:ind w:left="540" w:right="-72"/>
            </w:pPr>
            <w:r w:rsidRPr="00BC7757">
              <w:t xml:space="preserve">Les documents contractuels sont rédigés en la langue spécifiée dans le </w:t>
            </w:r>
            <w:r w:rsidRPr="00BC7757">
              <w:rPr>
                <w:b/>
              </w:rPr>
              <w:t>CCAP</w:t>
            </w:r>
            <w:r w:rsidRPr="00BC7757">
              <w:t>.  La correspondance, les instructions et les ordres de services devront être rédigés ou donnés dans cette langue.</w:t>
            </w:r>
          </w:p>
          <w:p w14:paraId="0A5BCB51" w14:textId="77777777" w:rsidR="00BC7757" w:rsidRPr="00BC7757" w:rsidRDefault="00BC7757" w:rsidP="00BC7757">
            <w:pPr>
              <w:tabs>
                <w:tab w:val="left" w:pos="540"/>
              </w:tabs>
              <w:ind w:left="540" w:right="-72" w:hanging="540"/>
            </w:pPr>
            <w:r w:rsidRPr="00BC7757">
              <w:t>4.2</w:t>
            </w:r>
            <w:r w:rsidRPr="00BC7757">
              <w:tab/>
              <w:t>Pièces constitutives du Marché - Ordre de priorité</w:t>
            </w:r>
          </w:p>
          <w:p w14:paraId="7E938CFB" w14:textId="77777777" w:rsidR="00BC7757" w:rsidRPr="00BC7757" w:rsidRDefault="00BC7757" w:rsidP="00BC7757">
            <w:pPr>
              <w:ind w:left="540" w:right="-72"/>
            </w:pPr>
            <w:r w:rsidRPr="00BC7757">
              <w:t>Les pièces contractuelles constituant le Marché comprennent :</w:t>
            </w:r>
          </w:p>
          <w:p w14:paraId="7D947FFA" w14:textId="57E8F5A8" w:rsidR="00BC7757" w:rsidRPr="00BC7757" w:rsidRDefault="00BC7757" w:rsidP="00BC7757">
            <w:pPr>
              <w:tabs>
                <w:tab w:val="left" w:pos="1080"/>
              </w:tabs>
              <w:ind w:left="1080" w:right="-72" w:hanging="540"/>
            </w:pPr>
            <w:r w:rsidRPr="00BC7757">
              <w:t>a)</w:t>
            </w:r>
            <w:r w:rsidRPr="00BC7757">
              <w:tab/>
              <w:t xml:space="preserve">la Lettre de marché et l’Acte d’engagement dûment </w:t>
            </w:r>
            <w:r w:rsidR="00FB5DF2" w:rsidRPr="00BC7757">
              <w:t>signés ;</w:t>
            </w:r>
          </w:p>
          <w:p w14:paraId="44FE9155" w14:textId="77627745" w:rsidR="00BC7757" w:rsidRPr="00BC7757" w:rsidRDefault="00BC7757" w:rsidP="00BC7757">
            <w:pPr>
              <w:tabs>
                <w:tab w:val="left" w:pos="1080"/>
              </w:tabs>
              <w:ind w:left="1080" w:right="-72" w:hanging="540"/>
            </w:pPr>
            <w:r w:rsidRPr="00BC7757">
              <w:t>b)</w:t>
            </w:r>
            <w:r w:rsidRPr="00BC7757">
              <w:tab/>
              <w:t xml:space="preserve">la Soumission et ses </w:t>
            </w:r>
            <w:r w:rsidR="00FB5DF2" w:rsidRPr="00BC7757">
              <w:t>annexes ;</w:t>
            </w:r>
          </w:p>
          <w:p w14:paraId="751A38ED" w14:textId="1A2D39AB" w:rsidR="00BC7757" w:rsidRPr="00BC7757" w:rsidRDefault="00BC7757" w:rsidP="00BC7757">
            <w:pPr>
              <w:tabs>
                <w:tab w:val="left" w:pos="1080"/>
              </w:tabs>
              <w:ind w:left="1080" w:right="-72" w:hanging="540"/>
            </w:pPr>
            <w:r w:rsidRPr="00BC7757">
              <w:t>c)</w:t>
            </w:r>
            <w:r w:rsidRPr="00BC7757">
              <w:tab/>
              <w:t xml:space="preserve">le Cahier des Clauses administratives </w:t>
            </w:r>
            <w:r w:rsidR="00FB5DF2" w:rsidRPr="00BC7757">
              <w:t>particulières ;</w:t>
            </w:r>
          </w:p>
          <w:p w14:paraId="0A06CE24" w14:textId="1FB57D84" w:rsidR="00BC7757" w:rsidRPr="00BC7757" w:rsidRDefault="00BC7757" w:rsidP="00BC7757">
            <w:pPr>
              <w:tabs>
                <w:tab w:val="left" w:pos="1080"/>
              </w:tabs>
              <w:ind w:left="1080" w:right="-72" w:hanging="540"/>
            </w:pPr>
            <w:r w:rsidRPr="00BC7757">
              <w:t>d)</w:t>
            </w:r>
            <w:r w:rsidRPr="00BC7757">
              <w:tab/>
              <w:t xml:space="preserve">les spécifications ou conditions techniques particulières contenant la description et les caractéristiques des ouvrages telles que stipulées dans les Spécifications </w:t>
            </w:r>
            <w:r w:rsidR="00FB5DF2" w:rsidRPr="00BC7757">
              <w:t>techniques ;</w:t>
            </w:r>
          </w:p>
          <w:p w14:paraId="421F003D" w14:textId="1E03DE31" w:rsidR="00BC7757" w:rsidRPr="00BC7757" w:rsidRDefault="00BC7757" w:rsidP="00BC7757">
            <w:pPr>
              <w:tabs>
                <w:tab w:val="left" w:pos="1080"/>
              </w:tabs>
              <w:ind w:left="1080" w:right="-72" w:hanging="540"/>
            </w:pPr>
            <w:r w:rsidRPr="00BC7757">
              <w:t>e)</w:t>
            </w:r>
            <w:r w:rsidRPr="00BC7757">
              <w:tab/>
              <w:t xml:space="preserve">les documents tels que plans, notes de calculs, cahier des sondages, dossier géotechnique lorsque ces pièces sont mentionnées dans le </w:t>
            </w:r>
            <w:r w:rsidR="00FB5DF2" w:rsidRPr="00BC7757">
              <w:t>CCAP ;</w:t>
            </w:r>
          </w:p>
          <w:p w14:paraId="3A58F0BD" w14:textId="6B9490E2" w:rsidR="00BC7757" w:rsidRPr="00BC7757" w:rsidRDefault="00BC7757" w:rsidP="00BC7757">
            <w:pPr>
              <w:tabs>
                <w:tab w:val="left" w:pos="1080"/>
              </w:tabs>
              <w:ind w:left="1080" w:right="-72" w:hanging="540"/>
            </w:pPr>
            <w:r w:rsidRPr="00BC7757">
              <w:t>f)</w:t>
            </w:r>
            <w:r w:rsidRPr="00BC7757">
              <w:tab/>
              <w:t xml:space="preserve">le Bordereau des prix unitaires ou la série de prix qui en tient lieu ainsi que, le cas échéant, l’état des prix forfaitaires si le Marché en </w:t>
            </w:r>
            <w:r w:rsidR="00FB5DF2" w:rsidRPr="00BC7757">
              <w:t>prévoit ;</w:t>
            </w:r>
          </w:p>
          <w:p w14:paraId="01184E91" w14:textId="43605B4C" w:rsidR="00BC7757" w:rsidRPr="00BC7757" w:rsidRDefault="00BC7757" w:rsidP="00BC7757">
            <w:pPr>
              <w:tabs>
                <w:tab w:val="left" w:pos="1080"/>
              </w:tabs>
              <w:ind w:left="1080" w:right="-72" w:hanging="540"/>
            </w:pPr>
            <w:r w:rsidRPr="00BC7757">
              <w:t>g)</w:t>
            </w:r>
            <w:r w:rsidRPr="00BC7757">
              <w:tab/>
              <w:t>le Détail quantitatif et estimatif, sous réserve de la même exception que ci-</w:t>
            </w:r>
            <w:r w:rsidR="00FB5DF2" w:rsidRPr="00BC7757">
              <w:t>dessus ;</w:t>
            </w:r>
          </w:p>
          <w:p w14:paraId="1C8AC43B" w14:textId="34D4C235" w:rsidR="00BC7757" w:rsidRPr="00BC7757" w:rsidRDefault="00BC7757" w:rsidP="00BC7757">
            <w:pPr>
              <w:tabs>
                <w:tab w:val="left" w:pos="1080"/>
              </w:tabs>
              <w:ind w:left="1080" w:right="-72" w:hanging="540"/>
            </w:pPr>
            <w:r w:rsidRPr="00BC7757">
              <w:t>h)</w:t>
            </w:r>
            <w:r w:rsidRPr="00BC7757">
              <w:tab/>
              <w:t xml:space="preserve">la décomposition des prix forfaitaires et les sous détails de prix unitaires, lorsque ces pièces sont mentionnées comme pièces contractuelles dans le </w:t>
            </w:r>
            <w:r w:rsidR="00FB5DF2" w:rsidRPr="00BC7757">
              <w:t>CCAP ;</w:t>
            </w:r>
          </w:p>
          <w:p w14:paraId="1296BDB7" w14:textId="6A740557" w:rsidR="00BC7757" w:rsidRPr="00BC7757" w:rsidRDefault="00BC7757" w:rsidP="00BC7757">
            <w:pPr>
              <w:tabs>
                <w:tab w:val="left" w:pos="1080"/>
              </w:tabs>
              <w:ind w:left="1080" w:right="-72" w:hanging="540"/>
            </w:pPr>
            <w:r w:rsidRPr="00BC7757">
              <w:t>i)</w:t>
            </w:r>
            <w:r w:rsidRPr="00BC7757">
              <w:tab/>
              <w:t xml:space="preserve">le Cahier des Clauses administratives </w:t>
            </w:r>
            <w:r w:rsidR="00FB5DF2" w:rsidRPr="00BC7757">
              <w:t>générales ;</w:t>
            </w:r>
            <w:r w:rsidRPr="00BC7757">
              <w:t xml:space="preserve"> et </w:t>
            </w:r>
          </w:p>
          <w:p w14:paraId="3BF8CFE3" w14:textId="77777777" w:rsidR="00BC7757" w:rsidRPr="00BC7757" w:rsidRDefault="00BC7757" w:rsidP="00BC7757">
            <w:pPr>
              <w:tabs>
                <w:tab w:val="left" w:pos="1080"/>
              </w:tabs>
              <w:ind w:left="1080" w:right="-72" w:hanging="540"/>
            </w:pPr>
            <w:r w:rsidRPr="00BC7757">
              <w:t>j)</w:t>
            </w:r>
            <w:r w:rsidRPr="00BC7757">
              <w:tab/>
              <w:t>les spécifications techniques générales applicables aux prestations faisant l’objet du Marché telles que stipulées dans les Spécifications techniques ainsi que tout autre document du même type visé au CCAP.</w:t>
            </w:r>
          </w:p>
          <w:p w14:paraId="534C14B6" w14:textId="77777777" w:rsidR="00BC7757" w:rsidRPr="00BC7757" w:rsidRDefault="00BC7757" w:rsidP="00BC7757">
            <w:pPr>
              <w:ind w:left="540" w:right="-72"/>
            </w:pPr>
            <w:r w:rsidRPr="00BC7757">
              <w:t>En cas de contradiction entre les pièces constitutives du Marché, ces pièces prévalent dans l’ordre où elles sont énumérées ci-dessus.</w:t>
            </w:r>
          </w:p>
          <w:p w14:paraId="28C3792A" w14:textId="77777777" w:rsidR="00BC7757" w:rsidRPr="00BC7757" w:rsidRDefault="00BC7757" w:rsidP="00BC7757">
            <w:pPr>
              <w:tabs>
                <w:tab w:val="left" w:pos="540"/>
              </w:tabs>
              <w:ind w:left="540" w:right="-72" w:hanging="540"/>
            </w:pPr>
            <w:r w:rsidRPr="00BC7757">
              <w:t>4.3</w:t>
            </w:r>
            <w:r w:rsidRPr="00BC7757">
              <w:tab/>
              <w:t>Pièces contractuelles postérieures à la conclusion du Marché</w:t>
            </w:r>
          </w:p>
          <w:p w14:paraId="6E0BFB13" w14:textId="77777777" w:rsidR="00BC7757" w:rsidRPr="00BC7757" w:rsidRDefault="00BC7757" w:rsidP="00BC7757">
            <w:pPr>
              <w:ind w:left="540" w:right="-72"/>
            </w:pPr>
            <w:r w:rsidRPr="00BC7757">
              <w:t>Après sa conclusion, le Marché n’est susceptible d’être modifié que par la conclusion d’avenants écrits soumis à la même procédure que celle du Marché.  Par modification au sens du présent paragraphe, on entend un changement qui ne découle pas de la mise en œuvre des termes du Marché ou de la réglementation en vigueur dont le changement est, le cas échéant, pris en compte dans les conditions prévues à l’Article 51.3 du CCAG.</w:t>
            </w:r>
          </w:p>
          <w:p w14:paraId="5CABF84B" w14:textId="77777777" w:rsidR="00BC7757" w:rsidRPr="00BC7757" w:rsidRDefault="00BC7757" w:rsidP="00BC7757">
            <w:pPr>
              <w:tabs>
                <w:tab w:val="left" w:pos="540"/>
              </w:tabs>
              <w:ind w:left="540" w:right="-72" w:hanging="540"/>
              <w:rPr>
                <w:i/>
              </w:rPr>
            </w:pPr>
            <w:r w:rsidRPr="00BC7757">
              <w:t>4.4</w:t>
            </w:r>
            <w:r w:rsidRPr="00BC7757">
              <w:tab/>
              <w:t>Plans et documents fournis par le Maître de l’Ouvrage</w:t>
            </w:r>
          </w:p>
          <w:p w14:paraId="4C6140C5" w14:textId="77777777" w:rsidR="00BC7757" w:rsidRPr="00BC7757" w:rsidRDefault="00BC7757" w:rsidP="00BC7757">
            <w:pPr>
              <w:tabs>
                <w:tab w:val="left" w:pos="1080"/>
              </w:tabs>
              <w:ind w:left="1080" w:right="-72" w:hanging="540"/>
            </w:pPr>
            <w:r w:rsidRPr="00BC7757">
              <w:t>4.4.1</w:t>
            </w:r>
            <w:r w:rsidRPr="00BC7757">
              <w:tab/>
              <w:t>Deux (2) exemplaires des plans préparés par le Maître de l’Ouvrage ou le Maître d’Œuvre sont fournis à l’Entrepreneur gratuitement.  L’Entrepreneur est chargé de reproduire à ses propres frais tout autre exemplaire dont il peut avoir besoin.  Sauf dans les cas où cela s’avère strictement nécessaire pour l’exécution du Marché, les plans, les spécifications et tous autres documents fournis par le Maître de l’Ouvrage ou le Maître d’Œuvre ne devront pas, sans l’accord du Chef de Projet, être utilisés ou communiqués à des tiers par l’Entrepreneur.  Lors de la réception provisoire, l’Entrepreneur rendra au Chef de Projet tous les plans qui lui ont été fournis dans le cadre du Marché.</w:t>
            </w:r>
          </w:p>
          <w:p w14:paraId="49FE9225" w14:textId="1C3CF481" w:rsidR="00BC7757" w:rsidRPr="00BC7757" w:rsidRDefault="00BC7757" w:rsidP="00BC7757">
            <w:pPr>
              <w:tabs>
                <w:tab w:val="left" w:pos="1080"/>
              </w:tabs>
              <w:ind w:left="1080" w:right="-72" w:hanging="540"/>
            </w:pPr>
            <w:r w:rsidRPr="00BC7757">
              <w:t>4.4.2</w:t>
            </w:r>
            <w:r w:rsidRPr="00BC7757">
              <w:tab/>
              <w:t xml:space="preserve">L’Entrepreneur fournira au Maître d’Œuvre trois (3) exemplaires dont un (1) sur calque, ou électroniquement reproductible, selon le </w:t>
            </w:r>
            <w:r w:rsidR="00FB5DF2" w:rsidRPr="00BC7757">
              <w:t>cas, de</w:t>
            </w:r>
            <w:r w:rsidRPr="00BC7757">
              <w:t xml:space="preserve"> tous les plans et autres documents dont la réalisation est à sa charge au titre du Marché ainsi qu’un (1) exemplaire reproductible de tout document dont la reproduction par photocopie ne peut pas être d’aussi bonne qualité que l’original.</w:t>
            </w:r>
          </w:p>
          <w:p w14:paraId="46396158" w14:textId="77777777" w:rsidR="00BC7757" w:rsidRPr="00BC7757" w:rsidRDefault="00BC7757" w:rsidP="00BC7757">
            <w:pPr>
              <w:tabs>
                <w:tab w:val="left" w:pos="1080"/>
              </w:tabs>
              <w:ind w:left="1080" w:right="-72" w:hanging="540"/>
            </w:pPr>
            <w:r w:rsidRPr="00BC7757">
              <w:t>4.4.3</w:t>
            </w:r>
            <w:r w:rsidRPr="00BC7757">
              <w:tab/>
              <w:t>Un (1) exemplaire des plans, fourni à l’Entrepreneur ou réalisé par lui dans les conditions prévues aux alinéas 4.1 et 4.2 du présent Article sera conservé par l’Entrepreneur sur le chantier afin d’être contrôlé et utilisé par le Maître d’Œuvre.</w:t>
            </w:r>
          </w:p>
          <w:p w14:paraId="225846E3" w14:textId="77777777" w:rsidR="00BC7757" w:rsidRPr="00BC7757" w:rsidRDefault="00BC7757" w:rsidP="00BC7757">
            <w:pPr>
              <w:tabs>
                <w:tab w:val="left" w:pos="1080"/>
              </w:tabs>
              <w:ind w:left="1080" w:right="-72" w:hanging="540"/>
            </w:pPr>
            <w:r w:rsidRPr="00BC7757">
              <w:t>4.4.4</w:t>
            </w:r>
            <w:r w:rsidRPr="00BC7757">
              <w:tab/>
              <w:t>L’Entrepreneur est tenu d’avertir le Maître d’Œuvre par écrit, avec copie au Chef de Projet, chaque fois que le programme ou le calendrier d’exécution des travaux est susceptible d’être retardé ou interrompu si le Maître d’Œuvre ou le Chef de Projet ne délivre pas dans un délai raisonnable un plan, un ordre de service ou toute autre instruction nécessaire à l’exécution des Travaux qu’il est tenu de transmettre à l’Entrepreneur.  La notification de l’Entrepreneur doit préciser les caractéristiques des documents requis et les dates de remise de ces documents.</w:t>
            </w:r>
          </w:p>
          <w:p w14:paraId="2FA424BE" w14:textId="77777777" w:rsidR="00BC7757" w:rsidRPr="00BC7757" w:rsidRDefault="00BC7757" w:rsidP="00BC7757">
            <w:pPr>
              <w:tabs>
                <w:tab w:val="left" w:pos="1080"/>
              </w:tabs>
              <w:ind w:left="1080" w:right="-72" w:hanging="540"/>
            </w:pPr>
            <w:r w:rsidRPr="00BC7757">
              <w:t>4.4.5</w:t>
            </w:r>
            <w:r w:rsidRPr="00BC7757">
              <w:tab/>
              <w:t>Dans le cas où des retards du Maître de l’Ouvrage ou du Maître d’Œuvre dans la remise ou l’approbation des plans ou la délivrance d’ un ordre de service ou de toute autre instruction portent préjudice à l’Entrepreneur, ce dernier aura droit à réparation de ce préjudice sauf dans le cas où ces retards sont eux-mêmes causés par une défaillance de l’Entrepreneur dans la remise au Maître d’Œuvre ou au Maître de l’Ouvrage d’informations, plans ou documents qu’il est tenu de lui fournir.</w:t>
            </w:r>
          </w:p>
        </w:tc>
      </w:tr>
      <w:tr w:rsidR="00BC7757" w:rsidRPr="00BC7757" w14:paraId="74075B02" w14:textId="77777777" w:rsidTr="009B6B8C">
        <w:tc>
          <w:tcPr>
            <w:tcW w:w="2160" w:type="dxa"/>
            <w:tcBorders>
              <w:top w:val="nil"/>
              <w:left w:val="nil"/>
              <w:bottom w:val="nil"/>
              <w:right w:val="nil"/>
            </w:tcBorders>
            <w:shd w:val="clear" w:color="auto" w:fill="auto"/>
          </w:tcPr>
          <w:p w14:paraId="0D21A5D9" w14:textId="77777777" w:rsidR="00BC7757" w:rsidRPr="00BC7757" w:rsidRDefault="00BC7757" w:rsidP="00BC7757">
            <w:pPr>
              <w:pStyle w:val="Head42"/>
            </w:pPr>
            <w:bookmarkStart w:id="733" w:name="_Toc348175938"/>
            <w:bookmarkStart w:id="734" w:name="_Toc327539550"/>
            <w:r w:rsidRPr="00BC7757">
              <w:t>5.</w:t>
            </w:r>
            <w:r w:rsidRPr="00BC7757">
              <w:tab/>
              <w:t>Obligations générales</w:t>
            </w:r>
            <w:bookmarkEnd w:id="733"/>
            <w:bookmarkEnd w:id="734"/>
          </w:p>
        </w:tc>
        <w:tc>
          <w:tcPr>
            <w:tcW w:w="7304" w:type="dxa"/>
            <w:tcBorders>
              <w:top w:val="nil"/>
              <w:left w:val="nil"/>
              <w:bottom w:val="nil"/>
              <w:right w:val="nil"/>
            </w:tcBorders>
            <w:shd w:val="clear" w:color="auto" w:fill="auto"/>
          </w:tcPr>
          <w:p w14:paraId="5EE43E10" w14:textId="77777777" w:rsidR="00BC7757" w:rsidRPr="00BC7757" w:rsidRDefault="00BC7757" w:rsidP="00BC7757">
            <w:pPr>
              <w:tabs>
                <w:tab w:val="left" w:pos="540"/>
              </w:tabs>
              <w:ind w:left="540" w:right="-72" w:hanging="540"/>
            </w:pPr>
            <w:r w:rsidRPr="00BC7757">
              <w:t>5.1</w:t>
            </w:r>
            <w:r w:rsidRPr="00BC7757">
              <w:tab/>
              <w:t>Adéquation de l’Offre</w:t>
            </w:r>
          </w:p>
          <w:p w14:paraId="752DC98B" w14:textId="77777777" w:rsidR="00BC7757" w:rsidRPr="00BC7757" w:rsidRDefault="00BC7757" w:rsidP="00BC7757">
            <w:pPr>
              <w:tabs>
                <w:tab w:val="left" w:pos="1080"/>
              </w:tabs>
              <w:ind w:left="1080" w:right="-72" w:hanging="540"/>
            </w:pPr>
            <w:r w:rsidRPr="00BC7757">
              <w:t>5.1.1</w:t>
            </w:r>
            <w:r w:rsidRPr="00BC7757">
              <w:tab/>
              <w:t>L’Entrepreneur est réputé avoir remis une offre complète basée sur des prix unitaires ainsi que des prix forfaitaires si le Marché en prévoit, qui sont, sauf dispositions contraires du Marché, réputés couvrir l’ensemble de ses obligations au titre du Marché et des sujétions nécessaires à la bonne et complète exécution des travaux et à la réparation des vices de construction ou reprise des malfaçons, plus amplement décrite à l’Article 10.1 du CCAG.</w:t>
            </w:r>
          </w:p>
          <w:p w14:paraId="7899E29D" w14:textId="77777777" w:rsidR="00BC7757" w:rsidRPr="00BC7757" w:rsidRDefault="00BC7757" w:rsidP="00BC7757">
            <w:pPr>
              <w:tabs>
                <w:tab w:val="left" w:pos="1080"/>
              </w:tabs>
              <w:ind w:left="1080" w:right="-72" w:hanging="540"/>
            </w:pPr>
            <w:r w:rsidRPr="00BC7757">
              <w:t>5.1.2</w:t>
            </w:r>
            <w:r w:rsidRPr="00BC7757">
              <w:tab/>
              <w:t>L’Entrepreneur est réputé avoir inspecté et examiné le site et ses environs et avoir pris connaissance et analysé les données disponibles s’y rapportant avant de remettre son offre, notamment en ce qui concerne :</w:t>
            </w:r>
          </w:p>
          <w:p w14:paraId="42978A76" w14:textId="4FD55DCD" w:rsidR="00BC7757" w:rsidRPr="00BC7757" w:rsidRDefault="00BC7757" w:rsidP="00BC7757">
            <w:pPr>
              <w:tabs>
                <w:tab w:val="left" w:pos="1620"/>
              </w:tabs>
              <w:ind w:left="1620" w:right="-72" w:hanging="540"/>
            </w:pPr>
            <w:r w:rsidRPr="00BC7757">
              <w:t>a)</w:t>
            </w:r>
            <w:r w:rsidRPr="00BC7757">
              <w:tab/>
              <w:t>la topographie du site et la nature du chantier, y compris les conditions du sous-</w:t>
            </w:r>
            <w:r w:rsidR="00FB5DF2" w:rsidRPr="00BC7757">
              <w:t>sol ;</w:t>
            </w:r>
          </w:p>
          <w:p w14:paraId="4AA79A39" w14:textId="5BE24C51" w:rsidR="00BC7757" w:rsidRPr="00BC7757" w:rsidRDefault="00BC7757" w:rsidP="00BC7757">
            <w:pPr>
              <w:tabs>
                <w:tab w:val="left" w:pos="1620"/>
              </w:tabs>
              <w:ind w:left="1620" w:right="-72" w:hanging="540"/>
            </w:pPr>
            <w:r w:rsidRPr="00BC7757">
              <w:t>b)</w:t>
            </w:r>
            <w:r w:rsidRPr="00BC7757">
              <w:tab/>
              <w:t xml:space="preserve">les conditions hydrologiques et </w:t>
            </w:r>
            <w:r w:rsidR="00FB5DF2" w:rsidRPr="00BC7757">
              <w:t>climatiques ;</w:t>
            </w:r>
          </w:p>
          <w:p w14:paraId="1AD44FE1" w14:textId="2985D029" w:rsidR="00BC7757" w:rsidRPr="00BC7757" w:rsidRDefault="00BC7757" w:rsidP="00BC7757">
            <w:pPr>
              <w:tabs>
                <w:tab w:val="left" w:pos="1620"/>
              </w:tabs>
              <w:ind w:left="1620" w:right="-72" w:hanging="540"/>
            </w:pPr>
            <w:r w:rsidRPr="00BC7757">
              <w:t>c)</w:t>
            </w:r>
            <w:r w:rsidRPr="00BC7757">
              <w:tab/>
              <w:t xml:space="preserve">l’étendue et la nature des travaux et des matériaux nécessaires à la réalisation des travaux et à la réparation des vices de construction ou reprise des </w:t>
            </w:r>
            <w:r w:rsidR="00FB5DF2" w:rsidRPr="00BC7757">
              <w:t>malfaçons ;</w:t>
            </w:r>
          </w:p>
          <w:p w14:paraId="5E09360A" w14:textId="77777777" w:rsidR="00BC7757" w:rsidRPr="00BC7757" w:rsidRDefault="00BC7757" w:rsidP="00BC7757">
            <w:pPr>
              <w:tabs>
                <w:tab w:val="left" w:pos="1620"/>
              </w:tabs>
              <w:ind w:left="1620" w:right="-72" w:hanging="540"/>
            </w:pPr>
            <w:r w:rsidRPr="00BC7757">
              <w:t>d)</w:t>
            </w:r>
            <w:r w:rsidRPr="00BC7757">
              <w:tab/>
              <w:t>les moyens d’accès au Site et les installations matérielles dont il peut avoir besoin.</w:t>
            </w:r>
          </w:p>
          <w:p w14:paraId="226B0C87" w14:textId="77777777" w:rsidR="00BC7757" w:rsidRPr="00BC7757" w:rsidRDefault="00BC7757" w:rsidP="00BC7757">
            <w:pPr>
              <w:tabs>
                <w:tab w:val="left" w:pos="1080"/>
              </w:tabs>
              <w:ind w:left="1080" w:right="-72"/>
            </w:pPr>
            <w:r w:rsidRPr="00BC7757">
              <w:t>En règle générale, il est considéré avoir obtenu toutes les informations nécessaires relatives aux risques, aléas et à tout élément susceptible d’affecter ou d’influer sur son Offre, en l’absence d’une disposition contraire dans les Spécifications techniques.</w:t>
            </w:r>
          </w:p>
          <w:p w14:paraId="7FCC6A49" w14:textId="77777777" w:rsidR="00BC7757" w:rsidRPr="00BC7757" w:rsidRDefault="00BC7757" w:rsidP="00BC7757">
            <w:pPr>
              <w:tabs>
                <w:tab w:val="left" w:pos="540"/>
              </w:tabs>
              <w:ind w:left="540" w:right="-72" w:hanging="540"/>
            </w:pPr>
            <w:r w:rsidRPr="00BC7757">
              <w:t>5.2</w:t>
            </w:r>
            <w:r w:rsidRPr="00BC7757">
              <w:tab/>
              <w:t>Exécution conforme au Marché</w:t>
            </w:r>
          </w:p>
          <w:p w14:paraId="60166B27" w14:textId="77777777" w:rsidR="00BC7757" w:rsidRPr="00BC7757" w:rsidRDefault="00BC7757" w:rsidP="00BC7757">
            <w:pPr>
              <w:ind w:left="540" w:right="-72"/>
            </w:pPr>
            <w:r w:rsidRPr="00BC7757">
              <w:t>L’Entrepreneur doit entreprendre les études d’exécution, dans les limites des dispositions du Marché, l’exécution complète des travaux et doit remédier aux désordres ou malfaçons, conformément aux dispositions du Marché.  L’Entrepreneur doit diriger les travaux, fournir la main-d’œuvre, les matériaux, le matériel, les équipements, ainsi que les ouvrages provisoires requis pour l’exécution et l’achèvement des travaux et la reprise des désordres et malfaçons.</w:t>
            </w:r>
          </w:p>
          <w:p w14:paraId="5719A217" w14:textId="77777777" w:rsidR="00BC7757" w:rsidRPr="00BC7757" w:rsidRDefault="00BC7757" w:rsidP="00BC7757">
            <w:pPr>
              <w:tabs>
                <w:tab w:val="left" w:pos="540"/>
              </w:tabs>
              <w:ind w:left="540" w:right="-72" w:hanging="540"/>
            </w:pPr>
            <w:r w:rsidRPr="00BC7757">
              <w:t>5.3</w:t>
            </w:r>
            <w:r w:rsidRPr="00BC7757">
              <w:tab/>
              <w:t>Respect des lois et règlements</w:t>
            </w:r>
          </w:p>
          <w:p w14:paraId="0D6C2DEA" w14:textId="77777777" w:rsidR="00BC7757" w:rsidRPr="00BC7757" w:rsidRDefault="00BC7757" w:rsidP="00BC7757">
            <w:pPr>
              <w:ind w:left="540" w:right="-72"/>
            </w:pPr>
            <w:r w:rsidRPr="00BC7757">
              <w:t>L’Entrepreneur doit se conformer en tous points aux dispositions de la réglementation en vigueur ayant trait à l’exécution des travaux et à la reprise des malfaçons.</w:t>
            </w:r>
          </w:p>
          <w:p w14:paraId="0A2A3085" w14:textId="77777777" w:rsidR="00BC7757" w:rsidRPr="00BC7757" w:rsidRDefault="00BC7757" w:rsidP="00BC7757">
            <w:pPr>
              <w:tabs>
                <w:tab w:val="left" w:pos="540"/>
              </w:tabs>
              <w:ind w:left="540" w:right="-72" w:hanging="540"/>
            </w:pPr>
            <w:r w:rsidRPr="00BC7757">
              <w:t>5.4</w:t>
            </w:r>
            <w:r w:rsidRPr="00BC7757">
              <w:tab/>
              <w:t>Confidentialité</w:t>
            </w:r>
          </w:p>
          <w:p w14:paraId="0F940EE0" w14:textId="77777777" w:rsidR="00BC7757" w:rsidRPr="00BC7757" w:rsidRDefault="00BC7757" w:rsidP="00BC7757">
            <w:pPr>
              <w:ind w:left="540"/>
            </w:pPr>
            <w:r w:rsidRPr="00BC7757">
              <w:t>L’Entrepreneur est tenu à une obligation de confidentialité en ce qui concerne le Marché et les pièces contractuelles qui s’y rapportent.  Cette même obligation s’applique à toute information, de quelque nature que ce soit, qui ne soit pas déjà rendue publique, dont lui-même, son personnel et ses sous-traitants auraient pu prendre connaissance à l’occasion de la réalisation du Marché.  Il ne pourra en aucun cas publier ou révéler de telles informations sans avoir obtenu l’accord écrit et préalable du Chef de Projet, et seulement dans les limites strictement nécessaires à la bonne exécution du Marché.</w:t>
            </w:r>
          </w:p>
          <w:p w14:paraId="3E0B4F76" w14:textId="77777777" w:rsidR="00BC7757" w:rsidRPr="00BC7757" w:rsidRDefault="00BC7757" w:rsidP="00BC7757">
            <w:pPr>
              <w:tabs>
                <w:tab w:val="left" w:pos="540"/>
              </w:tabs>
              <w:ind w:left="540" w:right="-72" w:hanging="540"/>
            </w:pPr>
            <w:r w:rsidRPr="00BC7757">
              <w:t>5.5</w:t>
            </w:r>
            <w:r w:rsidRPr="00BC7757">
              <w:tab/>
              <w:t>Procédés et méthodes de construction</w:t>
            </w:r>
          </w:p>
          <w:p w14:paraId="52F44286" w14:textId="77777777" w:rsidR="00BC7757" w:rsidRPr="00BC7757" w:rsidRDefault="00BC7757" w:rsidP="00BC7757">
            <w:pPr>
              <w:ind w:left="540" w:right="-72"/>
            </w:pPr>
            <w:r w:rsidRPr="00BC7757">
              <w:t>L’Entrepreneur est entièrement responsable de l’adéquation, de la stabilité et de la sécurité de tous les procédés et méthodes de construction employées pour la réalisation des ouvrages.</w:t>
            </w:r>
          </w:p>
          <w:p w14:paraId="7FA8F4A7" w14:textId="77777777" w:rsidR="00BC7757" w:rsidRPr="00BC7757" w:rsidRDefault="00BC7757" w:rsidP="00BC7757">
            <w:pPr>
              <w:tabs>
                <w:tab w:val="left" w:pos="540"/>
              </w:tabs>
              <w:ind w:left="540" w:right="-72" w:hanging="540"/>
            </w:pPr>
            <w:r w:rsidRPr="00BC7757">
              <w:t>5.6</w:t>
            </w:r>
            <w:r w:rsidRPr="00BC7757">
              <w:tab/>
              <w:t>Convocation de l’Entrepreneur - Rendez-vous de chantier</w:t>
            </w:r>
          </w:p>
          <w:p w14:paraId="0FBEB30A" w14:textId="3BF5E2C7" w:rsidR="00BC7757" w:rsidRPr="00BC7757" w:rsidRDefault="00BC7757" w:rsidP="00BC7757">
            <w:pPr>
              <w:ind w:left="540" w:right="-18"/>
            </w:pPr>
            <w:r w:rsidRPr="00BC7757">
              <w:t xml:space="preserve">L’Entrepreneur ou son représentant se rend dans les bureaux du Maître d’Œuvre ou sur les chantiers toutes les fois qu’il en est </w:t>
            </w:r>
            <w:r w:rsidR="00FB5DF2" w:rsidRPr="00BC7757">
              <w:t>requis :</w:t>
            </w:r>
            <w:r w:rsidRPr="00BC7757">
              <w:t xml:space="preserve"> il est accompagné, s’il y a lieu, de ses sous-traitants.  En cas d’Entrepreneurs groupés, l’obligation qui précède s’applique au mandataire </w:t>
            </w:r>
            <w:r w:rsidR="00FB5DF2" w:rsidRPr="00BC7757">
              <w:t>commun ;</w:t>
            </w:r>
            <w:r w:rsidRPr="00BC7757">
              <w:t xml:space="preserve"> il peut être accompagné, s’il y a lieu, des autres entrepreneurs et sous-traitants.</w:t>
            </w:r>
          </w:p>
          <w:p w14:paraId="21E75097" w14:textId="77777777" w:rsidR="00BC7757" w:rsidRPr="00BC7757" w:rsidRDefault="00BC7757" w:rsidP="00BC7757">
            <w:pPr>
              <w:tabs>
                <w:tab w:val="left" w:pos="540"/>
              </w:tabs>
              <w:ind w:left="540" w:right="-72" w:hanging="540"/>
            </w:pPr>
            <w:r w:rsidRPr="00BC7757">
              <w:t>5.7</w:t>
            </w:r>
            <w:r w:rsidRPr="00BC7757">
              <w:tab/>
              <w:t>Ordres de service</w:t>
            </w:r>
          </w:p>
          <w:p w14:paraId="420B6F0C" w14:textId="68116EB5" w:rsidR="00BC7757" w:rsidRPr="00BC7757" w:rsidRDefault="00BC7757" w:rsidP="00BC7757">
            <w:pPr>
              <w:tabs>
                <w:tab w:val="left" w:pos="1080"/>
              </w:tabs>
              <w:ind w:left="1080" w:right="-72" w:hanging="540"/>
            </w:pPr>
            <w:r w:rsidRPr="00BC7757">
              <w:t>5.7.1</w:t>
            </w:r>
            <w:r w:rsidRPr="00BC7757">
              <w:tab/>
              <w:t xml:space="preserve">Les ordres de service sont </w:t>
            </w:r>
            <w:r w:rsidR="00FB5DF2" w:rsidRPr="00BC7757">
              <w:t>écrits ;</w:t>
            </w:r>
            <w:r w:rsidRPr="00BC7757">
              <w:t xml:space="preserve"> ils sont signés par le Maître d’Œuvre, datés et numérotés.  Ils sont adressés par courrier, remise en main </w:t>
            </w:r>
            <w:r w:rsidR="00FB5DF2" w:rsidRPr="00BC7757">
              <w:t>propre, en</w:t>
            </w:r>
            <w:r w:rsidRPr="00BC7757">
              <w:t xml:space="preserve"> deux (2) exemplaires ou par courrier électronique conformément aux dispositions </w:t>
            </w:r>
            <w:r w:rsidR="00FB5DF2" w:rsidRPr="00BC7757">
              <w:t>du CCAP</w:t>
            </w:r>
            <w:r w:rsidRPr="00BC7757">
              <w:t xml:space="preserve"> à </w:t>
            </w:r>
            <w:r w:rsidR="00FB5DF2" w:rsidRPr="00BC7757">
              <w:t>l’Entrepreneur ;</w:t>
            </w:r>
            <w:r w:rsidRPr="00BC7757">
              <w:t xml:space="preserve"> celui-ci renvoie immédiatement au Maître d’Œuvre l’un des deux exemplaires (le cas échéant) après l’avoir signé et y avoir porté la date à laquelle il l’a reçu.  Le premier ordre de service est transmis à l’Entrepreneur le jour de l’entrée en vigueur du Marché.</w:t>
            </w:r>
          </w:p>
          <w:p w14:paraId="4BAFF00F" w14:textId="0CC58D12" w:rsidR="00BC7757" w:rsidRPr="00BC7757" w:rsidRDefault="00BC7757" w:rsidP="00BC7757">
            <w:pPr>
              <w:tabs>
                <w:tab w:val="left" w:pos="1080"/>
              </w:tabs>
              <w:ind w:left="1080" w:right="-72" w:hanging="540"/>
            </w:pPr>
            <w:r w:rsidRPr="00BC7757">
              <w:t>5.7.2</w:t>
            </w:r>
            <w:r w:rsidRPr="00BC7757">
              <w:tab/>
              <w:t xml:space="preserve">Lorsque l’Entrepreneur estime que les prescriptions d’un ordre de service appellent des réserves de sa part, il doit, sous peine de forclusion, les présenter par écrit au Maître d’Œuvre dans un délai de quinze (15) jours calculé dans les conditions prévues à l’Article 7 du CCAG.  A l’exception des cas prévus à </w:t>
            </w:r>
            <w:r w:rsidR="00FB5DF2" w:rsidRPr="00BC7757">
              <w:t>l’Article 14.1</w:t>
            </w:r>
            <w:r w:rsidRPr="00BC7757">
              <w:t xml:space="preserve"> du CCAG, l’Entrepreneur se conforme strictement aux ordres de service qui lui sont notifiés, qu’ils aient ou non fait l’objet de réserves de sa part.</w:t>
            </w:r>
          </w:p>
          <w:p w14:paraId="37993AFA" w14:textId="77777777" w:rsidR="00BC7757" w:rsidRPr="00BC7757" w:rsidRDefault="00BC7757" w:rsidP="00BC7757">
            <w:pPr>
              <w:tabs>
                <w:tab w:val="left" w:pos="1080"/>
              </w:tabs>
              <w:ind w:left="1080" w:right="-72" w:hanging="540"/>
            </w:pPr>
            <w:r w:rsidRPr="00BC7757">
              <w:t>5.7.3</w:t>
            </w:r>
            <w:r w:rsidRPr="00BC7757">
              <w:tab/>
              <w:t>Les ordres de service relatifs à des travaux sous-traités sont adressés à l’Entrepreneur qui a, seul, qualité pour présenter des réserves.</w:t>
            </w:r>
          </w:p>
          <w:p w14:paraId="0C786642" w14:textId="77777777" w:rsidR="00BC7757" w:rsidRPr="00BC7757" w:rsidRDefault="00BC7757" w:rsidP="00BC7757">
            <w:pPr>
              <w:tabs>
                <w:tab w:val="left" w:pos="1080"/>
              </w:tabs>
              <w:ind w:left="1080" w:right="-72" w:hanging="540"/>
            </w:pPr>
            <w:r w:rsidRPr="00BC7757">
              <w:t>5.7.4</w:t>
            </w:r>
            <w:r w:rsidRPr="00BC7757">
              <w:tab/>
              <w:t>En cas d’Entrepreneurs groupés, les ordres de services sont adressés au mandataire commun qui a, seul, qualité pour présenter des réserves.</w:t>
            </w:r>
          </w:p>
          <w:p w14:paraId="01F7B8DD" w14:textId="77777777" w:rsidR="00BC7757" w:rsidRPr="00BC7757" w:rsidRDefault="00BC7757" w:rsidP="00BC7757">
            <w:pPr>
              <w:tabs>
                <w:tab w:val="left" w:pos="540"/>
              </w:tabs>
              <w:ind w:left="540" w:right="-72" w:hanging="540"/>
            </w:pPr>
            <w:r w:rsidRPr="00BC7757">
              <w:t>5.8</w:t>
            </w:r>
            <w:r w:rsidRPr="00BC7757">
              <w:tab/>
              <w:t>Arrangements financiers du Maître de l’Ouvrage et estimations trimestrielles des engagements correspondants</w:t>
            </w:r>
          </w:p>
          <w:p w14:paraId="177BA352" w14:textId="77777777" w:rsidR="00BC7757" w:rsidRPr="00BC7757" w:rsidRDefault="00BC7757" w:rsidP="00BC7757">
            <w:pPr>
              <w:tabs>
                <w:tab w:val="left" w:pos="1080"/>
              </w:tabs>
              <w:ind w:left="1080" w:right="-72" w:hanging="540"/>
            </w:pPr>
            <w:r w:rsidRPr="00BC7757">
              <w:t>5.8.1</w:t>
            </w:r>
            <w:r w:rsidRPr="00BC7757">
              <w:tab/>
              <w:t xml:space="preserve">Le Maître de l’Ouvrage fournira à l’Entrepreneur, avant </w:t>
            </w:r>
            <w:smartTag w:uri="urn:schemas-microsoft-com:office:smarttags" w:element="PersonName">
              <w:smartTagPr>
                <w:attr w:name="ProductID" w:val="la Date"/>
              </w:smartTagPr>
              <w:r w:rsidRPr="00BC7757">
                <w:t>la Date</w:t>
              </w:r>
            </w:smartTag>
            <w:r w:rsidRPr="00BC7757">
              <w:t xml:space="preserve"> d’entrée en vigueur définie à l’Article 52.1 du CCAG et, par la suite, dans les 30 jours suivant la réception de toute demande de l’Entrepreneur à cet effet, les éléments justifiant que le Maître de l’Ouvrage a mis en place, maintenu et/ou adapté les arrangements financiers lui permettant de payer ponctuellement les sommes dues à l’Entrepreneur au titre du Marché, telles que raisonnablement évaluées à la date en cause en tenant compte, le cas échéant, de l’impact des révisions de prix, des travaux non prévus, modificatifs ou supplémentaires et des circonstances imprévues.</w:t>
            </w:r>
          </w:p>
          <w:p w14:paraId="7D353AA2" w14:textId="77777777" w:rsidR="00BC7757" w:rsidRPr="00BC7757" w:rsidRDefault="00BC7757" w:rsidP="00BC7757">
            <w:pPr>
              <w:tabs>
                <w:tab w:val="left" w:pos="1080"/>
              </w:tabs>
              <w:ind w:left="1080" w:right="-72" w:hanging="540"/>
            </w:pPr>
            <w:r w:rsidRPr="00BC7757">
              <w:tab/>
              <w:t>Le Maître de l’Ouvrage n’apportera pas de modifications limitant ces arrangements financiers sans en avoir préalablement informé l’Entrepreneur par écrit de manière détaillée.</w:t>
            </w:r>
          </w:p>
          <w:p w14:paraId="7E175262" w14:textId="77777777" w:rsidR="00BC7757" w:rsidRPr="00BC7757" w:rsidRDefault="00BC7757" w:rsidP="00BC7757">
            <w:pPr>
              <w:tabs>
                <w:tab w:val="left" w:pos="1080"/>
              </w:tabs>
              <w:ind w:left="1080" w:right="-72" w:hanging="540"/>
            </w:pPr>
            <w:r w:rsidRPr="00BC7757">
              <w:tab/>
              <w:t xml:space="preserve">En outre, si </w:t>
            </w:r>
            <w:smartTag w:uri="urn:schemas-microsoft-com:office:smarttags" w:element="PersonName">
              <w:smartTagPr>
                <w:attr w:name="ProductID" w:val="la Banque"/>
              </w:smartTagPr>
              <w:r w:rsidRPr="00BC7757">
                <w:t>la Banque</w:t>
              </w:r>
            </w:smartTag>
            <w:r w:rsidRPr="00BC7757">
              <w:t xml:space="preserve"> a notifié au Maître de l’Ouvrage (ou au donataire ou emprunteur ayant rétrocédé au Maître de l’Ouvrage le bénéfice du concours de </w:t>
            </w:r>
            <w:smartTag w:uri="urn:schemas-microsoft-com:office:smarttags" w:element="PersonName">
              <w:smartTagPr>
                <w:attr w:name="ProductID" w:val="la Banque"/>
              </w:smartTagPr>
              <w:r w:rsidRPr="00BC7757">
                <w:t>la Banque</w:t>
              </w:r>
            </w:smartTag>
            <w:r w:rsidRPr="00BC7757">
              <w:t xml:space="preserve">) la suspension de ses décaissements au titre du Marché, le Maître de l’Ouvrage notifiera à l’Entrepreneur cette suspension en précisant ses modalités (notamment les dates de réception et d’effet de la notification de </w:t>
            </w:r>
            <w:smartTag w:uri="urn:schemas-microsoft-com:office:smarttags" w:element="PersonName">
              <w:smartTagPr>
                <w:attr w:name="ProductID" w:val="la Banque"/>
              </w:smartTagPr>
              <w:r w:rsidRPr="00BC7757">
                <w:t>la Banque</w:t>
              </w:r>
            </w:smartTag>
            <w:r w:rsidRPr="00BC7757">
              <w:t xml:space="preserve">), avec copie au Maître d’Œuvre, dans les 7 jours suivant la réception de la notification de </w:t>
            </w:r>
            <w:smartTag w:uri="urn:schemas-microsoft-com:office:smarttags" w:element="PersonName">
              <w:smartTagPr>
                <w:attr w:name="ProductID" w:val="la Banque"/>
              </w:smartTagPr>
              <w:r w:rsidRPr="00BC7757">
                <w:t>la Banque</w:t>
              </w:r>
            </w:smartTag>
            <w:r w:rsidRPr="00BC7757">
              <w:t xml:space="preserve"> par le donataire ou l’emprunteur. Si des arrangements financiers de remplacement, équivalents à ceux de </w:t>
            </w:r>
            <w:smartTag w:uri="urn:schemas-microsoft-com:office:smarttags" w:element="PersonName">
              <w:smartTagPr>
                <w:attr w:name="ProductID" w:val="la Banque"/>
              </w:smartTagPr>
              <w:r w:rsidRPr="00BC7757">
                <w:t>la Banque</w:t>
              </w:r>
            </w:smartTag>
            <w:r w:rsidRPr="00BC7757">
              <w:t xml:space="preserve">, peuvent être dûment mis en place par le Maître de l’Ouvrage dans les 60 jours d’émission de la notification de </w:t>
            </w:r>
            <w:smartTag w:uri="urn:schemas-microsoft-com:office:smarttags" w:element="PersonName">
              <w:smartTagPr>
                <w:attr w:name="ProductID" w:val="la Banque"/>
              </w:smartTagPr>
              <w:r w:rsidRPr="00BC7757">
                <w:t>la Banque</w:t>
              </w:r>
            </w:smartTag>
            <w:r w:rsidRPr="00BC7757">
              <w:t>, pour lui permettre d’assurer le paiement effectif des sommes revenant à l’Entrepreneur à compter de l’expiration de ce délai, le Maître de l’Ouvrage informera préalablement l’Entrepreneur, par écrit et de manière détaillée, de ces nouveaux arrangements.</w:t>
            </w:r>
          </w:p>
          <w:p w14:paraId="5FC06B6B" w14:textId="77777777" w:rsidR="00BC7757" w:rsidRPr="00BC7757" w:rsidRDefault="00BC7757" w:rsidP="00BC7757">
            <w:pPr>
              <w:tabs>
                <w:tab w:val="left" w:pos="1080"/>
              </w:tabs>
              <w:ind w:left="1080" w:right="-72" w:hanging="540"/>
            </w:pPr>
            <w:r w:rsidRPr="00BC7757">
              <w:tab/>
              <w:t>Dans le cas contraire, le Maître de l’Ouvrage proposera à l’Entrepreneur, avant l’expiration de la moitié du délai précité, de négocier les modalités de la diminution ou du ralentissement ou de l’interruption des travaux, comme il sera le plus approprié.</w:t>
            </w:r>
          </w:p>
          <w:p w14:paraId="73E5BE69" w14:textId="77777777" w:rsidR="00BC7757" w:rsidRPr="00BC7757" w:rsidRDefault="00BC7757" w:rsidP="00BC7757">
            <w:pPr>
              <w:tabs>
                <w:tab w:val="left" w:pos="540"/>
              </w:tabs>
              <w:ind w:left="540" w:right="-72" w:hanging="540"/>
            </w:pPr>
            <w:r w:rsidRPr="00BC7757">
              <w:t>5.8.2</w:t>
            </w:r>
            <w:r w:rsidRPr="00BC7757">
              <w:tab/>
              <w:t>L’Entrepreneur doit, dans le délai stipulé au CCAP, fournir au Maître d’Œuvre une estimation trimestrielle détaillée des engagements financiers du Maître de l’Ouvrage comportant tous les paiements auxquels l’Entrepreneur aura droit au titre du Marché.  Il s’engage, en outre, à fournir au Maître d’Œuvre, sur simple demande de celui-ci des estimations révisées de ces engagements.</w:t>
            </w:r>
          </w:p>
          <w:p w14:paraId="4FC6BA7B" w14:textId="77777777" w:rsidR="00BC7757" w:rsidRPr="00BC7757" w:rsidRDefault="00BC7757" w:rsidP="00BC7757">
            <w:pPr>
              <w:tabs>
                <w:tab w:val="left" w:pos="540"/>
              </w:tabs>
              <w:ind w:left="540" w:right="-72" w:hanging="540"/>
            </w:pPr>
            <w:r w:rsidRPr="00BC7757">
              <w:t>5.9</w:t>
            </w:r>
            <w:r w:rsidRPr="00BC7757">
              <w:tab/>
              <w:t>Personnel de l’Entrepreneur</w:t>
            </w:r>
          </w:p>
          <w:p w14:paraId="15ECCFBC" w14:textId="77777777" w:rsidR="00BC7757" w:rsidRPr="00BC7757" w:rsidRDefault="00BC7757" w:rsidP="00BC7757">
            <w:pPr>
              <w:ind w:left="540" w:right="-72"/>
            </w:pPr>
            <w:r w:rsidRPr="00BC7757">
              <w:t>L’Entrepreneur emploiera sur le site, en vue de l’exécution des travaux et de la reprise des malfaçons :</w:t>
            </w:r>
          </w:p>
          <w:p w14:paraId="38EA2AFA" w14:textId="77777777" w:rsidR="00BC7757" w:rsidRPr="00BC7757" w:rsidRDefault="00BC7757" w:rsidP="00BC7757">
            <w:pPr>
              <w:tabs>
                <w:tab w:val="left" w:pos="1080"/>
              </w:tabs>
              <w:ind w:left="1080" w:right="-72" w:hanging="540"/>
            </w:pPr>
            <w:r w:rsidRPr="00BC7757">
              <w:t>5.9.1</w:t>
            </w:r>
            <w:r w:rsidRPr="00BC7757">
              <w:tab/>
              <w:t>uniquement des techniciens compétents et expérimentés dans leurs spécialités respectives ainsi que les contremaîtres et chefs d’équipe capables d’assurer la bonne surveillance des travaux,</w:t>
            </w:r>
          </w:p>
          <w:p w14:paraId="0A7F7DD5" w14:textId="77777777" w:rsidR="00BC7757" w:rsidRPr="00BC7757" w:rsidRDefault="00BC7757" w:rsidP="00BC7757">
            <w:pPr>
              <w:tabs>
                <w:tab w:val="left" w:pos="1080"/>
              </w:tabs>
              <w:ind w:left="1080" w:right="-72" w:hanging="540"/>
            </w:pPr>
            <w:r w:rsidRPr="00BC7757">
              <w:t>5.9.2</w:t>
            </w:r>
            <w:r w:rsidRPr="00BC7757">
              <w:tab/>
              <w:t>une main-d’œuvre qualifiée, semi qualifiée et non qualifiée permettant la bonne réalisation de toutes ses obligations dans le cadre du Marché et dans le strict respect des délais d’exécution.</w:t>
            </w:r>
          </w:p>
          <w:p w14:paraId="580B1305" w14:textId="77777777" w:rsidR="00BC7757" w:rsidRPr="00BC7757" w:rsidRDefault="00BC7757" w:rsidP="00BC7757">
            <w:pPr>
              <w:tabs>
                <w:tab w:val="left" w:pos="540"/>
              </w:tabs>
              <w:ind w:left="540" w:right="-72" w:hanging="540"/>
            </w:pPr>
            <w:r w:rsidRPr="00BC7757">
              <w:t>5.10</w:t>
            </w:r>
            <w:r w:rsidRPr="00BC7757">
              <w:tab/>
              <w:t>Sécurité des personnes et des biens et protection de l’environnement</w:t>
            </w:r>
          </w:p>
          <w:p w14:paraId="3BE57AF6" w14:textId="77777777" w:rsidR="00BC7757" w:rsidRPr="00BC7757" w:rsidRDefault="00BC7757" w:rsidP="00BC7757">
            <w:pPr>
              <w:ind w:left="540" w:right="-72"/>
            </w:pPr>
            <w:r w:rsidRPr="00BC7757">
              <w:t>L’Entrepreneur doit, pendant le délai d’exécution des ouvrages et la période de garantie :</w:t>
            </w:r>
          </w:p>
          <w:p w14:paraId="6DAB0888" w14:textId="77777777" w:rsidR="00BC7757" w:rsidRPr="00BC7757" w:rsidRDefault="00BC7757" w:rsidP="00BC7757">
            <w:pPr>
              <w:tabs>
                <w:tab w:val="left" w:pos="1260"/>
              </w:tabs>
              <w:ind w:left="1260" w:right="-72" w:hanging="720"/>
            </w:pPr>
            <w:r w:rsidRPr="00BC7757">
              <w:t>5.10.1</w:t>
            </w:r>
            <w:r w:rsidRPr="00BC7757">
              <w:tab/>
              <w:t>assurer la sécurité des personnes autorisées à être présentes sur le Site et maintenir ce dernier et les ouvrages (tant que ceux-ci ne sont pas réceptionnés ou occupés par le Maître de l’Ouvrage) en bon état, de manière à éviter tous risques pour les personnes,</w:t>
            </w:r>
          </w:p>
          <w:p w14:paraId="55732917" w14:textId="77777777" w:rsidR="00BC7757" w:rsidRPr="00BC7757" w:rsidRDefault="00BC7757" w:rsidP="00BC7757">
            <w:pPr>
              <w:tabs>
                <w:tab w:val="left" w:pos="1260"/>
              </w:tabs>
              <w:ind w:left="1260" w:right="-72" w:hanging="720"/>
            </w:pPr>
            <w:r w:rsidRPr="00BC7757">
              <w:t>5.10.2</w:t>
            </w:r>
            <w:r w:rsidRPr="00BC7757">
              <w:tab/>
              <w:t>fournir et entretenir à ses propres frais tous dispositifs d’éclairage, protection, clôture, alarme et gardiennage aux moments et aux endroits nécessaires ou requis par le Maître d’Œuvre, par toute autorité dûment constituée pour assurer, conformément à la réglementation en vigueur, la protection des travaux ou la sécurité et la commodité du public,</w:t>
            </w:r>
          </w:p>
          <w:p w14:paraId="3DFC2F8C" w14:textId="77777777" w:rsidR="00BC7757" w:rsidRPr="00BC7757" w:rsidRDefault="00BC7757" w:rsidP="00BC7757">
            <w:pPr>
              <w:tabs>
                <w:tab w:val="left" w:pos="1260"/>
              </w:tabs>
              <w:ind w:left="1260" w:right="-72" w:hanging="720"/>
            </w:pPr>
            <w:r w:rsidRPr="00BC7757">
              <w:t>5.10.3</w:t>
            </w:r>
            <w:r w:rsidRPr="00BC7757">
              <w:tab/>
              <w:t>prendre toutes les mesures nécessaires pour protéger l’environnement tant sur le site qu’en dehors et pour éviter tous dégâts ou dommages aux personnes ou propriétés publiques ou autres qui résulteraient de la pollution, du bruit ou autres inconvénients résultant des méthodes mises en œuvre pour la réalisation des travaux.</w:t>
            </w:r>
          </w:p>
          <w:p w14:paraId="0EB8DFAF" w14:textId="77777777" w:rsidR="00BC7757" w:rsidRPr="00BC7757" w:rsidRDefault="00BC7757" w:rsidP="00BC7757">
            <w:pPr>
              <w:tabs>
                <w:tab w:val="left" w:pos="540"/>
              </w:tabs>
              <w:ind w:left="540" w:right="-72" w:hanging="540"/>
            </w:pPr>
            <w:r w:rsidRPr="00BC7757">
              <w:t>5.11</w:t>
            </w:r>
            <w:r w:rsidRPr="00BC7757">
              <w:tab/>
              <w:t>Facilités et accès accordés aux autres entrepreneurs</w:t>
            </w:r>
          </w:p>
          <w:p w14:paraId="6569FD89" w14:textId="77777777" w:rsidR="00BC7757" w:rsidRPr="00BC7757" w:rsidRDefault="00BC7757" w:rsidP="00BC7757">
            <w:pPr>
              <w:tabs>
                <w:tab w:val="left" w:pos="1260"/>
              </w:tabs>
              <w:ind w:left="1260" w:right="-72" w:hanging="720"/>
            </w:pPr>
            <w:r w:rsidRPr="00BC7757">
              <w:t>5.11.1</w:t>
            </w:r>
            <w:r w:rsidRPr="00BC7757">
              <w:tab/>
              <w:t>L’Entrepreneur doit permettre l’accès au Site, pour l’exécution des obligations qui leur incombent :</w:t>
            </w:r>
          </w:p>
          <w:p w14:paraId="2E305D1E" w14:textId="77777777" w:rsidR="00BC7757" w:rsidRPr="00BC7757" w:rsidRDefault="00BC7757" w:rsidP="00BC7757">
            <w:pPr>
              <w:tabs>
                <w:tab w:val="left" w:pos="1800"/>
              </w:tabs>
              <w:ind w:left="1800" w:right="-72" w:hanging="540"/>
            </w:pPr>
            <w:r w:rsidRPr="00BC7757">
              <w:t>a)</w:t>
            </w:r>
            <w:r w:rsidRPr="00BC7757">
              <w:tab/>
              <w:t>aux autres entrepreneurs employés par le Maître de l’Ouvrage et à leur personnel,</w:t>
            </w:r>
          </w:p>
          <w:p w14:paraId="10711467" w14:textId="77777777" w:rsidR="00BC7757" w:rsidRPr="00BC7757" w:rsidRDefault="00BC7757" w:rsidP="00BC7757">
            <w:pPr>
              <w:tabs>
                <w:tab w:val="left" w:pos="1800"/>
              </w:tabs>
              <w:ind w:left="1800" w:right="-72" w:hanging="540"/>
            </w:pPr>
            <w:r w:rsidRPr="00BC7757">
              <w:t>b)</w:t>
            </w:r>
            <w:r w:rsidRPr="00BC7757">
              <w:tab/>
              <w:t xml:space="preserve">au personnel du Maître de l’Ouvrage ou relevant d’une autre autorité et désigné par le Maître de l’Ouvrage. </w:t>
            </w:r>
          </w:p>
          <w:p w14:paraId="5D28785A" w14:textId="77777777" w:rsidR="00BC7757" w:rsidRPr="00BC7757" w:rsidRDefault="00BC7757" w:rsidP="00BC7757">
            <w:pPr>
              <w:tabs>
                <w:tab w:val="left" w:pos="1260"/>
              </w:tabs>
              <w:ind w:left="1260" w:right="-72" w:hanging="630"/>
            </w:pPr>
            <w:r w:rsidRPr="00BC7757">
              <w:t>5.11.2</w:t>
            </w:r>
            <w:r w:rsidRPr="00BC7757">
              <w:tab/>
              <w:t>Dans le cas où, en application de l’alinéa 5.11.1 ci-dessus, l’Entrepreneur est invité par ordre de service:</w:t>
            </w:r>
          </w:p>
          <w:p w14:paraId="749DF2BA" w14:textId="77777777" w:rsidR="00BC7757" w:rsidRPr="00BC7757" w:rsidRDefault="00BC7757" w:rsidP="00BC7757">
            <w:pPr>
              <w:tabs>
                <w:tab w:val="left" w:pos="1800"/>
              </w:tabs>
              <w:ind w:left="1800" w:right="-72" w:hanging="540"/>
            </w:pPr>
            <w:r w:rsidRPr="00BC7757">
              <w:t>a)</w:t>
            </w:r>
            <w:r w:rsidRPr="00BC7757">
              <w:tab/>
              <w:t>à mettre à la disposition des autres entrepreneurs, du Maître d’Œuvre ou des tiers, des routes ou voies dont l’entretien est à la charge de l’Entrepreneur,</w:t>
            </w:r>
          </w:p>
          <w:p w14:paraId="6A75C832" w14:textId="77777777" w:rsidR="00BC7757" w:rsidRPr="00BC7757" w:rsidRDefault="00BC7757" w:rsidP="00BC7757">
            <w:pPr>
              <w:tabs>
                <w:tab w:val="left" w:pos="1800"/>
              </w:tabs>
              <w:ind w:left="1800" w:right="-72" w:hanging="540"/>
            </w:pPr>
            <w:r w:rsidRPr="00BC7757">
              <w:t>b)</w:t>
            </w:r>
            <w:r w:rsidRPr="00BC7757">
              <w:tab/>
              <w:t>à permettre à ces personnes d’utiliser les ouvrages provisoires ou l’équipement de l’Entrepreneur sur le Site,</w:t>
            </w:r>
          </w:p>
          <w:p w14:paraId="438E2578" w14:textId="77777777" w:rsidR="00BC7757" w:rsidRPr="00BC7757" w:rsidRDefault="00BC7757" w:rsidP="00BC7757">
            <w:pPr>
              <w:tabs>
                <w:tab w:val="left" w:pos="1800"/>
              </w:tabs>
              <w:ind w:left="1800" w:right="-72" w:hanging="540"/>
            </w:pPr>
            <w:r w:rsidRPr="00BC7757">
              <w:t>c)</w:t>
            </w:r>
            <w:r w:rsidRPr="00BC7757">
              <w:tab/>
              <w:t>à leur fournir d’autres services,</w:t>
            </w:r>
          </w:p>
          <w:p w14:paraId="3F40375F" w14:textId="77777777" w:rsidR="00BC7757" w:rsidRPr="00BC7757" w:rsidRDefault="00BC7757" w:rsidP="00BC7757">
            <w:pPr>
              <w:ind w:left="1260" w:right="-72"/>
            </w:pPr>
            <w:r w:rsidRPr="00BC7757">
              <w:t>de telles prestations seront assimilées à des ouvrages non prévus qui seront régis par les dispositions figurant à l’Article 14 ci-après.</w:t>
            </w:r>
          </w:p>
          <w:p w14:paraId="1D991BFE" w14:textId="77777777" w:rsidR="00BC7757" w:rsidRPr="00BC7757" w:rsidRDefault="00BC7757" w:rsidP="00BC7757">
            <w:pPr>
              <w:tabs>
                <w:tab w:val="left" w:pos="540"/>
              </w:tabs>
              <w:ind w:left="540" w:right="-72" w:hanging="540"/>
            </w:pPr>
            <w:r w:rsidRPr="00BC7757">
              <w:t>5.12</w:t>
            </w:r>
            <w:r w:rsidRPr="00BC7757">
              <w:tab/>
              <w:t>Inspections et audit conduits par la Banque mondiale</w:t>
            </w:r>
          </w:p>
          <w:p w14:paraId="15D3A901" w14:textId="021EC19B" w:rsidR="00BC7757" w:rsidRPr="00BC7757" w:rsidRDefault="00BC7757" w:rsidP="00BC7757">
            <w:pPr>
              <w:tabs>
                <w:tab w:val="left" w:pos="540"/>
              </w:tabs>
              <w:ind w:left="540" w:right="-72"/>
            </w:pPr>
            <w:r w:rsidRPr="00BC7757">
              <w:t xml:space="preserve">L’Entrepreneur autorisera et s’assurera que ses sous-traitants autoriseront la Banque et/ou les personnes qu’elle désignera à inspecter le Site et à examiner les documents et pièces comptables relatives </w:t>
            </w:r>
            <w:r w:rsidRPr="00BC7757">
              <w:rPr>
                <w:szCs w:val="24"/>
              </w:rPr>
              <w:t xml:space="preserve">à la soumission de l’Offre et </w:t>
            </w:r>
            <w:r w:rsidRPr="00BC7757">
              <w:t>à l’exécution du Marché et à les faire vérifier par des auditeurs nommés par la Banque. Les dispositions de l’alinéa 49.6 du CCAG constitue une manœuvre passible de sanctions imposées par la Banque et éventuellement de résiliation (ainsi que de décision d’exclusion de participation à tout marché financé par la Banque conformément aux procédures de sanctions applicables) sont rappelées à l’attention de l’Entrepreneur.</w:t>
            </w:r>
          </w:p>
        </w:tc>
      </w:tr>
      <w:tr w:rsidR="00BC7757" w:rsidRPr="00BC7757" w14:paraId="251DDB06" w14:textId="77777777" w:rsidTr="009B6B8C">
        <w:tc>
          <w:tcPr>
            <w:tcW w:w="2160" w:type="dxa"/>
            <w:tcBorders>
              <w:top w:val="nil"/>
              <w:left w:val="nil"/>
              <w:bottom w:val="nil"/>
              <w:right w:val="nil"/>
            </w:tcBorders>
            <w:shd w:val="clear" w:color="auto" w:fill="auto"/>
          </w:tcPr>
          <w:p w14:paraId="593B5F26" w14:textId="77777777" w:rsidR="00BC7757" w:rsidRPr="00BC7757" w:rsidRDefault="00BC7757" w:rsidP="00BC7757">
            <w:pPr>
              <w:pStyle w:val="Head42"/>
              <w:pageBreakBefore/>
            </w:pPr>
            <w:bookmarkStart w:id="735" w:name="_Toc348175939"/>
            <w:bookmarkStart w:id="736" w:name="_Toc327539551"/>
            <w:r w:rsidRPr="00BC7757">
              <w:t>6.</w:t>
            </w:r>
            <w:r w:rsidRPr="00BC7757">
              <w:tab/>
              <w:t xml:space="preserve">Garanties de bonne exécution et de parfait achèvement - Retenue de </w:t>
            </w:r>
            <w:bookmarkStart w:id="737" w:name="_Toc348175940"/>
            <w:bookmarkStart w:id="738" w:name="_Toc348232763"/>
            <w:r w:rsidRPr="00BC7757">
              <w:t>garantie - Responsabilité - Assurances</w:t>
            </w:r>
            <w:bookmarkEnd w:id="735"/>
            <w:bookmarkEnd w:id="736"/>
            <w:bookmarkEnd w:id="737"/>
            <w:bookmarkEnd w:id="738"/>
          </w:p>
        </w:tc>
        <w:tc>
          <w:tcPr>
            <w:tcW w:w="7304" w:type="dxa"/>
            <w:tcBorders>
              <w:top w:val="nil"/>
              <w:left w:val="nil"/>
              <w:bottom w:val="nil"/>
              <w:right w:val="nil"/>
            </w:tcBorders>
            <w:shd w:val="clear" w:color="auto" w:fill="auto"/>
          </w:tcPr>
          <w:p w14:paraId="55BE25B8" w14:textId="77777777" w:rsidR="00BC7757" w:rsidRPr="00BC7757" w:rsidRDefault="00BC7757" w:rsidP="00BC7757">
            <w:pPr>
              <w:tabs>
                <w:tab w:val="left" w:pos="540"/>
              </w:tabs>
              <w:ind w:left="540" w:right="-72" w:hanging="540"/>
            </w:pPr>
            <w:r w:rsidRPr="00BC7757">
              <w:t>6.1</w:t>
            </w:r>
            <w:r w:rsidRPr="00BC7757">
              <w:tab/>
              <w:t>Garantie de bonne exécution, de parfait achèvement, et de restitution d’avance</w:t>
            </w:r>
          </w:p>
          <w:p w14:paraId="7AB9F9C7" w14:textId="77777777" w:rsidR="00BC7757" w:rsidRPr="00BC7757" w:rsidRDefault="00BC7757" w:rsidP="00BC7757">
            <w:pPr>
              <w:tabs>
                <w:tab w:val="left" w:pos="1080"/>
              </w:tabs>
              <w:ind w:left="1080" w:right="-72" w:hanging="540"/>
              <w:outlineLvl w:val="0"/>
              <w:rPr>
                <w:szCs w:val="24"/>
              </w:rPr>
            </w:pPr>
            <w:r w:rsidRPr="00BC7757">
              <w:t>6.1.1</w:t>
            </w:r>
            <w:r w:rsidRPr="00BC7757">
              <w:tab/>
              <w:t xml:space="preserve">L’Entrepreneur est tenu de fournir au Maître de l’Ouvrage une garantie bancaire de bonne exécution, conforme au modèle inclus dans le Dossier d’Appel d’Offres ou le Marché.  Cette garantie sera transformée en Garantie de parfait achèvement </w:t>
            </w:r>
            <w:r w:rsidRPr="00BC7757">
              <w:rPr>
                <w:szCs w:val="24"/>
              </w:rPr>
              <w:t>pour la durée du délai de garantie.</w:t>
            </w:r>
          </w:p>
          <w:p w14:paraId="4BB043C0" w14:textId="77777777" w:rsidR="00BC7757" w:rsidRPr="00BC7757" w:rsidRDefault="00BC7757" w:rsidP="00BC7757">
            <w:pPr>
              <w:pStyle w:val="ClauseSubPara"/>
              <w:spacing w:before="0" w:after="200"/>
              <w:ind w:left="1080"/>
              <w:rPr>
                <w:sz w:val="24"/>
                <w:szCs w:val="24"/>
                <w:lang w:val="fr-FR" w:eastAsia="fr-FR"/>
              </w:rPr>
            </w:pPr>
            <w:r w:rsidRPr="00BC7757">
              <w:rPr>
                <w:sz w:val="24"/>
                <w:szCs w:val="24"/>
                <w:lang w:val="fr-FR"/>
              </w:rPr>
              <w:t xml:space="preserve">La garantie est libellée dans la ou les monnaies dans lesquelles le Marché doit être payé et selon leurs proportions respectives ou dans une monnaie librement convertible acceptable au Maître de l’Ouvrage. </w:t>
            </w:r>
          </w:p>
          <w:p w14:paraId="4423EB5A" w14:textId="77777777" w:rsidR="00BC7757" w:rsidRPr="00BC7757" w:rsidRDefault="00BC7757" w:rsidP="00BC7757">
            <w:pPr>
              <w:pStyle w:val="ClauseSubPara"/>
              <w:spacing w:before="0" w:after="200"/>
              <w:ind w:left="1080"/>
              <w:rPr>
                <w:sz w:val="24"/>
                <w:lang w:val="fr-FR"/>
              </w:rPr>
            </w:pPr>
            <w:r w:rsidRPr="00BC7757">
              <w:rPr>
                <w:sz w:val="24"/>
                <w:lang w:val="fr-FR"/>
              </w:rPr>
              <w:t xml:space="preserve">Cette garantie sera émise par une banque ou un organisme de caution qualifié sélectionné par l’Entrepreneur. </w:t>
            </w:r>
            <w:r w:rsidRPr="00BC7757">
              <w:rPr>
                <w:sz w:val="24"/>
                <w:szCs w:val="24"/>
                <w:lang w:val="fr-FR"/>
              </w:rPr>
              <w:t>Si la Garantie de bonne exécution est en forme de caution, cette dernière doit provenir d’un organisme de caution acceptable au  Maître de l’Ouvrage.  Un organisme de caution situé en</w:t>
            </w:r>
            <w:r w:rsidRPr="00BC7757">
              <w:rPr>
                <w:sz w:val="24"/>
                <w:lang w:val="fr-FR"/>
              </w:rPr>
              <w:t xml:space="preserve"> dehors du Pays du Maître de l</w:t>
            </w:r>
            <w:r w:rsidRPr="00BC7757">
              <w:rPr>
                <w:lang w:val="fr-FR"/>
              </w:rPr>
              <w:t>’</w:t>
            </w:r>
            <w:r w:rsidRPr="00BC7757">
              <w:rPr>
                <w:sz w:val="24"/>
                <w:lang w:val="fr-FR"/>
              </w:rPr>
              <w:t>Ouvrage devra avoir un correspondant  dans le Pays du Maître de l</w:t>
            </w:r>
            <w:r w:rsidRPr="00BC7757">
              <w:rPr>
                <w:lang w:val="fr-FR"/>
              </w:rPr>
              <w:t>’</w:t>
            </w:r>
            <w:r w:rsidRPr="00BC7757">
              <w:rPr>
                <w:sz w:val="24"/>
                <w:lang w:val="fr-FR"/>
              </w:rPr>
              <w:t>Ouvrage.  L’Entrepreneur devra être autorisé à soumettre des garanties bancaires directement émises par la banque de son choix située dans tout pays éligible.</w:t>
            </w:r>
          </w:p>
          <w:p w14:paraId="3108A3ED" w14:textId="77777777" w:rsidR="00BC7757" w:rsidRPr="00BC7757" w:rsidRDefault="00BC7757" w:rsidP="00BC7757">
            <w:pPr>
              <w:ind w:left="1080" w:right="-72"/>
            </w:pPr>
            <w:r w:rsidRPr="00BC7757">
              <w:t>En cas de prélèvement sur la garantie, pour quelque motif que ce soit, l’Entrepreneur doit aussitôt la reconstituer.</w:t>
            </w:r>
          </w:p>
          <w:p w14:paraId="338598D6" w14:textId="77777777" w:rsidR="00BC7757" w:rsidRPr="00BC7757" w:rsidRDefault="00BC7757" w:rsidP="00BC7757">
            <w:pPr>
              <w:ind w:left="1080" w:right="-72"/>
            </w:pPr>
            <w:r w:rsidRPr="00BC7757">
              <w:t>Le montant de la garantie de bonne exécution sera égal à un pourcentage du montant du Marché indiqué dans le CCAP mais qui ne pourra être inférieur à cinq (5) pour cent du Montant du Marché.  Elle entrera en vigueur lors de l’entrée en vigueur du Marché.</w:t>
            </w:r>
          </w:p>
          <w:p w14:paraId="27450623" w14:textId="77777777" w:rsidR="00BC7757" w:rsidRPr="00BC7757" w:rsidRDefault="00BC7757" w:rsidP="00BC7757">
            <w:pPr>
              <w:ind w:left="1080" w:right="-72"/>
            </w:pPr>
            <w:r w:rsidRPr="00BC7757">
              <w:t>Le montant de la garantie de bonne exécution sera réduit de moitié lors de la réception provisoire et deviendra la Garantie de parfait achèvement.  La Garantie de parfait achèvement sera caduque de plein droit à la date de la réception définitive sauf dans le cas prévu à l’Article 42.2 du CCAG.</w:t>
            </w:r>
          </w:p>
          <w:p w14:paraId="1E092FA1" w14:textId="77777777" w:rsidR="00BC7757" w:rsidRPr="00BC7757" w:rsidRDefault="00BC7757" w:rsidP="00BC7757">
            <w:pPr>
              <w:tabs>
                <w:tab w:val="left" w:pos="1080"/>
              </w:tabs>
              <w:ind w:left="1080" w:right="-72" w:hanging="540"/>
            </w:pPr>
            <w:r w:rsidRPr="00BC7757">
              <w:t>6.1.2</w:t>
            </w:r>
            <w:r w:rsidRPr="00BC7757">
              <w:tab/>
              <w:t>L’Entrepreneur fournira, en outre, au Maître de l’Ouvrage une garantie de restitution d’avance, conforme au modèle inclus dans le Dossier d’Appel d’Offres ou le Marché.  Le montant de cette garantie sera égal au montant de l’avance forfaitaire et se réduira automatiquement et à due concurrence, au fur et à mesure de l’imputation de l’avance sur les acomptes.  La garantie de restitution d’avance sera caduque de plein droit le jour de l’imputation de la dernière partie de l’avance sur un acompte contractuel.</w:t>
            </w:r>
          </w:p>
          <w:p w14:paraId="6174EED4" w14:textId="77777777" w:rsidR="00BC7757" w:rsidRPr="00BC7757" w:rsidRDefault="00BC7757" w:rsidP="00BC7757">
            <w:pPr>
              <w:tabs>
                <w:tab w:val="left" w:pos="540"/>
              </w:tabs>
              <w:ind w:left="540" w:right="-72" w:hanging="540"/>
            </w:pPr>
            <w:r w:rsidRPr="00BC7757">
              <w:t>6.2</w:t>
            </w:r>
            <w:r w:rsidRPr="00BC7757">
              <w:tab/>
              <w:t>Retenue de garantie</w:t>
            </w:r>
          </w:p>
          <w:p w14:paraId="5DFB35D2" w14:textId="77777777" w:rsidR="00BC7757" w:rsidRPr="00BC7757" w:rsidRDefault="00BC7757" w:rsidP="00BC7757">
            <w:pPr>
              <w:tabs>
                <w:tab w:val="left" w:pos="1080"/>
              </w:tabs>
              <w:ind w:left="1080" w:right="-72" w:hanging="540"/>
              <w:outlineLvl w:val="0"/>
            </w:pPr>
            <w:r w:rsidRPr="00BC7757">
              <w:t>6.2.1</w:t>
            </w:r>
            <w:r w:rsidRPr="00BC7757">
              <w:tab/>
              <w:t>Une retenue de garantie sera prélevée, par ailleurs, sur tous les montants à régler à l’Entrepreneur; elle sera égale à un pourcentage indiqué dans le CCAP mais qui ne pourra être supérieur à dix (10) pour cent du Montant du Marché.</w:t>
            </w:r>
          </w:p>
          <w:p w14:paraId="094CAE55" w14:textId="77777777" w:rsidR="00BC7757" w:rsidRPr="00BC7757" w:rsidRDefault="00BC7757" w:rsidP="00BC7757">
            <w:pPr>
              <w:tabs>
                <w:tab w:val="left" w:pos="1080"/>
              </w:tabs>
              <w:ind w:left="1080" w:right="-72" w:hanging="540"/>
            </w:pPr>
            <w:r w:rsidRPr="00BC7757">
              <w:t>6.2.2</w:t>
            </w:r>
            <w:r w:rsidRPr="00BC7757">
              <w:tab/>
              <w:t>Les montants retenus seront libérés pour moitié lors de la réception provisoire.  Le solde sera libéré dans les mêmes conditions que celles prévues pour la Garantie de parfait achèvement. Dans tous les cas, le montant cumulé de la Garantie de parfait achèvement et de la Retenue de garantie telle que réduite lors de la réception provisoire ne dépassera pas 5% du Montant du Marché.</w:t>
            </w:r>
          </w:p>
          <w:p w14:paraId="5DC89BB7" w14:textId="77777777" w:rsidR="00BC7757" w:rsidRPr="00BC7757" w:rsidRDefault="00BC7757" w:rsidP="00BC7757">
            <w:pPr>
              <w:tabs>
                <w:tab w:val="left" w:pos="1080"/>
              </w:tabs>
              <w:ind w:left="1080" w:right="-72" w:hanging="540"/>
            </w:pPr>
            <w:r w:rsidRPr="00BC7757">
              <w:t>6.2.3</w:t>
            </w:r>
            <w:r w:rsidRPr="00BC7757">
              <w:tab/>
              <w:t>Le remplacement du solde par une garantie bancaire s’effectuera de plein droit à la demande de l’Entrepreneur à la date où la Réception provisoire sera prononcée.</w:t>
            </w:r>
          </w:p>
          <w:p w14:paraId="740A9518" w14:textId="77777777" w:rsidR="00BC7757" w:rsidRPr="00BC7757" w:rsidRDefault="00BC7757" w:rsidP="00BC7757">
            <w:pPr>
              <w:tabs>
                <w:tab w:val="left" w:pos="540"/>
              </w:tabs>
              <w:ind w:left="540" w:right="-72" w:hanging="540"/>
            </w:pPr>
            <w:r w:rsidRPr="00BC7757">
              <w:t>6.3</w:t>
            </w:r>
            <w:r w:rsidRPr="00BC7757">
              <w:tab/>
              <w:t>Responsabilité - Assurances</w:t>
            </w:r>
          </w:p>
          <w:p w14:paraId="55069CD9" w14:textId="77777777" w:rsidR="00BC7757" w:rsidRPr="00BC7757" w:rsidRDefault="00BC7757" w:rsidP="00BC7757">
            <w:pPr>
              <w:tabs>
                <w:tab w:val="left" w:pos="1080"/>
              </w:tabs>
              <w:ind w:left="1080" w:right="-72" w:hanging="540"/>
            </w:pPr>
            <w:r w:rsidRPr="00BC7757">
              <w:t>6.3.1</w:t>
            </w:r>
            <w:r w:rsidRPr="00BC7757">
              <w:tab/>
              <w:t>Nonobstant les obligations d’assurances imposées ci-après, l’Entrepreneur est et demeure seul responsable et garantit le Maître de l’Ouvrage et le Maître d’Œuvre contre toute réclamation émanant de tiers, pour la réparation de préjudices de toute nature, ou de lésions corporelles survenus à raison de la réalisation du présent Marché par l’Entrepreneur, ses sous-traitants et leurs employés.</w:t>
            </w:r>
          </w:p>
          <w:p w14:paraId="79BC16A8" w14:textId="77777777" w:rsidR="00BC7757" w:rsidRPr="00BC7757" w:rsidRDefault="00BC7757" w:rsidP="00BC7757">
            <w:pPr>
              <w:ind w:left="1080" w:right="-72"/>
              <w:rPr>
                <w:i/>
              </w:rPr>
            </w:pPr>
            <w:r w:rsidRPr="00BC7757">
              <w:t>L’Entrepreneur est tenu de souscrire au minimum les assurances figurant aux paragraphes 3.2 à 3.5 du présent Article et pour les montants minima spécifiés au CCAP</w:t>
            </w:r>
            <w:r w:rsidRPr="00BC7757">
              <w:rPr>
                <w:i/>
              </w:rPr>
              <w:t>.</w:t>
            </w:r>
          </w:p>
          <w:p w14:paraId="3FBE2577" w14:textId="77777777" w:rsidR="00BC7757" w:rsidRPr="00BC7757" w:rsidRDefault="00BC7757" w:rsidP="00BC7757">
            <w:pPr>
              <w:tabs>
                <w:tab w:val="left" w:pos="1080"/>
              </w:tabs>
              <w:ind w:left="1080" w:right="-72" w:hanging="540"/>
              <w:rPr>
                <w:i/>
              </w:rPr>
            </w:pPr>
            <w:r w:rsidRPr="00BC7757">
              <w:t>6.3.2</w:t>
            </w:r>
            <w:r w:rsidRPr="00BC7757">
              <w:tab/>
            </w:r>
            <w:r w:rsidRPr="00BC7757">
              <w:rPr>
                <w:i/>
              </w:rPr>
              <w:t>Assurance des risques causés à des tiers</w:t>
            </w:r>
          </w:p>
          <w:p w14:paraId="7CB01893" w14:textId="77777777" w:rsidR="00BC7757" w:rsidRPr="00BC7757" w:rsidRDefault="00BC7757" w:rsidP="00BC7757">
            <w:pPr>
              <w:ind w:left="1080" w:right="-72"/>
            </w:pPr>
            <w:r w:rsidRPr="00BC7757">
              <w:t>L’Entrepreneur souscrira une assurance de responsabilité civile couvrant les dommages corporels et matériels pouvant être causés à des tiers à raison de l’exécution des travaux ainsi que pendant le délai de garantie.  La police d’assurance doit spécifier que le personnel du Maître de l’Ouvrage, du Maître d’Œuvre ainsi que celui d’autres entreprises se trouvant sur le chantier sont considérés comme des tiers au titre de cette assurance, qui doit être illimitée pour les dommages corporels.</w:t>
            </w:r>
          </w:p>
          <w:p w14:paraId="0AABB126" w14:textId="77777777" w:rsidR="00BC7757" w:rsidRPr="00BC7757" w:rsidRDefault="00BC7757" w:rsidP="00BC7757">
            <w:pPr>
              <w:tabs>
                <w:tab w:val="left" w:pos="1080"/>
              </w:tabs>
              <w:ind w:left="1080" w:right="-72" w:hanging="540"/>
            </w:pPr>
            <w:r w:rsidRPr="00BC7757">
              <w:t>6.3.3</w:t>
            </w:r>
            <w:r w:rsidRPr="00BC7757">
              <w:tab/>
            </w:r>
            <w:r w:rsidRPr="00BC7757">
              <w:rPr>
                <w:i/>
              </w:rPr>
              <w:t>Assurance des accidents du travail</w:t>
            </w:r>
          </w:p>
          <w:p w14:paraId="77B7A816" w14:textId="77777777" w:rsidR="00BC7757" w:rsidRPr="00BC7757" w:rsidRDefault="00BC7757" w:rsidP="00BC7757">
            <w:pPr>
              <w:ind w:left="1080" w:right="-72"/>
            </w:pPr>
            <w:r w:rsidRPr="00BC7757">
              <w:t>L’Entrepreneur souscrira, en conformité avec la réglementation applicable, les assurances nécessaires à cet effet.  Il veillera à ce que ses sous-traitants agissent de même.  Il garantit le Maître de l’Ouvrage, le Maître d’Œuvre contre tous recours que son personnel ou celui de ses sous-traitants pourrait exercer à cet égard.  Pour son personnel permanent expatrié, le cas échéant, l’Entrepreneur se conformera en outre à la législation et la réglementation applicable du pays d’origine.</w:t>
            </w:r>
          </w:p>
          <w:p w14:paraId="5BB8576A" w14:textId="77777777" w:rsidR="00BC7757" w:rsidRPr="00BC7757" w:rsidRDefault="00BC7757" w:rsidP="00BC7757">
            <w:pPr>
              <w:tabs>
                <w:tab w:val="left" w:pos="1080"/>
              </w:tabs>
              <w:ind w:left="1080" w:right="-72" w:hanging="540"/>
            </w:pPr>
            <w:r w:rsidRPr="00BC7757">
              <w:t>6.3.4</w:t>
            </w:r>
            <w:r w:rsidRPr="00BC7757">
              <w:tab/>
            </w:r>
            <w:r w:rsidRPr="00BC7757">
              <w:rPr>
                <w:i/>
              </w:rPr>
              <w:t>Assurance couvrant les risques de chantier</w:t>
            </w:r>
          </w:p>
          <w:p w14:paraId="49FE6E6D" w14:textId="77777777" w:rsidR="00BC7757" w:rsidRPr="00BC7757" w:rsidRDefault="00BC7757" w:rsidP="00BC7757">
            <w:pPr>
              <w:ind w:left="1080" w:right="-72"/>
            </w:pPr>
            <w:r w:rsidRPr="00BC7757">
              <w:t>L’Entrepreneur souscrira une assurance “Tous risques chantier” au bénéfice conjoint de lui-même, de ses sous-traitants, du Maître de l’Ouvrage et du Maître d’Œuvre.  Cette assurance couvrira l’ensemble des dommages matériels auxquels peuvent être soumis les ouvrages objet du Marché, y compris les dommages dus à un vice ou à un défaut de conception, de plans, de matériaux de construction ou de mise en œuvre dont l’Entrepreneur est responsable au titre du Marché et les dommages dus à des événements naturels.  Cette assurance couvrira également les dommages causés aux biens et propriétés existantes du Maître de l’Ouvrage.</w:t>
            </w:r>
          </w:p>
          <w:p w14:paraId="40DF1B2C" w14:textId="77777777" w:rsidR="00BC7757" w:rsidRPr="00BC7757" w:rsidRDefault="00BC7757" w:rsidP="00BC7757">
            <w:pPr>
              <w:tabs>
                <w:tab w:val="left" w:pos="1080"/>
              </w:tabs>
              <w:ind w:left="1080" w:right="-72" w:hanging="540"/>
            </w:pPr>
            <w:r w:rsidRPr="00BC7757">
              <w:t>6.3.5</w:t>
            </w:r>
            <w:r w:rsidRPr="00BC7757">
              <w:tab/>
            </w:r>
            <w:r w:rsidRPr="00BC7757">
              <w:rPr>
                <w:i/>
              </w:rPr>
              <w:t>Assurance de la responsabilité décennale</w:t>
            </w:r>
          </w:p>
          <w:p w14:paraId="4A223D14" w14:textId="77777777" w:rsidR="00BC7757" w:rsidRPr="00BC7757" w:rsidRDefault="00BC7757" w:rsidP="00BC7757">
            <w:pPr>
              <w:ind w:left="1080" w:right="-72"/>
            </w:pPr>
            <w:r w:rsidRPr="00BC7757">
              <w:t>L’Entrepreneur souscrira une assurance couvrant intégralement sa responsabilité décennale, susceptible d’être mise en jeu à l’occasion de la réalisation du Marché.</w:t>
            </w:r>
          </w:p>
          <w:p w14:paraId="1E8DF6CB" w14:textId="77777777" w:rsidR="00BC7757" w:rsidRPr="00BC7757" w:rsidRDefault="00BC7757" w:rsidP="00BC7757">
            <w:pPr>
              <w:tabs>
                <w:tab w:val="left" w:pos="1080"/>
              </w:tabs>
              <w:ind w:left="1080" w:right="-72" w:hanging="540"/>
            </w:pPr>
            <w:r w:rsidRPr="00BC7757">
              <w:t>6.3.6</w:t>
            </w:r>
            <w:r w:rsidRPr="00BC7757">
              <w:tab/>
            </w:r>
            <w:r w:rsidRPr="00BC7757">
              <w:rPr>
                <w:i/>
              </w:rPr>
              <w:t>Souscription et production des polices</w:t>
            </w:r>
          </w:p>
          <w:p w14:paraId="47418B02" w14:textId="77777777" w:rsidR="00BC7757" w:rsidRPr="00BC7757" w:rsidRDefault="00BC7757" w:rsidP="00BC7757">
            <w:pPr>
              <w:ind w:left="1080" w:right="-72"/>
            </w:pPr>
            <w:r w:rsidRPr="00BC7757">
              <w:t>Les assurances figurant aux paragraphes 3.2 à 3.4 du présent Article devront être présentées par l’Entrepreneur au Chef de Projet pour approbation puis souscrites par l’Entrepreneur avant tout commencement des travaux.</w:t>
            </w:r>
          </w:p>
          <w:p w14:paraId="387EAD95" w14:textId="77777777" w:rsidR="00BC7757" w:rsidRPr="00BC7757" w:rsidRDefault="00BC7757" w:rsidP="00BC7757">
            <w:pPr>
              <w:ind w:left="1080" w:right="-72"/>
            </w:pPr>
            <w:r w:rsidRPr="00BC7757">
              <w:t>L’Entrepreneur souscrira l’assurance responsabilité décennale prévue au paragraphe 3.5 du présent Article, préalablement au commencement des travaux.</w:t>
            </w:r>
          </w:p>
          <w:p w14:paraId="6ED60F82" w14:textId="77777777" w:rsidR="00BC7757" w:rsidRPr="00BC7757" w:rsidRDefault="00BC7757" w:rsidP="00BC7757">
            <w:pPr>
              <w:ind w:left="1080" w:right="-72"/>
            </w:pPr>
            <w:r w:rsidRPr="00BC7757">
              <w:t>Toutes ces polices comporteront une disposition subordonnant leur résiliation à un avis notifié au préalable par la compagnie d’assurances au Maître de l’Ouvrage.</w:t>
            </w:r>
          </w:p>
        </w:tc>
      </w:tr>
      <w:tr w:rsidR="00BC7757" w:rsidRPr="00BC7757" w14:paraId="061CBB80" w14:textId="77777777" w:rsidTr="009B6B8C">
        <w:tc>
          <w:tcPr>
            <w:tcW w:w="2160" w:type="dxa"/>
            <w:tcBorders>
              <w:top w:val="nil"/>
              <w:left w:val="nil"/>
              <w:bottom w:val="nil"/>
              <w:right w:val="nil"/>
            </w:tcBorders>
            <w:shd w:val="clear" w:color="auto" w:fill="auto"/>
          </w:tcPr>
          <w:p w14:paraId="05684522" w14:textId="77777777" w:rsidR="00BC7757" w:rsidRPr="00BC7757" w:rsidRDefault="00BC7757" w:rsidP="00BC7757">
            <w:pPr>
              <w:pStyle w:val="Head42"/>
            </w:pPr>
            <w:bookmarkStart w:id="739" w:name="_Toc348175941"/>
            <w:bookmarkStart w:id="740" w:name="_Toc327539552"/>
            <w:r w:rsidRPr="00BC7757">
              <w:t>7.</w:t>
            </w:r>
            <w:r w:rsidRPr="00BC7757">
              <w:tab/>
              <w:t>Décompte de délais - Formes des notifications</w:t>
            </w:r>
            <w:bookmarkEnd w:id="739"/>
            <w:bookmarkEnd w:id="740"/>
          </w:p>
        </w:tc>
        <w:tc>
          <w:tcPr>
            <w:tcW w:w="7304" w:type="dxa"/>
            <w:tcBorders>
              <w:top w:val="nil"/>
              <w:left w:val="nil"/>
              <w:bottom w:val="nil"/>
              <w:right w:val="nil"/>
            </w:tcBorders>
            <w:shd w:val="clear" w:color="auto" w:fill="auto"/>
          </w:tcPr>
          <w:p w14:paraId="0C30D590" w14:textId="77777777" w:rsidR="00BC7757" w:rsidRPr="00BC7757" w:rsidRDefault="00BC7757" w:rsidP="00BC7757">
            <w:pPr>
              <w:tabs>
                <w:tab w:val="left" w:pos="540"/>
              </w:tabs>
              <w:ind w:left="540" w:right="-72" w:hanging="540"/>
            </w:pPr>
            <w:r w:rsidRPr="00BC7757">
              <w:t>7.1</w:t>
            </w:r>
            <w:r w:rsidRPr="00BC7757">
              <w:tab/>
              <w:t>Tout délai imparti dans le Marché au Maître de l’Ouvrage, au Chef de Projet, au Maître d’Œuvre ou à l’Entrepreneur commence à courir le lendemain du jour où s’est produit le fait qui sert de point de départ à ce délai.</w:t>
            </w:r>
          </w:p>
          <w:p w14:paraId="487DAF3B" w14:textId="77777777" w:rsidR="00BC7757" w:rsidRPr="00BC7757" w:rsidRDefault="00BC7757" w:rsidP="00BC7757">
            <w:pPr>
              <w:tabs>
                <w:tab w:val="left" w:pos="540"/>
              </w:tabs>
              <w:ind w:left="540" w:right="-72" w:hanging="540"/>
            </w:pPr>
            <w:r w:rsidRPr="00BC7757">
              <w:t>7.2</w:t>
            </w:r>
            <w:r w:rsidRPr="00BC7757">
              <w:tab/>
              <w:t>Lorsque le délai est fixé en jours, il s’entend en jours de calendrier et il expire à la fin du dernier jour de la durée prévue.</w:t>
            </w:r>
          </w:p>
          <w:p w14:paraId="18B853EF" w14:textId="77777777" w:rsidR="00BC7757" w:rsidRPr="00BC7757" w:rsidRDefault="00BC7757" w:rsidP="00BC7757">
            <w:pPr>
              <w:ind w:left="540" w:right="-72"/>
            </w:pPr>
            <w:r w:rsidRPr="00BC7757">
              <w:t>Lorsque le délai est fixé en mois, il est compté de quantième à quantième.  S’il n’existe pas de quantième correspondant dans le mois où se termine le délai, celui-ci expire à la fin du dernier jour de ce mois.</w:t>
            </w:r>
          </w:p>
          <w:p w14:paraId="7278C812" w14:textId="77777777" w:rsidR="00BC7757" w:rsidRPr="00BC7757" w:rsidRDefault="00BC7757" w:rsidP="00BC7757">
            <w:pPr>
              <w:ind w:left="540" w:right="-72"/>
            </w:pPr>
            <w:r w:rsidRPr="00BC7757">
              <w:t>Lorsque le dernier jour d’un délai est un jour de repos hebdomadaire, férié ou chômé dans le pays du Maître de l’Ouvrage, le délai est prolongé jusqu’à la fin du premier jour ouvrable qui suit.</w:t>
            </w:r>
          </w:p>
          <w:p w14:paraId="1EA048FC" w14:textId="77777777" w:rsidR="00BC7757" w:rsidRPr="00BC7757" w:rsidRDefault="00BC7757" w:rsidP="00BC7757">
            <w:pPr>
              <w:tabs>
                <w:tab w:val="left" w:pos="540"/>
              </w:tabs>
              <w:ind w:left="540" w:right="-72" w:hanging="540"/>
            </w:pPr>
            <w:r w:rsidRPr="00BC7757">
              <w:t>7.3</w:t>
            </w:r>
            <w:r w:rsidRPr="00BC7757">
              <w:tab/>
              <w:t>Lorsqu’un document doit être remis, dans un délai déterminé, par l’Entrepreneur au Maître de l’Ouvrage, au Chef de Projet ou au Maître d’Œuvre, ou réciproquement, ou encore lorsque la remise d’un document doit faire courir un délai, le document doit être remis au destinataire contre récépissé ou lui être adressé par lettre recommandée avec demande d’avis de réception.  La date du récépissé ou de l’avis de réception constituera la date de remise de document.</w:t>
            </w:r>
          </w:p>
        </w:tc>
      </w:tr>
      <w:tr w:rsidR="00BC7757" w:rsidRPr="00BC7757" w14:paraId="1E82E602" w14:textId="77777777" w:rsidTr="009B6B8C">
        <w:tc>
          <w:tcPr>
            <w:tcW w:w="2160" w:type="dxa"/>
            <w:tcBorders>
              <w:top w:val="nil"/>
              <w:left w:val="nil"/>
              <w:bottom w:val="nil"/>
              <w:right w:val="nil"/>
            </w:tcBorders>
            <w:shd w:val="clear" w:color="auto" w:fill="auto"/>
          </w:tcPr>
          <w:p w14:paraId="1751C9B6" w14:textId="77777777" w:rsidR="00BC7757" w:rsidRPr="00BC7757" w:rsidRDefault="00BC7757" w:rsidP="00BC7757">
            <w:pPr>
              <w:pStyle w:val="Head42"/>
            </w:pPr>
            <w:bookmarkStart w:id="741" w:name="_Toc348175942"/>
            <w:bookmarkStart w:id="742" w:name="_Toc327539553"/>
            <w:r w:rsidRPr="00BC7757">
              <w:t>8.</w:t>
            </w:r>
            <w:r w:rsidRPr="00BC7757">
              <w:tab/>
              <w:t>Propriété industrielle ou commerciale</w:t>
            </w:r>
            <w:bookmarkEnd w:id="741"/>
            <w:bookmarkEnd w:id="742"/>
          </w:p>
        </w:tc>
        <w:tc>
          <w:tcPr>
            <w:tcW w:w="7304" w:type="dxa"/>
            <w:tcBorders>
              <w:top w:val="nil"/>
              <w:left w:val="nil"/>
              <w:bottom w:val="nil"/>
              <w:right w:val="nil"/>
            </w:tcBorders>
            <w:shd w:val="clear" w:color="auto" w:fill="auto"/>
          </w:tcPr>
          <w:p w14:paraId="37B4050A" w14:textId="77777777" w:rsidR="00BC7757" w:rsidRPr="00BC7757" w:rsidRDefault="00BC7757" w:rsidP="00BC7757">
            <w:pPr>
              <w:tabs>
                <w:tab w:val="left" w:pos="540"/>
              </w:tabs>
              <w:ind w:left="540" w:right="-72" w:hanging="540"/>
            </w:pPr>
            <w:r w:rsidRPr="00BC7757">
              <w:t>8.1</w:t>
            </w:r>
            <w:r w:rsidRPr="00BC7757">
              <w:tab/>
              <w:t>Le Maître de l’Ouvrage garantit l’Entrepreneur contre toute revendication des tiers concernant les brevets, licences, dessins et modèles, marque de fabrique ou de commerce dont l’emploi lui est imposé par le Marché.  Il appartient au Maître de l’Ouvrage d’obtenir dans ce cas, à ses frais, les cessions, licences ou autorisations nécessaires. . Une copie des documents y afférents  sera donnée à l’Entrepreneur. Ces documents ne pourront pas être utilisés ou communiqués à des tiers par l’Entrepreneur sans l’accord préalable et écrit du Maître de l’Ouvrage.</w:t>
            </w:r>
          </w:p>
          <w:p w14:paraId="103213C6" w14:textId="77777777" w:rsidR="00BC7757" w:rsidRPr="00BC7757" w:rsidRDefault="00BC7757" w:rsidP="00BC7757">
            <w:pPr>
              <w:tabs>
                <w:tab w:val="left" w:pos="540"/>
              </w:tabs>
              <w:ind w:left="540" w:right="-72" w:hanging="540"/>
            </w:pPr>
            <w:r w:rsidRPr="00BC7757">
              <w:t>8.2</w:t>
            </w:r>
            <w:r w:rsidRPr="00BC7757">
              <w:tab/>
              <w:t>Sous réserve des dispositions figurant au précédent alinéa, l’Entrepreneur garantit le Maître de l’Ouvrage et le Maître d’Œuvre contre toute revendication des tiers concernant les brevets, licences, dessins et modèles, marques de fabrique ou de commerce et tous autres droits protégés relatifs aux équipements fournis par l’Entrepreneur ou ses sous-traitants, matériaux ou matériels utilisés pour ou en relation avec les travaux ou incorporés à ceux-ci ainsi que de tous dommages, intérêts, coûts, charges et frais de toute nature y afférents.  Il appartient à l’Entrepreneur d’obtenir dans ce cas, à ses frais, toutes cessions, licences ou autorisations nécessaires permettant notamment au Maître de l’Ouvrage de procéder ou de faire procéder ultérieurement et par qui bon lui semble à toutes les réparations,  modifications ou démolitions nécessaires. Une copie des documents y afférents sera donnée au Maître de l’Ouvrage. Ces documents ne pourront pas être utilisés ou communiqués à des tiers par le Maître de l’Ouvrage ou le Maître d’Œuvre sans l’accord écrit préalable de l’Entrepreneur (ou du sous-traitant en cause, avec copie à l’Entrepreneur).</w:t>
            </w:r>
          </w:p>
          <w:p w14:paraId="6C2D3CD0" w14:textId="77777777" w:rsidR="00BC7757" w:rsidRPr="00BC7757" w:rsidRDefault="00BC7757" w:rsidP="00BC7757">
            <w:pPr>
              <w:tabs>
                <w:tab w:val="left" w:pos="540"/>
              </w:tabs>
              <w:ind w:left="540" w:right="-72" w:hanging="540"/>
            </w:pPr>
            <w:r w:rsidRPr="00BC7757">
              <w:t>8.3.   Lorsqu’il s’agit de logiciels, il appartient à l’Entrepreneur d’obtenir les licences ou autorisations nécessaires à leur utilisation sur tout ordinateur présent sur le Site ou autres lieux prévus dans le Marché.</w:t>
            </w:r>
          </w:p>
        </w:tc>
      </w:tr>
      <w:tr w:rsidR="00BC7757" w:rsidRPr="00BC7757" w14:paraId="5B70CF89" w14:textId="77777777" w:rsidTr="009B6B8C">
        <w:tc>
          <w:tcPr>
            <w:tcW w:w="2160" w:type="dxa"/>
            <w:tcBorders>
              <w:top w:val="nil"/>
              <w:left w:val="nil"/>
              <w:bottom w:val="nil"/>
              <w:right w:val="nil"/>
            </w:tcBorders>
            <w:shd w:val="clear" w:color="auto" w:fill="auto"/>
          </w:tcPr>
          <w:p w14:paraId="1EBEAAAD" w14:textId="77777777" w:rsidR="00BC7757" w:rsidRPr="00BC7757" w:rsidRDefault="00BC7757" w:rsidP="00BC7757">
            <w:pPr>
              <w:pStyle w:val="Head42"/>
            </w:pPr>
            <w:bookmarkStart w:id="743" w:name="_Toc348175943"/>
            <w:bookmarkStart w:id="744" w:name="_Toc327539554"/>
            <w:r w:rsidRPr="00BC7757">
              <w:t>9.</w:t>
            </w:r>
            <w:r w:rsidRPr="00BC7757">
              <w:tab/>
              <w:t>Protection de la main-d’œuvre et conditions de travail</w:t>
            </w:r>
            <w:bookmarkEnd w:id="743"/>
            <w:bookmarkEnd w:id="744"/>
          </w:p>
        </w:tc>
        <w:tc>
          <w:tcPr>
            <w:tcW w:w="7304" w:type="dxa"/>
            <w:tcBorders>
              <w:top w:val="nil"/>
              <w:left w:val="nil"/>
              <w:bottom w:val="nil"/>
              <w:right w:val="nil"/>
            </w:tcBorders>
            <w:shd w:val="clear" w:color="auto" w:fill="auto"/>
          </w:tcPr>
          <w:p w14:paraId="13A6816C" w14:textId="77777777" w:rsidR="00BC7757" w:rsidRPr="00BC7757" w:rsidRDefault="00BC7757" w:rsidP="00BC7757">
            <w:pPr>
              <w:tabs>
                <w:tab w:val="left" w:pos="540"/>
              </w:tabs>
              <w:ind w:left="540" w:right="-72" w:hanging="540"/>
              <w:rPr>
                <w:b/>
              </w:rPr>
            </w:pPr>
            <w:r w:rsidRPr="00BC7757">
              <w:rPr>
                <w:b/>
              </w:rPr>
              <w:t>9.1</w:t>
            </w:r>
            <w:r w:rsidRPr="00BC7757">
              <w:rPr>
                <w:b/>
              </w:rPr>
              <w:tab/>
              <w:t>Obligations générales et standards</w:t>
            </w:r>
          </w:p>
          <w:p w14:paraId="75BFC627" w14:textId="77777777" w:rsidR="00BC7757" w:rsidRPr="00BC7757" w:rsidRDefault="00BC7757" w:rsidP="00BC7757">
            <w:pPr>
              <w:tabs>
                <w:tab w:val="left" w:pos="540"/>
              </w:tabs>
              <w:ind w:left="540" w:right="-72"/>
            </w:pPr>
            <w:r w:rsidRPr="00BC7757">
              <w:t>L’Entrepreneur est encouragé, dans la mesure du  possible, à recruter dans le pays du Maître de l’Ouvrage le personnel et la main-d’œuvre présentant  les qualifications et l’expérience requises. En l’absence de dispositions contraires figurant au Marché, l’Entrepreneur  sera responsable  de la rémunération, de l’hébergement, du ravitaillement et du transport du personnel et de la main d’œuvre dans le strict respect de la réglementation en vigueur en se conformant, en particulier, à la réglementation du travail (notamment en ce qui concerne les horaires de travail et les jours de repos), à la réglementation sociale et à l’ensemble de la réglementation applicable en matière d’hygiène et de sécurité.</w:t>
            </w:r>
          </w:p>
          <w:p w14:paraId="5921AFAA" w14:textId="77777777" w:rsidR="00BC7757" w:rsidRPr="00BC7757" w:rsidRDefault="00BC7757" w:rsidP="00BC7757">
            <w:pPr>
              <w:tabs>
                <w:tab w:val="left" w:pos="540"/>
              </w:tabs>
              <w:ind w:left="540" w:right="-72"/>
            </w:pPr>
            <w:r w:rsidRPr="00BC7757">
              <w:t>L’Entrepreneur ne doit recruter ni tenter de recruter  le personnel et la main d’œuvre employés par le Maître de l’Ouvrage.</w:t>
            </w:r>
          </w:p>
          <w:p w14:paraId="7C5D035E" w14:textId="77777777" w:rsidR="00BC7757" w:rsidRPr="00BC7757" w:rsidRDefault="00BC7757" w:rsidP="00BC7757">
            <w:pPr>
              <w:tabs>
                <w:tab w:val="left" w:pos="540"/>
              </w:tabs>
              <w:ind w:left="540" w:right="-72"/>
            </w:pPr>
            <w:r w:rsidRPr="00BC7757">
              <w:t>L’Entrepreneur devra se conformer à la législation du travail applicable à son Personnel, incluant la législation relative à l’embauche, la santé, la sécurité, la protection sociale, l’immigration et l’émigration, et devra lui accorder tous les droits qui en résultent. L’Entrepreneur devra exiger de son personnel que ce dernier se conforme au droit et à la règlementation  applicables, y compris en matière de sécurité du travail.</w:t>
            </w:r>
          </w:p>
          <w:p w14:paraId="17571B98" w14:textId="77777777" w:rsidR="00BC7757" w:rsidRPr="00BC7757" w:rsidRDefault="00BC7757" w:rsidP="00BC7757">
            <w:pPr>
              <w:tabs>
                <w:tab w:val="left" w:pos="540"/>
              </w:tabs>
              <w:ind w:left="540" w:right="-72"/>
              <w:rPr>
                <w:b/>
                <w:sz w:val="36"/>
              </w:rPr>
            </w:pPr>
            <w:r w:rsidRPr="00BC7757">
              <w:t>Le Chef de Projet peut exiger le départ du chantier de toute personne employée par l’Entrepreneur faisant preuve d’incapacité ou coupable de négligences, imprudences répétées ou défaut de probité et, plus généralement, de toute personne employée par lui et</w:t>
            </w:r>
            <w:r w:rsidRPr="00BC7757">
              <w:rPr>
                <w:i/>
              </w:rPr>
              <w:t xml:space="preserve"> </w:t>
            </w:r>
            <w:r w:rsidRPr="00BC7757">
              <w:t>dont l’action est contraire à la bonne exécution des travaux.</w:t>
            </w:r>
          </w:p>
          <w:p w14:paraId="03CA662C" w14:textId="77777777" w:rsidR="00BC7757" w:rsidRPr="00BC7757" w:rsidRDefault="00BC7757" w:rsidP="00BC7757">
            <w:pPr>
              <w:tabs>
                <w:tab w:val="left" w:pos="540"/>
              </w:tabs>
              <w:ind w:left="540" w:right="-72"/>
              <w:rPr>
                <w:b/>
                <w:sz w:val="36"/>
              </w:rPr>
            </w:pPr>
            <w:r w:rsidRPr="00BC7757">
              <w:t>L’Entrepreneur supporte seul les conséquences dommageables des fraudes ou malfaçons commises par les personnes qu’il emploie dans l’exécution des travaux.</w:t>
            </w:r>
          </w:p>
          <w:p w14:paraId="06BE5232" w14:textId="77777777" w:rsidR="00BC7757" w:rsidRPr="00BC7757" w:rsidRDefault="00BC7757" w:rsidP="00BC7757">
            <w:pPr>
              <w:tabs>
                <w:tab w:val="left" w:pos="540"/>
              </w:tabs>
              <w:ind w:left="540" w:right="-72"/>
              <w:rPr>
                <w:b/>
                <w:sz w:val="36"/>
              </w:rPr>
            </w:pPr>
            <w:r w:rsidRPr="00BC7757">
              <w:t>Lorsque l’Entrepreneur est autorisé à sous-traiter une partie des travaux, ses sous-traitants sont liés par des obligations identiques.</w:t>
            </w:r>
          </w:p>
          <w:p w14:paraId="4E640215" w14:textId="77777777" w:rsidR="00BC7757" w:rsidRPr="00353D32" w:rsidRDefault="00BC7757" w:rsidP="00BC7757">
            <w:pPr>
              <w:tabs>
                <w:tab w:val="left" w:pos="540"/>
              </w:tabs>
              <w:ind w:left="540" w:right="-72"/>
              <w:rPr>
                <w:b/>
                <w:sz w:val="36"/>
                <w:szCs w:val="24"/>
              </w:rPr>
            </w:pPr>
            <w:r w:rsidRPr="00BC7757">
              <w:rPr>
                <w:i/>
                <w:szCs w:val="24"/>
              </w:rPr>
              <w:t xml:space="preserve">Travail forcé - </w:t>
            </w:r>
            <w:r w:rsidRPr="00BC7757">
              <w:rPr>
                <w:szCs w:val="24"/>
              </w:rPr>
              <w:t xml:space="preserve">L’Entrepreneur n’aura pas recours au travail forcé, c’est-à-dire </w:t>
            </w:r>
            <w:r w:rsidRPr="00353D32">
              <w:rPr>
                <w:szCs w:val="24"/>
              </w:rPr>
              <w:t>tout travail ou service exigé d’un individu sous la menace d’une peine quelconque et pour lequel ledit individu ne s’est  pas offert de plein gré.</w:t>
            </w:r>
          </w:p>
          <w:p w14:paraId="6DB0C920" w14:textId="77777777" w:rsidR="00BC7757" w:rsidRPr="00BC7757" w:rsidRDefault="00BC7757" w:rsidP="00353D32">
            <w:pPr>
              <w:tabs>
                <w:tab w:val="left" w:pos="540"/>
              </w:tabs>
              <w:ind w:left="540" w:right="-72"/>
              <w:rPr>
                <w:b/>
                <w:sz w:val="36"/>
                <w:szCs w:val="24"/>
              </w:rPr>
            </w:pPr>
            <w:r w:rsidRPr="00BC7757">
              <w:rPr>
                <w:i/>
              </w:rPr>
              <w:t>Travail des enfants</w:t>
            </w:r>
            <w:r w:rsidRPr="00BC7757">
              <w:t xml:space="preserve"> -  </w:t>
            </w:r>
            <w:r w:rsidRPr="00BC7757">
              <w:rPr>
                <w:szCs w:val="24"/>
              </w:rPr>
              <w:t>L’Entrepreneur n'emploiera pas d’enfants d’une manière qui revient à les exploiter économiquement ou dont il est probable qu'elle soit dangereuse ou qu'elle interfère avec l'éducation de l'enfant ou qu'elle soit dommageable pour sa santé ou son développement physique, mental, spirituel, moral ou social. Si le droit national prévoit l’emploi des mineurs, l’Entrepreneur respectera les lois qui lui sont applicables. Les enfants de moins de dix-huit ans ne seront pas employés à des travaux dangereux.</w:t>
            </w:r>
          </w:p>
          <w:p w14:paraId="3220C73D" w14:textId="77777777" w:rsidR="00BC7757" w:rsidRPr="00BC7757" w:rsidRDefault="00BC7757" w:rsidP="00BC7757">
            <w:pPr>
              <w:ind w:left="540" w:hanging="6"/>
            </w:pPr>
          </w:p>
          <w:p w14:paraId="2E883751" w14:textId="77777777" w:rsidR="00BC7757" w:rsidRPr="00BC7757" w:rsidRDefault="00BC7757" w:rsidP="00353D32">
            <w:pPr>
              <w:tabs>
                <w:tab w:val="left" w:pos="540"/>
              </w:tabs>
              <w:ind w:left="540" w:right="-72"/>
            </w:pPr>
            <w:r w:rsidRPr="00BC7757">
              <w:rPr>
                <w:i/>
              </w:rPr>
              <w:t xml:space="preserve">Représentation des travailleurs - </w:t>
            </w:r>
            <w:r w:rsidRPr="00BC7757">
              <w:t>Dans les pays où le droit national reconnaît les droits des travailleurs à constituer et à adhérer à des  organisations de travailleurs de leur choix sans interférence et à négocier collectivement, l’Entrepreneur se conformera au droit national. Lorsque le droit national impose des restrictions importantes en matière de représentation des travailleurs, l’Entrepreneur permettra aux travailleurs de recourir à d’autres moyens d’expression de leurs griefs et protégera leurs droits en matière de conditions de travail et de modalités d’emploi.  Dans l’un ou l’autre cas et si le droit national est silencieux sur ce point, l’Entrepreneur ne dissuadera pas les travailleurs de constituer ou d’adhérer aux organisations de leur choix ni de négocier collectivement et n’effectuera aucune discrimination et ne procédera à aucunes représailles à l’encontre des travailleurs qui participent ou prévoient de participer  à de telles organisations et qui s’engagent dans des négociations  collectives. L’Entrepreneur collaborera avec les représentants des travailleurs. Les représentants des travailleurs sont censés représenter équitablement les travailleurs constituant la main-d’œuvre.</w:t>
            </w:r>
          </w:p>
          <w:p w14:paraId="3ABEF532" w14:textId="77777777" w:rsidR="00BC7757" w:rsidRPr="00BC7757" w:rsidRDefault="00BC7757" w:rsidP="00BC7757">
            <w:pPr>
              <w:ind w:left="540" w:hanging="6"/>
              <w:rPr>
                <w:szCs w:val="24"/>
              </w:rPr>
            </w:pPr>
          </w:p>
          <w:p w14:paraId="4AD13FAD" w14:textId="77777777" w:rsidR="00BC7757" w:rsidRPr="00BC7757" w:rsidRDefault="00BC7757" w:rsidP="00BC7757">
            <w:pPr>
              <w:ind w:left="540" w:right="43"/>
              <w:rPr>
                <w:szCs w:val="24"/>
              </w:rPr>
            </w:pPr>
            <w:r w:rsidRPr="00BC7757">
              <w:rPr>
                <w:i/>
              </w:rPr>
              <w:t xml:space="preserve">Absence de discrimination et égalité des chances - </w:t>
            </w:r>
            <w:r w:rsidRPr="00BC7757">
              <w:t>L’Entrepreneur ne prendra pas de décision de recrutement sur la base de caractéristiques personnelles sans rapport avec les besoins inhérents au poste à pourvoir. L’Entrepreneur fondera la relation de travail sur le principe de l’égalité des chances et de traitement et ne pratiquera aucune discrimination en matière de relation de travail, y compris de recrutement et d'embauche, de rémunération (salaires et prestations sociales notamment), de conditions de travail et de modalités d’emploi, d'accès à la formation, de promotion, de résiliation du contrat de travail ou de départ à la retraite et de discipline. Dans les pays où le droit national contient des dispositions relatives à la non-discrimination dans l’emploi, l’Entrepreneur respectera le droit national. Lorsque le droit national est silencieux sur la non-discrimination à l’égard de l’emploi, l’Entrepreneur se conformera aux dispositions du présent paragraphe. Des mesures spéciales de protection ou d’assistance à la réparation de discriminations passées ou de sélection pour un poste spécifique reposant sur les besoins inhérents à ce poste ne seront pas réputées constituer des actes de discrimination.</w:t>
            </w:r>
            <w:r w:rsidRPr="00BC7757" w:rsidDel="00D9436F">
              <w:rPr>
                <w:szCs w:val="24"/>
              </w:rPr>
              <w:t xml:space="preserve"> </w:t>
            </w:r>
          </w:p>
          <w:p w14:paraId="5884B8BF" w14:textId="77777777" w:rsidR="00BC7757" w:rsidRPr="00BC7757" w:rsidRDefault="00BC7757" w:rsidP="00BC7757">
            <w:pPr>
              <w:tabs>
                <w:tab w:val="left" w:pos="540"/>
              </w:tabs>
              <w:ind w:left="540" w:right="-72" w:hanging="540"/>
              <w:rPr>
                <w:b/>
              </w:rPr>
            </w:pPr>
            <w:r w:rsidRPr="00BC7757">
              <w:rPr>
                <w:b/>
              </w:rPr>
              <w:t>9.2</w:t>
            </w:r>
            <w:r w:rsidRPr="00BC7757">
              <w:rPr>
                <w:b/>
              </w:rPr>
              <w:tab/>
              <w:t xml:space="preserve">Rémunération et conditions de travail du personnel </w:t>
            </w:r>
          </w:p>
          <w:p w14:paraId="76B05C9D" w14:textId="77777777" w:rsidR="00BC7757" w:rsidRPr="00BC7757" w:rsidRDefault="00BC7757" w:rsidP="00BC7757">
            <w:pPr>
              <w:tabs>
                <w:tab w:val="left" w:pos="540"/>
              </w:tabs>
              <w:ind w:left="540" w:right="-72"/>
            </w:pPr>
            <w:r w:rsidRPr="00BC7757">
              <w:t xml:space="preserve">L’Entrepreneur doit rémunérer son personnel et sa main d’œuvre aux taux et dans des conditions au moins équivalentes aux taux et conditions en vigueur dans le secteur d’activité des Travaux. En l’absence de tels taux,  l’Entrepreneur aura recours aux   conditions et  taux de rémunération locaux utilisés  par les entrepreneurs d’un secteur similaire. </w:t>
            </w:r>
          </w:p>
          <w:p w14:paraId="66DDDC15" w14:textId="77777777" w:rsidR="00BC7757" w:rsidRPr="00BC7757" w:rsidRDefault="00BC7757" w:rsidP="00BC7757">
            <w:pPr>
              <w:tabs>
                <w:tab w:val="left" w:pos="540"/>
              </w:tabs>
              <w:ind w:left="540" w:right="-72"/>
              <w:rPr>
                <w:szCs w:val="24"/>
              </w:rPr>
            </w:pPr>
            <w:r w:rsidRPr="00BC7757">
              <w:rPr>
                <w:szCs w:val="24"/>
              </w:rPr>
              <w:t xml:space="preserve">L’Entrepreneur doit informer son personnel de l’obligation le cas échéant qu’ a ce dernier de payer dans le Pays du Maître de l’Ouvrage l’impôt sur le revenu des personnes physiques redevable sur les salaires, rémunérations, indemnités etc.,   et l’Entrepreneur doit effectuer à ce titre les retenues imposées par la règlementation en vigueur. </w:t>
            </w:r>
          </w:p>
          <w:p w14:paraId="685104F1" w14:textId="77777777" w:rsidR="00BC7757" w:rsidRPr="00BC7757" w:rsidRDefault="00BC7757" w:rsidP="00BC7757">
            <w:pPr>
              <w:ind w:left="540"/>
            </w:pPr>
            <w:r w:rsidRPr="00BC7757">
              <w:t>Aucun travail ne doit être exécuté sur le Site pendant les jours de congé reconnus par la réglementation en vigueur, ou en dehors des heures normales de travail mentionnées dans le CCAP, à moins :</w:t>
            </w:r>
          </w:p>
          <w:p w14:paraId="0737804C" w14:textId="77777777" w:rsidR="00BC7757" w:rsidRPr="00BC7757" w:rsidRDefault="00BC7757" w:rsidP="00BC7757">
            <w:pPr>
              <w:spacing w:after="120"/>
              <w:ind w:left="1440" w:hanging="339"/>
            </w:pPr>
            <w:r w:rsidRPr="00BC7757">
              <w:t xml:space="preserve">a) </w:t>
            </w:r>
            <w:r w:rsidRPr="00BC7757">
              <w:tab/>
              <w:t>que le Marché n’en dispose autrement,</w:t>
            </w:r>
          </w:p>
          <w:p w14:paraId="7741A8EA" w14:textId="77777777" w:rsidR="00BC7757" w:rsidRPr="00BC7757" w:rsidRDefault="00BC7757" w:rsidP="00BC7757">
            <w:pPr>
              <w:spacing w:after="120"/>
              <w:ind w:left="1440" w:hanging="339"/>
            </w:pPr>
            <w:r w:rsidRPr="00BC7757">
              <w:t>b)</w:t>
            </w:r>
            <w:r w:rsidRPr="00BC7757">
              <w:tab/>
              <w:t>que le Maître d’Œuvre ne donne son accord, ou</w:t>
            </w:r>
          </w:p>
          <w:p w14:paraId="2CFA19E3" w14:textId="77777777" w:rsidR="00BC7757" w:rsidRPr="00BC7757" w:rsidRDefault="00BC7757" w:rsidP="00BC7757">
            <w:pPr>
              <w:spacing w:after="120"/>
              <w:ind w:left="1440" w:right="-72" w:hanging="339"/>
              <w:rPr>
                <w:b/>
                <w:sz w:val="36"/>
              </w:rPr>
            </w:pPr>
            <w:r w:rsidRPr="00BC7757">
              <w:t>c)</w:t>
            </w:r>
            <w:r w:rsidRPr="00BC7757">
              <w:tab/>
              <w:t>que le travail soit inévitable, ou nécessaire pour la protection des installations, auquel cas  l’Entrepreneur devant immédiatement en aviser le Maître d’Œuvre.</w:t>
            </w:r>
          </w:p>
          <w:p w14:paraId="11BFDD21" w14:textId="77777777" w:rsidR="00BC7757" w:rsidRPr="00BC7757" w:rsidRDefault="00BC7757" w:rsidP="00BC7757">
            <w:pPr>
              <w:tabs>
                <w:tab w:val="left" w:pos="540"/>
              </w:tabs>
              <w:ind w:left="540" w:right="-72"/>
            </w:pPr>
            <w:r w:rsidRPr="00BC7757">
              <w:t>Indépendamment des obligations prescrites par les lois et règlements concernant la main-d’œuvre, l’Entrepreneur est tenu de communiquer au Chef de Projet la liste nominative à jour du personnel qu’il emploie avec leur qualification.</w:t>
            </w:r>
          </w:p>
          <w:p w14:paraId="0892EF4B" w14:textId="77777777" w:rsidR="00BC7757" w:rsidRPr="00BC7757" w:rsidRDefault="00BC7757" w:rsidP="00BC7757">
            <w:pPr>
              <w:tabs>
                <w:tab w:val="left" w:pos="540"/>
              </w:tabs>
              <w:ind w:left="540" w:right="-72"/>
            </w:pPr>
            <w:r w:rsidRPr="00BC7757">
              <w:t xml:space="preserve">Le Chef de Projet peut exiger à tout moment de l’Entrepreneur la justification qu’il est en règle, en ce qui concerne l’application à son personnel employé à l’exécution des travaux objet du Marché, à l’égard de la législation sociale, notamment en matière de salaires, d’hygiène et de sécurité. </w:t>
            </w:r>
          </w:p>
          <w:p w14:paraId="07F2BB7C" w14:textId="77777777" w:rsidR="00BC7757" w:rsidRPr="00BC7757" w:rsidRDefault="00BC7757" w:rsidP="00BC7757">
            <w:pPr>
              <w:tabs>
                <w:tab w:val="left" w:pos="540"/>
              </w:tabs>
              <w:ind w:left="540" w:right="-72"/>
            </w:pPr>
            <w:r w:rsidRPr="00BC7757">
              <w:t>L’Entrepreneur doit maintenir un état détaillé ventilé par catégorie des travailleurs qu’il emploie, qui sera disponible pour inspection pendant les heures de travail, et en fournir mensuellement un récapitulatif au Chef de Projet dans un format approuvé par ce dernier.</w:t>
            </w:r>
          </w:p>
          <w:p w14:paraId="060F301C" w14:textId="77777777" w:rsidR="00BC7757" w:rsidRPr="00BC7757" w:rsidRDefault="00BC7757" w:rsidP="00BC7757">
            <w:pPr>
              <w:tabs>
                <w:tab w:val="left" w:pos="540"/>
              </w:tabs>
              <w:ind w:left="540" w:right="-72" w:hanging="540"/>
              <w:rPr>
                <w:b/>
                <w:u w:val="single"/>
              </w:rPr>
            </w:pPr>
            <w:r w:rsidRPr="00BC7757">
              <w:rPr>
                <w:b/>
              </w:rPr>
              <w:t>9.3</w:t>
            </w:r>
            <w:r w:rsidRPr="00BC7757">
              <w:rPr>
                <w:b/>
              </w:rPr>
              <w:tab/>
              <w:t>Obligations en matière de personnel étranger</w:t>
            </w:r>
          </w:p>
          <w:p w14:paraId="0FB54E28" w14:textId="77777777" w:rsidR="00BC7757" w:rsidRPr="00BC7757" w:rsidRDefault="00BC7757" w:rsidP="00BC7757">
            <w:pPr>
              <w:tabs>
                <w:tab w:val="left" w:pos="540"/>
              </w:tabs>
              <w:ind w:left="540" w:right="-72"/>
            </w:pPr>
            <w:r w:rsidRPr="00BC7757">
              <w:t>En ce qui concerne le personnel expatrié, l’Entrepreneur doit veiller au strict respect de la législation et de la réglementation qui le concerne.</w:t>
            </w:r>
          </w:p>
          <w:p w14:paraId="39841FE9" w14:textId="77777777" w:rsidR="00BC7757" w:rsidRPr="00BC7757" w:rsidRDefault="00BC7757" w:rsidP="00BC7757">
            <w:pPr>
              <w:tabs>
                <w:tab w:val="left" w:pos="540"/>
              </w:tabs>
              <w:ind w:left="540" w:right="-72"/>
            </w:pPr>
            <w:r w:rsidRPr="00BC7757">
              <w:t>Sous réserve des dispositions législatives et réglementaires applicables en matière d’emploi de main-d’œuvre étrangère, le Maître de l’Ouvrage prendra les dispositions nécessaires pour faciliter l’obtention en temps utile par l’Entrepreneur de tous les visas et permis requis et, notamment, les permis de travail et de séjour destinés au personnel dont les services sont jugés nécessaires par l’Entrepreneur ainsi que les permis de séjour destinés aux membres des familles de ce personnel.</w:t>
            </w:r>
          </w:p>
          <w:p w14:paraId="1CC8FD25" w14:textId="77777777" w:rsidR="00BC7757" w:rsidRPr="00BC7757" w:rsidRDefault="00BC7757" w:rsidP="00BC7757">
            <w:pPr>
              <w:tabs>
                <w:tab w:val="left" w:pos="540"/>
              </w:tabs>
              <w:ind w:left="540" w:right="-72"/>
              <w:rPr>
                <w:szCs w:val="24"/>
              </w:rPr>
            </w:pPr>
            <w:r w:rsidRPr="00BC7757">
              <w:tab/>
              <w:t>L’Entrepreneur sera responsable du retour du personnel étranger sur les lieux où il aura été recruté ou au lieu de son domicile</w:t>
            </w:r>
          </w:p>
          <w:p w14:paraId="65A44390" w14:textId="77777777" w:rsidR="00BC7757" w:rsidRPr="00BC7757" w:rsidRDefault="00BC7757" w:rsidP="00BC7757">
            <w:pPr>
              <w:tabs>
                <w:tab w:val="left" w:pos="540"/>
              </w:tabs>
              <w:ind w:left="540" w:right="-72"/>
              <w:rPr>
                <w:u w:val="single"/>
              </w:rPr>
            </w:pPr>
            <w:r w:rsidRPr="00BC7757">
              <w:rPr>
                <w:szCs w:val="24"/>
              </w:rPr>
              <w:t>En cas de décès d’un membre du personnel de l’Entrepreneur ou d’un membre de la famille qui l’accompagne, l’Entrepreneur doit prendre en charge les dispositions nécessaires  à son rapatriement ou son inhumation, sauf disposition contraire du CCAP.</w:t>
            </w:r>
          </w:p>
          <w:p w14:paraId="69C0E452" w14:textId="77777777" w:rsidR="00BC7757" w:rsidRPr="00BC7757" w:rsidRDefault="00BC7757" w:rsidP="00BC7757">
            <w:pPr>
              <w:tabs>
                <w:tab w:val="left" w:pos="540"/>
              </w:tabs>
              <w:ind w:left="540" w:right="-72" w:hanging="540"/>
              <w:rPr>
                <w:b/>
              </w:rPr>
            </w:pPr>
            <w:r w:rsidRPr="00BC7757">
              <w:rPr>
                <w:b/>
              </w:rPr>
              <w:t>9.4</w:t>
            </w:r>
            <w:r w:rsidRPr="00BC7757">
              <w:rPr>
                <w:b/>
              </w:rPr>
              <w:tab/>
              <w:t>Hébergement, denrées alimentaires, eau</w:t>
            </w:r>
            <w:r w:rsidRPr="00BC7757">
              <w:rPr>
                <w:b/>
                <w:szCs w:val="24"/>
              </w:rPr>
              <w:t xml:space="preserve"> et désordres</w:t>
            </w:r>
          </w:p>
          <w:p w14:paraId="2804050B" w14:textId="77777777" w:rsidR="00BC7757" w:rsidRPr="00BC7757" w:rsidRDefault="00BC7757" w:rsidP="00BC7757">
            <w:pPr>
              <w:ind w:left="540"/>
            </w:pPr>
            <w:r w:rsidRPr="00BC7757">
              <w:t>A moins que  les Spécifications des Travaux n’en disposent autrement, l’Entrepreneur doit fournir et entretenir les logements et les installations nécessaires au bien-être de son Personnel. L’Entrepreneur doit également fournir les installations nécessaires au Personnel du Maître de l’Ouvrage tel que mentionné dans les Spécifications des Travaux.</w:t>
            </w:r>
          </w:p>
          <w:p w14:paraId="3D423603" w14:textId="77777777" w:rsidR="00BC7757" w:rsidRPr="00BC7757" w:rsidRDefault="00BC7757" w:rsidP="00BC7757">
            <w:pPr>
              <w:tabs>
                <w:tab w:val="left" w:pos="540"/>
              </w:tabs>
              <w:ind w:left="540" w:right="-72"/>
            </w:pPr>
            <w:r w:rsidRPr="00BC7757">
              <w:t>L’Entrepreneur ne doit pas autoriser son Personnel à se loger temporairement ou de façon  permanente à l’intérieur des installations des Ouvrages.</w:t>
            </w:r>
          </w:p>
          <w:p w14:paraId="301EE1B7" w14:textId="77777777" w:rsidR="00BC7757" w:rsidRPr="00BC7757" w:rsidRDefault="00BC7757" w:rsidP="00BC7757">
            <w:pPr>
              <w:pStyle w:val="Paragraphedeliste"/>
              <w:ind w:left="540" w:right="43"/>
              <w:rPr>
                <w:szCs w:val="24"/>
              </w:rPr>
            </w:pPr>
            <w:r w:rsidRPr="00BC7757">
              <w:rPr>
                <w:szCs w:val="24"/>
              </w:rPr>
              <w:t xml:space="preserve">L’Entrepreneur doit  faire assurer l’approvisionnement en denrées alimentaires de son Personnel, en quantité suffisante et à un prix raisonnable,  tel que mentionné dans les Spécifications. L’Entrepreneur doit organiser l’approvisionnement  de son Personnel en eau potable et en eau à des fins domestiques, en tenant compte des conditions locales. </w:t>
            </w:r>
          </w:p>
          <w:p w14:paraId="2BC5EE0B" w14:textId="77777777" w:rsidR="00BC7757" w:rsidRPr="00BC7757" w:rsidRDefault="00BC7757" w:rsidP="00BC7757">
            <w:pPr>
              <w:tabs>
                <w:tab w:val="left" w:pos="540"/>
              </w:tabs>
              <w:ind w:left="540" w:right="-72"/>
              <w:rPr>
                <w:u w:val="single"/>
              </w:rPr>
            </w:pPr>
            <w:r w:rsidRPr="00BC7757">
              <w:rPr>
                <w:szCs w:val="24"/>
              </w:rPr>
              <w:t>Dans la mesure du possible, l’Entrepreneur prendra les précautions nécessaires afin d’éviter les agissements illégaux ou les désordres qui pourraient être commis par son personnel et  d’assurer le calme et  la protection des biens et personnes sur le Site et ses environs.</w:t>
            </w:r>
          </w:p>
          <w:p w14:paraId="6349D730" w14:textId="77777777" w:rsidR="00BC7757" w:rsidRPr="00BC7757" w:rsidRDefault="00BC7757" w:rsidP="00BC7757">
            <w:pPr>
              <w:tabs>
                <w:tab w:val="left" w:pos="540"/>
              </w:tabs>
              <w:ind w:left="540" w:right="-72" w:hanging="540"/>
              <w:rPr>
                <w:b/>
              </w:rPr>
            </w:pPr>
            <w:r w:rsidRPr="00BC7757">
              <w:rPr>
                <w:b/>
              </w:rPr>
              <w:t>9.5</w:t>
            </w:r>
            <w:r w:rsidRPr="00BC7757">
              <w:rPr>
                <w:b/>
              </w:rPr>
              <w:tab/>
              <w:t>Hygiène, santé et prévention du SIDA</w:t>
            </w:r>
          </w:p>
          <w:p w14:paraId="22D1394F" w14:textId="77777777" w:rsidR="00BC7757" w:rsidRPr="00BC7757" w:rsidRDefault="00BC7757" w:rsidP="00BC7757">
            <w:pPr>
              <w:tabs>
                <w:tab w:val="left" w:pos="540"/>
              </w:tabs>
              <w:ind w:left="540" w:right="-72"/>
            </w:pPr>
            <w:r w:rsidRPr="00BC7757">
              <w:t>L'Entrepreneur doit constamment prendre les précautions nécessaires à la protection de la santé et de la sécurité de son Personnel. En collaboration avec les autorités sanitaires locales, l'Entrepreneur doit faire en sorte que le personnel médical, les installations de premiers secours, l'infirmerie et les services d'ambulance soient  toujours disponibles sur le Site et sur les lieux d’hébergement du Personnel de l'Entrepreneur ou du Maître de l’Ouvrage et que les dispositions nécessaires  aient été prises en matière  d'hygiène et de bien-être et pour la prévention des épidémies.</w:t>
            </w:r>
          </w:p>
          <w:p w14:paraId="4F90629E" w14:textId="77777777" w:rsidR="00BC7757" w:rsidRPr="00BC7757" w:rsidRDefault="00BC7757" w:rsidP="00BC7757">
            <w:pPr>
              <w:pStyle w:val="Paragraphedeliste"/>
              <w:ind w:left="540" w:right="43"/>
            </w:pPr>
            <w:r w:rsidRPr="00BC7757">
              <w:rPr>
                <w:szCs w:val="24"/>
              </w:rPr>
              <w:t xml:space="preserve">L’Entrepreneur doit effectuer par l’intermédiaire d’ une entité qualifiée un programme de sensibilisation aux risques de VIH/SIDA et prendre toute autre mesure prévue au Marché pour réduire le risque de propagation du VIH parmi son personnel ainsi que les populations riveraines, effectuer un diagnostic rapidement et fournir l’ assistance nécessaires aux personnes atteintes .  L’Entrepreneur doit,  pendant la durée du  Marché (y compris la période de garantie): (i) mener au minimum tous les deux mois des campagnes d’information, d’éducation et de communication destinées aux travailleurs sur les chantiers et aux populations riveraines, concernant les risques, les dangers , les conséquences et les comportements préventifs appropriés concernant les maladies sexuellement transmissibles (MST) – ou les infections sexuellement transmissibles (IST) en général et le VIH/SIDA en particulier ; (ii) fournir des préservatifs masculins et féminins à tout le personnel et la main d’œuvre présents sur le Site et (iii) faire conduire des tests de dépistage, de diagnostic ainsi qu’un accès aux consultations organisées sous l’égide du programme national dédié à la lutte contre le VIH/SIDA (à moins qu’il n’en soit convenu  autrement) de l’ensemble du personnel et de la main d’œuvre travaillant sur les chantiers. L’Entrepreneur inclura dans le programme d’exécution et le plan de sécurité et d’hygiène soumis conformément à l’article 28  du CCAG un programme relatif à la lutte contre les IST et le VIH/SIDA. Ce programme indiquera quand, par quels moyens et à quel coût l’Entrepreneur prévoit de remplir les obligations prévues au présent  article et aux dispositions qui y sont liées. Pour chacun de ses éléments, le programme détaillera les ressources fournies ou utilisées et les prestations susceptibles d’être sous-traitées. Le programme inclura également un budget provisionnel et la documentation y afférente. Le règlement à l’Entrepreneur des frais encourus pour la préparation et l’exécution de ce programme ne dépassera pas la Somme à valoir prévue à cet effet. </w:t>
            </w:r>
          </w:p>
          <w:p w14:paraId="712415D8" w14:textId="77777777" w:rsidR="00BC7757" w:rsidRPr="00BC7757" w:rsidRDefault="00BC7757" w:rsidP="00BC7757">
            <w:pPr>
              <w:tabs>
                <w:tab w:val="left" w:pos="540"/>
              </w:tabs>
              <w:ind w:left="540" w:right="-72" w:hanging="540"/>
            </w:pPr>
            <w:r w:rsidRPr="00BC7757">
              <w:t xml:space="preserve"> </w:t>
            </w:r>
            <w:r w:rsidRPr="00BC7757">
              <w:tab/>
            </w:r>
          </w:p>
          <w:p w14:paraId="55D2C846" w14:textId="77777777" w:rsidR="00BC7757" w:rsidRDefault="00BC7757" w:rsidP="00BC7757">
            <w:pPr>
              <w:tabs>
                <w:tab w:val="left" w:pos="540"/>
              </w:tabs>
              <w:ind w:left="540" w:right="-72" w:hanging="540"/>
            </w:pPr>
            <w:r w:rsidRPr="00BC7757">
              <w:tab/>
            </w:r>
          </w:p>
          <w:p w14:paraId="0D3B25AF" w14:textId="77777777" w:rsidR="0050339B" w:rsidRDefault="0050339B" w:rsidP="00BC7757">
            <w:pPr>
              <w:tabs>
                <w:tab w:val="left" w:pos="540"/>
              </w:tabs>
              <w:ind w:left="540" w:right="-72" w:hanging="540"/>
            </w:pPr>
          </w:p>
          <w:p w14:paraId="1067067E" w14:textId="24528814" w:rsidR="0050339B" w:rsidRPr="00BC7757" w:rsidRDefault="0050339B" w:rsidP="00BC7757">
            <w:pPr>
              <w:tabs>
                <w:tab w:val="left" w:pos="540"/>
              </w:tabs>
              <w:ind w:left="540" w:right="-72" w:hanging="540"/>
            </w:pPr>
          </w:p>
        </w:tc>
      </w:tr>
      <w:tr w:rsidR="00BC7757" w:rsidRPr="00BC7757" w14:paraId="428E6D1B" w14:textId="77777777" w:rsidTr="009B6B8C">
        <w:tc>
          <w:tcPr>
            <w:tcW w:w="2160" w:type="dxa"/>
            <w:tcBorders>
              <w:top w:val="nil"/>
              <w:left w:val="nil"/>
              <w:bottom w:val="nil"/>
              <w:right w:val="nil"/>
            </w:tcBorders>
            <w:shd w:val="clear" w:color="auto" w:fill="auto"/>
          </w:tcPr>
          <w:p w14:paraId="11D6AAB7" w14:textId="77777777" w:rsidR="00BC7757" w:rsidRPr="00BC7757" w:rsidRDefault="00BC7757" w:rsidP="00BC7757">
            <w:pPr>
              <w:pStyle w:val="Head42"/>
            </w:pPr>
          </w:p>
        </w:tc>
        <w:tc>
          <w:tcPr>
            <w:tcW w:w="7304" w:type="dxa"/>
            <w:tcBorders>
              <w:top w:val="nil"/>
              <w:left w:val="nil"/>
              <w:bottom w:val="nil"/>
              <w:right w:val="nil"/>
            </w:tcBorders>
            <w:shd w:val="clear" w:color="auto" w:fill="auto"/>
          </w:tcPr>
          <w:p w14:paraId="735FF031" w14:textId="77777777" w:rsidR="00BC7757" w:rsidRPr="00BC7757" w:rsidRDefault="00BC7757" w:rsidP="00BC7757">
            <w:pPr>
              <w:tabs>
                <w:tab w:val="left" w:pos="540"/>
              </w:tabs>
              <w:ind w:left="540" w:right="-72" w:hanging="540"/>
            </w:pPr>
          </w:p>
        </w:tc>
      </w:tr>
    </w:tbl>
    <w:p w14:paraId="2B2693EA" w14:textId="312169D1" w:rsidR="00BC7757" w:rsidRPr="00BC7757" w:rsidRDefault="00BC7757" w:rsidP="0050339B">
      <w:pPr>
        <w:pStyle w:val="Head41"/>
      </w:pPr>
      <w:bookmarkStart w:id="745" w:name="_Toc348175944"/>
      <w:bookmarkStart w:id="746" w:name="_Toc327539555"/>
      <w:r w:rsidRPr="00BC7757">
        <w:t>B.  Prix et règlement des comptes</w:t>
      </w:r>
      <w:bookmarkEnd w:id="745"/>
      <w:bookmarkEnd w:id="746"/>
    </w:p>
    <w:tbl>
      <w:tblPr>
        <w:tblW w:w="0" w:type="auto"/>
        <w:tblLayout w:type="fixed"/>
        <w:tblLook w:val="0000" w:firstRow="0" w:lastRow="0" w:firstColumn="0" w:lastColumn="0" w:noHBand="0" w:noVBand="0"/>
      </w:tblPr>
      <w:tblGrid>
        <w:gridCol w:w="2160"/>
        <w:gridCol w:w="7398"/>
      </w:tblGrid>
      <w:tr w:rsidR="00BC7757" w:rsidRPr="00BC7757" w14:paraId="6CE307EF" w14:textId="77777777" w:rsidTr="00BC7757">
        <w:tc>
          <w:tcPr>
            <w:tcW w:w="2160" w:type="dxa"/>
            <w:tcBorders>
              <w:top w:val="nil"/>
              <w:left w:val="nil"/>
              <w:bottom w:val="nil"/>
              <w:right w:val="nil"/>
            </w:tcBorders>
          </w:tcPr>
          <w:p w14:paraId="020532FB" w14:textId="77777777" w:rsidR="00BC7757" w:rsidRPr="00BC7757" w:rsidRDefault="00BC7757" w:rsidP="00BC7757">
            <w:pPr>
              <w:pStyle w:val="Head42"/>
            </w:pPr>
            <w:bookmarkStart w:id="747" w:name="_Toc348175945"/>
            <w:r w:rsidRPr="00BC7757">
              <w:rPr>
                <w:b w:val="0"/>
              </w:rPr>
              <w:br w:type="page"/>
            </w:r>
            <w:bookmarkStart w:id="748" w:name="_Toc327539556"/>
            <w:r w:rsidRPr="00BC7757">
              <w:t>10.</w:t>
            </w:r>
            <w:r w:rsidRPr="00BC7757">
              <w:tab/>
              <w:t>Contenu et caractère des prix</w:t>
            </w:r>
            <w:bookmarkEnd w:id="747"/>
            <w:bookmarkEnd w:id="748"/>
          </w:p>
        </w:tc>
        <w:tc>
          <w:tcPr>
            <w:tcW w:w="7398" w:type="dxa"/>
            <w:tcBorders>
              <w:top w:val="nil"/>
              <w:left w:val="nil"/>
              <w:bottom w:val="nil"/>
              <w:right w:val="nil"/>
            </w:tcBorders>
          </w:tcPr>
          <w:p w14:paraId="1C8178CA" w14:textId="77777777" w:rsidR="00BC7757" w:rsidRPr="00BC7757" w:rsidRDefault="00BC7757" w:rsidP="00BC7757">
            <w:pPr>
              <w:tabs>
                <w:tab w:val="left" w:pos="540"/>
              </w:tabs>
              <w:ind w:left="540" w:right="-72" w:hanging="540"/>
              <w:rPr>
                <w:b/>
              </w:rPr>
            </w:pPr>
            <w:r w:rsidRPr="00BC7757">
              <w:rPr>
                <w:b/>
              </w:rPr>
              <w:t>10.1</w:t>
            </w:r>
            <w:r w:rsidRPr="00BC7757">
              <w:rPr>
                <w:b/>
              </w:rPr>
              <w:tab/>
              <w:t>Contenu des prix</w:t>
            </w:r>
          </w:p>
          <w:p w14:paraId="2E039A4E" w14:textId="77777777" w:rsidR="00BC7757" w:rsidRPr="00BC7757" w:rsidRDefault="00BC7757" w:rsidP="00BC7757">
            <w:pPr>
              <w:tabs>
                <w:tab w:val="left" w:pos="1260"/>
              </w:tabs>
              <w:ind w:left="1260" w:right="-72" w:hanging="720"/>
            </w:pPr>
            <w:r w:rsidRPr="00BC7757">
              <w:t>10.1.1</w:t>
            </w:r>
            <w:r w:rsidRPr="00BC7757">
              <w:tab/>
              <w:t>Les prix sont réputés comprendre toutes les dépenses résultant de l’exécution des travaux, y compris les frais généraux et, comme spécifié au paragraphe 5 du présent Article sauf dispositions contraires du CCAP, tous les impôts, droits et taxes de toute nature dus par l’Entrepreneur et/ou ses employés et sous-traitants en raison de l’exécution des travaux, à l’exception des impôts et taxes normalement exigibles en vertu des paiements du Maître de l’Ouvrage à l’Entrepreneur et dont le présent Marché est spécifiquement exempté par une disposition du CCAP.</w:t>
            </w:r>
          </w:p>
          <w:p w14:paraId="5B43604D" w14:textId="77777777" w:rsidR="00BC7757" w:rsidRPr="00BC7757" w:rsidRDefault="00BC7757" w:rsidP="00BC7757">
            <w:pPr>
              <w:tabs>
                <w:tab w:val="left" w:pos="1260"/>
              </w:tabs>
              <w:ind w:left="1260" w:right="-72" w:hanging="720"/>
            </w:pPr>
            <w:r w:rsidRPr="00BC7757">
              <w:t>10.1.2</w:t>
            </w:r>
            <w:r w:rsidRPr="00BC7757">
              <w:tab/>
              <w:t>Conformément aux dispositions du CCAP, les prix sont exprimés soit intégralement en monnaie nationale, soit en plusieurs monnaies.</w:t>
            </w:r>
          </w:p>
          <w:p w14:paraId="42D24C21" w14:textId="77777777" w:rsidR="00BC7757" w:rsidRPr="00BC7757" w:rsidRDefault="00BC7757" w:rsidP="00BC7757">
            <w:pPr>
              <w:tabs>
                <w:tab w:val="left" w:pos="1260"/>
              </w:tabs>
              <w:ind w:left="1260" w:right="-72" w:hanging="720"/>
            </w:pPr>
            <w:r w:rsidRPr="00BC7757">
              <w:t>10.1.3</w:t>
            </w:r>
            <w:r w:rsidRPr="00BC7757">
              <w:tab/>
              <w:t>Lorsque les prix sont intégralement exprimés en monnaie nationale et que l’Entrepreneur a justifié dans son offre encourir des dépenses dans sa propre monnaie ou en d’autres monnaies, le CCAP indiquera le pourcentage transférable du Montant du Marché qui ouvre directement droit à paiement en monnaies étrangères, incluant, le cas échéant, la répartition de ce pourcentage en plusieurs monnaies étrangères.  Sauf dispositions contraires du CCAP, ce pourcentage (et, le cas échéant, cette répartition) sera appliqué à tout paiement fait par le Maître de l’Ouvrage à l’Entrepreneur au titre du Marché.</w:t>
            </w:r>
          </w:p>
          <w:p w14:paraId="18BF65E2" w14:textId="77777777" w:rsidR="00BC7757" w:rsidRPr="00BC7757" w:rsidRDefault="00BC7757" w:rsidP="00BC7757">
            <w:pPr>
              <w:tabs>
                <w:tab w:val="left" w:pos="1260"/>
              </w:tabs>
              <w:ind w:left="1260" w:right="-72" w:hanging="720"/>
            </w:pPr>
            <w:r w:rsidRPr="00BC7757">
              <w:t>10.1.4</w:t>
            </w:r>
            <w:r w:rsidRPr="00BC7757">
              <w:tab/>
              <w:t>Lorsque les prix sont exprimés en plusieurs monnaies, chaque prix comprend alors une part réglée en monnaie nationale et une part réglée dans la ou les monnaie(s) indiquée(s) dans le CCAP.</w:t>
            </w:r>
          </w:p>
          <w:p w14:paraId="01B4450E" w14:textId="77777777" w:rsidR="00BC7757" w:rsidRPr="00BC7757" w:rsidRDefault="00BC7757" w:rsidP="00BC7757">
            <w:pPr>
              <w:tabs>
                <w:tab w:val="left" w:pos="1260"/>
              </w:tabs>
              <w:ind w:left="1260" w:right="-72" w:hanging="720"/>
            </w:pPr>
            <w:r w:rsidRPr="00BC7757">
              <w:t>10.1.5</w:t>
            </w:r>
            <w:r w:rsidRPr="00BC7757">
              <w:tab/>
              <w:t>A l’exception des seules sujétions qui sont spécifiquement mentionnées dans le Marché comme n’étant pas couvertes par les prix, ceux-ci sont réputés assurer à l’Entrepreneur une marge pour risques et bénéfices et tenir compte de toutes les sujétions d’exécution des travaux qui sont normalement prévisibles par un entrepreneur compétent dans les circonstances où s’exécutent ces travaux et notamment des sujétions résultant :</w:t>
            </w:r>
          </w:p>
          <w:p w14:paraId="7BC9D52B" w14:textId="77777777" w:rsidR="00BC7757" w:rsidRPr="00BC7757" w:rsidRDefault="00BC7757" w:rsidP="00BC7757">
            <w:pPr>
              <w:tabs>
                <w:tab w:val="left" w:pos="1800"/>
              </w:tabs>
              <w:ind w:left="1800" w:right="-72" w:hanging="540"/>
              <w:jc w:val="left"/>
            </w:pPr>
            <w:r w:rsidRPr="00BC7757">
              <w:t>a)</w:t>
            </w:r>
            <w:r w:rsidRPr="00BC7757">
              <w:tab/>
              <w:t>de phénomènes naturels;</w:t>
            </w:r>
          </w:p>
          <w:p w14:paraId="0903BD7A" w14:textId="77777777" w:rsidR="00BC7757" w:rsidRPr="00BC7757" w:rsidRDefault="00BC7757" w:rsidP="00BC7757">
            <w:pPr>
              <w:tabs>
                <w:tab w:val="left" w:pos="1800"/>
              </w:tabs>
              <w:ind w:left="1800" w:right="-72" w:hanging="540"/>
              <w:jc w:val="left"/>
            </w:pPr>
            <w:r w:rsidRPr="00BC7757">
              <w:t>b)</w:t>
            </w:r>
            <w:r w:rsidRPr="00BC7757">
              <w:tab/>
              <w:t>de l’utilisation du domaine public et du fonctionnement des services publics;</w:t>
            </w:r>
          </w:p>
          <w:p w14:paraId="6F889642" w14:textId="77777777" w:rsidR="00BC7757" w:rsidRPr="00BC7757" w:rsidRDefault="00BC7757" w:rsidP="00BC7757">
            <w:pPr>
              <w:tabs>
                <w:tab w:val="left" w:pos="1800"/>
              </w:tabs>
              <w:ind w:left="1800" w:right="-72" w:hanging="540"/>
              <w:jc w:val="left"/>
            </w:pPr>
            <w:r w:rsidRPr="00BC7757">
              <w:t>c)</w:t>
            </w:r>
            <w:r w:rsidRPr="00BC7757">
              <w:tab/>
              <w:t>de la présence de canalisations, conduites et câbles de toute nature, ainsi que des travaux nécessaires au déplacement ou à la transformation de ces installations;</w:t>
            </w:r>
          </w:p>
          <w:p w14:paraId="65F950DE" w14:textId="77777777" w:rsidR="00BC7757" w:rsidRPr="00BC7757" w:rsidRDefault="00BC7757" w:rsidP="00BC7757">
            <w:pPr>
              <w:tabs>
                <w:tab w:val="left" w:pos="1800"/>
              </w:tabs>
              <w:ind w:left="1800" w:right="-72" w:hanging="540"/>
              <w:jc w:val="left"/>
            </w:pPr>
            <w:r w:rsidRPr="00BC7757">
              <w:t>d)</w:t>
            </w:r>
            <w:r w:rsidRPr="00BC7757">
              <w:tab/>
              <w:t>de la réalisation simultanée d’autres ouvrages, due à la présence d’autres entrepreneurs;</w:t>
            </w:r>
          </w:p>
          <w:p w14:paraId="28A04E42" w14:textId="77777777" w:rsidR="00BC7757" w:rsidRPr="00BC7757" w:rsidRDefault="00BC7757" w:rsidP="00BC7757">
            <w:pPr>
              <w:tabs>
                <w:tab w:val="left" w:pos="1800"/>
              </w:tabs>
              <w:ind w:left="1800" w:right="-72" w:hanging="540"/>
              <w:jc w:val="left"/>
            </w:pPr>
            <w:r w:rsidRPr="00BC7757">
              <w:t>e)</w:t>
            </w:r>
            <w:r w:rsidRPr="00BC7757">
              <w:tab/>
              <w:t>de l’application de la réglementation fiscale et douanière;</w:t>
            </w:r>
          </w:p>
          <w:p w14:paraId="28E70C40" w14:textId="77777777" w:rsidR="00BC7757" w:rsidRPr="00BC7757" w:rsidRDefault="00BC7757" w:rsidP="00BC7757">
            <w:pPr>
              <w:tabs>
                <w:tab w:val="left" w:pos="1800"/>
              </w:tabs>
              <w:ind w:left="1800" w:right="-72" w:hanging="540"/>
              <w:jc w:val="left"/>
            </w:pPr>
            <w:r w:rsidRPr="00BC7757">
              <w:t>f)</w:t>
            </w:r>
            <w:r w:rsidRPr="00BC7757">
              <w:tab/>
              <w:t>de l’évolution des parités entre les différentes monnaies.</w:t>
            </w:r>
          </w:p>
          <w:p w14:paraId="42CDB7A9" w14:textId="77777777" w:rsidR="00BC7757" w:rsidRPr="00BC7757" w:rsidRDefault="00BC7757" w:rsidP="00BC7757">
            <w:pPr>
              <w:ind w:left="1260" w:right="-72"/>
            </w:pPr>
            <w:r w:rsidRPr="00BC7757">
              <w:t>Sauf stipulation différente du CCAP, les prix sont réputés avoir été établis en considérant qu’aucune prestation n’est à fournir par le Maître de l’Ouvrage.</w:t>
            </w:r>
          </w:p>
          <w:p w14:paraId="690BA203" w14:textId="77777777" w:rsidR="00BC7757" w:rsidRPr="00BC7757" w:rsidRDefault="00BC7757" w:rsidP="00BC7757">
            <w:pPr>
              <w:tabs>
                <w:tab w:val="left" w:pos="1260"/>
              </w:tabs>
              <w:ind w:left="1260" w:right="-72" w:hanging="720"/>
            </w:pPr>
            <w:r w:rsidRPr="00BC7757">
              <w:t>10.1.6</w:t>
            </w:r>
            <w:r w:rsidRPr="00BC7757">
              <w:tab/>
              <w:t>En cas de sous-traitance, les prix du Marché sont notamment réputés couvrir les frais de coordination et de contrôle, par l’Entrepreneur, de ses sous-traitants ainsi que les conséquences de leurs défaillances éventuelles.</w:t>
            </w:r>
          </w:p>
          <w:p w14:paraId="7E534233" w14:textId="77777777" w:rsidR="00BC7757" w:rsidRPr="00BC7757" w:rsidRDefault="00BC7757" w:rsidP="00BC7757">
            <w:pPr>
              <w:tabs>
                <w:tab w:val="left" w:pos="540"/>
              </w:tabs>
              <w:ind w:left="540" w:right="-72" w:hanging="540"/>
              <w:rPr>
                <w:b/>
              </w:rPr>
            </w:pPr>
            <w:r w:rsidRPr="00BC7757">
              <w:rPr>
                <w:b/>
              </w:rPr>
              <w:t>10.2</w:t>
            </w:r>
            <w:r w:rsidRPr="00BC7757">
              <w:rPr>
                <w:b/>
              </w:rPr>
              <w:tab/>
              <w:t>Distinction des prix unitaires et des prix forfaitaires</w:t>
            </w:r>
          </w:p>
          <w:p w14:paraId="5B1F9B0F" w14:textId="77777777" w:rsidR="00BC7757" w:rsidRPr="00BC7757" w:rsidRDefault="00BC7757" w:rsidP="00BC7757">
            <w:pPr>
              <w:tabs>
                <w:tab w:val="left" w:pos="1260"/>
              </w:tabs>
              <w:ind w:left="1260" w:right="-72" w:hanging="720"/>
            </w:pPr>
            <w:r w:rsidRPr="00BC7757">
              <w:t>10.2.1</w:t>
            </w:r>
            <w:r w:rsidRPr="00BC7757">
              <w:tab/>
              <w:t>Les prix sont soit des prix unitaires, soit des prix forfaitaires qui se définissent respectivement comme suit :</w:t>
            </w:r>
          </w:p>
          <w:p w14:paraId="668C6417" w14:textId="77777777" w:rsidR="00BC7757" w:rsidRPr="00BC7757" w:rsidRDefault="00BC7757" w:rsidP="00BC7757">
            <w:pPr>
              <w:tabs>
                <w:tab w:val="left" w:pos="1800"/>
              </w:tabs>
              <w:ind w:left="1800" w:right="-72" w:hanging="540"/>
            </w:pPr>
            <w:r w:rsidRPr="00BC7757">
              <w:t>a)</w:t>
            </w:r>
            <w:r w:rsidRPr="00BC7757">
              <w:tab/>
              <w:t>est prix unitaire, tout prix qui n’est pas forfaitaire au sens défini ci-dessous, notamment, tout prix qui s’applique à une nature d’ouvrage ou à un élément d’ouvrage dont les quantités ne sont indiquées dans le Marché qu’à titre prévisionnel.</w:t>
            </w:r>
          </w:p>
          <w:p w14:paraId="32E8B7CC" w14:textId="77777777" w:rsidR="00BC7757" w:rsidRPr="00BC7757" w:rsidRDefault="00BC7757" w:rsidP="00BC7757">
            <w:pPr>
              <w:tabs>
                <w:tab w:val="left" w:pos="1800"/>
              </w:tabs>
              <w:ind w:left="1800" w:right="-72" w:hanging="540"/>
            </w:pPr>
            <w:r w:rsidRPr="00BC7757">
              <w:t>b)</w:t>
            </w:r>
            <w:r w:rsidRPr="00BC7757">
              <w:tab/>
              <w:t>est prix forfaitaire, tout prix qui rémunère l’Entrepreneur pour un ouvrage, une partie d’ouvrage ou un ensemble déterminé de prestations défini par le Marché et qui, ou bien est mentionné explicitement dans le Marché comme étant forfaitaire, ou bien ne s’applique dans le Marché qu’à un ensemble de prestations qui n’est pas de nature à être répété.</w:t>
            </w:r>
          </w:p>
          <w:p w14:paraId="24DFE71A" w14:textId="77777777" w:rsidR="00BC7757" w:rsidRPr="00BC7757" w:rsidRDefault="00BC7757" w:rsidP="00BC7757">
            <w:pPr>
              <w:tabs>
                <w:tab w:val="left" w:pos="540"/>
              </w:tabs>
              <w:ind w:left="540" w:right="-72" w:hanging="540"/>
              <w:rPr>
                <w:b/>
              </w:rPr>
            </w:pPr>
            <w:r w:rsidRPr="00BC7757">
              <w:rPr>
                <w:b/>
              </w:rPr>
              <w:t>10.3</w:t>
            </w:r>
            <w:r w:rsidRPr="00BC7757">
              <w:rPr>
                <w:b/>
              </w:rPr>
              <w:tab/>
              <w:t>Décomposition et sous détails des prix</w:t>
            </w:r>
          </w:p>
          <w:p w14:paraId="3CB189B1" w14:textId="77777777" w:rsidR="00BC7757" w:rsidRPr="00BC7757" w:rsidRDefault="00BC7757" w:rsidP="00BC7757">
            <w:pPr>
              <w:tabs>
                <w:tab w:val="left" w:pos="1260"/>
              </w:tabs>
              <w:ind w:left="1260" w:right="-72" w:hanging="720"/>
            </w:pPr>
            <w:r w:rsidRPr="00BC7757">
              <w:t>10.3.1</w:t>
            </w:r>
            <w:r w:rsidRPr="00BC7757">
              <w:tab/>
              <w:t>Les prix sont détaillés au moyen de décomposition de prix forfaitaires et de sous détails de prix unitaires.</w:t>
            </w:r>
          </w:p>
          <w:p w14:paraId="01FC1C74" w14:textId="77777777" w:rsidR="00BC7757" w:rsidRPr="00BC7757" w:rsidRDefault="00BC7757" w:rsidP="00BC7757">
            <w:pPr>
              <w:tabs>
                <w:tab w:val="left" w:pos="1260"/>
              </w:tabs>
              <w:ind w:left="1260" w:right="-72" w:hanging="720"/>
            </w:pPr>
            <w:r w:rsidRPr="00BC7757">
              <w:t>10.3.2</w:t>
            </w:r>
            <w:r w:rsidRPr="00BC7757">
              <w:tab/>
              <w:t>La décomposition d’un prix forfaitaire est présentée sous la forme d’un détail estimatif comprenant, pour chaque nature d’ouvrage ou chaque élément d’ouvrage, la quantité à exécuter et le prix correspondant et indiquant quels sont, pour ces prix en question, les pourcentages mentionnés aux alinéas a) et b) du paragraphe 3.3 du présent Article.</w:t>
            </w:r>
          </w:p>
          <w:p w14:paraId="3FDC36C1" w14:textId="77777777" w:rsidR="00BC7757" w:rsidRPr="00BC7757" w:rsidRDefault="00BC7757" w:rsidP="00BC7757">
            <w:pPr>
              <w:ind w:left="1260" w:right="-72"/>
            </w:pPr>
            <w:r w:rsidRPr="00BC7757">
              <w:t>Cette décomposition indique séparément, le cas échéant, la ou les monnaies dans lesquelles tout ou partie des dépenses sont amenées à être engagées.</w:t>
            </w:r>
          </w:p>
          <w:p w14:paraId="7E2D4ED2" w14:textId="77777777" w:rsidR="00BC7757" w:rsidRPr="00BC7757" w:rsidRDefault="00BC7757" w:rsidP="00BC7757">
            <w:pPr>
              <w:tabs>
                <w:tab w:val="left" w:pos="1260"/>
              </w:tabs>
              <w:ind w:left="1260" w:right="-72" w:hanging="720"/>
            </w:pPr>
            <w:r w:rsidRPr="00BC7757">
              <w:t>10.3.3</w:t>
            </w:r>
            <w:r w:rsidRPr="00BC7757">
              <w:tab/>
              <w:t>Le sous détail d’un prix unitaire donne le contenu du prix par référence aux catégories suivantes :</w:t>
            </w:r>
          </w:p>
          <w:p w14:paraId="2B35D4C9" w14:textId="77777777" w:rsidR="00BC7757" w:rsidRPr="00BC7757" w:rsidRDefault="00BC7757" w:rsidP="00BC7757">
            <w:pPr>
              <w:tabs>
                <w:tab w:val="left" w:pos="1800"/>
              </w:tabs>
              <w:ind w:left="1800" w:right="-72" w:hanging="540"/>
            </w:pPr>
            <w:r w:rsidRPr="00BC7757">
              <w:t>a)</w:t>
            </w:r>
            <w:r w:rsidRPr="00BC7757">
              <w:tab/>
              <w:t>les déboursés ou frais directs, décomposés en dépenses de salaires et indemnités du personnel, charges salariales, dépenses de matériaux et de matières consommables, dépenses de matériel;</w:t>
            </w:r>
          </w:p>
          <w:p w14:paraId="4B30FEA8" w14:textId="77777777" w:rsidR="00BC7757" w:rsidRPr="00BC7757" w:rsidRDefault="00BC7757" w:rsidP="00BC7757">
            <w:pPr>
              <w:tabs>
                <w:tab w:val="left" w:pos="1800"/>
              </w:tabs>
              <w:ind w:left="1800" w:right="-72" w:hanging="540"/>
            </w:pPr>
            <w:r w:rsidRPr="00BC7757">
              <w:t>b)</w:t>
            </w:r>
            <w:r w:rsidRPr="00BC7757">
              <w:tab/>
              <w:t>les frais généraux, d’une part, les impôts et taxes autres que la taxe sur le chiffre d’affaires exigible sur les paiements du Maître de l’Ouvrage à l’Entrepreneur, d’autre part, exprimés par des pourcentages des déboursés définis à l’alinéa a);</w:t>
            </w:r>
          </w:p>
          <w:p w14:paraId="31A6527E" w14:textId="77777777" w:rsidR="00BC7757" w:rsidRPr="00BC7757" w:rsidRDefault="00BC7757" w:rsidP="00BC7757">
            <w:pPr>
              <w:tabs>
                <w:tab w:val="left" w:pos="1800"/>
              </w:tabs>
              <w:ind w:left="1800" w:right="-72" w:hanging="540"/>
            </w:pPr>
            <w:r w:rsidRPr="00BC7757">
              <w:t>c)</w:t>
            </w:r>
            <w:r w:rsidRPr="00BC7757">
              <w:tab/>
              <w:t>la marge pour risques et bénéfices, exprimés par un pourcentage de l’ensemble des deux postes précédents;</w:t>
            </w:r>
          </w:p>
          <w:p w14:paraId="54B76EFC" w14:textId="77777777" w:rsidR="00BC7757" w:rsidRPr="00BC7757" w:rsidRDefault="00BC7757" w:rsidP="00BC7757">
            <w:pPr>
              <w:tabs>
                <w:tab w:val="left" w:pos="1800"/>
              </w:tabs>
              <w:ind w:left="1800" w:right="-72" w:hanging="540"/>
            </w:pPr>
            <w:r w:rsidRPr="00BC7757">
              <w:t>d)</w:t>
            </w:r>
            <w:r w:rsidRPr="00BC7757">
              <w:tab/>
              <w:t>la taxe sur le chiffre d’affaires exigible sur les paiements du Maître de l’Ouvrage à l’Entrepreneur.</w:t>
            </w:r>
          </w:p>
          <w:p w14:paraId="1C2990C4" w14:textId="77777777" w:rsidR="00BC7757" w:rsidRPr="00BC7757" w:rsidRDefault="00BC7757" w:rsidP="00BC7757">
            <w:pPr>
              <w:ind w:left="1260" w:right="-72"/>
            </w:pPr>
            <w:r w:rsidRPr="00BC7757">
              <w:t>Ce sous détail indique séparément, le cas échéant, la ou les monnaies dans lesquelles tout ou partie des dépenses sont amenées à être engagées.</w:t>
            </w:r>
          </w:p>
          <w:p w14:paraId="01A3732B" w14:textId="77777777" w:rsidR="00BC7757" w:rsidRPr="00BC7757" w:rsidRDefault="00BC7757" w:rsidP="00BC7757">
            <w:pPr>
              <w:tabs>
                <w:tab w:val="left" w:pos="1260"/>
              </w:tabs>
              <w:ind w:left="1260" w:right="-72" w:hanging="720"/>
            </w:pPr>
            <w:r w:rsidRPr="00BC7757">
              <w:t>10.3.4</w:t>
            </w:r>
            <w:r w:rsidRPr="00BC7757">
              <w:tab/>
              <w:t>Si la décomposition d’un prix forfaitaire ou le sous détail d’un prix unitaire ne figure pas parmi les pièces contractuelles; si sa production n’est pas prévue par le CCAP dans un certain délai, un ordre de service peut ordonner cette production et, dans ce cas, le délai accordé à l’Entrepreneur ne peut être inférieur à vingt et un (21) jours.</w:t>
            </w:r>
          </w:p>
          <w:p w14:paraId="7685E26E" w14:textId="77777777" w:rsidR="00BC7757" w:rsidRPr="00BC7757" w:rsidRDefault="00BC7757" w:rsidP="00BC7757">
            <w:pPr>
              <w:ind w:left="1260" w:right="-72"/>
            </w:pPr>
            <w:r w:rsidRPr="00BC7757">
              <w:t>L’absence de production de la décomposition d’un prix forfaitaire ou du sous détail d’un prix unitaire, quand cette pièce est à produire dans un délai déterminé, fait obstacle au paiement du premier acompte qui suit la date d’exigibilité de ladite pièce.</w:t>
            </w:r>
          </w:p>
          <w:p w14:paraId="094C7D71" w14:textId="77777777" w:rsidR="00BC7757" w:rsidRPr="00BC7757" w:rsidRDefault="00BC7757" w:rsidP="00BC7757">
            <w:pPr>
              <w:tabs>
                <w:tab w:val="left" w:pos="540"/>
              </w:tabs>
              <w:ind w:left="540" w:right="-72" w:hanging="540"/>
              <w:rPr>
                <w:b/>
              </w:rPr>
            </w:pPr>
            <w:r w:rsidRPr="00BC7757">
              <w:rPr>
                <w:b/>
              </w:rPr>
              <w:t>10.4</w:t>
            </w:r>
            <w:r w:rsidRPr="00BC7757">
              <w:rPr>
                <w:b/>
              </w:rPr>
              <w:tab/>
              <w:t>Révision des prix</w:t>
            </w:r>
          </w:p>
          <w:p w14:paraId="56751138" w14:textId="77777777" w:rsidR="00BC7757" w:rsidRPr="00BC7757" w:rsidRDefault="00BC7757" w:rsidP="00BC7757">
            <w:pPr>
              <w:tabs>
                <w:tab w:val="left" w:pos="1260"/>
                <w:tab w:val="left" w:pos="8640"/>
                <w:tab w:val="right" w:pos="9000"/>
              </w:tabs>
              <w:ind w:left="1260" w:right="-72" w:hanging="720"/>
            </w:pPr>
            <w:r w:rsidRPr="00BC7757">
              <w:t>10.4.1</w:t>
            </w:r>
            <w:r w:rsidRPr="00BC7757">
              <w:tab/>
              <w:t>Les prix sont réputés révisables,  à moins que le CCAP prévoit qu’ils soient fermes.</w:t>
            </w:r>
          </w:p>
          <w:p w14:paraId="642281E2" w14:textId="77777777" w:rsidR="00BC7757" w:rsidRPr="00BC7757" w:rsidRDefault="00BC7757" w:rsidP="00BC7757">
            <w:pPr>
              <w:tabs>
                <w:tab w:val="left" w:pos="1260"/>
              </w:tabs>
              <w:ind w:left="1260" w:right="-72" w:hanging="720"/>
            </w:pPr>
            <w:r w:rsidRPr="00BC7757">
              <w:t>10.4.2</w:t>
            </w:r>
            <w:r w:rsidRPr="00BC7757">
              <w:tab/>
              <w:t>La révision de prix ne peut intervenir que si elle est expressément prévue au CCAP.  Dans ce cas, le montant du Marché est révisable en application des coefficients “REV” calculés selon les formules et modalités suivantes.</w:t>
            </w:r>
          </w:p>
          <w:p w14:paraId="1ADDB490" w14:textId="77777777" w:rsidR="00BC7757" w:rsidRPr="00BC7757" w:rsidRDefault="00BC7757" w:rsidP="00BC7757">
            <w:pPr>
              <w:tabs>
                <w:tab w:val="left" w:pos="1800"/>
              </w:tabs>
              <w:ind w:left="1800" w:right="-72" w:hanging="540"/>
            </w:pPr>
            <w:r w:rsidRPr="00BC7757">
              <w:t>a)</w:t>
            </w:r>
            <w:r w:rsidRPr="00BC7757">
              <w:tab/>
              <w:t>la formule est du type suivant :</w:t>
            </w:r>
          </w:p>
          <w:p w14:paraId="4664BCA6" w14:textId="77777777" w:rsidR="00BC7757" w:rsidRPr="00BC7757" w:rsidRDefault="00BC7757" w:rsidP="00BC7757">
            <w:pPr>
              <w:ind w:left="1800" w:right="-72"/>
              <w:rPr>
                <w:szCs w:val="24"/>
                <w:lang w:val="en-GB"/>
              </w:rPr>
            </w:pPr>
            <w:r w:rsidRPr="00BC7757">
              <w:rPr>
                <w:szCs w:val="24"/>
                <w:lang w:val="en-GB"/>
              </w:rPr>
              <w:t>REV = X + (a) T/To + (b) S/So + (c) F/</w:t>
            </w:r>
            <w:proofErr w:type="spellStart"/>
            <w:r w:rsidRPr="00BC7757">
              <w:rPr>
                <w:szCs w:val="24"/>
                <w:lang w:val="en-GB"/>
              </w:rPr>
              <w:t>Fo</w:t>
            </w:r>
            <w:proofErr w:type="spellEnd"/>
            <w:r w:rsidRPr="00BC7757">
              <w:rPr>
                <w:szCs w:val="24"/>
                <w:lang w:val="en-GB"/>
              </w:rPr>
              <w:t xml:space="preserve"> + ...</w:t>
            </w:r>
          </w:p>
          <w:p w14:paraId="21A5F8F5" w14:textId="77777777" w:rsidR="00BC7757" w:rsidRPr="00BC7757" w:rsidRDefault="00BC7757" w:rsidP="00BC7757">
            <w:pPr>
              <w:ind w:left="1800" w:right="-72"/>
            </w:pPr>
            <w:r w:rsidRPr="00BC7757">
              <w:t>dans laquelle :</w:t>
            </w:r>
          </w:p>
          <w:p w14:paraId="774CA1DF" w14:textId="77777777" w:rsidR="00BC7757" w:rsidRPr="00BC7757" w:rsidRDefault="00BC7757" w:rsidP="00BC7757">
            <w:pPr>
              <w:ind w:left="1800" w:right="-72"/>
            </w:pPr>
            <w:r w:rsidRPr="00BC7757">
              <w:t>REV est le coefficient de révision qui s’appliquera à chaque paiement conformément aux modalités d’application et de révision détaillées respectivement aux alinéas (b) et (c) du présent paragraphe.  Lors de chaque paiement, le montant à payer dans une monnaie donnée fera l’objet d’une révision par la multiplication du coefficient REV correspondant.</w:t>
            </w:r>
          </w:p>
          <w:p w14:paraId="51EAE42B" w14:textId="77777777" w:rsidR="00BC7757" w:rsidRPr="00BC7757" w:rsidRDefault="00BC7757" w:rsidP="00BC7757">
            <w:pPr>
              <w:ind w:left="1800" w:right="-72"/>
            </w:pPr>
            <w:r w:rsidRPr="00BC7757">
              <w:t xml:space="preserve">X constitue la partie fixe non révisable des paiements et (a), (b), (c), etc. représentent les paramètres de pondération des facteurs sujets à révision sur la base des valeurs des indices, T, S, F, etc. </w:t>
            </w:r>
          </w:p>
          <w:p w14:paraId="3B401EB6" w14:textId="77777777" w:rsidR="00BC7757" w:rsidRPr="00BC7757" w:rsidRDefault="00BC7757" w:rsidP="00BC7757">
            <w:pPr>
              <w:ind w:left="1800" w:right="-72"/>
            </w:pPr>
            <w:r w:rsidRPr="00BC7757">
              <w:t>Les valeurs respectives des paramètres X, a, b, c, etc. sont fixées dans l’Annexe à la Soumission, étant précisé que X + a + b + c + etc. = 1.</w:t>
            </w:r>
          </w:p>
          <w:p w14:paraId="25E704D6" w14:textId="77777777" w:rsidR="00BC7757" w:rsidRPr="00BC7757" w:rsidRDefault="00BC7757" w:rsidP="00BC7757">
            <w:pPr>
              <w:ind w:left="1800" w:right="-72"/>
            </w:pPr>
            <w:r w:rsidRPr="00BC7757">
              <w:t>T, S, F, etc., et To, So, Fo, etc. représentent la valeur des indices correspondants aux facteurs inclus dans la formule; la définition et l’origine de ces indices sont spécifiées dans l’Annexe à la Soumission étant précisé que les valeurs de T, S, F, etc. seront celles en vigueur au cours du mois où interviendra le fait générateur de paiement, et les valeurs To, So, Fo, etc. sont celles en vigueur au cours du mois où se situe la date limite fixée pour le dépôt des offres.</w:t>
            </w:r>
          </w:p>
          <w:p w14:paraId="2AB13B9E" w14:textId="77777777" w:rsidR="00BC7757" w:rsidRPr="00BC7757" w:rsidRDefault="00BC7757" w:rsidP="00BC7757">
            <w:pPr>
              <w:tabs>
                <w:tab w:val="left" w:pos="1800"/>
              </w:tabs>
              <w:ind w:left="1800" w:right="-72" w:hanging="540"/>
            </w:pPr>
            <w:r w:rsidRPr="00BC7757">
              <w:t>b)</w:t>
            </w:r>
            <w:r w:rsidRPr="00BC7757">
              <w:tab/>
              <w:t>il y aura une formule pour chaque monnaie de paiement tel que défini aux paragraphes 1.3 et 1.4 du présent Article, étant précisé que les indices T, S, F, etc., et To, So, Fo, etc., doivent correspondre aux indices du pays d’origine des dépenses correspondantes à chacune des monnaies.</w:t>
            </w:r>
          </w:p>
          <w:p w14:paraId="6C48E6E0" w14:textId="77777777" w:rsidR="00BC7757" w:rsidRPr="00BC7757" w:rsidRDefault="00BC7757" w:rsidP="00BC7757">
            <w:pPr>
              <w:ind w:left="1800" w:right="-72"/>
            </w:pPr>
            <w:r w:rsidRPr="00BC7757">
              <w:t>Dans le cas où les indices et les monnaies spécifiées pour le paiement de la part en monnaie étrangère ont des pays d’origine différents, un coefficient correcteur sera spécifié au CCAP pour corriger les distorsions introduites de ce fait.</w:t>
            </w:r>
          </w:p>
          <w:p w14:paraId="43CE0E58" w14:textId="77777777" w:rsidR="00BC7757" w:rsidRPr="00BC7757" w:rsidRDefault="00BC7757" w:rsidP="00BC7757">
            <w:pPr>
              <w:tabs>
                <w:tab w:val="left" w:pos="1800"/>
              </w:tabs>
              <w:ind w:left="1800" w:right="-72" w:hanging="540"/>
              <w:jc w:val="left"/>
            </w:pPr>
            <w:r w:rsidRPr="00BC7757">
              <w:t>(c)</w:t>
            </w:r>
            <w:r w:rsidRPr="00BC7757">
              <w:tab/>
              <w:t>Modalités de révision</w:t>
            </w:r>
          </w:p>
          <w:p w14:paraId="53092042" w14:textId="77777777" w:rsidR="00BC7757" w:rsidRPr="00BC7757" w:rsidRDefault="00BC7757" w:rsidP="00BC7757">
            <w:pPr>
              <w:ind w:left="1800" w:right="-72"/>
            </w:pPr>
            <w:r w:rsidRPr="00BC7757">
              <w:t>Il est fait mensuellement application des dispositions de révision de prix et le montant de cette révision est réglé dans les mêmes conditions que le montant de l’acompte correspondant prévu à l’Article 11 du CCAG.</w:t>
            </w:r>
          </w:p>
          <w:p w14:paraId="20275919" w14:textId="77777777" w:rsidR="00BC7757" w:rsidRPr="00BC7757" w:rsidRDefault="00BC7757" w:rsidP="00BC7757">
            <w:pPr>
              <w:ind w:left="1800" w:right="-72"/>
            </w:pPr>
            <w:r w:rsidRPr="00BC7757">
              <w:t>Dans le cas où les indices officiels devant servir à la révision de prix ne seraient connus qu’avec retard, des révisions provisoires seront calculées sur la base des dernières valeurs connues desdits indices ou à défaut sur des valeurs arrêtées d’un commun accord. Les révisions seront réajustées dès la parution des valeurs relatives aux mois considérés.</w:t>
            </w:r>
          </w:p>
          <w:p w14:paraId="2091D4BF" w14:textId="77777777" w:rsidR="00BC7757" w:rsidRPr="00BC7757" w:rsidRDefault="00BC7757" w:rsidP="00BC7757">
            <w:pPr>
              <w:ind w:left="1800" w:right="-72"/>
            </w:pPr>
            <w:r w:rsidRPr="00BC7757">
              <w:t>En cas d’un retard dans l’exécution des travaux imputable à l’Entrepreneur, les prestations réalisées après le délai contractuel d’exécution seront payées sur la base des prix révisés au jour de l’expiration du délai contractuel d’exécution (lui-même, éventuellement prorogé de la durée des retards non imputables à l’Entrepreneur).</w:t>
            </w:r>
          </w:p>
          <w:p w14:paraId="159B73DD" w14:textId="77777777" w:rsidR="00BC7757" w:rsidRPr="00BC7757" w:rsidRDefault="00BC7757" w:rsidP="00BC7757">
            <w:pPr>
              <w:tabs>
                <w:tab w:val="left" w:pos="540"/>
              </w:tabs>
              <w:ind w:left="540" w:right="-72" w:hanging="540"/>
              <w:rPr>
                <w:b/>
              </w:rPr>
            </w:pPr>
            <w:r w:rsidRPr="00BC7757">
              <w:rPr>
                <w:b/>
              </w:rPr>
              <w:t>10.5</w:t>
            </w:r>
            <w:r w:rsidRPr="00BC7757">
              <w:rPr>
                <w:b/>
              </w:rPr>
              <w:tab/>
              <w:t>Impôts, droits, taxes, redevances, cotisations</w:t>
            </w:r>
          </w:p>
          <w:p w14:paraId="07B89BE9" w14:textId="77777777" w:rsidR="00BC7757" w:rsidRPr="00BC7757" w:rsidRDefault="00BC7757" w:rsidP="00BC7757">
            <w:pPr>
              <w:tabs>
                <w:tab w:val="left" w:pos="1260"/>
              </w:tabs>
              <w:ind w:left="1260" w:right="-72" w:hanging="720"/>
            </w:pPr>
            <w:r w:rsidRPr="00BC7757">
              <w:t>10.5.1</w:t>
            </w:r>
            <w:r w:rsidRPr="00BC7757">
              <w:tab/>
              <w:t>Le Montant du Marché comprend les impôts, droits, taxes, redevances et cotisations de toute nature exigibles en dehors du pays du Maître d’Ouvrage, en relation avec l’exécution du Marché, notamment à raison de la fabrication, vente et transport des fournitures, matériels et équipements de l’Entrepreneur et de ses sous-traitants, que ces fournitures, matériels ou équipements soient destinés à être incorporés dans les travaux ou non, ainsi qu’à raison des services rendus, quelle que soit la nature de ces derniers.</w:t>
            </w:r>
          </w:p>
          <w:p w14:paraId="5041FD14" w14:textId="77777777" w:rsidR="00BC7757" w:rsidRPr="00BC7757" w:rsidRDefault="00BC7757" w:rsidP="00BC7757">
            <w:pPr>
              <w:tabs>
                <w:tab w:val="left" w:pos="1260"/>
              </w:tabs>
              <w:ind w:left="1260" w:right="-72" w:hanging="720"/>
            </w:pPr>
            <w:r w:rsidRPr="00BC7757">
              <w:t>10.5.2</w:t>
            </w:r>
            <w:r w:rsidRPr="00BC7757">
              <w:tab/>
              <w:t>Sauf dispositions contraires du CCAP, le Montant du Marché comprend également tous les impôts, droits, taxes, redevances et cotisations de toute nature exigibles dans le Pays du Maître de l’Ouvrage.  Ces derniers ont été calculés en tenant compte des modalités d’assiette et de taux en vigueur trente (30) jours avant la date limite fixée pour dépôt de l’offre.</w:t>
            </w:r>
          </w:p>
          <w:p w14:paraId="0E96D464" w14:textId="77777777" w:rsidR="00BC7757" w:rsidRPr="00BC7757" w:rsidRDefault="00BC7757" w:rsidP="00BC7757">
            <w:pPr>
              <w:tabs>
                <w:tab w:val="left" w:pos="1260"/>
              </w:tabs>
              <w:ind w:left="1260" w:right="-72" w:hanging="720"/>
            </w:pPr>
            <w:r w:rsidRPr="00BC7757">
              <w:t>10.5.3</w:t>
            </w:r>
            <w:r w:rsidRPr="00BC7757">
              <w:tab/>
              <w:t>Les prix comprennent notamment les impôts, droits et taxes exigibles à l’importation, tant ce qui concerne l’importation définitive que l’importation temporaire des fournitures, matériels et équipements nécessaires à la réalisation des travaux.  Ils comprennent également tous les impôts, droits et taxes exigibles sur le bénéfice ou le chiffre d’affaires de l’Entrepreneur et de ses sous-traitants et, ce, quel que soit le mode de détermination du bénéfice réalisé (imposition partiellement ou entièrement forfaitaire ou autre).  Ils comprennent également l’ensemble des impôts, droits, taxes et cotisations exigibles sur le personnel de l’Entrepreneur et celui de ses fournisseurs, prestataires ou sous-traitants.</w:t>
            </w:r>
          </w:p>
          <w:p w14:paraId="4B5EB7ED" w14:textId="77777777" w:rsidR="00BC7757" w:rsidRPr="00BC7757" w:rsidRDefault="00BC7757" w:rsidP="00BC7757">
            <w:pPr>
              <w:tabs>
                <w:tab w:val="left" w:pos="1260"/>
              </w:tabs>
              <w:ind w:left="1260" w:right="-72" w:hanging="720"/>
            </w:pPr>
            <w:r w:rsidRPr="00BC7757">
              <w:t>10.5.4</w:t>
            </w:r>
            <w:r w:rsidRPr="00BC7757">
              <w:tab/>
              <w:t>L’Entrepreneur, lorsque la réglementation le prévoit, réglera directement l’ensemble des cotisations, impôts, droits et taxes dont il est redevable aux organismes compétents et procurera au Chef de Projet, sur simple demande, justification des paiements correspondants.</w:t>
            </w:r>
          </w:p>
          <w:p w14:paraId="0BC2D066" w14:textId="77777777" w:rsidR="00BC7757" w:rsidRPr="00BC7757" w:rsidRDefault="00BC7757" w:rsidP="00BC7757">
            <w:pPr>
              <w:tabs>
                <w:tab w:val="left" w:pos="1260"/>
              </w:tabs>
              <w:ind w:left="1260" w:right="-72" w:hanging="720"/>
            </w:pPr>
            <w:r w:rsidRPr="00BC7757">
              <w:t>10.5.5</w:t>
            </w:r>
            <w:r w:rsidRPr="00BC7757">
              <w:tab/>
              <w:t>Lorsque la réglementation prévoit le paiement des impôts, droits, taxes et cotisations par voie de retenue à la source opérée par l’Entrepreneur, puis de reversement par ce dernier aux organismes compétents, l’Entrepreneur opérera ces retenues et les reversera aux organismes en question dans les délais prévus par la réglementation en vigueur.</w:t>
            </w:r>
          </w:p>
          <w:p w14:paraId="4BC18F9A" w14:textId="77777777" w:rsidR="00BC7757" w:rsidRPr="00BC7757" w:rsidRDefault="00BC7757" w:rsidP="00BC7757">
            <w:pPr>
              <w:tabs>
                <w:tab w:val="left" w:pos="1260"/>
              </w:tabs>
              <w:ind w:left="1260" w:right="-72" w:hanging="720"/>
            </w:pPr>
            <w:r w:rsidRPr="00BC7757">
              <w:t>10.5.6</w:t>
            </w:r>
            <w:r w:rsidRPr="00BC7757">
              <w:tab/>
              <w:t>Lorsque la réglementation prévoit des retenues à la source à opérer sur tout ou partie des règlements faits par le Maître de l’Ouvrage à l’Entrepreneur, le montant de ces retenues sera déduit des sommes dues à l’Entrepreneur et reversées par le Maître de l’Ouvrage pour le compte de l’Entrepreneur à tout autre organisme compétent.  Dans ce cas le Maître de l’Ouvrage transmettra à l’Entrepreneur une quittance justifiant du versement de ces sommes dans les quinze (15) jours de leur règlement.</w:t>
            </w:r>
          </w:p>
          <w:p w14:paraId="5BAEE9C6" w14:textId="77777777" w:rsidR="00BC7757" w:rsidRPr="00BC7757" w:rsidRDefault="00BC7757" w:rsidP="00BC7757">
            <w:pPr>
              <w:tabs>
                <w:tab w:val="left" w:pos="1260"/>
              </w:tabs>
              <w:ind w:left="1260" w:right="-72" w:hanging="720"/>
            </w:pPr>
            <w:r w:rsidRPr="00BC7757">
              <w:t>10.5.7</w:t>
            </w:r>
            <w:r w:rsidRPr="00BC7757">
              <w:tab/>
              <w:t>Dans le cas où le Maître de l’Ouvrage obtiendrait de l’administration des douanes un régime d’exonération ou un régime suspensif qui n’était pas prévu à l’origine en matière d’impôts, droits et taxes dus à l’importation des fournitures, matériels et équipements en admission définitive ou temporaire après l’entrée en vigueur du Marché, une diminution correspondante du prix de la part payable en monnaie nationale interviendra et cette diminution sera constatée dans un avenant.  Dans le cas où, pour obtenir un tel avantage, une caution ou garantie d’une quelconque nature serait à fournir à l’administration fiscale et douanière, cette caution ou garantie sera à la charge exclusive du Maître de l’Ouvrage.</w:t>
            </w:r>
          </w:p>
          <w:p w14:paraId="604B412C" w14:textId="77777777" w:rsidR="00BC7757" w:rsidRPr="00BC7757" w:rsidRDefault="00BC7757" w:rsidP="00BC7757">
            <w:pPr>
              <w:tabs>
                <w:tab w:val="left" w:pos="1260"/>
              </w:tabs>
              <w:ind w:left="1260" w:right="-72" w:hanging="720"/>
            </w:pPr>
            <w:r w:rsidRPr="00BC7757">
              <w:t>10.5.8</w:t>
            </w:r>
            <w:r w:rsidRPr="00BC7757">
              <w:tab/>
              <w:t>En cas de modifications de la réglementation fiscale, douanière ou sociale, ou de son interprétation, par rapport à celle applicable trente (30) jours avant la date limite fixée pour le dépôt des offres ayant pour effet d’augmenter les coûts de l’Entrepreneur, ce dernier aura droit à une augmentation correspondante du Montant du Marché.  A cet effet, dans les deux (2) mois qui suivent la modification, l’Entrepreneur notifiera au Maître d’Œuvre les conséquences de cette modification.  Dans le mois qui suit, le Maître d’Œuvre proposera au Chef de Projet la rédaction d’un avenant au Marché qui prévoira, dans tous les cas, un paiement de ladite augmentation en monnaie nationale.  En cas de désaccord entre l’Entrepreneur et le Chef de Projet sur les termes de l’avenant persistant un (1) mois après la notification de l’avenant par le Maître d’Œuvre au Chef de Projet, la procédure de règlement des litiges figurant à l’Article 50 du CCAG sera applicable.</w:t>
            </w:r>
          </w:p>
          <w:p w14:paraId="42101292" w14:textId="77777777" w:rsidR="00BC7757" w:rsidRPr="00BC7757" w:rsidRDefault="00BC7757" w:rsidP="00BC7757">
            <w:pPr>
              <w:tabs>
                <w:tab w:val="left" w:pos="540"/>
              </w:tabs>
              <w:ind w:left="540" w:right="-72" w:hanging="540"/>
              <w:rPr>
                <w:b/>
              </w:rPr>
            </w:pPr>
            <w:r w:rsidRPr="00BC7757">
              <w:rPr>
                <w:b/>
              </w:rPr>
              <w:t>10.6</w:t>
            </w:r>
            <w:r w:rsidRPr="00BC7757">
              <w:rPr>
                <w:b/>
              </w:rPr>
              <w:tab/>
              <w:t>Monnaies et taux de change</w:t>
            </w:r>
          </w:p>
          <w:p w14:paraId="7DA53FDB" w14:textId="77777777" w:rsidR="00BC7757" w:rsidRPr="00BC7757" w:rsidRDefault="00BC7757" w:rsidP="00BC7757">
            <w:pPr>
              <w:tabs>
                <w:tab w:val="left" w:pos="1260"/>
              </w:tabs>
              <w:ind w:left="1260" w:right="-72" w:hanging="720"/>
            </w:pPr>
            <w:r w:rsidRPr="00BC7757">
              <w:t>10.6.1</w:t>
            </w:r>
            <w:r w:rsidRPr="00BC7757">
              <w:tab/>
            </w:r>
            <w:r w:rsidRPr="00BC7757">
              <w:rPr>
                <w:i/>
              </w:rPr>
              <w:t>Taux de change et proportion des monnaies</w:t>
            </w:r>
          </w:p>
          <w:p w14:paraId="478FA613" w14:textId="77777777" w:rsidR="00BC7757" w:rsidRPr="00BC7757" w:rsidRDefault="00BC7757" w:rsidP="00BC7757">
            <w:pPr>
              <w:ind w:left="1260" w:right="-72"/>
            </w:pPr>
            <w:r w:rsidRPr="00BC7757">
              <w:t>Lorsque le Marché est exprimé dans une seule monnaie, alors que les paiements doivent être effectués en plusieurs monnaies, comme stipulé à l’article 10.1.3 du CCAG, et lorsque le Marché précise les proportions des monnaies étrangères, ces proportions figureront au CCAP.  Dans ce cas, le ou les taux de change applicables pour calculer le paiement desdits montants et proportions sont ceux figurant dans l’offre.</w:t>
            </w:r>
          </w:p>
        </w:tc>
      </w:tr>
      <w:tr w:rsidR="00BC7757" w:rsidRPr="00BC7757" w14:paraId="1AE4A52E" w14:textId="77777777" w:rsidTr="00BC7757">
        <w:tc>
          <w:tcPr>
            <w:tcW w:w="2160" w:type="dxa"/>
            <w:tcBorders>
              <w:top w:val="nil"/>
              <w:left w:val="nil"/>
              <w:bottom w:val="nil"/>
              <w:right w:val="nil"/>
            </w:tcBorders>
          </w:tcPr>
          <w:p w14:paraId="5CB43E47" w14:textId="77777777" w:rsidR="00BC7757" w:rsidRPr="00BC7757" w:rsidRDefault="00BC7757" w:rsidP="00BC7757">
            <w:pPr>
              <w:pStyle w:val="Head42"/>
            </w:pPr>
            <w:bookmarkStart w:id="749" w:name="_Toc348175946"/>
            <w:bookmarkStart w:id="750" w:name="_Toc327539557"/>
            <w:r w:rsidRPr="00BC7757">
              <w:t>11.</w:t>
            </w:r>
            <w:r w:rsidRPr="00BC7757">
              <w:tab/>
              <w:t>Rémunération de l’Entrepreneur</w:t>
            </w:r>
            <w:bookmarkEnd w:id="749"/>
            <w:bookmarkEnd w:id="750"/>
          </w:p>
        </w:tc>
        <w:tc>
          <w:tcPr>
            <w:tcW w:w="7398" w:type="dxa"/>
            <w:tcBorders>
              <w:top w:val="nil"/>
              <w:left w:val="nil"/>
              <w:bottom w:val="nil"/>
              <w:right w:val="nil"/>
            </w:tcBorders>
          </w:tcPr>
          <w:p w14:paraId="09C61DB6" w14:textId="77777777" w:rsidR="00BC7757" w:rsidRPr="00BC7757" w:rsidRDefault="00BC7757" w:rsidP="00BC7757">
            <w:pPr>
              <w:tabs>
                <w:tab w:val="left" w:pos="540"/>
              </w:tabs>
              <w:ind w:left="540" w:right="-72" w:hanging="540"/>
            </w:pPr>
            <w:r w:rsidRPr="00BC7757">
              <w:rPr>
                <w:b/>
              </w:rPr>
              <w:t>11.1</w:t>
            </w:r>
            <w:r w:rsidRPr="00BC7757">
              <w:rPr>
                <w:b/>
              </w:rPr>
              <w:tab/>
              <w:t>Règlement des comptes</w:t>
            </w:r>
          </w:p>
          <w:p w14:paraId="106E8285" w14:textId="77777777" w:rsidR="00BC7757" w:rsidRPr="00BC7757" w:rsidRDefault="00BC7757" w:rsidP="00BC7757">
            <w:pPr>
              <w:ind w:left="540" w:right="-72"/>
            </w:pPr>
            <w:r w:rsidRPr="00BC7757">
              <w:t>Le règlement des comptes du Marché se fait par le paiement des avances, des acomptes mensuels et du solde, établis et payés dans les conditions prévues à l’Article 13 du CCAG.</w:t>
            </w:r>
          </w:p>
          <w:p w14:paraId="7A91F304" w14:textId="77777777" w:rsidR="00BC7757" w:rsidRPr="00BC7757" w:rsidRDefault="00BC7757" w:rsidP="00BC7757">
            <w:pPr>
              <w:tabs>
                <w:tab w:val="left" w:pos="540"/>
              </w:tabs>
              <w:ind w:left="540" w:right="-72" w:hanging="540"/>
              <w:rPr>
                <w:b/>
              </w:rPr>
            </w:pPr>
            <w:r w:rsidRPr="00BC7757">
              <w:rPr>
                <w:b/>
              </w:rPr>
              <w:t>11.2</w:t>
            </w:r>
            <w:r w:rsidRPr="00BC7757">
              <w:rPr>
                <w:b/>
              </w:rPr>
              <w:tab/>
              <w:t>Travaux à l’entreprise</w:t>
            </w:r>
          </w:p>
          <w:p w14:paraId="4C24E454" w14:textId="77777777" w:rsidR="00BC7757" w:rsidRPr="00BC7757" w:rsidRDefault="00BC7757" w:rsidP="00BC7757">
            <w:pPr>
              <w:tabs>
                <w:tab w:val="left" w:pos="1260"/>
              </w:tabs>
              <w:ind w:left="1260" w:right="-72" w:hanging="720"/>
            </w:pPr>
            <w:r w:rsidRPr="00BC7757">
              <w:t>11.2.1</w:t>
            </w:r>
            <w:r w:rsidRPr="00BC7757">
              <w:tab/>
              <w:t>Les travaux à l’entreprise correspondent à l’ensemble des travaux exécutés par l’Entrepreneur au titre du Marché, sous sa responsabilité, à l’exception des travaux en régie définis au paragraphe 11.3 ci-dessous.  Ils sont rémunérés dans les conditions prévues au Marché, soit sur la base de prix forfaitaires ou de prix unitaires, soit selon une formule mixte incluant prix forfaitaires et prix unitaires.</w:t>
            </w:r>
          </w:p>
          <w:p w14:paraId="3E58385E" w14:textId="77777777" w:rsidR="00BC7757" w:rsidRPr="00BC7757" w:rsidRDefault="00BC7757" w:rsidP="00BC7757">
            <w:pPr>
              <w:tabs>
                <w:tab w:val="left" w:pos="1260"/>
              </w:tabs>
              <w:ind w:left="1260" w:right="-72" w:hanging="720"/>
            </w:pPr>
            <w:r w:rsidRPr="00BC7757">
              <w:t>11.2.2</w:t>
            </w:r>
            <w:r w:rsidRPr="00BC7757">
              <w:tab/>
              <w:t>Dans le cas d’application d’un prix unitaire, la détermination de la somme due s’obtient en multipliant ce prix par la quantité de natures d’ouvrage exécutée ou par le nombre d’éléments d’ouvrage mis en œuvre.</w:t>
            </w:r>
          </w:p>
          <w:p w14:paraId="59773D6C" w14:textId="77777777" w:rsidR="00BC7757" w:rsidRPr="00BC7757" w:rsidRDefault="00BC7757" w:rsidP="00BC7757">
            <w:pPr>
              <w:tabs>
                <w:tab w:val="left" w:pos="1260"/>
              </w:tabs>
              <w:ind w:left="1260" w:right="-72" w:hanging="720"/>
            </w:pPr>
            <w:r w:rsidRPr="00BC7757">
              <w:t>11.2.3</w:t>
            </w:r>
            <w:r w:rsidRPr="00BC7757">
              <w:tab/>
              <w:t>Dans le cas d’application d’un prix forfaitaire, le prix est dû dès lors que l’ouvrage, la partie d’ouvrage ou l’ensemble de prestations auquel il se rapporte a été exécuté; les différences éventuellement constatées, pour chaque nature d’ouvrage ou chaque élément d’ouvrage, entre les quantités réellement exécutées et les quantités indiquées dans la décomposition de ce prix, établie conformément au paragraphe 10.3.2 du CCAG, même si celle-ci a valeur contractuelle, ne peuvent conduire à une modification dudit prix; il en est de même pour les erreurs que pourrait comporter cette décomposition.</w:t>
            </w:r>
          </w:p>
          <w:p w14:paraId="4E7C38D1" w14:textId="77777777" w:rsidR="00BC7757" w:rsidRPr="00BC7757" w:rsidRDefault="00BC7757" w:rsidP="00BC7757">
            <w:pPr>
              <w:tabs>
                <w:tab w:val="left" w:pos="540"/>
              </w:tabs>
              <w:ind w:left="540" w:right="-72" w:hanging="540"/>
              <w:rPr>
                <w:b/>
              </w:rPr>
            </w:pPr>
            <w:r w:rsidRPr="00BC7757">
              <w:rPr>
                <w:b/>
              </w:rPr>
              <w:t>11.3</w:t>
            </w:r>
            <w:r w:rsidRPr="00BC7757">
              <w:rPr>
                <w:b/>
              </w:rPr>
              <w:tab/>
              <w:t>Travaux en régie</w:t>
            </w:r>
          </w:p>
          <w:p w14:paraId="0E9C88F0" w14:textId="77777777" w:rsidR="00BC7757" w:rsidRPr="00BC7757" w:rsidRDefault="00BC7757" w:rsidP="00BC7757">
            <w:pPr>
              <w:tabs>
                <w:tab w:val="left" w:pos="1260"/>
              </w:tabs>
              <w:ind w:left="1260" w:right="-72" w:hanging="720"/>
            </w:pPr>
            <w:r w:rsidRPr="00BC7757">
              <w:t>11.3.1</w:t>
            </w:r>
            <w:r w:rsidRPr="00BC7757">
              <w:tab/>
              <w:t>L’Entrepreneur doit, lorsqu’il en est requis par le Maître de l’Ouvrage, mettre à la disposition de celui-ci le personnel, les fournitures et le matériel qui lui sont demandés pour l’exécution de travaux accessoires à ceux que prévoit le Marché.  Pour ces travaux, dits “travaux en régie”, l’Entrepreneur a droit au remboursement conformément au tableau des Travaux en Régie du Bordereau du détail quantitatif et estimatif. En cas d’absence dudit tableau au niveau de l’Offre, cette clause ne sera pas applicable.</w:t>
            </w:r>
          </w:p>
          <w:p w14:paraId="263E1EF4" w14:textId="77777777" w:rsidR="00BC7757" w:rsidRPr="00BC7757" w:rsidRDefault="00BC7757" w:rsidP="00BC7757">
            <w:pPr>
              <w:tabs>
                <w:tab w:val="left" w:pos="1260"/>
              </w:tabs>
              <w:ind w:left="1260" w:right="-72" w:hanging="720"/>
            </w:pPr>
            <w:r w:rsidRPr="00BC7757">
              <w:t>11.3.2</w:t>
            </w:r>
            <w:r w:rsidRPr="00BC7757">
              <w:tab/>
              <w:t>A moins que le CCAP n’en convienne autrement, le montant total des Travaux en Régie n’excèdera pas trois  pour cent  du Montant du Marché. L’obligation pour l’Entrepreneur d’exécuter des travaux en régie cesse dès lors que ce seuil est atteint.</w:t>
            </w:r>
          </w:p>
          <w:p w14:paraId="38364039" w14:textId="77777777" w:rsidR="00BC7757" w:rsidRPr="00BC7757" w:rsidRDefault="00BC7757" w:rsidP="00BC7757">
            <w:pPr>
              <w:tabs>
                <w:tab w:val="left" w:pos="540"/>
              </w:tabs>
              <w:ind w:left="540" w:right="-72" w:hanging="540"/>
            </w:pPr>
            <w:r w:rsidRPr="00BC7757">
              <w:rPr>
                <w:b/>
              </w:rPr>
              <w:t>11.4</w:t>
            </w:r>
            <w:r w:rsidRPr="00BC7757">
              <w:rPr>
                <w:b/>
              </w:rPr>
              <w:tab/>
              <w:t>Acomptes sur approvisionnements</w:t>
            </w:r>
          </w:p>
          <w:p w14:paraId="144A8C6C" w14:textId="77777777" w:rsidR="00BC7757" w:rsidRPr="00BC7757" w:rsidRDefault="00BC7757" w:rsidP="00BC7757">
            <w:pPr>
              <w:ind w:left="540" w:right="-72"/>
            </w:pPr>
            <w:r w:rsidRPr="00BC7757">
              <w:t>Chaque acompte visé à l’Article 13.2 du CCAG comprend, s’il y a lieu, une part correspondant aux approvisionnements constitués en vue des travaux, à condition que le CCAP  n’exclue pas la possibilité d’acomptes sur approvisionnements.</w:t>
            </w:r>
          </w:p>
          <w:p w14:paraId="0AF9CA2D" w14:textId="77777777" w:rsidR="00BC7757" w:rsidRPr="00BC7757" w:rsidRDefault="00BC7757" w:rsidP="00BC7757">
            <w:pPr>
              <w:ind w:left="540" w:right="-72"/>
            </w:pPr>
            <w:r w:rsidRPr="00BC7757">
              <w:t>Le montant correspondant s’obtient en appliquant aux quantités à prendre en compte les prix du Bordereau ou des sous-détails de prix insérés dans le Marché relatifs aux matériaux, produits ou composants à incorporer aux ouvrages objet du Marché ou bien, si besoin, les coûts justifiés d’acquisition ou de production de ces approvisionnements par l’Entrepreneur.</w:t>
            </w:r>
          </w:p>
          <w:p w14:paraId="2BCDEA01" w14:textId="77777777" w:rsidR="00BC7757" w:rsidRPr="00BC7757" w:rsidRDefault="00BC7757" w:rsidP="00BC7757">
            <w:pPr>
              <w:ind w:left="540" w:right="-72"/>
            </w:pPr>
            <w:r w:rsidRPr="00BC7757">
              <w:t>Les matériaux, produits ou composants de construction ayant fait l’objet d’un acompte pour approvisionnement restent la propriété de l’Entrepreneur.  Ils ne peuvent toutefois être enlevés du chantier sans l’autorisation écrite du Maître de l’Ouvrage.</w:t>
            </w:r>
          </w:p>
          <w:p w14:paraId="1596F10C" w14:textId="77777777" w:rsidR="00BC7757" w:rsidRPr="00BC7757" w:rsidRDefault="00BC7757" w:rsidP="00BC7757">
            <w:pPr>
              <w:tabs>
                <w:tab w:val="left" w:pos="540"/>
              </w:tabs>
              <w:ind w:left="540" w:right="-72" w:hanging="540"/>
              <w:rPr>
                <w:b/>
              </w:rPr>
            </w:pPr>
            <w:r w:rsidRPr="00BC7757">
              <w:rPr>
                <w:b/>
              </w:rPr>
              <w:t>11.5</w:t>
            </w:r>
            <w:r w:rsidRPr="00BC7757">
              <w:rPr>
                <w:b/>
              </w:rPr>
              <w:tab/>
              <w:t>Avance forfaitaire</w:t>
            </w:r>
          </w:p>
          <w:p w14:paraId="5AAA142D" w14:textId="69E53617" w:rsidR="00BC7757" w:rsidRDefault="00BC7757" w:rsidP="00BC7757">
            <w:pPr>
              <w:ind w:left="540" w:right="-72"/>
            </w:pPr>
            <w:r w:rsidRPr="00BC7757">
              <w:t>L’Entrepreneur bénéficiera d’une avance forfaitaire aussitôt qu’il aura constitué la garantie visée au paragraphe 6.1.2 du CCAG.  Le montant de cette avance et ses conditions d’imputation sur les acomptes sont fixés au CCAP.</w:t>
            </w:r>
          </w:p>
          <w:p w14:paraId="1958EEEB" w14:textId="77777777" w:rsidR="0050339B" w:rsidRPr="00BC7757" w:rsidRDefault="0050339B" w:rsidP="00BC7757">
            <w:pPr>
              <w:ind w:left="540" w:right="-72"/>
            </w:pPr>
          </w:p>
          <w:p w14:paraId="49D4F2BD" w14:textId="77777777" w:rsidR="00BC7757" w:rsidRPr="00BC7757" w:rsidRDefault="00BC7757" w:rsidP="00BC7757">
            <w:pPr>
              <w:tabs>
                <w:tab w:val="left" w:pos="540"/>
              </w:tabs>
              <w:ind w:left="540" w:right="-72" w:hanging="540"/>
            </w:pPr>
            <w:r w:rsidRPr="00BC7757">
              <w:rPr>
                <w:b/>
              </w:rPr>
              <w:t>11.6</w:t>
            </w:r>
            <w:r w:rsidRPr="00BC7757">
              <w:rPr>
                <w:b/>
              </w:rPr>
              <w:tab/>
              <w:t>Révision des prix</w:t>
            </w:r>
          </w:p>
          <w:p w14:paraId="09712830" w14:textId="77777777" w:rsidR="00BC7757" w:rsidRPr="00BC7757" w:rsidRDefault="00BC7757" w:rsidP="00BC7757">
            <w:pPr>
              <w:ind w:left="540" w:right="-72"/>
            </w:pPr>
            <w:r w:rsidRPr="00BC7757">
              <w:t>Lorsque, dans les conditions précisées à l’Article 10.4 du CCAG, il est prévu une révision des prix, le coefficient de révision s’applique:</w:t>
            </w:r>
          </w:p>
          <w:p w14:paraId="551F5FA6" w14:textId="77777777" w:rsidR="00BC7757" w:rsidRPr="00BC7757" w:rsidRDefault="00BC7757" w:rsidP="00BC7757">
            <w:pPr>
              <w:tabs>
                <w:tab w:val="left" w:pos="1080"/>
              </w:tabs>
              <w:ind w:left="1080" w:right="-72" w:hanging="540"/>
              <w:jc w:val="left"/>
            </w:pPr>
            <w:r w:rsidRPr="00BC7757">
              <w:t>a)</w:t>
            </w:r>
            <w:r w:rsidRPr="00BC7757">
              <w:tab/>
              <w:t>aux travaux à l’entreprise exécutés pendant le mois;</w:t>
            </w:r>
          </w:p>
          <w:p w14:paraId="2FA55592" w14:textId="77777777" w:rsidR="00BC7757" w:rsidRPr="00BC7757" w:rsidRDefault="00BC7757" w:rsidP="00BC7757">
            <w:pPr>
              <w:tabs>
                <w:tab w:val="left" w:pos="1080"/>
              </w:tabs>
              <w:ind w:left="1080" w:right="-72" w:hanging="540"/>
              <w:jc w:val="left"/>
            </w:pPr>
            <w:r w:rsidRPr="00BC7757">
              <w:t>b)</w:t>
            </w:r>
            <w:r w:rsidRPr="00BC7757">
              <w:tab/>
              <w:t>aux indemnités, pénalités, retenues, primes afférentes au mois considéré;</w:t>
            </w:r>
          </w:p>
          <w:p w14:paraId="74D09BF3" w14:textId="77777777" w:rsidR="00BC7757" w:rsidRPr="00BC7757" w:rsidRDefault="00BC7757" w:rsidP="00BC7757">
            <w:pPr>
              <w:tabs>
                <w:tab w:val="left" w:pos="1080"/>
              </w:tabs>
              <w:ind w:left="1080" w:right="-72" w:hanging="540"/>
            </w:pPr>
            <w:r w:rsidRPr="00BC7757">
              <w:t>c)</w:t>
            </w:r>
            <w:r w:rsidRPr="00BC7757">
              <w:tab/>
              <w:t>à la variation, en plus ou en moins, à la fin du mois, par rapport au mois précédent, des sommes décomptées pour approvisionnements et avances à la fin de ce mois.</w:t>
            </w:r>
          </w:p>
          <w:p w14:paraId="01FBB849" w14:textId="77777777" w:rsidR="00BC7757" w:rsidRPr="00BC7757" w:rsidRDefault="00BC7757" w:rsidP="00BC7757">
            <w:pPr>
              <w:ind w:left="540" w:right="-72"/>
            </w:pPr>
            <w:r w:rsidRPr="00BC7757">
              <w:t>Ce coefficient est arrondi au millième supérieur.</w:t>
            </w:r>
          </w:p>
          <w:p w14:paraId="30D97780" w14:textId="77777777" w:rsidR="00BC7757" w:rsidRPr="00BC7757" w:rsidRDefault="00BC7757" w:rsidP="00BC7757">
            <w:pPr>
              <w:tabs>
                <w:tab w:val="left" w:pos="540"/>
              </w:tabs>
              <w:ind w:left="540" w:right="-72" w:hanging="540"/>
              <w:rPr>
                <w:b/>
              </w:rPr>
            </w:pPr>
            <w:r w:rsidRPr="00BC7757">
              <w:rPr>
                <w:b/>
              </w:rPr>
              <w:t>11.7</w:t>
            </w:r>
            <w:r w:rsidRPr="00BC7757">
              <w:rPr>
                <w:b/>
              </w:rPr>
              <w:tab/>
              <w:t>Intérêts moratoires</w:t>
            </w:r>
          </w:p>
          <w:p w14:paraId="21CA3F13" w14:textId="77777777" w:rsidR="00BC7757" w:rsidRPr="00BC7757" w:rsidRDefault="00BC7757" w:rsidP="00BC7757">
            <w:pPr>
              <w:ind w:left="540" w:right="-72"/>
            </w:pPr>
            <w:r w:rsidRPr="00BC7757">
              <w:t xml:space="preserve">En cas de retard dans les paiements exigibles conformément aux dispositions des Articles 13.2 et 13.4 du CCAG, l’Entrepreneur a droit à des intérêts moratoires au taux prévu au CCAP, jusqu’à la date de leur encaissement, sauf si l’Entrepreneur a manqué à produire la garantie de restitution d’avance prévue à l’Article 6.1.2 ou les documents visés à l’Article 10.3.4.  </w:t>
            </w:r>
          </w:p>
          <w:p w14:paraId="66E270A6" w14:textId="77777777" w:rsidR="00BC7757" w:rsidRPr="00BC7757" w:rsidRDefault="00BC7757" w:rsidP="00BC7757">
            <w:pPr>
              <w:tabs>
                <w:tab w:val="left" w:pos="540"/>
              </w:tabs>
              <w:ind w:left="540" w:right="-72" w:hanging="540"/>
            </w:pPr>
            <w:r w:rsidRPr="00BC7757">
              <w:rPr>
                <w:b/>
              </w:rPr>
              <w:t>11.8</w:t>
            </w:r>
            <w:r w:rsidRPr="00BC7757">
              <w:rPr>
                <w:b/>
              </w:rPr>
              <w:tab/>
              <w:t>Rémunération des Entrepreneurs groupés</w:t>
            </w:r>
          </w:p>
          <w:p w14:paraId="18088BB7" w14:textId="77777777" w:rsidR="00BC7757" w:rsidRPr="00BC7757" w:rsidRDefault="00BC7757" w:rsidP="00BC7757">
            <w:pPr>
              <w:ind w:left="540" w:right="-72"/>
            </w:pPr>
            <w:r w:rsidRPr="00BC7757">
              <w:t>Dans le cas d’un Marché passé avec des Entrepreneurs groupés, les travaux exécutés font l’objet d’un paiement à un compte unique dont les caractéristiques sont transmises au Maître de l’Ouvrage par le mandataire commun.</w:t>
            </w:r>
          </w:p>
        </w:tc>
      </w:tr>
      <w:tr w:rsidR="00BC7757" w:rsidRPr="00BC7757" w14:paraId="2168E7D6" w14:textId="77777777" w:rsidTr="00BC7757">
        <w:tc>
          <w:tcPr>
            <w:tcW w:w="2160" w:type="dxa"/>
            <w:tcBorders>
              <w:top w:val="nil"/>
              <w:left w:val="nil"/>
              <w:bottom w:val="nil"/>
              <w:right w:val="nil"/>
            </w:tcBorders>
          </w:tcPr>
          <w:p w14:paraId="50A183F1" w14:textId="77777777" w:rsidR="00BC7757" w:rsidRPr="00BC7757" w:rsidRDefault="00BC7757" w:rsidP="00BC7757">
            <w:pPr>
              <w:pStyle w:val="Head42"/>
            </w:pPr>
            <w:bookmarkStart w:id="751" w:name="_Toc348175947"/>
            <w:bookmarkStart w:id="752" w:name="_Toc327539558"/>
            <w:r w:rsidRPr="00BC7757">
              <w:t>12.</w:t>
            </w:r>
            <w:r w:rsidRPr="00BC7757">
              <w:tab/>
              <w:t>Constatations et constats contradictoires</w:t>
            </w:r>
            <w:bookmarkEnd w:id="751"/>
            <w:bookmarkEnd w:id="752"/>
          </w:p>
        </w:tc>
        <w:tc>
          <w:tcPr>
            <w:tcW w:w="7398" w:type="dxa"/>
            <w:tcBorders>
              <w:top w:val="nil"/>
              <w:left w:val="nil"/>
              <w:bottom w:val="nil"/>
              <w:right w:val="nil"/>
            </w:tcBorders>
          </w:tcPr>
          <w:p w14:paraId="5F4F9129" w14:textId="77777777" w:rsidR="00BC7757" w:rsidRPr="00BC7757" w:rsidRDefault="00BC7757" w:rsidP="00BC7757">
            <w:pPr>
              <w:tabs>
                <w:tab w:val="left" w:pos="540"/>
              </w:tabs>
              <w:ind w:left="540" w:right="-72" w:hanging="540"/>
            </w:pPr>
            <w:r w:rsidRPr="00BC7757">
              <w:t>12.1</w:t>
            </w:r>
            <w:r w:rsidRPr="00BC7757">
              <w:tab/>
              <w:t>Au sens du présent Article, la constatation est une opération matérielle, le constat est le document qui en résulte.</w:t>
            </w:r>
          </w:p>
          <w:p w14:paraId="0A80BF38" w14:textId="77777777" w:rsidR="00BC7757" w:rsidRPr="00BC7757" w:rsidRDefault="00BC7757" w:rsidP="00BC7757">
            <w:pPr>
              <w:tabs>
                <w:tab w:val="left" w:pos="540"/>
              </w:tabs>
              <w:ind w:left="540" w:right="-72" w:hanging="540"/>
            </w:pPr>
            <w:r w:rsidRPr="00BC7757">
              <w:t>12.2</w:t>
            </w:r>
            <w:r w:rsidRPr="00BC7757">
              <w:tab/>
              <w:t>Des constatations contradictoires concernant les prestations exécutées ou les circonstances de leur exécution sont faites sur la demande, soit de l’Entrepreneur, soit du Maître d’Œuvre.</w:t>
            </w:r>
          </w:p>
          <w:p w14:paraId="08347B59" w14:textId="77777777" w:rsidR="00BC7757" w:rsidRPr="00BC7757" w:rsidRDefault="00BC7757" w:rsidP="00BC7757">
            <w:pPr>
              <w:ind w:left="540" w:right="-72"/>
            </w:pPr>
            <w:r w:rsidRPr="00BC7757">
              <w:t>Les constatations concernant les prestations exécutées, quand il s’agit de travaux réglés sur prix unitaire, portent sur les éléments nécessaires au calcul des quantités à prendre en compte, tels que résultats de mesurages, jaugeages, pesages, comptages, et sur les éléments caractéristiques nécessaires à la détermination du prix unitaire à appliquer.</w:t>
            </w:r>
          </w:p>
          <w:p w14:paraId="606CBB0E" w14:textId="77777777" w:rsidR="00BC7757" w:rsidRPr="00BC7757" w:rsidRDefault="00BC7757" w:rsidP="00BC7757">
            <w:pPr>
              <w:tabs>
                <w:tab w:val="left" w:pos="540"/>
              </w:tabs>
              <w:ind w:left="540" w:right="-72" w:hanging="540"/>
            </w:pPr>
            <w:r w:rsidRPr="00BC7757">
              <w:t>12.3</w:t>
            </w:r>
            <w:r w:rsidRPr="00BC7757">
              <w:tab/>
              <w:t>Les constatations contradictoires faites pour la sauvegarde des droits éventuels de l’une ou l’autre des parties ne préjugent pas l’existence de ces droits.</w:t>
            </w:r>
          </w:p>
          <w:p w14:paraId="4650EAFE" w14:textId="77777777" w:rsidR="00BC7757" w:rsidRPr="00BC7757" w:rsidRDefault="00BC7757" w:rsidP="00BC7757">
            <w:pPr>
              <w:tabs>
                <w:tab w:val="left" w:pos="540"/>
              </w:tabs>
              <w:ind w:left="540" w:right="-72" w:hanging="540"/>
            </w:pPr>
            <w:r w:rsidRPr="00BC7757">
              <w:t>12.4</w:t>
            </w:r>
            <w:r w:rsidRPr="00BC7757">
              <w:tab/>
              <w:t>Le Maître d’Œuvre fixe la date des constatations; lorsque la demande est présentée par l’Entrepreneur, cette date ne peut être postérieure de plus de huit (8) jours à celle de la demande.  Les constatations donnent lieu à la rédaction d’un constat dressé sur-le-champ par le Maître d’Œuvre contradictoirement avec l’Entrepreneur.</w:t>
            </w:r>
          </w:p>
          <w:p w14:paraId="2953E31F" w14:textId="77777777" w:rsidR="00BC7757" w:rsidRPr="00BC7757" w:rsidRDefault="00BC7757" w:rsidP="00BC7757">
            <w:pPr>
              <w:ind w:left="540" w:right="-72"/>
            </w:pPr>
            <w:r w:rsidRPr="00BC7757">
              <w:t>Si l’Entrepreneur refuse de signer ce constat ou ne le signe qu’avec réserves, il doit, dans les quinze (15) jours qui suivent, préciser par écrit ses observations ou réserves au Maître d’Œuvre.</w:t>
            </w:r>
          </w:p>
          <w:p w14:paraId="123CF5BB" w14:textId="77777777" w:rsidR="00BC7757" w:rsidRPr="00BC7757" w:rsidRDefault="00BC7757" w:rsidP="00BC7757">
            <w:pPr>
              <w:ind w:left="540" w:right="-72"/>
            </w:pPr>
            <w:r w:rsidRPr="00BC7757">
              <w:t>Si l’Entrepreneur, dûment convoqué en temps utile, n’est pas présent ou représenté aux constatations, il est réputé accepter sans réserve le constat qui en résulte.</w:t>
            </w:r>
          </w:p>
          <w:p w14:paraId="47ABB5C3" w14:textId="77777777" w:rsidR="00BC7757" w:rsidRPr="00BC7757" w:rsidRDefault="00BC7757" w:rsidP="00BC7757">
            <w:pPr>
              <w:tabs>
                <w:tab w:val="left" w:pos="540"/>
              </w:tabs>
              <w:ind w:left="540" w:right="-72" w:hanging="540"/>
            </w:pPr>
            <w:r w:rsidRPr="00BC7757">
              <w:t>12.5</w:t>
            </w:r>
            <w:r w:rsidRPr="00BC7757">
              <w:tab/>
              <w:t>L’Entrepreneur est tenu de demander en temps utile qu’il soit procédé à des constatations contradictoires pour les prestations qui ne pourraient faire l’objet de constatations ultérieures, notamment lorsque les ouvrages doivent se trouver, par la suite, cachés ou inaccessibles.  A défaut et sauf preuve contraire fournie par lui et à ses frais, il n’est pas fondé à contester la décision du Maître d’Œuvre relative à ces prestations.</w:t>
            </w:r>
          </w:p>
        </w:tc>
      </w:tr>
      <w:tr w:rsidR="00BC7757" w:rsidRPr="00BC7757" w14:paraId="71CE17B3" w14:textId="77777777" w:rsidTr="00BC7757">
        <w:tc>
          <w:tcPr>
            <w:tcW w:w="2160" w:type="dxa"/>
            <w:tcBorders>
              <w:top w:val="nil"/>
              <w:left w:val="nil"/>
              <w:bottom w:val="nil"/>
              <w:right w:val="nil"/>
            </w:tcBorders>
          </w:tcPr>
          <w:p w14:paraId="5092C918" w14:textId="77777777" w:rsidR="00BC7757" w:rsidRPr="00BC7757" w:rsidRDefault="00BC7757" w:rsidP="00BC7757">
            <w:pPr>
              <w:pStyle w:val="Head42"/>
            </w:pPr>
            <w:bookmarkStart w:id="753" w:name="_Toc348175948"/>
            <w:bookmarkStart w:id="754" w:name="_Toc348232771"/>
            <w:bookmarkStart w:id="755" w:name="_Toc327539559"/>
            <w:r w:rsidRPr="00BC7757">
              <w:t>13.</w:t>
            </w:r>
            <w:r w:rsidRPr="00BC7757">
              <w:tab/>
              <w:t>Modalités de règlement des comptes</w:t>
            </w:r>
            <w:bookmarkEnd w:id="753"/>
            <w:bookmarkEnd w:id="754"/>
            <w:bookmarkEnd w:id="755"/>
          </w:p>
        </w:tc>
        <w:tc>
          <w:tcPr>
            <w:tcW w:w="7398" w:type="dxa"/>
            <w:tcBorders>
              <w:top w:val="nil"/>
              <w:left w:val="nil"/>
              <w:bottom w:val="nil"/>
              <w:right w:val="nil"/>
            </w:tcBorders>
          </w:tcPr>
          <w:p w14:paraId="2A397B15" w14:textId="77777777" w:rsidR="00BC7757" w:rsidRPr="00BC7757" w:rsidRDefault="00BC7757" w:rsidP="00BC7757">
            <w:pPr>
              <w:tabs>
                <w:tab w:val="left" w:pos="540"/>
              </w:tabs>
              <w:ind w:left="540" w:right="-72" w:hanging="540"/>
              <w:rPr>
                <w:b/>
              </w:rPr>
            </w:pPr>
            <w:r w:rsidRPr="00BC7757">
              <w:rPr>
                <w:b/>
              </w:rPr>
              <w:t>13.1</w:t>
            </w:r>
            <w:r w:rsidRPr="00BC7757">
              <w:rPr>
                <w:b/>
              </w:rPr>
              <w:tab/>
              <w:t>Décomptes mensuels</w:t>
            </w:r>
          </w:p>
          <w:p w14:paraId="7A33948A" w14:textId="77777777" w:rsidR="00BC7757" w:rsidRPr="00BC7757" w:rsidRDefault="00BC7757" w:rsidP="00BC7757">
            <w:pPr>
              <w:tabs>
                <w:tab w:val="left" w:pos="1260"/>
              </w:tabs>
              <w:ind w:left="1260" w:right="-72" w:hanging="720"/>
            </w:pPr>
            <w:r w:rsidRPr="00BC7757">
              <w:t>13.1.1</w:t>
            </w:r>
            <w:r w:rsidRPr="00BC7757">
              <w:tab/>
              <w:t>Avant la fin de chaque mois ou dans les conditions prévues au CCAP en ce qui concerne la ou les avances, l’Entrepreneur remet au Maître d’Œuvre</w:t>
            </w:r>
            <w:r w:rsidRPr="00BC7757">
              <w:rPr>
                <w:b/>
                <w:i/>
              </w:rPr>
              <w:t xml:space="preserve"> </w:t>
            </w:r>
            <w:r w:rsidRPr="00BC7757">
              <w:t>un projet de décompte établissant le montant cumulé arrêté à la fin du mois précédent des sommes auxquelles il peut prétendre, tant en monnaie nationale qu’en monnaie(s) étrangère(s), du fait de l’exécution du Marché depuis le début de celle-ci .</w:t>
            </w:r>
          </w:p>
          <w:p w14:paraId="27D67004" w14:textId="77777777" w:rsidR="00BC7757" w:rsidRPr="00BC7757" w:rsidRDefault="00BC7757" w:rsidP="00BC7757">
            <w:pPr>
              <w:ind w:left="1260" w:right="-72"/>
            </w:pPr>
            <w:r w:rsidRPr="00BC7757">
              <w:t>Ce montant est établi à partir des prix de base, c’est</w:t>
            </w:r>
            <w:r w:rsidRPr="00BC7757">
              <w:noBreakHyphen/>
              <w:t>à</w:t>
            </w:r>
            <w:r w:rsidRPr="00BC7757">
              <w:noBreakHyphen/>
              <w:t>dire des prix figurant dans le Marché, y compris les rabais ou majorations qui peuvent y être indiqués, mais sans révision des prix et hors taxe sur le chiffre d’affaires due sur les règlements effectués par le Maître de l’Ouvrage à l’Entrepreneur.</w:t>
            </w:r>
          </w:p>
          <w:p w14:paraId="689402EC" w14:textId="77777777" w:rsidR="00BC7757" w:rsidRPr="00BC7757" w:rsidRDefault="00BC7757" w:rsidP="00BC7757">
            <w:pPr>
              <w:ind w:left="1260" w:right="-72"/>
            </w:pPr>
            <w:r w:rsidRPr="00BC7757">
              <w:t>Si des ouvrages ou travaux non prévus ont été exécutés, les prix provisoires mentionnés à l’Article 14.3 sont appliqués tant que les prix définitifs ne sont pas arrêtés.</w:t>
            </w:r>
          </w:p>
          <w:p w14:paraId="1140FDCA" w14:textId="77777777" w:rsidR="00BC7757" w:rsidRPr="00BC7757" w:rsidRDefault="00BC7757" w:rsidP="00BC7757">
            <w:pPr>
              <w:ind w:left="1260" w:right="-72"/>
            </w:pPr>
            <w:r w:rsidRPr="00BC7757">
              <w:t>Si des réfactions ont été fixées en conformité avec les dispositions de l’Article 25.2 du CCAG ou convenues entre les parties pour d’autres, elles sont appliquées.</w:t>
            </w:r>
          </w:p>
          <w:p w14:paraId="0554F0FF" w14:textId="77777777" w:rsidR="00BC7757" w:rsidRPr="00BC7757" w:rsidRDefault="00BC7757" w:rsidP="00BC7757">
            <w:pPr>
              <w:ind w:left="1260" w:right="-72"/>
            </w:pPr>
            <w:r w:rsidRPr="00BC7757">
              <w:t>Le projet de décompte mensuel établi par l’Entrepreneur est accepté ou rectifié par le Maître de l’Ouvrage; il devient alors le décompte mensuel.</w:t>
            </w:r>
          </w:p>
          <w:p w14:paraId="26AE2C79" w14:textId="77777777" w:rsidR="00BC7757" w:rsidRPr="00BC7757" w:rsidRDefault="00BC7757" w:rsidP="00BC7757">
            <w:pPr>
              <w:tabs>
                <w:tab w:val="left" w:pos="1260"/>
              </w:tabs>
              <w:ind w:left="1260" w:right="-72" w:hanging="720"/>
            </w:pPr>
            <w:r w:rsidRPr="00BC7757">
              <w:t>13.1.2</w:t>
            </w:r>
            <w:r w:rsidRPr="00BC7757">
              <w:tab/>
              <w:t>Le décompte mensuel, identifiant séparément les montants payables en monnaie nationale et en monnaie(s) étrangère(s), comprend, en tant que de besoin, les différentes parties suivantes:</w:t>
            </w:r>
          </w:p>
          <w:p w14:paraId="02ECDC87" w14:textId="77777777" w:rsidR="00BC7757" w:rsidRPr="00BC7757" w:rsidRDefault="00BC7757" w:rsidP="00BC7757">
            <w:pPr>
              <w:tabs>
                <w:tab w:val="left" w:pos="1800"/>
              </w:tabs>
              <w:ind w:left="1800" w:right="-72" w:hanging="540"/>
            </w:pPr>
            <w:r w:rsidRPr="00BC7757">
              <w:t>a)</w:t>
            </w:r>
            <w:r w:rsidRPr="00BC7757">
              <w:tab/>
              <w:t>travaux à l’entreprise;</w:t>
            </w:r>
          </w:p>
          <w:p w14:paraId="53D4CDDB" w14:textId="77777777" w:rsidR="00BC7757" w:rsidRPr="00BC7757" w:rsidRDefault="00BC7757" w:rsidP="00BC7757">
            <w:pPr>
              <w:tabs>
                <w:tab w:val="left" w:pos="1800"/>
              </w:tabs>
              <w:ind w:left="1800" w:right="-72" w:hanging="540"/>
            </w:pPr>
            <w:r w:rsidRPr="00BC7757">
              <w:t>b)</w:t>
            </w:r>
            <w:r w:rsidRPr="00BC7757">
              <w:tab/>
              <w:t>travaux en régie;</w:t>
            </w:r>
          </w:p>
          <w:p w14:paraId="25EA27D9" w14:textId="77777777" w:rsidR="00BC7757" w:rsidRPr="00BC7757" w:rsidRDefault="00BC7757" w:rsidP="00BC7757">
            <w:pPr>
              <w:tabs>
                <w:tab w:val="left" w:pos="1800"/>
              </w:tabs>
              <w:ind w:left="1800" w:right="-72" w:hanging="540"/>
            </w:pPr>
            <w:r w:rsidRPr="00BC7757">
              <w:t>c)</w:t>
            </w:r>
            <w:r w:rsidRPr="00BC7757">
              <w:tab/>
              <w:t>approvisionnements;</w:t>
            </w:r>
          </w:p>
          <w:p w14:paraId="23077FC8" w14:textId="77777777" w:rsidR="00BC7757" w:rsidRPr="00BC7757" w:rsidRDefault="00BC7757" w:rsidP="00BC7757">
            <w:pPr>
              <w:tabs>
                <w:tab w:val="left" w:pos="1800"/>
              </w:tabs>
              <w:ind w:left="1800" w:right="-72" w:hanging="540"/>
            </w:pPr>
            <w:r w:rsidRPr="00BC7757">
              <w:t>d)</w:t>
            </w:r>
            <w:r w:rsidRPr="00BC7757">
              <w:tab/>
              <w:t>avances;</w:t>
            </w:r>
          </w:p>
          <w:p w14:paraId="71BDEE39" w14:textId="77777777" w:rsidR="00BC7757" w:rsidRPr="00BC7757" w:rsidRDefault="00BC7757" w:rsidP="00BC7757">
            <w:pPr>
              <w:tabs>
                <w:tab w:val="left" w:pos="1800"/>
              </w:tabs>
              <w:ind w:left="1800" w:right="-72" w:hanging="540"/>
              <w:jc w:val="left"/>
            </w:pPr>
            <w:r w:rsidRPr="00BC7757">
              <w:t>e)</w:t>
            </w:r>
            <w:r w:rsidRPr="00BC7757">
              <w:tab/>
              <w:t>indemnités, pénalités, primes et retenues autres que la retenue de garantie;</w:t>
            </w:r>
          </w:p>
          <w:p w14:paraId="1E69075B" w14:textId="77777777" w:rsidR="00BC7757" w:rsidRPr="00BC7757" w:rsidRDefault="00BC7757" w:rsidP="00BC7757">
            <w:pPr>
              <w:tabs>
                <w:tab w:val="left" w:pos="1800"/>
              </w:tabs>
              <w:ind w:left="1800" w:right="-72" w:hanging="540"/>
              <w:jc w:val="left"/>
            </w:pPr>
            <w:r w:rsidRPr="00BC7757">
              <w:t>f)</w:t>
            </w:r>
            <w:r w:rsidRPr="00BC7757">
              <w:tab/>
              <w:t>remboursements des dépenses incombant au Maître de l’Ouvrage dont l’Entrepreneur a fait l’avance;</w:t>
            </w:r>
          </w:p>
          <w:p w14:paraId="3E4BF145" w14:textId="77777777" w:rsidR="00BC7757" w:rsidRPr="00BC7757" w:rsidRDefault="00BC7757" w:rsidP="00BC7757">
            <w:pPr>
              <w:tabs>
                <w:tab w:val="left" w:pos="1800"/>
              </w:tabs>
              <w:ind w:left="1800" w:right="-72" w:hanging="540"/>
              <w:jc w:val="left"/>
            </w:pPr>
            <w:r w:rsidRPr="00BC7757">
              <w:t>g)</w:t>
            </w:r>
            <w:r w:rsidRPr="00BC7757">
              <w:tab/>
              <w:t>montant à déduire égal à l’excédent des dépenses faites pour les prestations exécutées d’office à la place de l’Entrepreneur défaillant sur les sommes qui auraient été réglées à cet Entrepreneur s’il avait exécuté ces prestations;</w:t>
            </w:r>
          </w:p>
          <w:p w14:paraId="0273BB49" w14:textId="77777777" w:rsidR="00BC7757" w:rsidRPr="00BC7757" w:rsidRDefault="00BC7757" w:rsidP="00BC7757">
            <w:pPr>
              <w:tabs>
                <w:tab w:val="left" w:pos="1800"/>
              </w:tabs>
              <w:ind w:left="1800" w:right="-72" w:hanging="540"/>
            </w:pPr>
            <w:r w:rsidRPr="00BC7757">
              <w:t>h)</w:t>
            </w:r>
            <w:r w:rsidRPr="00BC7757">
              <w:tab/>
              <w:t>intérêts moratoires.</w:t>
            </w:r>
          </w:p>
          <w:p w14:paraId="2CE4A37B" w14:textId="77777777" w:rsidR="00BC7757" w:rsidRPr="00BC7757" w:rsidRDefault="00BC7757" w:rsidP="00BC7757">
            <w:pPr>
              <w:tabs>
                <w:tab w:val="left" w:pos="1260"/>
              </w:tabs>
              <w:ind w:left="1260" w:right="-72" w:hanging="720"/>
            </w:pPr>
            <w:r w:rsidRPr="00BC7757">
              <w:t>13.1.3</w:t>
            </w:r>
            <w:r w:rsidRPr="00BC7757">
              <w:tab/>
              <w:t>Le montant des travaux à l’entreprise est établi de la façon suivante:</w:t>
            </w:r>
          </w:p>
          <w:p w14:paraId="5A6075DC" w14:textId="77777777" w:rsidR="00BC7757" w:rsidRPr="00BC7757" w:rsidRDefault="00BC7757" w:rsidP="00BC7757">
            <w:pPr>
              <w:ind w:left="1260" w:right="-72"/>
            </w:pPr>
            <w:r w:rsidRPr="00BC7757">
              <w:t>Le décompte comporte le relevé des travaux exécutés, tels qu’ils résultent des constats contradictoires ou, à défaut, des évaluations du Maître de l’Ouvrage.  Les prix unitaires ne sont jamais fractionnés pour tenir compte des travaux en cours d’exécution.  Les prix forfaitaires peuvent l’être si l’ouvrage ou la partie d’ouvrage auquel le prix se rapporte n’est pas terminé: il est alors compté une fraction du prix égale au pourcentage d’exécution de l’ouvrage ou de la partie d’ouvrage; pour déterminer ce pourcentage, il est fait usage, si le Maître de l’Ouvrage l’exige, de la décomposition de prix définie à l’Article 10.3 du CCAG.</w:t>
            </w:r>
          </w:p>
          <w:p w14:paraId="4196510A" w14:textId="77777777" w:rsidR="00BC7757" w:rsidRPr="00BC7757" w:rsidRDefault="00BC7757" w:rsidP="00BC7757">
            <w:pPr>
              <w:ind w:left="1260" w:right="-72"/>
            </w:pPr>
            <w:r w:rsidRPr="00BC7757">
              <w:t>L’avancement des travaux déterminé selon l’un des deux modes de règlement définis ci-dessus fait l’objet d’un constat contradictoire.</w:t>
            </w:r>
          </w:p>
          <w:p w14:paraId="3EAFB77D" w14:textId="77777777" w:rsidR="00BC7757" w:rsidRPr="00BC7757" w:rsidRDefault="00BC7757" w:rsidP="00BC7757">
            <w:pPr>
              <w:tabs>
                <w:tab w:val="left" w:pos="1260"/>
              </w:tabs>
              <w:ind w:left="1260" w:right="-72" w:hanging="720"/>
            </w:pPr>
            <w:r w:rsidRPr="00BC7757">
              <w:t>13.1.4</w:t>
            </w:r>
            <w:r w:rsidRPr="00BC7757">
              <w:tab/>
              <w:t>Le montant des approvisionnements est établi en prenant en compte ceux qui sont constitués et non encore utilisés.</w:t>
            </w:r>
          </w:p>
          <w:p w14:paraId="761EFB7E" w14:textId="77777777" w:rsidR="00BC7757" w:rsidRPr="00BC7757" w:rsidRDefault="00BC7757" w:rsidP="00BC7757">
            <w:pPr>
              <w:tabs>
                <w:tab w:val="left" w:pos="1260"/>
              </w:tabs>
              <w:ind w:left="1260" w:right="-72" w:hanging="720"/>
            </w:pPr>
            <w:r w:rsidRPr="00BC7757">
              <w:t>13.1.5</w:t>
            </w:r>
            <w:r w:rsidRPr="00BC7757">
              <w:tab/>
              <w:t>Dans chacune des parties énumérées au paragraphe 1.2 du présent Article, le décompte distingue, s’il y a lieu, les éléments dont le prix est ferme et ceux dont le prix est révisable, comme il est dit à l’Article 11.6 du CCAG, en répartissant éventuellement ces derniers éléments entre les différents modes de révision prévus par le Marché.</w:t>
            </w:r>
          </w:p>
          <w:p w14:paraId="1DA2FCBF" w14:textId="77777777" w:rsidR="00BC7757" w:rsidRPr="00BC7757" w:rsidRDefault="00BC7757" w:rsidP="00BC7757">
            <w:pPr>
              <w:ind w:left="1260" w:right="-72"/>
            </w:pPr>
            <w:r w:rsidRPr="00BC7757">
              <w:t>Le décompte précise, le cas échéant, les éléments passibles de la taxe sur le chiffre d’affaires due sur les paiements du Maître de l’Ouvrage à l’Entrepreneur, distinguant éventuellement les taux de taxe applicables.</w:t>
            </w:r>
          </w:p>
          <w:p w14:paraId="10C6FB7D" w14:textId="77777777" w:rsidR="00BC7757" w:rsidRPr="00BC7757" w:rsidRDefault="00BC7757" w:rsidP="00BC7757">
            <w:pPr>
              <w:tabs>
                <w:tab w:val="left" w:pos="1260"/>
              </w:tabs>
              <w:ind w:left="1260" w:right="-72" w:hanging="720"/>
            </w:pPr>
            <w:r w:rsidRPr="00BC7757">
              <w:t>13.1.6</w:t>
            </w:r>
            <w:r w:rsidRPr="00BC7757">
              <w:tab/>
              <w:t>Le Maître de l’Ouvrage peut demander à l’Entrepreneur d’établir le projet de décompte suivant un modèle ou des modalités recommandés par les autorités compétentes ou par les organismes de financement.</w:t>
            </w:r>
          </w:p>
          <w:p w14:paraId="3CAAA48E" w14:textId="77777777" w:rsidR="00BC7757" w:rsidRPr="00BC7757" w:rsidRDefault="00BC7757" w:rsidP="00BC7757">
            <w:pPr>
              <w:tabs>
                <w:tab w:val="left" w:pos="1260"/>
              </w:tabs>
              <w:ind w:left="1260" w:right="-72" w:hanging="720"/>
            </w:pPr>
            <w:r w:rsidRPr="00BC7757">
              <w:t>13.1.7</w:t>
            </w:r>
            <w:r w:rsidRPr="00BC7757">
              <w:tab/>
              <w:t>L’Entrepreneur joint au projet de décompte les pièces suivantes, s’il ne les a pas déjà fournies :</w:t>
            </w:r>
          </w:p>
          <w:p w14:paraId="7977B3A0" w14:textId="77777777" w:rsidR="00BC7757" w:rsidRPr="00BC7757" w:rsidRDefault="00BC7757" w:rsidP="00BC7757">
            <w:pPr>
              <w:tabs>
                <w:tab w:val="left" w:pos="1800"/>
              </w:tabs>
              <w:ind w:left="1800" w:right="-72" w:hanging="540"/>
            </w:pPr>
            <w:r w:rsidRPr="00BC7757">
              <w:t>a)</w:t>
            </w:r>
            <w:r w:rsidRPr="00BC7757">
              <w:tab/>
              <w:t>les calculs des quantités prises en compte, effectués à partir des éléments contenus dans les constats contradictoires;</w:t>
            </w:r>
          </w:p>
          <w:p w14:paraId="0032EB61" w14:textId="77777777" w:rsidR="00BC7757" w:rsidRPr="00BC7757" w:rsidRDefault="00BC7757" w:rsidP="00BC7757">
            <w:pPr>
              <w:tabs>
                <w:tab w:val="left" w:pos="1800"/>
              </w:tabs>
              <w:ind w:left="1800" w:right="-72" w:hanging="540"/>
            </w:pPr>
            <w:r w:rsidRPr="00BC7757">
              <w:t>b)</w:t>
            </w:r>
            <w:r w:rsidRPr="00BC7757">
              <w:tab/>
              <w:t>le calcul, avec justifications à l’appui, des coefficients de révision des prix; et</w:t>
            </w:r>
          </w:p>
          <w:p w14:paraId="3C7C8B3B" w14:textId="77777777" w:rsidR="00BC7757" w:rsidRPr="00BC7757" w:rsidRDefault="00BC7757" w:rsidP="00BC7757">
            <w:pPr>
              <w:tabs>
                <w:tab w:val="left" w:pos="1800"/>
              </w:tabs>
              <w:ind w:left="1800" w:right="-72" w:hanging="540"/>
            </w:pPr>
            <w:r w:rsidRPr="00BC7757">
              <w:t>c)</w:t>
            </w:r>
            <w:r w:rsidRPr="00BC7757">
              <w:tab/>
              <w:t>le cas échéant, les pièces justifiant les débours, effectués au titre de l’Article 26.4 du CCAG, dont il demande le remboursement.</w:t>
            </w:r>
          </w:p>
          <w:p w14:paraId="10F6299C" w14:textId="77777777" w:rsidR="00BC7757" w:rsidRPr="00BC7757" w:rsidRDefault="00BC7757" w:rsidP="00BC7757">
            <w:pPr>
              <w:tabs>
                <w:tab w:val="left" w:pos="1260"/>
              </w:tabs>
              <w:ind w:left="1260" w:right="-72" w:hanging="720"/>
            </w:pPr>
            <w:r w:rsidRPr="00BC7757">
              <w:t>13.1.8</w:t>
            </w:r>
            <w:r w:rsidRPr="00BC7757">
              <w:tab/>
              <w:t>Les éléments figurant dans les décomptes mensuels n’ont pas un caractère définitif et ne lient pas les parties contractantes.</w:t>
            </w:r>
          </w:p>
          <w:p w14:paraId="4EA6F8FF" w14:textId="77777777" w:rsidR="00BC7757" w:rsidRPr="00BC7757" w:rsidRDefault="00BC7757" w:rsidP="00BC7757">
            <w:pPr>
              <w:tabs>
                <w:tab w:val="left" w:pos="540"/>
              </w:tabs>
              <w:ind w:left="540" w:right="-72" w:hanging="540"/>
              <w:rPr>
                <w:b/>
              </w:rPr>
            </w:pPr>
            <w:r w:rsidRPr="00BC7757">
              <w:rPr>
                <w:b/>
              </w:rPr>
              <w:t>13.2</w:t>
            </w:r>
            <w:r w:rsidRPr="00BC7757">
              <w:rPr>
                <w:b/>
              </w:rPr>
              <w:tab/>
              <w:t>Acomptes mensuels</w:t>
            </w:r>
          </w:p>
          <w:p w14:paraId="76AB38BB" w14:textId="77777777" w:rsidR="00BC7757" w:rsidRPr="00BC7757" w:rsidRDefault="00BC7757" w:rsidP="00BC7757">
            <w:pPr>
              <w:tabs>
                <w:tab w:val="left" w:pos="1260"/>
              </w:tabs>
              <w:ind w:left="1260" w:right="-72" w:hanging="720"/>
            </w:pPr>
            <w:r w:rsidRPr="00BC7757">
              <w:t>13.2.1</w:t>
            </w:r>
            <w:r w:rsidRPr="00BC7757">
              <w:tab/>
              <w:t>Le montant de l’acompte mensuel à régler à l’Entrepreneur est déterminé, à partir du décompte mensuel, par le Maître de l’Ouvrage qui dresse à cet effet un état faisant ressortir :</w:t>
            </w:r>
          </w:p>
          <w:p w14:paraId="21AC65EE" w14:textId="77777777" w:rsidR="00BC7757" w:rsidRPr="00BC7757" w:rsidRDefault="00BC7757" w:rsidP="00BC7757">
            <w:pPr>
              <w:tabs>
                <w:tab w:val="left" w:pos="1800"/>
              </w:tabs>
              <w:ind w:left="1800" w:right="-72" w:hanging="540"/>
            </w:pPr>
            <w:r w:rsidRPr="00BC7757">
              <w:t>a)</w:t>
            </w:r>
            <w:r w:rsidRPr="00BC7757">
              <w:tab/>
              <w:t>le montant de l’acompte établi à partir des prix de base distinguant les montants à payer en monnaie nationale et en monnaie(s) étrangère(s) : ce montant est la différence entre le montant du décompte mensuel dont il s’agit et celui du décompte mensuel précédent; il distingue, comme les décomptes mensuels, les différents éléments passibles des diverses modalités de révision des prix et, le cas échéant, des divers taux de la taxe sur le chiffre d’affaires applicable aux règlements effectués par le Maître de l’Ouvrage à l’Entrepreneur;</w:t>
            </w:r>
          </w:p>
          <w:p w14:paraId="6DCF2902" w14:textId="77777777" w:rsidR="00BC7757" w:rsidRPr="00BC7757" w:rsidRDefault="00BC7757" w:rsidP="00BC7757">
            <w:pPr>
              <w:tabs>
                <w:tab w:val="left" w:pos="1800"/>
              </w:tabs>
              <w:ind w:left="1800" w:right="-72" w:hanging="540"/>
            </w:pPr>
            <w:r w:rsidRPr="00BC7757">
              <w:t>b)</w:t>
            </w:r>
            <w:r w:rsidRPr="00BC7757">
              <w:tab/>
              <w:t>l’effet de la révision des prix, conformément aux dispositions des Articles 10.4 et 11.6 du CCAG;</w:t>
            </w:r>
          </w:p>
          <w:p w14:paraId="3F6531DB" w14:textId="77777777" w:rsidR="00BC7757" w:rsidRPr="00BC7757" w:rsidRDefault="00BC7757" w:rsidP="00BC7757">
            <w:pPr>
              <w:tabs>
                <w:tab w:val="left" w:pos="1800"/>
              </w:tabs>
              <w:ind w:left="1800" w:right="-72" w:hanging="540"/>
            </w:pPr>
            <w:r w:rsidRPr="00BC7757">
              <w:t>c)</w:t>
            </w:r>
            <w:r w:rsidRPr="00BC7757">
              <w:tab/>
              <w:t>lorsque applicable, le montant de la taxe sur le chiffre d’affaires applicable aux règlements effectués par le Maître de l’Ouvrage à l’Entrepreneur; et</w:t>
            </w:r>
          </w:p>
          <w:p w14:paraId="2836696A" w14:textId="77777777" w:rsidR="00BC7757" w:rsidRPr="00BC7757" w:rsidRDefault="00BC7757" w:rsidP="00BC7757">
            <w:pPr>
              <w:tabs>
                <w:tab w:val="left" w:pos="1800"/>
              </w:tabs>
              <w:ind w:left="1800" w:right="-72" w:hanging="540"/>
            </w:pPr>
            <w:r w:rsidRPr="00BC7757">
              <w:t>d)</w:t>
            </w:r>
            <w:r w:rsidRPr="00BC7757">
              <w:tab/>
              <w:t>le montant total de l’acompte à régler, ce montant étant la somme des montants spécifiés aux alinéas a), b) et c) ci-dessus, diminuée de la retenue de garantie prévue au Marché.</w:t>
            </w:r>
          </w:p>
          <w:p w14:paraId="4A76CC97" w14:textId="77777777" w:rsidR="00BC7757" w:rsidRPr="00BC7757" w:rsidRDefault="00BC7757" w:rsidP="00BC7757">
            <w:pPr>
              <w:tabs>
                <w:tab w:val="left" w:pos="1260"/>
              </w:tabs>
              <w:ind w:left="1260" w:right="-72" w:hanging="720"/>
            </w:pPr>
            <w:r w:rsidRPr="00BC7757">
              <w:t>13.2.2</w:t>
            </w:r>
            <w:r w:rsidRPr="00BC7757">
              <w:tab/>
              <w:t>Le Maître d’Œuvre notifie à l’Entrepreneur, par ordre de service, l’état d’acompte accompagné du décompte ayant servi de base à ce dernier si le projet établi par l’Entrepreneur a été modifié.</w:t>
            </w:r>
          </w:p>
          <w:p w14:paraId="4A93A8D4" w14:textId="77777777" w:rsidR="00BC7757" w:rsidRPr="00BC7757" w:rsidRDefault="00BC7757" w:rsidP="00BC7757">
            <w:pPr>
              <w:tabs>
                <w:tab w:val="left" w:pos="1260"/>
              </w:tabs>
              <w:ind w:left="1260" w:right="-72" w:hanging="720"/>
            </w:pPr>
            <w:r w:rsidRPr="00BC7757">
              <w:t>13.2.3</w:t>
            </w:r>
            <w:r w:rsidRPr="00BC7757">
              <w:tab/>
              <w:t>Le paiement de l’acompte doit être fait aux comptes bancaires désignés au CCAP, et intervenir quarante-cinq (45) jours au plus tard après la date à laquelle le projet de décompte est remis par l’Entrepreneur au Maître d’Œuvre.  Lorsque, le paiement n’est pas effectué dans ce délai, le Maître d’Œuvre informe par écrit l’Entrepreneur des raisons de ce retard.</w:t>
            </w:r>
          </w:p>
          <w:p w14:paraId="1DC09D0B" w14:textId="77777777" w:rsidR="00BC7757" w:rsidRPr="00BC7757" w:rsidRDefault="00BC7757" w:rsidP="00BC7757">
            <w:pPr>
              <w:tabs>
                <w:tab w:val="left" w:pos="1260"/>
              </w:tabs>
              <w:ind w:left="1260" w:right="-72" w:hanging="720"/>
            </w:pPr>
            <w:r w:rsidRPr="00BC7757">
              <w:t>13.2.4</w:t>
            </w:r>
            <w:r w:rsidRPr="00BC7757">
              <w:tab/>
              <w:t>Les montants figurant dans les états d’acomptes mensuels n’ont pas un caractère définitif et ne lient pas les parties contractantes, sauf en ce qui concerne l’effet de la révision des prix mentionné à l’alinéa 2.1 (b) du présent Article lorsque l’Entrepreneur n’a pas fait de réserves à ce sujet à la réception de l’ordre de service mentionné à l’alinéa 2.2 du présent Article.</w:t>
            </w:r>
          </w:p>
          <w:p w14:paraId="0155622D" w14:textId="77777777" w:rsidR="00BC7757" w:rsidRPr="00BC7757" w:rsidRDefault="00BC7757" w:rsidP="00BC7757">
            <w:pPr>
              <w:tabs>
                <w:tab w:val="left" w:pos="540"/>
              </w:tabs>
              <w:ind w:left="540" w:right="-72" w:hanging="540"/>
              <w:rPr>
                <w:b/>
              </w:rPr>
            </w:pPr>
            <w:r w:rsidRPr="00BC7757">
              <w:rPr>
                <w:b/>
              </w:rPr>
              <w:t>13.3</w:t>
            </w:r>
            <w:r w:rsidRPr="00BC7757">
              <w:rPr>
                <w:b/>
              </w:rPr>
              <w:tab/>
              <w:t>Décompte final</w:t>
            </w:r>
          </w:p>
          <w:p w14:paraId="43A40E25" w14:textId="77777777" w:rsidR="00BC7757" w:rsidRPr="00BC7757" w:rsidRDefault="00BC7757" w:rsidP="00BC7757">
            <w:pPr>
              <w:tabs>
                <w:tab w:val="left" w:pos="1260"/>
              </w:tabs>
              <w:ind w:left="1260" w:right="-72" w:hanging="720"/>
            </w:pPr>
            <w:r w:rsidRPr="00BC7757">
              <w:t>13.3.1</w:t>
            </w:r>
            <w:r w:rsidRPr="00BC7757">
              <w:tab/>
              <w:t>Après l’achèvement des travaux, l’Entrepreneur, concurremment avec le projet de décompte afférent au dernier mois de leur exécution ou à la place de ce projet, dresse le projet de décompte final établissant le montant total des sommes auxquelles il peut prétendre du fait de l’exécution du Marché dans son ensemble, les évaluations étant faites en tenant compte des prestations réellement exécutées.  Ce projet de décompte est établi à partir des prix de base comme les projets de décompte mensuels et comporte les mêmes parties que ceux-ci, à l’exception des approvisionnements et des avances; il est accompagné des éléments et pièces mentionnés au paragraphe 1.7 du présent Article s’ils n’ont pas été précédemment fournis.</w:t>
            </w:r>
          </w:p>
          <w:p w14:paraId="07BF8B52" w14:textId="77777777" w:rsidR="00BC7757" w:rsidRPr="00BC7757" w:rsidRDefault="00BC7757" w:rsidP="00BC7757">
            <w:pPr>
              <w:tabs>
                <w:tab w:val="left" w:pos="1260"/>
              </w:tabs>
              <w:ind w:left="1260" w:right="-72" w:hanging="720"/>
            </w:pPr>
            <w:r w:rsidRPr="00BC7757">
              <w:t>13.3.2</w:t>
            </w:r>
            <w:r w:rsidRPr="00BC7757">
              <w:tab/>
              <w:t>Le projet de décompte final est remis au Maître d’Œuvre dans le délai de quarante-cinq (45) jours à compter de la date de notification de la décision de réception provisoire des travaux telle qu’elle est prévue à l’Article 41.3 du CCAG.  Toutefois, s’il est fait application des dispositions de l’Article 41.5 du CCAG, la date du procès-verbal constatant l’exécution des prestations complémentaires est substituée à la date de notification de la décision de réception des travaux comme point de départ des délais ci-dessus.</w:t>
            </w:r>
          </w:p>
          <w:p w14:paraId="5A507A9D" w14:textId="77777777" w:rsidR="00BC7757" w:rsidRPr="00BC7757" w:rsidRDefault="00BC7757" w:rsidP="00BC7757">
            <w:pPr>
              <w:ind w:left="1260" w:right="-72"/>
            </w:pPr>
            <w:r w:rsidRPr="00BC7757">
              <w:t>En cas de retard dans la présentation du projet de décompte final, après mise en demeure restée sans effet, le décompte peut être établi d’office par le Maître d’Œuvre aux frais de l’Entrepreneur.  Ce décompte est notifié à l’Entrepreneur avec le décompte général prévu à l’Article 13.4 ci-dessous.</w:t>
            </w:r>
          </w:p>
          <w:p w14:paraId="5C7CD138" w14:textId="77777777" w:rsidR="00BC7757" w:rsidRPr="00BC7757" w:rsidRDefault="00BC7757" w:rsidP="00BC7757">
            <w:pPr>
              <w:tabs>
                <w:tab w:val="left" w:pos="1260"/>
              </w:tabs>
              <w:ind w:left="1260" w:right="-72" w:hanging="720"/>
            </w:pPr>
            <w:r w:rsidRPr="00BC7757">
              <w:t>13.3.3</w:t>
            </w:r>
            <w:r w:rsidRPr="00BC7757">
              <w:tab/>
              <w:t>L’Entrepreneur est lié par les indications figurant au projet de décompte final, sauf sur les points sur lesquels il aurait émis antérieurement des réserves, ainsi que sur le montant définitif des intérêts moratoires.</w:t>
            </w:r>
          </w:p>
          <w:p w14:paraId="3B7338AC" w14:textId="77777777" w:rsidR="00BC7757" w:rsidRPr="00BC7757" w:rsidRDefault="00BC7757" w:rsidP="00BC7757">
            <w:pPr>
              <w:tabs>
                <w:tab w:val="left" w:pos="1260"/>
              </w:tabs>
              <w:ind w:left="1260" w:right="-72" w:hanging="720"/>
            </w:pPr>
            <w:r w:rsidRPr="00BC7757">
              <w:t>13.3.4</w:t>
            </w:r>
            <w:r w:rsidRPr="00BC7757">
              <w:tab/>
              <w:t>Le projet de décompte final par l’Entrepreneur est accepté ou rectifié par le Maître d’Œuvre; il devient alors le décompte final.</w:t>
            </w:r>
          </w:p>
          <w:p w14:paraId="4E51E478" w14:textId="77777777" w:rsidR="00BC7757" w:rsidRPr="00BC7757" w:rsidRDefault="00BC7757" w:rsidP="00BC7757">
            <w:pPr>
              <w:tabs>
                <w:tab w:val="left" w:pos="540"/>
              </w:tabs>
              <w:ind w:left="540" w:right="-72" w:hanging="540"/>
              <w:rPr>
                <w:b/>
              </w:rPr>
            </w:pPr>
            <w:r w:rsidRPr="00BC7757">
              <w:rPr>
                <w:b/>
              </w:rPr>
              <w:t>13.4</w:t>
            </w:r>
            <w:r w:rsidRPr="00BC7757">
              <w:rPr>
                <w:b/>
              </w:rPr>
              <w:tab/>
              <w:t>Décompte général et définitif, solde</w:t>
            </w:r>
          </w:p>
          <w:p w14:paraId="36B69C19" w14:textId="77777777" w:rsidR="00BC7757" w:rsidRPr="00BC7757" w:rsidRDefault="00BC7757" w:rsidP="00BC7757">
            <w:pPr>
              <w:tabs>
                <w:tab w:val="left" w:pos="1260"/>
              </w:tabs>
              <w:ind w:left="1260" w:right="-72" w:hanging="720"/>
            </w:pPr>
            <w:r w:rsidRPr="00BC7757">
              <w:t>13.4.1</w:t>
            </w:r>
            <w:r w:rsidRPr="00BC7757">
              <w:tab/>
              <w:t>Le Maître d’Œuvre établit le décompte général qui comprend:</w:t>
            </w:r>
          </w:p>
          <w:p w14:paraId="168F3005" w14:textId="77777777" w:rsidR="00BC7757" w:rsidRPr="00BC7757" w:rsidRDefault="00BC7757" w:rsidP="00BC7757">
            <w:pPr>
              <w:tabs>
                <w:tab w:val="left" w:pos="1800"/>
              </w:tabs>
              <w:ind w:left="1800" w:right="-72" w:hanging="540"/>
            </w:pPr>
            <w:r w:rsidRPr="00BC7757">
              <w:t>a)</w:t>
            </w:r>
            <w:r w:rsidRPr="00BC7757">
              <w:tab/>
              <w:t>Le décompte final défini au paragraphe 3.4 du présent Article;</w:t>
            </w:r>
          </w:p>
          <w:p w14:paraId="0E31E77E" w14:textId="77777777" w:rsidR="00BC7757" w:rsidRPr="00BC7757" w:rsidRDefault="00BC7757" w:rsidP="00BC7757">
            <w:pPr>
              <w:tabs>
                <w:tab w:val="left" w:pos="1800"/>
              </w:tabs>
              <w:ind w:left="1800" w:right="-72" w:hanging="540"/>
            </w:pPr>
            <w:r w:rsidRPr="00BC7757">
              <w:t>b)</w:t>
            </w:r>
            <w:r w:rsidRPr="00BC7757">
              <w:tab/>
              <w:t>L’état du solde établi, à partir du décompte final et du dernier décompte mensuel, dans les mêmes conditions que celles qui sont définies au paragraphe 2.1 du présent Article pour les acomptes mensuels;</w:t>
            </w:r>
          </w:p>
          <w:p w14:paraId="2B8A7EAD" w14:textId="77777777" w:rsidR="00BC7757" w:rsidRPr="00BC7757" w:rsidRDefault="00BC7757" w:rsidP="00BC7757">
            <w:pPr>
              <w:tabs>
                <w:tab w:val="left" w:pos="1800"/>
              </w:tabs>
              <w:ind w:left="1800" w:right="-72" w:hanging="540"/>
            </w:pPr>
            <w:r w:rsidRPr="00BC7757">
              <w:t>c)</w:t>
            </w:r>
            <w:r w:rsidRPr="00BC7757">
              <w:tab/>
              <w:t>La récapitulation des acomptes mensuels et du solde; et</w:t>
            </w:r>
          </w:p>
          <w:p w14:paraId="7B2A8BA2" w14:textId="77777777" w:rsidR="00BC7757" w:rsidRPr="00BC7757" w:rsidRDefault="00BC7757" w:rsidP="00BC7757">
            <w:pPr>
              <w:tabs>
                <w:tab w:val="left" w:pos="1800"/>
              </w:tabs>
              <w:ind w:left="1800" w:right="-72" w:hanging="540"/>
            </w:pPr>
            <w:r w:rsidRPr="00BC7757">
              <w:t>d)</w:t>
            </w:r>
            <w:r w:rsidRPr="00BC7757">
              <w:tab/>
              <w:t>Le montant du décompte général est égal au résultat de cette dernière récapitulation.</w:t>
            </w:r>
          </w:p>
          <w:p w14:paraId="2A3BCF6C" w14:textId="77777777" w:rsidR="00BC7757" w:rsidRPr="00BC7757" w:rsidRDefault="00BC7757" w:rsidP="00BC7757">
            <w:pPr>
              <w:tabs>
                <w:tab w:val="left" w:pos="1260"/>
              </w:tabs>
              <w:ind w:left="1260" w:right="-72" w:hanging="720"/>
            </w:pPr>
            <w:r w:rsidRPr="00BC7757">
              <w:t>13.4.2</w:t>
            </w:r>
            <w:r w:rsidRPr="00BC7757">
              <w:tab/>
              <w:t>Le décompte général, signé par le Chef de Projet, doit être notifié à l’Entrepreneur par ordre de service avant la plus tardive des deux dates ci-après :</w:t>
            </w:r>
          </w:p>
          <w:p w14:paraId="53912897" w14:textId="77777777" w:rsidR="00BC7757" w:rsidRPr="00BC7757" w:rsidRDefault="00BC7757" w:rsidP="00BC7757">
            <w:pPr>
              <w:tabs>
                <w:tab w:val="left" w:pos="1800"/>
              </w:tabs>
              <w:ind w:left="1800" w:right="-72" w:hanging="540"/>
            </w:pPr>
            <w:r w:rsidRPr="00BC7757">
              <w:t>a)</w:t>
            </w:r>
            <w:r w:rsidRPr="00BC7757">
              <w:tab/>
              <w:t>quarante-cinq (45) jours après la date de remise du projet de décompte final;</w:t>
            </w:r>
          </w:p>
          <w:p w14:paraId="02CF1834" w14:textId="77777777" w:rsidR="00BC7757" w:rsidRPr="00BC7757" w:rsidRDefault="00BC7757" w:rsidP="00BC7757">
            <w:pPr>
              <w:tabs>
                <w:tab w:val="left" w:pos="1800"/>
              </w:tabs>
              <w:ind w:left="1800" w:right="-72" w:hanging="540"/>
            </w:pPr>
            <w:r w:rsidRPr="00BC7757">
              <w:t>b)</w:t>
            </w:r>
            <w:r w:rsidRPr="00BC7757">
              <w:tab/>
              <w:t>trente (30) jours après la publication des derniers index de référence permettant la révision du solde.</w:t>
            </w:r>
          </w:p>
          <w:p w14:paraId="5DE03338" w14:textId="77777777" w:rsidR="00BC7757" w:rsidRPr="00BC7757" w:rsidRDefault="00BC7757" w:rsidP="00BC7757">
            <w:pPr>
              <w:tabs>
                <w:tab w:val="left" w:pos="1260"/>
              </w:tabs>
              <w:ind w:left="1260" w:right="-72" w:hanging="720"/>
            </w:pPr>
            <w:r w:rsidRPr="00BC7757">
              <w:t>13.4.3</w:t>
            </w:r>
            <w:r w:rsidRPr="00BC7757">
              <w:tab/>
              <w:t>Le paiement du solde doit intervenir dans un délai de soixante (60) jours à compter de la notification du décompte général.</w:t>
            </w:r>
          </w:p>
          <w:p w14:paraId="7D19CB40" w14:textId="77777777" w:rsidR="00BC7757" w:rsidRPr="00BC7757" w:rsidRDefault="00BC7757" w:rsidP="00BC7757">
            <w:pPr>
              <w:tabs>
                <w:tab w:val="left" w:pos="1260"/>
              </w:tabs>
              <w:ind w:left="1260" w:right="-72" w:hanging="720"/>
            </w:pPr>
            <w:r w:rsidRPr="00BC7757">
              <w:t>13.4.4</w:t>
            </w:r>
            <w:r w:rsidRPr="00BC7757">
              <w:tab/>
              <w:t>L’Entrepreneur doit, dans un délai de quarante-cinq (45) jours compté à partir de la notification du décompte général, le renvoyer au Maître d’Œuvre, revêtu de sa signature, avec ou sans réserves, ou faire connaître les raisons pour lesquelles il refuse de le signer.  Aucune réserve ultérieure ne sera acceptée après que l’Entrepreneur aura renvoyé le décompte.</w:t>
            </w:r>
          </w:p>
          <w:p w14:paraId="61975A46" w14:textId="77777777" w:rsidR="00BC7757" w:rsidRPr="00BC7757" w:rsidRDefault="00BC7757" w:rsidP="00BC7757">
            <w:pPr>
              <w:ind w:left="1260" w:right="-72"/>
            </w:pPr>
            <w:r w:rsidRPr="00BC7757">
              <w:t>Si la signature du décompte général est donnée sans réserve, cette acceptation lie définitivement les parties, sauf en ce qui concerne le montant des intérêts moratoires; ce décompte devient ainsi le décompte général et définitif du Marché.</w:t>
            </w:r>
          </w:p>
          <w:p w14:paraId="066F0B5F" w14:textId="77777777" w:rsidR="00BC7757" w:rsidRPr="00BC7757" w:rsidRDefault="00BC7757" w:rsidP="00BC7757">
            <w:pPr>
              <w:ind w:left="1260" w:right="-72"/>
            </w:pPr>
            <w:r w:rsidRPr="00BC7757">
              <w:t>Si la signature du décompte général est refusée ou donnée avec réserves, les motifs de ce refus ou de ces réserves doivent être exposés par l’Entrepreneur dans un mémoire de réclamation qui précise le montant des sommes dont il revendique le paiement et qui fournit les justifications nécessaires en reprenant, sous peine de forclusion, les réclamations déjà formulées antérieurement qui n’ont pas fait l’objet d’un règlement définitif; ce mémoire doit être remis au Maître d’Œuvre dans le délai indiqué au premier alinéa du présent paragraphe.  Le règlement du différend intervient alors suivant les modalités indiquées à l’Article 50 du CCAG.</w:t>
            </w:r>
          </w:p>
          <w:p w14:paraId="6D13EA1D" w14:textId="77777777" w:rsidR="00BC7757" w:rsidRPr="00BC7757" w:rsidRDefault="00BC7757" w:rsidP="00BC7757">
            <w:pPr>
              <w:ind w:left="1260" w:right="-72"/>
            </w:pPr>
            <w:r w:rsidRPr="00BC7757">
              <w:t>Si les réserves sont partielles, l’Entrepreneur est lié par son acceptation implicite des éléments du décompte sur lesquels ces réserves ne portent pas.</w:t>
            </w:r>
          </w:p>
          <w:p w14:paraId="300959FD" w14:textId="77777777" w:rsidR="00BC7757" w:rsidRPr="00BC7757" w:rsidRDefault="00BC7757" w:rsidP="00BC7757">
            <w:pPr>
              <w:tabs>
                <w:tab w:val="left" w:pos="1260"/>
              </w:tabs>
              <w:ind w:left="1260" w:right="-72" w:hanging="720"/>
            </w:pPr>
            <w:r w:rsidRPr="00BC7757">
              <w:t>13.4.5</w:t>
            </w:r>
            <w:r w:rsidRPr="00BC7757">
              <w:tab/>
              <w:t>Dans le cas où l’Entrepreneur n’a pas renvoyé au Maître d’Œuvre le décompte général signé dans le délai de quarante-cinq (45) jours fixé au paragraphe 4.4 du présent Article, ou encore, dans le cas où, l’ayant renvoyé dans ce délai, il n’a pas motivé son refus ou n’a pas exposé en détail les motifs de ses réserves en précisant le montant de ses réclamations, ce décompte général est réputé être accepté par lui; il devient le décompte général et définitif du Marché.</w:t>
            </w:r>
          </w:p>
        </w:tc>
      </w:tr>
      <w:tr w:rsidR="00BC7757" w:rsidRPr="00BC7757" w14:paraId="164F853F" w14:textId="77777777" w:rsidTr="00BC7757">
        <w:tc>
          <w:tcPr>
            <w:tcW w:w="2160" w:type="dxa"/>
            <w:tcBorders>
              <w:top w:val="nil"/>
              <w:left w:val="nil"/>
              <w:bottom w:val="nil"/>
              <w:right w:val="nil"/>
            </w:tcBorders>
          </w:tcPr>
          <w:p w14:paraId="0A70113C" w14:textId="77777777" w:rsidR="00BC7757" w:rsidRPr="00BC7757" w:rsidRDefault="00BC7757" w:rsidP="00BC7757">
            <w:pPr>
              <w:pStyle w:val="Head42"/>
            </w:pPr>
            <w:bookmarkStart w:id="756" w:name="_Toc348175949"/>
            <w:bookmarkStart w:id="757" w:name="_Toc327539560"/>
            <w:r w:rsidRPr="00BC7757">
              <w:t>14.</w:t>
            </w:r>
            <w:r w:rsidRPr="00BC7757">
              <w:tab/>
              <w:t xml:space="preserve">Règlement du prix des ouvrages ou travaux non </w:t>
            </w:r>
            <w:bookmarkStart w:id="758" w:name="_Toc348175950"/>
            <w:bookmarkStart w:id="759" w:name="_Toc348232773"/>
            <w:r w:rsidRPr="00BC7757">
              <w:t>prévus</w:t>
            </w:r>
            <w:bookmarkEnd w:id="756"/>
            <w:bookmarkEnd w:id="757"/>
            <w:bookmarkEnd w:id="758"/>
            <w:bookmarkEnd w:id="759"/>
          </w:p>
        </w:tc>
        <w:tc>
          <w:tcPr>
            <w:tcW w:w="7398" w:type="dxa"/>
            <w:tcBorders>
              <w:top w:val="nil"/>
              <w:left w:val="nil"/>
              <w:bottom w:val="nil"/>
              <w:right w:val="nil"/>
            </w:tcBorders>
          </w:tcPr>
          <w:p w14:paraId="0851F129" w14:textId="77777777" w:rsidR="00BC7757" w:rsidRPr="00BC7757" w:rsidRDefault="00BC7757" w:rsidP="00BC7757">
            <w:pPr>
              <w:tabs>
                <w:tab w:val="left" w:pos="540"/>
              </w:tabs>
              <w:spacing w:after="220"/>
              <w:ind w:left="540" w:right="-72" w:hanging="540"/>
            </w:pPr>
            <w:r w:rsidRPr="00BC7757">
              <w:t>14.1</w:t>
            </w:r>
            <w:r w:rsidRPr="00BC7757">
              <w:tab/>
              <w:t xml:space="preserve">Le présent Article concerne les ouvrages ou travaux dont la réalisation est demandée par le Maître de l’Ouvrage à l’Entrepreneur et pour lesquels le Marché ne prévoit pas de prix.  Ces travaux pourront être demandés par un ordre de service conforme à l’Article 5.7 du CCAG, et l’Entrepreneur sera tenu de les réaliser dans la mesure où le Montant du Marché, à la date de sa conclusion, est modifié de moins de dix (10) pour cent, sous réserve de dispositions différentes prévues dans le CCAP.  </w:t>
            </w:r>
          </w:p>
          <w:p w14:paraId="4A9D5483" w14:textId="77777777" w:rsidR="00BC7757" w:rsidRPr="00BC7757" w:rsidRDefault="00BC7757" w:rsidP="00BC7757">
            <w:pPr>
              <w:tabs>
                <w:tab w:val="left" w:pos="540"/>
              </w:tabs>
              <w:spacing w:after="220"/>
              <w:ind w:left="540" w:right="-72" w:hanging="540"/>
            </w:pPr>
            <w:r w:rsidRPr="00BC7757">
              <w:t>14.2</w:t>
            </w:r>
            <w:r w:rsidRPr="00BC7757">
              <w:tab/>
              <w:t>Les prix nouveaux concernant les ouvrages ou travaux définis au paragraphe 1 ci-dessus peuvent être soit des prix unitaires, soit des prix forfaitaires.</w:t>
            </w:r>
          </w:p>
          <w:p w14:paraId="10BFFC49" w14:textId="77777777" w:rsidR="00BC7757" w:rsidRPr="00BC7757" w:rsidRDefault="00BC7757" w:rsidP="00BC7757">
            <w:pPr>
              <w:spacing w:after="220"/>
              <w:ind w:left="540" w:right="-72"/>
            </w:pPr>
            <w:r w:rsidRPr="00BC7757">
              <w:t>Sauf indication contraire, ils sont établis sur les mêmes bases que les prix du Marché, notamment en ce qui concerne le calcul de la part à régler en monnaie nationale et en monnaie(s) étrangère(s), et sur la base des conditions économiques en vigueur le mois d’établissement de ces prix.</w:t>
            </w:r>
          </w:p>
          <w:p w14:paraId="303E3611" w14:textId="77777777" w:rsidR="00BC7757" w:rsidRPr="00BC7757" w:rsidRDefault="00BC7757" w:rsidP="00BC7757">
            <w:pPr>
              <w:spacing w:after="220"/>
              <w:ind w:left="540" w:right="-72"/>
            </w:pPr>
            <w:r w:rsidRPr="00BC7757">
              <w:t>S’il existe des décompositions de prix forfaitaires ou des sous détails de prix unitaires, leurs éléments, notamment les prix contenus dans les décompositions, sont utilisés pour l’établissement des prix nouveaux.</w:t>
            </w:r>
          </w:p>
          <w:p w14:paraId="5DACF0D5" w14:textId="77777777" w:rsidR="00BC7757" w:rsidRPr="00BC7757" w:rsidRDefault="00BC7757" w:rsidP="00BC7757">
            <w:pPr>
              <w:tabs>
                <w:tab w:val="left" w:pos="540"/>
              </w:tabs>
              <w:spacing w:after="220"/>
              <w:ind w:left="540" w:right="-72" w:hanging="540"/>
            </w:pPr>
            <w:r w:rsidRPr="00BC7757">
              <w:t>14.3</w:t>
            </w:r>
            <w:r w:rsidRPr="00BC7757">
              <w:tab/>
              <w:t>L’ordre de service mentionné au paragraphe 1 du présent Article, ou un autre ordre de service intervenant au plus tard quinze (15) jours après, notifie à l’Entrepreneur des prix provisoires pour le règlement des ouvrages ou travaux non prévus.</w:t>
            </w:r>
          </w:p>
          <w:p w14:paraId="4EA0003B" w14:textId="77777777" w:rsidR="00BC7757" w:rsidRPr="00BC7757" w:rsidRDefault="00BC7757" w:rsidP="00BC7757">
            <w:pPr>
              <w:spacing w:after="220"/>
              <w:ind w:left="540" w:right="-72"/>
            </w:pPr>
            <w:r w:rsidRPr="00BC7757">
              <w:t>Ces prix provisoires sont arrêtés par le Maître d’Œuvre après consultation de l’Entrepreneur.  Ils sont obligatoirement assortis d’un sous détail, s’il s’agit de prix unitaires, ou d’une décomposition, s’il s’agit de prix forfaitaires, cette décomposition ne comprenant aucun prix d’unité nouveau dans le cas d’un prix forfaitaire pour lequel les changements prescrits ne portent que sur les quantités de natures d’ouvrage ou d’éléments d’ouvrage.</w:t>
            </w:r>
          </w:p>
          <w:p w14:paraId="6B35C401" w14:textId="77777777" w:rsidR="00BC7757" w:rsidRPr="00BC7757" w:rsidRDefault="00BC7757" w:rsidP="00BC7757">
            <w:pPr>
              <w:spacing w:after="220"/>
              <w:ind w:left="540" w:right="-72"/>
            </w:pPr>
            <w:r w:rsidRPr="00BC7757">
              <w:t>Les prix provisoires sont des prix d’attente qui n’impliquent ni l’acceptation du Maître d’Œuvre ni celle de l’Entrepreneur; ils sont appliqués pour l’établissement des décomptes jusqu’à la fixation des prix définitifs.</w:t>
            </w:r>
          </w:p>
          <w:p w14:paraId="08AD3BC6" w14:textId="77777777" w:rsidR="00BC7757" w:rsidRPr="00BC7757" w:rsidRDefault="00BC7757" w:rsidP="00BC7757">
            <w:pPr>
              <w:tabs>
                <w:tab w:val="left" w:pos="540"/>
              </w:tabs>
              <w:ind w:left="540" w:right="-72" w:hanging="540"/>
            </w:pPr>
            <w:r w:rsidRPr="00BC7757">
              <w:t>14.4</w:t>
            </w:r>
            <w:r w:rsidRPr="00BC7757">
              <w:tab/>
              <w:t>L’Entrepreneur est réputé avoir accepté les prix provisoires si, dans le délai de trente (30) jours suivant l’ordre de service qui lui a notifié ces prix, il n’a pas présenté d’observation au Maître d’Œuvre en indiquant, avec toutes justifications utiles, les prix qu’il propose.</w:t>
            </w:r>
          </w:p>
          <w:p w14:paraId="78DAD37F" w14:textId="77777777" w:rsidR="00BC7757" w:rsidRPr="00BC7757" w:rsidRDefault="00BC7757" w:rsidP="00BC7757">
            <w:pPr>
              <w:tabs>
                <w:tab w:val="left" w:pos="540"/>
              </w:tabs>
              <w:ind w:left="540" w:right="-72" w:hanging="540"/>
            </w:pPr>
            <w:r w:rsidRPr="00BC7757">
              <w:t>14.5.</w:t>
            </w:r>
            <w:r w:rsidRPr="00BC7757">
              <w:tab/>
              <w:t>Lorsque le Chef de Projet et l’Entrepreneur sont d’accord pour arrêter les prix définitifs, ceux-ci font l’objet d’un avenant.</w:t>
            </w:r>
          </w:p>
          <w:p w14:paraId="7DF0B4A8" w14:textId="77777777" w:rsidR="00BC7757" w:rsidRPr="00BC7757" w:rsidRDefault="00BC7757" w:rsidP="00BC7757">
            <w:pPr>
              <w:tabs>
                <w:tab w:val="left" w:pos="540"/>
              </w:tabs>
              <w:ind w:left="540" w:right="-72" w:hanging="540"/>
            </w:pPr>
            <w:r w:rsidRPr="00BC7757">
              <w:t>14.6.</w:t>
            </w:r>
            <w:r w:rsidRPr="00BC7757">
              <w:tab/>
              <w:t>En cas de désaccord persistant plus de soixante (60) jours après l’ordre de service entre le Maître de l’Ouvrage et l’Entrepreneur pour la fixation des prix définitifs, le différend sera tranché en application des dispositions de l’Article 50 du CCAG.</w:t>
            </w:r>
          </w:p>
        </w:tc>
      </w:tr>
      <w:tr w:rsidR="00BC7757" w:rsidRPr="00BC7757" w14:paraId="4D85FC03" w14:textId="77777777" w:rsidTr="00BC7757">
        <w:tc>
          <w:tcPr>
            <w:tcW w:w="2160" w:type="dxa"/>
            <w:tcBorders>
              <w:top w:val="nil"/>
              <w:left w:val="nil"/>
              <w:bottom w:val="nil"/>
              <w:right w:val="nil"/>
            </w:tcBorders>
          </w:tcPr>
          <w:p w14:paraId="03B7913D" w14:textId="77777777" w:rsidR="00BC7757" w:rsidRPr="00BC7757" w:rsidRDefault="00BC7757" w:rsidP="00BC7757">
            <w:pPr>
              <w:pStyle w:val="Head42"/>
            </w:pPr>
            <w:bookmarkStart w:id="760" w:name="_Toc348175951"/>
            <w:bookmarkStart w:id="761" w:name="_Toc327539561"/>
            <w:r w:rsidRPr="00BC7757">
              <w:t>15.</w:t>
            </w:r>
            <w:r w:rsidRPr="00BC7757">
              <w:tab/>
              <w:t>Augmentation dans la masse des travaux</w:t>
            </w:r>
            <w:bookmarkEnd w:id="760"/>
            <w:bookmarkEnd w:id="761"/>
          </w:p>
        </w:tc>
        <w:tc>
          <w:tcPr>
            <w:tcW w:w="7398" w:type="dxa"/>
            <w:tcBorders>
              <w:top w:val="nil"/>
              <w:left w:val="nil"/>
              <w:bottom w:val="nil"/>
              <w:right w:val="nil"/>
            </w:tcBorders>
          </w:tcPr>
          <w:p w14:paraId="344B9259" w14:textId="77777777" w:rsidR="00BC7757" w:rsidRPr="00BC7757" w:rsidRDefault="00BC7757" w:rsidP="00BC7757">
            <w:pPr>
              <w:tabs>
                <w:tab w:val="left" w:pos="540"/>
              </w:tabs>
              <w:ind w:left="540" w:right="-72" w:hanging="540"/>
            </w:pPr>
            <w:r w:rsidRPr="00BC7757">
              <w:t>15.1</w:t>
            </w:r>
            <w:r w:rsidRPr="00BC7757">
              <w:tab/>
              <w:t>Pour l’application du présent Article et de l’Article 16 du CCAG, la “masse” des travaux s’entend du montant des travaux à l’entreprise, évalués à partir des prix de base définis au paragraphe 13.1.1 du CCAG, en tenant compte éventuellement des prix nouveaux, définitifs ou provisoires, fixés en application de l’Article 14 du CCAG.</w:t>
            </w:r>
          </w:p>
          <w:p w14:paraId="523A3B38" w14:textId="77777777" w:rsidR="00BC7757" w:rsidRPr="00BC7757" w:rsidRDefault="00BC7757" w:rsidP="00BC7757">
            <w:pPr>
              <w:ind w:left="540" w:right="-72"/>
            </w:pPr>
            <w:r w:rsidRPr="00BC7757">
              <w:t>La “masse initiale” des travaux est la masse des travaux résultant des prévisions du Marché, c’est</w:t>
            </w:r>
            <w:r w:rsidRPr="00BC7757">
              <w:noBreakHyphen/>
              <w:t>à</w:t>
            </w:r>
            <w:r w:rsidRPr="00BC7757">
              <w:noBreakHyphen/>
              <w:t>dire du Marché initial éventuellement modifié ou complété par les avenants intervenus.</w:t>
            </w:r>
          </w:p>
          <w:p w14:paraId="1EFEB9D9" w14:textId="77777777" w:rsidR="00BC7757" w:rsidRPr="00BC7757" w:rsidRDefault="00BC7757" w:rsidP="00BC7757">
            <w:pPr>
              <w:tabs>
                <w:tab w:val="left" w:pos="540"/>
              </w:tabs>
              <w:ind w:left="540" w:right="-72" w:hanging="540"/>
            </w:pPr>
            <w:r w:rsidRPr="00BC7757">
              <w:t>15.2</w:t>
            </w:r>
            <w:r w:rsidRPr="00BC7757">
              <w:tab/>
              <w:t>Sous réserve de l’application des dispositions du paragraphe 4 du présent Article, l’Entrepreneur est tenu de mener à son terme la réalisation des ouvrages faisant l’objet du Marché, quelle que soit l’importance de l’augmentation de la masse des travaux qui peut résulter de sujétions techniques ou d’insuffisance des quantités prévues dans le Marché.</w:t>
            </w:r>
          </w:p>
          <w:p w14:paraId="2D2C7FE4" w14:textId="77777777" w:rsidR="00BC7757" w:rsidRPr="00BC7757" w:rsidRDefault="00BC7757" w:rsidP="00BC7757">
            <w:pPr>
              <w:tabs>
                <w:tab w:val="left" w:pos="540"/>
              </w:tabs>
              <w:ind w:left="540" w:right="-72" w:hanging="540"/>
            </w:pPr>
            <w:r w:rsidRPr="00BC7757">
              <w:t>15.3</w:t>
            </w:r>
            <w:r w:rsidRPr="00BC7757">
              <w:tab/>
              <w:t xml:space="preserve">Si l’augmentation de la masse des travaux est supérieure à </w:t>
            </w:r>
            <w:proofErr w:type="spellStart"/>
            <w:r w:rsidRPr="00BC7757">
              <w:t>vingt cinq</w:t>
            </w:r>
            <w:proofErr w:type="spellEnd"/>
            <w:r w:rsidRPr="00BC7757">
              <w:t xml:space="preserve"> (25) pour cent de la masse initiale, l’Entrepreneur a droit à être indemnisé en fin de compte du préjudice qu’il a éventuellement subi du fait de cette augmentation au-delà de l’augmentation limite de vingt-cinq (25) pour cent.</w:t>
            </w:r>
          </w:p>
          <w:p w14:paraId="1F33214D" w14:textId="77777777" w:rsidR="00BC7757" w:rsidRPr="00BC7757" w:rsidRDefault="00BC7757" w:rsidP="00BC7757">
            <w:pPr>
              <w:tabs>
                <w:tab w:val="left" w:pos="540"/>
              </w:tabs>
              <w:ind w:left="540" w:right="-72" w:hanging="540"/>
            </w:pPr>
            <w:r w:rsidRPr="00BC7757">
              <w:t>15.4</w:t>
            </w:r>
            <w:r w:rsidRPr="00BC7757">
              <w:tab/>
              <w:t>Lorsque la masse des travaux exécutés atteint la masse initiale, l’Entrepreneur doit arrêter les travaux s’il n’a pas reçu un ordre de service lui notifiant la décision de les poursuivre prise par le Chef de Projet.  Cette décision de poursuivre n’est valable que si elle indique le montant limite jusqu’où les travaux pourront être poursuivis, le dépassement éventuel de ce montant limite devant donner lieu à la même procédure et entraîner les mêmes conséquences que celles qui sont définies ci-après pour le dépassement de la masse initiale.</w:t>
            </w:r>
          </w:p>
          <w:p w14:paraId="079147CA" w14:textId="77777777" w:rsidR="00BC7757" w:rsidRPr="00BC7757" w:rsidRDefault="00BC7757" w:rsidP="00BC7757">
            <w:pPr>
              <w:ind w:left="540" w:right="-72"/>
            </w:pPr>
            <w:r w:rsidRPr="00BC7757">
              <w:t>L’Entrepreneur est tenu d’aviser le Maître d’Œuvre, trente (30) jours au moins à l’avance de la date probable à laquelle la masse des travaux atteindra la masse initiale.  L’ordre de poursuivre les travaux au-delà de la masse initiale, s’il est donné, doit être notifié dix (10) jours au moins avant cette date.</w:t>
            </w:r>
          </w:p>
          <w:p w14:paraId="6B7BC86D" w14:textId="77777777" w:rsidR="00BC7757" w:rsidRPr="00BC7757" w:rsidRDefault="00BC7757" w:rsidP="00BC7757">
            <w:pPr>
              <w:ind w:left="540" w:right="-72"/>
            </w:pPr>
            <w:r w:rsidRPr="00BC7757">
              <w:t>A défaut d’ordre de poursuivre, les travaux qui sont exécutés au-delà de la masse initiale ne sont pas payés et les mesures conservatoires à prendre, décidées par le Maître d’Œuvre, sont à la charge du Maître de l’Ouvrage sauf si l’Entrepreneur n’a pas adressé l’avis prévu ci-dessus.</w:t>
            </w:r>
          </w:p>
          <w:p w14:paraId="06C4F8B5" w14:textId="77777777" w:rsidR="00BC7757" w:rsidRPr="00BC7757" w:rsidRDefault="00BC7757" w:rsidP="00BC7757">
            <w:pPr>
              <w:tabs>
                <w:tab w:val="left" w:pos="540"/>
              </w:tabs>
              <w:ind w:left="540" w:right="-72" w:hanging="540"/>
            </w:pPr>
            <w:r w:rsidRPr="00BC7757">
              <w:t>15.5.</w:t>
            </w:r>
            <w:r w:rsidRPr="00BC7757">
              <w:tab/>
              <w:t xml:space="preserve">Dans les quinze (15) jours qui suivent tout ordre de service ayant pour effet d’entraîner une modification de la masse des travaux, le Maître d’Œuvre fait part à l’Entrepreneur de l’estimation prévisionnelle qu’il fait de cette modification.  </w:t>
            </w:r>
          </w:p>
        </w:tc>
      </w:tr>
      <w:tr w:rsidR="00BC7757" w:rsidRPr="00BC7757" w14:paraId="01F8192D" w14:textId="77777777" w:rsidTr="00BC7757">
        <w:tc>
          <w:tcPr>
            <w:tcW w:w="2160" w:type="dxa"/>
            <w:tcBorders>
              <w:top w:val="nil"/>
              <w:left w:val="nil"/>
              <w:bottom w:val="nil"/>
              <w:right w:val="nil"/>
            </w:tcBorders>
          </w:tcPr>
          <w:p w14:paraId="2821EB23" w14:textId="77777777" w:rsidR="00BC7757" w:rsidRPr="00BC7757" w:rsidRDefault="00BC7757" w:rsidP="00BC7757">
            <w:pPr>
              <w:pStyle w:val="Head42"/>
            </w:pPr>
            <w:bookmarkStart w:id="762" w:name="_Toc348175952"/>
            <w:bookmarkStart w:id="763" w:name="_Toc327539562"/>
            <w:r w:rsidRPr="00BC7757">
              <w:t>16.</w:t>
            </w:r>
            <w:r w:rsidRPr="00BC7757">
              <w:tab/>
              <w:t>Diminution de la masse des travaux</w:t>
            </w:r>
            <w:bookmarkEnd w:id="762"/>
            <w:bookmarkEnd w:id="763"/>
          </w:p>
        </w:tc>
        <w:tc>
          <w:tcPr>
            <w:tcW w:w="7398" w:type="dxa"/>
            <w:tcBorders>
              <w:top w:val="nil"/>
              <w:left w:val="nil"/>
              <w:bottom w:val="nil"/>
              <w:right w:val="nil"/>
            </w:tcBorders>
          </w:tcPr>
          <w:p w14:paraId="384674B5" w14:textId="77777777" w:rsidR="00BC7757" w:rsidRPr="00BC7757" w:rsidRDefault="00BC7757" w:rsidP="00BC7757">
            <w:pPr>
              <w:tabs>
                <w:tab w:val="left" w:pos="540"/>
              </w:tabs>
              <w:ind w:left="540" w:right="-72" w:hanging="540"/>
            </w:pPr>
            <w:r w:rsidRPr="00BC7757">
              <w:t>16.1</w:t>
            </w:r>
            <w:r w:rsidRPr="00BC7757">
              <w:tab/>
              <w:t xml:space="preserve">Si la diminution de la masse des travaux est supérieure à </w:t>
            </w:r>
            <w:proofErr w:type="spellStart"/>
            <w:r w:rsidRPr="00BC7757">
              <w:t>vingt cinq</w:t>
            </w:r>
            <w:proofErr w:type="spellEnd"/>
            <w:r w:rsidRPr="00BC7757">
              <w:t xml:space="preserve"> (25) pour cent de la masse initiale, l’Entrepreneur a droit à être indemnisé en fin de compte du préjudice qu’il a éventuellement subi du fait de cette diminution au-delà de la diminution limite de vingt-cinq (25) pour cent.</w:t>
            </w:r>
          </w:p>
        </w:tc>
      </w:tr>
      <w:tr w:rsidR="00BC7757" w:rsidRPr="00BC7757" w14:paraId="4CF85895" w14:textId="77777777" w:rsidTr="00BC7757">
        <w:tc>
          <w:tcPr>
            <w:tcW w:w="2160" w:type="dxa"/>
            <w:tcBorders>
              <w:top w:val="nil"/>
              <w:left w:val="nil"/>
              <w:bottom w:val="nil"/>
              <w:right w:val="nil"/>
            </w:tcBorders>
          </w:tcPr>
          <w:p w14:paraId="25EA8986" w14:textId="77777777" w:rsidR="00BC7757" w:rsidRPr="00BC7757" w:rsidRDefault="00BC7757" w:rsidP="00BC7757">
            <w:pPr>
              <w:pStyle w:val="Head42"/>
            </w:pPr>
            <w:bookmarkStart w:id="764" w:name="_Toc348175953"/>
            <w:bookmarkStart w:id="765" w:name="_Toc327539563"/>
            <w:r w:rsidRPr="00BC7757">
              <w:t>17.</w:t>
            </w:r>
            <w:r w:rsidRPr="00BC7757">
              <w:tab/>
              <w:t xml:space="preserve">Changement </w:t>
            </w:r>
            <w:bookmarkStart w:id="766" w:name="_Toc348175954"/>
            <w:bookmarkStart w:id="767" w:name="_Toc348232777"/>
            <w:r w:rsidRPr="00BC7757">
              <w:t>dans l’importance des diverses natures d’ouvrage</w:t>
            </w:r>
            <w:bookmarkEnd w:id="764"/>
            <w:bookmarkEnd w:id="765"/>
            <w:bookmarkEnd w:id="766"/>
            <w:bookmarkEnd w:id="767"/>
          </w:p>
        </w:tc>
        <w:tc>
          <w:tcPr>
            <w:tcW w:w="7398" w:type="dxa"/>
            <w:tcBorders>
              <w:top w:val="nil"/>
              <w:left w:val="nil"/>
              <w:bottom w:val="nil"/>
              <w:right w:val="nil"/>
            </w:tcBorders>
          </w:tcPr>
          <w:p w14:paraId="31AA99AC" w14:textId="77777777" w:rsidR="00BC7757" w:rsidRPr="00BC7757" w:rsidRDefault="00BC7757" w:rsidP="00BC7757">
            <w:pPr>
              <w:tabs>
                <w:tab w:val="left" w:pos="540"/>
              </w:tabs>
              <w:ind w:left="540" w:right="-72" w:hanging="540"/>
            </w:pPr>
            <w:r w:rsidRPr="00BC7757">
              <w:t>17.1</w:t>
            </w:r>
            <w:r w:rsidRPr="00BC7757">
              <w:tab/>
              <w:t>Dans le cas d’éléments de travaux réglés sur prix unitaires, lorsque par suite d’ordres de service ou de circonstances qui ne sont ni de la faute ni du fait de l’Entrepreneur, l’importance de certaines natures d’ouvrages est modifiée de telle sorte que les quantités exécutées diffèrent de plus de trente (30) pour cent en plus, ou de plus de vingt-cinq (25) pour cent en moins des quantités portées au Détail estimatif et quantitatif du Marché, l’Entrepreneur a droit à être indemnisé en fin de compte du préjudice que lui ont éventuellement causé ces changements.</w:t>
            </w:r>
          </w:p>
          <w:p w14:paraId="78D62A9B" w14:textId="77777777" w:rsidR="00BC7757" w:rsidRPr="00BC7757" w:rsidRDefault="00BC7757" w:rsidP="00BC7757">
            <w:pPr>
              <w:ind w:left="540" w:right="-72"/>
            </w:pPr>
            <w:r w:rsidRPr="00BC7757">
              <w:t xml:space="preserve">L’indemnité à accorder s’il y a lieu sera calculée d’après la différence entre les quantités réellement exécutées et les quantités prévues augmentées de trente (30) pour cent ou diminué de </w:t>
            </w:r>
            <w:proofErr w:type="spellStart"/>
            <w:r w:rsidRPr="00BC7757">
              <w:t>vingt cinq</w:t>
            </w:r>
            <w:proofErr w:type="spellEnd"/>
            <w:r w:rsidRPr="00BC7757">
              <w:t xml:space="preserve"> (25) pour cent.</w:t>
            </w:r>
          </w:p>
          <w:p w14:paraId="4B2D7551" w14:textId="77777777" w:rsidR="00BC7757" w:rsidRPr="00BC7757" w:rsidRDefault="00BC7757" w:rsidP="00BC7757">
            <w:pPr>
              <w:ind w:left="540" w:right="-72"/>
            </w:pPr>
            <w:r w:rsidRPr="00BC7757">
              <w:t>Les stipulations qui précèdent ne sont pas applicables aux natures d’ouvrages pour lesquelles les montants des travaux figurant, d’une part, au Détail quantitatif et estimatif du Marché et, d’autre part, au décompte final des travaux sont l’un et l’autre inférieurs à cinq (5) pour cent du montant du Marché.</w:t>
            </w:r>
          </w:p>
          <w:p w14:paraId="29FA8BC1" w14:textId="77777777" w:rsidR="00BC7757" w:rsidRPr="00BC7757" w:rsidRDefault="00BC7757" w:rsidP="00BC7757">
            <w:pPr>
              <w:ind w:left="540" w:right="-72"/>
            </w:pPr>
            <w:r w:rsidRPr="00BC7757">
              <w:t>Sauf stipulation différente du CCAP, l’Entrepreneur ne peut prétendre à aucune indemnité à l’occasion de l’exécution de natures d’ouvrages dont les prix unitaires figurent au Bordereau des prix mais pour lesquels le Détail quantitatif et estimatif ne comporte pas explicitement des quantités, sauf toutefois si le montant total des travaux exécutés auxquels s’appliquent de tels prix excède cinq (5) pour cent du montant du Marché.</w:t>
            </w:r>
          </w:p>
          <w:p w14:paraId="0BD0311A" w14:textId="77777777" w:rsidR="00BC7757" w:rsidRPr="00BC7757" w:rsidRDefault="00BC7757" w:rsidP="00BC7757">
            <w:pPr>
              <w:tabs>
                <w:tab w:val="left" w:pos="540"/>
              </w:tabs>
              <w:ind w:left="540" w:right="-72" w:hanging="540"/>
            </w:pPr>
            <w:r w:rsidRPr="00BC7757">
              <w:t>17.2</w:t>
            </w:r>
            <w:r w:rsidRPr="00BC7757">
              <w:tab/>
              <w:t>Dans le cas d’éléments de travaux réglés sur prix forfaitaires, lorsque des changements sont ordonnés par le Maître d’Œuvre dans la consistance des travaux, le prix nouveau fixé suivant les modalités prévues à l’Article 14 du CCAG tient compte des charges supplémentaires éventuellement supportées par l’Entrepreneur du fait de ces changements, à l’exclusion du préjudice indemnisé, s’il y a lieu, par application de l’Article 15.3 ou de l’Article 16.</w:t>
            </w:r>
          </w:p>
        </w:tc>
      </w:tr>
      <w:tr w:rsidR="00BC7757" w:rsidRPr="00BC7757" w14:paraId="78457DFC" w14:textId="77777777" w:rsidTr="00BC7757">
        <w:tc>
          <w:tcPr>
            <w:tcW w:w="2160" w:type="dxa"/>
            <w:tcBorders>
              <w:top w:val="nil"/>
              <w:left w:val="nil"/>
              <w:bottom w:val="nil"/>
              <w:right w:val="nil"/>
            </w:tcBorders>
          </w:tcPr>
          <w:p w14:paraId="6E6B376C" w14:textId="77777777" w:rsidR="00BC7757" w:rsidRPr="00BC7757" w:rsidRDefault="00BC7757" w:rsidP="00BC7757">
            <w:pPr>
              <w:pStyle w:val="Head42"/>
            </w:pPr>
            <w:bookmarkStart w:id="768" w:name="_Toc348175955"/>
            <w:bookmarkStart w:id="769" w:name="_Toc327539564"/>
            <w:r w:rsidRPr="00BC7757">
              <w:t>18.</w:t>
            </w:r>
            <w:r w:rsidRPr="00BC7757">
              <w:tab/>
              <w:t>Pertes et avaries - Force majeure</w:t>
            </w:r>
            <w:bookmarkEnd w:id="768"/>
            <w:bookmarkEnd w:id="769"/>
          </w:p>
        </w:tc>
        <w:tc>
          <w:tcPr>
            <w:tcW w:w="7398" w:type="dxa"/>
            <w:tcBorders>
              <w:top w:val="nil"/>
              <w:left w:val="nil"/>
              <w:bottom w:val="nil"/>
              <w:right w:val="nil"/>
            </w:tcBorders>
          </w:tcPr>
          <w:p w14:paraId="223A2EA3" w14:textId="77777777" w:rsidR="00BC7757" w:rsidRPr="00BC7757" w:rsidRDefault="00BC7757" w:rsidP="00BC7757">
            <w:pPr>
              <w:tabs>
                <w:tab w:val="left" w:pos="540"/>
              </w:tabs>
              <w:ind w:left="540" w:right="-72" w:hanging="540"/>
            </w:pPr>
            <w:r w:rsidRPr="00BC7757">
              <w:t>18.1</w:t>
            </w:r>
            <w:r w:rsidRPr="00BC7757">
              <w:tab/>
              <w:t>Il n’est alloué à l’Entrepreneur aucune indemnité au titre des pertes, avaries ou dommages causés par sa négligence, son imprévoyance, son défaut de moyens ou ses fausses manœuvres.</w:t>
            </w:r>
          </w:p>
          <w:p w14:paraId="2D1BD532" w14:textId="77777777" w:rsidR="00BC7757" w:rsidRPr="00BC7757" w:rsidRDefault="00BC7757" w:rsidP="00BC7757">
            <w:pPr>
              <w:tabs>
                <w:tab w:val="left" w:pos="540"/>
              </w:tabs>
              <w:ind w:left="540" w:right="-72" w:hanging="540"/>
            </w:pPr>
            <w:r w:rsidRPr="00BC7757">
              <w:t>18.2.</w:t>
            </w:r>
            <w:r w:rsidRPr="00BC7757">
              <w:tab/>
              <w:t>L’Entrepreneur doit prendre à ses frais, risques et périls les dispositions nécessaires pour que les approvisionnements et le matériel et les installations de chantier ainsi que les ouvrages en construction ne puissent être enlevés ou endommagés par les tempêtes, les crues, la houle et les autres phénomènes naturels qui sont normalement prévisibles dans les circonstances où sont exécutés les travaux.</w:t>
            </w:r>
          </w:p>
          <w:p w14:paraId="1FCE9890" w14:textId="77777777" w:rsidR="00BC7757" w:rsidRPr="00BC7757" w:rsidRDefault="00BC7757" w:rsidP="00BC7757">
            <w:pPr>
              <w:tabs>
                <w:tab w:val="left" w:pos="540"/>
              </w:tabs>
              <w:ind w:left="540" w:right="-72" w:hanging="540"/>
            </w:pPr>
            <w:r w:rsidRPr="00BC7757">
              <w:t>18.3</w:t>
            </w:r>
            <w:r w:rsidRPr="00BC7757">
              <w:tab/>
              <w:t>On entend par force majeure, pour l’exécution du présent Marché, tout acte ou événement imprévisible, irrésistible, hors du contrôle des parties et qui rend l’exécution du Marché pratiquement impossible, tel que catastrophes naturelles, incendies, explosions, guerre, insurrection, mobilisation, grèves générales, tremblements de terre, mais non les actes ou événements qui rendraient seulement l’exécution d’une obligation plus difficile ou plus onéreuse pour son débiteur.</w:t>
            </w:r>
          </w:p>
          <w:p w14:paraId="53BF8508" w14:textId="77777777" w:rsidR="00BC7757" w:rsidRPr="00BC7757" w:rsidRDefault="00BC7757" w:rsidP="00BC7757">
            <w:pPr>
              <w:ind w:left="540" w:right="-72"/>
            </w:pPr>
            <w:r w:rsidRPr="00BC7757">
              <w:t>Le CCAP définit, en tant que besoin, le seuil des intempéries et autres phénomènes naturels qui sont réputés constituer un événement de force majeure au titre du présent Marché.</w:t>
            </w:r>
          </w:p>
          <w:p w14:paraId="755F7100" w14:textId="77777777" w:rsidR="00BC7757" w:rsidRPr="00BC7757" w:rsidRDefault="00BC7757" w:rsidP="00BC7757">
            <w:pPr>
              <w:ind w:left="540" w:right="-72"/>
            </w:pPr>
            <w:r w:rsidRPr="00BC7757">
              <w:t>En cas de survenance d’un événement de force majeure, l’Entrepreneur a droit à une indemnisation du préjudice subi et à une augmentation raisonnable des délais d’exécution, étant précisé toutefois qu’aucune indemnité ne peut néanmoins être accordée à l’Entrepreneur pour perte totale ou partielle de son matériel flottant, les frais d’assurance de ce matériel étant réputés compris dans les prix du Marché.</w:t>
            </w:r>
          </w:p>
          <w:p w14:paraId="697EF8D2" w14:textId="77777777" w:rsidR="00BC7757" w:rsidRPr="00BC7757" w:rsidRDefault="00BC7757" w:rsidP="00BC7757">
            <w:pPr>
              <w:ind w:left="540" w:right="-72"/>
            </w:pPr>
            <w:r w:rsidRPr="00BC7757">
              <w:t>L’Entrepreneur qui invoque le cas de force majeure devra aussitôt après l’apparition d’un cas de force majeure, et dans un délai maximum de quatorze (14jours, adresser au Maître de l’Ouvrage une notification par lettre recommandée ou par tout autre moyen disponible établissant les éléments constitutifs de la force majeure et ses conséquences probables sur la réalisation du Marché.</w:t>
            </w:r>
          </w:p>
          <w:p w14:paraId="471C78D0" w14:textId="77777777" w:rsidR="00BC7757" w:rsidRPr="00BC7757" w:rsidRDefault="00BC7757" w:rsidP="00BC7757">
            <w:pPr>
              <w:ind w:left="540" w:right="-72"/>
            </w:pPr>
            <w:r w:rsidRPr="00BC7757">
              <w:t>Dans tous les cas, l’Entrepreneur devra prendre toutes dispositions utiles pour assurer, dans les plus brefs délais, la reprise normale de l’exécution des obligations affectées par le cas de force majeure.</w:t>
            </w:r>
          </w:p>
          <w:p w14:paraId="2A53AC50" w14:textId="77777777" w:rsidR="00BC7757" w:rsidRPr="00BC7757" w:rsidRDefault="00BC7757" w:rsidP="00BC7757">
            <w:pPr>
              <w:ind w:left="540" w:right="-72"/>
            </w:pPr>
            <w:r w:rsidRPr="00BC7757">
              <w:t>Si, par la suite de cas de force majeure, l’Entrepreneur ne pouvait exécuter les prestations telles que prévues au Marché pendant une période de trente (30) jours, il devra examiner dans les plus brefs délais avec le Maître de l’Ouvrage les incidences contractuelles desdits événements sur l’exécution du Marché et en particulier sur le prix, les délais et les obligations respectives de chacune des parties.</w:t>
            </w:r>
          </w:p>
          <w:p w14:paraId="6706505A" w14:textId="77777777" w:rsidR="00BC7757" w:rsidRPr="00BC7757" w:rsidRDefault="00BC7757" w:rsidP="00BC7757">
            <w:pPr>
              <w:ind w:left="540" w:right="-72"/>
            </w:pPr>
            <w:r w:rsidRPr="00BC7757">
              <w:t>Quand une situation de force majeure aura existé pendant une période de soixante (60) jours au moins, chaque partie aura le droit de résilier le Marché par une notification écrite à l’autre partie.</w:t>
            </w:r>
          </w:p>
        </w:tc>
      </w:tr>
    </w:tbl>
    <w:p w14:paraId="1CFF1EF7" w14:textId="77777777" w:rsidR="00BC7757" w:rsidRPr="00BC7757" w:rsidRDefault="00BC7757" w:rsidP="00BC7757"/>
    <w:p w14:paraId="0253AB4C" w14:textId="77777777" w:rsidR="00BC7757" w:rsidRPr="00BC7757" w:rsidRDefault="00BC7757" w:rsidP="00BC7757">
      <w:pPr>
        <w:pStyle w:val="Head41"/>
      </w:pPr>
      <w:bookmarkStart w:id="770" w:name="_Toc348175956"/>
      <w:bookmarkStart w:id="771" w:name="_Toc327539565"/>
      <w:r w:rsidRPr="00BC7757">
        <w:t>C.  Délais</w:t>
      </w:r>
      <w:bookmarkEnd w:id="770"/>
      <w:bookmarkEnd w:id="771"/>
    </w:p>
    <w:tbl>
      <w:tblPr>
        <w:tblW w:w="9558" w:type="dxa"/>
        <w:tblLayout w:type="fixed"/>
        <w:tblLook w:val="0000" w:firstRow="0" w:lastRow="0" w:firstColumn="0" w:lastColumn="0" w:noHBand="0" w:noVBand="0"/>
      </w:tblPr>
      <w:tblGrid>
        <w:gridCol w:w="2160"/>
        <w:gridCol w:w="7398"/>
      </w:tblGrid>
      <w:tr w:rsidR="00BC7757" w:rsidRPr="00BC7757" w14:paraId="046309DD" w14:textId="77777777" w:rsidTr="000977EF">
        <w:tc>
          <w:tcPr>
            <w:tcW w:w="2160" w:type="dxa"/>
            <w:tcBorders>
              <w:top w:val="nil"/>
              <w:left w:val="nil"/>
              <w:bottom w:val="nil"/>
              <w:right w:val="nil"/>
            </w:tcBorders>
          </w:tcPr>
          <w:p w14:paraId="33CBDFEF" w14:textId="77777777" w:rsidR="00BC7757" w:rsidRPr="00BC7757" w:rsidRDefault="00BC7757" w:rsidP="00BC7757">
            <w:pPr>
              <w:pStyle w:val="Head42"/>
            </w:pPr>
            <w:bookmarkStart w:id="772" w:name="_Toc348175957"/>
            <w:bookmarkStart w:id="773" w:name="_Toc327539566"/>
            <w:r w:rsidRPr="00BC7757">
              <w:t>19.</w:t>
            </w:r>
            <w:r w:rsidRPr="00BC7757">
              <w:tab/>
              <w:t>Fixation et prolongation des délais</w:t>
            </w:r>
            <w:bookmarkEnd w:id="772"/>
            <w:bookmarkEnd w:id="773"/>
          </w:p>
        </w:tc>
        <w:tc>
          <w:tcPr>
            <w:tcW w:w="7398" w:type="dxa"/>
            <w:tcBorders>
              <w:top w:val="nil"/>
              <w:left w:val="nil"/>
              <w:bottom w:val="nil"/>
              <w:right w:val="nil"/>
            </w:tcBorders>
          </w:tcPr>
          <w:p w14:paraId="2F5AB2C2" w14:textId="77777777" w:rsidR="00BC7757" w:rsidRPr="00BC7757" w:rsidRDefault="00BC7757" w:rsidP="00BC7757">
            <w:pPr>
              <w:tabs>
                <w:tab w:val="left" w:pos="540"/>
              </w:tabs>
              <w:ind w:left="540" w:right="-72" w:hanging="540"/>
            </w:pPr>
            <w:r w:rsidRPr="00BC7757">
              <w:rPr>
                <w:b/>
              </w:rPr>
              <w:t>19.1</w:t>
            </w:r>
            <w:r w:rsidRPr="00BC7757">
              <w:rPr>
                <w:b/>
              </w:rPr>
              <w:tab/>
              <w:t>Délais d’exécution</w:t>
            </w:r>
          </w:p>
          <w:p w14:paraId="45889BA3" w14:textId="77777777" w:rsidR="00BC7757" w:rsidRPr="00BC7757" w:rsidRDefault="00BC7757" w:rsidP="00BC7757">
            <w:pPr>
              <w:tabs>
                <w:tab w:val="left" w:pos="1260"/>
              </w:tabs>
              <w:ind w:left="1260" w:right="-72" w:hanging="720"/>
            </w:pPr>
            <w:r w:rsidRPr="00BC7757">
              <w:t>19.1.1</w:t>
            </w:r>
            <w:r w:rsidRPr="00BC7757">
              <w:tab/>
              <w:t>Le délai d’exécution des travaux fixé par le Marché s’applique à l’achèvement de tous les travaux prévus incombant à l’Entrepreneur, y compris, sauf dispositions contraires du Marché et dans les limites prévues à l’Article 41.9 du CCAG, le repliement des installations de chantier et la remise en état des terrains et des lieux.  Ce délai tient compte notamment de toutes les sujétions résultant, le cas échéant, des travaux réalisés par des sous-traitants et/ou par toutes autres entreprises sur le Site.</w:t>
            </w:r>
          </w:p>
          <w:p w14:paraId="24C789EB" w14:textId="77777777" w:rsidR="00BC7757" w:rsidRPr="00BC7757" w:rsidRDefault="00BC7757" w:rsidP="00BC7757">
            <w:pPr>
              <w:ind w:left="1260" w:right="-72"/>
            </w:pPr>
            <w:r w:rsidRPr="00BC7757">
              <w:t xml:space="preserve">Sous réserve de disposition contraire figurant au CCAP, ce délai commence à courir à compter de la date d’entrée en vigueur du Marché qui vaut également ordre de service de commencer les travaux, et il comprend la période de mobilisation définie à l’Article 28.1 du CCAG. </w:t>
            </w:r>
          </w:p>
          <w:p w14:paraId="1602BDB6" w14:textId="77777777" w:rsidR="00BC7757" w:rsidRPr="00BC7757" w:rsidRDefault="00BC7757" w:rsidP="00BC7757">
            <w:pPr>
              <w:tabs>
                <w:tab w:val="left" w:pos="1260"/>
              </w:tabs>
              <w:ind w:left="1260" w:right="-72" w:hanging="720"/>
            </w:pPr>
            <w:r w:rsidRPr="00BC7757">
              <w:t>19.1.2</w:t>
            </w:r>
            <w:r w:rsidRPr="00BC7757">
              <w:tab/>
              <w:t>Les dispositions du paragraphe 1.1 du présent Article s’appliquent aux délais, distincts du délai d’exécution de l’ensemble des travaux, qui peuvent être fixés par le Marché pour l’exécution de certaines tranches de travaux, ou de certains ouvrages, parties d’ouvrages ou ensembles des prestations.</w:t>
            </w:r>
          </w:p>
          <w:p w14:paraId="0234B195" w14:textId="77777777" w:rsidR="00BC7757" w:rsidRPr="00BC7757" w:rsidRDefault="00BC7757" w:rsidP="00BC7757">
            <w:pPr>
              <w:tabs>
                <w:tab w:val="left" w:pos="540"/>
              </w:tabs>
              <w:ind w:left="540" w:right="-72" w:hanging="540"/>
            </w:pPr>
            <w:r w:rsidRPr="00BC7757">
              <w:rPr>
                <w:b/>
              </w:rPr>
              <w:t>19.2</w:t>
            </w:r>
            <w:r w:rsidRPr="00BC7757">
              <w:rPr>
                <w:b/>
              </w:rPr>
              <w:tab/>
              <w:t>Prolongation des délais d’exécution</w:t>
            </w:r>
          </w:p>
          <w:p w14:paraId="3A8D5907" w14:textId="77777777" w:rsidR="00BC7757" w:rsidRPr="00BC7757" w:rsidRDefault="00BC7757" w:rsidP="00BC7757">
            <w:pPr>
              <w:tabs>
                <w:tab w:val="left" w:pos="1260"/>
              </w:tabs>
              <w:ind w:left="1260" w:right="-72" w:hanging="720"/>
            </w:pPr>
            <w:r w:rsidRPr="00BC7757">
              <w:t>19.2.1</w:t>
            </w:r>
            <w:r w:rsidRPr="00BC7757">
              <w:tab/>
              <w:t>Lorsqu’un changement de la masse de travaux ou une modification de l’importance de certaines natures d’ouvrages, une substitution à des ouvrages initialement prévus d’ouvrages différents, une rencontre de difficultés imprévues au cours du chantier, un ajournement de travaux décidé par le Chef de Projet ou encore un retard dans l’exécution d’opérations préliminaires qui sont à la charge du Maître de l’Ouvrage ou de travaux préalables qui font l’objet d’un autre Marché, justifie soit une prolongation du délai d’exécution, soit le report du début des travaux, l’importance de la prolongation ou du report est débattue par le Maître d’Œuvre avec l’Entrepreneur, puis elle est soumise à l’approbation du Chef de Projet, et la décision prise par celui-ci est notifiée à l’Entrepreneur par ordre de service.</w:t>
            </w:r>
          </w:p>
          <w:p w14:paraId="5B9D285A" w14:textId="77777777" w:rsidR="00BC7757" w:rsidRPr="00BC7757" w:rsidRDefault="00BC7757" w:rsidP="00BC7757">
            <w:pPr>
              <w:tabs>
                <w:tab w:val="left" w:pos="1260"/>
              </w:tabs>
              <w:ind w:left="1260" w:right="-72" w:hanging="720"/>
            </w:pPr>
            <w:r w:rsidRPr="00BC7757">
              <w:t>19.2.2</w:t>
            </w:r>
            <w:r w:rsidRPr="00BC7757">
              <w:tab/>
              <w:t>Dans le cas d’intempéries dépassant le seuil fixé au CCAP, entraînant un arrêt de travail sur les chantiers, les délais d’exécution des travaux sont prolongés.  Cette prolongation est notifiée à l’Entrepreneur par un ordre de service qui en précise la durée, laquelle est égale au nombre de journées réellement constaté au cours desquelles le travail a été arrêté du fait des intempéries, conformément auxdites dispositions, en défalquant, s’il y a lieu, le nombre de journées d’intempéries prévisibles indiqué au CCAP.</w:t>
            </w:r>
          </w:p>
          <w:p w14:paraId="3721E820" w14:textId="77777777" w:rsidR="00BC7757" w:rsidRPr="00BC7757" w:rsidRDefault="00BC7757" w:rsidP="00BC7757">
            <w:pPr>
              <w:tabs>
                <w:tab w:val="left" w:pos="1260"/>
              </w:tabs>
              <w:ind w:left="1260" w:right="-72" w:hanging="720"/>
            </w:pPr>
            <w:r w:rsidRPr="00BC7757">
              <w:t>19.2.3</w:t>
            </w:r>
            <w:r w:rsidRPr="00BC7757">
              <w:tab/>
              <w:t>En dehors des cas prévus aux paragraphes 2.1 et 2.2 du présent Article, l’Entrepreneur ne pourra avoir droit à une prolongation des délais d’exécution que dans les cas suivants :</w:t>
            </w:r>
          </w:p>
          <w:p w14:paraId="2AD2EEE4" w14:textId="77777777" w:rsidR="00BC7757" w:rsidRPr="00BC7757" w:rsidRDefault="00BC7757" w:rsidP="00BC7757">
            <w:pPr>
              <w:tabs>
                <w:tab w:val="left" w:pos="1800"/>
              </w:tabs>
              <w:ind w:left="1800" w:right="-72" w:hanging="540"/>
              <w:jc w:val="left"/>
            </w:pPr>
            <w:r w:rsidRPr="00BC7757">
              <w:t>a)</w:t>
            </w:r>
            <w:r w:rsidRPr="00BC7757">
              <w:tab/>
              <w:t>mise en œuvre des dispositions de l’Article 18 du CCAG,</w:t>
            </w:r>
          </w:p>
          <w:p w14:paraId="79235D71" w14:textId="77777777" w:rsidR="00BC7757" w:rsidRPr="00BC7757" w:rsidRDefault="00BC7757" w:rsidP="00BC7757">
            <w:pPr>
              <w:tabs>
                <w:tab w:val="left" w:pos="1800"/>
              </w:tabs>
              <w:ind w:left="1800" w:right="-72" w:hanging="540"/>
              <w:jc w:val="left"/>
            </w:pPr>
            <w:r w:rsidRPr="00BC7757">
              <w:t>b)</w:t>
            </w:r>
            <w:r w:rsidRPr="00BC7757">
              <w:tab/>
            </w:r>
            <w:proofErr w:type="spellStart"/>
            <w:r w:rsidRPr="00BC7757">
              <w:t>non respect</w:t>
            </w:r>
            <w:proofErr w:type="spellEnd"/>
            <w:r w:rsidRPr="00BC7757">
              <w:t xml:space="preserve"> par le Maître de l’Ouvrage de ses propres obligations; ou</w:t>
            </w:r>
          </w:p>
          <w:p w14:paraId="5CC4B63B" w14:textId="77777777" w:rsidR="00BC7757" w:rsidRPr="00BC7757" w:rsidRDefault="00BC7757" w:rsidP="00BC7757">
            <w:pPr>
              <w:tabs>
                <w:tab w:val="left" w:pos="1800"/>
              </w:tabs>
              <w:ind w:left="1800" w:right="-72" w:hanging="540"/>
              <w:jc w:val="left"/>
            </w:pPr>
            <w:r w:rsidRPr="00BC7757">
              <w:t>c)</w:t>
            </w:r>
            <w:r w:rsidRPr="00BC7757">
              <w:tab/>
              <w:t>conclusion d’un avenant.</w:t>
            </w:r>
          </w:p>
          <w:p w14:paraId="018FCAC8" w14:textId="77777777" w:rsidR="00BC7757" w:rsidRPr="00BC7757" w:rsidRDefault="00BC7757" w:rsidP="00BC7757">
            <w:pPr>
              <w:tabs>
                <w:tab w:val="left" w:pos="1260"/>
              </w:tabs>
              <w:ind w:left="1260" w:right="-72" w:hanging="720"/>
            </w:pPr>
            <w:r w:rsidRPr="00BC7757">
              <w:t>19.2.4</w:t>
            </w:r>
            <w:r w:rsidRPr="00BC7757">
              <w:tab/>
              <w:t>Lorsque la prolongation des délais d’exécution notifiée à l’Entrepreneur par ordre de service aura dépassé une durée fixée dans le CCAP, ce dernier aura la faculté, dans les quinze (15) jours qui suivent la notification de l’ordre de service entraînant un dépassement de cette durée, d’obtenir la résiliation du Marché.</w:t>
            </w:r>
          </w:p>
        </w:tc>
      </w:tr>
      <w:tr w:rsidR="00BC7757" w:rsidRPr="00BC7757" w14:paraId="399474FD" w14:textId="77777777" w:rsidTr="000977EF">
        <w:tc>
          <w:tcPr>
            <w:tcW w:w="2160" w:type="dxa"/>
            <w:tcBorders>
              <w:top w:val="nil"/>
              <w:left w:val="nil"/>
              <w:bottom w:val="nil"/>
              <w:right w:val="nil"/>
            </w:tcBorders>
          </w:tcPr>
          <w:p w14:paraId="667E2765" w14:textId="77777777" w:rsidR="00BC7757" w:rsidRPr="00BC7757" w:rsidRDefault="00BC7757" w:rsidP="00BC7757">
            <w:pPr>
              <w:pStyle w:val="Head42"/>
            </w:pPr>
            <w:bookmarkStart w:id="774" w:name="_Toc348175958"/>
            <w:bookmarkStart w:id="775" w:name="_Toc327539567"/>
            <w:r w:rsidRPr="00BC7757">
              <w:t>20.</w:t>
            </w:r>
            <w:r w:rsidRPr="00BC7757">
              <w:tab/>
              <w:t>Pénalités, primes et retenues</w:t>
            </w:r>
            <w:bookmarkEnd w:id="774"/>
            <w:bookmarkEnd w:id="775"/>
          </w:p>
        </w:tc>
        <w:tc>
          <w:tcPr>
            <w:tcW w:w="7398" w:type="dxa"/>
            <w:tcBorders>
              <w:top w:val="nil"/>
              <w:left w:val="nil"/>
              <w:bottom w:val="nil"/>
              <w:right w:val="nil"/>
            </w:tcBorders>
          </w:tcPr>
          <w:p w14:paraId="10BA374D" w14:textId="77777777" w:rsidR="00BC7757" w:rsidRPr="00BC7757" w:rsidRDefault="00BC7757" w:rsidP="00BC7757">
            <w:pPr>
              <w:tabs>
                <w:tab w:val="left" w:pos="540"/>
              </w:tabs>
              <w:ind w:left="540" w:right="-72" w:hanging="540"/>
            </w:pPr>
            <w:r w:rsidRPr="00BC7757">
              <w:t>20.1</w:t>
            </w:r>
            <w:r w:rsidRPr="00BC7757">
              <w:tab/>
              <w:t>En cas de retard dans l’achèvement des travaux, il est appliqué une pénalité journalière, fixée par le CCAP, égale à un certain nombre de millièmes du montant de l’ensemble du Marché.  Ce montant est celui qui résulte des prévisions du Marché, c’est</w:t>
            </w:r>
            <w:r w:rsidRPr="00BC7757">
              <w:noBreakHyphen/>
              <w:t>à</w:t>
            </w:r>
            <w:r w:rsidRPr="00BC7757">
              <w:noBreakHyphen/>
              <w:t>dire du Marché initial éventuellement modifié ou complété par les avenants intervenus; il est évalué à partir des prix de base définis au paragraphe 13.1.1 du CCAG.</w:t>
            </w:r>
          </w:p>
          <w:p w14:paraId="52E844E3" w14:textId="77777777" w:rsidR="00BC7757" w:rsidRPr="00BC7757" w:rsidRDefault="00BC7757" w:rsidP="00BC7757">
            <w:pPr>
              <w:ind w:left="540" w:right="-72"/>
            </w:pPr>
            <w:r w:rsidRPr="00BC7757">
              <w:t>Les pénalités sont encourues du simple fait de la constatation du retard par le Maître d’Œuvre et le Maître de l’Ouvrage peut, sans préjudice de toute autre méthode de recouvrement, déduire le montant de ces pénalités de toutes les sommes dont il est redevable à l’Entrepreneur.  Le paiement de ces pénalités par l’Entrepreneur, qui représentent une évaluation forfaitaire des dommages et intérêts dus au Maître de l’Ouvrage au titre du retard dans l’exécution des travaux, ne libère en rien l’Entrepreneur de l’ensemble des autres obligations et responsabilités qu’il a souscrites au titre du Marché.</w:t>
            </w:r>
          </w:p>
          <w:p w14:paraId="33A78FFB" w14:textId="77777777" w:rsidR="00BC7757" w:rsidRPr="00BC7757" w:rsidRDefault="00BC7757" w:rsidP="00BC7757">
            <w:pPr>
              <w:ind w:left="540" w:right="-72"/>
            </w:pPr>
            <w:r w:rsidRPr="00BC7757">
              <w:t>Dans le cas de résiliation, les pénalités sont appliquées jusqu’au jour inclus de la notification de la décision de résiliation ou jusqu’au jour d’arrêt de l’exploitation de l’entreprise de l’Entrepreneur si la résiliation résulte d’un des cas prévus à l’Article 47 du CCAG.</w:t>
            </w:r>
          </w:p>
          <w:p w14:paraId="3E4B7004" w14:textId="77777777" w:rsidR="00BC7757" w:rsidRPr="00BC7757" w:rsidRDefault="00BC7757" w:rsidP="00BC7757">
            <w:pPr>
              <w:ind w:left="540" w:right="-72"/>
            </w:pPr>
            <w:r w:rsidRPr="00BC7757">
              <w:t>Les dispositions des deux alinéas qui précèdent sont applicables aux pénalités éventuellement prévues par le CCAP pour le cas de retard dans la réalisation de certains ouvrages, parties d’ouvrages ou ensembles de prestations faisant l’objet de délais particuliers ou de dates limites fixés dans le Marché.</w:t>
            </w:r>
          </w:p>
          <w:p w14:paraId="6F152F81" w14:textId="77777777" w:rsidR="00BC7757" w:rsidRPr="00BC7757" w:rsidRDefault="00BC7757" w:rsidP="00BC7757">
            <w:pPr>
              <w:tabs>
                <w:tab w:val="left" w:pos="540"/>
              </w:tabs>
              <w:ind w:left="540" w:right="-72" w:hanging="540"/>
            </w:pPr>
            <w:r w:rsidRPr="00BC7757">
              <w:t>20.2</w:t>
            </w:r>
            <w:r w:rsidRPr="00BC7757">
              <w:tab/>
              <w:t>Si le CCAP prévoit des primes d’avance, leur attribution est faite sans que l’Entrepreneur soit tenu de les demander, au taux et à concurrence du plafond fixés au CCAP.</w:t>
            </w:r>
          </w:p>
          <w:p w14:paraId="1ACC50D7" w14:textId="77777777" w:rsidR="00BC7757" w:rsidRPr="00BC7757" w:rsidRDefault="00BC7757" w:rsidP="00BC7757">
            <w:pPr>
              <w:tabs>
                <w:tab w:val="left" w:pos="540"/>
              </w:tabs>
              <w:ind w:left="540" w:right="-72" w:hanging="540"/>
            </w:pPr>
            <w:r w:rsidRPr="00BC7757">
              <w:t>20.3</w:t>
            </w:r>
            <w:r w:rsidRPr="00BC7757">
              <w:tab/>
              <w:t>Les journées de repos hebdomadaire ainsi que les jours fériés ou chômés, ne sont pas déduits pour le calcul des pénalités et des primes.</w:t>
            </w:r>
          </w:p>
          <w:p w14:paraId="2B460E04" w14:textId="77777777" w:rsidR="00BC7757" w:rsidRPr="00BC7757" w:rsidRDefault="00BC7757" w:rsidP="00BC7757">
            <w:pPr>
              <w:tabs>
                <w:tab w:val="left" w:pos="540"/>
              </w:tabs>
              <w:ind w:left="540" w:right="-72" w:hanging="540"/>
            </w:pPr>
            <w:r w:rsidRPr="00BC7757">
              <w:t>20.4</w:t>
            </w:r>
            <w:r w:rsidRPr="00BC7757">
              <w:tab/>
              <w:t>Sauf disposition contraire indiquée au niveau du CCAP, le montant des pénalités et, le cas échéant, des primes, est plafonné à 10% du Montant du Marché.  Lorsque le plafond des pénalités est atteint, le Maître de l’Ouvrage est en droit de résilier le Marché sans mise en demeure préalable.</w:t>
            </w:r>
          </w:p>
        </w:tc>
      </w:tr>
    </w:tbl>
    <w:p w14:paraId="0F58D6F8" w14:textId="77777777" w:rsidR="00BC7757" w:rsidRPr="00BC7757" w:rsidRDefault="00BC7757" w:rsidP="00BC7757"/>
    <w:p w14:paraId="305E9B1E" w14:textId="4B4927B4" w:rsidR="00BC7757" w:rsidRPr="00BC7757" w:rsidRDefault="00BC7757" w:rsidP="000977EF">
      <w:pPr>
        <w:pStyle w:val="Head41"/>
      </w:pPr>
      <w:bookmarkStart w:id="776" w:name="_Toc348175959"/>
      <w:bookmarkStart w:id="777" w:name="_Toc327539568"/>
      <w:r w:rsidRPr="00BC7757">
        <w:t>D.  Réalisation des ouvrages</w:t>
      </w:r>
      <w:bookmarkEnd w:id="776"/>
      <w:bookmarkEnd w:id="777"/>
    </w:p>
    <w:tbl>
      <w:tblPr>
        <w:tblW w:w="0" w:type="auto"/>
        <w:tblLayout w:type="fixed"/>
        <w:tblLook w:val="0000" w:firstRow="0" w:lastRow="0" w:firstColumn="0" w:lastColumn="0" w:noHBand="0" w:noVBand="0"/>
      </w:tblPr>
      <w:tblGrid>
        <w:gridCol w:w="2160"/>
        <w:gridCol w:w="7398"/>
      </w:tblGrid>
      <w:tr w:rsidR="00BC7757" w:rsidRPr="00BC7757" w14:paraId="47E0F6B6" w14:textId="77777777" w:rsidTr="00BC7757">
        <w:tc>
          <w:tcPr>
            <w:tcW w:w="2160" w:type="dxa"/>
            <w:tcBorders>
              <w:top w:val="nil"/>
              <w:left w:val="nil"/>
              <w:bottom w:val="nil"/>
              <w:right w:val="nil"/>
            </w:tcBorders>
          </w:tcPr>
          <w:p w14:paraId="387194EE" w14:textId="77777777" w:rsidR="00BC7757" w:rsidRPr="00BC7757" w:rsidRDefault="00BC7757" w:rsidP="00BC7757">
            <w:pPr>
              <w:pStyle w:val="Head42"/>
            </w:pPr>
            <w:bookmarkStart w:id="778" w:name="_Toc348175960"/>
            <w:bookmarkStart w:id="779" w:name="_Toc327539569"/>
            <w:r w:rsidRPr="00BC7757">
              <w:t>21.</w:t>
            </w:r>
            <w:r w:rsidRPr="00BC7757">
              <w:tab/>
              <w:t>Provenance des fournitures, équipements, matériels, matériaux et produits</w:t>
            </w:r>
            <w:bookmarkEnd w:id="778"/>
            <w:bookmarkEnd w:id="779"/>
          </w:p>
        </w:tc>
        <w:tc>
          <w:tcPr>
            <w:tcW w:w="7398" w:type="dxa"/>
            <w:tcBorders>
              <w:top w:val="nil"/>
              <w:left w:val="nil"/>
              <w:bottom w:val="nil"/>
              <w:right w:val="nil"/>
            </w:tcBorders>
          </w:tcPr>
          <w:p w14:paraId="786B4FCA" w14:textId="77777777" w:rsidR="00BC7757" w:rsidRPr="00BC7757" w:rsidRDefault="00BC7757" w:rsidP="00BC7757">
            <w:pPr>
              <w:tabs>
                <w:tab w:val="left" w:pos="540"/>
              </w:tabs>
              <w:ind w:left="540" w:right="-72" w:hanging="540"/>
              <w:rPr>
                <w:i/>
              </w:rPr>
            </w:pPr>
            <w:r w:rsidRPr="00BC7757">
              <w:t>21.1</w:t>
            </w:r>
            <w:r w:rsidRPr="00BC7757">
              <w:tab/>
              <w:t xml:space="preserve">L’Entrepreneur a le libre choix de la provenance des matériaux ou composants de construction ainsi que du mode de transport de ces divers éléments, leur assurance et les services bancaires qui s’y rapportent, sous réserve de pouvoir justifier que ceux-ci satisfont aux conditions fixées par le Marché.  Ils devront impérativement provenir de pays éligibles au sens de l’édition en vigueur des </w:t>
            </w:r>
            <w:r w:rsidRPr="00BC7757">
              <w:rPr>
                <w:i/>
              </w:rPr>
              <w:t>Directives : Passation des marchés par les Emprunteurs de la Banque mondiale dans le cadre des prêts de la BIRD et des crédits et dons de l’AID</w:t>
            </w:r>
            <w:r w:rsidRPr="00BC7757">
              <w:t>.</w:t>
            </w:r>
          </w:p>
        </w:tc>
      </w:tr>
      <w:tr w:rsidR="00BC7757" w:rsidRPr="00BC7757" w14:paraId="104F330A" w14:textId="77777777" w:rsidTr="00BC7757">
        <w:tc>
          <w:tcPr>
            <w:tcW w:w="2160" w:type="dxa"/>
            <w:tcBorders>
              <w:top w:val="nil"/>
              <w:left w:val="nil"/>
              <w:bottom w:val="nil"/>
              <w:right w:val="nil"/>
            </w:tcBorders>
          </w:tcPr>
          <w:p w14:paraId="1C65878D" w14:textId="77777777" w:rsidR="00BC7757" w:rsidRPr="00BC7757" w:rsidRDefault="00BC7757" w:rsidP="00BC7757">
            <w:pPr>
              <w:pStyle w:val="Head42"/>
              <w:pageBreakBefore/>
            </w:pPr>
            <w:bookmarkStart w:id="780" w:name="_Toc348175961"/>
            <w:bookmarkStart w:id="781" w:name="_Toc327539570"/>
            <w:r w:rsidRPr="00BC7757">
              <w:t>22.</w:t>
            </w:r>
            <w:r w:rsidRPr="00BC7757">
              <w:tab/>
              <w:t xml:space="preserve">Lieux d’extraction ou </w:t>
            </w:r>
            <w:bookmarkStart w:id="782" w:name="_Toc348175962"/>
            <w:bookmarkStart w:id="783" w:name="_Toc348232785"/>
            <w:r w:rsidRPr="00BC7757">
              <w:t>emprunt des matériaux</w:t>
            </w:r>
            <w:bookmarkEnd w:id="780"/>
            <w:bookmarkEnd w:id="781"/>
            <w:bookmarkEnd w:id="782"/>
            <w:bookmarkEnd w:id="783"/>
          </w:p>
        </w:tc>
        <w:tc>
          <w:tcPr>
            <w:tcW w:w="7398" w:type="dxa"/>
            <w:tcBorders>
              <w:top w:val="nil"/>
              <w:left w:val="nil"/>
              <w:bottom w:val="nil"/>
              <w:right w:val="nil"/>
            </w:tcBorders>
          </w:tcPr>
          <w:p w14:paraId="7E0DE11E" w14:textId="77777777" w:rsidR="00BC7757" w:rsidRPr="00BC7757" w:rsidRDefault="00BC7757" w:rsidP="00BC7757">
            <w:pPr>
              <w:tabs>
                <w:tab w:val="left" w:pos="540"/>
              </w:tabs>
              <w:spacing w:after="220"/>
              <w:ind w:left="540" w:right="-72" w:hanging="540"/>
            </w:pPr>
            <w:r w:rsidRPr="00BC7757">
              <w:t>22.1</w:t>
            </w:r>
            <w:r w:rsidRPr="00BC7757">
              <w:tab/>
              <w:t>Lorsque le Marché fixe les lieux d’extraction ou d’emprunt des matériaux et qu’au cours des travaux les gisements se révèlent insuffisants en qualité ou en quantité, l’Entrepreneur doit en aviser à temps le Maître d’Œuvre; ce dernier désigne alors, sur proposition éventuelle de l’Entrepreneur, de nouveaux lieux d’extraction ou d’emprunt.  La substitution peut donner lieu à l’application d’un nouveau prix établi suivant les modalités prévues à l’Article 14 du CCAG.</w:t>
            </w:r>
          </w:p>
          <w:p w14:paraId="7582453D" w14:textId="77777777" w:rsidR="00BC7757" w:rsidRPr="00BC7757" w:rsidRDefault="00BC7757" w:rsidP="00BC7757">
            <w:pPr>
              <w:tabs>
                <w:tab w:val="left" w:pos="540"/>
              </w:tabs>
              <w:spacing w:after="220"/>
              <w:ind w:left="540" w:right="-72" w:hanging="540"/>
            </w:pPr>
            <w:r w:rsidRPr="00BC7757">
              <w:t>22.2</w:t>
            </w:r>
            <w:r w:rsidRPr="00BC7757">
              <w:tab/>
              <w:t>Si le Marché prévoit que des lieux d’extraction ou d’emprunt sont mis à la disposition de l’Entrepreneur par le Maître de l’Ouvrage, les indemnités d’occupation et, le cas échéant, les redevances de toute nature sont à la charge du Maître de l’Ouvrage; l’Entrepreneur ne peut alors, sans autorisation écrite du Maître d’Œuvre, utiliser pour des travaux qui ne font pas partie du Marché les matériaux qu’il a extraits dans ces lieux d’extraction ou d’emprunt.</w:t>
            </w:r>
          </w:p>
          <w:p w14:paraId="21A7336B" w14:textId="77777777" w:rsidR="00BC7757" w:rsidRPr="00BC7757" w:rsidRDefault="00BC7757" w:rsidP="00BC7757">
            <w:pPr>
              <w:tabs>
                <w:tab w:val="left" w:pos="540"/>
              </w:tabs>
              <w:spacing w:after="220"/>
              <w:ind w:left="540" w:right="-72" w:hanging="540"/>
            </w:pPr>
            <w:r w:rsidRPr="00BC7757">
              <w:t>22.3</w:t>
            </w:r>
            <w:r w:rsidRPr="00BC7757">
              <w:tab/>
              <w:t>Sauf dans le cas prévu au paragraphe 2 du présent Article, l’Entrepreneur est tenu d’obtenir, en tant que de besoin, les autorisations administratives nécessaires pour les extractions et emprunts de matériaux.  Les indemnités d’occupation ou les redevances de toute nature éventuellement dues pour ces extractions ou emprunts sont à la charge de l’Entrepreneur.  Toutefois, le Maître de l’Ouvrage et le Maître d’Œuvre apporteront leur concours à l’Entrepreneur si celui-ci le leur demande pour lui faciliter l’obtention en temps utile de toutes autorisations administratives dont il aurait besoin pour les extractions et emprunts de matériaux.</w:t>
            </w:r>
          </w:p>
          <w:p w14:paraId="266C45E5" w14:textId="77777777" w:rsidR="00BC7757" w:rsidRPr="00BC7757" w:rsidRDefault="00BC7757" w:rsidP="00BC7757">
            <w:pPr>
              <w:tabs>
                <w:tab w:val="left" w:pos="540"/>
              </w:tabs>
              <w:spacing w:after="220"/>
              <w:ind w:left="540" w:right="-72" w:hanging="540"/>
            </w:pPr>
            <w:r w:rsidRPr="00BC7757">
              <w:t>22.4</w:t>
            </w:r>
            <w:r w:rsidRPr="00BC7757">
              <w:tab/>
              <w:t>L’Entrepreneur supporte dans tous les cas les charges d’exploitation des lieux d’extraction ou d’emprunt et, le cas échéant, les frais d’ouverture.</w:t>
            </w:r>
          </w:p>
          <w:p w14:paraId="22C23A9C" w14:textId="77777777" w:rsidR="00BC7757" w:rsidRPr="00BC7757" w:rsidRDefault="00BC7757" w:rsidP="00BC7757">
            <w:pPr>
              <w:spacing w:after="220"/>
              <w:ind w:left="540" w:right="-72"/>
            </w:pPr>
            <w:r w:rsidRPr="00BC7757">
              <w:t>Il supporte également, sans recours contre le Maître de l’Ouvrage, la charge des dommages entraînés par l’extraction des matériaux, par l’établissement des chemins de desserte et, d’une façon générale, par les travaux d’aménagement nécessaires à la mise en exploitation, à l’exploitation des lieux d’extraction ou d’emprunt, et leur remise en état.  Il garantit le Maître de l’Ouvrage au cas où la réparation de tels dommages serait mise à la charge de celui-ci.</w:t>
            </w:r>
          </w:p>
        </w:tc>
      </w:tr>
      <w:tr w:rsidR="00BC7757" w:rsidRPr="00BC7757" w14:paraId="251C7131" w14:textId="77777777" w:rsidTr="00BC7757">
        <w:tc>
          <w:tcPr>
            <w:tcW w:w="2160" w:type="dxa"/>
            <w:tcBorders>
              <w:top w:val="nil"/>
              <w:left w:val="nil"/>
              <w:bottom w:val="nil"/>
              <w:right w:val="nil"/>
            </w:tcBorders>
          </w:tcPr>
          <w:p w14:paraId="4965BB3B" w14:textId="77777777" w:rsidR="00BC7757" w:rsidRPr="00BC7757" w:rsidRDefault="00BC7757" w:rsidP="00BC7757">
            <w:pPr>
              <w:pStyle w:val="Head42"/>
            </w:pPr>
            <w:bookmarkStart w:id="784" w:name="_Toc348175963"/>
            <w:bookmarkStart w:id="785" w:name="_Toc327539571"/>
            <w:r w:rsidRPr="00BC7757">
              <w:t>23.</w:t>
            </w:r>
            <w:r w:rsidRPr="00BC7757">
              <w:tab/>
              <w:t>Qualité des matériaux et produits Application des normes</w:t>
            </w:r>
            <w:bookmarkEnd w:id="784"/>
            <w:bookmarkEnd w:id="785"/>
          </w:p>
        </w:tc>
        <w:tc>
          <w:tcPr>
            <w:tcW w:w="7398" w:type="dxa"/>
            <w:tcBorders>
              <w:top w:val="nil"/>
              <w:left w:val="nil"/>
              <w:bottom w:val="nil"/>
              <w:right w:val="nil"/>
            </w:tcBorders>
          </w:tcPr>
          <w:p w14:paraId="5ECCB3E7" w14:textId="77777777" w:rsidR="00BC7757" w:rsidRPr="00BC7757" w:rsidRDefault="00BC7757" w:rsidP="00BC7757">
            <w:pPr>
              <w:tabs>
                <w:tab w:val="left" w:pos="540"/>
              </w:tabs>
              <w:ind w:left="540" w:right="-72" w:hanging="540"/>
            </w:pPr>
            <w:r w:rsidRPr="00BC7757">
              <w:t>23.1</w:t>
            </w:r>
            <w:r w:rsidRPr="00BC7757">
              <w:tab/>
              <w:t>Les matériaux et composants de construction doivent être conformes aux stipulations du Marché, aux prescriptions de normes homologuées au plan international et conformes à la réglementation en vigueur.  Les normes applicables sont celles qui sont en vigueur le premier jour du mois du dépôt des offres.  Les dérogations éventuelles aux normes, si elles ne résultent pas expressément de documents techniques du Marché, sont indiquées ou récapitulées comme telles dans le premier article du CCAP, au même titre que les dérogations aux présentes dispositions du CCAG.</w:t>
            </w:r>
          </w:p>
          <w:p w14:paraId="6E1E8D37" w14:textId="77777777" w:rsidR="00BC7757" w:rsidRPr="00BC7757" w:rsidRDefault="00BC7757" w:rsidP="00BC7757">
            <w:pPr>
              <w:tabs>
                <w:tab w:val="left" w:pos="540"/>
              </w:tabs>
              <w:ind w:left="540" w:right="-72" w:hanging="540"/>
            </w:pPr>
            <w:r w:rsidRPr="00BC7757">
              <w:t>23.2</w:t>
            </w:r>
            <w:r w:rsidRPr="00BC7757">
              <w:tab/>
              <w:t>L’Entrepreneur ne peut utiliser des matériaux, produits ou composants de construction d’une qualité différente de celle qui est fixée par le Marché que si le Maître d’Œuvre l’y autorise par écrit.  Les prix correspondants ne sont modifiés que si l’autorisation accordée précise que la substitution donne lieu à l’application de nouveaux prix et si l’augmentation ou réduction résultant de ces nouveaux prix a été acceptée par les autorités compétentes.  Ces prix sont établis suivant les modalités prévues à l’Article 14 du CCAG, le Maître d’Œuvre devant notifier par ordre de service les prix provisoires dans les quinze (15) jours qui suivent l’autorisation donnée.</w:t>
            </w:r>
          </w:p>
        </w:tc>
      </w:tr>
      <w:tr w:rsidR="00BC7757" w:rsidRPr="00BC7757" w14:paraId="418D7096" w14:textId="77777777" w:rsidTr="00BC7757">
        <w:tc>
          <w:tcPr>
            <w:tcW w:w="2160" w:type="dxa"/>
            <w:tcBorders>
              <w:top w:val="nil"/>
              <w:left w:val="nil"/>
              <w:bottom w:val="nil"/>
              <w:right w:val="nil"/>
            </w:tcBorders>
          </w:tcPr>
          <w:p w14:paraId="4F2F222B" w14:textId="77777777" w:rsidR="00BC7757" w:rsidRPr="00BC7757" w:rsidRDefault="00BC7757" w:rsidP="00BC7757">
            <w:pPr>
              <w:pStyle w:val="Head42"/>
            </w:pPr>
            <w:bookmarkStart w:id="786" w:name="_Toc348175964"/>
            <w:bookmarkStart w:id="787" w:name="_Toc327539572"/>
            <w:r w:rsidRPr="00BC7757">
              <w:t>24.</w:t>
            </w:r>
            <w:r w:rsidRPr="00BC7757">
              <w:tab/>
              <w:t>Vérification qualitative des matériaux et produits - Essais et épreuves</w:t>
            </w:r>
            <w:bookmarkEnd w:id="786"/>
            <w:bookmarkEnd w:id="787"/>
          </w:p>
        </w:tc>
        <w:tc>
          <w:tcPr>
            <w:tcW w:w="7398" w:type="dxa"/>
            <w:tcBorders>
              <w:top w:val="nil"/>
              <w:left w:val="nil"/>
              <w:bottom w:val="nil"/>
              <w:right w:val="nil"/>
            </w:tcBorders>
          </w:tcPr>
          <w:p w14:paraId="5E3E9C64" w14:textId="77777777" w:rsidR="00BC7757" w:rsidRPr="00BC7757" w:rsidRDefault="00BC7757" w:rsidP="00BC7757">
            <w:pPr>
              <w:tabs>
                <w:tab w:val="left" w:pos="540"/>
              </w:tabs>
              <w:ind w:left="540" w:right="-72" w:hanging="540"/>
            </w:pPr>
            <w:r w:rsidRPr="00BC7757">
              <w:t>24.1</w:t>
            </w:r>
            <w:r w:rsidRPr="00BC7757">
              <w:tab/>
              <w:t>Les matériaux produits et composants de construction sont soumis, pour leur vérification qualitative, à des essais et épreuves, conformément aux stipulations du Marché, aux prescriptions des normes internationales homologuées et conformes à la réglementation en vigueur; les dispositions de l’Article 23 du CCAG relatives à la définition des normes applicables et les dérogations éventuelles à ces normes sont à retenir pour le présent Article.</w:t>
            </w:r>
          </w:p>
          <w:p w14:paraId="2302A131" w14:textId="77777777" w:rsidR="00BC7757" w:rsidRPr="00BC7757" w:rsidRDefault="00BC7757" w:rsidP="00BC7757">
            <w:pPr>
              <w:ind w:left="540" w:right="-72"/>
            </w:pPr>
            <w:r w:rsidRPr="00BC7757">
              <w:t>A défaut d’indication, dans le Marché ou dans les normes, des modes opératoires à utiliser, ceux-ci font l’objet de propositions de l’Entrepreneur soumises à l’acceptation du Maître d’Œuvre.</w:t>
            </w:r>
          </w:p>
          <w:p w14:paraId="36EE87C1" w14:textId="77777777" w:rsidR="00BC7757" w:rsidRPr="00BC7757" w:rsidRDefault="00BC7757" w:rsidP="00BC7757">
            <w:pPr>
              <w:tabs>
                <w:tab w:val="left" w:pos="540"/>
              </w:tabs>
              <w:ind w:left="540" w:right="-72" w:hanging="540"/>
            </w:pPr>
            <w:r w:rsidRPr="00BC7757">
              <w:t>24.2</w:t>
            </w:r>
            <w:r w:rsidRPr="00BC7757">
              <w:tab/>
              <w:t>L’Entrepreneur entrepose les matériaux, produits et composants de construction de manière à faciliter les vérifications prévues.  Il prend toutes mesures utiles pour que les matériaux, produits et composants puissent être facilement distingués, selon qu’ils sont en attente de vérification ou acceptés ou refusés; les matériaux, produits et composants refusés doivent être enlevés rapidement du chantier, les dispositions de l’Article 37 du CCAG étant appliquées s’il y a lieu.</w:t>
            </w:r>
          </w:p>
          <w:p w14:paraId="77DABE5E" w14:textId="77777777" w:rsidR="00BC7757" w:rsidRPr="00BC7757" w:rsidRDefault="00BC7757" w:rsidP="00BC7757">
            <w:pPr>
              <w:tabs>
                <w:tab w:val="left" w:pos="540"/>
              </w:tabs>
              <w:ind w:left="540" w:right="-72" w:hanging="540"/>
            </w:pPr>
            <w:r w:rsidRPr="00BC7757">
              <w:t>24.3</w:t>
            </w:r>
            <w:r w:rsidRPr="00BC7757">
              <w:tab/>
              <w:t>Les vérifications sont faites, suivant les indications du Marché ou, à défaut, suivant les décisions du Maître d’Œuvre, soit sur le chantier, soit dans les usines, magasins ou carrières de l’Entrepreneur et des sous-traitants ou fournisseurs.  Elles sont exécutées par le Maître d’Œuvre ou, si le Marché le prévoit, par un laboratoire ou un organisme de contrôle.</w:t>
            </w:r>
          </w:p>
          <w:p w14:paraId="1DC61263" w14:textId="77777777" w:rsidR="00BC7757" w:rsidRPr="00BC7757" w:rsidRDefault="00BC7757" w:rsidP="00BC7757">
            <w:pPr>
              <w:ind w:left="540" w:right="-72"/>
            </w:pPr>
            <w:r w:rsidRPr="00BC7757">
              <w:t>Dans le cas où le Maître d’Œuvre ou son préposé effectue personnellement les essais, l’Entrepreneur met à sa disposition le matériel nécessaire et il doit également fournir l’assistance, la main-d’œuvre, l’électricité, les carburants, les entrepôts et les appareils et instruments qui sont normalement nécessaires pour examiner, mesurer et tester tous matériaux et matériels.  Toutefois, l’Entrepreneur n’a la charge d’aucune rémunération du Maître d’Œuvre ou de son préposé.</w:t>
            </w:r>
          </w:p>
          <w:p w14:paraId="52BC2BB7" w14:textId="77777777" w:rsidR="00BC7757" w:rsidRPr="00BC7757" w:rsidRDefault="00BC7757" w:rsidP="00BC7757">
            <w:pPr>
              <w:ind w:left="540" w:right="-72"/>
            </w:pPr>
            <w:r w:rsidRPr="00BC7757">
              <w:t>Les vérifications effectuées par un laboratoire ou organisme de contrôle sont faites à la diligence et à la charge de l’Entrepreneur. Ce dernier adresse au Maître d’Œuvre, les certificats constatant les résultats des vérifications faites.  Au vu de ces certificats, le Maître d’Œuvre décide si les matériaux, produits ou composants de construction peuvent ou non être utilisés.</w:t>
            </w:r>
          </w:p>
          <w:p w14:paraId="17E5FDD3" w14:textId="77777777" w:rsidR="00BC7757" w:rsidRPr="00BC7757" w:rsidRDefault="00BC7757" w:rsidP="00BC7757">
            <w:pPr>
              <w:ind w:left="540" w:right="-72"/>
            </w:pPr>
            <w:r w:rsidRPr="00BC7757">
              <w:t>Dans tous les cas, l’Entrepreneur, le fournisseur ou le sous-traitant autorisera l’accès à ses locaux au Maître d’Œuvre ou à l’organisme de contrôle afin qu’ils puissent opérer toutes vérifications en conformité avec les dispositions du Marché.</w:t>
            </w:r>
          </w:p>
          <w:p w14:paraId="6D47422B" w14:textId="77777777" w:rsidR="00BC7757" w:rsidRPr="00BC7757" w:rsidRDefault="00BC7757" w:rsidP="00BC7757">
            <w:pPr>
              <w:tabs>
                <w:tab w:val="left" w:pos="540"/>
              </w:tabs>
              <w:ind w:left="540" w:right="-72" w:hanging="540"/>
            </w:pPr>
            <w:r w:rsidRPr="00BC7757">
              <w:t>24.4</w:t>
            </w:r>
            <w:r w:rsidRPr="00BC7757">
              <w:tab/>
              <w:t xml:space="preserve">L’Entrepreneur doit convenir avec le Maître d’Œuvre des dates et lieux d’exécution des contrôles et des essais des matériaux et équipements conformément aux dispositions du Marché.  Le Maître d’Œuvre doit notifier à l’Entrepreneur au moins </w:t>
            </w:r>
            <w:proofErr w:type="spellStart"/>
            <w:r w:rsidRPr="00BC7757">
              <w:t>vingt quatre</w:t>
            </w:r>
            <w:proofErr w:type="spellEnd"/>
            <w:r w:rsidRPr="00BC7757">
              <w:t xml:space="preserve"> (24) heures à l’avance son intention de procéder au contrôle ou d’assister aux essais; si le Maître d’Œuvre n’est pas présent à la date convenue, l’Entrepreneur peut, sauf instruction contraire du Maître d’Œuvre, procéder aux essais, qui seront considérés comme ayant été faits en présence du Maître d’Œuvre.</w:t>
            </w:r>
          </w:p>
          <w:p w14:paraId="61C26680" w14:textId="77777777" w:rsidR="00BC7757" w:rsidRPr="00BC7757" w:rsidRDefault="00BC7757" w:rsidP="00BC7757">
            <w:pPr>
              <w:ind w:left="540" w:right="-72"/>
            </w:pPr>
            <w:r w:rsidRPr="00BC7757">
              <w:t>L’Entrepreneur doit immédiatement faire parvenir au Maître d’Œuvre des copies dûment certifiées des résultats des essais.  Si le Maître d’Œuvre n’a pas assisté aux essais, les résultats de ces derniers sont présumés avoir été approuvés par lui.</w:t>
            </w:r>
          </w:p>
          <w:p w14:paraId="79E33881" w14:textId="77777777" w:rsidR="00BC7757" w:rsidRPr="00BC7757" w:rsidRDefault="00BC7757" w:rsidP="00BC7757">
            <w:pPr>
              <w:tabs>
                <w:tab w:val="left" w:pos="540"/>
              </w:tabs>
              <w:ind w:left="540" w:right="-72" w:hanging="540"/>
            </w:pPr>
            <w:r w:rsidRPr="00BC7757">
              <w:t>24.5</w:t>
            </w:r>
            <w:r w:rsidRPr="00BC7757">
              <w:tab/>
              <w:t>L’Entrepreneur est tenu de fournir à ses frais tous les échantillons nécessaires pour les vérifications.</w:t>
            </w:r>
          </w:p>
          <w:p w14:paraId="1CFB9E4F" w14:textId="77777777" w:rsidR="00BC7757" w:rsidRPr="00BC7757" w:rsidRDefault="00BC7757" w:rsidP="00BC7757">
            <w:pPr>
              <w:ind w:left="540" w:right="-72"/>
            </w:pPr>
            <w:r w:rsidRPr="00BC7757">
              <w:t>L’Entrepreneur équipe, s’il y a lieu, les matériels de fabrication des dispositifs permettant d’opérer le prélèvement des matériaux aux différents stades de l’élaboration des produits fabriqués.</w:t>
            </w:r>
          </w:p>
          <w:p w14:paraId="7BF4F079" w14:textId="77777777" w:rsidR="00BC7757" w:rsidRPr="00BC7757" w:rsidRDefault="00BC7757" w:rsidP="00BC7757">
            <w:pPr>
              <w:tabs>
                <w:tab w:val="left" w:pos="540"/>
              </w:tabs>
              <w:ind w:left="540" w:right="-72" w:hanging="540"/>
            </w:pPr>
            <w:r w:rsidRPr="00BC7757">
              <w:t>24.6</w:t>
            </w:r>
            <w:r w:rsidRPr="00BC7757">
              <w:tab/>
              <w:t>Si les résultats de vérifications prévues dans le Marché ou par les normes pour la fourniture d’une catégorie de matériaux, produits ou composants de construction ne permettent pas l’acceptation de cette fourniture, le Maître d’Œuvre peut prescrire, en accord avec l’Entrepreneur, des vérifications supplémentaires pour permettre d’accepter éventuellement tout ou partie de la fourniture, avec ou sans réfaction sur les prix; les dépenses correspondant à ces dernières vérifications sont à la charge de l’Entrepreneur.</w:t>
            </w:r>
          </w:p>
          <w:p w14:paraId="7EBA3F80" w14:textId="77777777" w:rsidR="00BC7757" w:rsidRPr="00BC7757" w:rsidRDefault="00BC7757" w:rsidP="00BC7757">
            <w:pPr>
              <w:tabs>
                <w:tab w:val="left" w:pos="540"/>
              </w:tabs>
              <w:ind w:left="540" w:right="-72" w:hanging="540"/>
            </w:pPr>
            <w:r w:rsidRPr="00BC7757">
              <w:t>24.7</w:t>
            </w:r>
            <w:r w:rsidRPr="00BC7757">
              <w:tab/>
              <w:t>Ne sont pas à la charge de l’Entrepreneur :</w:t>
            </w:r>
          </w:p>
          <w:p w14:paraId="4A2300EB" w14:textId="77777777" w:rsidR="00BC7757" w:rsidRPr="00BC7757" w:rsidRDefault="00BC7757" w:rsidP="00BC7757">
            <w:pPr>
              <w:tabs>
                <w:tab w:val="left" w:pos="1080"/>
              </w:tabs>
              <w:ind w:left="1080" w:right="-72" w:hanging="540"/>
            </w:pPr>
            <w:r w:rsidRPr="00BC7757">
              <w:t>a)</w:t>
            </w:r>
            <w:r w:rsidRPr="00BC7757">
              <w:tab/>
              <w:t>les essais et épreuves que le Maître d’Œuvre exécute ou fait exécuter et qui ne sont pas prévus dans le Marché ou par les normes; ni</w:t>
            </w:r>
          </w:p>
          <w:p w14:paraId="3BE7151B" w14:textId="77777777" w:rsidR="00BC7757" w:rsidRPr="00BC7757" w:rsidRDefault="00BC7757" w:rsidP="00BC7757">
            <w:pPr>
              <w:tabs>
                <w:tab w:val="left" w:pos="1080"/>
              </w:tabs>
              <w:ind w:left="1080" w:right="-72" w:hanging="540"/>
            </w:pPr>
            <w:r w:rsidRPr="00BC7757">
              <w:t>b)</w:t>
            </w:r>
            <w:r w:rsidRPr="00BC7757">
              <w:tab/>
              <w:t>les vérifications éventuellement prescrites par le Maître d’Œuvre sur des matériaux, produits ou composants de construction devant porter un estampillage mentionné au Marché ou ayant fait l’objet d’un agrément administratif, qui n’auraient pour but que de s’assurer du respect des qualités inhérentes à la marque ou exigées pour l’agrément.</w:t>
            </w:r>
          </w:p>
          <w:p w14:paraId="2B218F91" w14:textId="77777777" w:rsidR="00BC7757" w:rsidRPr="00BC7757" w:rsidRDefault="00BC7757" w:rsidP="00BC7757">
            <w:pPr>
              <w:tabs>
                <w:tab w:val="left" w:pos="540"/>
              </w:tabs>
              <w:ind w:left="540" w:right="-72" w:hanging="540"/>
            </w:pPr>
            <w:r w:rsidRPr="00BC7757">
              <w:t>24.8</w:t>
            </w:r>
            <w:r w:rsidRPr="00BC7757">
              <w:tab/>
              <w:t>L’Entrepreneur ne supporte pas la charge des frais de déplacement et de séjour que les vérifications entraînent pour le Chef de Projet, le Maître d’Œuvre ou leurs préposés.</w:t>
            </w:r>
          </w:p>
        </w:tc>
      </w:tr>
      <w:tr w:rsidR="00BC7757" w:rsidRPr="00BC7757" w14:paraId="0C3DB04F" w14:textId="77777777" w:rsidTr="00BC7757">
        <w:tc>
          <w:tcPr>
            <w:tcW w:w="2160" w:type="dxa"/>
            <w:tcBorders>
              <w:top w:val="nil"/>
              <w:left w:val="nil"/>
              <w:bottom w:val="nil"/>
              <w:right w:val="nil"/>
            </w:tcBorders>
          </w:tcPr>
          <w:p w14:paraId="6A250C32" w14:textId="77777777" w:rsidR="00BC7757" w:rsidRPr="00BC7757" w:rsidRDefault="00BC7757" w:rsidP="00BC7757">
            <w:pPr>
              <w:pStyle w:val="Head42"/>
            </w:pPr>
            <w:bookmarkStart w:id="788" w:name="_Toc348175965"/>
            <w:bookmarkStart w:id="789" w:name="_Toc327539573"/>
            <w:r w:rsidRPr="00BC7757">
              <w:t>25.</w:t>
            </w:r>
            <w:r w:rsidRPr="00BC7757">
              <w:tab/>
              <w:t>Vérification quantitative des matériaux et produits</w:t>
            </w:r>
            <w:bookmarkEnd w:id="788"/>
            <w:bookmarkEnd w:id="789"/>
          </w:p>
        </w:tc>
        <w:tc>
          <w:tcPr>
            <w:tcW w:w="7398" w:type="dxa"/>
            <w:tcBorders>
              <w:top w:val="nil"/>
              <w:left w:val="nil"/>
              <w:bottom w:val="nil"/>
              <w:right w:val="nil"/>
            </w:tcBorders>
          </w:tcPr>
          <w:p w14:paraId="2A51D4F9" w14:textId="77777777" w:rsidR="00BC7757" w:rsidRPr="00BC7757" w:rsidRDefault="00BC7757" w:rsidP="00BC7757">
            <w:pPr>
              <w:tabs>
                <w:tab w:val="left" w:pos="540"/>
              </w:tabs>
              <w:ind w:left="540" w:right="-72" w:hanging="540"/>
            </w:pPr>
            <w:r w:rsidRPr="00BC7757">
              <w:t>25.1</w:t>
            </w:r>
            <w:r w:rsidRPr="00BC7757">
              <w:tab/>
              <w:t>La détermination des quantités de matériaux et produits est effectuée contradictoirement.</w:t>
            </w:r>
          </w:p>
          <w:p w14:paraId="20642322" w14:textId="77777777" w:rsidR="00BC7757" w:rsidRPr="00BC7757" w:rsidRDefault="00BC7757" w:rsidP="00BC7757">
            <w:pPr>
              <w:ind w:left="540" w:right="-72"/>
            </w:pPr>
            <w:r w:rsidRPr="00BC7757">
              <w:t>Pour les matériaux et produits faisant l’objet de documents de transport (</w:t>
            </w:r>
            <w:r w:rsidRPr="00353D32">
              <w:t>tels que</w:t>
            </w:r>
            <w:r w:rsidRPr="00BC7757">
              <w:t xml:space="preserve"> connaissements,  etc.), les indications de masse portées sur ceux-ci ou leurs annexes sont présumées exactes; toutefois, le Maître d’Œuvre a toujours le droit de faire procéder, pour chaque livraison, à une vérification contradictoire sur bascule.  Les frais de cette vérification sont :</w:t>
            </w:r>
          </w:p>
          <w:p w14:paraId="3CA49E8D" w14:textId="77777777" w:rsidR="00BC7757" w:rsidRPr="00BC7757" w:rsidRDefault="00BC7757" w:rsidP="00BC7757">
            <w:pPr>
              <w:tabs>
                <w:tab w:val="left" w:pos="1080"/>
              </w:tabs>
              <w:ind w:left="1080" w:right="-72" w:hanging="540"/>
              <w:jc w:val="left"/>
            </w:pPr>
            <w:r w:rsidRPr="00BC7757">
              <w:t>a)</w:t>
            </w:r>
            <w:r w:rsidRPr="00BC7757">
              <w:tab/>
              <w:t>à la charge de l’Entrepreneur si la pesée révèle qu’il existe, au préjudice du Maître de l’Ouvrage, un écart de masse supérieur à la freinte normale de transport;</w:t>
            </w:r>
          </w:p>
          <w:p w14:paraId="126360D7" w14:textId="77777777" w:rsidR="00BC7757" w:rsidRPr="00BC7757" w:rsidRDefault="00BC7757" w:rsidP="00BC7757">
            <w:pPr>
              <w:tabs>
                <w:tab w:val="left" w:pos="1080"/>
              </w:tabs>
              <w:ind w:left="1080" w:right="-72" w:hanging="540"/>
              <w:jc w:val="left"/>
            </w:pPr>
            <w:r w:rsidRPr="00BC7757">
              <w:t>b)</w:t>
            </w:r>
            <w:r w:rsidRPr="00BC7757">
              <w:tab/>
              <w:t>à la charge du Maître de l’Ouvrage dans le cas contraire.</w:t>
            </w:r>
          </w:p>
          <w:p w14:paraId="0986D4E0" w14:textId="77777777" w:rsidR="00BC7757" w:rsidRPr="00BC7757" w:rsidRDefault="00BC7757" w:rsidP="00BC7757">
            <w:pPr>
              <w:tabs>
                <w:tab w:val="left" w:pos="540"/>
              </w:tabs>
              <w:ind w:left="540" w:right="-72" w:hanging="540"/>
            </w:pPr>
            <w:r w:rsidRPr="00BC7757">
              <w:t>25.2</w:t>
            </w:r>
            <w:r w:rsidRPr="00BC7757">
              <w:tab/>
              <w:t>S’il est établi que des transports de matériaux, produits ou composants de construction sont effectués dans des véhicules routiers en surcharge, les dépenses afférentes à ces transports ne sont pas prises en compte dans le règlement du Marché.</w:t>
            </w:r>
          </w:p>
          <w:p w14:paraId="14A154C4" w14:textId="77777777" w:rsidR="00BC7757" w:rsidRPr="00BC7757" w:rsidRDefault="00BC7757" w:rsidP="00BC7757">
            <w:pPr>
              <w:ind w:left="540" w:right="-72"/>
            </w:pPr>
            <w:r w:rsidRPr="00BC7757">
              <w:t>Lorsque ces dépenses ne font pas l’objet d’un règlement distinct, les prix des ouvrages qui comprennent la rémunération de ces transports subissent une réfaction fixée par ordre de service en se référant, s’il y a lieu, aux sous détails des prix unitaires et aux décompositions des prix forfaitaires.</w:t>
            </w:r>
          </w:p>
        </w:tc>
      </w:tr>
      <w:tr w:rsidR="00BC7757" w:rsidRPr="00BC7757" w14:paraId="3DDD96E0" w14:textId="77777777" w:rsidTr="00BC7757">
        <w:tc>
          <w:tcPr>
            <w:tcW w:w="2160" w:type="dxa"/>
            <w:tcBorders>
              <w:top w:val="nil"/>
              <w:left w:val="nil"/>
              <w:bottom w:val="nil"/>
              <w:right w:val="nil"/>
            </w:tcBorders>
          </w:tcPr>
          <w:p w14:paraId="35A176A7" w14:textId="77777777" w:rsidR="00BC7757" w:rsidRPr="00BC7757" w:rsidRDefault="00BC7757" w:rsidP="00BC7757">
            <w:pPr>
              <w:pStyle w:val="Head42"/>
            </w:pPr>
            <w:bookmarkStart w:id="790" w:name="_Toc348175966"/>
            <w:bookmarkStart w:id="791" w:name="_Toc348232789"/>
            <w:bookmarkStart w:id="792" w:name="_Toc327539574"/>
            <w:r w:rsidRPr="00BC7757">
              <w:t>26.</w:t>
            </w:r>
            <w:r w:rsidRPr="00BC7757">
              <w:tab/>
              <w:t>Prise en charge, manutention et conservation par l’Entrepreneur des matériaux et produits fournis par le Maître de l’Ouvrage dans le cadre du Marché</w:t>
            </w:r>
            <w:bookmarkEnd w:id="790"/>
            <w:bookmarkEnd w:id="791"/>
            <w:bookmarkEnd w:id="792"/>
          </w:p>
        </w:tc>
        <w:tc>
          <w:tcPr>
            <w:tcW w:w="7398" w:type="dxa"/>
            <w:tcBorders>
              <w:top w:val="nil"/>
              <w:left w:val="nil"/>
              <w:bottom w:val="nil"/>
              <w:right w:val="nil"/>
            </w:tcBorders>
          </w:tcPr>
          <w:p w14:paraId="0E51C81A" w14:textId="77777777" w:rsidR="00BC7757" w:rsidRPr="00BC7757" w:rsidRDefault="00BC7757" w:rsidP="00BC7757">
            <w:pPr>
              <w:tabs>
                <w:tab w:val="left" w:pos="540"/>
              </w:tabs>
              <w:ind w:left="540" w:right="-72" w:hanging="540"/>
            </w:pPr>
            <w:r w:rsidRPr="00BC7757">
              <w:t>26.1</w:t>
            </w:r>
            <w:r w:rsidRPr="00BC7757">
              <w:tab/>
              <w:t>Lorsque le Marché prévoit la fourniture par le Maître de l’Ouvrage de certains matériaux, produits ou composants de construction, l’Entrepreneur, avisé en temps utile, les prend en charge à leur arrivée sur le Site.</w:t>
            </w:r>
          </w:p>
          <w:p w14:paraId="72764258" w14:textId="77777777" w:rsidR="00BC7757" w:rsidRPr="00BC7757" w:rsidRDefault="00BC7757" w:rsidP="00BC7757">
            <w:pPr>
              <w:tabs>
                <w:tab w:val="left" w:pos="540"/>
              </w:tabs>
              <w:ind w:left="540" w:right="-72" w:hanging="540"/>
            </w:pPr>
            <w:r w:rsidRPr="00BC7757">
              <w:t>26.2</w:t>
            </w:r>
            <w:r w:rsidRPr="00BC7757">
              <w:tab/>
              <w:t>Si la prise en charge a lieu en présence d’un représentant du Maître de l’Ouvrage, elle fait l’objet d’un procès-verbal contradictoire portant sur les quantités prises en charge.</w:t>
            </w:r>
          </w:p>
          <w:p w14:paraId="3DDC0CF3" w14:textId="77777777" w:rsidR="00BC7757" w:rsidRPr="00BC7757" w:rsidRDefault="00BC7757" w:rsidP="00BC7757">
            <w:pPr>
              <w:tabs>
                <w:tab w:val="left" w:pos="540"/>
              </w:tabs>
              <w:ind w:left="540" w:right="-72" w:hanging="540"/>
            </w:pPr>
            <w:r w:rsidRPr="00BC7757">
              <w:t>26.3</w:t>
            </w:r>
            <w:r w:rsidRPr="00BC7757">
              <w:tab/>
              <w:t>Si la prise en charge a lieu en l’absence du Maître de l’Ouvrage, les quantités prises en charge par l’Entrepreneur sont réputées être celles pour lesquelles il a donné décharge écrite au transporteur ou au fournisseur qui a effectué la livraison.</w:t>
            </w:r>
          </w:p>
          <w:p w14:paraId="3DE99E2B" w14:textId="77777777" w:rsidR="00BC7757" w:rsidRPr="00BC7757" w:rsidRDefault="00BC7757" w:rsidP="00BC7757">
            <w:pPr>
              <w:ind w:left="540" w:right="-72"/>
            </w:pPr>
            <w:r w:rsidRPr="00BC7757">
              <w:t>Dans ce cas, l’Entrepreneur doit s’assurer, compte tenu des indications des documents de transport ou de l’avis de livraison porté à sa connaissance, qu’il n’y a ni omission, ni erreur, ni avarie ou défectuosité normalement décelables.  S’il constate une omission, une erreur, une avarie ou une défectuosité, il doit faire à l’égard du transporteur ou du fournisseur les réserves d’usage et en informer aussitôt le Maître d’Œuvre.</w:t>
            </w:r>
          </w:p>
          <w:p w14:paraId="4665B3EF" w14:textId="77777777" w:rsidR="00BC7757" w:rsidRPr="00BC7757" w:rsidRDefault="00BC7757" w:rsidP="00BC7757">
            <w:pPr>
              <w:tabs>
                <w:tab w:val="left" w:pos="540"/>
              </w:tabs>
              <w:ind w:left="540" w:right="-72" w:hanging="540"/>
            </w:pPr>
            <w:r w:rsidRPr="00BC7757">
              <w:t>26.4</w:t>
            </w:r>
            <w:r w:rsidRPr="00BC7757">
              <w:tab/>
              <w:t>Quel que soit le mode de transport et de livraison des matériaux, produits ou composants, et même en cas de prise sur stock, l’Entrepreneur est tenu de procéder aux opérations nécessaires de déchargement, de débarquement, de manutention, de rechargement et de transport, jusque et y compris la mise en dépôt ou à pied d’œuvre des matériaux, produits ou composants, éventuellement dans les conditions et délais stipulés au CCAP.</w:t>
            </w:r>
          </w:p>
          <w:p w14:paraId="46B4A945" w14:textId="77777777" w:rsidR="00BC7757" w:rsidRPr="00BC7757" w:rsidRDefault="00BC7757" w:rsidP="00BC7757">
            <w:pPr>
              <w:ind w:left="540" w:right="-72"/>
            </w:pPr>
            <w:r w:rsidRPr="00BC7757">
              <w:t>L’Entrepreneur acquitte tous les frais de location, de surestaries ou de dépassement de délais, toutes redevances pour dépassement de délais tarifaires de déchargement et, d’une façon générale, toutes pénalités et tous frais tels qu’ils résultent des règlements, des tarifs homologués ou des contrats, mais il ne conserve définitivement la charge de ces frais et pénalités que dans la mesure où le retard résulte de son fait.</w:t>
            </w:r>
          </w:p>
          <w:p w14:paraId="1BCEA6EB" w14:textId="77777777" w:rsidR="00BC7757" w:rsidRPr="00BC7757" w:rsidRDefault="00BC7757" w:rsidP="00BC7757">
            <w:pPr>
              <w:tabs>
                <w:tab w:val="left" w:pos="540"/>
              </w:tabs>
              <w:ind w:left="540" w:right="-72" w:hanging="540"/>
            </w:pPr>
            <w:r w:rsidRPr="00BC7757">
              <w:t>26.5</w:t>
            </w:r>
            <w:r w:rsidRPr="00BC7757">
              <w:tab/>
              <w:t>Si le Marché stipule que la conservation qualitative ou quantitative de certains matériaux, produits ou composants, nécessite leur mise en magasin, l’Entrepreneur est tenu de construire ou de se procurer les magasins nécessaires, même en dehors du Site, dans les conditions et dans les limites territoriales éventuellement stipulées au CCAP.</w:t>
            </w:r>
          </w:p>
          <w:p w14:paraId="61E63998" w14:textId="77777777" w:rsidR="00BC7757" w:rsidRPr="00BC7757" w:rsidRDefault="00BC7757" w:rsidP="00BC7757">
            <w:pPr>
              <w:ind w:left="540" w:right="-72"/>
            </w:pPr>
            <w:r w:rsidRPr="00BC7757">
              <w:t>Il supporte les frais de magasinage, de manutention, d’arrimage, de conservation et de transport entre les magasins et le Site.</w:t>
            </w:r>
          </w:p>
          <w:p w14:paraId="583C6D36" w14:textId="77777777" w:rsidR="00BC7757" w:rsidRPr="00BC7757" w:rsidRDefault="00BC7757" w:rsidP="00BC7757">
            <w:pPr>
              <w:tabs>
                <w:tab w:val="left" w:pos="540"/>
              </w:tabs>
              <w:ind w:left="540" w:right="-72" w:hanging="540"/>
            </w:pPr>
            <w:r w:rsidRPr="00BC7757">
              <w:t>26.6</w:t>
            </w:r>
            <w:r w:rsidRPr="00BC7757">
              <w:tab/>
              <w:t>Dans tous les cas, l’Entrepreneur a la garde des matériaux, produits et composants à partir de leur prise en charge.  Il assume la responsabilité légale du dépositaire, compte tenu des conditions particulières de conservation imposées éventuellement par le Marché.</w:t>
            </w:r>
          </w:p>
          <w:p w14:paraId="21368729" w14:textId="77777777" w:rsidR="00BC7757" w:rsidRPr="00BC7757" w:rsidRDefault="00BC7757" w:rsidP="00BC7757">
            <w:pPr>
              <w:tabs>
                <w:tab w:val="left" w:pos="540"/>
              </w:tabs>
              <w:ind w:left="540" w:right="-72" w:hanging="540"/>
            </w:pPr>
            <w:r w:rsidRPr="00BC7757">
              <w:t>26.7</w:t>
            </w:r>
            <w:r w:rsidRPr="00BC7757">
              <w:tab/>
              <w:t>L’Entrepreneur ne peut être chargé de procéder en tout ou partie à la réception des matériaux, produits ou composants fournis par le Maître de l’Ouvrage que si le Marché précise :</w:t>
            </w:r>
          </w:p>
          <w:p w14:paraId="43EC01DE" w14:textId="77777777" w:rsidR="00BC7757" w:rsidRPr="00BC7757" w:rsidRDefault="00BC7757" w:rsidP="00BC7757">
            <w:pPr>
              <w:tabs>
                <w:tab w:val="left" w:pos="1080"/>
              </w:tabs>
              <w:ind w:left="1080" w:right="-72" w:hanging="540"/>
              <w:jc w:val="left"/>
            </w:pPr>
            <w:r w:rsidRPr="00BC7757">
              <w:t>a)</w:t>
            </w:r>
            <w:r w:rsidRPr="00BC7757">
              <w:tab/>
              <w:t>le contenu du mandat correspondant;</w:t>
            </w:r>
          </w:p>
          <w:p w14:paraId="5010708C" w14:textId="77777777" w:rsidR="00BC7757" w:rsidRPr="00BC7757" w:rsidRDefault="00BC7757" w:rsidP="00BC7757">
            <w:pPr>
              <w:tabs>
                <w:tab w:val="left" w:pos="1080"/>
              </w:tabs>
              <w:ind w:left="1080" w:right="-72" w:hanging="540"/>
              <w:jc w:val="left"/>
            </w:pPr>
            <w:r w:rsidRPr="00BC7757">
              <w:t>b)</w:t>
            </w:r>
            <w:r w:rsidRPr="00BC7757">
              <w:tab/>
              <w:t>la nature, la provenance et les caractéristiques de ces matériaux, produits ou composants;</w:t>
            </w:r>
          </w:p>
          <w:p w14:paraId="21BA8EF7" w14:textId="77777777" w:rsidR="00BC7757" w:rsidRPr="00BC7757" w:rsidRDefault="00BC7757" w:rsidP="00BC7757">
            <w:pPr>
              <w:tabs>
                <w:tab w:val="left" w:pos="1080"/>
              </w:tabs>
              <w:ind w:left="1080" w:right="-72" w:hanging="540"/>
              <w:jc w:val="left"/>
            </w:pPr>
            <w:r w:rsidRPr="00BC7757">
              <w:t>c)</w:t>
            </w:r>
            <w:r w:rsidRPr="00BC7757">
              <w:tab/>
              <w:t>les vérifications à effectuer; et</w:t>
            </w:r>
          </w:p>
          <w:p w14:paraId="0D0B66FC" w14:textId="77777777" w:rsidR="00BC7757" w:rsidRPr="00BC7757" w:rsidRDefault="00BC7757" w:rsidP="00BC7757">
            <w:pPr>
              <w:tabs>
                <w:tab w:val="left" w:pos="1080"/>
              </w:tabs>
              <w:ind w:left="1080" w:right="-72" w:hanging="540"/>
              <w:jc w:val="left"/>
            </w:pPr>
            <w:r w:rsidRPr="00BC7757">
              <w:t>d)</w:t>
            </w:r>
            <w:r w:rsidRPr="00BC7757">
              <w:tab/>
              <w:t>les moyens de contrôle à employer, ceux-ci devant être mis à la disposition de l’Entrepreneur par le Maître d’Œuvre.</w:t>
            </w:r>
          </w:p>
          <w:p w14:paraId="097A8F71" w14:textId="77777777" w:rsidR="00BC7757" w:rsidRPr="00BC7757" w:rsidRDefault="00BC7757" w:rsidP="00BC7757">
            <w:pPr>
              <w:tabs>
                <w:tab w:val="left" w:pos="540"/>
              </w:tabs>
              <w:ind w:left="540" w:right="-72" w:hanging="540"/>
            </w:pPr>
            <w:r w:rsidRPr="00BC7757">
              <w:t>26.8</w:t>
            </w:r>
            <w:r w:rsidRPr="00BC7757">
              <w:tab/>
              <w:t>En l’absence de stipulations particulières du Marché, la charge des frais résultant des prestations prévues au présent Article est réputée incluse dans les prix. A moins que le CCAP n’en dispose autrement, le Maître d’Ouvrage reste responsable des vices et défauts des matériaux, produits et composants qu’il fournit, sauf en ce qui concerne les vices et défauts apparents que l’Entrepreneur omet de dénoncer par une notification au Maître d’Œuvre à bref délai.</w:t>
            </w:r>
          </w:p>
        </w:tc>
      </w:tr>
      <w:tr w:rsidR="00BC7757" w:rsidRPr="00BC7757" w14:paraId="31358F73" w14:textId="77777777" w:rsidTr="00BC7757">
        <w:tc>
          <w:tcPr>
            <w:tcW w:w="2160" w:type="dxa"/>
            <w:tcBorders>
              <w:top w:val="nil"/>
              <w:left w:val="nil"/>
              <w:bottom w:val="nil"/>
              <w:right w:val="nil"/>
            </w:tcBorders>
          </w:tcPr>
          <w:p w14:paraId="78F1EB62" w14:textId="77777777" w:rsidR="00BC7757" w:rsidRPr="00BC7757" w:rsidRDefault="00BC7757" w:rsidP="00BC7757">
            <w:pPr>
              <w:pStyle w:val="Head42"/>
            </w:pPr>
            <w:bookmarkStart w:id="793" w:name="_Toc348175967"/>
            <w:bookmarkStart w:id="794" w:name="_Toc327539575"/>
            <w:r w:rsidRPr="00BC7757">
              <w:t>27.</w:t>
            </w:r>
            <w:r w:rsidRPr="00BC7757">
              <w:tab/>
              <w:t>Implantation des ouvrages</w:t>
            </w:r>
            <w:bookmarkEnd w:id="793"/>
            <w:bookmarkEnd w:id="794"/>
          </w:p>
        </w:tc>
        <w:tc>
          <w:tcPr>
            <w:tcW w:w="7398" w:type="dxa"/>
            <w:tcBorders>
              <w:top w:val="nil"/>
              <w:left w:val="nil"/>
              <w:bottom w:val="nil"/>
              <w:right w:val="nil"/>
            </w:tcBorders>
          </w:tcPr>
          <w:p w14:paraId="73E010E6" w14:textId="77777777" w:rsidR="00BC7757" w:rsidRPr="00BC7757" w:rsidRDefault="00BC7757" w:rsidP="00BC7757">
            <w:pPr>
              <w:tabs>
                <w:tab w:val="left" w:pos="540"/>
              </w:tabs>
              <w:ind w:left="540" w:right="-72" w:hanging="540"/>
              <w:rPr>
                <w:b/>
              </w:rPr>
            </w:pPr>
            <w:r w:rsidRPr="00BC7757">
              <w:rPr>
                <w:b/>
              </w:rPr>
              <w:t>27.1</w:t>
            </w:r>
            <w:r w:rsidRPr="00BC7757">
              <w:rPr>
                <w:b/>
              </w:rPr>
              <w:tab/>
              <w:t>Plan général d’implantation des ouvrages</w:t>
            </w:r>
          </w:p>
          <w:p w14:paraId="75F542F5" w14:textId="77777777" w:rsidR="00BC7757" w:rsidRPr="00BC7757" w:rsidRDefault="00BC7757" w:rsidP="00BC7757">
            <w:pPr>
              <w:ind w:left="540" w:right="-72"/>
            </w:pPr>
            <w:r w:rsidRPr="00BC7757">
              <w:t>Le plan général d’implantation des ouvrages est un plan orienté qui précise la position des ouvrages, en planimétrie et en altimétrie, par rapport à des repères fixes.  Ce plan est notifié à l’Entrepreneur, par ordre de service, dans les quinze (15) jours de l’entrée en vigueur du Marché ou si l’ordre de service prescrivant de commencer les travaux est postérieur à celle-ci, au plus tard en même temps que cet ordre.</w:t>
            </w:r>
          </w:p>
          <w:p w14:paraId="5D16B780" w14:textId="77777777" w:rsidR="00BC7757" w:rsidRPr="00BC7757" w:rsidRDefault="00BC7757" w:rsidP="00BC7757">
            <w:pPr>
              <w:tabs>
                <w:tab w:val="left" w:pos="540"/>
              </w:tabs>
              <w:ind w:left="540" w:right="-72" w:hanging="540"/>
              <w:rPr>
                <w:b/>
              </w:rPr>
            </w:pPr>
            <w:r w:rsidRPr="00BC7757">
              <w:rPr>
                <w:b/>
              </w:rPr>
              <w:t>27.2</w:t>
            </w:r>
            <w:r w:rsidRPr="00BC7757">
              <w:rPr>
                <w:b/>
              </w:rPr>
              <w:tab/>
              <w:t>Responsabilité de l’Entrepreneur</w:t>
            </w:r>
          </w:p>
          <w:p w14:paraId="4B8A8523" w14:textId="77777777" w:rsidR="00BC7757" w:rsidRPr="00BC7757" w:rsidRDefault="00BC7757" w:rsidP="00BC7757">
            <w:pPr>
              <w:ind w:left="540" w:right="-72"/>
            </w:pPr>
            <w:r w:rsidRPr="00BC7757">
              <w:t>L’Entrepreneur est responsable :</w:t>
            </w:r>
          </w:p>
          <w:p w14:paraId="1C226F2D" w14:textId="77777777" w:rsidR="00BC7757" w:rsidRPr="00BC7757" w:rsidRDefault="00BC7757" w:rsidP="00BC7757">
            <w:pPr>
              <w:tabs>
                <w:tab w:val="left" w:pos="1080"/>
              </w:tabs>
              <w:ind w:left="1080" w:right="-72" w:hanging="540"/>
              <w:jc w:val="left"/>
            </w:pPr>
            <w:r w:rsidRPr="00BC7757">
              <w:t>a)</w:t>
            </w:r>
            <w:r w:rsidRPr="00BC7757">
              <w:tab/>
              <w:t>de l’implantation exacte des ouvrages par rapport aux repères, lignes et niveaux de référence originaux fournis par le Maître d’Œuvre;</w:t>
            </w:r>
          </w:p>
          <w:p w14:paraId="700FD48E" w14:textId="77777777" w:rsidR="00BC7757" w:rsidRPr="00BC7757" w:rsidRDefault="00BC7757" w:rsidP="00BC7757">
            <w:pPr>
              <w:tabs>
                <w:tab w:val="left" w:pos="1080"/>
              </w:tabs>
              <w:ind w:left="1080" w:right="-72" w:hanging="540"/>
              <w:jc w:val="left"/>
            </w:pPr>
            <w:r w:rsidRPr="00BC7757">
              <w:t>b)</w:t>
            </w:r>
            <w:r w:rsidRPr="00BC7757">
              <w:tab/>
              <w:t>de l’exactitude du positionnement, du nivellement, du dimensionnement et de l’alignement de toutes les parties des ouvrages; et</w:t>
            </w:r>
          </w:p>
          <w:p w14:paraId="2A5A492B" w14:textId="77777777" w:rsidR="00BC7757" w:rsidRPr="00BC7757" w:rsidRDefault="00BC7757" w:rsidP="00BC7757">
            <w:pPr>
              <w:tabs>
                <w:tab w:val="left" w:pos="1080"/>
              </w:tabs>
              <w:ind w:left="1080" w:right="-72" w:hanging="540"/>
              <w:jc w:val="left"/>
            </w:pPr>
            <w:r w:rsidRPr="00BC7757">
              <w:t>c)</w:t>
            </w:r>
            <w:r w:rsidRPr="00BC7757">
              <w:tab/>
              <w:t>de la fourniture de tous les instruments et accessoires et de la main-d’œuvre nécessaires en rapport avec les tâches énumérées ci-dessus.</w:t>
            </w:r>
          </w:p>
          <w:p w14:paraId="64B5BA94" w14:textId="77777777" w:rsidR="00BC7757" w:rsidRPr="00BC7757" w:rsidRDefault="00BC7757" w:rsidP="00BC7757">
            <w:pPr>
              <w:tabs>
                <w:tab w:val="left" w:pos="540"/>
              </w:tabs>
              <w:ind w:left="540" w:right="-72" w:hanging="540"/>
            </w:pPr>
            <w:r w:rsidRPr="00BC7757">
              <w:t>27.3</w:t>
            </w:r>
            <w:r w:rsidRPr="00BC7757">
              <w:tab/>
              <w:t>Si, à un moment quelconque lors de l’exécution des travaux, une erreur apparaît dans le positionnement, dans le nivellement, dans le dimensionnement ou dans l’alignement d’une partie quelconque des ouvrages, l’Entrepreneur doit, si le Maître d’Œuvre le demande, rectifier cette erreur à ses propres frais et à la satisfaction du Maître d’Œuvre, à moins que cette erreur ne repose sur des données incorrectes fournies par celui-ci, auquel cas le coût de la rectification incombe au Maître de l’Ouvrage.</w:t>
            </w:r>
          </w:p>
          <w:p w14:paraId="2AC3B64E" w14:textId="77777777" w:rsidR="00BC7757" w:rsidRPr="00BC7757" w:rsidRDefault="00BC7757" w:rsidP="00BC7757">
            <w:pPr>
              <w:tabs>
                <w:tab w:val="left" w:pos="540"/>
              </w:tabs>
              <w:ind w:left="540" w:right="-72" w:hanging="540"/>
            </w:pPr>
            <w:r w:rsidRPr="00BC7757">
              <w:t>27.4</w:t>
            </w:r>
            <w:r w:rsidRPr="00BC7757">
              <w:tab/>
              <w:t>La vérification de tout tracement ou de tout alignement ou nivellement par le Maître d’Œuvre ne dégage en aucune façon l’Entrepreneur de sa responsabilité quant à l’exactitude de ces opérations; l’Entrepreneur doit protéger et conserver soigneusement tous les repères, jalon à voyant fixe, piquets et autres marques utilisés lors de l’implantation des ouvrages.</w:t>
            </w:r>
          </w:p>
        </w:tc>
      </w:tr>
      <w:tr w:rsidR="00BC7757" w:rsidRPr="00BC7757" w14:paraId="15FFDD09" w14:textId="77777777" w:rsidTr="00BC7757">
        <w:tc>
          <w:tcPr>
            <w:tcW w:w="2160" w:type="dxa"/>
            <w:tcBorders>
              <w:top w:val="nil"/>
              <w:left w:val="nil"/>
              <w:bottom w:val="nil"/>
              <w:right w:val="nil"/>
            </w:tcBorders>
          </w:tcPr>
          <w:p w14:paraId="6ECD02B2" w14:textId="77777777" w:rsidR="00BC7757" w:rsidRPr="00BC7757" w:rsidRDefault="00BC7757" w:rsidP="00BC7757">
            <w:pPr>
              <w:pStyle w:val="Head42"/>
            </w:pPr>
            <w:bookmarkStart w:id="795" w:name="_Toc348175968"/>
            <w:bookmarkStart w:id="796" w:name="_Toc327539576"/>
            <w:r w:rsidRPr="00BC7757">
              <w:t>28.</w:t>
            </w:r>
            <w:r w:rsidRPr="00BC7757">
              <w:tab/>
              <w:t>Préparation des travaux</w:t>
            </w:r>
            <w:bookmarkEnd w:id="795"/>
            <w:bookmarkEnd w:id="796"/>
          </w:p>
        </w:tc>
        <w:tc>
          <w:tcPr>
            <w:tcW w:w="7398" w:type="dxa"/>
            <w:tcBorders>
              <w:top w:val="nil"/>
              <w:left w:val="nil"/>
              <w:bottom w:val="nil"/>
              <w:right w:val="nil"/>
            </w:tcBorders>
          </w:tcPr>
          <w:p w14:paraId="49ED5149" w14:textId="77777777" w:rsidR="00BC7757" w:rsidRPr="00BC7757" w:rsidRDefault="00BC7757" w:rsidP="00BC7757">
            <w:pPr>
              <w:tabs>
                <w:tab w:val="left" w:pos="540"/>
              </w:tabs>
              <w:ind w:left="540" w:right="-72" w:hanging="540"/>
              <w:rPr>
                <w:b/>
              </w:rPr>
            </w:pPr>
            <w:r w:rsidRPr="00BC7757">
              <w:rPr>
                <w:b/>
              </w:rPr>
              <w:t>28.1</w:t>
            </w:r>
            <w:r w:rsidRPr="00BC7757">
              <w:rPr>
                <w:b/>
              </w:rPr>
              <w:tab/>
              <w:t>Période de mobilisation</w:t>
            </w:r>
          </w:p>
          <w:p w14:paraId="305449A4" w14:textId="77777777" w:rsidR="00BC7757" w:rsidRPr="00BC7757" w:rsidRDefault="00BC7757" w:rsidP="00BC7757">
            <w:pPr>
              <w:tabs>
                <w:tab w:val="left" w:pos="540"/>
              </w:tabs>
              <w:ind w:left="540" w:right="-72" w:hanging="540"/>
            </w:pPr>
            <w:r w:rsidRPr="00BC7757">
              <w:tab/>
              <w:t>La période de mobilisation est la période qui court à compter de l’entrée en vigueur du Marché et pendant laquelle, avant l’exécution proprement dite des travaux, le Maître de l’Ouvrage et l’Entrepreneur ont à prendre certaines dispositions préparatoires et à établir certains documents nécessaires à la réalisation des ouvrages, cette période dont la durée est fixée au CCAP, est incluse dans le délai d’exécution.</w:t>
            </w:r>
          </w:p>
          <w:p w14:paraId="2C99F68A" w14:textId="77777777" w:rsidR="00BC7757" w:rsidRPr="00BC7757" w:rsidRDefault="00BC7757" w:rsidP="00BC7757">
            <w:pPr>
              <w:tabs>
                <w:tab w:val="left" w:pos="540"/>
              </w:tabs>
              <w:ind w:left="540" w:right="-72" w:hanging="540"/>
              <w:rPr>
                <w:b/>
              </w:rPr>
            </w:pPr>
            <w:r w:rsidRPr="00BC7757">
              <w:rPr>
                <w:b/>
              </w:rPr>
              <w:t>28.2</w:t>
            </w:r>
            <w:r w:rsidRPr="00BC7757">
              <w:rPr>
                <w:b/>
              </w:rPr>
              <w:tab/>
              <w:t>Programme d’exécution</w:t>
            </w:r>
          </w:p>
          <w:p w14:paraId="2993DD6F" w14:textId="77777777" w:rsidR="00BC7757" w:rsidRPr="00BC7757" w:rsidRDefault="00BC7757" w:rsidP="00BC7757">
            <w:pPr>
              <w:ind w:left="540" w:right="-72"/>
            </w:pPr>
            <w:r w:rsidRPr="00BC7757">
              <w:t>Dans le délai stipulé au CCAP, l’Entrepreneur soumettra au Chef de Projet, pour approbation, le programme d’exécution des travaux actualisé qui devra être compatible avec la bonne exécution du Marché tenant compte notamment, le cas échéant, de la présence de sous-traitants ou d’autres entreprises sur le Site.  L’Entrepreneur est tenu, en outre, sur demande du Maître d’Œuvre, de confirmer par écrit la description générale des dispositions et méthodes qu’il propose d’adopter pour la réalisation des travaux.</w:t>
            </w:r>
          </w:p>
          <w:p w14:paraId="28A2A1E0" w14:textId="77777777" w:rsidR="00BC7757" w:rsidRPr="00BC7757" w:rsidRDefault="00BC7757" w:rsidP="00BC7757">
            <w:pPr>
              <w:ind w:left="540" w:right="-72"/>
            </w:pPr>
            <w:r w:rsidRPr="00BC7757">
              <w:t>Si à un moment quelconque, il apparaît au Maître d’Œuvre que l’avancement des travaux ne correspond pas au programme d’exécution approuvé, l’Entrepreneur fournira, sur demande du Maître d’Œuvre, un programme révisé présentant les modifications nécessaires pour assurer l’achèvement des travaux dans le délai d’exécution.</w:t>
            </w:r>
          </w:p>
          <w:p w14:paraId="0228CAD9" w14:textId="77777777" w:rsidR="00BC7757" w:rsidRPr="00BC7757" w:rsidRDefault="00BC7757" w:rsidP="00BC7757">
            <w:pPr>
              <w:ind w:left="540" w:right="-72"/>
            </w:pPr>
            <w:r w:rsidRPr="00BC7757">
              <w:t>Le programme d’exécution des travaux précise notamment les matériels et les méthodes qui seront utilisés et le calendrier d’exécution des travaux.  Le projet des installations de chantier et des ouvrages provisoires est annexé à ce programme.  Le programme correspondant distinguera les matériels et équipements devant être importés de façon temporaire et exclusivement destinés à la réalisation des travaux.</w:t>
            </w:r>
          </w:p>
          <w:p w14:paraId="71FA8A58" w14:textId="77777777" w:rsidR="00BC7757" w:rsidRPr="00BC7757" w:rsidRDefault="00BC7757" w:rsidP="00BC7757">
            <w:pPr>
              <w:ind w:left="540" w:right="-72"/>
            </w:pPr>
            <w:r w:rsidRPr="00BC7757">
              <w:t>Le programme d’exécution des travaux est soumis au visa du Maître d’Œuvre quinze (15) jours au moins avant l’expiration de la période de mobilisation.  Ce visa ne décharge en rien l’Entrepreneur de sa responsabilité de réaliser les travaux dans des délais et selon un programme compatible avec la bonne exécution du Marché.  En outre, sauf dispositions contraires du Marché, l’absence de visa ne saurait faire obstacle à l’exécution des travaux.</w:t>
            </w:r>
          </w:p>
          <w:p w14:paraId="339A55EC" w14:textId="77777777" w:rsidR="00BC7757" w:rsidRPr="00BC7757" w:rsidRDefault="00BC7757" w:rsidP="00BC7757">
            <w:pPr>
              <w:tabs>
                <w:tab w:val="left" w:pos="540"/>
              </w:tabs>
              <w:ind w:left="540" w:right="-72" w:hanging="540"/>
              <w:rPr>
                <w:b/>
              </w:rPr>
            </w:pPr>
            <w:r w:rsidRPr="00BC7757">
              <w:rPr>
                <w:b/>
              </w:rPr>
              <w:t>28.3</w:t>
            </w:r>
            <w:r w:rsidRPr="00BC7757">
              <w:rPr>
                <w:b/>
              </w:rPr>
              <w:tab/>
              <w:t>Plan de sécurité et d’hygiène</w:t>
            </w:r>
          </w:p>
          <w:p w14:paraId="42DF0431" w14:textId="77777777" w:rsidR="00BC7757" w:rsidRPr="00BC7757" w:rsidRDefault="00BC7757" w:rsidP="00BC7757">
            <w:pPr>
              <w:ind w:left="1260" w:right="-72" w:hanging="720"/>
              <w:rPr>
                <w:b/>
                <w:sz w:val="28"/>
                <w:lang w:val="es-ES_tradnl"/>
              </w:rPr>
            </w:pPr>
            <w:r w:rsidRPr="00BC7757">
              <w:t>28.3.1 Si le CCAP le prévoit, les mesures et dispositions énumérées au paragraphe 31.4 du CCAG font l’objet d’un plan de sécurité et d’hygiène.  Les dispositions des deuxième et troisième alinéas du paragraphe 2 du présent Article sont alors applicables à ce plan.</w:t>
            </w:r>
          </w:p>
          <w:p w14:paraId="00B0B441" w14:textId="77777777" w:rsidR="00BC7757" w:rsidRPr="00BC7757" w:rsidRDefault="00BC7757" w:rsidP="00BC7757">
            <w:pPr>
              <w:ind w:left="1260" w:right="-72" w:hanging="720"/>
              <w:rPr>
                <w:b/>
                <w:sz w:val="28"/>
                <w:lang w:val="es-ES_tradnl"/>
              </w:rPr>
            </w:pPr>
            <w:r w:rsidRPr="00BC7757">
              <w:t>28.3.2 L’Entrepreneur préparera le Plan de sécurité et d’hygiène le prévu à l’Article 9, .</w:t>
            </w:r>
          </w:p>
        </w:tc>
      </w:tr>
      <w:tr w:rsidR="00BC7757" w:rsidRPr="00BC7757" w14:paraId="22CB9624" w14:textId="77777777" w:rsidTr="00BC7757">
        <w:tc>
          <w:tcPr>
            <w:tcW w:w="2160" w:type="dxa"/>
            <w:tcBorders>
              <w:top w:val="nil"/>
              <w:left w:val="nil"/>
              <w:bottom w:val="nil"/>
              <w:right w:val="nil"/>
            </w:tcBorders>
          </w:tcPr>
          <w:p w14:paraId="13CF5753" w14:textId="77777777" w:rsidR="00BC7757" w:rsidRPr="00BC7757" w:rsidRDefault="00BC7757" w:rsidP="00BC7757">
            <w:pPr>
              <w:pStyle w:val="Head42"/>
            </w:pPr>
            <w:bookmarkStart w:id="797" w:name="_Toc348175969"/>
            <w:bookmarkStart w:id="798" w:name="_Toc327539577"/>
            <w:r w:rsidRPr="00BC7757">
              <w:t>29.</w:t>
            </w:r>
            <w:r w:rsidRPr="00BC7757">
              <w:tab/>
              <w:t xml:space="preserve">Plans d’exécution - Notes de calculs - </w:t>
            </w:r>
            <w:bookmarkStart w:id="799" w:name="_Toc348175970"/>
            <w:bookmarkStart w:id="800" w:name="_Toc348232793"/>
            <w:r w:rsidRPr="00BC7757">
              <w:t>Etudes de détail</w:t>
            </w:r>
            <w:bookmarkEnd w:id="797"/>
            <w:bookmarkEnd w:id="798"/>
            <w:bookmarkEnd w:id="799"/>
            <w:bookmarkEnd w:id="800"/>
          </w:p>
        </w:tc>
        <w:tc>
          <w:tcPr>
            <w:tcW w:w="7398" w:type="dxa"/>
            <w:tcBorders>
              <w:top w:val="nil"/>
              <w:left w:val="nil"/>
              <w:bottom w:val="nil"/>
              <w:right w:val="nil"/>
            </w:tcBorders>
          </w:tcPr>
          <w:p w14:paraId="1455BAD9" w14:textId="77777777" w:rsidR="00BC7757" w:rsidRPr="00BC7757" w:rsidRDefault="00BC7757" w:rsidP="00BC7757">
            <w:pPr>
              <w:tabs>
                <w:tab w:val="left" w:pos="540"/>
              </w:tabs>
              <w:ind w:left="540" w:right="-72" w:hanging="540"/>
              <w:rPr>
                <w:b/>
              </w:rPr>
            </w:pPr>
            <w:r w:rsidRPr="00BC7757">
              <w:rPr>
                <w:b/>
              </w:rPr>
              <w:t>29.1</w:t>
            </w:r>
            <w:r w:rsidRPr="00BC7757">
              <w:rPr>
                <w:b/>
              </w:rPr>
              <w:tab/>
              <w:t>Documents fournis par l’Entrepreneur</w:t>
            </w:r>
          </w:p>
          <w:p w14:paraId="37EDCEB1" w14:textId="77777777" w:rsidR="00BC7757" w:rsidRPr="00BC7757" w:rsidRDefault="00BC7757" w:rsidP="00BC7757">
            <w:pPr>
              <w:tabs>
                <w:tab w:val="left" w:pos="1260"/>
              </w:tabs>
              <w:ind w:left="1260" w:right="-72" w:hanging="720"/>
            </w:pPr>
            <w:r w:rsidRPr="00BC7757">
              <w:t>29.1.1</w:t>
            </w:r>
            <w:r w:rsidRPr="00BC7757">
              <w:tab/>
              <w:t>Sauf dispositions contraires du Marché, l’Entrepreneur établit d’après les pièces contractuelles les documents nécessaires à la réalisation des ouvrages, tels que les plans d’exécution, notes de calculs, études de détail.  A cet effet, l’Entrepreneur fait sur place tous les relevés nécessaires et demeure responsable des conséquences de toute erreur de mesure.  Il doit, suivant le cas, établir, vérifier ou compléter les calculs notamment en ce qui concerne la stabilité et la résistance des travaux et ouvrages.  S’il reconnaît une erreur, omission ou contradiction  dans les pièces contractuelles ou autres documents de base fournis par le Maître d’Œuvre; il doit le signaler immédiatement par écrit au Maître d’Œuvre.</w:t>
            </w:r>
          </w:p>
          <w:p w14:paraId="391F32CE" w14:textId="77777777" w:rsidR="00BC7757" w:rsidRPr="00BC7757" w:rsidRDefault="00BC7757" w:rsidP="00BC7757">
            <w:pPr>
              <w:tabs>
                <w:tab w:val="left" w:pos="1260"/>
              </w:tabs>
              <w:ind w:left="1260" w:right="-72" w:hanging="720"/>
            </w:pPr>
            <w:r w:rsidRPr="00BC7757">
              <w:t>29.1.2</w:t>
            </w:r>
            <w:r w:rsidRPr="00BC7757">
              <w:tab/>
              <w:t>Les plans d’exécution sont cotés avec le plus grand soin et doivent nettement distinguer les diverses natures d’ouvrages et les qualités des matériaux à mettre en œuvre.  Ils doivent définir complètement, en conformité avec les spécifications techniques figurant au Marché, les formes des ouvrages, la nature des parements, les formes des pièces dans tous les éléments et assemblages, les armatures et leur disposition.</w:t>
            </w:r>
          </w:p>
          <w:p w14:paraId="7CECEA8A" w14:textId="77777777" w:rsidR="00BC7757" w:rsidRPr="00BC7757" w:rsidRDefault="00BC7757" w:rsidP="00BC7757">
            <w:pPr>
              <w:tabs>
                <w:tab w:val="left" w:pos="1260"/>
              </w:tabs>
              <w:ind w:left="1260" w:right="-72" w:hanging="720"/>
              <w:rPr>
                <w:b/>
                <w:i/>
              </w:rPr>
            </w:pPr>
            <w:r w:rsidRPr="00BC7757">
              <w:t>29.1.3</w:t>
            </w:r>
            <w:r w:rsidRPr="00BC7757">
              <w:tab/>
              <w:t>Les plans, notes de calculs, études de détail et autres documents établis par les soins ou à la diligence de l’Entrepreneur sont soumis à l’approbation du Maître d’Œuvre, celui-ci pouvant demander également la présentation des avant métrés.  Toutefois, si le Marché le prévoit, tout ou partie des documents énumérés ci-dessus ne sont soumis qu’au visa du Maître d’Œuvre</w:t>
            </w:r>
            <w:r w:rsidRPr="00BC7757">
              <w:rPr>
                <w:b/>
                <w:i/>
              </w:rPr>
              <w:t>.</w:t>
            </w:r>
          </w:p>
          <w:p w14:paraId="27EEAAF1" w14:textId="77777777" w:rsidR="00BC7757" w:rsidRPr="00BC7757" w:rsidRDefault="00BC7757" w:rsidP="00BC7757">
            <w:pPr>
              <w:tabs>
                <w:tab w:val="left" w:pos="1260"/>
              </w:tabs>
              <w:ind w:left="1260" w:right="-72" w:hanging="720"/>
            </w:pPr>
            <w:r w:rsidRPr="00BC7757">
              <w:t>29.1.4</w:t>
            </w:r>
            <w:r w:rsidRPr="00BC7757">
              <w:tab/>
              <w:t>L’Entrepreneur ne peut commencer l’exécution d’un ouvrage qu’après avoir reçu l’approbation ou le visa du Maître d’Œuvre sur les documents nécessaires à cette exécution.  Ces documents sont fournis dans les conditions figurant au paragraphe 4.4.2 du CCAG, sauf dispositions contraires des Spécifications techniques.</w:t>
            </w:r>
          </w:p>
          <w:p w14:paraId="0A20AE4E" w14:textId="77777777" w:rsidR="00BC7757" w:rsidRPr="00BC7757" w:rsidRDefault="00BC7757" w:rsidP="00BC7757">
            <w:pPr>
              <w:tabs>
                <w:tab w:val="left" w:pos="1260"/>
              </w:tabs>
              <w:ind w:left="1260" w:right="-72" w:hanging="720"/>
            </w:pPr>
            <w:r w:rsidRPr="00BC7757">
              <w:t>29.1.5</w:t>
            </w:r>
            <w:r w:rsidRPr="00BC7757">
              <w:tab/>
              <w:t>Si le Marché prévoit que le Maître de l’Ouvrage ou le Maître d’Œuvre fournissent à l’Entrepreneur des documents nécessaires à la réalisation des ouvrages, la responsabilité de l’Entrepreneur n’est pas engagée sur la teneur de ces documents.  Toutefois, l’Entrepreneur a l’obligation de vérifier, avant toute exécution, que ces documents ne contiennent pas d’erreurs, omissions ou contradictions qui sont normalement décelables par un homme de l’art; s’il relève des erreurs, omissions ou contradictions, il doit les signaler immédiatement au Maître d’Œuvre par écrit.</w:t>
            </w:r>
          </w:p>
        </w:tc>
      </w:tr>
      <w:tr w:rsidR="00BC7757" w:rsidRPr="00BC7757" w14:paraId="189B4C4E" w14:textId="77777777" w:rsidTr="00BC7757">
        <w:tc>
          <w:tcPr>
            <w:tcW w:w="2160" w:type="dxa"/>
            <w:tcBorders>
              <w:top w:val="nil"/>
              <w:left w:val="nil"/>
              <w:bottom w:val="nil"/>
              <w:right w:val="nil"/>
            </w:tcBorders>
          </w:tcPr>
          <w:p w14:paraId="774BB891" w14:textId="77777777" w:rsidR="00BC7757" w:rsidRPr="00BC7757" w:rsidRDefault="00BC7757" w:rsidP="00BC7757">
            <w:pPr>
              <w:pStyle w:val="Head42"/>
            </w:pPr>
            <w:bookmarkStart w:id="801" w:name="_Toc348175971"/>
            <w:bookmarkStart w:id="802" w:name="_Toc327539578"/>
            <w:r w:rsidRPr="00BC7757">
              <w:t>30.</w:t>
            </w:r>
            <w:r w:rsidRPr="00BC7757">
              <w:tab/>
              <w:t>Modifications apportées aux dispositions techniques</w:t>
            </w:r>
            <w:bookmarkEnd w:id="801"/>
            <w:bookmarkEnd w:id="802"/>
          </w:p>
        </w:tc>
        <w:tc>
          <w:tcPr>
            <w:tcW w:w="7398" w:type="dxa"/>
            <w:tcBorders>
              <w:top w:val="nil"/>
              <w:left w:val="nil"/>
              <w:bottom w:val="nil"/>
              <w:right w:val="nil"/>
            </w:tcBorders>
          </w:tcPr>
          <w:p w14:paraId="2EF49C8C" w14:textId="77777777" w:rsidR="00BC7757" w:rsidRPr="00BC7757" w:rsidRDefault="00BC7757" w:rsidP="00BC7757">
            <w:pPr>
              <w:tabs>
                <w:tab w:val="left" w:pos="540"/>
              </w:tabs>
              <w:ind w:left="540" w:right="-72" w:hanging="540"/>
            </w:pPr>
            <w:r w:rsidRPr="00BC7757">
              <w:t>30.1</w:t>
            </w:r>
            <w:r w:rsidRPr="00BC7757">
              <w:tab/>
              <w:t>L’Entrepreneur ne peut, de lui-même, apporter aucun changement aux dispositions techniques prévues par le Marché.  Sur injonction du Maître d’Œuvre par ordre de service et dans le délai fixé par cet ordre, il est tenu de reconstruire à ses frais les ouvrages qui ne sont pas conformes aux dispositions contractuelles.  Toutefois, le Maître d’Œuvre peut accepter les changements faits par l’Entrepreneur et les dispositions suivantes sont alors appliquées pour le règlement des comptes :</w:t>
            </w:r>
          </w:p>
          <w:p w14:paraId="792662B9" w14:textId="77777777" w:rsidR="00BC7757" w:rsidRPr="00BC7757" w:rsidRDefault="00BC7757" w:rsidP="00BC7757">
            <w:pPr>
              <w:tabs>
                <w:tab w:val="left" w:pos="1080"/>
              </w:tabs>
              <w:ind w:left="1080" w:right="-72" w:hanging="540"/>
              <w:jc w:val="left"/>
            </w:pPr>
            <w:r w:rsidRPr="00BC7757">
              <w:t>a)</w:t>
            </w:r>
            <w:r w:rsidRPr="00BC7757">
              <w:tab/>
              <w:t>si les dimensions ou les caractéristiques des ouvrages sont supérieures à celles que prévoit le Marché, les métrés restent fondés sur les dimensions et caractéristiques prescrites par le Marché et l’Entrepreneur n’a droit à aucune augmentation de prix; et</w:t>
            </w:r>
          </w:p>
          <w:p w14:paraId="50A6586E" w14:textId="77777777" w:rsidR="00BC7757" w:rsidRPr="00BC7757" w:rsidRDefault="00BC7757" w:rsidP="00BC7757">
            <w:pPr>
              <w:tabs>
                <w:tab w:val="left" w:pos="1080"/>
              </w:tabs>
              <w:ind w:left="1080" w:right="-72" w:hanging="540"/>
              <w:jc w:val="left"/>
            </w:pPr>
            <w:r w:rsidRPr="00BC7757">
              <w:t>b)</w:t>
            </w:r>
            <w:r w:rsidRPr="00BC7757">
              <w:tab/>
              <w:t>si elles sont inférieures, les métrés sont fondés sur les dimensions constatées des ouvrages, et les prix font l’objet d’une nouvelle détermination suivant les modalités prévues à l’Article 14 du CCAG.</w:t>
            </w:r>
          </w:p>
        </w:tc>
      </w:tr>
      <w:tr w:rsidR="00BC7757" w:rsidRPr="00BC7757" w14:paraId="5C0E9362" w14:textId="77777777" w:rsidTr="00BC7757">
        <w:tc>
          <w:tcPr>
            <w:tcW w:w="2160" w:type="dxa"/>
            <w:tcBorders>
              <w:top w:val="nil"/>
              <w:left w:val="nil"/>
              <w:bottom w:val="nil"/>
              <w:right w:val="nil"/>
            </w:tcBorders>
          </w:tcPr>
          <w:p w14:paraId="18CB05BC" w14:textId="77777777" w:rsidR="00BC7757" w:rsidRPr="00BC7757" w:rsidRDefault="00BC7757" w:rsidP="00BC7757">
            <w:pPr>
              <w:pStyle w:val="Head42"/>
            </w:pPr>
            <w:bookmarkStart w:id="803" w:name="_Toc348175972"/>
            <w:bookmarkStart w:id="804" w:name="_Toc327539579"/>
            <w:r w:rsidRPr="00BC7757">
              <w:t>31.</w:t>
            </w:r>
            <w:r w:rsidRPr="00BC7757">
              <w:tab/>
              <w:t>Installation, organisation, sécurité et hygiène des chantiers</w:t>
            </w:r>
            <w:bookmarkEnd w:id="803"/>
            <w:bookmarkEnd w:id="804"/>
          </w:p>
        </w:tc>
        <w:tc>
          <w:tcPr>
            <w:tcW w:w="7398" w:type="dxa"/>
            <w:tcBorders>
              <w:top w:val="nil"/>
              <w:left w:val="nil"/>
              <w:bottom w:val="nil"/>
              <w:right w:val="nil"/>
            </w:tcBorders>
          </w:tcPr>
          <w:p w14:paraId="3FA7B605" w14:textId="77777777" w:rsidR="00BC7757" w:rsidRPr="00BC7757" w:rsidRDefault="00BC7757" w:rsidP="00BC7757">
            <w:pPr>
              <w:tabs>
                <w:tab w:val="left" w:pos="540"/>
              </w:tabs>
              <w:ind w:left="540" w:right="-72" w:hanging="540"/>
              <w:rPr>
                <w:b/>
              </w:rPr>
            </w:pPr>
            <w:r w:rsidRPr="00BC7757">
              <w:rPr>
                <w:b/>
              </w:rPr>
              <w:t>31.1</w:t>
            </w:r>
            <w:r w:rsidRPr="00BC7757">
              <w:rPr>
                <w:b/>
              </w:rPr>
              <w:tab/>
              <w:t>Installation des chantiers de l’entreprise</w:t>
            </w:r>
          </w:p>
          <w:p w14:paraId="1FFEA48D" w14:textId="77777777" w:rsidR="00BC7757" w:rsidRPr="00BC7757" w:rsidRDefault="00BC7757" w:rsidP="00BC7757">
            <w:pPr>
              <w:tabs>
                <w:tab w:val="left" w:pos="1260"/>
              </w:tabs>
              <w:ind w:left="1260" w:right="-72" w:hanging="720"/>
            </w:pPr>
            <w:r w:rsidRPr="00BC7757">
              <w:t>31.1.1</w:t>
            </w:r>
            <w:r w:rsidRPr="00BC7757">
              <w:tab/>
              <w:t>L’Entrepreneur se procure, à ses frais et risques, les terrains dont il peut avoir besoin pour l’installation de ses chantiers dans la mesure où ceux que le Maître de l’Ouvrage a mis à sa disposition et compris dans le Site ne sont pas suffisants.</w:t>
            </w:r>
          </w:p>
          <w:p w14:paraId="06FB7AAF" w14:textId="77777777" w:rsidR="00BC7757" w:rsidRPr="00BC7757" w:rsidRDefault="00BC7757" w:rsidP="00BC7757">
            <w:pPr>
              <w:tabs>
                <w:tab w:val="left" w:pos="1260"/>
              </w:tabs>
              <w:ind w:left="1260" w:right="-72" w:hanging="720"/>
            </w:pPr>
            <w:r w:rsidRPr="00BC7757">
              <w:t>31.1.2</w:t>
            </w:r>
            <w:r w:rsidRPr="00BC7757">
              <w:tab/>
              <w:t>Sauf dispositions contraires du Marché, l’Entrepreneur supporte toutes les charges relatives à l’établissement et à l’entretien des installations de chantier, y compris les chemins de service et les voies de desserte du chantier qui ne sont pas ouverts à la circulation publique.</w:t>
            </w:r>
          </w:p>
          <w:p w14:paraId="789E4DA8" w14:textId="77777777" w:rsidR="00BC7757" w:rsidRPr="00BC7757" w:rsidRDefault="00BC7757" w:rsidP="00BC7757">
            <w:pPr>
              <w:tabs>
                <w:tab w:val="left" w:pos="1260"/>
              </w:tabs>
              <w:ind w:left="1260" w:right="-72" w:hanging="720"/>
            </w:pPr>
            <w:r w:rsidRPr="00BC7757">
              <w:t>31.1.3</w:t>
            </w:r>
            <w:r w:rsidRPr="00BC7757">
              <w:tab/>
              <w:t>Si les chantiers ne sont d’un accès facile que par voie d’eau, notamment lorsqu’il s’agit de travaux de dragage, d’endiguement ou de pose de blocs, l’Entrepreneur doit, sauf dispositions contraires du Marché, mettre gratuitement une embarcation armée à la disposition du Maître d’Œuvre et de ses agents, chaque fois que celui-ci le lui demande.</w:t>
            </w:r>
          </w:p>
          <w:p w14:paraId="6C162E2C" w14:textId="77777777" w:rsidR="00BC7757" w:rsidRPr="00BC7757" w:rsidRDefault="00BC7757" w:rsidP="00BC7757">
            <w:pPr>
              <w:tabs>
                <w:tab w:val="left" w:pos="1260"/>
              </w:tabs>
              <w:ind w:left="1260" w:right="-72" w:hanging="720"/>
            </w:pPr>
            <w:r w:rsidRPr="00BC7757">
              <w:t>31.1.4</w:t>
            </w:r>
            <w:r w:rsidRPr="00BC7757">
              <w:tab/>
              <w:t>L’Entrepreneur doit faire apposer dans les chantiers et ateliers une affiche indiquant le Maître de l’Ouvrage pour le compte duquel les travaux sont exécutés, les nom, qualité et adresse du Maître d’Œuvre, ainsi que les autres renseignements requis par la législation du travail du pays du Maître de l’Ouvrage.</w:t>
            </w:r>
          </w:p>
          <w:p w14:paraId="29F64FD6" w14:textId="77777777" w:rsidR="00BC7757" w:rsidRPr="00BC7757" w:rsidRDefault="00BC7757" w:rsidP="00BC7757">
            <w:pPr>
              <w:tabs>
                <w:tab w:val="left" w:pos="1260"/>
              </w:tabs>
              <w:ind w:left="1260" w:right="-72" w:hanging="720"/>
            </w:pPr>
            <w:r w:rsidRPr="00BC7757">
              <w:t>31.1.5</w:t>
            </w:r>
            <w:r w:rsidRPr="00BC7757">
              <w:tab/>
              <w:t>Tout équipement de l’Entrepreneur et ses sous-traitants, tous ouvrages provisoires et matériaux fournis par l’Entrepreneur et ses sous-traitants sont réputés, une fois qu’ils sont sur le Site, être exclusivement destinés à l’exécution des travaux et l’Entrepreneur ne doit pas les enlever en tout ou en partie, sauf dans le but de les déplacer d’une partie du Site vers une autre, sans l’accord du Chef de Projet.  Il est entendu que cet accord n’est pas nécessaire pour les véhicules destinés à transporter le personnel, la main-d’œuvre et l’équipement, les fournitures, le matériel ou les matériaux de l’Entrepreneur vers ou en provenance du Site.</w:t>
            </w:r>
          </w:p>
          <w:p w14:paraId="69619656" w14:textId="77777777" w:rsidR="00BC7757" w:rsidRPr="00BC7757" w:rsidRDefault="00BC7757" w:rsidP="00BC7757">
            <w:pPr>
              <w:tabs>
                <w:tab w:val="left" w:pos="540"/>
              </w:tabs>
              <w:ind w:left="540" w:right="-72" w:hanging="540"/>
            </w:pPr>
            <w:r w:rsidRPr="00BC7757">
              <w:rPr>
                <w:b/>
              </w:rPr>
              <w:t>31.2</w:t>
            </w:r>
            <w:r w:rsidRPr="00BC7757">
              <w:rPr>
                <w:b/>
              </w:rPr>
              <w:tab/>
              <w:t>Lieux de dépôt des déblais en excédent</w:t>
            </w:r>
          </w:p>
          <w:p w14:paraId="5FD15A06" w14:textId="77777777" w:rsidR="00BC7757" w:rsidRPr="00BC7757" w:rsidRDefault="00BC7757" w:rsidP="00BC7757">
            <w:pPr>
              <w:ind w:left="540" w:right="-72"/>
            </w:pPr>
            <w:r w:rsidRPr="00BC7757">
              <w:t>L’Entrepreneur se procure, à ses frais et risques, les terrains dont il peut avoir besoin comme lieu de dépôt des déblais en excédent, en sus des emplacements que le Maître d’Œuvre met éventuellement à sa disposition comme lieux de dépôt définitifs ou provisoires.  Il doit soumettre le choix de ces terrains à l’accord préalable du Maître d’Œuvre, qui peut refuser l’autorisation ou la subordonner à des dispositions spéciales à prendre, notamment pour l’aménagement des dépôts à y constituer, si des motifs d’intérêt général, comme la sauvegarde de l’environnement, le justifient.</w:t>
            </w:r>
          </w:p>
          <w:p w14:paraId="7D7790E3" w14:textId="77777777" w:rsidR="00BC7757" w:rsidRPr="00BC7757" w:rsidRDefault="00BC7757" w:rsidP="00BC7757">
            <w:pPr>
              <w:tabs>
                <w:tab w:val="left" w:pos="540"/>
              </w:tabs>
              <w:ind w:left="540" w:right="-72" w:hanging="540"/>
              <w:rPr>
                <w:b/>
              </w:rPr>
            </w:pPr>
            <w:r w:rsidRPr="00BC7757">
              <w:rPr>
                <w:b/>
              </w:rPr>
              <w:t>31.3</w:t>
            </w:r>
            <w:r w:rsidRPr="00BC7757">
              <w:rPr>
                <w:b/>
              </w:rPr>
              <w:tab/>
              <w:t>Autorisations administratives</w:t>
            </w:r>
          </w:p>
          <w:p w14:paraId="6EFE4634" w14:textId="77777777" w:rsidR="00BC7757" w:rsidRPr="00BC7757" w:rsidRDefault="00BC7757" w:rsidP="00BC7757">
            <w:pPr>
              <w:ind w:left="540" w:right="-72"/>
            </w:pPr>
            <w:r w:rsidRPr="00BC7757">
              <w:t>Le Maître de l’Ouvrage fait son affaire de la délivrance à l’Entrepreneur de toutes autorisations administratives, telles que les autorisations d’occupation temporaire du domaine public ou privé, les permissions de voirie, les permis de construire nécessaires à la réalisation des ouvrages faisant l’objet du Marché.</w:t>
            </w:r>
          </w:p>
          <w:p w14:paraId="2BD82EE7" w14:textId="77777777" w:rsidR="00BC7757" w:rsidRPr="00BC7757" w:rsidRDefault="00BC7757" w:rsidP="00BC7757">
            <w:pPr>
              <w:ind w:left="540" w:right="-72"/>
            </w:pPr>
            <w:r w:rsidRPr="00BC7757">
              <w:t>Le Maître de l’Ouvrage et le Maître d’Œuvre apporteront leur concours à l’Entrepreneur, si celui-ci le leur demande, pour lui faciliter l’obtention en temps utile des autres autorisations administratives dont il aurait besoin, notamment pour pouvoir importer puis réexporter en temps utile, le cas échéant selon un régime douanier et fiscal suspensif, tout le matériel et l’équipement exclusivement destinés à la réalisation des travaux et pour disposer des emplacements nécessaires au dépôt des déblais.</w:t>
            </w:r>
          </w:p>
          <w:p w14:paraId="1F8C310E" w14:textId="77777777" w:rsidR="00BC7757" w:rsidRPr="00BC7757" w:rsidRDefault="00BC7757" w:rsidP="00BC7757">
            <w:pPr>
              <w:tabs>
                <w:tab w:val="left" w:pos="540"/>
              </w:tabs>
              <w:ind w:left="540" w:right="-72" w:hanging="540"/>
            </w:pPr>
            <w:r w:rsidRPr="00BC7757">
              <w:rPr>
                <w:b/>
              </w:rPr>
              <w:t>31.4</w:t>
            </w:r>
            <w:r w:rsidRPr="00BC7757">
              <w:rPr>
                <w:b/>
              </w:rPr>
              <w:tab/>
              <w:t>Sécurité et hygiène des chantiers</w:t>
            </w:r>
          </w:p>
          <w:p w14:paraId="6042B775" w14:textId="77777777" w:rsidR="00BC7757" w:rsidRPr="00BC7757" w:rsidRDefault="00BC7757" w:rsidP="00BC7757">
            <w:pPr>
              <w:tabs>
                <w:tab w:val="left" w:pos="1260"/>
              </w:tabs>
              <w:spacing w:after="180"/>
              <w:ind w:left="1260" w:right="-72" w:hanging="720"/>
            </w:pPr>
            <w:r w:rsidRPr="00BC7757">
              <w:t>31.4.1</w:t>
            </w:r>
            <w:r w:rsidRPr="00BC7757">
              <w:tab/>
              <w:t>L’Entrepreneur doit prendre sur ses chantiers toutes les mesures d’ordre et de sécurité propres à éviter des accidents, tant à l’égard du personnel qu’à l’égard des tiers.  Il est tenu d’observer tous les règlements et consignes de l’autorité compétente.  Il assure notamment l’éclairage et le gardiennage de ses chantiers, ainsi que leur signalisation tant intérieure qu’extérieure.  Il assure également, en tant que de besoin, la clôture de ses chantiers.</w:t>
            </w:r>
          </w:p>
          <w:p w14:paraId="7A84E761" w14:textId="77777777" w:rsidR="00BC7757" w:rsidRPr="00BC7757" w:rsidRDefault="00BC7757" w:rsidP="00BC7757">
            <w:pPr>
              <w:spacing w:after="180"/>
              <w:ind w:left="1260" w:right="-72"/>
            </w:pPr>
            <w:r w:rsidRPr="00BC7757">
              <w:t>Il doit prendre toutes les précautions nécessaires pour éviter que les travaux ne causent un danger aux tiers, notamment pour la circulation publique si celle-ci n’a pas été déviée.  Les points de passage dangereux, le long et à la traversée des voies de communication, doivent être protégés par des garde-corps provisoires ou par tout autre dispositif approprié; ils doivent être éclairés et, au besoin, gardés.</w:t>
            </w:r>
          </w:p>
          <w:p w14:paraId="57AD794F" w14:textId="77777777" w:rsidR="00BC7757" w:rsidRPr="00BC7757" w:rsidRDefault="00BC7757" w:rsidP="00BC7757">
            <w:pPr>
              <w:tabs>
                <w:tab w:val="left" w:pos="1260"/>
              </w:tabs>
              <w:spacing w:after="180"/>
              <w:ind w:left="1260" w:right="-72"/>
            </w:pPr>
            <w:r w:rsidRPr="00BC7757">
              <w:t>L’Entrepreneur doit désigner un responsable de prévention d’accident sur le Site qui aura la charge de la sécurité et de la protection contre les accidents. Cette personne sera qualifiée en la matière et aura l’autorité suffisante pour donner des instructions et prendre des mesures de protection nécessaires à la prévention des accidents. Durant toute la période d’exécution des travaux, l’Entrepreneur s’engage à mettre à la disposition de cette personne tous les moyens nécessaires à l’exercice de ses fonctions.</w:t>
            </w:r>
          </w:p>
          <w:p w14:paraId="3513BC51" w14:textId="77777777" w:rsidR="00BC7757" w:rsidRPr="00BC7757" w:rsidRDefault="00BC7757" w:rsidP="00BC7757">
            <w:pPr>
              <w:spacing w:after="180"/>
              <w:ind w:left="1260" w:right="-72"/>
              <w:jc w:val="left"/>
              <w:rPr>
                <w:b/>
                <w:sz w:val="28"/>
                <w:lang w:val="es-ES_tradnl"/>
              </w:rPr>
            </w:pPr>
            <w:r w:rsidRPr="00BC7757">
              <w:t>L’Entrepreneur transmettra au Maître d’œuvre les détails de l’accident survenu dès que possible. L’Entrepreneur doit maintenir un registre et préparer des rapports sur la santé, la sécurité et le bien-être des personnes, et les dommages matériels subis, tel que requis par le Maître d’œuvre.</w:t>
            </w:r>
          </w:p>
          <w:p w14:paraId="512C497D" w14:textId="77777777" w:rsidR="00BC7757" w:rsidRPr="00BC7757" w:rsidRDefault="00BC7757" w:rsidP="00BC7757">
            <w:pPr>
              <w:tabs>
                <w:tab w:val="left" w:pos="1260"/>
              </w:tabs>
              <w:spacing w:after="180"/>
              <w:ind w:left="1260" w:right="-72" w:hanging="720"/>
            </w:pPr>
            <w:r w:rsidRPr="00BC7757">
              <w:t>31.4.2</w:t>
            </w:r>
            <w:r w:rsidRPr="00BC7757">
              <w:tab/>
              <w:t>L’Entrepreneur doit prendre les dispositions utiles pour assurer l’hygiène des installations de chantier destinées au personnel, notamment par l’établissement des réseaux de voirie, d’alimentation en eau potable et d’assainissement, si l’importance des chantiers le justifie.</w:t>
            </w:r>
          </w:p>
          <w:p w14:paraId="2B0C26FD" w14:textId="77777777" w:rsidR="00BC7757" w:rsidRPr="00BC7757" w:rsidRDefault="00BC7757" w:rsidP="00BC7757">
            <w:pPr>
              <w:tabs>
                <w:tab w:val="left" w:pos="1260"/>
              </w:tabs>
              <w:ind w:left="1260" w:right="-72" w:hanging="720"/>
            </w:pPr>
            <w:r w:rsidRPr="00BC7757">
              <w:t>31.4.3</w:t>
            </w:r>
            <w:r w:rsidRPr="00BC7757">
              <w:tab/>
              <w:t>Sauf dispositions contraires du Marché, toutes les mesures d’ordre, de sécurité et d’hygiène prescrites ci-dessus sont à la charge de l’Entrepreneur.</w:t>
            </w:r>
          </w:p>
          <w:p w14:paraId="0C4084F1" w14:textId="77777777" w:rsidR="00BC7757" w:rsidRPr="00BC7757" w:rsidRDefault="00BC7757" w:rsidP="00BC7757">
            <w:pPr>
              <w:tabs>
                <w:tab w:val="left" w:pos="1260"/>
              </w:tabs>
              <w:ind w:left="1260" w:right="-72" w:hanging="720"/>
            </w:pPr>
            <w:r w:rsidRPr="00BC7757">
              <w:t>31.4.4</w:t>
            </w:r>
            <w:r w:rsidRPr="00BC7757">
              <w:tab/>
              <w:t>En cas d’inobservation par l’Entrepreneur des prescriptions ci-dessus et sans préjudice des pouvoirs des autorités compétentes, le Maître d’Œuvre peut prendre aux frais de l’Entrepreneur les mesures nécessaires après mise en demeure restée sans effet.  En cas d’urgence ou de danger, ces mesures peuvent être prises sans mise en demeure préalable.  L’intervention des autorités compétentes ou du Maître d’Œuvre ne dégage pas la responsabilité de l’Entrepreneur.</w:t>
            </w:r>
          </w:p>
          <w:p w14:paraId="2238BA8A" w14:textId="77777777" w:rsidR="00BC7757" w:rsidRPr="00BC7757" w:rsidRDefault="00BC7757" w:rsidP="00BC7757">
            <w:pPr>
              <w:tabs>
                <w:tab w:val="left" w:pos="540"/>
              </w:tabs>
              <w:ind w:left="540" w:right="-72" w:hanging="540"/>
            </w:pPr>
            <w:r w:rsidRPr="00BC7757">
              <w:t>3</w:t>
            </w:r>
            <w:r w:rsidRPr="00BC7757">
              <w:rPr>
                <w:b/>
              </w:rPr>
              <w:t>1.5</w:t>
            </w:r>
            <w:r w:rsidRPr="00BC7757">
              <w:rPr>
                <w:b/>
              </w:rPr>
              <w:tab/>
              <w:t>Signalisation des chantiers à l’égard de la circulation publique</w:t>
            </w:r>
          </w:p>
          <w:p w14:paraId="75590151" w14:textId="77777777" w:rsidR="00BC7757" w:rsidRPr="00BC7757" w:rsidRDefault="00BC7757" w:rsidP="00BC7757">
            <w:pPr>
              <w:ind w:left="540" w:right="-72"/>
            </w:pPr>
            <w:r w:rsidRPr="00BC7757">
              <w:t>Lorsque les travaux intéressent la circulation publique, la signalisation à l’usage du public doit être conforme aux instructions réglementaires en la matière : elle est réalisée sous le contrôle des services compétents par l’Entrepreneur, ce dernier ayant à sa charge la fourniture et la mise en place des panneaux et des dispositifs de signalisation, sauf dispositions contraires du Marché et sans préjudice de l’application du paragraphe 4.4 du présent Article.</w:t>
            </w:r>
          </w:p>
          <w:p w14:paraId="729481AD" w14:textId="77777777" w:rsidR="00BC7757" w:rsidRPr="00BC7757" w:rsidRDefault="00BC7757" w:rsidP="00BC7757">
            <w:pPr>
              <w:ind w:left="540" w:right="-72"/>
            </w:pPr>
            <w:r w:rsidRPr="00BC7757">
              <w:t>Si le Marché prévoit une déviation de la circulation, l’Entrepreneur a la charge, dans les mêmes conditions, de la signalisation aux extrémités des sections où la circulation est interrompue et de la signalisation des itinéraires déviés.  La police de la circulation aux abords des chantiers ou aux extrémités des sections où la circulation est interrompue et le long des itinéraires déviés incombe aux services compétents.</w:t>
            </w:r>
          </w:p>
          <w:p w14:paraId="463FB06D" w14:textId="77777777" w:rsidR="00BC7757" w:rsidRPr="00BC7757" w:rsidRDefault="00BC7757" w:rsidP="00BC7757">
            <w:pPr>
              <w:ind w:left="540" w:right="-72"/>
            </w:pPr>
            <w:r w:rsidRPr="00BC7757">
              <w:t>L’Entrepreneur doit informer par écrit les services compétents, au moins huit (8) jours ouvrables à l’avance, de la date de commencement des travaux en mentionnant, s’il y a lieu, le caractère mobile du chantier.  L’Entrepreneur doit, dans les mêmes formes et délai, informer les services compétents du repliement ou du déplacement du chantier.</w:t>
            </w:r>
          </w:p>
          <w:p w14:paraId="146012B4" w14:textId="77777777" w:rsidR="00BC7757" w:rsidRPr="00BC7757" w:rsidRDefault="00BC7757" w:rsidP="00BC7757">
            <w:pPr>
              <w:tabs>
                <w:tab w:val="left" w:pos="540"/>
              </w:tabs>
              <w:ind w:left="540" w:right="-72" w:hanging="540"/>
            </w:pPr>
            <w:r w:rsidRPr="00BC7757">
              <w:rPr>
                <w:b/>
              </w:rPr>
              <w:t>31.6</w:t>
            </w:r>
            <w:r w:rsidRPr="00BC7757">
              <w:rPr>
                <w:b/>
              </w:rPr>
              <w:tab/>
              <w:t>Maintien des communications et de l’écoulement des eaux</w:t>
            </w:r>
          </w:p>
          <w:p w14:paraId="44BA3358" w14:textId="77777777" w:rsidR="00BC7757" w:rsidRPr="00BC7757" w:rsidRDefault="00BC7757" w:rsidP="00BC7757">
            <w:pPr>
              <w:tabs>
                <w:tab w:val="left" w:pos="1260"/>
              </w:tabs>
              <w:ind w:left="1260" w:right="-72" w:hanging="720"/>
            </w:pPr>
            <w:r w:rsidRPr="00BC7757">
              <w:t>31.6.1</w:t>
            </w:r>
            <w:r w:rsidRPr="00BC7757">
              <w:tab/>
              <w:t>L’Entrepreneur doit conduire les travaux de manière à maintenir dans des conditions convenables les communications de toute nature traversant le site des travaux, notamment celles qui intéressent la circulation des personnes, ainsi que l’écoulement des eaux, sous réserve des précisions données, le cas échéant, par le CCAP sur les conditions dans lesquelles des restrictions peuvent être apportées à ces communications et à l’écoulement des eaux.</w:t>
            </w:r>
          </w:p>
          <w:p w14:paraId="36509A66" w14:textId="77777777" w:rsidR="00BC7757" w:rsidRPr="00BC7757" w:rsidRDefault="00BC7757" w:rsidP="00BC7757">
            <w:pPr>
              <w:tabs>
                <w:tab w:val="left" w:pos="1260"/>
              </w:tabs>
              <w:ind w:left="1260" w:right="-72" w:hanging="720"/>
            </w:pPr>
            <w:r w:rsidRPr="00BC7757">
              <w:t>31.6.2</w:t>
            </w:r>
            <w:r w:rsidRPr="00BC7757">
              <w:tab/>
              <w:t>En cas d’inobservation par l’Entrepreneur des prescriptions ci-dessus et sans préjudice des pouvoirs des autorités compétentes, le Maître d’Œuvre peut prendre aux frais de l’Entrepreneur les mesures nécessaires après mise en demeure restée sans effet.  En cas d’urgence ou de danger, ces mesures peuvent être prises sans mise en demeure préalable.</w:t>
            </w:r>
          </w:p>
          <w:p w14:paraId="4D401651" w14:textId="77777777" w:rsidR="00BC7757" w:rsidRPr="00BC7757" w:rsidRDefault="00BC7757" w:rsidP="00BC7757">
            <w:pPr>
              <w:tabs>
                <w:tab w:val="left" w:pos="540"/>
              </w:tabs>
              <w:ind w:left="540" w:right="-72" w:hanging="540"/>
            </w:pPr>
            <w:r w:rsidRPr="00BC7757">
              <w:rPr>
                <w:b/>
              </w:rPr>
              <w:t>31.7</w:t>
            </w:r>
            <w:r w:rsidRPr="00BC7757">
              <w:rPr>
                <w:b/>
              </w:rPr>
              <w:tab/>
              <w:t>Sujétions spéciales pour les travaux exécutés à proximité de lieux habités, fréquentés ou protégés</w:t>
            </w:r>
          </w:p>
          <w:p w14:paraId="2EA50468" w14:textId="77777777" w:rsidR="00BC7757" w:rsidRPr="00BC7757" w:rsidRDefault="00BC7757" w:rsidP="00BC7757">
            <w:pPr>
              <w:ind w:left="540" w:right="-72"/>
            </w:pPr>
            <w:r w:rsidRPr="00BC7757">
              <w:t>Sans préjudice de l’application des dispositions législatives et réglementaires en vigueur, lorsque les travaux sont exécutés à proximité de lieux habités ou fréquentés, ou méritant une protection au titre de la sauvegarde de l’environnement, l’Entrepreneur doit prendre à ses frais et risques les dispositions nécessaires pour réduire, dans toute la mesure du possible, les gênes imposées aux usagers et aux voisins, notamment celles qui peuvent être causées par les difficultés d’accès, le bruit des engins, les vibrations, les fumées, les poussières.</w:t>
            </w:r>
          </w:p>
          <w:p w14:paraId="0BA6E19A" w14:textId="77777777" w:rsidR="00BC7757" w:rsidRPr="00BC7757" w:rsidRDefault="00BC7757" w:rsidP="00BC7757">
            <w:pPr>
              <w:tabs>
                <w:tab w:val="left" w:pos="540"/>
              </w:tabs>
              <w:ind w:left="540" w:right="-72" w:hanging="540"/>
            </w:pPr>
            <w:r w:rsidRPr="00BC7757">
              <w:rPr>
                <w:b/>
              </w:rPr>
              <w:t>31.8</w:t>
            </w:r>
            <w:r w:rsidRPr="00BC7757">
              <w:rPr>
                <w:b/>
              </w:rPr>
              <w:tab/>
              <w:t>Sujétions spéciales pour les travaux exécutés à proximité des câbles ou ouvrages souterrains de télécommunications</w:t>
            </w:r>
          </w:p>
          <w:p w14:paraId="1C297FEE" w14:textId="77777777" w:rsidR="00BC7757" w:rsidRPr="00BC7757" w:rsidRDefault="00BC7757" w:rsidP="00BC7757">
            <w:pPr>
              <w:ind w:left="540" w:right="-72"/>
            </w:pPr>
            <w:r w:rsidRPr="00BC7757">
              <w:t>Lorsque, au cours de l’exécution des travaux, l’Entrepreneur rencontre des repères indiquant le parcours de câbles, de canalisations ou d’ouvrages souterrains, il maintient ces repères à leur place ou les remet en place si l’exécution des travaux a nécessité leur enlèvement momentané.  Ces opérations requièrent l’autorisation préalable du Maître d’Œuvre.</w:t>
            </w:r>
          </w:p>
          <w:p w14:paraId="7F1D7CAA" w14:textId="77777777" w:rsidR="00BC7757" w:rsidRPr="00BC7757" w:rsidRDefault="00BC7757" w:rsidP="00BC7757">
            <w:pPr>
              <w:ind w:left="540" w:right="-72"/>
            </w:pPr>
            <w:r w:rsidRPr="00BC7757">
              <w:t>L’Entrepreneur est responsable de la conservation, du déplacement et de la remise en place, selon le cas, des câbles, des canalisations et ouvrages spécifiés par le Maître de l’Ouvrage dans le Marché et prend à sa charge les frais y afférents.  Lorsque la présence de câbles, de canalisations ou installations n’a pas été mentionnée dans le Marché, mais est signalée par des repères ou des indices, l’Entrepreneur a un devoir général de diligence et des obligations analogues à celles énoncées ci</w:t>
            </w:r>
            <w:r w:rsidRPr="00BC7757">
              <w:noBreakHyphen/>
              <w:t>avant en ce qui concerne la conservation, le déplacement et la remise en place.  Dans ce cas, le Maître de l’Ouvrage l’indemnise des frais afférents à ces travaux, dans la mesure où ces travaux sont nécessaires à l’exécution du Marché.</w:t>
            </w:r>
          </w:p>
          <w:p w14:paraId="2944703C" w14:textId="77777777" w:rsidR="00BC7757" w:rsidRPr="00BC7757" w:rsidRDefault="00BC7757" w:rsidP="00BC7757">
            <w:pPr>
              <w:tabs>
                <w:tab w:val="left" w:pos="540"/>
              </w:tabs>
              <w:ind w:left="540" w:right="-72" w:hanging="540"/>
              <w:rPr>
                <w:b/>
              </w:rPr>
            </w:pPr>
            <w:r w:rsidRPr="00BC7757">
              <w:rPr>
                <w:b/>
              </w:rPr>
              <w:t>31.9</w:t>
            </w:r>
            <w:r w:rsidRPr="00BC7757">
              <w:rPr>
                <w:b/>
              </w:rPr>
              <w:tab/>
              <w:t>Démolition de constructions</w:t>
            </w:r>
          </w:p>
          <w:p w14:paraId="4192659E" w14:textId="77777777" w:rsidR="00BC7757" w:rsidRPr="00BC7757" w:rsidRDefault="00BC7757" w:rsidP="00BC7757">
            <w:pPr>
              <w:tabs>
                <w:tab w:val="left" w:pos="1260"/>
              </w:tabs>
              <w:ind w:left="1260" w:right="-72" w:hanging="720"/>
            </w:pPr>
            <w:r w:rsidRPr="00BC7757">
              <w:t>31.9.1</w:t>
            </w:r>
            <w:r w:rsidRPr="00BC7757">
              <w:tab/>
              <w:t>L’Entrepreneur ne peut démolir les constructions situées dans les emprises des chantiers et sur les terrains mis à disposition par le Maître de l’Ouvrage qu’après en avoir fait la demande au Maître d’Œuvre quinze (15) jours à l’avance, le défaut de réponse dans ce délai valant autorisation.</w:t>
            </w:r>
          </w:p>
          <w:p w14:paraId="2851449A" w14:textId="77777777" w:rsidR="00BC7757" w:rsidRPr="00BC7757" w:rsidRDefault="00BC7757" w:rsidP="00BC7757">
            <w:pPr>
              <w:tabs>
                <w:tab w:val="left" w:pos="1260"/>
              </w:tabs>
              <w:ind w:left="1260" w:right="-72" w:hanging="720"/>
            </w:pPr>
            <w:r w:rsidRPr="00BC7757">
              <w:t>31.9.2</w:t>
            </w:r>
            <w:r w:rsidRPr="00BC7757">
              <w:tab/>
              <w:t>Sauf dispositions contraires du Marché, l’Entrepreneur n’est tenu, en ce qui concerne les matériaux et les produits provenant de démolition ou de démontage, à aucune précaution particulière pour leur dépôt, ni à aucune obligation de tri en vue de leur réemploi.</w:t>
            </w:r>
          </w:p>
          <w:p w14:paraId="50C1987E" w14:textId="77777777" w:rsidR="00BC7757" w:rsidRPr="00BC7757" w:rsidRDefault="00BC7757" w:rsidP="00BC7757">
            <w:pPr>
              <w:tabs>
                <w:tab w:val="left" w:pos="540"/>
              </w:tabs>
              <w:ind w:left="540" w:right="-72" w:hanging="540"/>
              <w:rPr>
                <w:b/>
              </w:rPr>
            </w:pPr>
            <w:r w:rsidRPr="00BC7757">
              <w:rPr>
                <w:b/>
              </w:rPr>
              <w:t>31.10</w:t>
            </w:r>
            <w:r w:rsidRPr="00BC7757">
              <w:rPr>
                <w:b/>
              </w:rPr>
              <w:tab/>
              <w:t>Emploi des explosifs</w:t>
            </w:r>
          </w:p>
          <w:p w14:paraId="2E03FDBB" w14:textId="77777777" w:rsidR="00BC7757" w:rsidRPr="00BC7757" w:rsidRDefault="00BC7757" w:rsidP="00BC7757">
            <w:pPr>
              <w:tabs>
                <w:tab w:val="left" w:pos="1260"/>
              </w:tabs>
              <w:ind w:left="1260" w:right="-72" w:hanging="720"/>
            </w:pPr>
            <w:r w:rsidRPr="00BC7757">
              <w:t>31.10.1</w:t>
            </w:r>
            <w:r w:rsidRPr="00BC7757">
              <w:tab/>
              <w:t>Sous réserve des restrictions ou des interdictions éventuellement stipulées dans le Marché, l’Entrepreneur doit prendre sous sa responsabilité, toutes les précautions nécessaires pour que l’emploi des explosifs ne présente aucun danger pour le personnel et pour les tiers, et ne cause aucun dommage aux propriétés et ouvrages voisins ainsi qu’aux ouvrages faisant l’objet du Marché.</w:t>
            </w:r>
          </w:p>
          <w:p w14:paraId="6A29AE3F" w14:textId="77777777" w:rsidR="00BC7757" w:rsidRPr="00BC7757" w:rsidRDefault="00BC7757" w:rsidP="00BC7757">
            <w:pPr>
              <w:tabs>
                <w:tab w:val="left" w:pos="1260"/>
              </w:tabs>
              <w:ind w:left="1260" w:right="-72" w:hanging="720"/>
            </w:pPr>
            <w:r w:rsidRPr="00BC7757">
              <w:t>31.10.2</w:t>
            </w:r>
            <w:r w:rsidRPr="00BC7757">
              <w:tab/>
              <w:t>Pendant toute la durée des travaux, et notamment après le tir des mines, l’Entrepreneur, sans être pour autant dégagé de la responsabilité prévue au paragraphe 10.1 du présent Article, doit visiter fréquemment les talus des déblais et les terrains supérieurs afin de faire tomber les parties de rochers ou autres qui pourraient avoir été ébranlées directement ou indirectement par le tir des mines.</w:t>
            </w:r>
          </w:p>
        </w:tc>
      </w:tr>
      <w:tr w:rsidR="00BC7757" w:rsidRPr="00BC7757" w14:paraId="771296F3" w14:textId="77777777" w:rsidTr="00BC7757">
        <w:tc>
          <w:tcPr>
            <w:tcW w:w="2160" w:type="dxa"/>
            <w:tcBorders>
              <w:top w:val="nil"/>
              <w:left w:val="nil"/>
              <w:bottom w:val="nil"/>
              <w:right w:val="nil"/>
            </w:tcBorders>
          </w:tcPr>
          <w:p w14:paraId="3638F10A" w14:textId="77777777" w:rsidR="00BC7757" w:rsidRPr="00BC7757" w:rsidRDefault="00BC7757" w:rsidP="00BC7757">
            <w:pPr>
              <w:pStyle w:val="Head42"/>
            </w:pPr>
            <w:bookmarkStart w:id="805" w:name="_Toc348175973"/>
            <w:bookmarkStart w:id="806" w:name="_Toc327539580"/>
            <w:r w:rsidRPr="00BC7757">
              <w:t>32.</w:t>
            </w:r>
            <w:r w:rsidRPr="00BC7757">
              <w:tab/>
              <w:t>Engins explosifs de guerre</w:t>
            </w:r>
            <w:bookmarkEnd w:id="805"/>
            <w:bookmarkEnd w:id="806"/>
          </w:p>
        </w:tc>
        <w:tc>
          <w:tcPr>
            <w:tcW w:w="7398" w:type="dxa"/>
            <w:tcBorders>
              <w:top w:val="nil"/>
              <w:left w:val="nil"/>
              <w:bottom w:val="nil"/>
              <w:right w:val="nil"/>
            </w:tcBorders>
          </w:tcPr>
          <w:p w14:paraId="4183EFB0" w14:textId="77777777" w:rsidR="00BC7757" w:rsidRPr="00BC7757" w:rsidRDefault="00BC7757" w:rsidP="00BC7757">
            <w:pPr>
              <w:tabs>
                <w:tab w:val="left" w:pos="540"/>
              </w:tabs>
              <w:ind w:left="540" w:right="-72" w:hanging="540"/>
            </w:pPr>
            <w:r w:rsidRPr="00BC7757">
              <w:t>32.1</w:t>
            </w:r>
            <w:r w:rsidRPr="00BC7757">
              <w:tab/>
              <w:t>Si le Marché indique que le site des travaux peut contenir des engins de guerre non explosés, l’Entrepreneur applique les mesures spéciales de prospection et de sécurité édictées par l’autorité compétente.  En tout état de cause, si un engin de guerre est découvert ou repéré, l’Entrepreneur doit :</w:t>
            </w:r>
          </w:p>
          <w:p w14:paraId="7D8F11B8" w14:textId="77777777" w:rsidR="00BC7757" w:rsidRPr="00BC7757" w:rsidRDefault="00BC7757" w:rsidP="00BC7757">
            <w:pPr>
              <w:tabs>
                <w:tab w:val="left" w:pos="1080"/>
              </w:tabs>
              <w:ind w:left="1080" w:right="-72" w:hanging="540"/>
              <w:jc w:val="left"/>
            </w:pPr>
            <w:r w:rsidRPr="00BC7757">
              <w:t>a)</w:t>
            </w:r>
            <w:r w:rsidRPr="00BC7757">
              <w:tab/>
              <w:t>suspendre le travail dans le voisinage et y interdire toute circulation au moyen de clôtures, panneaux de signalisation, balises, etc.;</w:t>
            </w:r>
          </w:p>
          <w:p w14:paraId="74A7B76D" w14:textId="77777777" w:rsidR="00BC7757" w:rsidRPr="00BC7757" w:rsidRDefault="00BC7757" w:rsidP="00BC7757">
            <w:pPr>
              <w:tabs>
                <w:tab w:val="left" w:pos="1080"/>
              </w:tabs>
              <w:ind w:left="1080" w:right="-72" w:hanging="540"/>
              <w:jc w:val="left"/>
            </w:pPr>
            <w:r w:rsidRPr="00BC7757">
              <w:t>b)</w:t>
            </w:r>
            <w:r w:rsidRPr="00BC7757">
              <w:tab/>
              <w:t>informer immédiatement le Maître d’Œuvre et l’autorité chargée de faire procéder à l’enlèvement des engins non explosés; et</w:t>
            </w:r>
          </w:p>
          <w:p w14:paraId="6134CCE7" w14:textId="77777777" w:rsidR="00BC7757" w:rsidRPr="00BC7757" w:rsidRDefault="00BC7757" w:rsidP="00BC7757">
            <w:pPr>
              <w:tabs>
                <w:tab w:val="left" w:pos="1080"/>
              </w:tabs>
              <w:ind w:left="1080" w:right="-72" w:hanging="540"/>
              <w:jc w:val="left"/>
            </w:pPr>
            <w:r w:rsidRPr="00BC7757">
              <w:t>c)</w:t>
            </w:r>
            <w:r w:rsidRPr="00BC7757">
              <w:tab/>
              <w:t>ne reprendre les travaux qu’après en avoir reçu l’autorisation par ordre de service.</w:t>
            </w:r>
          </w:p>
          <w:p w14:paraId="41A5A0F2" w14:textId="77777777" w:rsidR="00BC7757" w:rsidRPr="00BC7757" w:rsidRDefault="00BC7757" w:rsidP="00BC7757">
            <w:pPr>
              <w:tabs>
                <w:tab w:val="left" w:pos="540"/>
              </w:tabs>
              <w:ind w:left="540" w:right="-72" w:hanging="540"/>
            </w:pPr>
            <w:r w:rsidRPr="00BC7757">
              <w:t>32.2</w:t>
            </w:r>
            <w:r w:rsidRPr="00BC7757">
              <w:tab/>
              <w:t>En cas d’explosion fortuite d’un engin de guerre, l’Entrepreneur doit en informer immédiatement le Maître d’Œuvre ainsi que les autorités administratives compétentes et prendre les mesures définies aux alinéas a) et c) du paragraphe 1 du présent Article.</w:t>
            </w:r>
          </w:p>
          <w:p w14:paraId="0A1C3464" w14:textId="77777777" w:rsidR="00BC7757" w:rsidRPr="00BC7757" w:rsidRDefault="00BC7757" w:rsidP="00BC7757">
            <w:pPr>
              <w:tabs>
                <w:tab w:val="left" w:pos="540"/>
              </w:tabs>
              <w:ind w:left="540" w:right="-72" w:hanging="540"/>
            </w:pPr>
            <w:r w:rsidRPr="00BC7757">
              <w:t>32 .3</w:t>
            </w:r>
            <w:r w:rsidRPr="00BC7757">
              <w:tab/>
              <w:t>Les dépenses justifiées entraînées par les stipulations du présent Article ne sont pas à la charge de l’Entrepreneur.</w:t>
            </w:r>
          </w:p>
        </w:tc>
      </w:tr>
      <w:tr w:rsidR="00BC7757" w:rsidRPr="00BC7757" w14:paraId="64B531A1" w14:textId="77777777" w:rsidTr="00BC7757">
        <w:tc>
          <w:tcPr>
            <w:tcW w:w="2160" w:type="dxa"/>
            <w:tcBorders>
              <w:top w:val="nil"/>
              <w:left w:val="nil"/>
              <w:bottom w:val="nil"/>
              <w:right w:val="nil"/>
            </w:tcBorders>
          </w:tcPr>
          <w:p w14:paraId="1F35D214" w14:textId="77777777" w:rsidR="00BC7757" w:rsidRPr="00BC7757" w:rsidRDefault="00BC7757" w:rsidP="00BC7757">
            <w:pPr>
              <w:pStyle w:val="Head42"/>
            </w:pPr>
            <w:bookmarkStart w:id="807" w:name="_Toc348175975"/>
            <w:bookmarkStart w:id="808" w:name="_Toc327539581"/>
            <w:r w:rsidRPr="00BC7757">
              <w:t>33.</w:t>
            </w:r>
            <w:r w:rsidRPr="00BC7757">
              <w:tab/>
              <w:t>Matériaux, objets et vestiges trouvés sur les chantiers</w:t>
            </w:r>
            <w:bookmarkEnd w:id="807"/>
            <w:bookmarkEnd w:id="808"/>
          </w:p>
        </w:tc>
        <w:tc>
          <w:tcPr>
            <w:tcW w:w="7398" w:type="dxa"/>
            <w:tcBorders>
              <w:top w:val="nil"/>
              <w:left w:val="nil"/>
              <w:bottom w:val="nil"/>
              <w:right w:val="nil"/>
            </w:tcBorders>
          </w:tcPr>
          <w:p w14:paraId="6EC90F05" w14:textId="77777777" w:rsidR="00BC7757" w:rsidRPr="00BC7757" w:rsidRDefault="00BC7757" w:rsidP="00BC7757">
            <w:pPr>
              <w:tabs>
                <w:tab w:val="left" w:pos="540"/>
              </w:tabs>
              <w:ind w:left="540" w:right="-72" w:hanging="540"/>
            </w:pPr>
            <w:r w:rsidRPr="00BC7757">
              <w:t>33.1</w:t>
            </w:r>
            <w:r w:rsidRPr="00BC7757">
              <w:tab/>
              <w:t>L’Entrepreneur n’a aucun droit sur les matériaux et objets de toute nature trouvés sur les chantiers en cours de travaux, notamment dans les fouilles ou dans les démolitions, mais il a droit à être indemnisé si le Maître d’Œuvre lui demande de les extraire ou de les conserver avec des soins particuliers.</w:t>
            </w:r>
          </w:p>
          <w:p w14:paraId="32523724" w14:textId="77777777" w:rsidR="00BC7757" w:rsidRPr="00BC7757" w:rsidRDefault="00BC7757" w:rsidP="00BC7757">
            <w:pPr>
              <w:tabs>
                <w:tab w:val="left" w:pos="540"/>
              </w:tabs>
              <w:ind w:left="540" w:right="-72" w:hanging="540"/>
            </w:pPr>
            <w:r w:rsidRPr="00BC7757">
              <w:t>33.2</w:t>
            </w:r>
            <w:r w:rsidRPr="00BC7757">
              <w:tab/>
              <w:t>Lorsque les travaux mettent au jour des objets ou des vestiges pouvant avoir un caractère artistique, archéologique ou historique, l’Entrepreneur doit le signaler au Maître d’Œuvre et faire toute déclaration prévue par la réglementation en vigueur.  Sans préjudice des dispositions législatives ou réglementaires en vigueur, l’Entrepreneur ne doit pas déplacer ces objets ou vestiges sans autorisation du Chef de Projet.  Il doit mettre en lieu sûr ceux qui auraient été détachés fortuitement du sol.</w:t>
            </w:r>
          </w:p>
          <w:p w14:paraId="171A3187" w14:textId="77777777" w:rsidR="00BC7757" w:rsidRPr="00BC7757" w:rsidRDefault="00BC7757" w:rsidP="00BC7757">
            <w:pPr>
              <w:tabs>
                <w:tab w:val="left" w:pos="540"/>
              </w:tabs>
              <w:ind w:left="540" w:right="-72" w:hanging="540"/>
            </w:pPr>
            <w:r w:rsidRPr="00BC7757">
              <w:t>33.3</w:t>
            </w:r>
            <w:r w:rsidRPr="00BC7757">
              <w:tab/>
              <w:t>Sans préjudice de la réglementation en vigueur, lorsque les travaux mettent au jour des restes humains, l’Entrepreneur en informe immédiatement l’autorité compétente sur le territoire de laquelle cette découverte a été faite et en rend compte au Maître d’Œuvre.</w:t>
            </w:r>
          </w:p>
          <w:p w14:paraId="62EACC87" w14:textId="77777777" w:rsidR="00BC7757" w:rsidRPr="00BC7757" w:rsidRDefault="00BC7757" w:rsidP="00BC7757">
            <w:pPr>
              <w:tabs>
                <w:tab w:val="left" w:pos="540"/>
              </w:tabs>
              <w:ind w:left="540" w:right="-72" w:hanging="540"/>
            </w:pPr>
            <w:r w:rsidRPr="00BC7757">
              <w:t>33.4</w:t>
            </w:r>
            <w:r w:rsidRPr="00BC7757">
              <w:tab/>
              <w:t>Dans les cas prévus aux paragraphes 2 et 3 du présent Article, l’Entrepreneur a droit à être indemnisé des dépenses justifiées entraînées par ces découvertes.</w:t>
            </w:r>
          </w:p>
        </w:tc>
      </w:tr>
      <w:tr w:rsidR="00BC7757" w:rsidRPr="00BC7757" w14:paraId="189ACB4C" w14:textId="77777777" w:rsidTr="00BC7757">
        <w:tc>
          <w:tcPr>
            <w:tcW w:w="2160" w:type="dxa"/>
            <w:tcBorders>
              <w:top w:val="nil"/>
              <w:left w:val="nil"/>
              <w:bottom w:val="nil"/>
              <w:right w:val="nil"/>
            </w:tcBorders>
          </w:tcPr>
          <w:p w14:paraId="163DDE7C" w14:textId="77777777" w:rsidR="00BC7757" w:rsidRPr="00BC7757" w:rsidRDefault="00BC7757" w:rsidP="00BC7757">
            <w:pPr>
              <w:pStyle w:val="Head42"/>
            </w:pPr>
            <w:bookmarkStart w:id="809" w:name="_Toc348175976"/>
            <w:bookmarkStart w:id="810" w:name="_Toc327539582"/>
            <w:r w:rsidRPr="00BC7757">
              <w:t>34.</w:t>
            </w:r>
            <w:r w:rsidRPr="00BC7757">
              <w:tab/>
              <w:t>Dégradations causées aux voies publiques</w:t>
            </w:r>
            <w:bookmarkEnd w:id="809"/>
            <w:bookmarkEnd w:id="810"/>
          </w:p>
        </w:tc>
        <w:tc>
          <w:tcPr>
            <w:tcW w:w="7398" w:type="dxa"/>
            <w:tcBorders>
              <w:top w:val="nil"/>
              <w:left w:val="nil"/>
              <w:bottom w:val="nil"/>
              <w:right w:val="nil"/>
            </w:tcBorders>
          </w:tcPr>
          <w:p w14:paraId="5E8CEB39" w14:textId="77777777" w:rsidR="00BC7757" w:rsidRPr="00BC7757" w:rsidRDefault="00BC7757" w:rsidP="00BC7757">
            <w:pPr>
              <w:tabs>
                <w:tab w:val="left" w:pos="540"/>
              </w:tabs>
              <w:ind w:left="540" w:right="-72" w:hanging="540"/>
            </w:pPr>
            <w:r w:rsidRPr="00BC7757">
              <w:t>34.1</w:t>
            </w:r>
            <w:r w:rsidRPr="00BC7757">
              <w:tab/>
              <w:t>L’Entrepreneur doit utiliser tous les moyens raisonnables pour éviter que les routes ou les ponts communiquant avec ou se trouvant sur les itinéraires menant au Site ne soient endommagés ou détériorés par la circulation des véhicules et engins de l’Entrepreneur ou de l’un quelconque de ses sous-traitants; en particulier, il doit choisir des itinéraires et des véhicules adaptés et limiter et répartir les chargements de manière à ce que toute circulation exceptionnelle qui résultera du déplacement des équipements, fournitures, matériels et matériaux de l’Entrepreneur et de ses sous-traitants vers ou en provenance du Site soit aussi limitée que possible et que ces routes et ponts ne subissent aucun dommage ou détérioration inutile.</w:t>
            </w:r>
          </w:p>
          <w:p w14:paraId="5F28E20A" w14:textId="77777777" w:rsidR="00BC7757" w:rsidRPr="00BC7757" w:rsidRDefault="00BC7757" w:rsidP="00BC7757">
            <w:pPr>
              <w:tabs>
                <w:tab w:val="left" w:pos="540"/>
              </w:tabs>
              <w:ind w:left="540" w:right="-72" w:hanging="540"/>
            </w:pPr>
            <w:r w:rsidRPr="00BC7757">
              <w:t>34.2</w:t>
            </w:r>
            <w:r w:rsidRPr="00BC7757">
              <w:tab/>
              <w:t>Sauf dispositions contraires du Marché, l’Entrepreneur est responsable et doit faire exécuter à ses frais tout renforcement des ponts ou modification ou amélioration des routes communiquant avec ou se trouvant sur les itinéraires menant au Site qui faciliterait le transport des équipements, fournitures, matériels et matériaux de l’Entrepreneur et de ses sous-traitants et l’Entrepreneur doit indemniser le Maître de l’Ouvrage de toutes réclamations relatives à des dégâts occasionnés à ces routes ou ponts par ledit transport, y compris les réclamations directement adressées au Maître de l’Ouvrage.</w:t>
            </w:r>
          </w:p>
          <w:p w14:paraId="3E748EE5" w14:textId="77777777" w:rsidR="00BC7757" w:rsidRPr="00BC7757" w:rsidRDefault="00BC7757" w:rsidP="00BC7757">
            <w:pPr>
              <w:tabs>
                <w:tab w:val="left" w:pos="540"/>
              </w:tabs>
              <w:ind w:left="540" w:right="-72" w:hanging="540"/>
            </w:pPr>
            <w:r w:rsidRPr="00BC7757">
              <w:t>34.3</w:t>
            </w:r>
            <w:r w:rsidRPr="00BC7757">
              <w:tab/>
              <w:t>Dans tous les cas, si ces transports ou ces circulations sont faits en infraction aux prescriptions du Code de la route ou des arrêtés ou décisions pris par les autorités compétentes, intéressant la conservation des voies publiques, l’Entrepreneur supporte seul la charge des contributions ou réparations.</w:t>
            </w:r>
          </w:p>
        </w:tc>
      </w:tr>
      <w:tr w:rsidR="00BC7757" w:rsidRPr="00BC7757" w14:paraId="75702C88" w14:textId="77777777" w:rsidTr="00BC7757">
        <w:tc>
          <w:tcPr>
            <w:tcW w:w="2160" w:type="dxa"/>
            <w:tcBorders>
              <w:top w:val="nil"/>
              <w:left w:val="nil"/>
              <w:bottom w:val="nil"/>
              <w:right w:val="nil"/>
            </w:tcBorders>
          </w:tcPr>
          <w:p w14:paraId="0575EFDD" w14:textId="77777777" w:rsidR="00BC7757" w:rsidRPr="00BC7757" w:rsidRDefault="00BC7757" w:rsidP="00BC7757">
            <w:pPr>
              <w:pStyle w:val="Head42"/>
            </w:pPr>
            <w:bookmarkStart w:id="811" w:name="_Toc348175977"/>
            <w:bookmarkStart w:id="812" w:name="_Toc327539583"/>
            <w:r w:rsidRPr="00BC7757">
              <w:t>35.</w:t>
            </w:r>
            <w:r w:rsidRPr="00BC7757">
              <w:tab/>
              <w:t xml:space="preserve">Dommages divers causés </w:t>
            </w:r>
            <w:bookmarkStart w:id="813" w:name="_Toc348175978"/>
            <w:bookmarkStart w:id="814" w:name="_Toc348232801"/>
            <w:r w:rsidRPr="00BC7757">
              <w:t>par la conduite des travaux ou les modalités de leur exécution</w:t>
            </w:r>
            <w:bookmarkEnd w:id="811"/>
            <w:bookmarkEnd w:id="812"/>
            <w:bookmarkEnd w:id="813"/>
            <w:bookmarkEnd w:id="814"/>
          </w:p>
        </w:tc>
        <w:tc>
          <w:tcPr>
            <w:tcW w:w="7398" w:type="dxa"/>
            <w:tcBorders>
              <w:top w:val="nil"/>
              <w:left w:val="nil"/>
              <w:bottom w:val="nil"/>
              <w:right w:val="nil"/>
            </w:tcBorders>
          </w:tcPr>
          <w:p w14:paraId="187FAF2E" w14:textId="77777777" w:rsidR="00BC7757" w:rsidRPr="00BC7757" w:rsidRDefault="00BC7757" w:rsidP="00BC7757">
            <w:pPr>
              <w:tabs>
                <w:tab w:val="left" w:pos="540"/>
              </w:tabs>
              <w:ind w:left="540" w:right="-72" w:hanging="540"/>
            </w:pPr>
            <w:r w:rsidRPr="00BC7757">
              <w:t>35.1</w:t>
            </w:r>
            <w:r w:rsidRPr="00BC7757">
              <w:tab/>
              <w:t>L’Entrepreneur a, à l’égard du Maître de l’Ouvrage, la responsabilité pécuniaire des dommages aux personnes et aux biens causés par la conduite des travaux ou les modalités de leur exécution, sauf s’il établit que cette conduite ou ces modalités résultent nécessairement des dispositions du Marché ou de prescriptions d’ordre de service, ou sauf si le Maître de l’Ouvrage, poursuivi par le tiers victime de tels dommages, a été condamné sans avoir appelé l’Entrepreneur en garantie devant la juridiction saisie.  Les dispositions de cet article ne font pas obstacle à l’application des dispositions de l’Article 34 du CCAG.</w:t>
            </w:r>
          </w:p>
        </w:tc>
      </w:tr>
      <w:tr w:rsidR="00BC7757" w:rsidRPr="00BC7757" w14:paraId="1799E567" w14:textId="77777777" w:rsidTr="00BC7757">
        <w:tc>
          <w:tcPr>
            <w:tcW w:w="2160" w:type="dxa"/>
            <w:tcBorders>
              <w:top w:val="nil"/>
              <w:left w:val="nil"/>
              <w:bottom w:val="nil"/>
              <w:right w:val="nil"/>
            </w:tcBorders>
          </w:tcPr>
          <w:p w14:paraId="6B695FC7" w14:textId="77777777" w:rsidR="00BC7757" w:rsidRPr="00BC7757" w:rsidRDefault="00BC7757" w:rsidP="00BC7757">
            <w:pPr>
              <w:pStyle w:val="Head42"/>
            </w:pPr>
            <w:bookmarkStart w:id="815" w:name="_Toc348175979"/>
            <w:bookmarkStart w:id="816" w:name="_Toc327539584"/>
            <w:r w:rsidRPr="00BC7757">
              <w:t>36.</w:t>
            </w:r>
            <w:r w:rsidRPr="00BC7757">
              <w:tab/>
            </w:r>
            <w:bookmarkEnd w:id="815"/>
            <w:r w:rsidRPr="00BC7757">
              <w:t>Réservé</w:t>
            </w:r>
            <w:bookmarkEnd w:id="816"/>
          </w:p>
          <w:p w14:paraId="448C5798" w14:textId="77777777" w:rsidR="00BC7757" w:rsidRPr="00BC7757" w:rsidRDefault="00BC7757" w:rsidP="00BC7757">
            <w:pPr>
              <w:pStyle w:val="Head42"/>
            </w:pPr>
          </w:p>
        </w:tc>
        <w:tc>
          <w:tcPr>
            <w:tcW w:w="7398" w:type="dxa"/>
            <w:tcBorders>
              <w:top w:val="nil"/>
              <w:left w:val="nil"/>
              <w:bottom w:val="nil"/>
              <w:right w:val="nil"/>
            </w:tcBorders>
          </w:tcPr>
          <w:p w14:paraId="57093743" w14:textId="77777777" w:rsidR="00BC7757" w:rsidRPr="00BC7757" w:rsidRDefault="00BC7757" w:rsidP="00BC7757">
            <w:pPr>
              <w:tabs>
                <w:tab w:val="left" w:pos="540"/>
              </w:tabs>
              <w:ind w:left="540" w:right="-72" w:hanging="540"/>
            </w:pPr>
            <w:r w:rsidRPr="00BC7757">
              <w:t>36.1</w:t>
            </w:r>
            <w:r w:rsidRPr="00BC7757">
              <w:tab/>
              <w:t>Réservé</w:t>
            </w:r>
          </w:p>
        </w:tc>
      </w:tr>
      <w:tr w:rsidR="00BC7757" w:rsidRPr="00BC7757" w14:paraId="0F210BD4" w14:textId="77777777" w:rsidTr="00BC7757">
        <w:trPr>
          <w:cantSplit/>
        </w:trPr>
        <w:tc>
          <w:tcPr>
            <w:tcW w:w="2160" w:type="dxa"/>
            <w:tcBorders>
              <w:top w:val="nil"/>
              <w:left w:val="nil"/>
              <w:bottom w:val="nil"/>
              <w:right w:val="nil"/>
            </w:tcBorders>
          </w:tcPr>
          <w:p w14:paraId="06024EA7" w14:textId="77777777" w:rsidR="00BC7757" w:rsidRPr="00BC7757" w:rsidRDefault="00BC7757" w:rsidP="00BC7757">
            <w:pPr>
              <w:pStyle w:val="Head42"/>
            </w:pPr>
            <w:bookmarkStart w:id="817" w:name="_Toc348175980"/>
            <w:bookmarkStart w:id="818" w:name="_Toc327539585"/>
            <w:r w:rsidRPr="00BC7757">
              <w:t>37.</w:t>
            </w:r>
            <w:r w:rsidRPr="00BC7757">
              <w:tab/>
              <w:t>Enlèvement du matériel et des matériaux sans emploi</w:t>
            </w:r>
            <w:bookmarkEnd w:id="817"/>
            <w:bookmarkEnd w:id="818"/>
          </w:p>
        </w:tc>
        <w:tc>
          <w:tcPr>
            <w:tcW w:w="7398" w:type="dxa"/>
            <w:tcBorders>
              <w:top w:val="nil"/>
              <w:left w:val="nil"/>
              <w:bottom w:val="nil"/>
              <w:right w:val="nil"/>
            </w:tcBorders>
          </w:tcPr>
          <w:p w14:paraId="219012EB" w14:textId="77777777" w:rsidR="00BC7757" w:rsidRPr="00BC7757" w:rsidRDefault="00BC7757" w:rsidP="00BC7757">
            <w:pPr>
              <w:tabs>
                <w:tab w:val="left" w:pos="540"/>
              </w:tabs>
              <w:ind w:left="540" w:right="-72" w:hanging="540"/>
            </w:pPr>
            <w:r w:rsidRPr="00BC7757">
              <w:t>37.1</w:t>
            </w:r>
            <w:r w:rsidRPr="00BC7757">
              <w:tab/>
              <w:t>Au fur et à mesure de l’avancement des travaux, l’Entrepreneur procède au dégagement, au nettoiement et à la remise en état des emplacements mis à sa disposition par le Maître de l’Ouvrage pour l’exécution des travaux.  Il doit prendre toutes dispositions pour éviter d’encombrer inutilement le Site et, en particulier, enlever tous équipements, fournitures, matériel et matériaux qui ne sont plus nécessaires.</w:t>
            </w:r>
          </w:p>
          <w:p w14:paraId="2F328854" w14:textId="77777777" w:rsidR="00BC7757" w:rsidRPr="00BC7757" w:rsidRDefault="00BC7757" w:rsidP="00BC7757">
            <w:pPr>
              <w:tabs>
                <w:tab w:val="left" w:pos="540"/>
              </w:tabs>
              <w:ind w:left="540" w:right="-72" w:hanging="540"/>
            </w:pPr>
            <w:r w:rsidRPr="00BC7757">
              <w:t>37.2</w:t>
            </w:r>
            <w:r w:rsidRPr="00BC7757">
              <w:tab/>
              <w:t>A défaut d’exécution de tout ou partie de ces prescriptions, après ordre de service resté sans effet et mise en demeure par le Chef de Projet, les matériels, installations, matériaux, décombres et déchets non enlevés peuvent, à l’expiration d’un délai de trente (30) jours après la mise en demeure, être transportés d’office, suivant leur nature, soit en dépôt, soit à la décharge publique, aux frais et risques de l’Entrepreneur, ou être vendus aux enchères publiques.</w:t>
            </w:r>
          </w:p>
          <w:p w14:paraId="40A4D8E1" w14:textId="77777777" w:rsidR="00BC7757" w:rsidRPr="00BC7757" w:rsidRDefault="00BC7757" w:rsidP="00BC7757">
            <w:pPr>
              <w:tabs>
                <w:tab w:val="left" w:pos="540"/>
              </w:tabs>
              <w:ind w:left="540" w:right="-72" w:hanging="540"/>
            </w:pPr>
            <w:r w:rsidRPr="00BC7757">
              <w:t>37.3</w:t>
            </w:r>
            <w:r w:rsidRPr="00BC7757">
              <w:tab/>
              <w:t>Les mesures définies au paragraphe 2 du présent Article sont appliquées sans préjudice des pénalités particulières qui peuvent avoir été stipulées dans le Marché à l’encontre de l’Entrepreneur.</w:t>
            </w:r>
          </w:p>
        </w:tc>
      </w:tr>
      <w:tr w:rsidR="00BC7757" w:rsidRPr="00BC7757" w14:paraId="293B7194" w14:textId="77777777" w:rsidTr="00BC7757">
        <w:tc>
          <w:tcPr>
            <w:tcW w:w="2160" w:type="dxa"/>
            <w:tcBorders>
              <w:top w:val="nil"/>
              <w:left w:val="nil"/>
              <w:bottom w:val="nil"/>
              <w:right w:val="nil"/>
            </w:tcBorders>
          </w:tcPr>
          <w:p w14:paraId="01CF8090" w14:textId="77777777" w:rsidR="00BC7757" w:rsidRPr="00BC7757" w:rsidRDefault="00BC7757" w:rsidP="00BC7757">
            <w:pPr>
              <w:pStyle w:val="Head42"/>
            </w:pPr>
            <w:bookmarkStart w:id="819" w:name="_Toc348175981"/>
            <w:bookmarkStart w:id="820" w:name="_Toc327539586"/>
            <w:r w:rsidRPr="00BC7757">
              <w:t>38.</w:t>
            </w:r>
            <w:r w:rsidRPr="00BC7757">
              <w:tab/>
              <w:t>Essais et contrôle des ouvrages</w:t>
            </w:r>
            <w:bookmarkEnd w:id="819"/>
            <w:bookmarkEnd w:id="820"/>
          </w:p>
        </w:tc>
        <w:tc>
          <w:tcPr>
            <w:tcW w:w="7398" w:type="dxa"/>
            <w:tcBorders>
              <w:top w:val="nil"/>
              <w:left w:val="nil"/>
              <w:bottom w:val="nil"/>
              <w:right w:val="nil"/>
            </w:tcBorders>
          </w:tcPr>
          <w:p w14:paraId="1083BECD" w14:textId="77777777" w:rsidR="00BC7757" w:rsidRPr="00BC7757" w:rsidRDefault="00BC7757" w:rsidP="00BC7757">
            <w:pPr>
              <w:tabs>
                <w:tab w:val="left" w:pos="540"/>
              </w:tabs>
              <w:ind w:left="540" w:right="-72" w:hanging="540"/>
            </w:pPr>
            <w:r w:rsidRPr="00BC7757">
              <w:t>38.1</w:t>
            </w:r>
            <w:r w:rsidRPr="00BC7757">
              <w:tab/>
              <w:t>Les essais et contrôles des ouvrages, lorsqu’ils sont définis dans le Marché, sont à la charge de l’Entrepreneur.  Si le Maître d’Œuvre prescrit, pour les ouvrages, d’autres essais ou contrôles, ils sont à la charge du Maître de l’Ouvrage.</w:t>
            </w:r>
          </w:p>
        </w:tc>
      </w:tr>
      <w:tr w:rsidR="00BC7757" w:rsidRPr="00BC7757" w14:paraId="601FDEB8" w14:textId="77777777" w:rsidTr="00BC7757">
        <w:tc>
          <w:tcPr>
            <w:tcW w:w="2160" w:type="dxa"/>
            <w:tcBorders>
              <w:top w:val="nil"/>
              <w:left w:val="nil"/>
              <w:bottom w:val="nil"/>
              <w:right w:val="nil"/>
            </w:tcBorders>
          </w:tcPr>
          <w:p w14:paraId="68810099" w14:textId="77777777" w:rsidR="00BC7757" w:rsidRPr="00BC7757" w:rsidRDefault="00BC7757" w:rsidP="00BC7757">
            <w:pPr>
              <w:pStyle w:val="Head42"/>
            </w:pPr>
            <w:bookmarkStart w:id="821" w:name="_Toc348175982"/>
            <w:bookmarkStart w:id="822" w:name="_Toc327539587"/>
            <w:r w:rsidRPr="00BC7757">
              <w:t>39.</w:t>
            </w:r>
            <w:r w:rsidRPr="00BC7757">
              <w:tab/>
              <w:t>Vices de construction</w:t>
            </w:r>
            <w:bookmarkEnd w:id="821"/>
            <w:bookmarkEnd w:id="822"/>
          </w:p>
        </w:tc>
        <w:tc>
          <w:tcPr>
            <w:tcW w:w="7398" w:type="dxa"/>
            <w:tcBorders>
              <w:top w:val="nil"/>
              <w:left w:val="nil"/>
              <w:bottom w:val="nil"/>
              <w:right w:val="nil"/>
            </w:tcBorders>
          </w:tcPr>
          <w:p w14:paraId="3800D283" w14:textId="77777777" w:rsidR="00BC7757" w:rsidRPr="00BC7757" w:rsidRDefault="00BC7757" w:rsidP="00BC7757">
            <w:pPr>
              <w:tabs>
                <w:tab w:val="left" w:pos="540"/>
              </w:tabs>
              <w:ind w:left="540" w:right="-72" w:hanging="540"/>
            </w:pPr>
            <w:r w:rsidRPr="00BC7757">
              <w:t>39.1</w:t>
            </w:r>
            <w:r w:rsidRPr="00BC7757">
              <w:tab/>
              <w:t>Lorsque le Maître d’Œuvre présume qu’il existe un vice de construction dans un ouvrage, il peut, jusqu’à l’expiration du délai de garantie, prescrire par ordre de service les mesures de nature à permettre de déceler ce vice.  Ces mesures peuvent comprendre, le cas échéant, la démolition partielle ou totale de l’ouvrage.  Le Maître d’Œuvre peut également exécuter ces mesures lui-même ou les faire exécuter par un tiers, mais les opérations doivent être faites en présence de l’Entrepreneur ou lui dûment convoqué.</w:t>
            </w:r>
          </w:p>
          <w:p w14:paraId="1298B8C5" w14:textId="77777777" w:rsidR="00BC7757" w:rsidRPr="00BC7757" w:rsidRDefault="00BC7757" w:rsidP="00BC7757">
            <w:pPr>
              <w:tabs>
                <w:tab w:val="left" w:pos="540"/>
              </w:tabs>
              <w:ind w:left="540" w:right="-72" w:hanging="540"/>
            </w:pPr>
            <w:r w:rsidRPr="00BC7757">
              <w:t>39.2</w:t>
            </w:r>
            <w:r w:rsidRPr="00BC7757">
              <w:tab/>
              <w:t>Si un vice de construction est constaté, les dépenses correspondant au rétablissement de l’intégralité de l’ouvrage ou à sa mise en conformité avec les règles de l’art et les stipulations du Marché, ainsi que les dépenses résultant des opérations éventuelles ayant permis de mettre le vice en évidence, sont à la charge de l’Entrepreneur sans préjudice de l’indemnité à laquelle le Maître de l’Ouvrage peut alors prétendre.</w:t>
            </w:r>
          </w:p>
          <w:p w14:paraId="07F5147E" w14:textId="77777777" w:rsidR="00BC7757" w:rsidRPr="00BC7757" w:rsidRDefault="00BC7757" w:rsidP="00BC7757">
            <w:pPr>
              <w:ind w:left="540" w:right="-72"/>
            </w:pPr>
            <w:r w:rsidRPr="00BC7757">
              <w:t>Si aucun vice de construction n’est constaté, l’Entrepreneur est remboursé des dépenses définies à l’alinéa précédent, s’il les a supportées.</w:t>
            </w:r>
          </w:p>
        </w:tc>
      </w:tr>
      <w:tr w:rsidR="00BC7757" w:rsidRPr="00BC7757" w14:paraId="4D0C296D" w14:textId="77777777" w:rsidTr="00BC7757">
        <w:trPr>
          <w:cantSplit/>
        </w:trPr>
        <w:tc>
          <w:tcPr>
            <w:tcW w:w="2160" w:type="dxa"/>
            <w:tcBorders>
              <w:top w:val="nil"/>
              <w:left w:val="nil"/>
              <w:bottom w:val="nil"/>
              <w:right w:val="nil"/>
            </w:tcBorders>
          </w:tcPr>
          <w:p w14:paraId="41B0147B" w14:textId="77777777" w:rsidR="00BC7757" w:rsidRPr="00BC7757" w:rsidRDefault="00BC7757" w:rsidP="00BC7757">
            <w:pPr>
              <w:pStyle w:val="Head42"/>
            </w:pPr>
            <w:bookmarkStart w:id="823" w:name="_Toc348175983"/>
            <w:bookmarkStart w:id="824" w:name="_Toc327539588"/>
            <w:r w:rsidRPr="00BC7757">
              <w:t>40.</w:t>
            </w:r>
            <w:r w:rsidRPr="00BC7757">
              <w:tab/>
              <w:t>Documents fournis après exécution</w:t>
            </w:r>
            <w:bookmarkEnd w:id="823"/>
            <w:bookmarkEnd w:id="824"/>
          </w:p>
        </w:tc>
        <w:tc>
          <w:tcPr>
            <w:tcW w:w="7398" w:type="dxa"/>
            <w:tcBorders>
              <w:top w:val="nil"/>
              <w:left w:val="nil"/>
              <w:bottom w:val="nil"/>
              <w:right w:val="nil"/>
            </w:tcBorders>
          </w:tcPr>
          <w:p w14:paraId="1B0E9225" w14:textId="77777777" w:rsidR="00BC7757" w:rsidRPr="00BC7757" w:rsidRDefault="00BC7757" w:rsidP="00BC7757">
            <w:pPr>
              <w:tabs>
                <w:tab w:val="left" w:pos="540"/>
              </w:tabs>
              <w:ind w:left="540" w:right="-72" w:hanging="540"/>
            </w:pPr>
            <w:r w:rsidRPr="00BC7757">
              <w:t>40.1</w:t>
            </w:r>
            <w:r w:rsidRPr="00BC7757">
              <w:tab/>
              <w:t>Sauf dispositions différentes du Marché et indépendamment des documents qu’il est tenu de fournir avant ou pendant l’exécution des travaux en application de l’Article 29.1 du CCAG, l’Entrepreneur remet au Maître d’Œuvre, en trois (3) exemplaires, dont un sur calque:</w:t>
            </w:r>
          </w:p>
          <w:p w14:paraId="190958A8" w14:textId="77777777" w:rsidR="00BC7757" w:rsidRPr="00BC7757" w:rsidRDefault="00BC7757" w:rsidP="00BC7757">
            <w:pPr>
              <w:tabs>
                <w:tab w:val="left" w:pos="1080"/>
              </w:tabs>
              <w:ind w:left="1080" w:right="-72" w:hanging="540"/>
              <w:jc w:val="left"/>
            </w:pPr>
            <w:r w:rsidRPr="00BC7757">
              <w:t>a)</w:t>
            </w:r>
            <w:r w:rsidRPr="00BC7757">
              <w:tab/>
              <w:t>au plus tard lorsqu’il demande la réception : les notices de fonctionnement et d’entretien des ouvrages établies conformément aux prescriptions et recommandations des normes internationale en vigueur et conforme à la réglementation applicable; et</w:t>
            </w:r>
          </w:p>
          <w:p w14:paraId="169AD5E3" w14:textId="77777777" w:rsidR="00BC7757" w:rsidRPr="00BC7757" w:rsidRDefault="00BC7757" w:rsidP="00BC7757">
            <w:pPr>
              <w:tabs>
                <w:tab w:val="left" w:pos="1080"/>
              </w:tabs>
              <w:ind w:left="1080" w:right="-72" w:hanging="540"/>
              <w:jc w:val="left"/>
            </w:pPr>
            <w:r w:rsidRPr="00BC7757">
              <w:t>b)</w:t>
            </w:r>
            <w:r w:rsidRPr="00BC7757">
              <w:tab/>
              <w:t>dans les soixante (60) jours suivant la réception : les plans et autres documents conformes à l’exécution, pliés au format normalisé A4.</w:t>
            </w:r>
          </w:p>
        </w:tc>
      </w:tr>
    </w:tbl>
    <w:p w14:paraId="669E0AC5" w14:textId="77777777" w:rsidR="00BC7757" w:rsidRPr="00BC7757" w:rsidRDefault="00BC7757" w:rsidP="00BC7757"/>
    <w:p w14:paraId="7B1DECEA" w14:textId="794AAB53" w:rsidR="00BC7757" w:rsidRPr="00BC7757" w:rsidRDefault="00BC7757" w:rsidP="00AE22CB">
      <w:pPr>
        <w:pStyle w:val="Head41"/>
      </w:pPr>
      <w:bookmarkStart w:id="825" w:name="_Toc348175984"/>
      <w:bookmarkStart w:id="826" w:name="_Toc327539589"/>
      <w:r w:rsidRPr="00BC7757">
        <w:t>E.  Réception et Garanties</w:t>
      </w:r>
      <w:bookmarkEnd w:id="825"/>
      <w:bookmarkEnd w:id="826"/>
    </w:p>
    <w:tbl>
      <w:tblPr>
        <w:tblW w:w="0" w:type="auto"/>
        <w:tblLayout w:type="fixed"/>
        <w:tblLook w:val="0000" w:firstRow="0" w:lastRow="0" w:firstColumn="0" w:lastColumn="0" w:noHBand="0" w:noVBand="0"/>
      </w:tblPr>
      <w:tblGrid>
        <w:gridCol w:w="2160"/>
        <w:gridCol w:w="7398"/>
      </w:tblGrid>
      <w:tr w:rsidR="00BC7757" w:rsidRPr="00BC7757" w14:paraId="55BBFB5F" w14:textId="77777777" w:rsidTr="00BC7757">
        <w:tc>
          <w:tcPr>
            <w:tcW w:w="2160" w:type="dxa"/>
            <w:tcBorders>
              <w:top w:val="nil"/>
              <w:left w:val="nil"/>
              <w:bottom w:val="nil"/>
              <w:right w:val="nil"/>
            </w:tcBorders>
          </w:tcPr>
          <w:p w14:paraId="4616B7A1" w14:textId="77777777" w:rsidR="00BC7757" w:rsidRPr="00BC7757" w:rsidRDefault="00BC7757" w:rsidP="00BC7757">
            <w:pPr>
              <w:pStyle w:val="Head42"/>
            </w:pPr>
            <w:bookmarkStart w:id="827" w:name="_Toc348175985"/>
            <w:bookmarkStart w:id="828" w:name="_Toc327539590"/>
            <w:r w:rsidRPr="00BC7757">
              <w:t>41.</w:t>
            </w:r>
            <w:r w:rsidRPr="00BC7757">
              <w:tab/>
              <w:t>Réception provisoire</w:t>
            </w:r>
            <w:bookmarkEnd w:id="827"/>
            <w:bookmarkEnd w:id="828"/>
          </w:p>
        </w:tc>
        <w:tc>
          <w:tcPr>
            <w:tcW w:w="7398" w:type="dxa"/>
            <w:tcBorders>
              <w:top w:val="nil"/>
              <w:left w:val="nil"/>
              <w:bottom w:val="nil"/>
              <w:right w:val="nil"/>
            </w:tcBorders>
          </w:tcPr>
          <w:p w14:paraId="708F879B" w14:textId="77777777" w:rsidR="00BC7757" w:rsidRPr="00BC7757" w:rsidRDefault="00BC7757" w:rsidP="00BC7757">
            <w:pPr>
              <w:tabs>
                <w:tab w:val="left" w:pos="540"/>
              </w:tabs>
              <w:ind w:left="540" w:right="-72" w:hanging="540"/>
            </w:pPr>
            <w:r w:rsidRPr="00BC7757">
              <w:t>41.1</w:t>
            </w:r>
            <w:r w:rsidRPr="00BC7757">
              <w:tab/>
              <w:t>La réception provisoire a pour but le contrôle de la conformité des travaux avec l’ensemble des obligations du Marché et, en particulier, avec les spécifications techniques.  Si le CCAP le prévoit, la réception peut être prononcée par tranche de travaux étant précisé que, dans ce cas, c’est la réception partielle de la dernière tranche qui tiendra lieu de réception provisoire de l’ensemble des travaux au sens du présent Marché.</w:t>
            </w:r>
          </w:p>
          <w:p w14:paraId="4D5249A2" w14:textId="77777777" w:rsidR="00BC7757" w:rsidRPr="00BC7757" w:rsidRDefault="00BC7757" w:rsidP="00BC7757">
            <w:pPr>
              <w:ind w:left="540" w:right="-72"/>
            </w:pPr>
            <w:r w:rsidRPr="00BC7757">
              <w:t>L’Entrepreneur avise à la fois le Chef de Projet et le Maître d’Œuvre, par écrit, de la date à laquelle il estime que les travaux ont été achevés ou le seront.</w:t>
            </w:r>
          </w:p>
          <w:p w14:paraId="68DF9D4C" w14:textId="77777777" w:rsidR="00BC7757" w:rsidRPr="00BC7757" w:rsidRDefault="00BC7757" w:rsidP="00BC7757">
            <w:pPr>
              <w:ind w:left="540" w:right="-72"/>
            </w:pPr>
            <w:r w:rsidRPr="00BC7757">
              <w:t>Le Maître d’Œuvre procède, l’Entrepreneur ayant été convoqué, aux opérations préalables à la réception des ouvrages dans un délai qui, sauf dispositions contraires du CCAP, est de vingt (20) jours à compter de la date de réception de l’avis mentionné ci-dessus ou de la date indiquée dans cet avis pour l’achèvement des travaux si cette dernière date est postérieure.</w:t>
            </w:r>
          </w:p>
          <w:p w14:paraId="65A25775" w14:textId="77777777" w:rsidR="00BC7757" w:rsidRPr="00BC7757" w:rsidRDefault="00BC7757" w:rsidP="00BC7757">
            <w:pPr>
              <w:ind w:left="540" w:right="-72"/>
            </w:pPr>
            <w:r w:rsidRPr="00BC7757">
              <w:t>Le Chef de Projet, avisé par le Maître d’Œuvre de la date de ces opérations, peut y assister ou s’y faire représenter.  Le procès-verbal prévu au paragraphe 2 du présent Article mentionne soit la présence du Chef de Projet ou de son représentant, soit, en son absence le fait que le Maître d’Œuvre l’avait dûment avisée.</w:t>
            </w:r>
          </w:p>
          <w:p w14:paraId="2001FE18" w14:textId="77777777" w:rsidR="00BC7757" w:rsidRPr="00BC7757" w:rsidRDefault="00BC7757" w:rsidP="00BC7757">
            <w:pPr>
              <w:ind w:left="540" w:right="-72"/>
            </w:pPr>
            <w:r w:rsidRPr="00BC7757">
              <w:t>En cas d’absence de l’Entrepreneur à ces opérations, il en est fait mention audit procès-verbal et ce procès-verbal lui est alors notifié.</w:t>
            </w:r>
          </w:p>
          <w:p w14:paraId="077DA95A" w14:textId="77777777" w:rsidR="00BC7757" w:rsidRPr="00BC7757" w:rsidRDefault="00BC7757" w:rsidP="00BC7757">
            <w:pPr>
              <w:tabs>
                <w:tab w:val="left" w:pos="540"/>
              </w:tabs>
              <w:ind w:left="540" w:right="-72" w:hanging="540"/>
            </w:pPr>
            <w:r w:rsidRPr="00BC7757">
              <w:t>41.2</w:t>
            </w:r>
            <w:r w:rsidRPr="00BC7757">
              <w:tab/>
              <w:t>Les opérations préalables à la réception comportent :</w:t>
            </w:r>
          </w:p>
          <w:p w14:paraId="7AD691DF" w14:textId="77777777" w:rsidR="00BC7757" w:rsidRPr="00BC7757" w:rsidRDefault="00BC7757" w:rsidP="00BC7757">
            <w:pPr>
              <w:tabs>
                <w:tab w:val="left" w:pos="1080"/>
              </w:tabs>
              <w:ind w:left="1080" w:right="-72" w:hanging="540"/>
            </w:pPr>
            <w:r w:rsidRPr="00BC7757">
              <w:t>a)</w:t>
            </w:r>
            <w:r w:rsidRPr="00BC7757">
              <w:tab/>
              <w:t>la reconnaissance des ouvrages exécutés;</w:t>
            </w:r>
          </w:p>
          <w:p w14:paraId="14A71059" w14:textId="77777777" w:rsidR="00BC7757" w:rsidRPr="00BC7757" w:rsidRDefault="00BC7757" w:rsidP="00BC7757">
            <w:pPr>
              <w:tabs>
                <w:tab w:val="left" w:pos="1080"/>
              </w:tabs>
              <w:ind w:left="1080" w:right="-72" w:hanging="540"/>
            </w:pPr>
            <w:r w:rsidRPr="00BC7757">
              <w:t>b)</w:t>
            </w:r>
            <w:r w:rsidRPr="00BC7757">
              <w:tab/>
              <w:t>les épreuves éventuellement prévues par le CCAP;</w:t>
            </w:r>
          </w:p>
          <w:p w14:paraId="682AF561" w14:textId="77777777" w:rsidR="00BC7757" w:rsidRPr="00BC7757" w:rsidRDefault="00BC7757" w:rsidP="00BC7757">
            <w:pPr>
              <w:tabs>
                <w:tab w:val="left" w:pos="1080"/>
              </w:tabs>
              <w:ind w:left="1080" w:right="-72" w:hanging="540"/>
            </w:pPr>
            <w:r w:rsidRPr="00BC7757">
              <w:t>c)</w:t>
            </w:r>
            <w:r w:rsidRPr="00BC7757">
              <w:tab/>
              <w:t>la constatation éventuelle de l’inexécution des prestations prévues au Marché;</w:t>
            </w:r>
          </w:p>
          <w:p w14:paraId="53147C47" w14:textId="77777777" w:rsidR="00BC7757" w:rsidRPr="00BC7757" w:rsidRDefault="00BC7757" w:rsidP="00BC7757">
            <w:pPr>
              <w:tabs>
                <w:tab w:val="left" w:pos="1080"/>
              </w:tabs>
              <w:ind w:left="1080" w:right="-72" w:hanging="540"/>
            </w:pPr>
            <w:r w:rsidRPr="00BC7757">
              <w:t>d)</w:t>
            </w:r>
            <w:r w:rsidRPr="00BC7757">
              <w:tab/>
              <w:t>la constatation éventuelle d’imperfections ou malfaçons;</w:t>
            </w:r>
          </w:p>
          <w:p w14:paraId="53F09B2A" w14:textId="77777777" w:rsidR="00BC7757" w:rsidRPr="00BC7757" w:rsidRDefault="00BC7757" w:rsidP="00BC7757">
            <w:pPr>
              <w:tabs>
                <w:tab w:val="left" w:pos="1080"/>
              </w:tabs>
              <w:ind w:left="1080" w:right="-72" w:hanging="540"/>
            </w:pPr>
            <w:r w:rsidRPr="00BC7757">
              <w:t>e)</w:t>
            </w:r>
            <w:r w:rsidRPr="00BC7757">
              <w:tab/>
              <w:t>la constatation du repliement des installations de chantier et de la remise en état des terrains et des lieux, sauf stipulation différente du CCAP, prévue au paragraphe 1.1 de l’Article 19 du CCAG; et</w:t>
            </w:r>
          </w:p>
          <w:p w14:paraId="507D7F43" w14:textId="77777777" w:rsidR="00BC7757" w:rsidRPr="00BC7757" w:rsidRDefault="00BC7757" w:rsidP="00BC7757">
            <w:pPr>
              <w:tabs>
                <w:tab w:val="left" w:pos="1080"/>
              </w:tabs>
              <w:ind w:left="1080" w:right="-72" w:hanging="540"/>
            </w:pPr>
            <w:r w:rsidRPr="00BC7757">
              <w:t>f)</w:t>
            </w:r>
            <w:r w:rsidRPr="00BC7757">
              <w:tab/>
              <w:t>les constatations relatives à l’achèvement des travaux.</w:t>
            </w:r>
          </w:p>
          <w:p w14:paraId="7988017B" w14:textId="77777777" w:rsidR="00BC7757" w:rsidRPr="00BC7757" w:rsidRDefault="00BC7757" w:rsidP="00BC7757">
            <w:pPr>
              <w:ind w:left="540" w:right="-72"/>
            </w:pPr>
            <w:r w:rsidRPr="00BC7757">
              <w:t>Ces opérations font l’objet d’un procès-verbal dressé sur-le-champ par le Maître d’Œuvre et signé par lui et par l’Entrepreneur; si ce dernier refuse de le signer; il en est fait mention.</w:t>
            </w:r>
          </w:p>
          <w:p w14:paraId="71ADCB35" w14:textId="77777777" w:rsidR="00BC7757" w:rsidRPr="00BC7757" w:rsidRDefault="00BC7757" w:rsidP="00BC7757">
            <w:pPr>
              <w:ind w:left="540" w:right="-72"/>
            </w:pPr>
            <w:r w:rsidRPr="00BC7757">
              <w:t>Dans le délai de quinze (15) jours suivant la date du procès-verbal, le Maître d’Œuvre fait connaître à l’Entrepreneur s’il a ou non proposé au Chef de Projet de prononcer la réception provisoire des ouvrages et, dans l’affirmative, la date d’achèvement des travaux qu’il a proposé de retenir ainsi que les réserves dont il a éventuellement proposé d’assortir la réception.</w:t>
            </w:r>
          </w:p>
          <w:p w14:paraId="3359B674" w14:textId="77777777" w:rsidR="00BC7757" w:rsidRPr="00BC7757" w:rsidRDefault="00BC7757" w:rsidP="00BC7757">
            <w:pPr>
              <w:tabs>
                <w:tab w:val="left" w:pos="540"/>
              </w:tabs>
              <w:ind w:left="540" w:right="-72" w:hanging="540"/>
            </w:pPr>
            <w:r w:rsidRPr="00BC7757">
              <w:t>41.3</w:t>
            </w:r>
            <w:r w:rsidRPr="00BC7757">
              <w:tab/>
              <w:t xml:space="preserve">Au vu du procès-verbal des opérations préalables à la réception provisoire et des propositions du Maître d’Œuvre, le Chef de Projet décide si la réception provisoire est ou non prononcée ou si elle est prononcée avec réserves.  S’il refuse la réception, sa décision liste de manière détaillée les prestations inachevées et imperfections ou malfaçons qui empêchent le prononcé de la réception et il ne prend pas possession des ouvrages.  S’il prononce la réception, il fixe la date qu’il retient pour l’achèvement des travaux.  La décision ainsi prise est notifiée à l’Entrepreneur dans les </w:t>
            </w:r>
            <w:proofErr w:type="spellStart"/>
            <w:r w:rsidRPr="00BC7757">
              <w:t>quarante cinq</w:t>
            </w:r>
            <w:proofErr w:type="spellEnd"/>
            <w:r w:rsidRPr="00BC7757">
              <w:t xml:space="preserve"> (45) jours suivant la date du procès-verbal.</w:t>
            </w:r>
          </w:p>
          <w:p w14:paraId="13B93FE8" w14:textId="77777777" w:rsidR="00BC7757" w:rsidRPr="00BC7757" w:rsidRDefault="00BC7757" w:rsidP="00BC7757">
            <w:pPr>
              <w:ind w:left="540" w:right="-72"/>
            </w:pPr>
            <w:r w:rsidRPr="00BC7757">
              <w:t>A défaut de décision du Chef de Projet notifiée dans le délai précisé ci-dessus, les propositions du Maître d’Œuvre sont considérées comme acceptées.</w:t>
            </w:r>
          </w:p>
          <w:p w14:paraId="44D570DC" w14:textId="77777777" w:rsidR="00BC7757" w:rsidRPr="00BC7757" w:rsidRDefault="00BC7757" w:rsidP="00BC7757">
            <w:pPr>
              <w:ind w:left="540" w:right="-72"/>
            </w:pPr>
            <w:r w:rsidRPr="00BC7757">
              <w:t>La réception, si elle est prononcée ou réputée prononcée, prend effet à la date fixée pour l’achèvement des travaux.</w:t>
            </w:r>
          </w:p>
          <w:p w14:paraId="4B578FFF" w14:textId="77777777" w:rsidR="00BC7757" w:rsidRPr="00BC7757" w:rsidRDefault="00BC7757" w:rsidP="00BC7757">
            <w:pPr>
              <w:tabs>
                <w:tab w:val="left" w:pos="540"/>
              </w:tabs>
              <w:ind w:left="540" w:right="-72" w:hanging="540"/>
            </w:pPr>
            <w:r w:rsidRPr="00BC7757">
              <w:t>41.4</w:t>
            </w:r>
            <w:r w:rsidRPr="00BC7757">
              <w:tab/>
            </w:r>
            <w:r w:rsidRPr="00BC7757">
              <w:rPr>
                <w:spacing w:val="-4"/>
              </w:rPr>
              <w:t>S’il apparaît que certaines prestations prévues au Marché et devant encore donner lieu à règlement n’ont pas été exécutées, le Chef de Projet peut décider de prononcer la réception provisoire, sous réserve que l’Entrepreneur s’engage à exécuter ces prestations dans un délai qui n’excède pas trois (3) mois.  La constatation de l’exécution de ces prestations doit donner lieu à un procès-verbal dressé dans les mêmes conditions que le procès-verbal des opérations préalables à la réception.</w:t>
            </w:r>
          </w:p>
          <w:p w14:paraId="793C0EF0" w14:textId="77777777" w:rsidR="00BC7757" w:rsidRPr="00BC7757" w:rsidRDefault="00BC7757" w:rsidP="00BC7757">
            <w:pPr>
              <w:tabs>
                <w:tab w:val="left" w:pos="540"/>
              </w:tabs>
              <w:ind w:left="540" w:right="-72" w:hanging="540"/>
            </w:pPr>
            <w:r w:rsidRPr="00BC7757">
              <w:t>41.5</w:t>
            </w:r>
            <w:r w:rsidRPr="00BC7757">
              <w:tab/>
              <w:t>Lorsque la réception provisoire est assortie de réserves, l’Entrepreneur doit remédier aux imperfections et malfaçons correspondantes dans le délai fixé par le Chef de Projet ou, en l’absence d’un tel délai, trois (3) mois avant la réception définitive.</w:t>
            </w:r>
          </w:p>
          <w:p w14:paraId="1015FD35" w14:textId="77777777" w:rsidR="00BC7757" w:rsidRPr="00BC7757" w:rsidRDefault="00BC7757" w:rsidP="00BC7757">
            <w:pPr>
              <w:ind w:left="540" w:right="-72"/>
            </w:pPr>
            <w:r w:rsidRPr="00BC7757">
              <w:t>Au cas où ces travaux ne seraient pas réalisés dans le délai prescrit, le Chef de Projet peut les faire exécuter aux frais et risques de l’Entrepreneur.</w:t>
            </w:r>
          </w:p>
          <w:p w14:paraId="369FA303" w14:textId="77777777" w:rsidR="00BC7757" w:rsidRPr="00BC7757" w:rsidRDefault="00BC7757" w:rsidP="00BC7757">
            <w:pPr>
              <w:tabs>
                <w:tab w:val="left" w:pos="540"/>
              </w:tabs>
              <w:ind w:left="540" w:right="-72" w:hanging="540"/>
            </w:pPr>
            <w:r w:rsidRPr="00BC7757">
              <w:t>41.6</w:t>
            </w:r>
            <w:r w:rsidRPr="00BC7757">
              <w:tab/>
              <w:t>Si certains ouvrages ou certaines parties d’ouvrages ne sont pas entièrement conformes aux spécifications du Marché, sans que les imperfections constatées soient de nature à porter atteinte à la sécurité, au comportement ou à l’utilisation des ouvrages, le Chef de Projet peut, eu égard à la faible importance des imperfections et aux difficultés que présenterait la mise en conformité, renoncer à ordonner la réfection des ouvrages estimés défectueux et proposer à l’Entrepreneur une réfaction sur les prix.</w:t>
            </w:r>
          </w:p>
          <w:p w14:paraId="253D6BE1" w14:textId="77777777" w:rsidR="00BC7757" w:rsidRPr="00BC7757" w:rsidRDefault="00BC7757" w:rsidP="00BC7757">
            <w:pPr>
              <w:ind w:left="540" w:right="-72"/>
            </w:pPr>
            <w:r w:rsidRPr="00BC7757">
              <w:t>Si l’Entrepreneur accepte la réfaction, les imperfections qui l’ont motivée se trouvent couvertes de ce fait et la réception est prononcée sans réserve.</w:t>
            </w:r>
          </w:p>
          <w:p w14:paraId="40605CA6" w14:textId="77777777" w:rsidR="00BC7757" w:rsidRPr="00BC7757" w:rsidRDefault="00BC7757" w:rsidP="00BC7757">
            <w:pPr>
              <w:ind w:left="540" w:right="-72"/>
            </w:pPr>
            <w:r w:rsidRPr="00BC7757">
              <w:t>Dans le cas contraire, l’Entrepreneur demeure tenu de réparer ces imperfections, la réception étant prononcée sous réserve de leur réparation.</w:t>
            </w:r>
          </w:p>
          <w:p w14:paraId="4BCF11D6" w14:textId="77777777" w:rsidR="00BC7757" w:rsidRPr="00BC7757" w:rsidRDefault="00BC7757" w:rsidP="00BC7757">
            <w:pPr>
              <w:tabs>
                <w:tab w:val="left" w:pos="540"/>
              </w:tabs>
              <w:ind w:left="540" w:right="-72" w:hanging="540"/>
            </w:pPr>
            <w:r w:rsidRPr="00BC7757">
              <w:t>41.7</w:t>
            </w:r>
            <w:r w:rsidRPr="00BC7757">
              <w:tab/>
              <w:t>Toute prise de possession des ouvrages par le Maître de l’Ouvrage doit être précédée de leur réception.  S’il y a urgence, la prise de possession peut intervenir antérieurement à la réception, sous la forme de réceptions partielles, avec toutes réserves utiles et selon les mêmes modalités que ci-dessus, pour les parties des ouvrages dont l’occupation ou l’utilisation est décidée par le Maître de l’Ouvrage.</w:t>
            </w:r>
          </w:p>
          <w:p w14:paraId="61EC2E29" w14:textId="77777777" w:rsidR="00BC7757" w:rsidRPr="00BC7757" w:rsidRDefault="00BC7757" w:rsidP="00BC7757">
            <w:pPr>
              <w:tabs>
                <w:tab w:val="left" w:pos="540"/>
              </w:tabs>
              <w:ind w:left="540" w:right="-72" w:hanging="540"/>
            </w:pPr>
            <w:r w:rsidRPr="00BC7757">
              <w:t>41.8</w:t>
            </w:r>
            <w:r w:rsidRPr="00BC7757">
              <w:tab/>
              <w:t>La réception provisoire entraîne le transfert de la propriété et des risques au profit du Maître de l’Ouvrage et constitue le point de départ de l’obligation de garantie contractuelle selon les dispositions de l’Article 44 du CCAG.</w:t>
            </w:r>
          </w:p>
          <w:p w14:paraId="3CB3B88E" w14:textId="77777777" w:rsidR="00BC7757" w:rsidRPr="00BC7757" w:rsidRDefault="00BC7757" w:rsidP="00BC7757">
            <w:pPr>
              <w:tabs>
                <w:tab w:val="left" w:pos="540"/>
              </w:tabs>
              <w:ind w:left="540" w:right="-72" w:hanging="540"/>
            </w:pPr>
            <w:r w:rsidRPr="00BC7757">
              <w:t>41.9</w:t>
            </w:r>
            <w:r w:rsidRPr="00BC7757">
              <w:tab/>
              <w:t>A l’issue de la réception provisoire, l’Entrepreneur doit débarrasser et retirer tous ses équipements, fournitures, matériels et matériaux excédentaires ainsi que tous détritus et ouvrages provisoires de toute nature et laisser le site et les ouvrages propres et en bon état de fonctionnement.  Il est toutefois entendu que l’Entrepreneur est autorisé à conserver sur le Site, jusqu’à la fin du délai de garantie, tous les équipements, fournitures, matériels, matériaux et ouvrages provisoires dont il a besoin pour remplir ses obligations au cours de la période de garantie.</w:t>
            </w:r>
          </w:p>
        </w:tc>
      </w:tr>
      <w:tr w:rsidR="00BC7757" w:rsidRPr="00BC7757" w14:paraId="570AF0B8" w14:textId="77777777" w:rsidTr="00BC7757">
        <w:tc>
          <w:tcPr>
            <w:tcW w:w="2160" w:type="dxa"/>
            <w:tcBorders>
              <w:top w:val="nil"/>
              <w:left w:val="nil"/>
              <w:bottom w:val="nil"/>
              <w:right w:val="nil"/>
            </w:tcBorders>
          </w:tcPr>
          <w:p w14:paraId="27A758E9" w14:textId="77777777" w:rsidR="00BC7757" w:rsidRPr="00BC7757" w:rsidRDefault="00BC7757" w:rsidP="00BC7757">
            <w:pPr>
              <w:pStyle w:val="Head42"/>
            </w:pPr>
            <w:bookmarkStart w:id="829" w:name="_Toc348175986"/>
            <w:bookmarkStart w:id="830" w:name="_Toc327539591"/>
            <w:r w:rsidRPr="00BC7757">
              <w:t>42.</w:t>
            </w:r>
            <w:r w:rsidRPr="00BC7757">
              <w:tab/>
              <w:t>Réception définitive</w:t>
            </w:r>
            <w:bookmarkEnd w:id="829"/>
            <w:bookmarkEnd w:id="830"/>
          </w:p>
        </w:tc>
        <w:tc>
          <w:tcPr>
            <w:tcW w:w="7398" w:type="dxa"/>
            <w:tcBorders>
              <w:top w:val="nil"/>
              <w:left w:val="nil"/>
              <w:bottom w:val="nil"/>
              <w:right w:val="nil"/>
            </w:tcBorders>
          </w:tcPr>
          <w:p w14:paraId="5A0A9D9D" w14:textId="77777777" w:rsidR="00BC7757" w:rsidRPr="00BC7757" w:rsidRDefault="00BC7757" w:rsidP="00BC7757">
            <w:pPr>
              <w:tabs>
                <w:tab w:val="left" w:pos="540"/>
              </w:tabs>
              <w:ind w:left="540" w:right="-72" w:hanging="540"/>
            </w:pPr>
            <w:r w:rsidRPr="00BC7757">
              <w:t>42.1</w:t>
            </w:r>
            <w:r w:rsidRPr="00BC7757">
              <w:tab/>
              <w:t>Sous réserve de disposition contraire figurant au CCAP, la réception définitive sera prononcée un (1) an après la date du procès-verbal de réception provisoire.  Au sein de cette période, l’Entrepreneur est tenu à l’obligation de garantie contractuelle plus amplement décrite à l’Article 44 du CCAG.</w:t>
            </w:r>
          </w:p>
          <w:p w14:paraId="644D6800" w14:textId="77777777" w:rsidR="00BC7757" w:rsidRPr="00BC7757" w:rsidRDefault="00BC7757" w:rsidP="00BC7757">
            <w:pPr>
              <w:ind w:left="540" w:right="-72"/>
            </w:pPr>
            <w:r w:rsidRPr="00BC7757">
              <w:t>En outre, au plus tard dix (10) mois après la réception provisoire, le Maître d’Œuvre adressera à l’Entrepreneur les listes détaillées de malfaçons relevées, à l’exception de celles résultant de l’usure normale, d’un abus d’usage ou de dommages causés par des tiers.</w:t>
            </w:r>
          </w:p>
          <w:p w14:paraId="089BAB49" w14:textId="77777777" w:rsidR="00BC7757" w:rsidRPr="00BC7757" w:rsidRDefault="00BC7757" w:rsidP="00BC7757">
            <w:pPr>
              <w:ind w:left="540" w:right="-72"/>
            </w:pPr>
            <w:r w:rsidRPr="00BC7757">
              <w:t>L’Entrepreneur disposera d’un délai de deux (2) mois pour y apporter remède dans les conditions du Marché.  Il retournera au Maître d’Œuvre les listes de malfaçons complétées par le détail des travaux effectués.</w:t>
            </w:r>
          </w:p>
          <w:p w14:paraId="5706B67B" w14:textId="77777777" w:rsidR="00BC7757" w:rsidRPr="00BC7757" w:rsidRDefault="00BC7757" w:rsidP="00BC7757">
            <w:pPr>
              <w:ind w:left="540" w:right="-72"/>
            </w:pPr>
            <w:r w:rsidRPr="00BC7757">
              <w:t>Le Chef de Projet délivrera alors, après avoir vérifié que les travaux ont été correctement vérifiés et à l’issue de cette période de deux (2) mois, le procès-verbal de réception définitive des travaux.</w:t>
            </w:r>
          </w:p>
          <w:p w14:paraId="379377E8" w14:textId="77777777" w:rsidR="00BC7757" w:rsidRPr="00BC7757" w:rsidRDefault="00BC7757" w:rsidP="00BC7757">
            <w:pPr>
              <w:tabs>
                <w:tab w:val="left" w:pos="540"/>
              </w:tabs>
              <w:ind w:left="540" w:right="-72" w:hanging="540"/>
            </w:pPr>
            <w:r w:rsidRPr="00BC7757">
              <w:t>42.2</w:t>
            </w:r>
            <w:r w:rsidRPr="00BC7757">
              <w:tab/>
              <w:t>Si l’Entrepreneur ne remédie par aux malfaçons dans les délais, la réception définitive ne sera prononcée qu’après la réalisation parfaite des travaux qui s’y rapportent.  Dans le cas où ces travaux ne seraient toujours pas réalisés deux (2) mois après la fin de la période de garantie contractuelle, le Maître de l’Ouvrage prononcera néanmoins la réception définitive à l’issue de cette période tout en faisant réaliser les travaux par toute entreprise de son choix aux frais et risques de l’Entrepreneur.  Dans ce cas, la garantie de bonne exécution visée à l’Article 6.11 demeurera en vigueur jusqu’au désintéressement complet du Maître de l’Ouvrage par l’Entrepreneur.</w:t>
            </w:r>
          </w:p>
          <w:p w14:paraId="2F6BD659" w14:textId="77777777" w:rsidR="00BC7757" w:rsidRPr="00BC7757" w:rsidRDefault="00BC7757" w:rsidP="00BC7757">
            <w:pPr>
              <w:tabs>
                <w:tab w:val="left" w:pos="540"/>
              </w:tabs>
              <w:ind w:left="540" w:right="-72" w:hanging="540"/>
            </w:pPr>
            <w:r w:rsidRPr="00BC7757">
              <w:t>42.3</w:t>
            </w:r>
            <w:r w:rsidRPr="00BC7757">
              <w:tab/>
              <w:t>La réception définitive marquera la fin d’exécution du présent Marché et libérera les parties contractantes de leurs obligations.</w:t>
            </w:r>
          </w:p>
        </w:tc>
      </w:tr>
      <w:tr w:rsidR="00BC7757" w:rsidRPr="00BC7757" w14:paraId="7E08A28B" w14:textId="77777777" w:rsidTr="00BC7757">
        <w:tc>
          <w:tcPr>
            <w:tcW w:w="2160" w:type="dxa"/>
            <w:tcBorders>
              <w:top w:val="nil"/>
              <w:left w:val="nil"/>
              <w:bottom w:val="nil"/>
              <w:right w:val="nil"/>
            </w:tcBorders>
          </w:tcPr>
          <w:p w14:paraId="59C19B42" w14:textId="77777777" w:rsidR="00BC7757" w:rsidRPr="00BC7757" w:rsidRDefault="00BC7757" w:rsidP="00BC7757">
            <w:pPr>
              <w:pStyle w:val="Head42"/>
            </w:pPr>
            <w:bookmarkStart w:id="831" w:name="_Toc348175987"/>
            <w:bookmarkStart w:id="832" w:name="_Toc327539592"/>
            <w:r w:rsidRPr="00BC7757">
              <w:t>43.</w:t>
            </w:r>
            <w:r w:rsidRPr="00BC7757">
              <w:tab/>
              <w:t>Mise à disposition de certains ouvrages ou parties d’ouvrages</w:t>
            </w:r>
            <w:bookmarkEnd w:id="831"/>
            <w:bookmarkEnd w:id="832"/>
          </w:p>
        </w:tc>
        <w:tc>
          <w:tcPr>
            <w:tcW w:w="7398" w:type="dxa"/>
            <w:tcBorders>
              <w:top w:val="nil"/>
              <w:left w:val="nil"/>
              <w:bottom w:val="nil"/>
              <w:right w:val="nil"/>
            </w:tcBorders>
          </w:tcPr>
          <w:p w14:paraId="736E19B3" w14:textId="77777777" w:rsidR="00BC7757" w:rsidRPr="00BC7757" w:rsidRDefault="00BC7757" w:rsidP="00BC7757">
            <w:pPr>
              <w:tabs>
                <w:tab w:val="left" w:pos="540"/>
              </w:tabs>
              <w:ind w:left="540" w:right="-72" w:hanging="540"/>
            </w:pPr>
            <w:r w:rsidRPr="00BC7757">
              <w:t>43.1</w:t>
            </w:r>
            <w:r w:rsidRPr="00BC7757">
              <w:tab/>
              <w:t>Le présent Article s’applique lorsque le Marché, ou un ordre de service, prescrit à l’Entrepreneur de mettre, pendant une certaine période, certains ouvrages, ou certaines parties d’ouvrages, non encore achevées à la disposition du Maître de l’Ouvrage et sans que celui-ci en prenne possession, afin notamment de lui permettre d’exécuter, ou de faire exécuter par d’autres entrepreneurs, des travaux autres que ceux qui font l’objet du Marché.</w:t>
            </w:r>
          </w:p>
          <w:p w14:paraId="61DCE95A" w14:textId="77777777" w:rsidR="00BC7757" w:rsidRPr="00BC7757" w:rsidRDefault="00BC7757" w:rsidP="00BC7757">
            <w:pPr>
              <w:tabs>
                <w:tab w:val="left" w:pos="540"/>
              </w:tabs>
              <w:ind w:left="540" w:right="-72" w:hanging="540"/>
            </w:pPr>
            <w:r w:rsidRPr="00BC7757">
              <w:t>43.2</w:t>
            </w:r>
            <w:r w:rsidRPr="00BC7757">
              <w:tab/>
              <w:t>Avant la mise à disposition de ces ouvrages ou parties d’ouvrages, un état des lieux est dressé contradictoirement entre le Maître d’Œuvre et l’Entrepreneur.</w:t>
            </w:r>
          </w:p>
          <w:p w14:paraId="72F10F50" w14:textId="77777777" w:rsidR="00BC7757" w:rsidRPr="00BC7757" w:rsidRDefault="00BC7757" w:rsidP="00BC7757">
            <w:pPr>
              <w:ind w:left="540" w:right="-72"/>
            </w:pPr>
            <w:r w:rsidRPr="00BC7757">
              <w:t>L’Entrepreneur a le droit de suivre les travaux non compris dans son Marché qui intéressent les ouvrages ou parties d’ouvrages ainsi mis à la disposition du Maître de l’Ouvrage.  Il peut faire des réserves s’il estime que les caractéristiques des ouvrages ne permettent pas ces travaux ou que lesdits travaux risquent de les détériorer.  Ces réserves doivent être motivées par écrit et adressées au Maître d’Œuvre.</w:t>
            </w:r>
          </w:p>
          <w:p w14:paraId="24E5664D" w14:textId="77777777" w:rsidR="00BC7757" w:rsidRPr="00BC7757" w:rsidRDefault="00BC7757" w:rsidP="00BC7757">
            <w:pPr>
              <w:ind w:left="540" w:right="-72"/>
            </w:pPr>
            <w:r w:rsidRPr="00BC7757">
              <w:t>Lorsque la période de mise à disposition est terminée, un nouvel état des lieux contradictoire est dressé.</w:t>
            </w:r>
          </w:p>
          <w:p w14:paraId="0F9263BA" w14:textId="77777777" w:rsidR="00BC7757" w:rsidRPr="00BC7757" w:rsidRDefault="00BC7757" w:rsidP="00BC7757">
            <w:pPr>
              <w:tabs>
                <w:tab w:val="left" w:pos="540"/>
              </w:tabs>
              <w:ind w:left="540" w:right="-72" w:hanging="540"/>
            </w:pPr>
            <w:r w:rsidRPr="00BC7757">
              <w:t>43.3</w:t>
            </w:r>
            <w:r w:rsidRPr="00BC7757">
              <w:tab/>
              <w:t>Sous réserve des conséquences des malfaçons qui lui sont imputables, l’Entrepreneur n’est pas responsable de la garde des ouvrages ou parties d’ouvrages pendant toute la durée où ils sont mis à la disposition du Maître de l’Ouvrage.</w:t>
            </w:r>
          </w:p>
        </w:tc>
      </w:tr>
      <w:tr w:rsidR="00BC7757" w:rsidRPr="00BC7757" w14:paraId="6597B4A7" w14:textId="77777777" w:rsidTr="00BC7757">
        <w:tc>
          <w:tcPr>
            <w:tcW w:w="2160" w:type="dxa"/>
            <w:tcBorders>
              <w:top w:val="nil"/>
              <w:left w:val="nil"/>
              <w:bottom w:val="nil"/>
              <w:right w:val="nil"/>
            </w:tcBorders>
          </w:tcPr>
          <w:p w14:paraId="2C50B5BE" w14:textId="77777777" w:rsidR="00BC7757" w:rsidRPr="00BC7757" w:rsidRDefault="00BC7757" w:rsidP="00BC7757">
            <w:pPr>
              <w:pStyle w:val="Head42"/>
            </w:pPr>
            <w:bookmarkStart w:id="833" w:name="_Toc348175988"/>
            <w:bookmarkStart w:id="834" w:name="_Toc327539593"/>
            <w:r w:rsidRPr="00BC7757">
              <w:t>44.</w:t>
            </w:r>
            <w:r w:rsidRPr="00BC7757">
              <w:tab/>
              <w:t>Garanties contractuelles</w:t>
            </w:r>
            <w:bookmarkEnd w:id="833"/>
            <w:bookmarkEnd w:id="834"/>
          </w:p>
        </w:tc>
        <w:tc>
          <w:tcPr>
            <w:tcW w:w="7398" w:type="dxa"/>
            <w:tcBorders>
              <w:top w:val="nil"/>
              <w:left w:val="nil"/>
              <w:bottom w:val="nil"/>
              <w:right w:val="nil"/>
            </w:tcBorders>
          </w:tcPr>
          <w:p w14:paraId="2F590E9E" w14:textId="77777777" w:rsidR="00BC7757" w:rsidRPr="00BC7757" w:rsidRDefault="00BC7757" w:rsidP="00BC7757">
            <w:pPr>
              <w:tabs>
                <w:tab w:val="left" w:pos="540"/>
              </w:tabs>
              <w:ind w:left="540" w:right="-72" w:hanging="540"/>
              <w:rPr>
                <w:b/>
              </w:rPr>
            </w:pPr>
            <w:r w:rsidRPr="00BC7757">
              <w:rPr>
                <w:b/>
              </w:rPr>
              <w:t>44.1</w:t>
            </w:r>
            <w:r w:rsidRPr="00BC7757">
              <w:rPr>
                <w:b/>
              </w:rPr>
              <w:tab/>
              <w:t>Délai de garantie</w:t>
            </w:r>
          </w:p>
          <w:p w14:paraId="0692A003" w14:textId="77777777" w:rsidR="00BC7757" w:rsidRPr="00BC7757" w:rsidRDefault="00BC7757" w:rsidP="00BC7757">
            <w:pPr>
              <w:ind w:left="540" w:right="-72"/>
            </w:pPr>
            <w:r w:rsidRPr="00BC7757">
              <w:t>Le délai de garantie est, sauf stipulation contraire du Marché égal à la durée comprise entre la réception provisoire et la réception définitive. Pendant le délai de garantie, indépendamment des obligations qui peuvent résulter pour lui de l’application de l’Article 42 du CCAG, l’Entrepreneur est tenu à une obligation dite “obligation de parfait achèvement” au titre de laquelle il doit, à ses frais :</w:t>
            </w:r>
          </w:p>
          <w:p w14:paraId="42115A0C" w14:textId="77777777" w:rsidR="00BC7757" w:rsidRPr="00BC7757" w:rsidRDefault="00BC7757" w:rsidP="00BC7757">
            <w:pPr>
              <w:tabs>
                <w:tab w:val="left" w:pos="1080"/>
              </w:tabs>
              <w:ind w:left="1080" w:right="-72" w:hanging="540"/>
              <w:jc w:val="left"/>
            </w:pPr>
            <w:r w:rsidRPr="00BC7757">
              <w:t>a)</w:t>
            </w:r>
            <w:r w:rsidRPr="00BC7757">
              <w:tab/>
              <w:t>exécuter les travaux ou prestations éventuels de finition ou de reprise prévus aux paragraphes 4 et 5 de l’Article 41 du CCAG;</w:t>
            </w:r>
          </w:p>
          <w:p w14:paraId="2EB858B9" w14:textId="77777777" w:rsidR="00BC7757" w:rsidRPr="00BC7757" w:rsidRDefault="00BC7757" w:rsidP="00BC7757">
            <w:pPr>
              <w:tabs>
                <w:tab w:val="left" w:pos="1080"/>
              </w:tabs>
              <w:ind w:left="1080" w:right="-72" w:hanging="540"/>
              <w:jc w:val="left"/>
            </w:pPr>
            <w:r w:rsidRPr="00BC7757">
              <w:t>b)</w:t>
            </w:r>
            <w:r w:rsidRPr="00BC7757">
              <w:tab/>
              <w:t>remédier à tous les désordres signalés par le Maître de l’Ouvrage ou le Maître d’Œuvre, de telle sorte que l’ouvrage soit conforme à l’état où il était lors de la réception ou après correction des imperfections constatées lors de celle-ci;</w:t>
            </w:r>
          </w:p>
          <w:p w14:paraId="71308D4B" w14:textId="77777777" w:rsidR="00BC7757" w:rsidRPr="00BC7757" w:rsidRDefault="00BC7757" w:rsidP="00BC7757">
            <w:pPr>
              <w:tabs>
                <w:tab w:val="left" w:pos="1080"/>
              </w:tabs>
              <w:ind w:left="1080" w:right="-72" w:hanging="540"/>
              <w:jc w:val="left"/>
            </w:pPr>
            <w:r w:rsidRPr="00BC7757">
              <w:t>e)</w:t>
            </w:r>
            <w:r w:rsidRPr="00BC7757">
              <w:tab/>
              <w:t>procéder, le cas échéant, aux travaux confortatifs ou modificatifs jugés nécessaires par le Maître d’Œuvre et présentés par lui au cours de la période de garantie; et</w:t>
            </w:r>
          </w:p>
          <w:p w14:paraId="6EA95926" w14:textId="77777777" w:rsidR="00BC7757" w:rsidRPr="00BC7757" w:rsidRDefault="00BC7757" w:rsidP="00BC7757">
            <w:pPr>
              <w:tabs>
                <w:tab w:val="left" w:pos="1080"/>
              </w:tabs>
              <w:ind w:left="1080" w:right="-72" w:hanging="540"/>
              <w:jc w:val="left"/>
            </w:pPr>
            <w:r w:rsidRPr="00BC7757">
              <w:t>d)</w:t>
            </w:r>
            <w:r w:rsidRPr="00BC7757">
              <w:tab/>
              <w:t>remettre au Maître d’Œuvre les plans des ouvrages conformes à l’exécution dans les conditions précisées à l’Article 40 du CCAG.</w:t>
            </w:r>
          </w:p>
          <w:p w14:paraId="71CDFE03" w14:textId="77777777" w:rsidR="00BC7757" w:rsidRPr="00BC7757" w:rsidRDefault="00BC7757" w:rsidP="00BC7757">
            <w:pPr>
              <w:ind w:left="540" w:right="-72"/>
            </w:pPr>
            <w:r w:rsidRPr="00BC7757">
              <w:t>Les dépenses correspondant aux travaux complémentaires prescrits par le Maître de l’Ouvrage ou le Maître d’Œuvre ayant pour objet de remédier aux déficiences énoncées aux alinéas b) et c) ci-dessus ne sont à la charge de l’Entrepreneur que si la cause de ces déficiences lui est imputable.</w:t>
            </w:r>
          </w:p>
          <w:p w14:paraId="0696B8FF" w14:textId="77777777" w:rsidR="00BC7757" w:rsidRPr="00BC7757" w:rsidRDefault="00BC7757" w:rsidP="00BC7757">
            <w:pPr>
              <w:ind w:left="540" w:right="-72"/>
            </w:pPr>
            <w:r w:rsidRPr="00BC7757">
              <w:t>L’obligation pour l’Entrepreneur de réaliser ces travaux de parfait achèvement à ses frais ne s’étend pas aux travaux nécessaires pour remédier aux effets de l’usage ou de l’usure normale, étant précisé que la propreté et l’entretien courant incombent au Maître de l’Ouvrage.</w:t>
            </w:r>
          </w:p>
          <w:p w14:paraId="5F43C482" w14:textId="77777777" w:rsidR="00BC7757" w:rsidRPr="00BC7757" w:rsidRDefault="00BC7757" w:rsidP="00BC7757">
            <w:pPr>
              <w:ind w:left="540" w:right="-72"/>
            </w:pPr>
            <w:r w:rsidRPr="00BC7757">
              <w:t>A l’expiration du délai de garantie, l’Entrepreneur est dégagé de ses obligations contractuelles, à l’exception de celles qui sont mentionnées au paragraphe 2 du présent Article et la garantie prévue à l’Article 6.2.2 du CCAG sera échue de plein droit sauf dans le cas prévu à l’Article 42.2 du CCAG.</w:t>
            </w:r>
          </w:p>
          <w:p w14:paraId="45D6A012" w14:textId="77777777" w:rsidR="00BC7757" w:rsidRPr="00BC7757" w:rsidRDefault="00BC7757" w:rsidP="00BC7757">
            <w:pPr>
              <w:tabs>
                <w:tab w:val="left" w:pos="540"/>
              </w:tabs>
              <w:ind w:left="540" w:right="-72" w:hanging="540"/>
            </w:pPr>
            <w:r w:rsidRPr="00BC7757">
              <w:rPr>
                <w:b/>
              </w:rPr>
              <w:t>44.2</w:t>
            </w:r>
            <w:r w:rsidRPr="00BC7757">
              <w:rPr>
                <w:b/>
              </w:rPr>
              <w:tab/>
              <w:t>Garanties particulières</w:t>
            </w:r>
          </w:p>
          <w:p w14:paraId="55C79B25" w14:textId="77777777" w:rsidR="00BC7757" w:rsidRPr="00BC7757" w:rsidRDefault="00BC7757" w:rsidP="00BC7757">
            <w:pPr>
              <w:ind w:left="540" w:right="-72"/>
            </w:pPr>
            <w:r w:rsidRPr="00BC7757">
              <w:t>Les stipulations qui précèdent ne font pas obstacle à ce que le CCAP définisse, pour certains ouvrages ou certaines catégories de travaux, des garanties particulières s’étendant au-delà du délai de garantie fixé au paragraphe 1 du présent Article.  L’existence de ces garanties particulières n’a pas pour effet de retarder la libération des sûretés au-delà de la réception définitive.</w:t>
            </w:r>
          </w:p>
        </w:tc>
      </w:tr>
      <w:tr w:rsidR="00BC7757" w:rsidRPr="00BC7757" w14:paraId="5ED19205" w14:textId="77777777" w:rsidTr="00BC7757">
        <w:tc>
          <w:tcPr>
            <w:tcW w:w="2160" w:type="dxa"/>
            <w:tcBorders>
              <w:top w:val="nil"/>
              <w:left w:val="nil"/>
              <w:bottom w:val="nil"/>
              <w:right w:val="nil"/>
            </w:tcBorders>
          </w:tcPr>
          <w:p w14:paraId="07FA5F2F" w14:textId="77777777" w:rsidR="00BC7757" w:rsidRPr="00BC7757" w:rsidRDefault="00BC7757" w:rsidP="00BC7757">
            <w:pPr>
              <w:pStyle w:val="Head42"/>
            </w:pPr>
            <w:bookmarkStart w:id="835" w:name="_Toc348175989"/>
            <w:bookmarkStart w:id="836" w:name="_Toc327539594"/>
            <w:r w:rsidRPr="00BC7757">
              <w:t>45.</w:t>
            </w:r>
            <w:r w:rsidRPr="00BC7757">
              <w:tab/>
              <w:t>Garantie légale</w:t>
            </w:r>
            <w:bookmarkEnd w:id="835"/>
            <w:bookmarkEnd w:id="836"/>
          </w:p>
        </w:tc>
        <w:tc>
          <w:tcPr>
            <w:tcW w:w="7398" w:type="dxa"/>
            <w:tcBorders>
              <w:top w:val="nil"/>
              <w:left w:val="nil"/>
              <w:bottom w:val="nil"/>
              <w:right w:val="nil"/>
            </w:tcBorders>
          </w:tcPr>
          <w:p w14:paraId="2B2252DC" w14:textId="77777777" w:rsidR="00BC7757" w:rsidRPr="00BC7757" w:rsidRDefault="00BC7757" w:rsidP="00BC7757">
            <w:pPr>
              <w:tabs>
                <w:tab w:val="left" w:pos="540"/>
              </w:tabs>
              <w:ind w:left="540" w:right="-72" w:hanging="540"/>
            </w:pPr>
            <w:r w:rsidRPr="00BC7757">
              <w:t>45.1</w:t>
            </w:r>
            <w:r w:rsidRPr="00BC7757">
              <w:tab/>
              <w:t>En application de la réglementation en vigueur, l’Entrepreneur est responsable de plein droit pendant dix (10) ans envers le Maître de l’Ouvrage, à compter de la réception provisoire, des dommages même résultant d’un vice du sol qui compromettent la solidité de l’ouvrage ou qui l’affectent dans l’un de ses éléments constitutifs ou l’un de ses éléments d’équipement le rendant impropre à sa destination.  Pour s’exonérer de sa responsabilité au titre du présent Article, l’Entrepreneur doit prouver que les dommages proviennent d’une cause qui lui est étrangère.</w:t>
            </w:r>
          </w:p>
        </w:tc>
      </w:tr>
    </w:tbl>
    <w:p w14:paraId="28DBAA53" w14:textId="77777777" w:rsidR="00BC7757" w:rsidRPr="00BC7757" w:rsidRDefault="00BC7757" w:rsidP="00BC7757"/>
    <w:p w14:paraId="4AEDE40C" w14:textId="409B779A" w:rsidR="00BC7757" w:rsidRPr="00BC7757" w:rsidRDefault="00BC7757" w:rsidP="00AE22CB">
      <w:pPr>
        <w:pStyle w:val="Head41"/>
        <w:keepNext/>
        <w:keepLines/>
      </w:pPr>
      <w:bookmarkStart w:id="837" w:name="_Toc348175990"/>
      <w:bookmarkStart w:id="838" w:name="_Toc327539595"/>
      <w:r w:rsidRPr="00BC7757">
        <w:t>F.  Résiliation du Marché - Interruption des Travaux</w:t>
      </w:r>
      <w:bookmarkEnd w:id="837"/>
      <w:bookmarkEnd w:id="838"/>
    </w:p>
    <w:tbl>
      <w:tblPr>
        <w:tblW w:w="0" w:type="auto"/>
        <w:tblLayout w:type="fixed"/>
        <w:tblLook w:val="0000" w:firstRow="0" w:lastRow="0" w:firstColumn="0" w:lastColumn="0" w:noHBand="0" w:noVBand="0"/>
      </w:tblPr>
      <w:tblGrid>
        <w:gridCol w:w="2160"/>
        <w:gridCol w:w="7398"/>
      </w:tblGrid>
      <w:tr w:rsidR="00BC7757" w:rsidRPr="00BC7757" w14:paraId="03FB3591" w14:textId="77777777" w:rsidTr="00BC7757">
        <w:tc>
          <w:tcPr>
            <w:tcW w:w="2160" w:type="dxa"/>
            <w:tcBorders>
              <w:top w:val="nil"/>
              <w:left w:val="nil"/>
              <w:bottom w:val="nil"/>
              <w:right w:val="nil"/>
            </w:tcBorders>
          </w:tcPr>
          <w:p w14:paraId="23528FEE" w14:textId="77777777" w:rsidR="00BC7757" w:rsidRPr="00BC7757" w:rsidRDefault="00BC7757" w:rsidP="00BC7757">
            <w:pPr>
              <w:pStyle w:val="Head42"/>
            </w:pPr>
            <w:bookmarkStart w:id="839" w:name="_Toc348175991"/>
            <w:bookmarkStart w:id="840" w:name="_Toc327539596"/>
            <w:r w:rsidRPr="00BC7757">
              <w:t>46.</w:t>
            </w:r>
            <w:r w:rsidRPr="00BC7757">
              <w:tab/>
              <w:t>Résiliation du Marché</w:t>
            </w:r>
            <w:bookmarkEnd w:id="839"/>
            <w:bookmarkEnd w:id="840"/>
          </w:p>
        </w:tc>
        <w:tc>
          <w:tcPr>
            <w:tcW w:w="7398" w:type="dxa"/>
            <w:tcBorders>
              <w:top w:val="nil"/>
              <w:left w:val="nil"/>
              <w:bottom w:val="nil"/>
              <w:right w:val="nil"/>
            </w:tcBorders>
          </w:tcPr>
          <w:p w14:paraId="316862B2" w14:textId="77777777" w:rsidR="00BC7757" w:rsidRPr="00BC7757" w:rsidRDefault="00BC7757" w:rsidP="00BC7757">
            <w:pPr>
              <w:tabs>
                <w:tab w:val="left" w:pos="540"/>
              </w:tabs>
              <w:ind w:left="547" w:right="-72" w:hanging="540"/>
            </w:pPr>
            <w:r w:rsidRPr="00BC7757">
              <w:t>46.1</w:t>
            </w:r>
            <w:r w:rsidRPr="00BC7757">
              <w:tab/>
              <w:t>Il peut être mis fin à l’exécution des travaux faisant l’objet du Marché avant l’achèvement de ceux-ci, par une décision de résiliation du Marché qui en fixe la date d’effet.</w:t>
            </w:r>
          </w:p>
          <w:p w14:paraId="0C9F1A36" w14:textId="77777777" w:rsidR="00BC7757" w:rsidRPr="00BC7757" w:rsidRDefault="00BC7757" w:rsidP="00BC7757">
            <w:pPr>
              <w:ind w:left="547" w:right="-72"/>
            </w:pPr>
            <w:r w:rsidRPr="00BC7757">
              <w:t>Le règlement du Marché est fait alors selon les modalités prévues aux paragraphes 3 et 4 de l’Article 13 du CCAG, sous réserve des autres stipulations du présent Article.</w:t>
            </w:r>
          </w:p>
          <w:p w14:paraId="4EBD5166" w14:textId="77777777" w:rsidR="00BC7757" w:rsidRPr="00BC7757" w:rsidRDefault="00BC7757" w:rsidP="00BC7757">
            <w:pPr>
              <w:ind w:left="547" w:right="-72"/>
            </w:pPr>
            <w:r w:rsidRPr="00BC7757">
              <w:t xml:space="preserve">Le Maître de l’Ouvrage peut résilier le marché dans l’intérêt général. </w:t>
            </w:r>
          </w:p>
          <w:p w14:paraId="4FE89058" w14:textId="77777777" w:rsidR="00BC7757" w:rsidRPr="00BC7757" w:rsidRDefault="00BC7757" w:rsidP="00BC7757">
            <w:pPr>
              <w:ind w:left="547" w:right="-72"/>
            </w:pPr>
            <w:r w:rsidRPr="00BC7757">
              <w:t>Sauf dans les cas de résiliation prévus aux Articles 47 et 49 du CCAG, l’Entrepreneur a droit à être indemnisé, s’il y a lieu, du préjudice qu’il subit du fait de cette décision.  II doit, à cet effet, présenter une demande écrite, dûment justifiée, dans le délai de quarante-cinq (45) jours compté à partir de la notification du décompte général.</w:t>
            </w:r>
          </w:p>
          <w:p w14:paraId="27F65517" w14:textId="77777777" w:rsidR="00BC7757" w:rsidRPr="00BC7757" w:rsidRDefault="00BC7757" w:rsidP="00BC7757">
            <w:pPr>
              <w:ind w:left="547" w:right="-72"/>
            </w:pPr>
            <w:r w:rsidRPr="00BC7757">
              <w:t xml:space="preserve">En cas de résiliation prévue aux Articles 47 ou 49, la portion de l’avance forfaitaire qui n’a pas encore été remboursée sera immédiatement reversée par l’Entrepreneur au Maître de l’Ouvrage. </w:t>
            </w:r>
          </w:p>
          <w:p w14:paraId="302B1405" w14:textId="77777777" w:rsidR="00BC7757" w:rsidRPr="00BC7757" w:rsidRDefault="00BC7757" w:rsidP="00BC7757">
            <w:pPr>
              <w:tabs>
                <w:tab w:val="left" w:pos="540"/>
              </w:tabs>
              <w:ind w:left="547" w:right="-72" w:hanging="540"/>
            </w:pPr>
            <w:r w:rsidRPr="00BC7757">
              <w:t>46.2</w:t>
            </w:r>
            <w:r w:rsidRPr="00BC7757">
              <w:tab/>
              <w:t>En cas de résiliation, il est procédé, l’Entrepreneur ou ses ayants droit, curateur ou syndic, dûment convoqués, aux constatations relatives aux ouvrages et parties d’ouvrages exécutés, à l’inventaire des matériaux approvisionnés, ainsi qu’à l’inventaire descriptif du matériel et des installations de chantier.  Il est dressé procès-verbal de ces opérations.</w:t>
            </w:r>
          </w:p>
          <w:p w14:paraId="7FABD449" w14:textId="77777777" w:rsidR="00BC7757" w:rsidRPr="00BC7757" w:rsidRDefault="00BC7757" w:rsidP="00BC7757">
            <w:pPr>
              <w:ind w:left="547" w:right="-72"/>
            </w:pPr>
            <w:r w:rsidRPr="00BC7757">
              <w:t>L’établissement de ce procès-verbal comporte réception provisoire des ouvrages et parties d’ouvrages exécutés, avec effet de la date d’effet de la résiliation, tant pour le point de départ du délai de garantie défini à l’Article 44 du CCAG que pour le point de départ du délai prévu pour le règlement final du Marché au paragraphe 3.2 de l’Article 13 du CCAG.  En outre, les dispositions du paragraphe 8 de l’Article 41 du CCAG sont alors applicables.</w:t>
            </w:r>
          </w:p>
          <w:p w14:paraId="7DFBF7DE" w14:textId="77777777" w:rsidR="00BC7757" w:rsidRPr="00BC7757" w:rsidRDefault="00BC7757" w:rsidP="00BC7757">
            <w:pPr>
              <w:tabs>
                <w:tab w:val="left" w:pos="540"/>
              </w:tabs>
              <w:ind w:left="547" w:right="-72" w:hanging="540"/>
            </w:pPr>
            <w:r w:rsidRPr="00BC7757">
              <w:t>46.3</w:t>
            </w:r>
            <w:r w:rsidRPr="00BC7757">
              <w:tab/>
              <w:t>Dans les dix (10) jours suivant la date de ce procès-verbal, le Chef de Projet fixe les mesures qui doivent être prises avant la fermeture du chantier pour assurer la conservation et la sécurité des ouvrages ou parties d’ouvrages exécutés.  Ces mesures peuvent comporter la démolition de certaines parties d’ouvrages.</w:t>
            </w:r>
          </w:p>
          <w:p w14:paraId="4660E986" w14:textId="77777777" w:rsidR="00BC7757" w:rsidRPr="00BC7757" w:rsidRDefault="00BC7757" w:rsidP="00BC7757">
            <w:pPr>
              <w:ind w:left="547" w:right="-72"/>
            </w:pPr>
            <w:r w:rsidRPr="00BC7757">
              <w:t>A défaut d’exécution de ces mesures par L’Entrepreneur dans le délai imparti par le Chef de Projet, le Maître d’Œuvre les fait exécuter d’office.</w:t>
            </w:r>
          </w:p>
          <w:p w14:paraId="0EEB867C" w14:textId="77777777" w:rsidR="00BC7757" w:rsidRPr="00BC7757" w:rsidRDefault="00BC7757" w:rsidP="00BC7757">
            <w:pPr>
              <w:ind w:left="547" w:right="-72"/>
            </w:pPr>
            <w:r w:rsidRPr="00BC7757">
              <w:t>Sauf dans les cas de résiliation prévus aux Articles 47 et 49 du CCAG, ces mesures ne sont pas à la charge de L’Entrepreneur.</w:t>
            </w:r>
          </w:p>
          <w:p w14:paraId="7C92FD7D" w14:textId="77777777" w:rsidR="00BC7757" w:rsidRPr="00BC7757" w:rsidRDefault="00BC7757" w:rsidP="00BC7757">
            <w:pPr>
              <w:tabs>
                <w:tab w:val="left" w:pos="540"/>
              </w:tabs>
              <w:ind w:left="547" w:right="-72" w:hanging="540"/>
            </w:pPr>
            <w:r w:rsidRPr="00BC7757">
              <w:t>46.4</w:t>
            </w:r>
            <w:r w:rsidRPr="00BC7757">
              <w:tab/>
              <w:t>Le Maître de l’Ouvrage dispose du droit de racheter, en totalité ou en partie les ouvrages provisoires utiles à l’exécution du Marché, ainsi que les matériaux approvisionnés, dans la limite où il en a besoin pour le l’achèvement des travaux du Marché.</w:t>
            </w:r>
          </w:p>
          <w:p w14:paraId="2E139853" w14:textId="77777777" w:rsidR="00BC7757" w:rsidRPr="00BC7757" w:rsidRDefault="00BC7757" w:rsidP="00BC7757">
            <w:pPr>
              <w:ind w:left="547" w:right="-72"/>
            </w:pPr>
            <w:r w:rsidRPr="00BC7757">
              <w:t>Il dispose, en outre, pour la poursuite des travaux, du droit, soit de racheter, soit de conserver à sa disposition le matériel spécialement construit pour l’exécution du Marché.</w:t>
            </w:r>
          </w:p>
          <w:p w14:paraId="40C781FE" w14:textId="77777777" w:rsidR="00BC7757" w:rsidRPr="00BC7757" w:rsidRDefault="00BC7757" w:rsidP="00BC7757">
            <w:pPr>
              <w:ind w:left="547" w:right="-72"/>
            </w:pPr>
            <w:r w:rsidRPr="00BC7757">
              <w:t>En cas d’application des deux alinéas précédents, le prix de rachat des ouvrages provisoires et du matériel est égal à la partie non amortie de leur valeur.  Si le matériel est maintenu à disposition, son prix de location est déterminé en fonction de la partie non amortie de sa valeur.</w:t>
            </w:r>
          </w:p>
          <w:p w14:paraId="40D2BEF2" w14:textId="77777777" w:rsidR="00BC7757" w:rsidRPr="00BC7757" w:rsidRDefault="00BC7757" w:rsidP="00BC7757">
            <w:pPr>
              <w:ind w:left="547" w:right="-72"/>
            </w:pPr>
            <w:r w:rsidRPr="00BC7757">
              <w:t>Les matériaux approvisionnés sont rachetés aux prix du Marché ou, à défaut, à ceux qui résultent de l’application de l’Article 14 du CCAG.</w:t>
            </w:r>
          </w:p>
          <w:p w14:paraId="6FF4234D" w14:textId="77777777" w:rsidR="00BC7757" w:rsidRPr="00BC7757" w:rsidRDefault="00BC7757" w:rsidP="00BC7757">
            <w:pPr>
              <w:tabs>
                <w:tab w:val="left" w:pos="540"/>
              </w:tabs>
              <w:ind w:left="547" w:right="-72" w:hanging="540"/>
            </w:pPr>
            <w:r w:rsidRPr="00BC7757">
              <w:t>46.5</w:t>
            </w:r>
            <w:r w:rsidRPr="00BC7757">
              <w:tab/>
              <w:t>L’Entrepreneur est tenu d’évacuer les lieux dans le délai qui est fixé par le Maître d’Œuvre.</w:t>
            </w:r>
          </w:p>
        </w:tc>
      </w:tr>
      <w:tr w:rsidR="00BC7757" w:rsidRPr="00BC7757" w14:paraId="747FD52A" w14:textId="77777777" w:rsidTr="00BC7757">
        <w:tc>
          <w:tcPr>
            <w:tcW w:w="2160" w:type="dxa"/>
            <w:tcBorders>
              <w:top w:val="nil"/>
              <w:left w:val="nil"/>
              <w:bottom w:val="nil"/>
              <w:right w:val="nil"/>
            </w:tcBorders>
          </w:tcPr>
          <w:p w14:paraId="5742A110" w14:textId="77777777" w:rsidR="00BC7757" w:rsidRPr="00BC7757" w:rsidRDefault="00BC7757" w:rsidP="00BC7757">
            <w:pPr>
              <w:pStyle w:val="Head42"/>
            </w:pPr>
            <w:bookmarkStart w:id="841" w:name="_Toc348175992"/>
            <w:bookmarkStart w:id="842" w:name="_Toc327539597"/>
            <w:r w:rsidRPr="00BC7757">
              <w:t>47.</w:t>
            </w:r>
            <w:r w:rsidRPr="00BC7757">
              <w:tab/>
              <w:t>Décès, incapacité, règlement judiciaire ou liquidation des biens de l’Entrepreneur</w:t>
            </w:r>
            <w:bookmarkEnd w:id="841"/>
            <w:bookmarkEnd w:id="842"/>
          </w:p>
        </w:tc>
        <w:tc>
          <w:tcPr>
            <w:tcW w:w="7398" w:type="dxa"/>
            <w:tcBorders>
              <w:top w:val="nil"/>
              <w:left w:val="nil"/>
              <w:bottom w:val="nil"/>
              <w:right w:val="nil"/>
            </w:tcBorders>
          </w:tcPr>
          <w:p w14:paraId="3229D527" w14:textId="77777777" w:rsidR="00BC7757" w:rsidRPr="00BC7757" w:rsidRDefault="00BC7757" w:rsidP="00BC7757">
            <w:pPr>
              <w:tabs>
                <w:tab w:val="left" w:pos="540"/>
              </w:tabs>
              <w:ind w:left="547" w:right="-72" w:hanging="540"/>
            </w:pPr>
            <w:r w:rsidRPr="00BC7757">
              <w:t>47.1</w:t>
            </w:r>
            <w:r w:rsidRPr="00BC7757">
              <w:tab/>
              <w:t>En cas de règlement judiciaire ou de liquidation des biens de l’Entrepreneur, la résiliation du Marché est prononcée, sauf si, dans le mois qui suit la décision de justice intervenue, l’autorité compétente décide de poursuivre l’exécution du Marché.</w:t>
            </w:r>
          </w:p>
          <w:p w14:paraId="09E31A0E" w14:textId="77777777" w:rsidR="00BC7757" w:rsidRPr="00BC7757" w:rsidRDefault="00BC7757" w:rsidP="00BC7757">
            <w:pPr>
              <w:ind w:left="547" w:right="-72"/>
            </w:pPr>
            <w:r w:rsidRPr="00BC7757">
              <w:t>La résiliation, si elle est prononcée, prend effet à la date de la décision du syndic de renoncer à poursuivre l’exécution du Marché ou de l’expiration du délai d’un (1) mois ci-dessus.  Elle n’ouvre droit, pour l’Entrepreneur, à aucune indemnité.</w:t>
            </w:r>
          </w:p>
          <w:p w14:paraId="686B393D" w14:textId="77777777" w:rsidR="00BC7757" w:rsidRPr="00BC7757" w:rsidRDefault="00BC7757" w:rsidP="00BC7757">
            <w:pPr>
              <w:tabs>
                <w:tab w:val="left" w:pos="540"/>
              </w:tabs>
              <w:ind w:left="547" w:right="-72" w:hanging="540"/>
            </w:pPr>
            <w:r w:rsidRPr="00BC7757">
              <w:t>47.2.</w:t>
            </w:r>
            <w:r w:rsidRPr="00BC7757">
              <w:tab/>
              <w:t>Dans les cas de résiliation prévus au présent Article, pour l’application des dispositions des paragraphes 3 et 4 de l’Article 46 du CCAG, l’autorité compétente est substituée à l’Entrepreneur.</w:t>
            </w:r>
          </w:p>
        </w:tc>
      </w:tr>
      <w:tr w:rsidR="00BC7757" w:rsidRPr="00BC7757" w14:paraId="08052B8C" w14:textId="77777777" w:rsidTr="00BC7757">
        <w:tc>
          <w:tcPr>
            <w:tcW w:w="2160" w:type="dxa"/>
            <w:tcBorders>
              <w:top w:val="nil"/>
              <w:left w:val="nil"/>
              <w:bottom w:val="nil"/>
              <w:right w:val="nil"/>
            </w:tcBorders>
          </w:tcPr>
          <w:p w14:paraId="67219DB2" w14:textId="77777777" w:rsidR="00BC7757" w:rsidRPr="00BC7757" w:rsidRDefault="00BC7757" w:rsidP="00BC7757">
            <w:pPr>
              <w:pStyle w:val="Head42"/>
            </w:pPr>
            <w:bookmarkStart w:id="843" w:name="_Toc348175993"/>
            <w:bookmarkStart w:id="844" w:name="_Toc327539598"/>
            <w:r w:rsidRPr="00BC7757">
              <w:t>48.</w:t>
            </w:r>
            <w:r w:rsidRPr="00BC7757">
              <w:tab/>
              <w:t>Ajournement des travaux</w:t>
            </w:r>
            <w:bookmarkEnd w:id="843"/>
            <w:bookmarkEnd w:id="844"/>
          </w:p>
        </w:tc>
        <w:tc>
          <w:tcPr>
            <w:tcW w:w="7398" w:type="dxa"/>
            <w:tcBorders>
              <w:top w:val="nil"/>
              <w:left w:val="nil"/>
              <w:bottom w:val="nil"/>
              <w:right w:val="nil"/>
            </w:tcBorders>
          </w:tcPr>
          <w:p w14:paraId="0FABB62B" w14:textId="77777777" w:rsidR="00BC7757" w:rsidRPr="00BC7757" w:rsidRDefault="00BC7757" w:rsidP="00BC7757">
            <w:pPr>
              <w:tabs>
                <w:tab w:val="left" w:pos="540"/>
              </w:tabs>
              <w:ind w:left="547" w:right="-72" w:hanging="540"/>
            </w:pPr>
            <w:r w:rsidRPr="00BC7757">
              <w:t>48.1</w:t>
            </w:r>
            <w:r w:rsidRPr="00BC7757">
              <w:tab/>
              <w:t>L’ajournement des travaux peut être décidé par le Maître de l’Ouvrage.  II est alors procédé, suivant les modalités indiquées à l’Article 12 du CCAG, à la constatation des ouvrages et parties d’ouvrages exécutés et des matériaux approvisionnés.</w:t>
            </w:r>
          </w:p>
          <w:p w14:paraId="497856CD" w14:textId="77777777" w:rsidR="00BC7757" w:rsidRPr="00BC7757" w:rsidRDefault="00BC7757" w:rsidP="00BC7757">
            <w:pPr>
              <w:ind w:left="547" w:right="-72"/>
            </w:pPr>
            <w:r w:rsidRPr="00BC7757">
              <w:t>L’Entrepreneur qui conserve la garde du chantier a droit à être indemnisé des frais que lui impose cette garde et du préjudice qu’il aura éventuellement subi du fait de l’ajournement.</w:t>
            </w:r>
          </w:p>
          <w:p w14:paraId="28A6E5BE" w14:textId="77777777" w:rsidR="00BC7757" w:rsidRPr="00BC7757" w:rsidRDefault="00BC7757" w:rsidP="00BC7757">
            <w:pPr>
              <w:ind w:left="547" w:right="-72"/>
            </w:pPr>
            <w:r w:rsidRPr="00BC7757">
              <w:t>Une indemnité d’attente de reprise des travaux peut être fixée dans les mêmes conditions que les prix nouveaux, suivant les modalités prévues à l’Article 14 du CCAG.</w:t>
            </w:r>
          </w:p>
          <w:p w14:paraId="25C879C0" w14:textId="77777777" w:rsidR="00BC7757" w:rsidRPr="00BC7757" w:rsidRDefault="00BC7757" w:rsidP="00BC7757">
            <w:pPr>
              <w:tabs>
                <w:tab w:val="left" w:pos="540"/>
              </w:tabs>
              <w:ind w:left="547" w:right="-72" w:hanging="540"/>
            </w:pPr>
            <w:r w:rsidRPr="00BC7757">
              <w:t>48.2</w:t>
            </w:r>
            <w:r w:rsidRPr="00BC7757">
              <w:tab/>
              <w:t>Si, par suite d’un ajournement ou de plusieurs ajournements successifs, les travaux ont été interrompus pendant plus de trois (3) mois, l’Entrepreneur a le droit d’obtenir la résiliation du Marché, sauf si, informé par écrit d’une durée d’ajournement conduisant au dépassement de la durée de trois (3) mois indiquée ci-dessus, il n’a pas, dans un délai de quinze (15) jours, demandé la résiliation.</w:t>
            </w:r>
          </w:p>
          <w:p w14:paraId="16F3786B" w14:textId="77777777" w:rsidR="00BC7757" w:rsidRPr="00BC7757" w:rsidRDefault="00BC7757" w:rsidP="00BC7757">
            <w:pPr>
              <w:tabs>
                <w:tab w:val="left" w:pos="540"/>
              </w:tabs>
              <w:ind w:left="547" w:right="-72" w:hanging="540"/>
            </w:pPr>
            <w:r w:rsidRPr="00BC7757">
              <w:t>48.3</w:t>
            </w:r>
            <w:r w:rsidRPr="00BC7757">
              <w:tab/>
              <w:t>Au cas où un acompte mensuel n’aurait pas été payé, l’Entrepreneur, trente (30) jours après la date limite fixée au paragraphe 2.3 de l’Article 13 du CCAG pour le paiement de cet acompte, peut, par lettre recommandée avec demande d’avis de réception adressée au Chef de Projet, prévenir le Maître de l’Ouvrage de son intention de suspendre les travaux au terme d’un délai de quinze (15) jours.  Si dans ce délai, l’acompte n’a pas été payé, l’Entrepreneur peut suspendre la poursuite des travaux et obtenir la résiliation de son marché aux torts du Maître de l’Ouvrage par notice effective dans un délai de quinze (15) jours suivant son envoi.</w:t>
            </w:r>
          </w:p>
          <w:p w14:paraId="155F6728" w14:textId="77777777" w:rsidR="00BC7757" w:rsidRPr="00BC7757" w:rsidRDefault="00BC7757" w:rsidP="00BC7757">
            <w:pPr>
              <w:tabs>
                <w:tab w:val="left" w:pos="540"/>
              </w:tabs>
              <w:ind w:left="547" w:right="-72" w:hanging="540"/>
            </w:pPr>
            <w:r w:rsidRPr="00BC7757">
              <w:t>48.4</w:t>
            </w:r>
            <w:r w:rsidRPr="00BC7757">
              <w:tab/>
              <w:t>Si les retraits de fonds du compte du prêt ou du crédit de la Banque mondiale sont suspendus, le Maître de l’Ouvrage doit en informer immédiatement l’Entrepreneur et lui faire connaître s’il a l’intention de faire poursuivre les travaux en recourant à d’autres sources de financement.  Si le non-paiement survient dans le cas où les retraits de fonds sont suspendus et que le Maître de l’Ouvrage n’a pas fait connaître à l’Entrepreneur son intention de faire poursuivre les travaux en recourant à d’autres sources de financement, le délai de trente (30) jours et les deux délais de quinze (15) jours auxquels il est fait référence au paragraphe 48.3 ci-dessus sont réduits à dix (10) jours et cinq (5) jours respectivement.</w:t>
            </w:r>
          </w:p>
        </w:tc>
      </w:tr>
    </w:tbl>
    <w:p w14:paraId="49644E4F" w14:textId="77777777" w:rsidR="00BC7757" w:rsidRPr="00BC7757" w:rsidRDefault="00BC7757" w:rsidP="00BC7757">
      <w:pPr>
        <w:pStyle w:val="Head41"/>
        <w:jc w:val="both"/>
      </w:pPr>
      <w:bookmarkStart w:id="845" w:name="_Toc348175994"/>
      <w:bookmarkStart w:id="846" w:name="_Toc348232817"/>
    </w:p>
    <w:p w14:paraId="7D6B23F9" w14:textId="274830E1" w:rsidR="00BC7757" w:rsidRPr="00BC7757" w:rsidRDefault="00BC7757" w:rsidP="00AE22CB">
      <w:pPr>
        <w:pStyle w:val="Head41"/>
      </w:pPr>
      <w:bookmarkStart w:id="847" w:name="_Toc327539599"/>
      <w:r w:rsidRPr="00BC7757">
        <w:t>G.  Mesures coercitives - Règlement des différends et des litiges - Entrée en vigueur</w:t>
      </w:r>
      <w:bookmarkEnd w:id="845"/>
      <w:bookmarkEnd w:id="846"/>
      <w:bookmarkEnd w:id="847"/>
    </w:p>
    <w:tbl>
      <w:tblPr>
        <w:tblW w:w="0" w:type="auto"/>
        <w:tblLayout w:type="fixed"/>
        <w:tblLook w:val="0000" w:firstRow="0" w:lastRow="0" w:firstColumn="0" w:lastColumn="0" w:noHBand="0" w:noVBand="0"/>
      </w:tblPr>
      <w:tblGrid>
        <w:gridCol w:w="2160"/>
        <w:gridCol w:w="7398"/>
      </w:tblGrid>
      <w:tr w:rsidR="00BC7757" w:rsidRPr="00BC7757" w14:paraId="3FF32C3B" w14:textId="77777777" w:rsidTr="00BC7757">
        <w:tc>
          <w:tcPr>
            <w:tcW w:w="2160" w:type="dxa"/>
            <w:tcBorders>
              <w:top w:val="nil"/>
              <w:left w:val="nil"/>
              <w:bottom w:val="nil"/>
              <w:right w:val="nil"/>
            </w:tcBorders>
          </w:tcPr>
          <w:p w14:paraId="125000EB" w14:textId="77777777" w:rsidR="00BC7757" w:rsidRPr="00BC7757" w:rsidRDefault="00BC7757" w:rsidP="00BC7757">
            <w:pPr>
              <w:pStyle w:val="Head42"/>
            </w:pPr>
            <w:bookmarkStart w:id="848" w:name="_Toc348175995"/>
            <w:bookmarkStart w:id="849" w:name="_Toc327539600"/>
            <w:r w:rsidRPr="00BC7757">
              <w:t>49.</w:t>
            </w:r>
            <w:r w:rsidRPr="00BC7757">
              <w:tab/>
              <w:t>Mesures coercitives</w:t>
            </w:r>
            <w:bookmarkEnd w:id="848"/>
            <w:bookmarkEnd w:id="849"/>
          </w:p>
        </w:tc>
        <w:tc>
          <w:tcPr>
            <w:tcW w:w="7398" w:type="dxa"/>
            <w:tcBorders>
              <w:top w:val="nil"/>
              <w:left w:val="nil"/>
              <w:bottom w:val="nil"/>
              <w:right w:val="nil"/>
            </w:tcBorders>
          </w:tcPr>
          <w:p w14:paraId="223FFBC8" w14:textId="77777777" w:rsidR="00BC7757" w:rsidRPr="00BC7757" w:rsidRDefault="00BC7757" w:rsidP="00BC7757">
            <w:pPr>
              <w:tabs>
                <w:tab w:val="left" w:pos="540"/>
              </w:tabs>
              <w:ind w:left="540" w:right="-72" w:hanging="540"/>
            </w:pPr>
            <w:r w:rsidRPr="00BC7757">
              <w:t>49.1</w:t>
            </w:r>
            <w:r w:rsidRPr="00BC7757">
              <w:tab/>
              <w:t>A l’exception des cas prévus au paragraphe 4 de l’Article 15  lorsque l’Entrepreneur ne se conforme pas aux dispositions du Marché ou aux ordres de service, le Chef de Projet le met en demeure d’y satisfaire, dans un délai déterminé, par une décision qui lui est notifiée par écrit.  Ce délai, sauf en cas d’urgence, n’est pas inférieur à quinze (15) jours à compter de la date de notification de la mise en demeure.</w:t>
            </w:r>
          </w:p>
          <w:p w14:paraId="0BAAFB48" w14:textId="77777777" w:rsidR="00BC7757" w:rsidRPr="00BC7757" w:rsidRDefault="00BC7757" w:rsidP="00BC7757">
            <w:pPr>
              <w:tabs>
                <w:tab w:val="left" w:pos="540"/>
              </w:tabs>
              <w:ind w:left="540" w:right="-72" w:hanging="540"/>
            </w:pPr>
            <w:r w:rsidRPr="00BC7757">
              <w:t>49.2</w:t>
            </w:r>
            <w:r w:rsidRPr="00BC7757">
              <w:tab/>
              <w:t>Si l’Entrepreneur n’a pas déféré à la mise en demeure, la résiliation du Marché peut être décidée.</w:t>
            </w:r>
          </w:p>
          <w:p w14:paraId="3976A18B" w14:textId="77777777" w:rsidR="00BC7757" w:rsidRPr="00BC7757" w:rsidRDefault="00BC7757" w:rsidP="00BC7757">
            <w:pPr>
              <w:tabs>
                <w:tab w:val="left" w:pos="540"/>
              </w:tabs>
              <w:ind w:left="540" w:right="-72" w:hanging="540"/>
            </w:pPr>
            <w:r w:rsidRPr="00BC7757">
              <w:t>49.3</w:t>
            </w:r>
            <w:r w:rsidRPr="00BC7757">
              <w:tab/>
              <w:t>La résiliation du Marché décidée en application du présent Article peut être soit simple, soit aux frais et risques de l’Entrepreneur.</w:t>
            </w:r>
          </w:p>
          <w:p w14:paraId="172027AB" w14:textId="77777777" w:rsidR="00BC7757" w:rsidRPr="00BC7757" w:rsidRDefault="00BC7757" w:rsidP="00BC7757">
            <w:pPr>
              <w:tabs>
                <w:tab w:val="left" w:pos="540"/>
              </w:tabs>
              <w:ind w:left="540" w:right="-72" w:hanging="540"/>
            </w:pPr>
            <w:r w:rsidRPr="00BC7757">
              <w:t>49.4</w:t>
            </w:r>
            <w:r w:rsidRPr="00BC7757">
              <w:tab/>
              <w:t>En cas de résiliation aux frais et risques de l’Entrepreneur, il peut être passé un marché avec un autre Entrepreneur pour l’achèvement des travaux.  Par exception aux dispositions du paragraphe 4.2 de l’Article 13, le décompte général du Marché résilié ne sera notifié à l’Entrepreneur qu’après règlement définitif du nouveau marché passé pour l’achèvement des travaux.</w:t>
            </w:r>
          </w:p>
          <w:p w14:paraId="479E7A40" w14:textId="77777777" w:rsidR="00BC7757" w:rsidRPr="00BC7757" w:rsidRDefault="00BC7757" w:rsidP="00BC7757">
            <w:pPr>
              <w:ind w:left="540" w:right="-72"/>
            </w:pPr>
            <w:r w:rsidRPr="00BC7757">
              <w:t>Dans le cas d’un nouveau marché aux frais et risques de l’Entrepreneur, ce dernier est autorisé à en suivre l’exécution sans pouvoir entraver les ordres du Maître d’Œuvre et de ses représentants.  Les excédents de dépenses qui résultent du nouveau marché sont à la charge de l’Entrepreneur.  Ils sont prélevés sur les sommes qui peuvent lui être dues ou, à défaut, sur ses garanties, sans préjudice des droits à exercer contre lui en cas d’insuffisance.</w:t>
            </w:r>
          </w:p>
          <w:p w14:paraId="25C4CCC2" w14:textId="77777777" w:rsidR="00BC7757" w:rsidRPr="00BC7757" w:rsidRDefault="00BC7757" w:rsidP="00BC7757">
            <w:pPr>
              <w:tabs>
                <w:tab w:val="left" w:pos="540"/>
              </w:tabs>
              <w:ind w:left="540" w:right="-72" w:hanging="540"/>
            </w:pPr>
            <w:r w:rsidRPr="00BC7757">
              <w:t>49.5</w:t>
            </w:r>
            <w:r w:rsidRPr="00BC7757">
              <w:tab/>
              <w:t>Dans le cas d’un Marché passé avec des Entrepreneurs groupés, si le mandataire commun ne se conforme pas aux obligations qui lui incombent en tant que représentant et coordonnateur des autres entrepreneurs, il est mis en demeure d’y satisfaire suivant les modalités définies au paragraphe 1 du présent Article.</w:t>
            </w:r>
          </w:p>
          <w:p w14:paraId="09EFEA59" w14:textId="77777777" w:rsidR="00BC7757" w:rsidRPr="00BC7757" w:rsidRDefault="00BC7757" w:rsidP="00BC7757">
            <w:pPr>
              <w:ind w:left="540" w:right="-72"/>
            </w:pPr>
            <w:r w:rsidRPr="00BC7757">
              <w:t>Si cette mise en demeure reste sans effet, le Chef de Projet invite les entrepreneurs groupés à désigner un autre mandataire dans le délai d’un (1) mois.  Le nouveau mandataire</w:t>
            </w:r>
            <w:r w:rsidRPr="00BC7757">
              <w:rPr>
                <w:b/>
                <w:i/>
              </w:rPr>
              <w:t>,</w:t>
            </w:r>
            <w:r w:rsidRPr="00BC7757">
              <w:t xml:space="preserve"> une fois agréé par le Maître de l’Ouvrage</w:t>
            </w:r>
            <w:r w:rsidRPr="00BC7757">
              <w:rPr>
                <w:b/>
                <w:i/>
              </w:rPr>
              <w:t>,</w:t>
            </w:r>
            <w:r w:rsidRPr="00BC7757">
              <w:t xml:space="preserve"> est alors substitué à l’ancien dans tous ses droits et obligations.</w:t>
            </w:r>
          </w:p>
          <w:p w14:paraId="53FE10D4" w14:textId="77777777" w:rsidR="00BC7757" w:rsidRPr="00BC7757" w:rsidRDefault="00BC7757" w:rsidP="00BC7757">
            <w:pPr>
              <w:ind w:left="540" w:right="-72"/>
            </w:pPr>
            <w:r w:rsidRPr="00BC7757">
              <w:t>Faute de cette désignation, le Chef de Projet choisit une personne physique ou morale pour coordonner l’action des divers entrepreneurs groupés.  Le mandataire défaillant reste solidaire des autres entrepreneurs et supporte les dépenses d’intervention du nouveau coordonnateur.</w:t>
            </w:r>
          </w:p>
          <w:p w14:paraId="54D86D35" w14:textId="77777777" w:rsidR="00BC7757" w:rsidRPr="00BC7757" w:rsidRDefault="00BC7757" w:rsidP="00BC7757">
            <w:pPr>
              <w:tabs>
                <w:tab w:val="left" w:pos="540"/>
              </w:tabs>
              <w:ind w:left="540" w:right="-72" w:hanging="540"/>
              <w:rPr>
                <w:b/>
              </w:rPr>
            </w:pPr>
            <w:r w:rsidRPr="00BC7757">
              <w:rPr>
                <w:b/>
              </w:rPr>
              <w:t>49.6</w:t>
            </w:r>
            <w:r w:rsidRPr="00BC7757">
              <w:rPr>
                <w:b/>
              </w:rPr>
              <w:tab/>
              <w:t>Corruption ou manœuvres frauduleuses</w:t>
            </w:r>
          </w:p>
          <w:p w14:paraId="0DE25C14" w14:textId="77777777" w:rsidR="00BC7757" w:rsidRPr="00BC7757" w:rsidRDefault="00BC7757" w:rsidP="00BC7757">
            <w:pPr>
              <w:tabs>
                <w:tab w:val="left" w:pos="540"/>
              </w:tabs>
              <w:ind w:left="540" w:right="-72"/>
            </w:pPr>
            <w:r w:rsidRPr="00BC7757">
              <w:t xml:space="preserve">S’il établit que l’Entrepreneur s’est livré à la corruption ou à des manœuvres frauduleuses, ou des pratiques collusoires ou coercitives au cours de l’attribution ou de l’exécution du Marché telles que définies en Annexe 1 au présent CCAG , le Maître de l’Ouvrage peut, quatorze (14) jours après le lui avoir notifié, résilier le Marché et les dispositions des paragraphes 49.2, 49.3 et 49.4 sont applicables de plein droit. </w:t>
            </w:r>
            <w:r w:rsidRPr="00BC7757" w:rsidDel="00BD174B">
              <w:t xml:space="preserve"> </w:t>
            </w:r>
          </w:p>
        </w:tc>
      </w:tr>
      <w:tr w:rsidR="00BC7757" w:rsidRPr="00BC7757" w14:paraId="2328777C" w14:textId="77777777" w:rsidTr="00BC7757">
        <w:tc>
          <w:tcPr>
            <w:tcW w:w="2160" w:type="dxa"/>
            <w:tcBorders>
              <w:top w:val="nil"/>
              <w:left w:val="nil"/>
              <w:bottom w:val="nil"/>
              <w:right w:val="nil"/>
            </w:tcBorders>
          </w:tcPr>
          <w:p w14:paraId="6EF4996A" w14:textId="77777777" w:rsidR="00BC7757" w:rsidRPr="00BC7757" w:rsidRDefault="00BC7757" w:rsidP="00BC7757">
            <w:pPr>
              <w:pStyle w:val="Head42"/>
            </w:pPr>
            <w:bookmarkStart w:id="850" w:name="_Toc348175996"/>
            <w:bookmarkStart w:id="851" w:name="_Toc327539601"/>
            <w:r w:rsidRPr="00BC7757">
              <w:t>50.</w:t>
            </w:r>
            <w:r w:rsidRPr="00BC7757">
              <w:tab/>
              <w:t>Règlement des différends</w:t>
            </w:r>
            <w:bookmarkEnd w:id="850"/>
            <w:r w:rsidRPr="00BC7757">
              <w:t xml:space="preserve"> et des litiges</w:t>
            </w:r>
            <w:bookmarkEnd w:id="851"/>
          </w:p>
        </w:tc>
        <w:tc>
          <w:tcPr>
            <w:tcW w:w="7398" w:type="dxa"/>
            <w:tcBorders>
              <w:top w:val="nil"/>
              <w:left w:val="nil"/>
              <w:bottom w:val="nil"/>
              <w:right w:val="nil"/>
            </w:tcBorders>
          </w:tcPr>
          <w:p w14:paraId="38AE6A60" w14:textId="77777777" w:rsidR="00BC7757" w:rsidRPr="00BC7757" w:rsidRDefault="00BC7757" w:rsidP="00BC7757">
            <w:pPr>
              <w:tabs>
                <w:tab w:val="left" w:pos="540"/>
              </w:tabs>
              <w:ind w:left="540" w:right="-72" w:hanging="540"/>
              <w:rPr>
                <w:b/>
              </w:rPr>
            </w:pPr>
            <w:r w:rsidRPr="00BC7757">
              <w:rPr>
                <w:b/>
              </w:rPr>
              <w:t>50.1</w:t>
            </w:r>
            <w:r w:rsidRPr="00BC7757">
              <w:rPr>
                <w:b/>
              </w:rPr>
              <w:tab/>
              <w:t>Intervention du Maître de l’Ouvrage</w:t>
            </w:r>
          </w:p>
          <w:p w14:paraId="1633A9E3" w14:textId="77777777" w:rsidR="00BC7757" w:rsidRPr="00BC7757" w:rsidRDefault="00BC7757" w:rsidP="00BC7757">
            <w:pPr>
              <w:ind w:left="540" w:right="-72"/>
            </w:pPr>
            <w:r w:rsidRPr="00BC7757">
              <w:t>Si un différend survient entre le Maître d’Œuvre et l’Entrepreneur, sous la forme de réserves faites à un ordre de service ou sous toute autre forme, l’Entrepreneur remet au Maître de l’Ouvrage, avec copie au Maître d’Œuvre, , un mémoire exposant les motifs et indiquant les montants de ses réclamations.</w:t>
            </w:r>
          </w:p>
          <w:p w14:paraId="5709281B" w14:textId="77777777" w:rsidR="00BC7757" w:rsidRPr="00BC7757" w:rsidRDefault="00BC7757" w:rsidP="00BC7757">
            <w:pPr>
              <w:ind w:left="540" w:right="-72"/>
            </w:pPr>
            <w:r w:rsidRPr="00BC7757">
              <w:t>En l’absence de réponse du Maître de l’Ouvrage reçue dans un délai de quinze (15) jours suivant la remise de ce mémoire ou s’il n’est pas satisfait de la réponse reçue dans ce même délai, l’Entrepreneur doit avant toute procédure contentieuse et dans un délai maximum de 30 (trente) jours soumettre le ou les différend(s) au processus de conciliation prévu à l’Article 50.2 ci-après. A défaut l’Entrepreneur   n’est plus admis à réclamer.</w:t>
            </w:r>
          </w:p>
          <w:p w14:paraId="155467F5" w14:textId="77777777" w:rsidR="00BC7757" w:rsidRPr="00BC7757" w:rsidRDefault="00BC7757" w:rsidP="00BC7757">
            <w:pPr>
              <w:tabs>
                <w:tab w:val="left" w:pos="540"/>
              </w:tabs>
              <w:ind w:left="540" w:right="-72" w:hanging="540"/>
              <w:rPr>
                <w:b/>
              </w:rPr>
            </w:pPr>
            <w:r w:rsidRPr="00BC7757">
              <w:rPr>
                <w:b/>
              </w:rPr>
              <w:t>50.2</w:t>
            </w:r>
            <w:r w:rsidRPr="00BC7757">
              <w:rPr>
                <w:b/>
              </w:rPr>
              <w:tab/>
              <w:t>Conciliation</w:t>
            </w:r>
          </w:p>
          <w:p w14:paraId="6224D4CE" w14:textId="77777777" w:rsidR="00BC7757" w:rsidRPr="00BC7757" w:rsidRDefault="00BC7757" w:rsidP="00BC7757">
            <w:pPr>
              <w:ind w:left="540" w:right="-72"/>
            </w:pPr>
            <w:r w:rsidRPr="00BC7757">
              <w:t>La conciliation obligatoire régie par le présent article s’applique aux différends visés à l’Article 50.1 ci-dessus ainsi qu’à tout autre différend opposant le Maître de l’Ouvrage et l’Entrepreneur, notamment ceux retranscrits dans le mémoire de réclamation prévu au paragraphe 4 de l’Article 13.4 du CCAG. La conciliation a pour objet de favoriser l’émergence d’un accord amiable des parties sur une solution transactionnelle équitable.</w:t>
            </w:r>
          </w:p>
          <w:p w14:paraId="3A04C285" w14:textId="77777777" w:rsidR="00BC7757" w:rsidRPr="00BC7757" w:rsidRDefault="00BC7757" w:rsidP="00BC7757">
            <w:pPr>
              <w:tabs>
                <w:tab w:val="left" w:pos="1260"/>
              </w:tabs>
              <w:ind w:left="1260" w:right="-72" w:hanging="720"/>
            </w:pPr>
            <w:r w:rsidRPr="00BC7757">
              <w:t>50.2.1</w:t>
            </w:r>
            <w:r w:rsidRPr="00BC7757">
              <w:tab/>
              <w:t>Sauf dispositions contraires du CCAP prévoyant le recours à un Comité tripartite de conciliation dont le mode de désignation et de fonctionnement est précisé au CCAP, le Conciliateur doit être une personne physique dont les qualités professionnelles, personnelles et morales ainsi que l’expérience pour ce type de marché sont notoires. Il doit justifier en outre de son indépendance et impartialité vis-à-vis des parties.</w:t>
            </w:r>
          </w:p>
          <w:p w14:paraId="63A7406E" w14:textId="77777777" w:rsidR="00BC7757" w:rsidRPr="00BC7757" w:rsidRDefault="00BC7757" w:rsidP="00BC7757">
            <w:pPr>
              <w:ind w:left="1260" w:right="-72"/>
            </w:pPr>
            <w:r w:rsidRPr="00BC7757">
              <w:t>Le Conciliateur est désigné conformément aux dispositions spécifiées au CCAP.</w:t>
            </w:r>
          </w:p>
          <w:p w14:paraId="225FAD2E" w14:textId="77777777" w:rsidR="00BC7757" w:rsidRPr="00BC7757" w:rsidRDefault="00BC7757" w:rsidP="00BC7757">
            <w:pPr>
              <w:ind w:left="1260" w:right="-72"/>
            </w:pPr>
            <w:r w:rsidRPr="00BC7757">
              <w:t>En cas d’empêchement du Conciliateur survenu après la signature du Marché  les parties s’entendront  pour une désignation par un commun accord entre elles. En l’absence de désignation d’un commun accord à l’expiration d’un délai de quinze (15) jours le conciliateur sera nommé par l’autorité de désignation du Conciliateur spécifiée au CCAP, à la requête de la partie la plus diligente.</w:t>
            </w:r>
          </w:p>
          <w:p w14:paraId="4B8382CB" w14:textId="77777777" w:rsidR="00BC7757" w:rsidRPr="00BC7757" w:rsidRDefault="00BC7757" w:rsidP="00BC7757">
            <w:pPr>
              <w:tabs>
                <w:tab w:val="left" w:pos="1440"/>
              </w:tabs>
              <w:ind w:left="1260" w:right="-72" w:hanging="720"/>
            </w:pPr>
            <w:r w:rsidRPr="00BC7757">
              <w:t>50.2.2</w:t>
            </w:r>
            <w:r w:rsidRPr="00BC7757">
              <w:tab/>
              <w:t>Le Conciliateur doit s’engager avant d’accepter sa mission à se rendre disponible et à déclarer toute situation de conflits d’intérêt.</w:t>
            </w:r>
          </w:p>
          <w:p w14:paraId="0F3D91B9" w14:textId="77777777" w:rsidR="00BC7757" w:rsidRPr="00BC7757" w:rsidRDefault="00BC7757" w:rsidP="00BC7757">
            <w:pPr>
              <w:tabs>
                <w:tab w:val="left" w:pos="1440"/>
              </w:tabs>
              <w:ind w:left="1260" w:right="-72"/>
            </w:pPr>
            <w:r w:rsidRPr="00BC7757">
              <w:t>Il est rémunéré à la journée au taux précisé au CCAP ou à défaut au tarif décidé par l’autorité de nomination.</w:t>
            </w:r>
          </w:p>
          <w:p w14:paraId="480C0FDE" w14:textId="77777777" w:rsidR="00BC7757" w:rsidRPr="00BC7757" w:rsidRDefault="00BC7757" w:rsidP="00BC7757">
            <w:pPr>
              <w:tabs>
                <w:tab w:val="left" w:pos="1440"/>
              </w:tabs>
              <w:ind w:left="1260" w:right="-72"/>
            </w:pPr>
            <w:r w:rsidRPr="00BC7757">
              <w:t>Son coût est réparti de façon égale entre le Maître de l’Ouvrage et l’Entrepreneur.</w:t>
            </w:r>
          </w:p>
          <w:p w14:paraId="11C99131" w14:textId="77777777" w:rsidR="00BC7757" w:rsidRPr="00BC7757" w:rsidRDefault="00BC7757" w:rsidP="00BC7757">
            <w:pPr>
              <w:tabs>
                <w:tab w:val="left" w:pos="1440"/>
              </w:tabs>
              <w:ind w:left="1260" w:right="-72" w:hanging="720"/>
            </w:pPr>
            <w:r w:rsidRPr="00BC7757">
              <w:t>50.2.3</w:t>
            </w:r>
            <w:r w:rsidRPr="00BC7757">
              <w:tab/>
              <w:t>Le différend est notifié au Conciliateur par l’une ou l’autre des parties (ci-après la « Lettre de Saisine »), selon le cas dans le délai de 30 jours visé à l’Article 50.1 ci-dessus ou dans les 15 jours de la remise du mémoire de réclamation du paragraphe 4 de l’Article 13.4 ou, dans les autres cas, dans les 30 jours suivant la notification d’un différend, par l’une quelconque des parties à l’autre.</w:t>
            </w:r>
          </w:p>
          <w:p w14:paraId="7CD3BA99" w14:textId="77777777" w:rsidR="00BC7757" w:rsidRPr="00BC7757" w:rsidRDefault="00BC7757" w:rsidP="00BC7757">
            <w:pPr>
              <w:tabs>
                <w:tab w:val="left" w:pos="1440"/>
              </w:tabs>
              <w:ind w:left="1260" w:right="-72"/>
            </w:pPr>
            <w:r w:rsidRPr="00BC7757">
              <w:t>Dans les huit (8) jours de sa saisine, le Conciliateur propose aux parties les Termes de Références de la Conciliation. Cette dernière devra se dérouler durant une période qui ne pourra pas excéder 90 (</w:t>
            </w:r>
            <w:proofErr w:type="spellStart"/>
            <w:r w:rsidRPr="00BC7757">
              <w:t>quatre vingt</w:t>
            </w:r>
            <w:proofErr w:type="spellEnd"/>
            <w:r w:rsidRPr="00BC7757">
              <w:t xml:space="preserve"> dix) jours. Les Termes de Référence précisent notamment les délais à respecter pour l’échange des mémoires, le cas échéant la visite des sites ainsi que les audiences et les conditions de leur déroulement.</w:t>
            </w:r>
          </w:p>
          <w:p w14:paraId="61AA6974" w14:textId="77777777" w:rsidR="00BC7757" w:rsidRPr="00BC7757" w:rsidRDefault="00BC7757" w:rsidP="00BC7757">
            <w:pPr>
              <w:tabs>
                <w:tab w:val="left" w:pos="1440"/>
              </w:tabs>
              <w:ind w:left="1260" w:right="-72"/>
            </w:pPr>
            <w:r w:rsidRPr="00BC7757">
              <w:t>Les parties disposeront d’un délai de dix (10) jours pour faire toute proposition et s’entendre sur les Termes de Référence. En l’absence de consensus à l’issue de cette période, le Conciliateur arrête seul les Termes de Référence qui s’imposent aux parties.</w:t>
            </w:r>
          </w:p>
          <w:p w14:paraId="619C7A4E" w14:textId="77777777" w:rsidR="00BC7757" w:rsidRPr="00BC7757" w:rsidRDefault="00BC7757" w:rsidP="00BC7757">
            <w:pPr>
              <w:tabs>
                <w:tab w:val="left" w:pos="1440"/>
              </w:tabs>
              <w:ind w:left="1260" w:right="-72"/>
            </w:pPr>
            <w:r w:rsidRPr="00BC7757">
              <w:t>Le Conciliateur n’est pas tenu de respecter le principe du contradictoire et il peut organiser des audiences séparées avec les parties.</w:t>
            </w:r>
          </w:p>
          <w:p w14:paraId="4B0CE325" w14:textId="77777777" w:rsidR="00BC7757" w:rsidRPr="00BC7757" w:rsidRDefault="00BC7757" w:rsidP="00BC7757">
            <w:pPr>
              <w:tabs>
                <w:tab w:val="left" w:pos="1440"/>
              </w:tabs>
              <w:ind w:left="1260" w:right="-72"/>
            </w:pPr>
            <w:r w:rsidRPr="00BC7757">
              <w:t>Il est libre en outre après avoir entendu les parties d’adapter et de modifier les Termes de Référence.</w:t>
            </w:r>
          </w:p>
          <w:p w14:paraId="4872CFFE" w14:textId="77777777" w:rsidR="00BC7757" w:rsidRPr="00BC7757" w:rsidRDefault="00BC7757" w:rsidP="00BC7757">
            <w:pPr>
              <w:tabs>
                <w:tab w:val="left" w:pos="1440"/>
              </w:tabs>
              <w:ind w:left="1260" w:right="-72"/>
            </w:pPr>
            <w:r w:rsidRPr="00BC7757">
              <w:t xml:space="preserve">Si au plus tard 10 (dix) jours avant la date limite figurant dans les Termes de Référence, les parties n’ont pas conclu un accord transactionnel, le Conciliateur disposera d’un délai de 5 (cinq) jours pour faire une proposition de conciliation. </w:t>
            </w:r>
          </w:p>
          <w:p w14:paraId="77A21D09" w14:textId="77777777" w:rsidR="00BC7757" w:rsidRPr="00BC7757" w:rsidRDefault="00BC7757" w:rsidP="00BC7757">
            <w:pPr>
              <w:tabs>
                <w:tab w:val="left" w:pos="1440"/>
              </w:tabs>
              <w:ind w:left="1260" w:right="-72"/>
            </w:pPr>
            <w:r w:rsidRPr="00BC7757">
              <w:t>En cas d’acceptation de cette proposition le Conciliateur rédigera avec les parties un accord transactionnel qui mettra un terme définitif au différend et qui est insusceptible de recours de quelque nature que ce soit.</w:t>
            </w:r>
          </w:p>
          <w:p w14:paraId="2140D357" w14:textId="77777777" w:rsidR="00BC7757" w:rsidRPr="00BC7757" w:rsidRDefault="00BC7757" w:rsidP="00BC7757">
            <w:pPr>
              <w:ind w:left="540" w:right="-72" w:hanging="540"/>
              <w:rPr>
                <w:b/>
              </w:rPr>
            </w:pPr>
            <w:r w:rsidRPr="00BC7757">
              <w:rPr>
                <w:b/>
              </w:rPr>
              <w:t>50.3</w:t>
            </w:r>
            <w:r w:rsidRPr="00BC7757">
              <w:rPr>
                <w:b/>
              </w:rPr>
              <w:tab/>
              <w:t>Règlement final des litiges</w:t>
            </w:r>
          </w:p>
          <w:p w14:paraId="4EF867D4" w14:textId="77777777" w:rsidR="00BC7757" w:rsidRPr="00BC7757" w:rsidRDefault="00BC7757" w:rsidP="00BC7757">
            <w:pPr>
              <w:tabs>
                <w:tab w:val="left" w:pos="1440"/>
              </w:tabs>
              <w:ind w:left="1260" w:right="-72" w:hanging="720"/>
              <w:rPr>
                <w:szCs w:val="24"/>
                <w:lang w:eastAsia="en-US"/>
              </w:rPr>
            </w:pPr>
            <w:r w:rsidRPr="00BC7757">
              <w:t>50.3.1</w:t>
            </w:r>
            <w:r w:rsidRPr="00BC7757">
              <w:tab/>
              <w:t>Si, dans le délai de trente (30) jours à partir de la date de présentation du différend qui lui est faite, aucune décision du Conciliateur n’a été notifiée à l’Entrepreneur</w:t>
            </w:r>
            <w:r w:rsidRPr="00BC7757">
              <w:rPr>
                <w:b/>
                <w:i/>
              </w:rPr>
              <w:t xml:space="preserve"> </w:t>
            </w:r>
            <w:r w:rsidRPr="00BC7757">
              <w:t>et au Maître de l’Ouvrage, ou si une des deux parties n’accepte pas la décision notifiée par le Conciliateur</w:t>
            </w:r>
            <w:r w:rsidRPr="00BC7757">
              <w:rPr>
                <w:b/>
                <w:i/>
              </w:rPr>
              <w:t>,</w:t>
            </w:r>
            <w:r w:rsidRPr="00BC7757">
              <w:t xml:space="preserve"> </w:t>
            </w:r>
            <w:r w:rsidRPr="00BC7757">
              <w:rPr>
                <w:szCs w:val="24"/>
                <w:lang w:eastAsia="en-US"/>
              </w:rPr>
              <w:t>les deux Parties devront s’efforcer de régler leur différend à l’amiable avant le commencement de la procédure de règlement final des litiges. Toutefois, à moins que les deux Parties n’en conviennent autrement, cette procédure pourra commencer à partir du 60</w:t>
            </w:r>
            <w:r w:rsidRPr="00BC7757">
              <w:rPr>
                <w:szCs w:val="24"/>
                <w:vertAlign w:val="superscript"/>
                <w:lang w:eastAsia="en-US"/>
              </w:rPr>
              <w:t>ième</w:t>
            </w:r>
            <w:r w:rsidRPr="00BC7757">
              <w:rPr>
                <w:szCs w:val="24"/>
                <w:lang w:eastAsia="en-US"/>
              </w:rPr>
              <w:t xml:space="preserve"> jour suivant la date où le désaccord et l’intention d’engager la procédure de règlement final des litiges a été notifiée, même si aucune tentative de règlement amiable n’a été effectuée. </w:t>
            </w:r>
          </w:p>
          <w:p w14:paraId="2AB404D6" w14:textId="77777777" w:rsidR="00BC7757" w:rsidRPr="00BC7757" w:rsidRDefault="00BC7757" w:rsidP="00BC7757">
            <w:pPr>
              <w:tabs>
                <w:tab w:val="left" w:pos="1440"/>
              </w:tabs>
              <w:ind w:left="1260" w:right="-72" w:hanging="720"/>
            </w:pPr>
            <w:r w:rsidRPr="00BC7757">
              <w:rPr>
                <w:szCs w:val="24"/>
                <w:lang w:eastAsia="en-US"/>
              </w:rPr>
              <w:t>50.3.2</w:t>
            </w:r>
            <w:r w:rsidRPr="00BC7757">
              <w:rPr>
                <w:szCs w:val="24"/>
                <w:lang w:eastAsia="en-US"/>
              </w:rPr>
              <w:tab/>
              <w:t>Tout différend qui n’a pas été réglé à l’amiable et pour lequel la décision du Conciliateur n’est pas devenue définitive et obligatoire sera tranché en dernier ressort comme suit</w:t>
            </w:r>
            <w:r w:rsidRPr="00BC7757">
              <w:t> :</w:t>
            </w:r>
          </w:p>
          <w:p w14:paraId="572A50E5" w14:textId="77777777" w:rsidR="00BC7757" w:rsidRPr="00BC7757" w:rsidRDefault="00BC7757" w:rsidP="00BC7757">
            <w:pPr>
              <w:ind w:left="1620" w:right="-72" w:hanging="360"/>
            </w:pPr>
            <w:r w:rsidRPr="00BC7757">
              <w:t>a)</w:t>
            </w:r>
            <w:r w:rsidRPr="00BC7757">
              <w:tab/>
              <w:t>les marchés passés avec des entrepreneurs étrangers seront tranchés par arbitrage international conformément,  à l’option  retenue au CCAP  parmi les options suivantes :</w:t>
            </w:r>
            <w:r w:rsidRPr="00BC7757">
              <w:rPr>
                <w:i/>
              </w:rPr>
              <w:tab/>
            </w:r>
          </w:p>
          <w:p w14:paraId="0D6E4227" w14:textId="77777777" w:rsidR="00BC7757" w:rsidRPr="00BC7757" w:rsidRDefault="00BC7757" w:rsidP="00BC7757">
            <w:pPr>
              <w:tabs>
                <w:tab w:val="num" w:pos="576"/>
                <w:tab w:val="left" w:pos="1166"/>
              </w:tabs>
              <w:ind w:left="1980" w:hanging="360"/>
              <w:jc w:val="left"/>
              <w:rPr>
                <w:szCs w:val="24"/>
                <w:lang w:eastAsia="en-US"/>
              </w:rPr>
            </w:pPr>
            <w:r w:rsidRPr="00BC7757">
              <w:rPr>
                <w:szCs w:val="24"/>
                <w:lang w:eastAsia="en-US"/>
              </w:rPr>
              <w:t xml:space="preserve">1) </w:t>
            </w:r>
            <w:r w:rsidRPr="00BC7757">
              <w:rPr>
                <w:szCs w:val="24"/>
                <w:lang w:eastAsia="en-US"/>
              </w:rPr>
              <w:tab/>
            </w:r>
            <w:r w:rsidRPr="00BC7757">
              <w:rPr>
                <w:b/>
                <w:i/>
                <w:szCs w:val="24"/>
                <w:u w:val="single"/>
                <w:lang w:eastAsia="en-US"/>
              </w:rPr>
              <w:t>Option A</w:t>
            </w:r>
            <w:r w:rsidRPr="00BC7757">
              <w:rPr>
                <w:szCs w:val="24"/>
                <w:lang w:eastAsia="en-US"/>
              </w:rPr>
              <w:t xml:space="preserve"> conformément au Règlement d’Arbitrage de la Commission des Nations Unies pour le Droit Commercial International (CNUDCI) ;</w:t>
            </w:r>
            <w:r w:rsidRPr="00BC7757">
              <w:rPr>
                <w:szCs w:val="24"/>
                <w:lang w:eastAsia="en-US"/>
              </w:rPr>
              <w:tab/>
            </w:r>
          </w:p>
          <w:p w14:paraId="59EC874A" w14:textId="77777777" w:rsidR="00BC7757" w:rsidRPr="00BC7757" w:rsidRDefault="00BC7757" w:rsidP="00BC7757">
            <w:pPr>
              <w:tabs>
                <w:tab w:val="num" w:pos="576"/>
                <w:tab w:val="left" w:pos="1166"/>
              </w:tabs>
              <w:ind w:left="1620"/>
              <w:jc w:val="left"/>
              <w:rPr>
                <w:szCs w:val="24"/>
                <w:lang w:eastAsia="en-US"/>
              </w:rPr>
            </w:pPr>
            <w:r w:rsidRPr="00BC7757">
              <w:rPr>
                <w:szCs w:val="24"/>
                <w:lang w:eastAsia="en-US"/>
              </w:rPr>
              <w:t xml:space="preserve">ou bien </w:t>
            </w:r>
          </w:p>
          <w:p w14:paraId="620F19C4" w14:textId="77777777" w:rsidR="00BC7757" w:rsidRPr="00353D32" w:rsidRDefault="00BC7757" w:rsidP="00BC7757">
            <w:pPr>
              <w:ind w:left="1980" w:hanging="360"/>
              <w:rPr>
                <w:szCs w:val="24"/>
              </w:rPr>
            </w:pPr>
            <w:r w:rsidRPr="00BC7757">
              <w:rPr>
                <w:szCs w:val="24"/>
              </w:rPr>
              <w:t>2)</w:t>
            </w:r>
            <w:r w:rsidRPr="00BC7757">
              <w:rPr>
                <w:szCs w:val="24"/>
              </w:rPr>
              <w:tab/>
            </w:r>
            <w:r w:rsidRPr="00BC7757">
              <w:rPr>
                <w:b/>
                <w:i/>
                <w:szCs w:val="24"/>
                <w:u w:val="single"/>
              </w:rPr>
              <w:t>Option B</w:t>
            </w:r>
            <w:r w:rsidRPr="00BC7757">
              <w:rPr>
                <w:szCs w:val="24"/>
              </w:rPr>
              <w:t xml:space="preserve"> </w:t>
            </w:r>
            <w:r w:rsidRPr="00353D32">
              <w:rPr>
                <w:szCs w:val="24"/>
              </w:rPr>
              <w:t xml:space="preserve">suivant le règlement d'arbitrage de la Chambre de Commerce internationale par un ou plusieurs arbitres nommés conformément audit règlement d'arbitrage. </w:t>
            </w:r>
          </w:p>
          <w:p w14:paraId="785C6604" w14:textId="77777777" w:rsidR="00BC7757" w:rsidRPr="00BC7757" w:rsidRDefault="00BC7757" w:rsidP="00BC7757">
            <w:pPr>
              <w:tabs>
                <w:tab w:val="left" w:pos="1440"/>
              </w:tabs>
              <w:ind w:left="1620" w:right="-72"/>
              <w:rPr>
                <w:b/>
                <w:sz w:val="28"/>
                <w:lang w:val="es-ES_tradnl"/>
              </w:rPr>
            </w:pPr>
            <w:r w:rsidRPr="00353D32">
              <w:rPr>
                <w:szCs w:val="24"/>
              </w:rPr>
              <w:t>Dans tous les cas, le lieu de l’arbitrage devra être neutre, c’est à dire n’être situé dans le pays du Maître de l’Ouvrage, ni dans celui de l’Entrepreneur.</w:t>
            </w:r>
          </w:p>
          <w:p w14:paraId="0BC2A44A" w14:textId="77777777" w:rsidR="00BC7757" w:rsidRPr="00BC7757" w:rsidRDefault="00BC7757" w:rsidP="00BC7757">
            <w:pPr>
              <w:tabs>
                <w:tab w:val="left" w:pos="3420"/>
              </w:tabs>
              <w:ind w:left="1620" w:right="-72" w:hanging="360"/>
              <w:jc w:val="left"/>
            </w:pPr>
            <w:r w:rsidRPr="00BC7757">
              <w:t xml:space="preserve">b) </w:t>
            </w:r>
            <w:r w:rsidRPr="00BC7757">
              <w:tab/>
              <w:t>les marchés passés avec des entrepreneurs nationaux seront tranchés conformément aux procédures et lois en vigueur dans le pays du Maître de l’Ouvrage.</w:t>
            </w:r>
          </w:p>
          <w:p w14:paraId="45254FAC" w14:textId="77777777" w:rsidR="00BC7757" w:rsidRPr="00BC7757" w:rsidRDefault="00BC7757" w:rsidP="00BC7757">
            <w:pPr>
              <w:tabs>
                <w:tab w:val="left" w:pos="1440"/>
              </w:tabs>
              <w:ind w:left="1260" w:right="-72" w:hanging="720"/>
            </w:pPr>
            <w:r w:rsidRPr="00BC7757">
              <w:t>50.3.3</w:t>
            </w:r>
            <w:r w:rsidRPr="00BC7757">
              <w:tab/>
              <w:t>Si, dans le délai de six (6) mois à partir de la notification à l’Entrepreneur de la décision prise conformément au paragraphe 1 du présent Article sur les réclamations auxquelles a donné lieu le décompte général du Marché, l’Entrepreneur n’a pas initié la procédure de règlement final des litiges prévue à l’Article 50.3.2 du CCAG, il est considéré comme ayant définitivement accepté ladite décision et toute procédure judiciaire ou arbitrale sera alors irrecevable.</w:t>
            </w:r>
          </w:p>
          <w:p w14:paraId="436E5A71" w14:textId="77777777" w:rsidR="00BC7757" w:rsidRPr="00BC7757" w:rsidRDefault="00BC7757" w:rsidP="00BC7757">
            <w:pPr>
              <w:tabs>
                <w:tab w:val="left" w:pos="1440"/>
              </w:tabs>
              <w:ind w:left="1260" w:right="-72" w:hanging="720"/>
            </w:pPr>
            <w:r w:rsidRPr="00BC7757">
              <w:t>50.3.4</w:t>
            </w:r>
            <w:r w:rsidRPr="00BC7757">
              <w:tab/>
              <w:t>Les arbitres ou juridictions nationales, le cas échéant,  ont plein pouvoir pour rouvrir, revoir et réviser tout ordre de service, instruction, opinion ou évaluation du Maître d’œuvre ainsi que toute décision du Conciliateur correspondant au litige en question. Rien ne peut disqualifier les représentants des parties et du Maître d’œuvre à être appelés comme témoins et à apporter des preuves devant les arbitres sur les sujets en rapport avec le différend.</w:t>
            </w:r>
          </w:p>
          <w:p w14:paraId="7B907C89" w14:textId="77777777" w:rsidR="00BC7757" w:rsidRPr="00BC7757" w:rsidRDefault="00BC7757" w:rsidP="00BC7757">
            <w:pPr>
              <w:ind w:left="1260" w:right="-72"/>
            </w:pPr>
            <w:r w:rsidRPr="00BC7757">
              <w:t>Aucune des deux parties ne sera tenue devant les arbitres ou le juge par les preuves ou arguments mis en avant par le Conciliateur pour la formulation de sa décision. Toutefois, les décisions du Conciliateur sont des preuves admissibles dans une procédure de règlement final des litiges.</w:t>
            </w:r>
          </w:p>
          <w:p w14:paraId="71068BA7" w14:textId="77777777" w:rsidR="00BC7757" w:rsidRPr="00BC7757" w:rsidRDefault="00BC7757" w:rsidP="00BC7757">
            <w:pPr>
              <w:ind w:left="1260" w:right="-72"/>
            </w:pPr>
            <w:r w:rsidRPr="00BC7757">
              <w:t>La procédure d’arbitrage peut commencer avant ou après l’achèvement des Travaux. Les obligations des parties, du Maître d’œuvre et du Conciliateur ne peuvent être modifiées pendant l’exécution des travaux en raison du fait qu’un arbitrage en cours.</w:t>
            </w:r>
          </w:p>
        </w:tc>
      </w:tr>
      <w:tr w:rsidR="00BC7757" w:rsidRPr="00BC7757" w14:paraId="1366089F" w14:textId="77777777" w:rsidTr="00BC7757">
        <w:tc>
          <w:tcPr>
            <w:tcW w:w="2160" w:type="dxa"/>
            <w:tcBorders>
              <w:top w:val="nil"/>
              <w:left w:val="nil"/>
              <w:bottom w:val="nil"/>
              <w:right w:val="nil"/>
            </w:tcBorders>
          </w:tcPr>
          <w:p w14:paraId="627CA696" w14:textId="77777777" w:rsidR="00BC7757" w:rsidRPr="00BC7757" w:rsidRDefault="00BC7757" w:rsidP="00BC7757">
            <w:pPr>
              <w:pStyle w:val="Head42"/>
            </w:pPr>
            <w:bookmarkStart w:id="852" w:name="_Toc327539602"/>
            <w:r w:rsidRPr="00BC7757">
              <w:t>51.</w:t>
            </w:r>
            <w:r w:rsidRPr="00BC7757">
              <w:tab/>
              <w:t>Droit applicable et changement dans la réglementation</w:t>
            </w:r>
            <w:bookmarkEnd w:id="852"/>
          </w:p>
        </w:tc>
        <w:tc>
          <w:tcPr>
            <w:tcW w:w="7398" w:type="dxa"/>
            <w:tcBorders>
              <w:top w:val="nil"/>
              <w:left w:val="nil"/>
              <w:bottom w:val="nil"/>
              <w:right w:val="nil"/>
            </w:tcBorders>
          </w:tcPr>
          <w:p w14:paraId="630FC0D3" w14:textId="77777777" w:rsidR="00BC7757" w:rsidRPr="00BC7757" w:rsidRDefault="00BC7757" w:rsidP="00BC7757">
            <w:pPr>
              <w:tabs>
                <w:tab w:val="left" w:pos="540"/>
              </w:tabs>
              <w:ind w:left="540" w:right="-72" w:hanging="540"/>
              <w:rPr>
                <w:b/>
              </w:rPr>
            </w:pPr>
            <w:r w:rsidRPr="00BC7757">
              <w:rPr>
                <w:b/>
              </w:rPr>
              <w:t>51.1</w:t>
            </w:r>
            <w:r w:rsidRPr="00BC7757">
              <w:rPr>
                <w:b/>
              </w:rPr>
              <w:tab/>
              <w:t>Droit applicable</w:t>
            </w:r>
          </w:p>
          <w:p w14:paraId="6E6553EA" w14:textId="77777777" w:rsidR="00BC7757" w:rsidRPr="00BC7757" w:rsidRDefault="00BC7757" w:rsidP="00BC7757">
            <w:pPr>
              <w:tabs>
                <w:tab w:val="left" w:pos="720"/>
              </w:tabs>
              <w:ind w:left="720" w:right="-72"/>
            </w:pPr>
            <w:r w:rsidRPr="00BC7757">
              <w:t>En l’absence de disposition figurant au CCAP, le droit applicable pour l’interprétation et l’exécution du présent Marché est le droit du pays du Maître de l’Ouvrage.</w:t>
            </w:r>
          </w:p>
          <w:p w14:paraId="40511C1D" w14:textId="77777777" w:rsidR="00BC7757" w:rsidRPr="00BC7757" w:rsidRDefault="00BC7757" w:rsidP="00BC7757">
            <w:pPr>
              <w:tabs>
                <w:tab w:val="left" w:pos="540"/>
              </w:tabs>
              <w:ind w:left="540" w:right="-72" w:hanging="540"/>
            </w:pPr>
            <w:r w:rsidRPr="00BC7757">
              <w:rPr>
                <w:b/>
              </w:rPr>
              <w:t>51.2</w:t>
            </w:r>
            <w:r w:rsidRPr="00BC7757">
              <w:rPr>
                <w:b/>
              </w:rPr>
              <w:tab/>
              <w:t>Changement dans la réglementation</w:t>
            </w:r>
          </w:p>
          <w:p w14:paraId="02B051CA" w14:textId="77777777" w:rsidR="00BC7757" w:rsidRPr="00BC7757" w:rsidRDefault="00BC7757" w:rsidP="00BC7757">
            <w:pPr>
              <w:tabs>
                <w:tab w:val="left" w:pos="1440"/>
              </w:tabs>
              <w:ind w:left="1440" w:right="-72" w:hanging="720"/>
            </w:pPr>
            <w:r w:rsidRPr="00BC7757">
              <w:t>51.2.1</w:t>
            </w:r>
            <w:r w:rsidRPr="00BC7757">
              <w:tab/>
              <w:t>A l’exception des changements de lois ou règlements ayant pour effet de bouleverser l’économie des relations contractuelles et engendrant une perte manifeste pour l’Entrepreneur et imprévisible à la date de remise de l’offre, seuls les changements intervenus dans le pays du Maître de l’Ouvrage pourront être pris en compte pour modifier les conditions financières du Marché.</w:t>
            </w:r>
          </w:p>
          <w:p w14:paraId="413E7046" w14:textId="77777777" w:rsidR="00BC7757" w:rsidRPr="00BC7757" w:rsidRDefault="00BC7757" w:rsidP="00BC7757">
            <w:pPr>
              <w:tabs>
                <w:tab w:val="left" w:pos="1440"/>
              </w:tabs>
              <w:ind w:left="1440" w:right="-72" w:hanging="720"/>
            </w:pPr>
            <w:r w:rsidRPr="00BC7757">
              <w:t>51.2.2</w:t>
            </w:r>
            <w:r w:rsidRPr="00BC7757">
              <w:tab/>
              <w:t>En cas de modification de la réglementation en vigueur dans le pays du Maître de l’Ouvrage ayant un caractère impératif, à l’exception des modifications aux lois fiscales ou assimilées qui sont régies par l’Article 10.5 du CCAG, qui entraîne pour l’Entrepreneur une augmentation ou une réduction du coût d’exécution des travaux non pris en compte par les autres dispositions du Marché et qui est au moins égale à un (1) pour cent du Montant du Marché, un avenant sera conclu entre les parties pour augmenter ou diminuer, selon le cas, le Montant du Marché.  Dans le cas où les parties ne pourraient se mettre d’accord sur les termes de l’avenant dans un délai de trois (3) mois à compter de la proposition d’avenant transmise par une partie à l’autre, les dispositions de l’Article 50.1 du CCAG s’appliqueront.</w:t>
            </w:r>
          </w:p>
        </w:tc>
      </w:tr>
      <w:tr w:rsidR="00BC7757" w:rsidRPr="00BC7757" w14:paraId="62391D0E" w14:textId="77777777" w:rsidTr="00BC7757">
        <w:tc>
          <w:tcPr>
            <w:tcW w:w="2160" w:type="dxa"/>
            <w:tcBorders>
              <w:top w:val="nil"/>
              <w:left w:val="nil"/>
              <w:bottom w:val="nil"/>
              <w:right w:val="nil"/>
            </w:tcBorders>
          </w:tcPr>
          <w:p w14:paraId="4C65886A" w14:textId="77777777" w:rsidR="00BC7757" w:rsidRPr="00BC7757" w:rsidRDefault="00BC7757" w:rsidP="00BC7757">
            <w:pPr>
              <w:pStyle w:val="Head42"/>
            </w:pPr>
            <w:bookmarkStart w:id="853" w:name="_Toc348175997"/>
            <w:bookmarkStart w:id="854" w:name="_Toc327539603"/>
            <w:r w:rsidRPr="00BC7757">
              <w:t>52.</w:t>
            </w:r>
            <w:r w:rsidRPr="00BC7757">
              <w:tab/>
              <w:t>Entrée en vigueur du Marché</w:t>
            </w:r>
            <w:bookmarkEnd w:id="853"/>
            <w:bookmarkEnd w:id="854"/>
          </w:p>
        </w:tc>
        <w:tc>
          <w:tcPr>
            <w:tcW w:w="7398" w:type="dxa"/>
            <w:tcBorders>
              <w:top w:val="nil"/>
              <w:left w:val="nil"/>
              <w:bottom w:val="nil"/>
              <w:right w:val="nil"/>
            </w:tcBorders>
          </w:tcPr>
          <w:p w14:paraId="6E2F1D60" w14:textId="77777777" w:rsidR="00BC7757" w:rsidRPr="00BC7757" w:rsidRDefault="00BC7757" w:rsidP="00BC7757">
            <w:pPr>
              <w:tabs>
                <w:tab w:val="left" w:pos="540"/>
              </w:tabs>
              <w:ind w:left="540" w:right="-72" w:hanging="540"/>
            </w:pPr>
            <w:r w:rsidRPr="00BC7757">
              <w:t>52.1</w:t>
            </w:r>
            <w:r w:rsidRPr="00BC7757">
              <w:tab/>
              <w:t>L’entrée en vigueur du Marché est subordonnée à la réalisation de celles des conditions suivantes qui sont spécifiées au CCAP :</w:t>
            </w:r>
          </w:p>
          <w:p w14:paraId="2086E809" w14:textId="77777777" w:rsidR="00BC7757" w:rsidRPr="00BC7757" w:rsidRDefault="00BC7757" w:rsidP="00BC7757">
            <w:pPr>
              <w:tabs>
                <w:tab w:val="left" w:pos="1080"/>
              </w:tabs>
              <w:ind w:left="1080" w:right="-72" w:hanging="540"/>
              <w:jc w:val="left"/>
            </w:pPr>
            <w:r w:rsidRPr="00BC7757">
              <w:t>a)</w:t>
            </w:r>
            <w:r w:rsidRPr="00BC7757">
              <w:tab/>
              <w:t>approbation des autorités compétentes du pays du Maître de l’Ouvrage;</w:t>
            </w:r>
          </w:p>
          <w:p w14:paraId="728053FE" w14:textId="77777777" w:rsidR="00BC7757" w:rsidRPr="00BC7757" w:rsidRDefault="00BC7757" w:rsidP="00BC7757">
            <w:pPr>
              <w:tabs>
                <w:tab w:val="left" w:pos="1080"/>
              </w:tabs>
              <w:ind w:left="1080" w:right="-72" w:hanging="540"/>
              <w:jc w:val="left"/>
            </w:pPr>
            <w:r w:rsidRPr="00BC7757">
              <w:t>b)</w:t>
            </w:r>
            <w:r w:rsidRPr="00BC7757">
              <w:tab/>
              <w:t>approbation de la convention de financement du Projet (accord de prêt ou accord de crédit de la Banque mondiale);</w:t>
            </w:r>
          </w:p>
          <w:p w14:paraId="4023365A" w14:textId="77777777" w:rsidR="00BC7757" w:rsidRPr="00BC7757" w:rsidRDefault="00BC7757" w:rsidP="00BC7757">
            <w:pPr>
              <w:tabs>
                <w:tab w:val="left" w:pos="1080"/>
              </w:tabs>
              <w:ind w:left="1080" w:right="-72" w:hanging="540"/>
              <w:jc w:val="left"/>
            </w:pPr>
            <w:r w:rsidRPr="00BC7757">
              <w:t>c)</w:t>
            </w:r>
            <w:r w:rsidRPr="00BC7757">
              <w:tab/>
              <w:t>mise en place des garanties à produire par l’Entrepreneur;</w:t>
            </w:r>
          </w:p>
          <w:p w14:paraId="21E8F6EF" w14:textId="77777777" w:rsidR="00BC7757" w:rsidRPr="00BC7757" w:rsidRDefault="00BC7757" w:rsidP="00BC7757">
            <w:pPr>
              <w:tabs>
                <w:tab w:val="left" w:pos="1080"/>
              </w:tabs>
              <w:ind w:left="1080" w:right="-72" w:hanging="540"/>
              <w:jc w:val="left"/>
            </w:pPr>
            <w:r w:rsidRPr="00BC7757">
              <w:t>d)</w:t>
            </w:r>
            <w:r w:rsidRPr="00BC7757">
              <w:tab/>
              <w:t>versement de l’avance prévue à l’Article 11.5 du CCAG; et</w:t>
            </w:r>
          </w:p>
          <w:p w14:paraId="0155F94F" w14:textId="77777777" w:rsidR="00BC7757" w:rsidRPr="00BC7757" w:rsidRDefault="00BC7757" w:rsidP="00BC7757">
            <w:pPr>
              <w:tabs>
                <w:tab w:val="left" w:pos="1080"/>
              </w:tabs>
              <w:ind w:left="1080" w:right="-72" w:hanging="540"/>
              <w:jc w:val="left"/>
            </w:pPr>
            <w:r w:rsidRPr="00BC7757">
              <w:t>e)</w:t>
            </w:r>
            <w:r w:rsidRPr="00BC7757">
              <w:tab/>
              <w:t>accès effectif au Site et mise à la disposition du Site par le Maître d’Œuvre à l’Entrepreneur.</w:t>
            </w:r>
          </w:p>
          <w:p w14:paraId="5A49EDF1" w14:textId="77777777" w:rsidR="00BC7757" w:rsidRPr="00BC7757" w:rsidRDefault="00BC7757" w:rsidP="00BC7757">
            <w:pPr>
              <w:tabs>
                <w:tab w:val="left" w:pos="540"/>
              </w:tabs>
              <w:ind w:left="630" w:right="-72" w:hanging="630"/>
            </w:pPr>
            <w:r w:rsidRPr="00BC7757">
              <w:t>52.2</w:t>
            </w:r>
            <w:r w:rsidRPr="00BC7757">
              <w:tab/>
              <w:t>Un procès-verbal sera établi contradictoirement et signé par les parties dès que les conditions mentionnées ci-dessus seront remplies.  La date d’entrée en vigueur du Marché est celle de la signature de ce procès-verbal.</w:t>
            </w:r>
          </w:p>
          <w:p w14:paraId="613A10C4" w14:textId="77777777" w:rsidR="00BC7757" w:rsidRPr="00BC7757" w:rsidRDefault="00BC7757" w:rsidP="00BC7757">
            <w:pPr>
              <w:tabs>
                <w:tab w:val="left" w:pos="540"/>
              </w:tabs>
              <w:ind w:left="540" w:right="-72" w:hanging="540"/>
            </w:pPr>
            <w:r w:rsidRPr="00BC7757">
              <w:t>52.3</w:t>
            </w:r>
            <w:r w:rsidRPr="00BC7757">
              <w:tab/>
              <w:t>Si l’entrée en vigueur du Marché n’est pas survenue dans les trois (3) mois suivant la date de la Lettre de marché, chaque partie est libre de dénoncer le Marché pour défaut d’entrée en vigueur.</w:t>
            </w:r>
          </w:p>
          <w:p w14:paraId="0BA208D2" w14:textId="77777777" w:rsidR="00BC7757" w:rsidRPr="00BC7757" w:rsidRDefault="00BC7757" w:rsidP="00BC7757">
            <w:pPr>
              <w:tabs>
                <w:tab w:val="left" w:pos="540"/>
              </w:tabs>
              <w:ind w:left="540" w:right="-72" w:hanging="540"/>
            </w:pPr>
          </w:p>
        </w:tc>
      </w:tr>
    </w:tbl>
    <w:p w14:paraId="38499F78" w14:textId="77777777" w:rsidR="00BC7757" w:rsidRPr="00BC7757" w:rsidRDefault="00BC7757" w:rsidP="00BC7757">
      <w:pPr>
        <w:pStyle w:val="Head41"/>
      </w:pPr>
      <w:r w:rsidRPr="00BC7757">
        <w:t>Annexe 1 au Cahier des Clauses Administratives Générales : Règles de la Banque - Pratiques de Fraude et Corruption</w:t>
      </w:r>
    </w:p>
    <w:p w14:paraId="7B7799EE" w14:textId="77777777" w:rsidR="00BC7757" w:rsidRPr="00BC7757" w:rsidRDefault="00BC7757" w:rsidP="00BC7757"/>
    <w:p w14:paraId="36592969" w14:textId="77777777" w:rsidR="00BC7757" w:rsidRPr="00BC7757" w:rsidRDefault="00BC7757" w:rsidP="00BC7757">
      <w:pPr>
        <w:rPr>
          <w:i/>
        </w:rPr>
      </w:pPr>
      <w:r w:rsidRPr="00BC7757">
        <w:t>[</w:t>
      </w:r>
      <w:r w:rsidRPr="00BC7757">
        <w:rPr>
          <w:i/>
        </w:rPr>
        <w:t>Ne pas modifier le texte de cette Annexe.]</w:t>
      </w:r>
    </w:p>
    <w:p w14:paraId="159674FE" w14:textId="77777777" w:rsidR="00BC7757" w:rsidRPr="00BC7757" w:rsidRDefault="00BC7757" w:rsidP="00BC7757">
      <w:pPr>
        <w:rPr>
          <w:i/>
        </w:rPr>
      </w:pPr>
    </w:p>
    <w:p w14:paraId="4812F191" w14:textId="77777777" w:rsidR="00BC7757" w:rsidRPr="00BC7757" w:rsidRDefault="00BC7757" w:rsidP="00BC7757">
      <w:pPr>
        <w:pStyle w:val="Titre4"/>
        <w:numPr>
          <w:ilvl w:val="0"/>
          <w:numId w:val="0"/>
        </w:numPr>
        <w:tabs>
          <w:tab w:val="clear" w:pos="1512"/>
          <w:tab w:val="left" w:pos="90"/>
        </w:tabs>
        <w:rPr>
          <w:lang w:val="fr-FR"/>
        </w:rPr>
      </w:pPr>
      <w:r w:rsidRPr="00BC7757">
        <w:rPr>
          <w:lang w:val="fr-FR"/>
        </w:rPr>
        <w:t>Directives de Passation des marches de biens, travaux et services (autres que les services de consultants) finances par les prêts de la BIRD, et les dons et crédits de l’IDA aux Emprunteurs de la Banque mondiale, Janvier 2011 :</w:t>
      </w:r>
    </w:p>
    <w:p w14:paraId="19CA117C" w14:textId="77777777" w:rsidR="00BC7757" w:rsidRPr="00BC7757" w:rsidRDefault="00BC7757" w:rsidP="00BC7757">
      <w:r w:rsidRPr="00BC7757">
        <w:t>« </w:t>
      </w:r>
      <w:r w:rsidRPr="00BC7757">
        <w:rPr>
          <w:b/>
        </w:rPr>
        <w:t>Fraude et Corruption</w:t>
      </w:r>
    </w:p>
    <w:p w14:paraId="780D724C" w14:textId="77777777" w:rsidR="00BC7757" w:rsidRPr="00BC7757" w:rsidRDefault="00BC7757" w:rsidP="00BC7757">
      <w:pPr>
        <w:pStyle w:val="Corpsdetexte"/>
        <w:tabs>
          <w:tab w:val="left" w:pos="576"/>
        </w:tabs>
        <w:rPr>
          <w:lang w:val="fr-FR"/>
        </w:rPr>
      </w:pPr>
    </w:p>
    <w:p w14:paraId="36E6CCEA" w14:textId="77777777" w:rsidR="00BC7757" w:rsidRPr="00BC7757" w:rsidRDefault="00BC7757" w:rsidP="00BC7757">
      <w:pPr>
        <w:pStyle w:val="Corpsdetexte"/>
        <w:ind w:left="540" w:hanging="540"/>
        <w:rPr>
          <w:lang w:val="fr-FR"/>
        </w:rPr>
      </w:pPr>
      <w:r w:rsidRPr="00BC7757">
        <w:rPr>
          <w:lang w:val="fr-FR"/>
        </w:rPr>
        <w:t>1.16</w:t>
      </w:r>
      <w:r w:rsidRPr="00BC7757">
        <w:rPr>
          <w:lang w:val="fr-FR"/>
        </w:rPr>
        <w:tab/>
        <w:t xml:space="preserve">La Banque a pour principe, dans le cadre des marchés qu’elle finance, de demander aux Emprunteurs (y compris les bénéficiaires de ses prêts) ainsi qu’aux soumissionnaires, fournisseurs, prestataires de services, entrepreneurs et leurs </w:t>
      </w:r>
      <w:r w:rsidRPr="00BC7757">
        <w:rPr>
          <w:szCs w:val="24"/>
          <w:lang w:val="fr-FR"/>
        </w:rPr>
        <w:t xml:space="preserve">agents (déclarés ou non), personnel, </w:t>
      </w:r>
      <w:r w:rsidRPr="00BC7757">
        <w:rPr>
          <w:lang w:val="fr-FR"/>
        </w:rPr>
        <w:t xml:space="preserve">sous-traitants </w:t>
      </w:r>
      <w:r w:rsidRPr="00BC7757">
        <w:rPr>
          <w:szCs w:val="24"/>
          <w:lang w:val="fr-FR"/>
        </w:rPr>
        <w:t xml:space="preserve">et fournisseurs </w:t>
      </w:r>
      <w:r w:rsidRPr="00BC7757">
        <w:rPr>
          <w:lang w:val="fr-FR"/>
        </w:rPr>
        <w:t>d’observer, lors de la passation et de  l’exécution de ces marchés, les règles d’éthique professionnelle les plus strictes</w:t>
      </w:r>
      <w:r w:rsidRPr="00BC7757">
        <w:rPr>
          <w:rStyle w:val="Appelnotedebasdep"/>
          <w:lang w:val="fr-FR"/>
        </w:rPr>
        <w:footnoteReference w:id="28"/>
      </w:r>
      <w:r w:rsidRPr="00BC7757">
        <w:rPr>
          <w:lang w:val="fr-FR"/>
        </w:rPr>
        <w:t xml:space="preserve">. En vertu de ce principe, la Banque </w:t>
      </w:r>
    </w:p>
    <w:p w14:paraId="4F4FF7DC" w14:textId="77777777" w:rsidR="00BC7757" w:rsidRPr="00BC7757" w:rsidRDefault="00BC7757" w:rsidP="002A45C1">
      <w:pPr>
        <w:pStyle w:val="Corpsdetexte"/>
        <w:numPr>
          <w:ilvl w:val="0"/>
          <w:numId w:val="118"/>
        </w:numPr>
        <w:tabs>
          <w:tab w:val="left" w:pos="576"/>
        </w:tabs>
        <w:overflowPunct w:val="0"/>
        <w:autoSpaceDE w:val="0"/>
        <w:autoSpaceDN w:val="0"/>
        <w:adjustRightInd w:val="0"/>
        <w:ind w:hanging="540"/>
        <w:textAlignment w:val="baseline"/>
        <w:rPr>
          <w:szCs w:val="24"/>
          <w:lang w:val="fr-FR"/>
        </w:rPr>
      </w:pPr>
      <w:r w:rsidRPr="00BC7757">
        <w:rPr>
          <w:lang w:val="fr-FR"/>
        </w:rPr>
        <w:t xml:space="preserve">aux fins d’application de la présente disposition, définit </w:t>
      </w:r>
      <w:r w:rsidRPr="00BC7757">
        <w:rPr>
          <w:szCs w:val="24"/>
          <w:lang w:val="fr-FR"/>
        </w:rPr>
        <w:t>comme suit les expressions suivantes :</w:t>
      </w:r>
    </w:p>
    <w:p w14:paraId="49E49E5E" w14:textId="77777777" w:rsidR="00BC7757" w:rsidRPr="00BC7757" w:rsidRDefault="00BC7757" w:rsidP="002A45C1">
      <w:pPr>
        <w:numPr>
          <w:ilvl w:val="0"/>
          <w:numId w:val="117"/>
        </w:numPr>
        <w:tabs>
          <w:tab w:val="clear" w:pos="2160"/>
        </w:tabs>
        <w:overflowPunct w:val="0"/>
        <w:autoSpaceDE w:val="0"/>
        <w:autoSpaceDN w:val="0"/>
        <w:adjustRightInd w:val="0"/>
        <w:ind w:left="1620" w:hanging="540"/>
        <w:textAlignment w:val="baseline"/>
      </w:pPr>
      <w:r w:rsidRPr="00BC7757">
        <w:t xml:space="preserve">est coupable de “corruption” quiconque offre, donne, sollicite ou accepte, directement ou indirectement, un quelconque avantage en vue d’influer indûment sur l’action d’une autre personne ou entité (le terme  « une autre personne ou entité» fait référence à un agent public agissant dans le cadre de l’attribution ou de l’exécution d’un marché public. Dans ce contexte, ce terme inclut le personnel de la Banque et les employés d’autres organisations qui prennent des décisions relatives à la passation de marchés ou les examinent) ; dans ce contexte également, toute action d’un soumissionnaire,  fournisseur,  entrepreneur ou sous-traitant destinée à influer sur l’attribution ou l’exécution d’un marché en vue d’obtenir un avantage illicite est par nature inappropriée ;   </w:t>
      </w:r>
    </w:p>
    <w:p w14:paraId="629C681E" w14:textId="77777777" w:rsidR="00BC7757" w:rsidRPr="00BC7757" w:rsidRDefault="00BC7757" w:rsidP="002A45C1">
      <w:pPr>
        <w:numPr>
          <w:ilvl w:val="0"/>
          <w:numId w:val="117"/>
        </w:numPr>
        <w:tabs>
          <w:tab w:val="clear" w:pos="2160"/>
        </w:tabs>
        <w:overflowPunct w:val="0"/>
        <w:autoSpaceDE w:val="0"/>
        <w:autoSpaceDN w:val="0"/>
        <w:adjustRightInd w:val="0"/>
        <w:ind w:left="1620" w:hanging="540"/>
        <w:textAlignment w:val="baseline"/>
      </w:pPr>
      <w:r w:rsidRPr="00BC7757">
        <w:t xml:space="preserve">se livre </w:t>
      </w:r>
      <w:r w:rsidRPr="00353D32">
        <w:t>à des «manœuvres frauduleuses» quiconque agit, ou dénature des faits, délibérément  ou par négligence grave,</w:t>
      </w:r>
      <w:r w:rsidRPr="00353D32">
        <w:rPr>
          <w:b/>
          <w:i/>
        </w:rPr>
        <w:t xml:space="preserve"> </w:t>
      </w:r>
      <w:r w:rsidRPr="00353D32">
        <w:t xml:space="preserve">ou tente d’induire en erreur une personne  ou une entité afin d’en retirer un avantage financier ou de toute autre nature, ou se dérober à une obligation </w:t>
      </w:r>
      <w:r w:rsidRPr="00BC7757">
        <w:t>(le terme  «personne »  ou « entité» fait référence à un agent public agissant dans le cadre de l’attribution ou de l’exécution d’un marché public; les termes « avantage » et « obligation » se réfèrent au processus d’attribution ou à l’exécution du marché, et le terme « agit » se réfère à  toute action ou omission destinée à influer sur l’attribution du marché ou son exécution);</w:t>
      </w:r>
    </w:p>
    <w:p w14:paraId="25533D49" w14:textId="77777777" w:rsidR="00BC7757" w:rsidRPr="00BC7757" w:rsidRDefault="00BC7757" w:rsidP="002A45C1">
      <w:pPr>
        <w:numPr>
          <w:ilvl w:val="0"/>
          <w:numId w:val="117"/>
        </w:numPr>
        <w:tabs>
          <w:tab w:val="clear" w:pos="2160"/>
        </w:tabs>
        <w:overflowPunct w:val="0"/>
        <w:autoSpaceDE w:val="0"/>
        <w:autoSpaceDN w:val="0"/>
        <w:adjustRightInd w:val="0"/>
        <w:ind w:left="1620" w:hanging="540"/>
        <w:textAlignment w:val="baseline"/>
      </w:pPr>
      <w:r w:rsidRPr="00353D32">
        <w:t xml:space="preserve">se livrent  à des  «manœuvres collusoires»  les personnes ou entités qui s’entendent afin d’atteindre un objectif illicite, notamment en influant  indûment sur  l’action d’autres personnes ou entités </w:t>
      </w:r>
      <w:r w:rsidRPr="00BC7757">
        <w:t>(le terme « personnes ou entités » fait référence à toute personne ou entité qui participe au processus d’attribution des marchés, soit  en tant que potentiels attributaire, soit en tant qu’agent public, et entreprend d’établir le montant des offres à un niveau artificiel et non compétitif ou à des personnes ou entités qui se tiennent mutuellement informées du montant et des autres conditions de leurs offres respectives.);</w:t>
      </w:r>
    </w:p>
    <w:p w14:paraId="0562F310" w14:textId="77777777" w:rsidR="00BC7757" w:rsidRPr="00353D32" w:rsidRDefault="00BC7757" w:rsidP="002A45C1">
      <w:pPr>
        <w:numPr>
          <w:ilvl w:val="0"/>
          <w:numId w:val="117"/>
        </w:numPr>
        <w:tabs>
          <w:tab w:val="clear" w:pos="2160"/>
        </w:tabs>
        <w:overflowPunct w:val="0"/>
        <w:autoSpaceDE w:val="0"/>
        <w:autoSpaceDN w:val="0"/>
        <w:adjustRightInd w:val="0"/>
        <w:ind w:left="1620" w:hanging="540"/>
        <w:textAlignment w:val="baseline"/>
      </w:pPr>
      <w:r w:rsidRPr="00BC7757">
        <w:t xml:space="preserve">se </w:t>
      </w:r>
      <w:r w:rsidRPr="00353D32">
        <w:t>livre  à des  «manœuvres coercitives» quiconque nuit ou porte préjudice, ou menace de nuire ou de porter préjudice, directement ou indirectement, à une personne ou à ses biens en vue d’en influer indûment les actions </w:t>
      </w:r>
      <w:proofErr w:type="spellStart"/>
      <w:r w:rsidRPr="00BC7757">
        <w:t>actions</w:t>
      </w:r>
      <w:proofErr w:type="spellEnd"/>
      <w:r w:rsidRPr="00BC7757">
        <w:t xml:space="preserve"> ( (le terme « personne » fait référence à toute personne  qui participe au processus d’attribution des marchés ou à leur exécution) </w:t>
      </w:r>
      <w:r w:rsidRPr="00353D32">
        <w:t>; et</w:t>
      </w:r>
    </w:p>
    <w:p w14:paraId="4013629D" w14:textId="77777777" w:rsidR="00BC7757" w:rsidRPr="00353D32" w:rsidRDefault="00BC7757" w:rsidP="002A45C1">
      <w:pPr>
        <w:numPr>
          <w:ilvl w:val="0"/>
          <w:numId w:val="117"/>
        </w:numPr>
        <w:tabs>
          <w:tab w:val="clear" w:pos="2160"/>
        </w:tabs>
        <w:overflowPunct w:val="0"/>
        <w:autoSpaceDE w:val="0"/>
        <w:autoSpaceDN w:val="0"/>
        <w:adjustRightInd w:val="0"/>
        <w:ind w:left="1620" w:hanging="540"/>
        <w:textAlignment w:val="baseline"/>
      </w:pPr>
      <w:r w:rsidRPr="00353D32">
        <w:t>se livre à des « manœuvres obstructives »</w:t>
      </w:r>
    </w:p>
    <w:p w14:paraId="42BAE48C" w14:textId="77777777" w:rsidR="00BC7757" w:rsidRPr="00353D32" w:rsidRDefault="00BC7757" w:rsidP="00BC7757">
      <w:pPr>
        <w:ind w:left="2160" w:hanging="540"/>
      </w:pPr>
      <w:r w:rsidRPr="00353D32">
        <w:t>(</w:t>
      </w:r>
      <w:proofErr w:type="spellStart"/>
      <w:r w:rsidRPr="00353D32">
        <w:t>aa</w:t>
      </w:r>
      <w:proofErr w:type="spellEnd"/>
      <w:r w:rsidRPr="00353D32">
        <w:t>)</w:t>
      </w:r>
      <w:r w:rsidRPr="00353D32">
        <w:tab/>
        <w:t>quiconque détruit, falsifie, altère ou dissimule délibérément les preuves sur lesquelles se base une enquête de la Banque en matière de corruption ou de manœuvres frauduleuses, coercitives ou collusives, ou fait de fausses déclarations à ses enquêteurs destinées à entraver son enquête; ou bien  menace,</w:t>
      </w:r>
      <w:r w:rsidRPr="00353D32">
        <w:rPr>
          <w:b/>
        </w:rPr>
        <w:t xml:space="preserve"> </w:t>
      </w:r>
      <w:r w:rsidRPr="00353D32">
        <w:t xml:space="preserve">harcèle ou intimide quelqu’un aux fins de l’empêcher de faire part d’informations relatives à cette enquête, ou bien de poursuivre l’enquête; ou    </w:t>
      </w:r>
    </w:p>
    <w:p w14:paraId="16DE9B97" w14:textId="77777777" w:rsidR="00BC7757" w:rsidRPr="00353D32" w:rsidRDefault="00BC7757" w:rsidP="00BC7757">
      <w:pPr>
        <w:ind w:left="2160" w:hanging="540"/>
      </w:pPr>
      <w:r w:rsidRPr="00353D32">
        <w:t>(</w:t>
      </w:r>
      <w:proofErr w:type="spellStart"/>
      <w:r w:rsidRPr="00353D32">
        <w:t>bb</w:t>
      </w:r>
      <w:proofErr w:type="spellEnd"/>
      <w:r w:rsidRPr="00353D32">
        <w:t xml:space="preserve">) </w:t>
      </w:r>
      <w:r w:rsidRPr="00353D32">
        <w:tab/>
        <w:t>celui qui entrave délibérément l’exercice par la Banque de son droit d’examen tel que stipulé à l’Article 5.12 du CCAG.</w:t>
      </w:r>
    </w:p>
    <w:p w14:paraId="7503A354" w14:textId="77777777" w:rsidR="00BC7757" w:rsidRPr="009B6B8C" w:rsidRDefault="00BC7757" w:rsidP="002A45C1">
      <w:pPr>
        <w:pStyle w:val="Corpsdetexte"/>
        <w:numPr>
          <w:ilvl w:val="0"/>
          <w:numId w:val="118"/>
        </w:numPr>
        <w:overflowPunct w:val="0"/>
        <w:autoSpaceDE w:val="0"/>
        <w:autoSpaceDN w:val="0"/>
        <w:adjustRightInd w:val="0"/>
        <w:ind w:hanging="540"/>
        <w:textAlignment w:val="baseline"/>
        <w:rPr>
          <w:lang w:val="fr-FR"/>
        </w:rPr>
      </w:pPr>
      <w:r w:rsidRPr="00BC7757">
        <w:rPr>
          <w:lang w:val="fr-FR"/>
        </w:rPr>
        <w:t>r</w:t>
      </w:r>
      <w:r w:rsidRPr="009B6B8C">
        <w:rPr>
          <w:lang w:val="fr-FR"/>
        </w:rPr>
        <w:t xml:space="preserve">ejettera la proposition d’attribution du marché si elle établit que le soumissionnaire auquel il est recommandé d’attribuer le marché est coupable de corruption, directement ou par l’intermédiaire d’un agent, ou s’est  livré à des manœuvres frauduleuses, collusoires, coercitives ou obstructives en vue de l’obtention de ce marché; </w:t>
      </w:r>
    </w:p>
    <w:p w14:paraId="279DC58D" w14:textId="77777777" w:rsidR="00BC7757" w:rsidRPr="009B6B8C" w:rsidRDefault="00BC7757" w:rsidP="002A45C1">
      <w:pPr>
        <w:pStyle w:val="Corpsdetexte"/>
        <w:numPr>
          <w:ilvl w:val="0"/>
          <w:numId w:val="118"/>
        </w:numPr>
        <w:overflowPunct w:val="0"/>
        <w:autoSpaceDE w:val="0"/>
        <w:autoSpaceDN w:val="0"/>
        <w:adjustRightInd w:val="0"/>
        <w:ind w:hanging="540"/>
        <w:textAlignment w:val="baseline"/>
        <w:rPr>
          <w:lang w:val="fr-FR"/>
        </w:rPr>
      </w:pPr>
      <w:r w:rsidRPr="009B6B8C">
        <w:rPr>
          <w:lang w:val="fr-FR"/>
        </w:rPr>
        <w:t>déclarera la passation du marché non-conforme et annulera la fraction du prêt allouée à celui-ci si elle détermine, à un moment quelconque, que les représentants de l’Emprunteur ou d’un bénéficiaire du prêt s’est livré à la corruption ou à des manœuvres frauduleuses, collusoires ou coercitives pendant la procédure de passation du marché ou l’exécution du marché sans que l’Emprunteur ait pris, en temps voulu et à la satisfaction de la Banque, les mesures nécessaires pour remédier à cette situation , y compris en manquant à son devoir d’informer la Banque lorsqu’il a eu connaissance de telles manœuvres;</w:t>
      </w:r>
    </w:p>
    <w:p w14:paraId="6AB08BC2" w14:textId="77777777" w:rsidR="00BC7757" w:rsidRPr="009B6B8C" w:rsidRDefault="00BC7757" w:rsidP="002A45C1">
      <w:pPr>
        <w:pStyle w:val="Corpsdetexte"/>
        <w:numPr>
          <w:ilvl w:val="0"/>
          <w:numId w:val="118"/>
        </w:numPr>
        <w:overflowPunct w:val="0"/>
        <w:autoSpaceDE w:val="0"/>
        <w:autoSpaceDN w:val="0"/>
        <w:adjustRightInd w:val="0"/>
        <w:ind w:hanging="540"/>
        <w:textAlignment w:val="baseline"/>
        <w:rPr>
          <w:lang w:val="fr-FR"/>
        </w:rPr>
      </w:pPr>
      <w:r w:rsidRPr="009B6B8C">
        <w:rPr>
          <w:lang w:val="fr-FR"/>
        </w:rPr>
        <w:t xml:space="preserve">sanctionnera une entreprise </w:t>
      </w:r>
      <w:r w:rsidRPr="009B6B8C">
        <w:rPr>
          <w:szCs w:val="24"/>
          <w:lang w:val="fr-FR"/>
        </w:rPr>
        <w:t>ou un individu, à tout moment et conformément aux procédures de sanctions de la Banque</w:t>
      </w:r>
      <w:r w:rsidRPr="009B6B8C">
        <w:rPr>
          <w:rStyle w:val="Appelnotedebasdep"/>
          <w:szCs w:val="24"/>
          <w:lang w:val="fr-FR"/>
        </w:rPr>
        <w:footnoteReference w:id="29"/>
      </w:r>
      <w:r w:rsidRPr="009B6B8C">
        <w:rPr>
          <w:szCs w:val="24"/>
          <w:lang w:val="fr-FR"/>
        </w:rPr>
        <w:t>, y compris en déclarant publiquement l’exclusion de l’entreprise ou de l’individu pour une période indéfinie ou déterminée (i) de toute attribution des marchés financés par la Banque, et (ii)  de toute désignation</w:t>
      </w:r>
      <w:r w:rsidRPr="009B6B8C">
        <w:rPr>
          <w:rStyle w:val="Appelnotedebasdep"/>
          <w:szCs w:val="24"/>
          <w:lang w:val="fr-FR"/>
        </w:rPr>
        <w:footnoteReference w:id="30"/>
      </w:r>
      <w:r w:rsidRPr="009B6B8C">
        <w:rPr>
          <w:szCs w:val="24"/>
          <w:lang w:val="fr-FR"/>
        </w:rPr>
        <w:t xml:space="preserve">  comme sous-traitant, consultant, fabricant ou fournisseur de biens ou prestataire de services d’une entreprise par ailleurs éligible à l’attribution d’un marché financé par la Banque ; »  </w:t>
      </w:r>
    </w:p>
    <w:p w14:paraId="11EE9401" w14:textId="77777777" w:rsidR="00BC7757" w:rsidRPr="009B6B8C" w:rsidRDefault="00BC7757" w:rsidP="00BC7757"/>
    <w:p w14:paraId="58B0E728" w14:textId="09D365B0" w:rsidR="00BC7757" w:rsidRPr="00853F92" w:rsidRDefault="00BC7757">
      <w:pPr>
        <w:rPr>
          <w:bCs/>
          <w:szCs w:val="24"/>
          <w:lang w:eastAsia="en-US"/>
        </w:rPr>
      </w:pPr>
      <w:r w:rsidRPr="00853F92">
        <w:rPr>
          <w:bCs/>
          <w:szCs w:val="24"/>
          <w:lang w:eastAsia="en-US"/>
        </w:rPr>
        <w:br w:type="page"/>
      </w:r>
    </w:p>
    <w:p w14:paraId="0233E718" w14:textId="7F70608B" w:rsidR="00253346" w:rsidRPr="00853F92" w:rsidRDefault="00913904" w:rsidP="00253346">
      <w:pPr>
        <w:spacing w:before="240" w:after="0"/>
        <w:ind w:left="0" w:firstLine="0"/>
        <w:jc w:val="center"/>
        <w:rPr>
          <w:b/>
          <w:sz w:val="36"/>
          <w:szCs w:val="36"/>
          <w:lang w:eastAsia="en-US"/>
        </w:rPr>
      </w:pPr>
      <w:bookmarkStart w:id="855" w:name="_Toc348175653"/>
      <w:bookmarkEnd w:id="721"/>
      <w:r w:rsidRPr="00853F92">
        <w:rPr>
          <w:b/>
          <w:sz w:val="36"/>
          <w:szCs w:val="36"/>
          <w:lang w:eastAsia="en-US"/>
        </w:rPr>
        <w:t>Annexe 2 au Cahier des Clauses Administratives Générales</w:t>
      </w:r>
      <w:r w:rsidR="009B2302" w:rsidRPr="00853F92">
        <w:rPr>
          <w:b/>
          <w:sz w:val="36"/>
          <w:szCs w:val="36"/>
          <w:lang w:eastAsia="en-US"/>
        </w:rPr>
        <w:t> :</w:t>
      </w:r>
      <w:r w:rsidRPr="00853F92">
        <w:rPr>
          <w:b/>
          <w:sz w:val="36"/>
          <w:szCs w:val="36"/>
          <w:lang w:eastAsia="en-US"/>
        </w:rPr>
        <w:t xml:space="preserve"> </w:t>
      </w:r>
    </w:p>
    <w:p w14:paraId="7042B435" w14:textId="72D5B45D" w:rsidR="00913904" w:rsidRPr="00853F92" w:rsidRDefault="00913904" w:rsidP="00253346">
      <w:pPr>
        <w:spacing w:before="240" w:after="240"/>
        <w:ind w:left="0" w:firstLine="0"/>
        <w:jc w:val="center"/>
        <w:rPr>
          <w:b/>
          <w:sz w:val="36"/>
          <w:szCs w:val="36"/>
          <w:lang w:eastAsia="en-US"/>
        </w:rPr>
      </w:pPr>
      <w:r w:rsidRPr="00853F92">
        <w:rPr>
          <w:b/>
          <w:sz w:val="36"/>
          <w:szCs w:val="36"/>
          <w:lang w:eastAsia="en-US"/>
        </w:rPr>
        <w:t>Indicateurs de performance des dispositions environnementales, sociales, hygiène et sécurité</w:t>
      </w:r>
    </w:p>
    <w:p w14:paraId="3A240969" w14:textId="757C2A72" w:rsidR="00913904" w:rsidRPr="00853F92" w:rsidRDefault="00913904" w:rsidP="00913904">
      <w:pPr>
        <w:spacing w:after="120"/>
        <w:rPr>
          <w:rFonts w:asciiTheme="majorBidi" w:hAnsiTheme="majorBidi" w:cstheme="majorBidi"/>
        </w:rPr>
      </w:pPr>
      <w:r w:rsidRPr="00853F92">
        <w:rPr>
          <w:rFonts w:asciiTheme="majorBidi" w:hAnsiTheme="majorBidi" w:cstheme="majorBidi"/>
        </w:rPr>
        <w:t>Indicateurs pour les rapports périodiques</w:t>
      </w:r>
      <w:r w:rsidR="009B2302" w:rsidRPr="00853F92">
        <w:rPr>
          <w:rFonts w:asciiTheme="majorBidi" w:hAnsiTheme="majorBidi" w:cstheme="majorBidi"/>
        </w:rPr>
        <w:t> :</w:t>
      </w:r>
    </w:p>
    <w:p w14:paraId="1389E135" w14:textId="5D901865" w:rsidR="00913904" w:rsidRPr="00853F92" w:rsidRDefault="00913904" w:rsidP="002A45C1">
      <w:pPr>
        <w:numPr>
          <w:ilvl w:val="0"/>
          <w:numId w:val="63"/>
        </w:numPr>
        <w:spacing w:after="120"/>
        <w:rPr>
          <w:rFonts w:asciiTheme="majorBidi" w:hAnsiTheme="majorBidi" w:cstheme="majorBidi"/>
        </w:rPr>
      </w:pPr>
      <w:r w:rsidRPr="00853F92">
        <w:rPr>
          <w:rFonts w:asciiTheme="majorBidi" w:hAnsiTheme="majorBidi" w:cstheme="majorBidi"/>
        </w:rPr>
        <w:t>Incidents environnementaux ou non conformités avec les exigences contractuelles, y</w:t>
      </w:r>
      <w:r w:rsidR="006307C4" w:rsidRPr="00853F92">
        <w:rPr>
          <w:rFonts w:asciiTheme="majorBidi" w:hAnsiTheme="majorBidi" w:cstheme="majorBidi"/>
        </w:rPr>
        <w:t> </w:t>
      </w:r>
      <w:r w:rsidRPr="00853F92">
        <w:rPr>
          <w:rFonts w:asciiTheme="majorBidi" w:hAnsiTheme="majorBidi" w:cstheme="majorBidi"/>
        </w:rPr>
        <w:t>compris contamination, pollution ou dommage aux sols ou aux ressources en eau</w:t>
      </w:r>
      <w:r w:rsidR="009B2302" w:rsidRPr="00853F92">
        <w:rPr>
          <w:rFonts w:asciiTheme="majorBidi" w:hAnsiTheme="majorBidi" w:cstheme="majorBidi"/>
        </w:rPr>
        <w:t> ;</w:t>
      </w:r>
    </w:p>
    <w:p w14:paraId="2B915C7C" w14:textId="1865C36F" w:rsidR="00913904" w:rsidRPr="00853F92" w:rsidRDefault="00913904" w:rsidP="002A45C1">
      <w:pPr>
        <w:numPr>
          <w:ilvl w:val="0"/>
          <w:numId w:val="63"/>
        </w:numPr>
        <w:spacing w:after="120"/>
        <w:rPr>
          <w:rFonts w:asciiTheme="majorBidi" w:hAnsiTheme="majorBidi" w:cstheme="majorBidi"/>
        </w:rPr>
      </w:pPr>
      <w:r w:rsidRPr="00853F92">
        <w:rPr>
          <w:rFonts w:asciiTheme="majorBidi" w:hAnsiTheme="majorBidi" w:cstheme="majorBidi"/>
        </w:rPr>
        <w:t>Incidents relatifs à l’hygiène et la sécurité, accidents, blessures et toutes victimes ayant nécessité des soins</w:t>
      </w:r>
      <w:r w:rsidR="009B2302" w:rsidRPr="00853F92">
        <w:rPr>
          <w:rFonts w:asciiTheme="majorBidi" w:hAnsiTheme="majorBidi" w:cstheme="majorBidi"/>
        </w:rPr>
        <w:t> ;</w:t>
      </w:r>
    </w:p>
    <w:p w14:paraId="0295DDAA" w14:textId="268F20C0" w:rsidR="00913904" w:rsidRPr="00853F92" w:rsidRDefault="00913904" w:rsidP="002A45C1">
      <w:pPr>
        <w:numPr>
          <w:ilvl w:val="0"/>
          <w:numId w:val="63"/>
        </w:numPr>
        <w:spacing w:after="120"/>
        <w:rPr>
          <w:rFonts w:asciiTheme="majorBidi" w:hAnsiTheme="majorBidi" w:cstheme="majorBidi"/>
        </w:rPr>
      </w:pPr>
      <w:r w:rsidRPr="00853F92">
        <w:rPr>
          <w:rFonts w:asciiTheme="majorBidi" w:hAnsiTheme="majorBidi" w:cstheme="majorBidi"/>
        </w:rPr>
        <w:t>Interactions avec les autorités de régulation</w:t>
      </w:r>
      <w:r w:rsidR="009B2302" w:rsidRPr="00853F92">
        <w:rPr>
          <w:rFonts w:asciiTheme="majorBidi" w:hAnsiTheme="majorBidi" w:cstheme="majorBidi"/>
        </w:rPr>
        <w:t> :</w:t>
      </w:r>
      <w:r w:rsidRPr="00853F92">
        <w:rPr>
          <w:rFonts w:asciiTheme="majorBidi" w:hAnsiTheme="majorBidi" w:cstheme="majorBidi"/>
        </w:rPr>
        <w:t xml:space="preserve"> identifier l’agence, dates, objet, résultats (indiquer le résultat négatif en cas de non résultat)</w:t>
      </w:r>
      <w:r w:rsidR="009B2302" w:rsidRPr="00853F92">
        <w:rPr>
          <w:rFonts w:asciiTheme="majorBidi" w:hAnsiTheme="majorBidi" w:cstheme="majorBidi"/>
        </w:rPr>
        <w:t> ;</w:t>
      </w:r>
    </w:p>
    <w:p w14:paraId="4A65635A" w14:textId="73198C5C" w:rsidR="00913904" w:rsidRPr="00853F92" w:rsidRDefault="00913904" w:rsidP="002A45C1">
      <w:pPr>
        <w:numPr>
          <w:ilvl w:val="0"/>
          <w:numId w:val="63"/>
        </w:numPr>
        <w:spacing w:after="120"/>
        <w:rPr>
          <w:rFonts w:asciiTheme="majorBidi" w:hAnsiTheme="majorBidi" w:cstheme="majorBidi"/>
        </w:rPr>
      </w:pPr>
      <w:r w:rsidRPr="00853F92">
        <w:rPr>
          <w:rFonts w:asciiTheme="majorBidi" w:hAnsiTheme="majorBidi" w:cstheme="majorBidi"/>
        </w:rPr>
        <w:t>Etats de tous les permis et accords</w:t>
      </w:r>
      <w:r w:rsidR="009B2302" w:rsidRPr="00853F92">
        <w:rPr>
          <w:rFonts w:asciiTheme="majorBidi" w:hAnsiTheme="majorBidi" w:cstheme="majorBidi"/>
        </w:rPr>
        <w:t> :</w:t>
      </w:r>
    </w:p>
    <w:p w14:paraId="2EA14E10" w14:textId="169B515C" w:rsidR="00913904" w:rsidRPr="00853F92" w:rsidRDefault="00913904" w:rsidP="002A45C1">
      <w:pPr>
        <w:numPr>
          <w:ilvl w:val="1"/>
          <w:numId w:val="63"/>
        </w:numPr>
        <w:spacing w:after="120"/>
        <w:ind w:left="1232"/>
        <w:rPr>
          <w:rFonts w:asciiTheme="majorBidi" w:hAnsiTheme="majorBidi" w:cstheme="majorBidi"/>
        </w:rPr>
      </w:pPr>
      <w:r w:rsidRPr="00853F92">
        <w:rPr>
          <w:rFonts w:asciiTheme="majorBidi" w:hAnsiTheme="majorBidi" w:cstheme="majorBidi"/>
        </w:rPr>
        <w:t>Permis de travail</w:t>
      </w:r>
      <w:r w:rsidR="009B2302" w:rsidRPr="00853F92">
        <w:rPr>
          <w:rFonts w:asciiTheme="majorBidi" w:hAnsiTheme="majorBidi" w:cstheme="majorBidi"/>
        </w:rPr>
        <w:t> :</w:t>
      </w:r>
      <w:r w:rsidRPr="00853F92">
        <w:rPr>
          <w:rFonts w:asciiTheme="majorBidi" w:hAnsiTheme="majorBidi" w:cstheme="majorBidi"/>
        </w:rPr>
        <w:t xml:space="preserve"> nombre de permis requis, nombre de permis obtenus, actions entreprises pour les permis non obtenus</w:t>
      </w:r>
      <w:r w:rsidR="009B2302" w:rsidRPr="00853F92">
        <w:rPr>
          <w:rFonts w:asciiTheme="majorBidi" w:hAnsiTheme="majorBidi" w:cstheme="majorBidi"/>
        </w:rPr>
        <w:t> ;</w:t>
      </w:r>
    </w:p>
    <w:p w14:paraId="7D3C8889" w14:textId="3EC76DC4" w:rsidR="00913904" w:rsidRPr="00853F92" w:rsidRDefault="00913904" w:rsidP="002A45C1">
      <w:pPr>
        <w:numPr>
          <w:ilvl w:val="1"/>
          <w:numId w:val="63"/>
        </w:numPr>
        <w:spacing w:after="120"/>
        <w:ind w:left="1232"/>
        <w:rPr>
          <w:rFonts w:asciiTheme="majorBidi" w:hAnsiTheme="majorBidi" w:cstheme="majorBidi"/>
        </w:rPr>
      </w:pPr>
      <w:r w:rsidRPr="00853F92">
        <w:rPr>
          <w:rFonts w:asciiTheme="majorBidi" w:hAnsiTheme="majorBidi" w:cstheme="majorBidi"/>
        </w:rPr>
        <w:t>Situation des permis et consentements</w:t>
      </w:r>
      <w:r w:rsidR="009B2302" w:rsidRPr="00853F92">
        <w:rPr>
          <w:rFonts w:asciiTheme="majorBidi" w:hAnsiTheme="majorBidi" w:cstheme="majorBidi"/>
        </w:rPr>
        <w:t> :</w:t>
      </w:r>
    </w:p>
    <w:p w14:paraId="164EEFFA" w14:textId="77777777" w:rsidR="00913904" w:rsidRPr="00853F92" w:rsidRDefault="00913904" w:rsidP="002A45C1">
      <w:pPr>
        <w:numPr>
          <w:ilvl w:val="2"/>
          <w:numId w:val="63"/>
        </w:numPr>
        <w:spacing w:after="120"/>
        <w:ind w:left="1428"/>
        <w:rPr>
          <w:rFonts w:asciiTheme="majorBidi" w:hAnsiTheme="majorBidi" w:cstheme="majorBidi"/>
        </w:rPr>
      </w:pPr>
      <w:r w:rsidRPr="00853F92">
        <w:rPr>
          <w:rFonts w:asciiTheme="majorBidi" w:hAnsiTheme="majorBidi" w:cstheme="majorBidi"/>
        </w:rPr>
        <w:t>Liste des zones/installations nécessitant un permis (carrières, centrales d’enrobage), la date de demande, la date d’obtention (actions de suivi pour les permis non obtenus), date de présentation au Directeur de travaux (ou représentant), état de la zone (attente de permis, en activité, abandonné sans remise en état, plan de restauration en cours de mise en œuvre, etc.)</w:t>
      </w:r>
    </w:p>
    <w:p w14:paraId="6D58F534" w14:textId="170E1FFD" w:rsidR="00913904" w:rsidRPr="00853F92" w:rsidRDefault="00913904" w:rsidP="002A45C1">
      <w:pPr>
        <w:numPr>
          <w:ilvl w:val="2"/>
          <w:numId w:val="63"/>
        </w:numPr>
        <w:spacing w:after="120"/>
        <w:ind w:left="1428"/>
        <w:rPr>
          <w:rFonts w:asciiTheme="majorBidi" w:hAnsiTheme="majorBidi" w:cstheme="majorBidi"/>
        </w:rPr>
      </w:pPr>
      <w:r w:rsidRPr="00853F92">
        <w:rPr>
          <w:rFonts w:asciiTheme="majorBidi" w:hAnsiTheme="majorBidi" w:cstheme="majorBidi"/>
        </w:rPr>
        <w:t>Liste de zones nécessitant l’accord du propriétaire (zone d’emprunt ou de dépôt, site de camp), date de présentation au Directeur de travaux (ou représentant)</w:t>
      </w:r>
      <w:r w:rsidR="009B2302" w:rsidRPr="00853F92">
        <w:rPr>
          <w:rFonts w:asciiTheme="majorBidi" w:hAnsiTheme="majorBidi" w:cstheme="majorBidi"/>
        </w:rPr>
        <w:t> ;</w:t>
      </w:r>
    </w:p>
    <w:p w14:paraId="08C3AC41" w14:textId="2B2D0074" w:rsidR="00913904" w:rsidRPr="00853F92" w:rsidRDefault="00913904" w:rsidP="002A45C1">
      <w:pPr>
        <w:numPr>
          <w:ilvl w:val="2"/>
          <w:numId w:val="63"/>
        </w:numPr>
        <w:spacing w:after="120"/>
        <w:ind w:left="1428"/>
        <w:rPr>
          <w:rFonts w:asciiTheme="majorBidi" w:hAnsiTheme="majorBidi" w:cstheme="majorBidi"/>
        </w:rPr>
      </w:pPr>
      <w:r w:rsidRPr="00853F92">
        <w:rPr>
          <w:rFonts w:asciiTheme="majorBidi" w:hAnsiTheme="majorBidi" w:cstheme="majorBidi"/>
        </w:rPr>
        <w:t>Identifier les activités principales entreprises sur chacune des zones durant le mois passé et les grandes lignes des actions de protection environnementale et sociale (préparation du site/déboisement, marquage des limites/bornage, récupération de la terre végétale, gestion de la circulation, planification de la restauration/démobilisation, mise en œuvre de la restauration/démobilisation)</w:t>
      </w:r>
      <w:r w:rsidR="009B2302" w:rsidRPr="00853F92">
        <w:rPr>
          <w:rFonts w:asciiTheme="majorBidi" w:hAnsiTheme="majorBidi" w:cstheme="majorBidi"/>
        </w:rPr>
        <w:t> ;</w:t>
      </w:r>
    </w:p>
    <w:p w14:paraId="55B3DD81" w14:textId="0E0BE2FA" w:rsidR="00913904" w:rsidRPr="00853F92" w:rsidRDefault="00913904" w:rsidP="002A45C1">
      <w:pPr>
        <w:numPr>
          <w:ilvl w:val="2"/>
          <w:numId w:val="63"/>
        </w:numPr>
        <w:spacing w:after="120"/>
        <w:ind w:left="1428"/>
        <w:rPr>
          <w:rFonts w:asciiTheme="majorBidi" w:hAnsiTheme="majorBidi" w:cstheme="majorBidi"/>
        </w:rPr>
      </w:pPr>
      <w:r w:rsidRPr="00853F92">
        <w:rPr>
          <w:rFonts w:asciiTheme="majorBidi" w:hAnsiTheme="majorBidi" w:cstheme="majorBidi"/>
        </w:rPr>
        <w:t>Pour les carrières</w:t>
      </w:r>
      <w:r w:rsidR="009B2302" w:rsidRPr="00853F92">
        <w:rPr>
          <w:rFonts w:asciiTheme="majorBidi" w:hAnsiTheme="majorBidi" w:cstheme="majorBidi"/>
        </w:rPr>
        <w:t> :</w:t>
      </w:r>
      <w:r w:rsidRPr="00853F92">
        <w:rPr>
          <w:rFonts w:asciiTheme="majorBidi" w:hAnsiTheme="majorBidi" w:cstheme="majorBidi"/>
        </w:rPr>
        <w:t xml:space="preserve"> le point des relogements et dédommagements (accompli ou détail des activités du mois et situation présente).</w:t>
      </w:r>
    </w:p>
    <w:p w14:paraId="704577ED" w14:textId="58B3752E" w:rsidR="00913904" w:rsidRPr="00853F92" w:rsidRDefault="00913904" w:rsidP="002A45C1">
      <w:pPr>
        <w:numPr>
          <w:ilvl w:val="0"/>
          <w:numId w:val="63"/>
        </w:numPr>
        <w:spacing w:after="120"/>
        <w:rPr>
          <w:rFonts w:asciiTheme="majorBidi" w:hAnsiTheme="majorBidi" w:cstheme="majorBidi"/>
        </w:rPr>
      </w:pPr>
      <w:r w:rsidRPr="00853F92">
        <w:rPr>
          <w:rFonts w:asciiTheme="majorBidi" w:hAnsiTheme="majorBidi" w:cstheme="majorBidi"/>
        </w:rPr>
        <w:t>Supervision de l’hygiène et la sécurité</w:t>
      </w:r>
      <w:r w:rsidR="009B2302" w:rsidRPr="00853F92">
        <w:rPr>
          <w:rFonts w:asciiTheme="majorBidi" w:hAnsiTheme="majorBidi" w:cstheme="majorBidi"/>
        </w:rPr>
        <w:t> :</w:t>
      </w:r>
    </w:p>
    <w:p w14:paraId="3416A5AD" w14:textId="602C541E" w:rsidR="00913904" w:rsidRPr="00853F92" w:rsidRDefault="00913904" w:rsidP="002A45C1">
      <w:pPr>
        <w:numPr>
          <w:ilvl w:val="1"/>
          <w:numId w:val="63"/>
        </w:numPr>
        <w:spacing w:after="120"/>
        <w:ind w:left="1232"/>
        <w:rPr>
          <w:rFonts w:asciiTheme="majorBidi" w:hAnsiTheme="majorBidi" w:cstheme="majorBidi"/>
        </w:rPr>
      </w:pPr>
      <w:r w:rsidRPr="00853F92">
        <w:rPr>
          <w:rFonts w:asciiTheme="majorBidi" w:hAnsiTheme="majorBidi" w:cstheme="majorBidi"/>
        </w:rPr>
        <w:t>Responsable de sécurité</w:t>
      </w:r>
      <w:r w:rsidR="009B2302" w:rsidRPr="00853F92">
        <w:rPr>
          <w:rFonts w:asciiTheme="majorBidi" w:hAnsiTheme="majorBidi" w:cstheme="majorBidi"/>
        </w:rPr>
        <w:t> :</w:t>
      </w:r>
      <w:r w:rsidRPr="00853F92">
        <w:rPr>
          <w:rFonts w:asciiTheme="majorBidi" w:hAnsiTheme="majorBidi" w:cstheme="majorBidi"/>
        </w:rPr>
        <w:t xml:space="preserve"> nombre de jours travaillés, nombre d’inspections complètes et partielles, compte-rendu effectués aux responsables du projet ou des travaux</w:t>
      </w:r>
      <w:r w:rsidR="009B2302" w:rsidRPr="00853F92">
        <w:rPr>
          <w:rFonts w:asciiTheme="majorBidi" w:hAnsiTheme="majorBidi" w:cstheme="majorBidi"/>
        </w:rPr>
        <w:t> ;</w:t>
      </w:r>
    </w:p>
    <w:p w14:paraId="63DEAAF2" w14:textId="44FEE37A" w:rsidR="00913904" w:rsidRDefault="00913904" w:rsidP="002A45C1">
      <w:pPr>
        <w:numPr>
          <w:ilvl w:val="1"/>
          <w:numId w:val="63"/>
        </w:numPr>
        <w:spacing w:after="120"/>
        <w:ind w:left="1232"/>
        <w:rPr>
          <w:rFonts w:asciiTheme="majorBidi" w:hAnsiTheme="majorBidi" w:cstheme="majorBidi"/>
        </w:rPr>
      </w:pPr>
      <w:r w:rsidRPr="00853F92">
        <w:rPr>
          <w:rFonts w:asciiTheme="majorBidi" w:hAnsiTheme="majorBidi" w:cstheme="majorBidi"/>
        </w:rPr>
        <w:t>Nombre de travailleurs, d’heures de travail, indicateurs d’équipements de protection individuelles (EPI) utilisés (pourcentage de travailleurs dotés d’EPI complet, partiel, etc.), infractions observées commises par les travailleurs (par type d’infraction, EPI ou autres), avertissement donnés, avertissements en cas de récidives donnés, actions de suivi entreprises, le cas échéant</w:t>
      </w:r>
      <w:r w:rsidR="009B2302" w:rsidRPr="00853F92">
        <w:rPr>
          <w:rFonts w:asciiTheme="majorBidi" w:hAnsiTheme="majorBidi" w:cstheme="majorBidi"/>
        </w:rPr>
        <w:t> ;</w:t>
      </w:r>
    </w:p>
    <w:p w14:paraId="01699A83" w14:textId="77777777" w:rsidR="00C35A05" w:rsidRPr="00853F92" w:rsidRDefault="00C35A05" w:rsidP="00C35A05">
      <w:pPr>
        <w:spacing w:after="120"/>
        <w:rPr>
          <w:rFonts w:asciiTheme="majorBidi" w:hAnsiTheme="majorBidi" w:cstheme="majorBidi"/>
        </w:rPr>
      </w:pPr>
    </w:p>
    <w:p w14:paraId="70510298" w14:textId="77777777" w:rsidR="00913904" w:rsidRPr="00853F92" w:rsidRDefault="00913904" w:rsidP="002A45C1">
      <w:pPr>
        <w:numPr>
          <w:ilvl w:val="0"/>
          <w:numId w:val="63"/>
        </w:numPr>
        <w:spacing w:after="120"/>
        <w:rPr>
          <w:rFonts w:asciiTheme="majorBidi" w:hAnsiTheme="majorBidi" w:cstheme="majorBidi"/>
        </w:rPr>
      </w:pPr>
      <w:r w:rsidRPr="00853F92">
        <w:rPr>
          <w:rFonts w:asciiTheme="majorBidi" w:hAnsiTheme="majorBidi" w:cstheme="majorBidi"/>
        </w:rPr>
        <w:t>Logement des travailleurs</w:t>
      </w:r>
      <w:r w:rsidR="009B2302" w:rsidRPr="00853F92">
        <w:rPr>
          <w:rFonts w:asciiTheme="majorBidi" w:hAnsiTheme="majorBidi" w:cstheme="majorBidi"/>
        </w:rPr>
        <w:t> :</w:t>
      </w:r>
    </w:p>
    <w:p w14:paraId="6EDD64A5" w14:textId="5DD1B9D5" w:rsidR="00913904" w:rsidRPr="00853F92" w:rsidRDefault="00913904" w:rsidP="002A45C1">
      <w:pPr>
        <w:numPr>
          <w:ilvl w:val="1"/>
          <w:numId w:val="63"/>
        </w:numPr>
        <w:spacing w:after="120"/>
        <w:ind w:left="1232"/>
        <w:rPr>
          <w:rFonts w:asciiTheme="majorBidi" w:hAnsiTheme="majorBidi" w:cstheme="majorBidi"/>
        </w:rPr>
      </w:pPr>
      <w:r w:rsidRPr="00853F92">
        <w:rPr>
          <w:rFonts w:asciiTheme="majorBidi" w:hAnsiTheme="majorBidi" w:cstheme="majorBidi"/>
        </w:rPr>
        <w:t>Nombre de personnels expatriés hébergés dans les installations, nombre de personnel local</w:t>
      </w:r>
      <w:r w:rsidR="009B2302" w:rsidRPr="00853F92">
        <w:rPr>
          <w:rFonts w:asciiTheme="majorBidi" w:hAnsiTheme="majorBidi" w:cstheme="majorBidi"/>
        </w:rPr>
        <w:t> ;</w:t>
      </w:r>
    </w:p>
    <w:p w14:paraId="3E6B0FA5" w14:textId="28D2A59E" w:rsidR="00913904" w:rsidRPr="00853F92" w:rsidRDefault="00913904" w:rsidP="002A45C1">
      <w:pPr>
        <w:numPr>
          <w:ilvl w:val="1"/>
          <w:numId w:val="63"/>
        </w:numPr>
        <w:spacing w:after="120"/>
        <w:ind w:left="1232"/>
        <w:rPr>
          <w:rFonts w:asciiTheme="majorBidi" w:hAnsiTheme="majorBidi" w:cstheme="majorBidi"/>
        </w:rPr>
      </w:pPr>
      <w:r w:rsidRPr="00853F92">
        <w:rPr>
          <w:rFonts w:asciiTheme="majorBidi" w:hAnsiTheme="majorBidi" w:cstheme="majorBidi"/>
        </w:rPr>
        <w:t>Date de la dernière inspection, et principales constatations effectuées lors de l’inspection, y compris la conformité des hébergements avec la réglementation nationale et locale et avec les bonnes pratiques, incluant l’assainissement /sanitaires, l’espace, etc.</w:t>
      </w:r>
      <w:r w:rsidR="009B2302" w:rsidRPr="00853F92">
        <w:rPr>
          <w:rFonts w:asciiTheme="majorBidi" w:hAnsiTheme="majorBidi" w:cstheme="majorBidi"/>
        </w:rPr>
        <w:t> :</w:t>
      </w:r>
    </w:p>
    <w:p w14:paraId="2C43F09A" w14:textId="6639E8DF" w:rsidR="00913904" w:rsidRPr="00853F92" w:rsidRDefault="00913904" w:rsidP="002A45C1">
      <w:pPr>
        <w:numPr>
          <w:ilvl w:val="1"/>
          <w:numId w:val="63"/>
        </w:numPr>
        <w:spacing w:after="120"/>
        <w:ind w:left="1232"/>
        <w:rPr>
          <w:rFonts w:asciiTheme="majorBidi" w:hAnsiTheme="majorBidi" w:cstheme="majorBidi"/>
        </w:rPr>
      </w:pPr>
      <w:r w:rsidRPr="00853F92">
        <w:rPr>
          <w:rFonts w:asciiTheme="majorBidi" w:hAnsiTheme="majorBidi" w:cstheme="majorBidi"/>
        </w:rPr>
        <w:t>Actions entreprises pour recommander/demander des conditions améliorées, ou pour améliorer les conditions.</w:t>
      </w:r>
    </w:p>
    <w:p w14:paraId="45721E9C" w14:textId="11C03FF7" w:rsidR="00913904" w:rsidRPr="00853F92" w:rsidRDefault="00913904" w:rsidP="002A45C1">
      <w:pPr>
        <w:numPr>
          <w:ilvl w:val="0"/>
          <w:numId w:val="63"/>
        </w:numPr>
        <w:spacing w:after="120"/>
        <w:rPr>
          <w:rFonts w:asciiTheme="majorBidi" w:hAnsiTheme="majorBidi" w:cstheme="majorBidi"/>
        </w:rPr>
      </w:pPr>
      <w:r w:rsidRPr="00853F92">
        <w:rPr>
          <w:rFonts w:asciiTheme="majorBidi" w:hAnsiTheme="majorBidi" w:cstheme="majorBidi"/>
        </w:rPr>
        <w:t>VIH/SIDA</w:t>
      </w:r>
      <w:r w:rsidR="009B2302" w:rsidRPr="00853F92">
        <w:rPr>
          <w:rFonts w:asciiTheme="majorBidi" w:hAnsiTheme="majorBidi" w:cstheme="majorBidi"/>
        </w:rPr>
        <w:t> :</w:t>
      </w:r>
      <w:r w:rsidRPr="00853F92">
        <w:rPr>
          <w:rFonts w:asciiTheme="majorBidi" w:hAnsiTheme="majorBidi" w:cstheme="majorBidi"/>
        </w:rPr>
        <w:t xml:space="preserve"> fournisseur de services de santé, information et/ou formation, localisation de clinique, nombre de malades et de traitements de maladies et diagnostics (ne pas fournir de noms de patients)</w:t>
      </w:r>
      <w:r w:rsidR="009B2302" w:rsidRPr="00853F92">
        <w:rPr>
          <w:rFonts w:asciiTheme="majorBidi" w:hAnsiTheme="majorBidi" w:cstheme="majorBidi"/>
        </w:rPr>
        <w:t> ;</w:t>
      </w:r>
    </w:p>
    <w:p w14:paraId="460D1845" w14:textId="0B7E387B" w:rsidR="00913904" w:rsidRPr="00853F92" w:rsidRDefault="00913904" w:rsidP="002A45C1">
      <w:pPr>
        <w:numPr>
          <w:ilvl w:val="0"/>
          <w:numId w:val="63"/>
        </w:numPr>
        <w:spacing w:after="120"/>
        <w:rPr>
          <w:rFonts w:asciiTheme="majorBidi" w:hAnsiTheme="majorBidi" w:cstheme="majorBidi"/>
        </w:rPr>
      </w:pPr>
      <w:r w:rsidRPr="00853F92">
        <w:rPr>
          <w:rFonts w:asciiTheme="majorBidi" w:hAnsiTheme="majorBidi" w:cstheme="majorBidi"/>
        </w:rPr>
        <w:t>Genre (pour expatriés et locaux séparément)</w:t>
      </w:r>
      <w:r w:rsidR="009B2302" w:rsidRPr="00853F92">
        <w:rPr>
          <w:rFonts w:asciiTheme="majorBidi" w:hAnsiTheme="majorBidi" w:cstheme="majorBidi"/>
        </w:rPr>
        <w:t> :</w:t>
      </w:r>
      <w:r w:rsidRPr="00853F92">
        <w:rPr>
          <w:rFonts w:asciiTheme="majorBidi" w:hAnsiTheme="majorBidi" w:cstheme="majorBidi"/>
        </w:rPr>
        <w:t xml:space="preserve"> nombre de travailleurs femmes, pourcentage de la main d’œuvre, problème </w:t>
      </w:r>
      <w:proofErr w:type="spellStart"/>
      <w:r w:rsidRPr="00853F92">
        <w:rPr>
          <w:rFonts w:asciiTheme="majorBidi" w:hAnsiTheme="majorBidi" w:cstheme="majorBidi"/>
        </w:rPr>
        <w:t>sexo</w:t>
      </w:r>
      <w:proofErr w:type="spellEnd"/>
      <w:r w:rsidRPr="00853F92">
        <w:rPr>
          <w:rFonts w:asciiTheme="majorBidi" w:hAnsiTheme="majorBidi" w:cstheme="majorBidi"/>
        </w:rPr>
        <w:t>-spécifiques rencontrés et remédiés (se référer aux sections concernant les réclamations/plaintes ou autres, selon les besoins)</w:t>
      </w:r>
      <w:r w:rsidR="009B2302" w:rsidRPr="00853F92">
        <w:rPr>
          <w:rFonts w:asciiTheme="majorBidi" w:hAnsiTheme="majorBidi" w:cstheme="majorBidi"/>
        </w:rPr>
        <w:t> ;</w:t>
      </w:r>
    </w:p>
    <w:p w14:paraId="7F68E17C" w14:textId="1510A3D7" w:rsidR="00913904" w:rsidRPr="00853F92" w:rsidRDefault="00913904" w:rsidP="002A45C1">
      <w:pPr>
        <w:numPr>
          <w:ilvl w:val="0"/>
          <w:numId w:val="63"/>
        </w:numPr>
        <w:spacing w:after="120"/>
        <w:rPr>
          <w:rFonts w:asciiTheme="majorBidi" w:hAnsiTheme="majorBidi" w:cstheme="majorBidi"/>
        </w:rPr>
      </w:pPr>
      <w:r w:rsidRPr="00853F92">
        <w:rPr>
          <w:rFonts w:asciiTheme="majorBidi" w:hAnsiTheme="majorBidi" w:cstheme="majorBidi"/>
        </w:rPr>
        <w:t>Formation</w:t>
      </w:r>
      <w:r w:rsidR="009B2302" w:rsidRPr="00853F92">
        <w:rPr>
          <w:rFonts w:asciiTheme="majorBidi" w:hAnsiTheme="majorBidi" w:cstheme="majorBidi"/>
        </w:rPr>
        <w:t> :</w:t>
      </w:r>
    </w:p>
    <w:p w14:paraId="759F4AC1" w14:textId="17809FFD" w:rsidR="00913904" w:rsidRPr="00853F92" w:rsidRDefault="00913904" w:rsidP="002A45C1">
      <w:pPr>
        <w:numPr>
          <w:ilvl w:val="1"/>
          <w:numId w:val="63"/>
        </w:numPr>
        <w:spacing w:after="120"/>
        <w:ind w:left="1274"/>
        <w:rPr>
          <w:rFonts w:asciiTheme="majorBidi" w:hAnsiTheme="majorBidi" w:cstheme="majorBidi"/>
        </w:rPr>
      </w:pPr>
      <w:r w:rsidRPr="00853F92">
        <w:rPr>
          <w:rFonts w:asciiTheme="majorBidi" w:hAnsiTheme="majorBidi" w:cstheme="majorBidi"/>
        </w:rPr>
        <w:t>Nombre de nouveaux travailleurs, nombre ayant reçu une formation initiale, dates de ces formations</w:t>
      </w:r>
      <w:r w:rsidR="009B2302" w:rsidRPr="00853F92">
        <w:rPr>
          <w:rFonts w:asciiTheme="majorBidi" w:hAnsiTheme="majorBidi" w:cstheme="majorBidi"/>
        </w:rPr>
        <w:t> ;</w:t>
      </w:r>
    </w:p>
    <w:p w14:paraId="7B03BFED" w14:textId="2DE129B7" w:rsidR="00913904" w:rsidRPr="00853F92" w:rsidRDefault="00913904" w:rsidP="002A45C1">
      <w:pPr>
        <w:numPr>
          <w:ilvl w:val="1"/>
          <w:numId w:val="63"/>
        </w:numPr>
        <w:spacing w:after="120"/>
        <w:ind w:left="1274"/>
        <w:rPr>
          <w:rFonts w:asciiTheme="majorBidi" w:hAnsiTheme="majorBidi" w:cstheme="majorBidi"/>
        </w:rPr>
      </w:pPr>
      <w:r w:rsidRPr="00853F92">
        <w:rPr>
          <w:rFonts w:asciiTheme="majorBidi" w:hAnsiTheme="majorBidi" w:cstheme="majorBidi"/>
        </w:rPr>
        <w:t xml:space="preserve">Nombre et dates de discussions concernant les </w:t>
      </w:r>
      <w:r w:rsidR="009B2302" w:rsidRPr="00853F92">
        <w:rPr>
          <w:rFonts w:asciiTheme="majorBidi" w:hAnsiTheme="majorBidi" w:cstheme="majorBidi"/>
        </w:rPr>
        <w:t>« </w:t>
      </w:r>
      <w:r w:rsidRPr="00853F92">
        <w:rPr>
          <w:rFonts w:asciiTheme="majorBidi" w:hAnsiTheme="majorBidi" w:cstheme="majorBidi"/>
        </w:rPr>
        <w:t>boites à outils</w:t>
      </w:r>
      <w:r w:rsidR="009B2302" w:rsidRPr="00853F92">
        <w:rPr>
          <w:rFonts w:asciiTheme="majorBidi" w:hAnsiTheme="majorBidi" w:cstheme="majorBidi"/>
        </w:rPr>
        <w:t> »</w:t>
      </w:r>
      <w:r w:rsidRPr="00853F92">
        <w:rPr>
          <w:rFonts w:asciiTheme="majorBidi" w:hAnsiTheme="majorBidi" w:cstheme="majorBidi"/>
        </w:rPr>
        <w:t>, nombre de travailleurs ayant reçu la formation sur la sécurité et l’hygiène au travail, la formation environnementale et sociale</w:t>
      </w:r>
      <w:r w:rsidR="009B2302" w:rsidRPr="00853F92">
        <w:rPr>
          <w:rFonts w:asciiTheme="majorBidi" w:hAnsiTheme="majorBidi" w:cstheme="majorBidi"/>
        </w:rPr>
        <w:t> ;</w:t>
      </w:r>
    </w:p>
    <w:p w14:paraId="59E6E400" w14:textId="35814CD1" w:rsidR="00913904" w:rsidRPr="00853F92" w:rsidRDefault="00913904" w:rsidP="002A45C1">
      <w:pPr>
        <w:numPr>
          <w:ilvl w:val="1"/>
          <w:numId w:val="63"/>
        </w:numPr>
        <w:spacing w:after="120"/>
        <w:ind w:left="1274"/>
        <w:rPr>
          <w:rFonts w:asciiTheme="majorBidi" w:hAnsiTheme="majorBidi" w:cstheme="majorBidi"/>
        </w:rPr>
      </w:pPr>
      <w:r w:rsidRPr="00853F92">
        <w:rPr>
          <w:rFonts w:asciiTheme="majorBidi" w:hAnsiTheme="majorBidi" w:cstheme="majorBidi"/>
        </w:rPr>
        <w:t>Nombre et dates des séances de sensibilisation au VIH/SIDA, nombre de travailleurs ayant reçu la formation (au cours de ce mois et cumulé)</w:t>
      </w:r>
      <w:r w:rsidR="009B2302" w:rsidRPr="00853F92">
        <w:rPr>
          <w:rFonts w:asciiTheme="majorBidi" w:hAnsiTheme="majorBidi" w:cstheme="majorBidi"/>
        </w:rPr>
        <w:t> ;</w:t>
      </w:r>
      <w:r w:rsidRPr="00853F92">
        <w:rPr>
          <w:rFonts w:asciiTheme="majorBidi" w:hAnsiTheme="majorBidi" w:cstheme="majorBidi"/>
        </w:rPr>
        <w:t xml:space="preserve"> question identique pour la sensibilisation </w:t>
      </w:r>
      <w:proofErr w:type="spellStart"/>
      <w:r w:rsidRPr="00853F92">
        <w:rPr>
          <w:rFonts w:asciiTheme="majorBidi" w:hAnsiTheme="majorBidi" w:cstheme="majorBidi"/>
        </w:rPr>
        <w:t>sexo</w:t>
      </w:r>
      <w:proofErr w:type="spellEnd"/>
      <w:r w:rsidRPr="00853F92">
        <w:rPr>
          <w:rFonts w:asciiTheme="majorBidi" w:hAnsiTheme="majorBidi" w:cstheme="majorBidi"/>
        </w:rPr>
        <w:t xml:space="preserve">-spécifique, formation de l’homme/la femme </w:t>
      </w:r>
      <w:r w:rsidR="009B2302" w:rsidRPr="00853F92">
        <w:rPr>
          <w:rFonts w:asciiTheme="majorBidi" w:hAnsiTheme="majorBidi" w:cstheme="majorBidi"/>
        </w:rPr>
        <w:t>« </w:t>
      </w:r>
      <w:r w:rsidRPr="00853F92">
        <w:rPr>
          <w:rFonts w:asciiTheme="majorBidi" w:hAnsiTheme="majorBidi" w:cstheme="majorBidi"/>
        </w:rPr>
        <w:t>porte drapeau</w:t>
      </w:r>
      <w:r w:rsidR="009B2302" w:rsidRPr="00853F92">
        <w:rPr>
          <w:rFonts w:asciiTheme="majorBidi" w:hAnsiTheme="majorBidi" w:cstheme="majorBidi"/>
        </w:rPr>
        <w:t> » ;</w:t>
      </w:r>
    </w:p>
    <w:p w14:paraId="09C5CC6A" w14:textId="77777777" w:rsidR="00913904" w:rsidRPr="00853F92" w:rsidRDefault="00913904" w:rsidP="002A45C1">
      <w:pPr>
        <w:numPr>
          <w:ilvl w:val="0"/>
          <w:numId w:val="63"/>
        </w:numPr>
        <w:spacing w:after="120"/>
        <w:rPr>
          <w:rFonts w:asciiTheme="majorBidi" w:hAnsiTheme="majorBidi" w:cstheme="majorBidi"/>
        </w:rPr>
      </w:pPr>
      <w:r w:rsidRPr="00853F92">
        <w:rPr>
          <w:rFonts w:asciiTheme="majorBidi" w:hAnsiTheme="majorBidi" w:cstheme="majorBidi"/>
        </w:rPr>
        <w:t>Supervision environnementale et sociale</w:t>
      </w:r>
    </w:p>
    <w:p w14:paraId="043FAE04" w14:textId="1E63EFBD" w:rsidR="00913904" w:rsidRPr="00853F92" w:rsidRDefault="00913904" w:rsidP="002A45C1">
      <w:pPr>
        <w:numPr>
          <w:ilvl w:val="1"/>
          <w:numId w:val="63"/>
        </w:numPr>
        <w:spacing w:after="120"/>
        <w:ind w:left="1218"/>
        <w:rPr>
          <w:rFonts w:asciiTheme="majorBidi" w:hAnsiTheme="majorBidi" w:cstheme="majorBidi"/>
        </w:rPr>
      </w:pPr>
      <w:r w:rsidRPr="00853F92">
        <w:rPr>
          <w:rFonts w:asciiTheme="majorBidi" w:hAnsiTheme="majorBidi" w:cstheme="majorBidi"/>
        </w:rPr>
        <w:t>Environnementaliste</w:t>
      </w:r>
      <w:r w:rsidR="009B2302" w:rsidRPr="00853F92">
        <w:rPr>
          <w:rFonts w:asciiTheme="majorBidi" w:hAnsiTheme="majorBidi" w:cstheme="majorBidi"/>
        </w:rPr>
        <w:t> :</w:t>
      </w:r>
      <w:r w:rsidRPr="00853F92">
        <w:rPr>
          <w:rFonts w:asciiTheme="majorBidi" w:hAnsiTheme="majorBidi" w:cstheme="majorBidi"/>
        </w:rPr>
        <w:t xml:space="preserve"> nombre de jours travaillés, zones inspectées et nombre d’inspections de chacune (section de route, camp, logements, carrières, zones d’emprunt, zones de dépôt, marais, traversées forestières, etc.)</w:t>
      </w:r>
      <w:r w:rsidR="009B2302" w:rsidRPr="00853F92">
        <w:rPr>
          <w:rFonts w:asciiTheme="majorBidi" w:hAnsiTheme="majorBidi" w:cstheme="majorBidi"/>
        </w:rPr>
        <w:t> ;</w:t>
      </w:r>
      <w:r w:rsidRPr="00853F92">
        <w:rPr>
          <w:rFonts w:asciiTheme="majorBidi" w:hAnsiTheme="majorBidi" w:cstheme="majorBidi"/>
        </w:rPr>
        <w:t xml:space="preserve"> grandes lignes des activités et constatations (y compris infractions aux bonnes pratiques environnementales et/ou sociales, actions entreprises), compte-rendu effectués aux responsables environnementaux/sociaux du projet ou des travaux</w:t>
      </w:r>
      <w:r w:rsidR="009B2302" w:rsidRPr="00853F92">
        <w:rPr>
          <w:rFonts w:asciiTheme="majorBidi" w:hAnsiTheme="majorBidi" w:cstheme="majorBidi"/>
        </w:rPr>
        <w:t> ;</w:t>
      </w:r>
    </w:p>
    <w:p w14:paraId="1A038913" w14:textId="4D9E9087" w:rsidR="00913904" w:rsidRPr="00853F92" w:rsidRDefault="00913904" w:rsidP="002A45C1">
      <w:pPr>
        <w:numPr>
          <w:ilvl w:val="1"/>
          <w:numId w:val="63"/>
        </w:numPr>
        <w:spacing w:after="120"/>
        <w:ind w:left="1218"/>
        <w:rPr>
          <w:rFonts w:asciiTheme="majorBidi" w:hAnsiTheme="majorBidi" w:cstheme="majorBidi"/>
        </w:rPr>
      </w:pPr>
      <w:r w:rsidRPr="00853F92">
        <w:rPr>
          <w:rFonts w:asciiTheme="majorBidi" w:hAnsiTheme="majorBidi" w:cstheme="majorBidi"/>
        </w:rPr>
        <w:t>Sociologiste</w:t>
      </w:r>
      <w:r w:rsidR="009B2302" w:rsidRPr="00853F92">
        <w:rPr>
          <w:rFonts w:asciiTheme="majorBidi" w:hAnsiTheme="majorBidi" w:cstheme="majorBidi"/>
        </w:rPr>
        <w:t> :</w:t>
      </w:r>
      <w:r w:rsidRPr="00853F92">
        <w:rPr>
          <w:rFonts w:asciiTheme="majorBidi" w:hAnsiTheme="majorBidi" w:cstheme="majorBidi"/>
        </w:rPr>
        <w:t xml:space="preserve"> nombre de jours travaillés, nombre d’inspections complètes ou partielles (par zone, section de route, camp, logements, carrières, zones d’emprunt, zones de dépôt, clinique, centre VIH/SIDA, centres communautaires, etc.)</w:t>
      </w:r>
      <w:r w:rsidR="009B2302" w:rsidRPr="00853F92">
        <w:rPr>
          <w:rFonts w:asciiTheme="majorBidi" w:hAnsiTheme="majorBidi" w:cstheme="majorBidi"/>
        </w:rPr>
        <w:t> ;</w:t>
      </w:r>
      <w:r w:rsidRPr="00853F92">
        <w:rPr>
          <w:rFonts w:asciiTheme="majorBidi" w:hAnsiTheme="majorBidi" w:cstheme="majorBidi"/>
        </w:rPr>
        <w:t xml:space="preserve"> grandes lignes des activités et constatations (y compris infractions aux bonnes pratiques environnementales et/ou sociales, actions entreprises), compte-rendu effectués aux responsables environnementaux/sociaux du projet ou des travaux</w:t>
      </w:r>
      <w:r w:rsidR="009B2302" w:rsidRPr="00853F92">
        <w:rPr>
          <w:rFonts w:asciiTheme="majorBidi" w:hAnsiTheme="majorBidi" w:cstheme="majorBidi"/>
        </w:rPr>
        <w:t> ;</w:t>
      </w:r>
    </w:p>
    <w:p w14:paraId="14AE6B88" w14:textId="4F73155C" w:rsidR="00913904" w:rsidRPr="00853F92" w:rsidRDefault="00913904" w:rsidP="002A45C1">
      <w:pPr>
        <w:numPr>
          <w:ilvl w:val="1"/>
          <w:numId w:val="63"/>
        </w:numPr>
        <w:spacing w:after="120"/>
        <w:ind w:left="1218"/>
        <w:rPr>
          <w:rFonts w:asciiTheme="majorBidi" w:hAnsiTheme="majorBidi" w:cstheme="majorBidi"/>
        </w:rPr>
      </w:pPr>
      <w:r w:rsidRPr="00853F92">
        <w:rPr>
          <w:rFonts w:asciiTheme="majorBidi" w:hAnsiTheme="majorBidi" w:cstheme="majorBidi"/>
        </w:rPr>
        <w:t>Personne(s) chargée de liaison avec les communautés</w:t>
      </w:r>
      <w:r w:rsidR="009B2302" w:rsidRPr="00853F92">
        <w:rPr>
          <w:rFonts w:asciiTheme="majorBidi" w:hAnsiTheme="majorBidi" w:cstheme="majorBidi"/>
        </w:rPr>
        <w:t> :</w:t>
      </w:r>
      <w:r w:rsidRPr="00853F92">
        <w:rPr>
          <w:rFonts w:asciiTheme="majorBidi" w:hAnsiTheme="majorBidi" w:cstheme="majorBidi"/>
        </w:rPr>
        <w:t xml:space="preserve"> nombre de jours travaillés, nombre de personnes rencontrées, grandes lignes des activités (problèmes soulevés), compte-rendu effectués aux responsables environnementaux/sociaux du projet ou des travaux </w:t>
      </w:r>
    </w:p>
    <w:p w14:paraId="025FFAC8" w14:textId="1D16C708" w:rsidR="00913904" w:rsidRPr="00853F92" w:rsidRDefault="00913904" w:rsidP="002A45C1">
      <w:pPr>
        <w:numPr>
          <w:ilvl w:val="0"/>
          <w:numId w:val="63"/>
        </w:numPr>
        <w:spacing w:after="120"/>
        <w:rPr>
          <w:rFonts w:asciiTheme="majorBidi" w:hAnsiTheme="majorBidi" w:cstheme="majorBidi"/>
        </w:rPr>
      </w:pPr>
      <w:r w:rsidRPr="00853F92">
        <w:rPr>
          <w:rFonts w:asciiTheme="majorBidi" w:hAnsiTheme="majorBidi" w:cstheme="majorBidi"/>
        </w:rPr>
        <w:t>Plaintes/réclamations</w:t>
      </w:r>
      <w:r w:rsidR="009B2302" w:rsidRPr="00853F92">
        <w:rPr>
          <w:rFonts w:asciiTheme="majorBidi" w:hAnsiTheme="majorBidi" w:cstheme="majorBidi"/>
        </w:rPr>
        <w:t> :</w:t>
      </w:r>
      <w:r w:rsidRPr="00853F92">
        <w:rPr>
          <w:rFonts w:asciiTheme="majorBidi" w:hAnsiTheme="majorBidi" w:cstheme="majorBidi"/>
        </w:rPr>
        <w:t xml:space="preserve"> liste des plaintes de ce mois et des plaintes antérieures non résolues, par ordre chronologique d’enregistrement, plaignant, mode de réception, à qui la plainte a-t-elle été référée pour suite à donner, résolution et date (si l’affaire est traitée et classée), information en retour du plaignant, action de suivi nécessaire le cas échéant (se référer aux autres sections, selon les besoins)</w:t>
      </w:r>
      <w:r w:rsidR="009B2302" w:rsidRPr="00853F92">
        <w:rPr>
          <w:rFonts w:asciiTheme="majorBidi" w:hAnsiTheme="majorBidi" w:cstheme="majorBidi"/>
        </w:rPr>
        <w:t> :</w:t>
      </w:r>
    </w:p>
    <w:p w14:paraId="37246AE0" w14:textId="24469E2B" w:rsidR="00913904" w:rsidRPr="00853F92" w:rsidRDefault="00913904" w:rsidP="002A45C1">
      <w:pPr>
        <w:numPr>
          <w:ilvl w:val="1"/>
          <w:numId w:val="63"/>
        </w:numPr>
        <w:spacing w:after="120"/>
        <w:ind w:left="1274"/>
        <w:rPr>
          <w:rFonts w:asciiTheme="majorBidi" w:hAnsiTheme="majorBidi" w:cstheme="majorBidi"/>
        </w:rPr>
      </w:pPr>
      <w:r w:rsidRPr="00853F92">
        <w:rPr>
          <w:rFonts w:asciiTheme="majorBidi" w:hAnsiTheme="majorBidi" w:cstheme="majorBidi"/>
        </w:rPr>
        <w:t>Griefs des travailleurs</w:t>
      </w:r>
      <w:r w:rsidR="009B2302" w:rsidRPr="00853F92">
        <w:rPr>
          <w:rFonts w:asciiTheme="majorBidi" w:hAnsiTheme="majorBidi" w:cstheme="majorBidi"/>
        </w:rPr>
        <w:t> ;</w:t>
      </w:r>
    </w:p>
    <w:p w14:paraId="0B24F144" w14:textId="48C34DF1" w:rsidR="00913904" w:rsidRPr="00853F92" w:rsidRDefault="00913904" w:rsidP="002A45C1">
      <w:pPr>
        <w:numPr>
          <w:ilvl w:val="1"/>
          <w:numId w:val="63"/>
        </w:numPr>
        <w:spacing w:after="120"/>
        <w:ind w:left="1274"/>
        <w:rPr>
          <w:rFonts w:asciiTheme="majorBidi" w:hAnsiTheme="majorBidi" w:cstheme="majorBidi"/>
        </w:rPr>
      </w:pPr>
      <w:r w:rsidRPr="00853F92">
        <w:rPr>
          <w:rFonts w:asciiTheme="majorBidi" w:hAnsiTheme="majorBidi" w:cstheme="majorBidi"/>
        </w:rPr>
        <w:t>Griefs des communautés</w:t>
      </w:r>
      <w:r w:rsidR="009B2302" w:rsidRPr="00853F92">
        <w:rPr>
          <w:rFonts w:asciiTheme="majorBidi" w:hAnsiTheme="majorBidi" w:cstheme="majorBidi"/>
        </w:rPr>
        <w:t> ;</w:t>
      </w:r>
    </w:p>
    <w:p w14:paraId="234878AC" w14:textId="0788DDEE" w:rsidR="00913904" w:rsidRPr="00853F92" w:rsidRDefault="00913904" w:rsidP="002A45C1">
      <w:pPr>
        <w:numPr>
          <w:ilvl w:val="0"/>
          <w:numId w:val="63"/>
        </w:numPr>
        <w:spacing w:after="120"/>
        <w:rPr>
          <w:rFonts w:asciiTheme="majorBidi" w:hAnsiTheme="majorBidi" w:cstheme="majorBidi"/>
        </w:rPr>
      </w:pPr>
      <w:r w:rsidRPr="00853F92">
        <w:rPr>
          <w:rFonts w:asciiTheme="majorBidi" w:hAnsiTheme="majorBidi" w:cstheme="majorBidi"/>
        </w:rPr>
        <w:t>Circulation/trafic et matériels/véhicules</w:t>
      </w:r>
      <w:r w:rsidR="009B2302" w:rsidRPr="00853F92">
        <w:rPr>
          <w:rFonts w:asciiTheme="majorBidi" w:hAnsiTheme="majorBidi" w:cstheme="majorBidi"/>
        </w:rPr>
        <w:t> :</w:t>
      </w:r>
    </w:p>
    <w:p w14:paraId="2E4A3674" w14:textId="7709C261" w:rsidR="00913904" w:rsidRPr="00853F92" w:rsidRDefault="00913904" w:rsidP="002A45C1">
      <w:pPr>
        <w:numPr>
          <w:ilvl w:val="1"/>
          <w:numId w:val="63"/>
        </w:numPr>
        <w:spacing w:after="120"/>
        <w:ind w:left="1246"/>
        <w:rPr>
          <w:rFonts w:asciiTheme="majorBidi" w:hAnsiTheme="majorBidi" w:cstheme="majorBidi"/>
        </w:rPr>
      </w:pPr>
      <w:r w:rsidRPr="00853F92">
        <w:rPr>
          <w:rFonts w:asciiTheme="majorBidi" w:hAnsiTheme="majorBidi" w:cstheme="majorBidi"/>
        </w:rPr>
        <w:t>Accidents de circulation impliquant des véhicules ou des matériels du projet</w:t>
      </w:r>
      <w:r w:rsidR="009B2302" w:rsidRPr="00853F92">
        <w:rPr>
          <w:rFonts w:asciiTheme="majorBidi" w:hAnsiTheme="majorBidi" w:cstheme="majorBidi"/>
        </w:rPr>
        <w:t> :</w:t>
      </w:r>
      <w:r w:rsidRPr="00853F92">
        <w:rPr>
          <w:rFonts w:asciiTheme="majorBidi" w:hAnsiTheme="majorBidi" w:cstheme="majorBidi"/>
        </w:rPr>
        <w:t xml:space="preserve"> indiquer la date, le lieu, les dommages, la cause, le suivi</w:t>
      </w:r>
      <w:r w:rsidR="009B2302" w:rsidRPr="00853F92">
        <w:rPr>
          <w:rFonts w:asciiTheme="majorBidi" w:hAnsiTheme="majorBidi" w:cstheme="majorBidi"/>
        </w:rPr>
        <w:t> ;</w:t>
      </w:r>
    </w:p>
    <w:p w14:paraId="7017BD0E" w14:textId="51ACC45E" w:rsidR="00913904" w:rsidRPr="00853F92" w:rsidRDefault="00913904" w:rsidP="002A45C1">
      <w:pPr>
        <w:numPr>
          <w:ilvl w:val="1"/>
          <w:numId w:val="63"/>
        </w:numPr>
        <w:spacing w:after="120"/>
        <w:ind w:left="1246"/>
        <w:rPr>
          <w:rFonts w:asciiTheme="majorBidi" w:hAnsiTheme="majorBidi" w:cstheme="majorBidi"/>
        </w:rPr>
      </w:pPr>
      <w:r w:rsidRPr="00853F92">
        <w:rPr>
          <w:rFonts w:asciiTheme="majorBidi" w:hAnsiTheme="majorBidi" w:cstheme="majorBidi"/>
        </w:rPr>
        <w:t xml:space="preserve">Accidents de circulation impliquant des véhicules ou </w:t>
      </w:r>
      <w:r w:rsidR="003E2489" w:rsidRPr="00853F92">
        <w:rPr>
          <w:rFonts w:asciiTheme="majorBidi" w:hAnsiTheme="majorBidi" w:cstheme="majorBidi"/>
        </w:rPr>
        <w:t>des propriétés extérieures</w:t>
      </w:r>
      <w:r w:rsidRPr="00853F92">
        <w:rPr>
          <w:rFonts w:asciiTheme="majorBidi" w:hAnsiTheme="majorBidi" w:cstheme="majorBidi"/>
        </w:rPr>
        <w:t xml:space="preserve"> au projet</w:t>
      </w:r>
      <w:r w:rsidR="009B2302" w:rsidRPr="00853F92">
        <w:rPr>
          <w:rFonts w:asciiTheme="majorBidi" w:hAnsiTheme="majorBidi" w:cstheme="majorBidi"/>
        </w:rPr>
        <w:t> :</w:t>
      </w:r>
      <w:r w:rsidRPr="00853F92">
        <w:rPr>
          <w:rFonts w:asciiTheme="majorBidi" w:hAnsiTheme="majorBidi" w:cstheme="majorBidi"/>
        </w:rPr>
        <w:t xml:space="preserve"> indiquer la date, le lieu, les dommages, la cause, le suivi</w:t>
      </w:r>
      <w:r w:rsidR="009B2302" w:rsidRPr="00853F92">
        <w:rPr>
          <w:rFonts w:asciiTheme="majorBidi" w:hAnsiTheme="majorBidi" w:cstheme="majorBidi"/>
        </w:rPr>
        <w:t> ;</w:t>
      </w:r>
    </w:p>
    <w:p w14:paraId="59BCB5C6" w14:textId="48315BDB" w:rsidR="00913904" w:rsidRPr="00853F92" w:rsidRDefault="00913904" w:rsidP="002A45C1">
      <w:pPr>
        <w:numPr>
          <w:ilvl w:val="1"/>
          <w:numId w:val="63"/>
        </w:numPr>
        <w:spacing w:after="120"/>
        <w:ind w:left="1246"/>
        <w:rPr>
          <w:rFonts w:asciiTheme="majorBidi" w:hAnsiTheme="majorBidi" w:cstheme="majorBidi"/>
        </w:rPr>
      </w:pPr>
      <w:r w:rsidRPr="00853F92">
        <w:rPr>
          <w:rFonts w:asciiTheme="majorBidi" w:hAnsiTheme="majorBidi" w:cstheme="majorBidi"/>
        </w:rPr>
        <w:t>Etat général des véhicules ou des matériels (évaluation subjective par l’environnementaliste)</w:t>
      </w:r>
      <w:r w:rsidR="009B2302" w:rsidRPr="00853F92">
        <w:rPr>
          <w:rFonts w:asciiTheme="majorBidi" w:hAnsiTheme="majorBidi" w:cstheme="majorBidi"/>
        </w:rPr>
        <w:t> ;</w:t>
      </w:r>
      <w:r w:rsidRPr="00853F92">
        <w:rPr>
          <w:rFonts w:asciiTheme="majorBidi" w:hAnsiTheme="majorBidi" w:cstheme="majorBidi"/>
        </w:rPr>
        <w:t xml:space="preserve"> réparations et entretien non-courant nécessaire pour améliorer la sécurité et/ou la performance environnementale (pour restreindre les fumées, etc.)</w:t>
      </w:r>
    </w:p>
    <w:p w14:paraId="37965827" w14:textId="45D98EAB" w:rsidR="00913904" w:rsidRPr="00853F92" w:rsidRDefault="00913904" w:rsidP="002A45C1">
      <w:pPr>
        <w:numPr>
          <w:ilvl w:val="0"/>
          <w:numId w:val="63"/>
        </w:numPr>
        <w:spacing w:after="120"/>
        <w:rPr>
          <w:rFonts w:asciiTheme="majorBidi" w:hAnsiTheme="majorBidi" w:cstheme="majorBidi"/>
        </w:rPr>
      </w:pPr>
      <w:r w:rsidRPr="00853F92">
        <w:rPr>
          <w:rFonts w:asciiTheme="majorBidi" w:hAnsiTheme="majorBidi" w:cstheme="majorBidi"/>
        </w:rPr>
        <w:t>Aspects environnementaux et mesures de réduction (ce qui a été réalisé)</w:t>
      </w:r>
      <w:r w:rsidR="009B2302" w:rsidRPr="00853F92">
        <w:rPr>
          <w:rFonts w:asciiTheme="majorBidi" w:hAnsiTheme="majorBidi" w:cstheme="majorBidi"/>
        </w:rPr>
        <w:t> :</w:t>
      </w:r>
    </w:p>
    <w:p w14:paraId="1DC0A73D" w14:textId="15C509BE" w:rsidR="00913904" w:rsidRPr="00853F92" w:rsidRDefault="00913904" w:rsidP="002A45C1">
      <w:pPr>
        <w:numPr>
          <w:ilvl w:val="1"/>
          <w:numId w:val="63"/>
        </w:numPr>
        <w:spacing w:after="120"/>
        <w:ind w:left="1302"/>
        <w:rPr>
          <w:rFonts w:asciiTheme="majorBidi" w:hAnsiTheme="majorBidi" w:cstheme="majorBidi"/>
        </w:rPr>
      </w:pPr>
      <w:r w:rsidRPr="00853F92">
        <w:rPr>
          <w:rFonts w:asciiTheme="majorBidi" w:hAnsiTheme="majorBidi" w:cstheme="majorBidi"/>
        </w:rPr>
        <w:t>Poussière</w:t>
      </w:r>
      <w:r w:rsidR="009B2302" w:rsidRPr="00853F92">
        <w:rPr>
          <w:rFonts w:asciiTheme="majorBidi" w:hAnsiTheme="majorBidi" w:cstheme="majorBidi"/>
        </w:rPr>
        <w:t> :</w:t>
      </w:r>
      <w:r w:rsidRPr="00853F92">
        <w:rPr>
          <w:rFonts w:asciiTheme="majorBidi" w:hAnsiTheme="majorBidi" w:cstheme="majorBidi"/>
        </w:rPr>
        <w:t xml:space="preserve"> nombre d’arroseuses en service, nombre de jours d’arrosage, nombre de plaintes, </w:t>
      </w:r>
      <w:r w:rsidR="00994494" w:rsidRPr="00853F92">
        <w:rPr>
          <w:rFonts w:asciiTheme="majorBidi" w:hAnsiTheme="majorBidi" w:cstheme="majorBidi"/>
        </w:rPr>
        <w:t>avertissements donnés</w:t>
      </w:r>
      <w:r w:rsidRPr="00853F92">
        <w:rPr>
          <w:rFonts w:asciiTheme="majorBidi" w:hAnsiTheme="majorBidi" w:cstheme="majorBidi"/>
        </w:rPr>
        <w:t xml:space="preserve"> par l’environnementaliste, mesures prises pour remédier</w:t>
      </w:r>
      <w:r w:rsidR="009B2302" w:rsidRPr="00853F92">
        <w:rPr>
          <w:rFonts w:asciiTheme="majorBidi" w:hAnsiTheme="majorBidi" w:cstheme="majorBidi"/>
        </w:rPr>
        <w:t> ;</w:t>
      </w:r>
      <w:r w:rsidRPr="00853F92">
        <w:rPr>
          <w:rFonts w:asciiTheme="majorBidi" w:hAnsiTheme="majorBidi" w:cstheme="majorBidi"/>
        </w:rPr>
        <w:t xml:space="preserve"> grandes lignes des mesures de contrôle de poussière à la carrière</w:t>
      </w:r>
      <w:r w:rsidR="006307C4" w:rsidRPr="00853F92">
        <w:rPr>
          <w:rFonts w:asciiTheme="majorBidi" w:hAnsiTheme="majorBidi" w:cstheme="majorBidi"/>
        </w:rPr>
        <w:t> </w:t>
      </w:r>
      <w:r w:rsidRPr="00853F92">
        <w:rPr>
          <w:rFonts w:asciiTheme="majorBidi" w:hAnsiTheme="majorBidi" w:cstheme="majorBidi"/>
        </w:rPr>
        <w:t>(enveloppes, sprays, état opérationnel)</w:t>
      </w:r>
      <w:r w:rsidR="009B2302" w:rsidRPr="00853F92">
        <w:rPr>
          <w:rFonts w:asciiTheme="majorBidi" w:hAnsiTheme="majorBidi" w:cstheme="majorBidi"/>
        </w:rPr>
        <w:t> ;</w:t>
      </w:r>
      <w:r w:rsidRPr="00853F92">
        <w:rPr>
          <w:rFonts w:asciiTheme="majorBidi" w:hAnsiTheme="majorBidi" w:cstheme="majorBidi"/>
        </w:rPr>
        <w:t xml:space="preserve"> % de camions d’enrochements/terres/matériaux bâchés, actions entreprises pour les véhicules non bâchés</w:t>
      </w:r>
      <w:r w:rsidR="009B2302" w:rsidRPr="00853F92">
        <w:rPr>
          <w:rFonts w:asciiTheme="majorBidi" w:hAnsiTheme="majorBidi" w:cstheme="majorBidi"/>
        </w:rPr>
        <w:t> ;</w:t>
      </w:r>
    </w:p>
    <w:p w14:paraId="02DC8530" w14:textId="01AB2A29" w:rsidR="00913904" w:rsidRPr="00853F92" w:rsidRDefault="00913904" w:rsidP="002A45C1">
      <w:pPr>
        <w:numPr>
          <w:ilvl w:val="1"/>
          <w:numId w:val="63"/>
        </w:numPr>
        <w:spacing w:after="120"/>
        <w:ind w:left="1302"/>
        <w:rPr>
          <w:rFonts w:asciiTheme="majorBidi" w:hAnsiTheme="majorBidi" w:cstheme="majorBidi"/>
        </w:rPr>
      </w:pPr>
      <w:r w:rsidRPr="00853F92">
        <w:rPr>
          <w:rFonts w:asciiTheme="majorBidi" w:hAnsiTheme="majorBidi" w:cstheme="majorBidi"/>
        </w:rPr>
        <w:t>Contrôle de l’érosion</w:t>
      </w:r>
      <w:r w:rsidR="009B2302" w:rsidRPr="00853F92">
        <w:rPr>
          <w:rFonts w:asciiTheme="majorBidi" w:hAnsiTheme="majorBidi" w:cstheme="majorBidi"/>
        </w:rPr>
        <w:t> :</w:t>
      </w:r>
      <w:r w:rsidRPr="00853F92">
        <w:rPr>
          <w:rFonts w:asciiTheme="majorBidi" w:hAnsiTheme="majorBidi" w:cstheme="majorBidi"/>
        </w:rPr>
        <w:t xml:space="preserve"> mesure de prévention par lieu, état des traversées de filet ou cours d’eau, inspections de l’environnementaliste et résultats, actions entreprises pour traiter les questions, réparations d’urgence nécessaires afin de limiter l’érosion/la sédimentation</w:t>
      </w:r>
      <w:r w:rsidR="009B2302" w:rsidRPr="00853F92">
        <w:rPr>
          <w:rFonts w:asciiTheme="majorBidi" w:hAnsiTheme="majorBidi" w:cstheme="majorBidi"/>
        </w:rPr>
        <w:t> ;</w:t>
      </w:r>
    </w:p>
    <w:p w14:paraId="60EE347D" w14:textId="5D585983" w:rsidR="00913904" w:rsidRPr="00853F92" w:rsidRDefault="00913904" w:rsidP="002A45C1">
      <w:pPr>
        <w:numPr>
          <w:ilvl w:val="1"/>
          <w:numId w:val="63"/>
        </w:numPr>
        <w:spacing w:after="120"/>
        <w:ind w:left="1302"/>
        <w:rPr>
          <w:rFonts w:asciiTheme="majorBidi" w:hAnsiTheme="majorBidi" w:cstheme="majorBidi"/>
        </w:rPr>
      </w:pPr>
      <w:r w:rsidRPr="00853F92">
        <w:rPr>
          <w:rFonts w:asciiTheme="majorBidi" w:hAnsiTheme="majorBidi" w:cstheme="majorBidi"/>
        </w:rPr>
        <w:t>Carrières, zones d’emprunt et de dépôt de matériaux, centrales d’enrobés</w:t>
      </w:r>
      <w:r w:rsidR="009B2302" w:rsidRPr="00853F92">
        <w:rPr>
          <w:rFonts w:asciiTheme="majorBidi" w:hAnsiTheme="majorBidi" w:cstheme="majorBidi"/>
        </w:rPr>
        <w:t> :</w:t>
      </w:r>
      <w:r w:rsidRPr="00853F92">
        <w:rPr>
          <w:rFonts w:asciiTheme="majorBidi" w:hAnsiTheme="majorBidi" w:cstheme="majorBidi"/>
        </w:rPr>
        <w:t xml:space="preserve"> identifier les activités principales réalisées sur chacun des sites ce mois, et grandes lignes des mesures de protection environnementales et sociales</w:t>
      </w:r>
      <w:r w:rsidR="009B2302" w:rsidRPr="00853F92">
        <w:rPr>
          <w:rFonts w:asciiTheme="majorBidi" w:hAnsiTheme="majorBidi" w:cstheme="majorBidi"/>
        </w:rPr>
        <w:t> :</w:t>
      </w:r>
      <w:r w:rsidRPr="00853F92">
        <w:rPr>
          <w:rFonts w:asciiTheme="majorBidi" w:hAnsiTheme="majorBidi" w:cstheme="majorBidi"/>
        </w:rPr>
        <w:t xml:space="preserve"> nettoyage de site/débroussaillage, marquage des limites/bornages, mise en dépôt provisoire pour réutilisation de terre végétale, gestion de la circulation, planification de la restauration/démobilisation, mise en œuvre de la restauration/démobilisation)</w:t>
      </w:r>
      <w:r w:rsidR="009B2302" w:rsidRPr="00853F92">
        <w:rPr>
          <w:rFonts w:asciiTheme="majorBidi" w:hAnsiTheme="majorBidi" w:cstheme="majorBidi"/>
        </w:rPr>
        <w:t> ;</w:t>
      </w:r>
    </w:p>
    <w:p w14:paraId="2D608624" w14:textId="6ACA6318" w:rsidR="00913904" w:rsidRPr="00853F92" w:rsidRDefault="00913904" w:rsidP="002A45C1">
      <w:pPr>
        <w:numPr>
          <w:ilvl w:val="1"/>
          <w:numId w:val="63"/>
        </w:numPr>
        <w:spacing w:after="120"/>
        <w:ind w:left="1302"/>
        <w:rPr>
          <w:rFonts w:asciiTheme="majorBidi" w:hAnsiTheme="majorBidi" w:cstheme="majorBidi"/>
        </w:rPr>
      </w:pPr>
      <w:r w:rsidRPr="00853F92">
        <w:rPr>
          <w:rFonts w:asciiTheme="majorBidi" w:hAnsiTheme="majorBidi" w:cstheme="majorBidi"/>
        </w:rPr>
        <w:t>Tirs/explosions</w:t>
      </w:r>
      <w:r w:rsidR="009B2302" w:rsidRPr="00853F92">
        <w:rPr>
          <w:rFonts w:asciiTheme="majorBidi" w:hAnsiTheme="majorBidi" w:cstheme="majorBidi"/>
        </w:rPr>
        <w:t> :</w:t>
      </w:r>
      <w:r w:rsidRPr="00853F92">
        <w:rPr>
          <w:rFonts w:asciiTheme="majorBidi" w:hAnsiTheme="majorBidi" w:cstheme="majorBidi"/>
        </w:rPr>
        <w:t xml:space="preserve"> nombre de tirs (et lieux), état de mise en œuvre des plans de tir (incluant l’information préalable, les évacuations, etc.), incidents de dommages ou de plaintes hors-site (se référer aux autres sections, selon les besoins)</w:t>
      </w:r>
      <w:r w:rsidR="009B2302" w:rsidRPr="00853F92">
        <w:rPr>
          <w:rFonts w:asciiTheme="majorBidi" w:hAnsiTheme="majorBidi" w:cstheme="majorBidi"/>
        </w:rPr>
        <w:t> ;</w:t>
      </w:r>
    </w:p>
    <w:p w14:paraId="6B06DEAE" w14:textId="549385E4" w:rsidR="00913904" w:rsidRPr="00853F92" w:rsidRDefault="00913904" w:rsidP="002A45C1">
      <w:pPr>
        <w:numPr>
          <w:ilvl w:val="1"/>
          <w:numId w:val="63"/>
        </w:numPr>
        <w:spacing w:after="120"/>
        <w:ind w:left="1302"/>
        <w:rPr>
          <w:rFonts w:asciiTheme="majorBidi" w:hAnsiTheme="majorBidi" w:cstheme="majorBidi"/>
        </w:rPr>
      </w:pPr>
      <w:r w:rsidRPr="00853F92">
        <w:rPr>
          <w:rFonts w:asciiTheme="majorBidi" w:hAnsiTheme="majorBidi" w:cstheme="majorBidi"/>
        </w:rPr>
        <w:t>Nettoyage des déversements, le cas échéant</w:t>
      </w:r>
      <w:r w:rsidR="009B2302" w:rsidRPr="00853F92">
        <w:rPr>
          <w:rFonts w:asciiTheme="majorBidi" w:hAnsiTheme="majorBidi" w:cstheme="majorBidi"/>
        </w:rPr>
        <w:t> :</w:t>
      </w:r>
      <w:r w:rsidRPr="00853F92">
        <w:rPr>
          <w:rFonts w:asciiTheme="majorBidi" w:hAnsiTheme="majorBidi" w:cstheme="majorBidi"/>
        </w:rPr>
        <w:t xml:space="preserve"> substance déversée, lieu, quantité, actions entreprises, élimination des substances (rendre compte de tous les déversements qui ont résulté en la contamination de l’eau ou des sols</w:t>
      </w:r>
      <w:r w:rsidR="009B2302" w:rsidRPr="00853F92">
        <w:rPr>
          <w:rFonts w:asciiTheme="majorBidi" w:hAnsiTheme="majorBidi" w:cstheme="majorBidi"/>
        </w:rPr>
        <w:t> ;</w:t>
      </w:r>
    </w:p>
    <w:p w14:paraId="01999D9E" w14:textId="34E762D1" w:rsidR="00913904" w:rsidRPr="00853F92" w:rsidRDefault="00913904" w:rsidP="002A45C1">
      <w:pPr>
        <w:numPr>
          <w:ilvl w:val="1"/>
          <w:numId w:val="63"/>
        </w:numPr>
        <w:spacing w:after="120"/>
        <w:ind w:left="1302"/>
        <w:rPr>
          <w:rFonts w:asciiTheme="majorBidi" w:hAnsiTheme="majorBidi" w:cstheme="majorBidi"/>
        </w:rPr>
      </w:pPr>
      <w:r w:rsidRPr="00853F92">
        <w:rPr>
          <w:rFonts w:asciiTheme="majorBidi" w:hAnsiTheme="majorBidi" w:cstheme="majorBidi"/>
        </w:rPr>
        <w:t>Gestion des déchets</w:t>
      </w:r>
      <w:r w:rsidR="009B2302" w:rsidRPr="00853F92">
        <w:rPr>
          <w:rFonts w:asciiTheme="majorBidi" w:hAnsiTheme="majorBidi" w:cstheme="majorBidi"/>
        </w:rPr>
        <w:t> :</w:t>
      </w:r>
      <w:r w:rsidRPr="00853F92">
        <w:rPr>
          <w:rFonts w:asciiTheme="majorBidi" w:hAnsiTheme="majorBidi" w:cstheme="majorBidi"/>
        </w:rPr>
        <w:t xml:space="preserve"> types et quantités générées et traitées, y compris quantités enlevées du chantier (et par qui) ou réutilisées/recyclées/éliminées sur place</w:t>
      </w:r>
      <w:r w:rsidR="009B2302" w:rsidRPr="00853F92">
        <w:rPr>
          <w:rFonts w:asciiTheme="majorBidi" w:hAnsiTheme="majorBidi" w:cstheme="majorBidi"/>
        </w:rPr>
        <w:t> ;</w:t>
      </w:r>
    </w:p>
    <w:p w14:paraId="7D407928" w14:textId="02B7CC3A" w:rsidR="00913904" w:rsidRPr="00853F92" w:rsidRDefault="00913904" w:rsidP="002A45C1">
      <w:pPr>
        <w:numPr>
          <w:ilvl w:val="1"/>
          <w:numId w:val="63"/>
        </w:numPr>
        <w:spacing w:after="120"/>
        <w:ind w:left="1302"/>
        <w:rPr>
          <w:rFonts w:asciiTheme="majorBidi" w:hAnsiTheme="majorBidi" w:cstheme="majorBidi"/>
        </w:rPr>
      </w:pPr>
      <w:r w:rsidRPr="00853F92">
        <w:rPr>
          <w:rFonts w:asciiTheme="majorBidi" w:hAnsiTheme="majorBidi" w:cstheme="majorBidi"/>
        </w:rPr>
        <w:t>Détails des plantations d’arbres et autres actions de protection/réduction exigées réalisées ce mois</w:t>
      </w:r>
      <w:r w:rsidR="009B2302" w:rsidRPr="00853F92">
        <w:rPr>
          <w:rFonts w:asciiTheme="majorBidi" w:hAnsiTheme="majorBidi" w:cstheme="majorBidi"/>
        </w:rPr>
        <w:t> ;</w:t>
      </w:r>
    </w:p>
    <w:p w14:paraId="2D74EDAB" w14:textId="24432836" w:rsidR="00913904" w:rsidRPr="00853F92" w:rsidRDefault="00913904" w:rsidP="002A45C1">
      <w:pPr>
        <w:numPr>
          <w:ilvl w:val="1"/>
          <w:numId w:val="63"/>
        </w:numPr>
        <w:spacing w:after="120"/>
        <w:ind w:left="1302"/>
        <w:rPr>
          <w:rFonts w:asciiTheme="majorBidi" w:hAnsiTheme="majorBidi" w:cstheme="majorBidi"/>
        </w:rPr>
      </w:pPr>
      <w:r w:rsidRPr="00853F92">
        <w:rPr>
          <w:rFonts w:asciiTheme="majorBidi" w:hAnsiTheme="majorBidi" w:cstheme="majorBidi"/>
        </w:rPr>
        <w:t>Détails des mesures de protections des eaux et marais exigées réalisées ce mois</w:t>
      </w:r>
      <w:r w:rsidR="009B2302" w:rsidRPr="00853F92">
        <w:rPr>
          <w:rFonts w:asciiTheme="majorBidi" w:hAnsiTheme="majorBidi" w:cstheme="majorBidi"/>
        </w:rPr>
        <w:t> ;</w:t>
      </w:r>
    </w:p>
    <w:p w14:paraId="79CE7AFB" w14:textId="70528B3D" w:rsidR="00913904" w:rsidRPr="00853F92" w:rsidRDefault="00913904" w:rsidP="002A45C1">
      <w:pPr>
        <w:numPr>
          <w:ilvl w:val="0"/>
          <w:numId w:val="63"/>
        </w:numPr>
        <w:spacing w:after="120"/>
        <w:rPr>
          <w:rFonts w:asciiTheme="majorBidi" w:hAnsiTheme="majorBidi" w:cstheme="majorBidi"/>
        </w:rPr>
      </w:pPr>
      <w:r w:rsidRPr="00853F92">
        <w:rPr>
          <w:rFonts w:asciiTheme="majorBidi" w:hAnsiTheme="majorBidi" w:cstheme="majorBidi"/>
        </w:rPr>
        <w:t>Conformité</w:t>
      </w:r>
      <w:r w:rsidR="009B2302" w:rsidRPr="00853F92">
        <w:rPr>
          <w:rFonts w:asciiTheme="majorBidi" w:hAnsiTheme="majorBidi" w:cstheme="majorBidi"/>
        </w:rPr>
        <w:t> :</w:t>
      </w:r>
    </w:p>
    <w:p w14:paraId="0150E26D" w14:textId="27F79BA0" w:rsidR="00913904" w:rsidRPr="00853F92" w:rsidRDefault="00913904" w:rsidP="002A45C1">
      <w:pPr>
        <w:numPr>
          <w:ilvl w:val="1"/>
          <w:numId w:val="63"/>
        </w:numPr>
        <w:spacing w:after="120"/>
        <w:ind w:left="1276"/>
        <w:rPr>
          <w:rFonts w:asciiTheme="majorBidi" w:hAnsiTheme="majorBidi" w:cstheme="majorBidi"/>
        </w:rPr>
      </w:pPr>
      <w:r w:rsidRPr="00853F92">
        <w:rPr>
          <w:rFonts w:asciiTheme="majorBidi" w:hAnsiTheme="majorBidi" w:cstheme="majorBidi"/>
        </w:rPr>
        <w:t>Etat de la conformité concernant les consentements/permis pertinents, les Travaux, incluant les carrières etc.</w:t>
      </w:r>
      <w:r w:rsidR="009B2302" w:rsidRPr="00853F92">
        <w:rPr>
          <w:rFonts w:asciiTheme="majorBidi" w:hAnsiTheme="majorBidi" w:cstheme="majorBidi"/>
        </w:rPr>
        <w:t> :</w:t>
      </w:r>
      <w:r w:rsidRPr="00853F92">
        <w:rPr>
          <w:rFonts w:asciiTheme="majorBidi" w:hAnsiTheme="majorBidi" w:cstheme="majorBidi"/>
        </w:rPr>
        <w:t xml:space="preserve"> déclaration de conformité ou listes des problèmes et actions entreprises (ou devant être entreprises) afin de se conformer</w:t>
      </w:r>
      <w:r w:rsidR="009B2302" w:rsidRPr="00853F92">
        <w:rPr>
          <w:rFonts w:asciiTheme="majorBidi" w:hAnsiTheme="majorBidi" w:cstheme="majorBidi"/>
        </w:rPr>
        <w:t> ;</w:t>
      </w:r>
    </w:p>
    <w:p w14:paraId="170B312A" w14:textId="57FC17D8" w:rsidR="00913904" w:rsidRPr="00853F92" w:rsidRDefault="00913904" w:rsidP="002A45C1">
      <w:pPr>
        <w:numPr>
          <w:ilvl w:val="1"/>
          <w:numId w:val="63"/>
        </w:numPr>
        <w:spacing w:after="120"/>
        <w:ind w:left="1276"/>
        <w:rPr>
          <w:rFonts w:asciiTheme="majorBidi" w:hAnsiTheme="majorBidi" w:cstheme="majorBidi"/>
        </w:rPr>
      </w:pPr>
      <w:r w:rsidRPr="00853F92">
        <w:rPr>
          <w:rFonts w:asciiTheme="majorBidi" w:hAnsiTheme="majorBidi" w:cstheme="majorBidi"/>
        </w:rPr>
        <w:t>Etat de la conformité concernant les exigences PGES et pour sa mise en œuvre</w:t>
      </w:r>
      <w:r w:rsidR="009B2302" w:rsidRPr="00853F92">
        <w:rPr>
          <w:rFonts w:asciiTheme="majorBidi" w:hAnsiTheme="majorBidi" w:cstheme="majorBidi"/>
        </w:rPr>
        <w:t> :</w:t>
      </w:r>
      <w:r w:rsidRPr="00853F92">
        <w:rPr>
          <w:rFonts w:asciiTheme="majorBidi" w:hAnsiTheme="majorBidi" w:cstheme="majorBidi"/>
        </w:rPr>
        <w:t xml:space="preserve"> déclaration de conformité ou listes des problèmes et actions entreprises (ou devant être entreprises) afin de se conformer</w:t>
      </w:r>
      <w:r w:rsidR="009B2302" w:rsidRPr="00853F92">
        <w:rPr>
          <w:rFonts w:asciiTheme="majorBidi" w:hAnsiTheme="majorBidi" w:cstheme="majorBidi"/>
        </w:rPr>
        <w:t> ;</w:t>
      </w:r>
    </w:p>
    <w:p w14:paraId="2369C944" w14:textId="0B3AD553" w:rsidR="00913904" w:rsidRPr="00853F92" w:rsidRDefault="00913904" w:rsidP="002A45C1">
      <w:pPr>
        <w:numPr>
          <w:ilvl w:val="1"/>
          <w:numId w:val="63"/>
        </w:numPr>
        <w:spacing w:after="120"/>
        <w:ind w:left="1276"/>
        <w:rPr>
          <w:rFonts w:asciiTheme="majorBidi" w:hAnsiTheme="majorBidi" w:cstheme="majorBidi"/>
        </w:rPr>
      </w:pPr>
      <w:r w:rsidRPr="00853F92">
        <w:rPr>
          <w:rFonts w:asciiTheme="majorBidi" w:hAnsiTheme="majorBidi" w:cstheme="majorBidi"/>
        </w:rPr>
        <w:t>Autres questions non résolues déjà identifiées au cours des mois précédents concernant les infractions environnementales et sociales</w:t>
      </w:r>
      <w:r w:rsidR="009B2302" w:rsidRPr="00853F92">
        <w:rPr>
          <w:rFonts w:asciiTheme="majorBidi" w:hAnsiTheme="majorBidi" w:cstheme="majorBidi"/>
        </w:rPr>
        <w:t> :</w:t>
      </w:r>
      <w:r w:rsidRPr="00853F92">
        <w:rPr>
          <w:rFonts w:asciiTheme="majorBidi" w:hAnsiTheme="majorBidi" w:cstheme="majorBidi"/>
        </w:rPr>
        <w:t xml:space="preserve"> infractions persistantes, déficiences de matériel persistantes, persistance de véhicules non bâchés, déversements non traités, problèmes de dédommagement ou de tirs de mines persistants, etc. Références aux autres sections, selon les besoins.</w:t>
      </w:r>
    </w:p>
    <w:p w14:paraId="2CE89B9A" w14:textId="77777777" w:rsidR="000A450A" w:rsidRPr="0084432F" w:rsidRDefault="000A450A" w:rsidP="00DC57DA">
      <w:pPr>
        <w:spacing w:before="120" w:after="120"/>
        <w:rPr>
          <w:rFonts w:asciiTheme="majorBidi" w:hAnsiTheme="majorBidi" w:cstheme="majorBidi"/>
          <w:color w:val="FF0000"/>
        </w:rPr>
      </w:pPr>
    </w:p>
    <w:p w14:paraId="2828665B" w14:textId="77777777" w:rsidR="009B6B8C" w:rsidRDefault="009B6B8C">
      <w:pPr>
        <w:rPr>
          <w:rFonts w:asciiTheme="majorBidi" w:hAnsiTheme="majorBidi" w:cstheme="majorBidi"/>
          <w:color w:val="FF0000"/>
        </w:rPr>
      </w:pPr>
      <w:r>
        <w:rPr>
          <w:rFonts w:asciiTheme="majorBidi" w:hAnsiTheme="majorBidi" w:cstheme="majorBidi"/>
          <w:color w:val="FF0000"/>
        </w:rPr>
        <w:br w:type="page"/>
      </w:r>
    </w:p>
    <w:p w14:paraId="087D0742" w14:textId="77777777" w:rsidR="00C822F3" w:rsidRPr="00E21797" w:rsidRDefault="00C822F3" w:rsidP="00C822F3">
      <w:pPr>
        <w:pStyle w:val="Sous-titre"/>
        <w:rPr>
          <w:lang w:val="fr-FR"/>
        </w:rPr>
      </w:pPr>
      <w:bookmarkStart w:id="856" w:name="_Toc327446563"/>
      <w:r>
        <w:rPr>
          <w:lang w:val="fr-FR"/>
        </w:rPr>
        <w:t>Section IX</w:t>
      </w:r>
      <w:r w:rsidRPr="00E21797">
        <w:rPr>
          <w:lang w:val="fr-FR"/>
        </w:rPr>
        <w:t>.  Cahier des Clauses administratives particulières</w:t>
      </w:r>
      <w:bookmarkEnd w:id="856"/>
    </w:p>
    <w:p w14:paraId="3F8C3243" w14:textId="77777777" w:rsidR="00C822F3" w:rsidRPr="00E21797" w:rsidRDefault="00C822F3" w:rsidP="00C822F3"/>
    <w:p w14:paraId="00711287" w14:textId="77777777" w:rsidR="00C822F3" w:rsidRPr="00E21797" w:rsidRDefault="00C822F3" w:rsidP="00C822F3"/>
    <w:p w14:paraId="0CE084E3" w14:textId="77777777" w:rsidR="00C822F3" w:rsidRPr="00E21797" w:rsidRDefault="00C822F3" w:rsidP="00C822F3">
      <w:pPr>
        <w:pStyle w:val="TM2"/>
      </w:pPr>
    </w:p>
    <w:p w14:paraId="1C56A2A7" w14:textId="77777777" w:rsidR="00C822F3" w:rsidRPr="00D048AA" w:rsidRDefault="00C822F3" w:rsidP="00CF663D">
      <w:pPr>
        <w:shd w:val="clear" w:color="auto" w:fill="FFFFFF" w:themeFill="background1"/>
        <w:jc w:val="center"/>
        <w:rPr>
          <w:b/>
          <w:sz w:val="28"/>
        </w:rPr>
      </w:pPr>
      <w:r w:rsidRPr="00E21797">
        <w:br w:type="page"/>
      </w:r>
      <w:r w:rsidRPr="00D048AA">
        <w:rPr>
          <w:b/>
          <w:sz w:val="28"/>
        </w:rPr>
        <w:t>Cahier des Clauses administratives particulières</w:t>
      </w:r>
    </w:p>
    <w:p w14:paraId="42AAA9C3" w14:textId="77777777" w:rsidR="00C822F3" w:rsidRPr="00D048AA" w:rsidRDefault="00C822F3" w:rsidP="00CF663D">
      <w:pPr>
        <w:shd w:val="clear" w:color="auto" w:fill="FFFFFF" w:themeFill="background1"/>
      </w:pPr>
    </w:p>
    <w:p w14:paraId="283F6BCE" w14:textId="77777777" w:rsidR="00C822F3" w:rsidRPr="00D048AA" w:rsidRDefault="00C822F3" w:rsidP="00CF663D">
      <w:pPr>
        <w:shd w:val="clear" w:color="auto" w:fill="FFFFFF" w:themeFill="background1"/>
      </w:pPr>
      <w:r w:rsidRPr="00D048AA">
        <w:t>Les Clauses administratives particulières qui suivent complètent les Clauses administratives générales.  Dans tous les cas où les dispositions se contredisent, les dispositions ci-après prévaudront sur celles des Clauses administratives générales.  Le numéro de la Clause générale à laquelle se réfère une Clause particulière est indiqué entre parenthèses.</w:t>
      </w:r>
    </w:p>
    <w:p w14:paraId="2417846C" w14:textId="77777777" w:rsidR="00C822F3" w:rsidRPr="00E21797" w:rsidRDefault="00C822F3" w:rsidP="00CF663D">
      <w:pPr>
        <w:shd w:val="clear" w:color="auto" w:fill="FFFFFF" w:themeFill="background1"/>
      </w:pPr>
    </w:p>
    <w:tbl>
      <w:tblPr>
        <w:tblW w:w="9450" w:type="dxa"/>
        <w:tblInd w:w="108" w:type="dxa"/>
        <w:tblLayout w:type="fixed"/>
        <w:tblLook w:val="0000" w:firstRow="0" w:lastRow="0" w:firstColumn="0" w:lastColumn="0" w:noHBand="0" w:noVBand="0"/>
      </w:tblPr>
      <w:tblGrid>
        <w:gridCol w:w="2670"/>
        <w:gridCol w:w="1425"/>
        <w:gridCol w:w="5355"/>
      </w:tblGrid>
      <w:tr w:rsidR="00C822F3" w:rsidRPr="00E21797" w14:paraId="7245882D" w14:textId="77777777" w:rsidTr="00E07988">
        <w:trPr>
          <w:tblHeader/>
        </w:trPr>
        <w:tc>
          <w:tcPr>
            <w:tcW w:w="2670" w:type="dxa"/>
            <w:tcBorders>
              <w:top w:val="single" w:sz="18" w:space="0" w:color="auto"/>
              <w:left w:val="single" w:sz="18" w:space="0" w:color="auto"/>
              <w:bottom w:val="single" w:sz="18" w:space="0" w:color="auto"/>
              <w:right w:val="single" w:sz="18" w:space="0" w:color="auto"/>
            </w:tcBorders>
          </w:tcPr>
          <w:p w14:paraId="353FDAC2" w14:textId="77777777" w:rsidR="00C822F3" w:rsidRPr="00E21797" w:rsidRDefault="00C822F3" w:rsidP="00E07988">
            <w:pPr>
              <w:spacing w:before="60" w:after="60"/>
              <w:jc w:val="center"/>
              <w:rPr>
                <w:b/>
                <w:szCs w:val="24"/>
              </w:rPr>
            </w:pPr>
            <w:r w:rsidRPr="00E21797">
              <w:rPr>
                <w:b/>
                <w:szCs w:val="24"/>
              </w:rPr>
              <w:t>Conditions</w:t>
            </w:r>
          </w:p>
        </w:tc>
        <w:tc>
          <w:tcPr>
            <w:tcW w:w="1425" w:type="dxa"/>
            <w:tcBorders>
              <w:top w:val="single" w:sz="18" w:space="0" w:color="auto"/>
              <w:left w:val="single" w:sz="18" w:space="0" w:color="auto"/>
              <w:bottom w:val="single" w:sz="18" w:space="0" w:color="auto"/>
              <w:right w:val="single" w:sz="18" w:space="0" w:color="auto"/>
            </w:tcBorders>
          </w:tcPr>
          <w:p w14:paraId="6DB80ECE" w14:textId="77777777" w:rsidR="00C822F3" w:rsidRPr="00E21797" w:rsidRDefault="00C822F3" w:rsidP="00E07988">
            <w:pPr>
              <w:spacing w:before="60" w:after="60"/>
              <w:jc w:val="center"/>
              <w:rPr>
                <w:b/>
                <w:szCs w:val="24"/>
              </w:rPr>
            </w:pPr>
            <w:r w:rsidRPr="00E21797">
              <w:rPr>
                <w:b/>
              </w:rPr>
              <w:t>Article</w:t>
            </w:r>
          </w:p>
        </w:tc>
        <w:tc>
          <w:tcPr>
            <w:tcW w:w="5355" w:type="dxa"/>
            <w:tcBorders>
              <w:top w:val="single" w:sz="18" w:space="0" w:color="auto"/>
              <w:left w:val="single" w:sz="18" w:space="0" w:color="auto"/>
              <w:bottom w:val="single" w:sz="18" w:space="0" w:color="auto"/>
              <w:right w:val="single" w:sz="18" w:space="0" w:color="auto"/>
            </w:tcBorders>
          </w:tcPr>
          <w:p w14:paraId="491CD5DE" w14:textId="77777777" w:rsidR="00C822F3" w:rsidRPr="00E21797" w:rsidRDefault="00C822F3" w:rsidP="00E07988">
            <w:pPr>
              <w:tabs>
                <w:tab w:val="left" w:pos="5285"/>
              </w:tabs>
              <w:spacing w:before="60" w:after="60"/>
              <w:ind w:right="-94"/>
              <w:jc w:val="center"/>
              <w:rPr>
                <w:b/>
                <w:szCs w:val="24"/>
              </w:rPr>
            </w:pPr>
            <w:r w:rsidRPr="00E21797">
              <w:rPr>
                <w:b/>
                <w:szCs w:val="24"/>
              </w:rPr>
              <w:t>Data</w:t>
            </w:r>
          </w:p>
        </w:tc>
      </w:tr>
      <w:tr w:rsidR="00C822F3" w:rsidRPr="00E21797" w14:paraId="24EDF935" w14:textId="77777777" w:rsidTr="00E07988">
        <w:tc>
          <w:tcPr>
            <w:tcW w:w="2670" w:type="dxa"/>
            <w:tcBorders>
              <w:top w:val="single" w:sz="18" w:space="0" w:color="auto"/>
              <w:left w:val="single" w:sz="2" w:space="0" w:color="auto"/>
              <w:bottom w:val="single" w:sz="2" w:space="0" w:color="auto"/>
              <w:right w:val="single" w:sz="2" w:space="0" w:color="auto"/>
            </w:tcBorders>
          </w:tcPr>
          <w:p w14:paraId="70862114" w14:textId="77777777" w:rsidR="00C822F3" w:rsidRPr="00E21797" w:rsidRDefault="00C822F3" w:rsidP="00E07988">
            <w:pPr>
              <w:spacing w:before="60" w:after="60"/>
              <w:jc w:val="left"/>
              <w:rPr>
                <w:b/>
              </w:rPr>
            </w:pPr>
            <w:r w:rsidRPr="00E21797">
              <w:rPr>
                <w:b/>
              </w:rPr>
              <w:t>Dérogation aux articles du CCAG</w:t>
            </w:r>
          </w:p>
        </w:tc>
        <w:tc>
          <w:tcPr>
            <w:tcW w:w="1425" w:type="dxa"/>
            <w:tcBorders>
              <w:top w:val="single" w:sz="18" w:space="0" w:color="auto"/>
              <w:left w:val="single" w:sz="2" w:space="0" w:color="auto"/>
              <w:bottom w:val="single" w:sz="2" w:space="0" w:color="auto"/>
              <w:right w:val="single" w:sz="2" w:space="0" w:color="auto"/>
            </w:tcBorders>
          </w:tcPr>
          <w:p w14:paraId="64AFEA7C" w14:textId="77777777" w:rsidR="00C822F3" w:rsidRPr="00E21797" w:rsidRDefault="00C822F3" w:rsidP="00C5489D">
            <w:pPr>
              <w:spacing w:before="60" w:after="60"/>
              <w:jc w:val="left"/>
            </w:pPr>
            <w:r w:rsidRPr="00E21797">
              <w:t>1 et 23</w:t>
            </w:r>
          </w:p>
        </w:tc>
        <w:tc>
          <w:tcPr>
            <w:tcW w:w="5355" w:type="dxa"/>
            <w:tcBorders>
              <w:top w:val="single" w:sz="18" w:space="0" w:color="auto"/>
              <w:left w:val="single" w:sz="2" w:space="0" w:color="auto"/>
              <w:bottom w:val="single" w:sz="2" w:space="0" w:color="auto"/>
              <w:right w:val="single" w:sz="2" w:space="0" w:color="auto"/>
            </w:tcBorders>
          </w:tcPr>
          <w:p w14:paraId="4BC37861" w14:textId="30CE9ED8" w:rsidR="00C822F3" w:rsidRPr="00E07988" w:rsidRDefault="00E07988" w:rsidP="00E07988">
            <w:pPr>
              <w:tabs>
                <w:tab w:val="left" w:pos="1775"/>
              </w:tabs>
              <w:spacing w:before="60" w:after="60"/>
              <w:rPr>
                <w:i/>
                <w:szCs w:val="24"/>
              </w:rPr>
            </w:pPr>
            <w:r w:rsidRPr="00E07988">
              <w:rPr>
                <w:i/>
                <w:szCs w:val="24"/>
              </w:rPr>
              <w:t>Sans objet</w:t>
            </w:r>
          </w:p>
        </w:tc>
      </w:tr>
      <w:tr w:rsidR="00C822F3" w:rsidRPr="00E21797" w14:paraId="7BAE6DBA" w14:textId="77777777" w:rsidTr="00E07988">
        <w:tc>
          <w:tcPr>
            <w:tcW w:w="2670" w:type="dxa"/>
            <w:tcBorders>
              <w:top w:val="single" w:sz="2" w:space="0" w:color="auto"/>
              <w:left w:val="single" w:sz="2" w:space="0" w:color="auto"/>
              <w:bottom w:val="single" w:sz="2" w:space="0" w:color="auto"/>
              <w:right w:val="single" w:sz="2" w:space="0" w:color="auto"/>
            </w:tcBorders>
          </w:tcPr>
          <w:p w14:paraId="587E232B" w14:textId="77777777" w:rsidR="00C822F3" w:rsidRPr="00E21797" w:rsidRDefault="00C822F3" w:rsidP="00E07988">
            <w:pPr>
              <w:spacing w:before="60" w:after="60"/>
              <w:jc w:val="left"/>
              <w:rPr>
                <w:b/>
                <w:bCs/>
                <w:szCs w:val="24"/>
              </w:rPr>
            </w:pPr>
            <w:r w:rsidRPr="00E21797">
              <w:rPr>
                <w:b/>
              </w:rPr>
              <w:t>Désignation des intervenants</w:t>
            </w:r>
          </w:p>
        </w:tc>
        <w:tc>
          <w:tcPr>
            <w:tcW w:w="1425" w:type="dxa"/>
            <w:tcBorders>
              <w:top w:val="single" w:sz="2" w:space="0" w:color="auto"/>
              <w:left w:val="single" w:sz="2" w:space="0" w:color="auto"/>
              <w:bottom w:val="single" w:sz="2" w:space="0" w:color="auto"/>
              <w:right w:val="single" w:sz="2" w:space="0" w:color="auto"/>
            </w:tcBorders>
          </w:tcPr>
          <w:p w14:paraId="7A181C4F" w14:textId="77777777" w:rsidR="00C822F3" w:rsidRPr="000A450A" w:rsidRDefault="00C822F3" w:rsidP="00C5489D">
            <w:pPr>
              <w:spacing w:before="60" w:after="60"/>
              <w:jc w:val="left"/>
              <w:rPr>
                <w:szCs w:val="24"/>
              </w:rPr>
            </w:pPr>
            <w:r w:rsidRPr="00E21797">
              <w:t>3.1.1</w:t>
            </w:r>
          </w:p>
        </w:tc>
        <w:tc>
          <w:tcPr>
            <w:tcW w:w="5355" w:type="dxa"/>
            <w:tcBorders>
              <w:top w:val="single" w:sz="2" w:space="0" w:color="auto"/>
              <w:left w:val="single" w:sz="2" w:space="0" w:color="auto"/>
              <w:bottom w:val="single" w:sz="2" w:space="0" w:color="auto"/>
              <w:right w:val="single" w:sz="2" w:space="0" w:color="auto"/>
            </w:tcBorders>
          </w:tcPr>
          <w:p w14:paraId="0A02EDED" w14:textId="700B27F5" w:rsidR="00C822F3" w:rsidRPr="00D048AA" w:rsidRDefault="00C822F3" w:rsidP="00E07988">
            <w:pPr>
              <w:tabs>
                <w:tab w:val="left" w:pos="1775"/>
              </w:tabs>
              <w:spacing w:before="60" w:after="60"/>
            </w:pPr>
            <w:r w:rsidRPr="00D048AA">
              <w:t>Maître de l’Ouvrage :</w:t>
            </w:r>
            <w:r w:rsidR="00E07988" w:rsidRPr="00D048AA">
              <w:rPr>
                <w:i/>
              </w:rPr>
              <w:t xml:space="preserve"> </w:t>
            </w:r>
            <w:r w:rsidR="00134B5A">
              <w:rPr>
                <w:i/>
              </w:rPr>
              <w:t>Ministère du Développement Rural</w:t>
            </w:r>
          </w:p>
          <w:p w14:paraId="2D6E4DE1" w14:textId="7708CF3F" w:rsidR="00C822F3" w:rsidRPr="00D048AA" w:rsidRDefault="00C822F3" w:rsidP="00E07988">
            <w:pPr>
              <w:tabs>
                <w:tab w:val="left" w:pos="1775"/>
              </w:tabs>
              <w:spacing w:before="60" w:after="60"/>
              <w:jc w:val="left"/>
              <w:rPr>
                <w:szCs w:val="24"/>
              </w:rPr>
            </w:pPr>
            <w:r w:rsidRPr="00D048AA">
              <w:t>Chef de Projet :</w:t>
            </w:r>
            <w:r w:rsidR="00E07988" w:rsidRPr="00D048AA">
              <w:t xml:space="preserve"> </w:t>
            </w:r>
            <w:proofErr w:type="spellStart"/>
            <w:r w:rsidR="00134B5A">
              <w:rPr>
                <w:i/>
              </w:rPr>
              <w:t>Altanata</w:t>
            </w:r>
            <w:proofErr w:type="spellEnd"/>
            <w:r w:rsidR="00134B5A">
              <w:rPr>
                <w:i/>
              </w:rPr>
              <w:t xml:space="preserve"> </w:t>
            </w:r>
            <w:proofErr w:type="spellStart"/>
            <w:r w:rsidR="00134B5A">
              <w:rPr>
                <w:i/>
              </w:rPr>
              <w:t>Ebalagh</w:t>
            </w:r>
            <w:proofErr w:type="spellEnd"/>
            <w:r w:rsidR="00134B5A">
              <w:rPr>
                <w:i/>
              </w:rPr>
              <w:t xml:space="preserve"> YATTARA</w:t>
            </w:r>
            <w:r w:rsidR="00E07988" w:rsidRPr="00D048AA">
              <w:rPr>
                <w:i/>
              </w:rPr>
              <w:t>, Coordonnateur National du PARIIS MALI</w:t>
            </w:r>
            <w:r w:rsidR="00E07988" w:rsidRPr="00D048AA">
              <w:t>.</w:t>
            </w:r>
          </w:p>
        </w:tc>
      </w:tr>
      <w:tr w:rsidR="00C822F3" w:rsidRPr="00E21797" w14:paraId="467A6239" w14:textId="77777777" w:rsidTr="00E07988">
        <w:tc>
          <w:tcPr>
            <w:tcW w:w="2670" w:type="dxa"/>
            <w:tcBorders>
              <w:top w:val="single" w:sz="2" w:space="0" w:color="auto"/>
              <w:left w:val="single" w:sz="2" w:space="0" w:color="auto"/>
              <w:bottom w:val="single" w:sz="2" w:space="0" w:color="auto"/>
              <w:right w:val="single" w:sz="2" w:space="0" w:color="auto"/>
            </w:tcBorders>
          </w:tcPr>
          <w:p w14:paraId="6DB4733A" w14:textId="77777777" w:rsidR="00C822F3" w:rsidRPr="00E21797" w:rsidRDefault="00C822F3" w:rsidP="00E07988">
            <w:pPr>
              <w:spacing w:before="60" w:after="60"/>
              <w:jc w:val="left"/>
              <w:rPr>
                <w:b/>
                <w:bCs/>
                <w:szCs w:val="24"/>
              </w:rPr>
            </w:pPr>
          </w:p>
        </w:tc>
        <w:tc>
          <w:tcPr>
            <w:tcW w:w="1425" w:type="dxa"/>
            <w:tcBorders>
              <w:top w:val="single" w:sz="2" w:space="0" w:color="auto"/>
              <w:left w:val="single" w:sz="2" w:space="0" w:color="auto"/>
              <w:bottom w:val="single" w:sz="2" w:space="0" w:color="auto"/>
              <w:right w:val="single" w:sz="2" w:space="0" w:color="auto"/>
            </w:tcBorders>
          </w:tcPr>
          <w:p w14:paraId="3EB55F3F" w14:textId="77777777" w:rsidR="00C822F3" w:rsidRPr="00E21797" w:rsidRDefault="00C822F3" w:rsidP="00C5489D">
            <w:pPr>
              <w:spacing w:before="60" w:after="60"/>
              <w:jc w:val="left"/>
              <w:rPr>
                <w:szCs w:val="24"/>
              </w:rPr>
            </w:pPr>
            <w:r w:rsidRPr="00E21797">
              <w:rPr>
                <w:szCs w:val="24"/>
              </w:rPr>
              <w:t>3.2.2</w:t>
            </w:r>
          </w:p>
        </w:tc>
        <w:tc>
          <w:tcPr>
            <w:tcW w:w="5355" w:type="dxa"/>
            <w:tcBorders>
              <w:top w:val="single" w:sz="2" w:space="0" w:color="auto"/>
              <w:left w:val="single" w:sz="2" w:space="0" w:color="auto"/>
              <w:bottom w:val="single" w:sz="2" w:space="0" w:color="auto"/>
              <w:right w:val="single" w:sz="2" w:space="0" w:color="auto"/>
            </w:tcBorders>
          </w:tcPr>
          <w:p w14:paraId="4F13D25F" w14:textId="404011A3" w:rsidR="00C822F3" w:rsidRPr="00E21797" w:rsidRDefault="00C822F3" w:rsidP="00E07988">
            <w:pPr>
              <w:spacing w:before="60" w:after="60"/>
              <w:jc w:val="left"/>
              <w:rPr>
                <w:szCs w:val="24"/>
              </w:rPr>
            </w:pPr>
            <w:r w:rsidRPr="00E21797">
              <w:t>Maître d’Œuvre :</w:t>
            </w:r>
            <w:r w:rsidR="00E07988">
              <w:t xml:space="preserve"> </w:t>
            </w:r>
            <w:r w:rsidR="00E07988" w:rsidRPr="00E07988">
              <w:rPr>
                <w:i/>
              </w:rPr>
              <w:t>Groupement de bureaux BIRAD/BEED</w:t>
            </w:r>
          </w:p>
        </w:tc>
      </w:tr>
      <w:tr w:rsidR="00C822F3" w:rsidRPr="00E21797" w14:paraId="34F6367A" w14:textId="77777777" w:rsidTr="00E07988">
        <w:tc>
          <w:tcPr>
            <w:tcW w:w="2670" w:type="dxa"/>
            <w:tcBorders>
              <w:top w:val="single" w:sz="2" w:space="0" w:color="auto"/>
              <w:left w:val="single" w:sz="2" w:space="0" w:color="auto"/>
              <w:bottom w:val="single" w:sz="2" w:space="0" w:color="auto"/>
              <w:right w:val="single" w:sz="2" w:space="0" w:color="auto"/>
            </w:tcBorders>
          </w:tcPr>
          <w:p w14:paraId="60170B22" w14:textId="77777777" w:rsidR="00C822F3" w:rsidRPr="00E21797" w:rsidRDefault="00C822F3" w:rsidP="00E07988">
            <w:pPr>
              <w:spacing w:before="60" w:after="60"/>
              <w:jc w:val="left"/>
              <w:rPr>
                <w:b/>
              </w:rPr>
            </w:pPr>
            <w:r>
              <w:rPr>
                <w:b/>
              </w:rPr>
              <w:t>Pièces contractuelles</w:t>
            </w:r>
          </w:p>
        </w:tc>
        <w:tc>
          <w:tcPr>
            <w:tcW w:w="1425" w:type="dxa"/>
            <w:tcBorders>
              <w:top w:val="single" w:sz="2" w:space="0" w:color="auto"/>
              <w:left w:val="single" w:sz="2" w:space="0" w:color="auto"/>
              <w:bottom w:val="single" w:sz="2" w:space="0" w:color="auto"/>
              <w:right w:val="single" w:sz="2" w:space="0" w:color="auto"/>
            </w:tcBorders>
          </w:tcPr>
          <w:p w14:paraId="6F12FCCD" w14:textId="77777777" w:rsidR="00C822F3" w:rsidRPr="00E21797" w:rsidRDefault="00C822F3" w:rsidP="00C5489D">
            <w:pPr>
              <w:spacing w:before="60" w:after="60"/>
              <w:jc w:val="left"/>
              <w:rPr>
                <w:szCs w:val="24"/>
              </w:rPr>
            </w:pPr>
            <w:r>
              <w:rPr>
                <w:szCs w:val="24"/>
              </w:rPr>
              <w:t>4.1</w:t>
            </w:r>
          </w:p>
        </w:tc>
        <w:tc>
          <w:tcPr>
            <w:tcW w:w="5355" w:type="dxa"/>
            <w:tcBorders>
              <w:top w:val="single" w:sz="2" w:space="0" w:color="auto"/>
              <w:left w:val="single" w:sz="2" w:space="0" w:color="auto"/>
              <w:bottom w:val="single" w:sz="2" w:space="0" w:color="auto"/>
              <w:right w:val="single" w:sz="2" w:space="0" w:color="auto"/>
            </w:tcBorders>
          </w:tcPr>
          <w:p w14:paraId="4679426D" w14:textId="067E88C5" w:rsidR="00C822F3" w:rsidRPr="000A450A" w:rsidRDefault="00C822F3" w:rsidP="00E07988">
            <w:pPr>
              <w:spacing w:before="60" w:after="60"/>
              <w:rPr>
                <w:i/>
              </w:rPr>
            </w:pPr>
            <w:r>
              <w:t xml:space="preserve">La langue des  pièces contractuelles : </w:t>
            </w:r>
            <w:r w:rsidRPr="00E07988">
              <w:rPr>
                <w:i/>
              </w:rPr>
              <w:t>Français</w:t>
            </w:r>
            <w:r>
              <w:t xml:space="preserve"> </w:t>
            </w:r>
          </w:p>
        </w:tc>
      </w:tr>
      <w:tr w:rsidR="00C822F3" w:rsidRPr="00E21797" w14:paraId="7B500B69" w14:textId="77777777" w:rsidTr="00E07988">
        <w:tc>
          <w:tcPr>
            <w:tcW w:w="2670" w:type="dxa"/>
            <w:tcBorders>
              <w:top w:val="single" w:sz="2" w:space="0" w:color="auto"/>
              <w:left w:val="single" w:sz="2" w:space="0" w:color="auto"/>
              <w:bottom w:val="single" w:sz="2" w:space="0" w:color="auto"/>
              <w:right w:val="single" w:sz="2" w:space="0" w:color="auto"/>
            </w:tcBorders>
          </w:tcPr>
          <w:p w14:paraId="6494A8DB" w14:textId="77777777" w:rsidR="00C822F3" w:rsidRPr="00E21797" w:rsidRDefault="00C822F3" w:rsidP="00E07988">
            <w:pPr>
              <w:spacing w:before="60" w:after="60"/>
              <w:jc w:val="left"/>
              <w:rPr>
                <w:b/>
                <w:bCs/>
                <w:szCs w:val="24"/>
              </w:rPr>
            </w:pPr>
            <w:r>
              <w:rPr>
                <w:b/>
              </w:rPr>
              <w:t>Pièces</w:t>
            </w:r>
            <w:r w:rsidRPr="00E21797">
              <w:rPr>
                <w:b/>
              </w:rPr>
              <w:t xml:space="preserve"> contractuel</w:t>
            </w:r>
            <w:r>
              <w:rPr>
                <w:b/>
              </w:rPr>
              <w:t>le</w:t>
            </w:r>
            <w:r w:rsidRPr="00E21797">
              <w:rPr>
                <w:b/>
              </w:rPr>
              <w:t>s</w:t>
            </w:r>
          </w:p>
        </w:tc>
        <w:tc>
          <w:tcPr>
            <w:tcW w:w="1425" w:type="dxa"/>
            <w:tcBorders>
              <w:top w:val="single" w:sz="2" w:space="0" w:color="auto"/>
              <w:left w:val="single" w:sz="2" w:space="0" w:color="auto"/>
              <w:bottom w:val="single" w:sz="2" w:space="0" w:color="auto"/>
              <w:right w:val="single" w:sz="2" w:space="0" w:color="auto"/>
            </w:tcBorders>
          </w:tcPr>
          <w:p w14:paraId="361EBECA" w14:textId="77777777" w:rsidR="00C822F3" w:rsidRPr="00E21797" w:rsidRDefault="00C822F3" w:rsidP="00C5489D">
            <w:pPr>
              <w:spacing w:before="60" w:after="60"/>
              <w:jc w:val="left"/>
              <w:rPr>
                <w:szCs w:val="24"/>
              </w:rPr>
            </w:pPr>
            <w:r w:rsidRPr="00E21797">
              <w:rPr>
                <w:szCs w:val="24"/>
              </w:rPr>
              <w:t>4.2 (e)</w:t>
            </w:r>
          </w:p>
        </w:tc>
        <w:tc>
          <w:tcPr>
            <w:tcW w:w="5355" w:type="dxa"/>
            <w:tcBorders>
              <w:top w:val="single" w:sz="2" w:space="0" w:color="auto"/>
              <w:left w:val="single" w:sz="2" w:space="0" w:color="auto"/>
              <w:bottom w:val="single" w:sz="2" w:space="0" w:color="auto"/>
              <w:right w:val="single" w:sz="2" w:space="0" w:color="auto"/>
            </w:tcBorders>
          </w:tcPr>
          <w:p w14:paraId="4F4A9557" w14:textId="4A715A17" w:rsidR="00C822F3" w:rsidRPr="00190000" w:rsidRDefault="00190000" w:rsidP="00190000">
            <w:pPr>
              <w:spacing w:before="60" w:after="60"/>
              <w:ind w:left="63" w:hanging="63"/>
              <w:jc w:val="left"/>
              <w:rPr>
                <w:i/>
                <w:szCs w:val="24"/>
              </w:rPr>
            </w:pPr>
            <w:r w:rsidRPr="00190000">
              <w:rPr>
                <w:i/>
                <w:szCs w:val="24"/>
              </w:rPr>
              <w:t>Ensemble des documents de la Section VII – Spécifications techniques et Plans, notes de calcul, cahiers de sondage et dossiers géotechniques</w:t>
            </w:r>
          </w:p>
        </w:tc>
      </w:tr>
      <w:tr w:rsidR="00C822F3" w:rsidRPr="00E21797" w14:paraId="11A26920" w14:textId="77777777" w:rsidTr="00E07988">
        <w:tc>
          <w:tcPr>
            <w:tcW w:w="2670" w:type="dxa"/>
            <w:tcBorders>
              <w:top w:val="single" w:sz="2" w:space="0" w:color="auto"/>
              <w:left w:val="single" w:sz="2" w:space="0" w:color="auto"/>
              <w:bottom w:val="single" w:sz="2" w:space="0" w:color="auto"/>
              <w:right w:val="single" w:sz="2" w:space="0" w:color="auto"/>
            </w:tcBorders>
          </w:tcPr>
          <w:p w14:paraId="48D2AF0F" w14:textId="77777777" w:rsidR="00C822F3" w:rsidRPr="00E21797" w:rsidRDefault="00C822F3" w:rsidP="00E07988">
            <w:pPr>
              <w:spacing w:before="60" w:after="60"/>
              <w:jc w:val="left"/>
              <w:rPr>
                <w:b/>
              </w:rPr>
            </w:pPr>
          </w:p>
        </w:tc>
        <w:tc>
          <w:tcPr>
            <w:tcW w:w="1425" w:type="dxa"/>
            <w:tcBorders>
              <w:top w:val="single" w:sz="2" w:space="0" w:color="auto"/>
              <w:left w:val="single" w:sz="2" w:space="0" w:color="auto"/>
              <w:bottom w:val="single" w:sz="2" w:space="0" w:color="auto"/>
              <w:right w:val="single" w:sz="2" w:space="0" w:color="auto"/>
            </w:tcBorders>
          </w:tcPr>
          <w:p w14:paraId="5592AC4A" w14:textId="77777777" w:rsidR="00C822F3" w:rsidRPr="00E21797" w:rsidRDefault="00C822F3" w:rsidP="00C5489D">
            <w:pPr>
              <w:spacing w:before="60" w:after="60"/>
              <w:jc w:val="left"/>
              <w:rPr>
                <w:szCs w:val="24"/>
              </w:rPr>
            </w:pPr>
            <w:r w:rsidRPr="00E21797">
              <w:rPr>
                <w:szCs w:val="24"/>
              </w:rPr>
              <w:t>4.2 (h)</w:t>
            </w:r>
          </w:p>
        </w:tc>
        <w:tc>
          <w:tcPr>
            <w:tcW w:w="5355" w:type="dxa"/>
            <w:tcBorders>
              <w:top w:val="single" w:sz="2" w:space="0" w:color="auto"/>
              <w:left w:val="single" w:sz="2" w:space="0" w:color="auto"/>
              <w:bottom w:val="single" w:sz="2" w:space="0" w:color="auto"/>
              <w:right w:val="single" w:sz="2" w:space="0" w:color="auto"/>
            </w:tcBorders>
          </w:tcPr>
          <w:p w14:paraId="4C6674FA" w14:textId="2DC962F8" w:rsidR="00C822F3" w:rsidRPr="00E21797" w:rsidRDefault="00C822F3" w:rsidP="00190000">
            <w:pPr>
              <w:spacing w:before="60" w:after="60"/>
              <w:ind w:left="63" w:hanging="63"/>
            </w:pPr>
            <w:r w:rsidRPr="00E21797">
              <w:t>Décomposition des prix forfaitaires et sous détail des prix unitaires</w:t>
            </w:r>
            <w:r>
              <w:t xml:space="preserve"> ne font </w:t>
            </w:r>
            <w:r>
              <w:rPr>
                <w:rStyle w:val="Marquedecommentaire"/>
                <w:vanish/>
              </w:rPr>
              <w:t xml:space="preserve"> </w:t>
            </w:r>
            <w:r>
              <w:t>pas partie des pièces contractuelles.</w:t>
            </w:r>
          </w:p>
        </w:tc>
      </w:tr>
      <w:tr w:rsidR="00C822F3" w:rsidRPr="00501C1D" w14:paraId="20CB24F7" w14:textId="77777777" w:rsidTr="00E07988">
        <w:tc>
          <w:tcPr>
            <w:tcW w:w="2670" w:type="dxa"/>
            <w:tcBorders>
              <w:top w:val="single" w:sz="2" w:space="0" w:color="auto"/>
              <w:left w:val="single" w:sz="2" w:space="0" w:color="auto"/>
              <w:bottom w:val="single" w:sz="2" w:space="0" w:color="auto"/>
              <w:right w:val="single" w:sz="2" w:space="0" w:color="auto"/>
            </w:tcBorders>
          </w:tcPr>
          <w:p w14:paraId="1EA79CFC" w14:textId="77777777" w:rsidR="00C822F3" w:rsidRDefault="00C822F3" w:rsidP="00E07988">
            <w:pPr>
              <w:spacing w:before="60" w:after="60"/>
              <w:jc w:val="left"/>
              <w:rPr>
                <w:b/>
              </w:rPr>
            </w:pPr>
          </w:p>
        </w:tc>
        <w:tc>
          <w:tcPr>
            <w:tcW w:w="1425" w:type="dxa"/>
            <w:tcBorders>
              <w:top w:val="single" w:sz="2" w:space="0" w:color="auto"/>
              <w:left w:val="single" w:sz="2" w:space="0" w:color="auto"/>
              <w:bottom w:val="single" w:sz="2" w:space="0" w:color="auto"/>
              <w:right w:val="single" w:sz="2" w:space="0" w:color="auto"/>
            </w:tcBorders>
          </w:tcPr>
          <w:p w14:paraId="1F3E3768" w14:textId="77777777" w:rsidR="00C822F3" w:rsidRDefault="00C822F3" w:rsidP="00C5489D">
            <w:pPr>
              <w:spacing w:before="60" w:after="60"/>
              <w:jc w:val="left"/>
              <w:rPr>
                <w:szCs w:val="24"/>
              </w:rPr>
            </w:pPr>
            <w:r>
              <w:rPr>
                <w:szCs w:val="24"/>
              </w:rPr>
              <w:t>4.2 (j)</w:t>
            </w:r>
          </w:p>
        </w:tc>
        <w:tc>
          <w:tcPr>
            <w:tcW w:w="5355" w:type="dxa"/>
            <w:tcBorders>
              <w:top w:val="single" w:sz="2" w:space="0" w:color="auto"/>
              <w:left w:val="single" w:sz="2" w:space="0" w:color="auto"/>
              <w:bottom w:val="single" w:sz="2" w:space="0" w:color="auto"/>
              <w:right w:val="single" w:sz="2" w:space="0" w:color="auto"/>
            </w:tcBorders>
          </w:tcPr>
          <w:p w14:paraId="24C7D1DF" w14:textId="36D58B49" w:rsidR="00C822F3" w:rsidRPr="000A450A" w:rsidRDefault="00C822F3" w:rsidP="00190000">
            <w:pPr>
              <w:spacing w:before="60" w:after="60"/>
              <w:ind w:left="63" w:hanging="63"/>
              <w:rPr>
                <w:szCs w:val="24"/>
                <w:u w:val="single"/>
              </w:rPr>
            </w:pPr>
            <w:r>
              <w:rPr>
                <w:szCs w:val="24"/>
              </w:rPr>
              <w:t>Les documents techniques généraux (autres que ceux mentionnés dans les Spécifications techniques) applicables aux prestations faisant partie des pièces contractuelles sont :</w:t>
            </w:r>
            <w:r w:rsidR="00190000">
              <w:rPr>
                <w:szCs w:val="24"/>
              </w:rPr>
              <w:t xml:space="preserve"> </w:t>
            </w:r>
            <w:r w:rsidR="00190000" w:rsidRPr="00190000">
              <w:rPr>
                <w:i/>
                <w:szCs w:val="24"/>
              </w:rPr>
              <w:t>Sans objet</w:t>
            </w:r>
          </w:p>
        </w:tc>
      </w:tr>
      <w:tr w:rsidR="00C822F3" w:rsidRPr="00501C1D" w14:paraId="27755B84" w14:textId="77777777" w:rsidTr="00E07988">
        <w:tc>
          <w:tcPr>
            <w:tcW w:w="2670" w:type="dxa"/>
            <w:tcBorders>
              <w:top w:val="single" w:sz="2" w:space="0" w:color="auto"/>
              <w:left w:val="single" w:sz="2" w:space="0" w:color="auto"/>
              <w:bottom w:val="single" w:sz="2" w:space="0" w:color="auto"/>
              <w:right w:val="single" w:sz="2" w:space="0" w:color="auto"/>
            </w:tcBorders>
          </w:tcPr>
          <w:p w14:paraId="2C55E01D" w14:textId="77777777" w:rsidR="00C822F3" w:rsidRDefault="00C822F3" w:rsidP="00E07988">
            <w:pPr>
              <w:spacing w:before="60" w:after="60"/>
              <w:jc w:val="left"/>
              <w:rPr>
                <w:b/>
              </w:rPr>
            </w:pPr>
            <w:r>
              <w:rPr>
                <w:b/>
              </w:rPr>
              <w:t>Obligations générales</w:t>
            </w:r>
          </w:p>
        </w:tc>
        <w:tc>
          <w:tcPr>
            <w:tcW w:w="1425" w:type="dxa"/>
            <w:tcBorders>
              <w:top w:val="single" w:sz="2" w:space="0" w:color="auto"/>
              <w:left w:val="single" w:sz="2" w:space="0" w:color="auto"/>
              <w:bottom w:val="single" w:sz="2" w:space="0" w:color="auto"/>
              <w:right w:val="single" w:sz="2" w:space="0" w:color="auto"/>
            </w:tcBorders>
          </w:tcPr>
          <w:p w14:paraId="75837DD7" w14:textId="77777777" w:rsidR="00C822F3" w:rsidRDefault="00C822F3" w:rsidP="00C5489D">
            <w:pPr>
              <w:spacing w:before="60" w:after="60"/>
              <w:jc w:val="left"/>
              <w:rPr>
                <w:szCs w:val="24"/>
              </w:rPr>
            </w:pPr>
            <w:r>
              <w:rPr>
                <w:szCs w:val="24"/>
              </w:rPr>
              <w:t>5.7.1</w:t>
            </w:r>
          </w:p>
        </w:tc>
        <w:tc>
          <w:tcPr>
            <w:tcW w:w="5355" w:type="dxa"/>
            <w:tcBorders>
              <w:top w:val="single" w:sz="2" w:space="0" w:color="auto"/>
              <w:left w:val="single" w:sz="2" w:space="0" w:color="auto"/>
              <w:bottom w:val="single" w:sz="2" w:space="0" w:color="auto"/>
              <w:right w:val="single" w:sz="2" w:space="0" w:color="auto"/>
            </w:tcBorders>
          </w:tcPr>
          <w:p w14:paraId="507FA1FB" w14:textId="6558E54C" w:rsidR="00C822F3" w:rsidRPr="00190000" w:rsidRDefault="00C822F3" w:rsidP="00190000">
            <w:pPr>
              <w:spacing w:before="60" w:after="60"/>
              <w:ind w:left="0" w:firstLine="0"/>
              <w:rPr>
                <w:i/>
                <w:szCs w:val="24"/>
              </w:rPr>
            </w:pPr>
            <w:r w:rsidRPr="00190000">
              <w:rPr>
                <w:szCs w:val="24"/>
              </w:rPr>
              <w:t xml:space="preserve">Les ordres de service sont adressés </w:t>
            </w:r>
            <w:r w:rsidRPr="00190000">
              <w:rPr>
                <w:i/>
                <w:szCs w:val="24"/>
              </w:rPr>
              <w:t>par courrier, remise en main propres à l’adresse suivante :</w:t>
            </w:r>
          </w:p>
          <w:p w14:paraId="35541C12" w14:textId="21E67EFD" w:rsidR="00190000" w:rsidRPr="0008705D" w:rsidRDefault="00190000" w:rsidP="0008705D">
            <w:pPr>
              <w:spacing w:before="60" w:after="60"/>
              <w:jc w:val="left"/>
              <w:rPr>
                <w:i/>
                <w:szCs w:val="24"/>
              </w:rPr>
            </w:pPr>
            <w:r w:rsidRPr="0008705D">
              <w:rPr>
                <w:i/>
                <w:szCs w:val="24"/>
              </w:rPr>
              <w:t>Adresse :</w:t>
            </w:r>
            <w:r w:rsidR="0008705D" w:rsidRPr="0008705D">
              <w:rPr>
                <w:szCs w:val="24"/>
              </w:rPr>
              <w:t xml:space="preserve"> </w:t>
            </w:r>
            <w:r w:rsidR="0008705D" w:rsidRPr="0008705D">
              <w:rPr>
                <w:i/>
                <w:szCs w:val="24"/>
              </w:rPr>
              <w:t xml:space="preserve">Unité de Gestion du Projet du Projet d’Appui Régional à l’Initiative pour l’Irrigation au Sahel (PARIIS MALI) - </w:t>
            </w:r>
            <w:proofErr w:type="spellStart"/>
            <w:r w:rsidR="0008705D" w:rsidRPr="0008705D">
              <w:rPr>
                <w:i/>
                <w:szCs w:val="24"/>
              </w:rPr>
              <w:t>Hamdallaye</w:t>
            </w:r>
            <w:proofErr w:type="spellEnd"/>
            <w:r w:rsidR="0008705D" w:rsidRPr="0008705D">
              <w:rPr>
                <w:i/>
                <w:szCs w:val="24"/>
              </w:rPr>
              <w:t xml:space="preserve"> ACI 2000 Bamako Mali, Rue 333 Porte 16 – </w:t>
            </w:r>
            <w:proofErr w:type="spellStart"/>
            <w:r w:rsidR="0008705D" w:rsidRPr="0008705D">
              <w:rPr>
                <w:i/>
                <w:szCs w:val="24"/>
              </w:rPr>
              <w:t>Imm</w:t>
            </w:r>
            <w:proofErr w:type="spellEnd"/>
            <w:r w:rsidR="0008705D" w:rsidRPr="0008705D">
              <w:rPr>
                <w:i/>
                <w:szCs w:val="24"/>
              </w:rPr>
              <w:t xml:space="preserve">. De Mme TANDIA </w:t>
            </w:r>
            <w:proofErr w:type="spellStart"/>
            <w:r w:rsidR="0008705D" w:rsidRPr="0008705D">
              <w:rPr>
                <w:i/>
                <w:szCs w:val="24"/>
              </w:rPr>
              <w:t>Hawa</w:t>
            </w:r>
            <w:proofErr w:type="spellEnd"/>
            <w:r w:rsidR="0008705D" w:rsidRPr="0008705D">
              <w:rPr>
                <w:i/>
                <w:szCs w:val="24"/>
              </w:rPr>
              <w:t xml:space="preserve"> HAIDARA, Tél (223) 20 23 33 46/20 23 34 20/ / 75 41 31 08</w:t>
            </w:r>
          </w:p>
          <w:p w14:paraId="76C5B647" w14:textId="77777777" w:rsidR="00190000" w:rsidRPr="0008705D" w:rsidRDefault="00190000" w:rsidP="00190000">
            <w:pPr>
              <w:spacing w:before="60" w:after="60"/>
              <w:rPr>
                <w:i/>
                <w:szCs w:val="24"/>
              </w:rPr>
            </w:pPr>
            <w:r w:rsidRPr="0008705D">
              <w:rPr>
                <w:i/>
                <w:szCs w:val="24"/>
              </w:rPr>
              <w:t xml:space="preserve">Adresse électronique : </w:t>
            </w:r>
          </w:p>
          <w:p w14:paraId="647CEBF7" w14:textId="4FB5B728" w:rsidR="00C822F3" w:rsidRPr="007E0122" w:rsidRDefault="00C822F3" w:rsidP="00E07988">
            <w:pPr>
              <w:spacing w:before="60" w:after="60"/>
              <w:rPr>
                <w:i/>
                <w:sz w:val="20"/>
              </w:rPr>
            </w:pPr>
          </w:p>
        </w:tc>
      </w:tr>
      <w:tr w:rsidR="00C822F3" w:rsidRPr="00E21797" w14:paraId="3F24F34A" w14:textId="77777777" w:rsidTr="00E07988">
        <w:tc>
          <w:tcPr>
            <w:tcW w:w="2670" w:type="dxa"/>
            <w:tcBorders>
              <w:top w:val="single" w:sz="2" w:space="0" w:color="auto"/>
              <w:left w:val="single" w:sz="2" w:space="0" w:color="auto"/>
              <w:bottom w:val="single" w:sz="2" w:space="0" w:color="auto"/>
              <w:right w:val="single" w:sz="2" w:space="0" w:color="auto"/>
            </w:tcBorders>
          </w:tcPr>
          <w:p w14:paraId="5C44A94C" w14:textId="77777777" w:rsidR="00C822F3" w:rsidRPr="00E21797" w:rsidRDefault="00C822F3" w:rsidP="00E07988">
            <w:pPr>
              <w:spacing w:before="60" w:after="60"/>
              <w:jc w:val="left"/>
              <w:rPr>
                <w:b/>
              </w:rPr>
            </w:pPr>
            <w:r w:rsidRPr="00E21797">
              <w:rPr>
                <w:b/>
              </w:rPr>
              <w:t>Estimation des engagements financiers du Maître de l’Ouvrage</w:t>
            </w:r>
          </w:p>
        </w:tc>
        <w:tc>
          <w:tcPr>
            <w:tcW w:w="1425" w:type="dxa"/>
            <w:tcBorders>
              <w:top w:val="single" w:sz="2" w:space="0" w:color="auto"/>
              <w:left w:val="single" w:sz="2" w:space="0" w:color="auto"/>
              <w:bottom w:val="single" w:sz="2" w:space="0" w:color="auto"/>
              <w:right w:val="single" w:sz="2" w:space="0" w:color="auto"/>
            </w:tcBorders>
          </w:tcPr>
          <w:p w14:paraId="511FBA5A" w14:textId="77777777" w:rsidR="00C822F3" w:rsidRPr="00E21797" w:rsidRDefault="00C822F3" w:rsidP="00E07988">
            <w:pPr>
              <w:spacing w:before="60" w:after="60"/>
              <w:jc w:val="left"/>
              <w:rPr>
                <w:szCs w:val="24"/>
              </w:rPr>
            </w:pPr>
            <w:r w:rsidRPr="00E21797">
              <w:rPr>
                <w:szCs w:val="24"/>
              </w:rPr>
              <w:t>5.8</w:t>
            </w:r>
          </w:p>
        </w:tc>
        <w:tc>
          <w:tcPr>
            <w:tcW w:w="5355" w:type="dxa"/>
            <w:tcBorders>
              <w:top w:val="single" w:sz="2" w:space="0" w:color="auto"/>
              <w:left w:val="single" w:sz="2" w:space="0" w:color="auto"/>
              <w:bottom w:val="single" w:sz="2" w:space="0" w:color="auto"/>
              <w:right w:val="single" w:sz="2" w:space="0" w:color="auto"/>
            </w:tcBorders>
          </w:tcPr>
          <w:p w14:paraId="493CDE32" w14:textId="47698AC1" w:rsidR="00C822F3" w:rsidRPr="0008705D" w:rsidRDefault="0008705D" w:rsidP="0008705D">
            <w:pPr>
              <w:spacing w:before="60" w:after="60"/>
              <w:ind w:left="63" w:hanging="63"/>
              <w:rPr>
                <w:szCs w:val="24"/>
              </w:rPr>
            </w:pPr>
            <w:r w:rsidRPr="0008705D">
              <w:rPr>
                <w:szCs w:val="24"/>
              </w:rPr>
              <w:t>Délai de remise de l’estimation : dans les 15 jours suivant la fin de chaque trimestre ou suite à la demande du maître d’ouvrage délégué.</w:t>
            </w:r>
          </w:p>
        </w:tc>
      </w:tr>
      <w:tr w:rsidR="00C822F3" w:rsidRPr="00E21797" w14:paraId="3481C6C0" w14:textId="77777777" w:rsidTr="00E07988">
        <w:tc>
          <w:tcPr>
            <w:tcW w:w="2670" w:type="dxa"/>
            <w:tcBorders>
              <w:top w:val="single" w:sz="2" w:space="0" w:color="auto"/>
              <w:left w:val="single" w:sz="2" w:space="0" w:color="auto"/>
              <w:bottom w:val="single" w:sz="2" w:space="0" w:color="auto"/>
              <w:right w:val="single" w:sz="2" w:space="0" w:color="auto"/>
            </w:tcBorders>
          </w:tcPr>
          <w:p w14:paraId="07963088" w14:textId="77777777" w:rsidR="00C822F3" w:rsidRPr="00E21797" w:rsidRDefault="00C822F3" w:rsidP="00E07988">
            <w:pPr>
              <w:spacing w:before="60" w:after="60"/>
              <w:jc w:val="left"/>
              <w:rPr>
                <w:b/>
              </w:rPr>
            </w:pPr>
            <w:r w:rsidRPr="00E21797">
              <w:rPr>
                <w:b/>
              </w:rPr>
              <w:t>Garanties</w:t>
            </w:r>
          </w:p>
        </w:tc>
        <w:tc>
          <w:tcPr>
            <w:tcW w:w="1425" w:type="dxa"/>
            <w:tcBorders>
              <w:top w:val="single" w:sz="2" w:space="0" w:color="auto"/>
              <w:left w:val="single" w:sz="2" w:space="0" w:color="auto"/>
              <w:bottom w:val="single" w:sz="2" w:space="0" w:color="auto"/>
              <w:right w:val="single" w:sz="2" w:space="0" w:color="auto"/>
            </w:tcBorders>
          </w:tcPr>
          <w:p w14:paraId="27D0924C" w14:textId="77777777" w:rsidR="00C822F3" w:rsidRPr="00E21797" w:rsidRDefault="00C822F3" w:rsidP="00E07988">
            <w:pPr>
              <w:spacing w:before="60" w:after="60"/>
              <w:jc w:val="left"/>
              <w:rPr>
                <w:szCs w:val="24"/>
              </w:rPr>
            </w:pPr>
            <w:r w:rsidRPr="00E21797">
              <w:t>6.1.1</w:t>
            </w:r>
          </w:p>
        </w:tc>
        <w:tc>
          <w:tcPr>
            <w:tcW w:w="5355" w:type="dxa"/>
            <w:tcBorders>
              <w:top w:val="single" w:sz="2" w:space="0" w:color="auto"/>
              <w:left w:val="single" w:sz="2" w:space="0" w:color="auto"/>
              <w:bottom w:val="single" w:sz="2" w:space="0" w:color="auto"/>
              <w:right w:val="single" w:sz="2" w:space="0" w:color="auto"/>
            </w:tcBorders>
          </w:tcPr>
          <w:p w14:paraId="07892CA1" w14:textId="6D07F585" w:rsidR="00C822F3" w:rsidRPr="00E21797" w:rsidRDefault="00C822F3" w:rsidP="00E80451">
            <w:pPr>
              <w:spacing w:before="60" w:after="60"/>
              <w:ind w:left="63" w:hanging="9"/>
              <w:jc w:val="left"/>
              <w:rPr>
                <w:i/>
                <w:sz w:val="20"/>
              </w:rPr>
            </w:pPr>
            <w:r w:rsidRPr="00E21797">
              <w:t xml:space="preserve">La garantie de bonne exécution sera de </w:t>
            </w:r>
            <w:r w:rsidR="00E80451" w:rsidRPr="00E80451">
              <w:rPr>
                <w:b/>
              </w:rPr>
              <w:t>5%</w:t>
            </w:r>
            <w:r w:rsidR="00E80451" w:rsidRPr="00E21797">
              <w:t xml:space="preserve"> </w:t>
            </w:r>
            <w:r w:rsidRPr="00E21797">
              <w:t>du Montant du Marché.</w:t>
            </w:r>
            <w:r>
              <w:t xml:space="preserve"> </w:t>
            </w:r>
          </w:p>
        </w:tc>
      </w:tr>
      <w:tr w:rsidR="00C822F3" w:rsidRPr="00E21797" w14:paraId="2C19BDB5" w14:textId="77777777" w:rsidTr="00E07988">
        <w:tc>
          <w:tcPr>
            <w:tcW w:w="2670" w:type="dxa"/>
            <w:tcBorders>
              <w:top w:val="single" w:sz="2" w:space="0" w:color="auto"/>
              <w:left w:val="single" w:sz="2" w:space="0" w:color="auto"/>
              <w:bottom w:val="single" w:sz="2" w:space="0" w:color="auto"/>
              <w:right w:val="single" w:sz="2" w:space="0" w:color="auto"/>
            </w:tcBorders>
          </w:tcPr>
          <w:p w14:paraId="71B2784F" w14:textId="77777777" w:rsidR="00C822F3" w:rsidRPr="00E21797" w:rsidRDefault="00C822F3" w:rsidP="00E07988">
            <w:pPr>
              <w:spacing w:before="60" w:after="60"/>
              <w:jc w:val="left"/>
              <w:rPr>
                <w:b/>
              </w:rPr>
            </w:pPr>
            <w:r w:rsidRPr="00E21797">
              <w:rPr>
                <w:b/>
              </w:rPr>
              <w:t>Retenue de garantie</w:t>
            </w:r>
          </w:p>
        </w:tc>
        <w:tc>
          <w:tcPr>
            <w:tcW w:w="1425" w:type="dxa"/>
            <w:tcBorders>
              <w:top w:val="single" w:sz="2" w:space="0" w:color="auto"/>
              <w:left w:val="single" w:sz="2" w:space="0" w:color="auto"/>
              <w:bottom w:val="single" w:sz="2" w:space="0" w:color="auto"/>
              <w:right w:val="single" w:sz="2" w:space="0" w:color="auto"/>
            </w:tcBorders>
          </w:tcPr>
          <w:p w14:paraId="66BE5041" w14:textId="77777777" w:rsidR="00C822F3" w:rsidRPr="00E21797" w:rsidRDefault="00C822F3" w:rsidP="00E07988">
            <w:pPr>
              <w:spacing w:before="60" w:after="60"/>
              <w:jc w:val="left"/>
            </w:pPr>
            <w:r w:rsidRPr="00E21797">
              <w:t>6.2.1</w:t>
            </w:r>
          </w:p>
        </w:tc>
        <w:tc>
          <w:tcPr>
            <w:tcW w:w="5355" w:type="dxa"/>
            <w:tcBorders>
              <w:top w:val="single" w:sz="2" w:space="0" w:color="auto"/>
              <w:left w:val="single" w:sz="2" w:space="0" w:color="auto"/>
              <w:bottom w:val="single" w:sz="2" w:space="0" w:color="auto"/>
              <w:right w:val="single" w:sz="2" w:space="0" w:color="auto"/>
            </w:tcBorders>
          </w:tcPr>
          <w:p w14:paraId="2E19BAA3" w14:textId="2BCFC5C0" w:rsidR="00C822F3" w:rsidRPr="00E21797" w:rsidRDefault="00C822F3" w:rsidP="005F2189">
            <w:pPr>
              <w:spacing w:before="60" w:after="60"/>
            </w:pPr>
            <w:r w:rsidRPr="00E21797">
              <w:t xml:space="preserve">La retenue de garantie sera de </w:t>
            </w:r>
            <w:r w:rsidR="005F2189" w:rsidRPr="005F2189">
              <w:rPr>
                <w:b/>
              </w:rPr>
              <w:t>10%</w:t>
            </w:r>
            <w:r w:rsidR="005F2189" w:rsidRPr="00E21797">
              <w:t>.</w:t>
            </w:r>
          </w:p>
        </w:tc>
      </w:tr>
      <w:tr w:rsidR="00C822F3" w:rsidRPr="00E21797" w14:paraId="0D301373" w14:textId="77777777" w:rsidTr="00E07988">
        <w:tc>
          <w:tcPr>
            <w:tcW w:w="2670" w:type="dxa"/>
            <w:tcBorders>
              <w:top w:val="single" w:sz="2" w:space="0" w:color="auto"/>
              <w:left w:val="single" w:sz="2" w:space="0" w:color="auto"/>
              <w:bottom w:val="single" w:sz="2" w:space="0" w:color="auto"/>
              <w:right w:val="single" w:sz="2" w:space="0" w:color="auto"/>
            </w:tcBorders>
          </w:tcPr>
          <w:p w14:paraId="728F8EF5" w14:textId="77777777" w:rsidR="00C822F3" w:rsidRPr="00E21797" w:rsidRDefault="00C822F3" w:rsidP="00E07988">
            <w:pPr>
              <w:spacing w:before="60" w:after="60"/>
              <w:jc w:val="left"/>
              <w:rPr>
                <w:b/>
              </w:rPr>
            </w:pPr>
            <w:r w:rsidRPr="00E21797">
              <w:rPr>
                <w:b/>
              </w:rPr>
              <w:t>Assurances</w:t>
            </w:r>
          </w:p>
        </w:tc>
        <w:tc>
          <w:tcPr>
            <w:tcW w:w="1425" w:type="dxa"/>
            <w:tcBorders>
              <w:top w:val="single" w:sz="2" w:space="0" w:color="auto"/>
              <w:left w:val="single" w:sz="2" w:space="0" w:color="auto"/>
              <w:bottom w:val="single" w:sz="2" w:space="0" w:color="auto"/>
              <w:right w:val="single" w:sz="2" w:space="0" w:color="auto"/>
            </w:tcBorders>
          </w:tcPr>
          <w:p w14:paraId="086C54C7" w14:textId="77777777" w:rsidR="00C822F3" w:rsidRPr="00E21797" w:rsidRDefault="00C822F3" w:rsidP="00E07988">
            <w:pPr>
              <w:spacing w:before="60" w:after="60"/>
              <w:jc w:val="left"/>
            </w:pPr>
            <w:r w:rsidRPr="00E21797">
              <w:t>6.3.1</w:t>
            </w:r>
          </w:p>
        </w:tc>
        <w:tc>
          <w:tcPr>
            <w:tcW w:w="5355" w:type="dxa"/>
            <w:tcBorders>
              <w:top w:val="single" w:sz="2" w:space="0" w:color="auto"/>
              <w:left w:val="single" w:sz="2" w:space="0" w:color="auto"/>
              <w:bottom w:val="single" w:sz="2" w:space="0" w:color="auto"/>
              <w:right w:val="single" w:sz="2" w:space="0" w:color="auto"/>
            </w:tcBorders>
          </w:tcPr>
          <w:p w14:paraId="3EFD0EDD" w14:textId="2F3296E5" w:rsidR="00C822F3" w:rsidRPr="00E21797" w:rsidRDefault="00C822F3" w:rsidP="00C7317D">
            <w:pPr>
              <w:spacing w:before="60" w:after="60"/>
            </w:pPr>
            <w:r w:rsidRPr="00E21797">
              <w:t>Les polices d’assurances suivantes sont requises au titre du présent Marché pour les montants minimum indiqués ci-après :</w:t>
            </w:r>
            <w:r w:rsidRPr="00E21797">
              <w:rPr>
                <w:i/>
                <w:sz w:val="20"/>
              </w:rPr>
              <w:t xml:space="preserve"> </w:t>
            </w:r>
          </w:p>
        </w:tc>
      </w:tr>
      <w:tr w:rsidR="00C822F3" w:rsidRPr="00E21797" w14:paraId="64DA7205" w14:textId="77777777" w:rsidTr="00E07988">
        <w:tc>
          <w:tcPr>
            <w:tcW w:w="2670" w:type="dxa"/>
            <w:tcBorders>
              <w:top w:val="single" w:sz="2" w:space="0" w:color="auto"/>
              <w:left w:val="single" w:sz="2" w:space="0" w:color="auto"/>
              <w:bottom w:val="single" w:sz="2" w:space="0" w:color="auto"/>
              <w:right w:val="single" w:sz="2" w:space="0" w:color="auto"/>
            </w:tcBorders>
          </w:tcPr>
          <w:p w14:paraId="0866CA1E" w14:textId="77777777" w:rsidR="00C822F3" w:rsidRPr="00E21797" w:rsidRDefault="00C822F3" w:rsidP="00E07988">
            <w:pPr>
              <w:spacing w:before="60" w:after="60"/>
              <w:jc w:val="left"/>
              <w:rPr>
                <w:b/>
              </w:rPr>
            </w:pPr>
          </w:p>
        </w:tc>
        <w:tc>
          <w:tcPr>
            <w:tcW w:w="1425" w:type="dxa"/>
            <w:tcBorders>
              <w:top w:val="single" w:sz="2" w:space="0" w:color="auto"/>
              <w:left w:val="single" w:sz="2" w:space="0" w:color="auto"/>
              <w:bottom w:val="single" w:sz="2" w:space="0" w:color="auto"/>
              <w:right w:val="single" w:sz="2" w:space="0" w:color="auto"/>
            </w:tcBorders>
          </w:tcPr>
          <w:p w14:paraId="6A64A23C" w14:textId="77777777" w:rsidR="00C822F3" w:rsidRPr="00E21797" w:rsidRDefault="00C822F3" w:rsidP="00E07988">
            <w:pPr>
              <w:spacing w:before="60" w:after="60"/>
              <w:jc w:val="left"/>
            </w:pPr>
            <w:r w:rsidRPr="00E21797">
              <w:t>6.3.2</w:t>
            </w:r>
          </w:p>
        </w:tc>
        <w:tc>
          <w:tcPr>
            <w:tcW w:w="5355" w:type="dxa"/>
            <w:tcBorders>
              <w:top w:val="single" w:sz="2" w:space="0" w:color="auto"/>
              <w:left w:val="single" w:sz="2" w:space="0" w:color="auto"/>
              <w:bottom w:val="single" w:sz="2" w:space="0" w:color="auto"/>
              <w:right w:val="single" w:sz="2" w:space="0" w:color="auto"/>
            </w:tcBorders>
          </w:tcPr>
          <w:p w14:paraId="31B0C09F" w14:textId="53CC8A8F" w:rsidR="00C822F3" w:rsidRPr="00E21797" w:rsidRDefault="00C7317D" w:rsidP="00C7317D">
            <w:pPr>
              <w:spacing w:before="60" w:after="60"/>
              <w:ind w:left="204" w:hanging="204"/>
              <w:jc w:val="left"/>
            </w:pPr>
            <w:r w:rsidRPr="009A652D">
              <w:rPr>
                <w:rFonts w:ascii="Arial" w:hAnsi="Arial" w:cs="Arial"/>
                <w:sz w:val="20"/>
              </w:rPr>
              <w:t>- assurance des risques causés à des tiers : 50% du montant du Marché pour les dommages corporels et 25% du montant du Marché pour les dommages matériels, par évènement</w:t>
            </w:r>
          </w:p>
        </w:tc>
      </w:tr>
      <w:tr w:rsidR="00C822F3" w:rsidRPr="00E21797" w14:paraId="6C50CFEC" w14:textId="77777777" w:rsidTr="00E07988">
        <w:tc>
          <w:tcPr>
            <w:tcW w:w="2670" w:type="dxa"/>
            <w:tcBorders>
              <w:top w:val="single" w:sz="2" w:space="0" w:color="auto"/>
              <w:left w:val="single" w:sz="2" w:space="0" w:color="auto"/>
              <w:bottom w:val="single" w:sz="2" w:space="0" w:color="auto"/>
              <w:right w:val="single" w:sz="2" w:space="0" w:color="auto"/>
            </w:tcBorders>
          </w:tcPr>
          <w:p w14:paraId="2B5516FD" w14:textId="77777777" w:rsidR="00C822F3" w:rsidRPr="00E21797" w:rsidRDefault="00C822F3" w:rsidP="00E07988">
            <w:pPr>
              <w:spacing w:before="60" w:after="60"/>
              <w:jc w:val="left"/>
              <w:rPr>
                <w:b/>
              </w:rPr>
            </w:pPr>
          </w:p>
        </w:tc>
        <w:tc>
          <w:tcPr>
            <w:tcW w:w="1425" w:type="dxa"/>
            <w:tcBorders>
              <w:top w:val="single" w:sz="2" w:space="0" w:color="auto"/>
              <w:left w:val="single" w:sz="2" w:space="0" w:color="auto"/>
              <w:bottom w:val="single" w:sz="2" w:space="0" w:color="auto"/>
              <w:right w:val="single" w:sz="2" w:space="0" w:color="auto"/>
            </w:tcBorders>
          </w:tcPr>
          <w:p w14:paraId="7A5FB455" w14:textId="77777777" w:rsidR="00C822F3" w:rsidRPr="00E21797" w:rsidRDefault="00C822F3" w:rsidP="00E07988">
            <w:pPr>
              <w:spacing w:before="60" w:after="60"/>
              <w:jc w:val="left"/>
            </w:pPr>
            <w:r w:rsidRPr="00E21797">
              <w:t>6.3.4</w:t>
            </w:r>
          </w:p>
        </w:tc>
        <w:tc>
          <w:tcPr>
            <w:tcW w:w="5355" w:type="dxa"/>
            <w:tcBorders>
              <w:top w:val="single" w:sz="2" w:space="0" w:color="auto"/>
              <w:left w:val="single" w:sz="2" w:space="0" w:color="auto"/>
              <w:bottom w:val="single" w:sz="2" w:space="0" w:color="auto"/>
              <w:right w:val="single" w:sz="2" w:space="0" w:color="auto"/>
            </w:tcBorders>
          </w:tcPr>
          <w:p w14:paraId="7B04CBC6" w14:textId="77777777" w:rsidR="00C7317D" w:rsidRPr="009A652D" w:rsidRDefault="00C822F3" w:rsidP="00C7317D">
            <w:pPr>
              <w:spacing w:before="60" w:after="60"/>
              <w:ind w:left="204" w:hanging="204"/>
              <w:jc w:val="left"/>
              <w:rPr>
                <w:rFonts w:ascii="Arial" w:hAnsi="Arial" w:cs="Arial"/>
                <w:sz w:val="20"/>
              </w:rPr>
            </w:pPr>
            <w:r w:rsidRPr="00E21797">
              <w:t xml:space="preserve">- </w:t>
            </w:r>
            <w:r w:rsidR="00C7317D" w:rsidRPr="009A652D">
              <w:rPr>
                <w:rFonts w:ascii="Arial" w:hAnsi="Arial" w:cs="Arial"/>
                <w:sz w:val="20"/>
              </w:rPr>
              <w:t>assurance “Tous risques chantier”:</w:t>
            </w:r>
          </w:p>
          <w:p w14:paraId="50126245" w14:textId="078CF894" w:rsidR="00C822F3" w:rsidRPr="00E21797" w:rsidRDefault="00C7317D" w:rsidP="00C7317D">
            <w:pPr>
              <w:spacing w:before="60" w:after="60"/>
              <w:ind w:left="63" w:firstLine="0"/>
              <w:jc w:val="left"/>
              <w:rPr>
                <w:i/>
                <w:sz w:val="20"/>
              </w:rPr>
            </w:pPr>
            <w:r w:rsidRPr="009A652D">
              <w:rPr>
                <w:rFonts w:ascii="Arial" w:hAnsi="Arial" w:cs="Arial"/>
                <w:sz w:val="20"/>
              </w:rPr>
              <w:t>Montant minimum équivalent à Cent quinze pour cent (115 %) du montant du marché</w:t>
            </w:r>
          </w:p>
        </w:tc>
      </w:tr>
      <w:tr w:rsidR="00C822F3" w:rsidRPr="00E21797" w14:paraId="4B4EF596" w14:textId="77777777" w:rsidTr="00E07988">
        <w:tc>
          <w:tcPr>
            <w:tcW w:w="2670" w:type="dxa"/>
            <w:tcBorders>
              <w:top w:val="single" w:sz="2" w:space="0" w:color="auto"/>
              <w:left w:val="single" w:sz="2" w:space="0" w:color="auto"/>
              <w:bottom w:val="single" w:sz="2" w:space="0" w:color="auto"/>
              <w:right w:val="single" w:sz="2" w:space="0" w:color="auto"/>
            </w:tcBorders>
          </w:tcPr>
          <w:p w14:paraId="73458F49" w14:textId="77777777" w:rsidR="00C822F3" w:rsidRPr="00E21797" w:rsidRDefault="00C822F3" w:rsidP="00E07988">
            <w:pPr>
              <w:spacing w:before="60" w:after="60"/>
              <w:jc w:val="left"/>
              <w:rPr>
                <w:b/>
              </w:rPr>
            </w:pPr>
          </w:p>
        </w:tc>
        <w:tc>
          <w:tcPr>
            <w:tcW w:w="1425" w:type="dxa"/>
            <w:tcBorders>
              <w:top w:val="single" w:sz="2" w:space="0" w:color="auto"/>
              <w:left w:val="single" w:sz="2" w:space="0" w:color="auto"/>
              <w:bottom w:val="single" w:sz="2" w:space="0" w:color="auto"/>
              <w:right w:val="single" w:sz="2" w:space="0" w:color="auto"/>
            </w:tcBorders>
          </w:tcPr>
          <w:p w14:paraId="4E96DBC7" w14:textId="77777777" w:rsidR="00C822F3" w:rsidRPr="00E21797" w:rsidRDefault="00C822F3" w:rsidP="00E07988">
            <w:pPr>
              <w:spacing w:before="60" w:after="60"/>
              <w:jc w:val="left"/>
            </w:pPr>
            <w:r w:rsidRPr="00E21797">
              <w:t>6.3.5</w:t>
            </w:r>
          </w:p>
        </w:tc>
        <w:tc>
          <w:tcPr>
            <w:tcW w:w="5355" w:type="dxa"/>
            <w:tcBorders>
              <w:top w:val="single" w:sz="2" w:space="0" w:color="auto"/>
              <w:left w:val="single" w:sz="2" w:space="0" w:color="auto"/>
              <w:bottom w:val="single" w:sz="2" w:space="0" w:color="auto"/>
              <w:right w:val="single" w:sz="2" w:space="0" w:color="auto"/>
            </w:tcBorders>
          </w:tcPr>
          <w:p w14:paraId="0C7A4FAA" w14:textId="72414D73" w:rsidR="00C822F3" w:rsidRPr="00E21797" w:rsidRDefault="00C822F3" w:rsidP="00C7317D">
            <w:pPr>
              <w:spacing w:before="60" w:after="60"/>
              <w:ind w:left="204" w:hanging="204"/>
              <w:jc w:val="left"/>
            </w:pPr>
            <w:r w:rsidRPr="00E21797">
              <w:t xml:space="preserve">- </w:t>
            </w:r>
            <w:r w:rsidRPr="00C7317D">
              <w:t>assurance couvrant la responsabilité décennale:</w:t>
            </w:r>
            <w:r w:rsidR="00C7317D" w:rsidRPr="00C7317D">
              <w:t xml:space="preserve"> </w:t>
            </w:r>
            <w:r w:rsidR="00C7317D" w:rsidRPr="003912CD">
              <w:t>Non Applicable</w:t>
            </w:r>
          </w:p>
        </w:tc>
      </w:tr>
      <w:tr w:rsidR="00C822F3" w:rsidRPr="00C23D98" w14:paraId="7E8147EB" w14:textId="77777777" w:rsidTr="00E07988">
        <w:tc>
          <w:tcPr>
            <w:tcW w:w="2670" w:type="dxa"/>
            <w:tcBorders>
              <w:top w:val="single" w:sz="2" w:space="0" w:color="auto"/>
              <w:left w:val="single" w:sz="2" w:space="0" w:color="auto"/>
              <w:bottom w:val="single" w:sz="2" w:space="0" w:color="auto"/>
              <w:right w:val="single" w:sz="2" w:space="0" w:color="auto"/>
            </w:tcBorders>
          </w:tcPr>
          <w:p w14:paraId="2F306A9D" w14:textId="77777777" w:rsidR="00C822F3" w:rsidRDefault="00C822F3" w:rsidP="00E07988">
            <w:pPr>
              <w:spacing w:before="60" w:after="60"/>
              <w:jc w:val="left"/>
              <w:rPr>
                <w:b/>
              </w:rPr>
            </w:pPr>
          </w:p>
        </w:tc>
        <w:tc>
          <w:tcPr>
            <w:tcW w:w="1425" w:type="dxa"/>
            <w:tcBorders>
              <w:top w:val="single" w:sz="2" w:space="0" w:color="auto"/>
              <w:left w:val="single" w:sz="2" w:space="0" w:color="auto"/>
              <w:bottom w:val="single" w:sz="2" w:space="0" w:color="auto"/>
              <w:right w:val="single" w:sz="2" w:space="0" w:color="auto"/>
            </w:tcBorders>
          </w:tcPr>
          <w:p w14:paraId="6F76CAD2" w14:textId="77777777" w:rsidR="00C822F3" w:rsidRDefault="00C822F3" w:rsidP="00E07988">
            <w:pPr>
              <w:spacing w:before="60" w:after="60"/>
              <w:jc w:val="left"/>
            </w:pPr>
          </w:p>
        </w:tc>
        <w:tc>
          <w:tcPr>
            <w:tcW w:w="5355" w:type="dxa"/>
            <w:tcBorders>
              <w:top w:val="single" w:sz="2" w:space="0" w:color="auto"/>
              <w:left w:val="single" w:sz="2" w:space="0" w:color="auto"/>
              <w:bottom w:val="single" w:sz="2" w:space="0" w:color="auto"/>
              <w:right w:val="single" w:sz="2" w:space="0" w:color="auto"/>
            </w:tcBorders>
          </w:tcPr>
          <w:p w14:paraId="3B4FC690" w14:textId="77777777" w:rsidR="00C822F3" w:rsidRPr="00C23D98" w:rsidRDefault="00C822F3" w:rsidP="00E07988">
            <w:pPr>
              <w:spacing w:before="60" w:after="60"/>
              <w:rPr>
                <w:spacing w:val="-4"/>
              </w:rPr>
            </w:pPr>
            <w:r>
              <w:rPr>
                <w:spacing w:val="-4"/>
              </w:rPr>
              <w:t xml:space="preserve"> </w:t>
            </w:r>
          </w:p>
        </w:tc>
      </w:tr>
      <w:tr w:rsidR="00C822F3" w:rsidRPr="00E21797" w14:paraId="36C115E9" w14:textId="77777777" w:rsidTr="00E07988">
        <w:tc>
          <w:tcPr>
            <w:tcW w:w="2670" w:type="dxa"/>
            <w:tcBorders>
              <w:top w:val="single" w:sz="2" w:space="0" w:color="auto"/>
              <w:left w:val="single" w:sz="2" w:space="0" w:color="auto"/>
              <w:bottom w:val="single" w:sz="2" w:space="0" w:color="auto"/>
              <w:right w:val="single" w:sz="2" w:space="0" w:color="auto"/>
            </w:tcBorders>
          </w:tcPr>
          <w:p w14:paraId="40B0F8C2" w14:textId="77777777" w:rsidR="00C822F3" w:rsidRPr="00E21797" w:rsidRDefault="00C822F3" w:rsidP="00E07988">
            <w:pPr>
              <w:spacing w:before="60" w:after="60"/>
              <w:jc w:val="left"/>
              <w:rPr>
                <w:b/>
              </w:rPr>
            </w:pPr>
            <w:r w:rsidRPr="00E21797">
              <w:rPr>
                <w:b/>
              </w:rPr>
              <w:t>Montant du Marché</w:t>
            </w:r>
          </w:p>
        </w:tc>
        <w:tc>
          <w:tcPr>
            <w:tcW w:w="1425" w:type="dxa"/>
            <w:tcBorders>
              <w:top w:val="single" w:sz="2" w:space="0" w:color="auto"/>
              <w:left w:val="single" w:sz="2" w:space="0" w:color="auto"/>
              <w:bottom w:val="single" w:sz="2" w:space="0" w:color="auto"/>
              <w:right w:val="single" w:sz="2" w:space="0" w:color="auto"/>
            </w:tcBorders>
          </w:tcPr>
          <w:p w14:paraId="60440404" w14:textId="77777777" w:rsidR="00C822F3" w:rsidRPr="00E21797" w:rsidRDefault="00C822F3" w:rsidP="00E07988">
            <w:pPr>
              <w:spacing w:before="60" w:after="60"/>
              <w:jc w:val="left"/>
            </w:pPr>
            <w:r w:rsidRPr="00E21797">
              <w:t>10.1.2</w:t>
            </w:r>
          </w:p>
        </w:tc>
        <w:tc>
          <w:tcPr>
            <w:tcW w:w="5355" w:type="dxa"/>
            <w:tcBorders>
              <w:top w:val="single" w:sz="2" w:space="0" w:color="auto"/>
              <w:left w:val="single" w:sz="2" w:space="0" w:color="auto"/>
              <w:bottom w:val="single" w:sz="2" w:space="0" w:color="auto"/>
              <w:right w:val="single" w:sz="2" w:space="0" w:color="auto"/>
            </w:tcBorders>
          </w:tcPr>
          <w:p w14:paraId="2C5AE99E" w14:textId="77777777" w:rsidR="00C822F3" w:rsidRPr="00EE10C5" w:rsidRDefault="00C822F3" w:rsidP="00E07988">
            <w:pPr>
              <w:spacing w:before="60" w:after="60"/>
              <w:jc w:val="left"/>
              <w:rPr>
                <w:i/>
                <w:sz w:val="20"/>
              </w:rPr>
            </w:pPr>
            <w:r>
              <w:rPr>
                <w:spacing w:val="-4"/>
              </w:rPr>
              <w:t>Les prix sont exprimés [</w:t>
            </w:r>
            <w:r>
              <w:rPr>
                <w:i/>
                <w:spacing w:val="-4"/>
              </w:rPr>
              <w:t xml:space="preserve"> </w:t>
            </w:r>
            <w:r>
              <w:rPr>
                <w:spacing w:val="-4"/>
              </w:rPr>
              <w:t xml:space="preserve">intégralement en monnaie nationale </w:t>
            </w:r>
            <w:r>
              <w:rPr>
                <w:i/>
                <w:spacing w:val="-4"/>
              </w:rPr>
              <w:t xml:space="preserve">ou </w:t>
            </w:r>
            <w:r w:rsidRPr="0005607C">
              <w:rPr>
                <w:i/>
                <w:spacing w:val="-4"/>
              </w:rPr>
              <w:t>en</w:t>
            </w:r>
            <w:r>
              <w:rPr>
                <w:spacing w:val="-4"/>
              </w:rPr>
              <w:t xml:space="preserve"> les monnaies suivantes : </w:t>
            </w:r>
            <w:r>
              <w:rPr>
                <w:spacing w:val="-4"/>
                <w:u w:val="single"/>
              </w:rPr>
              <w:t xml:space="preserve">                    ] </w:t>
            </w:r>
            <w:r>
              <w:rPr>
                <w:i/>
                <w:spacing w:val="-4"/>
              </w:rPr>
              <w:t>[S</w:t>
            </w:r>
            <w:r>
              <w:rPr>
                <w:i/>
                <w:spacing w:val="-4"/>
                <w:sz w:val="20"/>
              </w:rPr>
              <w:t>électionner la disposition applicable]</w:t>
            </w:r>
          </w:p>
        </w:tc>
      </w:tr>
      <w:tr w:rsidR="00C822F3" w:rsidRPr="00E21797" w14:paraId="33BB438A" w14:textId="77777777" w:rsidTr="00E07988">
        <w:tc>
          <w:tcPr>
            <w:tcW w:w="2670" w:type="dxa"/>
            <w:tcBorders>
              <w:top w:val="single" w:sz="2" w:space="0" w:color="auto"/>
              <w:left w:val="single" w:sz="2" w:space="0" w:color="auto"/>
              <w:bottom w:val="single" w:sz="2" w:space="0" w:color="auto"/>
              <w:right w:val="single" w:sz="2" w:space="0" w:color="auto"/>
            </w:tcBorders>
          </w:tcPr>
          <w:p w14:paraId="2872585F" w14:textId="77777777" w:rsidR="00C822F3" w:rsidRPr="00E21797" w:rsidRDefault="00C822F3" w:rsidP="00E07988">
            <w:pPr>
              <w:spacing w:before="60" w:after="60"/>
              <w:jc w:val="left"/>
              <w:rPr>
                <w:b/>
              </w:rPr>
            </w:pPr>
          </w:p>
        </w:tc>
        <w:tc>
          <w:tcPr>
            <w:tcW w:w="1425" w:type="dxa"/>
            <w:tcBorders>
              <w:top w:val="single" w:sz="2" w:space="0" w:color="auto"/>
              <w:left w:val="single" w:sz="2" w:space="0" w:color="auto"/>
              <w:bottom w:val="single" w:sz="2" w:space="0" w:color="auto"/>
              <w:right w:val="single" w:sz="2" w:space="0" w:color="auto"/>
            </w:tcBorders>
          </w:tcPr>
          <w:p w14:paraId="45B50E5A" w14:textId="77777777" w:rsidR="00C822F3" w:rsidRPr="00E21797" w:rsidRDefault="00C822F3" w:rsidP="00E07988">
            <w:pPr>
              <w:spacing w:before="60" w:after="60"/>
              <w:jc w:val="left"/>
            </w:pPr>
            <w:r w:rsidRPr="00E21797">
              <w:t>10.1.3</w:t>
            </w:r>
          </w:p>
        </w:tc>
        <w:tc>
          <w:tcPr>
            <w:tcW w:w="5355" w:type="dxa"/>
            <w:tcBorders>
              <w:top w:val="single" w:sz="2" w:space="0" w:color="auto"/>
              <w:left w:val="single" w:sz="2" w:space="0" w:color="auto"/>
              <w:bottom w:val="single" w:sz="2" w:space="0" w:color="auto"/>
              <w:right w:val="single" w:sz="2" w:space="0" w:color="auto"/>
            </w:tcBorders>
          </w:tcPr>
          <w:p w14:paraId="4DF4645E" w14:textId="4EC4B196" w:rsidR="00C822F3" w:rsidRPr="00E21797" w:rsidRDefault="00C7317D" w:rsidP="00C7317D">
            <w:pPr>
              <w:spacing w:before="60" w:after="60"/>
              <w:ind w:left="0" w:firstLine="0"/>
              <w:jc w:val="left"/>
            </w:pPr>
            <w:r>
              <w:t>Une quote-part de ce prix est payable dans la ou les monnaies étrangères suivantes :</w:t>
            </w:r>
          </w:p>
        </w:tc>
      </w:tr>
      <w:tr w:rsidR="00C822F3" w:rsidRPr="00E21797" w14:paraId="42EC8F09" w14:textId="77777777" w:rsidTr="00E07988">
        <w:tc>
          <w:tcPr>
            <w:tcW w:w="2670" w:type="dxa"/>
            <w:tcBorders>
              <w:top w:val="single" w:sz="2" w:space="0" w:color="auto"/>
              <w:left w:val="single" w:sz="2" w:space="0" w:color="auto"/>
              <w:bottom w:val="single" w:sz="2" w:space="0" w:color="auto"/>
              <w:right w:val="single" w:sz="2" w:space="0" w:color="auto"/>
            </w:tcBorders>
          </w:tcPr>
          <w:p w14:paraId="321AD35C" w14:textId="77777777" w:rsidR="00C822F3" w:rsidRPr="00E21797" w:rsidRDefault="00C822F3" w:rsidP="00E07988">
            <w:pPr>
              <w:spacing w:before="60" w:after="60"/>
              <w:jc w:val="left"/>
              <w:rPr>
                <w:b/>
              </w:rPr>
            </w:pPr>
          </w:p>
        </w:tc>
        <w:tc>
          <w:tcPr>
            <w:tcW w:w="1425" w:type="dxa"/>
            <w:tcBorders>
              <w:top w:val="single" w:sz="2" w:space="0" w:color="auto"/>
              <w:left w:val="single" w:sz="2" w:space="0" w:color="auto"/>
              <w:bottom w:val="single" w:sz="2" w:space="0" w:color="auto"/>
              <w:right w:val="single" w:sz="2" w:space="0" w:color="auto"/>
            </w:tcBorders>
          </w:tcPr>
          <w:p w14:paraId="4A2B3C2D" w14:textId="77777777" w:rsidR="00C822F3" w:rsidRPr="00E21797" w:rsidRDefault="00C822F3" w:rsidP="00E07988">
            <w:pPr>
              <w:spacing w:before="60" w:after="60"/>
              <w:jc w:val="left"/>
            </w:pPr>
            <w:r w:rsidRPr="00E21797">
              <w:t>10.1.4</w:t>
            </w:r>
          </w:p>
        </w:tc>
        <w:tc>
          <w:tcPr>
            <w:tcW w:w="5355" w:type="dxa"/>
            <w:tcBorders>
              <w:top w:val="single" w:sz="2" w:space="0" w:color="auto"/>
              <w:left w:val="single" w:sz="2" w:space="0" w:color="auto"/>
              <w:bottom w:val="single" w:sz="2" w:space="0" w:color="auto"/>
              <w:right w:val="single" w:sz="2" w:space="0" w:color="auto"/>
            </w:tcBorders>
          </w:tcPr>
          <w:p w14:paraId="77B05652" w14:textId="77777777" w:rsidR="00C822F3" w:rsidRPr="00E21797" w:rsidRDefault="00C822F3" w:rsidP="00E07988">
            <w:pPr>
              <w:spacing w:before="60" w:after="60"/>
              <w:jc w:val="left"/>
              <w:rPr>
                <w:i/>
                <w:sz w:val="20"/>
              </w:rPr>
            </w:pPr>
            <w:r w:rsidRPr="00E21797">
              <w:t>Une quote-part de ce prix est payable dans la ou les monnaies étrangères suivantes :</w:t>
            </w:r>
          </w:p>
        </w:tc>
      </w:tr>
      <w:tr w:rsidR="00C822F3" w:rsidRPr="00071BA6" w14:paraId="0F08AB9A" w14:textId="77777777" w:rsidTr="00E07988">
        <w:tc>
          <w:tcPr>
            <w:tcW w:w="2670" w:type="dxa"/>
            <w:tcBorders>
              <w:top w:val="single" w:sz="2" w:space="0" w:color="auto"/>
              <w:left w:val="single" w:sz="2" w:space="0" w:color="auto"/>
              <w:bottom w:val="single" w:sz="2" w:space="0" w:color="auto"/>
              <w:right w:val="single" w:sz="2" w:space="0" w:color="auto"/>
            </w:tcBorders>
          </w:tcPr>
          <w:p w14:paraId="083820DE" w14:textId="77777777" w:rsidR="00C822F3" w:rsidRDefault="00C822F3" w:rsidP="00E07988">
            <w:pPr>
              <w:spacing w:before="60" w:after="60"/>
              <w:jc w:val="left"/>
              <w:rPr>
                <w:b/>
              </w:rPr>
            </w:pPr>
            <w:r>
              <w:rPr>
                <w:b/>
              </w:rPr>
              <w:t>Décomposition et sous-détails des Prix</w:t>
            </w:r>
          </w:p>
        </w:tc>
        <w:tc>
          <w:tcPr>
            <w:tcW w:w="1425" w:type="dxa"/>
            <w:tcBorders>
              <w:top w:val="single" w:sz="2" w:space="0" w:color="auto"/>
              <w:left w:val="single" w:sz="2" w:space="0" w:color="auto"/>
              <w:bottom w:val="single" w:sz="2" w:space="0" w:color="auto"/>
              <w:right w:val="single" w:sz="2" w:space="0" w:color="auto"/>
            </w:tcBorders>
          </w:tcPr>
          <w:p w14:paraId="6C519AE5" w14:textId="77777777" w:rsidR="00C822F3" w:rsidRDefault="00C822F3" w:rsidP="00E07988">
            <w:pPr>
              <w:spacing w:before="60" w:after="60"/>
              <w:jc w:val="left"/>
            </w:pPr>
            <w:r>
              <w:t>10.3.4</w:t>
            </w:r>
          </w:p>
        </w:tc>
        <w:tc>
          <w:tcPr>
            <w:tcW w:w="5355" w:type="dxa"/>
            <w:tcBorders>
              <w:top w:val="single" w:sz="2" w:space="0" w:color="auto"/>
              <w:left w:val="single" w:sz="2" w:space="0" w:color="auto"/>
              <w:bottom w:val="single" w:sz="2" w:space="0" w:color="auto"/>
              <w:right w:val="single" w:sz="2" w:space="0" w:color="auto"/>
            </w:tcBorders>
          </w:tcPr>
          <w:p w14:paraId="11B03084" w14:textId="77777777" w:rsidR="00C822F3" w:rsidRPr="006C0D0E" w:rsidRDefault="00C822F3" w:rsidP="003912CD">
            <w:pPr>
              <w:spacing w:before="60" w:after="60"/>
              <w:ind w:left="63" w:hanging="63"/>
              <w:rPr>
                <w:szCs w:val="24"/>
              </w:rPr>
            </w:pPr>
            <w:r w:rsidRPr="0005607C">
              <w:rPr>
                <w:szCs w:val="24"/>
              </w:rPr>
              <w:t xml:space="preserve">La décomposition du prix forfaitaire / le sous-détail du prix unitaire doit être produit(e ) dans un délai de </w:t>
            </w:r>
            <w:r w:rsidRPr="0005607C">
              <w:rPr>
                <w:szCs w:val="24"/>
                <w:u w:val="single"/>
              </w:rPr>
              <w:t xml:space="preserve">                 </w:t>
            </w:r>
            <w:r w:rsidRPr="0005607C">
              <w:rPr>
                <w:szCs w:val="24"/>
              </w:rPr>
              <w:t xml:space="preserve"> à compter de la date suivante </w:t>
            </w:r>
            <w:r w:rsidRPr="006C0D0E">
              <w:rPr>
                <w:szCs w:val="24"/>
              </w:rPr>
              <w:t xml:space="preserve">:  </w:t>
            </w:r>
          </w:p>
          <w:p w14:paraId="2F41EC08" w14:textId="77777777" w:rsidR="00C822F3" w:rsidRPr="006C0D0E" w:rsidRDefault="00C822F3" w:rsidP="00E07988">
            <w:pPr>
              <w:spacing w:before="60" w:after="60"/>
              <w:rPr>
                <w:sz w:val="20"/>
              </w:rPr>
            </w:pPr>
            <w:r w:rsidRPr="006C0D0E">
              <w:rPr>
                <w:i/>
                <w:sz w:val="20"/>
              </w:rPr>
              <w:t>[insérer le cas échéant</w:t>
            </w:r>
            <w:r>
              <w:rPr>
                <w:i/>
                <w:sz w:val="20"/>
              </w:rPr>
              <w:t>]</w:t>
            </w:r>
          </w:p>
        </w:tc>
      </w:tr>
      <w:tr w:rsidR="00C822F3" w:rsidRPr="00E21797" w14:paraId="322FFD31" w14:textId="77777777" w:rsidTr="00E07988">
        <w:tc>
          <w:tcPr>
            <w:tcW w:w="2670" w:type="dxa"/>
            <w:tcBorders>
              <w:top w:val="single" w:sz="2" w:space="0" w:color="auto"/>
              <w:left w:val="single" w:sz="2" w:space="0" w:color="auto"/>
              <w:bottom w:val="single" w:sz="2" w:space="0" w:color="auto"/>
              <w:right w:val="single" w:sz="2" w:space="0" w:color="auto"/>
            </w:tcBorders>
          </w:tcPr>
          <w:p w14:paraId="5AABEB5D" w14:textId="77777777" w:rsidR="00C822F3" w:rsidRPr="00E21797" w:rsidRDefault="00C822F3" w:rsidP="00E07988">
            <w:pPr>
              <w:spacing w:before="60" w:after="60"/>
              <w:jc w:val="left"/>
              <w:rPr>
                <w:b/>
              </w:rPr>
            </w:pPr>
            <w:r w:rsidRPr="00E21797">
              <w:rPr>
                <w:b/>
              </w:rPr>
              <w:t>Révision des prix</w:t>
            </w:r>
          </w:p>
        </w:tc>
        <w:tc>
          <w:tcPr>
            <w:tcW w:w="1425" w:type="dxa"/>
            <w:tcBorders>
              <w:top w:val="single" w:sz="2" w:space="0" w:color="auto"/>
              <w:left w:val="single" w:sz="2" w:space="0" w:color="auto"/>
              <w:bottom w:val="single" w:sz="2" w:space="0" w:color="auto"/>
              <w:right w:val="single" w:sz="2" w:space="0" w:color="auto"/>
            </w:tcBorders>
          </w:tcPr>
          <w:p w14:paraId="10714660" w14:textId="77777777" w:rsidR="00C822F3" w:rsidRPr="00E21797" w:rsidRDefault="00C822F3" w:rsidP="00E07988">
            <w:pPr>
              <w:spacing w:before="60" w:after="60"/>
              <w:jc w:val="left"/>
            </w:pPr>
            <w:r>
              <w:t xml:space="preserve">10.4.1 &amp; </w:t>
            </w:r>
            <w:r w:rsidRPr="00E21797">
              <w:t>10.4.2</w:t>
            </w:r>
          </w:p>
        </w:tc>
        <w:tc>
          <w:tcPr>
            <w:tcW w:w="5355" w:type="dxa"/>
            <w:tcBorders>
              <w:top w:val="single" w:sz="2" w:space="0" w:color="auto"/>
              <w:left w:val="single" w:sz="2" w:space="0" w:color="auto"/>
              <w:bottom w:val="single" w:sz="2" w:space="0" w:color="auto"/>
              <w:right w:val="single" w:sz="2" w:space="0" w:color="auto"/>
            </w:tcBorders>
          </w:tcPr>
          <w:p w14:paraId="3C3DC918" w14:textId="77777777" w:rsidR="00C822F3" w:rsidRPr="00E21797" w:rsidRDefault="00C822F3" w:rsidP="003912CD">
            <w:pPr>
              <w:spacing w:before="60" w:after="60"/>
              <w:ind w:left="0" w:firstLine="0"/>
              <w:jc w:val="left"/>
            </w:pPr>
            <w:r w:rsidRPr="00E21797">
              <w:t>Les prix sont fermes et les dispositions de l’Article 10.4.2 du CCAG ne sont pas applicables</w:t>
            </w:r>
          </w:p>
          <w:p w14:paraId="3349D2FD" w14:textId="4F0BE961" w:rsidR="00C822F3" w:rsidRPr="00E21797" w:rsidRDefault="00C822F3" w:rsidP="00E07988">
            <w:pPr>
              <w:spacing w:before="60" w:after="60"/>
            </w:pPr>
          </w:p>
        </w:tc>
      </w:tr>
      <w:tr w:rsidR="00C822F3" w:rsidRPr="00E21797" w14:paraId="3629ED6F" w14:textId="77777777" w:rsidTr="00E07988">
        <w:tc>
          <w:tcPr>
            <w:tcW w:w="2670" w:type="dxa"/>
            <w:tcBorders>
              <w:top w:val="single" w:sz="2" w:space="0" w:color="auto"/>
              <w:left w:val="single" w:sz="2" w:space="0" w:color="auto"/>
              <w:bottom w:val="single" w:sz="2" w:space="0" w:color="auto"/>
              <w:right w:val="single" w:sz="2" w:space="0" w:color="auto"/>
            </w:tcBorders>
          </w:tcPr>
          <w:p w14:paraId="76110D00" w14:textId="77777777" w:rsidR="00C822F3" w:rsidRPr="00E21797" w:rsidRDefault="00C822F3" w:rsidP="00E07988">
            <w:pPr>
              <w:spacing w:before="60" w:after="60"/>
              <w:jc w:val="left"/>
              <w:rPr>
                <w:b/>
              </w:rPr>
            </w:pPr>
          </w:p>
        </w:tc>
        <w:tc>
          <w:tcPr>
            <w:tcW w:w="1425" w:type="dxa"/>
            <w:tcBorders>
              <w:top w:val="single" w:sz="2" w:space="0" w:color="auto"/>
              <w:left w:val="single" w:sz="2" w:space="0" w:color="auto"/>
              <w:bottom w:val="single" w:sz="2" w:space="0" w:color="auto"/>
              <w:right w:val="single" w:sz="2" w:space="0" w:color="auto"/>
            </w:tcBorders>
          </w:tcPr>
          <w:p w14:paraId="072CAECB" w14:textId="77777777" w:rsidR="00C822F3" w:rsidRDefault="00C822F3" w:rsidP="00E07988">
            <w:pPr>
              <w:spacing w:before="60" w:after="60"/>
              <w:jc w:val="left"/>
            </w:pPr>
            <w:r>
              <w:t>10.4.2 (b)</w:t>
            </w:r>
          </w:p>
        </w:tc>
        <w:tc>
          <w:tcPr>
            <w:tcW w:w="5355" w:type="dxa"/>
            <w:tcBorders>
              <w:top w:val="single" w:sz="2" w:space="0" w:color="auto"/>
              <w:left w:val="single" w:sz="2" w:space="0" w:color="auto"/>
              <w:bottom w:val="single" w:sz="2" w:space="0" w:color="auto"/>
              <w:right w:val="single" w:sz="2" w:space="0" w:color="auto"/>
            </w:tcBorders>
          </w:tcPr>
          <w:p w14:paraId="4E3DDBE6" w14:textId="47AE36B6" w:rsidR="00C822F3" w:rsidRDefault="00C822F3" w:rsidP="003912CD">
            <w:pPr>
              <w:spacing w:before="60" w:after="60"/>
              <w:ind w:left="63" w:hanging="63"/>
              <w:jc w:val="left"/>
              <w:rPr>
                <w:i/>
                <w:szCs w:val="24"/>
              </w:rPr>
            </w:pPr>
            <w:r w:rsidRPr="0005607C">
              <w:rPr>
                <w:szCs w:val="24"/>
              </w:rPr>
              <w:t>Le coefficient correcteur dans le cas où les indices et monnaies de paiement étrangers ont des pays d’origine différents est </w:t>
            </w:r>
            <w:r w:rsidR="003912CD">
              <w:rPr>
                <w:szCs w:val="24"/>
              </w:rPr>
              <w:t>Sans objet</w:t>
            </w:r>
          </w:p>
        </w:tc>
      </w:tr>
      <w:tr w:rsidR="00C822F3" w:rsidRPr="00E21797" w14:paraId="23CB9461" w14:textId="77777777" w:rsidTr="00E07988">
        <w:tc>
          <w:tcPr>
            <w:tcW w:w="2670" w:type="dxa"/>
            <w:tcBorders>
              <w:top w:val="single" w:sz="2" w:space="0" w:color="auto"/>
              <w:left w:val="single" w:sz="2" w:space="0" w:color="auto"/>
              <w:bottom w:val="single" w:sz="2" w:space="0" w:color="auto"/>
              <w:right w:val="single" w:sz="2" w:space="0" w:color="auto"/>
            </w:tcBorders>
          </w:tcPr>
          <w:p w14:paraId="01867DDD" w14:textId="77777777" w:rsidR="00C822F3" w:rsidRPr="00E21797" w:rsidRDefault="00C822F3" w:rsidP="00E07988">
            <w:pPr>
              <w:spacing w:before="60" w:after="60"/>
              <w:jc w:val="left"/>
              <w:rPr>
                <w:b/>
              </w:rPr>
            </w:pPr>
            <w:r w:rsidRPr="00E21797">
              <w:rPr>
                <w:b/>
              </w:rPr>
              <w:t>Impôts, droits, taxes, redevances, cotisations</w:t>
            </w:r>
          </w:p>
        </w:tc>
        <w:tc>
          <w:tcPr>
            <w:tcW w:w="1425" w:type="dxa"/>
            <w:tcBorders>
              <w:top w:val="single" w:sz="2" w:space="0" w:color="auto"/>
              <w:left w:val="single" w:sz="2" w:space="0" w:color="auto"/>
              <w:bottom w:val="single" w:sz="2" w:space="0" w:color="auto"/>
              <w:right w:val="single" w:sz="2" w:space="0" w:color="auto"/>
            </w:tcBorders>
          </w:tcPr>
          <w:p w14:paraId="1F974627" w14:textId="77777777" w:rsidR="00C822F3" w:rsidRPr="00E21797" w:rsidRDefault="00C822F3" w:rsidP="00E07988">
            <w:pPr>
              <w:spacing w:before="60" w:after="60"/>
              <w:jc w:val="left"/>
            </w:pPr>
            <w:r w:rsidRPr="00E21797">
              <w:t>10.5.2</w:t>
            </w:r>
          </w:p>
        </w:tc>
        <w:tc>
          <w:tcPr>
            <w:tcW w:w="5355" w:type="dxa"/>
            <w:tcBorders>
              <w:top w:val="single" w:sz="2" w:space="0" w:color="auto"/>
              <w:left w:val="single" w:sz="2" w:space="0" w:color="auto"/>
              <w:bottom w:val="single" w:sz="2" w:space="0" w:color="auto"/>
              <w:right w:val="single" w:sz="2" w:space="0" w:color="auto"/>
            </w:tcBorders>
          </w:tcPr>
          <w:p w14:paraId="0281B942" w14:textId="77777777" w:rsidR="003912CD" w:rsidRPr="009A652D" w:rsidRDefault="003912CD" w:rsidP="003912CD">
            <w:pPr>
              <w:spacing w:before="60" w:after="60"/>
              <w:ind w:left="63" w:hanging="63"/>
              <w:jc w:val="left"/>
              <w:rPr>
                <w:rFonts w:ascii="Arial" w:hAnsi="Arial" w:cs="Arial"/>
                <w:sz w:val="20"/>
              </w:rPr>
            </w:pPr>
            <w:r w:rsidRPr="009A652D">
              <w:rPr>
                <w:rFonts w:ascii="Arial" w:hAnsi="Arial" w:cs="Arial"/>
                <w:sz w:val="20"/>
              </w:rPr>
              <w:t>Les prix du présent Marché sont réputés comprendre les montants dus au titre des impôts, droits et obligations suivants :</w:t>
            </w:r>
          </w:p>
          <w:p w14:paraId="6A3F91DC" w14:textId="6CC8AF84" w:rsidR="00C822F3" w:rsidRPr="00E21797" w:rsidRDefault="003912CD" w:rsidP="003912CD">
            <w:pPr>
              <w:spacing w:before="60" w:after="60"/>
              <w:ind w:left="63" w:hanging="63"/>
              <w:jc w:val="left"/>
            </w:pPr>
            <w:r w:rsidRPr="009A652D">
              <w:rPr>
                <w:rFonts w:ascii="Arial" w:hAnsi="Arial" w:cs="Arial"/>
                <w:sz w:val="20"/>
              </w:rPr>
              <w:t>Le marché sera conclu en application des dispositions de l’Article 240 du Code Général des Impôts modifié par la loi n° 02-005 du 18/01/2002</w:t>
            </w:r>
          </w:p>
        </w:tc>
      </w:tr>
      <w:tr w:rsidR="00C822F3" w:rsidRPr="00E21797" w14:paraId="71F3CEC0" w14:textId="77777777" w:rsidTr="00E07988">
        <w:tc>
          <w:tcPr>
            <w:tcW w:w="2670" w:type="dxa"/>
            <w:tcBorders>
              <w:top w:val="single" w:sz="2" w:space="0" w:color="auto"/>
              <w:left w:val="single" w:sz="2" w:space="0" w:color="auto"/>
              <w:bottom w:val="single" w:sz="2" w:space="0" w:color="auto"/>
              <w:right w:val="single" w:sz="2" w:space="0" w:color="auto"/>
            </w:tcBorders>
          </w:tcPr>
          <w:p w14:paraId="54081B2A" w14:textId="77777777" w:rsidR="00C822F3" w:rsidRPr="00E21797" w:rsidRDefault="00C822F3" w:rsidP="00E07988">
            <w:pPr>
              <w:spacing w:before="60" w:after="60"/>
              <w:jc w:val="left"/>
              <w:rPr>
                <w:b/>
              </w:rPr>
            </w:pPr>
            <w:r w:rsidRPr="00E21797">
              <w:rPr>
                <w:b/>
              </w:rPr>
              <w:t>Taux de change et proportion des monnaies</w:t>
            </w:r>
          </w:p>
        </w:tc>
        <w:tc>
          <w:tcPr>
            <w:tcW w:w="1425" w:type="dxa"/>
            <w:tcBorders>
              <w:top w:val="single" w:sz="2" w:space="0" w:color="auto"/>
              <w:left w:val="single" w:sz="2" w:space="0" w:color="auto"/>
              <w:bottom w:val="single" w:sz="2" w:space="0" w:color="auto"/>
              <w:right w:val="single" w:sz="2" w:space="0" w:color="auto"/>
            </w:tcBorders>
          </w:tcPr>
          <w:p w14:paraId="5606F080" w14:textId="77777777" w:rsidR="00C822F3" w:rsidRPr="00E21797" w:rsidRDefault="00C822F3" w:rsidP="00E07988">
            <w:pPr>
              <w:spacing w:before="60" w:after="60"/>
              <w:jc w:val="left"/>
            </w:pPr>
            <w:r w:rsidRPr="00E21797">
              <w:t>10.6.1</w:t>
            </w:r>
          </w:p>
        </w:tc>
        <w:tc>
          <w:tcPr>
            <w:tcW w:w="5355" w:type="dxa"/>
            <w:tcBorders>
              <w:top w:val="single" w:sz="2" w:space="0" w:color="auto"/>
              <w:left w:val="single" w:sz="2" w:space="0" w:color="auto"/>
              <w:bottom w:val="single" w:sz="2" w:space="0" w:color="auto"/>
              <w:right w:val="single" w:sz="2" w:space="0" w:color="auto"/>
            </w:tcBorders>
          </w:tcPr>
          <w:p w14:paraId="63453AF6" w14:textId="77777777" w:rsidR="00C822F3" w:rsidRPr="00E21797" w:rsidRDefault="00C822F3" w:rsidP="003912CD">
            <w:pPr>
              <w:spacing w:before="60" w:after="60"/>
              <w:ind w:left="0" w:firstLine="0"/>
              <w:jc w:val="left"/>
            </w:pPr>
            <w:r w:rsidRPr="00E21797">
              <w:rPr>
                <w:i/>
                <w:sz w:val="20"/>
              </w:rPr>
              <w:t>[Insérer lors de la signature du marché, en adoptant les taux de change et proportions figurant dans l’offre du soumissionnaire retenu]</w:t>
            </w:r>
          </w:p>
        </w:tc>
      </w:tr>
      <w:tr w:rsidR="00C822F3" w:rsidRPr="00E21797" w14:paraId="08657E27" w14:textId="77777777" w:rsidTr="00E07988">
        <w:tc>
          <w:tcPr>
            <w:tcW w:w="2670" w:type="dxa"/>
            <w:tcBorders>
              <w:top w:val="single" w:sz="2" w:space="0" w:color="auto"/>
              <w:left w:val="single" w:sz="2" w:space="0" w:color="auto"/>
              <w:bottom w:val="single" w:sz="2" w:space="0" w:color="auto"/>
              <w:right w:val="single" w:sz="2" w:space="0" w:color="auto"/>
            </w:tcBorders>
          </w:tcPr>
          <w:p w14:paraId="314F7E5B" w14:textId="77777777" w:rsidR="00C822F3" w:rsidRPr="00566B27" w:rsidRDefault="00C822F3" w:rsidP="00E07988">
            <w:pPr>
              <w:spacing w:before="60" w:after="60"/>
              <w:jc w:val="left"/>
              <w:rPr>
                <w:b/>
              </w:rPr>
            </w:pPr>
            <w:r w:rsidRPr="00566B27">
              <w:rPr>
                <w:b/>
              </w:rPr>
              <w:t>Travaux en régie</w:t>
            </w:r>
          </w:p>
        </w:tc>
        <w:tc>
          <w:tcPr>
            <w:tcW w:w="1425" w:type="dxa"/>
            <w:tcBorders>
              <w:top w:val="single" w:sz="2" w:space="0" w:color="auto"/>
              <w:left w:val="single" w:sz="2" w:space="0" w:color="auto"/>
              <w:bottom w:val="single" w:sz="2" w:space="0" w:color="auto"/>
              <w:right w:val="single" w:sz="2" w:space="0" w:color="auto"/>
            </w:tcBorders>
          </w:tcPr>
          <w:p w14:paraId="51AF4465" w14:textId="77777777" w:rsidR="00C822F3" w:rsidRPr="00E21797" w:rsidRDefault="00C822F3" w:rsidP="00E07988">
            <w:pPr>
              <w:spacing w:before="60" w:after="60"/>
              <w:jc w:val="left"/>
            </w:pPr>
            <w:r w:rsidRPr="00E21797">
              <w:t>11.3.1 a)</w:t>
            </w:r>
          </w:p>
        </w:tc>
        <w:tc>
          <w:tcPr>
            <w:tcW w:w="5355" w:type="dxa"/>
            <w:tcBorders>
              <w:top w:val="single" w:sz="2" w:space="0" w:color="auto"/>
              <w:left w:val="single" w:sz="2" w:space="0" w:color="auto"/>
              <w:bottom w:val="single" w:sz="2" w:space="0" w:color="auto"/>
              <w:right w:val="single" w:sz="2" w:space="0" w:color="auto"/>
            </w:tcBorders>
          </w:tcPr>
          <w:p w14:paraId="4BDFC0A4" w14:textId="16E24E96" w:rsidR="00C822F3" w:rsidRPr="00E21797" w:rsidRDefault="00C822F3" w:rsidP="005F116C">
            <w:pPr>
              <w:spacing w:before="60" w:after="60"/>
              <w:ind w:left="0" w:firstLine="0"/>
              <w:jc w:val="left"/>
              <w:rPr>
                <w:b/>
              </w:rPr>
            </w:pPr>
            <w:r w:rsidRPr="00E21797">
              <w:t>Les modalités de calcul de la rémunération des travaux en régie sont les suivantes :</w:t>
            </w:r>
            <w:r w:rsidR="005F116C" w:rsidRPr="009A652D">
              <w:rPr>
                <w:rFonts w:ascii="Arial" w:hAnsi="Arial" w:cs="Arial"/>
                <w:sz w:val="20"/>
              </w:rPr>
              <w:t xml:space="preserve"> Sans objet</w:t>
            </w:r>
          </w:p>
          <w:p w14:paraId="3D41853B" w14:textId="6758A05C" w:rsidR="00C822F3" w:rsidRDefault="00C822F3" w:rsidP="005F116C">
            <w:pPr>
              <w:spacing w:before="60" w:after="60"/>
              <w:ind w:left="0" w:firstLine="0"/>
              <w:jc w:val="left"/>
              <w:rPr>
                <w:rFonts w:ascii="Arial" w:hAnsi="Arial" w:cs="Arial"/>
                <w:sz w:val="20"/>
              </w:rPr>
            </w:pPr>
            <w:r w:rsidRPr="00E21797">
              <w:t>Les salaires et indemnités versées à l’occasion de travaux en régie passibles des charges salariales seront majorés dans les conditions ci-</w:t>
            </w:r>
            <w:r w:rsidR="005F116C" w:rsidRPr="00E21797">
              <w:t>après :</w:t>
            </w:r>
            <w:r w:rsidRPr="00E21797">
              <w:t xml:space="preserve"> </w:t>
            </w:r>
            <w:r w:rsidR="005F116C" w:rsidRPr="009A652D">
              <w:rPr>
                <w:rFonts w:ascii="Arial" w:hAnsi="Arial" w:cs="Arial"/>
                <w:sz w:val="20"/>
              </w:rPr>
              <w:t>Sans objet</w:t>
            </w:r>
          </w:p>
          <w:p w14:paraId="61EE2745" w14:textId="505C8A8F" w:rsidR="005F116C" w:rsidRPr="00E21797" w:rsidRDefault="005F116C" w:rsidP="005F116C">
            <w:pPr>
              <w:spacing w:before="60" w:after="60"/>
              <w:ind w:left="0" w:firstLine="0"/>
              <w:jc w:val="left"/>
            </w:pPr>
            <w:r w:rsidRPr="00E21797">
              <w:t xml:space="preserve">Les autres sommes dépensées à l’occasion de travaux en régie seront majorées dans les conditions ci-après: </w:t>
            </w:r>
            <w:r w:rsidRPr="009A652D">
              <w:rPr>
                <w:rFonts w:ascii="Arial" w:hAnsi="Arial" w:cs="Arial"/>
                <w:sz w:val="20"/>
              </w:rPr>
              <w:t>Sans objet</w:t>
            </w:r>
          </w:p>
        </w:tc>
      </w:tr>
      <w:tr w:rsidR="00C822F3" w:rsidRPr="00E21797" w14:paraId="492F26BC" w14:textId="77777777" w:rsidTr="00E07988">
        <w:tc>
          <w:tcPr>
            <w:tcW w:w="2670" w:type="dxa"/>
            <w:tcBorders>
              <w:top w:val="single" w:sz="2" w:space="0" w:color="auto"/>
              <w:left w:val="single" w:sz="2" w:space="0" w:color="auto"/>
              <w:bottom w:val="single" w:sz="2" w:space="0" w:color="auto"/>
              <w:right w:val="single" w:sz="2" w:space="0" w:color="auto"/>
            </w:tcBorders>
          </w:tcPr>
          <w:p w14:paraId="38A549DA" w14:textId="0D27BBCE" w:rsidR="00C822F3" w:rsidRPr="00E21797" w:rsidRDefault="005F116C" w:rsidP="005F116C">
            <w:pPr>
              <w:spacing w:before="60" w:after="60"/>
              <w:ind w:left="42" w:hanging="42"/>
              <w:jc w:val="left"/>
              <w:rPr>
                <w:b/>
              </w:rPr>
            </w:pPr>
            <w:r>
              <w:rPr>
                <w:b/>
              </w:rPr>
              <w:t>Pourcentage maximum des travaux en régie par rapport au Montant du Marché</w:t>
            </w:r>
          </w:p>
        </w:tc>
        <w:tc>
          <w:tcPr>
            <w:tcW w:w="1425" w:type="dxa"/>
            <w:tcBorders>
              <w:top w:val="single" w:sz="2" w:space="0" w:color="auto"/>
              <w:left w:val="single" w:sz="2" w:space="0" w:color="auto"/>
              <w:bottom w:val="single" w:sz="2" w:space="0" w:color="auto"/>
              <w:right w:val="single" w:sz="2" w:space="0" w:color="auto"/>
            </w:tcBorders>
          </w:tcPr>
          <w:p w14:paraId="380F0610" w14:textId="77777777" w:rsidR="00C822F3" w:rsidRPr="00E21797" w:rsidRDefault="00C822F3" w:rsidP="00E07988">
            <w:pPr>
              <w:spacing w:before="60" w:after="60"/>
              <w:jc w:val="left"/>
            </w:pPr>
            <w:r w:rsidRPr="00E21797">
              <w:t>11.3.1 b)</w:t>
            </w:r>
          </w:p>
        </w:tc>
        <w:tc>
          <w:tcPr>
            <w:tcW w:w="5355" w:type="dxa"/>
            <w:tcBorders>
              <w:top w:val="single" w:sz="2" w:space="0" w:color="auto"/>
              <w:left w:val="single" w:sz="2" w:space="0" w:color="auto"/>
              <w:bottom w:val="single" w:sz="2" w:space="0" w:color="auto"/>
              <w:right w:val="single" w:sz="2" w:space="0" w:color="auto"/>
            </w:tcBorders>
          </w:tcPr>
          <w:p w14:paraId="336873CC" w14:textId="3141E3B7" w:rsidR="00C822F3" w:rsidRPr="00E21797" w:rsidRDefault="005F116C" w:rsidP="005F116C">
            <w:pPr>
              <w:spacing w:before="60" w:after="60"/>
              <w:ind w:left="63" w:hanging="63"/>
              <w:jc w:val="left"/>
            </w:pPr>
            <w:r>
              <w:t>Le pourcentage est de :</w:t>
            </w:r>
            <w:r>
              <w:rPr>
                <w:rFonts w:ascii="Arial" w:hAnsi="Arial" w:cs="Arial"/>
                <w:sz w:val="20"/>
              </w:rPr>
              <w:t xml:space="preserve"> 10%</w:t>
            </w:r>
          </w:p>
        </w:tc>
      </w:tr>
      <w:tr w:rsidR="00C822F3" w:rsidRPr="00E21797" w14:paraId="44D38AF0" w14:textId="77777777" w:rsidTr="00E07988">
        <w:tc>
          <w:tcPr>
            <w:tcW w:w="2670" w:type="dxa"/>
            <w:tcBorders>
              <w:top w:val="single" w:sz="2" w:space="0" w:color="auto"/>
              <w:left w:val="single" w:sz="2" w:space="0" w:color="auto"/>
              <w:bottom w:val="single" w:sz="2" w:space="0" w:color="auto"/>
              <w:right w:val="single" w:sz="2" w:space="0" w:color="auto"/>
            </w:tcBorders>
          </w:tcPr>
          <w:p w14:paraId="30EDDB08" w14:textId="77777777" w:rsidR="00C822F3" w:rsidRPr="00E21797" w:rsidRDefault="00C822F3" w:rsidP="005F116C">
            <w:pPr>
              <w:spacing w:before="60" w:after="60"/>
              <w:ind w:left="42" w:hanging="42"/>
              <w:jc w:val="left"/>
              <w:rPr>
                <w:b/>
              </w:rPr>
            </w:pPr>
            <w:r w:rsidRPr="00E21797">
              <w:rPr>
                <w:b/>
              </w:rPr>
              <w:t>Acomptes sur approvisionnement</w:t>
            </w:r>
          </w:p>
        </w:tc>
        <w:tc>
          <w:tcPr>
            <w:tcW w:w="1425" w:type="dxa"/>
            <w:tcBorders>
              <w:top w:val="single" w:sz="2" w:space="0" w:color="auto"/>
              <w:left w:val="single" w:sz="2" w:space="0" w:color="auto"/>
              <w:bottom w:val="single" w:sz="2" w:space="0" w:color="auto"/>
              <w:right w:val="single" w:sz="2" w:space="0" w:color="auto"/>
            </w:tcBorders>
          </w:tcPr>
          <w:p w14:paraId="2FF8887D" w14:textId="77777777" w:rsidR="00C822F3" w:rsidRPr="00E21797" w:rsidRDefault="00C822F3" w:rsidP="00E07988">
            <w:pPr>
              <w:spacing w:before="60" w:after="60"/>
              <w:jc w:val="left"/>
            </w:pPr>
            <w:r w:rsidRPr="00E21797">
              <w:t>11.4</w:t>
            </w:r>
          </w:p>
        </w:tc>
        <w:tc>
          <w:tcPr>
            <w:tcW w:w="5355" w:type="dxa"/>
            <w:tcBorders>
              <w:top w:val="single" w:sz="2" w:space="0" w:color="auto"/>
              <w:left w:val="single" w:sz="2" w:space="0" w:color="auto"/>
              <w:bottom w:val="single" w:sz="2" w:space="0" w:color="auto"/>
              <w:right w:val="single" w:sz="2" w:space="0" w:color="auto"/>
            </w:tcBorders>
          </w:tcPr>
          <w:p w14:paraId="6C99014B" w14:textId="428B8A4D" w:rsidR="00C822F3" w:rsidRPr="00E21797" w:rsidRDefault="00611A67" w:rsidP="00E07988">
            <w:pPr>
              <w:spacing w:before="60" w:after="60"/>
              <w:rPr>
                <w:i/>
                <w:sz w:val="20"/>
              </w:rPr>
            </w:pPr>
            <w:r w:rsidRPr="009A652D">
              <w:rPr>
                <w:rFonts w:ascii="Arial" w:hAnsi="Arial" w:cs="Arial"/>
                <w:sz w:val="20"/>
              </w:rPr>
              <w:t>Sans objet</w:t>
            </w:r>
          </w:p>
        </w:tc>
      </w:tr>
      <w:tr w:rsidR="00C822F3" w:rsidRPr="00E21797" w14:paraId="202F64E2" w14:textId="77777777" w:rsidTr="00E07988">
        <w:tc>
          <w:tcPr>
            <w:tcW w:w="2670" w:type="dxa"/>
            <w:tcBorders>
              <w:top w:val="single" w:sz="2" w:space="0" w:color="auto"/>
              <w:left w:val="single" w:sz="2" w:space="0" w:color="auto"/>
              <w:bottom w:val="single" w:sz="2" w:space="0" w:color="auto"/>
              <w:right w:val="single" w:sz="2" w:space="0" w:color="auto"/>
            </w:tcBorders>
          </w:tcPr>
          <w:p w14:paraId="0285FA39" w14:textId="77777777" w:rsidR="00C822F3" w:rsidRPr="00E21797" w:rsidRDefault="00C822F3" w:rsidP="00E07988">
            <w:pPr>
              <w:spacing w:before="60" w:after="60"/>
              <w:jc w:val="left"/>
              <w:rPr>
                <w:b/>
              </w:rPr>
            </w:pPr>
            <w:r w:rsidRPr="00E21797">
              <w:rPr>
                <w:b/>
              </w:rPr>
              <w:t>Avance forfaitaire</w:t>
            </w:r>
          </w:p>
        </w:tc>
        <w:tc>
          <w:tcPr>
            <w:tcW w:w="1425" w:type="dxa"/>
            <w:tcBorders>
              <w:top w:val="single" w:sz="2" w:space="0" w:color="auto"/>
              <w:left w:val="single" w:sz="2" w:space="0" w:color="auto"/>
              <w:bottom w:val="single" w:sz="2" w:space="0" w:color="auto"/>
              <w:right w:val="single" w:sz="2" w:space="0" w:color="auto"/>
            </w:tcBorders>
          </w:tcPr>
          <w:p w14:paraId="68DD18CC" w14:textId="77777777" w:rsidR="00C822F3" w:rsidRPr="00E21797" w:rsidRDefault="00C822F3" w:rsidP="00E07988">
            <w:pPr>
              <w:spacing w:before="60" w:after="60"/>
              <w:jc w:val="left"/>
            </w:pPr>
            <w:r w:rsidRPr="00E21797">
              <w:t>11.5</w:t>
            </w:r>
          </w:p>
        </w:tc>
        <w:tc>
          <w:tcPr>
            <w:tcW w:w="5355" w:type="dxa"/>
            <w:tcBorders>
              <w:top w:val="single" w:sz="2" w:space="0" w:color="auto"/>
              <w:left w:val="single" w:sz="2" w:space="0" w:color="auto"/>
              <w:bottom w:val="single" w:sz="2" w:space="0" w:color="auto"/>
              <w:right w:val="single" w:sz="2" w:space="0" w:color="auto"/>
            </w:tcBorders>
          </w:tcPr>
          <w:p w14:paraId="050D3DE1" w14:textId="77777777" w:rsidR="00C822F3" w:rsidRPr="00E21797" w:rsidRDefault="00C822F3" w:rsidP="00E07988">
            <w:pPr>
              <w:spacing w:before="60" w:after="60"/>
            </w:pPr>
            <w:r w:rsidRPr="00E21797">
              <w:t>Le mode de calcul de l’avance est le suivant :</w:t>
            </w:r>
          </w:p>
          <w:p w14:paraId="695330B1" w14:textId="77777777" w:rsidR="00761E99" w:rsidRDefault="00C822F3" w:rsidP="00761E99">
            <w:pPr>
              <w:spacing w:before="60" w:after="60"/>
              <w:ind w:left="63" w:hanging="63"/>
              <w:jc w:val="left"/>
              <w:rPr>
                <w:rFonts w:ascii="Arial" w:hAnsi="Arial" w:cs="Arial"/>
                <w:sz w:val="20"/>
              </w:rPr>
            </w:pPr>
            <w:r w:rsidRPr="00E21797">
              <w:t>a)</w:t>
            </w:r>
            <w:r w:rsidR="00761E99">
              <w:t xml:space="preserve"> </w:t>
            </w:r>
            <w:r w:rsidRPr="00E21797">
              <w:t xml:space="preserve">pourcentage par rapport au Montant du </w:t>
            </w:r>
            <w:r w:rsidR="00761E99" w:rsidRPr="00E21797">
              <w:t>Marché :</w:t>
            </w:r>
            <w:r w:rsidR="00761E99">
              <w:t xml:space="preserve"> </w:t>
            </w:r>
            <w:r w:rsidR="00761E99" w:rsidRPr="009A652D">
              <w:rPr>
                <w:rFonts w:ascii="Arial" w:hAnsi="Arial" w:cs="Arial"/>
                <w:sz w:val="20"/>
              </w:rPr>
              <w:t>20% du montant du Marché</w:t>
            </w:r>
          </w:p>
          <w:p w14:paraId="209AC423" w14:textId="594ED12E" w:rsidR="00C822F3" w:rsidRPr="00E21797" w:rsidRDefault="00C822F3" w:rsidP="00761E99">
            <w:pPr>
              <w:spacing w:before="60" w:after="60"/>
              <w:ind w:left="63" w:hanging="63"/>
              <w:jc w:val="left"/>
            </w:pPr>
            <w:r w:rsidRPr="00E21797">
              <w:t>b)</w:t>
            </w:r>
            <w:r w:rsidR="00761E99">
              <w:t xml:space="preserve"> </w:t>
            </w:r>
            <w:r w:rsidRPr="00E21797">
              <w:t xml:space="preserve">pourcentage payable en monnaies nationale et </w:t>
            </w:r>
            <w:r w:rsidR="00761E99" w:rsidRPr="00E21797">
              <w:t>étrangères :</w:t>
            </w:r>
            <w:r w:rsidR="00761E99" w:rsidRPr="009A652D">
              <w:rPr>
                <w:rFonts w:ascii="Arial" w:hAnsi="Arial" w:cs="Arial"/>
                <w:sz w:val="20"/>
              </w:rPr>
              <w:t xml:space="preserve"> 20% de </w:t>
            </w:r>
            <w:r w:rsidR="00761E99" w:rsidRPr="009A652D">
              <w:t>de chaque monnaie</w:t>
            </w:r>
          </w:p>
          <w:p w14:paraId="334CB102" w14:textId="5F26E483" w:rsidR="00C822F3" w:rsidRPr="00761E99" w:rsidRDefault="00761E99" w:rsidP="00761E99">
            <w:pPr>
              <w:spacing w:before="60" w:after="60"/>
              <w:ind w:left="63" w:hanging="63"/>
              <w:jc w:val="left"/>
              <w:rPr>
                <w:szCs w:val="24"/>
              </w:rPr>
            </w:pPr>
            <w:r w:rsidRPr="00761E99">
              <w:rPr>
                <w:szCs w:val="24"/>
              </w:rPr>
              <w:t>L’avance sera remboursée comme suit : au fur et à mesure de la facturation dès que la facturation des travaux effectués aura atteint 20% du montant total prévisionnel du marché et elle devra être intégralement remboursée lorsque la facturation atteindra 80% du montant total prévisionnel du marché.</w:t>
            </w:r>
          </w:p>
        </w:tc>
      </w:tr>
      <w:tr w:rsidR="00C822F3" w:rsidRPr="00E21797" w14:paraId="716B3494" w14:textId="77777777" w:rsidTr="00E07988">
        <w:tc>
          <w:tcPr>
            <w:tcW w:w="2670" w:type="dxa"/>
            <w:tcBorders>
              <w:top w:val="single" w:sz="2" w:space="0" w:color="auto"/>
              <w:left w:val="single" w:sz="2" w:space="0" w:color="auto"/>
              <w:bottom w:val="single" w:sz="2" w:space="0" w:color="auto"/>
              <w:right w:val="single" w:sz="2" w:space="0" w:color="auto"/>
            </w:tcBorders>
          </w:tcPr>
          <w:p w14:paraId="553DECB2" w14:textId="77777777" w:rsidR="00C822F3" w:rsidRPr="00E21797" w:rsidRDefault="00C822F3" w:rsidP="00E07988">
            <w:pPr>
              <w:spacing w:before="60" w:after="60"/>
              <w:jc w:val="left"/>
              <w:rPr>
                <w:b/>
              </w:rPr>
            </w:pPr>
            <w:r w:rsidRPr="00E21797">
              <w:rPr>
                <w:b/>
              </w:rPr>
              <w:t>Intérêts moratoires</w:t>
            </w:r>
          </w:p>
        </w:tc>
        <w:tc>
          <w:tcPr>
            <w:tcW w:w="1425" w:type="dxa"/>
            <w:tcBorders>
              <w:top w:val="single" w:sz="2" w:space="0" w:color="auto"/>
              <w:left w:val="single" w:sz="2" w:space="0" w:color="auto"/>
              <w:bottom w:val="single" w:sz="2" w:space="0" w:color="auto"/>
              <w:right w:val="single" w:sz="2" w:space="0" w:color="auto"/>
            </w:tcBorders>
          </w:tcPr>
          <w:p w14:paraId="43AE4427" w14:textId="77777777" w:rsidR="00C822F3" w:rsidRPr="00E21797" w:rsidRDefault="00C822F3" w:rsidP="00E07988">
            <w:pPr>
              <w:spacing w:before="60" w:after="60"/>
              <w:jc w:val="left"/>
            </w:pPr>
            <w:r w:rsidRPr="00E21797">
              <w:t>11.7</w:t>
            </w:r>
          </w:p>
        </w:tc>
        <w:tc>
          <w:tcPr>
            <w:tcW w:w="5355" w:type="dxa"/>
            <w:tcBorders>
              <w:top w:val="single" w:sz="2" w:space="0" w:color="auto"/>
              <w:left w:val="single" w:sz="2" w:space="0" w:color="auto"/>
              <w:bottom w:val="single" w:sz="2" w:space="0" w:color="auto"/>
              <w:right w:val="single" w:sz="2" w:space="0" w:color="auto"/>
            </w:tcBorders>
          </w:tcPr>
          <w:p w14:paraId="3E53E616" w14:textId="77777777" w:rsidR="006A272D" w:rsidRPr="006A272D" w:rsidRDefault="006A272D" w:rsidP="006A272D">
            <w:pPr>
              <w:spacing w:before="60" w:after="60"/>
              <w:ind w:left="63" w:hanging="63"/>
              <w:jc w:val="left"/>
              <w:rPr>
                <w:b/>
                <w:szCs w:val="24"/>
              </w:rPr>
            </w:pPr>
            <w:r w:rsidRPr="006A272D">
              <w:rPr>
                <w:szCs w:val="24"/>
              </w:rPr>
              <w:t>Taux mensuel pour les paiements en monnaie nationale :</w:t>
            </w:r>
            <w:r w:rsidRPr="006A272D">
              <w:rPr>
                <w:b/>
                <w:szCs w:val="24"/>
              </w:rPr>
              <w:t xml:space="preserve"> Le taux d’escompte est celui de la BCEAO trente (30) jours avant le dépôt des offres.</w:t>
            </w:r>
          </w:p>
          <w:p w14:paraId="3E0C1AC1" w14:textId="1B6F1E3D" w:rsidR="00C822F3" w:rsidRPr="006A272D" w:rsidRDefault="006A272D" w:rsidP="006A272D">
            <w:pPr>
              <w:spacing w:before="60" w:after="60"/>
              <w:ind w:left="63" w:hanging="63"/>
              <w:jc w:val="left"/>
              <w:rPr>
                <w:szCs w:val="24"/>
              </w:rPr>
            </w:pPr>
            <w:r w:rsidRPr="006A272D">
              <w:rPr>
                <w:szCs w:val="24"/>
              </w:rPr>
              <w:t xml:space="preserve">Taux mensuel pour les paiements en monnaie étrangère: </w:t>
            </w:r>
            <w:r w:rsidRPr="006A272D">
              <w:rPr>
                <w:b/>
                <w:szCs w:val="24"/>
              </w:rPr>
              <w:t>EURIBOR trente (30) jours avant le dépôt des offres plus 200 points de base.</w:t>
            </w:r>
            <w:r w:rsidR="00C822F3" w:rsidRPr="006A272D">
              <w:rPr>
                <w:szCs w:val="24"/>
              </w:rPr>
              <w:t>:</w:t>
            </w:r>
          </w:p>
        </w:tc>
      </w:tr>
      <w:tr w:rsidR="00C822F3" w:rsidRPr="00E21797" w14:paraId="48D003E9" w14:textId="77777777" w:rsidTr="00E07988">
        <w:tc>
          <w:tcPr>
            <w:tcW w:w="2670" w:type="dxa"/>
            <w:tcBorders>
              <w:top w:val="single" w:sz="2" w:space="0" w:color="auto"/>
              <w:left w:val="single" w:sz="2" w:space="0" w:color="auto"/>
              <w:bottom w:val="single" w:sz="2" w:space="0" w:color="auto"/>
              <w:right w:val="single" w:sz="2" w:space="0" w:color="auto"/>
            </w:tcBorders>
          </w:tcPr>
          <w:p w14:paraId="38CD0322" w14:textId="77777777" w:rsidR="00C822F3" w:rsidRPr="00E21797" w:rsidRDefault="00C822F3" w:rsidP="00E07988">
            <w:pPr>
              <w:spacing w:before="60" w:after="60"/>
              <w:jc w:val="left"/>
              <w:rPr>
                <w:b/>
              </w:rPr>
            </w:pPr>
            <w:r w:rsidRPr="00E21797">
              <w:rPr>
                <w:b/>
              </w:rPr>
              <w:t>Modalités de règlement des acomptes</w:t>
            </w:r>
          </w:p>
        </w:tc>
        <w:tc>
          <w:tcPr>
            <w:tcW w:w="1425" w:type="dxa"/>
            <w:tcBorders>
              <w:top w:val="single" w:sz="2" w:space="0" w:color="auto"/>
              <w:left w:val="single" w:sz="2" w:space="0" w:color="auto"/>
              <w:bottom w:val="single" w:sz="2" w:space="0" w:color="auto"/>
              <w:right w:val="single" w:sz="2" w:space="0" w:color="auto"/>
            </w:tcBorders>
          </w:tcPr>
          <w:p w14:paraId="2BFE0273" w14:textId="77777777" w:rsidR="00C822F3" w:rsidRPr="00E21797" w:rsidRDefault="00C822F3" w:rsidP="00E07988">
            <w:pPr>
              <w:spacing w:before="60" w:after="60"/>
              <w:jc w:val="left"/>
            </w:pPr>
            <w:r w:rsidRPr="00E21797">
              <w:t>13.2.3</w:t>
            </w:r>
          </w:p>
        </w:tc>
        <w:tc>
          <w:tcPr>
            <w:tcW w:w="5355" w:type="dxa"/>
            <w:tcBorders>
              <w:top w:val="single" w:sz="2" w:space="0" w:color="auto"/>
              <w:left w:val="single" w:sz="2" w:space="0" w:color="auto"/>
              <w:bottom w:val="single" w:sz="2" w:space="0" w:color="auto"/>
              <w:right w:val="single" w:sz="2" w:space="0" w:color="auto"/>
            </w:tcBorders>
          </w:tcPr>
          <w:p w14:paraId="4AB0BA1D" w14:textId="77777777" w:rsidR="00C822F3" w:rsidRPr="00E21797" w:rsidRDefault="00C822F3" w:rsidP="006A272D">
            <w:pPr>
              <w:spacing w:before="60" w:after="60"/>
              <w:ind w:left="63" w:hanging="9"/>
            </w:pPr>
            <w:r w:rsidRPr="00E21797">
              <w:t>Les paiements à l’Entrepreneur seront effectués aux comptes bancaires suivants :</w:t>
            </w:r>
          </w:p>
          <w:p w14:paraId="78E0B72F" w14:textId="77777777" w:rsidR="00C822F3" w:rsidRPr="00E21797" w:rsidRDefault="00C822F3" w:rsidP="006A272D">
            <w:pPr>
              <w:spacing w:before="60" w:after="60"/>
              <w:ind w:left="346" w:hanging="346"/>
              <w:jc w:val="left"/>
            </w:pPr>
            <w:r w:rsidRPr="00E21797">
              <w:t>a)</w:t>
            </w:r>
            <w:r w:rsidRPr="00E21797">
              <w:tab/>
              <w:t>pour la part en monnaie nationale :</w:t>
            </w:r>
          </w:p>
          <w:p w14:paraId="5FE07F4E" w14:textId="77777777" w:rsidR="00C822F3" w:rsidRPr="00E21797" w:rsidRDefault="00C822F3" w:rsidP="00E07988">
            <w:pPr>
              <w:spacing w:before="60" w:after="60"/>
              <w:rPr>
                <w:i/>
                <w:sz w:val="20"/>
              </w:rPr>
            </w:pPr>
            <w:r w:rsidRPr="00E21797">
              <w:rPr>
                <w:i/>
                <w:sz w:val="20"/>
              </w:rPr>
              <w:t>[Indiquer le compte bancaire dans le pays du Maître de l’Ouvrage]</w:t>
            </w:r>
          </w:p>
          <w:p w14:paraId="4280CFA4" w14:textId="212C23B0" w:rsidR="00C822F3" w:rsidRPr="00E21797" w:rsidRDefault="00C822F3" w:rsidP="006A272D">
            <w:pPr>
              <w:spacing w:before="60" w:after="60"/>
              <w:ind w:left="346" w:hanging="346"/>
              <w:jc w:val="left"/>
            </w:pPr>
            <w:r w:rsidRPr="00E21797">
              <w:t>b)</w:t>
            </w:r>
            <w:r w:rsidRPr="00E21797">
              <w:tab/>
              <w:t xml:space="preserve">pour la part en monnaie </w:t>
            </w:r>
            <w:r w:rsidR="006A272D" w:rsidRPr="00E21797">
              <w:t>étrangère :</w:t>
            </w:r>
          </w:p>
          <w:p w14:paraId="62AAAD87" w14:textId="77777777" w:rsidR="00C822F3" w:rsidRPr="00E21797" w:rsidRDefault="00C822F3" w:rsidP="00E07988">
            <w:pPr>
              <w:spacing w:before="60" w:after="60"/>
            </w:pPr>
            <w:r w:rsidRPr="00E21797">
              <w:rPr>
                <w:i/>
                <w:sz w:val="20"/>
              </w:rPr>
              <w:t>[Indiquer le(s) compte(s) bancaire(s) pour les règlements en monnaie étrangère]</w:t>
            </w:r>
          </w:p>
        </w:tc>
      </w:tr>
      <w:tr w:rsidR="00C822F3" w:rsidRPr="00E21797" w14:paraId="34C5A890" w14:textId="77777777" w:rsidTr="00E07988">
        <w:tc>
          <w:tcPr>
            <w:tcW w:w="2670" w:type="dxa"/>
            <w:tcBorders>
              <w:top w:val="single" w:sz="2" w:space="0" w:color="auto"/>
              <w:left w:val="single" w:sz="2" w:space="0" w:color="auto"/>
              <w:bottom w:val="single" w:sz="2" w:space="0" w:color="auto"/>
              <w:right w:val="single" w:sz="2" w:space="0" w:color="auto"/>
            </w:tcBorders>
          </w:tcPr>
          <w:p w14:paraId="6F32E2C0" w14:textId="77777777" w:rsidR="00C822F3" w:rsidRPr="00E21797" w:rsidRDefault="00C822F3" w:rsidP="00E07988">
            <w:pPr>
              <w:spacing w:before="60" w:after="60"/>
              <w:jc w:val="left"/>
              <w:rPr>
                <w:b/>
              </w:rPr>
            </w:pPr>
            <w:r w:rsidRPr="00E21797">
              <w:rPr>
                <w:b/>
              </w:rPr>
              <w:t>Force majeure</w:t>
            </w:r>
          </w:p>
        </w:tc>
        <w:tc>
          <w:tcPr>
            <w:tcW w:w="1425" w:type="dxa"/>
            <w:tcBorders>
              <w:top w:val="single" w:sz="2" w:space="0" w:color="auto"/>
              <w:left w:val="single" w:sz="2" w:space="0" w:color="auto"/>
              <w:bottom w:val="single" w:sz="2" w:space="0" w:color="auto"/>
              <w:right w:val="single" w:sz="2" w:space="0" w:color="auto"/>
            </w:tcBorders>
          </w:tcPr>
          <w:p w14:paraId="0E31C92D" w14:textId="77777777" w:rsidR="00C822F3" w:rsidRPr="00E21797" w:rsidRDefault="00C822F3" w:rsidP="00E07988">
            <w:pPr>
              <w:spacing w:before="60" w:after="60"/>
              <w:jc w:val="left"/>
            </w:pPr>
            <w:r w:rsidRPr="00E21797">
              <w:t>18.3</w:t>
            </w:r>
          </w:p>
        </w:tc>
        <w:tc>
          <w:tcPr>
            <w:tcW w:w="5355" w:type="dxa"/>
            <w:tcBorders>
              <w:top w:val="single" w:sz="2" w:space="0" w:color="auto"/>
              <w:left w:val="single" w:sz="2" w:space="0" w:color="auto"/>
              <w:bottom w:val="single" w:sz="2" w:space="0" w:color="auto"/>
              <w:right w:val="single" w:sz="2" w:space="0" w:color="auto"/>
            </w:tcBorders>
          </w:tcPr>
          <w:p w14:paraId="61C03A2A" w14:textId="77777777" w:rsidR="00C822F3" w:rsidRDefault="00C822F3" w:rsidP="006A272D">
            <w:pPr>
              <w:spacing w:before="60" w:after="60"/>
              <w:ind w:left="63" w:hanging="63"/>
              <w:jc w:val="left"/>
            </w:pPr>
            <w:r w:rsidRPr="00E21797">
              <w:t>Seuil des intempéries constituant un cas de force majeure :</w:t>
            </w:r>
          </w:p>
          <w:p w14:paraId="6DC999A7" w14:textId="77777777" w:rsidR="006A272D" w:rsidRPr="009A652D" w:rsidRDefault="006A272D" w:rsidP="002A45C1">
            <w:pPr>
              <w:numPr>
                <w:ilvl w:val="0"/>
                <w:numId w:val="119"/>
              </w:numPr>
              <w:overflowPunct w:val="0"/>
              <w:autoSpaceDE w:val="0"/>
              <w:autoSpaceDN w:val="0"/>
              <w:adjustRightInd w:val="0"/>
              <w:spacing w:before="60" w:after="60" w:line="276" w:lineRule="auto"/>
              <w:jc w:val="left"/>
              <w:textAlignment w:val="baseline"/>
              <w:rPr>
                <w:rFonts w:ascii="Arial" w:hAnsi="Arial" w:cs="Arial"/>
                <w:b/>
                <w:sz w:val="20"/>
              </w:rPr>
            </w:pPr>
            <w:r w:rsidRPr="009A652D">
              <w:rPr>
                <w:rFonts w:ascii="Arial" w:hAnsi="Arial" w:cs="Arial"/>
                <w:b/>
                <w:sz w:val="20"/>
              </w:rPr>
              <w:t xml:space="preserve">pluies &gt;à  </w:t>
            </w:r>
            <w:smartTag w:uri="urn:schemas-microsoft-com:office:smarttags" w:element="metricconverter">
              <w:smartTagPr>
                <w:attr w:name="ProductID" w:val="80 mm"/>
              </w:smartTagPr>
              <w:r w:rsidRPr="009A652D">
                <w:rPr>
                  <w:rFonts w:ascii="Arial" w:hAnsi="Arial" w:cs="Arial"/>
                  <w:b/>
                  <w:sz w:val="20"/>
                </w:rPr>
                <w:t>80 mm</w:t>
              </w:r>
            </w:smartTag>
            <w:r w:rsidRPr="009A652D">
              <w:rPr>
                <w:rFonts w:ascii="Arial" w:hAnsi="Arial" w:cs="Arial"/>
                <w:b/>
                <w:sz w:val="20"/>
              </w:rPr>
              <w:t xml:space="preserve"> dans les 24 h ;</w:t>
            </w:r>
          </w:p>
          <w:p w14:paraId="6A1897BF" w14:textId="77777777" w:rsidR="006A272D" w:rsidRPr="009A652D" w:rsidRDefault="006A272D" w:rsidP="002A45C1">
            <w:pPr>
              <w:numPr>
                <w:ilvl w:val="0"/>
                <w:numId w:val="119"/>
              </w:numPr>
              <w:overflowPunct w:val="0"/>
              <w:autoSpaceDE w:val="0"/>
              <w:autoSpaceDN w:val="0"/>
              <w:adjustRightInd w:val="0"/>
              <w:spacing w:before="60" w:after="60" w:line="276" w:lineRule="auto"/>
              <w:jc w:val="left"/>
              <w:textAlignment w:val="baseline"/>
              <w:rPr>
                <w:rFonts w:ascii="Arial" w:hAnsi="Arial" w:cs="Arial"/>
                <w:b/>
                <w:sz w:val="20"/>
              </w:rPr>
            </w:pPr>
            <w:r w:rsidRPr="009A652D">
              <w:rPr>
                <w:rFonts w:ascii="Arial" w:hAnsi="Arial" w:cs="Arial"/>
                <w:b/>
                <w:sz w:val="20"/>
              </w:rPr>
              <w:t xml:space="preserve">vent &gt; à </w:t>
            </w:r>
            <w:smartTag w:uri="urn:schemas-microsoft-com:office:smarttags" w:element="metricconverter">
              <w:smartTagPr>
                <w:attr w:name="ProductID" w:val="100 Km/h"/>
              </w:smartTagPr>
              <w:r w:rsidRPr="009A652D">
                <w:rPr>
                  <w:rFonts w:ascii="Arial" w:hAnsi="Arial" w:cs="Arial"/>
                  <w:b/>
                  <w:sz w:val="20"/>
                </w:rPr>
                <w:t>100 km/h</w:t>
              </w:r>
            </w:smartTag>
            <w:r w:rsidRPr="009A652D">
              <w:rPr>
                <w:rFonts w:ascii="Arial" w:hAnsi="Arial" w:cs="Arial"/>
                <w:b/>
                <w:sz w:val="20"/>
              </w:rPr>
              <w:t xml:space="preserve"> pour 6 h</w:t>
            </w:r>
          </w:p>
          <w:p w14:paraId="4C8272CC" w14:textId="77777777" w:rsidR="006A272D" w:rsidRPr="009A652D" w:rsidRDefault="006A272D" w:rsidP="002A45C1">
            <w:pPr>
              <w:numPr>
                <w:ilvl w:val="0"/>
                <w:numId w:val="119"/>
              </w:numPr>
              <w:overflowPunct w:val="0"/>
              <w:autoSpaceDE w:val="0"/>
              <w:autoSpaceDN w:val="0"/>
              <w:adjustRightInd w:val="0"/>
              <w:spacing w:before="60" w:after="60" w:line="276" w:lineRule="auto"/>
              <w:jc w:val="left"/>
              <w:textAlignment w:val="baseline"/>
              <w:rPr>
                <w:rFonts w:ascii="Arial" w:hAnsi="Arial" w:cs="Arial"/>
                <w:b/>
                <w:sz w:val="20"/>
              </w:rPr>
            </w:pPr>
            <w:r w:rsidRPr="009A652D">
              <w:rPr>
                <w:rFonts w:ascii="Arial" w:hAnsi="Arial" w:cs="Arial"/>
                <w:b/>
                <w:sz w:val="20"/>
              </w:rPr>
              <w:t>inondation de la zone des travaux</w:t>
            </w:r>
          </w:p>
          <w:p w14:paraId="26FF8CB4" w14:textId="7AD53E34" w:rsidR="006A272D" w:rsidRPr="00E21797" w:rsidRDefault="006A272D" w:rsidP="00E07988">
            <w:pPr>
              <w:spacing w:before="60" w:after="60"/>
            </w:pPr>
          </w:p>
        </w:tc>
      </w:tr>
      <w:tr w:rsidR="00C822F3" w:rsidRPr="00E21797" w14:paraId="7E2E3B06" w14:textId="77777777" w:rsidTr="00E07988">
        <w:tc>
          <w:tcPr>
            <w:tcW w:w="2670" w:type="dxa"/>
            <w:tcBorders>
              <w:top w:val="single" w:sz="2" w:space="0" w:color="auto"/>
              <w:left w:val="single" w:sz="2" w:space="0" w:color="auto"/>
              <w:bottom w:val="single" w:sz="2" w:space="0" w:color="auto"/>
              <w:right w:val="single" w:sz="2" w:space="0" w:color="auto"/>
            </w:tcBorders>
          </w:tcPr>
          <w:p w14:paraId="1DE0679E" w14:textId="77777777" w:rsidR="00C822F3" w:rsidRPr="00E21797" w:rsidRDefault="00C822F3" w:rsidP="00E07988">
            <w:pPr>
              <w:spacing w:before="60" w:after="60"/>
              <w:jc w:val="left"/>
              <w:rPr>
                <w:b/>
              </w:rPr>
            </w:pPr>
            <w:r w:rsidRPr="00E21797">
              <w:rPr>
                <w:b/>
              </w:rPr>
              <w:t>Délai d’exécution</w:t>
            </w:r>
          </w:p>
        </w:tc>
        <w:tc>
          <w:tcPr>
            <w:tcW w:w="1425" w:type="dxa"/>
            <w:tcBorders>
              <w:top w:val="single" w:sz="2" w:space="0" w:color="auto"/>
              <w:left w:val="single" w:sz="2" w:space="0" w:color="auto"/>
              <w:bottom w:val="single" w:sz="2" w:space="0" w:color="auto"/>
              <w:right w:val="single" w:sz="2" w:space="0" w:color="auto"/>
            </w:tcBorders>
          </w:tcPr>
          <w:p w14:paraId="44F3E0EE" w14:textId="77777777" w:rsidR="00C822F3" w:rsidRPr="00E21797" w:rsidRDefault="00C822F3" w:rsidP="00E07988">
            <w:pPr>
              <w:spacing w:before="60" w:after="60"/>
              <w:jc w:val="left"/>
            </w:pPr>
            <w:r w:rsidRPr="00E21797">
              <w:t>19.1.1</w:t>
            </w:r>
          </w:p>
        </w:tc>
        <w:tc>
          <w:tcPr>
            <w:tcW w:w="5355" w:type="dxa"/>
            <w:tcBorders>
              <w:top w:val="single" w:sz="2" w:space="0" w:color="auto"/>
              <w:left w:val="single" w:sz="2" w:space="0" w:color="auto"/>
              <w:bottom w:val="single" w:sz="2" w:space="0" w:color="auto"/>
              <w:right w:val="single" w:sz="2" w:space="0" w:color="auto"/>
            </w:tcBorders>
          </w:tcPr>
          <w:p w14:paraId="373B8C3D" w14:textId="77777777" w:rsidR="006A272D" w:rsidRPr="006A272D" w:rsidRDefault="006A272D" w:rsidP="006A272D">
            <w:pPr>
              <w:spacing w:before="60" w:after="60"/>
              <w:rPr>
                <w:szCs w:val="24"/>
              </w:rPr>
            </w:pPr>
            <w:r w:rsidRPr="006A272D">
              <w:rPr>
                <w:szCs w:val="24"/>
              </w:rPr>
              <w:t>Le délai d’exécution prévu est de :</w:t>
            </w:r>
          </w:p>
          <w:p w14:paraId="12849691" w14:textId="3E860B34" w:rsidR="006A272D" w:rsidRPr="006A272D" w:rsidRDefault="006A272D" w:rsidP="00CF663D">
            <w:pPr>
              <w:spacing w:before="60" w:after="60"/>
              <w:ind w:left="0" w:firstLine="0"/>
              <w:jc w:val="left"/>
            </w:pPr>
            <w:r w:rsidRPr="00CF663D">
              <w:rPr>
                <w:szCs w:val="24"/>
              </w:rPr>
              <w:t>Quatre (04) mois, saison de pluie comprise</w:t>
            </w:r>
          </w:p>
          <w:p w14:paraId="627214C8" w14:textId="77777777" w:rsidR="006A272D" w:rsidRPr="006A272D" w:rsidRDefault="006A272D" w:rsidP="006A272D">
            <w:pPr>
              <w:pStyle w:val="Paragraphedeliste"/>
              <w:spacing w:before="60" w:after="60"/>
              <w:ind w:left="1080" w:firstLine="0"/>
            </w:pPr>
          </w:p>
          <w:p w14:paraId="5B08DDB4" w14:textId="2CA236C8" w:rsidR="00C822F3" w:rsidRPr="00E21797" w:rsidRDefault="006A272D" w:rsidP="006A272D">
            <w:pPr>
              <w:spacing w:before="60" w:after="60"/>
              <w:ind w:left="63" w:hanging="63"/>
              <w:jc w:val="left"/>
            </w:pPr>
            <w:r w:rsidRPr="006A272D">
              <w:rPr>
                <w:szCs w:val="24"/>
              </w:rPr>
              <w:t>à compter de la date de réception de l’ordre de service de démarrer les travaux (celle-ci ne peut intervenir qu’après la mise à disposition du site et de ses accès)</w:t>
            </w:r>
          </w:p>
        </w:tc>
      </w:tr>
      <w:tr w:rsidR="00C822F3" w:rsidRPr="00E21797" w14:paraId="755B265F" w14:textId="77777777" w:rsidTr="00E07988">
        <w:tc>
          <w:tcPr>
            <w:tcW w:w="2670" w:type="dxa"/>
            <w:tcBorders>
              <w:top w:val="single" w:sz="2" w:space="0" w:color="auto"/>
              <w:left w:val="single" w:sz="2" w:space="0" w:color="auto"/>
              <w:bottom w:val="single" w:sz="2" w:space="0" w:color="auto"/>
              <w:right w:val="single" w:sz="2" w:space="0" w:color="auto"/>
            </w:tcBorders>
          </w:tcPr>
          <w:p w14:paraId="4E9B3FF4" w14:textId="77777777" w:rsidR="00C822F3" w:rsidRPr="00E21797" w:rsidRDefault="00C822F3" w:rsidP="00E07988">
            <w:pPr>
              <w:spacing w:before="60" w:after="60"/>
              <w:jc w:val="left"/>
              <w:rPr>
                <w:b/>
              </w:rPr>
            </w:pPr>
            <w:r w:rsidRPr="00E21797">
              <w:rPr>
                <w:b/>
              </w:rPr>
              <w:t>Prolongation des délais d’exécution</w:t>
            </w:r>
          </w:p>
        </w:tc>
        <w:tc>
          <w:tcPr>
            <w:tcW w:w="1425" w:type="dxa"/>
            <w:tcBorders>
              <w:top w:val="single" w:sz="2" w:space="0" w:color="auto"/>
              <w:left w:val="single" w:sz="2" w:space="0" w:color="auto"/>
              <w:bottom w:val="single" w:sz="2" w:space="0" w:color="auto"/>
              <w:right w:val="single" w:sz="2" w:space="0" w:color="auto"/>
            </w:tcBorders>
          </w:tcPr>
          <w:p w14:paraId="34F14756" w14:textId="77777777" w:rsidR="00C822F3" w:rsidRPr="00E21797" w:rsidRDefault="00C822F3" w:rsidP="00E07988">
            <w:pPr>
              <w:spacing w:before="60" w:after="60"/>
              <w:jc w:val="left"/>
            </w:pPr>
            <w:r w:rsidRPr="00E21797">
              <w:t>19.2.2</w:t>
            </w:r>
          </w:p>
        </w:tc>
        <w:tc>
          <w:tcPr>
            <w:tcW w:w="5355" w:type="dxa"/>
            <w:tcBorders>
              <w:top w:val="single" w:sz="2" w:space="0" w:color="auto"/>
              <w:left w:val="single" w:sz="2" w:space="0" w:color="auto"/>
              <w:bottom w:val="single" w:sz="2" w:space="0" w:color="auto"/>
              <w:right w:val="single" w:sz="2" w:space="0" w:color="auto"/>
            </w:tcBorders>
          </w:tcPr>
          <w:p w14:paraId="6C840521" w14:textId="77777777" w:rsidR="00A705DA" w:rsidRPr="00A705DA" w:rsidRDefault="00A705DA" w:rsidP="00A705DA">
            <w:pPr>
              <w:spacing w:before="60" w:after="60"/>
              <w:ind w:left="0" w:firstLine="0"/>
              <w:jc w:val="left"/>
              <w:rPr>
                <w:szCs w:val="24"/>
              </w:rPr>
            </w:pPr>
            <w:r w:rsidRPr="00A705DA">
              <w:rPr>
                <w:szCs w:val="24"/>
              </w:rPr>
              <w:t xml:space="preserve">Seuil des intempéries entraînant une prolongation des délais d’exécution des travaux : </w:t>
            </w:r>
          </w:p>
          <w:p w14:paraId="1FC5ABAA" w14:textId="77777777" w:rsidR="00A705DA" w:rsidRPr="00A705DA" w:rsidRDefault="00A705DA" w:rsidP="002A45C1">
            <w:pPr>
              <w:numPr>
                <w:ilvl w:val="0"/>
                <w:numId w:val="119"/>
              </w:numPr>
              <w:overflowPunct w:val="0"/>
              <w:autoSpaceDE w:val="0"/>
              <w:autoSpaceDN w:val="0"/>
              <w:adjustRightInd w:val="0"/>
              <w:spacing w:before="60" w:after="60" w:line="276" w:lineRule="auto"/>
              <w:jc w:val="left"/>
              <w:textAlignment w:val="baseline"/>
              <w:rPr>
                <w:b/>
                <w:szCs w:val="24"/>
              </w:rPr>
            </w:pPr>
            <w:r w:rsidRPr="00A705DA">
              <w:rPr>
                <w:b/>
                <w:szCs w:val="24"/>
              </w:rPr>
              <w:t xml:space="preserve">pluies &gt;à  </w:t>
            </w:r>
            <w:smartTag w:uri="urn:schemas-microsoft-com:office:smarttags" w:element="metricconverter">
              <w:smartTagPr>
                <w:attr w:name="ProductID" w:val="80 mm"/>
              </w:smartTagPr>
              <w:r w:rsidRPr="00A705DA">
                <w:rPr>
                  <w:b/>
                  <w:szCs w:val="24"/>
                </w:rPr>
                <w:t>80 mm</w:t>
              </w:r>
            </w:smartTag>
            <w:r w:rsidRPr="00A705DA">
              <w:rPr>
                <w:b/>
                <w:szCs w:val="24"/>
              </w:rPr>
              <w:t xml:space="preserve"> dans les 24 h ;</w:t>
            </w:r>
          </w:p>
          <w:p w14:paraId="7D576927" w14:textId="77777777" w:rsidR="00A705DA" w:rsidRPr="00A705DA" w:rsidRDefault="00A705DA" w:rsidP="002A45C1">
            <w:pPr>
              <w:numPr>
                <w:ilvl w:val="0"/>
                <w:numId w:val="119"/>
              </w:numPr>
              <w:overflowPunct w:val="0"/>
              <w:autoSpaceDE w:val="0"/>
              <w:autoSpaceDN w:val="0"/>
              <w:adjustRightInd w:val="0"/>
              <w:spacing w:before="60" w:after="60" w:line="276" w:lineRule="auto"/>
              <w:jc w:val="left"/>
              <w:textAlignment w:val="baseline"/>
              <w:rPr>
                <w:b/>
                <w:szCs w:val="24"/>
              </w:rPr>
            </w:pPr>
            <w:r w:rsidRPr="00A705DA">
              <w:rPr>
                <w:b/>
                <w:szCs w:val="24"/>
              </w:rPr>
              <w:t xml:space="preserve">vent &gt; à </w:t>
            </w:r>
            <w:smartTag w:uri="urn:schemas-microsoft-com:office:smarttags" w:element="metricconverter">
              <w:smartTagPr>
                <w:attr w:name="ProductID" w:val="100 Km/h"/>
              </w:smartTagPr>
              <w:r w:rsidRPr="00A705DA">
                <w:rPr>
                  <w:b/>
                  <w:szCs w:val="24"/>
                </w:rPr>
                <w:t>100 km/h</w:t>
              </w:r>
            </w:smartTag>
            <w:r w:rsidRPr="00A705DA">
              <w:rPr>
                <w:b/>
                <w:szCs w:val="24"/>
              </w:rPr>
              <w:t xml:space="preserve"> pour 6 h</w:t>
            </w:r>
          </w:p>
          <w:p w14:paraId="1D69F98D" w14:textId="77777777" w:rsidR="00A705DA" w:rsidRPr="00A705DA" w:rsidRDefault="00A705DA" w:rsidP="002A45C1">
            <w:pPr>
              <w:numPr>
                <w:ilvl w:val="0"/>
                <w:numId w:val="119"/>
              </w:numPr>
              <w:overflowPunct w:val="0"/>
              <w:autoSpaceDE w:val="0"/>
              <w:autoSpaceDN w:val="0"/>
              <w:adjustRightInd w:val="0"/>
              <w:spacing w:before="60" w:after="60" w:line="276" w:lineRule="auto"/>
              <w:jc w:val="left"/>
              <w:textAlignment w:val="baseline"/>
              <w:rPr>
                <w:b/>
                <w:szCs w:val="24"/>
              </w:rPr>
            </w:pPr>
            <w:r w:rsidRPr="00A705DA">
              <w:rPr>
                <w:b/>
                <w:szCs w:val="24"/>
              </w:rPr>
              <w:t>inondation de la zone des travaux</w:t>
            </w:r>
          </w:p>
          <w:p w14:paraId="70B54669" w14:textId="6F32EA42" w:rsidR="00C822F3" w:rsidRPr="00E21797" w:rsidRDefault="00A705DA" w:rsidP="00A705DA">
            <w:pPr>
              <w:spacing w:before="60" w:after="60"/>
              <w:ind w:left="63" w:hanging="63"/>
              <w:jc w:val="left"/>
              <w:rPr>
                <w:i/>
                <w:sz w:val="20"/>
              </w:rPr>
            </w:pPr>
            <w:r w:rsidRPr="00A705DA">
              <w:rPr>
                <w:szCs w:val="24"/>
              </w:rPr>
              <w:t xml:space="preserve">Nombre de journées d’intempéries prévisibles : </w:t>
            </w:r>
            <w:r w:rsidRPr="00A705DA">
              <w:rPr>
                <w:b/>
                <w:szCs w:val="24"/>
              </w:rPr>
              <w:t>10 jours</w:t>
            </w:r>
          </w:p>
        </w:tc>
      </w:tr>
      <w:tr w:rsidR="00C822F3" w:rsidRPr="00E21797" w14:paraId="02FE241A" w14:textId="77777777" w:rsidTr="00E07988">
        <w:tc>
          <w:tcPr>
            <w:tcW w:w="2670" w:type="dxa"/>
            <w:tcBorders>
              <w:top w:val="single" w:sz="2" w:space="0" w:color="auto"/>
              <w:left w:val="single" w:sz="2" w:space="0" w:color="auto"/>
              <w:bottom w:val="single" w:sz="2" w:space="0" w:color="auto"/>
              <w:right w:val="single" w:sz="2" w:space="0" w:color="auto"/>
            </w:tcBorders>
          </w:tcPr>
          <w:p w14:paraId="44DC1102" w14:textId="77777777" w:rsidR="00C822F3" w:rsidRPr="00E21797" w:rsidRDefault="00C822F3" w:rsidP="00E07988">
            <w:pPr>
              <w:spacing w:before="60" w:after="60"/>
              <w:jc w:val="left"/>
              <w:rPr>
                <w:b/>
              </w:rPr>
            </w:pPr>
          </w:p>
        </w:tc>
        <w:tc>
          <w:tcPr>
            <w:tcW w:w="1425" w:type="dxa"/>
            <w:tcBorders>
              <w:top w:val="single" w:sz="2" w:space="0" w:color="auto"/>
              <w:left w:val="single" w:sz="2" w:space="0" w:color="auto"/>
              <w:bottom w:val="single" w:sz="2" w:space="0" w:color="auto"/>
              <w:right w:val="single" w:sz="2" w:space="0" w:color="auto"/>
            </w:tcBorders>
          </w:tcPr>
          <w:p w14:paraId="4985555D" w14:textId="77777777" w:rsidR="00C822F3" w:rsidRPr="00E21797" w:rsidRDefault="00C822F3" w:rsidP="00E07988">
            <w:pPr>
              <w:spacing w:before="60" w:after="60"/>
              <w:jc w:val="left"/>
            </w:pPr>
            <w:r w:rsidRPr="00E21797">
              <w:t>19.2.4</w:t>
            </w:r>
          </w:p>
        </w:tc>
        <w:tc>
          <w:tcPr>
            <w:tcW w:w="5355" w:type="dxa"/>
            <w:tcBorders>
              <w:top w:val="single" w:sz="2" w:space="0" w:color="auto"/>
              <w:left w:val="single" w:sz="2" w:space="0" w:color="auto"/>
              <w:bottom w:val="single" w:sz="2" w:space="0" w:color="auto"/>
              <w:right w:val="single" w:sz="2" w:space="0" w:color="auto"/>
            </w:tcBorders>
          </w:tcPr>
          <w:p w14:paraId="1B28B03F" w14:textId="1CD86980" w:rsidR="00C822F3" w:rsidRPr="00E21797" w:rsidRDefault="00A705DA" w:rsidP="00A705DA">
            <w:pPr>
              <w:spacing w:before="60" w:after="60"/>
              <w:ind w:left="63" w:hanging="63"/>
              <w:jc w:val="left"/>
            </w:pPr>
            <w:r>
              <w:t>Seuil de prolongation des délais d’exécution ouvrant droit à résiliation du Marché : 90 jours</w:t>
            </w:r>
          </w:p>
        </w:tc>
      </w:tr>
      <w:tr w:rsidR="00C822F3" w:rsidRPr="00E21797" w14:paraId="5012F9E3" w14:textId="77777777" w:rsidTr="00E07988">
        <w:tc>
          <w:tcPr>
            <w:tcW w:w="2670" w:type="dxa"/>
            <w:tcBorders>
              <w:top w:val="single" w:sz="2" w:space="0" w:color="auto"/>
              <w:left w:val="single" w:sz="2" w:space="0" w:color="auto"/>
              <w:bottom w:val="single" w:sz="2" w:space="0" w:color="auto"/>
              <w:right w:val="single" w:sz="2" w:space="0" w:color="auto"/>
            </w:tcBorders>
          </w:tcPr>
          <w:p w14:paraId="6ABBAA4C" w14:textId="77777777" w:rsidR="00C822F3" w:rsidRPr="00E21797" w:rsidRDefault="00C822F3" w:rsidP="00E07988">
            <w:pPr>
              <w:spacing w:before="60" w:after="60"/>
              <w:jc w:val="left"/>
              <w:rPr>
                <w:b/>
              </w:rPr>
            </w:pPr>
            <w:r w:rsidRPr="00E21797">
              <w:rPr>
                <w:b/>
              </w:rPr>
              <w:t>Pénalités, primes et retenues</w:t>
            </w:r>
          </w:p>
        </w:tc>
        <w:tc>
          <w:tcPr>
            <w:tcW w:w="1425" w:type="dxa"/>
            <w:tcBorders>
              <w:top w:val="single" w:sz="2" w:space="0" w:color="auto"/>
              <w:left w:val="single" w:sz="2" w:space="0" w:color="auto"/>
              <w:bottom w:val="single" w:sz="2" w:space="0" w:color="auto"/>
              <w:right w:val="single" w:sz="2" w:space="0" w:color="auto"/>
            </w:tcBorders>
          </w:tcPr>
          <w:p w14:paraId="3C810FEF" w14:textId="77777777" w:rsidR="00C822F3" w:rsidRPr="00E21797" w:rsidRDefault="00C822F3" w:rsidP="00E07988">
            <w:pPr>
              <w:spacing w:before="60" w:after="60"/>
              <w:jc w:val="left"/>
            </w:pPr>
            <w:r w:rsidRPr="00E21797">
              <w:t>20.1</w:t>
            </w:r>
          </w:p>
        </w:tc>
        <w:tc>
          <w:tcPr>
            <w:tcW w:w="5355" w:type="dxa"/>
            <w:tcBorders>
              <w:top w:val="single" w:sz="2" w:space="0" w:color="auto"/>
              <w:left w:val="single" w:sz="2" w:space="0" w:color="auto"/>
              <w:bottom w:val="single" w:sz="2" w:space="0" w:color="auto"/>
              <w:right w:val="single" w:sz="2" w:space="0" w:color="auto"/>
            </w:tcBorders>
          </w:tcPr>
          <w:p w14:paraId="2C7B0784" w14:textId="1A02856C" w:rsidR="00A705DA" w:rsidRPr="00CF6646" w:rsidRDefault="00A705DA" w:rsidP="00A705DA">
            <w:pPr>
              <w:spacing w:before="60" w:after="60"/>
              <w:ind w:left="63" w:hanging="63"/>
              <w:jc w:val="left"/>
            </w:pPr>
            <w:r w:rsidRPr="00CF6646">
              <w:rPr>
                <w:szCs w:val="24"/>
              </w:rPr>
              <w:t xml:space="preserve">Les pénalités de retard pour la totalité des Travaux sont </w:t>
            </w:r>
            <w:r w:rsidRPr="00CF6646">
              <w:rPr>
                <w:b/>
                <w:i/>
                <w:szCs w:val="24"/>
              </w:rPr>
              <w:t>1/2000</w:t>
            </w:r>
            <w:r w:rsidRPr="00CF6646">
              <w:rPr>
                <w:b/>
                <w:szCs w:val="24"/>
              </w:rPr>
              <w:t xml:space="preserve"> par jour</w:t>
            </w:r>
            <w:r w:rsidRPr="00CF6646">
              <w:rPr>
                <w:szCs w:val="24"/>
              </w:rPr>
              <w:t xml:space="preserve">. Le montant maximum des pénalités de retard pour la totalité des Travaux </w:t>
            </w:r>
            <w:r w:rsidRPr="00CF6646">
              <w:rPr>
                <w:b/>
                <w:szCs w:val="24"/>
              </w:rPr>
              <w:t>est dix (</w:t>
            </w:r>
            <w:r w:rsidRPr="00CF6646">
              <w:rPr>
                <w:b/>
                <w:i/>
                <w:szCs w:val="24"/>
              </w:rPr>
              <w:t>10) pour cent</w:t>
            </w:r>
            <w:r w:rsidRPr="00CF6646">
              <w:rPr>
                <w:i/>
                <w:szCs w:val="24"/>
              </w:rPr>
              <w:t xml:space="preserve"> </w:t>
            </w:r>
            <w:r w:rsidRPr="00CF6646">
              <w:rPr>
                <w:szCs w:val="24"/>
              </w:rPr>
              <w:t>du Prix final du Marché au-delà duquel le marché pourrait être résilié</w:t>
            </w:r>
          </w:p>
          <w:p w14:paraId="31777D69" w14:textId="0484E686" w:rsidR="00C822F3" w:rsidRPr="00E21797" w:rsidRDefault="00C822F3" w:rsidP="00A705DA">
            <w:pPr>
              <w:spacing w:before="60" w:after="60"/>
              <w:ind w:left="63" w:hanging="63"/>
              <w:jc w:val="left"/>
            </w:pPr>
            <w:r>
              <w:t xml:space="preserve">Cette pénalité s’applique en cas de retard dans l’achèvement des travaux </w:t>
            </w:r>
          </w:p>
        </w:tc>
      </w:tr>
      <w:tr w:rsidR="00C822F3" w:rsidRPr="00E21797" w14:paraId="5F34C058" w14:textId="77777777" w:rsidTr="00E07988">
        <w:tc>
          <w:tcPr>
            <w:tcW w:w="2670" w:type="dxa"/>
            <w:tcBorders>
              <w:top w:val="single" w:sz="2" w:space="0" w:color="auto"/>
              <w:left w:val="single" w:sz="2" w:space="0" w:color="auto"/>
              <w:bottom w:val="single" w:sz="2" w:space="0" w:color="auto"/>
              <w:right w:val="single" w:sz="2" w:space="0" w:color="auto"/>
            </w:tcBorders>
          </w:tcPr>
          <w:p w14:paraId="03096404" w14:textId="77777777" w:rsidR="00C822F3" w:rsidRPr="00E21797" w:rsidRDefault="00C822F3" w:rsidP="00E07988">
            <w:pPr>
              <w:spacing w:before="60" w:after="60"/>
              <w:jc w:val="left"/>
              <w:rPr>
                <w:b/>
              </w:rPr>
            </w:pPr>
          </w:p>
        </w:tc>
        <w:tc>
          <w:tcPr>
            <w:tcW w:w="1425" w:type="dxa"/>
            <w:tcBorders>
              <w:top w:val="single" w:sz="2" w:space="0" w:color="auto"/>
              <w:left w:val="single" w:sz="2" w:space="0" w:color="auto"/>
              <w:bottom w:val="single" w:sz="2" w:space="0" w:color="auto"/>
              <w:right w:val="single" w:sz="2" w:space="0" w:color="auto"/>
            </w:tcBorders>
          </w:tcPr>
          <w:p w14:paraId="1A4EAC2C" w14:textId="77777777" w:rsidR="00C822F3" w:rsidRPr="00E21797" w:rsidRDefault="00C822F3" w:rsidP="00E07988">
            <w:pPr>
              <w:spacing w:before="60" w:after="60"/>
              <w:jc w:val="left"/>
            </w:pPr>
            <w:r w:rsidRPr="00E21797">
              <w:t>20.2</w:t>
            </w:r>
          </w:p>
        </w:tc>
        <w:tc>
          <w:tcPr>
            <w:tcW w:w="5355" w:type="dxa"/>
            <w:tcBorders>
              <w:top w:val="single" w:sz="2" w:space="0" w:color="auto"/>
              <w:left w:val="single" w:sz="2" w:space="0" w:color="auto"/>
              <w:bottom w:val="single" w:sz="2" w:space="0" w:color="auto"/>
              <w:right w:val="single" w:sz="2" w:space="0" w:color="auto"/>
            </w:tcBorders>
          </w:tcPr>
          <w:p w14:paraId="572FC8BC" w14:textId="73C3A1D5" w:rsidR="00C822F3" w:rsidRPr="00E21797" w:rsidRDefault="00C822F3" w:rsidP="00A705DA">
            <w:pPr>
              <w:spacing w:before="60" w:after="60"/>
              <w:ind w:left="0" w:firstLine="0"/>
            </w:pPr>
            <w:r w:rsidRPr="00E21797">
              <w:t xml:space="preserve">La prime journalière pour avance dans l’exécution des travaux est </w:t>
            </w:r>
            <w:r w:rsidRPr="00A705DA">
              <w:rPr>
                <w:szCs w:val="24"/>
              </w:rPr>
              <w:t>fixée à</w:t>
            </w:r>
            <w:r w:rsidR="00A705DA" w:rsidRPr="00A705DA">
              <w:rPr>
                <w:szCs w:val="24"/>
              </w:rPr>
              <w:t> </w:t>
            </w:r>
            <w:r w:rsidR="00A705DA" w:rsidRPr="00A705DA">
              <w:rPr>
                <w:i/>
                <w:szCs w:val="24"/>
              </w:rPr>
              <w:t>: Sans objet</w:t>
            </w:r>
          </w:p>
        </w:tc>
      </w:tr>
      <w:tr w:rsidR="00C822F3" w:rsidRPr="00E21797" w14:paraId="74F2FCEF" w14:textId="77777777" w:rsidTr="00E07988">
        <w:tc>
          <w:tcPr>
            <w:tcW w:w="2670" w:type="dxa"/>
            <w:tcBorders>
              <w:top w:val="single" w:sz="2" w:space="0" w:color="auto"/>
              <w:left w:val="single" w:sz="2" w:space="0" w:color="auto"/>
              <w:bottom w:val="single" w:sz="2" w:space="0" w:color="auto"/>
              <w:right w:val="single" w:sz="2" w:space="0" w:color="auto"/>
            </w:tcBorders>
          </w:tcPr>
          <w:p w14:paraId="05C3C6F7" w14:textId="77777777" w:rsidR="00C822F3" w:rsidRPr="00E21797" w:rsidRDefault="00C822F3" w:rsidP="00E07988">
            <w:pPr>
              <w:spacing w:before="60" w:after="60"/>
              <w:jc w:val="left"/>
              <w:rPr>
                <w:b/>
              </w:rPr>
            </w:pPr>
            <w:r w:rsidRPr="00E21797">
              <w:rPr>
                <w:b/>
              </w:rPr>
              <w:t>Prise en charge, manutention et conservation par l’Entrepreneur des matériaux et produits fournis par le Maître de l’Ouvrage dans le cadre du Marché</w:t>
            </w:r>
          </w:p>
        </w:tc>
        <w:tc>
          <w:tcPr>
            <w:tcW w:w="1425" w:type="dxa"/>
            <w:tcBorders>
              <w:top w:val="single" w:sz="2" w:space="0" w:color="auto"/>
              <w:left w:val="single" w:sz="2" w:space="0" w:color="auto"/>
              <w:bottom w:val="single" w:sz="2" w:space="0" w:color="auto"/>
              <w:right w:val="single" w:sz="2" w:space="0" w:color="auto"/>
            </w:tcBorders>
          </w:tcPr>
          <w:p w14:paraId="42B4A0C9" w14:textId="77777777" w:rsidR="00C822F3" w:rsidRPr="00E21797" w:rsidRDefault="00C822F3" w:rsidP="00E07988">
            <w:pPr>
              <w:spacing w:before="60" w:after="60"/>
              <w:jc w:val="left"/>
            </w:pPr>
            <w:r w:rsidRPr="00E21797">
              <w:t>26.4</w:t>
            </w:r>
          </w:p>
        </w:tc>
        <w:tc>
          <w:tcPr>
            <w:tcW w:w="5355" w:type="dxa"/>
            <w:tcBorders>
              <w:top w:val="single" w:sz="2" w:space="0" w:color="auto"/>
              <w:left w:val="single" w:sz="2" w:space="0" w:color="auto"/>
              <w:bottom w:val="single" w:sz="2" w:space="0" w:color="auto"/>
              <w:right w:val="single" w:sz="2" w:space="0" w:color="auto"/>
            </w:tcBorders>
          </w:tcPr>
          <w:p w14:paraId="26891B8F" w14:textId="07951385" w:rsidR="00C822F3" w:rsidRPr="00E21797" w:rsidRDefault="00315718" w:rsidP="00E07988">
            <w:pPr>
              <w:spacing w:before="60" w:after="60"/>
            </w:pPr>
            <w:r w:rsidRPr="009A652D">
              <w:rPr>
                <w:rFonts w:ascii="Arial" w:hAnsi="Arial" w:cs="Arial"/>
                <w:sz w:val="20"/>
              </w:rPr>
              <w:t>Sans objet</w:t>
            </w:r>
          </w:p>
        </w:tc>
      </w:tr>
      <w:tr w:rsidR="00C822F3" w:rsidRPr="00E21797" w14:paraId="16B95B34" w14:textId="77777777" w:rsidTr="00E07988">
        <w:tc>
          <w:tcPr>
            <w:tcW w:w="2670" w:type="dxa"/>
            <w:tcBorders>
              <w:top w:val="single" w:sz="2" w:space="0" w:color="auto"/>
              <w:left w:val="single" w:sz="2" w:space="0" w:color="auto"/>
              <w:bottom w:val="single" w:sz="2" w:space="0" w:color="auto"/>
              <w:right w:val="single" w:sz="2" w:space="0" w:color="auto"/>
            </w:tcBorders>
          </w:tcPr>
          <w:p w14:paraId="28DE61AC" w14:textId="77777777" w:rsidR="00C822F3" w:rsidRPr="00E21797" w:rsidRDefault="00C822F3" w:rsidP="00E07988">
            <w:pPr>
              <w:spacing w:before="60" w:after="60"/>
              <w:jc w:val="left"/>
              <w:rPr>
                <w:b/>
              </w:rPr>
            </w:pPr>
          </w:p>
        </w:tc>
        <w:tc>
          <w:tcPr>
            <w:tcW w:w="1425" w:type="dxa"/>
            <w:tcBorders>
              <w:top w:val="single" w:sz="2" w:space="0" w:color="auto"/>
              <w:left w:val="single" w:sz="2" w:space="0" w:color="auto"/>
              <w:bottom w:val="single" w:sz="2" w:space="0" w:color="auto"/>
              <w:right w:val="single" w:sz="2" w:space="0" w:color="auto"/>
            </w:tcBorders>
          </w:tcPr>
          <w:p w14:paraId="7655DF45" w14:textId="77777777" w:rsidR="00C822F3" w:rsidRPr="00E21797" w:rsidRDefault="00C822F3" w:rsidP="00E07988">
            <w:pPr>
              <w:spacing w:before="60" w:after="60"/>
              <w:jc w:val="left"/>
            </w:pPr>
            <w:r w:rsidRPr="00E21797">
              <w:t>26.5</w:t>
            </w:r>
          </w:p>
        </w:tc>
        <w:tc>
          <w:tcPr>
            <w:tcW w:w="5355" w:type="dxa"/>
            <w:tcBorders>
              <w:top w:val="single" w:sz="2" w:space="0" w:color="auto"/>
              <w:left w:val="single" w:sz="2" w:space="0" w:color="auto"/>
              <w:bottom w:val="single" w:sz="2" w:space="0" w:color="auto"/>
              <w:right w:val="single" w:sz="2" w:space="0" w:color="auto"/>
            </w:tcBorders>
          </w:tcPr>
          <w:p w14:paraId="57634776" w14:textId="748C1711" w:rsidR="00C822F3" w:rsidRPr="00E21797" w:rsidRDefault="00315718" w:rsidP="00E07988">
            <w:pPr>
              <w:spacing w:before="60" w:after="60"/>
            </w:pPr>
            <w:r w:rsidRPr="009A652D">
              <w:rPr>
                <w:rFonts w:ascii="Arial" w:hAnsi="Arial" w:cs="Arial"/>
                <w:sz w:val="20"/>
              </w:rPr>
              <w:t>Sans objet</w:t>
            </w:r>
          </w:p>
        </w:tc>
      </w:tr>
      <w:tr w:rsidR="00C822F3" w:rsidRPr="00E21797" w14:paraId="1E43995F" w14:textId="77777777" w:rsidTr="00E07988">
        <w:tc>
          <w:tcPr>
            <w:tcW w:w="2670" w:type="dxa"/>
            <w:tcBorders>
              <w:top w:val="single" w:sz="2" w:space="0" w:color="auto"/>
              <w:left w:val="single" w:sz="2" w:space="0" w:color="auto"/>
              <w:bottom w:val="single" w:sz="2" w:space="0" w:color="auto"/>
              <w:right w:val="single" w:sz="2" w:space="0" w:color="auto"/>
            </w:tcBorders>
          </w:tcPr>
          <w:p w14:paraId="5FEC8B7E" w14:textId="77777777" w:rsidR="00C822F3" w:rsidRPr="00E21797" w:rsidRDefault="00C822F3" w:rsidP="00E07988">
            <w:pPr>
              <w:spacing w:before="60" w:after="60"/>
              <w:jc w:val="left"/>
              <w:rPr>
                <w:b/>
              </w:rPr>
            </w:pPr>
            <w:r w:rsidRPr="00E21797">
              <w:rPr>
                <w:b/>
              </w:rPr>
              <w:t>Préparation des travaux</w:t>
            </w:r>
          </w:p>
        </w:tc>
        <w:tc>
          <w:tcPr>
            <w:tcW w:w="1425" w:type="dxa"/>
            <w:tcBorders>
              <w:top w:val="single" w:sz="2" w:space="0" w:color="auto"/>
              <w:left w:val="single" w:sz="2" w:space="0" w:color="auto"/>
              <w:bottom w:val="single" w:sz="2" w:space="0" w:color="auto"/>
              <w:right w:val="single" w:sz="2" w:space="0" w:color="auto"/>
            </w:tcBorders>
          </w:tcPr>
          <w:p w14:paraId="10B0440E" w14:textId="77777777" w:rsidR="00C822F3" w:rsidRPr="00E21797" w:rsidRDefault="00C822F3" w:rsidP="00E07988">
            <w:pPr>
              <w:spacing w:before="60" w:after="60"/>
              <w:jc w:val="left"/>
            </w:pPr>
            <w:r w:rsidRPr="00E21797">
              <w:t>28.1</w:t>
            </w:r>
          </w:p>
        </w:tc>
        <w:tc>
          <w:tcPr>
            <w:tcW w:w="5355" w:type="dxa"/>
            <w:tcBorders>
              <w:top w:val="single" w:sz="2" w:space="0" w:color="auto"/>
              <w:left w:val="single" w:sz="2" w:space="0" w:color="auto"/>
              <w:bottom w:val="single" w:sz="2" w:space="0" w:color="auto"/>
              <w:right w:val="single" w:sz="2" w:space="0" w:color="auto"/>
            </w:tcBorders>
          </w:tcPr>
          <w:p w14:paraId="552F9A69" w14:textId="0987E28C" w:rsidR="00C822F3" w:rsidRPr="00E21797" w:rsidRDefault="00C822F3" w:rsidP="00E07988">
            <w:pPr>
              <w:spacing w:before="60" w:after="60"/>
            </w:pPr>
            <w:r w:rsidRPr="00E21797">
              <w:t>Durée de la période de mobilisation :</w:t>
            </w:r>
            <w:r w:rsidR="005F2189">
              <w:t xml:space="preserve"> </w:t>
            </w:r>
            <w:r w:rsidR="005F2189" w:rsidRPr="005F2189">
              <w:rPr>
                <w:i/>
              </w:rPr>
              <w:t>15 jours</w:t>
            </w:r>
          </w:p>
        </w:tc>
      </w:tr>
      <w:tr w:rsidR="00C822F3" w:rsidRPr="00E21797" w14:paraId="206FE50B" w14:textId="77777777" w:rsidTr="00E07988">
        <w:tc>
          <w:tcPr>
            <w:tcW w:w="2670" w:type="dxa"/>
            <w:tcBorders>
              <w:top w:val="single" w:sz="2" w:space="0" w:color="auto"/>
              <w:left w:val="single" w:sz="2" w:space="0" w:color="auto"/>
              <w:bottom w:val="single" w:sz="2" w:space="0" w:color="auto"/>
              <w:right w:val="single" w:sz="2" w:space="0" w:color="auto"/>
            </w:tcBorders>
          </w:tcPr>
          <w:p w14:paraId="225F8238" w14:textId="77777777" w:rsidR="00C822F3" w:rsidRPr="00E21797" w:rsidRDefault="00C822F3" w:rsidP="00E07988">
            <w:pPr>
              <w:spacing w:before="60" w:after="60"/>
              <w:jc w:val="left"/>
              <w:rPr>
                <w:b/>
              </w:rPr>
            </w:pPr>
          </w:p>
        </w:tc>
        <w:tc>
          <w:tcPr>
            <w:tcW w:w="1425" w:type="dxa"/>
            <w:tcBorders>
              <w:top w:val="single" w:sz="2" w:space="0" w:color="auto"/>
              <w:left w:val="single" w:sz="2" w:space="0" w:color="auto"/>
              <w:bottom w:val="single" w:sz="2" w:space="0" w:color="auto"/>
              <w:right w:val="single" w:sz="2" w:space="0" w:color="auto"/>
            </w:tcBorders>
          </w:tcPr>
          <w:p w14:paraId="4513545E" w14:textId="77777777" w:rsidR="00C822F3" w:rsidRPr="00E21797" w:rsidRDefault="00C822F3" w:rsidP="00E07988">
            <w:pPr>
              <w:spacing w:before="60" w:after="60"/>
              <w:jc w:val="left"/>
            </w:pPr>
            <w:r w:rsidRPr="00E21797">
              <w:t>28.2</w:t>
            </w:r>
          </w:p>
        </w:tc>
        <w:tc>
          <w:tcPr>
            <w:tcW w:w="5355" w:type="dxa"/>
            <w:tcBorders>
              <w:top w:val="single" w:sz="2" w:space="0" w:color="auto"/>
              <w:left w:val="single" w:sz="2" w:space="0" w:color="auto"/>
              <w:bottom w:val="single" w:sz="2" w:space="0" w:color="auto"/>
              <w:right w:val="single" w:sz="2" w:space="0" w:color="auto"/>
            </w:tcBorders>
          </w:tcPr>
          <w:p w14:paraId="11987291" w14:textId="1803C5EE" w:rsidR="00C822F3" w:rsidRPr="00E21797" w:rsidRDefault="00C822F3" w:rsidP="005F2189">
            <w:pPr>
              <w:spacing w:before="60" w:after="60"/>
              <w:ind w:left="63" w:hanging="63"/>
            </w:pPr>
            <w:r w:rsidRPr="00E21797">
              <w:t>Délai de soumission du programme d’exécution :</w:t>
            </w:r>
            <w:r w:rsidR="005F2189" w:rsidRPr="005F2189">
              <w:rPr>
                <w:i/>
              </w:rPr>
              <w:t xml:space="preserve"> 15 jours</w:t>
            </w:r>
          </w:p>
        </w:tc>
      </w:tr>
      <w:tr w:rsidR="00C822F3" w:rsidRPr="00E21797" w14:paraId="6C23F2C7" w14:textId="77777777" w:rsidTr="00E07988">
        <w:tc>
          <w:tcPr>
            <w:tcW w:w="2670" w:type="dxa"/>
            <w:tcBorders>
              <w:top w:val="single" w:sz="2" w:space="0" w:color="auto"/>
              <w:left w:val="single" w:sz="2" w:space="0" w:color="auto"/>
              <w:bottom w:val="single" w:sz="2" w:space="0" w:color="auto"/>
              <w:right w:val="single" w:sz="2" w:space="0" w:color="auto"/>
            </w:tcBorders>
          </w:tcPr>
          <w:p w14:paraId="7FB28B98" w14:textId="77777777" w:rsidR="00C822F3" w:rsidRPr="00E21797" w:rsidRDefault="00C822F3" w:rsidP="00E07988">
            <w:pPr>
              <w:spacing w:before="60" w:after="60"/>
              <w:jc w:val="left"/>
              <w:rPr>
                <w:b/>
              </w:rPr>
            </w:pPr>
          </w:p>
        </w:tc>
        <w:tc>
          <w:tcPr>
            <w:tcW w:w="1425" w:type="dxa"/>
            <w:tcBorders>
              <w:top w:val="single" w:sz="2" w:space="0" w:color="auto"/>
              <w:left w:val="single" w:sz="2" w:space="0" w:color="auto"/>
              <w:bottom w:val="single" w:sz="2" w:space="0" w:color="auto"/>
              <w:right w:val="single" w:sz="2" w:space="0" w:color="auto"/>
            </w:tcBorders>
          </w:tcPr>
          <w:p w14:paraId="7FA233AF" w14:textId="77777777" w:rsidR="00C822F3" w:rsidRPr="00E21797" w:rsidRDefault="00C822F3" w:rsidP="00E07988">
            <w:pPr>
              <w:spacing w:before="60" w:after="60"/>
              <w:jc w:val="left"/>
            </w:pPr>
            <w:r w:rsidRPr="00E21797">
              <w:t>28.3</w:t>
            </w:r>
          </w:p>
        </w:tc>
        <w:tc>
          <w:tcPr>
            <w:tcW w:w="5355" w:type="dxa"/>
            <w:tcBorders>
              <w:top w:val="single" w:sz="2" w:space="0" w:color="auto"/>
              <w:left w:val="single" w:sz="2" w:space="0" w:color="auto"/>
              <w:bottom w:val="single" w:sz="2" w:space="0" w:color="auto"/>
              <w:right w:val="single" w:sz="2" w:space="0" w:color="auto"/>
            </w:tcBorders>
          </w:tcPr>
          <w:p w14:paraId="500F0AF3" w14:textId="246C7980" w:rsidR="00C822F3" w:rsidRPr="00315718" w:rsidRDefault="005F2189" w:rsidP="005F2189">
            <w:pPr>
              <w:spacing w:before="60" w:after="60"/>
              <w:ind w:left="0" w:firstLine="0"/>
              <w:rPr>
                <w:szCs w:val="24"/>
              </w:rPr>
            </w:pPr>
            <w:r w:rsidRPr="00315718">
              <w:rPr>
                <w:szCs w:val="24"/>
              </w:rPr>
              <w:t>Plan de sécurité et d’hygiène : Paragraphe 31.4 du CCAG et Section VII. Spécifications techniques et Plans-Enjeux et contraintes environnementaux</w:t>
            </w:r>
          </w:p>
        </w:tc>
      </w:tr>
      <w:tr w:rsidR="00C822F3" w:rsidRPr="00E21797" w14:paraId="4C6DD671" w14:textId="77777777" w:rsidTr="00E07988">
        <w:tc>
          <w:tcPr>
            <w:tcW w:w="2670" w:type="dxa"/>
            <w:tcBorders>
              <w:top w:val="single" w:sz="2" w:space="0" w:color="auto"/>
              <w:left w:val="single" w:sz="2" w:space="0" w:color="auto"/>
              <w:bottom w:val="single" w:sz="2" w:space="0" w:color="auto"/>
              <w:right w:val="single" w:sz="2" w:space="0" w:color="auto"/>
            </w:tcBorders>
          </w:tcPr>
          <w:p w14:paraId="3A25A8B7" w14:textId="77777777" w:rsidR="00C822F3" w:rsidRPr="00E21797" w:rsidRDefault="00C822F3" w:rsidP="00E07988">
            <w:pPr>
              <w:spacing w:before="60" w:after="60"/>
              <w:jc w:val="left"/>
              <w:rPr>
                <w:b/>
              </w:rPr>
            </w:pPr>
            <w:r w:rsidRPr="00E21797">
              <w:rPr>
                <w:b/>
              </w:rPr>
              <w:t>Maintien des communications et de l’écoulement des eaux</w:t>
            </w:r>
          </w:p>
        </w:tc>
        <w:tc>
          <w:tcPr>
            <w:tcW w:w="1425" w:type="dxa"/>
            <w:tcBorders>
              <w:top w:val="single" w:sz="2" w:space="0" w:color="auto"/>
              <w:left w:val="single" w:sz="2" w:space="0" w:color="auto"/>
              <w:bottom w:val="single" w:sz="2" w:space="0" w:color="auto"/>
              <w:right w:val="single" w:sz="2" w:space="0" w:color="auto"/>
            </w:tcBorders>
          </w:tcPr>
          <w:p w14:paraId="51C64806" w14:textId="77777777" w:rsidR="00C822F3" w:rsidRPr="00E21797" w:rsidRDefault="00C822F3" w:rsidP="00E07988">
            <w:pPr>
              <w:spacing w:before="60" w:after="60"/>
              <w:jc w:val="left"/>
            </w:pPr>
            <w:r w:rsidRPr="00E21797">
              <w:t>31.6.1</w:t>
            </w:r>
          </w:p>
        </w:tc>
        <w:tc>
          <w:tcPr>
            <w:tcW w:w="5355" w:type="dxa"/>
            <w:tcBorders>
              <w:top w:val="single" w:sz="2" w:space="0" w:color="auto"/>
              <w:left w:val="single" w:sz="2" w:space="0" w:color="auto"/>
              <w:bottom w:val="single" w:sz="2" w:space="0" w:color="auto"/>
              <w:right w:val="single" w:sz="2" w:space="0" w:color="auto"/>
            </w:tcBorders>
          </w:tcPr>
          <w:p w14:paraId="3EC5FC53" w14:textId="148085A3" w:rsidR="00C822F3" w:rsidRPr="00315718" w:rsidRDefault="005F2189" w:rsidP="005F2189">
            <w:pPr>
              <w:spacing w:before="60" w:after="60"/>
              <w:ind w:left="63" w:hanging="63"/>
              <w:rPr>
                <w:szCs w:val="24"/>
              </w:rPr>
            </w:pPr>
            <w:r w:rsidRPr="00315718">
              <w:rPr>
                <w:szCs w:val="24"/>
              </w:rPr>
              <w:t xml:space="preserve">Toutes les voies de communication et </w:t>
            </w:r>
            <w:proofErr w:type="spellStart"/>
            <w:r w:rsidRPr="00315718">
              <w:rPr>
                <w:szCs w:val="24"/>
              </w:rPr>
              <w:t>da</w:t>
            </w:r>
            <w:proofErr w:type="spellEnd"/>
            <w:r w:rsidRPr="00315718">
              <w:rPr>
                <w:szCs w:val="24"/>
              </w:rPr>
              <w:t xml:space="preserve"> distribution d’eau potable devront être maintenues. Les routes impactées par des travaux de pose de conduites devront au moins maintenir un accès aux riverains.</w:t>
            </w:r>
          </w:p>
        </w:tc>
      </w:tr>
      <w:tr w:rsidR="00C822F3" w:rsidRPr="00E21797" w14:paraId="6B3B2AAA" w14:textId="77777777" w:rsidTr="00E07988">
        <w:tc>
          <w:tcPr>
            <w:tcW w:w="2670" w:type="dxa"/>
            <w:tcBorders>
              <w:top w:val="single" w:sz="2" w:space="0" w:color="auto"/>
              <w:left w:val="single" w:sz="2" w:space="0" w:color="auto"/>
              <w:bottom w:val="single" w:sz="2" w:space="0" w:color="auto"/>
              <w:right w:val="single" w:sz="2" w:space="0" w:color="auto"/>
            </w:tcBorders>
          </w:tcPr>
          <w:p w14:paraId="2CC8822C" w14:textId="77777777" w:rsidR="00C822F3" w:rsidRPr="00E21797" w:rsidRDefault="00C822F3" w:rsidP="00E07988">
            <w:pPr>
              <w:spacing w:before="60" w:after="60"/>
              <w:jc w:val="left"/>
              <w:rPr>
                <w:b/>
              </w:rPr>
            </w:pPr>
            <w:r w:rsidRPr="00E21797">
              <w:rPr>
                <w:b/>
              </w:rPr>
              <w:t>Réception provisoire</w:t>
            </w:r>
          </w:p>
        </w:tc>
        <w:tc>
          <w:tcPr>
            <w:tcW w:w="1425" w:type="dxa"/>
            <w:tcBorders>
              <w:top w:val="single" w:sz="2" w:space="0" w:color="auto"/>
              <w:left w:val="single" w:sz="2" w:space="0" w:color="auto"/>
              <w:bottom w:val="single" w:sz="2" w:space="0" w:color="auto"/>
              <w:right w:val="single" w:sz="2" w:space="0" w:color="auto"/>
            </w:tcBorders>
          </w:tcPr>
          <w:p w14:paraId="233692A6" w14:textId="77777777" w:rsidR="00C822F3" w:rsidRPr="00E21797" w:rsidRDefault="00C822F3" w:rsidP="00E07988">
            <w:pPr>
              <w:spacing w:before="60" w:after="60"/>
              <w:jc w:val="left"/>
            </w:pPr>
            <w:r w:rsidRPr="00E21797">
              <w:t>41.1</w:t>
            </w:r>
          </w:p>
        </w:tc>
        <w:tc>
          <w:tcPr>
            <w:tcW w:w="5355" w:type="dxa"/>
            <w:tcBorders>
              <w:top w:val="single" w:sz="2" w:space="0" w:color="auto"/>
              <w:left w:val="single" w:sz="2" w:space="0" w:color="auto"/>
              <w:bottom w:val="single" w:sz="2" w:space="0" w:color="auto"/>
              <w:right w:val="single" w:sz="2" w:space="0" w:color="auto"/>
            </w:tcBorders>
          </w:tcPr>
          <w:p w14:paraId="38425A73" w14:textId="77777777" w:rsidR="00487408" w:rsidRPr="00315718" w:rsidRDefault="00487408" w:rsidP="00487408">
            <w:pPr>
              <w:spacing w:before="60" w:after="60"/>
              <w:ind w:left="0" w:firstLine="0"/>
              <w:jc w:val="left"/>
              <w:rPr>
                <w:szCs w:val="24"/>
              </w:rPr>
            </w:pPr>
            <w:r w:rsidRPr="00315718">
              <w:rPr>
                <w:szCs w:val="24"/>
              </w:rPr>
              <w:t>Les modalités de réception par tranche de travaux sont les suivantes : Sans Objet</w:t>
            </w:r>
          </w:p>
          <w:p w14:paraId="6D9E4147" w14:textId="75D11F0C" w:rsidR="00C822F3" w:rsidRPr="00315718" w:rsidRDefault="00487408" w:rsidP="00487408">
            <w:pPr>
              <w:spacing w:before="60" w:after="60"/>
              <w:ind w:left="0" w:firstLine="0"/>
              <w:jc w:val="left"/>
              <w:rPr>
                <w:szCs w:val="24"/>
              </w:rPr>
            </w:pPr>
            <w:r w:rsidRPr="00315718">
              <w:rPr>
                <w:szCs w:val="24"/>
              </w:rPr>
              <w:t>Modification du délai du début des opérations préalables à la réception des ouvrages : Sans Objet</w:t>
            </w:r>
          </w:p>
        </w:tc>
      </w:tr>
      <w:tr w:rsidR="00C822F3" w:rsidRPr="00E21797" w14:paraId="4492FE04" w14:textId="77777777" w:rsidTr="00E07988">
        <w:tc>
          <w:tcPr>
            <w:tcW w:w="2670" w:type="dxa"/>
            <w:tcBorders>
              <w:top w:val="single" w:sz="2" w:space="0" w:color="auto"/>
              <w:left w:val="single" w:sz="2" w:space="0" w:color="auto"/>
              <w:bottom w:val="single" w:sz="2" w:space="0" w:color="auto"/>
              <w:right w:val="single" w:sz="2" w:space="0" w:color="auto"/>
            </w:tcBorders>
          </w:tcPr>
          <w:p w14:paraId="57E0AEEC" w14:textId="77777777" w:rsidR="00C822F3" w:rsidRPr="00E21797" w:rsidRDefault="00C822F3" w:rsidP="00E07988">
            <w:pPr>
              <w:spacing w:before="60" w:after="60"/>
              <w:jc w:val="left"/>
              <w:rPr>
                <w:b/>
              </w:rPr>
            </w:pPr>
          </w:p>
        </w:tc>
        <w:tc>
          <w:tcPr>
            <w:tcW w:w="1425" w:type="dxa"/>
            <w:tcBorders>
              <w:top w:val="single" w:sz="2" w:space="0" w:color="auto"/>
              <w:left w:val="single" w:sz="2" w:space="0" w:color="auto"/>
              <w:bottom w:val="single" w:sz="2" w:space="0" w:color="auto"/>
              <w:right w:val="single" w:sz="2" w:space="0" w:color="auto"/>
            </w:tcBorders>
          </w:tcPr>
          <w:p w14:paraId="61A3749D" w14:textId="77777777" w:rsidR="00C822F3" w:rsidRPr="00E21797" w:rsidRDefault="00C822F3" w:rsidP="00E07988">
            <w:pPr>
              <w:spacing w:before="60" w:after="60"/>
              <w:jc w:val="left"/>
            </w:pPr>
            <w:r w:rsidRPr="00E21797">
              <w:t>41.2 b)</w:t>
            </w:r>
          </w:p>
        </w:tc>
        <w:tc>
          <w:tcPr>
            <w:tcW w:w="5355" w:type="dxa"/>
            <w:tcBorders>
              <w:top w:val="single" w:sz="2" w:space="0" w:color="auto"/>
              <w:left w:val="single" w:sz="2" w:space="0" w:color="auto"/>
              <w:bottom w:val="single" w:sz="2" w:space="0" w:color="auto"/>
              <w:right w:val="single" w:sz="2" w:space="0" w:color="auto"/>
            </w:tcBorders>
          </w:tcPr>
          <w:p w14:paraId="56BDA5EB" w14:textId="751670D9" w:rsidR="00C822F3" w:rsidRPr="00315718" w:rsidRDefault="00487408" w:rsidP="00487408">
            <w:pPr>
              <w:spacing w:before="60" w:after="60"/>
              <w:ind w:left="0" w:firstLine="0"/>
              <w:jc w:val="left"/>
              <w:rPr>
                <w:szCs w:val="24"/>
              </w:rPr>
            </w:pPr>
            <w:r w:rsidRPr="00315718">
              <w:rPr>
                <w:szCs w:val="24"/>
              </w:rPr>
              <w:t>Epreuves comprises dans les opérations préalables à la réception comportent, Sans Objet</w:t>
            </w:r>
          </w:p>
        </w:tc>
      </w:tr>
      <w:tr w:rsidR="00C822F3" w:rsidRPr="00E21797" w14:paraId="2D403225" w14:textId="77777777" w:rsidTr="00E07988">
        <w:tc>
          <w:tcPr>
            <w:tcW w:w="2670" w:type="dxa"/>
            <w:tcBorders>
              <w:top w:val="single" w:sz="2" w:space="0" w:color="auto"/>
              <w:left w:val="single" w:sz="2" w:space="0" w:color="auto"/>
              <w:bottom w:val="single" w:sz="2" w:space="0" w:color="auto"/>
              <w:right w:val="single" w:sz="2" w:space="0" w:color="auto"/>
            </w:tcBorders>
          </w:tcPr>
          <w:p w14:paraId="5627AA88" w14:textId="77777777" w:rsidR="00C822F3" w:rsidRPr="00E21797" w:rsidRDefault="00C822F3" w:rsidP="00E07988">
            <w:pPr>
              <w:spacing w:before="60" w:after="60"/>
              <w:jc w:val="left"/>
              <w:rPr>
                <w:b/>
              </w:rPr>
            </w:pPr>
          </w:p>
        </w:tc>
        <w:tc>
          <w:tcPr>
            <w:tcW w:w="1425" w:type="dxa"/>
            <w:tcBorders>
              <w:top w:val="single" w:sz="2" w:space="0" w:color="auto"/>
              <w:left w:val="single" w:sz="2" w:space="0" w:color="auto"/>
              <w:bottom w:val="single" w:sz="2" w:space="0" w:color="auto"/>
              <w:right w:val="single" w:sz="2" w:space="0" w:color="auto"/>
            </w:tcBorders>
          </w:tcPr>
          <w:p w14:paraId="4AC5FD65" w14:textId="77777777" w:rsidR="00C822F3" w:rsidRPr="00E21797" w:rsidRDefault="00C822F3" w:rsidP="00E07988">
            <w:pPr>
              <w:spacing w:before="60" w:after="60"/>
              <w:jc w:val="left"/>
            </w:pPr>
            <w:r w:rsidRPr="00E21797">
              <w:t>41.2 e)</w:t>
            </w:r>
          </w:p>
        </w:tc>
        <w:tc>
          <w:tcPr>
            <w:tcW w:w="5355" w:type="dxa"/>
            <w:tcBorders>
              <w:top w:val="single" w:sz="2" w:space="0" w:color="auto"/>
              <w:left w:val="single" w:sz="2" w:space="0" w:color="auto"/>
              <w:bottom w:val="single" w:sz="2" w:space="0" w:color="auto"/>
              <w:right w:val="single" w:sz="2" w:space="0" w:color="auto"/>
            </w:tcBorders>
          </w:tcPr>
          <w:p w14:paraId="2896EB4D" w14:textId="77777777" w:rsidR="00C822F3" w:rsidRPr="00E21797" w:rsidRDefault="00C822F3" w:rsidP="00E07988">
            <w:pPr>
              <w:spacing w:before="60" w:after="60"/>
            </w:pPr>
            <w:r w:rsidRPr="00E21797">
              <w:t>Applicable</w:t>
            </w:r>
          </w:p>
          <w:p w14:paraId="117E16DF" w14:textId="588D4DDE" w:rsidR="00C822F3" w:rsidRPr="00E21797" w:rsidRDefault="00C822F3" w:rsidP="00E07988">
            <w:pPr>
              <w:spacing w:before="60" w:after="60"/>
            </w:pPr>
          </w:p>
        </w:tc>
      </w:tr>
      <w:tr w:rsidR="00C822F3" w:rsidRPr="00E21797" w14:paraId="592F4D6F" w14:textId="77777777" w:rsidTr="00E07988">
        <w:tc>
          <w:tcPr>
            <w:tcW w:w="2670" w:type="dxa"/>
            <w:tcBorders>
              <w:top w:val="single" w:sz="2" w:space="0" w:color="auto"/>
              <w:left w:val="single" w:sz="2" w:space="0" w:color="auto"/>
              <w:bottom w:val="single" w:sz="2" w:space="0" w:color="auto"/>
              <w:right w:val="single" w:sz="2" w:space="0" w:color="auto"/>
            </w:tcBorders>
          </w:tcPr>
          <w:p w14:paraId="12D073B6" w14:textId="77777777" w:rsidR="00C822F3" w:rsidRPr="00E21797" w:rsidRDefault="00C822F3" w:rsidP="00E07988">
            <w:pPr>
              <w:spacing w:before="60" w:after="60"/>
              <w:jc w:val="left"/>
              <w:rPr>
                <w:b/>
              </w:rPr>
            </w:pPr>
            <w:r w:rsidRPr="00E21797">
              <w:rPr>
                <w:b/>
              </w:rPr>
              <w:t>Délai de garantie</w:t>
            </w:r>
          </w:p>
        </w:tc>
        <w:tc>
          <w:tcPr>
            <w:tcW w:w="1425" w:type="dxa"/>
            <w:tcBorders>
              <w:top w:val="single" w:sz="2" w:space="0" w:color="auto"/>
              <w:left w:val="single" w:sz="2" w:space="0" w:color="auto"/>
              <w:bottom w:val="single" w:sz="2" w:space="0" w:color="auto"/>
              <w:right w:val="single" w:sz="2" w:space="0" w:color="auto"/>
            </w:tcBorders>
          </w:tcPr>
          <w:p w14:paraId="61F3BE6B" w14:textId="77777777" w:rsidR="00C822F3" w:rsidRPr="00E21797" w:rsidRDefault="00C822F3" w:rsidP="00E07988">
            <w:pPr>
              <w:spacing w:before="60" w:after="60"/>
              <w:jc w:val="left"/>
            </w:pPr>
            <w:r w:rsidRPr="00E21797">
              <w:t>42.1</w:t>
            </w:r>
          </w:p>
        </w:tc>
        <w:tc>
          <w:tcPr>
            <w:tcW w:w="5355" w:type="dxa"/>
            <w:tcBorders>
              <w:top w:val="single" w:sz="2" w:space="0" w:color="auto"/>
              <w:left w:val="single" w:sz="2" w:space="0" w:color="auto"/>
              <w:bottom w:val="single" w:sz="2" w:space="0" w:color="auto"/>
              <w:right w:val="single" w:sz="2" w:space="0" w:color="auto"/>
            </w:tcBorders>
          </w:tcPr>
          <w:p w14:paraId="09994D18" w14:textId="0B8F9A94" w:rsidR="00C822F3" w:rsidRPr="00315718" w:rsidRDefault="00716672" w:rsidP="00716672">
            <w:pPr>
              <w:spacing w:before="60" w:after="60"/>
              <w:ind w:left="0" w:firstLine="0"/>
              <w:jc w:val="left"/>
              <w:rPr>
                <w:i/>
                <w:szCs w:val="24"/>
              </w:rPr>
            </w:pPr>
            <w:r w:rsidRPr="00315718">
              <w:rPr>
                <w:szCs w:val="24"/>
              </w:rPr>
              <w:t>Le délai de garantie est conforme aux dispositions de l’Article 42.1 du CCAG.</w:t>
            </w:r>
          </w:p>
        </w:tc>
      </w:tr>
      <w:tr w:rsidR="00C822F3" w:rsidRPr="00E21797" w14:paraId="3D1F751C" w14:textId="77777777" w:rsidTr="00E07988">
        <w:tc>
          <w:tcPr>
            <w:tcW w:w="2670" w:type="dxa"/>
            <w:tcBorders>
              <w:top w:val="single" w:sz="2" w:space="0" w:color="auto"/>
              <w:left w:val="single" w:sz="2" w:space="0" w:color="auto"/>
              <w:bottom w:val="single" w:sz="2" w:space="0" w:color="auto"/>
              <w:right w:val="single" w:sz="2" w:space="0" w:color="auto"/>
            </w:tcBorders>
          </w:tcPr>
          <w:p w14:paraId="06BA929D" w14:textId="77777777" w:rsidR="00C822F3" w:rsidRPr="00E21797" w:rsidRDefault="00C822F3" w:rsidP="00E07988">
            <w:pPr>
              <w:spacing w:before="60" w:after="60"/>
              <w:jc w:val="left"/>
              <w:rPr>
                <w:b/>
              </w:rPr>
            </w:pPr>
            <w:r w:rsidRPr="00E21797">
              <w:rPr>
                <w:b/>
              </w:rPr>
              <w:t>Garanties particulières</w:t>
            </w:r>
          </w:p>
        </w:tc>
        <w:tc>
          <w:tcPr>
            <w:tcW w:w="1425" w:type="dxa"/>
            <w:tcBorders>
              <w:top w:val="single" w:sz="2" w:space="0" w:color="auto"/>
              <w:left w:val="single" w:sz="2" w:space="0" w:color="auto"/>
              <w:bottom w:val="single" w:sz="2" w:space="0" w:color="auto"/>
              <w:right w:val="single" w:sz="2" w:space="0" w:color="auto"/>
            </w:tcBorders>
          </w:tcPr>
          <w:p w14:paraId="3E974B1B" w14:textId="77777777" w:rsidR="00C822F3" w:rsidRPr="00E21797" w:rsidRDefault="00C822F3" w:rsidP="00E07988">
            <w:pPr>
              <w:spacing w:before="60" w:after="60"/>
              <w:jc w:val="left"/>
            </w:pPr>
            <w:r w:rsidRPr="00E21797">
              <w:t>44.2</w:t>
            </w:r>
          </w:p>
        </w:tc>
        <w:tc>
          <w:tcPr>
            <w:tcW w:w="5355" w:type="dxa"/>
            <w:tcBorders>
              <w:top w:val="single" w:sz="2" w:space="0" w:color="auto"/>
              <w:left w:val="single" w:sz="2" w:space="0" w:color="auto"/>
              <w:bottom w:val="single" w:sz="2" w:space="0" w:color="auto"/>
              <w:right w:val="single" w:sz="2" w:space="0" w:color="auto"/>
            </w:tcBorders>
          </w:tcPr>
          <w:p w14:paraId="4D291BE1" w14:textId="6F149396" w:rsidR="00C822F3" w:rsidRPr="00315718" w:rsidRDefault="00716672" w:rsidP="00E07988">
            <w:pPr>
              <w:spacing w:before="60" w:after="60"/>
              <w:rPr>
                <w:szCs w:val="24"/>
              </w:rPr>
            </w:pPr>
            <w:r w:rsidRPr="00315718">
              <w:rPr>
                <w:szCs w:val="24"/>
              </w:rPr>
              <w:t xml:space="preserve">Sans objet  </w:t>
            </w:r>
          </w:p>
        </w:tc>
      </w:tr>
      <w:tr w:rsidR="00C822F3" w:rsidRPr="00E21797" w14:paraId="7B771693" w14:textId="77777777" w:rsidTr="00E07988">
        <w:tc>
          <w:tcPr>
            <w:tcW w:w="2670" w:type="dxa"/>
            <w:tcBorders>
              <w:top w:val="single" w:sz="2" w:space="0" w:color="auto"/>
              <w:left w:val="single" w:sz="2" w:space="0" w:color="auto"/>
              <w:bottom w:val="single" w:sz="2" w:space="0" w:color="auto"/>
              <w:right w:val="single" w:sz="2" w:space="0" w:color="auto"/>
            </w:tcBorders>
          </w:tcPr>
          <w:p w14:paraId="7ADC7C00" w14:textId="77777777" w:rsidR="00C822F3" w:rsidRPr="00F328A2" w:rsidRDefault="00C822F3" w:rsidP="00E07988">
            <w:pPr>
              <w:spacing w:before="60" w:after="60"/>
              <w:jc w:val="left"/>
              <w:rPr>
                <w:b/>
              </w:rPr>
            </w:pPr>
            <w:r w:rsidRPr="00F328A2">
              <w:rPr>
                <w:b/>
              </w:rPr>
              <w:t>Règlement des différends</w:t>
            </w:r>
          </w:p>
        </w:tc>
        <w:tc>
          <w:tcPr>
            <w:tcW w:w="1425" w:type="dxa"/>
            <w:tcBorders>
              <w:top w:val="single" w:sz="2" w:space="0" w:color="auto"/>
              <w:left w:val="single" w:sz="2" w:space="0" w:color="auto"/>
              <w:bottom w:val="single" w:sz="2" w:space="0" w:color="auto"/>
              <w:right w:val="single" w:sz="2" w:space="0" w:color="auto"/>
            </w:tcBorders>
          </w:tcPr>
          <w:p w14:paraId="778DFB1E" w14:textId="77777777" w:rsidR="00C822F3" w:rsidRPr="00F328A2" w:rsidRDefault="00C822F3" w:rsidP="00E07988">
            <w:pPr>
              <w:spacing w:before="60" w:after="60"/>
              <w:jc w:val="left"/>
            </w:pPr>
            <w:r w:rsidRPr="00F328A2">
              <w:t>50.2</w:t>
            </w:r>
          </w:p>
        </w:tc>
        <w:tc>
          <w:tcPr>
            <w:tcW w:w="5355" w:type="dxa"/>
            <w:tcBorders>
              <w:top w:val="single" w:sz="2" w:space="0" w:color="auto"/>
              <w:left w:val="single" w:sz="2" w:space="0" w:color="auto"/>
              <w:bottom w:val="single" w:sz="2" w:space="0" w:color="auto"/>
              <w:right w:val="single" w:sz="2" w:space="0" w:color="auto"/>
            </w:tcBorders>
          </w:tcPr>
          <w:p w14:paraId="1CE79620" w14:textId="677C158E" w:rsidR="00C822F3" w:rsidRPr="00315718" w:rsidRDefault="00716672" w:rsidP="00E07988">
            <w:pPr>
              <w:spacing w:before="60" w:after="60"/>
              <w:rPr>
                <w:szCs w:val="24"/>
              </w:rPr>
            </w:pPr>
            <w:r w:rsidRPr="00315718">
              <w:rPr>
                <w:szCs w:val="24"/>
              </w:rPr>
              <w:t>Applicable</w:t>
            </w:r>
          </w:p>
        </w:tc>
      </w:tr>
      <w:tr w:rsidR="00C822F3" w:rsidRPr="00E21797" w14:paraId="5C7E9A7C" w14:textId="77777777" w:rsidTr="00E07988">
        <w:tc>
          <w:tcPr>
            <w:tcW w:w="2670" w:type="dxa"/>
            <w:tcBorders>
              <w:top w:val="single" w:sz="2" w:space="0" w:color="auto"/>
              <w:left w:val="single" w:sz="2" w:space="0" w:color="auto"/>
              <w:bottom w:val="single" w:sz="2" w:space="0" w:color="auto"/>
              <w:right w:val="single" w:sz="2" w:space="0" w:color="auto"/>
            </w:tcBorders>
          </w:tcPr>
          <w:p w14:paraId="22A9F426" w14:textId="77777777" w:rsidR="00C822F3" w:rsidRPr="00F328A2" w:rsidRDefault="00C822F3" w:rsidP="00E07988">
            <w:pPr>
              <w:spacing w:before="60" w:after="60"/>
              <w:jc w:val="left"/>
              <w:rPr>
                <w:b/>
              </w:rPr>
            </w:pPr>
          </w:p>
        </w:tc>
        <w:tc>
          <w:tcPr>
            <w:tcW w:w="1425" w:type="dxa"/>
            <w:tcBorders>
              <w:top w:val="single" w:sz="2" w:space="0" w:color="auto"/>
              <w:left w:val="single" w:sz="2" w:space="0" w:color="auto"/>
              <w:bottom w:val="single" w:sz="2" w:space="0" w:color="auto"/>
              <w:right w:val="single" w:sz="2" w:space="0" w:color="auto"/>
            </w:tcBorders>
          </w:tcPr>
          <w:p w14:paraId="6D081B43" w14:textId="77777777" w:rsidR="00C822F3" w:rsidRPr="00F328A2" w:rsidRDefault="00C822F3" w:rsidP="00E07988">
            <w:pPr>
              <w:spacing w:before="60" w:after="60"/>
              <w:jc w:val="left"/>
            </w:pPr>
            <w:r w:rsidRPr="00F328A2">
              <w:t>50.2.2</w:t>
            </w:r>
          </w:p>
        </w:tc>
        <w:tc>
          <w:tcPr>
            <w:tcW w:w="5355" w:type="dxa"/>
            <w:tcBorders>
              <w:top w:val="single" w:sz="2" w:space="0" w:color="auto"/>
              <w:left w:val="single" w:sz="2" w:space="0" w:color="auto"/>
              <w:bottom w:val="single" w:sz="2" w:space="0" w:color="auto"/>
              <w:right w:val="single" w:sz="2" w:space="0" w:color="auto"/>
            </w:tcBorders>
          </w:tcPr>
          <w:p w14:paraId="6B0AC1CA" w14:textId="77777777" w:rsidR="00C822F3" w:rsidRPr="00F328A2" w:rsidRDefault="00C822F3" w:rsidP="00E07988">
            <w:pPr>
              <w:spacing w:before="60" w:after="60"/>
            </w:pPr>
            <w:r w:rsidRPr="00F328A2">
              <w:t>Tarif du Conciliateur :</w:t>
            </w:r>
          </w:p>
          <w:p w14:paraId="16B94451" w14:textId="77777777" w:rsidR="00C822F3" w:rsidRPr="00F328A2" w:rsidRDefault="00C822F3" w:rsidP="00E07988">
            <w:pPr>
              <w:spacing w:before="60" w:after="60"/>
            </w:pPr>
            <w:r w:rsidRPr="00F328A2">
              <w:rPr>
                <w:i/>
                <w:sz w:val="20"/>
              </w:rPr>
              <w:t>[Insérer le tarif indiqué dans l’Acte d’engagement]</w:t>
            </w:r>
          </w:p>
        </w:tc>
      </w:tr>
      <w:tr w:rsidR="00C822F3" w:rsidRPr="00E21797" w14:paraId="3DE2F74A" w14:textId="77777777" w:rsidTr="00E07988">
        <w:tc>
          <w:tcPr>
            <w:tcW w:w="2670" w:type="dxa"/>
            <w:tcBorders>
              <w:top w:val="single" w:sz="2" w:space="0" w:color="auto"/>
              <w:left w:val="single" w:sz="2" w:space="0" w:color="auto"/>
              <w:bottom w:val="single" w:sz="2" w:space="0" w:color="auto"/>
              <w:right w:val="single" w:sz="2" w:space="0" w:color="auto"/>
            </w:tcBorders>
          </w:tcPr>
          <w:p w14:paraId="7FF976B0" w14:textId="77777777" w:rsidR="00C822F3" w:rsidRPr="00F328A2" w:rsidRDefault="00C822F3" w:rsidP="00E07988">
            <w:pPr>
              <w:spacing w:before="60" w:after="60"/>
              <w:jc w:val="left"/>
              <w:rPr>
                <w:b/>
              </w:rPr>
            </w:pPr>
          </w:p>
        </w:tc>
        <w:tc>
          <w:tcPr>
            <w:tcW w:w="1425" w:type="dxa"/>
            <w:tcBorders>
              <w:top w:val="single" w:sz="2" w:space="0" w:color="auto"/>
              <w:left w:val="single" w:sz="2" w:space="0" w:color="auto"/>
              <w:bottom w:val="single" w:sz="2" w:space="0" w:color="auto"/>
              <w:right w:val="single" w:sz="2" w:space="0" w:color="auto"/>
            </w:tcBorders>
          </w:tcPr>
          <w:p w14:paraId="204B3081" w14:textId="77777777" w:rsidR="00C822F3" w:rsidRPr="00F328A2" w:rsidRDefault="00C822F3" w:rsidP="00E07988">
            <w:pPr>
              <w:spacing w:before="60" w:after="60"/>
              <w:jc w:val="left"/>
            </w:pPr>
            <w:r w:rsidRPr="00F328A2">
              <w:t>50.2.3</w:t>
            </w:r>
          </w:p>
        </w:tc>
        <w:tc>
          <w:tcPr>
            <w:tcW w:w="5355" w:type="dxa"/>
            <w:tcBorders>
              <w:top w:val="single" w:sz="2" w:space="0" w:color="auto"/>
              <w:left w:val="single" w:sz="2" w:space="0" w:color="auto"/>
              <w:bottom w:val="single" w:sz="2" w:space="0" w:color="auto"/>
              <w:right w:val="single" w:sz="2" w:space="0" w:color="auto"/>
            </w:tcBorders>
          </w:tcPr>
          <w:p w14:paraId="7F90945C" w14:textId="77777777" w:rsidR="00C822F3" w:rsidRPr="00F328A2" w:rsidRDefault="00C822F3" w:rsidP="00E07988">
            <w:pPr>
              <w:spacing w:before="60" w:after="60"/>
              <w:rPr>
                <w:b/>
              </w:rPr>
            </w:pPr>
            <w:r w:rsidRPr="00F328A2">
              <w:t>Nom de l’autorité chargée de la désignation du Conciliateur :</w:t>
            </w:r>
          </w:p>
          <w:p w14:paraId="689882E8" w14:textId="77777777" w:rsidR="00C822F3" w:rsidRPr="00F328A2" w:rsidRDefault="00C822F3" w:rsidP="00E07988">
            <w:pPr>
              <w:spacing w:before="60" w:after="60"/>
            </w:pPr>
            <w:r w:rsidRPr="00F328A2">
              <w:rPr>
                <w:i/>
                <w:sz w:val="20"/>
              </w:rPr>
              <w:t>[Insérer le nom indiqué dans l’Acte d’engagement]</w:t>
            </w:r>
          </w:p>
        </w:tc>
      </w:tr>
      <w:tr w:rsidR="00C822F3" w:rsidRPr="00E21797" w14:paraId="75E0B155" w14:textId="77777777" w:rsidTr="00E07988">
        <w:tc>
          <w:tcPr>
            <w:tcW w:w="2670" w:type="dxa"/>
            <w:tcBorders>
              <w:top w:val="single" w:sz="2" w:space="0" w:color="auto"/>
              <w:left w:val="single" w:sz="2" w:space="0" w:color="auto"/>
              <w:bottom w:val="single" w:sz="2" w:space="0" w:color="auto"/>
              <w:right w:val="single" w:sz="2" w:space="0" w:color="auto"/>
            </w:tcBorders>
          </w:tcPr>
          <w:p w14:paraId="4735B922" w14:textId="77777777" w:rsidR="00C822F3" w:rsidRPr="00F328A2" w:rsidRDefault="00C822F3" w:rsidP="00E07988">
            <w:pPr>
              <w:spacing w:before="60" w:after="60"/>
              <w:jc w:val="left"/>
              <w:rPr>
                <w:b/>
              </w:rPr>
            </w:pPr>
          </w:p>
        </w:tc>
        <w:tc>
          <w:tcPr>
            <w:tcW w:w="1425" w:type="dxa"/>
            <w:tcBorders>
              <w:top w:val="single" w:sz="2" w:space="0" w:color="auto"/>
              <w:left w:val="single" w:sz="2" w:space="0" w:color="auto"/>
              <w:bottom w:val="single" w:sz="2" w:space="0" w:color="auto"/>
              <w:right w:val="single" w:sz="2" w:space="0" w:color="auto"/>
            </w:tcBorders>
          </w:tcPr>
          <w:p w14:paraId="730C32BA" w14:textId="77777777" w:rsidR="00C822F3" w:rsidRPr="00F328A2" w:rsidRDefault="00C822F3" w:rsidP="00E07988">
            <w:pPr>
              <w:spacing w:before="60" w:after="60"/>
              <w:jc w:val="left"/>
            </w:pPr>
            <w:r w:rsidRPr="00F328A2">
              <w:t>50.3.</w:t>
            </w:r>
            <w:r w:rsidRPr="0005607C">
              <w:t>2</w:t>
            </w:r>
            <w:r>
              <w:t>.(a)</w:t>
            </w:r>
            <w:r w:rsidRPr="0005607C">
              <w:t xml:space="preserve"> </w:t>
            </w:r>
          </w:p>
        </w:tc>
        <w:tc>
          <w:tcPr>
            <w:tcW w:w="5355" w:type="dxa"/>
            <w:tcBorders>
              <w:top w:val="single" w:sz="2" w:space="0" w:color="auto"/>
              <w:left w:val="single" w:sz="2" w:space="0" w:color="auto"/>
              <w:bottom w:val="single" w:sz="2" w:space="0" w:color="auto"/>
              <w:right w:val="single" w:sz="2" w:space="0" w:color="auto"/>
            </w:tcBorders>
          </w:tcPr>
          <w:p w14:paraId="3603008F" w14:textId="77777777" w:rsidR="00C822F3" w:rsidRPr="00E02574" w:rsidRDefault="00C822F3" w:rsidP="00E07988">
            <w:pPr>
              <w:ind w:left="27" w:hanging="90"/>
            </w:pPr>
            <w:r w:rsidRPr="00E02574">
              <w:rPr>
                <w:i/>
              </w:rPr>
              <w:t>[retenir une des options suivantes après avoir pris l’avis du conseiller juridique ou du département juridique chargé de conseiller le Maître de l’Ouvrage]</w:t>
            </w:r>
          </w:p>
          <w:p w14:paraId="2C393283" w14:textId="77777777" w:rsidR="00C822F3" w:rsidRPr="00E02574" w:rsidRDefault="00C822F3" w:rsidP="00E07988">
            <w:pPr>
              <w:spacing w:before="60" w:after="60"/>
              <w:ind w:left="27" w:hanging="90"/>
              <w:rPr>
                <w:b/>
                <w:u w:val="single"/>
              </w:rPr>
            </w:pPr>
          </w:p>
          <w:p w14:paraId="295386C9" w14:textId="77777777" w:rsidR="00C822F3" w:rsidRDefault="00C822F3" w:rsidP="00E07988">
            <w:pPr>
              <w:spacing w:before="60" w:after="60"/>
              <w:ind w:left="27" w:hanging="90"/>
            </w:pPr>
            <w:r w:rsidRPr="00E02574">
              <w:rPr>
                <w:b/>
                <w:u w:val="single"/>
              </w:rPr>
              <w:t>Option A</w:t>
            </w:r>
            <w:r w:rsidRPr="00E02574">
              <w:tab/>
            </w:r>
          </w:p>
          <w:p w14:paraId="04669388" w14:textId="77777777" w:rsidR="00C822F3" w:rsidRPr="00E02574" w:rsidRDefault="00C822F3" w:rsidP="00E07988">
            <w:pPr>
              <w:spacing w:before="60" w:after="60"/>
              <w:ind w:left="27" w:hanging="90"/>
            </w:pPr>
            <w:r w:rsidRPr="00E02574">
              <w:rPr>
                <w:szCs w:val="24"/>
              </w:rPr>
              <w:t>Tout litige, controverse ou réclamation né du présent Marché ou se rapportant au présent Marché ou à une contravention au présent Marché, à sa résolution ou à sa nullité, sera tranché par voie d’arbitrage conformément au Règlement d’arbitrage de la Commission des Nations Unies pour le droit commercial international (CNUDCI) actuellement en vigueur.</w:t>
            </w:r>
          </w:p>
          <w:p w14:paraId="6E3678F5" w14:textId="77777777" w:rsidR="00C822F3" w:rsidRPr="006C0D0E" w:rsidRDefault="00C822F3" w:rsidP="00E07988">
            <w:pPr>
              <w:spacing w:before="60" w:after="60"/>
              <w:ind w:left="27" w:hanging="90"/>
              <w:rPr>
                <w:sz w:val="20"/>
              </w:rPr>
            </w:pPr>
            <w:r w:rsidRPr="00E02574">
              <w:t>a)</w:t>
            </w:r>
            <w:r w:rsidRPr="00E02574">
              <w:tab/>
              <w:t xml:space="preserve">L’autorité de nomination sera : </w:t>
            </w:r>
            <w:r w:rsidRPr="006C0D0E">
              <w:rPr>
                <w:i/>
                <w:sz w:val="20"/>
              </w:rPr>
              <w:t>[nom de la personne ou de l’institution]</w:t>
            </w:r>
          </w:p>
          <w:p w14:paraId="3ACB43D1" w14:textId="77777777" w:rsidR="00C822F3" w:rsidRPr="006C0D0E" w:rsidRDefault="00C822F3" w:rsidP="00E07988">
            <w:pPr>
              <w:spacing w:before="60" w:after="60"/>
              <w:ind w:left="27" w:hanging="90"/>
              <w:rPr>
                <w:sz w:val="20"/>
              </w:rPr>
            </w:pPr>
            <w:r w:rsidRPr="00E02574">
              <w:t>b)</w:t>
            </w:r>
            <w:r w:rsidRPr="00E02574">
              <w:tab/>
              <w:t xml:space="preserve">Le nombre d’arbitres : </w:t>
            </w:r>
            <w:r w:rsidRPr="006C0D0E">
              <w:rPr>
                <w:i/>
                <w:sz w:val="20"/>
              </w:rPr>
              <w:t>[un ou trois]</w:t>
            </w:r>
          </w:p>
          <w:p w14:paraId="22F589A9" w14:textId="77777777" w:rsidR="00C822F3" w:rsidRPr="00E02574" w:rsidRDefault="00C822F3" w:rsidP="00E07988">
            <w:pPr>
              <w:spacing w:before="60" w:after="60"/>
              <w:ind w:left="27" w:hanging="90"/>
              <w:rPr>
                <w:szCs w:val="24"/>
              </w:rPr>
            </w:pPr>
            <w:r w:rsidRPr="00E02574">
              <w:t>c)</w:t>
            </w:r>
            <w:r w:rsidRPr="00E02574">
              <w:tab/>
              <w:t xml:space="preserve">Le lieu de l’arbitrage sera : </w:t>
            </w:r>
            <w:r w:rsidRPr="006C0D0E">
              <w:rPr>
                <w:i/>
                <w:sz w:val="20"/>
              </w:rPr>
              <w:t>[ville ou pays ce dernier devant  être différent de celui  du Maître de l’Ouvrage et de celui du Titulaire du Marché]</w:t>
            </w:r>
          </w:p>
          <w:p w14:paraId="40AEDEFA" w14:textId="77777777" w:rsidR="00C822F3" w:rsidRPr="00E02574" w:rsidRDefault="00C822F3" w:rsidP="00E07988">
            <w:pPr>
              <w:ind w:left="27" w:hanging="90"/>
              <w:jc w:val="left"/>
            </w:pPr>
            <w:r w:rsidRPr="00E02574">
              <w:t>d)</w:t>
            </w:r>
            <w:r w:rsidRPr="00E02574">
              <w:tab/>
              <w:t>La langue à utiliser pour la procédure d’arbitrage sera le Français.</w:t>
            </w:r>
            <w:r w:rsidRPr="00E02574">
              <w:rPr>
                <w:rFonts w:ascii="Times-Italic" w:hAnsi="Times-Italic" w:cs="Times-Italic"/>
                <w:i/>
                <w:iCs/>
                <w:sz w:val="18"/>
                <w:szCs w:val="18"/>
              </w:rPr>
              <w:t xml:space="preserve"> </w:t>
            </w:r>
          </w:p>
          <w:p w14:paraId="0FACFAB5" w14:textId="77777777" w:rsidR="00C822F3" w:rsidRPr="00E02574" w:rsidRDefault="00C822F3" w:rsidP="00E07988">
            <w:pPr>
              <w:ind w:left="27" w:hanging="90"/>
              <w:rPr>
                <w:b/>
                <w:u w:val="single"/>
              </w:rPr>
            </w:pPr>
          </w:p>
          <w:p w14:paraId="7A1ABC14" w14:textId="77777777" w:rsidR="00C822F3" w:rsidRPr="00E02574" w:rsidRDefault="00C822F3" w:rsidP="00E07988">
            <w:pPr>
              <w:ind w:left="27" w:hanging="90"/>
            </w:pPr>
            <w:r w:rsidRPr="00E02574">
              <w:rPr>
                <w:b/>
              </w:rPr>
              <w:t>OU</w:t>
            </w:r>
            <w:r w:rsidRPr="00E02574">
              <w:t xml:space="preserve"> </w:t>
            </w:r>
          </w:p>
          <w:p w14:paraId="6EAE52A9" w14:textId="77777777" w:rsidR="00C822F3" w:rsidRPr="006C0D0E" w:rsidRDefault="00C822F3" w:rsidP="00E07988">
            <w:pPr>
              <w:ind w:left="27" w:hanging="90"/>
              <w:rPr>
                <w:rFonts w:ascii="GJBIC D+ Helvetica" w:hAnsi="GJBIC D+ Helvetica" w:cs="GJBIC D+ Helvetica"/>
                <w:i/>
                <w:color w:val="000000"/>
                <w:sz w:val="20"/>
              </w:rPr>
            </w:pPr>
            <w:r w:rsidRPr="00E02574">
              <w:rPr>
                <w:b/>
                <w:u w:val="single"/>
              </w:rPr>
              <w:t xml:space="preserve">Option </w:t>
            </w:r>
            <w:r>
              <w:rPr>
                <w:b/>
                <w:u w:val="single"/>
              </w:rPr>
              <w:t>B</w:t>
            </w:r>
            <w:r w:rsidRPr="00E02574">
              <w:rPr>
                <w:b/>
              </w:rPr>
              <w:t xml:space="preserve">   </w:t>
            </w:r>
            <w:r w:rsidRPr="006C0D0E">
              <w:rPr>
                <w:i/>
                <w:sz w:val="20"/>
              </w:rPr>
              <w:t>[si aucune des options ci-dessus n’est retenue au CCAP, la disposition suivante s’appliquera:</w:t>
            </w:r>
            <w:r>
              <w:rPr>
                <w:i/>
                <w:sz w:val="20"/>
              </w:rPr>
              <w:t>]</w:t>
            </w:r>
            <w:r w:rsidRPr="006C0D0E">
              <w:rPr>
                <w:i/>
                <w:sz w:val="20"/>
              </w:rPr>
              <w:t xml:space="preserve"> </w:t>
            </w:r>
          </w:p>
          <w:p w14:paraId="30A5FFED" w14:textId="77777777" w:rsidR="00C822F3" w:rsidRPr="00E02574" w:rsidRDefault="00C822F3" w:rsidP="00E07988">
            <w:pPr>
              <w:ind w:left="27" w:hanging="90"/>
            </w:pPr>
            <w:r w:rsidRPr="00E02574">
              <w:t>Tous différends découlant du présent Marché seront tranchés définitivement selon le Règlement de conciliation et d’arbitrage de la Chambre de commerce internationale de par un ou plusieurs arbitres nommés conformément à ce Règlement.</w:t>
            </w:r>
          </w:p>
          <w:p w14:paraId="6B57FB8A" w14:textId="77777777" w:rsidR="00C822F3" w:rsidRPr="00E02574" w:rsidRDefault="00C822F3" w:rsidP="00E07988">
            <w:pPr>
              <w:ind w:left="27" w:hanging="90"/>
              <w:rPr>
                <w:rFonts w:cs="GarmdITC Lt BT"/>
                <w:color w:val="000000"/>
                <w:sz w:val="20"/>
              </w:rPr>
            </w:pPr>
          </w:p>
          <w:p w14:paraId="2959D22C" w14:textId="77777777" w:rsidR="00C822F3" w:rsidRPr="00F328A2" w:rsidRDefault="00C822F3" w:rsidP="00E07988">
            <w:pPr>
              <w:spacing w:before="60" w:after="60"/>
            </w:pPr>
            <w:r w:rsidRPr="00E02574">
              <w:rPr>
                <w:rFonts w:cs="GarmdITC Lt BT"/>
                <w:i/>
                <w:color w:val="000000"/>
                <w:sz w:val="20"/>
              </w:rPr>
              <w:t>[Note de la CCI : Il est rappelé qu’il peut être dans l’intérêt des parties de stipuler également ci-après le droit régissant le marché, le nombre des arbitres, le lieu de l’arbitrage et la langue de la procédure]</w:t>
            </w:r>
            <w:r w:rsidRPr="00E02574">
              <w:rPr>
                <w:rFonts w:cs="GarmdITC Lt BT"/>
                <w:color w:val="000000"/>
                <w:sz w:val="20"/>
              </w:rPr>
              <w:t>.</w:t>
            </w:r>
          </w:p>
        </w:tc>
      </w:tr>
      <w:tr w:rsidR="00C822F3" w:rsidRPr="00E21797" w14:paraId="30D69715" w14:textId="77777777" w:rsidTr="00E07988">
        <w:tc>
          <w:tcPr>
            <w:tcW w:w="2670" w:type="dxa"/>
            <w:tcBorders>
              <w:top w:val="single" w:sz="2" w:space="0" w:color="auto"/>
              <w:left w:val="single" w:sz="2" w:space="0" w:color="auto"/>
              <w:bottom w:val="single" w:sz="2" w:space="0" w:color="auto"/>
              <w:right w:val="single" w:sz="2" w:space="0" w:color="auto"/>
            </w:tcBorders>
          </w:tcPr>
          <w:p w14:paraId="47FFF16E" w14:textId="77777777" w:rsidR="00C822F3" w:rsidRPr="00E21797" w:rsidRDefault="00C822F3" w:rsidP="00E07988">
            <w:pPr>
              <w:spacing w:before="60" w:after="60"/>
              <w:jc w:val="left"/>
              <w:rPr>
                <w:b/>
              </w:rPr>
            </w:pPr>
            <w:r w:rsidRPr="00E21797">
              <w:rPr>
                <w:b/>
              </w:rPr>
              <w:t>Droit applicable</w:t>
            </w:r>
          </w:p>
        </w:tc>
        <w:tc>
          <w:tcPr>
            <w:tcW w:w="1425" w:type="dxa"/>
            <w:tcBorders>
              <w:top w:val="single" w:sz="2" w:space="0" w:color="auto"/>
              <w:left w:val="single" w:sz="2" w:space="0" w:color="auto"/>
              <w:bottom w:val="single" w:sz="2" w:space="0" w:color="auto"/>
              <w:right w:val="single" w:sz="2" w:space="0" w:color="auto"/>
            </w:tcBorders>
          </w:tcPr>
          <w:p w14:paraId="40DDE400" w14:textId="77777777" w:rsidR="00C822F3" w:rsidRPr="00E21797" w:rsidRDefault="00C822F3" w:rsidP="00E07988">
            <w:pPr>
              <w:spacing w:before="60" w:after="60"/>
              <w:jc w:val="left"/>
            </w:pPr>
            <w:r w:rsidRPr="00E21797">
              <w:t>51.1</w:t>
            </w:r>
          </w:p>
        </w:tc>
        <w:tc>
          <w:tcPr>
            <w:tcW w:w="5355" w:type="dxa"/>
            <w:tcBorders>
              <w:top w:val="single" w:sz="2" w:space="0" w:color="auto"/>
              <w:left w:val="single" w:sz="2" w:space="0" w:color="auto"/>
              <w:bottom w:val="single" w:sz="2" w:space="0" w:color="auto"/>
              <w:right w:val="single" w:sz="2" w:space="0" w:color="auto"/>
            </w:tcBorders>
          </w:tcPr>
          <w:p w14:paraId="1B80A214" w14:textId="77777777" w:rsidR="00C822F3" w:rsidRPr="00E21797" w:rsidRDefault="00C822F3" w:rsidP="00E07988">
            <w:pPr>
              <w:spacing w:before="60" w:after="60"/>
              <w:rPr>
                <w:i/>
                <w:sz w:val="20"/>
              </w:rPr>
            </w:pPr>
            <w:r w:rsidRPr="00E21797">
              <w:rPr>
                <w:i/>
                <w:sz w:val="20"/>
              </w:rPr>
              <w:t>[Optionnel : Indiquez le nom du droit applicable s’il est différent de celui du pays du Maître de l’Ouvrage]</w:t>
            </w:r>
          </w:p>
        </w:tc>
      </w:tr>
      <w:tr w:rsidR="00C822F3" w:rsidRPr="00E21797" w14:paraId="2B91C0BD" w14:textId="77777777" w:rsidTr="00E07988">
        <w:tc>
          <w:tcPr>
            <w:tcW w:w="2670" w:type="dxa"/>
            <w:tcBorders>
              <w:top w:val="single" w:sz="2" w:space="0" w:color="auto"/>
              <w:left w:val="single" w:sz="2" w:space="0" w:color="auto"/>
              <w:bottom w:val="single" w:sz="2" w:space="0" w:color="auto"/>
              <w:right w:val="single" w:sz="2" w:space="0" w:color="auto"/>
            </w:tcBorders>
          </w:tcPr>
          <w:p w14:paraId="336ED4D9" w14:textId="77777777" w:rsidR="00C822F3" w:rsidRPr="00E21797" w:rsidRDefault="00C822F3" w:rsidP="00E07988">
            <w:pPr>
              <w:spacing w:before="60" w:after="60"/>
              <w:jc w:val="left"/>
              <w:rPr>
                <w:b/>
              </w:rPr>
            </w:pPr>
            <w:r w:rsidRPr="00E21797">
              <w:rPr>
                <w:b/>
              </w:rPr>
              <w:t>Entrée en vigueur du Marché</w:t>
            </w:r>
          </w:p>
        </w:tc>
        <w:tc>
          <w:tcPr>
            <w:tcW w:w="1425" w:type="dxa"/>
            <w:tcBorders>
              <w:top w:val="single" w:sz="2" w:space="0" w:color="auto"/>
              <w:left w:val="single" w:sz="2" w:space="0" w:color="auto"/>
              <w:bottom w:val="single" w:sz="2" w:space="0" w:color="auto"/>
              <w:right w:val="single" w:sz="2" w:space="0" w:color="auto"/>
            </w:tcBorders>
          </w:tcPr>
          <w:p w14:paraId="3DE868F7" w14:textId="77777777" w:rsidR="00C822F3" w:rsidRPr="00E21797" w:rsidRDefault="00C822F3" w:rsidP="00E07988">
            <w:pPr>
              <w:spacing w:before="60" w:after="60"/>
              <w:jc w:val="left"/>
            </w:pPr>
            <w:r w:rsidRPr="00E21797">
              <w:t>52.1</w:t>
            </w:r>
          </w:p>
        </w:tc>
        <w:tc>
          <w:tcPr>
            <w:tcW w:w="5355" w:type="dxa"/>
            <w:tcBorders>
              <w:top w:val="single" w:sz="2" w:space="0" w:color="auto"/>
              <w:left w:val="single" w:sz="2" w:space="0" w:color="auto"/>
              <w:bottom w:val="single" w:sz="2" w:space="0" w:color="auto"/>
              <w:right w:val="single" w:sz="2" w:space="0" w:color="auto"/>
            </w:tcBorders>
          </w:tcPr>
          <w:p w14:paraId="377228C1" w14:textId="77777777" w:rsidR="00716672" w:rsidRPr="00CF6646" w:rsidRDefault="00716672" w:rsidP="00716672">
            <w:pPr>
              <w:ind w:left="0" w:firstLine="0"/>
              <w:jc w:val="left"/>
              <w:rPr>
                <w:iCs/>
                <w:szCs w:val="24"/>
              </w:rPr>
            </w:pPr>
            <w:r w:rsidRPr="00CF6646">
              <w:rPr>
                <w:iCs/>
                <w:szCs w:val="24"/>
              </w:rPr>
              <w:t>a)  approbation des autorités compétentes du pays du Maître d’Ouvrage,</w:t>
            </w:r>
          </w:p>
          <w:p w14:paraId="31923D05" w14:textId="77777777" w:rsidR="00716672" w:rsidRPr="00CF6646" w:rsidRDefault="00716672" w:rsidP="00716672">
            <w:pPr>
              <w:ind w:left="0" w:firstLine="0"/>
              <w:jc w:val="left"/>
              <w:rPr>
                <w:iCs/>
                <w:szCs w:val="24"/>
              </w:rPr>
            </w:pPr>
            <w:r w:rsidRPr="00CF6646">
              <w:rPr>
                <w:iCs/>
                <w:szCs w:val="24"/>
              </w:rPr>
              <w:t>(b)   mise en place des garanties à produire par l’Entrepreneur,</w:t>
            </w:r>
          </w:p>
          <w:p w14:paraId="180FA74C" w14:textId="362AB961" w:rsidR="00C822F3" w:rsidRPr="00CF6646" w:rsidRDefault="00716672" w:rsidP="00716672">
            <w:pPr>
              <w:ind w:left="0" w:firstLine="0"/>
              <w:jc w:val="left"/>
              <w:rPr>
                <w:i/>
                <w:szCs w:val="24"/>
              </w:rPr>
            </w:pPr>
            <w:r w:rsidRPr="00CF6646">
              <w:rPr>
                <w:iCs/>
                <w:szCs w:val="24"/>
              </w:rPr>
              <w:t>(d) mise à disposition du site par le Maître d’Ouvrage.</w:t>
            </w:r>
          </w:p>
        </w:tc>
      </w:tr>
    </w:tbl>
    <w:p w14:paraId="119BD9FF" w14:textId="77777777" w:rsidR="00C822F3" w:rsidRPr="00E21797" w:rsidRDefault="00C822F3" w:rsidP="00C822F3"/>
    <w:p w14:paraId="2306BC1E" w14:textId="77777777" w:rsidR="00C822F3" w:rsidRDefault="00C822F3" w:rsidP="00C822F3">
      <w:pPr>
        <w:pStyle w:val="Titre1"/>
        <w:jc w:val="left"/>
      </w:pPr>
      <w:r>
        <w:br/>
      </w:r>
    </w:p>
    <w:p w14:paraId="546B9261" w14:textId="77777777" w:rsidR="00C822F3" w:rsidRDefault="00C822F3" w:rsidP="00C822F3">
      <w:pPr>
        <w:rPr>
          <w:sz w:val="36"/>
        </w:rPr>
      </w:pPr>
      <w:r>
        <w:br w:type="page"/>
      </w:r>
    </w:p>
    <w:p w14:paraId="23523DF7" w14:textId="4BA467B8" w:rsidR="00953A23" w:rsidRPr="00A67F27" w:rsidRDefault="00953A23" w:rsidP="000E282C">
      <w:pPr>
        <w:pStyle w:val="Sous-titre"/>
        <w:spacing w:before="120" w:after="240"/>
        <w:ind w:left="0" w:firstLine="0"/>
        <w:rPr>
          <w:sz w:val="36"/>
          <w:lang w:val="fr-FR" w:eastAsia="en-US"/>
        </w:rPr>
      </w:pPr>
      <w:bookmarkStart w:id="857" w:name="_Toc348175663"/>
      <w:bookmarkStart w:id="858" w:name="_Toc156027998"/>
      <w:bookmarkStart w:id="859" w:name="_Toc156372857"/>
      <w:bookmarkStart w:id="860" w:name="_Toc326657871"/>
      <w:bookmarkStart w:id="861" w:name="_Toc483210564"/>
      <w:bookmarkStart w:id="862" w:name="_Toc487641851"/>
      <w:bookmarkStart w:id="863" w:name="_Toc494778794"/>
      <w:bookmarkEnd w:id="855"/>
      <w:bookmarkEnd w:id="857"/>
      <w:r w:rsidRPr="00A67F27">
        <w:rPr>
          <w:sz w:val="36"/>
          <w:lang w:val="fr-FR" w:eastAsia="en-US"/>
        </w:rPr>
        <w:t>Section X. Formulaires du Marché</w:t>
      </w:r>
      <w:bookmarkEnd w:id="858"/>
      <w:bookmarkEnd w:id="859"/>
      <w:bookmarkEnd w:id="860"/>
      <w:bookmarkEnd w:id="861"/>
      <w:bookmarkEnd w:id="862"/>
    </w:p>
    <w:bookmarkEnd w:id="863"/>
    <w:p w14:paraId="0216CF85" w14:textId="1D322968" w:rsidR="00E31E69" w:rsidRPr="00A67F27" w:rsidRDefault="00E31E69" w:rsidP="000E282C">
      <w:pPr>
        <w:pStyle w:val="Liste"/>
        <w:spacing w:before="0"/>
        <w:ind w:left="0" w:firstLine="0"/>
        <w:rPr>
          <w:rFonts w:asciiTheme="majorBidi" w:hAnsiTheme="majorBidi" w:cstheme="majorBidi"/>
          <w:lang w:val="fr-FR"/>
        </w:rPr>
      </w:pPr>
      <w:r w:rsidRPr="00A67F27">
        <w:rPr>
          <w:rFonts w:asciiTheme="majorBidi" w:hAnsiTheme="majorBidi" w:cstheme="majorBidi"/>
          <w:lang w:val="fr-FR"/>
        </w:rPr>
        <w:t>Cette Section contient des formulaires</w:t>
      </w:r>
      <w:r w:rsidRPr="00A67F27">
        <w:rPr>
          <w:rFonts w:asciiTheme="majorBidi" w:hAnsiTheme="majorBidi" w:cstheme="majorBidi"/>
          <w:b/>
          <w:lang w:val="fr-FR"/>
        </w:rPr>
        <w:t xml:space="preserve"> </w:t>
      </w:r>
      <w:r w:rsidRPr="00A67F27">
        <w:rPr>
          <w:rFonts w:asciiTheme="majorBidi" w:hAnsiTheme="majorBidi" w:cstheme="majorBidi"/>
          <w:lang w:val="fr-FR"/>
        </w:rPr>
        <w:t>qui, une fois remplis, seront incorporés au Marché. La garantie de bonne exécution, de garantie de performance environnementale, sociale, hygiène et sécurité (ESHS) lorsqu’elle est exigée, et la garantie de restitution d’avance, le cas échéant, seront fournies par le Soumissionnaire retenu après l’attribution du Marché.</w:t>
      </w:r>
    </w:p>
    <w:p w14:paraId="286B3F31" w14:textId="77777777" w:rsidR="000E282C" w:rsidRPr="00A67F27" w:rsidRDefault="000E282C" w:rsidP="000E282C">
      <w:pPr>
        <w:pStyle w:val="Liste"/>
        <w:spacing w:before="0"/>
        <w:ind w:left="0" w:firstLine="0"/>
        <w:rPr>
          <w:rFonts w:asciiTheme="majorBidi" w:hAnsiTheme="majorBidi" w:cstheme="majorBidi"/>
          <w:lang w:val="fr-FR"/>
        </w:rPr>
      </w:pPr>
    </w:p>
    <w:p w14:paraId="5100E4E6" w14:textId="5164A347" w:rsidR="001B3190" w:rsidRPr="00A67F27" w:rsidRDefault="00E31E69" w:rsidP="000E282C">
      <w:pPr>
        <w:spacing w:after="0"/>
        <w:ind w:left="0" w:firstLine="0"/>
        <w:jc w:val="center"/>
        <w:rPr>
          <w:b/>
          <w:sz w:val="28"/>
          <w:szCs w:val="28"/>
          <w:lang w:eastAsia="en-US"/>
        </w:rPr>
      </w:pPr>
      <w:r w:rsidRPr="00A67F27">
        <w:rPr>
          <w:b/>
          <w:sz w:val="28"/>
          <w:szCs w:val="28"/>
          <w:lang w:eastAsia="en-US"/>
        </w:rPr>
        <w:t>Liste des Formulaires</w:t>
      </w:r>
    </w:p>
    <w:p w14:paraId="1CD8B59C" w14:textId="77777777" w:rsidR="000E282C" w:rsidRPr="00A67F27" w:rsidRDefault="000E282C" w:rsidP="000E282C">
      <w:pPr>
        <w:spacing w:after="0"/>
        <w:ind w:left="0" w:firstLine="0"/>
        <w:jc w:val="center"/>
        <w:rPr>
          <w:b/>
          <w:sz w:val="28"/>
          <w:szCs w:val="28"/>
          <w:lang w:eastAsia="en-US"/>
        </w:rPr>
      </w:pPr>
    </w:p>
    <w:p w14:paraId="1DC8AE0E" w14:textId="154F607A" w:rsidR="00994494" w:rsidRPr="00CC459A" w:rsidRDefault="000E282C">
      <w:pPr>
        <w:pStyle w:val="TM1"/>
        <w:rPr>
          <w:rFonts w:asciiTheme="minorHAnsi" w:eastAsiaTheme="minorEastAsia" w:hAnsiTheme="minorHAnsi" w:cstheme="minorBidi"/>
          <w:b w:val="0"/>
          <w:noProof/>
          <w:sz w:val="22"/>
          <w:szCs w:val="22"/>
          <w:lang w:eastAsia="en-US"/>
        </w:rPr>
      </w:pPr>
      <w:r w:rsidRPr="00A67F27">
        <w:rPr>
          <w:b w:val="0"/>
          <w:lang w:eastAsia="en-US"/>
        </w:rPr>
        <w:fldChar w:fldCharType="begin"/>
      </w:r>
      <w:r w:rsidRPr="00A67F27">
        <w:rPr>
          <w:b w:val="0"/>
          <w:lang w:eastAsia="en-US"/>
        </w:rPr>
        <w:instrText xml:space="preserve"> TOC \h \z \t "S9 Header 1,1" </w:instrText>
      </w:r>
      <w:r w:rsidRPr="00A67F27">
        <w:rPr>
          <w:b w:val="0"/>
          <w:lang w:eastAsia="en-US"/>
        </w:rPr>
        <w:fldChar w:fldCharType="separate"/>
      </w:r>
      <w:hyperlink w:anchor="_Toc490041435" w:history="1">
        <w:r w:rsidR="00994494" w:rsidRPr="00A67F27">
          <w:rPr>
            <w:rStyle w:val="Lienhypertexte"/>
            <w:noProof/>
          </w:rPr>
          <w:t>Mod</w:t>
        </w:r>
        <w:r w:rsidR="00994494" w:rsidRPr="00A67F27">
          <w:rPr>
            <w:rStyle w:val="Lienhypertexte"/>
            <w:rFonts w:hint="eastAsia"/>
            <w:noProof/>
          </w:rPr>
          <w:t>è</w:t>
        </w:r>
        <w:r w:rsidR="00994494" w:rsidRPr="00A67F27">
          <w:rPr>
            <w:rStyle w:val="Lienhypertexte"/>
            <w:noProof/>
          </w:rPr>
          <w:t>le de Lettre de notification de l</w:t>
        </w:r>
        <w:r w:rsidR="00994494" w:rsidRPr="00A67F27">
          <w:rPr>
            <w:rStyle w:val="Lienhypertexte"/>
            <w:rFonts w:hint="eastAsia"/>
            <w:noProof/>
          </w:rPr>
          <w:t>’</w:t>
        </w:r>
        <w:r w:rsidR="00994494" w:rsidRPr="00A67F27">
          <w:rPr>
            <w:rStyle w:val="Lienhypertexte"/>
            <w:noProof/>
          </w:rPr>
          <w:t>attribution du march</w:t>
        </w:r>
        <w:r w:rsidR="00994494" w:rsidRPr="00A67F27">
          <w:rPr>
            <w:rStyle w:val="Lienhypertexte"/>
            <w:rFonts w:hint="eastAsia"/>
            <w:noProof/>
          </w:rPr>
          <w:t>é</w:t>
        </w:r>
        <w:r w:rsidR="00994494" w:rsidRPr="00A67F27">
          <w:rPr>
            <w:noProof/>
            <w:webHidden/>
          </w:rPr>
          <w:tab/>
        </w:r>
        <w:r w:rsidR="00994494" w:rsidRPr="000605B6">
          <w:rPr>
            <w:noProof/>
            <w:webHidden/>
          </w:rPr>
          <w:fldChar w:fldCharType="begin"/>
        </w:r>
        <w:r w:rsidR="00994494" w:rsidRPr="00A67F27">
          <w:rPr>
            <w:noProof/>
            <w:webHidden/>
          </w:rPr>
          <w:instrText xml:space="preserve"> PAGEREF _Toc490041435 \h </w:instrText>
        </w:r>
        <w:r w:rsidR="00994494" w:rsidRPr="000605B6">
          <w:rPr>
            <w:noProof/>
            <w:webHidden/>
          </w:rPr>
        </w:r>
        <w:r w:rsidR="00994494" w:rsidRPr="000605B6">
          <w:rPr>
            <w:noProof/>
            <w:webHidden/>
          </w:rPr>
          <w:fldChar w:fldCharType="separate"/>
        </w:r>
        <w:r w:rsidR="006C5B9E">
          <w:rPr>
            <w:noProof/>
            <w:webHidden/>
          </w:rPr>
          <w:t>313</w:t>
        </w:r>
        <w:r w:rsidR="00994494" w:rsidRPr="000605B6">
          <w:rPr>
            <w:noProof/>
            <w:webHidden/>
          </w:rPr>
          <w:fldChar w:fldCharType="end"/>
        </w:r>
      </w:hyperlink>
    </w:p>
    <w:p w14:paraId="36CA094E" w14:textId="051D248F" w:rsidR="00994494" w:rsidRPr="00CC459A" w:rsidRDefault="00B37E92">
      <w:pPr>
        <w:pStyle w:val="TM1"/>
        <w:rPr>
          <w:rFonts w:asciiTheme="minorHAnsi" w:eastAsiaTheme="minorEastAsia" w:hAnsiTheme="minorHAnsi" w:cstheme="minorBidi"/>
          <w:b w:val="0"/>
          <w:noProof/>
          <w:sz w:val="22"/>
          <w:szCs w:val="22"/>
          <w:lang w:eastAsia="en-US"/>
        </w:rPr>
      </w:pPr>
      <w:hyperlink w:anchor="_Toc490041436" w:history="1">
        <w:r w:rsidR="00994494" w:rsidRPr="00435C9E">
          <w:rPr>
            <w:rStyle w:val="Lienhypertexte"/>
            <w:noProof/>
          </w:rPr>
          <w:t>Modèle d’Acte d’engagement</w:t>
        </w:r>
        <w:r w:rsidR="00994494" w:rsidRPr="001627D7">
          <w:rPr>
            <w:noProof/>
            <w:webHidden/>
          </w:rPr>
          <w:tab/>
        </w:r>
        <w:r w:rsidR="00994494" w:rsidRPr="001627D7">
          <w:rPr>
            <w:noProof/>
            <w:webHidden/>
          </w:rPr>
          <w:fldChar w:fldCharType="begin"/>
        </w:r>
        <w:r w:rsidR="00994494" w:rsidRPr="00A67F27">
          <w:rPr>
            <w:noProof/>
            <w:webHidden/>
          </w:rPr>
          <w:instrText xml:space="preserve"> PAGEREF _Toc490041436 \h </w:instrText>
        </w:r>
        <w:r w:rsidR="00994494" w:rsidRPr="001627D7">
          <w:rPr>
            <w:noProof/>
            <w:webHidden/>
          </w:rPr>
        </w:r>
        <w:r w:rsidR="00994494" w:rsidRPr="001627D7">
          <w:rPr>
            <w:noProof/>
            <w:webHidden/>
          </w:rPr>
          <w:fldChar w:fldCharType="separate"/>
        </w:r>
        <w:r w:rsidR="006C5B9E">
          <w:rPr>
            <w:noProof/>
            <w:webHidden/>
          </w:rPr>
          <w:t>314</w:t>
        </w:r>
        <w:r w:rsidR="00994494" w:rsidRPr="001627D7">
          <w:rPr>
            <w:noProof/>
            <w:webHidden/>
          </w:rPr>
          <w:fldChar w:fldCharType="end"/>
        </w:r>
      </w:hyperlink>
    </w:p>
    <w:p w14:paraId="7FD3D457" w14:textId="6BDB5CE3" w:rsidR="00994494" w:rsidRPr="00CC459A" w:rsidRDefault="00B37E92">
      <w:pPr>
        <w:pStyle w:val="TM1"/>
        <w:rPr>
          <w:rFonts w:asciiTheme="minorHAnsi" w:eastAsiaTheme="minorEastAsia" w:hAnsiTheme="minorHAnsi" w:cstheme="minorBidi"/>
          <w:b w:val="0"/>
          <w:noProof/>
          <w:sz w:val="22"/>
          <w:szCs w:val="22"/>
          <w:lang w:eastAsia="en-US"/>
        </w:rPr>
      </w:pPr>
      <w:hyperlink w:anchor="_Toc490041437" w:history="1">
        <w:r w:rsidR="00994494" w:rsidRPr="00435C9E">
          <w:rPr>
            <w:rStyle w:val="Lienhypertexte"/>
            <w:noProof/>
          </w:rPr>
          <w:t>Modèle de garantie de bonne exécution (garantie bancaire)</w:t>
        </w:r>
        <w:r w:rsidR="00994494" w:rsidRPr="001627D7">
          <w:rPr>
            <w:noProof/>
            <w:webHidden/>
          </w:rPr>
          <w:tab/>
        </w:r>
        <w:r w:rsidR="00994494" w:rsidRPr="001627D7">
          <w:rPr>
            <w:noProof/>
            <w:webHidden/>
          </w:rPr>
          <w:fldChar w:fldCharType="begin"/>
        </w:r>
        <w:r w:rsidR="00994494" w:rsidRPr="00A67F27">
          <w:rPr>
            <w:noProof/>
            <w:webHidden/>
          </w:rPr>
          <w:instrText xml:space="preserve"> PAGEREF _Toc490041437 \h </w:instrText>
        </w:r>
        <w:r w:rsidR="00994494" w:rsidRPr="001627D7">
          <w:rPr>
            <w:noProof/>
            <w:webHidden/>
          </w:rPr>
        </w:r>
        <w:r w:rsidR="00994494" w:rsidRPr="001627D7">
          <w:rPr>
            <w:noProof/>
            <w:webHidden/>
          </w:rPr>
          <w:fldChar w:fldCharType="separate"/>
        </w:r>
        <w:r w:rsidR="006C5B9E">
          <w:rPr>
            <w:noProof/>
            <w:webHidden/>
          </w:rPr>
          <w:t>315</w:t>
        </w:r>
        <w:r w:rsidR="00994494" w:rsidRPr="001627D7">
          <w:rPr>
            <w:noProof/>
            <w:webHidden/>
          </w:rPr>
          <w:fldChar w:fldCharType="end"/>
        </w:r>
      </w:hyperlink>
    </w:p>
    <w:p w14:paraId="7C861A18" w14:textId="394E00A6" w:rsidR="00994494" w:rsidRPr="00CC459A" w:rsidRDefault="00B37E92">
      <w:pPr>
        <w:pStyle w:val="TM1"/>
        <w:rPr>
          <w:rFonts w:asciiTheme="minorHAnsi" w:eastAsiaTheme="minorEastAsia" w:hAnsiTheme="minorHAnsi" w:cstheme="minorBidi"/>
          <w:b w:val="0"/>
          <w:noProof/>
          <w:sz w:val="22"/>
          <w:szCs w:val="22"/>
          <w:lang w:eastAsia="en-US"/>
        </w:rPr>
      </w:pPr>
      <w:hyperlink w:anchor="_Toc490041438" w:history="1">
        <w:r w:rsidR="00994494" w:rsidRPr="00435C9E">
          <w:rPr>
            <w:rStyle w:val="Lienhypertexte"/>
            <w:noProof/>
          </w:rPr>
          <w:t>Modèle de garantie de performance environnementale, sociale, hygiène et sécurité (ESH</w:t>
        </w:r>
        <w:r w:rsidR="00994494" w:rsidRPr="001627D7">
          <w:rPr>
            <w:rStyle w:val="Lienhypertexte"/>
            <w:noProof/>
          </w:rPr>
          <w:t>S)</w:t>
        </w:r>
        <w:r w:rsidR="00F1176D" w:rsidRPr="00043C85">
          <w:rPr>
            <w:noProof/>
          </w:rPr>
          <w:t xml:space="preserve"> </w:t>
        </w:r>
        <w:r w:rsidR="00F1176D" w:rsidRPr="00EB4FEC">
          <w:rPr>
            <w:rStyle w:val="Lienhypertexte"/>
            <w:noProof/>
          </w:rPr>
          <w:t>(garantie bancaire)</w:t>
        </w:r>
        <w:r w:rsidR="00994494" w:rsidRPr="00442531">
          <w:rPr>
            <w:noProof/>
            <w:webHidden/>
          </w:rPr>
          <w:tab/>
        </w:r>
        <w:r w:rsidR="00994494" w:rsidRPr="001627D7">
          <w:rPr>
            <w:noProof/>
            <w:webHidden/>
          </w:rPr>
          <w:fldChar w:fldCharType="begin"/>
        </w:r>
        <w:r w:rsidR="00994494" w:rsidRPr="00A67F27">
          <w:rPr>
            <w:noProof/>
            <w:webHidden/>
          </w:rPr>
          <w:instrText xml:space="preserve"> PAGEREF _Toc490041438 \h </w:instrText>
        </w:r>
        <w:r w:rsidR="00994494" w:rsidRPr="001627D7">
          <w:rPr>
            <w:noProof/>
            <w:webHidden/>
          </w:rPr>
        </w:r>
        <w:r w:rsidR="00994494" w:rsidRPr="001627D7">
          <w:rPr>
            <w:noProof/>
            <w:webHidden/>
          </w:rPr>
          <w:fldChar w:fldCharType="separate"/>
        </w:r>
        <w:r w:rsidR="006C5B9E">
          <w:rPr>
            <w:noProof/>
            <w:webHidden/>
          </w:rPr>
          <w:t>317</w:t>
        </w:r>
        <w:r w:rsidR="00994494" w:rsidRPr="001627D7">
          <w:rPr>
            <w:noProof/>
            <w:webHidden/>
          </w:rPr>
          <w:fldChar w:fldCharType="end"/>
        </w:r>
      </w:hyperlink>
    </w:p>
    <w:p w14:paraId="3FA3FABD" w14:textId="241CE093" w:rsidR="00994494" w:rsidRPr="00435C9E" w:rsidRDefault="00F1176D">
      <w:pPr>
        <w:pStyle w:val="TM1"/>
        <w:rPr>
          <w:rFonts w:asciiTheme="minorHAnsi" w:eastAsiaTheme="minorEastAsia" w:hAnsiTheme="minorHAnsi" w:cstheme="minorBidi"/>
          <w:b w:val="0"/>
          <w:noProof/>
          <w:color w:val="000000" w:themeColor="text1"/>
          <w:sz w:val="22"/>
          <w:szCs w:val="22"/>
          <w:lang w:eastAsia="en-US"/>
        </w:rPr>
      </w:pPr>
      <w:r w:rsidRPr="00A67F27">
        <w:rPr>
          <w:rStyle w:val="Lienhypertexte"/>
          <w:noProof/>
          <w:color w:val="000000" w:themeColor="text1"/>
          <w:u w:val="none"/>
        </w:rPr>
        <w:t>Modèle de garantie de restitution d’avance (garantie bancaire sur demande)</w:t>
      </w:r>
      <w:hyperlink w:anchor="_Toc490041439" w:history="1">
        <w:r w:rsidR="00994494" w:rsidRPr="00435C9E">
          <w:rPr>
            <w:noProof/>
            <w:webHidden/>
            <w:color w:val="000000" w:themeColor="text1"/>
          </w:rPr>
          <w:tab/>
        </w:r>
        <w:r w:rsidR="00994494" w:rsidRPr="001627D7">
          <w:rPr>
            <w:noProof/>
            <w:webHidden/>
            <w:color w:val="000000" w:themeColor="text1"/>
          </w:rPr>
          <w:fldChar w:fldCharType="begin"/>
        </w:r>
        <w:r w:rsidR="00994494" w:rsidRPr="00A67F27">
          <w:rPr>
            <w:noProof/>
            <w:webHidden/>
            <w:color w:val="000000" w:themeColor="text1"/>
          </w:rPr>
          <w:instrText xml:space="preserve"> PAGEREF _Toc490041439 \h </w:instrText>
        </w:r>
        <w:r w:rsidR="00994494" w:rsidRPr="001627D7">
          <w:rPr>
            <w:noProof/>
            <w:webHidden/>
            <w:color w:val="000000" w:themeColor="text1"/>
          </w:rPr>
        </w:r>
        <w:r w:rsidR="00994494" w:rsidRPr="001627D7">
          <w:rPr>
            <w:noProof/>
            <w:webHidden/>
            <w:color w:val="000000" w:themeColor="text1"/>
          </w:rPr>
          <w:fldChar w:fldCharType="separate"/>
        </w:r>
        <w:r w:rsidR="006C5B9E">
          <w:rPr>
            <w:noProof/>
            <w:webHidden/>
            <w:color w:val="000000" w:themeColor="text1"/>
          </w:rPr>
          <w:t>317</w:t>
        </w:r>
        <w:r w:rsidR="00994494" w:rsidRPr="001627D7">
          <w:rPr>
            <w:noProof/>
            <w:webHidden/>
            <w:color w:val="000000" w:themeColor="text1"/>
          </w:rPr>
          <w:fldChar w:fldCharType="end"/>
        </w:r>
      </w:hyperlink>
      <w:r w:rsidRPr="00A67F27">
        <w:rPr>
          <w:rStyle w:val="Lienhypertexte"/>
          <w:noProof/>
          <w:color w:val="000000" w:themeColor="text1"/>
          <w:u w:val="none"/>
        </w:rPr>
        <w:t>8</w:t>
      </w:r>
    </w:p>
    <w:p w14:paraId="7688918A" w14:textId="1F04FF73" w:rsidR="001B3190" w:rsidRPr="00A67F27" w:rsidRDefault="000E282C" w:rsidP="000E282C">
      <w:pPr>
        <w:tabs>
          <w:tab w:val="right" w:leader="dot" w:pos="9356"/>
        </w:tabs>
        <w:spacing w:before="60" w:after="60"/>
        <w:rPr>
          <w:rFonts w:asciiTheme="majorBidi" w:hAnsiTheme="majorBidi" w:cstheme="majorBidi"/>
          <w:sz w:val="20"/>
        </w:rPr>
      </w:pPr>
      <w:r w:rsidRPr="00A67F27">
        <w:rPr>
          <w:szCs w:val="24"/>
          <w:lang w:eastAsia="en-US"/>
        </w:rPr>
        <w:fldChar w:fldCharType="end"/>
      </w:r>
    </w:p>
    <w:p w14:paraId="414B600B" w14:textId="77777777" w:rsidR="000E282C" w:rsidRPr="00A67F27" w:rsidRDefault="000E282C" w:rsidP="001B3190">
      <w:pPr>
        <w:spacing w:before="60" w:after="60"/>
        <w:rPr>
          <w:rFonts w:asciiTheme="majorBidi" w:hAnsiTheme="majorBidi" w:cstheme="majorBidi"/>
          <w:sz w:val="20"/>
        </w:rPr>
      </w:pPr>
    </w:p>
    <w:p w14:paraId="38520991" w14:textId="1ABA2059" w:rsidR="001B3190" w:rsidRPr="00A67F27" w:rsidRDefault="001B3190" w:rsidP="0024062C">
      <w:pPr>
        <w:pStyle w:val="S9Header1"/>
        <w:rPr>
          <w:lang w:val="fr-FR"/>
        </w:rPr>
      </w:pPr>
      <w:r w:rsidRPr="00A67F27">
        <w:rPr>
          <w:rFonts w:asciiTheme="majorBidi" w:hAnsiTheme="majorBidi" w:cstheme="majorBidi"/>
          <w:sz w:val="20"/>
          <w:lang w:val="fr-FR"/>
        </w:rPr>
        <w:br w:type="page"/>
      </w:r>
      <w:bookmarkStart w:id="864" w:name="_Toc483207930"/>
      <w:bookmarkStart w:id="865" w:name="_Toc490041435"/>
      <w:r w:rsidRPr="00A67F27">
        <w:rPr>
          <w:lang w:val="fr-FR"/>
        </w:rPr>
        <w:t>Modèle de Lettre de notification de l’attribution du marché</w:t>
      </w:r>
      <w:bookmarkEnd w:id="864"/>
      <w:bookmarkEnd w:id="865"/>
    </w:p>
    <w:p w14:paraId="14D99B1E" w14:textId="52F1FD7F" w:rsidR="001B3190" w:rsidRPr="00A67F27" w:rsidRDefault="009145B0" w:rsidP="0024062C">
      <w:pPr>
        <w:pStyle w:val="Corpsdetexte"/>
        <w:spacing w:after="0"/>
        <w:ind w:left="180" w:right="288" w:firstLine="0"/>
        <w:jc w:val="center"/>
        <w:rPr>
          <w:b/>
          <w:i/>
          <w:sz w:val="20"/>
          <w:lang w:val="fr-FR" w:eastAsia="en-US"/>
        </w:rPr>
      </w:pPr>
      <w:r w:rsidRPr="00A67F27">
        <w:rPr>
          <w:b/>
          <w:i/>
          <w:sz w:val="20"/>
          <w:lang w:val="fr-FR" w:eastAsia="en-US"/>
        </w:rPr>
        <w:t xml:space="preserve"> </w:t>
      </w:r>
      <w:r w:rsidR="001B3190" w:rsidRPr="00A67F27">
        <w:rPr>
          <w:b/>
          <w:i/>
          <w:sz w:val="20"/>
          <w:lang w:val="fr-FR" w:eastAsia="en-US"/>
        </w:rPr>
        <w:t>[papier à en-tête du Maître d’Ouvrage]</w:t>
      </w:r>
    </w:p>
    <w:p w14:paraId="499B899D" w14:textId="77777777" w:rsidR="00BF617C" w:rsidRPr="00A67F27" w:rsidRDefault="00BF617C" w:rsidP="00BF617C">
      <w:pPr>
        <w:pStyle w:val="Corpsdetexte"/>
        <w:ind w:left="180" w:right="288"/>
        <w:jc w:val="right"/>
        <w:rPr>
          <w:i/>
          <w:lang w:val="fr-FR"/>
        </w:rPr>
      </w:pPr>
      <w:r w:rsidRPr="00A67F27">
        <w:rPr>
          <w:i/>
          <w:u w:val="single"/>
          <w:lang w:val="fr-FR"/>
        </w:rPr>
        <w:tab/>
      </w:r>
      <w:r w:rsidRPr="00A67F27">
        <w:rPr>
          <w:b/>
          <w:i/>
          <w:lang w:val="fr-FR"/>
        </w:rPr>
        <w:t xml:space="preserve"> [</w:t>
      </w:r>
      <w:r w:rsidRPr="00A67F27">
        <w:rPr>
          <w:b/>
          <w:bCs/>
          <w:i/>
          <w:lang w:val="fr-FR"/>
        </w:rPr>
        <w:t>date]</w:t>
      </w:r>
      <w:r w:rsidRPr="00A67F27">
        <w:rPr>
          <w:i/>
          <w:u w:val="single"/>
          <w:lang w:val="fr-FR"/>
        </w:rPr>
        <w:tab/>
      </w:r>
    </w:p>
    <w:p w14:paraId="6EFB30F6" w14:textId="77777777" w:rsidR="00BF617C" w:rsidRPr="00A67F27" w:rsidRDefault="00BF617C" w:rsidP="00BF617C">
      <w:pPr>
        <w:tabs>
          <w:tab w:val="left" w:leader="underscore" w:pos="2268"/>
          <w:tab w:val="left" w:leader="underscore" w:pos="8505"/>
        </w:tabs>
        <w:suppressAutoHyphens/>
        <w:spacing w:before="120" w:after="120"/>
        <w:ind w:left="0" w:hanging="9"/>
        <w:rPr>
          <w:iCs/>
        </w:rPr>
      </w:pPr>
      <w:r w:rsidRPr="00A67F27">
        <w:rPr>
          <w:szCs w:val="24"/>
        </w:rPr>
        <w:t>A </w:t>
      </w:r>
      <w:r w:rsidRPr="00A67F27">
        <w:rPr>
          <w:szCs w:val="24"/>
        </w:rPr>
        <w:tab/>
      </w:r>
      <w:r w:rsidRPr="00A67F27">
        <w:rPr>
          <w:b/>
          <w:i/>
          <w:szCs w:val="24"/>
        </w:rPr>
        <w:t>[nom et adresse du Soumissionnaire retenu</w:t>
      </w:r>
      <w:r w:rsidRPr="00A67F27">
        <w:rPr>
          <w:i/>
          <w:szCs w:val="24"/>
        </w:rPr>
        <w:t xml:space="preserve">] </w:t>
      </w:r>
      <w:r w:rsidRPr="00A67F27">
        <w:rPr>
          <w:iCs/>
        </w:rPr>
        <w:tab/>
        <w:t xml:space="preserve">  </w:t>
      </w:r>
    </w:p>
    <w:p w14:paraId="359240E8" w14:textId="77777777" w:rsidR="00BF617C" w:rsidRPr="00A67F27" w:rsidRDefault="00BF617C" w:rsidP="00BF617C">
      <w:pPr>
        <w:tabs>
          <w:tab w:val="left" w:leader="underscore" w:pos="2268"/>
          <w:tab w:val="left" w:leader="underscore" w:pos="8505"/>
        </w:tabs>
        <w:suppressAutoHyphens/>
        <w:spacing w:before="120" w:after="360"/>
        <w:ind w:left="0" w:hanging="9"/>
        <w:rPr>
          <w:iCs/>
        </w:rPr>
      </w:pPr>
      <w:r w:rsidRPr="00A67F27">
        <w:rPr>
          <w:iCs/>
        </w:rPr>
        <w:t>Sujet :</w:t>
      </w:r>
      <w:r w:rsidRPr="00A67F27">
        <w:rPr>
          <w:iCs/>
        </w:rPr>
        <w:tab/>
      </w:r>
      <w:r w:rsidRPr="00A67F27">
        <w:rPr>
          <w:b/>
          <w:i/>
          <w:iCs/>
        </w:rPr>
        <w:t xml:space="preserve">[No de </w:t>
      </w:r>
      <w:r w:rsidRPr="00A67F27">
        <w:rPr>
          <w:b/>
          <w:bCs/>
          <w:i/>
        </w:rPr>
        <w:t>Notification d’Attribution de Marché]</w:t>
      </w:r>
      <w:r w:rsidRPr="00A67F27">
        <w:rPr>
          <w:iCs/>
        </w:rPr>
        <w:tab/>
      </w:r>
    </w:p>
    <w:p w14:paraId="62115C64" w14:textId="77777777" w:rsidR="001B3190" w:rsidRPr="00A67F27" w:rsidRDefault="001B3190" w:rsidP="0024062C">
      <w:pPr>
        <w:spacing w:before="480" w:after="120"/>
        <w:rPr>
          <w:rFonts w:asciiTheme="majorBidi" w:hAnsiTheme="majorBidi" w:cstheme="majorBidi"/>
          <w:szCs w:val="24"/>
        </w:rPr>
      </w:pPr>
      <w:r w:rsidRPr="00A67F27">
        <w:rPr>
          <w:rFonts w:asciiTheme="majorBidi" w:hAnsiTheme="majorBidi" w:cstheme="majorBidi"/>
          <w:szCs w:val="24"/>
        </w:rPr>
        <w:t>Messieurs,</w:t>
      </w:r>
    </w:p>
    <w:p w14:paraId="4F125127" w14:textId="39BF97AF" w:rsidR="001B3190" w:rsidRPr="00A67F27" w:rsidRDefault="001B3190" w:rsidP="0024062C">
      <w:pPr>
        <w:spacing w:before="200" w:after="120"/>
        <w:ind w:left="0" w:firstLine="0"/>
        <w:rPr>
          <w:rFonts w:asciiTheme="majorBidi" w:hAnsiTheme="majorBidi" w:cstheme="majorBidi"/>
          <w:szCs w:val="24"/>
        </w:rPr>
      </w:pPr>
      <w:r w:rsidRPr="00A67F27">
        <w:rPr>
          <w:rFonts w:asciiTheme="majorBidi" w:hAnsiTheme="majorBidi" w:cstheme="majorBidi"/>
          <w:szCs w:val="24"/>
        </w:rPr>
        <w:t xml:space="preserve">La présente a pour but de vous notifier que votre offre en date du </w:t>
      </w:r>
      <w:r w:rsidRPr="00A67F27">
        <w:rPr>
          <w:rFonts w:asciiTheme="majorBidi" w:hAnsiTheme="majorBidi" w:cstheme="majorBidi"/>
          <w:b/>
          <w:bCs/>
          <w:i/>
          <w:szCs w:val="24"/>
        </w:rPr>
        <w:t>[date]</w:t>
      </w:r>
      <w:r w:rsidRPr="00A67F27">
        <w:rPr>
          <w:rFonts w:asciiTheme="majorBidi" w:hAnsiTheme="majorBidi" w:cstheme="majorBidi"/>
          <w:szCs w:val="24"/>
        </w:rPr>
        <w:t xml:space="preserve"> pour l’exécution de </w:t>
      </w:r>
      <w:r w:rsidRPr="00A67F27">
        <w:rPr>
          <w:rFonts w:asciiTheme="majorBidi" w:hAnsiTheme="majorBidi" w:cstheme="majorBidi"/>
          <w:b/>
          <w:bCs/>
          <w:i/>
          <w:szCs w:val="24"/>
        </w:rPr>
        <w:t>[nom du Marché et identification]</w:t>
      </w:r>
      <w:r w:rsidRPr="00A67F27">
        <w:rPr>
          <w:rFonts w:asciiTheme="majorBidi" w:hAnsiTheme="majorBidi" w:cstheme="majorBidi"/>
          <w:szCs w:val="24"/>
        </w:rPr>
        <w:t xml:space="preserve"> pour le montant du Marché d’une contre-valeur de </w:t>
      </w:r>
      <w:r w:rsidRPr="00A67F27">
        <w:rPr>
          <w:rFonts w:asciiTheme="majorBidi" w:hAnsiTheme="majorBidi" w:cstheme="majorBidi"/>
          <w:b/>
          <w:bCs/>
          <w:i/>
          <w:szCs w:val="24"/>
        </w:rPr>
        <w:t>[montant en chiffres et en lettres, nom de la monnaie]</w:t>
      </w:r>
      <w:r w:rsidRPr="00A67F27">
        <w:rPr>
          <w:rFonts w:asciiTheme="majorBidi" w:hAnsiTheme="majorBidi" w:cstheme="majorBidi"/>
          <w:szCs w:val="24"/>
        </w:rPr>
        <w:t xml:space="preserve">, rectifié et modifié conformément aux Instructions aux soumissionnaires </w:t>
      </w:r>
      <w:r w:rsidRPr="00A67F27">
        <w:rPr>
          <w:rFonts w:asciiTheme="majorBidi" w:hAnsiTheme="majorBidi" w:cstheme="majorBidi"/>
          <w:b/>
          <w:bCs/>
          <w:i/>
          <w:szCs w:val="24"/>
        </w:rPr>
        <w:t xml:space="preserve">[Supprimer </w:t>
      </w:r>
      <w:r w:rsidR="009B2302" w:rsidRPr="00A67F27">
        <w:rPr>
          <w:rFonts w:asciiTheme="majorBidi" w:hAnsiTheme="majorBidi" w:cstheme="majorBidi"/>
          <w:b/>
          <w:bCs/>
          <w:i/>
          <w:szCs w:val="24"/>
        </w:rPr>
        <w:t>« </w:t>
      </w:r>
      <w:r w:rsidRPr="00A67F27">
        <w:rPr>
          <w:rFonts w:asciiTheme="majorBidi" w:hAnsiTheme="majorBidi" w:cstheme="majorBidi"/>
          <w:b/>
          <w:bCs/>
          <w:i/>
          <w:szCs w:val="24"/>
        </w:rPr>
        <w:t>rectifié et</w:t>
      </w:r>
      <w:r w:rsidR="009B2302" w:rsidRPr="00A67F27">
        <w:rPr>
          <w:rFonts w:asciiTheme="majorBidi" w:hAnsiTheme="majorBidi" w:cstheme="majorBidi"/>
          <w:b/>
          <w:bCs/>
          <w:i/>
          <w:szCs w:val="24"/>
        </w:rPr>
        <w:t> »</w:t>
      </w:r>
      <w:r w:rsidRPr="00A67F27">
        <w:rPr>
          <w:rFonts w:asciiTheme="majorBidi" w:hAnsiTheme="majorBidi" w:cstheme="majorBidi"/>
          <w:b/>
          <w:bCs/>
          <w:i/>
          <w:szCs w:val="24"/>
        </w:rPr>
        <w:t xml:space="preserve"> ou </w:t>
      </w:r>
      <w:r w:rsidR="009B2302" w:rsidRPr="00A67F27">
        <w:rPr>
          <w:rFonts w:asciiTheme="majorBidi" w:hAnsiTheme="majorBidi" w:cstheme="majorBidi"/>
          <w:b/>
          <w:bCs/>
          <w:i/>
          <w:szCs w:val="24"/>
        </w:rPr>
        <w:t>« </w:t>
      </w:r>
      <w:r w:rsidRPr="00A67F27">
        <w:rPr>
          <w:rFonts w:asciiTheme="majorBidi" w:hAnsiTheme="majorBidi" w:cstheme="majorBidi"/>
          <w:b/>
          <w:bCs/>
          <w:i/>
          <w:szCs w:val="24"/>
        </w:rPr>
        <w:t>et modifié</w:t>
      </w:r>
      <w:r w:rsidR="009B2302" w:rsidRPr="00A67F27">
        <w:rPr>
          <w:rFonts w:asciiTheme="majorBidi" w:hAnsiTheme="majorBidi" w:cstheme="majorBidi"/>
          <w:b/>
          <w:bCs/>
          <w:i/>
          <w:szCs w:val="24"/>
        </w:rPr>
        <w:t> »</w:t>
      </w:r>
      <w:r w:rsidRPr="00A67F27">
        <w:rPr>
          <w:rFonts w:asciiTheme="majorBidi" w:hAnsiTheme="majorBidi" w:cstheme="majorBidi"/>
          <w:b/>
          <w:bCs/>
          <w:i/>
          <w:szCs w:val="24"/>
        </w:rPr>
        <w:t xml:space="preserve"> si seulement l’une de ce</w:t>
      </w:r>
      <w:r w:rsidR="003F6934">
        <w:rPr>
          <w:rFonts w:asciiTheme="majorBidi" w:hAnsiTheme="majorBidi" w:cstheme="majorBidi"/>
          <w:b/>
          <w:bCs/>
          <w:i/>
          <w:szCs w:val="24"/>
        </w:rPr>
        <w:t>s</w:t>
      </w:r>
      <w:r w:rsidRPr="00A67F27">
        <w:rPr>
          <w:rFonts w:asciiTheme="majorBidi" w:hAnsiTheme="majorBidi" w:cstheme="majorBidi"/>
          <w:b/>
          <w:bCs/>
          <w:i/>
          <w:szCs w:val="24"/>
        </w:rPr>
        <w:t xml:space="preserve"> mesures s’applique.</w:t>
      </w:r>
      <w:r w:rsidR="009B2302" w:rsidRPr="00A67F27">
        <w:rPr>
          <w:rFonts w:asciiTheme="majorBidi" w:hAnsiTheme="majorBidi" w:cstheme="majorBidi"/>
          <w:b/>
          <w:bCs/>
          <w:i/>
          <w:szCs w:val="24"/>
        </w:rPr>
        <w:t xml:space="preserve"> </w:t>
      </w:r>
      <w:r w:rsidRPr="00A67F27">
        <w:rPr>
          <w:rFonts w:asciiTheme="majorBidi" w:hAnsiTheme="majorBidi" w:cstheme="majorBidi"/>
          <w:b/>
          <w:bCs/>
          <w:i/>
          <w:szCs w:val="24"/>
        </w:rPr>
        <w:t xml:space="preserve">Supprimer </w:t>
      </w:r>
      <w:r w:rsidR="009B2302" w:rsidRPr="00A67F27">
        <w:rPr>
          <w:rFonts w:asciiTheme="majorBidi" w:hAnsiTheme="majorBidi" w:cstheme="majorBidi"/>
          <w:b/>
          <w:bCs/>
          <w:i/>
          <w:szCs w:val="24"/>
        </w:rPr>
        <w:t>« </w:t>
      </w:r>
      <w:r w:rsidRPr="00A67F27">
        <w:rPr>
          <w:rFonts w:asciiTheme="majorBidi" w:hAnsiTheme="majorBidi" w:cstheme="majorBidi"/>
          <w:b/>
          <w:bCs/>
          <w:i/>
          <w:szCs w:val="24"/>
        </w:rPr>
        <w:t>rectifié et modifié conformément aux Instructions aux soumissionnaires</w:t>
      </w:r>
      <w:r w:rsidR="009B2302" w:rsidRPr="00A67F27">
        <w:rPr>
          <w:rFonts w:asciiTheme="majorBidi" w:hAnsiTheme="majorBidi" w:cstheme="majorBidi"/>
          <w:b/>
          <w:bCs/>
          <w:i/>
          <w:szCs w:val="24"/>
        </w:rPr>
        <w:t> »</w:t>
      </w:r>
      <w:r w:rsidRPr="00A67F27">
        <w:rPr>
          <w:rFonts w:asciiTheme="majorBidi" w:hAnsiTheme="majorBidi" w:cstheme="majorBidi"/>
          <w:b/>
          <w:bCs/>
          <w:i/>
          <w:szCs w:val="24"/>
        </w:rPr>
        <w:t xml:space="preserve"> si des rectifications ou modifications n’ont pas été effectuées]</w:t>
      </w:r>
      <w:r w:rsidRPr="00A67F27">
        <w:rPr>
          <w:rFonts w:asciiTheme="majorBidi" w:hAnsiTheme="majorBidi" w:cstheme="majorBidi"/>
          <w:szCs w:val="24"/>
        </w:rPr>
        <w:t>, est acceptée par nos services.</w:t>
      </w:r>
    </w:p>
    <w:p w14:paraId="0CC0236E" w14:textId="77777777" w:rsidR="001B3190" w:rsidRPr="00C278BD" w:rsidRDefault="001B3190" w:rsidP="0024062C">
      <w:pPr>
        <w:spacing w:before="200" w:after="120"/>
        <w:ind w:left="0" w:firstLine="0"/>
        <w:rPr>
          <w:rFonts w:asciiTheme="majorBidi" w:hAnsiTheme="majorBidi" w:cstheme="majorBidi"/>
          <w:szCs w:val="24"/>
        </w:rPr>
      </w:pPr>
      <w:r w:rsidRPr="00C278BD">
        <w:rPr>
          <w:rFonts w:asciiTheme="majorBidi" w:hAnsiTheme="majorBidi" w:cstheme="majorBidi"/>
          <w:szCs w:val="24"/>
        </w:rPr>
        <w:t xml:space="preserve">Il vous est demandé de fournir la garantie de bonne exécution et la garantie de performance environnementale, sociale, hygiène et sécurité </w:t>
      </w:r>
      <w:r w:rsidRPr="00C278BD">
        <w:rPr>
          <w:rFonts w:asciiTheme="majorBidi" w:hAnsiTheme="majorBidi" w:cstheme="majorBidi"/>
          <w:b/>
          <w:i/>
          <w:szCs w:val="24"/>
        </w:rPr>
        <w:t>[Omettre la garantie ESHS si elle n’est pas demandée par le Marché]</w:t>
      </w:r>
      <w:r w:rsidRPr="00C278BD">
        <w:rPr>
          <w:rFonts w:asciiTheme="majorBidi" w:hAnsiTheme="majorBidi" w:cstheme="majorBidi"/>
          <w:szCs w:val="24"/>
        </w:rPr>
        <w:t xml:space="preserve"> dans les 28 jours, conformément au CCAG, en utilisant le formulaire de garantie de bonne exécution et le formulaire de garantie de performance environnementale, sociale, hygiène et sécurité </w:t>
      </w:r>
      <w:r w:rsidRPr="00C278BD">
        <w:rPr>
          <w:rFonts w:asciiTheme="majorBidi" w:hAnsiTheme="majorBidi" w:cstheme="majorBidi"/>
          <w:b/>
          <w:i/>
          <w:szCs w:val="24"/>
        </w:rPr>
        <w:t>[Omettre la référence au formulaire de garantie ESHS si elle n’est pas demandée par le Marché]</w:t>
      </w:r>
      <w:r w:rsidRPr="00C278BD">
        <w:rPr>
          <w:rFonts w:asciiTheme="majorBidi" w:hAnsiTheme="majorBidi" w:cstheme="majorBidi"/>
          <w:szCs w:val="24"/>
        </w:rPr>
        <w:t>de la Section X, Formulaires du marché.</w:t>
      </w:r>
    </w:p>
    <w:p w14:paraId="69AC1AF8" w14:textId="77777777" w:rsidR="00B303FD" w:rsidRPr="00C278BD" w:rsidRDefault="00B303FD" w:rsidP="0024062C">
      <w:pPr>
        <w:spacing w:before="200" w:after="120"/>
        <w:rPr>
          <w:rFonts w:asciiTheme="majorBidi" w:hAnsiTheme="majorBidi" w:cstheme="majorBidi"/>
          <w:b/>
          <w:i/>
          <w:szCs w:val="24"/>
        </w:rPr>
      </w:pPr>
      <w:r w:rsidRPr="00C278BD">
        <w:rPr>
          <w:rFonts w:asciiTheme="majorBidi" w:hAnsiTheme="majorBidi" w:cstheme="majorBidi"/>
          <w:b/>
          <w:i/>
          <w:szCs w:val="24"/>
        </w:rPr>
        <w:t>[insérer l’une des deux options (a) ou (b) suivantes]</w:t>
      </w:r>
    </w:p>
    <w:p w14:paraId="5BCEA20E" w14:textId="0B1986F9" w:rsidR="00B303FD" w:rsidRPr="00A67F27" w:rsidRDefault="00B303FD" w:rsidP="0024062C">
      <w:pPr>
        <w:spacing w:before="200"/>
        <w:ind w:left="0" w:firstLine="0"/>
        <w:rPr>
          <w:rFonts w:asciiTheme="majorBidi" w:hAnsiTheme="majorBidi" w:cstheme="majorBidi"/>
          <w:szCs w:val="24"/>
        </w:rPr>
      </w:pPr>
      <w:r w:rsidRPr="00A67F27">
        <w:rPr>
          <w:rFonts w:asciiTheme="majorBidi" w:hAnsiTheme="majorBidi" w:cstheme="majorBidi"/>
          <w:szCs w:val="24"/>
        </w:rPr>
        <w:t xml:space="preserve">Nous acceptons la désignation de </w:t>
      </w:r>
      <w:r w:rsidRPr="00A67F27">
        <w:rPr>
          <w:rFonts w:asciiTheme="majorBidi" w:hAnsiTheme="majorBidi" w:cstheme="majorBidi"/>
          <w:b/>
          <w:bCs/>
          <w:i/>
          <w:szCs w:val="24"/>
        </w:rPr>
        <w:t>[insérer le nom proposé par le Soumissionnaire]</w:t>
      </w:r>
      <w:r w:rsidRPr="00A67F27">
        <w:rPr>
          <w:rFonts w:asciiTheme="majorBidi" w:hAnsiTheme="majorBidi" w:cstheme="majorBidi"/>
          <w:szCs w:val="24"/>
        </w:rPr>
        <w:t xml:space="preserve"> en qualité de Conciliateur. </w:t>
      </w:r>
    </w:p>
    <w:p w14:paraId="7396991D" w14:textId="46D1A4E6" w:rsidR="00B303FD" w:rsidRPr="00A67F27" w:rsidRDefault="00B303FD" w:rsidP="0024062C">
      <w:pPr>
        <w:spacing w:before="200" w:after="120"/>
        <w:rPr>
          <w:rFonts w:asciiTheme="majorBidi" w:hAnsiTheme="majorBidi" w:cstheme="majorBidi"/>
          <w:b/>
          <w:i/>
          <w:szCs w:val="24"/>
        </w:rPr>
      </w:pPr>
      <w:r w:rsidRPr="00A67F27">
        <w:rPr>
          <w:rFonts w:asciiTheme="majorBidi" w:hAnsiTheme="majorBidi" w:cstheme="majorBidi"/>
          <w:b/>
          <w:i/>
          <w:szCs w:val="24"/>
        </w:rPr>
        <w:t>[Ou]</w:t>
      </w:r>
    </w:p>
    <w:p w14:paraId="043A8ABF" w14:textId="5E6DC361" w:rsidR="00B303FD" w:rsidRPr="00A67F27" w:rsidRDefault="00B303FD" w:rsidP="0024062C">
      <w:pPr>
        <w:spacing w:before="200"/>
        <w:ind w:left="0" w:firstLine="0"/>
        <w:rPr>
          <w:rFonts w:asciiTheme="majorBidi" w:hAnsiTheme="majorBidi" w:cstheme="majorBidi"/>
          <w:szCs w:val="24"/>
        </w:rPr>
      </w:pPr>
      <w:r w:rsidRPr="00A67F27">
        <w:rPr>
          <w:rFonts w:asciiTheme="majorBidi" w:hAnsiTheme="majorBidi" w:cstheme="majorBidi"/>
          <w:szCs w:val="24"/>
        </w:rPr>
        <w:t xml:space="preserve">Nous n’acceptons pas la désignation de </w:t>
      </w:r>
      <w:r w:rsidRPr="00A67F27">
        <w:rPr>
          <w:rFonts w:asciiTheme="majorBidi" w:hAnsiTheme="majorBidi" w:cstheme="majorBidi"/>
          <w:b/>
          <w:bCs/>
          <w:i/>
          <w:szCs w:val="24"/>
        </w:rPr>
        <w:t>[insérer le nom proposé par le Soumissionnaire]</w:t>
      </w:r>
      <w:r w:rsidRPr="00A67F27">
        <w:rPr>
          <w:rFonts w:asciiTheme="majorBidi" w:hAnsiTheme="majorBidi" w:cstheme="majorBidi"/>
          <w:szCs w:val="24"/>
        </w:rPr>
        <w:t xml:space="preserve"> en qualité de Conciliateur et, nous adressons copie de la présente Lettre de Notification d’attribution à </w:t>
      </w:r>
      <w:r w:rsidRPr="00A67F27">
        <w:rPr>
          <w:rFonts w:asciiTheme="majorBidi" w:hAnsiTheme="majorBidi" w:cstheme="majorBidi"/>
          <w:b/>
          <w:bCs/>
          <w:i/>
          <w:szCs w:val="24"/>
        </w:rPr>
        <w:t>[insérer le nom de l’Autorité de désignation]</w:t>
      </w:r>
      <w:r w:rsidRPr="00A67F27">
        <w:rPr>
          <w:rFonts w:asciiTheme="majorBidi" w:hAnsiTheme="majorBidi" w:cstheme="majorBidi"/>
          <w:szCs w:val="24"/>
        </w:rPr>
        <w:t xml:space="preserve">, afin de lui demander de nommer de Conciliateur conformément aux dispositions de l’Article </w:t>
      </w:r>
      <w:r w:rsidR="00AE2E35" w:rsidRPr="00A67F27">
        <w:rPr>
          <w:rFonts w:asciiTheme="majorBidi" w:hAnsiTheme="majorBidi" w:cstheme="majorBidi"/>
          <w:szCs w:val="24"/>
        </w:rPr>
        <w:t>43</w:t>
      </w:r>
      <w:r w:rsidRPr="00A67F27">
        <w:rPr>
          <w:rFonts w:asciiTheme="majorBidi" w:hAnsiTheme="majorBidi" w:cstheme="majorBidi"/>
          <w:szCs w:val="24"/>
        </w:rPr>
        <w:t>.1 des IS et de la Clause 23.1 du CCAG.</w:t>
      </w:r>
    </w:p>
    <w:p w14:paraId="421BF9C5" w14:textId="77777777" w:rsidR="001B3190" w:rsidRPr="00A67F27" w:rsidRDefault="001B3190" w:rsidP="0024062C">
      <w:pPr>
        <w:spacing w:before="200" w:after="120"/>
        <w:rPr>
          <w:rFonts w:asciiTheme="majorBidi" w:hAnsiTheme="majorBidi" w:cstheme="majorBidi"/>
          <w:szCs w:val="24"/>
        </w:rPr>
      </w:pPr>
      <w:r w:rsidRPr="00A67F27">
        <w:rPr>
          <w:rFonts w:asciiTheme="majorBidi" w:hAnsiTheme="majorBidi" w:cstheme="majorBidi"/>
          <w:szCs w:val="24"/>
        </w:rPr>
        <w:t>Veuillez agréer, Messieurs, l’expression de notre considération distinguée.</w:t>
      </w:r>
    </w:p>
    <w:p w14:paraId="1763E29B" w14:textId="6CFF7F1B" w:rsidR="001B3190" w:rsidRPr="00A67F27" w:rsidRDefault="001B3190" w:rsidP="0024062C">
      <w:pPr>
        <w:keepNext/>
        <w:keepLines/>
        <w:spacing w:before="200" w:after="120"/>
        <w:ind w:left="578" w:hanging="578"/>
        <w:rPr>
          <w:rFonts w:asciiTheme="majorBidi" w:hAnsiTheme="majorBidi" w:cstheme="majorBidi"/>
          <w:szCs w:val="24"/>
        </w:rPr>
      </w:pPr>
      <w:r w:rsidRPr="00A67F27">
        <w:rPr>
          <w:rFonts w:asciiTheme="majorBidi" w:hAnsiTheme="majorBidi" w:cstheme="majorBidi"/>
          <w:i/>
          <w:szCs w:val="24"/>
        </w:rPr>
        <w:t>[Signature, nom et titre du signataire habilité à signer au nom du Maître d’Ouvrage]</w:t>
      </w:r>
    </w:p>
    <w:p w14:paraId="3B16E737" w14:textId="77777777" w:rsidR="00BF617C" w:rsidRPr="00A67F27" w:rsidRDefault="00BF617C" w:rsidP="00BF617C">
      <w:pPr>
        <w:pStyle w:val="Retraitcorpsdetexte"/>
        <w:tabs>
          <w:tab w:val="right" w:leader="dot" w:pos="9360"/>
        </w:tabs>
        <w:ind w:left="0" w:right="288" w:firstLine="0"/>
        <w:rPr>
          <w:iCs/>
          <w:lang w:val="fr-FR"/>
        </w:rPr>
      </w:pPr>
      <w:r w:rsidRPr="00A67F27">
        <w:rPr>
          <w:iCs/>
          <w:lang w:val="fr-FR"/>
        </w:rPr>
        <w:t xml:space="preserve">Nom et Titre du Signataire:  </w:t>
      </w:r>
      <w:r w:rsidRPr="00A67F27">
        <w:rPr>
          <w:iCs/>
          <w:lang w:val="fr-FR"/>
        </w:rPr>
        <w:tab/>
      </w:r>
    </w:p>
    <w:p w14:paraId="37142300" w14:textId="77777777" w:rsidR="00BF617C" w:rsidRPr="00A67F27" w:rsidRDefault="00BF617C" w:rsidP="00BF617C">
      <w:pPr>
        <w:pStyle w:val="Retraitcorpsdetexte"/>
        <w:tabs>
          <w:tab w:val="right" w:leader="dot" w:pos="9360"/>
        </w:tabs>
        <w:ind w:left="0" w:right="288" w:firstLine="0"/>
        <w:rPr>
          <w:iCs/>
          <w:lang w:val="fr-FR"/>
        </w:rPr>
      </w:pPr>
      <w:r w:rsidRPr="00A67F27">
        <w:rPr>
          <w:iCs/>
          <w:lang w:val="fr-FR"/>
        </w:rPr>
        <w:t xml:space="preserve">Nom de l’Agence :  </w:t>
      </w:r>
      <w:r w:rsidRPr="00A67F27">
        <w:rPr>
          <w:iCs/>
          <w:lang w:val="fr-FR"/>
        </w:rPr>
        <w:tab/>
      </w:r>
    </w:p>
    <w:p w14:paraId="0F66E8C8" w14:textId="51F8DAE2" w:rsidR="00BF617C" w:rsidRPr="00A67F27" w:rsidRDefault="00BF617C" w:rsidP="00BF617C">
      <w:pPr>
        <w:pStyle w:val="Enclosure"/>
        <w:ind w:right="288"/>
        <w:rPr>
          <w:b/>
          <w:lang w:val="fr-FR"/>
        </w:rPr>
      </w:pPr>
      <w:r w:rsidRPr="00A67F27">
        <w:rPr>
          <w:b/>
          <w:lang w:val="fr-FR"/>
        </w:rPr>
        <w:t>Pièce Jointe</w:t>
      </w:r>
      <w:r w:rsidR="009145B0" w:rsidRPr="00A67F27">
        <w:rPr>
          <w:b/>
          <w:lang w:val="fr-FR"/>
        </w:rPr>
        <w:t>: Acte</w:t>
      </w:r>
      <w:r w:rsidRPr="00A67F27">
        <w:rPr>
          <w:b/>
          <w:lang w:val="fr-FR"/>
        </w:rPr>
        <w:t xml:space="preserve"> d’Engagement</w:t>
      </w:r>
    </w:p>
    <w:p w14:paraId="10C2E521" w14:textId="3B40D99D" w:rsidR="000A450A" w:rsidRPr="00A67F27" w:rsidRDefault="000A450A" w:rsidP="00CF0B70">
      <w:pPr>
        <w:pStyle w:val="S9Header1"/>
        <w:rPr>
          <w:lang w:val="fr-FR"/>
        </w:rPr>
      </w:pPr>
      <w:r w:rsidRPr="00A67F27">
        <w:rPr>
          <w:rFonts w:asciiTheme="majorBidi" w:hAnsiTheme="majorBidi" w:cstheme="majorBidi"/>
          <w:sz w:val="24"/>
          <w:lang w:val="fr-FR"/>
        </w:rPr>
        <w:br w:type="page"/>
      </w:r>
      <w:bookmarkStart w:id="866" w:name="_Toc348233312"/>
      <w:bookmarkStart w:id="867" w:name="_Toc327354352"/>
      <w:bookmarkStart w:id="868" w:name="_Toc483207931"/>
      <w:bookmarkStart w:id="869" w:name="_Toc490041436"/>
      <w:r w:rsidRPr="00A67F27">
        <w:rPr>
          <w:lang w:val="fr-FR"/>
        </w:rPr>
        <w:t>Modèle d’Acte d’engagement</w:t>
      </w:r>
      <w:bookmarkEnd w:id="866"/>
      <w:bookmarkEnd w:id="867"/>
      <w:bookmarkEnd w:id="868"/>
      <w:bookmarkEnd w:id="869"/>
    </w:p>
    <w:p w14:paraId="30B639E2" w14:textId="3EDF7B93" w:rsidR="000A450A" w:rsidRPr="00A67F27" w:rsidRDefault="000A450A" w:rsidP="00960482">
      <w:pPr>
        <w:tabs>
          <w:tab w:val="left" w:pos="4680"/>
          <w:tab w:val="left" w:pos="7560"/>
        </w:tabs>
        <w:spacing w:after="0"/>
        <w:ind w:left="0" w:firstLine="0"/>
        <w:rPr>
          <w:rFonts w:asciiTheme="majorBidi" w:hAnsiTheme="majorBidi" w:cstheme="majorBidi"/>
          <w:szCs w:val="24"/>
        </w:rPr>
      </w:pPr>
      <w:r w:rsidRPr="00A67F27">
        <w:rPr>
          <w:rFonts w:asciiTheme="majorBidi" w:hAnsiTheme="majorBidi" w:cstheme="majorBidi"/>
          <w:szCs w:val="24"/>
        </w:rPr>
        <w:t>Le présent Marché</w:t>
      </w:r>
      <w:r w:rsidRPr="00A67F27">
        <w:rPr>
          <w:rFonts w:asciiTheme="majorBidi" w:hAnsiTheme="majorBidi" w:cstheme="majorBidi"/>
          <w:b/>
          <w:szCs w:val="24"/>
        </w:rPr>
        <w:t xml:space="preserve"> </w:t>
      </w:r>
      <w:r w:rsidRPr="00A67F27">
        <w:rPr>
          <w:rFonts w:asciiTheme="majorBidi" w:hAnsiTheme="majorBidi" w:cstheme="majorBidi"/>
          <w:szCs w:val="24"/>
        </w:rPr>
        <w:t xml:space="preserve">a été conclu le </w:t>
      </w:r>
      <w:r w:rsidRPr="00A67F27">
        <w:rPr>
          <w:rFonts w:asciiTheme="majorBidi" w:hAnsiTheme="majorBidi" w:cstheme="majorBidi"/>
          <w:szCs w:val="24"/>
          <w:u w:val="single"/>
        </w:rPr>
        <w:tab/>
      </w:r>
      <w:r w:rsidRPr="00A67F27">
        <w:rPr>
          <w:rFonts w:asciiTheme="majorBidi" w:hAnsiTheme="majorBidi" w:cstheme="majorBidi"/>
          <w:szCs w:val="24"/>
          <w:u w:val="single"/>
        </w:rPr>
        <w:tab/>
      </w:r>
      <w:r w:rsidRPr="00A67F27">
        <w:rPr>
          <w:rFonts w:asciiTheme="majorBidi" w:hAnsiTheme="majorBidi" w:cstheme="majorBidi"/>
          <w:szCs w:val="24"/>
        </w:rPr>
        <w:t xml:space="preserve"> 20 </w:t>
      </w:r>
      <w:r w:rsidRPr="00A67F27">
        <w:rPr>
          <w:rFonts w:asciiTheme="majorBidi" w:hAnsiTheme="majorBidi" w:cstheme="majorBidi"/>
          <w:szCs w:val="24"/>
          <w:u w:val="single"/>
        </w:rPr>
        <w:tab/>
      </w:r>
      <w:r w:rsidR="00CF0B70" w:rsidRPr="00A67F27">
        <w:rPr>
          <w:rFonts w:asciiTheme="majorBidi" w:hAnsiTheme="majorBidi" w:cstheme="majorBidi"/>
          <w:szCs w:val="24"/>
          <w:u w:val="single"/>
        </w:rPr>
        <w:t xml:space="preserve"> </w:t>
      </w:r>
      <w:r w:rsidRPr="00A67F27">
        <w:rPr>
          <w:rFonts w:asciiTheme="majorBidi" w:hAnsiTheme="majorBidi" w:cstheme="majorBidi"/>
          <w:szCs w:val="24"/>
        </w:rPr>
        <w:t xml:space="preserve">entre </w:t>
      </w:r>
      <w:r w:rsidRPr="00A67F27">
        <w:rPr>
          <w:rFonts w:asciiTheme="majorBidi" w:hAnsiTheme="majorBidi" w:cstheme="majorBidi"/>
          <w:b/>
          <w:bCs/>
          <w:i/>
          <w:szCs w:val="24"/>
        </w:rPr>
        <w:t>[nom]</w:t>
      </w:r>
      <w:r w:rsidRPr="00A67F27">
        <w:rPr>
          <w:rFonts w:asciiTheme="majorBidi" w:hAnsiTheme="majorBidi" w:cstheme="majorBidi"/>
          <w:szCs w:val="24"/>
        </w:rPr>
        <w:t xml:space="preserve">, domicilié à </w:t>
      </w:r>
      <w:r w:rsidRPr="00A67F27">
        <w:rPr>
          <w:rFonts w:asciiTheme="majorBidi" w:hAnsiTheme="majorBidi" w:cstheme="majorBidi"/>
          <w:b/>
          <w:bCs/>
          <w:i/>
          <w:szCs w:val="24"/>
        </w:rPr>
        <w:t>[adresse]</w:t>
      </w:r>
      <w:r w:rsidRPr="00A67F27">
        <w:rPr>
          <w:rFonts w:asciiTheme="majorBidi" w:hAnsiTheme="majorBidi" w:cstheme="majorBidi"/>
          <w:i/>
          <w:szCs w:val="24"/>
        </w:rPr>
        <w:t xml:space="preserve"> </w:t>
      </w:r>
      <w:r w:rsidRPr="00A67F27">
        <w:rPr>
          <w:rFonts w:asciiTheme="majorBidi" w:hAnsiTheme="majorBidi" w:cstheme="majorBidi"/>
          <w:szCs w:val="24"/>
        </w:rPr>
        <w:t xml:space="preserve">(ci-après dénommé </w:t>
      </w:r>
      <w:r w:rsidR="009B2302" w:rsidRPr="00A67F27">
        <w:rPr>
          <w:rFonts w:asciiTheme="majorBidi" w:hAnsiTheme="majorBidi" w:cstheme="majorBidi"/>
          <w:szCs w:val="24"/>
        </w:rPr>
        <w:t>« </w:t>
      </w:r>
      <w:r w:rsidRPr="00A67F27">
        <w:rPr>
          <w:rFonts w:asciiTheme="majorBidi" w:hAnsiTheme="majorBidi" w:cstheme="majorBidi"/>
          <w:szCs w:val="24"/>
        </w:rPr>
        <w:t>le Maître de l’Ouvrage</w:t>
      </w:r>
      <w:r w:rsidR="009B2302" w:rsidRPr="00A67F27">
        <w:rPr>
          <w:rFonts w:asciiTheme="majorBidi" w:hAnsiTheme="majorBidi" w:cstheme="majorBidi"/>
          <w:szCs w:val="24"/>
        </w:rPr>
        <w:t> »</w:t>
      </w:r>
      <w:r w:rsidRPr="00A67F27">
        <w:rPr>
          <w:rFonts w:asciiTheme="majorBidi" w:hAnsiTheme="majorBidi" w:cstheme="majorBidi"/>
          <w:szCs w:val="24"/>
        </w:rPr>
        <w:t xml:space="preserve">) d’une part et </w:t>
      </w:r>
      <w:r w:rsidRPr="00A67F27">
        <w:rPr>
          <w:rFonts w:asciiTheme="majorBidi" w:hAnsiTheme="majorBidi" w:cstheme="majorBidi"/>
          <w:b/>
          <w:bCs/>
          <w:i/>
          <w:szCs w:val="24"/>
        </w:rPr>
        <w:t xml:space="preserve">[nom de l’Entrepreneur ou du groupement d’entreprise suivi de </w:t>
      </w:r>
      <w:r w:rsidR="009B2302" w:rsidRPr="00A67F27">
        <w:rPr>
          <w:rFonts w:asciiTheme="majorBidi" w:hAnsiTheme="majorBidi" w:cstheme="majorBidi"/>
          <w:b/>
          <w:bCs/>
          <w:i/>
          <w:szCs w:val="24"/>
        </w:rPr>
        <w:t>« </w:t>
      </w:r>
      <w:r w:rsidRPr="00A67F27">
        <w:rPr>
          <w:rFonts w:asciiTheme="majorBidi" w:hAnsiTheme="majorBidi" w:cstheme="majorBidi"/>
          <w:b/>
          <w:bCs/>
          <w:i/>
          <w:szCs w:val="24"/>
        </w:rPr>
        <w:t>solidairement</w:t>
      </w:r>
      <w:r w:rsidRPr="00A67F27">
        <w:rPr>
          <w:rFonts w:asciiTheme="majorBidi" w:hAnsiTheme="majorBidi" w:cstheme="majorBidi"/>
          <w:b/>
          <w:bCs/>
          <w:szCs w:val="24"/>
        </w:rPr>
        <w:t xml:space="preserve">, </w:t>
      </w:r>
      <w:r w:rsidRPr="00A67F27">
        <w:rPr>
          <w:rFonts w:asciiTheme="majorBidi" w:hAnsiTheme="majorBidi" w:cstheme="majorBidi"/>
          <w:b/>
          <w:bCs/>
          <w:i/>
          <w:szCs w:val="24"/>
        </w:rPr>
        <w:t>et représenté</w:t>
      </w:r>
      <w:r w:rsidRPr="00A67F27">
        <w:rPr>
          <w:rFonts w:asciiTheme="majorBidi" w:hAnsiTheme="majorBidi" w:cstheme="majorBidi"/>
          <w:b/>
          <w:bCs/>
          <w:szCs w:val="24"/>
        </w:rPr>
        <w:t xml:space="preserve"> </w:t>
      </w:r>
      <w:r w:rsidRPr="00A67F27">
        <w:rPr>
          <w:rFonts w:asciiTheme="majorBidi" w:hAnsiTheme="majorBidi" w:cstheme="majorBidi"/>
          <w:b/>
          <w:bCs/>
          <w:i/>
          <w:szCs w:val="24"/>
        </w:rPr>
        <w:t>par [nom] comme mandataire commun</w:t>
      </w:r>
      <w:r w:rsidR="009B2302" w:rsidRPr="00A67F27">
        <w:rPr>
          <w:rFonts w:asciiTheme="majorBidi" w:hAnsiTheme="majorBidi" w:cstheme="majorBidi"/>
          <w:b/>
          <w:bCs/>
          <w:i/>
          <w:szCs w:val="24"/>
        </w:rPr>
        <w:t> »</w:t>
      </w:r>
      <w:r w:rsidRPr="00A67F27">
        <w:rPr>
          <w:rFonts w:asciiTheme="majorBidi" w:hAnsiTheme="majorBidi" w:cstheme="majorBidi"/>
          <w:b/>
          <w:bCs/>
          <w:i/>
          <w:szCs w:val="24"/>
        </w:rPr>
        <w:t>]</w:t>
      </w:r>
      <w:r w:rsidRPr="00A67F27">
        <w:rPr>
          <w:rFonts w:asciiTheme="majorBidi" w:hAnsiTheme="majorBidi" w:cstheme="majorBidi"/>
          <w:i/>
          <w:szCs w:val="24"/>
        </w:rPr>
        <w:t>,</w:t>
      </w:r>
      <w:r w:rsidRPr="00A67F27">
        <w:rPr>
          <w:rFonts w:asciiTheme="majorBidi" w:hAnsiTheme="majorBidi" w:cstheme="majorBidi"/>
          <w:szCs w:val="24"/>
        </w:rPr>
        <w:t xml:space="preserve"> domicilié à </w:t>
      </w:r>
      <w:r w:rsidRPr="00A67F27">
        <w:rPr>
          <w:rFonts w:asciiTheme="majorBidi" w:hAnsiTheme="majorBidi" w:cstheme="majorBidi"/>
          <w:b/>
          <w:bCs/>
          <w:i/>
          <w:szCs w:val="24"/>
        </w:rPr>
        <w:t>[adresse]</w:t>
      </w:r>
      <w:r w:rsidRPr="00A67F27">
        <w:rPr>
          <w:rFonts w:asciiTheme="majorBidi" w:hAnsiTheme="majorBidi" w:cstheme="majorBidi"/>
          <w:szCs w:val="24"/>
        </w:rPr>
        <w:t xml:space="preserve"> (ci-après dénommé </w:t>
      </w:r>
      <w:r w:rsidR="009B2302" w:rsidRPr="00A67F27">
        <w:rPr>
          <w:rFonts w:asciiTheme="majorBidi" w:hAnsiTheme="majorBidi" w:cstheme="majorBidi"/>
          <w:szCs w:val="24"/>
        </w:rPr>
        <w:t>« </w:t>
      </w:r>
      <w:r w:rsidRPr="00A67F27">
        <w:rPr>
          <w:rFonts w:asciiTheme="majorBidi" w:hAnsiTheme="majorBidi" w:cstheme="majorBidi"/>
          <w:szCs w:val="24"/>
        </w:rPr>
        <w:t>l’Entrepreneur</w:t>
      </w:r>
      <w:r w:rsidR="009B2302" w:rsidRPr="00A67F27">
        <w:rPr>
          <w:rFonts w:asciiTheme="majorBidi" w:hAnsiTheme="majorBidi" w:cstheme="majorBidi"/>
          <w:szCs w:val="24"/>
        </w:rPr>
        <w:t> »</w:t>
      </w:r>
      <w:r w:rsidRPr="00A67F27">
        <w:rPr>
          <w:rFonts w:asciiTheme="majorBidi" w:hAnsiTheme="majorBidi" w:cstheme="majorBidi"/>
          <w:szCs w:val="24"/>
        </w:rPr>
        <w:t>) d’autre part,</w:t>
      </w:r>
    </w:p>
    <w:p w14:paraId="59D75CC1" w14:textId="77777777" w:rsidR="000A450A" w:rsidRPr="00A67F27" w:rsidRDefault="000A450A" w:rsidP="00960482">
      <w:pPr>
        <w:spacing w:after="0"/>
        <w:ind w:left="0" w:firstLine="0"/>
        <w:rPr>
          <w:rFonts w:asciiTheme="majorBidi" w:hAnsiTheme="majorBidi" w:cstheme="majorBidi"/>
          <w:szCs w:val="24"/>
        </w:rPr>
      </w:pPr>
      <w:r w:rsidRPr="00A67F27">
        <w:rPr>
          <w:rFonts w:asciiTheme="majorBidi" w:hAnsiTheme="majorBidi" w:cstheme="majorBidi"/>
          <w:szCs w:val="24"/>
        </w:rPr>
        <w:t>Attendu</w:t>
      </w:r>
      <w:r w:rsidRPr="00A67F27">
        <w:rPr>
          <w:rFonts w:asciiTheme="majorBidi" w:hAnsiTheme="majorBidi" w:cstheme="majorBidi"/>
          <w:b/>
          <w:szCs w:val="24"/>
        </w:rPr>
        <w:t xml:space="preserve"> </w:t>
      </w:r>
      <w:r w:rsidRPr="00A67F27">
        <w:rPr>
          <w:rFonts w:asciiTheme="majorBidi" w:hAnsiTheme="majorBidi" w:cstheme="majorBidi"/>
          <w:szCs w:val="24"/>
        </w:rPr>
        <w:t xml:space="preserve">que le Maître de l’Ouvrage souhaite que certains Travaux soient exécutés par l’Entrepreneur, à savoir </w:t>
      </w:r>
      <w:r w:rsidRPr="00A67F27">
        <w:rPr>
          <w:rFonts w:asciiTheme="majorBidi" w:hAnsiTheme="majorBidi" w:cstheme="majorBidi"/>
          <w:b/>
          <w:bCs/>
          <w:i/>
          <w:szCs w:val="24"/>
        </w:rPr>
        <w:t>[nom]</w:t>
      </w:r>
      <w:r w:rsidRPr="00A67F27">
        <w:rPr>
          <w:rFonts w:asciiTheme="majorBidi" w:hAnsiTheme="majorBidi" w:cstheme="majorBidi"/>
          <w:i/>
          <w:szCs w:val="24"/>
        </w:rPr>
        <w:t>,</w:t>
      </w:r>
      <w:r w:rsidRPr="00A67F27">
        <w:rPr>
          <w:rFonts w:asciiTheme="majorBidi" w:hAnsiTheme="majorBidi" w:cstheme="majorBidi"/>
          <w:szCs w:val="24"/>
        </w:rPr>
        <w:t xml:space="preserve"> qu’il a accepté l’offre remise par l’Entrepreneur en vue de l’exécution et de l’achèvement desdits Travaux, et de la réparation de toutes les malfaçons y afférentes.</w:t>
      </w:r>
    </w:p>
    <w:p w14:paraId="360E4728" w14:textId="5F992FB8" w:rsidR="000A450A" w:rsidRPr="00A67F27" w:rsidRDefault="000A450A" w:rsidP="00960482">
      <w:pPr>
        <w:spacing w:after="0"/>
        <w:rPr>
          <w:rFonts w:asciiTheme="majorBidi" w:hAnsiTheme="majorBidi" w:cstheme="majorBidi"/>
          <w:szCs w:val="24"/>
        </w:rPr>
      </w:pPr>
      <w:r w:rsidRPr="00A67F27">
        <w:rPr>
          <w:rFonts w:asciiTheme="majorBidi" w:hAnsiTheme="majorBidi" w:cstheme="majorBidi"/>
          <w:szCs w:val="24"/>
        </w:rPr>
        <w:t>I1 a été convenu de ce qui suit</w:t>
      </w:r>
      <w:r w:rsidR="009B2302" w:rsidRPr="00A67F27">
        <w:rPr>
          <w:rFonts w:asciiTheme="majorBidi" w:hAnsiTheme="majorBidi" w:cstheme="majorBidi"/>
          <w:szCs w:val="24"/>
        </w:rPr>
        <w:t xml:space="preserve"> :</w:t>
      </w:r>
    </w:p>
    <w:p w14:paraId="5CCCAAB6" w14:textId="677BA352" w:rsidR="000A450A" w:rsidRPr="00A67F27" w:rsidRDefault="001D0A4A" w:rsidP="00960482">
      <w:pPr>
        <w:spacing w:after="0"/>
        <w:ind w:left="0" w:firstLine="0"/>
        <w:rPr>
          <w:rFonts w:asciiTheme="majorBidi" w:hAnsiTheme="majorBidi" w:cstheme="majorBidi"/>
          <w:szCs w:val="24"/>
        </w:rPr>
      </w:pPr>
      <w:r w:rsidRPr="00A67F27">
        <w:rPr>
          <w:rFonts w:asciiTheme="majorBidi" w:hAnsiTheme="majorBidi" w:cstheme="majorBidi"/>
          <w:szCs w:val="24"/>
        </w:rPr>
        <w:t>1.</w:t>
      </w:r>
      <w:r w:rsidRPr="00A67F27">
        <w:rPr>
          <w:rFonts w:asciiTheme="majorBidi" w:hAnsiTheme="majorBidi" w:cstheme="majorBidi"/>
          <w:szCs w:val="24"/>
        </w:rPr>
        <w:tab/>
      </w:r>
      <w:r w:rsidR="000A450A" w:rsidRPr="00A67F27">
        <w:rPr>
          <w:rFonts w:asciiTheme="majorBidi" w:hAnsiTheme="majorBidi" w:cstheme="majorBidi"/>
          <w:szCs w:val="24"/>
        </w:rPr>
        <w:t xml:space="preserve">Dans le présent Marché, les termes et expressions auront la signification qui leur est attribuée dans les </w:t>
      </w:r>
      <w:r w:rsidRPr="00A67F27">
        <w:rPr>
          <w:rFonts w:asciiTheme="majorBidi" w:hAnsiTheme="majorBidi" w:cstheme="majorBidi"/>
          <w:szCs w:val="24"/>
        </w:rPr>
        <w:t xml:space="preserve">documents du Marché </w:t>
      </w:r>
      <w:r w:rsidR="000A450A" w:rsidRPr="00A67F27">
        <w:rPr>
          <w:rFonts w:asciiTheme="majorBidi" w:hAnsiTheme="majorBidi" w:cstheme="majorBidi"/>
          <w:szCs w:val="24"/>
        </w:rPr>
        <w:t xml:space="preserve">dont la liste est donnée </w:t>
      </w:r>
      <w:r w:rsidR="00D41D68" w:rsidRPr="00A67F27">
        <w:rPr>
          <w:rFonts w:asciiTheme="majorBidi" w:hAnsiTheme="majorBidi" w:cstheme="majorBidi"/>
          <w:szCs w:val="24"/>
        </w:rPr>
        <w:t>ci-après</w:t>
      </w:r>
      <w:r w:rsidR="000A450A" w:rsidRPr="00A67F27">
        <w:rPr>
          <w:rFonts w:asciiTheme="majorBidi" w:hAnsiTheme="majorBidi" w:cstheme="majorBidi"/>
          <w:szCs w:val="24"/>
        </w:rPr>
        <w:t>.</w:t>
      </w:r>
    </w:p>
    <w:p w14:paraId="32BDF883" w14:textId="39939153" w:rsidR="000A450A" w:rsidRPr="00A67F27" w:rsidRDefault="001D0A4A" w:rsidP="00960482">
      <w:pPr>
        <w:spacing w:after="0"/>
        <w:ind w:left="0" w:firstLine="0"/>
        <w:rPr>
          <w:rFonts w:asciiTheme="majorBidi" w:hAnsiTheme="majorBidi" w:cstheme="majorBidi"/>
          <w:szCs w:val="24"/>
        </w:rPr>
      </w:pPr>
      <w:r w:rsidRPr="00A67F27">
        <w:rPr>
          <w:rFonts w:asciiTheme="majorBidi" w:hAnsiTheme="majorBidi" w:cstheme="majorBidi"/>
          <w:szCs w:val="24"/>
        </w:rPr>
        <w:t>2.</w:t>
      </w:r>
      <w:r w:rsidRPr="00A67F27">
        <w:rPr>
          <w:rFonts w:asciiTheme="majorBidi" w:hAnsiTheme="majorBidi" w:cstheme="majorBidi"/>
          <w:szCs w:val="24"/>
        </w:rPr>
        <w:tab/>
      </w:r>
      <w:r w:rsidR="000A450A" w:rsidRPr="00A67F27">
        <w:rPr>
          <w:rFonts w:asciiTheme="majorBidi" w:hAnsiTheme="majorBidi" w:cstheme="majorBidi"/>
          <w:szCs w:val="24"/>
        </w:rPr>
        <w:t xml:space="preserve">En </w:t>
      </w:r>
      <w:r w:rsidR="00A36015" w:rsidRPr="00A67F27">
        <w:rPr>
          <w:rFonts w:asciiTheme="majorBidi" w:hAnsiTheme="majorBidi" w:cstheme="majorBidi"/>
          <w:szCs w:val="24"/>
        </w:rPr>
        <w:t>sus</w:t>
      </w:r>
      <w:r w:rsidR="000A450A" w:rsidRPr="00A67F27">
        <w:rPr>
          <w:rFonts w:asciiTheme="majorBidi" w:hAnsiTheme="majorBidi" w:cstheme="majorBidi"/>
          <w:szCs w:val="24"/>
        </w:rPr>
        <w:t xml:space="preserve"> de l’Acte d’engagement</w:t>
      </w:r>
      <w:r w:rsidRPr="00A67F27">
        <w:rPr>
          <w:rFonts w:asciiTheme="majorBidi" w:hAnsiTheme="majorBidi" w:cstheme="majorBidi"/>
          <w:szCs w:val="24"/>
        </w:rPr>
        <w:t xml:space="preserve"> qui prévaut sur les autres documents du Marché</w:t>
      </w:r>
      <w:r w:rsidR="000A450A" w:rsidRPr="00A67F27">
        <w:rPr>
          <w:rFonts w:asciiTheme="majorBidi" w:hAnsiTheme="majorBidi" w:cstheme="majorBidi"/>
          <w:szCs w:val="24"/>
        </w:rPr>
        <w:t>, les pièces constitutives du Marché sont les suivantes</w:t>
      </w:r>
      <w:r w:rsidR="009B2302" w:rsidRPr="00A67F27">
        <w:rPr>
          <w:rFonts w:asciiTheme="majorBidi" w:hAnsiTheme="majorBidi" w:cstheme="majorBidi"/>
          <w:szCs w:val="24"/>
        </w:rPr>
        <w:t> :</w:t>
      </w:r>
    </w:p>
    <w:p w14:paraId="3CF37EC0" w14:textId="41795821" w:rsidR="000A450A" w:rsidRPr="00A67F27" w:rsidRDefault="00716EC4" w:rsidP="00960482">
      <w:pPr>
        <w:spacing w:after="0"/>
        <w:ind w:left="1440" w:hanging="720"/>
        <w:rPr>
          <w:rFonts w:asciiTheme="majorBidi" w:hAnsiTheme="majorBidi" w:cstheme="majorBidi"/>
          <w:szCs w:val="24"/>
        </w:rPr>
      </w:pPr>
      <w:r w:rsidRPr="00A67F27">
        <w:rPr>
          <w:rFonts w:asciiTheme="majorBidi" w:hAnsiTheme="majorBidi" w:cstheme="majorBidi"/>
          <w:szCs w:val="24"/>
        </w:rPr>
        <w:t>(</w:t>
      </w:r>
      <w:r w:rsidR="000A450A" w:rsidRPr="00A67F27">
        <w:rPr>
          <w:rFonts w:asciiTheme="majorBidi" w:hAnsiTheme="majorBidi" w:cstheme="majorBidi"/>
          <w:szCs w:val="24"/>
        </w:rPr>
        <w:t>a)</w:t>
      </w:r>
      <w:r w:rsidR="000A450A" w:rsidRPr="00A67F27">
        <w:rPr>
          <w:rFonts w:asciiTheme="majorBidi" w:hAnsiTheme="majorBidi" w:cstheme="majorBidi"/>
          <w:szCs w:val="24"/>
        </w:rPr>
        <w:tab/>
        <w:t xml:space="preserve">La Lettre de </w:t>
      </w:r>
      <w:r w:rsidR="001D0A4A" w:rsidRPr="00A67F27">
        <w:rPr>
          <w:rFonts w:asciiTheme="majorBidi" w:hAnsiTheme="majorBidi" w:cstheme="majorBidi"/>
          <w:szCs w:val="24"/>
        </w:rPr>
        <w:t>Notification d’attribution</w:t>
      </w:r>
      <w:r w:rsidR="009B2302" w:rsidRPr="00A67F27">
        <w:rPr>
          <w:rFonts w:asciiTheme="majorBidi" w:hAnsiTheme="majorBidi" w:cstheme="majorBidi"/>
          <w:szCs w:val="24"/>
        </w:rPr>
        <w:t> ;</w:t>
      </w:r>
    </w:p>
    <w:p w14:paraId="64525853" w14:textId="5BEBAFE3" w:rsidR="000A450A" w:rsidRPr="00A67F27" w:rsidRDefault="00716EC4" w:rsidP="00960482">
      <w:pPr>
        <w:spacing w:after="0"/>
        <w:ind w:left="1440" w:hanging="720"/>
        <w:rPr>
          <w:rFonts w:asciiTheme="majorBidi" w:hAnsiTheme="majorBidi" w:cstheme="majorBidi"/>
          <w:szCs w:val="24"/>
        </w:rPr>
      </w:pPr>
      <w:r w:rsidRPr="00A67F27">
        <w:rPr>
          <w:rFonts w:asciiTheme="majorBidi" w:hAnsiTheme="majorBidi" w:cstheme="majorBidi"/>
          <w:szCs w:val="24"/>
        </w:rPr>
        <w:t>(</w:t>
      </w:r>
      <w:r w:rsidR="000A450A" w:rsidRPr="00A67F27">
        <w:rPr>
          <w:rFonts w:asciiTheme="majorBidi" w:hAnsiTheme="majorBidi" w:cstheme="majorBidi"/>
          <w:szCs w:val="24"/>
        </w:rPr>
        <w:t>b)</w:t>
      </w:r>
      <w:r w:rsidR="000A450A" w:rsidRPr="00A67F27">
        <w:rPr>
          <w:rFonts w:asciiTheme="majorBidi" w:hAnsiTheme="majorBidi" w:cstheme="majorBidi"/>
          <w:szCs w:val="24"/>
        </w:rPr>
        <w:tab/>
        <w:t xml:space="preserve">La </w:t>
      </w:r>
      <w:r w:rsidR="00187E58" w:rsidRPr="00A67F27">
        <w:rPr>
          <w:rFonts w:asciiTheme="majorBidi" w:hAnsiTheme="majorBidi" w:cstheme="majorBidi"/>
          <w:szCs w:val="24"/>
        </w:rPr>
        <w:t xml:space="preserve">Lettre de </w:t>
      </w:r>
      <w:r w:rsidR="000A450A" w:rsidRPr="00A67F27">
        <w:rPr>
          <w:rFonts w:asciiTheme="majorBidi" w:hAnsiTheme="majorBidi" w:cstheme="majorBidi"/>
          <w:szCs w:val="24"/>
        </w:rPr>
        <w:t>Soumission</w:t>
      </w:r>
      <w:r w:rsidR="009B2302" w:rsidRPr="00A67F27">
        <w:rPr>
          <w:rFonts w:asciiTheme="majorBidi" w:hAnsiTheme="majorBidi" w:cstheme="majorBidi"/>
          <w:szCs w:val="24"/>
        </w:rPr>
        <w:t> ;</w:t>
      </w:r>
    </w:p>
    <w:p w14:paraId="6C32BE04" w14:textId="48ADDB87" w:rsidR="001D0A4A" w:rsidRPr="00A67F27" w:rsidRDefault="00716EC4" w:rsidP="00960482">
      <w:pPr>
        <w:spacing w:after="0"/>
        <w:ind w:left="1440" w:hanging="720"/>
        <w:rPr>
          <w:rFonts w:asciiTheme="majorBidi" w:hAnsiTheme="majorBidi" w:cstheme="majorBidi"/>
          <w:szCs w:val="24"/>
        </w:rPr>
      </w:pPr>
      <w:r w:rsidRPr="00A67F27">
        <w:rPr>
          <w:rFonts w:asciiTheme="majorBidi" w:hAnsiTheme="majorBidi" w:cstheme="majorBidi"/>
          <w:szCs w:val="24"/>
        </w:rPr>
        <w:t>(</w:t>
      </w:r>
      <w:r w:rsidR="000A450A" w:rsidRPr="00A67F27">
        <w:rPr>
          <w:rFonts w:asciiTheme="majorBidi" w:hAnsiTheme="majorBidi" w:cstheme="majorBidi"/>
          <w:szCs w:val="24"/>
        </w:rPr>
        <w:t>c)</w:t>
      </w:r>
      <w:r w:rsidR="000A450A" w:rsidRPr="00A67F27">
        <w:rPr>
          <w:rFonts w:asciiTheme="majorBidi" w:hAnsiTheme="majorBidi" w:cstheme="majorBidi"/>
          <w:szCs w:val="24"/>
        </w:rPr>
        <w:tab/>
      </w:r>
      <w:r w:rsidR="001D0A4A" w:rsidRPr="00A67F27">
        <w:rPr>
          <w:rFonts w:asciiTheme="majorBidi" w:hAnsiTheme="majorBidi" w:cstheme="majorBidi"/>
          <w:szCs w:val="24"/>
        </w:rPr>
        <w:t>les additifs No.</w:t>
      </w:r>
      <w:r w:rsidRPr="00A67F27">
        <w:rPr>
          <w:rFonts w:asciiTheme="majorBidi" w:hAnsiTheme="majorBidi" w:cstheme="majorBidi"/>
          <w:szCs w:val="24"/>
        </w:rPr>
        <w:t xml:space="preserve"> </w:t>
      </w:r>
      <w:r w:rsidR="001D0A4A" w:rsidRPr="00A67F27">
        <w:rPr>
          <w:rFonts w:asciiTheme="majorBidi" w:hAnsiTheme="majorBidi" w:cstheme="majorBidi"/>
          <w:szCs w:val="24"/>
        </w:rPr>
        <w:t>______</w:t>
      </w:r>
      <w:r w:rsidRPr="00A67F27">
        <w:rPr>
          <w:rFonts w:asciiTheme="majorBidi" w:hAnsiTheme="majorBidi" w:cstheme="majorBidi"/>
          <w:szCs w:val="24"/>
        </w:rPr>
        <w:t xml:space="preserve"> </w:t>
      </w:r>
      <w:r w:rsidR="001D0A4A" w:rsidRPr="00A67F27">
        <w:rPr>
          <w:rFonts w:asciiTheme="majorBidi" w:hAnsiTheme="majorBidi" w:cstheme="majorBidi"/>
          <w:szCs w:val="24"/>
        </w:rPr>
        <w:t>(le cas échéant)</w:t>
      </w:r>
    </w:p>
    <w:p w14:paraId="46135A6B" w14:textId="5C4DD671" w:rsidR="000A450A" w:rsidRPr="00A67F27" w:rsidRDefault="00716EC4" w:rsidP="00960482">
      <w:pPr>
        <w:spacing w:after="0"/>
        <w:ind w:left="1440" w:hanging="720"/>
        <w:rPr>
          <w:rFonts w:asciiTheme="majorBidi" w:hAnsiTheme="majorBidi" w:cstheme="majorBidi"/>
          <w:szCs w:val="24"/>
        </w:rPr>
      </w:pPr>
      <w:r w:rsidRPr="00A67F27">
        <w:rPr>
          <w:rFonts w:asciiTheme="majorBidi" w:hAnsiTheme="majorBidi" w:cstheme="majorBidi"/>
          <w:szCs w:val="24"/>
        </w:rPr>
        <w:t>(</w:t>
      </w:r>
      <w:r w:rsidR="001D0A4A" w:rsidRPr="00A67F27">
        <w:rPr>
          <w:rFonts w:asciiTheme="majorBidi" w:hAnsiTheme="majorBidi" w:cstheme="majorBidi"/>
          <w:szCs w:val="24"/>
        </w:rPr>
        <w:t>d)</w:t>
      </w:r>
      <w:r w:rsidR="001D0A4A" w:rsidRPr="00A67F27">
        <w:rPr>
          <w:rFonts w:asciiTheme="majorBidi" w:hAnsiTheme="majorBidi" w:cstheme="majorBidi"/>
          <w:szCs w:val="24"/>
        </w:rPr>
        <w:tab/>
      </w:r>
      <w:r w:rsidR="000A450A" w:rsidRPr="00A67F27">
        <w:rPr>
          <w:rFonts w:asciiTheme="majorBidi" w:hAnsiTheme="majorBidi" w:cstheme="majorBidi"/>
          <w:szCs w:val="24"/>
        </w:rPr>
        <w:t>Le Cahier des Clauses administratives particulières</w:t>
      </w:r>
      <w:r w:rsidR="009B2302" w:rsidRPr="00A67F27">
        <w:rPr>
          <w:rFonts w:asciiTheme="majorBidi" w:hAnsiTheme="majorBidi" w:cstheme="majorBidi"/>
          <w:szCs w:val="24"/>
        </w:rPr>
        <w:t> ;</w:t>
      </w:r>
    </w:p>
    <w:p w14:paraId="450D1203" w14:textId="692FC03E" w:rsidR="001D0A4A" w:rsidRPr="00A67F27" w:rsidRDefault="00716EC4" w:rsidP="00960482">
      <w:pPr>
        <w:spacing w:after="0"/>
        <w:ind w:left="1440" w:hanging="720"/>
        <w:rPr>
          <w:rFonts w:asciiTheme="majorBidi" w:hAnsiTheme="majorBidi" w:cstheme="majorBidi"/>
          <w:szCs w:val="24"/>
        </w:rPr>
      </w:pPr>
      <w:r w:rsidRPr="00A67F27">
        <w:rPr>
          <w:rFonts w:asciiTheme="majorBidi" w:hAnsiTheme="majorBidi" w:cstheme="majorBidi"/>
          <w:szCs w:val="24"/>
        </w:rPr>
        <w:t>(</w:t>
      </w:r>
      <w:r w:rsidR="001D0A4A" w:rsidRPr="00A67F27">
        <w:rPr>
          <w:rFonts w:asciiTheme="majorBidi" w:hAnsiTheme="majorBidi" w:cstheme="majorBidi"/>
          <w:szCs w:val="24"/>
        </w:rPr>
        <w:t>e</w:t>
      </w:r>
      <w:r w:rsidR="000A450A" w:rsidRPr="00A67F27">
        <w:rPr>
          <w:rFonts w:asciiTheme="majorBidi" w:hAnsiTheme="majorBidi" w:cstheme="majorBidi"/>
          <w:szCs w:val="24"/>
        </w:rPr>
        <w:t>)</w:t>
      </w:r>
      <w:r w:rsidR="000A450A" w:rsidRPr="00A67F27">
        <w:rPr>
          <w:rFonts w:asciiTheme="majorBidi" w:hAnsiTheme="majorBidi" w:cstheme="majorBidi"/>
          <w:szCs w:val="24"/>
        </w:rPr>
        <w:tab/>
      </w:r>
      <w:r w:rsidR="001D0A4A" w:rsidRPr="00A67F27">
        <w:rPr>
          <w:rFonts w:asciiTheme="majorBidi" w:hAnsiTheme="majorBidi" w:cstheme="majorBidi"/>
          <w:szCs w:val="24"/>
        </w:rPr>
        <w:t>Le Cahier des Clauses administratives générales</w:t>
      </w:r>
      <w:r w:rsidR="009B2302" w:rsidRPr="00A67F27">
        <w:rPr>
          <w:rFonts w:asciiTheme="majorBidi" w:hAnsiTheme="majorBidi" w:cstheme="majorBidi"/>
          <w:szCs w:val="24"/>
        </w:rPr>
        <w:t> ;</w:t>
      </w:r>
    </w:p>
    <w:p w14:paraId="6F8094C8" w14:textId="77B15129" w:rsidR="000A450A" w:rsidRPr="00A67F27" w:rsidRDefault="00716EC4" w:rsidP="00960482">
      <w:pPr>
        <w:spacing w:after="0"/>
        <w:ind w:left="1440" w:hanging="720"/>
        <w:rPr>
          <w:rFonts w:asciiTheme="majorBidi" w:hAnsiTheme="majorBidi" w:cstheme="majorBidi"/>
          <w:szCs w:val="24"/>
        </w:rPr>
      </w:pPr>
      <w:r w:rsidRPr="00A67F27">
        <w:rPr>
          <w:rFonts w:asciiTheme="majorBidi" w:hAnsiTheme="majorBidi" w:cstheme="majorBidi"/>
          <w:szCs w:val="24"/>
        </w:rPr>
        <w:t>(</w:t>
      </w:r>
      <w:r w:rsidR="001D0A4A" w:rsidRPr="00A67F27">
        <w:rPr>
          <w:rFonts w:asciiTheme="majorBidi" w:hAnsiTheme="majorBidi" w:cstheme="majorBidi"/>
          <w:szCs w:val="24"/>
        </w:rPr>
        <w:t>f)</w:t>
      </w:r>
      <w:r w:rsidR="001D0A4A" w:rsidRPr="00A67F27">
        <w:rPr>
          <w:rFonts w:asciiTheme="majorBidi" w:hAnsiTheme="majorBidi" w:cstheme="majorBidi"/>
          <w:szCs w:val="24"/>
        </w:rPr>
        <w:tab/>
      </w:r>
      <w:r w:rsidR="000A450A" w:rsidRPr="00A67F27">
        <w:rPr>
          <w:rFonts w:asciiTheme="majorBidi" w:hAnsiTheme="majorBidi" w:cstheme="majorBidi"/>
          <w:szCs w:val="24"/>
        </w:rPr>
        <w:t>Les spécifications techniques</w:t>
      </w:r>
      <w:r w:rsidR="009B2302" w:rsidRPr="00A67F27">
        <w:rPr>
          <w:rFonts w:asciiTheme="majorBidi" w:hAnsiTheme="majorBidi" w:cstheme="majorBidi"/>
          <w:szCs w:val="24"/>
        </w:rPr>
        <w:t> ;</w:t>
      </w:r>
    </w:p>
    <w:p w14:paraId="32D8BBA9" w14:textId="460A4058" w:rsidR="000A450A" w:rsidRPr="00A67F27" w:rsidRDefault="00716EC4" w:rsidP="00960482">
      <w:pPr>
        <w:spacing w:after="0"/>
        <w:ind w:left="1440" w:hanging="720"/>
        <w:rPr>
          <w:rFonts w:asciiTheme="majorBidi" w:hAnsiTheme="majorBidi" w:cstheme="majorBidi"/>
          <w:szCs w:val="24"/>
        </w:rPr>
      </w:pPr>
      <w:r w:rsidRPr="00A67F27">
        <w:rPr>
          <w:rFonts w:asciiTheme="majorBidi" w:hAnsiTheme="majorBidi" w:cstheme="majorBidi"/>
          <w:szCs w:val="24"/>
        </w:rPr>
        <w:t>(</w:t>
      </w:r>
      <w:r w:rsidR="001D0A4A" w:rsidRPr="00A67F27">
        <w:rPr>
          <w:rFonts w:asciiTheme="majorBidi" w:hAnsiTheme="majorBidi" w:cstheme="majorBidi"/>
          <w:szCs w:val="24"/>
        </w:rPr>
        <w:t>g</w:t>
      </w:r>
      <w:r w:rsidR="000A450A" w:rsidRPr="00A67F27">
        <w:rPr>
          <w:rFonts w:asciiTheme="majorBidi" w:hAnsiTheme="majorBidi" w:cstheme="majorBidi"/>
          <w:szCs w:val="24"/>
        </w:rPr>
        <w:t>)</w:t>
      </w:r>
      <w:r w:rsidR="000A450A" w:rsidRPr="00A67F27">
        <w:rPr>
          <w:rFonts w:asciiTheme="majorBidi" w:hAnsiTheme="majorBidi" w:cstheme="majorBidi"/>
          <w:szCs w:val="24"/>
        </w:rPr>
        <w:tab/>
        <w:t>Les plans et dessins</w:t>
      </w:r>
      <w:r w:rsidR="009B2302" w:rsidRPr="00A67F27">
        <w:rPr>
          <w:rFonts w:asciiTheme="majorBidi" w:hAnsiTheme="majorBidi" w:cstheme="majorBidi"/>
          <w:szCs w:val="24"/>
        </w:rPr>
        <w:t> ;</w:t>
      </w:r>
      <w:r w:rsidR="000A450A" w:rsidRPr="00A67F27">
        <w:rPr>
          <w:rFonts w:asciiTheme="majorBidi" w:hAnsiTheme="majorBidi" w:cstheme="majorBidi"/>
          <w:szCs w:val="24"/>
        </w:rPr>
        <w:t xml:space="preserve"> </w:t>
      </w:r>
    </w:p>
    <w:p w14:paraId="152F833B" w14:textId="391290A0" w:rsidR="000A450A" w:rsidRPr="00A67F27" w:rsidRDefault="00716EC4" w:rsidP="00960482">
      <w:pPr>
        <w:spacing w:after="0"/>
        <w:ind w:left="1440" w:hanging="720"/>
        <w:rPr>
          <w:rFonts w:asciiTheme="majorBidi" w:hAnsiTheme="majorBidi" w:cstheme="majorBidi"/>
          <w:szCs w:val="24"/>
        </w:rPr>
      </w:pPr>
      <w:r w:rsidRPr="00A67F27">
        <w:rPr>
          <w:rFonts w:asciiTheme="majorBidi" w:hAnsiTheme="majorBidi" w:cstheme="majorBidi"/>
          <w:szCs w:val="24"/>
        </w:rPr>
        <w:t>(</w:t>
      </w:r>
      <w:r w:rsidR="001D0A4A" w:rsidRPr="00A67F27">
        <w:rPr>
          <w:rFonts w:asciiTheme="majorBidi" w:hAnsiTheme="majorBidi" w:cstheme="majorBidi"/>
          <w:szCs w:val="24"/>
        </w:rPr>
        <w:t>h</w:t>
      </w:r>
      <w:r w:rsidR="000A450A" w:rsidRPr="00A67F27">
        <w:rPr>
          <w:rFonts w:asciiTheme="majorBidi" w:hAnsiTheme="majorBidi" w:cstheme="majorBidi"/>
          <w:szCs w:val="24"/>
        </w:rPr>
        <w:t>)</w:t>
      </w:r>
      <w:r w:rsidR="000A450A" w:rsidRPr="00A67F27">
        <w:rPr>
          <w:rFonts w:asciiTheme="majorBidi" w:hAnsiTheme="majorBidi" w:cstheme="majorBidi"/>
          <w:szCs w:val="24"/>
        </w:rPr>
        <w:tab/>
        <w:t>Le Bordereau des prix et le Détail quantitatif et estimatif</w:t>
      </w:r>
      <w:r w:rsidR="009B2302" w:rsidRPr="00A67F27">
        <w:rPr>
          <w:rFonts w:asciiTheme="majorBidi" w:hAnsiTheme="majorBidi" w:cstheme="majorBidi"/>
          <w:szCs w:val="24"/>
        </w:rPr>
        <w:t> ;</w:t>
      </w:r>
      <w:r w:rsidR="001926ED" w:rsidRPr="00A67F27">
        <w:rPr>
          <w:rStyle w:val="Appelnotedebasdep"/>
          <w:rFonts w:asciiTheme="majorBidi" w:hAnsiTheme="majorBidi" w:cstheme="majorBidi"/>
          <w:szCs w:val="24"/>
        </w:rPr>
        <w:footnoteReference w:id="31"/>
      </w:r>
    </w:p>
    <w:p w14:paraId="1A01DC9C" w14:textId="3FAB011A" w:rsidR="000A450A" w:rsidRPr="00442531" w:rsidRDefault="00716EC4" w:rsidP="00960482">
      <w:pPr>
        <w:spacing w:after="0"/>
        <w:ind w:left="1440" w:hanging="720"/>
        <w:rPr>
          <w:rFonts w:asciiTheme="majorBidi" w:hAnsiTheme="majorBidi" w:cstheme="majorBidi"/>
          <w:szCs w:val="24"/>
        </w:rPr>
      </w:pPr>
      <w:r w:rsidRPr="00A67F27">
        <w:rPr>
          <w:rFonts w:asciiTheme="majorBidi" w:hAnsiTheme="majorBidi" w:cstheme="majorBidi"/>
          <w:szCs w:val="24"/>
        </w:rPr>
        <w:t>(</w:t>
      </w:r>
      <w:r w:rsidR="001D0A4A" w:rsidRPr="00435C9E">
        <w:rPr>
          <w:rFonts w:asciiTheme="majorBidi" w:hAnsiTheme="majorBidi" w:cstheme="majorBidi"/>
          <w:szCs w:val="24"/>
        </w:rPr>
        <w:t>i</w:t>
      </w:r>
      <w:r w:rsidR="000A450A" w:rsidRPr="001627D7">
        <w:rPr>
          <w:rFonts w:asciiTheme="majorBidi" w:hAnsiTheme="majorBidi" w:cstheme="majorBidi"/>
          <w:szCs w:val="24"/>
        </w:rPr>
        <w:t>)</w:t>
      </w:r>
      <w:r w:rsidR="000A450A" w:rsidRPr="001627D7">
        <w:rPr>
          <w:rFonts w:asciiTheme="majorBidi" w:hAnsiTheme="majorBidi" w:cstheme="majorBidi"/>
          <w:szCs w:val="24"/>
        </w:rPr>
        <w:tab/>
        <w:t xml:space="preserve">Les autres pièces </w:t>
      </w:r>
      <w:r w:rsidR="001D0A4A" w:rsidRPr="00043C85">
        <w:rPr>
          <w:rFonts w:asciiTheme="majorBidi" w:hAnsiTheme="majorBidi" w:cstheme="majorBidi"/>
          <w:szCs w:val="24"/>
        </w:rPr>
        <w:t xml:space="preserve">dont la </w:t>
      </w:r>
      <w:r w:rsidR="001D0A4A" w:rsidRPr="00EB4FEC">
        <w:rPr>
          <w:rFonts w:asciiTheme="majorBidi" w:hAnsiTheme="majorBidi" w:cstheme="majorBidi"/>
          <w:b/>
          <w:bCs/>
          <w:szCs w:val="24"/>
        </w:rPr>
        <w:t>liste figure au CCAP</w:t>
      </w:r>
      <w:r w:rsidR="001D0A4A" w:rsidRPr="00442531">
        <w:rPr>
          <w:rFonts w:asciiTheme="majorBidi" w:hAnsiTheme="majorBidi" w:cstheme="majorBidi"/>
          <w:szCs w:val="24"/>
        </w:rPr>
        <w:t xml:space="preserve"> comme formant partie du Marché</w:t>
      </w:r>
      <w:r w:rsidR="000A450A" w:rsidRPr="00442531">
        <w:rPr>
          <w:rFonts w:asciiTheme="majorBidi" w:hAnsiTheme="majorBidi" w:cstheme="majorBidi"/>
          <w:szCs w:val="24"/>
        </w:rPr>
        <w:t>.</w:t>
      </w:r>
    </w:p>
    <w:p w14:paraId="5C1980D6" w14:textId="13A596F9" w:rsidR="000A450A" w:rsidRPr="00835449" w:rsidRDefault="001926ED" w:rsidP="00960482">
      <w:pPr>
        <w:spacing w:after="0"/>
        <w:ind w:left="0" w:firstLine="0"/>
        <w:rPr>
          <w:rFonts w:asciiTheme="majorBidi" w:hAnsiTheme="majorBidi" w:cstheme="majorBidi"/>
          <w:szCs w:val="24"/>
        </w:rPr>
      </w:pPr>
      <w:r w:rsidRPr="00442531">
        <w:rPr>
          <w:rFonts w:asciiTheme="majorBidi" w:hAnsiTheme="majorBidi" w:cstheme="majorBidi"/>
          <w:szCs w:val="24"/>
        </w:rPr>
        <w:t>3.</w:t>
      </w:r>
      <w:r w:rsidRPr="00442531">
        <w:rPr>
          <w:rFonts w:asciiTheme="majorBidi" w:hAnsiTheme="majorBidi" w:cstheme="majorBidi"/>
          <w:szCs w:val="24"/>
        </w:rPr>
        <w:tab/>
      </w:r>
      <w:r w:rsidR="000A450A" w:rsidRPr="00132A9B">
        <w:rPr>
          <w:rFonts w:asciiTheme="majorBidi" w:hAnsiTheme="majorBidi" w:cstheme="majorBidi"/>
          <w:szCs w:val="24"/>
        </w:rPr>
        <w:t>En contrepartie des paiements à effectuer par le Maître de l’Ouvra</w:t>
      </w:r>
      <w:r w:rsidR="000A450A" w:rsidRPr="00835449">
        <w:rPr>
          <w:rFonts w:asciiTheme="majorBidi" w:hAnsiTheme="majorBidi" w:cstheme="majorBidi"/>
          <w:szCs w:val="24"/>
        </w:rPr>
        <w:t>ge à l’Entrepreneur, comme mentionné ci-après, l’Entrepreneur s’engage à exécuter les Travaux et à reprendre toutes les malfaçons y afférentes en conformité absolue avec les dispositions du Marché.</w:t>
      </w:r>
    </w:p>
    <w:p w14:paraId="59707AF1" w14:textId="008146C6" w:rsidR="000A450A" w:rsidRPr="008432AC" w:rsidRDefault="0066197E" w:rsidP="00960482">
      <w:pPr>
        <w:spacing w:after="0"/>
        <w:ind w:left="0" w:firstLine="0"/>
        <w:rPr>
          <w:rFonts w:asciiTheme="majorBidi" w:hAnsiTheme="majorBidi" w:cstheme="majorBidi"/>
          <w:szCs w:val="24"/>
        </w:rPr>
      </w:pPr>
      <w:r w:rsidRPr="00D6752B">
        <w:rPr>
          <w:rFonts w:asciiTheme="majorBidi" w:hAnsiTheme="majorBidi" w:cstheme="majorBidi"/>
          <w:szCs w:val="24"/>
        </w:rPr>
        <w:t>4.</w:t>
      </w:r>
      <w:r w:rsidRPr="00D6752B">
        <w:rPr>
          <w:rFonts w:asciiTheme="majorBidi" w:hAnsiTheme="majorBidi" w:cstheme="majorBidi"/>
          <w:szCs w:val="24"/>
        </w:rPr>
        <w:tab/>
      </w:r>
      <w:r w:rsidR="000A450A" w:rsidRPr="00013AB1">
        <w:rPr>
          <w:rFonts w:asciiTheme="majorBidi" w:hAnsiTheme="majorBidi" w:cstheme="majorBidi"/>
          <w:szCs w:val="24"/>
        </w:rPr>
        <w:t>Le Maître de l’Ouvrage s’engage à payer à l’Entrepreneu</w:t>
      </w:r>
      <w:r w:rsidR="000A450A" w:rsidRPr="00AB61F2">
        <w:rPr>
          <w:rFonts w:asciiTheme="majorBidi" w:hAnsiTheme="majorBidi" w:cstheme="majorBidi"/>
          <w:szCs w:val="24"/>
        </w:rPr>
        <w:t>r, à titre de r</w:t>
      </w:r>
      <w:r w:rsidR="00A36015" w:rsidRPr="008432AC">
        <w:rPr>
          <w:rFonts w:asciiTheme="majorBidi" w:hAnsiTheme="majorBidi" w:cstheme="majorBidi"/>
          <w:szCs w:val="24"/>
        </w:rPr>
        <w:t>èglement</w:t>
      </w:r>
      <w:r w:rsidR="000A450A" w:rsidRPr="008432AC">
        <w:rPr>
          <w:rFonts w:asciiTheme="majorBidi" w:hAnsiTheme="majorBidi" w:cstheme="majorBidi"/>
          <w:szCs w:val="24"/>
        </w:rPr>
        <w:t xml:space="preserve"> pour l’exécution et l’achèvement des Travaux et la reprise des malfaçons y afférentes, les sommes prévues au Marché ou toutes autres sommes qui peuvent être </w:t>
      </w:r>
      <w:r w:rsidR="00A36015" w:rsidRPr="008432AC">
        <w:rPr>
          <w:rFonts w:asciiTheme="majorBidi" w:hAnsiTheme="majorBidi" w:cstheme="majorBidi"/>
          <w:szCs w:val="24"/>
        </w:rPr>
        <w:t>dues</w:t>
      </w:r>
      <w:r w:rsidR="000A450A" w:rsidRPr="008432AC">
        <w:rPr>
          <w:rFonts w:asciiTheme="majorBidi" w:hAnsiTheme="majorBidi" w:cstheme="majorBidi"/>
          <w:szCs w:val="24"/>
        </w:rPr>
        <w:t xml:space="preserve"> au titre des dispositions du Marché, et de la manière stipulée au Marché.</w:t>
      </w:r>
    </w:p>
    <w:p w14:paraId="62FF12C3" w14:textId="6CAD0268" w:rsidR="00BF617C" w:rsidRPr="006B4D71" w:rsidRDefault="00BF617C" w:rsidP="00960482">
      <w:pPr>
        <w:pStyle w:val="Normalcentr"/>
        <w:ind w:left="720" w:right="288"/>
        <w:rPr>
          <w:rFonts w:ascii="Times New Roman" w:hAnsi="Times New Roman" w:cs="Times New Roman"/>
          <w:sz w:val="24"/>
          <w:lang w:val="fr-FR"/>
        </w:rPr>
      </w:pPr>
      <w:r w:rsidRPr="000179A1">
        <w:rPr>
          <w:rFonts w:ascii="Times New Roman" w:hAnsi="Times New Roman" w:cs="Times New Roman"/>
          <w:b w:val="0"/>
          <w:bCs w:val="0"/>
          <w:i w:val="0"/>
          <w:iCs w:val="0"/>
          <w:sz w:val="24"/>
          <w:lang w:val="fr-FR"/>
        </w:rPr>
        <w:t xml:space="preserve">EN FOI DE QUOI les parties ont conclu cet Acte pour </w:t>
      </w:r>
      <w:r w:rsidR="00F1176D" w:rsidRPr="00BE476D">
        <w:rPr>
          <w:rFonts w:ascii="Times New Roman" w:hAnsi="Times New Roman" w:cs="Times New Roman"/>
          <w:b w:val="0"/>
          <w:bCs w:val="0"/>
          <w:i w:val="0"/>
          <w:iCs w:val="0"/>
          <w:sz w:val="24"/>
          <w:lang w:val="fr-FR"/>
        </w:rPr>
        <w:t>exécution</w:t>
      </w:r>
      <w:r w:rsidRPr="00B72915">
        <w:rPr>
          <w:rFonts w:ascii="Times New Roman" w:hAnsi="Times New Roman" w:cs="Times New Roman"/>
          <w:b w:val="0"/>
          <w:bCs w:val="0"/>
          <w:i w:val="0"/>
          <w:iCs w:val="0"/>
          <w:sz w:val="24"/>
          <w:lang w:val="fr-FR"/>
        </w:rPr>
        <w:t xml:space="preserve"> selon la Loi de …………. </w:t>
      </w:r>
      <w:r w:rsidRPr="00920320">
        <w:rPr>
          <w:rFonts w:ascii="Times New Roman" w:hAnsi="Times New Roman" w:cs="Times New Roman"/>
          <w:bCs w:val="0"/>
          <w:iCs w:val="0"/>
          <w:sz w:val="24"/>
          <w:lang w:val="fr-FR"/>
        </w:rPr>
        <w:t>[insérer le pays de l’Emprunteur</w:t>
      </w:r>
      <w:r w:rsidRPr="00677D2F">
        <w:rPr>
          <w:rFonts w:ascii="Times New Roman" w:hAnsi="Times New Roman" w:cs="Times New Roman"/>
          <w:b w:val="0"/>
          <w:bCs w:val="0"/>
          <w:i w:val="0"/>
          <w:iCs w:val="0"/>
          <w:sz w:val="24"/>
          <w:lang w:val="fr-FR"/>
        </w:rPr>
        <w:t>]  … le jour, mois et années ci-dessus.</w:t>
      </w:r>
    </w:p>
    <w:tbl>
      <w:tblPr>
        <w:tblW w:w="9468" w:type="dxa"/>
        <w:tblBorders>
          <w:bottom w:val="dotted" w:sz="4" w:space="0" w:color="auto"/>
        </w:tblBorders>
        <w:tblLook w:val="01E0" w:firstRow="1" w:lastRow="1" w:firstColumn="1" w:lastColumn="1" w:noHBand="0" w:noVBand="0"/>
      </w:tblPr>
      <w:tblGrid>
        <w:gridCol w:w="1728"/>
        <w:gridCol w:w="2652"/>
        <w:gridCol w:w="1758"/>
        <w:gridCol w:w="3330"/>
      </w:tblGrid>
      <w:tr w:rsidR="00BF617C" w:rsidRPr="00A67F27" w14:paraId="5EF04B71" w14:textId="77777777" w:rsidTr="008C0DBB">
        <w:trPr>
          <w:trHeight w:val="629"/>
        </w:trPr>
        <w:tc>
          <w:tcPr>
            <w:tcW w:w="1728" w:type="dxa"/>
            <w:vAlign w:val="bottom"/>
          </w:tcPr>
          <w:p w14:paraId="30DB6EAF" w14:textId="77777777" w:rsidR="00BF617C" w:rsidRPr="00DB19E8" w:rsidRDefault="00BF617C" w:rsidP="00960482">
            <w:pPr>
              <w:tabs>
                <w:tab w:val="right" w:leader="dot" w:pos="4500"/>
                <w:tab w:val="left" w:pos="5040"/>
                <w:tab w:val="right" w:leader="dot" w:pos="9360"/>
              </w:tabs>
              <w:spacing w:after="0"/>
              <w:ind w:left="578" w:hanging="578"/>
              <w:jc w:val="right"/>
            </w:pPr>
            <w:r w:rsidRPr="00DB19E8">
              <w:t>Signé par:</w:t>
            </w:r>
          </w:p>
        </w:tc>
        <w:tc>
          <w:tcPr>
            <w:tcW w:w="2652" w:type="dxa"/>
            <w:tcBorders>
              <w:bottom w:val="dotted" w:sz="4" w:space="0" w:color="auto"/>
            </w:tcBorders>
            <w:vAlign w:val="bottom"/>
          </w:tcPr>
          <w:p w14:paraId="6D320FB4" w14:textId="77777777" w:rsidR="00BF617C" w:rsidRPr="00DB19E8" w:rsidRDefault="00BF617C" w:rsidP="00960482">
            <w:pPr>
              <w:tabs>
                <w:tab w:val="right" w:leader="dot" w:pos="4500"/>
                <w:tab w:val="left" w:pos="5040"/>
                <w:tab w:val="right" w:leader="dot" w:pos="9360"/>
              </w:tabs>
              <w:spacing w:after="0"/>
              <w:ind w:left="578" w:right="288" w:hanging="578"/>
              <w:jc w:val="right"/>
            </w:pPr>
          </w:p>
        </w:tc>
        <w:tc>
          <w:tcPr>
            <w:tcW w:w="1758" w:type="dxa"/>
            <w:vAlign w:val="bottom"/>
          </w:tcPr>
          <w:p w14:paraId="34916E51" w14:textId="77777777" w:rsidR="00BF617C" w:rsidRPr="00DB19E8" w:rsidRDefault="00BF617C" w:rsidP="00960482">
            <w:pPr>
              <w:tabs>
                <w:tab w:val="right" w:leader="dot" w:pos="4500"/>
                <w:tab w:val="left" w:pos="5040"/>
                <w:tab w:val="right" w:leader="dot" w:pos="9360"/>
              </w:tabs>
              <w:spacing w:after="0"/>
              <w:ind w:left="578" w:right="-108" w:hanging="578"/>
              <w:jc w:val="right"/>
            </w:pPr>
            <w:r w:rsidRPr="00DB19E8">
              <w:t>Signé par:</w:t>
            </w:r>
          </w:p>
        </w:tc>
        <w:tc>
          <w:tcPr>
            <w:tcW w:w="3330" w:type="dxa"/>
            <w:tcBorders>
              <w:bottom w:val="dotted" w:sz="4" w:space="0" w:color="auto"/>
            </w:tcBorders>
            <w:vAlign w:val="bottom"/>
          </w:tcPr>
          <w:p w14:paraId="4A41F211" w14:textId="77777777" w:rsidR="00BF617C" w:rsidRPr="00AD2F51" w:rsidRDefault="00BF617C" w:rsidP="00960482">
            <w:pPr>
              <w:tabs>
                <w:tab w:val="right" w:leader="dot" w:pos="4500"/>
                <w:tab w:val="left" w:pos="5040"/>
                <w:tab w:val="right" w:leader="dot" w:pos="9360"/>
              </w:tabs>
              <w:spacing w:after="0"/>
              <w:ind w:left="578" w:right="288" w:hanging="578"/>
              <w:jc w:val="right"/>
            </w:pPr>
          </w:p>
        </w:tc>
      </w:tr>
      <w:tr w:rsidR="00BF617C" w:rsidRPr="00A67F27" w14:paraId="497ECF4F" w14:textId="77777777" w:rsidTr="008C0DBB">
        <w:tc>
          <w:tcPr>
            <w:tcW w:w="4380" w:type="dxa"/>
            <w:gridSpan w:val="2"/>
            <w:vAlign w:val="bottom"/>
          </w:tcPr>
          <w:p w14:paraId="438B2304" w14:textId="77777777" w:rsidR="00BF617C" w:rsidRPr="00A67F27" w:rsidRDefault="00BF617C" w:rsidP="00960482">
            <w:pPr>
              <w:tabs>
                <w:tab w:val="right" w:leader="dot" w:pos="4500"/>
                <w:tab w:val="left" w:pos="5040"/>
                <w:tab w:val="right" w:leader="dot" w:pos="9360"/>
              </w:tabs>
              <w:spacing w:after="0"/>
              <w:ind w:left="37" w:right="288" w:hanging="37"/>
              <w:jc w:val="center"/>
              <w:rPr>
                <w:sz w:val="20"/>
              </w:rPr>
            </w:pPr>
            <w:r w:rsidRPr="00A67F27">
              <w:rPr>
                <w:sz w:val="20"/>
              </w:rPr>
              <w:t>Pour et au nom du Maître d’Ouvrage</w:t>
            </w:r>
          </w:p>
        </w:tc>
        <w:tc>
          <w:tcPr>
            <w:tcW w:w="5088" w:type="dxa"/>
            <w:gridSpan w:val="2"/>
            <w:vAlign w:val="bottom"/>
          </w:tcPr>
          <w:p w14:paraId="4BCB18AF" w14:textId="77777777" w:rsidR="00BF617C" w:rsidRPr="00A67F27" w:rsidRDefault="00BF617C" w:rsidP="00960482">
            <w:pPr>
              <w:tabs>
                <w:tab w:val="right" w:leader="dot" w:pos="4500"/>
                <w:tab w:val="left" w:pos="5040"/>
                <w:tab w:val="right" w:leader="dot" w:pos="9360"/>
              </w:tabs>
              <w:spacing w:after="0"/>
              <w:ind w:left="0" w:right="288" w:firstLine="0"/>
              <w:jc w:val="center"/>
              <w:rPr>
                <w:sz w:val="20"/>
              </w:rPr>
            </w:pPr>
            <w:r w:rsidRPr="00A67F27">
              <w:rPr>
                <w:sz w:val="20"/>
              </w:rPr>
              <w:t xml:space="preserve">Pour et au nom de l’Entrepreneur </w:t>
            </w:r>
          </w:p>
        </w:tc>
      </w:tr>
      <w:tr w:rsidR="00BF617C" w:rsidRPr="00A67F27" w14:paraId="65F1B545" w14:textId="77777777" w:rsidTr="008C0DBB">
        <w:tc>
          <w:tcPr>
            <w:tcW w:w="1728" w:type="dxa"/>
            <w:tcBorders>
              <w:bottom w:val="nil"/>
            </w:tcBorders>
            <w:vAlign w:val="bottom"/>
          </w:tcPr>
          <w:p w14:paraId="20E3EC75" w14:textId="77777777" w:rsidR="00BF617C" w:rsidRPr="00A67F27" w:rsidRDefault="00BF617C" w:rsidP="00960482">
            <w:pPr>
              <w:tabs>
                <w:tab w:val="right" w:leader="dot" w:pos="4500"/>
                <w:tab w:val="left" w:pos="5040"/>
                <w:tab w:val="right" w:leader="dot" w:pos="9360"/>
              </w:tabs>
              <w:spacing w:after="0"/>
              <w:ind w:left="37" w:right="-108" w:firstLine="0"/>
              <w:jc w:val="right"/>
            </w:pPr>
            <w:r w:rsidRPr="00A67F27">
              <w:t>En présence de:</w:t>
            </w:r>
          </w:p>
        </w:tc>
        <w:tc>
          <w:tcPr>
            <w:tcW w:w="2652" w:type="dxa"/>
            <w:tcBorders>
              <w:bottom w:val="dotted" w:sz="4" w:space="0" w:color="auto"/>
            </w:tcBorders>
            <w:vAlign w:val="bottom"/>
          </w:tcPr>
          <w:p w14:paraId="62F3076A" w14:textId="77777777" w:rsidR="00BF617C" w:rsidRPr="00A67F27" w:rsidRDefault="00BF617C" w:rsidP="00960482">
            <w:pPr>
              <w:tabs>
                <w:tab w:val="right" w:leader="dot" w:pos="4500"/>
                <w:tab w:val="left" w:pos="5040"/>
                <w:tab w:val="right" w:leader="dot" w:pos="9360"/>
              </w:tabs>
              <w:spacing w:after="0"/>
              <w:ind w:left="578" w:right="288" w:hanging="578"/>
              <w:jc w:val="right"/>
            </w:pPr>
          </w:p>
        </w:tc>
        <w:tc>
          <w:tcPr>
            <w:tcW w:w="1758" w:type="dxa"/>
            <w:tcBorders>
              <w:bottom w:val="nil"/>
            </w:tcBorders>
          </w:tcPr>
          <w:p w14:paraId="20704F37" w14:textId="77777777" w:rsidR="00BF617C" w:rsidRPr="00A67F27" w:rsidRDefault="00BF617C" w:rsidP="00960482">
            <w:pPr>
              <w:tabs>
                <w:tab w:val="right" w:leader="dot" w:pos="4500"/>
                <w:tab w:val="left" w:pos="5040"/>
                <w:tab w:val="right" w:leader="dot" w:pos="9360"/>
              </w:tabs>
              <w:spacing w:after="0"/>
              <w:ind w:left="36" w:right="-132" w:hanging="36"/>
              <w:jc w:val="right"/>
            </w:pPr>
            <w:r w:rsidRPr="00A67F27">
              <w:t>En présence de :</w:t>
            </w:r>
          </w:p>
        </w:tc>
        <w:tc>
          <w:tcPr>
            <w:tcW w:w="3330" w:type="dxa"/>
            <w:tcBorders>
              <w:bottom w:val="dotted" w:sz="4" w:space="0" w:color="auto"/>
            </w:tcBorders>
          </w:tcPr>
          <w:p w14:paraId="0F9BC56E" w14:textId="77777777" w:rsidR="00BF617C" w:rsidRPr="00A67F27" w:rsidRDefault="00BF617C" w:rsidP="00960482">
            <w:pPr>
              <w:tabs>
                <w:tab w:val="right" w:leader="dot" w:pos="4500"/>
                <w:tab w:val="left" w:pos="5040"/>
                <w:tab w:val="right" w:leader="dot" w:pos="9360"/>
              </w:tabs>
              <w:spacing w:after="0"/>
              <w:ind w:left="578" w:right="-132" w:hanging="578"/>
              <w:jc w:val="right"/>
            </w:pPr>
          </w:p>
        </w:tc>
      </w:tr>
      <w:tr w:rsidR="00BF617C" w:rsidRPr="00A67F27" w14:paraId="2322CF94" w14:textId="77777777" w:rsidTr="008C0DBB">
        <w:tc>
          <w:tcPr>
            <w:tcW w:w="4380" w:type="dxa"/>
            <w:gridSpan w:val="2"/>
            <w:tcBorders>
              <w:bottom w:val="nil"/>
            </w:tcBorders>
            <w:vAlign w:val="bottom"/>
          </w:tcPr>
          <w:p w14:paraId="04C40DA2" w14:textId="77777777" w:rsidR="00BF617C" w:rsidRPr="00A67F27" w:rsidRDefault="00BF617C" w:rsidP="00960482">
            <w:pPr>
              <w:tabs>
                <w:tab w:val="right" w:leader="dot" w:pos="4500"/>
                <w:tab w:val="left" w:pos="5040"/>
                <w:tab w:val="right" w:leader="dot" w:pos="9360"/>
              </w:tabs>
              <w:spacing w:after="0"/>
              <w:ind w:left="578" w:right="288" w:hanging="578"/>
              <w:jc w:val="right"/>
              <w:rPr>
                <w:sz w:val="20"/>
              </w:rPr>
            </w:pPr>
            <w:r w:rsidRPr="00A67F27">
              <w:rPr>
                <w:sz w:val="20"/>
              </w:rPr>
              <w:t>Nom, signature, adresse du Témoin</w:t>
            </w:r>
          </w:p>
        </w:tc>
        <w:tc>
          <w:tcPr>
            <w:tcW w:w="5088" w:type="dxa"/>
            <w:gridSpan w:val="2"/>
            <w:tcBorders>
              <w:bottom w:val="nil"/>
            </w:tcBorders>
            <w:vAlign w:val="bottom"/>
          </w:tcPr>
          <w:p w14:paraId="704BB31A" w14:textId="77777777" w:rsidR="00BF617C" w:rsidRPr="00A67F27" w:rsidRDefault="00BF617C" w:rsidP="00960482">
            <w:pPr>
              <w:tabs>
                <w:tab w:val="right" w:leader="dot" w:pos="4500"/>
                <w:tab w:val="left" w:pos="5040"/>
                <w:tab w:val="right" w:leader="dot" w:pos="9360"/>
              </w:tabs>
              <w:spacing w:after="0"/>
              <w:ind w:left="578" w:right="288" w:hanging="578"/>
              <w:jc w:val="right"/>
              <w:rPr>
                <w:sz w:val="20"/>
              </w:rPr>
            </w:pPr>
            <w:r w:rsidRPr="00A67F27">
              <w:rPr>
                <w:sz w:val="20"/>
              </w:rPr>
              <w:t>Nom, signature, adresse du Témoin</w:t>
            </w:r>
          </w:p>
        </w:tc>
      </w:tr>
    </w:tbl>
    <w:p w14:paraId="20E217F3" w14:textId="77777777" w:rsidR="00716EC4" w:rsidRPr="00A67F27" w:rsidRDefault="00716EC4" w:rsidP="00716EC4">
      <w:pPr>
        <w:tabs>
          <w:tab w:val="right" w:pos="4500"/>
          <w:tab w:val="left" w:pos="5040"/>
          <w:tab w:val="right" w:leader="dot" w:pos="9360"/>
        </w:tabs>
        <w:ind w:left="180" w:right="288"/>
      </w:pPr>
    </w:p>
    <w:p w14:paraId="64518CFC" w14:textId="77777777" w:rsidR="000A450A" w:rsidRPr="00A67F27" w:rsidRDefault="000A450A" w:rsidP="00960482">
      <w:pPr>
        <w:pStyle w:val="S9Header1"/>
        <w:spacing w:before="0" w:after="0"/>
        <w:rPr>
          <w:lang w:val="fr-FR"/>
        </w:rPr>
      </w:pPr>
      <w:r w:rsidRPr="00A67F27">
        <w:rPr>
          <w:rFonts w:asciiTheme="majorBidi" w:hAnsiTheme="majorBidi" w:cstheme="majorBidi"/>
          <w:lang w:val="fr-FR"/>
        </w:rPr>
        <w:br w:type="page"/>
      </w:r>
      <w:bookmarkStart w:id="870" w:name="_Toc156372184"/>
      <w:bookmarkStart w:id="871" w:name="_Toc327354353"/>
      <w:bookmarkStart w:id="872" w:name="_Toc483207932"/>
      <w:bookmarkStart w:id="873" w:name="_Toc490041437"/>
      <w:r w:rsidRPr="00A67F27">
        <w:rPr>
          <w:lang w:val="fr-FR"/>
        </w:rPr>
        <w:t>Modèle de garantie de bonne exécution (garantie bancaire)</w:t>
      </w:r>
      <w:bookmarkEnd w:id="870"/>
      <w:bookmarkEnd w:id="871"/>
      <w:bookmarkEnd w:id="872"/>
      <w:bookmarkEnd w:id="873"/>
    </w:p>
    <w:p w14:paraId="122C6610" w14:textId="5FB6EA75" w:rsidR="00BF617C" w:rsidRPr="00A67F27" w:rsidRDefault="00BF617C" w:rsidP="00960482">
      <w:pPr>
        <w:spacing w:after="0"/>
        <w:ind w:left="578" w:hanging="578"/>
        <w:jc w:val="center"/>
        <w:rPr>
          <w:b/>
          <w:sz w:val="32"/>
          <w:szCs w:val="32"/>
        </w:rPr>
      </w:pPr>
      <w:r w:rsidRPr="00A67F27">
        <w:rPr>
          <w:b/>
          <w:sz w:val="32"/>
          <w:szCs w:val="32"/>
        </w:rPr>
        <w:t>(</w:t>
      </w:r>
      <w:r w:rsidR="009B1DAD" w:rsidRPr="00A67F27">
        <w:rPr>
          <w:b/>
          <w:sz w:val="32"/>
          <w:szCs w:val="32"/>
        </w:rPr>
        <w:t>Garantie</w:t>
      </w:r>
      <w:r w:rsidRPr="00A67F27">
        <w:rPr>
          <w:b/>
          <w:sz w:val="32"/>
          <w:szCs w:val="32"/>
        </w:rPr>
        <w:t xml:space="preserve"> bancaire)</w:t>
      </w:r>
    </w:p>
    <w:p w14:paraId="71B40B6E" w14:textId="77777777" w:rsidR="00BF617C" w:rsidRPr="00A67F27" w:rsidRDefault="00BF617C" w:rsidP="00960482">
      <w:pPr>
        <w:spacing w:after="0"/>
        <w:rPr>
          <w:rFonts w:asciiTheme="majorBidi" w:hAnsiTheme="majorBidi" w:cstheme="majorBidi"/>
          <w:b/>
          <w:bCs/>
          <w:szCs w:val="24"/>
        </w:rPr>
      </w:pPr>
      <w:r w:rsidRPr="00A67F27">
        <w:rPr>
          <w:i/>
        </w:rPr>
        <w:t>[Papier à lettre du Garant ou Code Identifiant SWIFT</w:t>
      </w:r>
      <w:r w:rsidRPr="00A67F27">
        <w:rPr>
          <w:rFonts w:asciiTheme="majorBidi" w:hAnsiTheme="majorBidi" w:cstheme="majorBidi"/>
          <w:b/>
          <w:bCs/>
          <w:szCs w:val="24"/>
        </w:rPr>
        <w:t xml:space="preserve"> </w:t>
      </w:r>
    </w:p>
    <w:p w14:paraId="4A50CD21" w14:textId="23277B04" w:rsidR="00037168" w:rsidRPr="00A67F27" w:rsidRDefault="00037168" w:rsidP="00960482">
      <w:pPr>
        <w:spacing w:after="0"/>
        <w:rPr>
          <w:rFonts w:asciiTheme="majorBidi" w:hAnsiTheme="majorBidi" w:cstheme="majorBidi"/>
          <w:szCs w:val="24"/>
        </w:rPr>
      </w:pPr>
      <w:r w:rsidRPr="00A67F27">
        <w:rPr>
          <w:rFonts w:asciiTheme="majorBidi" w:hAnsiTheme="majorBidi" w:cstheme="majorBidi"/>
          <w:b/>
          <w:bCs/>
          <w:szCs w:val="24"/>
        </w:rPr>
        <w:t>Bénéficiaire</w:t>
      </w:r>
      <w:r w:rsidR="009B2302" w:rsidRPr="00A67F27">
        <w:rPr>
          <w:rFonts w:asciiTheme="majorBidi" w:hAnsiTheme="majorBidi" w:cstheme="majorBidi"/>
          <w:b/>
          <w:bCs/>
          <w:szCs w:val="24"/>
        </w:rPr>
        <w:t> :</w:t>
      </w:r>
      <w:r w:rsidRPr="00A67F27">
        <w:rPr>
          <w:rFonts w:asciiTheme="majorBidi" w:hAnsiTheme="majorBidi" w:cstheme="majorBidi"/>
          <w:szCs w:val="24"/>
        </w:rPr>
        <w:t xml:space="preserve"> </w:t>
      </w:r>
      <w:r w:rsidRPr="00A67F27">
        <w:rPr>
          <w:rFonts w:asciiTheme="majorBidi" w:hAnsiTheme="majorBidi" w:cstheme="majorBidi"/>
          <w:i/>
          <w:szCs w:val="24"/>
        </w:rPr>
        <w:t>[nom et adresse du Maître de l’Ouvrage]</w:t>
      </w:r>
      <w:r w:rsidRPr="00A67F27">
        <w:rPr>
          <w:rFonts w:asciiTheme="majorBidi" w:hAnsiTheme="majorBidi" w:cstheme="majorBidi"/>
          <w:szCs w:val="24"/>
        </w:rPr>
        <w:t xml:space="preserve"> </w:t>
      </w:r>
    </w:p>
    <w:p w14:paraId="0827CF59" w14:textId="10D8DDC6" w:rsidR="00037168" w:rsidRPr="00A67F27" w:rsidRDefault="00037168" w:rsidP="00960482">
      <w:pPr>
        <w:spacing w:after="0"/>
        <w:rPr>
          <w:rFonts w:asciiTheme="majorBidi" w:hAnsiTheme="majorBidi" w:cstheme="majorBidi"/>
          <w:szCs w:val="24"/>
        </w:rPr>
      </w:pPr>
      <w:r w:rsidRPr="00A67F27">
        <w:rPr>
          <w:rFonts w:asciiTheme="majorBidi" w:hAnsiTheme="majorBidi" w:cstheme="majorBidi"/>
          <w:b/>
          <w:bCs/>
          <w:szCs w:val="24"/>
        </w:rPr>
        <w:t>Date</w:t>
      </w:r>
      <w:r w:rsidR="009B2302" w:rsidRPr="00A67F27">
        <w:rPr>
          <w:rFonts w:asciiTheme="majorBidi" w:hAnsiTheme="majorBidi" w:cstheme="majorBidi"/>
          <w:b/>
          <w:bCs/>
          <w:szCs w:val="24"/>
        </w:rPr>
        <w:t> :</w:t>
      </w:r>
      <w:r w:rsidRPr="00A67F27">
        <w:rPr>
          <w:rFonts w:asciiTheme="majorBidi" w:hAnsiTheme="majorBidi" w:cstheme="majorBidi"/>
          <w:szCs w:val="24"/>
        </w:rPr>
        <w:t xml:space="preserve"> </w:t>
      </w:r>
      <w:r w:rsidR="00FA067C" w:rsidRPr="00A67F27">
        <w:rPr>
          <w:rFonts w:asciiTheme="majorBidi" w:hAnsiTheme="majorBidi" w:cstheme="majorBidi"/>
          <w:i/>
          <w:iCs/>
          <w:szCs w:val="24"/>
        </w:rPr>
        <w:t>[insérer date]</w:t>
      </w:r>
    </w:p>
    <w:p w14:paraId="0C36EC72" w14:textId="46B5743D" w:rsidR="00037168" w:rsidRPr="00A67F27" w:rsidRDefault="00037168" w:rsidP="00960482">
      <w:pPr>
        <w:spacing w:after="0"/>
        <w:rPr>
          <w:rFonts w:asciiTheme="majorBidi" w:hAnsiTheme="majorBidi" w:cstheme="majorBidi"/>
          <w:bCs/>
          <w:i/>
          <w:iCs/>
        </w:rPr>
      </w:pPr>
      <w:r w:rsidRPr="00A67F27">
        <w:rPr>
          <w:rFonts w:asciiTheme="majorBidi" w:hAnsiTheme="majorBidi" w:cstheme="majorBidi"/>
          <w:b/>
          <w:bCs/>
          <w:szCs w:val="24"/>
        </w:rPr>
        <w:t>Garantie de bonne exécution no.</w:t>
      </w:r>
      <w:r w:rsidRPr="00A67F27">
        <w:rPr>
          <w:rFonts w:asciiTheme="majorBidi" w:hAnsiTheme="majorBidi" w:cstheme="majorBidi"/>
          <w:szCs w:val="24"/>
        </w:rPr>
        <w:t> </w:t>
      </w:r>
      <w:r w:rsidR="00464717" w:rsidRPr="00A67F27">
        <w:rPr>
          <w:rFonts w:asciiTheme="majorBidi" w:hAnsiTheme="majorBidi" w:cstheme="majorBidi"/>
          <w:szCs w:val="24"/>
        </w:rPr>
        <w:t xml:space="preserve"> </w:t>
      </w:r>
      <w:r w:rsidR="00FA067C" w:rsidRPr="00A67F27">
        <w:rPr>
          <w:rFonts w:asciiTheme="majorBidi" w:hAnsiTheme="majorBidi" w:cstheme="majorBidi"/>
          <w:bCs/>
          <w:i/>
          <w:iCs/>
        </w:rPr>
        <w:t>[insérer No]</w:t>
      </w:r>
    </w:p>
    <w:p w14:paraId="7DACA2B0" w14:textId="7CEF157A" w:rsidR="00464717" w:rsidRPr="00A67F27" w:rsidRDefault="00464717" w:rsidP="00960482">
      <w:pPr>
        <w:spacing w:after="0"/>
        <w:rPr>
          <w:rFonts w:asciiTheme="majorBidi" w:hAnsiTheme="majorBidi" w:cstheme="majorBidi"/>
          <w:szCs w:val="24"/>
        </w:rPr>
      </w:pPr>
      <w:r w:rsidRPr="00A67F27">
        <w:rPr>
          <w:rFonts w:asciiTheme="majorBidi" w:hAnsiTheme="majorBidi" w:cstheme="majorBidi"/>
          <w:b/>
          <w:bCs/>
          <w:szCs w:val="24"/>
        </w:rPr>
        <w:t>Garant :</w:t>
      </w:r>
      <w:r w:rsidRPr="00A67F27">
        <w:rPr>
          <w:rFonts w:asciiTheme="majorBidi" w:hAnsiTheme="majorBidi" w:cstheme="majorBidi"/>
          <w:szCs w:val="24"/>
        </w:rPr>
        <w:t xml:space="preserve"> </w:t>
      </w:r>
      <w:r w:rsidRPr="00A67F27">
        <w:rPr>
          <w:rFonts w:asciiTheme="majorBidi" w:hAnsiTheme="majorBidi" w:cstheme="majorBidi"/>
          <w:i/>
          <w:szCs w:val="24"/>
        </w:rPr>
        <w:t xml:space="preserve">[nom et adresse de la banque </w:t>
      </w:r>
      <w:r w:rsidRPr="00A67F27">
        <w:rPr>
          <w:rFonts w:asciiTheme="majorBidi" w:hAnsiTheme="majorBidi" w:cstheme="majorBidi"/>
          <w:bCs/>
          <w:i/>
          <w:iCs/>
        </w:rPr>
        <w:t>d’émission</w:t>
      </w:r>
      <w:r w:rsidRPr="00A67F27">
        <w:rPr>
          <w:rFonts w:asciiTheme="majorBidi" w:hAnsiTheme="majorBidi" w:cstheme="majorBidi"/>
          <w:i/>
          <w:szCs w:val="24"/>
        </w:rPr>
        <w:t>]</w:t>
      </w:r>
    </w:p>
    <w:p w14:paraId="17AFF4A4" w14:textId="027A9B88" w:rsidR="00037168" w:rsidRPr="00A67F27" w:rsidRDefault="00037168" w:rsidP="00960482">
      <w:pPr>
        <w:spacing w:after="0"/>
        <w:ind w:left="0" w:firstLine="0"/>
        <w:rPr>
          <w:rFonts w:asciiTheme="majorBidi" w:hAnsiTheme="majorBidi" w:cstheme="majorBidi"/>
          <w:szCs w:val="24"/>
        </w:rPr>
      </w:pPr>
      <w:r w:rsidRPr="00A67F27">
        <w:rPr>
          <w:rFonts w:asciiTheme="majorBidi" w:hAnsiTheme="majorBidi" w:cstheme="majorBidi"/>
          <w:szCs w:val="24"/>
        </w:rPr>
        <w:t>Nous avons été informés que</w:t>
      </w:r>
      <w:r w:rsidR="009B2302" w:rsidRPr="00A67F27">
        <w:rPr>
          <w:rFonts w:asciiTheme="majorBidi" w:hAnsiTheme="majorBidi" w:cstheme="majorBidi"/>
          <w:szCs w:val="24"/>
        </w:rPr>
        <w:t xml:space="preserve"> </w:t>
      </w:r>
      <w:r w:rsidRPr="00A67F27">
        <w:rPr>
          <w:rFonts w:asciiTheme="majorBidi" w:hAnsiTheme="majorBidi" w:cstheme="majorBidi"/>
          <w:i/>
          <w:szCs w:val="24"/>
        </w:rPr>
        <w:t>[nom de l’Entrepreneur]</w:t>
      </w:r>
      <w:r w:rsidRPr="00A67F27">
        <w:rPr>
          <w:rFonts w:asciiTheme="majorBidi" w:hAnsiTheme="majorBidi" w:cstheme="majorBidi"/>
          <w:szCs w:val="24"/>
        </w:rPr>
        <w:t xml:space="preserve"> (ci-après dénommé le Donneur d’ordre) a conclu avec vous le Marché no. </w:t>
      </w:r>
      <w:r w:rsidR="00FA067C" w:rsidRPr="00A67F27">
        <w:rPr>
          <w:rFonts w:asciiTheme="majorBidi" w:hAnsiTheme="majorBidi" w:cstheme="majorBidi"/>
          <w:i/>
          <w:iCs/>
        </w:rPr>
        <w:t>[insérer No]</w:t>
      </w:r>
      <w:r w:rsidR="009B2302" w:rsidRPr="00A67F27">
        <w:rPr>
          <w:rFonts w:asciiTheme="majorBidi" w:hAnsiTheme="majorBidi" w:cstheme="majorBidi"/>
          <w:szCs w:val="24"/>
        </w:rPr>
        <w:t xml:space="preserve"> </w:t>
      </w:r>
      <w:r w:rsidRPr="00A67F27">
        <w:rPr>
          <w:rFonts w:asciiTheme="majorBidi" w:hAnsiTheme="majorBidi" w:cstheme="majorBidi"/>
          <w:szCs w:val="24"/>
        </w:rPr>
        <w:t xml:space="preserve">en date du </w:t>
      </w:r>
      <w:r w:rsidR="00FA067C" w:rsidRPr="00A67F27">
        <w:rPr>
          <w:rFonts w:asciiTheme="majorBidi" w:hAnsiTheme="majorBidi" w:cstheme="majorBidi"/>
          <w:i/>
          <w:iCs/>
        </w:rPr>
        <w:t>[insérer la date]</w:t>
      </w:r>
      <w:r w:rsidRPr="00A67F27">
        <w:rPr>
          <w:rFonts w:asciiTheme="majorBidi" w:hAnsiTheme="majorBidi" w:cstheme="majorBidi"/>
          <w:szCs w:val="24"/>
        </w:rPr>
        <w:t xml:space="preserve"> pour l’exécution de</w:t>
      </w:r>
      <w:r w:rsidR="009B2302" w:rsidRPr="00A67F27">
        <w:rPr>
          <w:rFonts w:asciiTheme="majorBidi" w:hAnsiTheme="majorBidi" w:cstheme="majorBidi"/>
          <w:szCs w:val="24"/>
        </w:rPr>
        <w:t xml:space="preserve"> </w:t>
      </w:r>
      <w:r w:rsidRPr="00A67F27">
        <w:rPr>
          <w:rFonts w:asciiTheme="majorBidi" w:hAnsiTheme="majorBidi" w:cstheme="majorBidi"/>
          <w:i/>
          <w:szCs w:val="24"/>
        </w:rPr>
        <w:t>[description des travaux]</w:t>
      </w:r>
      <w:r w:rsidRPr="00A67F27">
        <w:rPr>
          <w:rFonts w:asciiTheme="majorBidi" w:hAnsiTheme="majorBidi" w:cstheme="majorBidi"/>
          <w:szCs w:val="24"/>
        </w:rPr>
        <w:t xml:space="preserve"> (ci-après dénommé </w:t>
      </w:r>
      <w:r w:rsidR="009B2302" w:rsidRPr="00A67F27">
        <w:rPr>
          <w:rFonts w:asciiTheme="majorBidi" w:hAnsiTheme="majorBidi" w:cstheme="majorBidi"/>
          <w:szCs w:val="24"/>
        </w:rPr>
        <w:t>« </w:t>
      </w:r>
      <w:r w:rsidRPr="00A67F27">
        <w:rPr>
          <w:rFonts w:asciiTheme="majorBidi" w:hAnsiTheme="majorBidi" w:cstheme="majorBidi"/>
          <w:szCs w:val="24"/>
        </w:rPr>
        <w:t>le Marché</w:t>
      </w:r>
      <w:r w:rsidR="009B2302" w:rsidRPr="00A67F27">
        <w:rPr>
          <w:rFonts w:asciiTheme="majorBidi" w:hAnsiTheme="majorBidi" w:cstheme="majorBidi"/>
          <w:szCs w:val="24"/>
        </w:rPr>
        <w:t> »</w:t>
      </w:r>
      <w:r w:rsidRPr="00A67F27">
        <w:rPr>
          <w:rFonts w:asciiTheme="majorBidi" w:hAnsiTheme="majorBidi" w:cstheme="majorBidi"/>
          <w:szCs w:val="24"/>
        </w:rPr>
        <w:t>).</w:t>
      </w:r>
    </w:p>
    <w:p w14:paraId="0EE0ED91" w14:textId="77777777" w:rsidR="00037168" w:rsidRPr="00A67F27" w:rsidRDefault="00037168" w:rsidP="00960482">
      <w:pPr>
        <w:spacing w:after="0"/>
        <w:ind w:left="0" w:firstLine="0"/>
        <w:rPr>
          <w:rFonts w:asciiTheme="majorBidi" w:hAnsiTheme="majorBidi" w:cstheme="majorBidi"/>
          <w:szCs w:val="24"/>
        </w:rPr>
      </w:pPr>
      <w:r w:rsidRPr="00A67F27">
        <w:rPr>
          <w:rFonts w:asciiTheme="majorBidi" w:hAnsiTheme="majorBidi" w:cstheme="majorBidi"/>
          <w:szCs w:val="24"/>
        </w:rPr>
        <w:t>De plus, nous comprenons qu’une garantie de bonne exécution est exigée en vertu des conditions du Marché.</w:t>
      </w:r>
    </w:p>
    <w:p w14:paraId="6A14D291" w14:textId="14037995" w:rsidR="00037168" w:rsidRPr="00EB4FEC" w:rsidRDefault="00037168" w:rsidP="00960482">
      <w:pPr>
        <w:spacing w:after="0"/>
        <w:ind w:left="0" w:firstLine="0"/>
        <w:rPr>
          <w:rFonts w:asciiTheme="majorBidi" w:hAnsiTheme="majorBidi" w:cstheme="majorBidi"/>
          <w:szCs w:val="24"/>
        </w:rPr>
      </w:pPr>
      <w:r w:rsidRPr="00A67F27">
        <w:rPr>
          <w:rFonts w:asciiTheme="majorBidi" w:hAnsiTheme="majorBidi" w:cstheme="majorBidi"/>
          <w:szCs w:val="24"/>
        </w:rPr>
        <w:t>A la demande du Donneur d’ordre, nous</w:t>
      </w:r>
      <w:r w:rsidR="009B2302" w:rsidRPr="00A67F27">
        <w:rPr>
          <w:rFonts w:asciiTheme="majorBidi" w:hAnsiTheme="majorBidi" w:cstheme="majorBidi"/>
          <w:szCs w:val="24"/>
        </w:rPr>
        <w:t xml:space="preserve"> </w:t>
      </w:r>
      <w:r w:rsidRPr="00A67F27">
        <w:rPr>
          <w:rFonts w:asciiTheme="majorBidi" w:hAnsiTheme="majorBidi" w:cstheme="majorBidi"/>
          <w:i/>
          <w:szCs w:val="24"/>
        </w:rPr>
        <w:t>[nom de la banque garante]</w:t>
      </w:r>
      <w:r w:rsidRPr="00A67F27">
        <w:rPr>
          <w:rFonts w:asciiTheme="majorBidi" w:hAnsiTheme="majorBidi" w:cstheme="majorBidi"/>
          <w:szCs w:val="24"/>
        </w:rPr>
        <w:t xml:space="preserve"> prenons, en tant que Garant, l’engagement irrévocable de payer au Bénéficiaire toute somme</w:t>
      </w:r>
      <w:r w:rsidR="009B2302" w:rsidRPr="00A67F27">
        <w:rPr>
          <w:rFonts w:asciiTheme="majorBidi" w:hAnsiTheme="majorBidi" w:cstheme="majorBidi"/>
          <w:szCs w:val="24"/>
        </w:rPr>
        <w:t xml:space="preserve"> </w:t>
      </w:r>
      <w:r w:rsidRPr="00A67F27">
        <w:rPr>
          <w:rFonts w:asciiTheme="majorBidi" w:hAnsiTheme="majorBidi" w:cstheme="majorBidi"/>
          <w:szCs w:val="24"/>
        </w:rPr>
        <w:t>dans la limite du Montant de la Garantie qui s’élève à</w:t>
      </w:r>
      <w:r w:rsidR="009B2302" w:rsidRPr="00A67F27">
        <w:rPr>
          <w:rFonts w:asciiTheme="majorBidi" w:hAnsiTheme="majorBidi" w:cstheme="majorBidi"/>
          <w:szCs w:val="24"/>
        </w:rPr>
        <w:t xml:space="preserve"> </w:t>
      </w:r>
      <w:r w:rsidRPr="00A67F27">
        <w:rPr>
          <w:rFonts w:asciiTheme="majorBidi" w:hAnsiTheme="majorBidi" w:cstheme="majorBidi"/>
          <w:i/>
          <w:szCs w:val="24"/>
        </w:rPr>
        <w:t>[insérer la somme en chiffres]</w:t>
      </w:r>
      <w:r w:rsidRPr="00A67F27">
        <w:rPr>
          <w:rFonts w:asciiTheme="majorBidi" w:hAnsiTheme="majorBidi" w:cstheme="majorBidi"/>
          <w:szCs w:val="24"/>
        </w:rPr>
        <w:t xml:space="preserve"> </w:t>
      </w:r>
      <w:r w:rsidRPr="00A67F27">
        <w:rPr>
          <w:rFonts w:asciiTheme="majorBidi" w:hAnsiTheme="majorBidi" w:cstheme="majorBidi"/>
          <w:i/>
          <w:szCs w:val="24"/>
        </w:rPr>
        <w:t>[insérer la somme en lettres]</w:t>
      </w:r>
      <w:r w:rsidRPr="00A67F27">
        <w:rPr>
          <w:rFonts w:asciiTheme="majorBidi" w:hAnsiTheme="majorBidi" w:cstheme="majorBidi"/>
          <w:szCs w:val="24"/>
          <w:vertAlign w:val="superscript"/>
        </w:rPr>
        <w:footnoteReference w:id="32"/>
      </w:r>
      <w:r w:rsidRPr="00A67F27">
        <w:rPr>
          <w:rFonts w:asciiTheme="majorBidi" w:hAnsiTheme="majorBidi" w:cstheme="majorBidi"/>
          <w:szCs w:val="24"/>
        </w:rPr>
        <w:t>.</w:t>
      </w:r>
      <w:r w:rsidR="009B2302" w:rsidRPr="00A67F27">
        <w:rPr>
          <w:rFonts w:asciiTheme="majorBidi" w:hAnsiTheme="majorBidi" w:cstheme="majorBidi"/>
          <w:szCs w:val="24"/>
        </w:rPr>
        <w:t xml:space="preserve"> </w:t>
      </w:r>
      <w:r w:rsidRPr="00435C9E">
        <w:rPr>
          <w:rFonts w:asciiTheme="majorBidi" w:hAnsiTheme="majorBidi" w:cstheme="majorBidi"/>
          <w:szCs w:val="24"/>
        </w:rPr>
        <w:t>Votre demande en paiement doit comprendre, que ce soit dans la demande elle-même ou dans un document séparé signé</w:t>
      </w:r>
      <w:r w:rsidRPr="001627D7" w:rsidDel="00667289">
        <w:rPr>
          <w:rFonts w:asciiTheme="majorBidi" w:hAnsiTheme="majorBidi" w:cstheme="majorBidi"/>
          <w:szCs w:val="24"/>
        </w:rPr>
        <w:t xml:space="preserve"> </w:t>
      </w:r>
      <w:r w:rsidRPr="00043C85">
        <w:rPr>
          <w:rFonts w:asciiTheme="majorBidi" w:hAnsiTheme="majorBidi" w:cstheme="majorBidi"/>
          <w:szCs w:val="24"/>
        </w:rPr>
        <w:t>accompagnant ou identifiant la demande, la déclaration que le Donneur d’ordre n’a pas rempli ses obligations au titre du Marc</w:t>
      </w:r>
      <w:r w:rsidRPr="00EB4FEC">
        <w:rPr>
          <w:rFonts w:asciiTheme="majorBidi" w:hAnsiTheme="majorBidi" w:cstheme="majorBidi"/>
          <w:szCs w:val="24"/>
        </w:rPr>
        <w:t>hé, sans que vous ayez à prouver ou à donner les raisons ou le motif de votre demande ou du montant qui y figure. La présente garantie sera réduite de moitié à la date de la réception provisoire.</w:t>
      </w:r>
    </w:p>
    <w:p w14:paraId="74CE08CA" w14:textId="35D52F99" w:rsidR="00037168" w:rsidRPr="00A67F27" w:rsidRDefault="00037168" w:rsidP="00960482">
      <w:pPr>
        <w:spacing w:after="0"/>
        <w:ind w:left="0" w:firstLine="0"/>
        <w:rPr>
          <w:rFonts w:asciiTheme="majorBidi" w:hAnsiTheme="majorBidi" w:cstheme="majorBidi"/>
          <w:szCs w:val="24"/>
        </w:rPr>
      </w:pPr>
      <w:r w:rsidRPr="00442531">
        <w:rPr>
          <w:rFonts w:asciiTheme="majorBidi" w:hAnsiTheme="majorBidi" w:cstheme="majorBidi"/>
          <w:szCs w:val="24"/>
        </w:rPr>
        <w:t>La présente garantie expire au plus tard le</w:t>
      </w:r>
      <w:r w:rsidR="009B2302" w:rsidRPr="00442531">
        <w:rPr>
          <w:rFonts w:asciiTheme="majorBidi" w:hAnsiTheme="majorBidi" w:cstheme="majorBidi"/>
          <w:szCs w:val="24"/>
        </w:rPr>
        <w:t xml:space="preserve"> </w:t>
      </w:r>
      <w:r w:rsidR="00FA067C" w:rsidRPr="00442531">
        <w:rPr>
          <w:rFonts w:asciiTheme="majorBidi" w:hAnsiTheme="majorBidi" w:cstheme="majorBidi"/>
          <w:bCs/>
          <w:i/>
          <w:iCs/>
        </w:rPr>
        <w:t>[insérer la date</w:t>
      </w:r>
      <w:r w:rsidR="00FA067C" w:rsidRPr="00132A9B">
        <w:rPr>
          <w:rFonts w:asciiTheme="majorBidi" w:hAnsiTheme="majorBidi" w:cstheme="majorBidi"/>
          <w:bCs/>
          <w:i/>
          <w:iCs/>
        </w:rPr>
        <w:t>]</w:t>
      </w:r>
      <w:r w:rsidRPr="00835449">
        <w:rPr>
          <w:rFonts w:asciiTheme="majorBidi" w:hAnsiTheme="majorBidi" w:cstheme="majorBidi"/>
          <w:szCs w:val="24"/>
        </w:rPr>
        <w:t xml:space="preserve"> jour de </w:t>
      </w:r>
      <w:r w:rsidR="00FA067C" w:rsidRPr="00D6752B">
        <w:rPr>
          <w:rFonts w:asciiTheme="majorBidi" w:hAnsiTheme="majorBidi" w:cstheme="majorBidi"/>
          <w:bCs/>
          <w:i/>
          <w:iCs/>
        </w:rPr>
        <w:t>[insérer le mois]</w:t>
      </w:r>
      <w:r w:rsidRPr="00013AB1">
        <w:rPr>
          <w:rFonts w:asciiTheme="majorBidi" w:hAnsiTheme="majorBidi" w:cstheme="majorBidi"/>
          <w:szCs w:val="24"/>
          <w:vertAlign w:val="superscript"/>
        </w:rPr>
        <w:t>2</w:t>
      </w:r>
      <w:r w:rsidR="00574E44" w:rsidRPr="00AB61F2">
        <w:rPr>
          <w:rFonts w:asciiTheme="majorBidi" w:hAnsiTheme="majorBidi" w:cstheme="majorBidi"/>
          <w:szCs w:val="24"/>
          <w:vertAlign w:val="superscript"/>
        </w:rPr>
        <w:t xml:space="preserve"> </w:t>
      </w:r>
      <w:r w:rsidR="00FA067C" w:rsidRPr="008432AC">
        <w:rPr>
          <w:rFonts w:asciiTheme="majorBidi" w:hAnsiTheme="majorBidi" w:cstheme="majorBidi"/>
          <w:bCs/>
          <w:i/>
          <w:iCs/>
        </w:rPr>
        <w:t>[insérer l’année]</w:t>
      </w:r>
      <w:r w:rsidRPr="008432AC">
        <w:rPr>
          <w:rFonts w:asciiTheme="majorBidi" w:hAnsiTheme="majorBidi" w:cstheme="majorBidi"/>
          <w:szCs w:val="24"/>
        </w:rPr>
        <w:t>,</w:t>
      </w:r>
      <w:r w:rsidRPr="00A67F27">
        <w:rPr>
          <w:rFonts w:asciiTheme="majorBidi" w:hAnsiTheme="majorBidi" w:cstheme="majorBidi"/>
          <w:szCs w:val="24"/>
          <w:vertAlign w:val="superscript"/>
        </w:rPr>
        <w:footnoteReference w:id="33"/>
      </w:r>
      <w:r w:rsidRPr="00A67F27">
        <w:rPr>
          <w:rFonts w:asciiTheme="majorBidi" w:hAnsiTheme="majorBidi" w:cstheme="majorBidi"/>
          <w:szCs w:val="24"/>
        </w:rPr>
        <w:t xml:space="preserve"> et toute demande de paiement doit être reçue à cette date au plus tard, à l’adresse figurant ci-dessus.</w:t>
      </w:r>
    </w:p>
    <w:p w14:paraId="2C8F8A3A" w14:textId="24129908" w:rsidR="00037168" w:rsidRPr="001627D7" w:rsidRDefault="00037168" w:rsidP="00960482">
      <w:pPr>
        <w:spacing w:after="0"/>
        <w:ind w:left="0" w:firstLine="0"/>
        <w:rPr>
          <w:rFonts w:asciiTheme="majorBidi" w:hAnsiTheme="majorBidi" w:cstheme="majorBidi"/>
          <w:szCs w:val="24"/>
        </w:rPr>
      </w:pPr>
      <w:r w:rsidRPr="00A67F27">
        <w:rPr>
          <w:rFonts w:asciiTheme="majorBidi" w:hAnsiTheme="majorBidi" w:cstheme="majorBidi"/>
          <w:szCs w:val="24"/>
        </w:rPr>
        <w:t>La présente garantie est régie par les Règles uniformes de la CCI relatives aux garanties sur demande, Publication CCI no</w:t>
      </w:r>
      <w:r w:rsidR="009B2302" w:rsidRPr="00435C9E">
        <w:rPr>
          <w:rFonts w:asciiTheme="majorBidi" w:hAnsiTheme="majorBidi" w:cstheme="majorBidi"/>
          <w:szCs w:val="24"/>
        </w:rPr>
        <w:t> :</w:t>
      </w:r>
      <w:r w:rsidRPr="001627D7">
        <w:rPr>
          <w:rFonts w:asciiTheme="majorBidi" w:hAnsiTheme="majorBidi" w:cstheme="majorBidi"/>
          <w:szCs w:val="24"/>
        </w:rPr>
        <w:t xml:space="preserve"> 758, à l’exception de leur Article 15 (a) dont l’application est expressément écartée.</w:t>
      </w:r>
    </w:p>
    <w:p w14:paraId="0F761F6F" w14:textId="77777777" w:rsidR="00037168" w:rsidRPr="00043C85" w:rsidRDefault="00037168" w:rsidP="00960482">
      <w:pPr>
        <w:spacing w:after="0"/>
        <w:rPr>
          <w:rFonts w:asciiTheme="majorBidi" w:hAnsiTheme="majorBidi" w:cstheme="majorBidi"/>
          <w:szCs w:val="24"/>
        </w:rPr>
      </w:pPr>
    </w:p>
    <w:p w14:paraId="41A094D4" w14:textId="0D75A364" w:rsidR="00037168" w:rsidRPr="00442531" w:rsidRDefault="00574E44" w:rsidP="00960482">
      <w:pPr>
        <w:spacing w:after="0"/>
        <w:ind w:left="0" w:firstLine="0"/>
        <w:jc w:val="center"/>
        <w:rPr>
          <w:rFonts w:asciiTheme="majorBidi" w:hAnsiTheme="majorBidi" w:cstheme="majorBidi"/>
          <w:szCs w:val="24"/>
        </w:rPr>
      </w:pPr>
      <w:r w:rsidRPr="00EB4FEC">
        <w:rPr>
          <w:rFonts w:asciiTheme="majorBidi" w:hAnsiTheme="majorBidi" w:cstheme="majorBidi"/>
          <w:szCs w:val="24"/>
        </w:rPr>
        <w:t>_____________________</w:t>
      </w:r>
      <w:r w:rsidRPr="00EB4FEC">
        <w:rPr>
          <w:rFonts w:asciiTheme="majorBidi" w:hAnsiTheme="majorBidi" w:cstheme="majorBidi"/>
          <w:szCs w:val="24"/>
        </w:rPr>
        <w:br/>
      </w:r>
      <w:r w:rsidR="00037168" w:rsidRPr="00442531">
        <w:rPr>
          <w:rFonts w:asciiTheme="majorBidi" w:hAnsiTheme="majorBidi" w:cstheme="majorBidi"/>
          <w:szCs w:val="24"/>
        </w:rPr>
        <w:t>[signature]</w:t>
      </w:r>
    </w:p>
    <w:p w14:paraId="487A6900" w14:textId="77777777" w:rsidR="00037168" w:rsidRPr="00442531" w:rsidRDefault="00037168" w:rsidP="00960482">
      <w:pPr>
        <w:spacing w:after="0"/>
        <w:rPr>
          <w:rFonts w:asciiTheme="majorBidi" w:hAnsiTheme="majorBidi" w:cstheme="majorBidi"/>
          <w:szCs w:val="24"/>
        </w:rPr>
      </w:pPr>
    </w:p>
    <w:p w14:paraId="1B1AF2A1" w14:textId="14F6BCF2" w:rsidR="00037168" w:rsidRPr="00AB61F2" w:rsidRDefault="00037168" w:rsidP="00464717">
      <w:pPr>
        <w:spacing w:before="240" w:after="240"/>
        <w:ind w:left="0" w:firstLine="0"/>
        <w:rPr>
          <w:rFonts w:asciiTheme="majorBidi" w:hAnsiTheme="majorBidi" w:cstheme="majorBidi"/>
          <w:b/>
          <w:i/>
          <w:szCs w:val="24"/>
        </w:rPr>
      </w:pPr>
    </w:p>
    <w:p w14:paraId="08957BBD" w14:textId="77777777" w:rsidR="00BF617C" w:rsidRPr="00A67F27" w:rsidRDefault="000A450A" w:rsidP="00BF617C">
      <w:pPr>
        <w:pStyle w:val="SectionIXHeading"/>
        <w:spacing w:before="120" w:after="120"/>
      </w:pPr>
      <w:r w:rsidRPr="00A67F27">
        <w:rPr>
          <w:rFonts w:asciiTheme="majorBidi" w:hAnsiTheme="majorBidi" w:cstheme="majorBidi"/>
          <w:i/>
        </w:rPr>
        <w:br w:type="page"/>
      </w:r>
      <w:r w:rsidR="00BF617C" w:rsidRPr="00A67F27">
        <w:t>Modèle de caution personnelle et solidaire de bonne exécution</w:t>
      </w:r>
    </w:p>
    <w:p w14:paraId="69B8B7D5" w14:textId="77777777" w:rsidR="00BF617C" w:rsidRPr="00A67F27" w:rsidRDefault="00BF617C" w:rsidP="00BF617C">
      <w:pPr>
        <w:pStyle w:val="Pieddepage"/>
        <w:spacing w:before="120" w:after="120"/>
      </w:pPr>
    </w:p>
    <w:p w14:paraId="6E714CBA" w14:textId="77777777" w:rsidR="00BF617C" w:rsidRPr="00A67F27" w:rsidRDefault="00BF617C" w:rsidP="00BF617C">
      <w:pPr>
        <w:pStyle w:val="Pieddepage"/>
        <w:tabs>
          <w:tab w:val="right" w:pos="8640"/>
        </w:tabs>
        <w:spacing w:before="120" w:after="120"/>
        <w:ind w:left="5220"/>
      </w:pPr>
      <w:r w:rsidRPr="00A67F27">
        <w:t xml:space="preserve">Date : </w:t>
      </w:r>
      <w:r w:rsidRPr="00A67F27">
        <w:tab/>
        <w:t>___________________________</w:t>
      </w:r>
    </w:p>
    <w:p w14:paraId="0B99806C" w14:textId="77777777" w:rsidR="00BF617C" w:rsidRPr="00A67F27" w:rsidRDefault="00BF617C" w:rsidP="00BF617C">
      <w:pPr>
        <w:tabs>
          <w:tab w:val="right" w:pos="8640"/>
        </w:tabs>
        <w:spacing w:before="120" w:after="120"/>
        <w:ind w:left="5220"/>
      </w:pPr>
      <w:r w:rsidRPr="00A67F27">
        <w:t>Appel d’offres n</w:t>
      </w:r>
      <w:r w:rsidRPr="00A67F27">
        <w:rPr>
          <w:vertAlign w:val="superscript"/>
        </w:rPr>
        <w:t>o</w:t>
      </w:r>
      <w:r w:rsidRPr="00A67F27">
        <w:t xml:space="preserve">: </w:t>
      </w:r>
      <w:r w:rsidRPr="00A67F27">
        <w:tab/>
        <w:t>_____________</w:t>
      </w:r>
    </w:p>
    <w:p w14:paraId="1AE064A9" w14:textId="77777777" w:rsidR="00BF617C" w:rsidRPr="00A67F27" w:rsidRDefault="00BF617C" w:rsidP="009B1DAD">
      <w:pPr>
        <w:spacing w:after="0"/>
        <w:rPr>
          <w:rFonts w:ascii="Arial" w:hAnsi="Arial"/>
          <w:sz w:val="22"/>
        </w:rPr>
      </w:pPr>
    </w:p>
    <w:p w14:paraId="2D826E6E" w14:textId="77777777" w:rsidR="00BF617C" w:rsidRPr="00A67F27" w:rsidRDefault="00BF617C" w:rsidP="00BF617C">
      <w:pPr>
        <w:spacing w:before="120" w:after="120"/>
        <w:rPr>
          <w:szCs w:val="24"/>
        </w:rPr>
      </w:pPr>
      <w:r w:rsidRPr="00A67F27">
        <w:rPr>
          <w:b/>
          <w:szCs w:val="24"/>
        </w:rPr>
        <w:t>Bénéficiaire :</w:t>
      </w:r>
      <w:r w:rsidRPr="00A67F27">
        <w:rPr>
          <w:szCs w:val="24"/>
        </w:rPr>
        <w:t xml:space="preserve"> __________________ </w:t>
      </w:r>
      <w:r w:rsidRPr="00A67F27">
        <w:rPr>
          <w:sz w:val="20"/>
        </w:rPr>
        <w:t>[</w:t>
      </w:r>
      <w:r w:rsidRPr="00A67F27">
        <w:rPr>
          <w:i/>
          <w:sz w:val="20"/>
        </w:rPr>
        <w:t>nom et adresse du Maître de l’Ouvrage</w:t>
      </w:r>
      <w:r w:rsidRPr="00A67F27">
        <w:rPr>
          <w:sz w:val="20"/>
        </w:rPr>
        <w:t xml:space="preserve">] </w:t>
      </w:r>
    </w:p>
    <w:p w14:paraId="7FD32CED" w14:textId="77777777" w:rsidR="00BF617C" w:rsidRPr="00A67F27" w:rsidRDefault="00BF617C" w:rsidP="00A857BA">
      <w:pPr>
        <w:spacing w:after="0"/>
        <w:rPr>
          <w:szCs w:val="24"/>
        </w:rPr>
      </w:pPr>
    </w:p>
    <w:p w14:paraId="636F7E6D" w14:textId="77777777" w:rsidR="00BF617C" w:rsidRPr="00A67F27" w:rsidRDefault="00BF617C" w:rsidP="00BF617C">
      <w:pPr>
        <w:spacing w:before="120" w:after="120"/>
        <w:rPr>
          <w:szCs w:val="24"/>
        </w:rPr>
      </w:pPr>
      <w:r w:rsidRPr="00A67F27">
        <w:rPr>
          <w:b/>
          <w:szCs w:val="24"/>
        </w:rPr>
        <w:t>Date :</w:t>
      </w:r>
      <w:r w:rsidRPr="00A67F27">
        <w:rPr>
          <w:szCs w:val="24"/>
        </w:rPr>
        <w:t xml:space="preserve"> _______________</w:t>
      </w:r>
    </w:p>
    <w:p w14:paraId="4751FF07" w14:textId="77777777" w:rsidR="00BF617C" w:rsidRPr="00A67F27" w:rsidRDefault="00BF617C" w:rsidP="00A857BA">
      <w:pPr>
        <w:spacing w:after="0"/>
        <w:rPr>
          <w:szCs w:val="24"/>
        </w:rPr>
      </w:pPr>
    </w:p>
    <w:p w14:paraId="2FB18ACF" w14:textId="77777777" w:rsidR="00BF617C" w:rsidRPr="00A67F27" w:rsidRDefault="00BF617C" w:rsidP="00BF617C">
      <w:pPr>
        <w:spacing w:before="120" w:after="120"/>
        <w:rPr>
          <w:szCs w:val="24"/>
        </w:rPr>
      </w:pPr>
      <w:r w:rsidRPr="00A67F27">
        <w:rPr>
          <w:b/>
          <w:szCs w:val="24"/>
        </w:rPr>
        <w:t>Caution no. :</w:t>
      </w:r>
      <w:r w:rsidRPr="00A67F27">
        <w:rPr>
          <w:szCs w:val="24"/>
        </w:rPr>
        <w:t xml:space="preserve"> ________________</w:t>
      </w:r>
    </w:p>
    <w:p w14:paraId="4926E3D1" w14:textId="77777777" w:rsidR="00BF617C" w:rsidRPr="00A67F27" w:rsidRDefault="00BF617C" w:rsidP="00A857BA">
      <w:pPr>
        <w:spacing w:after="0"/>
        <w:rPr>
          <w:szCs w:val="24"/>
        </w:rPr>
      </w:pPr>
    </w:p>
    <w:p w14:paraId="73FEA0BD" w14:textId="77777777" w:rsidR="00BF617C" w:rsidRPr="00A67F27" w:rsidRDefault="00BF617C" w:rsidP="00BF617C">
      <w:pPr>
        <w:spacing w:before="120" w:after="120"/>
        <w:rPr>
          <w:szCs w:val="24"/>
        </w:rPr>
      </w:pPr>
      <w:r w:rsidRPr="00A67F27">
        <w:rPr>
          <w:szCs w:val="24"/>
        </w:rPr>
        <w:t xml:space="preserve">Nous soussignés _____________________________ </w:t>
      </w:r>
      <w:r w:rsidRPr="00A67F27">
        <w:rPr>
          <w:sz w:val="20"/>
        </w:rPr>
        <w:t>[</w:t>
      </w:r>
      <w:r w:rsidRPr="00A67F27">
        <w:rPr>
          <w:i/>
          <w:sz w:val="20"/>
        </w:rPr>
        <w:t>nom et adresse de l’organisme de caution</w:t>
      </w:r>
      <w:r w:rsidRPr="00A67F27">
        <w:rPr>
          <w:sz w:val="20"/>
        </w:rPr>
        <w:t>]</w:t>
      </w:r>
    </w:p>
    <w:p w14:paraId="0A696E5F" w14:textId="77777777" w:rsidR="00BF617C" w:rsidRPr="00A67F27" w:rsidRDefault="00BF617C" w:rsidP="00BF617C">
      <w:pPr>
        <w:spacing w:before="120" w:after="120"/>
        <w:ind w:left="0" w:firstLine="0"/>
        <w:rPr>
          <w:szCs w:val="24"/>
        </w:rPr>
      </w:pPr>
      <w:r w:rsidRPr="00A67F27">
        <w:rPr>
          <w:szCs w:val="24"/>
        </w:rPr>
        <w:t xml:space="preserve">Déclarons nous porter caution personnelle et solidaire de  ____________________ </w:t>
      </w:r>
      <w:r w:rsidRPr="00A67F27">
        <w:rPr>
          <w:sz w:val="20"/>
        </w:rPr>
        <w:t xml:space="preserve">[indiquer le </w:t>
      </w:r>
      <w:r w:rsidRPr="00A67F27">
        <w:rPr>
          <w:i/>
          <w:sz w:val="20"/>
        </w:rPr>
        <w:t>nom et l’adresse complète de l’Entrepreneur titulaire du marché</w:t>
      </w:r>
      <w:r w:rsidRPr="00A67F27">
        <w:rPr>
          <w:sz w:val="20"/>
        </w:rPr>
        <w:t xml:space="preserve">] </w:t>
      </w:r>
      <w:r w:rsidRPr="00A67F27">
        <w:rPr>
          <w:szCs w:val="24"/>
        </w:rPr>
        <w:t xml:space="preserve">(ci-après dénommé « le Titulaire ») pour le montant de la caution de bonne exécution à laquelle le Titulaire est assujetti en qualité de titulaire du Marché no. ________________  en date du ______________ conclu avec __________________ </w:t>
      </w:r>
      <w:r w:rsidRPr="00A67F27">
        <w:rPr>
          <w:sz w:val="20"/>
        </w:rPr>
        <w:t>[</w:t>
      </w:r>
      <w:r w:rsidRPr="00A67F27">
        <w:rPr>
          <w:i/>
          <w:sz w:val="20"/>
        </w:rPr>
        <w:t>nom et adresse du Maître de l’Ouvrage</w:t>
      </w:r>
      <w:r w:rsidRPr="00A67F27">
        <w:rPr>
          <w:sz w:val="20"/>
        </w:rPr>
        <w:t xml:space="preserve">], </w:t>
      </w:r>
      <w:r w:rsidRPr="00A67F27">
        <w:rPr>
          <w:szCs w:val="24"/>
        </w:rPr>
        <w:t>ci-après dénommé « le Bénéficiaire », pour l’exécution de _____________________  [</w:t>
      </w:r>
      <w:r w:rsidRPr="00A67F27">
        <w:rPr>
          <w:i/>
          <w:sz w:val="20"/>
        </w:rPr>
        <w:t>description des travaux</w:t>
      </w:r>
      <w:r w:rsidRPr="00A67F27">
        <w:rPr>
          <w:szCs w:val="24"/>
        </w:rPr>
        <w:t>] (ci-après dénommé « le Marché ») conclu en date du ___________</w:t>
      </w:r>
      <w:r w:rsidRPr="00A67F27">
        <w:rPr>
          <w:i/>
          <w:sz w:val="20"/>
        </w:rPr>
        <w:t>[insérer la date du Marché]</w:t>
      </w:r>
      <w:r w:rsidRPr="00A67F27">
        <w:rPr>
          <w:szCs w:val="24"/>
        </w:rPr>
        <w:t>.</w:t>
      </w:r>
    </w:p>
    <w:p w14:paraId="07D1F3D4" w14:textId="77777777" w:rsidR="00BF617C" w:rsidRPr="00A67F27" w:rsidRDefault="00BF617C" w:rsidP="00BF617C">
      <w:pPr>
        <w:spacing w:before="120" w:after="120"/>
        <w:rPr>
          <w:szCs w:val="24"/>
        </w:rPr>
      </w:pPr>
      <w:r w:rsidRPr="00A67F27">
        <w:rPr>
          <w:szCs w:val="24"/>
        </w:rPr>
        <w:t>Ladite caution s’élève à _________</w:t>
      </w:r>
      <w:r w:rsidRPr="00A67F27">
        <w:rPr>
          <w:rStyle w:val="Appelnotedebasdep"/>
          <w:szCs w:val="24"/>
        </w:rPr>
        <w:footnoteReference w:id="34"/>
      </w:r>
      <w:r w:rsidRPr="00A67F27">
        <w:rPr>
          <w:szCs w:val="24"/>
        </w:rPr>
        <w:t>.</w:t>
      </w:r>
    </w:p>
    <w:p w14:paraId="1C83BFA5" w14:textId="77777777" w:rsidR="00BF617C" w:rsidRPr="00A67F27" w:rsidRDefault="00BF617C" w:rsidP="009B1DAD">
      <w:pPr>
        <w:spacing w:after="0"/>
        <w:rPr>
          <w:szCs w:val="24"/>
        </w:rPr>
      </w:pPr>
    </w:p>
    <w:p w14:paraId="055BD631" w14:textId="77777777" w:rsidR="00BF617C" w:rsidRPr="00043C85" w:rsidRDefault="00BF617C" w:rsidP="00BF617C">
      <w:pPr>
        <w:spacing w:before="120" w:after="120"/>
        <w:ind w:left="0" w:firstLine="0"/>
        <w:rPr>
          <w:szCs w:val="24"/>
        </w:rPr>
      </w:pPr>
      <w:r w:rsidRPr="00435C9E">
        <w:rPr>
          <w:szCs w:val="24"/>
        </w:rPr>
        <w:t>Nous nous engageons à effectuer sur demande de paiement du Bénéficiaire adressée par courrier avec accusé de réception reçue au plus tard à la date d’expiration mentionnée ci-après, et ce jusqu’à concurrence de la somm</w:t>
      </w:r>
      <w:r w:rsidRPr="001627D7">
        <w:rPr>
          <w:szCs w:val="24"/>
        </w:rPr>
        <w:t>e garantie ci-dessus le versement des sommes dont le Titulaire serait débiteur au titre du Marché du fait de la non-exécution de ses obligations contractuelles. Le présent engagement sera réduit pour moitié sur présentation du procès-verbal de réception pr</w:t>
      </w:r>
      <w:r w:rsidRPr="00043C85">
        <w:rPr>
          <w:szCs w:val="24"/>
        </w:rPr>
        <w:t>ovisoire et demeurera valable jusqu’au trentième jour suivant la date de délivrance du procès-verbal de réception définitive.</w:t>
      </w:r>
    </w:p>
    <w:p w14:paraId="2F34C096" w14:textId="77777777" w:rsidR="00BF617C" w:rsidRPr="00EB4FEC" w:rsidRDefault="00BF617C" w:rsidP="00BF617C">
      <w:pPr>
        <w:spacing w:before="120" w:after="120"/>
        <w:rPr>
          <w:szCs w:val="24"/>
        </w:rPr>
      </w:pPr>
    </w:p>
    <w:p w14:paraId="15CD0978" w14:textId="77777777" w:rsidR="00BF617C" w:rsidRPr="00442531" w:rsidRDefault="00BF617C" w:rsidP="00BF617C">
      <w:pPr>
        <w:spacing w:before="120" w:after="120"/>
        <w:ind w:left="0" w:firstLine="0"/>
        <w:jc w:val="left"/>
        <w:rPr>
          <w:szCs w:val="24"/>
        </w:rPr>
      </w:pPr>
      <w:r w:rsidRPr="00442531">
        <w:rPr>
          <w:szCs w:val="24"/>
        </w:rPr>
        <w:t>SIGNATURE et authentification du signataire__________________________________ _______________________________________________________________________</w:t>
      </w:r>
    </w:p>
    <w:p w14:paraId="75F1054D" w14:textId="77777777" w:rsidR="00BF617C" w:rsidRPr="00442531" w:rsidRDefault="00BF617C" w:rsidP="00A857BA">
      <w:pPr>
        <w:spacing w:before="120" w:after="0"/>
        <w:rPr>
          <w:szCs w:val="24"/>
        </w:rPr>
      </w:pPr>
    </w:p>
    <w:p w14:paraId="3A654A77" w14:textId="77777777" w:rsidR="00BF617C" w:rsidRPr="00442531" w:rsidRDefault="00BF617C" w:rsidP="00BF617C">
      <w:pPr>
        <w:spacing w:before="120" w:after="120"/>
        <w:rPr>
          <w:szCs w:val="24"/>
        </w:rPr>
      </w:pPr>
      <w:r w:rsidRPr="00442531">
        <w:rPr>
          <w:szCs w:val="24"/>
        </w:rPr>
        <w:t>Nom et adresse de l’organisme de caution______________________________________</w:t>
      </w:r>
    </w:p>
    <w:p w14:paraId="1CE25F1C" w14:textId="22430D2D" w:rsidR="00BF617C" w:rsidRPr="00A67F27" w:rsidRDefault="000A450A" w:rsidP="00960482">
      <w:pPr>
        <w:pStyle w:val="S9Header1"/>
        <w:spacing w:before="0" w:after="0"/>
        <w:rPr>
          <w:lang w:val="fr-FR"/>
        </w:rPr>
      </w:pPr>
      <w:bookmarkStart w:id="874" w:name="_Toc156372185"/>
      <w:r w:rsidRPr="00A67F27">
        <w:rPr>
          <w:rFonts w:asciiTheme="majorBidi" w:hAnsiTheme="majorBidi" w:cstheme="majorBidi"/>
          <w:i/>
          <w:lang w:val="fr-FR"/>
        </w:rPr>
        <w:br w:type="page"/>
      </w:r>
      <w:bookmarkStart w:id="875" w:name="_Toc490041438"/>
      <w:bookmarkStart w:id="876" w:name="_Toc483207934"/>
      <w:bookmarkStart w:id="877" w:name="_Toc327354355"/>
      <w:r w:rsidR="00C63181" w:rsidRPr="00A67F27">
        <w:rPr>
          <w:lang w:val="fr-FR"/>
        </w:rPr>
        <w:t xml:space="preserve">Modèle de garantie de performance environnementale, sociale, hygiène et sécurité </w:t>
      </w:r>
      <w:r w:rsidR="00BF617C" w:rsidRPr="00A67F27">
        <w:rPr>
          <w:lang w:val="fr-FR"/>
        </w:rPr>
        <w:t>(ESHS)</w:t>
      </w:r>
      <w:bookmarkEnd w:id="875"/>
    </w:p>
    <w:p w14:paraId="5503CF84" w14:textId="6B1E322B" w:rsidR="00C63181" w:rsidRPr="00A67F27" w:rsidRDefault="00C63181" w:rsidP="00960482">
      <w:pPr>
        <w:pStyle w:val="S9Header1"/>
        <w:spacing w:before="0" w:after="0"/>
        <w:rPr>
          <w:lang w:val="fr-FR"/>
        </w:rPr>
      </w:pPr>
      <w:bookmarkStart w:id="878" w:name="_Toc490041439"/>
      <w:r w:rsidRPr="00A67F27">
        <w:rPr>
          <w:lang w:val="fr-FR"/>
        </w:rPr>
        <w:t>(</w:t>
      </w:r>
      <w:r w:rsidR="00D07548" w:rsidRPr="00A67F27">
        <w:rPr>
          <w:lang w:val="fr-FR"/>
        </w:rPr>
        <w:t>Garantie</w:t>
      </w:r>
      <w:r w:rsidRPr="00A67F27">
        <w:rPr>
          <w:lang w:val="fr-FR"/>
        </w:rPr>
        <w:t xml:space="preserve"> bancaire)</w:t>
      </w:r>
      <w:bookmarkEnd w:id="876"/>
      <w:bookmarkEnd w:id="878"/>
    </w:p>
    <w:p w14:paraId="3D1B1D33" w14:textId="543C003F" w:rsidR="00BF617C" w:rsidRPr="00A67F27" w:rsidRDefault="00BF617C" w:rsidP="00960482">
      <w:pPr>
        <w:spacing w:after="120"/>
        <w:jc w:val="center"/>
        <w:rPr>
          <w:rFonts w:eastAsia="Arial Unicode MS"/>
          <w:i/>
          <w:color w:val="000000"/>
        </w:rPr>
      </w:pPr>
      <w:r w:rsidRPr="00A67F27">
        <w:rPr>
          <w:rFonts w:eastAsia="Arial Unicode MS"/>
          <w:i/>
          <w:color w:val="000000"/>
        </w:rPr>
        <w:t xml:space="preserve"> [Papier à lettre à l’entête du Garant ou Code Identifiant SWIFT]</w:t>
      </w:r>
    </w:p>
    <w:p w14:paraId="0E3CE01C" w14:textId="0F3A16C9" w:rsidR="00C63181" w:rsidRPr="00A67F27" w:rsidRDefault="00C63181" w:rsidP="00960482">
      <w:pPr>
        <w:spacing w:after="120"/>
        <w:rPr>
          <w:rFonts w:asciiTheme="majorBidi" w:hAnsiTheme="majorBidi" w:cstheme="majorBidi"/>
          <w:szCs w:val="24"/>
        </w:rPr>
      </w:pPr>
      <w:r w:rsidRPr="00A67F27">
        <w:rPr>
          <w:rFonts w:asciiTheme="majorBidi" w:hAnsiTheme="majorBidi" w:cstheme="majorBidi"/>
          <w:szCs w:val="24"/>
        </w:rPr>
        <w:t>_____________________________ [</w:t>
      </w:r>
      <w:r w:rsidRPr="00A67F27">
        <w:rPr>
          <w:rFonts w:asciiTheme="majorBidi" w:hAnsiTheme="majorBidi" w:cstheme="majorBidi"/>
          <w:i/>
          <w:szCs w:val="24"/>
        </w:rPr>
        <w:t>nom de la banque et adresse de la banque d’émission</w:t>
      </w:r>
      <w:r w:rsidRPr="00A67F27">
        <w:rPr>
          <w:rFonts w:asciiTheme="majorBidi" w:hAnsiTheme="majorBidi" w:cstheme="majorBidi"/>
          <w:szCs w:val="24"/>
        </w:rPr>
        <w:t>]</w:t>
      </w:r>
    </w:p>
    <w:p w14:paraId="32AEF4C0" w14:textId="695C865C" w:rsidR="00C63181" w:rsidRPr="00A67F27" w:rsidRDefault="00C63181" w:rsidP="00960482">
      <w:pPr>
        <w:spacing w:after="0"/>
        <w:rPr>
          <w:rFonts w:asciiTheme="majorBidi" w:hAnsiTheme="majorBidi" w:cstheme="majorBidi"/>
          <w:szCs w:val="24"/>
        </w:rPr>
      </w:pPr>
      <w:r w:rsidRPr="00A67F27">
        <w:rPr>
          <w:rFonts w:asciiTheme="majorBidi" w:hAnsiTheme="majorBidi" w:cstheme="majorBidi"/>
          <w:b/>
          <w:szCs w:val="24"/>
        </w:rPr>
        <w:t>Bénéficiaire</w:t>
      </w:r>
      <w:r w:rsidR="009B2302" w:rsidRPr="00A67F27">
        <w:rPr>
          <w:rFonts w:asciiTheme="majorBidi" w:hAnsiTheme="majorBidi" w:cstheme="majorBidi"/>
          <w:b/>
          <w:szCs w:val="24"/>
        </w:rPr>
        <w:t> :</w:t>
      </w:r>
      <w:r w:rsidRPr="00A67F27">
        <w:rPr>
          <w:rFonts w:asciiTheme="majorBidi" w:hAnsiTheme="majorBidi" w:cstheme="majorBidi"/>
          <w:szCs w:val="24"/>
        </w:rPr>
        <w:t xml:space="preserve"> __________________ [</w:t>
      </w:r>
      <w:r w:rsidRPr="00A67F27">
        <w:rPr>
          <w:rFonts w:asciiTheme="majorBidi" w:hAnsiTheme="majorBidi" w:cstheme="majorBidi"/>
          <w:i/>
          <w:szCs w:val="24"/>
        </w:rPr>
        <w:t>nom et adresse du Maître d’Ouvrage</w:t>
      </w:r>
      <w:r w:rsidRPr="00A67F27">
        <w:rPr>
          <w:rFonts w:asciiTheme="majorBidi" w:hAnsiTheme="majorBidi" w:cstheme="majorBidi"/>
          <w:szCs w:val="24"/>
        </w:rPr>
        <w:t xml:space="preserve">] </w:t>
      </w:r>
    </w:p>
    <w:p w14:paraId="295ABE26" w14:textId="6EDBF738" w:rsidR="00C63181" w:rsidRPr="00A67F27" w:rsidRDefault="00C63181" w:rsidP="00960482">
      <w:pPr>
        <w:spacing w:after="0"/>
        <w:rPr>
          <w:rFonts w:asciiTheme="majorBidi" w:hAnsiTheme="majorBidi" w:cstheme="majorBidi"/>
          <w:szCs w:val="24"/>
        </w:rPr>
      </w:pPr>
      <w:r w:rsidRPr="00A67F27">
        <w:rPr>
          <w:rFonts w:asciiTheme="majorBidi" w:hAnsiTheme="majorBidi" w:cstheme="majorBidi"/>
          <w:b/>
          <w:szCs w:val="24"/>
        </w:rPr>
        <w:t>Date</w:t>
      </w:r>
      <w:r w:rsidR="009B2302" w:rsidRPr="00A67F27">
        <w:rPr>
          <w:rFonts w:asciiTheme="majorBidi" w:hAnsiTheme="majorBidi" w:cstheme="majorBidi"/>
          <w:b/>
          <w:szCs w:val="24"/>
        </w:rPr>
        <w:t> :</w:t>
      </w:r>
      <w:r w:rsidRPr="00A67F27">
        <w:rPr>
          <w:rFonts w:asciiTheme="majorBidi" w:hAnsiTheme="majorBidi" w:cstheme="majorBidi"/>
          <w:szCs w:val="24"/>
        </w:rPr>
        <w:t xml:space="preserve"> _______________</w:t>
      </w:r>
    </w:p>
    <w:p w14:paraId="6762D722" w14:textId="3ACF5471" w:rsidR="00C63181" w:rsidRPr="00A67F27" w:rsidRDefault="00C63181" w:rsidP="00960482">
      <w:pPr>
        <w:spacing w:after="0"/>
        <w:rPr>
          <w:rFonts w:asciiTheme="majorBidi" w:hAnsiTheme="majorBidi" w:cstheme="majorBidi"/>
          <w:szCs w:val="24"/>
        </w:rPr>
      </w:pPr>
      <w:r w:rsidRPr="00A67F27">
        <w:rPr>
          <w:rFonts w:asciiTheme="majorBidi" w:hAnsiTheme="majorBidi" w:cstheme="majorBidi"/>
          <w:b/>
          <w:szCs w:val="24"/>
        </w:rPr>
        <w:t>Garantie de performance ESHS no.</w:t>
      </w:r>
      <w:r w:rsidR="009B2302" w:rsidRPr="00A67F27">
        <w:rPr>
          <w:rFonts w:asciiTheme="majorBidi" w:hAnsiTheme="majorBidi" w:cstheme="majorBidi"/>
          <w:b/>
          <w:szCs w:val="24"/>
        </w:rPr>
        <w:t> :</w:t>
      </w:r>
      <w:r w:rsidRPr="00A67F27">
        <w:rPr>
          <w:rFonts w:asciiTheme="majorBidi" w:hAnsiTheme="majorBidi" w:cstheme="majorBidi"/>
          <w:szCs w:val="24"/>
        </w:rPr>
        <w:t xml:space="preserve"> ________________</w:t>
      </w:r>
    </w:p>
    <w:p w14:paraId="5B66CFDB" w14:textId="4E540378" w:rsidR="00C3533D" w:rsidRPr="00A67F27" w:rsidRDefault="003F6934" w:rsidP="00960482">
      <w:pPr>
        <w:spacing w:after="0"/>
        <w:ind w:left="0" w:firstLine="0"/>
        <w:rPr>
          <w:rFonts w:eastAsia="Arial Unicode MS"/>
          <w:color w:val="000000"/>
        </w:rPr>
      </w:pPr>
      <w:r>
        <w:rPr>
          <w:rFonts w:eastAsia="Arial Unicode MS"/>
          <w:b/>
          <w:color w:val="000000"/>
        </w:rPr>
        <w:t>Garant</w:t>
      </w:r>
      <w:r w:rsidR="00C3533D" w:rsidRPr="00A67F27">
        <w:rPr>
          <w:rFonts w:eastAsia="Arial Unicode MS"/>
          <w:b/>
          <w:color w:val="000000"/>
        </w:rPr>
        <w:t xml:space="preserve">: </w:t>
      </w:r>
      <w:r w:rsidR="00C3533D" w:rsidRPr="00A67F27">
        <w:rPr>
          <w:rFonts w:eastAsia="Arial Unicode MS"/>
          <w:i/>
          <w:color w:val="000000"/>
        </w:rPr>
        <w:t>[</w:t>
      </w:r>
      <w:r w:rsidR="00F1176D" w:rsidRPr="00A67F27">
        <w:rPr>
          <w:rFonts w:eastAsia="Arial Unicode MS"/>
          <w:i/>
          <w:color w:val="000000"/>
        </w:rPr>
        <w:t xml:space="preserve">Insérer </w:t>
      </w:r>
      <w:r w:rsidR="00F1176D" w:rsidRPr="00A67F27">
        <w:rPr>
          <w:rFonts w:asciiTheme="majorBidi" w:hAnsiTheme="majorBidi" w:cstheme="majorBidi"/>
          <w:i/>
          <w:szCs w:val="24"/>
        </w:rPr>
        <w:t xml:space="preserve">nom et adresse de la banque </w:t>
      </w:r>
      <w:r w:rsidR="00F1176D" w:rsidRPr="00A67F27">
        <w:rPr>
          <w:rFonts w:asciiTheme="majorBidi" w:hAnsiTheme="majorBidi" w:cstheme="majorBidi"/>
          <w:bCs/>
          <w:i/>
          <w:iCs/>
        </w:rPr>
        <w:t>d’émission</w:t>
      </w:r>
      <w:r w:rsidR="00F1176D" w:rsidRPr="00A67F27">
        <w:rPr>
          <w:rFonts w:eastAsia="Arial Unicode MS"/>
          <w:i/>
          <w:color w:val="000000"/>
        </w:rPr>
        <w:t xml:space="preserve"> si absent de l’entête</w:t>
      </w:r>
      <w:r w:rsidR="00C3533D" w:rsidRPr="00A67F27">
        <w:rPr>
          <w:rFonts w:eastAsia="Arial Unicode MS"/>
          <w:i/>
          <w:color w:val="000000"/>
        </w:rPr>
        <w:t>]</w:t>
      </w:r>
    </w:p>
    <w:p w14:paraId="2ACF0BF9" w14:textId="1329150D" w:rsidR="00C63181" w:rsidRPr="00A67F27" w:rsidRDefault="00C63181" w:rsidP="00960482">
      <w:pPr>
        <w:spacing w:after="0"/>
        <w:ind w:left="0" w:firstLine="0"/>
        <w:rPr>
          <w:rFonts w:asciiTheme="majorBidi" w:hAnsiTheme="majorBidi" w:cstheme="majorBidi"/>
          <w:szCs w:val="24"/>
        </w:rPr>
      </w:pPr>
      <w:r w:rsidRPr="00A67F27">
        <w:rPr>
          <w:rFonts w:asciiTheme="majorBidi" w:hAnsiTheme="majorBidi" w:cstheme="majorBidi"/>
          <w:szCs w:val="24"/>
        </w:rPr>
        <w:t>Nous avons été informés que</w:t>
      </w:r>
      <w:r w:rsidR="009B2302" w:rsidRPr="00A67F27">
        <w:rPr>
          <w:rFonts w:asciiTheme="majorBidi" w:hAnsiTheme="majorBidi" w:cstheme="majorBidi"/>
          <w:szCs w:val="24"/>
        </w:rPr>
        <w:t xml:space="preserve"> </w:t>
      </w:r>
      <w:r w:rsidRPr="00A67F27">
        <w:rPr>
          <w:rFonts w:asciiTheme="majorBidi" w:hAnsiTheme="majorBidi" w:cstheme="majorBidi"/>
          <w:i/>
          <w:szCs w:val="24"/>
        </w:rPr>
        <w:t>[nom de l’Entrepreneur]</w:t>
      </w:r>
      <w:r w:rsidRPr="00A67F27">
        <w:rPr>
          <w:rFonts w:asciiTheme="majorBidi" w:hAnsiTheme="majorBidi" w:cstheme="majorBidi"/>
          <w:szCs w:val="24"/>
        </w:rPr>
        <w:t xml:space="preserve"> (ci-après dénommé le Donneur d’ordre) a conclu avec vous le Marché no. </w:t>
      </w:r>
      <w:r w:rsidRPr="00A67F27">
        <w:rPr>
          <w:rFonts w:asciiTheme="majorBidi" w:hAnsiTheme="majorBidi" w:cstheme="majorBidi"/>
          <w:i/>
          <w:iCs/>
          <w:szCs w:val="24"/>
        </w:rPr>
        <w:t>[insérer No]</w:t>
      </w:r>
      <w:r w:rsidR="009B2302" w:rsidRPr="00A67F27">
        <w:rPr>
          <w:rFonts w:asciiTheme="majorBidi" w:hAnsiTheme="majorBidi" w:cstheme="majorBidi"/>
          <w:szCs w:val="24"/>
        </w:rPr>
        <w:t xml:space="preserve"> </w:t>
      </w:r>
      <w:r w:rsidRPr="00A67F27">
        <w:rPr>
          <w:rFonts w:asciiTheme="majorBidi" w:hAnsiTheme="majorBidi" w:cstheme="majorBidi"/>
          <w:szCs w:val="24"/>
        </w:rPr>
        <w:t xml:space="preserve">en date du </w:t>
      </w:r>
      <w:r w:rsidRPr="00A67F27">
        <w:rPr>
          <w:rFonts w:asciiTheme="majorBidi" w:hAnsiTheme="majorBidi" w:cstheme="majorBidi"/>
          <w:i/>
          <w:iCs/>
          <w:szCs w:val="24"/>
        </w:rPr>
        <w:t>[insérer la date]</w:t>
      </w:r>
      <w:r w:rsidRPr="00A67F27">
        <w:rPr>
          <w:rFonts w:asciiTheme="majorBidi" w:hAnsiTheme="majorBidi" w:cstheme="majorBidi"/>
          <w:szCs w:val="24"/>
        </w:rPr>
        <w:t xml:space="preserve"> pour l’exécution de</w:t>
      </w:r>
      <w:r w:rsidR="009B2302" w:rsidRPr="00A67F27">
        <w:rPr>
          <w:rFonts w:asciiTheme="majorBidi" w:hAnsiTheme="majorBidi" w:cstheme="majorBidi"/>
          <w:szCs w:val="24"/>
        </w:rPr>
        <w:t xml:space="preserve"> </w:t>
      </w:r>
      <w:r w:rsidRPr="00A67F27">
        <w:rPr>
          <w:rFonts w:asciiTheme="majorBidi" w:hAnsiTheme="majorBidi" w:cstheme="majorBidi"/>
          <w:i/>
          <w:szCs w:val="24"/>
        </w:rPr>
        <w:t>[description des travaux et services]</w:t>
      </w:r>
      <w:r w:rsidRPr="00A67F27">
        <w:rPr>
          <w:rFonts w:asciiTheme="majorBidi" w:hAnsiTheme="majorBidi" w:cstheme="majorBidi"/>
          <w:szCs w:val="24"/>
        </w:rPr>
        <w:t xml:space="preserve"> (ci-après dénommé </w:t>
      </w:r>
      <w:r w:rsidR="009B2302" w:rsidRPr="00A67F27">
        <w:rPr>
          <w:rFonts w:asciiTheme="majorBidi" w:hAnsiTheme="majorBidi" w:cstheme="majorBidi"/>
          <w:szCs w:val="24"/>
        </w:rPr>
        <w:t>« </w:t>
      </w:r>
      <w:r w:rsidRPr="00A67F27">
        <w:rPr>
          <w:rFonts w:asciiTheme="majorBidi" w:hAnsiTheme="majorBidi" w:cstheme="majorBidi"/>
          <w:szCs w:val="24"/>
        </w:rPr>
        <w:t>le Marché</w:t>
      </w:r>
      <w:r w:rsidR="009B2302" w:rsidRPr="00A67F27">
        <w:rPr>
          <w:rFonts w:asciiTheme="majorBidi" w:hAnsiTheme="majorBidi" w:cstheme="majorBidi"/>
          <w:szCs w:val="24"/>
        </w:rPr>
        <w:t> »</w:t>
      </w:r>
      <w:r w:rsidRPr="00A67F27">
        <w:rPr>
          <w:rFonts w:asciiTheme="majorBidi" w:hAnsiTheme="majorBidi" w:cstheme="majorBidi"/>
          <w:szCs w:val="24"/>
        </w:rPr>
        <w:t>).</w:t>
      </w:r>
    </w:p>
    <w:p w14:paraId="640B0E52" w14:textId="77777777" w:rsidR="00C63181" w:rsidRPr="00A67F27" w:rsidRDefault="00C63181" w:rsidP="00960482">
      <w:pPr>
        <w:spacing w:after="0"/>
        <w:ind w:left="0" w:firstLine="0"/>
        <w:rPr>
          <w:rFonts w:asciiTheme="majorBidi" w:hAnsiTheme="majorBidi" w:cstheme="majorBidi"/>
          <w:szCs w:val="24"/>
        </w:rPr>
      </w:pPr>
      <w:r w:rsidRPr="00A67F27">
        <w:rPr>
          <w:rFonts w:asciiTheme="majorBidi" w:hAnsiTheme="majorBidi" w:cstheme="majorBidi"/>
          <w:szCs w:val="24"/>
        </w:rPr>
        <w:t>De plus, nous comprenons qu’une garantie de performance environnementale, sociale, hygiène et sécurité est exigée en vertu des conditions du Marché.</w:t>
      </w:r>
    </w:p>
    <w:p w14:paraId="173148D7" w14:textId="38BFBFBF" w:rsidR="00C63181" w:rsidRPr="00442531" w:rsidRDefault="00C63181" w:rsidP="00960482">
      <w:pPr>
        <w:spacing w:after="0"/>
        <w:ind w:left="0" w:firstLine="0"/>
        <w:rPr>
          <w:rFonts w:asciiTheme="majorBidi" w:hAnsiTheme="majorBidi" w:cstheme="majorBidi"/>
          <w:szCs w:val="24"/>
        </w:rPr>
      </w:pPr>
      <w:r w:rsidRPr="00A67F27">
        <w:rPr>
          <w:rFonts w:asciiTheme="majorBidi" w:hAnsiTheme="majorBidi" w:cstheme="majorBidi"/>
          <w:szCs w:val="24"/>
        </w:rPr>
        <w:t>A la demande du Donneur d’ordre, nous</w:t>
      </w:r>
      <w:r w:rsidR="009B2302" w:rsidRPr="00A67F27">
        <w:rPr>
          <w:rFonts w:asciiTheme="majorBidi" w:hAnsiTheme="majorBidi" w:cstheme="majorBidi"/>
          <w:szCs w:val="24"/>
        </w:rPr>
        <w:t xml:space="preserve"> </w:t>
      </w:r>
      <w:r w:rsidRPr="00A67F27">
        <w:rPr>
          <w:rFonts w:asciiTheme="majorBidi" w:hAnsiTheme="majorBidi" w:cstheme="majorBidi"/>
          <w:i/>
          <w:szCs w:val="24"/>
        </w:rPr>
        <w:t>[nom de la banque garante]</w:t>
      </w:r>
      <w:r w:rsidRPr="00A67F27">
        <w:rPr>
          <w:rFonts w:asciiTheme="majorBidi" w:hAnsiTheme="majorBidi" w:cstheme="majorBidi"/>
          <w:szCs w:val="24"/>
        </w:rPr>
        <w:t xml:space="preserve"> prenons, en tant que Garant, l’engagement irrévocable de payer au Bénéficiaire toute somme</w:t>
      </w:r>
      <w:r w:rsidR="009B2302" w:rsidRPr="00A67F27">
        <w:rPr>
          <w:rFonts w:asciiTheme="majorBidi" w:hAnsiTheme="majorBidi" w:cstheme="majorBidi"/>
          <w:szCs w:val="24"/>
        </w:rPr>
        <w:t xml:space="preserve"> </w:t>
      </w:r>
      <w:r w:rsidRPr="00A67F27">
        <w:rPr>
          <w:rFonts w:asciiTheme="majorBidi" w:hAnsiTheme="majorBidi" w:cstheme="majorBidi"/>
          <w:szCs w:val="24"/>
        </w:rPr>
        <w:t>dans la limite du Montant de la Garantie qui s’élève à</w:t>
      </w:r>
      <w:r w:rsidR="009B2302" w:rsidRPr="00A67F27">
        <w:rPr>
          <w:rFonts w:asciiTheme="majorBidi" w:hAnsiTheme="majorBidi" w:cstheme="majorBidi"/>
          <w:szCs w:val="24"/>
        </w:rPr>
        <w:t xml:space="preserve"> </w:t>
      </w:r>
      <w:r w:rsidRPr="00A67F27">
        <w:rPr>
          <w:rFonts w:asciiTheme="majorBidi" w:hAnsiTheme="majorBidi" w:cstheme="majorBidi"/>
          <w:i/>
          <w:szCs w:val="24"/>
        </w:rPr>
        <w:t>[insérer la somme en chiffres]</w:t>
      </w:r>
      <w:r w:rsidRPr="00A67F27">
        <w:rPr>
          <w:rFonts w:asciiTheme="majorBidi" w:hAnsiTheme="majorBidi" w:cstheme="majorBidi"/>
          <w:szCs w:val="24"/>
        </w:rPr>
        <w:t xml:space="preserve"> </w:t>
      </w:r>
      <w:r w:rsidRPr="00A67F27">
        <w:rPr>
          <w:rFonts w:asciiTheme="majorBidi" w:hAnsiTheme="majorBidi" w:cstheme="majorBidi"/>
          <w:i/>
          <w:szCs w:val="24"/>
        </w:rPr>
        <w:t>[insérer la somme en lettres]</w:t>
      </w:r>
      <w:r w:rsidRPr="00A67F27">
        <w:rPr>
          <w:rFonts w:asciiTheme="majorBidi" w:hAnsiTheme="majorBidi" w:cstheme="majorBidi"/>
          <w:szCs w:val="24"/>
          <w:vertAlign w:val="superscript"/>
        </w:rPr>
        <w:footnoteReference w:id="35"/>
      </w:r>
      <w:r w:rsidRPr="00A67F27">
        <w:rPr>
          <w:rFonts w:asciiTheme="majorBidi" w:hAnsiTheme="majorBidi" w:cstheme="majorBidi"/>
          <w:szCs w:val="24"/>
        </w:rPr>
        <w:t>.</w:t>
      </w:r>
      <w:r w:rsidR="009B2302" w:rsidRPr="00A67F27">
        <w:rPr>
          <w:rFonts w:asciiTheme="majorBidi" w:hAnsiTheme="majorBidi" w:cstheme="majorBidi"/>
          <w:szCs w:val="24"/>
        </w:rPr>
        <w:t xml:space="preserve"> </w:t>
      </w:r>
      <w:r w:rsidRPr="001627D7">
        <w:rPr>
          <w:rFonts w:asciiTheme="majorBidi" w:hAnsiTheme="majorBidi" w:cstheme="majorBidi"/>
          <w:szCs w:val="24"/>
        </w:rPr>
        <w:t>Votre demande en paiement doit comprendre, que ce soit dans la demande elle-même ou dans un document séparé signé</w:t>
      </w:r>
      <w:r w:rsidRPr="00043C85" w:rsidDel="00667289">
        <w:rPr>
          <w:rFonts w:asciiTheme="majorBidi" w:hAnsiTheme="majorBidi" w:cstheme="majorBidi"/>
          <w:szCs w:val="24"/>
        </w:rPr>
        <w:t xml:space="preserve"> </w:t>
      </w:r>
      <w:r w:rsidRPr="00EB4FEC">
        <w:rPr>
          <w:rFonts w:asciiTheme="majorBidi" w:hAnsiTheme="majorBidi" w:cstheme="majorBidi"/>
          <w:szCs w:val="24"/>
        </w:rPr>
        <w:t>accompagnant ou identifiant la demande, la déclaration que le Donneur d’ordre n’a pas rempli ses obligations environnementales, sociale</w:t>
      </w:r>
      <w:r w:rsidRPr="00442531">
        <w:rPr>
          <w:rFonts w:asciiTheme="majorBidi" w:hAnsiTheme="majorBidi" w:cstheme="majorBidi"/>
          <w:szCs w:val="24"/>
        </w:rPr>
        <w:t xml:space="preserve">s, hygiène et sécurité (ESHS) au titre du Marché, sans que vous ayez à prouver ou à donner les raisons ou le motif de votre demande ou du montant qui y figure. </w:t>
      </w:r>
    </w:p>
    <w:p w14:paraId="58C42CE8" w14:textId="4444BEA4" w:rsidR="00C63181" w:rsidRPr="00A67F27" w:rsidRDefault="00C63181" w:rsidP="00960482">
      <w:pPr>
        <w:spacing w:after="0"/>
        <w:ind w:left="0" w:firstLine="0"/>
        <w:rPr>
          <w:rFonts w:asciiTheme="majorBidi" w:hAnsiTheme="majorBidi" w:cstheme="majorBidi"/>
          <w:szCs w:val="24"/>
        </w:rPr>
      </w:pPr>
      <w:r w:rsidRPr="00442531">
        <w:rPr>
          <w:rFonts w:asciiTheme="majorBidi" w:hAnsiTheme="majorBidi" w:cstheme="majorBidi"/>
          <w:szCs w:val="24"/>
        </w:rPr>
        <w:t>La présente garantie expire au plus tard le</w:t>
      </w:r>
      <w:r w:rsidR="009B2302" w:rsidRPr="00442531">
        <w:rPr>
          <w:rFonts w:asciiTheme="majorBidi" w:hAnsiTheme="majorBidi" w:cstheme="majorBidi"/>
          <w:szCs w:val="24"/>
        </w:rPr>
        <w:t xml:space="preserve"> </w:t>
      </w:r>
      <w:r w:rsidRPr="00132A9B">
        <w:rPr>
          <w:rFonts w:asciiTheme="majorBidi" w:hAnsiTheme="majorBidi" w:cstheme="majorBidi"/>
          <w:bCs/>
          <w:i/>
          <w:iCs/>
          <w:szCs w:val="24"/>
        </w:rPr>
        <w:t>[insérer la date]</w:t>
      </w:r>
      <w:r w:rsidRPr="00835449">
        <w:rPr>
          <w:rFonts w:asciiTheme="majorBidi" w:hAnsiTheme="majorBidi" w:cstheme="majorBidi"/>
          <w:szCs w:val="24"/>
        </w:rPr>
        <w:t xml:space="preserve"> jour de </w:t>
      </w:r>
      <w:r w:rsidRPr="00D6752B">
        <w:rPr>
          <w:rFonts w:asciiTheme="majorBidi" w:hAnsiTheme="majorBidi" w:cstheme="majorBidi"/>
          <w:bCs/>
          <w:i/>
          <w:iCs/>
          <w:szCs w:val="24"/>
        </w:rPr>
        <w:t>[insérer le mois]</w:t>
      </w:r>
      <w:r w:rsidRPr="00013AB1">
        <w:rPr>
          <w:rFonts w:asciiTheme="majorBidi" w:hAnsiTheme="majorBidi" w:cstheme="majorBidi"/>
          <w:szCs w:val="24"/>
          <w:vertAlign w:val="superscript"/>
        </w:rPr>
        <w:t>2</w:t>
      </w:r>
      <w:r w:rsidR="00C3533D" w:rsidRPr="00AB61F2">
        <w:rPr>
          <w:rFonts w:asciiTheme="majorBidi" w:hAnsiTheme="majorBidi" w:cstheme="majorBidi"/>
          <w:szCs w:val="24"/>
          <w:vertAlign w:val="superscript"/>
        </w:rPr>
        <w:t xml:space="preserve"> </w:t>
      </w:r>
      <w:r w:rsidRPr="008432AC">
        <w:rPr>
          <w:rFonts w:asciiTheme="majorBidi" w:hAnsiTheme="majorBidi" w:cstheme="majorBidi"/>
          <w:bCs/>
          <w:i/>
          <w:iCs/>
          <w:szCs w:val="24"/>
        </w:rPr>
        <w:t>[insérer l’année]</w:t>
      </w:r>
      <w:r w:rsidRPr="008432AC">
        <w:rPr>
          <w:rFonts w:asciiTheme="majorBidi" w:hAnsiTheme="majorBidi" w:cstheme="majorBidi"/>
          <w:szCs w:val="24"/>
        </w:rPr>
        <w:t>,</w:t>
      </w:r>
      <w:r w:rsidRPr="00A67F27">
        <w:rPr>
          <w:rFonts w:asciiTheme="majorBidi" w:hAnsiTheme="majorBidi" w:cstheme="majorBidi"/>
          <w:szCs w:val="24"/>
          <w:vertAlign w:val="superscript"/>
        </w:rPr>
        <w:footnoteReference w:id="36"/>
      </w:r>
      <w:r w:rsidRPr="00A67F27">
        <w:rPr>
          <w:rFonts w:asciiTheme="majorBidi" w:hAnsiTheme="majorBidi" w:cstheme="majorBidi"/>
          <w:szCs w:val="24"/>
        </w:rPr>
        <w:t xml:space="preserve"> et toute demande de paiement doit être reçue à cette date au plus tard, à l’adresse figurant ci-dessus.</w:t>
      </w:r>
    </w:p>
    <w:p w14:paraId="78FBA116" w14:textId="0F3AA3C4" w:rsidR="00C63181" w:rsidRPr="00043C85" w:rsidRDefault="00C63181" w:rsidP="00960482">
      <w:pPr>
        <w:spacing w:after="0"/>
        <w:ind w:left="0" w:firstLine="0"/>
        <w:rPr>
          <w:rFonts w:asciiTheme="majorBidi" w:hAnsiTheme="majorBidi" w:cstheme="majorBidi"/>
          <w:szCs w:val="24"/>
        </w:rPr>
      </w:pPr>
      <w:r w:rsidRPr="00A67F27">
        <w:rPr>
          <w:rFonts w:asciiTheme="majorBidi" w:hAnsiTheme="majorBidi" w:cstheme="majorBidi"/>
          <w:szCs w:val="24"/>
        </w:rPr>
        <w:t>La présente garantie est régie par les Règles uniformes de la CCI relatives aux garanties sur demande, Publication CCI no</w:t>
      </w:r>
      <w:r w:rsidR="009B2302" w:rsidRPr="00A67F27">
        <w:rPr>
          <w:rFonts w:asciiTheme="majorBidi" w:hAnsiTheme="majorBidi" w:cstheme="majorBidi"/>
          <w:szCs w:val="24"/>
        </w:rPr>
        <w:t> :</w:t>
      </w:r>
      <w:r w:rsidRPr="001627D7">
        <w:rPr>
          <w:rFonts w:asciiTheme="majorBidi" w:hAnsiTheme="majorBidi" w:cstheme="majorBidi"/>
          <w:szCs w:val="24"/>
        </w:rPr>
        <w:t xml:space="preserve"> 758, à l’excep</w:t>
      </w:r>
      <w:r w:rsidRPr="00043C85">
        <w:rPr>
          <w:rFonts w:asciiTheme="majorBidi" w:hAnsiTheme="majorBidi" w:cstheme="majorBidi"/>
          <w:szCs w:val="24"/>
        </w:rPr>
        <w:t>tion de leur Article 15 (a) dont l’application est expressément écartée.</w:t>
      </w:r>
    </w:p>
    <w:p w14:paraId="685FBCE7" w14:textId="77777777" w:rsidR="00C63181" w:rsidRPr="00442531" w:rsidRDefault="00C63181" w:rsidP="00960482">
      <w:pPr>
        <w:spacing w:after="0"/>
        <w:jc w:val="center"/>
        <w:rPr>
          <w:rFonts w:asciiTheme="majorBidi" w:hAnsiTheme="majorBidi" w:cstheme="majorBidi"/>
          <w:szCs w:val="24"/>
        </w:rPr>
      </w:pPr>
      <w:r w:rsidRPr="00442531">
        <w:rPr>
          <w:rFonts w:asciiTheme="majorBidi" w:hAnsiTheme="majorBidi" w:cstheme="majorBidi"/>
          <w:szCs w:val="24"/>
        </w:rPr>
        <w:t>___________________</w:t>
      </w:r>
    </w:p>
    <w:p w14:paraId="3BDEEA1F" w14:textId="77777777" w:rsidR="00C63181" w:rsidRPr="00442531" w:rsidRDefault="00C63181" w:rsidP="00960482">
      <w:pPr>
        <w:spacing w:after="0"/>
        <w:jc w:val="center"/>
        <w:rPr>
          <w:rFonts w:asciiTheme="majorBidi" w:hAnsiTheme="majorBidi" w:cstheme="majorBidi"/>
          <w:bCs/>
          <w:szCs w:val="24"/>
        </w:rPr>
      </w:pPr>
      <w:r w:rsidRPr="00442531">
        <w:rPr>
          <w:rFonts w:asciiTheme="majorBidi" w:hAnsiTheme="majorBidi" w:cstheme="majorBidi"/>
          <w:bCs/>
          <w:szCs w:val="24"/>
        </w:rPr>
        <w:t>[signature]</w:t>
      </w:r>
    </w:p>
    <w:p w14:paraId="71C878EE" w14:textId="25892632" w:rsidR="00C63181" w:rsidRPr="008432AC" w:rsidRDefault="00C63181" w:rsidP="00C63181">
      <w:pPr>
        <w:spacing w:before="120" w:after="120"/>
        <w:ind w:left="0" w:firstLine="0"/>
        <w:rPr>
          <w:rFonts w:asciiTheme="majorBidi" w:hAnsiTheme="majorBidi" w:cstheme="majorBidi"/>
          <w:b/>
          <w:i/>
          <w:szCs w:val="24"/>
        </w:rPr>
      </w:pPr>
    </w:p>
    <w:p w14:paraId="6CE6CAE0" w14:textId="77777777" w:rsidR="00C63181" w:rsidRPr="008432AC" w:rsidRDefault="00C63181" w:rsidP="00C63181">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Theme="majorBidi" w:hAnsiTheme="majorBidi" w:cstheme="majorBidi"/>
          <w:szCs w:val="24"/>
          <w:lang w:val="fr-FR"/>
        </w:rPr>
      </w:pPr>
    </w:p>
    <w:p w14:paraId="0897BECA" w14:textId="77777777" w:rsidR="00BF617C" w:rsidRPr="00A67F27" w:rsidRDefault="00C63181" w:rsidP="00BF617C">
      <w:pPr>
        <w:pStyle w:val="00SectionXTitle"/>
        <w:rPr>
          <w:lang w:val="fr-FR"/>
        </w:rPr>
      </w:pPr>
      <w:r w:rsidRPr="00A67F27">
        <w:rPr>
          <w:rFonts w:asciiTheme="majorBidi" w:hAnsiTheme="majorBidi" w:cstheme="majorBidi"/>
          <w:i/>
          <w:lang w:val="fr-FR"/>
        </w:rPr>
        <w:br w:type="page"/>
      </w:r>
      <w:bookmarkStart w:id="879" w:name="_Toc488665352"/>
      <w:bookmarkStart w:id="880" w:name="_Toc478922100"/>
      <w:bookmarkEnd w:id="874"/>
      <w:bookmarkEnd w:id="877"/>
      <w:r w:rsidR="00BF617C" w:rsidRPr="00A67F27">
        <w:rPr>
          <w:lang w:val="fr-FR"/>
        </w:rPr>
        <w:t>Modèle de garantie de restitution d’avance</w:t>
      </w:r>
      <w:bookmarkEnd w:id="879"/>
    </w:p>
    <w:p w14:paraId="407EFDA9" w14:textId="1B6B1A72" w:rsidR="00BF617C" w:rsidRPr="00A67F27" w:rsidRDefault="00BF617C" w:rsidP="00BF617C">
      <w:pPr>
        <w:spacing w:before="240"/>
        <w:ind w:left="578" w:hanging="578"/>
        <w:jc w:val="center"/>
        <w:rPr>
          <w:b/>
        </w:rPr>
      </w:pPr>
      <w:r w:rsidRPr="00A67F27">
        <w:rPr>
          <w:b/>
        </w:rPr>
        <w:t>(</w:t>
      </w:r>
      <w:r w:rsidR="00D07548" w:rsidRPr="00A67F27">
        <w:rPr>
          <w:b/>
        </w:rPr>
        <w:t>Garantie</w:t>
      </w:r>
      <w:r w:rsidRPr="00A67F27">
        <w:rPr>
          <w:b/>
        </w:rPr>
        <w:t xml:space="preserve"> bancaire sur demande)</w:t>
      </w:r>
      <w:bookmarkEnd w:id="880"/>
    </w:p>
    <w:p w14:paraId="4970755B" w14:textId="77777777" w:rsidR="00BF617C" w:rsidRPr="00A67F27" w:rsidRDefault="00BF617C" w:rsidP="00BF617C">
      <w:pPr>
        <w:spacing w:before="240" w:after="120"/>
        <w:jc w:val="center"/>
        <w:rPr>
          <w:rFonts w:eastAsia="Arial Unicode MS"/>
          <w:i/>
          <w:color w:val="000000"/>
        </w:rPr>
      </w:pPr>
      <w:r w:rsidRPr="00A67F27">
        <w:rPr>
          <w:rFonts w:eastAsia="Arial Unicode MS"/>
          <w:i/>
          <w:color w:val="000000"/>
        </w:rPr>
        <w:t>Papier à lettre à l’entête du Garant ou Code Identifiant SWIFT]</w:t>
      </w:r>
    </w:p>
    <w:p w14:paraId="7A5312A6" w14:textId="77777777" w:rsidR="00BF617C" w:rsidRPr="00A67F27" w:rsidRDefault="00BF617C" w:rsidP="00BF617C">
      <w:pPr>
        <w:suppressAutoHyphens/>
        <w:spacing w:before="240" w:after="240"/>
        <w:rPr>
          <w:szCs w:val="24"/>
        </w:rPr>
      </w:pPr>
      <w:r w:rsidRPr="00A67F27">
        <w:rPr>
          <w:b/>
          <w:szCs w:val="24"/>
        </w:rPr>
        <w:t>Bénéficiaire :</w:t>
      </w:r>
      <w:r w:rsidRPr="00A67F27">
        <w:rPr>
          <w:szCs w:val="24"/>
        </w:rPr>
        <w:t xml:space="preserve"> </w:t>
      </w:r>
      <w:r w:rsidRPr="00A67F27">
        <w:rPr>
          <w:i/>
          <w:szCs w:val="24"/>
        </w:rPr>
        <w:t>[nom et adresse du Maître de l’Ouvrage]</w:t>
      </w:r>
      <w:r w:rsidRPr="00A67F27">
        <w:rPr>
          <w:szCs w:val="24"/>
        </w:rPr>
        <w:t xml:space="preserve"> </w:t>
      </w:r>
    </w:p>
    <w:p w14:paraId="5FFF6E67" w14:textId="77777777" w:rsidR="00BF617C" w:rsidRPr="00A67F27" w:rsidRDefault="00BF617C" w:rsidP="00BF617C">
      <w:pPr>
        <w:suppressAutoHyphens/>
        <w:spacing w:before="240" w:after="240"/>
        <w:rPr>
          <w:szCs w:val="24"/>
        </w:rPr>
      </w:pPr>
      <w:r w:rsidRPr="00A67F27">
        <w:rPr>
          <w:b/>
          <w:szCs w:val="24"/>
        </w:rPr>
        <w:t>Date :</w:t>
      </w:r>
      <w:r w:rsidRPr="00A67F27">
        <w:rPr>
          <w:szCs w:val="24"/>
        </w:rPr>
        <w:t xml:space="preserve"> </w:t>
      </w:r>
      <w:r w:rsidRPr="00A67F27">
        <w:rPr>
          <w:i/>
        </w:rPr>
        <w:t>[Insérer la date d’émission]</w:t>
      </w:r>
    </w:p>
    <w:p w14:paraId="653B483F" w14:textId="77777777" w:rsidR="00BF617C" w:rsidRPr="00A67F27" w:rsidRDefault="00BF617C" w:rsidP="00BF617C">
      <w:pPr>
        <w:suppressAutoHyphens/>
        <w:spacing w:before="120" w:after="120"/>
        <w:rPr>
          <w:rFonts w:eastAsia="Arial Unicode MS"/>
          <w:i/>
          <w:color w:val="000000"/>
        </w:rPr>
      </w:pPr>
      <w:r w:rsidRPr="00A67F27">
        <w:rPr>
          <w:b/>
          <w:szCs w:val="24"/>
        </w:rPr>
        <w:t xml:space="preserve">GARANTIE DE RESTITUTION D’AVANCE NO. : </w:t>
      </w:r>
    </w:p>
    <w:p w14:paraId="2E4F8921" w14:textId="77777777" w:rsidR="00BF617C" w:rsidRPr="00A67F27" w:rsidRDefault="00BF617C" w:rsidP="00BF617C">
      <w:pPr>
        <w:suppressAutoHyphens/>
        <w:spacing w:before="120" w:after="120"/>
        <w:rPr>
          <w:szCs w:val="24"/>
        </w:rPr>
      </w:pPr>
      <w:r w:rsidRPr="00A67F27">
        <w:rPr>
          <w:rFonts w:eastAsia="Arial Unicode MS"/>
          <w:i/>
          <w:color w:val="000000"/>
        </w:rPr>
        <w:t>[Insérer le numéro de référence de la garantie]</w:t>
      </w:r>
    </w:p>
    <w:p w14:paraId="3C4C9493" w14:textId="77777777" w:rsidR="00BF617C" w:rsidRPr="00A67F27" w:rsidRDefault="00BF617C" w:rsidP="00BF617C">
      <w:pPr>
        <w:suppressAutoHyphens/>
        <w:spacing w:before="240" w:after="240"/>
        <w:rPr>
          <w:szCs w:val="24"/>
        </w:rPr>
      </w:pPr>
      <w:r w:rsidRPr="00A67F27">
        <w:rPr>
          <w:b/>
          <w:szCs w:val="24"/>
        </w:rPr>
        <w:t>Garant :</w:t>
      </w:r>
      <w:r w:rsidRPr="00A67F27">
        <w:rPr>
          <w:szCs w:val="24"/>
        </w:rPr>
        <w:t xml:space="preserve"> </w:t>
      </w:r>
      <w:r w:rsidRPr="00A67F27">
        <w:rPr>
          <w:i/>
          <w:szCs w:val="24"/>
        </w:rPr>
        <w:t>[nom de la banque et adresse de la banque émettrice</w:t>
      </w:r>
      <w:r w:rsidRPr="00A67F27">
        <w:rPr>
          <w:szCs w:val="24"/>
        </w:rPr>
        <w:t xml:space="preserve"> </w:t>
      </w:r>
      <w:r w:rsidRPr="00A67F27">
        <w:rPr>
          <w:i/>
          <w:szCs w:val="24"/>
        </w:rPr>
        <w:t>et code SWIFT]</w:t>
      </w:r>
      <w:r w:rsidRPr="00A67F27">
        <w:rPr>
          <w:szCs w:val="24"/>
        </w:rPr>
        <w:t xml:space="preserve"> </w:t>
      </w:r>
    </w:p>
    <w:p w14:paraId="60ECA038" w14:textId="77777777" w:rsidR="00BF617C" w:rsidRPr="00A67F27" w:rsidRDefault="00BF617C" w:rsidP="00BF617C">
      <w:pPr>
        <w:suppressAutoHyphens/>
        <w:spacing w:before="120" w:after="120"/>
        <w:ind w:left="0" w:firstLine="0"/>
        <w:rPr>
          <w:szCs w:val="24"/>
        </w:rPr>
      </w:pPr>
    </w:p>
    <w:p w14:paraId="70CB75DC" w14:textId="77777777" w:rsidR="00BF617C" w:rsidRPr="00A67F27" w:rsidRDefault="00BF617C" w:rsidP="00BF617C">
      <w:pPr>
        <w:suppressAutoHyphens/>
        <w:spacing w:before="120" w:after="120"/>
        <w:ind w:left="0" w:firstLine="0"/>
        <w:rPr>
          <w:szCs w:val="24"/>
        </w:rPr>
      </w:pPr>
      <w:r w:rsidRPr="00A67F27">
        <w:rPr>
          <w:szCs w:val="24"/>
        </w:rPr>
        <w:t xml:space="preserve">Nous avons été informés que </w:t>
      </w:r>
      <w:r w:rsidRPr="00A67F27">
        <w:rPr>
          <w:i/>
          <w:szCs w:val="24"/>
        </w:rPr>
        <w:t>[</w:t>
      </w:r>
      <w:r w:rsidRPr="00A67F27">
        <w:rPr>
          <w:i/>
        </w:rPr>
        <w:t>insérer le nom de l’Entrepreneur, qui dans le cas d’un Groupement d’Entreprises sera le nom du Groupement</w:t>
      </w:r>
      <w:r w:rsidRPr="00A67F27">
        <w:rPr>
          <w:i/>
          <w:szCs w:val="24"/>
        </w:rPr>
        <w:t>]</w:t>
      </w:r>
      <w:r w:rsidRPr="00A67F27">
        <w:rPr>
          <w:szCs w:val="24"/>
        </w:rPr>
        <w:t xml:space="preserve"> (ci-après dénommé le Donneur d’ordre) a conclu avec vous le Marché no. </w:t>
      </w:r>
      <w:r w:rsidRPr="00A67F27">
        <w:rPr>
          <w:i/>
          <w:iCs/>
          <w:szCs w:val="24"/>
        </w:rPr>
        <w:t>[insérer No]</w:t>
      </w:r>
      <w:r w:rsidRPr="00A67F27">
        <w:rPr>
          <w:szCs w:val="24"/>
        </w:rPr>
        <w:t xml:space="preserve"> en date du </w:t>
      </w:r>
      <w:r w:rsidRPr="00A67F27">
        <w:rPr>
          <w:i/>
          <w:iCs/>
          <w:szCs w:val="24"/>
        </w:rPr>
        <w:t>[insérer la date]</w:t>
      </w:r>
      <w:r w:rsidRPr="00A67F27">
        <w:rPr>
          <w:szCs w:val="24"/>
        </w:rPr>
        <w:t xml:space="preserve"> pour l’exécution de </w:t>
      </w:r>
      <w:r w:rsidRPr="00A67F27">
        <w:rPr>
          <w:i/>
          <w:szCs w:val="24"/>
        </w:rPr>
        <w:t>[</w:t>
      </w:r>
      <w:r w:rsidRPr="00A67F27">
        <w:rPr>
          <w:i/>
        </w:rPr>
        <w:t>insérer le nom du marché et une brève description des Travaux</w:t>
      </w:r>
      <w:r w:rsidRPr="00A67F27">
        <w:rPr>
          <w:i/>
          <w:szCs w:val="24"/>
        </w:rPr>
        <w:t>]</w:t>
      </w:r>
      <w:r w:rsidRPr="00A67F27">
        <w:rPr>
          <w:szCs w:val="24"/>
        </w:rPr>
        <w:t xml:space="preserve"> (ci-après dénommé « le Marché »).</w:t>
      </w:r>
    </w:p>
    <w:p w14:paraId="487559E1" w14:textId="77777777" w:rsidR="00BF617C" w:rsidRPr="00A67F27" w:rsidRDefault="00BF617C" w:rsidP="00BF617C">
      <w:pPr>
        <w:suppressAutoHyphens/>
        <w:spacing w:before="120" w:after="240"/>
        <w:ind w:left="0" w:firstLine="0"/>
        <w:rPr>
          <w:szCs w:val="24"/>
        </w:rPr>
      </w:pPr>
      <w:r w:rsidRPr="00A67F27">
        <w:rPr>
          <w:szCs w:val="24"/>
        </w:rPr>
        <w:t xml:space="preserve">De plus nous comprenons qu’en vertu des conditions du Marché, une avance d’un montant de </w:t>
      </w:r>
      <w:r w:rsidRPr="00A67F27">
        <w:rPr>
          <w:i/>
          <w:szCs w:val="24"/>
        </w:rPr>
        <w:t>[insérer la somme en chiffres]</w:t>
      </w:r>
      <w:r w:rsidRPr="00A67F27">
        <w:rPr>
          <w:szCs w:val="24"/>
        </w:rPr>
        <w:t xml:space="preserve"> () </w:t>
      </w:r>
      <w:r w:rsidRPr="00A67F27">
        <w:rPr>
          <w:i/>
          <w:szCs w:val="24"/>
        </w:rPr>
        <w:t>[insérer la somme en lettres]</w:t>
      </w:r>
      <w:r w:rsidRPr="00A67F27">
        <w:rPr>
          <w:szCs w:val="24"/>
        </w:rPr>
        <w:t xml:space="preserve"> est versée contre une garantie de restitution d’avance.</w:t>
      </w:r>
    </w:p>
    <w:p w14:paraId="5905E860" w14:textId="77777777" w:rsidR="00BF617C" w:rsidRPr="00043C85" w:rsidRDefault="00BF617C" w:rsidP="00BF617C">
      <w:pPr>
        <w:suppressAutoHyphens/>
        <w:spacing w:before="120" w:after="240"/>
        <w:ind w:left="0" w:firstLine="0"/>
        <w:rPr>
          <w:szCs w:val="24"/>
        </w:rPr>
      </w:pPr>
      <w:r w:rsidRPr="00A67F27">
        <w:rPr>
          <w:szCs w:val="24"/>
        </w:rPr>
        <w:t xml:space="preserve">A la demande du Donneur d’ordre, nous prenons, en tant que Garant, l’engagement irrévocable de payer au Bénéficiaire toute somme dans la limite du Montant de la Garantie qui s’élève à </w:t>
      </w:r>
      <w:r w:rsidRPr="00A67F27">
        <w:rPr>
          <w:szCs w:val="24"/>
        </w:rPr>
        <w:br/>
      </w:r>
      <w:r w:rsidRPr="00A67F27">
        <w:t>(</w:t>
      </w:r>
      <w:r w:rsidRPr="00A67F27">
        <w:rPr>
          <w:u w:val="single"/>
        </w:rPr>
        <w:t xml:space="preserve">                    </w:t>
      </w:r>
      <w:r w:rsidRPr="00A67F27">
        <w:t>)</w:t>
      </w:r>
      <w:r w:rsidRPr="00A67F27">
        <w:rPr>
          <w:i/>
        </w:rPr>
        <w:t xml:space="preserve"> </w:t>
      </w:r>
      <w:r w:rsidRPr="00A67F27">
        <w:rPr>
          <w:i/>
          <w:szCs w:val="24"/>
        </w:rPr>
        <w:t>[insérer la somme en chiffres]</w:t>
      </w:r>
      <w:r w:rsidRPr="00A67F27">
        <w:rPr>
          <w:szCs w:val="24"/>
        </w:rPr>
        <w:t xml:space="preserve"> </w:t>
      </w:r>
      <w:r w:rsidRPr="00A67F27">
        <w:rPr>
          <w:i/>
          <w:szCs w:val="24"/>
        </w:rPr>
        <w:t>[insérer la somme en lettres]</w:t>
      </w:r>
      <w:r w:rsidRPr="00A67F27">
        <w:rPr>
          <w:szCs w:val="24"/>
          <w:vertAlign w:val="superscript"/>
        </w:rPr>
        <w:footnoteReference w:id="37"/>
      </w:r>
      <w:r w:rsidRPr="00A67F27">
        <w:rPr>
          <w:szCs w:val="24"/>
        </w:rPr>
        <w:t>. Votre demande en paiement doit comprendre, que ce soit dans la demande elle-même ou dans un document séparé signé</w:t>
      </w:r>
      <w:r w:rsidRPr="001627D7" w:rsidDel="00667289">
        <w:rPr>
          <w:szCs w:val="24"/>
        </w:rPr>
        <w:t xml:space="preserve"> </w:t>
      </w:r>
      <w:r w:rsidRPr="00043C85">
        <w:rPr>
          <w:szCs w:val="24"/>
        </w:rPr>
        <w:t>accompagnant ou identifiant la demande, la déclaration que le Donneur d’ordre :</w:t>
      </w:r>
    </w:p>
    <w:p w14:paraId="52B08A55" w14:textId="77777777" w:rsidR="00BF617C" w:rsidRPr="00EB4FEC" w:rsidRDefault="00BF617C" w:rsidP="00BF617C">
      <w:pPr>
        <w:suppressAutoHyphens/>
        <w:spacing w:before="120" w:after="240"/>
        <w:ind w:left="1134"/>
        <w:rPr>
          <w:szCs w:val="24"/>
        </w:rPr>
      </w:pPr>
      <w:r w:rsidRPr="00EB4FEC">
        <w:rPr>
          <w:szCs w:val="24"/>
        </w:rPr>
        <w:t xml:space="preserve">(a) </w:t>
      </w:r>
      <w:r w:rsidRPr="00EB4FEC">
        <w:rPr>
          <w:szCs w:val="24"/>
        </w:rPr>
        <w:tab/>
        <w:t>a utilisé l’avance à d’autres fins que les prestations faisant l’objet du Marché ; ou bien</w:t>
      </w:r>
    </w:p>
    <w:p w14:paraId="59B7C874" w14:textId="77777777" w:rsidR="00BF617C" w:rsidRPr="00442531" w:rsidRDefault="00BF617C" w:rsidP="00BF617C">
      <w:pPr>
        <w:suppressAutoHyphens/>
        <w:spacing w:before="120" w:after="240"/>
        <w:ind w:left="1134"/>
        <w:rPr>
          <w:szCs w:val="24"/>
        </w:rPr>
      </w:pPr>
      <w:r w:rsidRPr="00442531">
        <w:rPr>
          <w:szCs w:val="24"/>
        </w:rPr>
        <w:t xml:space="preserve">(b) </w:t>
      </w:r>
      <w:r w:rsidRPr="00442531">
        <w:rPr>
          <w:szCs w:val="24"/>
        </w:rPr>
        <w:tab/>
        <w:t xml:space="preserve">n’a pas remboursé l’avance dans les conditions spécifiées au Marché, spécifiant le montant non remboursé par le Donneur d’ordre. </w:t>
      </w:r>
    </w:p>
    <w:p w14:paraId="7A91E15B" w14:textId="24488B35" w:rsidR="00BF617C" w:rsidRPr="00AB61F2" w:rsidRDefault="00BF617C" w:rsidP="00BF617C">
      <w:pPr>
        <w:suppressAutoHyphens/>
        <w:spacing w:before="120" w:after="240"/>
        <w:ind w:left="0" w:firstLine="0"/>
        <w:rPr>
          <w:szCs w:val="24"/>
        </w:rPr>
      </w:pPr>
      <w:r w:rsidRPr="00442531">
        <w:rPr>
          <w:szCs w:val="24"/>
        </w:rPr>
        <w:t>Toute demande au titre de la présente garantie doit être accompagnée par une attestation provenant de la banque du Bénéfic</w:t>
      </w:r>
      <w:r w:rsidRPr="00132A9B">
        <w:rPr>
          <w:szCs w:val="24"/>
        </w:rPr>
        <w:t xml:space="preserve">iaire indiquant que l’avance mentionnée ci-dessus a été créditée au compte bancaire du Donneur d’offre portant le numéro </w:t>
      </w:r>
      <w:r w:rsidRPr="00132A9B">
        <w:rPr>
          <w:i/>
        </w:rPr>
        <w:t>[insérer le numéro]</w:t>
      </w:r>
      <w:r w:rsidRPr="00835449">
        <w:t xml:space="preserve"> </w:t>
      </w:r>
      <w:r w:rsidRPr="00D6752B">
        <w:rPr>
          <w:szCs w:val="24"/>
        </w:rPr>
        <w:t xml:space="preserve">à </w:t>
      </w:r>
      <w:r w:rsidRPr="00013AB1">
        <w:rPr>
          <w:i/>
          <w:szCs w:val="24"/>
        </w:rPr>
        <w:t>[nom et adresse de la banque]</w:t>
      </w:r>
      <w:r w:rsidRPr="00AB61F2">
        <w:rPr>
          <w:szCs w:val="24"/>
        </w:rPr>
        <w:t>.</w:t>
      </w:r>
    </w:p>
    <w:p w14:paraId="497F4A62" w14:textId="2049EF76" w:rsidR="00BF617C" w:rsidRPr="001627D7" w:rsidRDefault="00BF617C" w:rsidP="00BF617C">
      <w:pPr>
        <w:suppressAutoHyphens/>
        <w:spacing w:before="120" w:after="240"/>
        <w:ind w:left="0" w:firstLine="0"/>
        <w:rPr>
          <w:szCs w:val="24"/>
        </w:rPr>
      </w:pPr>
      <w:r w:rsidRPr="008432AC">
        <w:rPr>
          <w:szCs w:val="24"/>
        </w:rPr>
        <w:t>Le montant de la présente garantie sera réduit au fur et à mesure à concurrence des remboursements de l’avance effectués par le Donneur d’ordre tels qu’ils figurent aux décomptes mensuels dont la copie nous sera présentée. La présente garantie expire au plus tard à la première des dates suivantes : à la réception d’une copie du décompte indiquant que 90 (quatre-vingt-dix) pourcent du Montant du Marché (à l’exclusion des sommes à valoir) ont été approuvés pour paiement, ou à la date suivante :</w:t>
      </w:r>
      <w:r w:rsidRPr="008432AC">
        <w:rPr>
          <w:i/>
        </w:rPr>
        <w:t xml:space="preserve"> [insérer le jour]</w:t>
      </w:r>
      <w:r w:rsidRPr="000179A1">
        <w:t xml:space="preserve"> jour de </w:t>
      </w:r>
      <w:r w:rsidRPr="000179A1">
        <w:rPr>
          <w:i/>
        </w:rPr>
        <w:t>[insérer le mois]</w:t>
      </w:r>
      <w:r w:rsidRPr="00BE476D">
        <w:t>, 2</w:t>
      </w:r>
      <w:r w:rsidR="00580AA7" w:rsidRPr="00B72915">
        <w:t>…</w:t>
      </w:r>
      <w:r w:rsidRPr="00920320">
        <w:t xml:space="preserve"> </w:t>
      </w:r>
      <w:r w:rsidRPr="00677D2F">
        <w:rPr>
          <w:i/>
        </w:rPr>
        <w:t>[ins</w:t>
      </w:r>
      <w:r w:rsidR="00580AA7" w:rsidRPr="006B4D71">
        <w:rPr>
          <w:i/>
        </w:rPr>
        <w:t>érer l’année</w:t>
      </w:r>
      <w:r w:rsidRPr="00E42E0E">
        <w:rPr>
          <w:i/>
        </w:rPr>
        <w:t>]</w:t>
      </w:r>
      <w:r w:rsidRPr="00A67F27">
        <w:rPr>
          <w:szCs w:val="24"/>
          <w:vertAlign w:val="superscript"/>
        </w:rPr>
        <w:footnoteReference w:id="38"/>
      </w:r>
      <w:r w:rsidR="00580AA7" w:rsidRPr="00A67F27">
        <w:rPr>
          <w:i/>
        </w:rPr>
        <w:t>.</w:t>
      </w:r>
      <w:r w:rsidRPr="00A67F27">
        <w:rPr>
          <w:szCs w:val="24"/>
        </w:rPr>
        <w:t xml:space="preserve"> En conséquence, toute demand</w:t>
      </w:r>
      <w:r w:rsidRPr="001627D7">
        <w:rPr>
          <w:szCs w:val="24"/>
        </w:rPr>
        <w:t>e de paiement au titre de cette Garantie doit nous parvenir à cette date au plus tard.</w:t>
      </w:r>
    </w:p>
    <w:p w14:paraId="335561DA" w14:textId="77777777" w:rsidR="00BF617C" w:rsidRPr="00EB4FEC" w:rsidRDefault="00BF617C" w:rsidP="00BF617C">
      <w:pPr>
        <w:suppressAutoHyphens/>
        <w:spacing w:before="120" w:after="240"/>
        <w:ind w:left="0" w:firstLine="0"/>
        <w:rPr>
          <w:szCs w:val="24"/>
        </w:rPr>
      </w:pPr>
      <w:r w:rsidRPr="00043C85">
        <w:rPr>
          <w:szCs w:val="24"/>
        </w:rPr>
        <w:t xml:space="preserve">La présente garantie est régie par les Règles Uniformes de la CCI relatives aux Garanties sur Demande (RUGD), Publication CCI no : 758, excepté le sous-paragraphe 15(a) </w:t>
      </w:r>
      <w:r w:rsidRPr="00EB4FEC">
        <w:rPr>
          <w:szCs w:val="24"/>
        </w:rPr>
        <w:t xml:space="preserve">qui est exclu par la présente. </w:t>
      </w:r>
    </w:p>
    <w:p w14:paraId="6F526397" w14:textId="77777777" w:rsidR="00BF617C" w:rsidRPr="00442531" w:rsidRDefault="00BF617C" w:rsidP="00BF617C">
      <w:pPr>
        <w:suppressAutoHyphens/>
        <w:spacing w:before="120" w:after="0"/>
        <w:ind w:left="578" w:hanging="578"/>
        <w:jc w:val="center"/>
        <w:rPr>
          <w:szCs w:val="24"/>
        </w:rPr>
      </w:pPr>
      <w:r w:rsidRPr="00442531">
        <w:rPr>
          <w:szCs w:val="24"/>
        </w:rPr>
        <w:t>_________________________</w:t>
      </w:r>
    </w:p>
    <w:p w14:paraId="46C382EE" w14:textId="77777777" w:rsidR="00BF617C" w:rsidRPr="00132A9B" w:rsidRDefault="00BF617C" w:rsidP="00BF617C">
      <w:pPr>
        <w:suppressAutoHyphens/>
        <w:spacing w:before="120" w:after="240"/>
        <w:jc w:val="center"/>
        <w:rPr>
          <w:b/>
          <w:szCs w:val="24"/>
        </w:rPr>
      </w:pPr>
      <w:r w:rsidRPr="00442531">
        <w:rPr>
          <w:i/>
          <w:szCs w:val="24"/>
        </w:rPr>
        <w:t>[Signature]</w:t>
      </w:r>
    </w:p>
    <w:p w14:paraId="514081A7" w14:textId="2F10BFD1" w:rsidR="00037168" w:rsidRPr="008432AC" w:rsidRDefault="00037168" w:rsidP="00EB632D">
      <w:pPr>
        <w:spacing w:before="240" w:after="120"/>
        <w:ind w:left="0" w:firstLine="0"/>
        <w:rPr>
          <w:rFonts w:asciiTheme="majorBidi" w:hAnsiTheme="majorBidi" w:cstheme="majorBidi"/>
          <w:i/>
          <w:szCs w:val="24"/>
        </w:rPr>
      </w:pPr>
    </w:p>
    <w:p w14:paraId="32BABF3B" w14:textId="77777777" w:rsidR="000A450A" w:rsidRPr="008432AC" w:rsidRDefault="000A450A" w:rsidP="00DC57DA">
      <w:pPr>
        <w:tabs>
          <w:tab w:val="right" w:pos="9000"/>
        </w:tabs>
        <w:spacing w:before="120" w:after="120"/>
        <w:rPr>
          <w:rFonts w:asciiTheme="majorBidi" w:hAnsiTheme="majorBidi" w:cstheme="majorBidi"/>
          <w:szCs w:val="24"/>
        </w:rPr>
      </w:pPr>
      <w:r w:rsidRPr="008432AC">
        <w:rPr>
          <w:rFonts w:asciiTheme="majorBidi" w:hAnsiTheme="majorBidi" w:cstheme="majorBidi"/>
          <w:szCs w:val="24"/>
        </w:rPr>
        <w:br w:type="page"/>
      </w:r>
    </w:p>
    <w:p w14:paraId="50657D55" w14:textId="03751900" w:rsidR="007A71BD" w:rsidRPr="00BE476D" w:rsidRDefault="000A450A" w:rsidP="007A71BD">
      <w:pPr>
        <w:pStyle w:val="SectionIXHeading"/>
        <w:spacing w:before="120" w:after="120"/>
        <w:ind w:left="0" w:firstLine="0"/>
        <w:rPr>
          <w:sz w:val="36"/>
          <w:szCs w:val="24"/>
          <w:lang w:eastAsia="en-US"/>
        </w:rPr>
      </w:pPr>
      <w:bookmarkStart w:id="881" w:name="_Toc327354356"/>
      <w:bookmarkStart w:id="882" w:name="_Toc483207936"/>
      <w:r w:rsidRPr="008432AC">
        <w:rPr>
          <w:sz w:val="36"/>
          <w:szCs w:val="24"/>
          <w:lang w:eastAsia="en-US"/>
        </w:rPr>
        <w:t xml:space="preserve">Modèle de garantie émise en remplacement </w:t>
      </w:r>
      <w:r w:rsidR="007A71BD" w:rsidRPr="000179A1">
        <w:rPr>
          <w:sz w:val="36"/>
          <w:szCs w:val="24"/>
          <w:lang w:eastAsia="en-US"/>
        </w:rPr>
        <w:br/>
      </w:r>
      <w:r w:rsidRPr="000179A1">
        <w:rPr>
          <w:sz w:val="36"/>
          <w:szCs w:val="24"/>
          <w:lang w:eastAsia="en-US"/>
        </w:rPr>
        <w:t>de la retenue de garantie</w:t>
      </w:r>
    </w:p>
    <w:p w14:paraId="414712ED" w14:textId="67EE1B8F" w:rsidR="000A450A" w:rsidRPr="00677D2F" w:rsidRDefault="000A450A" w:rsidP="007A71BD">
      <w:pPr>
        <w:spacing w:before="120" w:after="120"/>
        <w:ind w:left="0" w:firstLine="0"/>
        <w:jc w:val="center"/>
        <w:rPr>
          <w:b/>
          <w:bCs/>
          <w:iCs/>
          <w:color w:val="000000"/>
          <w:sz w:val="28"/>
          <w:szCs w:val="28"/>
          <w:lang w:eastAsia="en-US"/>
        </w:rPr>
      </w:pPr>
      <w:r w:rsidRPr="00B72915">
        <w:rPr>
          <w:b/>
          <w:bCs/>
          <w:iCs/>
          <w:color w:val="000000"/>
          <w:sz w:val="28"/>
          <w:szCs w:val="28"/>
          <w:lang w:eastAsia="en-US"/>
        </w:rPr>
        <w:t>(</w:t>
      </w:r>
      <w:r w:rsidR="00D07548" w:rsidRPr="00B72915">
        <w:rPr>
          <w:b/>
          <w:bCs/>
          <w:iCs/>
          <w:color w:val="000000"/>
          <w:sz w:val="28"/>
          <w:szCs w:val="28"/>
          <w:lang w:eastAsia="en-US"/>
        </w:rPr>
        <w:t>Garantie</w:t>
      </w:r>
      <w:r w:rsidRPr="00B72915">
        <w:rPr>
          <w:b/>
          <w:bCs/>
          <w:iCs/>
          <w:color w:val="000000"/>
          <w:sz w:val="28"/>
          <w:szCs w:val="28"/>
          <w:lang w:eastAsia="en-US"/>
        </w:rPr>
        <w:t xml:space="preserve"> bancaire</w:t>
      </w:r>
      <w:r w:rsidR="00037168" w:rsidRPr="00920320">
        <w:rPr>
          <w:b/>
          <w:bCs/>
          <w:iCs/>
          <w:color w:val="000000"/>
          <w:sz w:val="28"/>
          <w:szCs w:val="28"/>
          <w:lang w:eastAsia="en-US"/>
        </w:rPr>
        <w:t xml:space="preserve"> sur demande</w:t>
      </w:r>
      <w:r w:rsidRPr="00677D2F">
        <w:rPr>
          <w:b/>
          <w:bCs/>
          <w:iCs/>
          <w:color w:val="000000"/>
          <w:sz w:val="28"/>
          <w:szCs w:val="28"/>
          <w:lang w:eastAsia="en-US"/>
        </w:rPr>
        <w:t>)</w:t>
      </w:r>
      <w:bookmarkEnd w:id="881"/>
      <w:bookmarkEnd w:id="882"/>
    </w:p>
    <w:p w14:paraId="5EADD56E" w14:textId="77777777" w:rsidR="000A450A" w:rsidRPr="006B4D71" w:rsidRDefault="000A450A" w:rsidP="006E5332">
      <w:pPr>
        <w:spacing w:before="240" w:after="120"/>
        <w:rPr>
          <w:rFonts w:asciiTheme="majorBidi" w:hAnsiTheme="majorBidi" w:cstheme="majorBidi"/>
          <w:szCs w:val="24"/>
        </w:rPr>
      </w:pPr>
    </w:p>
    <w:p w14:paraId="4DE1B3CD" w14:textId="6758F021" w:rsidR="00037168" w:rsidRPr="00AD2F51" w:rsidRDefault="00037168" w:rsidP="006E5332">
      <w:pPr>
        <w:spacing w:before="240" w:after="120"/>
        <w:rPr>
          <w:rFonts w:asciiTheme="majorBidi" w:hAnsiTheme="majorBidi" w:cstheme="majorBidi"/>
          <w:szCs w:val="24"/>
        </w:rPr>
      </w:pPr>
      <w:r w:rsidRPr="00E42E0E">
        <w:rPr>
          <w:rFonts w:asciiTheme="majorBidi" w:hAnsiTheme="majorBidi" w:cstheme="majorBidi"/>
          <w:b/>
          <w:szCs w:val="24"/>
        </w:rPr>
        <w:t>AO No</w:t>
      </w:r>
      <w:r w:rsidR="009B2302" w:rsidRPr="00DB19E8">
        <w:rPr>
          <w:rFonts w:asciiTheme="majorBidi" w:hAnsiTheme="majorBidi" w:cstheme="majorBidi"/>
          <w:b/>
          <w:szCs w:val="24"/>
        </w:rPr>
        <w:t> :</w:t>
      </w:r>
      <w:r w:rsidRPr="00DB19E8">
        <w:rPr>
          <w:rFonts w:asciiTheme="majorBidi" w:hAnsiTheme="majorBidi" w:cstheme="majorBidi"/>
          <w:szCs w:val="24"/>
        </w:rPr>
        <w:t xml:space="preserve"> ___________________________[</w:t>
      </w:r>
      <w:r w:rsidRPr="00DB19E8">
        <w:rPr>
          <w:rFonts w:asciiTheme="majorBidi" w:hAnsiTheme="majorBidi" w:cstheme="majorBidi"/>
          <w:i/>
          <w:szCs w:val="24"/>
        </w:rPr>
        <w:t>Insérer le numéro de l’Appel d’</w:t>
      </w:r>
      <w:r w:rsidRPr="00AD2F51">
        <w:rPr>
          <w:rFonts w:asciiTheme="majorBidi" w:hAnsiTheme="majorBidi" w:cstheme="majorBidi"/>
          <w:i/>
          <w:szCs w:val="24"/>
        </w:rPr>
        <w:t>Offres</w:t>
      </w:r>
      <w:r w:rsidRPr="00AD2F51">
        <w:rPr>
          <w:rFonts w:asciiTheme="majorBidi" w:hAnsiTheme="majorBidi" w:cstheme="majorBidi"/>
          <w:szCs w:val="24"/>
        </w:rPr>
        <w:t>].</w:t>
      </w:r>
    </w:p>
    <w:p w14:paraId="48F4E134" w14:textId="056683C0" w:rsidR="00037168" w:rsidRPr="00304275" w:rsidRDefault="00037168" w:rsidP="006E5332">
      <w:pPr>
        <w:spacing w:before="240" w:after="120"/>
        <w:ind w:left="0" w:firstLine="0"/>
        <w:rPr>
          <w:rFonts w:asciiTheme="majorBidi" w:hAnsiTheme="majorBidi" w:cstheme="majorBidi"/>
          <w:szCs w:val="24"/>
        </w:rPr>
      </w:pPr>
      <w:r w:rsidRPr="00146814">
        <w:rPr>
          <w:rFonts w:asciiTheme="majorBidi" w:hAnsiTheme="majorBidi" w:cstheme="majorBidi"/>
          <w:b/>
          <w:szCs w:val="24"/>
        </w:rPr>
        <w:t xml:space="preserve">Garant </w:t>
      </w:r>
      <w:r w:rsidRPr="00596C3D">
        <w:rPr>
          <w:rFonts w:asciiTheme="majorBidi" w:hAnsiTheme="majorBidi" w:cstheme="majorBidi"/>
          <w:szCs w:val="24"/>
        </w:rPr>
        <w:t>_____________________ [</w:t>
      </w:r>
      <w:r w:rsidRPr="00E527DE">
        <w:rPr>
          <w:rFonts w:asciiTheme="majorBidi" w:hAnsiTheme="majorBidi" w:cstheme="majorBidi"/>
          <w:i/>
          <w:szCs w:val="24"/>
        </w:rPr>
        <w:t>nom de la banque et adresse de la banque émettrice et</w:t>
      </w:r>
      <w:r w:rsidR="009B2302" w:rsidRPr="00E527DE">
        <w:rPr>
          <w:rFonts w:asciiTheme="majorBidi" w:hAnsiTheme="majorBidi" w:cstheme="majorBidi"/>
          <w:i/>
          <w:szCs w:val="24"/>
        </w:rPr>
        <w:t xml:space="preserve"> </w:t>
      </w:r>
      <w:r w:rsidRPr="00ED6A24">
        <w:rPr>
          <w:rFonts w:asciiTheme="majorBidi" w:hAnsiTheme="majorBidi" w:cstheme="majorBidi"/>
          <w:i/>
          <w:szCs w:val="24"/>
        </w:rPr>
        <w:t>code SWIFT</w:t>
      </w:r>
      <w:r w:rsidRPr="00304275">
        <w:rPr>
          <w:rFonts w:asciiTheme="majorBidi" w:hAnsiTheme="majorBidi" w:cstheme="majorBidi"/>
          <w:szCs w:val="24"/>
        </w:rPr>
        <w:t>]</w:t>
      </w:r>
    </w:p>
    <w:p w14:paraId="75706D7E" w14:textId="74CF2E68" w:rsidR="00037168" w:rsidRPr="00304275" w:rsidRDefault="00037168" w:rsidP="006E5332">
      <w:pPr>
        <w:spacing w:before="240" w:after="120"/>
        <w:rPr>
          <w:rFonts w:asciiTheme="majorBidi" w:hAnsiTheme="majorBidi" w:cstheme="majorBidi"/>
          <w:szCs w:val="24"/>
        </w:rPr>
      </w:pPr>
      <w:r w:rsidRPr="00304275">
        <w:rPr>
          <w:rFonts w:asciiTheme="majorBidi" w:hAnsiTheme="majorBidi" w:cstheme="majorBidi"/>
          <w:b/>
          <w:szCs w:val="24"/>
        </w:rPr>
        <w:t>Bénéficiaire</w:t>
      </w:r>
      <w:r w:rsidR="009B2302" w:rsidRPr="00304275">
        <w:rPr>
          <w:rFonts w:asciiTheme="majorBidi" w:hAnsiTheme="majorBidi" w:cstheme="majorBidi"/>
          <w:b/>
          <w:szCs w:val="24"/>
        </w:rPr>
        <w:t> :</w:t>
      </w:r>
      <w:r w:rsidRPr="00304275">
        <w:rPr>
          <w:rFonts w:asciiTheme="majorBidi" w:hAnsiTheme="majorBidi" w:cstheme="majorBidi"/>
          <w:szCs w:val="24"/>
        </w:rPr>
        <w:t xml:space="preserve"> __________________ [</w:t>
      </w:r>
      <w:r w:rsidRPr="00304275">
        <w:rPr>
          <w:rFonts w:asciiTheme="majorBidi" w:hAnsiTheme="majorBidi" w:cstheme="majorBidi"/>
          <w:i/>
          <w:szCs w:val="24"/>
        </w:rPr>
        <w:t>nom et adresse du Maître de l’Ouvrage</w:t>
      </w:r>
      <w:r w:rsidRPr="00304275">
        <w:rPr>
          <w:rFonts w:asciiTheme="majorBidi" w:hAnsiTheme="majorBidi" w:cstheme="majorBidi"/>
          <w:szCs w:val="24"/>
        </w:rPr>
        <w:t xml:space="preserve">] </w:t>
      </w:r>
    </w:p>
    <w:p w14:paraId="7525604C" w14:textId="2E542B51" w:rsidR="00037168" w:rsidRPr="00EE056E" w:rsidRDefault="00037168" w:rsidP="006E5332">
      <w:pPr>
        <w:spacing w:before="240" w:after="120"/>
        <w:rPr>
          <w:rFonts w:asciiTheme="majorBidi" w:hAnsiTheme="majorBidi" w:cstheme="majorBidi"/>
          <w:i/>
          <w:szCs w:val="24"/>
        </w:rPr>
      </w:pPr>
      <w:r w:rsidRPr="00304275">
        <w:rPr>
          <w:rFonts w:asciiTheme="majorBidi" w:hAnsiTheme="majorBidi" w:cstheme="majorBidi"/>
          <w:b/>
          <w:szCs w:val="24"/>
        </w:rPr>
        <w:t>Date</w:t>
      </w:r>
      <w:r w:rsidR="009B2302" w:rsidRPr="00D6153A">
        <w:rPr>
          <w:rFonts w:asciiTheme="majorBidi" w:hAnsiTheme="majorBidi" w:cstheme="majorBidi"/>
          <w:b/>
          <w:szCs w:val="24"/>
        </w:rPr>
        <w:t> :</w:t>
      </w:r>
      <w:r w:rsidRPr="00D6153A">
        <w:rPr>
          <w:rFonts w:asciiTheme="majorBidi" w:hAnsiTheme="majorBidi" w:cstheme="majorBidi"/>
          <w:szCs w:val="24"/>
        </w:rPr>
        <w:t xml:space="preserve"> _______________[</w:t>
      </w:r>
      <w:r w:rsidRPr="00D6153A">
        <w:rPr>
          <w:rFonts w:asciiTheme="majorBidi" w:hAnsiTheme="majorBidi" w:cstheme="majorBidi"/>
          <w:i/>
          <w:szCs w:val="24"/>
        </w:rPr>
        <w:t>insérer la date d’émission</w:t>
      </w:r>
      <w:r w:rsidRPr="00B13641">
        <w:rPr>
          <w:rFonts w:asciiTheme="majorBidi" w:hAnsiTheme="majorBidi" w:cstheme="majorBidi"/>
          <w:szCs w:val="24"/>
        </w:rPr>
        <w:t>]</w:t>
      </w:r>
    </w:p>
    <w:p w14:paraId="35EC489C" w14:textId="2A5D7DB7" w:rsidR="00037168" w:rsidRPr="00076CE0" w:rsidRDefault="00037168" w:rsidP="006E5332">
      <w:pPr>
        <w:spacing w:before="240" w:after="120"/>
        <w:ind w:left="0" w:firstLine="0"/>
        <w:jc w:val="left"/>
        <w:rPr>
          <w:rFonts w:asciiTheme="majorBidi" w:hAnsiTheme="majorBidi" w:cstheme="majorBidi"/>
          <w:szCs w:val="24"/>
        </w:rPr>
      </w:pPr>
      <w:r w:rsidRPr="00EE056E">
        <w:rPr>
          <w:rFonts w:asciiTheme="majorBidi" w:hAnsiTheme="majorBidi" w:cstheme="majorBidi"/>
          <w:b/>
          <w:szCs w:val="24"/>
        </w:rPr>
        <w:t>Garantie émise en remplac</w:t>
      </w:r>
      <w:r w:rsidRPr="004F4443">
        <w:rPr>
          <w:rFonts w:asciiTheme="majorBidi" w:hAnsiTheme="majorBidi" w:cstheme="majorBidi"/>
          <w:b/>
          <w:szCs w:val="24"/>
        </w:rPr>
        <w:t>ement de la retenue de garantie No.</w:t>
      </w:r>
      <w:r w:rsidR="009B2302" w:rsidRPr="003C0281">
        <w:rPr>
          <w:rFonts w:asciiTheme="majorBidi" w:hAnsiTheme="majorBidi" w:cstheme="majorBidi"/>
          <w:b/>
          <w:szCs w:val="24"/>
        </w:rPr>
        <w:t> :</w:t>
      </w:r>
      <w:r w:rsidRPr="00C763DE">
        <w:rPr>
          <w:rFonts w:asciiTheme="majorBidi" w:hAnsiTheme="majorBidi" w:cstheme="majorBidi"/>
          <w:szCs w:val="24"/>
        </w:rPr>
        <w:t xml:space="preserve"> _______________ [</w:t>
      </w:r>
      <w:r w:rsidRPr="005962E1">
        <w:rPr>
          <w:rFonts w:asciiTheme="majorBidi" w:hAnsiTheme="majorBidi" w:cstheme="majorBidi"/>
          <w:i/>
          <w:szCs w:val="24"/>
        </w:rPr>
        <w:t xml:space="preserve">insérer le numéro de référence de la </w:t>
      </w:r>
      <w:r w:rsidR="00D07548" w:rsidRPr="005962E1">
        <w:rPr>
          <w:rFonts w:asciiTheme="majorBidi" w:hAnsiTheme="majorBidi" w:cstheme="majorBidi"/>
          <w:i/>
          <w:szCs w:val="24"/>
        </w:rPr>
        <w:t>garantie</w:t>
      </w:r>
      <w:r w:rsidR="00D07548" w:rsidRPr="00076CE0">
        <w:rPr>
          <w:rFonts w:asciiTheme="majorBidi" w:hAnsiTheme="majorBidi" w:cstheme="majorBidi"/>
          <w:szCs w:val="24"/>
        </w:rPr>
        <w:t>] _</w:t>
      </w:r>
    </w:p>
    <w:p w14:paraId="44AA4C08" w14:textId="4B10EA14" w:rsidR="00037168" w:rsidRPr="00A67F27" w:rsidRDefault="00037168" w:rsidP="006E5332">
      <w:pPr>
        <w:spacing w:before="240" w:after="120"/>
        <w:ind w:left="0" w:firstLine="0"/>
        <w:rPr>
          <w:rFonts w:asciiTheme="majorBidi" w:hAnsiTheme="majorBidi" w:cstheme="majorBidi"/>
          <w:szCs w:val="24"/>
        </w:rPr>
      </w:pPr>
      <w:r w:rsidRPr="00A67F27">
        <w:rPr>
          <w:rFonts w:asciiTheme="majorBidi" w:hAnsiTheme="majorBidi" w:cstheme="majorBidi"/>
          <w:szCs w:val="24"/>
        </w:rPr>
        <w:t>Nous avons été informés que ____________________ [</w:t>
      </w:r>
      <w:r w:rsidRPr="00A67F27">
        <w:rPr>
          <w:rFonts w:asciiTheme="majorBidi" w:hAnsiTheme="majorBidi" w:cstheme="majorBidi"/>
          <w:i/>
          <w:szCs w:val="24"/>
        </w:rPr>
        <w:t>nom de l’Entrepreneur, en cas de groupement, nom du groupement</w:t>
      </w:r>
      <w:r w:rsidRPr="00A67F27">
        <w:rPr>
          <w:rFonts w:asciiTheme="majorBidi" w:hAnsiTheme="majorBidi" w:cstheme="majorBidi"/>
          <w:szCs w:val="24"/>
        </w:rPr>
        <w:t xml:space="preserve">] (ci-après dénommé </w:t>
      </w:r>
      <w:r w:rsidR="009B2302" w:rsidRPr="00A67F27">
        <w:rPr>
          <w:rFonts w:asciiTheme="majorBidi" w:hAnsiTheme="majorBidi" w:cstheme="majorBidi"/>
          <w:szCs w:val="24"/>
        </w:rPr>
        <w:t>« </w:t>
      </w:r>
      <w:r w:rsidRPr="00A67F27">
        <w:rPr>
          <w:rFonts w:asciiTheme="majorBidi" w:hAnsiTheme="majorBidi" w:cstheme="majorBidi"/>
          <w:szCs w:val="24"/>
        </w:rPr>
        <w:t>le Donneur d’ordre</w:t>
      </w:r>
      <w:r w:rsidR="009B2302" w:rsidRPr="00A67F27">
        <w:rPr>
          <w:rFonts w:asciiTheme="majorBidi" w:hAnsiTheme="majorBidi" w:cstheme="majorBidi"/>
          <w:szCs w:val="24"/>
        </w:rPr>
        <w:t> »</w:t>
      </w:r>
      <w:r w:rsidRPr="00A67F27">
        <w:rPr>
          <w:rFonts w:asciiTheme="majorBidi" w:hAnsiTheme="majorBidi" w:cstheme="majorBidi"/>
          <w:szCs w:val="24"/>
        </w:rPr>
        <w:t>) a conclu avec le Bénéficiaire le Marché No. _______________[</w:t>
      </w:r>
      <w:r w:rsidRPr="00A67F27">
        <w:rPr>
          <w:rFonts w:asciiTheme="majorBidi" w:hAnsiTheme="majorBidi" w:cstheme="majorBidi"/>
          <w:i/>
          <w:szCs w:val="24"/>
        </w:rPr>
        <w:t>insérer le numéro de référence du marché</w:t>
      </w:r>
      <w:r w:rsidRPr="00A67F27">
        <w:rPr>
          <w:rFonts w:asciiTheme="majorBidi" w:hAnsiTheme="majorBidi" w:cstheme="majorBidi"/>
          <w:szCs w:val="24"/>
        </w:rPr>
        <w:t>] en date du ______________ pour l’exécution _____________________</w:t>
      </w:r>
      <w:r w:rsidR="009B2302" w:rsidRPr="00A67F27">
        <w:rPr>
          <w:rFonts w:asciiTheme="majorBidi" w:hAnsiTheme="majorBidi" w:cstheme="majorBidi"/>
          <w:szCs w:val="24"/>
        </w:rPr>
        <w:t xml:space="preserve"> </w:t>
      </w:r>
      <w:r w:rsidRPr="00A67F27">
        <w:rPr>
          <w:rFonts w:asciiTheme="majorBidi" w:hAnsiTheme="majorBidi" w:cstheme="majorBidi"/>
          <w:szCs w:val="24"/>
        </w:rPr>
        <w:t>[</w:t>
      </w:r>
      <w:r w:rsidRPr="00A67F27">
        <w:rPr>
          <w:rFonts w:asciiTheme="majorBidi" w:hAnsiTheme="majorBidi" w:cstheme="majorBidi"/>
          <w:i/>
          <w:szCs w:val="24"/>
        </w:rPr>
        <w:t>nom du marché et description des travaux</w:t>
      </w:r>
      <w:r w:rsidRPr="00A67F27">
        <w:rPr>
          <w:rFonts w:asciiTheme="majorBidi" w:hAnsiTheme="majorBidi" w:cstheme="majorBidi"/>
          <w:szCs w:val="24"/>
        </w:rPr>
        <w:t xml:space="preserve">] (ci-après dénommé </w:t>
      </w:r>
      <w:r w:rsidR="009B2302" w:rsidRPr="00A67F27">
        <w:rPr>
          <w:rFonts w:asciiTheme="majorBidi" w:hAnsiTheme="majorBidi" w:cstheme="majorBidi"/>
          <w:szCs w:val="24"/>
        </w:rPr>
        <w:t>« </w:t>
      </w:r>
      <w:r w:rsidRPr="00A67F27">
        <w:rPr>
          <w:rFonts w:asciiTheme="majorBidi" w:hAnsiTheme="majorBidi" w:cstheme="majorBidi"/>
          <w:szCs w:val="24"/>
        </w:rPr>
        <w:t>le Marché</w:t>
      </w:r>
      <w:r w:rsidR="009B2302" w:rsidRPr="00A67F27">
        <w:rPr>
          <w:rFonts w:asciiTheme="majorBidi" w:hAnsiTheme="majorBidi" w:cstheme="majorBidi"/>
          <w:szCs w:val="24"/>
        </w:rPr>
        <w:t> »</w:t>
      </w:r>
      <w:r w:rsidRPr="00A67F27">
        <w:rPr>
          <w:rFonts w:asciiTheme="majorBidi" w:hAnsiTheme="majorBidi" w:cstheme="majorBidi"/>
          <w:szCs w:val="24"/>
        </w:rPr>
        <w:t>).</w:t>
      </w:r>
    </w:p>
    <w:p w14:paraId="5433B40F" w14:textId="6A6A156E" w:rsidR="00037168" w:rsidRPr="00A67F27" w:rsidRDefault="00037168" w:rsidP="006E5332">
      <w:pPr>
        <w:spacing w:before="240" w:after="120"/>
        <w:ind w:left="0" w:firstLine="0"/>
        <w:rPr>
          <w:rFonts w:asciiTheme="majorBidi" w:hAnsiTheme="majorBidi" w:cstheme="majorBidi"/>
          <w:szCs w:val="24"/>
        </w:rPr>
      </w:pPr>
      <w:r w:rsidRPr="00A67F27">
        <w:rPr>
          <w:rFonts w:asciiTheme="majorBidi" w:hAnsiTheme="majorBidi" w:cstheme="majorBidi"/>
          <w:szCs w:val="24"/>
        </w:rPr>
        <w:t>De plus, nous comprenons qu’en vertu des conditions du Marché,</w:t>
      </w:r>
      <w:r w:rsidR="009B2302" w:rsidRPr="00A67F27">
        <w:rPr>
          <w:rFonts w:asciiTheme="majorBidi" w:hAnsiTheme="majorBidi" w:cstheme="majorBidi"/>
          <w:szCs w:val="24"/>
        </w:rPr>
        <w:t xml:space="preserve"> </w:t>
      </w:r>
      <w:r w:rsidRPr="00A67F27">
        <w:rPr>
          <w:rFonts w:asciiTheme="majorBidi" w:hAnsiTheme="majorBidi" w:cstheme="majorBidi"/>
          <w:szCs w:val="24"/>
        </w:rPr>
        <w:t>le Bénéficiaire prélève une retenue de garantie dans la limite du pourcentage établi au Marché (</w:t>
      </w:r>
      <w:r w:rsidR="009B2302" w:rsidRPr="00A67F27">
        <w:rPr>
          <w:rFonts w:asciiTheme="majorBidi" w:hAnsiTheme="majorBidi" w:cstheme="majorBidi"/>
          <w:szCs w:val="24"/>
        </w:rPr>
        <w:t>« </w:t>
      </w:r>
      <w:r w:rsidRPr="00A67F27">
        <w:rPr>
          <w:rFonts w:asciiTheme="majorBidi" w:hAnsiTheme="majorBidi" w:cstheme="majorBidi"/>
          <w:szCs w:val="24"/>
        </w:rPr>
        <w:t>Retenue de garantie</w:t>
      </w:r>
      <w:r w:rsidR="009B2302" w:rsidRPr="00A67F27">
        <w:rPr>
          <w:rFonts w:asciiTheme="majorBidi" w:hAnsiTheme="majorBidi" w:cstheme="majorBidi"/>
          <w:szCs w:val="24"/>
        </w:rPr>
        <w:t> »</w:t>
      </w:r>
      <w:r w:rsidRPr="00A67F27">
        <w:rPr>
          <w:rFonts w:asciiTheme="majorBidi" w:hAnsiTheme="majorBidi" w:cstheme="majorBidi"/>
          <w:szCs w:val="24"/>
        </w:rPr>
        <w:t>) et que</w:t>
      </w:r>
      <w:r w:rsidR="009B2302" w:rsidRPr="00A67F27">
        <w:rPr>
          <w:rFonts w:asciiTheme="majorBidi" w:hAnsiTheme="majorBidi" w:cstheme="majorBidi"/>
          <w:szCs w:val="24"/>
        </w:rPr>
        <w:t xml:space="preserve"> </w:t>
      </w:r>
      <w:r w:rsidRPr="00A67F27">
        <w:rPr>
          <w:rFonts w:asciiTheme="majorBidi" w:hAnsiTheme="majorBidi" w:cstheme="majorBidi"/>
          <w:szCs w:val="24"/>
        </w:rPr>
        <w:t>lorsque la réception provisoire a été prononcée et la première moitié de la Retenue de garantie libérée, la seconde moitié de la Retenue de garantie sera remplacée par une garantie bancaire d’un même montant.</w:t>
      </w:r>
    </w:p>
    <w:p w14:paraId="5E8F8587" w14:textId="02CCDE6E" w:rsidR="00037168" w:rsidRPr="00132A9B" w:rsidRDefault="00037168" w:rsidP="006E5332">
      <w:pPr>
        <w:spacing w:before="240" w:after="120"/>
        <w:ind w:left="0" w:firstLine="0"/>
        <w:rPr>
          <w:rFonts w:asciiTheme="majorBidi" w:hAnsiTheme="majorBidi" w:cstheme="majorBidi"/>
          <w:szCs w:val="24"/>
        </w:rPr>
      </w:pPr>
      <w:r w:rsidRPr="00A67F27">
        <w:rPr>
          <w:rFonts w:asciiTheme="majorBidi" w:hAnsiTheme="majorBidi" w:cstheme="majorBidi"/>
          <w:szCs w:val="24"/>
        </w:rPr>
        <w:t>A la demande du Donneur d’ordre, nous _________________ [</w:t>
      </w:r>
      <w:r w:rsidRPr="00A67F27">
        <w:rPr>
          <w:rFonts w:asciiTheme="majorBidi" w:hAnsiTheme="majorBidi" w:cstheme="majorBidi"/>
          <w:i/>
          <w:szCs w:val="24"/>
        </w:rPr>
        <w:t>nom de la banque garante</w:t>
      </w:r>
      <w:r w:rsidRPr="00A67F27">
        <w:rPr>
          <w:rFonts w:asciiTheme="majorBidi" w:hAnsiTheme="majorBidi" w:cstheme="majorBidi"/>
          <w:szCs w:val="24"/>
        </w:rPr>
        <w:t>] prenons, en tant que Garant, l’engagement irrévocable de payer au Bénéficiaire toute somme</w:t>
      </w:r>
      <w:r w:rsidR="009B2302" w:rsidRPr="00A67F27">
        <w:rPr>
          <w:rFonts w:asciiTheme="majorBidi" w:hAnsiTheme="majorBidi" w:cstheme="majorBidi"/>
          <w:szCs w:val="24"/>
        </w:rPr>
        <w:t xml:space="preserve"> </w:t>
      </w:r>
      <w:r w:rsidRPr="00A67F27">
        <w:rPr>
          <w:rFonts w:asciiTheme="majorBidi" w:hAnsiTheme="majorBidi" w:cstheme="majorBidi"/>
          <w:szCs w:val="24"/>
        </w:rPr>
        <w:t>dans la limite du Montant de la Garantie qui s’élève à _____________ [</w:t>
      </w:r>
      <w:r w:rsidRPr="00A67F27">
        <w:rPr>
          <w:rFonts w:asciiTheme="majorBidi" w:hAnsiTheme="majorBidi" w:cstheme="majorBidi"/>
          <w:i/>
          <w:szCs w:val="24"/>
        </w:rPr>
        <w:t>insérer la somme en chiffres</w:t>
      </w:r>
      <w:r w:rsidRPr="00A67F27">
        <w:rPr>
          <w:rFonts w:asciiTheme="majorBidi" w:hAnsiTheme="majorBidi" w:cstheme="majorBidi"/>
          <w:szCs w:val="24"/>
        </w:rPr>
        <w:t>] _____________</w:t>
      </w:r>
      <w:r w:rsidRPr="00A67F27">
        <w:rPr>
          <w:rFonts w:asciiTheme="majorBidi" w:hAnsiTheme="majorBidi" w:cstheme="majorBidi"/>
          <w:i/>
          <w:szCs w:val="24"/>
        </w:rPr>
        <w:t xml:space="preserve"> </w:t>
      </w:r>
      <w:r w:rsidRPr="00A67F27">
        <w:rPr>
          <w:rFonts w:asciiTheme="majorBidi" w:hAnsiTheme="majorBidi" w:cstheme="majorBidi"/>
          <w:szCs w:val="24"/>
        </w:rPr>
        <w:t>[</w:t>
      </w:r>
      <w:r w:rsidRPr="00A67F27">
        <w:rPr>
          <w:rFonts w:asciiTheme="majorBidi" w:hAnsiTheme="majorBidi" w:cstheme="majorBidi"/>
          <w:i/>
          <w:szCs w:val="24"/>
        </w:rPr>
        <w:t>insérer la somme en lettres</w:t>
      </w:r>
      <w:r w:rsidRPr="00A67F27">
        <w:rPr>
          <w:rFonts w:asciiTheme="majorBidi" w:hAnsiTheme="majorBidi" w:cstheme="majorBidi"/>
          <w:szCs w:val="24"/>
        </w:rPr>
        <w:t>]</w:t>
      </w:r>
      <w:r w:rsidRPr="00A67F27">
        <w:rPr>
          <w:rFonts w:asciiTheme="majorBidi" w:hAnsiTheme="majorBidi" w:cstheme="majorBidi"/>
          <w:szCs w:val="24"/>
          <w:vertAlign w:val="superscript"/>
        </w:rPr>
        <w:footnoteReference w:id="39"/>
      </w:r>
      <w:r w:rsidRPr="00A67F27">
        <w:rPr>
          <w:rFonts w:asciiTheme="majorBidi" w:hAnsiTheme="majorBidi" w:cstheme="majorBidi"/>
          <w:szCs w:val="24"/>
        </w:rPr>
        <w:t>.</w:t>
      </w:r>
      <w:r w:rsidR="009B2302" w:rsidRPr="00A67F27">
        <w:rPr>
          <w:rFonts w:asciiTheme="majorBidi" w:hAnsiTheme="majorBidi" w:cstheme="majorBidi"/>
          <w:szCs w:val="24"/>
        </w:rPr>
        <w:t xml:space="preserve"> </w:t>
      </w:r>
      <w:r w:rsidRPr="001627D7">
        <w:rPr>
          <w:rFonts w:asciiTheme="majorBidi" w:hAnsiTheme="majorBidi" w:cstheme="majorBidi"/>
          <w:szCs w:val="24"/>
        </w:rPr>
        <w:t>Votre demande en paiement doit comprendre, que ce soit da</w:t>
      </w:r>
      <w:r w:rsidRPr="00043C85">
        <w:rPr>
          <w:rFonts w:asciiTheme="majorBidi" w:hAnsiTheme="majorBidi" w:cstheme="majorBidi"/>
          <w:szCs w:val="24"/>
        </w:rPr>
        <w:t>ns la demande elle-même ou dans un document séparé signé</w:t>
      </w:r>
      <w:r w:rsidRPr="00EB4FEC" w:rsidDel="00667289">
        <w:rPr>
          <w:rFonts w:asciiTheme="majorBidi" w:hAnsiTheme="majorBidi" w:cstheme="majorBidi"/>
          <w:szCs w:val="24"/>
        </w:rPr>
        <w:t xml:space="preserve"> </w:t>
      </w:r>
      <w:r w:rsidRPr="00442531">
        <w:rPr>
          <w:rFonts w:asciiTheme="majorBidi" w:hAnsiTheme="majorBidi" w:cstheme="majorBidi"/>
          <w:szCs w:val="24"/>
        </w:rPr>
        <w:t>accompagnant ou identifiant la demande, la déclaration que le Donneur</w:t>
      </w:r>
      <w:r w:rsidR="009B2302" w:rsidRPr="00442531">
        <w:rPr>
          <w:rFonts w:asciiTheme="majorBidi" w:hAnsiTheme="majorBidi" w:cstheme="majorBidi"/>
          <w:szCs w:val="24"/>
        </w:rPr>
        <w:t xml:space="preserve"> </w:t>
      </w:r>
      <w:r w:rsidRPr="00442531">
        <w:rPr>
          <w:rFonts w:asciiTheme="majorBidi" w:hAnsiTheme="majorBidi" w:cstheme="majorBidi"/>
          <w:szCs w:val="24"/>
        </w:rPr>
        <w:t>d’ordre a failli à ses obligations au titre du Marché sans que vous ayez à prouver ou à donner les raisons ou le motif de votre d</w:t>
      </w:r>
      <w:r w:rsidRPr="00132A9B">
        <w:rPr>
          <w:rFonts w:asciiTheme="majorBidi" w:hAnsiTheme="majorBidi" w:cstheme="majorBidi"/>
          <w:szCs w:val="24"/>
        </w:rPr>
        <w:t xml:space="preserve">emande ou du montant qui y figure. </w:t>
      </w:r>
    </w:p>
    <w:p w14:paraId="43028354" w14:textId="5BE85897" w:rsidR="00037168" w:rsidRPr="008432AC" w:rsidRDefault="00037168" w:rsidP="006E5332">
      <w:pPr>
        <w:spacing w:before="240" w:after="120"/>
        <w:ind w:left="0" w:firstLine="0"/>
        <w:rPr>
          <w:rFonts w:asciiTheme="majorBidi" w:hAnsiTheme="majorBidi" w:cstheme="majorBidi"/>
          <w:szCs w:val="24"/>
        </w:rPr>
      </w:pPr>
      <w:r w:rsidRPr="00132A9B">
        <w:rPr>
          <w:rFonts w:asciiTheme="majorBidi" w:hAnsiTheme="majorBidi" w:cstheme="majorBidi"/>
          <w:szCs w:val="24"/>
        </w:rPr>
        <w:t>Toute demande au titre de la présente garantie doit être accompagnée d’une attestation de la banque du Bénéficiaire déclarant que la seconde moitié de la Retenue de garantie</w:t>
      </w:r>
      <w:r w:rsidR="009B2302" w:rsidRPr="00835449">
        <w:rPr>
          <w:rFonts w:asciiTheme="majorBidi" w:hAnsiTheme="majorBidi" w:cstheme="majorBidi"/>
          <w:szCs w:val="24"/>
        </w:rPr>
        <w:t xml:space="preserve"> </w:t>
      </w:r>
      <w:r w:rsidRPr="00D6752B">
        <w:rPr>
          <w:rFonts w:asciiTheme="majorBidi" w:hAnsiTheme="majorBidi" w:cstheme="majorBidi"/>
          <w:szCs w:val="24"/>
        </w:rPr>
        <w:t xml:space="preserve">mentionnée ci-dessus a été créditée au compte </w:t>
      </w:r>
      <w:r w:rsidRPr="00013AB1">
        <w:rPr>
          <w:rFonts w:asciiTheme="majorBidi" w:hAnsiTheme="majorBidi" w:cstheme="majorBidi"/>
          <w:szCs w:val="24"/>
        </w:rPr>
        <w:t>bancaire du Donneur d’ordre portant le numéro ______________ à __________________ [</w:t>
      </w:r>
      <w:r w:rsidRPr="00AB61F2">
        <w:rPr>
          <w:rFonts w:asciiTheme="majorBidi" w:hAnsiTheme="majorBidi" w:cstheme="majorBidi"/>
          <w:i/>
          <w:szCs w:val="24"/>
        </w:rPr>
        <w:t>nom et adresse de la banque du Donneur d’ordre</w:t>
      </w:r>
      <w:r w:rsidRPr="008432AC">
        <w:rPr>
          <w:rFonts w:asciiTheme="majorBidi" w:hAnsiTheme="majorBidi" w:cstheme="majorBidi"/>
          <w:szCs w:val="24"/>
        </w:rPr>
        <w:t>].</w:t>
      </w:r>
    </w:p>
    <w:p w14:paraId="52750DF3" w14:textId="4862F37C" w:rsidR="00037168" w:rsidRPr="00A67F27" w:rsidRDefault="00037168" w:rsidP="006E5332">
      <w:pPr>
        <w:spacing w:before="240" w:after="120"/>
        <w:ind w:left="0" w:firstLine="0"/>
        <w:rPr>
          <w:rFonts w:asciiTheme="majorBidi" w:hAnsiTheme="majorBidi" w:cstheme="majorBidi"/>
          <w:szCs w:val="24"/>
        </w:rPr>
      </w:pPr>
      <w:r w:rsidRPr="008432AC">
        <w:rPr>
          <w:rFonts w:asciiTheme="majorBidi" w:hAnsiTheme="majorBidi" w:cstheme="majorBidi"/>
          <w:szCs w:val="24"/>
        </w:rPr>
        <w:t>La présente garantie expire au plus tard à la date suivante</w:t>
      </w:r>
      <w:r w:rsidR="009B2302" w:rsidRPr="008432AC">
        <w:rPr>
          <w:rFonts w:asciiTheme="majorBidi" w:hAnsiTheme="majorBidi" w:cstheme="majorBidi"/>
          <w:szCs w:val="24"/>
        </w:rPr>
        <w:t> :</w:t>
      </w:r>
      <w:r w:rsidRPr="008432AC">
        <w:rPr>
          <w:rFonts w:asciiTheme="majorBidi" w:hAnsiTheme="majorBidi" w:cstheme="majorBidi"/>
          <w:szCs w:val="24"/>
        </w:rPr>
        <w:t>_______.</w:t>
      </w:r>
      <w:r w:rsidRPr="00A67F27">
        <w:rPr>
          <w:rFonts w:asciiTheme="majorBidi" w:hAnsiTheme="majorBidi" w:cstheme="majorBidi"/>
          <w:szCs w:val="24"/>
          <w:vertAlign w:val="superscript"/>
        </w:rPr>
        <w:footnoteReference w:id="40"/>
      </w:r>
      <w:r w:rsidRPr="00A67F27">
        <w:rPr>
          <w:rFonts w:asciiTheme="majorBidi" w:hAnsiTheme="majorBidi" w:cstheme="majorBidi"/>
          <w:szCs w:val="24"/>
        </w:rPr>
        <w:t xml:space="preserve"> Toute demande de paiement doit être reçue à cette date au plus tard.</w:t>
      </w:r>
    </w:p>
    <w:p w14:paraId="6FA4F459" w14:textId="521C3F15" w:rsidR="00037168" w:rsidRPr="00EB4FEC" w:rsidRDefault="00037168" w:rsidP="006E5332">
      <w:pPr>
        <w:spacing w:before="240" w:after="120"/>
        <w:ind w:left="0" w:firstLine="0"/>
        <w:rPr>
          <w:rFonts w:asciiTheme="majorBidi" w:hAnsiTheme="majorBidi" w:cstheme="majorBidi"/>
          <w:szCs w:val="24"/>
        </w:rPr>
      </w:pPr>
      <w:r w:rsidRPr="001627D7">
        <w:rPr>
          <w:rFonts w:asciiTheme="majorBidi" w:hAnsiTheme="majorBidi" w:cstheme="majorBidi"/>
          <w:szCs w:val="24"/>
        </w:rPr>
        <w:t>La présente garantie est régie par les Règles Uniformes de la CCI relatives aux Garanties sur Demande (RUGD), Publication CCI no</w:t>
      </w:r>
      <w:r w:rsidR="009B2302" w:rsidRPr="00043C85">
        <w:rPr>
          <w:rFonts w:asciiTheme="majorBidi" w:hAnsiTheme="majorBidi" w:cstheme="majorBidi"/>
          <w:szCs w:val="24"/>
        </w:rPr>
        <w:t> :</w:t>
      </w:r>
      <w:r w:rsidRPr="00EB4FEC">
        <w:rPr>
          <w:rFonts w:asciiTheme="majorBidi" w:hAnsiTheme="majorBidi" w:cstheme="majorBidi"/>
          <w:szCs w:val="24"/>
        </w:rPr>
        <w:t xml:space="preserve"> 758, à l’exception de leur Article 15 (a) dont l’application est expressément écartée. </w:t>
      </w:r>
    </w:p>
    <w:p w14:paraId="263EE8B4" w14:textId="77777777" w:rsidR="00037168" w:rsidRPr="00442531" w:rsidRDefault="00037168" w:rsidP="006E5332">
      <w:pPr>
        <w:spacing w:before="240" w:after="120"/>
        <w:rPr>
          <w:rFonts w:asciiTheme="majorBidi" w:hAnsiTheme="majorBidi" w:cstheme="majorBidi"/>
          <w:szCs w:val="24"/>
        </w:rPr>
      </w:pPr>
    </w:p>
    <w:p w14:paraId="56720A4B" w14:textId="77777777" w:rsidR="00037168" w:rsidRPr="00442531" w:rsidRDefault="00037168" w:rsidP="006E5332">
      <w:pPr>
        <w:spacing w:before="240" w:after="120"/>
        <w:rPr>
          <w:rFonts w:asciiTheme="majorBidi" w:hAnsiTheme="majorBidi" w:cstheme="majorBidi"/>
          <w:szCs w:val="24"/>
        </w:rPr>
      </w:pPr>
      <w:r w:rsidRPr="00442531">
        <w:rPr>
          <w:rFonts w:asciiTheme="majorBidi" w:hAnsiTheme="majorBidi" w:cstheme="majorBidi"/>
          <w:szCs w:val="24"/>
        </w:rPr>
        <w:t>_____________________</w:t>
      </w:r>
    </w:p>
    <w:p w14:paraId="7001D555" w14:textId="77777777" w:rsidR="00037168" w:rsidRPr="00D6752B" w:rsidRDefault="00037168" w:rsidP="006E5332">
      <w:pPr>
        <w:spacing w:after="120"/>
        <w:rPr>
          <w:rFonts w:asciiTheme="majorBidi" w:hAnsiTheme="majorBidi" w:cstheme="majorBidi"/>
          <w:szCs w:val="24"/>
        </w:rPr>
      </w:pPr>
      <w:r w:rsidRPr="00132A9B">
        <w:rPr>
          <w:rFonts w:asciiTheme="majorBidi" w:hAnsiTheme="majorBidi" w:cstheme="majorBidi"/>
          <w:szCs w:val="24"/>
        </w:rPr>
        <w:t>[</w:t>
      </w:r>
      <w:r w:rsidRPr="00835449">
        <w:rPr>
          <w:rFonts w:asciiTheme="majorBidi" w:hAnsiTheme="majorBidi" w:cstheme="majorBidi"/>
          <w:i/>
          <w:szCs w:val="24"/>
        </w:rPr>
        <w:t>Signature</w:t>
      </w:r>
      <w:r w:rsidRPr="00D6752B">
        <w:rPr>
          <w:rFonts w:asciiTheme="majorBidi" w:hAnsiTheme="majorBidi" w:cstheme="majorBidi"/>
          <w:szCs w:val="24"/>
        </w:rPr>
        <w:t>]</w:t>
      </w:r>
    </w:p>
    <w:p w14:paraId="116201E9" w14:textId="77777777" w:rsidR="00037168" w:rsidRPr="00013AB1" w:rsidRDefault="00037168" w:rsidP="006E5332">
      <w:pPr>
        <w:tabs>
          <w:tab w:val="right" w:pos="9000"/>
        </w:tabs>
        <w:spacing w:before="240" w:after="120"/>
        <w:rPr>
          <w:rFonts w:asciiTheme="majorBidi" w:hAnsiTheme="majorBidi" w:cstheme="majorBidi"/>
          <w:b/>
          <w:i/>
          <w:szCs w:val="24"/>
        </w:rPr>
      </w:pPr>
    </w:p>
    <w:p w14:paraId="18D5A5BD" w14:textId="77777777" w:rsidR="00AE2E35" w:rsidRPr="00E42E0E" w:rsidRDefault="00AE2E35" w:rsidP="00DC57DA">
      <w:pPr>
        <w:spacing w:before="120" w:after="120"/>
        <w:rPr>
          <w:rFonts w:asciiTheme="majorBidi" w:hAnsiTheme="majorBidi" w:cstheme="majorBidi"/>
          <w:i/>
        </w:rPr>
      </w:pPr>
    </w:p>
    <w:p w14:paraId="1A4E77E5" w14:textId="650B11F5" w:rsidR="005B032D" w:rsidRPr="00DB19E8" w:rsidRDefault="005B032D" w:rsidP="00BC6174">
      <w:pPr>
        <w:suppressAutoHyphens/>
        <w:spacing w:after="0"/>
        <w:ind w:left="578" w:hanging="38"/>
        <w:rPr>
          <w:rFonts w:asciiTheme="majorBidi" w:hAnsiTheme="majorBidi" w:cstheme="majorBidi"/>
        </w:rPr>
      </w:pPr>
    </w:p>
    <w:sectPr w:rsidR="005B032D" w:rsidRPr="00DB19E8" w:rsidSect="008D2EE3">
      <w:headerReference w:type="even" r:id="rId36"/>
      <w:headerReference w:type="default" r:id="rId37"/>
      <w:footerReference w:type="default" r:id="rId38"/>
      <w:headerReference w:type="first" r:id="rId39"/>
      <w:footnotePr>
        <w:numRestart w:val="eachSect"/>
      </w:footnotePr>
      <w:pgSz w:w="12240" w:h="15840" w:code="1"/>
      <w:pgMar w:top="1418" w:right="1418" w:bottom="1418" w:left="1418"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6438E3" w14:textId="77777777" w:rsidR="00C97B35" w:rsidRDefault="00C97B35">
      <w:pPr>
        <w:spacing w:line="20" w:lineRule="exact"/>
      </w:pPr>
    </w:p>
  </w:endnote>
  <w:endnote w:type="continuationSeparator" w:id="0">
    <w:p w14:paraId="55D2EC38" w14:textId="77777777" w:rsidR="00C97B35" w:rsidRDefault="00C97B35">
      <w:r>
        <w:t xml:space="preserve"> </w:t>
      </w:r>
    </w:p>
  </w:endnote>
  <w:endnote w:type="continuationNotice" w:id="1">
    <w:p w14:paraId="4B042A26" w14:textId="77777777" w:rsidR="00C97B35" w:rsidRDefault="00C97B3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wis721 LtCn BT">
    <w:altName w:val="Arial Narrow"/>
    <w:panose1 w:val="020B0406020202030204"/>
    <w:charset w:val="00"/>
    <w:family w:val="swiss"/>
    <w:pitch w:val="variable"/>
    <w:sig w:usb0="00000087" w:usb1="00000000" w:usb2="00000000" w:usb3="00000000" w:csb0="0000001B" w:csb1="00000000"/>
  </w:font>
  <w:font w:name="Helvetica Neue">
    <w:altName w:val="Arial"/>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2020803070505020304"/>
    <w:charset w:val="00"/>
    <w:family w:val="auto"/>
    <w:pitch w:val="variable"/>
    <w:sig w:usb0="E0002AE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Times New Roman"/>
    <w:charset w:val="00"/>
    <w:family w:val="roman"/>
    <w:pitch w:val="default"/>
  </w:font>
  <w:font w:name="Arial Narrow">
    <w:panose1 w:val="020B0606020202030204"/>
    <w:charset w:val="00"/>
    <w:family w:val="swiss"/>
    <w:pitch w:val="variable"/>
    <w:sig w:usb0="00000287" w:usb1="000008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Light">
    <w:altName w:val="Malgun Gothic"/>
    <w:panose1 w:val="00000000000000000000"/>
    <w:charset w:val="00"/>
    <w:family w:val="swiss"/>
    <w:notTrueType/>
    <w:pitch w:val="default"/>
    <w:sig w:usb0="00000000" w:usb1="09060000" w:usb2="00000010" w:usb3="00000000" w:csb0="00080001" w:csb1="00000000"/>
  </w:font>
  <w:font w:name="Book Antiqua">
    <w:panose1 w:val="02040602050305030304"/>
    <w:charset w:val="00"/>
    <w:family w:val="roman"/>
    <w:pitch w:val="variable"/>
    <w:sig w:usb0="00000287" w:usb1="00000000" w:usb2="00000000" w:usb3="00000000" w:csb0="0000009F" w:csb1="00000000"/>
  </w:font>
  <w:font w:name="Times-Italic">
    <w:altName w:val="Times New Roman"/>
    <w:panose1 w:val="00000000000000000000"/>
    <w:charset w:val="00"/>
    <w:family w:val="roman"/>
    <w:notTrueType/>
    <w:pitch w:val="default"/>
    <w:sig w:usb0="00000003" w:usb1="00000000" w:usb2="00000000" w:usb3="00000000" w:csb0="00000001" w:csb1="00000000"/>
  </w:font>
  <w:font w:name="GJBIC D+ Helvetica">
    <w:altName w:val="Arial"/>
    <w:panose1 w:val="00000000000000000000"/>
    <w:charset w:val="00"/>
    <w:family w:val="swiss"/>
    <w:notTrueType/>
    <w:pitch w:val="default"/>
    <w:sig w:usb0="00000003" w:usb1="00000000" w:usb2="00000000" w:usb3="00000000" w:csb0="00000001" w:csb1="00000000"/>
  </w:font>
  <w:font w:name="GarmdITC Lt BT">
    <w:altName w:val="GarmdITC Lt B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911432" w14:textId="77777777" w:rsidR="00611A83" w:rsidRDefault="00611A83">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84FB8" w14:textId="77777777" w:rsidR="00611A83" w:rsidRDefault="00611A8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F57F8C" w14:textId="77777777" w:rsidR="00C97B35" w:rsidRDefault="00C97B35">
      <w:r>
        <w:separator/>
      </w:r>
    </w:p>
  </w:footnote>
  <w:footnote w:type="continuationSeparator" w:id="0">
    <w:p w14:paraId="67CEC448" w14:textId="77777777" w:rsidR="00C97B35" w:rsidRDefault="00C97B35">
      <w:r>
        <w:continuationSeparator/>
      </w:r>
    </w:p>
  </w:footnote>
  <w:footnote w:type="continuationNotice" w:id="1">
    <w:p w14:paraId="5A435515" w14:textId="77777777" w:rsidR="00C97B35" w:rsidRDefault="00C97B35">
      <w:pPr>
        <w:spacing w:after="0"/>
      </w:pPr>
    </w:p>
  </w:footnote>
  <w:footnote w:id="2">
    <w:p w14:paraId="79071F30" w14:textId="6B4D2AAF" w:rsidR="00611A83" w:rsidRPr="00994494" w:rsidRDefault="00611A83" w:rsidP="00506A94">
      <w:pPr>
        <w:pStyle w:val="Notedebasdepage"/>
        <w:rPr>
          <w:rFonts w:asciiTheme="majorBidi" w:hAnsiTheme="majorBidi" w:cstheme="majorBidi"/>
          <w:iCs/>
        </w:rPr>
      </w:pPr>
      <w:r w:rsidRPr="00994494">
        <w:rPr>
          <w:rStyle w:val="Appelnotedebasdep"/>
          <w:rFonts w:asciiTheme="majorBidi" w:hAnsiTheme="majorBidi" w:cstheme="majorBidi"/>
          <w:iCs/>
        </w:rPr>
        <w:footnoteRef/>
      </w:r>
      <w:r w:rsidRPr="00994494">
        <w:rPr>
          <w:rFonts w:asciiTheme="majorBidi" w:hAnsiTheme="majorBidi" w:cstheme="majorBidi"/>
          <w:iCs/>
        </w:rPr>
        <w:t xml:space="preserve"> </w:t>
      </w:r>
      <w:r w:rsidRPr="00994494">
        <w:rPr>
          <w:rFonts w:asciiTheme="majorBidi" w:hAnsiTheme="majorBidi" w:cstheme="majorBidi"/>
          <w:iCs/>
        </w:rPr>
        <w:tab/>
        <w:t xml:space="preserve">Pour un marché à prix forfaitaire, supprimer « les montants inclus dans les prix unitaires et totaux, et indiqués en annexe à la Soumission » et remplacer par « le montant forfaire » et formuler le reste de la phrase au singulier. </w:t>
      </w:r>
    </w:p>
  </w:footnote>
  <w:footnote w:id="3">
    <w:p w14:paraId="559AA941" w14:textId="5F8B504A" w:rsidR="00611A83" w:rsidRPr="00994494" w:rsidRDefault="00611A83" w:rsidP="00A6531F">
      <w:pPr>
        <w:pStyle w:val="Notedebasdepage"/>
        <w:rPr>
          <w:rFonts w:asciiTheme="majorBidi" w:hAnsiTheme="majorBidi" w:cstheme="majorBidi"/>
          <w:iCs/>
        </w:rPr>
      </w:pPr>
      <w:r w:rsidRPr="00994494">
        <w:rPr>
          <w:rStyle w:val="Appelnotedebasdep"/>
          <w:rFonts w:asciiTheme="majorBidi" w:hAnsiTheme="majorBidi" w:cstheme="majorBidi"/>
          <w:iCs/>
        </w:rPr>
        <w:footnoteRef/>
      </w:r>
      <w:r w:rsidRPr="00994494">
        <w:rPr>
          <w:rFonts w:asciiTheme="majorBidi" w:hAnsiTheme="majorBidi" w:cstheme="majorBidi"/>
          <w:iCs/>
        </w:rPr>
        <w:t xml:space="preserve"> </w:t>
      </w:r>
      <w:r w:rsidRPr="00994494">
        <w:rPr>
          <w:rFonts w:asciiTheme="majorBidi" w:hAnsiTheme="majorBidi" w:cstheme="majorBidi"/>
          <w:iCs/>
        </w:rPr>
        <w:tab/>
        <w:t>Aux fins d’application de la marge de préférence, une entreprise est considérée comme nationale à la condition qu’elle soit enregistrée dans le pays du Maître de l’Ouvrage, qu’elle appartienne en majorité à des ressortissants de ce pays, et qu’elle ne soustraite pas à des entreprises étrangères plus de 10 pourcent du Montant du Marché (à l’exclusion des Sommes à valoir). Les groupements d’entreprises sont considérés comme nationaux et bénéficient de la préférence nationale à la condition que chacun de leurs membres soit enregistré dans le pays du Maître de l’Ouvrage, appartienne en majorité à des ressortissants de ce pays, et que le groupement soit enregistré dans le pays du Maître de l’Ouvrage. Le Groupement bénéficiant de la préférence nationale ne doit pas sous-traiter pas plus de 10 pourcent du Montant du Marché (à l’exclusion des Sommes à valoir) à des entreprises étrangères. Les groupements entre entreprises nationales et étrangères ne peuvent bénéficier de la préférence nationale.</w:t>
      </w:r>
    </w:p>
  </w:footnote>
  <w:footnote w:id="4">
    <w:p w14:paraId="55D57EAB" w14:textId="0C504CB0" w:rsidR="00611A83" w:rsidRPr="00994494" w:rsidRDefault="00611A83" w:rsidP="00591548">
      <w:pPr>
        <w:pStyle w:val="Notedebasdepage"/>
        <w:spacing w:after="0"/>
        <w:rPr>
          <w:rFonts w:asciiTheme="majorBidi" w:hAnsiTheme="majorBidi" w:cstheme="majorBidi"/>
          <w:iCs/>
        </w:rPr>
      </w:pPr>
      <w:r w:rsidRPr="00994494">
        <w:rPr>
          <w:rStyle w:val="Appelnotedebasdep"/>
          <w:rFonts w:asciiTheme="majorBidi" w:hAnsiTheme="majorBidi" w:cstheme="majorBidi"/>
          <w:iCs/>
        </w:rPr>
        <w:footnoteRef/>
      </w:r>
      <w:r w:rsidRPr="00994494">
        <w:rPr>
          <w:rFonts w:asciiTheme="majorBidi" w:hAnsiTheme="majorBidi" w:cstheme="majorBidi"/>
          <w:iCs/>
        </w:rPr>
        <w:t xml:space="preserve"> </w:t>
      </w:r>
      <w:r w:rsidRPr="00994494">
        <w:rPr>
          <w:rFonts w:asciiTheme="majorBidi" w:hAnsiTheme="majorBidi" w:cstheme="majorBidi"/>
          <w:iCs/>
        </w:rPr>
        <w:tab/>
        <w:t>Pour un marché à prix forfaitaire, supprimer « le récapitulatif du Détail quantitatif et estimatif » et remplacer par « le Programme d’Activités chiffré ».</w:t>
      </w:r>
    </w:p>
  </w:footnote>
  <w:footnote w:id="5">
    <w:p w14:paraId="748B548F" w14:textId="508CA333" w:rsidR="00611A83" w:rsidRPr="00994494" w:rsidRDefault="00611A83" w:rsidP="00591548">
      <w:pPr>
        <w:pStyle w:val="Notedebasdepage"/>
      </w:pPr>
      <w:r w:rsidRPr="00994494">
        <w:rPr>
          <w:rStyle w:val="Appelnotedebasdep"/>
        </w:rPr>
        <w:footnoteRef/>
      </w:r>
      <w:r w:rsidRPr="00994494">
        <w:t xml:space="preserve"> </w:t>
      </w:r>
      <w:r w:rsidRPr="00994494">
        <w:tab/>
        <w:t xml:space="preserve">Les jours de travail effectués à la demande du chef de projet sont payés sur la base du temps passé, et l’utilisation du matériel et équipement de l’Entrepreneur, sont payés aux prix indiqués dans l’offre.  Pour les journées de travail dont il sera tenu compte du prix pour l’évaluation, le Maître d’Ouvrage doit fournir la liste des quantités de chaque article dont le prix sera exprimé en journées de travail (Ex : un nombre spécifique de jours de chauffeur de tracteur, ou un tonnage spécifique de ciment Portland), à multiplier par les prix unitaires du Soumissionnaire et inclus dans le montant total de l’offre. </w:t>
      </w:r>
    </w:p>
  </w:footnote>
  <w:footnote w:id="6">
    <w:p w14:paraId="2829D1EE" w14:textId="74C5017E" w:rsidR="00611A83" w:rsidRPr="00994494" w:rsidRDefault="00611A83" w:rsidP="001E0C5C">
      <w:pPr>
        <w:pStyle w:val="Notedebasdepage"/>
        <w:spacing w:after="0"/>
        <w:rPr>
          <w:rFonts w:asciiTheme="majorBidi" w:hAnsiTheme="majorBidi" w:cstheme="majorBidi"/>
          <w:iCs/>
        </w:rPr>
      </w:pPr>
      <w:r w:rsidRPr="00994494">
        <w:rPr>
          <w:rStyle w:val="Appelnotedebasdep"/>
          <w:rFonts w:asciiTheme="majorBidi" w:hAnsiTheme="majorBidi" w:cstheme="majorBidi"/>
          <w:iCs/>
        </w:rPr>
        <w:footnoteRef/>
      </w:r>
      <w:r w:rsidRPr="00994494">
        <w:rPr>
          <w:rFonts w:asciiTheme="majorBidi" w:hAnsiTheme="majorBidi" w:cstheme="majorBidi"/>
          <w:iCs/>
        </w:rPr>
        <w:t xml:space="preserve"> </w:t>
      </w:r>
      <w:r w:rsidRPr="00994494">
        <w:rPr>
          <w:rFonts w:asciiTheme="majorBidi" w:hAnsiTheme="majorBidi" w:cstheme="majorBidi"/>
          <w:iCs/>
        </w:rPr>
        <w:tab/>
        <w:t>Un marché sera considéré en défaut d’exécution par le Maître de l’Ouvrage lorsque le défaut d’exécution n’a pas été contesté par l’Entrepreneur y compris par recours au mécanisme de règlement des litiges prévu au marché en question, ou lorsqu’il a fait l’objet de contestation par l’Entrepreneur mais a été réglé entièrement à l’encontre de l’Entrepreneur. Le défaut d’exécution ne comprend pas le cas des marchés contestés pour lesquels le Maître de l’Ouvrage n’a pas obtenu gain de cause au cours du règlement des litiges. Le défaut d’exécution doit être confirmé par tous les renseignements relatifs aux litiges ou aux procès complètement réglés. Un litige ou un procès complètement réglé est un litige ou un procès qui a été résolu conformément au mécanisme de règlement des litiges du marché correspondant et pour lequel tous les recours à la disposition du Candidat ont été épuisés.</w:t>
      </w:r>
    </w:p>
  </w:footnote>
  <w:footnote w:id="7">
    <w:p w14:paraId="67676F80" w14:textId="3681FE0C" w:rsidR="00611A83" w:rsidRPr="00994494" w:rsidRDefault="00611A83" w:rsidP="00506A94">
      <w:pPr>
        <w:pStyle w:val="Notedebasdepage"/>
        <w:rPr>
          <w:rFonts w:asciiTheme="majorBidi" w:hAnsiTheme="majorBidi" w:cstheme="majorBidi"/>
          <w:iCs/>
        </w:rPr>
      </w:pPr>
      <w:r w:rsidRPr="00994494">
        <w:rPr>
          <w:rStyle w:val="Appelnotedebasdep"/>
          <w:rFonts w:asciiTheme="majorBidi" w:hAnsiTheme="majorBidi" w:cstheme="majorBidi"/>
          <w:iCs/>
        </w:rPr>
        <w:footnoteRef/>
      </w:r>
      <w:r w:rsidRPr="00994494">
        <w:rPr>
          <w:rFonts w:asciiTheme="majorBidi" w:hAnsiTheme="majorBidi" w:cstheme="majorBidi"/>
          <w:iCs/>
        </w:rPr>
        <w:t xml:space="preserve"> </w:t>
      </w:r>
      <w:r w:rsidRPr="00994494">
        <w:rPr>
          <w:rFonts w:asciiTheme="majorBidi" w:hAnsiTheme="majorBidi" w:cstheme="majorBidi"/>
          <w:iCs/>
        </w:rPr>
        <w:tab/>
        <w:t>Ce critère s’applique également aux marchés exécutés par le Soumissionnaire en tant que membre d’un Groupement.</w:t>
      </w:r>
    </w:p>
  </w:footnote>
  <w:footnote w:id="8">
    <w:p w14:paraId="062D6BC1" w14:textId="54D5D591" w:rsidR="00611A83" w:rsidRPr="00994494" w:rsidRDefault="00611A83" w:rsidP="00506A94">
      <w:pPr>
        <w:pStyle w:val="Notedebasdepage"/>
        <w:rPr>
          <w:rFonts w:asciiTheme="majorBidi" w:hAnsiTheme="majorBidi" w:cstheme="majorBidi"/>
          <w:iCs/>
        </w:rPr>
      </w:pPr>
      <w:proofErr w:type="gramStart"/>
      <w:r w:rsidRPr="00994494">
        <w:rPr>
          <w:rFonts w:asciiTheme="majorBidi" w:hAnsiTheme="majorBidi" w:cstheme="majorBidi"/>
          <w:iCs/>
        </w:rPr>
        <w:t>unique</w:t>
      </w:r>
      <w:proofErr w:type="gramEnd"/>
      <w:r w:rsidRPr="00994494">
        <w:rPr>
          <w:rFonts w:asciiTheme="majorBidi" w:hAnsiTheme="majorBidi" w:cstheme="majorBidi"/>
          <w:iCs/>
        </w:rPr>
        <w:t xml:space="preserve"> ou en tant que membre d’un groupement sont susceptibles de justifier la disqualification du Soumissionnaire. </w:t>
      </w:r>
    </w:p>
  </w:footnote>
  <w:footnote w:id="9">
    <w:p w14:paraId="7FE9E9BE" w14:textId="77777777" w:rsidR="00611A83" w:rsidRPr="00BC3208" w:rsidRDefault="00611A83" w:rsidP="00CD40CC">
      <w:pPr>
        <w:pStyle w:val="Notedebasdepage"/>
        <w:tabs>
          <w:tab w:val="left" w:pos="284"/>
        </w:tabs>
        <w:spacing w:before="40" w:after="40"/>
        <w:ind w:left="284" w:hanging="284"/>
      </w:pPr>
      <w:r w:rsidRPr="005C7E94">
        <w:rPr>
          <w:rStyle w:val="Appelnotedebasdep"/>
        </w:rPr>
        <w:footnoteRef/>
      </w:r>
      <w:r w:rsidRPr="005C7E94">
        <w:t xml:space="preserve"> </w:t>
      </w:r>
      <w:r w:rsidRPr="005C7E94">
        <w:tab/>
      </w:r>
      <w:r w:rsidRPr="00BC3208">
        <w:t>Le Maître d’Ouvrage pourra utiliser ces informations afin d’obtenir des renseignements supplémentaires ou des éclaircissements durant l’appel d’offres et le processus de vérification (due diligence) associé.</w:t>
      </w:r>
    </w:p>
  </w:footnote>
  <w:footnote w:id="10">
    <w:p w14:paraId="178B6DF5" w14:textId="25DC3D5B" w:rsidR="00611A83" w:rsidRPr="00783124" w:rsidRDefault="00611A83" w:rsidP="00EE7FD9">
      <w:pPr>
        <w:pStyle w:val="Notedebasdepage"/>
        <w:spacing w:after="0"/>
        <w:rPr>
          <w:rFonts w:asciiTheme="majorBidi" w:hAnsiTheme="majorBidi" w:cstheme="majorBidi"/>
          <w:iCs/>
          <w:sz w:val="18"/>
          <w:szCs w:val="18"/>
        </w:rPr>
      </w:pPr>
      <w:r w:rsidRPr="00783124">
        <w:rPr>
          <w:rStyle w:val="Appelnotedebasdep"/>
          <w:rFonts w:asciiTheme="majorBidi" w:hAnsiTheme="majorBidi" w:cstheme="majorBidi"/>
          <w:iCs/>
          <w:sz w:val="18"/>
          <w:szCs w:val="18"/>
        </w:rPr>
        <w:footnoteRef/>
      </w:r>
      <w:r w:rsidRPr="00783124">
        <w:rPr>
          <w:rFonts w:asciiTheme="majorBidi" w:hAnsiTheme="majorBidi" w:cstheme="majorBidi"/>
          <w:iCs/>
          <w:sz w:val="18"/>
          <w:szCs w:val="18"/>
        </w:rPr>
        <w:t xml:space="preserve"> </w:t>
      </w:r>
      <w:r w:rsidRPr="00783124">
        <w:rPr>
          <w:rFonts w:asciiTheme="majorBidi" w:hAnsiTheme="majorBidi" w:cstheme="majorBidi"/>
          <w:iCs/>
          <w:sz w:val="18"/>
          <w:szCs w:val="18"/>
        </w:rPr>
        <w:tab/>
        <w:t>Lorsque le Soumissionnaire a participé en tant que membre d’un groupement ou sous-traitant, au titre de ce critère, seule la part spécifique du Soumissionnaire et non celle du Groupement ou de l’entrepreneur principal devra être prise en considération.</w:t>
      </w:r>
    </w:p>
  </w:footnote>
  <w:footnote w:id="11">
    <w:p w14:paraId="55141F89" w14:textId="21CB225F" w:rsidR="00611A83" w:rsidRPr="00783124" w:rsidRDefault="00611A83" w:rsidP="00506A94">
      <w:pPr>
        <w:pStyle w:val="Notedebasdepage"/>
        <w:rPr>
          <w:rFonts w:asciiTheme="majorBidi" w:hAnsiTheme="majorBidi" w:cstheme="majorBidi"/>
          <w:iCs/>
          <w:sz w:val="18"/>
          <w:szCs w:val="18"/>
        </w:rPr>
      </w:pPr>
      <w:r w:rsidRPr="00783124">
        <w:rPr>
          <w:rStyle w:val="Appelnotedebasdep"/>
          <w:rFonts w:asciiTheme="majorBidi" w:hAnsiTheme="majorBidi" w:cstheme="majorBidi"/>
          <w:iCs/>
          <w:sz w:val="18"/>
          <w:szCs w:val="18"/>
        </w:rPr>
        <w:footnoteRef/>
      </w:r>
      <w:r w:rsidRPr="00783124">
        <w:rPr>
          <w:rFonts w:asciiTheme="majorBidi" w:hAnsiTheme="majorBidi" w:cstheme="majorBidi"/>
          <w:iCs/>
          <w:sz w:val="18"/>
          <w:szCs w:val="18"/>
        </w:rPr>
        <w:t xml:space="preserve"> </w:t>
      </w:r>
      <w:r w:rsidRPr="00783124">
        <w:rPr>
          <w:rFonts w:asciiTheme="majorBidi" w:hAnsiTheme="majorBidi" w:cstheme="majorBidi"/>
          <w:iCs/>
          <w:sz w:val="18"/>
          <w:szCs w:val="18"/>
        </w:rPr>
        <w:tab/>
        <w:t>Par achèvement pour l’essentiel, on entend un achèvement à 80% ou plus des travaux prévus au marché.</w:t>
      </w:r>
    </w:p>
  </w:footnote>
  <w:footnote w:id="12">
    <w:p w14:paraId="375A4180" w14:textId="63DC0797" w:rsidR="00611A83" w:rsidRPr="00994494" w:rsidRDefault="00611A83" w:rsidP="004C7C03">
      <w:pPr>
        <w:spacing w:after="0"/>
        <w:ind w:left="360" w:hanging="360"/>
        <w:rPr>
          <w:rFonts w:asciiTheme="majorBidi" w:hAnsiTheme="majorBidi" w:cstheme="majorBidi"/>
          <w:iCs/>
          <w:sz w:val="20"/>
        </w:rPr>
      </w:pPr>
      <w:r w:rsidRPr="00783124">
        <w:rPr>
          <w:rStyle w:val="Appelnotedebasdep"/>
          <w:rFonts w:asciiTheme="majorBidi" w:hAnsiTheme="majorBidi" w:cstheme="majorBidi"/>
          <w:iCs/>
          <w:sz w:val="18"/>
          <w:szCs w:val="18"/>
        </w:rPr>
        <w:footnoteRef/>
      </w:r>
      <w:r w:rsidRPr="00783124">
        <w:rPr>
          <w:rFonts w:asciiTheme="majorBidi" w:hAnsiTheme="majorBidi" w:cstheme="majorBidi"/>
          <w:iCs/>
          <w:sz w:val="18"/>
          <w:szCs w:val="18"/>
        </w:rPr>
        <w:t xml:space="preserve"> </w:t>
      </w:r>
      <w:r w:rsidRPr="00783124">
        <w:rPr>
          <w:rFonts w:asciiTheme="majorBidi" w:hAnsiTheme="majorBidi" w:cstheme="majorBidi"/>
          <w:iCs/>
          <w:sz w:val="18"/>
          <w:szCs w:val="18"/>
        </w:rPr>
        <w:tab/>
        <w:t>Dans le cas d’un groupement, les montants des marchés achevés par chaque membre ne peuvent être combinés pour déterminer si le montant minimum requis pour un seul marché au titre de ce critère est atteint. De la même manière que pour l’entité unique, Chaque marché exécuté par chaque membre présenté au titre de ce critère doit satisfaire au montant minimum par marché requis. Afin de déterminer si le groupement répond au critère de qualification, seul le nombre de marchés achevés par tous les membres, chaque marché étant équivalent au montant minimum requis peut être agrégé.</w:t>
      </w:r>
    </w:p>
  </w:footnote>
  <w:footnote w:id="13">
    <w:p w14:paraId="4E95C2F7" w14:textId="77118FF0" w:rsidR="00611A83" w:rsidRPr="00783124" w:rsidRDefault="00611A83" w:rsidP="00B66E58">
      <w:pPr>
        <w:pStyle w:val="Notedebasdepage"/>
        <w:spacing w:after="0"/>
        <w:rPr>
          <w:rFonts w:asciiTheme="majorBidi" w:hAnsiTheme="majorBidi" w:cstheme="majorBidi"/>
          <w:iCs/>
          <w:sz w:val="18"/>
          <w:szCs w:val="18"/>
        </w:rPr>
      </w:pPr>
      <w:r w:rsidRPr="00783124">
        <w:rPr>
          <w:rStyle w:val="Appelnotedebasdep"/>
          <w:rFonts w:asciiTheme="majorBidi" w:hAnsiTheme="majorBidi" w:cstheme="majorBidi"/>
          <w:iCs/>
          <w:sz w:val="18"/>
          <w:szCs w:val="18"/>
        </w:rPr>
        <w:footnoteRef/>
      </w:r>
      <w:r w:rsidRPr="00783124">
        <w:rPr>
          <w:rFonts w:asciiTheme="majorBidi" w:hAnsiTheme="majorBidi" w:cstheme="majorBidi"/>
          <w:iCs/>
          <w:sz w:val="18"/>
          <w:szCs w:val="18"/>
        </w:rPr>
        <w:t xml:space="preserve"> </w:t>
      </w:r>
      <w:r w:rsidRPr="00783124">
        <w:rPr>
          <w:rFonts w:asciiTheme="majorBidi" w:hAnsiTheme="majorBidi" w:cstheme="majorBidi"/>
          <w:iCs/>
          <w:sz w:val="18"/>
          <w:szCs w:val="18"/>
        </w:rPr>
        <w:tab/>
        <w:t>Le volume, nombre ou taux de production de toute activité clé peut être démontré à travers un ou plusieurs marchés combinés si exécutés de manière simultanée. Le taux de production sera le taux annuel pour l’activité (les activités) de construction principale(s).</w:t>
      </w:r>
    </w:p>
  </w:footnote>
  <w:footnote w:id="14">
    <w:p w14:paraId="18BCDE4C" w14:textId="05DA451E" w:rsidR="00611A83" w:rsidRPr="00994494" w:rsidRDefault="00611A83" w:rsidP="00B66E58">
      <w:pPr>
        <w:pStyle w:val="Notedebasdepage"/>
        <w:spacing w:after="0"/>
        <w:rPr>
          <w:rFonts w:asciiTheme="majorBidi" w:hAnsiTheme="majorBidi" w:cstheme="majorBidi"/>
          <w:iCs/>
        </w:rPr>
      </w:pPr>
      <w:r w:rsidRPr="00783124">
        <w:rPr>
          <w:rStyle w:val="Appelnotedebasdep"/>
          <w:rFonts w:asciiTheme="majorBidi" w:hAnsiTheme="majorBidi" w:cstheme="majorBidi"/>
          <w:iCs/>
          <w:sz w:val="18"/>
          <w:szCs w:val="18"/>
        </w:rPr>
        <w:footnoteRef/>
      </w:r>
      <w:r w:rsidRPr="00783124">
        <w:rPr>
          <w:rFonts w:asciiTheme="majorBidi" w:hAnsiTheme="majorBidi" w:cstheme="majorBidi"/>
          <w:iCs/>
          <w:sz w:val="18"/>
          <w:szCs w:val="18"/>
        </w:rPr>
        <w:t xml:space="preserve"> </w:t>
      </w:r>
      <w:r w:rsidRPr="00783124">
        <w:rPr>
          <w:rFonts w:asciiTheme="majorBidi" w:hAnsiTheme="majorBidi" w:cstheme="majorBidi"/>
          <w:iCs/>
          <w:sz w:val="18"/>
          <w:szCs w:val="18"/>
        </w:rPr>
        <w:tab/>
        <w:t>L’expérience spécifique d’un sous-traitant spécialisé peut être prise en considération.</w:t>
      </w:r>
    </w:p>
  </w:footnote>
  <w:footnote w:id="15">
    <w:p w14:paraId="1F00779E" w14:textId="3C9CE5D1" w:rsidR="00611A83" w:rsidRPr="00994494" w:rsidRDefault="00611A83">
      <w:pPr>
        <w:pStyle w:val="Notedebasdepage"/>
        <w:rPr>
          <w:i/>
          <w:iCs/>
        </w:rPr>
      </w:pPr>
      <w:r w:rsidRPr="00994494">
        <w:rPr>
          <w:rStyle w:val="Appelnotedebasdep"/>
        </w:rPr>
        <w:footnoteRef/>
      </w:r>
      <w:r w:rsidRPr="00994494">
        <w:t xml:space="preserve"> </w:t>
      </w:r>
      <w:r w:rsidRPr="00994494">
        <w:tab/>
      </w:r>
      <w:r w:rsidRPr="00994494">
        <w:rPr>
          <w:i/>
          <w:iCs/>
        </w:rPr>
        <w:t>A utiliser par le soumissionnaire comme approprié</w:t>
      </w:r>
    </w:p>
  </w:footnote>
  <w:footnote w:id="16">
    <w:p w14:paraId="563A40A1" w14:textId="77777777" w:rsidR="00611A83" w:rsidRPr="00994494" w:rsidRDefault="00611A83" w:rsidP="0036021B">
      <w:pPr>
        <w:pStyle w:val="Notedebasdepage"/>
        <w:tabs>
          <w:tab w:val="left" w:pos="360"/>
        </w:tabs>
      </w:pPr>
      <w:r w:rsidRPr="00994494">
        <w:rPr>
          <w:rStyle w:val="Appelnotedebasdep"/>
        </w:rPr>
        <w:footnoteRef/>
      </w:r>
      <w:r w:rsidRPr="00994494">
        <w:t xml:space="preserve"> </w:t>
      </w:r>
      <w:r w:rsidRPr="00994494">
        <w:tab/>
        <w:t>Des tableaux distincts seront nécessaires quand les différentes sections de Travaux auront un contenu en monnaies étrangères et nationale substantiellement différent en proportion.  Le Maître de l’Ouvrage insérera les intitulés de chaque section de Travaux</w:t>
      </w:r>
      <w:r w:rsidRPr="00994494">
        <w:rPr>
          <w:i/>
        </w:rPr>
        <w:t>.</w:t>
      </w:r>
    </w:p>
  </w:footnote>
  <w:footnote w:id="17">
    <w:p w14:paraId="13CE44BF" w14:textId="77777777" w:rsidR="00611A83" w:rsidRPr="00994494" w:rsidRDefault="00611A83" w:rsidP="0036021B">
      <w:pPr>
        <w:tabs>
          <w:tab w:val="left" w:pos="360"/>
        </w:tabs>
        <w:ind w:left="360" w:hanging="360"/>
        <w:rPr>
          <w:sz w:val="20"/>
        </w:rPr>
      </w:pPr>
      <w:r w:rsidRPr="00994494">
        <w:rPr>
          <w:rStyle w:val="Appelnotedebasdep"/>
          <w:sz w:val="20"/>
        </w:rPr>
        <w:footnoteRef/>
      </w:r>
      <w:r w:rsidRPr="00994494">
        <w:rPr>
          <w:sz w:val="20"/>
        </w:rPr>
        <w:t xml:space="preserve"> </w:t>
      </w:r>
      <w:r w:rsidRPr="00994494">
        <w:rPr>
          <w:sz w:val="20"/>
        </w:rPr>
        <w:tab/>
        <w:t xml:space="preserve">Montant à indiquer par le Maître de l’Ouvrage, le cas échéant, les sommes à valoir sont exclues du montant de l’offre évaluée (Clause 35.2 a) des IS). </w:t>
      </w:r>
    </w:p>
    <w:p w14:paraId="6B300835" w14:textId="77777777" w:rsidR="00611A83" w:rsidRPr="00994494" w:rsidRDefault="00611A83" w:rsidP="0036021B">
      <w:pPr>
        <w:tabs>
          <w:tab w:val="left" w:pos="360"/>
        </w:tabs>
        <w:ind w:left="360" w:hanging="360"/>
      </w:pPr>
    </w:p>
  </w:footnote>
  <w:footnote w:id="18">
    <w:p w14:paraId="18CA33DC" w14:textId="252C8BED" w:rsidR="00611A83" w:rsidRPr="00994494" w:rsidRDefault="00611A83" w:rsidP="00506A94">
      <w:pPr>
        <w:pStyle w:val="Notedebasdepage"/>
        <w:rPr>
          <w:rFonts w:asciiTheme="majorBidi" w:hAnsiTheme="majorBidi" w:cstheme="majorBidi"/>
          <w:iCs/>
        </w:rPr>
      </w:pPr>
      <w:r w:rsidRPr="00994494">
        <w:rPr>
          <w:rStyle w:val="Appelnotedebasdep"/>
          <w:rFonts w:asciiTheme="majorBidi" w:hAnsiTheme="majorBidi" w:cstheme="majorBidi"/>
          <w:iCs/>
        </w:rPr>
        <w:footnoteRef/>
      </w:r>
      <w:r w:rsidRPr="00994494">
        <w:rPr>
          <w:rFonts w:asciiTheme="majorBidi" w:hAnsiTheme="majorBidi" w:cstheme="majorBidi"/>
          <w:iCs/>
        </w:rPr>
        <w:t xml:space="preserve"> </w:t>
      </w:r>
      <w:r w:rsidRPr="00994494">
        <w:rPr>
          <w:rFonts w:asciiTheme="majorBidi" w:hAnsiTheme="majorBidi" w:cstheme="majorBidi"/>
          <w:iCs/>
        </w:rPr>
        <w:tab/>
        <w:t>Toute présentation d’états financiers récents portant sur une période antérieure à 12 mois à compter de la date de soumission doit être justifiée.</w:t>
      </w:r>
    </w:p>
  </w:footnote>
  <w:footnote w:id="19">
    <w:p w14:paraId="397A9892" w14:textId="373EFF1D" w:rsidR="00611A83" w:rsidRPr="00994494" w:rsidRDefault="00611A83" w:rsidP="00E93C85">
      <w:pPr>
        <w:pStyle w:val="Notedebasdepage"/>
        <w:spacing w:after="0"/>
        <w:rPr>
          <w:rFonts w:asciiTheme="majorBidi" w:hAnsiTheme="majorBidi" w:cstheme="majorBidi"/>
          <w:iCs/>
        </w:rPr>
      </w:pPr>
      <w:r w:rsidRPr="00994494">
        <w:rPr>
          <w:rStyle w:val="Appelnotedebasdep"/>
          <w:rFonts w:asciiTheme="majorBidi" w:hAnsiTheme="majorBidi" w:cstheme="majorBidi"/>
          <w:iCs/>
        </w:rPr>
        <w:footnoteRef/>
      </w:r>
      <w:r w:rsidRPr="00994494">
        <w:rPr>
          <w:rFonts w:asciiTheme="majorBidi" w:hAnsiTheme="majorBidi" w:cstheme="majorBidi"/>
          <w:iCs/>
        </w:rPr>
        <w:t xml:space="preserve"> </w:t>
      </w:r>
      <w:r w:rsidRPr="00994494">
        <w:rPr>
          <w:rFonts w:asciiTheme="majorBidi" w:hAnsiTheme="majorBidi" w:cstheme="majorBidi"/>
          <w:iCs/>
        </w:rPr>
        <w:tab/>
        <w:t>Dans ce contexte, toute action d’un soumissionnaire, fournisseur, entrepreneur ou de son personnel, ses agents ou sous-traitants, fournisseurs de biens ou services et/ou leurs employés destinée à influer sur l’attribution ou l’exécution d’un marché en vue d’obtenir un avantage illicite est par nature inapproprié.</w:t>
      </w:r>
    </w:p>
  </w:footnote>
  <w:footnote w:id="20">
    <w:p w14:paraId="75C24094" w14:textId="04833842" w:rsidR="00611A83" w:rsidRPr="00994494" w:rsidRDefault="00611A83" w:rsidP="00E93C85">
      <w:pPr>
        <w:pStyle w:val="Notedebasdepage"/>
        <w:spacing w:after="0"/>
        <w:rPr>
          <w:szCs w:val="18"/>
        </w:rPr>
      </w:pPr>
      <w:r w:rsidRPr="00994494">
        <w:rPr>
          <w:rStyle w:val="Appelnotedebasdep"/>
          <w:szCs w:val="18"/>
        </w:rPr>
        <w:footnoteRef/>
      </w:r>
      <w:r w:rsidRPr="00994494">
        <w:rPr>
          <w:szCs w:val="18"/>
        </w:rPr>
        <w:t xml:space="preserve"> </w:t>
      </w:r>
      <w:r w:rsidRPr="00994494">
        <w:rPr>
          <w:szCs w:val="18"/>
        </w:rPr>
        <w:tab/>
        <w:t>Aux fins de ce sous-paragraphe, “une autre partie” se réfère à un agent public agissant dans le cadre du processus de passation de marchés ou d’exécution de marchés. Dans ce contexte, “l’agent public” inclut le personnel de la Banque mondiale et les employés des autres organisations prenant ou passant en revue les décisions de la passation des marchés.</w:t>
      </w:r>
    </w:p>
  </w:footnote>
  <w:footnote w:id="21">
    <w:p w14:paraId="6C9F25F8" w14:textId="5CB5B3C3" w:rsidR="00611A83" w:rsidRPr="00994494" w:rsidRDefault="00611A83" w:rsidP="00E93C85">
      <w:pPr>
        <w:pStyle w:val="Notedebasdepage"/>
        <w:rPr>
          <w:szCs w:val="18"/>
        </w:rPr>
      </w:pPr>
      <w:r w:rsidRPr="00994494">
        <w:rPr>
          <w:rStyle w:val="Appelnotedebasdep"/>
          <w:szCs w:val="18"/>
        </w:rPr>
        <w:footnoteRef/>
      </w:r>
      <w:r w:rsidRPr="00994494">
        <w:rPr>
          <w:szCs w:val="18"/>
        </w:rPr>
        <w:t xml:space="preserve"> </w:t>
      </w:r>
      <w:r w:rsidRPr="00994494">
        <w:rPr>
          <w:szCs w:val="18"/>
        </w:rPr>
        <w:tab/>
        <w:t>Aux fins de ce sous-paragraphe, “partie” se réfère à un agent public; les termes “bénéfices” et “obligation” sont liés au processus de passation de marchés ou d’exécution de marchés ; et les « actes ou omissions » ont pour intention d’influencer le processus de passation de marchés ou l’exécution de marché.</w:t>
      </w:r>
    </w:p>
  </w:footnote>
  <w:footnote w:id="22">
    <w:p w14:paraId="51DCDD6E" w14:textId="1BED38EB" w:rsidR="00611A83" w:rsidRPr="00994494" w:rsidRDefault="00611A83" w:rsidP="00D93B60">
      <w:pPr>
        <w:pStyle w:val="Notedebasdepage"/>
        <w:spacing w:after="0"/>
      </w:pPr>
      <w:r w:rsidRPr="00994494">
        <w:rPr>
          <w:rStyle w:val="Appelnotedebasdep"/>
        </w:rPr>
        <w:footnoteRef/>
      </w:r>
      <w:r w:rsidRPr="00994494">
        <w:t xml:space="preserve"> </w:t>
      </w:r>
      <w:r w:rsidRPr="00994494">
        <w:tab/>
        <w:t xml:space="preserve">Aux fins de ce sous-paragraphe, “parties” se réfère aux acteurs du processus de passation de marchés (y compris les agents publics) essayant soit eux-mêmes, ou à travers d’autres personnes ou entités ne participant pas au processus de passation de marchés ou de sélection, de simuler une compétition ou d’établir des prix artificiels, non compétitifs, ou sont liés les uns les autres à des offres ou des conditions. </w:t>
      </w:r>
    </w:p>
  </w:footnote>
  <w:footnote w:id="23">
    <w:p w14:paraId="10F541EA" w14:textId="49D806A1" w:rsidR="00611A83" w:rsidRPr="00994494" w:rsidRDefault="00611A83" w:rsidP="00D93B60">
      <w:pPr>
        <w:pStyle w:val="Notedebasdepage"/>
        <w:spacing w:after="0"/>
      </w:pPr>
      <w:r w:rsidRPr="00994494">
        <w:rPr>
          <w:rStyle w:val="Appelnotedebasdep"/>
        </w:rPr>
        <w:footnoteRef/>
      </w:r>
      <w:r w:rsidRPr="00994494">
        <w:t xml:space="preserve"> </w:t>
      </w:r>
      <w:r w:rsidRPr="00994494">
        <w:tab/>
        <w:t xml:space="preserve">Aux fins de ce sous-paragraphe, “parties” se réfère à un participant au processus de passation de marchés ou exécution de marchés. </w:t>
      </w:r>
    </w:p>
  </w:footnote>
  <w:footnote w:id="24">
    <w:p w14:paraId="3CD4A52F" w14:textId="4878D127" w:rsidR="00611A83" w:rsidRPr="00994494" w:rsidRDefault="00611A83" w:rsidP="001F44BA">
      <w:pPr>
        <w:pStyle w:val="Notedebasdepage"/>
        <w:spacing w:after="0"/>
      </w:pPr>
      <w:r w:rsidRPr="00994494">
        <w:rPr>
          <w:rStyle w:val="Appelnotedebasdep"/>
        </w:rPr>
        <w:footnoteRef/>
      </w:r>
      <w:r w:rsidRPr="00994494">
        <w:t xml:space="preserve"> </w:t>
      </w:r>
      <w:r w:rsidRPr="00994494">
        <w:tab/>
        <w:t xml:space="preserve">Une firme ou individu peut être déclaré inéligible à un marché financé par la Banque mondiale, suite à : (i) une prise de sanction de la Banque mondiale suivant ses procédures, y compris, entre autres, l’exclusion selon les accords avec d’autres Institutions Financières Internationales, y compris les Banques Multilatérales de Développement, en application des procédures de sanctions du Groupe de la Banque mondiale pour la fraude et la corruption; et (ii) au résultat d’une suspension temporaire en relation avec un examen en cours pour sanctions.  Voire le renvoi en bas de page 14 et paragraphe 8 de l’Annexe 1 de ces Règlements.  </w:t>
      </w:r>
    </w:p>
  </w:footnote>
  <w:footnote w:id="25">
    <w:p w14:paraId="27327252" w14:textId="3E2CD091" w:rsidR="00611A83" w:rsidRDefault="00611A83" w:rsidP="00506A94">
      <w:pPr>
        <w:pStyle w:val="Notedebasdepage"/>
        <w:rPr>
          <w:rFonts w:asciiTheme="majorBidi" w:hAnsiTheme="majorBidi" w:cstheme="majorBidi"/>
          <w:iCs/>
        </w:rPr>
      </w:pPr>
      <w:r w:rsidRPr="00994494">
        <w:rPr>
          <w:rStyle w:val="Appelnotedebasdep"/>
          <w:rFonts w:asciiTheme="majorBidi" w:hAnsiTheme="majorBidi" w:cstheme="majorBidi"/>
          <w:iCs/>
        </w:rPr>
        <w:footnoteRef/>
      </w:r>
      <w:r w:rsidRPr="00994494">
        <w:rPr>
          <w:rFonts w:asciiTheme="majorBidi" w:hAnsiTheme="majorBidi" w:cstheme="majorBidi"/>
          <w:iCs/>
        </w:rPr>
        <w:t xml:space="preserve"> </w:t>
      </w:r>
      <w:r w:rsidRPr="00994494">
        <w:rPr>
          <w:rFonts w:asciiTheme="majorBidi" w:hAnsiTheme="majorBidi" w:cstheme="majorBidi"/>
          <w:iCs/>
        </w:rPr>
        <w:tab/>
        <w:t>Un sous-traitant, consultant, fabricant ou fournisseur de biens ou services (différents intitulés sont utilisés en fonction de la formulation du dossier d’appel d’offres) désigné est une entreprise ou un individu qui (i) fait partie de la demande de pré qualification ou de l’offre du soumissionnaire compte tenu de l’expérience spécifique et essentielle et du savoir-faire qu’il apporte afin de satisfaire aux conditions de qualification pour une offre déterminée ; ou (ii) a été désigné par l’Emprunteur.</w:t>
      </w:r>
    </w:p>
    <w:p w14:paraId="584A1933" w14:textId="7291A1EC" w:rsidR="00611A83" w:rsidRDefault="00611A83" w:rsidP="00506A94">
      <w:pPr>
        <w:pStyle w:val="Notedebasdepage"/>
        <w:rPr>
          <w:rFonts w:asciiTheme="majorBidi" w:hAnsiTheme="majorBidi" w:cstheme="majorBidi"/>
          <w:iCs/>
        </w:rPr>
      </w:pPr>
    </w:p>
    <w:p w14:paraId="57FDCDC0" w14:textId="2E5091AF" w:rsidR="00611A83" w:rsidRDefault="00611A83" w:rsidP="00506A94">
      <w:pPr>
        <w:pStyle w:val="Notedebasdepage"/>
        <w:rPr>
          <w:rFonts w:asciiTheme="majorBidi" w:hAnsiTheme="majorBidi" w:cstheme="majorBidi"/>
          <w:iCs/>
        </w:rPr>
      </w:pPr>
    </w:p>
    <w:p w14:paraId="3AE1ADB1" w14:textId="7F9D3735" w:rsidR="00611A83" w:rsidRDefault="00611A83" w:rsidP="00506A94">
      <w:pPr>
        <w:pStyle w:val="Notedebasdepage"/>
        <w:rPr>
          <w:rFonts w:asciiTheme="majorBidi" w:hAnsiTheme="majorBidi" w:cstheme="majorBidi"/>
          <w:iCs/>
        </w:rPr>
      </w:pPr>
    </w:p>
    <w:p w14:paraId="4D5BEEDA" w14:textId="4DFAE8E8" w:rsidR="00611A83" w:rsidRDefault="00611A83" w:rsidP="00506A94">
      <w:pPr>
        <w:pStyle w:val="Notedebasdepage"/>
        <w:rPr>
          <w:rFonts w:asciiTheme="majorBidi" w:hAnsiTheme="majorBidi" w:cstheme="majorBidi"/>
          <w:iCs/>
        </w:rPr>
      </w:pPr>
    </w:p>
    <w:p w14:paraId="2DC5F735" w14:textId="1A3F0E2C" w:rsidR="00611A83" w:rsidRDefault="00611A83" w:rsidP="00506A94">
      <w:pPr>
        <w:pStyle w:val="Notedebasdepage"/>
        <w:rPr>
          <w:rFonts w:asciiTheme="majorBidi" w:hAnsiTheme="majorBidi" w:cstheme="majorBidi"/>
          <w:iCs/>
        </w:rPr>
      </w:pPr>
    </w:p>
    <w:p w14:paraId="000F7BB0" w14:textId="2C8B759D" w:rsidR="00611A83" w:rsidRDefault="00611A83" w:rsidP="00506A94">
      <w:pPr>
        <w:pStyle w:val="Notedebasdepage"/>
        <w:rPr>
          <w:rFonts w:asciiTheme="majorBidi" w:hAnsiTheme="majorBidi" w:cstheme="majorBidi"/>
          <w:iCs/>
        </w:rPr>
      </w:pPr>
    </w:p>
    <w:p w14:paraId="7D2BC94B" w14:textId="61A4DDD7" w:rsidR="00611A83" w:rsidRDefault="00611A83" w:rsidP="00506A94">
      <w:pPr>
        <w:pStyle w:val="Notedebasdepage"/>
        <w:rPr>
          <w:rFonts w:asciiTheme="majorBidi" w:hAnsiTheme="majorBidi" w:cstheme="majorBidi"/>
          <w:iCs/>
        </w:rPr>
      </w:pPr>
    </w:p>
    <w:p w14:paraId="0CDF76AC" w14:textId="5B8E637E" w:rsidR="00611A83" w:rsidRDefault="00611A83" w:rsidP="00506A94">
      <w:pPr>
        <w:pStyle w:val="Notedebasdepage"/>
        <w:rPr>
          <w:rFonts w:asciiTheme="majorBidi" w:hAnsiTheme="majorBidi" w:cstheme="majorBidi"/>
          <w:iCs/>
        </w:rPr>
      </w:pPr>
    </w:p>
    <w:p w14:paraId="008BC0C7" w14:textId="603D1CF9" w:rsidR="00611A83" w:rsidRDefault="00611A83" w:rsidP="00506A94">
      <w:pPr>
        <w:pStyle w:val="Notedebasdepage"/>
        <w:rPr>
          <w:rFonts w:asciiTheme="majorBidi" w:hAnsiTheme="majorBidi" w:cstheme="majorBidi"/>
          <w:iCs/>
        </w:rPr>
      </w:pPr>
    </w:p>
    <w:p w14:paraId="238D5F4A" w14:textId="69C01FB5" w:rsidR="00611A83" w:rsidRDefault="00611A83" w:rsidP="00506A94">
      <w:pPr>
        <w:pStyle w:val="Notedebasdepage"/>
        <w:rPr>
          <w:rFonts w:asciiTheme="majorBidi" w:hAnsiTheme="majorBidi" w:cstheme="majorBidi"/>
          <w:iCs/>
        </w:rPr>
      </w:pPr>
    </w:p>
    <w:p w14:paraId="0A8D44C4" w14:textId="53F7AB52" w:rsidR="00611A83" w:rsidRDefault="00611A83" w:rsidP="00506A94">
      <w:pPr>
        <w:pStyle w:val="Notedebasdepage"/>
        <w:rPr>
          <w:rFonts w:asciiTheme="majorBidi" w:hAnsiTheme="majorBidi" w:cstheme="majorBidi"/>
          <w:iCs/>
        </w:rPr>
      </w:pPr>
    </w:p>
    <w:p w14:paraId="5F745D4D" w14:textId="4C0C386D" w:rsidR="00611A83" w:rsidRDefault="00611A83" w:rsidP="00506A94">
      <w:pPr>
        <w:pStyle w:val="Notedebasdepage"/>
        <w:rPr>
          <w:rFonts w:asciiTheme="majorBidi" w:hAnsiTheme="majorBidi" w:cstheme="majorBidi"/>
          <w:iCs/>
        </w:rPr>
      </w:pPr>
    </w:p>
    <w:p w14:paraId="0BDD8844" w14:textId="77777777" w:rsidR="00611A83" w:rsidRPr="00994494" w:rsidRDefault="00611A83" w:rsidP="00506A94">
      <w:pPr>
        <w:pStyle w:val="Notedebasdepage"/>
        <w:rPr>
          <w:rFonts w:asciiTheme="majorBidi" w:hAnsiTheme="majorBidi" w:cstheme="majorBidi"/>
          <w:iCs/>
        </w:rPr>
      </w:pPr>
    </w:p>
  </w:footnote>
  <w:footnote w:id="26">
    <w:p w14:paraId="07730A4B" w14:textId="77777777" w:rsidR="00611A83" w:rsidRPr="00A72D09" w:rsidRDefault="00611A83" w:rsidP="00836964">
      <w:pPr>
        <w:autoSpaceDE w:val="0"/>
        <w:autoSpaceDN w:val="0"/>
        <w:adjustRightInd w:val="0"/>
        <w:rPr>
          <w:rFonts w:eastAsiaTheme="minorHAnsi" w:cs="Arial"/>
          <w:sz w:val="18"/>
          <w:szCs w:val="18"/>
          <w:lang w:eastAsia="en-US"/>
        </w:rPr>
      </w:pPr>
      <w:r w:rsidRPr="00A72D09">
        <w:rPr>
          <w:rFonts w:cs="Arial"/>
          <w:sz w:val="18"/>
          <w:szCs w:val="18"/>
          <w:vertAlign w:val="superscript"/>
        </w:rPr>
        <w:t>3</w:t>
      </w:r>
      <w:r w:rsidRPr="00A72D09">
        <w:rPr>
          <w:rFonts w:cs="Arial"/>
          <w:sz w:val="18"/>
          <w:szCs w:val="18"/>
        </w:rPr>
        <w:t xml:space="preserve"> </w:t>
      </w:r>
      <w:r w:rsidRPr="00A72D09">
        <w:rPr>
          <w:rFonts w:eastAsiaTheme="minorHAnsi" w:cs="Arial"/>
          <w:sz w:val="18"/>
          <w:szCs w:val="18"/>
          <w:lang w:eastAsia="en-US"/>
        </w:rPr>
        <w:t>« Menaces auxquelles sont exposés les êtres humains et ce qui est précieux à</w:t>
      </w:r>
      <w:r>
        <w:rPr>
          <w:rFonts w:eastAsiaTheme="minorHAnsi" w:cs="Arial"/>
          <w:sz w:val="18"/>
          <w:szCs w:val="18"/>
          <w:lang w:eastAsia="en-US"/>
        </w:rPr>
        <w:t xml:space="preserve"> </w:t>
      </w:r>
      <w:r w:rsidRPr="00A72D09">
        <w:rPr>
          <w:rFonts w:eastAsiaTheme="minorHAnsi" w:cs="Arial"/>
          <w:sz w:val="18"/>
          <w:szCs w:val="18"/>
          <w:lang w:eastAsia="en-US"/>
        </w:rPr>
        <w:t>leurs yeux » (</w:t>
      </w:r>
      <w:proofErr w:type="spellStart"/>
      <w:r w:rsidRPr="00A72D09">
        <w:rPr>
          <w:rFonts w:eastAsiaTheme="minorHAnsi" w:cs="Arial"/>
          <w:sz w:val="18"/>
          <w:szCs w:val="18"/>
          <w:lang w:eastAsia="en-US"/>
        </w:rPr>
        <w:t>Kates</w:t>
      </w:r>
      <w:proofErr w:type="spellEnd"/>
      <w:r w:rsidRPr="00A72D09">
        <w:rPr>
          <w:rFonts w:eastAsiaTheme="minorHAnsi" w:cs="Arial"/>
          <w:sz w:val="18"/>
          <w:szCs w:val="18"/>
          <w:lang w:eastAsia="en-US"/>
        </w:rPr>
        <w:t xml:space="preserve"> </w:t>
      </w:r>
      <w:r w:rsidRPr="00A72D09">
        <w:rPr>
          <w:rFonts w:eastAsiaTheme="minorHAnsi" w:cs="Arial"/>
          <w:i/>
          <w:iCs/>
          <w:sz w:val="18"/>
          <w:szCs w:val="18"/>
          <w:lang w:eastAsia="en-US"/>
        </w:rPr>
        <w:t xml:space="preserve">et </w:t>
      </w:r>
      <w:proofErr w:type="gramStart"/>
      <w:r w:rsidRPr="00A72D09">
        <w:rPr>
          <w:rFonts w:eastAsiaTheme="minorHAnsi" w:cs="Arial"/>
          <w:i/>
          <w:iCs/>
          <w:sz w:val="18"/>
          <w:szCs w:val="18"/>
          <w:lang w:eastAsia="en-US"/>
        </w:rPr>
        <w:t>al</w:t>
      </w:r>
      <w:r w:rsidRPr="00A72D09">
        <w:rPr>
          <w:rFonts w:eastAsiaTheme="minorHAnsi" w:cs="Arial"/>
          <w:sz w:val="18"/>
          <w:szCs w:val="18"/>
          <w:lang w:eastAsia="en-US"/>
        </w:rPr>
        <w:t>.,</w:t>
      </w:r>
      <w:proofErr w:type="gramEnd"/>
      <w:r w:rsidRPr="00A72D09">
        <w:rPr>
          <w:rFonts w:eastAsiaTheme="minorHAnsi" w:cs="Arial"/>
          <w:sz w:val="18"/>
          <w:szCs w:val="18"/>
          <w:lang w:eastAsia="en-US"/>
        </w:rPr>
        <w:t xml:space="preserve"> 1985).</w:t>
      </w:r>
    </w:p>
    <w:p w14:paraId="635E920C" w14:textId="77777777" w:rsidR="00611A83" w:rsidRDefault="00611A83" w:rsidP="00836964">
      <w:pPr>
        <w:pStyle w:val="Notedebasdepage"/>
      </w:pPr>
      <w:r w:rsidRPr="00A72D09">
        <w:rPr>
          <w:rFonts w:cs="Arial"/>
          <w:sz w:val="18"/>
          <w:szCs w:val="18"/>
          <w:vertAlign w:val="superscript"/>
        </w:rPr>
        <w:t>4</w:t>
      </w:r>
      <w:r w:rsidRPr="00A72D09">
        <w:rPr>
          <w:rFonts w:eastAsiaTheme="minorHAnsi" w:cs="Arial"/>
          <w:sz w:val="18"/>
          <w:szCs w:val="18"/>
          <w:lang w:eastAsia="en-US"/>
        </w:rPr>
        <w:t xml:space="preserve"> « Mesures quantitatives des conséquences des </w:t>
      </w:r>
      <w:r>
        <w:rPr>
          <w:rFonts w:eastAsiaTheme="minorHAnsi" w:cs="Arial"/>
          <w:sz w:val="18"/>
          <w:szCs w:val="18"/>
          <w:lang w:eastAsia="en-US"/>
        </w:rPr>
        <w:t xml:space="preserve">dangers, exprimées en termes de </w:t>
      </w:r>
      <w:r w:rsidRPr="00A72D09">
        <w:rPr>
          <w:rFonts w:eastAsiaTheme="minorHAnsi" w:cs="Arial"/>
          <w:sz w:val="18"/>
          <w:szCs w:val="18"/>
          <w:lang w:eastAsia="en-US"/>
        </w:rPr>
        <w:t>probabilités conditionnelles de subir un dommage » (</w:t>
      </w:r>
      <w:proofErr w:type="spellStart"/>
      <w:r w:rsidRPr="00A72D09">
        <w:rPr>
          <w:rFonts w:eastAsiaTheme="minorHAnsi" w:cs="Arial"/>
          <w:sz w:val="18"/>
          <w:szCs w:val="18"/>
          <w:lang w:eastAsia="en-US"/>
        </w:rPr>
        <w:t>Kates</w:t>
      </w:r>
      <w:proofErr w:type="spellEnd"/>
      <w:r w:rsidRPr="00A72D09">
        <w:rPr>
          <w:rFonts w:eastAsiaTheme="minorHAnsi" w:cs="Arial"/>
          <w:sz w:val="18"/>
          <w:szCs w:val="18"/>
          <w:lang w:eastAsia="en-US"/>
        </w:rPr>
        <w:t xml:space="preserve"> </w:t>
      </w:r>
      <w:r w:rsidRPr="00A72D09">
        <w:rPr>
          <w:rFonts w:eastAsiaTheme="minorHAnsi" w:cs="Arial"/>
          <w:i/>
          <w:iCs/>
          <w:sz w:val="18"/>
          <w:szCs w:val="18"/>
          <w:lang w:eastAsia="en-US"/>
        </w:rPr>
        <w:t xml:space="preserve">et </w:t>
      </w:r>
      <w:proofErr w:type="gramStart"/>
      <w:r w:rsidRPr="00A72D09">
        <w:rPr>
          <w:rFonts w:eastAsiaTheme="minorHAnsi" w:cs="Arial"/>
          <w:i/>
          <w:iCs/>
          <w:sz w:val="18"/>
          <w:szCs w:val="18"/>
          <w:lang w:eastAsia="en-US"/>
        </w:rPr>
        <w:t>a</w:t>
      </w:r>
      <w:r w:rsidRPr="00A72D09">
        <w:rPr>
          <w:rFonts w:eastAsiaTheme="minorHAnsi" w:cs="Arial"/>
          <w:sz w:val="18"/>
          <w:szCs w:val="18"/>
          <w:lang w:eastAsia="en-US"/>
        </w:rPr>
        <w:t>l.,</w:t>
      </w:r>
      <w:proofErr w:type="gramEnd"/>
      <w:r w:rsidRPr="00A72D09">
        <w:rPr>
          <w:rFonts w:eastAsiaTheme="minorHAnsi" w:cs="Arial"/>
          <w:sz w:val="18"/>
          <w:szCs w:val="18"/>
          <w:lang w:eastAsia="en-US"/>
        </w:rPr>
        <w:t xml:space="preserve"> 1985)</w:t>
      </w:r>
    </w:p>
  </w:footnote>
  <w:footnote w:id="27">
    <w:p w14:paraId="3E15B60B" w14:textId="77777777" w:rsidR="00611A83" w:rsidRDefault="00611A83" w:rsidP="00836964">
      <w:pPr>
        <w:pStyle w:val="Notedebasdepage"/>
      </w:pPr>
      <w:r>
        <w:rPr>
          <w:rStyle w:val="Appelnotedebasdep"/>
        </w:rPr>
        <w:footnoteRef/>
      </w:r>
      <w:r>
        <w:t xml:space="preserve"> Au sein de la Direction Régionale de la Culture, il existe une division chargée du patrimoine culturel.</w:t>
      </w:r>
    </w:p>
  </w:footnote>
  <w:footnote w:id="28">
    <w:p w14:paraId="08B0ADE1" w14:textId="77777777" w:rsidR="00611A83" w:rsidRDefault="00611A83" w:rsidP="00BC7757">
      <w:pPr>
        <w:pStyle w:val="Notedebasdepage"/>
      </w:pPr>
      <w:r w:rsidRPr="00DD6F80">
        <w:rPr>
          <w:rStyle w:val="Appelnotedebasdep"/>
        </w:rPr>
        <w:footnoteRef/>
      </w:r>
      <w:r w:rsidRPr="00DD6F80">
        <w:t xml:space="preserve"> Dans ce contexte, toute action d’un soumissionnaire,  fournisseur,  entrepreneur ou de son personnel, ses agents ou sous-traitants, fournisseurs de biens ou services et/ou leurs employés destinée à influer sur l’attribution ou l’exécution d’un marché en vue d’obtenir un avantage illicite est par nature </w:t>
      </w:r>
      <w:proofErr w:type="gramStart"/>
      <w:r w:rsidRPr="00DD6F80">
        <w:t>inappropriée</w:t>
      </w:r>
      <w:proofErr w:type="gramEnd"/>
      <w:r w:rsidRPr="00DD6F80">
        <w:t>.</w:t>
      </w:r>
    </w:p>
  </w:footnote>
  <w:footnote w:id="29">
    <w:p w14:paraId="7D0B3719" w14:textId="77777777" w:rsidR="00611A83" w:rsidRDefault="00611A83" w:rsidP="00BC7757">
      <w:pPr>
        <w:pStyle w:val="Notedebasdepage"/>
      </w:pPr>
      <w:r w:rsidRPr="00DD6F80">
        <w:rPr>
          <w:rStyle w:val="Appelnotedebasdep"/>
        </w:rPr>
        <w:footnoteRef/>
      </w:r>
      <w:r w:rsidRPr="00DD6F80">
        <w:t xml:space="preserve"> Une entreprise ou un individu pourra être déclaré exclu de l’attribution d’un marché financé par la Banque à l’issue des procédures de sanctions de la Banque telles que définies, y compris, entre-autres : (i) la suspension temporaire ou la suspension temporaire préalable correspondant au processus de sanctions en cours d’examen; (ii) l’exclusion conjointe telle que convenue avec les autres institutions financières internationales, y compris les banques multilatérales de développement ; et (iii) les procédures de sanctions administratives dans le cadre de la passation des marchés exécutés par le Groupe de la Banque mondiale en cas de fraude et corruption.</w:t>
      </w:r>
    </w:p>
  </w:footnote>
  <w:footnote w:id="30">
    <w:p w14:paraId="324DBA49" w14:textId="77777777" w:rsidR="00611A83" w:rsidRDefault="00611A83" w:rsidP="00BC7757">
      <w:pPr>
        <w:pStyle w:val="Notedebasdepage"/>
      </w:pPr>
      <w:r w:rsidRPr="00DD6F80">
        <w:rPr>
          <w:rStyle w:val="Appelnotedebasdep"/>
        </w:rPr>
        <w:footnoteRef/>
      </w:r>
      <w:r w:rsidRPr="00DD6F80">
        <w:t xml:space="preserve"> Un sous-traitant, consultant, fabricant ou fournisseur de biens ou services (différents intitulés sont utilisés en fonction de la formulation du dossier d’appel d’offres) désigné est une entreprise ou un individu qui (i) fait partie de la demande de pré qualification ou de l’offre du soumissionnaire compte tenu de </w:t>
      </w:r>
      <w:r>
        <w:t>l’</w:t>
      </w:r>
      <w:r w:rsidRPr="00DD6F80">
        <w:t>expérience</w:t>
      </w:r>
      <w:r>
        <w:t xml:space="preserve"> spécifique et essentielle </w:t>
      </w:r>
      <w:r w:rsidRPr="00DD6F80">
        <w:t xml:space="preserve">et </w:t>
      </w:r>
      <w:r>
        <w:t xml:space="preserve">du </w:t>
      </w:r>
      <w:r w:rsidRPr="00DD6F80">
        <w:t xml:space="preserve">savoir-faire </w:t>
      </w:r>
      <w:r>
        <w:t>qu’il apporte afin de</w:t>
      </w:r>
      <w:r w:rsidRPr="00DD6F80">
        <w:t xml:space="preserve"> satisfaire </w:t>
      </w:r>
      <w:r>
        <w:t xml:space="preserve">aux </w:t>
      </w:r>
      <w:r w:rsidRPr="00DD6F80">
        <w:t>conditions de qualification pour une offre déterminée ; ou (ii) a été désigné par l’Emprunteur.</w:t>
      </w:r>
    </w:p>
  </w:footnote>
  <w:footnote w:id="31">
    <w:p w14:paraId="487CC299" w14:textId="65471729" w:rsidR="00611A83" w:rsidRPr="00994494" w:rsidRDefault="00611A83" w:rsidP="00CF0B70">
      <w:pPr>
        <w:pStyle w:val="Notedebasdepage"/>
        <w:spacing w:after="0"/>
        <w:rPr>
          <w:rFonts w:asciiTheme="majorBidi" w:hAnsiTheme="majorBidi" w:cstheme="majorBidi"/>
          <w:iCs/>
        </w:rPr>
      </w:pPr>
      <w:r w:rsidRPr="00994494">
        <w:rPr>
          <w:rStyle w:val="Appelnotedebasdep"/>
          <w:rFonts w:asciiTheme="majorBidi" w:hAnsiTheme="majorBidi" w:cstheme="majorBidi"/>
          <w:iCs/>
        </w:rPr>
        <w:footnoteRef/>
      </w:r>
      <w:r w:rsidRPr="00994494">
        <w:rPr>
          <w:rFonts w:asciiTheme="majorBidi" w:hAnsiTheme="majorBidi" w:cstheme="majorBidi"/>
          <w:iCs/>
        </w:rPr>
        <w:t xml:space="preserve"> </w:t>
      </w:r>
      <w:r w:rsidRPr="00994494">
        <w:rPr>
          <w:rFonts w:asciiTheme="majorBidi" w:hAnsiTheme="majorBidi" w:cstheme="majorBidi"/>
          <w:iCs/>
        </w:rPr>
        <w:tab/>
        <w:t>Pour un marché à prix forfaitaire supprimer « Le Bordereau des prix et le Détail quantitatif et estimatif » et remplacer par « Le Programme d’Activités chiffré ».</w:t>
      </w:r>
    </w:p>
  </w:footnote>
  <w:footnote w:id="32">
    <w:p w14:paraId="32270466" w14:textId="3DA3FB3A" w:rsidR="00611A83" w:rsidRPr="00994494" w:rsidRDefault="00611A83" w:rsidP="00464717">
      <w:pPr>
        <w:pStyle w:val="Notedebasdepage"/>
        <w:spacing w:after="0"/>
        <w:rPr>
          <w:rFonts w:asciiTheme="majorBidi" w:hAnsiTheme="majorBidi" w:cstheme="majorBidi"/>
          <w:i/>
        </w:rPr>
      </w:pPr>
      <w:r w:rsidRPr="00994494">
        <w:rPr>
          <w:rStyle w:val="Appelnotedebasdep"/>
          <w:rFonts w:asciiTheme="majorBidi" w:hAnsiTheme="majorBidi" w:cstheme="majorBidi"/>
          <w:iCs/>
        </w:rPr>
        <w:footnoteRef/>
      </w:r>
      <w:r w:rsidRPr="00994494">
        <w:rPr>
          <w:rFonts w:asciiTheme="majorBidi" w:hAnsiTheme="majorBidi" w:cstheme="majorBidi"/>
          <w:iCs/>
        </w:rPr>
        <w:tab/>
      </w:r>
      <w:r w:rsidRPr="00994494">
        <w:rPr>
          <w:rFonts w:asciiTheme="majorBidi" w:hAnsiTheme="majorBidi" w:cstheme="majorBidi"/>
          <w:i/>
        </w:rPr>
        <w:t>Le Garant doit insérer le montant du Marché mentionné au Marché soit dans la (ou les) monnaie(s) mentionnée(s) au Marché, soit dans toute autre monnaie librement convertible acceptable par le Maître de l’Ouvrage.</w:t>
      </w:r>
    </w:p>
  </w:footnote>
  <w:footnote w:id="33">
    <w:p w14:paraId="1DE089C9" w14:textId="68C5F15D" w:rsidR="00611A83" w:rsidRPr="00994494" w:rsidRDefault="00611A83" w:rsidP="00464717">
      <w:pPr>
        <w:pStyle w:val="Notedebasdepage"/>
        <w:tabs>
          <w:tab w:val="left" w:pos="360"/>
        </w:tabs>
        <w:rPr>
          <w:rFonts w:asciiTheme="majorBidi" w:hAnsiTheme="majorBidi" w:cstheme="majorBidi"/>
          <w:i/>
        </w:rPr>
      </w:pPr>
      <w:r w:rsidRPr="00994494">
        <w:rPr>
          <w:rStyle w:val="Appelnotedebasdep"/>
          <w:rFonts w:asciiTheme="majorBidi" w:hAnsiTheme="majorBidi" w:cstheme="majorBidi"/>
          <w:iCs/>
        </w:rPr>
        <w:footnoteRef/>
      </w:r>
      <w:r w:rsidRPr="00994494">
        <w:rPr>
          <w:rFonts w:asciiTheme="majorBidi" w:hAnsiTheme="majorBidi" w:cstheme="majorBidi"/>
          <w:iCs/>
        </w:rPr>
        <w:t xml:space="preserve"> </w:t>
      </w:r>
      <w:r w:rsidRPr="00994494">
        <w:rPr>
          <w:rFonts w:asciiTheme="majorBidi" w:hAnsiTheme="majorBidi" w:cstheme="majorBidi"/>
          <w:iCs/>
        </w:rPr>
        <w:tab/>
      </w:r>
      <w:r w:rsidRPr="00994494">
        <w:rPr>
          <w:rFonts w:asciiTheme="majorBidi" w:hAnsiTheme="majorBidi" w:cstheme="majorBidi"/>
          <w:i/>
        </w:rPr>
        <w:t>Insérer la date représentant vingt-huit jours suivant la date estimée de la réception définitive des travaux. Le Maître de l’Ouvrage doit prendre en compte le fait que, dans le cas d’une prorogation de la durée du Marché, il devra demander au Garant de prolonger la durée de la présente garantie.  Une telle demande doit être faite par écrit avant la date d’expiration mentionnée dans la garantie. Lorsqu’il préparera la garantie, le Maître de l’Ouvrage peut considérer ajouter ce qui suit à la fin de l’avant-dernier paragraphe : « Sur demande écrite du Bénéficiaire, formulée avant l’expiration de la présente garantie, le Garant prolongera la durée de cette garantie pour une période ne dépassant pas [six mois] [un an]. Une telle extension ne sera accordée qu’une fois. »</w:t>
      </w:r>
    </w:p>
  </w:footnote>
  <w:footnote w:id="34">
    <w:p w14:paraId="02C73E27" w14:textId="77777777" w:rsidR="00611A83" w:rsidRPr="00994494" w:rsidRDefault="00611A83" w:rsidP="00BF617C">
      <w:pPr>
        <w:pStyle w:val="Notedebasdepage"/>
      </w:pPr>
      <w:r w:rsidRPr="00994494">
        <w:rPr>
          <w:rStyle w:val="Appelnotedebasdep"/>
        </w:rPr>
        <w:footnoteRef/>
      </w:r>
      <w:r w:rsidRPr="00994494">
        <w:t xml:space="preserve"> </w:t>
      </w:r>
      <w:r w:rsidRPr="00994494">
        <w:rPr>
          <w:i/>
        </w:rPr>
        <w:t>L’organisme de caution doit insérer un montant représentant le montant du Marché mentionné au Marché soit dans la (ou les) monnaie(s) mentionnée(s) au Marché, soit dans toute autre monnaie librement convertible acceptable par le Maître de l’Ouvrage.</w:t>
      </w:r>
    </w:p>
  </w:footnote>
  <w:footnote w:id="35">
    <w:p w14:paraId="7C38658C" w14:textId="0944E236" w:rsidR="00611A83" w:rsidRPr="00994494" w:rsidRDefault="00611A83" w:rsidP="00FF6044">
      <w:pPr>
        <w:pStyle w:val="Notedebasdepage"/>
        <w:spacing w:after="0"/>
        <w:rPr>
          <w:rFonts w:asciiTheme="majorBidi" w:hAnsiTheme="majorBidi" w:cstheme="majorBidi"/>
          <w:i/>
        </w:rPr>
      </w:pPr>
      <w:r w:rsidRPr="00994494">
        <w:rPr>
          <w:rStyle w:val="Appelnotedebasdep"/>
          <w:rFonts w:asciiTheme="majorBidi" w:hAnsiTheme="majorBidi" w:cstheme="majorBidi"/>
          <w:iCs/>
        </w:rPr>
        <w:footnoteRef/>
      </w:r>
      <w:r w:rsidRPr="00994494">
        <w:rPr>
          <w:rFonts w:asciiTheme="majorBidi" w:hAnsiTheme="majorBidi" w:cstheme="majorBidi"/>
          <w:iCs/>
        </w:rPr>
        <w:tab/>
      </w:r>
      <w:r w:rsidRPr="00994494">
        <w:rPr>
          <w:rFonts w:asciiTheme="majorBidi" w:hAnsiTheme="majorBidi" w:cstheme="majorBidi"/>
          <w:i/>
        </w:rPr>
        <w:t>Le Garant doit insérer le montant du Marché mentionné au Marché soit dans la (ou les) monnaie(s) mentionnée(s) au Marché, soit dans toute autre monnaie librement convertible acceptable par le Maître de l’Ouvrage.</w:t>
      </w:r>
    </w:p>
  </w:footnote>
  <w:footnote w:id="36">
    <w:p w14:paraId="1A9CAA44" w14:textId="69345265" w:rsidR="00611A83" w:rsidRPr="00994494" w:rsidRDefault="00611A83" w:rsidP="00FF6044">
      <w:pPr>
        <w:pStyle w:val="Notedebasdepage"/>
        <w:tabs>
          <w:tab w:val="left" w:pos="360"/>
        </w:tabs>
        <w:rPr>
          <w:rFonts w:asciiTheme="majorBidi" w:hAnsiTheme="majorBidi" w:cstheme="majorBidi"/>
          <w:i/>
        </w:rPr>
      </w:pPr>
      <w:r w:rsidRPr="00994494">
        <w:rPr>
          <w:rStyle w:val="Appelnotedebasdep"/>
          <w:rFonts w:asciiTheme="majorBidi" w:hAnsiTheme="majorBidi" w:cstheme="majorBidi"/>
          <w:iCs/>
        </w:rPr>
        <w:footnoteRef/>
      </w:r>
      <w:r w:rsidRPr="00994494">
        <w:rPr>
          <w:rFonts w:asciiTheme="majorBidi" w:hAnsiTheme="majorBidi" w:cstheme="majorBidi"/>
          <w:iCs/>
        </w:rPr>
        <w:t xml:space="preserve"> </w:t>
      </w:r>
      <w:r w:rsidRPr="00994494">
        <w:rPr>
          <w:rFonts w:asciiTheme="majorBidi" w:hAnsiTheme="majorBidi" w:cstheme="majorBidi"/>
          <w:iCs/>
        </w:rPr>
        <w:tab/>
      </w:r>
      <w:r w:rsidRPr="00994494">
        <w:rPr>
          <w:rFonts w:asciiTheme="majorBidi" w:hAnsiTheme="majorBidi" w:cstheme="majorBidi"/>
          <w:i/>
        </w:rPr>
        <w:t>Insérer la date représentant vingt-huit jours suivant la date estimée de l’émission du certificat de garantie des travaux. Le Maître de l’Ouvrage doit prendre en compte le fait que, dans le cas d’une prorogation de la durée du Marché, il devra demander au Garant de prolonger la durée de la présente garantie.  Une telle demande doit être faite par écrit avant la date d’expiration mentionnée dans la garantie. Lorsqu’il préparera la garantie, le Maître de l’Ouvrage peut considérer ajouter ce qui suit à la fin de l’avant-dernier paragraphe : « Sur demande écrite du Bénéficiaire, formulée avant l’expiration de la présente garantie, le Garant prolongera la durée de cette garantie pour une période ne dépassant pas [six mois] [un an]. Une telle extension ne sera accordée qu’une fois. »</w:t>
      </w:r>
    </w:p>
  </w:footnote>
  <w:footnote w:id="37">
    <w:p w14:paraId="5B5DFC9A" w14:textId="77777777" w:rsidR="00611A83" w:rsidRPr="00994494" w:rsidRDefault="00611A83" w:rsidP="00BF617C">
      <w:pPr>
        <w:pStyle w:val="Notedebasdepage"/>
      </w:pPr>
      <w:r w:rsidRPr="00994494">
        <w:rPr>
          <w:rStyle w:val="Appelnotedebasdep"/>
        </w:rPr>
        <w:footnoteRef/>
      </w:r>
      <w:r w:rsidRPr="00994494">
        <w:t xml:space="preserve"> </w:t>
      </w:r>
      <w:r w:rsidRPr="00994494">
        <w:tab/>
        <w:t>Le Garant doit insérer le montant représentant le montant de l’avance soit dans la (ou les) monnaie (s) mentionnée(s) au Marché pour le paiement de l’avance, soit dans toute autre monnaie librement convertible acceptable par le Maître de l’Ouvrage.</w:t>
      </w:r>
    </w:p>
  </w:footnote>
  <w:footnote w:id="38">
    <w:p w14:paraId="3FB08E17" w14:textId="77777777" w:rsidR="00611A83" w:rsidRPr="00994494" w:rsidRDefault="00611A83" w:rsidP="00BF617C">
      <w:pPr>
        <w:pStyle w:val="Notedebasdepage"/>
        <w:tabs>
          <w:tab w:val="left" w:pos="360"/>
        </w:tabs>
      </w:pPr>
      <w:r w:rsidRPr="00994494">
        <w:rPr>
          <w:rStyle w:val="Appelnotedebasdep"/>
        </w:rPr>
        <w:footnoteRef/>
      </w:r>
      <w:r w:rsidRPr="00994494">
        <w:t xml:space="preserve"> </w:t>
      </w:r>
      <w:r w:rsidRPr="00994494">
        <w:tab/>
        <w:t xml:space="preserve">Insérer la date prévue pour la réception provisoire. Le Bénéficiaire (Maître de l’Ouvrage) doit prendre en compte le fait que, dans le cas de prorogation de la durée du Marché, il devra demander au Garant de prolonger la durée de la présente garantie. Une telle demande doit être faite par écrit avant la date d’expiration mentionnée dans la garantie. Lorsqu’il préparera la garantie, le Bénéficiaire peut considérer l’adjonction, à la fin de l’avant-dernier paragraphe du formulaire, de la disposition suivante : « Sur demande écrite du Bénéficiaire formulée avant l’expiration de la présente garantie, le Garant s’engage à prolonger la durée de cette garantie pour une période ne dépassant pas </w:t>
      </w:r>
      <w:r w:rsidRPr="00994494">
        <w:rPr>
          <w:i/>
        </w:rPr>
        <w:t>[six mois] [un an].</w:t>
      </w:r>
      <w:r w:rsidRPr="00994494">
        <w:t xml:space="preserve"> Une telle extension ne sera accordée qu’une fois. </w:t>
      </w:r>
      <w:r w:rsidRPr="00994494">
        <w:rPr>
          <w:i/>
        </w:rPr>
        <w:t>»</w:t>
      </w:r>
    </w:p>
  </w:footnote>
  <w:footnote w:id="39">
    <w:p w14:paraId="20926915" w14:textId="590795B1" w:rsidR="00611A83" w:rsidRPr="00994494" w:rsidRDefault="00611A83" w:rsidP="006E5332">
      <w:pPr>
        <w:pStyle w:val="Notedebasdepage"/>
        <w:spacing w:after="0"/>
        <w:rPr>
          <w:rFonts w:asciiTheme="majorBidi" w:hAnsiTheme="majorBidi" w:cstheme="majorBidi"/>
          <w:iCs/>
        </w:rPr>
      </w:pPr>
      <w:r w:rsidRPr="00994494">
        <w:rPr>
          <w:rStyle w:val="Appelnotedebasdep"/>
          <w:rFonts w:asciiTheme="majorBidi" w:hAnsiTheme="majorBidi" w:cstheme="majorBidi"/>
          <w:iCs/>
        </w:rPr>
        <w:footnoteRef/>
      </w:r>
      <w:r w:rsidRPr="00994494">
        <w:rPr>
          <w:rFonts w:asciiTheme="majorBidi" w:hAnsiTheme="majorBidi" w:cstheme="majorBidi"/>
          <w:iCs/>
        </w:rPr>
        <w:tab/>
        <w:t>Le Garant doit insérer un  montant représentant la moitié de la Retenue de garantie ou si le montant de la Garantie de bonne exécution au moment de la Réception provisoire est inférieur à la moitié de la Retenue de garantie, la différence entre la moitié de la Retenue de garantie et le montant de la Garantie de bonne exécution soit dans la (ou les) monnaie(s) de la seconde moitié de la Retenue de garantie telles que mentionnée(s) au Marché, soit dans toute autre monnaie librement convertible acceptable par le Bénéficiaire.</w:t>
      </w:r>
    </w:p>
  </w:footnote>
  <w:footnote w:id="40">
    <w:p w14:paraId="2BD61662" w14:textId="24BDB3A4" w:rsidR="00611A83" w:rsidRPr="00994494" w:rsidRDefault="00611A83" w:rsidP="006C3BF4">
      <w:pPr>
        <w:pStyle w:val="Notedebasdepage"/>
        <w:tabs>
          <w:tab w:val="left" w:pos="360"/>
        </w:tabs>
        <w:rPr>
          <w:rFonts w:asciiTheme="majorBidi" w:hAnsiTheme="majorBidi" w:cstheme="majorBidi"/>
          <w:iCs/>
        </w:rPr>
      </w:pPr>
      <w:r w:rsidRPr="00994494">
        <w:rPr>
          <w:rStyle w:val="Appelnotedebasdep"/>
          <w:rFonts w:asciiTheme="majorBidi" w:hAnsiTheme="majorBidi" w:cstheme="majorBidi"/>
          <w:iCs/>
        </w:rPr>
        <w:footnoteRef/>
      </w:r>
      <w:r w:rsidRPr="00994494">
        <w:rPr>
          <w:rFonts w:asciiTheme="majorBidi" w:hAnsiTheme="majorBidi" w:cstheme="majorBidi"/>
          <w:iCs/>
        </w:rPr>
        <w:t xml:space="preserve"> </w:t>
      </w:r>
      <w:r w:rsidRPr="00994494">
        <w:rPr>
          <w:rFonts w:asciiTheme="majorBidi" w:hAnsiTheme="majorBidi" w:cstheme="majorBidi"/>
          <w:iCs/>
        </w:rPr>
        <w:tab/>
        <w:t xml:space="preserve">Insérer la date prévue pour la date d’expiration de la garantie de bonne exécution, </w:t>
      </w:r>
      <w:r>
        <w:rPr>
          <w:rFonts w:asciiTheme="majorBidi" w:hAnsiTheme="majorBidi" w:cstheme="majorBidi"/>
          <w:iCs/>
        </w:rPr>
        <w:t>savoir</w:t>
      </w:r>
      <w:r w:rsidRPr="00994494">
        <w:rPr>
          <w:rFonts w:asciiTheme="majorBidi" w:hAnsiTheme="majorBidi" w:cstheme="majorBidi"/>
          <w:iCs/>
        </w:rPr>
        <w:t xml:space="preserve"> 28 (vingt-huit) jours après l’émission du certificat de garantie.  Le Donneur d’ordre (Maître de l’Ouvrage) doit prendre en compte le fait que, dans le cas de prorogation de la durée du Marché, il devra demander au Garant de prolonger la durée de la présente garantie. Une telle demande doit être faite par écrit avant la date d’expiration mentionnée dans la garantie. Lorsqu’il préparera la garantie, le Donneur d’ordre Maître de l’Ouvrage peut considérer l’adjonction, à la fin de l’avant-dernier paragraphe, de la disposition suivante : « Sur demande écrite du Maître de l’Ouvrage formulée avant l’expiration de la présente garantie, le Garant prolongera la durée de cette garantie pour une période ne dépassant pas [six mois] [un an]. Une telle extension ne sera accordée qu’une fois.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45868C" w14:textId="77777777" w:rsidR="00611A83" w:rsidRDefault="00611A83">
    <w:pPr>
      <w:pStyle w:val="En-tte"/>
      <w:framePr w:wrap="auto"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14:paraId="2C47A2EB" w14:textId="77777777" w:rsidR="00611A83" w:rsidRDefault="00611A83" w:rsidP="004E0251">
    <w:pPr>
      <w:pStyle w:val="En-tte"/>
      <w:pBdr>
        <w:bottom w:val="single" w:sz="4" w:space="1" w:color="auto"/>
      </w:pBdr>
      <w:tabs>
        <w:tab w:val="right" w:pos="9720"/>
      </w:tabs>
      <w:ind w:right="-72" w:firstLine="360"/>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1810526"/>
      <w:docPartObj>
        <w:docPartGallery w:val="Page Numbers (Top of Page)"/>
        <w:docPartUnique/>
      </w:docPartObj>
    </w:sdtPr>
    <w:sdtEndPr>
      <w:rPr>
        <w:noProof/>
      </w:rPr>
    </w:sdtEndPr>
    <w:sdtContent>
      <w:p w14:paraId="5441FF87" w14:textId="39A377E8" w:rsidR="00611A83" w:rsidRPr="00E223D0" w:rsidRDefault="00611A83" w:rsidP="00E223D0">
        <w:pPr>
          <w:pStyle w:val="En-tte"/>
          <w:pBdr>
            <w:bottom w:val="single" w:sz="4" w:space="1" w:color="auto"/>
          </w:pBdr>
          <w:tabs>
            <w:tab w:val="right" w:pos="9356"/>
          </w:tabs>
          <w:ind w:left="0" w:firstLine="0"/>
        </w:pPr>
        <w:r w:rsidRPr="005D6945">
          <w:t xml:space="preserve">Section </w:t>
        </w:r>
        <w:r>
          <w:t>IV -</w:t>
        </w:r>
        <w:r w:rsidRPr="005D6945">
          <w:t xml:space="preserve"> </w:t>
        </w:r>
        <w:r w:rsidRPr="00BB4F08">
          <w:t>Formulaires de soumission</w:t>
        </w:r>
        <w:r>
          <w:tab/>
        </w:r>
        <w:r>
          <w:fldChar w:fldCharType="begin"/>
        </w:r>
        <w:r>
          <w:instrText xml:space="preserve"> PAGE   \* MERGEFORMAT </w:instrText>
        </w:r>
        <w:r>
          <w:fldChar w:fldCharType="separate"/>
        </w:r>
        <w:r w:rsidR="0088533F">
          <w:rPr>
            <w:noProof/>
          </w:rPr>
          <w:t>142</w:t>
        </w:r>
        <w:r>
          <w:rPr>
            <w:noProof/>
          </w:rPr>
          <w:fldChar w:fldCharType="end"/>
        </w:r>
      </w:p>
    </w:sdtContent>
  </w:sdt>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6327399"/>
      <w:docPartObj>
        <w:docPartGallery w:val="Page Numbers (Top of Page)"/>
        <w:docPartUnique/>
      </w:docPartObj>
    </w:sdtPr>
    <w:sdtEndPr>
      <w:rPr>
        <w:noProof/>
      </w:rPr>
    </w:sdtEndPr>
    <w:sdtContent>
      <w:p w14:paraId="04CE61C8" w14:textId="4C44ACEA" w:rsidR="00611A83" w:rsidRPr="00BB4F08" w:rsidRDefault="00611A83" w:rsidP="000F78BD">
        <w:pPr>
          <w:pStyle w:val="En-tte"/>
          <w:pBdr>
            <w:bottom w:val="single" w:sz="4" w:space="1" w:color="auto"/>
          </w:pBdr>
          <w:tabs>
            <w:tab w:val="right" w:pos="9356"/>
          </w:tabs>
          <w:ind w:left="0" w:firstLine="0"/>
        </w:pPr>
        <w:r>
          <w:t>Partie</w:t>
        </w:r>
        <w:r w:rsidRPr="000F78BD">
          <w:t xml:space="preserve"> 2 </w:t>
        </w:r>
        <w:r>
          <w:t>-</w:t>
        </w:r>
        <w:r w:rsidRPr="000F78BD">
          <w:t xml:space="preserve"> Spécifications des Travaux</w:t>
        </w:r>
        <w:r>
          <w:tab/>
        </w:r>
        <w:r>
          <w:fldChar w:fldCharType="begin"/>
        </w:r>
        <w:r>
          <w:instrText xml:space="preserve"> PAGE   \* MERGEFORMAT </w:instrText>
        </w:r>
        <w:r>
          <w:fldChar w:fldCharType="separate"/>
        </w:r>
        <w:r w:rsidR="0088533F">
          <w:rPr>
            <w:noProof/>
          </w:rPr>
          <w:t>50</w:t>
        </w:r>
        <w:r>
          <w:rPr>
            <w:noProof/>
          </w:rPr>
          <w:fldChar w:fldCharType="end"/>
        </w:r>
      </w:p>
    </w:sdtContent>
  </w:sdt>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99E94" w14:textId="61C4D8A5" w:rsidR="00611A83" w:rsidRDefault="00611A83">
    <w:pPr>
      <w:pStyle w:val="En-tte"/>
      <w:framePr w:wrap="auto" w:vAnchor="text" w:hAnchor="margin" w:xAlign="outside" w:y="1"/>
      <w:ind w:right="-30"/>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116</w:t>
    </w:r>
    <w:r>
      <w:rPr>
        <w:rStyle w:val="Numrodepage"/>
      </w:rPr>
      <w:fldChar w:fldCharType="end"/>
    </w:r>
  </w:p>
  <w:p w14:paraId="59954F42" w14:textId="7ACDA42E" w:rsidR="00611A83" w:rsidRDefault="00611A83" w:rsidP="00FB40E8">
    <w:pPr>
      <w:pStyle w:val="En-tte"/>
      <w:pBdr>
        <w:bottom w:val="single" w:sz="4" w:space="1" w:color="auto"/>
      </w:pBdr>
      <w:ind w:right="72"/>
      <w:jc w:val="right"/>
    </w:pPr>
    <w:r w:rsidRPr="00C067E3">
      <w:t xml:space="preserve">Section </w:t>
    </w:r>
    <w:r>
      <w:t>VI</w:t>
    </w:r>
    <w:proofErr w:type="gramStart"/>
    <w:r>
      <w:t>  ;</w:t>
    </w:r>
    <w:proofErr w:type="gramEnd"/>
    <w:r>
      <w:t xml:space="preserve"> Règles de la Banque en matière de Fraude et Corruption</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3075289"/>
      <w:docPartObj>
        <w:docPartGallery w:val="Page Numbers (Top of Page)"/>
        <w:docPartUnique/>
      </w:docPartObj>
    </w:sdtPr>
    <w:sdtEndPr>
      <w:rPr>
        <w:noProof/>
      </w:rPr>
    </w:sdtEndPr>
    <w:sdtContent>
      <w:p w14:paraId="36BF9582" w14:textId="458F713C" w:rsidR="00611A83" w:rsidRPr="00AB60A2" w:rsidRDefault="00611A83" w:rsidP="00AB60A2">
        <w:pPr>
          <w:pStyle w:val="En-tte"/>
          <w:pBdr>
            <w:bottom w:val="single" w:sz="4" w:space="1" w:color="auto"/>
          </w:pBdr>
          <w:tabs>
            <w:tab w:val="right" w:pos="9356"/>
          </w:tabs>
          <w:ind w:left="0" w:firstLine="0"/>
        </w:pPr>
        <w:r w:rsidRPr="005D6945">
          <w:t xml:space="preserve">Section </w:t>
        </w:r>
        <w:r>
          <w:t>VI -</w:t>
        </w:r>
        <w:r w:rsidRPr="005D6945">
          <w:t xml:space="preserve"> </w:t>
        </w:r>
        <w:r>
          <w:t>Règles de la Banque en matière de Fraude et Corruption</w:t>
        </w:r>
        <w:r>
          <w:tab/>
        </w:r>
        <w:r>
          <w:fldChar w:fldCharType="begin"/>
        </w:r>
        <w:r>
          <w:instrText xml:space="preserve"> PAGE   \* MERGEFORMAT </w:instrText>
        </w:r>
        <w:r>
          <w:fldChar w:fldCharType="separate"/>
        </w:r>
        <w:r w:rsidR="00D7539E">
          <w:rPr>
            <w:noProof/>
          </w:rPr>
          <w:t>146</w:t>
        </w:r>
        <w:r>
          <w:rPr>
            <w:noProof/>
          </w:rPr>
          <w:fldChar w:fldCharType="end"/>
        </w:r>
      </w:p>
    </w:sdtContent>
  </w:sdt>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2BADE8" w14:textId="2D6A8FA1" w:rsidR="00611A83" w:rsidRDefault="00611A83" w:rsidP="00654AC6">
    <w:pPr>
      <w:pStyle w:val="En-tte"/>
      <w:pBdr>
        <w:bottom w:val="single" w:sz="4" w:space="1" w:color="auto"/>
      </w:pBdr>
      <w:tabs>
        <w:tab w:val="right" w:pos="9360"/>
      </w:tabs>
      <w:ind w:left="0" w:firstLine="0"/>
    </w:pPr>
    <w:r>
      <w:fldChar w:fldCharType="begin"/>
    </w:r>
    <w:r>
      <w:instrText xml:space="preserve"> PAGE   \* MERGEFORMAT </w:instrText>
    </w:r>
    <w:r>
      <w:fldChar w:fldCharType="separate"/>
    </w:r>
    <w:r>
      <w:rPr>
        <w:noProof/>
      </w:rPr>
      <w:t>128</w:t>
    </w:r>
    <w:r>
      <w:rPr>
        <w:noProof/>
      </w:rPr>
      <w:fldChar w:fldCharType="end"/>
    </w:r>
    <w:r>
      <w:tab/>
      <w:t>Section VII. Spécifications techniques et plans</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1721263"/>
      <w:docPartObj>
        <w:docPartGallery w:val="Page Numbers (Top of Page)"/>
        <w:docPartUnique/>
      </w:docPartObj>
    </w:sdtPr>
    <w:sdtEndPr>
      <w:rPr>
        <w:noProof/>
      </w:rPr>
    </w:sdtEndPr>
    <w:sdtContent>
      <w:p w14:paraId="1CB158AD" w14:textId="0537E194" w:rsidR="00611A83" w:rsidRPr="00E938A9" w:rsidRDefault="00611A83" w:rsidP="00E938A9">
        <w:pPr>
          <w:pStyle w:val="En-tte"/>
          <w:pBdr>
            <w:bottom w:val="single" w:sz="4" w:space="1" w:color="auto"/>
          </w:pBdr>
          <w:tabs>
            <w:tab w:val="right" w:pos="9356"/>
          </w:tabs>
          <w:ind w:left="0" w:firstLine="0"/>
        </w:pPr>
        <w:r w:rsidRPr="00B07019">
          <w:t>Section VII</w:t>
        </w:r>
        <w:r>
          <w:t xml:space="preserve"> -</w:t>
        </w:r>
        <w:r w:rsidRPr="00B07019">
          <w:t xml:space="preserve"> Spécifications techniques</w:t>
        </w:r>
        <w:r>
          <w:tab/>
        </w:r>
        <w:r>
          <w:fldChar w:fldCharType="begin"/>
        </w:r>
        <w:r>
          <w:instrText xml:space="preserve"> PAGE   \* MERGEFORMAT </w:instrText>
        </w:r>
        <w:r>
          <w:fldChar w:fldCharType="separate"/>
        </w:r>
        <w:r w:rsidR="00D7539E">
          <w:rPr>
            <w:noProof/>
          </w:rPr>
          <w:t>275</w:t>
        </w:r>
        <w:r>
          <w:rPr>
            <w:noProof/>
          </w:rPr>
          <w:fldChar w:fldCharType="end"/>
        </w:r>
      </w:p>
    </w:sdtContent>
  </w:sdt>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5458157"/>
      <w:docPartObj>
        <w:docPartGallery w:val="Page Numbers (Top of Page)"/>
        <w:docPartUnique/>
      </w:docPartObj>
    </w:sdtPr>
    <w:sdtEndPr>
      <w:rPr>
        <w:noProof/>
      </w:rPr>
    </w:sdtEndPr>
    <w:sdtContent>
      <w:p w14:paraId="57E1964F" w14:textId="6B277E74" w:rsidR="00611A83" w:rsidRPr="00BB4F08" w:rsidRDefault="00611A83" w:rsidP="00945661">
        <w:pPr>
          <w:pStyle w:val="En-tte"/>
          <w:pBdr>
            <w:bottom w:val="single" w:sz="4" w:space="1" w:color="auto"/>
          </w:pBdr>
          <w:tabs>
            <w:tab w:val="right" w:pos="9356"/>
          </w:tabs>
          <w:ind w:left="0" w:firstLine="0"/>
        </w:pPr>
        <w:r w:rsidRPr="00945661">
          <w:t>P</w:t>
        </w:r>
        <w:r>
          <w:t>artie</w:t>
        </w:r>
        <w:r w:rsidRPr="00945661">
          <w:t xml:space="preserve"> 3 </w:t>
        </w:r>
        <w:r>
          <w:t>-</w:t>
        </w:r>
        <w:r w:rsidRPr="00945661">
          <w:t xml:space="preserve"> Marché</w:t>
        </w:r>
        <w:r>
          <w:tab/>
        </w:r>
        <w:r>
          <w:fldChar w:fldCharType="begin"/>
        </w:r>
        <w:r>
          <w:instrText xml:space="preserve"> PAGE   \* MERGEFORMAT </w:instrText>
        </w:r>
        <w:r>
          <w:fldChar w:fldCharType="separate"/>
        </w:r>
        <w:r w:rsidR="00D7539E">
          <w:rPr>
            <w:noProof/>
          </w:rPr>
          <w:t>147</w:t>
        </w:r>
        <w:r>
          <w:rPr>
            <w:noProof/>
          </w:rPr>
          <w:fldChar w:fldCharType="end"/>
        </w:r>
      </w:p>
    </w:sdtContent>
  </w:sdt>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78AF0B" w14:textId="15D5F2B8" w:rsidR="00611A83" w:rsidRDefault="00611A83" w:rsidP="00B26E4A">
    <w:pPr>
      <w:pStyle w:val="En-tte"/>
      <w:pBdr>
        <w:bottom w:val="single" w:sz="4" w:space="1" w:color="auto"/>
      </w:pBdr>
      <w:tabs>
        <w:tab w:val="right" w:pos="8931"/>
      </w:tabs>
      <w:ind w:left="0" w:right="-19" w:firstLine="0"/>
    </w:pPr>
    <w:r>
      <w:fldChar w:fldCharType="begin"/>
    </w:r>
    <w:r>
      <w:instrText xml:space="preserve"> PAGE   \* MERGEFORMAT </w:instrText>
    </w:r>
    <w:r>
      <w:fldChar w:fldCharType="separate"/>
    </w:r>
    <w:r>
      <w:rPr>
        <w:noProof/>
      </w:rPr>
      <w:t>192</w:t>
    </w:r>
    <w:r>
      <w:rPr>
        <w:noProof/>
      </w:rPr>
      <w:fldChar w:fldCharType="end"/>
    </w:r>
    <w:r>
      <w:tab/>
      <w:t>Section X. Formulaires du Marché</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86FBD" w14:textId="62EBC3B9" w:rsidR="00611A83" w:rsidRPr="00F74954" w:rsidRDefault="00611A83" w:rsidP="00F74954">
    <w:pPr>
      <w:pStyle w:val="En-tte"/>
      <w:pBdr>
        <w:bottom w:val="single" w:sz="4" w:space="1" w:color="auto"/>
      </w:pBdr>
      <w:tabs>
        <w:tab w:val="right" w:pos="9360"/>
      </w:tabs>
    </w:pPr>
    <w:r>
      <w:t xml:space="preserve">Section X - </w:t>
    </w:r>
    <w:r w:rsidRPr="000E282C">
      <w:t>Formulaires du Marché</w:t>
    </w:r>
    <w:r>
      <w:tab/>
    </w:r>
    <w:r>
      <w:rPr>
        <w:rStyle w:val="Numrodepage"/>
      </w:rPr>
      <w:fldChar w:fldCharType="begin"/>
    </w:r>
    <w:r>
      <w:rPr>
        <w:rStyle w:val="Numrodepage"/>
      </w:rPr>
      <w:instrText xml:space="preserve"> PAGE </w:instrText>
    </w:r>
    <w:r>
      <w:rPr>
        <w:rStyle w:val="Numrodepage"/>
      </w:rPr>
      <w:fldChar w:fldCharType="separate"/>
    </w:r>
    <w:r w:rsidR="00D7539E">
      <w:rPr>
        <w:rStyle w:val="Numrodepage"/>
        <w:noProof/>
      </w:rPr>
      <w:t>376</w:t>
    </w:r>
    <w:r>
      <w:rPr>
        <w:rStyle w:val="Numrodepage"/>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25E05C" w14:textId="41F71DE4" w:rsidR="00611A83" w:rsidRPr="000E282C" w:rsidRDefault="00611A83" w:rsidP="000E282C">
    <w:pPr>
      <w:pStyle w:val="En-tte"/>
      <w:pBdr>
        <w:bottom w:val="single" w:sz="4" w:space="1" w:color="auto"/>
      </w:pBdr>
      <w:tabs>
        <w:tab w:val="right" w:pos="9360"/>
      </w:tabs>
    </w:pPr>
    <w:r>
      <w:t xml:space="preserve">Section X - </w:t>
    </w:r>
    <w:r w:rsidRPr="000E282C">
      <w:t>Formulaires du Marché</w:t>
    </w:r>
    <w:r>
      <w:tab/>
    </w:r>
    <w:r>
      <w:rPr>
        <w:rStyle w:val="Numrodepage"/>
      </w:rPr>
      <w:fldChar w:fldCharType="begin"/>
    </w:r>
    <w:r>
      <w:rPr>
        <w:rStyle w:val="Numrodepage"/>
      </w:rPr>
      <w:instrText xml:space="preserve"> PAGE </w:instrText>
    </w:r>
    <w:r>
      <w:rPr>
        <w:rStyle w:val="Numrodepage"/>
      </w:rPr>
      <w:fldChar w:fldCharType="separate"/>
    </w:r>
    <w:r w:rsidR="00D7539E">
      <w:rPr>
        <w:rStyle w:val="Numrodepage"/>
        <w:noProof/>
      </w:rPr>
      <w:t>278</w:t>
    </w:r>
    <w:r>
      <w:rPr>
        <w:rStyle w:val="Numrodepage"/>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B2F67" w14:textId="5F2A20EB" w:rsidR="00611A83" w:rsidRDefault="00611A83">
    <w:pPr>
      <w:pStyle w:val="En-tte"/>
      <w:framePr w:wrap="auto"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8</w:t>
    </w:r>
    <w:r>
      <w:rPr>
        <w:rStyle w:val="Numrodepage"/>
      </w:rPr>
      <w:fldChar w:fldCharType="end"/>
    </w:r>
  </w:p>
  <w:p w14:paraId="39665849" w14:textId="77777777" w:rsidR="00611A83" w:rsidRDefault="00611A83" w:rsidP="004E0251">
    <w:pPr>
      <w:pStyle w:val="En-tte"/>
      <w:pBdr>
        <w:bottom w:val="single" w:sz="4" w:space="1" w:color="auto"/>
      </w:pBdr>
      <w:tabs>
        <w:tab w:val="right" w:pos="9360"/>
      </w:tabs>
      <w:jc w:val="right"/>
    </w:pPr>
    <w:r>
      <w:t>Section I.  Instructions aux soumissionnaires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4551334"/>
      <w:docPartObj>
        <w:docPartGallery w:val="Page Numbers (Top of Page)"/>
        <w:docPartUnique/>
      </w:docPartObj>
    </w:sdtPr>
    <w:sdtEndPr>
      <w:rPr>
        <w:noProof/>
      </w:rPr>
    </w:sdtEndPr>
    <w:sdtContent>
      <w:p w14:paraId="60D9FE24" w14:textId="43E65E8B" w:rsidR="00611A83" w:rsidRPr="000F78BD" w:rsidRDefault="00611A83" w:rsidP="000F78BD">
        <w:pPr>
          <w:pStyle w:val="En-tte"/>
          <w:pBdr>
            <w:bottom w:val="single" w:sz="4" w:space="1" w:color="auto"/>
          </w:pBdr>
          <w:tabs>
            <w:tab w:val="right" w:pos="9356"/>
          </w:tabs>
          <w:ind w:left="0" w:firstLine="0"/>
        </w:pPr>
        <w:r w:rsidRPr="00FF6378">
          <w:t>P</w:t>
        </w:r>
        <w:r>
          <w:t>artie</w:t>
        </w:r>
        <w:r w:rsidRPr="00FF6378">
          <w:t xml:space="preserve"> 1 - Procédures d’appel d’offres</w:t>
        </w:r>
        <w:r>
          <w:tab/>
        </w:r>
        <w:r>
          <w:fldChar w:fldCharType="begin"/>
        </w:r>
        <w:r>
          <w:instrText xml:space="preserve"> PAGE   \* MERGEFORMAT </w:instrText>
        </w:r>
        <w:r>
          <w:fldChar w:fldCharType="separate"/>
        </w:r>
        <w:r w:rsidR="0088533F">
          <w:rPr>
            <w:noProof/>
          </w:rPr>
          <w:t>30</w:t>
        </w:r>
        <w:r>
          <w:rPr>
            <w:noProof/>
          </w:rP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B1E905" w14:textId="77777777" w:rsidR="00611A83" w:rsidRDefault="00611A83" w:rsidP="00427307">
    <w:pPr>
      <w:pStyle w:val="En-tte"/>
      <w:pBdr>
        <w:bottom w:val="single" w:sz="4" w:space="1" w:color="auto"/>
      </w:pBdr>
      <w:tabs>
        <w:tab w:val="right" w:pos="9360"/>
      </w:tabs>
      <w:ind w:right="-18"/>
    </w:pPr>
    <w:r>
      <w:rPr>
        <w:rStyle w:val="Numrodepage"/>
      </w:rPr>
      <w:fldChar w:fldCharType="begin"/>
    </w:r>
    <w:r>
      <w:rPr>
        <w:rStyle w:val="Numrodepage"/>
      </w:rPr>
      <w:instrText xml:space="preserve"> PAGE </w:instrText>
    </w:r>
    <w:r>
      <w:rPr>
        <w:rStyle w:val="Numrodepage"/>
      </w:rPr>
      <w:fldChar w:fldCharType="separate"/>
    </w:r>
    <w:r>
      <w:rPr>
        <w:rStyle w:val="Numrodepage"/>
        <w:noProof/>
      </w:rPr>
      <w:t>44</w:t>
    </w:r>
    <w:r>
      <w:rPr>
        <w:rStyle w:val="Numrodepage"/>
      </w:rPr>
      <w:fldChar w:fldCharType="end"/>
    </w:r>
    <w:r>
      <w:tab/>
      <w:t>Section III. Critères d’évaluation et de qualification (après pré-qualification)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7510517"/>
      <w:docPartObj>
        <w:docPartGallery w:val="Page Numbers (Top of Page)"/>
        <w:docPartUnique/>
      </w:docPartObj>
    </w:sdtPr>
    <w:sdtEndPr>
      <w:rPr>
        <w:noProof/>
      </w:rPr>
    </w:sdtEndPr>
    <w:sdtContent>
      <w:p w14:paraId="6F2E53F6" w14:textId="3A50D9B2" w:rsidR="00611A83" w:rsidRPr="001F751B" w:rsidRDefault="00611A83" w:rsidP="001F751B">
        <w:pPr>
          <w:pStyle w:val="En-tte"/>
          <w:pBdr>
            <w:bottom w:val="single" w:sz="4" w:space="1" w:color="auto"/>
          </w:pBdr>
          <w:tabs>
            <w:tab w:val="right" w:pos="9356"/>
          </w:tabs>
          <w:ind w:left="0" w:firstLine="0"/>
        </w:pPr>
        <w:r w:rsidRPr="005D6945">
          <w:t xml:space="preserve">Section </w:t>
        </w:r>
        <w:r>
          <w:t>I</w:t>
        </w:r>
        <w:r w:rsidRPr="005D6945">
          <w:t>I</w:t>
        </w:r>
        <w:r>
          <w:t xml:space="preserve"> -</w:t>
        </w:r>
        <w:r w:rsidRPr="005D6945">
          <w:t xml:space="preserve"> </w:t>
        </w:r>
        <w:r w:rsidRPr="004F1398">
          <w:t>Données particulières de l’appel d’offres</w:t>
        </w:r>
        <w:r>
          <w:tab/>
        </w:r>
        <w:r>
          <w:fldChar w:fldCharType="begin"/>
        </w:r>
        <w:r>
          <w:instrText xml:space="preserve"> PAGE   \* MERGEFORMAT </w:instrText>
        </w:r>
        <w:r>
          <w:fldChar w:fldCharType="separate"/>
        </w:r>
        <w:r w:rsidR="0088533F">
          <w:rPr>
            <w:noProof/>
          </w:rPr>
          <w:t>36</w:t>
        </w:r>
        <w:r>
          <w:rPr>
            <w:noProof/>
          </w:rPr>
          <w:fldChar w:fldCharType="end"/>
        </w: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5B4BA1" w14:textId="611713D8" w:rsidR="00611A83" w:rsidRDefault="00611A83" w:rsidP="00005DA6">
    <w:pPr>
      <w:pStyle w:val="En-tte"/>
      <w:pBdr>
        <w:bottom w:val="single" w:sz="4" w:space="1" w:color="auto"/>
      </w:pBdr>
      <w:tabs>
        <w:tab w:val="right" w:pos="12960"/>
      </w:tabs>
      <w:ind w:left="0" w:right="-18" w:firstLine="0"/>
    </w:pPr>
    <w:r>
      <w:rPr>
        <w:rStyle w:val="Numrodepage"/>
      </w:rPr>
      <w:fldChar w:fldCharType="begin"/>
    </w:r>
    <w:r>
      <w:rPr>
        <w:rStyle w:val="Numrodepage"/>
      </w:rPr>
      <w:instrText xml:space="preserve"> PAGE </w:instrText>
    </w:r>
    <w:r>
      <w:rPr>
        <w:rStyle w:val="Numrodepage"/>
      </w:rPr>
      <w:fldChar w:fldCharType="separate"/>
    </w:r>
    <w:r>
      <w:rPr>
        <w:rStyle w:val="Numrodepage"/>
        <w:noProof/>
      </w:rPr>
      <w:t>50</w:t>
    </w:r>
    <w:r>
      <w:rPr>
        <w:rStyle w:val="Numrodepage"/>
      </w:rPr>
      <w:fldChar w:fldCharType="end"/>
    </w:r>
    <w:r>
      <w:tab/>
      <w:t xml:space="preserve">Section III. Critères d’évaluation et de qualification </w:t>
    </w:r>
    <w:r>
      <w:tab/>
      <w:t>(</w:t>
    </w:r>
    <w:r w:rsidRPr="00E21797">
      <w:t xml:space="preserve">Si une Pré Qualification </w:t>
    </w:r>
    <w:r>
      <w:t>n’</w:t>
    </w:r>
    <w:r w:rsidRPr="00E21797">
      <w:t>a</w:t>
    </w:r>
    <w:r>
      <w:t xml:space="preserve"> pas</w:t>
    </w:r>
    <w:r w:rsidRPr="00E21797">
      <w:t xml:space="preserve"> été effectuée préalablement</w:t>
    </w:r>
    <w:r>
      <w: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6717067"/>
      <w:docPartObj>
        <w:docPartGallery w:val="Page Numbers (Top of Page)"/>
        <w:docPartUnique/>
      </w:docPartObj>
    </w:sdtPr>
    <w:sdtEndPr>
      <w:rPr>
        <w:noProof/>
      </w:rPr>
    </w:sdtEndPr>
    <w:sdtContent>
      <w:p w14:paraId="0D210CA3" w14:textId="76AA405B" w:rsidR="00611A83" w:rsidRPr="00644312" w:rsidRDefault="00611A83" w:rsidP="00644312">
        <w:pPr>
          <w:pStyle w:val="En-tte"/>
          <w:pBdr>
            <w:bottom w:val="single" w:sz="4" w:space="1" w:color="auto"/>
          </w:pBdr>
          <w:tabs>
            <w:tab w:val="right" w:pos="13004"/>
          </w:tabs>
          <w:ind w:left="0" w:firstLine="0"/>
        </w:pPr>
        <w:r w:rsidRPr="005D6945">
          <w:t xml:space="preserve">Section </w:t>
        </w:r>
        <w:r>
          <w:t>II</w:t>
        </w:r>
        <w:r w:rsidRPr="005D6945">
          <w:t>I</w:t>
        </w:r>
        <w:r>
          <w:t xml:space="preserve"> -</w:t>
        </w:r>
        <w:r w:rsidRPr="005D6945">
          <w:t xml:space="preserve"> </w:t>
        </w:r>
        <w:r w:rsidRPr="001F751B">
          <w:t>Critères d’évaluation et de qualification</w:t>
        </w:r>
        <w:r>
          <w:tab/>
        </w:r>
        <w:r>
          <w:fldChar w:fldCharType="begin"/>
        </w:r>
        <w:r>
          <w:instrText xml:space="preserve"> PAGE   \* MERGEFORMAT </w:instrText>
        </w:r>
        <w:r>
          <w:fldChar w:fldCharType="separate"/>
        </w:r>
        <w:r w:rsidR="0088533F">
          <w:rPr>
            <w:noProof/>
          </w:rPr>
          <w:t>49</w:t>
        </w:r>
        <w:r>
          <w:rPr>
            <w:noProof/>
          </w:rPr>
          <w:fldChar w:fldCharType="end"/>
        </w:r>
      </w:p>
    </w:sdtContent>
  </w:sdt>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0356920"/>
      <w:docPartObj>
        <w:docPartGallery w:val="Page Numbers (Top of Page)"/>
        <w:docPartUnique/>
      </w:docPartObj>
    </w:sdtPr>
    <w:sdtEndPr>
      <w:rPr>
        <w:noProof/>
      </w:rPr>
    </w:sdtEndPr>
    <w:sdtContent>
      <w:p w14:paraId="7FCC0C3A" w14:textId="21FE30E6" w:rsidR="00611A83" w:rsidRPr="00BB4F08" w:rsidRDefault="00611A83" w:rsidP="00BB4F08">
        <w:pPr>
          <w:pStyle w:val="En-tte"/>
          <w:pBdr>
            <w:bottom w:val="single" w:sz="4" w:space="1" w:color="auto"/>
          </w:pBdr>
          <w:tabs>
            <w:tab w:val="right" w:pos="9356"/>
          </w:tabs>
          <w:ind w:left="0" w:firstLine="0"/>
        </w:pPr>
        <w:r w:rsidRPr="005D6945">
          <w:t xml:space="preserve">Section </w:t>
        </w:r>
        <w:r>
          <w:t>IV -</w:t>
        </w:r>
        <w:r w:rsidRPr="005D6945">
          <w:t xml:space="preserve"> </w:t>
        </w:r>
        <w:r w:rsidRPr="00BB4F08">
          <w:t>Formulaires de soumission</w:t>
        </w:r>
        <w:r>
          <w:tab/>
        </w:r>
        <w:r>
          <w:fldChar w:fldCharType="begin"/>
        </w:r>
        <w:r>
          <w:instrText xml:space="preserve"> PAGE   \* MERGEFORMAT </w:instrText>
        </w:r>
        <w:r>
          <w:fldChar w:fldCharType="separate"/>
        </w:r>
        <w:r w:rsidR="0088533F">
          <w:rPr>
            <w:noProof/>
          </w:rPr>
          <w:t>46</w:t>
        </w:r>
        <w:r>
          <w:rPr>
            <w:noProof/>
          </w:rPr>
          <w:fldChar w:fldCharType="end"/>
        </w:r>
      </w:p>
    </w:sdtContent>
  </w:sdt>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C605FF" w14:textId="6CEE5D32" w:rsidR="00611A83" w:rsidRDefault="00611A83" w:rsidP="0079587C">
    <w:pPr>
      <w:pStyle w:val="En-tte"/>
      <w:pBdr>
        <w:bottom w:val="single" w:sz="4" w:space="1" w:color="auto"/>
      </w:pBdr>
      <w:tabs>
        <w:tab w:val="right" w:pos="9270"/>
      </w:tabs>
      <w:ind w:left="0" w:right="72" w:firstLine="0"/>
    </w:pPr>
    <w:r>
      <w:fldChar w:fldCharType="begin"/>
    </w:r>
    <w:r>
      <w:instrText xml:space="preserve"> PAGE   \* MERGEFORMAT </w:instrText>
    </w:r>
    <w:r>
      <w:fldChar w:fldCharType="separate"/>
    </w:r>
    <w:r>
      <w:rPr>
        <w:noProof/>
      </w:rPr>
      <w:t>112</w:t>
    </w:r>
    <w:r>
      <w:rPr>
        <w:noProof/>
      </w:rPr>
      <w:fldChar w:fldCharType="end"/>
    </w:r>
    <w:r>
      <w:tab/>
    </w:r>
    <w:r w:rsidRPr="00C067E3">
      <w:t xml:space="preserve">Section </w:t>
    </w:r>
    <w:r>
      <w:t>IV. Formulaires de soumission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E9C01B48"/>
    <w:lvl w:ilvl="0">
      <w:start w:val="1"/>
      <w:numFmt w:val="bullet"/>
      <w:pStyle w:val="Listepuces5"/>
      <w:lvlText w:val=""/>
      <w:lvlJc w:val="left"/>
      <w:pPr>
        <w:tabs>
          <w:tab w:val="num" w:pos="1492"/>
        </w:tabs>
        <w:ind w:left="1492" w:hanging="360"/>
      </w:pPr>
      <w:rPr>
        <w:rFonts w:ascii="Symbol" w:hAnsi="Symbol" w:hint="default"/>
      </w:rPr>
    </w:lvl>
  </w:abstractNum>
  <w:abstractNum w:abstractNumId="1">
    <w:nsid w:val="FFFFFFFB"/>
    <w:multiLevelType w:val="multilevel"/>
    <w:tmpl w:val="50B46B02"/>
    <w:lvl w:ilvl="0">
      <w:numFmt w:val="none"/>
      <w:lvlText w:val=""/>
      <w:lvlJc w:val="left"/>
      <w:rPr>
        <w:rFonts w:cs="Times New Roman"/>
      </w:rPr>
    </w:lvl>
    <w:lvl w:ilvl="1">
      <w:numFmt w:val="none"/>
      <w:lvlText w:val=""/>
      <w:lvlJc w:val="left"/>
      <w:rPr>
        <w:rFonts w:cs="Times New Roman"/>
      </w:rPr>
    </w:lvl>
    <w:lvl w:ilvl="2">
      <w:numFmt w:val="none"/>
      <w:lvlText w:val=""/>
      <w:lvlJc w:val="left"/>
      <w:rPr>
        <w:rFonts w:cs="Times New Roman"/>
      </w:rPr>
    </w:lvl>
    <w:lvl w:ilvl="3">
      <w:start w:val="1"/>
      <w:numFmt w:val="lowerRoman"/>
      <w:pStyle w:val="Titre4"/>
      <w:lvlText w:val="(%4)"/>
      <w:legacy w:legacy="1" w:legacySpace="120" w:legacyIndent="648"/>
      <w:lvlJc w:val="left"/>
      <w:pPr>
        <w:ind w:left="1512" w:hanging="648"/>
      </w:pPr>
      <w:rPr>
        <w:rFonts w:cs="Times New Roman"/>
      </w:rPr>
    </w:lvl>
    <w:lvl w:ilvl="4">
      <w:numFmt w:val="none"/>
      <w:lvlText w:val=""/>
      <w:lvlJc w:val="left"/>
      <w:rPr>
        <w:rFonts w:cs="Times New Roman"/>
      </w:rPr>
    </w:lvl>
    <w:lvl w:ilvl="5">
      <w:start w:val="1"/>
      <w:numFmt w:val="decimal"/>
      <w:pStyle w:val="Titre6"/>
      <w:lvlText w:val=".%6"/>
      <w:legacy w:legacy="1" w:legacySpace="120" w:legacyIndent="1152"/>
      <w:lvlJc w:val="left"/>
      <w:pPr>
        <w:ind w:left="1152" w:hanging="1152"/>
      </w:pPr>
      <w:rPr>
        <w:rFonts w:cs="Times New Roman"/>
      </w:rPr>
    </w:lvl>
    <w:lvl w:ilvl="6">
      <w:start w:val="1"/>
      <w:numFmt w:val="decimal"/>
      <w:pStyle w:val="Titre7"/>
      <w:lvlText w:val=".%6.%7"/>
      <w:legacy w:legacy="1" w:legacySpace="120" w:legacyIndent="1296"/>
      <w:lvlJc w:val="left"/>
      <w:pPr>
        <w:ind w:left="1296" w:hanging="1296"/>
      </w:pPr>
      <w:rPr>
        <w:rFonts w:cs="Times New Roman"/>
      </w:rPr>
    </w:lvl>
    <w:lvl w:ilvl="7">
      <w:start w:val="1"/>
      <w:numFmt w:val="decimal"/>
      <w:pStyle w:val="Titre8"/>
      <w:lvlText w:val=".%6.%7.%8"/>
      <w:legacy w:legacy="1" w:legacySpace="120" w:legacyIndent="1440"/>
      <w:lvlJc w:val="left"/>
      <w:pPr>
        <w:ind w:left="1440" w:hanging="1440"/>
      </w:pPr>
      <w:rPr>
        <w:rFonts w:cs="Times New Roman"/>
      </w:rPr>
    </w:lvl>
    <w:lvl w:ilvl="8">
      <w:start w:val="1"/>
      <w:numFmt w:val="decimal"/>
      <w:pStyle w:val="Titre9"/>
      <w:lvlText w:val=".%6.%7.%8.%9"/>
      <w:legacy w:legacy="1" w:legacySpace="120" w:legacyIndent="1584"/>
      <w:lvlJc w:val="left"/>
      <w:pPr>
        <w:ind w:left="1584" w:hanging="1584"/>
      </w:pPr>
      <w:rPr>
        <w:rFonts w:cs="Times New Roman"/>
      </w:rPr>
    </w:lvl>
  </w:abstractNum>
  <w:abstractNum w:abstractNumId="2">
    <w:nsid w:val="01E73918"/>
    <w:multiLevelType w:val="multilevel"/>
    <w:tmpl w:val="E85EF158"/>
    <w:lvl w:ilvl="0">
      <w:start w:val="13"/>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1F419E5"/>
    <w:multiLevelType w:val="hybridMultilevel"/>
    <w:tmpl w:val="4A34FD2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28545A8"/>
    <w:multiLevelType w:val="hybridMultilevel"/>
    <w:tmpl w:val="159EB99C"/>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2D43E31"/>
    <w:multiLevelType w:val="multilevel"/>
    <w:tmpl w:val="E410C1EC"/>
    <w:lvl w:ilvl="0">
      <w:start w:val="23"/>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33F4500"/>
    <w:multiLevelType w:val="hybridMultilevel"/>
    <w:tmpl w:val="C5503576"/>
    <w:lvl w:ilvl="0" w:tplc="AE2C5996">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nsid w:val="03CF3DEC"/>
    <w:multiLevelType w:val="hybridMultilevel"/>
    <w:tmpl w:val="9E1297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03DE0B78"/>
    <w:multiLevelType w:val="hybridMultilevel"/>
    <w:tmpl w:val="48844998"/>
    <w:lvl w:ilvl="0" w:tplc="6B481E5C">
      <w:start w:val="1"/>
      <w:numFmt w:val="lowerRoman"/>
      <w:lvlText w:val="(%1)"/>
      <w:lvlJc w:val="left"/>
      <w:pPr>
        <w:tabs>
          <w:tab w:val="num" w:pos="144"/>
        </w:tabs>
        <w:ind w:left="14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465331A"/>
    <w:multiLevelType w:val="hybridMultilevel"/>
    <w:tmpl w:val="513A9200"/>
    <w:lvl w:ilvl="0" w:tplc="8D50B6E0">
      <w:numFmt w:val="bullet"/>
      <w:lvlText w:val=""/>
      <w:lvlJc w:val="left"/>
      <w:pPr>
        <w:ind w:left="1068" w:hanging="360"/>
      </w:pPr>
      <w:rPr>
        <w:rFonts w:ascii="Symbol" w:eastAsia="Times New Roman" w:hAnsi="Symbol" w:cs="Arial" w:hint="default"/>
        <w:u w:val="none"/>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nsid w:val="04851917"/>
    <w:multiLevelType w:val="multilevel"/>
    <w:tmpl w:val="946203D0"/>
    <w:lvl w:ilvl="0">
      <w:start w:val="1"/>
      <w:numFmt w:val="decimal"/>
      <w:lvlText w:val="%1."/>
      <w:legacy w:legacy="1" w:legacySpace="0" w:legacyIndent="720"/>
      <w:lvlJc w:val="left"/>
      <w:pPr>
        <w:ind w:left="720" w:hanging="720"/>
      </w:pPr>
      <w:rPr>
        <w:rFonts w:cs="Times New Roman"/>
      </w:rPr>
    </w:lvl>
    <w:lvl w:ilvl="1">
      <w:start w:val="1"/>
      <w:numFmt w:val="decimal"/>
      <w:isLgl/>
      <w:lvlText w:val="%1.%2"/>
      <w:lvlJc w:val="left"/>
      <w:pPr>
        <w:ind w:left="540" w:hanging="360"/>
      </w:pPr>
      <w:rPr>
        <w:rFonts w:hint="default"/>
      </w:rPr>
    </w:lvl>
    <w:lvl w:ilvl="2">
      <w:start w:val="6"/>
      <w:numFmt w:val="decimal"/>
      <w:isLgl/>
      <w:lvlText w:val="%1.%2.%3"/>
      <w:lvlJc w:val="left"/>
      <w:pPr>
        <w:ind w:left="1429"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11">
    <w:nsid w:val="05460DFC"/>
    <w:multiLevelType w:val="hybridMultilevel"/>
    <w:tmpl w:val="50CCF940"/>
    <w:lvl w:ilvl="0" w:tplc="040C000D">
      <w:start w:val="1"/>
      <w:numFmt w:val="bullet"/>
      <w:lvlText w:val=""/>
      <w:lvlJc w:val="left"/>
      <w:pPr>
        <w:ind w:left="504" w:hanging="360"/>
      </w:pPr>
      <w:rPr>
        <w:rFonts w:ascii="Wingdings" w:hAnsi="Wingdings" w:hint="default"/>
      </w:rPr>
    </w:lvl>
    <w:lvl w:ilvl="1" w:tplc="040C0003" w:tentative="1">
      <w:start w:val="1"/>
      <w:numFmt w:val="bullet"/>
      <w:lvlText w:val="o"/>
      <w:lvlJc w:val="left"/>
      <w:pPr>
        <w:ind w:left="1224" w:hanging="360"/>
      </w:pPr>
      <w:rPr>
        <w:rFonts w:ascii="Courier New" w:hAnsi="Courier New" w:cs="Courier New" w:hint="default"/>
      </w:rPr>
    </w:lvl>
    <w:lvl w:ilvl="2" w:tplc="040C0005" w:tentative="1">
      <w:start w:val="1"/>
      <w:numFmt w:val="bullet"/>
      <w:lvlText w:val=""/>
      <w:lvlJc w:val="left"/>
      <w:pPr>
        <w:ind w:left="1944" w:hanging="360"/>
      </w:pPr>
      <w:rPr>
        <w:rFonts w:ascii="Wingdings" w:hAnsi="Wingdings" w:hint="default"/>
      </w:rPr>
    </w:lvl>
    <w:lvl w:ilvl="3" w:tplc="040C0001" w:tentative="1">
      <w:start w:val="1"/>
      <w:numFmt w:val="bullet"/>
      <w:lvlText w:val=""/>
      <w:lvlJc w:val="left"/>
      <w:pPr>
        <w:ind w:left="2664" w:hanging="360"/>
      </w:pPr>
      <w:rPr>
        <w:rFonts w:ascii="Symbol" w:hAnsi="Symbol" w:hint="default"/>
      </w:rPr>
    </w:lvl>
    <w:lvl w:ilvl="4" w:tplc="040C0003" w:tentative="1">
      <w:start w:val="1"/>
      <w:numFmt w:val="bullet"/>
      <w:lvlText w:val="o"/>
      <w:lvlJc w:val="left"/>
      <w:pPr>
        <w:ind w:left="3384" w:hanging="360"/>
      </w:pPr>
      <w:rPr>
        <w:rFonts w:ascii="Courier New" w:hAnsi="Courier New" w:cs="Courier New" w:hint="default"/>
      </w:rPr>
    </w:lvl>
    <w:lvl w:ilvl="5" w:tplc="040C0005" w:tentative="1">
      <w:start w:val="1"/>
      <w:numFmt w:val="bullet"/>
      <w:lvlText w:val=""/>
      <w:lvlJc w:val="left"/>
      <w:pPr>
        <w:ind w:left="4104" w:hanging="360"/>
      </w:pPr>
      <w:rPr>
        <w:rFonts w:ascii="Wingdings" w:hAnsi="Wingdings" w:hint="default"/>
      </w:rPr>
    </w:lvl>
    <w:lvl w:ilvl="6" w:tplc="040C0001" w:tentative="1">
      <w:start w:val="1"/>
      <w:numFmt w:val="bullet"/>
      <w:lvlText w:val=""/>
      <w:lvlJc w:val="left"/>
      <w:pPr>
        <w:ind w:left="4824" w:hanging="360"/>
      </w:pPr>
      <w:rPr>
        <w:rFonts w:ascii="Symbol" w:hAnsi="Symbol" w:hint="default"/>
      </w:rPr>
    </w:lvl>
    <w:lvl w:ilvl="7" w:tplc="040C0003" w:tentative="1">
      <w:start w:val="1"/>
      <w:numFmt w:val="bullet"/>
      <w:lvlText w:val="o"/>
      <w:lvlJc w:val="left"/>
      <w:pPr>
        <w:ind w:left="5544" w:hanging="360"/>
      </w:pPr>
      <w:rPr>
        <w:rFonts w:ascii="Courier New" w:hAnsi="Courier New" w:cs="Courier New" w:hint="default"/>
      </w:rPr>
    </w:lvl>
    <w:lvl w:ilvl="8" w:tplc="040C0005" w:tentative="1">
      <w:start w:val="1"/>
      <w:numFmt w:val="bullet"/>
      <w:lvlText w:val=""/>
      <w:lvlJc w:val="left"/>
      <w:pPr>
        <w:ind w:left="6264" w:hanging="360"/>
      </w:pPr>
      <w:rPr>
        <w:rFonts w:ascii="Wingdings" w:hAnsi="Wingdings" w:hint="default"/>
      </w:rPr>
    </w:lvl>
  </w:abstractNum>
  <w:abstractNum w:abstractNumId="12">
    <w:nsid w:val="054B3AC6"/>
    <w:multiLevelType w:val="multilevel"/>
    <w:tmpl w:val="12C80228"/>
    <w:lvl w:ilvl="0">
      <w:start w:val="24"/>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067A37FA"/>
    <w:multiLevelType w:val="multilevel"/>
    <w:tmpl w:val="D9F41D12"/>
    <w:lvl w:ilvl="0">
      <w:start w:val="34"/>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070F06EB"/>
    <w:multiLevelType w:val="hybridMultilevel"/>
    <w:tmpl w:val="A10833B8"/>
    <w:lvl w:ilvl="0" w:tplc="AF8033CA">
      <w:start w:val="1"/>
      <w:numFmt w:val="lowerLetter"/>
      <w:lvlText w:val="(%1)"/>
      <w:lvlJc w:val="left"/>
      <w:pPr>
        <w:ind w:left="3960" w:hanging="360"/>
      </w:pPr>
    </w:lvl>
    <w:lvl w:ilvl="1" w:tplc="04090019">
      <w:start w:val="1"/>
      <w:numFmt w:val="lowerLetter"/>
      <w:lvlText w:val="%2."/>
      <w:lvlJc w:val="left"/>
      <w:pPr>
        <w:tabs>
          <w:tab w:val="num" w:pos="4320"/>
        </w:tabs>
        <w:ind w:left="4320" w:hanging="360"/>
      </w:pPr>
      <w:rPr>
        <w:rFonts w:cs="Times New Roman"/>
      </w:rPr>
    </w:lvl>
    <w:lvl w:ilvl="2" w:tplc="0409001B" w:tentative="1">
      <w:start w:val="1"/>
      <w:numFmt w:val="lowerRoman"/>
      <w:lvlText w:val="%3."/>
      <w:lvlJc w:val="right"/>
      <w:pPr>
        <w:tabs>
          <w:tab w:val="num" w:pos="5040"/>
        </w:tabs>
        <w:ind w:left="5040" w:hanging="180"/>
      </w:pPr>
      <w:rPr>
        <w:rFonts w:cs="Times New Roman"/>
      </w:rPr>
    </w:lvl>
    <w:lvl w:ilvl="3" w:tplc="0409000F" w:tentative="1">
      <w:start w:val="1"/>
      <w:numFmt w:val="decimal"/>
      <w:lvlText w:val="%4."/>
      <w:lvlJc w:val="left"/>
      <w:pPr>
        <w:tabs>
          <w:tab w:val="num" w:pos="5760"/>
        </w:tabs>
        <w:ind w:left="5760" w:hanging="360"/>
      </w:pPr>
      <w:rPr>
        <w:rFonts w:cs="Times New Roman"/>
      </w:rPr>
    </w:lvl>
    <w:lvl w:ilvl="4" w:tplc="04090019" w:tentative="1">
      <w:start w:val="1"/>
      <w:numFmt w:val="lowerLetter"/>
      <w:lvlText w:val="%5."/>
      <w:lvlJc w:val="left"/>
      <w:pPr>
        <w:tabs>
          <w:tab w:val="num" w:pos="6480"/>
        </w:tabs>
        <w:ind w:left="6480" w:hanging="360"/>
      </w:pPr>
      <w:rPr>
        <w:rFonts w:cs="Times New Roman"/>
      </w:rPr>
    </w:lvl>
    <w:lvl w:ilvl="5" w:tplc="0409001B" w:tentative="1">
      <w:start w:val="1"/>
      <w:numFmt w:val="lowerRoman"/>
      <w:lvlText w:val="%6."/>
      <w:lvlJc w:val="right"/>
      <w:pPr>
        <w:tabs>
          <w:tab w:val="num" w:pos="7200"/>
        </w:tabs>
        <w:ind w:left="7200" w:hanging="180"/>
      </w:pPr>
      <w:rPr>
        <w:rFonts w:cs="Times New Roman"/>
      </w:rPr>
    </w:lvl>
    <w:lvl w:ilvl="6" w:tplc="0409000F" w:tentative="1">
      <w:start w:val="1"/>
      <w:numFmt w:val="decimal"/>
      <w:lvlText w:val="%7."/>
      <w:lvlJc w:val="left"/>
      <w:pPr>
        <w:tabs>
          <w:tab w:val="num" w:pos="7920"/>
        </w:tabs>
        <w:ind w:left="7920" w:hanging="360"/>
      </w:pPr>
      <w:rPr>
        <w:rFonts w:cs="Times New Roman"/>
      </w:rPr>
    </w:lvl>
    <w:lvl w:ilvl="7" w:tplc="04090019" w:tentative="1">
      <w:start w:val="1"/>
      <w:numFmt w:val="lowerLetter"/>
      <w:lvlText w:val="%8."/>
      <w:lvlJc w:val="left"/>
      <w:pPr>
        <w:tabs>
          <w:tab w:val="num" w:pos="8640"/>
        </w:tabs>
        <w:ind w:left="8640" w:hanging="360"/>
      </w:pPr>
      <w:rPr>
        <w:rFonts w:cs="Times New Roman"/>
      </w:rPr>
    </w:lvl>
    <w:lvl w:ilvl="8" w:tplc="0409001B" w:tentative="1">
      <w:start w:val="1"/>
      <w:numFmt w:val="lowerRoman"/>
      <w:lvlText w:val="%9."/>
      <w:lvlJc w:val="right"/>
      <w:pPr>
        <w:tabs>
          <w:tab w:val="num" w:pos="9360"/>
        </w:tabs>
        <w:ind w:left="9360" w:hanging="180"/>
      </w:pPr>
      <w:rPr>
        <w:rFonts w:cs="Times New Roman"/>
      </w:rPr>
    </w:lvl>
  </w:abstractNum>
  <w:abstractNum w:abstractNumId="15">
    <w:nsid w:val="07CD62BD"/>
    <w:multiLevelType w:val="singleLevel"/>
    <w:tmpl w:val="81D4336E"/>
    <w:lvl w:ilvl="0">
      <w:start w:val="5"/>
      <w:numFmt w:val="bullet"/>
      <w:lvlText w:val="-"/>
      <w:lvlJc w:val="left"/>
      <w:pPr>
        <w:tabs>
          <w:tab w:val="num" w:pos="927"/>
        </w:tabs>
        <w:ind w:left="927" w:hanging="360"/>
      </w:pPr>
      <w:rPr>
        <w:rFonts w:hint="default"/>
      </w:rPr>
    </w:lvl>
  </w:abstractNum>
  <w:abstractNum w:abstractNumId="16">
    <w:nsid w:val="08ED261C"/>
    <w:multiLevelType w:val="hybridMultilevel"/>
    <w:tmpl w:val="5F84E6B2"/>
    <w:lvl w:ilvl="0" w:tplc="47528BAC">
      <w:start w:val="1"/>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7">
    <w:nsid w:val="09E2589E"/>
    <w:multiLevelType w:val="hybridMultilevel"/>
    <w:tmpl w:val="CDB8B646"/>
    <w:lvl w:ilvl="0" w:tplc="7E0C0B94">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0B15633D"/>
    <w:multiLevelType w:val="hybridMultilevel"/>
    <w:tmpl w:val="E6BA16D4"/>
    <w:lvl w:ilvl="0" w:tplc="6CFEBA44">
      <w:start w:val="1"/>
      <w:numFmt w:val="bullet"/>
      <w:lvlText w:val=""/>
      <w:lvlJc w:val="left"/>
      <w:pPr>
        <w:ind w:left="936" w:hanging="360"/>
      </w:pPr>
      <w:rPr>
        <w:rFonts w:ascii="Symbol" w:hAnsi="Symbol" w:hint="default"/>
        <w:color w:val="auto"/>
      </w:rPr>
    </w:lvl>
    <w:lvl w:ilvl="1" w:tplc="04090003" w:tentative="1">
      <w:start w:val="1"/>
      <w:numFmt w:val="bullet"/>
      <w:lvlText w:val="o"/>
      <w:lvlJc w:val="left"/>
      <w:pPr>
        <w:ind w:left="1656" w:hanging="360"/>
      </w:pPr>
      <w:rPr>
        <w:rFonts w:ascii="Courier New" w:hAnsi="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9">
    <w:nsid w:val="0CB70B6D"/>
    <w:multiLevelType w:val="hybridMultilevel"/>
    <w:tmpl w:val="7632C38A"/>
    <w:lvl w:ilvl="0" w:tplc="EB18934C">
      <w:start w:val="3"/>
      <w:numFmt w:val="bullet"/>
      <w:lvlText w:val="-"/>
      <w:lvlJc w:val="left"/>
      <w:pPr>
        <w:tabs>
          <w:tab w:val="num" w:pos="450"/>
        </w:tabs>
        <w:ind w:left="450" w:hanging="540"/>
      </w:pPr>
      <w:rPr>
        <w:rFonts w:ascii="Times New Roman" w:eastAsia="Times New Roman" w:hAnsi="Times New Roman" w:hint="default"/>
      </w:rPr>
    </w:lvl>
    <w:lvl w:ilvl="1" w:tplc="04090003">
      <w:start w:val="1"/>
      <w:numFmt w:val="bullet"/>
      <w:lvlText w:val="o"/>
      <w:lvlJc w:val="left"/>
      <w:pPr>
        <w:tabs>
          <w:tab w:val="num" w:pos="990"/>
        </w:tabs>
        <w:ind w:left="990" w:hanging="360"/>
      </w:pPr>
      <w:rPr>
        <w:rFonts w:ascii="Courier New" w:hAnsi="Courier New" w:hint="default"/>
      </w:rPr>
    </w:lvl>
    <w:lvl w:ilvl="2" w:tplc="04090005" w:tentative="1">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20">
    <w:nsid w:val="0CC344D7"/>
    <w:multiLevelType w:val="hybridMultilevel"/>
    <w:tmpl w:val="0F2425E0"/>
    <w:lvl w:ilvl="0" w:tplc="04090019">
      <w:start w:val="1"/>
      <w:numFmt w:val="lowerLetter"/>
      <w:lvlText w:val="%1."/>
      <w:lvlJc w:val="left"/>
      <w:pPr>
        <w:ind w:left="720" w:hanging="360"/>
      </w:pPr>
      <w:rPr>
        <w:rFonts w:cs="Times New Roman"/>
      </w:rPr>
    </w:lvl>
    <w:lvl w:ilvl="1" w:tplc="040C001B">
      <w:start w:val="1"/>
      <w:numFmt w:val="lowerRoman"/>
      <w:lvlText w:val="%2."/>
      <w:lvlJc w:val="right"/>
      <w:pPr>
        <w:ind w:left="1440" w:hanging="360"/>
      </w:pPr>
    </w:lvl>
    <w:lvl w:ilvl="2" w:tplc="64044598">
      <w:start w:val="6"/>
      <w:numFmt w:val="bullet"/>
      <w:lvlText w:val="-"/>
      <w:lvlJc w:val="left"/>
      <w:pPr>
        <w:ind w:left="1928" w:hanging="170"/>
      </w:pPr>
      <w:rPr>
        <w:rFonts w:ascii="Times New Roman" w:eastAsia="Times New Roman" w:hAnsi="Times New Roman"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0CE563A7"/>
    <w:multiLevelType w:val="hybridMultilevel"/>
    <w:tmpl w:val="A976A83A"/>
    <w:lvl w:ilvl="0" w:tplc="7E0C0B94">
      <w:start w:val="5"/>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0D577B75"/>
    <w:multiLevelType w:val="hybridMultilevel"/>
    <w:tmpl w:val="0554A3C2"/>
    <w:lvl w:ilvl="0" w:tplc="6CFEBA44">
      <w:start w:val="1"/>
      <w:numFmt w:val="bullet"/>
      <w:lvlText w:val=""/>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3">
    <w:nsid w:val="0DBF7BBE"/>
    <w:multiLevelType w:val="hybridMultilevel"/>
    <w:tmpl w:val="EFE4C526"/>
    <w:lvl w:ilvl="0" w:tplc="6B58A77E">
      <w:numFmt w:val="bullet"/>
      <w:lvlText w:val="-"/>
      <w:lvlJc w:val="left"/>
      <w:pPr>
        <w:tabs>
          <w:tab w:val="num" w:pos="1080"/>
        </w:tabs>
        <w:ind w:left="1080" w:hanging="360"/>
      </w:pPr>
      <w:rPr>
        <w:rFonts w:ascii="Verdana" w:eastAsia="Times New Roman" w:hAnsi="Verdana" w:cs="Times New Roman"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4">
    <w:nsid w:val="0DE30277"/>
    <w:multiLevelType w:val="multilevel"/>
    <w:tmpl w:val="246A81B0"/>
    <w:lvl w:ilvl="0">
      <w:start w:val="4"/>
      <w:numFmt w:val="decimal"/>
      <w:lvlText w:val="%1."/>
      <w:lvlJc w:val="left"/>
      <w:pPr>
        <w:ind w:left="576" w:hanging="576"/>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0E42354A"/>
    <w:multiLevelType w:val="hybridMultilevel"/>
    <w:tmpl w:val="431C0D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0E463479"/>
    <w:multiLevelType w:val="singleLevel"/>
    <w:tmpl w:val="A5C64B3C"/>
    <w:lvl w:ilvl="0">
      <w:start w:val="1"/>
      <w:numFmt w:val="decimal"/>
      <w:lvlText w:val="15.%1"/>
      <w:legacy w:legacy="1" w:legacySpace="120" w:legacyIndent="576"/>
      <w:lvlJc w:val="left"/>
      <w:pPr>
        <w:ind w:left="576" w:hanging="576"/>
      </w:pPr>
      <w:rPr>
        <w:rFonts w:cs="Times New Roman"/>
      </w:rPr>
    </w:lvl>
  </w:abstractNum>
  <w:abstractNum w:abstractNumId="27">
    <w:nsid w:val="0EEF077E"/>
    <w:multiLevelType w:val="hybridMultilevel"/>
    <w:tmpl w:val="3DAA19C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10E54937"/>
    <w:multiLevelType w:val="hybridMultilevel"/>
    <w:tmpl w:val="0DC6E74C"/>
    <w:lvl w:ilvl="0" w:tplc="7E0C0B94">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10EC734C"/>
    <w:multiLevelType w:val="hybridMultilevel"/>
    <w:tmpl w:val="954E7A32"/>
    <w:lvl w:ilvl="0" w:tplc="8E549408">
      <w:start w:val="1"/>
      <w:numFmt w:val="bullet"/>
      <w:pStyle w:val="Puce1"/>
      <w:lvlText w:val=""/>
      <w:lvlJc w:val="left"/>
      <w:pPr>
        <w:ind w:left="720" w:hanging="360"/>
      </w:pPr>
      <w:rPr>
        <w:rFonts w:ascii="Symbol" w:hAnsi="Symbol" w:hint="default"/>
      </w:rPr>
    </w:lvl>
    <w:lvl w:ilvl="1" w:tplc="26ECB042">
      <w:start w:val="1"/>
      <w:numFmt w:val="bullet"/>
      <w:lvlText w:val="o"/>
      <w:lvlJc w:val="left"/>
      <w:pPr>
        <w:ind w:left="1440" w:hanging="360"/>
      </w:pPr>
      <w:rPr>
        <w:rFonts w:ascii="Courier New" w:hAnsi="Courier New" w:cs="Courier New" w:hint="default"/>
      </w:rPr>
    </w:lvl>
    <w:lvl w:ilvl="2" w:tplc="4CD87DA8">
      <w:start w:val="1"/>
      <w:numFmt w:val="bullet"/>
      <w:pStyle w:val="Puce3"/>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nsid w:val="1252790D"/>
    <w:multiLevelType w:val="hybridMultilevel"/>
    <w:tmpl w:val="6742CB1E"/>
    <w:lvl w:ilvl="0" w:tplc="7E0C0B94">
      <w:start w:val="5"/>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12933EA1"/>
    <w:multiLevelType w:val="multilevel"/>
    <w:tmpl w:val="30EE7522"/>
    <w:lvl w:ilvl="0">
      <w:start w:val="17"/>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b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nsid w:val="134C7D77"/>
    <w:multiLevelType w:val="hybridMultilevel"/>
    <w:tmpl w:val="F79E08F0"/>
    <w:lvl w:ilvl="0" w:tplc="AF8033CA">
      <w:start w:val="1"/>
      <w:numFmt w:val="lowerLetter"/>
      <w:lvlText w:val="(%1)"/>
      <w:lvlJc w:val="left"/>
      <w:pPr>
        <w:ind w:left="927" w:hanging="360"/>
      </w:pPr>
      <w:rPr>
        <w:rFonts w:hint="default"/>
        <w:b w:val="0"/>
        <w:sz w:val="24"/>
        <w:szCs w:val="24"/>
      </w:rPr>
    </w:lvl>
    <w:lvl w:ilvl="1" w:tplc="040C0019">
      <w:start w:val="1"/>
      <w:numFmt w:val="lowerLetter"/>
      <w:lvlText w:val="%2."/>
      <w:lvlJc w:val="left"/>
      <w:pPr>
        <w:ind w:left="1656" w:hanging="360"/>
      </w:pPr>
    </w:lvl>
    <w:lvl w:ilvl="2" w:tplc="040C001B" w:tentative="1">
      <w:start w:val="1"/>
      <w:numFmt w:val="lowerRoman"/>
      <w:lvlText w:val="%3."/>
      <w:lvlJc w:val="right"/>
      <w:pPr>
        <w:ind w:left="2376" w:hanging="180"/>
      </w:pPr>
    </w:lvl>
    <w:lvl w:ilvl="3" w:tplc="040C000F" w:tentative="1">
      <w:start w:val="1"/>
      <w:numFmt w:val="decimal"/>
      <w:lvlText w:val="%4."/>
      <w:lvlJc w:val="left"/>
      <w:pPr>
        <w:ind w:left="3096" w:hanging="360"/>
      </w:pPr>
    </w:lvl>
    <w:lvl w:ilvl="4" w:tplc="040C0019" w:tentative="1">
      <w:start w:val="1"/>
      <w:numFmt w:val="lowerLetter"/>
      <w:lvlText w:val="%5."/>
      <w:lvlJc w:val="left"/>
      <w:pPr>
        <w:ind w:left="3816" w:hanging="360"/>
      </w:pPr>
    </w:lvl>
    <w:lvl w:ilvl="5" w:tplc="040C001B" w:tentative="1">
      <w:start w:val="1"/>
      <w:numFmt w:val="lowerRoman"/>
      <w:lvlText w:val="%6."/>
      <w:lvlJc w:val="right"/>
      <w:pPr>
        <w:ind w:left="4536" w:hanging="180"/>
      </w:pPr>
    </w:lvl>
    <w:lvl w:ilvl="6" w:tplc="040C000F" w:tentative="1">
      <w:start w:val="1"/>
      <w:numFmt w:val="decimal"/>
      <w:lvlText w:val="%7."/>
      <w:lvlJc w:val="left"/>
      <w:pPr>
        <w:ind w:left="5256" w:hanging="360"/>
      </w:pPr>
    </w:lvl>
    <w:lvl w:ilvl="7" w:tplc="040C0019" w:tentative="1">
      <w:start w:val="1"/>
      <w:numFmt w:val="lowerLetter"/>
      <w:lvlText w:val="%8."/>
      <w:lvlJc w:val="left"/>
      <w:pPr>
        <w:ind w:left="5976" w:hanging="360"/>
      </w:pPr>
    </w:lvl>
    <w:lvl w:ilvl="8" w:tplc="040C001B" w:tentative="1">
      <w:start w:val="1"/>
      <w:numFmt w:val="lowerRoman"/>
      <w:lvlText w:val="%9."/>
      <w:lvlJc w:val="right"/>
      <w:pPr>
        <w:ind w:left="6696" w:hanging="180"/>
      </w:pPr>
    </w:lvl>
  </w:abstractNum>
  <w:abstractNum w:abstractNumId="33">
    <w:nsid w:val="145E076A"/>
    <w:multiLevelType w:val="hybridMultilevel"/>
    <w:tmpl w:val="295AAB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14DF644E"/>
    <w:multiLevelType w:val="multilevel"/>
    <w:tmpl w:val="247029EC"/>
    <w:lvl w:ilvl="0">
      <w:start w:val="27"/>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150D4745"/>
    <w:multiLevelType w:val="hybridMultilevel"/>
    <w:tmpl w:val="AF109528"/>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1556354B"/>
    <w:multiLevelType w:val="multilevel"/>
    <w:tmpl w:val="2B3E4C56"/>
    <w:lvl w:ilvl="0">
      <w:start w:val="1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169B762A"/>
    <w:multiLevelType w:val="hybridMultilevel"/>
    <w:tmpl w:val="28A4726C"/>
    <w:lvl w:ilvl="0" w:tplc="AF8033CA">
      <w:start w:val="1"/>
      <w:numFmt w:val="lowerLetter"/>
      <w:lvlText w:val="(%1)"/>
      <w:lvlJc w:val="left"/>
      <w:pPr>
        <w:ind w:left="1080" w:hanging="360"/>
      </w:pPr>
    </w:lvl>
    <w:lvl w:ilvl="1" w:tplc="64044598">
      <w:start w:val="6"/>
      <w:numFmt w:val="bullet"/>
      <w:lvlText w:val="-"/>
      <w:lvlJc w:val="left"/>
      <w:pPr>
        <w:tabs>
          <w:tab w:val="num" w:pos="1440"/>
        </w:tabs>
        <w:ind w:left="1440" w:hanging="360"/>
      </w:pPr>
      <w:rPr>
        <w:rFonts w:ascii="Times New Roman" w:eastAsia="Times New Roman" w:hAnsi="Times New Roman" w:hint="default"/>
      </w:rPr>
    </w:lvl>
    <w:lvl w:ilvl="2" w:tplc="359854A6">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nsid w:val="18187A0B"/>
    <w:multiLevelType w:val="multilevel"/>
    <w:tmpl w:val="33EAE7CC"/>
    <w:lvl w:ilvl="0">
      <w:start w:val="3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1A0F6344"/>
    <w:multiLevelType w:val="hybridMultilevel"/>
    <w:tmpl w:val="0AB87306"/>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0">
    <w:nsid w:val="1B11244A"/>
    <w:multiLevelType w:val="singleLevel"/>
    <w:tmpl w:val="EF728D6C"/>
    <w:lvl w:ilvl="0">
      <w:start w:val="1"/>
      <w:numFmt w:val="lowerRoman"/>
      <w:lvlText w:val="(%1)"/>
      <w:lvlJc w:val="left"/>
      <w:pPr>
        <w:ind w:left="1440" w:hanging="360"/>
      </w:pPr>
      <w:rPr>
        <w:rFonts w:hint="default"/>
      </w:rPr>
    </w:lvl>
  </w:abstractNum>
  <w:abstractNum w:abstractNumId="41">
    <w:nsid w:val="1B431771"/>
    <w:multiLevelType w:val="multilevel"/>
    <w:tmpl w:val="E4648FF4"/>
    <w:lvl w:ilvl="0">
      <w:start w:val="3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1D3C3584"/>
    <w:multiLevelType w:val="hybridMultilevel"/>
    <w:tmpl w:val="7D441EB2"/>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1D5456AF"/>
    <w:multiLevelType w:val="hybridMultilevel"/>
    <w:tmpl w:val="6F5C9438"/>
    <w:lvl w:ilvl="0" w:tplc="040C0003">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1DE92AEE"/>
    <w:multiLevelType w:val="hybridMultilevel"/>
    <w:tmpl w:val="AE5A1F2E"/>
    <w:lvl w:ilvl="0" w:tplc="F5242B3A">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1E525BC7"/>
    <w:multiLevelType w:val="multilevel"/>
    <w:tmpl w:val="79483C8E"/>
    <w:lvl w:ilvl="0">
      <w:start w:val="3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1E571725"/>
    <w:multiLevelType w:val="multilevel"/>
    <w:tmpl w:val="D27A24E6"/>
    <w:lvl w:ilvl="0">
      <w:start w:val="1"/>
      <w:numFmt w:val="decimal"/>
      <w:lvlText w:val="%1."/>
      <w:lvlJc w:val="left"/>
      <w:pPr>
        <w:ind w:left="720" w:hanging="360"/>
      </w:pPr>
      <w:rPr>
        <w:rFonts w:hint="default"/>
      </w:rPr>
    </w:lvl>
    <w:lvl w:ilvl="1">
      <w:start w:val="6"/>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nsid w:val="1EF00B83"/>
    <w:multiLevelType w:val="multilevel"/>
    <w:tmpl w:val="F6386E7C"/>
    <w:lvl w:ilvl="0">
      <w:start w:val="12"/>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nsid w:val="1F4B36C0"/>
    <w:multiLevelType w:val="hybridMultilevel"/>
    <w:tmpl w:val="37C00AC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nsid w:val="1F664667"/>
    <w:multiLevelType w:val="hybridMultilevel"/>
    <w:tmpl w:val="470C071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nsid w:val="21783B36"/>
    <w:multiLevelType w:val="hybridMultilevel"/>
    <w:tmpl w:val="9A64580E"/>
    <w:lvl w:ilvl="0" w:tplc="7E0C0B94">
      <w:start w:val="5"/>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1">
    <w:nsid w:val="22222710"/>
    <w:multiLevelType w:val="hybridMultilevel"/>
    <w:tmpl w:val="A3E8865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2">
    <w:nsid w:val="233C7F34"/>
    <w:multiLevelType w:val="hybridMultilevel"/>
    <w:tmpl w:val="6C2A2436"/>
    <w:lvl w:ilvl="0" w:tplc="7E0C0B94">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nsid w:val="23B623F1"/>
    <w:multiLevelType w:val="hybridMultilevel"/>
    <w:tmpl w:val="0390FFB6"/>
    <w:lvl w:ilvl="0" w:tplc="7E0C0B94">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nsid w:val="25224DBB"/>
    <w:multiLevelType w:val="hybridMultilevel"/>
    <w:tmpl w:val="85244C90"/>
    <w:lvl w:ilvl="0" w:tplc="7E0C0B94">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nsid w:val="261E0B5A"/>
    <w:multiLevelType w:val="hybridMultilevel"/>
    <w:tmpl w:val="628CF8E4"/>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nsid w:val="26431F84"/>
    <w:multiLevelType w:val="hybridMultilevel"/>
    <w:tmpl w:val="9FB4235C"/>
    <w:lvl w:ilvl="0" w:tplc="040C0001">
      <w:start w:val="1"/>
      <w:numFmt w:val="bullet"/>
      <w:lvlText w:val=""/>
      <w:lvlJc w:val="left"/>
      <w:pPr>
        <w:ind w:left="1122" w:hanging="360"/>
      </w:pPr>
      <w:rPr>
        <w:rFonts w:ascii="Symbol" w:hAnsi="Symbol" w:hint="default"/>
      </w:rPr>
    </w:lvl>
    <w:lvl w:ilvl="1" w:tplc="040C0003" w:tentative="1">
      <w:start w:val="1"/>
      <w:numFmt w:val="bullet"/>
      <w:lvlText w:val="o"/>
      <w:lvlJc w:val="left"/>
      <w:pPr>
        <w:ind w:left="1842" w:hanging="360"/>
      </w:pPr>
      <w:rPr>
        <w:rFonts w:ascii="Courier New" w:hAnsi="Courier New" w:cs="Courier New" w:hint="default"/>
      </w:rPr>
    </w:lvl>
    <w:lvl w:ilvl="2" w:tplc="040C0005" w:tentative="1">
      <w:start w:val="1"/>
      <w:numFmt w:val="bullet"/>
      <w:lvlText w:val=""/>
      <w:lvlJc w:val="left"/>
      <w:pPr>
        <w:ind w:left="2562" w:hanging="360"/>
      </w:pPr>
      <w:rPr>
        <w:rFonts w:ascii="Wingdings" w:hAnsi="Wingdings" w:hint="default"/>
      </w:rPr>
    </w:lvl>
    <w:lvl w:ilvl="3" w:tplc="040C0001" w:tentative="1">
      <w:start w:val="1"/>
      <w:numFmt w:val="bullet"/>
      <w:lvlText w:val=""/>
      <w:lvlJc w:val="left"/>
      <w:pPr>
        <w:ind w:left="3282" w:hanging="360"/>
      </w:pPr>
      <w:rPr>
        <w:rFonts w:ascii="Symbol" w:hAnsi="Symbol" w:hint="default"/>
      </w:rPr>
    </w:lvl>
    <w:lvl w:ilvl="4" w:tplc="040C0003" w:tentative="1">
      <w:start w:val="1"/>
      <w:numFmt w:val="bullet"/>
      <w:lvlText w:val="o"/>
      <w:lvlJc w:val="left"/>
      <w:pPr>
        <w:ind w:left="4002" w:hanging="360"/>
      </w:pPr>
      <w:rPr>
        <w:rFonts w:ascii="Courier New" w:hAnsi="Courier New" w:cs="Courier New" w:hint="default"/>
      </w:rPr>
    </w:lvl>
    <w:lvl w:ilvl="5" w:tplc="040C0005" w:tentative="1">
      <w:start w:val="1"/>
      <w:numFmt w:val="bullet"/>
      <w:lvlText w:val=""/>
      <w:lvlJc w:val="left"/>
      <w:pPr>
        <w:ind w:left="4722" w:hanging="360"/>
      </w:pPr>
      <w:rPr>
        <w:rFonts w:ascii="Wingdings" w:hAnsi="Wingdings" w:hint="default"/>
      </w:rPr>
    </w:lvl>
    <w:lvl w:ilvl="6" w:tplc="040C0001" w:tentative="1">
      <w:start w:val="1"/>
      <w:numFmt w:val="bullet"/>
      <w:lvlText w:val=""/>
      <w:lvlJc w:val="left"/>
      <w:pPr>
        <w:ind w:left="5442" w:hanging="360"/>
      </w:pPr>
      <w:rPr>
        <w:rFonts w:ascii="Symbol" w:hAnsi="Symbol" w:hint="default"/>
      </w:rPr>
    </w:lvl>
    <w:lvl w:ilvl="7" w:tplc="040C0003" w:tentative="1">
      <w:start w:val="1"/>
      <w:numFmt w:val="bullet"/>
      <w:lvlText w:val="o"/>
      <w:lvlJc w:val="left"/>
      <w:pPr>
        <w:ind w:left="6162" w:hanging="360"/>
      </w:pPr>
      <w:rPr>
        <w:rFonts w:ascii="Courier New" w:hAnsi="Courier New" w:cs="Courier New" w:hint="default"/>
      </w:rPr>
    </w:lvl>
    <w:lvl w:ilvl="8" w:tplc="040C0005" w:tentative="1">
      <w:start w:val="1"/>
      <w:numFmt w:val="bullet"/>
      <w:lvlText w:val=""/>
      <w:lvlJc w:val="left"/>
      <w:pPr>
        <w:ind w:left="6882" w:hanging="360"/>
      </w:pPr>
      <w:rPr>
        <w:rFonts w:ascii="Wingdings" w:hAnsi="Wingdings" w:hint="default"/>
      </w:rPr>
    </w:lvl>
  </w:abstractNum>
  <w:abstractNum w:abstractNumId="57">
    <w:nsid w:val="27DF5EC8"/>
    <w:multiLevelType w:val="hybridMultilevel"/>
    <w:tmpl w:val="D6BC96DC"/>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8">
    <w:nsid w:val="299572ED"/>
    <w:multiLevelType w:val="hybridMultilevel"/>
    <w:tmpl w:val="65DC25E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nsid w:val="29BD7B8D"/>
    <w:multiLevelType w:val="singleLevel"/>
    <w:tmpl w:val="AF8033CA"/>
    <w:lvl w:ilvl="0">
      <w:start w:val="1"/>
      <w:numFmt w:val="lowerLetter"/>
      <w:lvlText w:val="(%1)"/>
      <w:lvlJc w:val="left"/>
      <w:pPr>
        <w:ind w:left="720" w:hanging="360"/>
      </w:pPr>
    </w:lvl>
  </w:abstractNum>
  <w:abstractNum w:abstractNumId="60">
    <w:nsid w:val="29F42DBE"/>
    <w:multiLevelType w:val="hybridMultilevel"/>
    <w:tmpl w:val="239ED178"/>
    <w:lvl w:ilvl="0" w:tplc="7E0C0B94">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nsid w:val="29FF56F4"/>
    <w:multiLevelType w:val="hybridMultilevel"/>
    <w:tmpl w:val="0DE67F9A"/>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2">
    <w:nsid w:val="2C6E3D0E"/>
    <w:multiLevelType w:val="hybridMultilevel"/>
    <w:tmpl w:val="F828BC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nsid w:val="2DE27217"/>
    <w:multiLevelType w:val="hybridMultilevel"/>
    <w:tmpl w:val="3D648070"/>
    <w:lvl w:ilvl="0" w:tplc="F76A58F6">
      <w:start w:val="9"/>
      <w:numFmt w:val="bullet"/>
      <w:lvlText w:val="-"/>
      <w:lvlJc w:val="left"/>
      <w:pPr>
        <w:ind w:left="774" w:hanging="360"/>
      </w:pPr>
      <w:rPr>
        <w:rFonts w:ascii="Times New Roman" w:eastAsiaTheme="minorHAnsi" w:hAnsi="Times New Roman" w:cs="Times New Roman"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64">
    <w:nsid w:val="2DEB5CDC"/>
    <w:multiLevelType w:val="hybridMultilevel"/>
    <w:tmpl w:val="817CE7FA"/>
    <w:lvl w:ilvl="0" w:tplc="04090017">
      <w:start w:val="1"/>
      <w:numFmt w:val="lowerLetter"/>
      <w:lvlText w:val="%1)"/>
      <w:lvlJc w:val="left"/>
      <w:pPr>
        <w:ind w:left="1377" w:hanging="360"/>
      </w:pPr>
    </w:lvl>
    <w:lvl w:ilvl="1" w:tplc="04090019" w:tentative="1">
      <w:start w:val="1"/>
      <w:numFmt w:val="lowerLetter"/>
      <w:lvlText w:val="%2."/>
      <w:lvlJc w:val="left"/>
      <w:pPr>
        <w:ind w:left="2097" w:hanging="360"/>
      </w:pPr>
    </w:lvl>
    <w:lvl w:ilvl="2" w:tplc="0409001B" w:tentative="1">
      <w:start w:val="1"/>
      <w:numFmt w:val="lowerRoman"/>
      <w:lvlText w:val="%3."/>
      <w:lvlJc w:val="right"/>
      <w:pPr>
        <w:ind w:left="2817" w:hanging="180"/>
      </w:pPr>
    </w:lvl>
    <w:lvl w:ilvl="3" w:tplc="0409000F" w:tentative="1">
      <w:start w:val="1"/>
      <w:numFmt w:val="decimal"/>
      <w:lvlText w:val="%4."/>
      <w:lvlJc w:val="left"/>
      <w:pPr>
        <w:ind w:left="3537" w:hanging="360"/>
      </w:pPr>
    </w:lvl>
    <w:lvl w:ilvl="4" w:tplc="04090019" w:tentative="1">
      <w:start w:val="1"/>
      <w:numFmt w:val="lowerLetter"/>
      <w:lvlText w:val="%5."/>
      <w:lvlJc w:val="left"/>
      <w:pPr>
        <w:ind w:left="4257" w:hanging="360"/>
      </w:pPr>
    </w:lvl>
    <w:lvl w:ilvl="5" w:tplc="0409001B" w:tentative="1">
      <w:start w:val="1"/>
      <w:numFmt w:val="lowerRoman"/>
      <w:lvlText w:val="%6."/>
      <w:lvlJc w:val="right"/>
      <w:pPr>
        <w:ind w:left="4977" w:hanging="180"/>
      </w:pPr>
    </w:lvl>
    <w:lvl w:ilvl="6" w:tplc="0409000F" w:tentative="1">
      <w:start w:val="1"/>
      <w:numFmt w:val="decimal"/>
      <w:lvlText w:val="%7."/>
      <w:lvlJc w:val="left"/>
      <w:pPr>
        <w:ind w:left="5697" w:hanging="360"/>
      </w:pPr>
    </w:lvl>
    <w:lvl w:ilvl="7" w:tplc="04090019" w:tentative="1">
      <w:start w:val="1"/>
      <w:numFmt w:val="lowerLetter"/>
      <w:lvlText w:val="%8."/>
      <w:lvlJc w:val="left"/>
      <w:pPr>
        <w:ind w:left="6417" w:hanging="360"/>
      </w:pPr>
    </w:lvl>
    <w:lvl w:ilvl="8" w:tplc="0409001B" w:tentative="1">
      <w:start w:val="1"/>
      <w:numFmt w:val="lowerRoman"/>
      <w:lvlText w:val="%9."/>
      <w:lvlJc w:val="right"/>
      <w:pPr>
        <w:ind w:left="7137" w:hanging="180"/>
      </w:pPr>
    </w:lvl>
  </w:abstractNum>
  <w:abstractNum w:abstractNumId="65">
    <w:nsid w:val="2E05242D"/>
    <w:multiLevelType w:val="hybridMultilevel"/>
    <w:tmpl w:val="10F6173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nsid w:val="2E3C66DF"/>
    <w:multiLevelType w:val="singleLevel"/>
    <w:tmpl w:val="AF8033CA"/>
    <w:lvl w:ilvl="0">
      <w:start w:val="1"/>
      <w:numFmt w:val="lowerLetter"/>
      <w:lvlText w:val="(%1)"/>
      <w:lvlJc w:val="left"/>
      <w:pPr>
        <w:ind w:left="927" w:hanging="360"/>
      </w:pPr>
    </w:lvl>
  </w:abstractNum>
  <w:abstractNum w:abstractNumId="67">
    <w:nsid w:val="2E890339"/>
    <w:multiLevelType w:val="multilevel"/>
    <w:tmpl w:val="23EC608E"/>
    <w:lvl w:ilvl="0">
      <w:start w:val="8"/>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nsid w:val="2E971FCE"/>
    <w:multiLevelType w:val="hybridMultilevel"/>
    <w:tmpl w:val="D0B06FE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nsid w:val="2EEF4A19"/>
    <w:multiLevelType w:val="singleLevel"/>
    <w:tmpl w:val="F0E4045A"/>
    <w:lvl w:ilvl="0">
      <w:start w:val="1"/>
      <w:numFmt w:val="decimal"/>
      <w:lvlText w:val="22.%1"/>
      <w:legacy w:legacy="1" w:legacySpace="120" w:legacyIndent="576"/>
      <w:lvlJc w:val="left"/>
      <w:pPr>
        <w:ind w:left="576" w:hanging="576"/>
      </w:pPr>
      <w:rPr>
        <w:rFonts w:cs="Times New Roman"/>
      </w:rPr>
    </w:lvl>
  </w:abstractNum>
  <w:abstractNum w:abstractNumId="70">
    <w:nsid w:val="2F882540"/>
    <w:multiLevelType w:val="hybridMultilevel"/>
    <w:tmpl w:val="9CCA8528"/>
    <w:lvl w:ilvl="0" w:tplc="040C0001">
      <w:start w:val="1"/>
      <w:numFmt w:val="bullet"/>
      <w:lvlText w:val=""/>
      <w:lvlJc w:val="left"/>
      <w:pPr>
        <w:ind w:left="1122" w:hanging="360"/>
      </w:pPr>
      <w:rPr>
        <w:rFonts w:ascii="Symbol" w:hAnsi="Symbol" w:hint="default"/>
      </w:rPr>
    </w:lvl>
    <w:lvl w:ilvl="1" w:tplc="040C0003" w:tentative="1">
      <w:start w:val="1"/>
      <w:numFmt w:val="bullet"/>
      <w:lvlText w:val="o"/>
      <w:lvlJc w:val="left"/>
      <w:pPr>
        <w:ind w:left="1842" w:hanging="360"/>
      </w:pPr>
      <w:rPr>
        <w:rFonts w:ascii="Courier New" w:hAnsi="Courier New" w:cs="Courier New" w:hint="default"/>
      </w:rPr>
    </w:lvl>
    <w:lvl w:ilvl="2" w:tplc="040C0005" w:tentative="1">
      <w:start w:val="1"/>
      <w:numFmt w:val="bullet"/>
      <w:lvlText w:val=""/>
      <w:lvlJc w:val="left"/>
      <w:pPr>
        <w:ind w:left="2562" w:hanging="360"/>
      </w:pPr>
      <w:rPr>
        <w:rFonts w:ascii="Wingdings" w:hAnsi="Wingdings" w:hint="default"/>
      </w:rPr>
    </w:lvl>
    <w:lvl w:ilvl="3" w:tplc="040C0001" w:tentative="1">
      <w:start w:val="1"/>
      <w:numFmt w:val="bullet"/>
      <w:lvlText w:val=""/>
      <w:lvlJc w:val="left"/>
      <w:pPr>
        <w:ind w:left="3282" w:hanging="360"/>
      </w:pPr>
      <w:rPr>
        <w:rFonts w:ascii="Symbol" w:hAnsi="Symbol" w:hint="default"/>
      </w:rPr>
    </w:lvl>
    <w:lvl w:ilvl="4" w:tplc="040C0003" w:tentative="1">
      <w:start w:val="1"/>
      <w:numFmt w:val="bullet"/>
      <w:lvlText w:val="o"/>
      <w:lvlJc w:val="left"/>
      <w:pPr>
        <w:ind w:left="4002" w:hanging="360"/>
      </w:pPr>
      <w:rPr>
        <w:rFonts w:ascii="Courier New" w:hAnsi="Courier New" w:cs="Courier New" w:hint="default"/>
      </w:rPr>
    </w:lvl>
    <w:lvl w:ilvl="5" w:tplc="040C0005" w:tentative="1">
      <w:start w:val="1"/>
      <w:numFmt w:val="bullet"/>
      <w:lvlText w:val=""/>
      <w:lvlJc w:val="left"/>
      <w:pPr>
        <w:ind w:left="4722" w:hanging="360"/>
      </w:pPr>
      <w:rPr>
        <w:rFonts w:ascii="Wingdings" w:hAnsi="Wingdings" w:hint="default"/>
      </w:rPr>
    </w:lvl>
    <w:lvl w:ilvl="6" w:tplc="040C0001" w:tentative="1">
      <w:start w:val="1"/>
      <w:numFmt w:val="bullet"/>
      <w:lvlText w:val=""/>
      <w:lvlJc w:val="left"/>
      <w:pPr>
        <w:ind w:left="5442" w:hanging="360"/>
      </w:pPr>
      <w:rPr>
        <w:rFonts w:ascii="Symbol" w:hAnsi="Symbol" w:hint="default"/>
      </w:rPr>
    </w:lvl>
    <w:lvl w:ilvl="7" w:tplc="040C0003" w:tentative="1">
      <w:start w:val="1"/>
      <w:numFmt w:val="bullet"/>
      <w:lvlText w:val="o"/>
      <w:lvlJc w:val="left"/>
      <w:pPr>
        <w:ind w:left="6162" w:hanging="360"/>
      </w:pPr>
      <w:rPr>
        <w:rFonts w:ascii="Courier New" w:hAnsi="Courier New" w:cs="Courier New" w:hint="default"/>
      </w:rPr>
    </w:lvl>
    <w:lvl w:ilvl="8" w:tplc="040C0005" w:tentative="1">
      <w:start w:val="1"/>
      <w:numFmt w:val="bullet"/>
      <w:lvlText w:val=""/>
      <w:lvlJc w:val="left"/>
      <w:pPr>
        <w:ind w:left="6882" w:hanging="360"/>
      </w:pPr>
      <w:rPr>
        <w:rFonts w:ascii="Wingdings" w:hAnsi="Wingdings" w:hint="default"/>
      </w:rPr>
    </w:lvl>
  </w:abstractNum>
  <w:abstractNum w:abstractNumId="71">
    <w:nsid w:val="2FD3766D"/>
    <w:multiLevelType w:val="multilevel"/>
    <w:tmpl w:val="8ADEE1E2"/>
    <w:lvl w:ilvl="0">
      <w:start w:val="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nsid w:val="2FF04782"/>
    <w:multiLevelType w:val="hybridMultilevel"/>
    <w:tmpl w:val="02340222"/>
    <w:lvl w:ilvl="0" w:tplc="AABC62FE">
      <w:numFmt w:val="bullet"/>
      <w:lvlText w:val=""/>
      <w:lvlJc w:val="left"/>
      <w:pPr>
        <w:ind w:left="720" w:hanging="360"/>
      </w:pPr>
      <w:rPr>
        <w:rFonts w:ascii="Symbol" w:eastAsia="Times New Roman" w:hAnsi="Symbo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nsid w:val="30EF0604"/>
    <w:multiLevelType w:val="singleLevel"/>
    <w:tmpl w:val="89389292"/>
    <w:lvl w:ilvl="0">
      <w:numFmt w:val="none"/>
      <w:lvlText w:val="-"/>
      <w:legacy w:legacy="1" w:legacySpace="120" w:legacyIndent="360"/>
      <w:lvlJc w:val="left"/>
      <w:pPr>
        <w:ind w:left="720" w:hanging="360"/>
      </w:pPr>
    </w:lvl>
  </w:abstractNum>
  <w:abstractNum w:abstractNumId="74">
    <w:nsid w:val="31775E88"/>
    <w:multiLevelType w:val="hybridMultilevel"/>
    <w:tmpl w:val="AD6EF1D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nsid w:val="31E54869"/>
    <w:multiLevelType w:val="hybridMultilevel"/>
    <w:tmpl w:val="706EB8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326A5891"/>
    <w:multiLevelType w:val="hybridMultilevel"/>
    <w:tmpl w:val="E7346E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nsid w:val="32A94B9B"/>
    <w:multiLevelType w:val="hybridMultilevel"/>
    <w:tmpl w:val="8AD819E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nsid w:val="32AF10D2"/>
    <w:multiLevelType w:val="hybridMultilevel"/>
    <w:tmpl w:val="145C6E0A"/>
    <w:lvl w:ilvl="0" w:tplc="7E0C0B94">
      <w:start w:val="5"/>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9">
    <w:nsid w:val="32D37C39"/>
    <w:multiLevelType w:val="hybridMultilevel"/>
    <w:tmpl w:val="4086CC0A"/>
    <w:lvl w:ilvl="0" w:tplc="88E4271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nsid w:val="334E6435"/>
    <w:multiLevelType w:val="multilevel"/>
    <w:tmpl w:val="FCD2B9EE"/>
    <w:lvl w:ilvl="0">
      <w:start w:val="5"/>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nsid w:val="337D05C4"/>
    <w:multiLevelType w:val="hybridMultilevel"/>
    <w:tmpl w:val="AA785138"/>
    <w:lvl w:ilvl="0" w:tplc="6B62EC8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nsid w:val="339D516F"/>
    <w:multiLevelType w:val="hybridMultilevel"/>
    <w:tmpl w:val="BDE6BBA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nsid w:val="34BE11BC"/>
    <w:multiLevelType w:val="hybridMultilevel"/>
    <w:tmpl w:val="3EE0AC4A"/>
    <w:lvl w:ilvl="0" w:tplc="7E0C0B94">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nsid w:val="34ED1FA5"/>
    <w:multiLevelType w:val="multilevel"/>
    <w:tmpl w:val="539CFE84"/>
    <w:lvl w:ilvl="0">
      <w:start w:val="1"/>
      <w:numFmt w:val="decimal"/>
      <w:pStyle w:val="S1-Header2"/>
      <w:lvlText w:val="%1."/>
      <w:lvlJc w:val="left"/>
      <w:pPr>
        <w:tabs>
          <w:tab w:val="num" w:pos="720"/>
        </w:tabs>
        <w:ind w:left="720" w:hanging="720"/>
      </w:pPr>
      <w:rPr>
        <w:rFonts w:cs="Times New Roman" w:hint="default"/>
        <w:b w:val="0"/>
        <w:i w:val="0"/>
      </w:rPr>
    </w:lvl>
    <w:lvl w:ilvl="1">
      <w:start w:val="1"/>
      <w:numFmt w:val="decimal"/>
      <w:isLgl/>
      <w:lvlText w:val="%1.%2"/>
      <w:lvlJc w:val="left"/>
      <w:pPr>
        <w:ind w:left="615" w:hanging="61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5">
    <w:nsid w:val="35775FED"/>
    <w:multiLevelType w:val="multilevel"/>
    <w:tmpl w:val="A52650FC"/>
    <w:lvl w:ilvl="0">
      <w:start w:val="19"/>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nsid w:val="36940C10"/>
    <w:multiLevelType w:val="hybridMultilevel"/>
    <w:tmpl w:val="FF28632C"/>
    <w:lvl w:ilvl="0" w:tplc="040C000B">
      <w:start w:val="1"/>
      <w:numFmt w:val="bullet"/>
      <w:lvlText w:val=""/>
      <w:lvlJc w:val="left"/>
      <w:pPr>
        <w:ind w:left="720" w:hanging="360"/>
      </w:pPr>
      <w:rPr>
        <w:rFonts w:ascii="Wingdings" w:hAnsi="Wingdings" w:hint="default"/>
      </w:rPr>
    </w:lvl>
    <w:lvl w:ilvl="1" w:tplc="47004466">
      <w:numFmt w:val="bullet"/>
      <w:lvlText w:val=""/>
      <w:lvlJc w:val="left"/>
      <w:pPr>
        <w:ind w:left="1440" w:hanging="360"/>
      </w:pPr>
      <w:rPr>
        <w:rFonts w:ascii="Times New Roman" w:eastAsiaTheme="minorHAnsi"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7">
    <w:nsid w:val="374C28DE"/>
    <w:multiLevelType w:val="multilevel"/>
    <w:tmpl w:val="2AB60D4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nsid w:val="38042D39"/>
    <w:multiLevelType w:val="hybridMultilevel"/>
    <w:tmpl w:val="5A48FC38"/>
    <w:name w:val="WW8Num29222222"/>
    <w:lvl w:ilvl="0" w:tplc="E3862130">
      <w:numFmt w:val="bullet"/>
      <w:lvlText w:val="-"/>
      <w:lvlJc w:val="left"/>
      <w:pPr>
        <w:ind w:left="1425" w:hanging="360"/>
      </w:pPr>
      <w:rPr>
        <w:rFonts w:ascii="Times New Roman" w:eastAsia="Calibri" w:hAnsi="Times New Roman" w:cs="Times New Roman" w:hint="default"/>
      </w:rPr>
    </w:lvl>
    <w:lvl w:ilvl="1" w:tplc="AAEA6CE0">
      <w:start w:val="1"/>
      <w:numFmt w:val="bullet"/>
      <w:lvlText w:val="o"/>
      <w:lvlJc w:val="left"/>
      <w:pPr>
        <w:ind w:left="2145" w:hanging="360"/>
      </w:pPr>
      <w:rPr>
        <w:rFonts w:ascii="Courier New" w:hAnsi="Courier New" w:cs="Courier New" w:hint="default"/>
      </w:rPr>
    </w:lvl>
    <w:lvl w:ilvl="2" w:tplc="31B8A828" w:tentative="1">
      <w:start w:val="1"/>
      <w:numFmt w:val="bullet"/>
      <w:lvlText w:val=""/>
      <w:lvlJc w:val="left"/>
      <w:pPr>
        <w:ind w:left="2865" w:hanging="360"/>
      </w:pPr>
      <w:rPr>
        <w:rFonts w:ascii="Wingdings" w:hAnsi="Wingdings" w:hint="default"/>
      </w:rPr>
    </w:lvl>
    <w:lvl w:ilvl="3" w:tplc="78FE44C8" w:tentative="1">
      <w:start w:val="1"/>
      <w:numFmt w:val="bullet"/>
      <w:lvlText w:val=""/>
      <w:lvlJc w:val="left"/>
      <w:pPr>
        <w:ind w:left="3585" w:hanging="360"/>
      </w:pPr>
      <w:rPr>
        <w:rFonts w:ascii="Symbol" w:hAnsi="Symbol" w:hint="default"/>
      </w:rPr>
    </w:lvl>
    <w:lvl w:ilvl="4" w:tplc="1DC6BCA0" w:tentative="1">
      <w:start w:val="1"/>
      <w:numFmt w:val="bullet"/>
      <w:lvlText w:val="o"/>
      <w:lvlJc w:val="left"/>
      <w:pPr>
        <w:ind w:left="4305" w:hanging="360"/>
      </w:pPr>
      <w:rPr>
        <w:rFonts w:ascii="Courier New" w:hAnsi="Courier New" w:cs="Courier New" w:hint="default"/>
      </w:rPr>
    </w:lvl>
    <w:lvl w:ilvl="5" w:tplc="BE185814" w:tentative="1">
      <w:start w:val="1"/>
      <w:numFmt w:val="bullet"/>
      <w:lvlText w:val=""/>
      <w:lvlJc w:val="left"/>
      <w:pPr>
        <w:ind w:left="5025" w:hanging="360"/>
      </w:pPr>
      <w:rPr>
        <w:rFonts w:ascii="Wingdings" w:hAnsi="Wingdings" w:hint="default"/>
      </w:rPr>
    </w:lvl>
    <w:lvl w:ilvl="6" w:tplc="6A406FA4" w:tentative="1">
      <w:start w:val="1"/>
      <w:numFmt w:val="bullet"/>
      <w:lvlText w:val=""/>
      <w:lvlJc w:val="left"/>
      <w:pPr>
        <w:ind w:left="5745" w:hanging="360"/>
      </w:pPr>
      <w:rPr>
        <w:rFonts w:ascii="Symbol" w:hAnsi="Symbol" w:hint="default"/>
      </w:rPr>
    </w:lvl>
    <w:lvl w:ilvl="7" w:tplc="65F01BC0" w:tentative="1">
      <w:start w:val="1"/>
      <w:numFmt w:val="bullet"/>
      <w:lvlText w:val="o"/>
      <w:lvlJc w:val="left"/>
      <w:pPr>
        <w:ind w:left="6465" w:hanging="360"/>
      </w:pPr>
      <w:rPr>
        <w:rFonts w:ascii="Courier New" w:hAnsi="Courier New" w:cs="Courier New" w:hint="default"/>
      </w:rPr>
    </w:lvl>
    <w:lvl w:ilvl="8" w:tplc="1D1AC98C" w:tentative="1">
      <w:start w:val="1"/>
      <w:numFmt w:val="bullet"/>
      <w:lvlText w:val=""/>
      <w:lvlJc w:val="left"/>
      <w:pPr>
        <w:ind w:left="7185" w:hanging="360"/>
      </w:pPr>
      <w:rPr>
        <w:rFonts w:ascii="Wingdings" w:hAnsi="Wingdings" w:hint="default"/>
      </w:rPr>
    </w:lvl>
  </w:abstractNum>
  <w:abstractNum w:abstractNumId="89">
    <w:nsid w:val="3813624B"/>
    <w:multiLevelType w:val="hybridMultilevel"/>
    <w:tmpl w:val="566243C6"/>
    <w:lvl w:ilvl="0" w:tplc="81680106">
      <w:start w:val="1"/>
      <w:numFmt w:val="none"/>
      <w:lvlText w:val=""/>
      <w:lvlJc w:val="left"/>
      <w:pPr>
        <w:ind w:left="720" w:hanging="360"/>
      </w:pPr>
      <w:rPr>
        <w:rFonts w:ascii="Symbol" w:hAnsi="Symbol" w:hint="default"/>
        <w:i w:val="0"/>
        <w:i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0">
    <w:nsid w:val="38BB0E03"/>
    <w:multiLevelType w:val="hybridMultilevel"/>
    <w:tmpl w:val="6938FFCE"/>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1">
    <w:nsid w:val="38C238D4"/>
    <w:multiLevelType w:val="hybridMultilevel"/>
    <w:tmpl w:val="CB3429E2"/>
    <w:lvl w:ilvl="0" w:tplc="F76A58F6">
      <w:start w:val="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39E66365"/>
    <w:multiLevelType w:val="hybridMultilevel"/>
    <w:tmpl w:val="D22A2D58"/>
    <w:lvl w:ilvl="0" w:tplc="B28674F6">
      <w:start w:val="1"/>
      <w:numFmt w:val="bullet"/>
      <w:lvlText w:val=""/>
      <w:lvlJc w:val="left"/>
      <w:pPr>
        <w:ind w:left="720" w:hanging="360"/>
      </w:pPr>
      <w:rPr>
        <w:rFonts w:ascii="Wingdings" w:hAnsi="Wingdings"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3">
    <w:nsid w:val="3B2D5D4F"/>
    <w:multiLevelType w:val="multilevel"/>
    <w:tmpl w:val="A48E8CD0"/>
    <w:lvl w:ilvl="0">
      <w:start w:val="14"/>
      <w:numFmt w:val="decimal"/>
      <w:lvlText w:val="%1."/>
      <w:lvlJc w:val="left"/>
      <w:pPr>
        <w:ind w:left="360" w:hanging="360"/>
      </w:pPr>
      <w:rPr>
        <w:rFonts w:hint="default"/>
      </w:rPr>
    </w:lvl>
    <w:lvl w:ilvl="1">
      <w:start w:val="1"/>
      <w:numFmt w:val="decimal"/>
      <w:lvlText w:val="%1.%2"/>
      <w:lvlJc w:val="left"/>
      <w:pPr>
        <w:ind w:left="576" w:hanging="576"/>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4">
    <w:nsid w:val="3B6847CE"/>
    <w:multiLevelType w:val="hybridMultilevel"/>
    <w:tmpl w:val="E6BE9FC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5">
    <w:nsid w:val="3BA4484D"/>
    <w:multiLevelType w:val="hybridMultilevel"/>
    <w:tmpl w:val="CD2452C0"/>
    <w:lvl w:ilvl="0" w:tplc="040C0001">
      <w:start w:val="1"/>
      <w:numFmt w:val="bullet"/>
      <w:lvlText w:val=""/>
      <w:lvlJc w:val="left"/>
      <w:pPr>
        <w:ind w:left="1122" w:hanging="360"/>
      </w:pPr>
      <w:rPr>
        <w:rFonts w:ascii="Symbol" w:hAnsi="Symbol" w:hint="default"/>
      </w:rPr>
    </w:lvl>
    <w:lvl w:ilvl="1" w:tplc="040C0003">
      <w:start w:val="1"/>
      <w:numFmt w:val="bullet"/>
      <w:lvlText w:val="o"/>
      <w:lvlJc w:val="left"/>
      <w:pPr>
        <w:ind w:left="1842" w:hanging="360"/>
      </w:pPr>
      <w:rPr>
        <w:rFonts w:ascii="Courier New" w:hAnsi="Courier New" w:cs="Courier New" w:hint="default"/>
      </w:rPr>
    </w:lvl>
    <w:lvl w:ilvl="2" w:tplc="040C0005" w:tentative="1">
      <w:start w:val="1"/>
      <w:numFmt w:val="bullet"/>
      <w:lvlText w:val=""/>
      <w:lvlJc w:val="left"/>
      <w:pPr>
        <w:ind w:left="2562" w:hanging="360"/>
      </w:pPr>
      <w:rPr>
        <w:rFonts w:ascii="Wingdings" w:hAnsi="Wingdings" w:hint="default"/>
      </w:rPr>
    </w:lvl>
    <w:lvl w:ilvl="3" w:tplc="040C0001" w:tentative="1">
      <w:start w:val="1"/>
      <w:numFmt w:val="bullet"/>
      <w:lvlText w:val=""/>
      <w:lvlJc w:val="left"/>
      <w:pPr>
        <w:ind w:left="3282" w:hanging="360"/>
      </w:pPr>
      <w:rPr>
        <w:rFonts w:ascii="Symbol" w:hAnsi="Symbol" w:hint="default"/>
      </w:rPr>
    </w:lvl>
    <w:lvl w:ilvl="4" w:tplc="040C0003" w:tentative="1">
      <w:start w:val="1"/>
      <w:numFmt w:val="bullet"/>
      <w:lvlText w:val="o"/>
      <w:lvlJc w:val="left"/>
      <w:pPr>
        <w:ind w:left="4002" w:hanging="360"/>
      </w:pPr>
      <w:rPr>
        <w:rFonts w:ascii="Courier New" w:hAnsi="Courier New" w:cs="Courier New" w:hint="default"/>
      </w:rPr>
    </w:lvl>
    <w:lvl w:ilvl="5" w:tplc="040C0005" w:tentative="1">
      <w:start w:val="1"/>
      <w:numFmt w:val="bullet"/>
      <w:lvlText w:val=""/>
      <w:lvlJc w:val="left"/>
      <w:pPr>
        <w:ind w:left="4722" w:hanging="360"/>
      </w:pPr>
      <w:rPr>
        <w:rFonts w:ascii="Wingdings" w:hAnsi="Wingdings" w:hint="default"/>
      </w:rPr>
    </w:lvl>
    <w:lvl w:ilvl="6" w:tplc="040C0001" w:tentative="1">
      <w:start w:val="1"/>
      <w:numFmt w:val="bullet"/>
      <w:lvlText w:val=""/>
      <w:lvlJc w:val="left"/>
      <w:pPr>
        <w:ind w:left="5442" w:hanging="360"/>
      </w:pPr>
      <w:rPr>
        <w:rFonts w:ascii="Symbol" w:hAnsi="Symbol" w:hint="default"/>
      </w:rPr>
    </w:lvl>
    <w:lvl w:ilvl="7" w:tplc="040C0003" w:tentative="1">
      <w:start w:val="1"/>
      <w:numFmt w:val="bullet"/>
      <w:lvlText w:val="o"/>
      <w:lvlJc w:val="left"/>
      <w:pPr>
        <w:ind w:left="6162" w:hanging="360"/>
      </w:pPr>
      <w:rPr>
        <w:rFonts w:ascii="Courier New" w:hAnsi="Courier New" w:cs="Courier New" w:hint="default"/>
      </w:rPr>
    </w:lvl>
    <w:lvl w:ilvl="8" w:tplc="040C0005" w:tentative="1">
      <w:start w:val="1"/>
      <w:numFmt w:val="bullet"/>
      <w:lvlText w:val=""/>
      <w:lvlJc w:val="left"/>
      <w:pPr>
        <w:ind w:left="6882" w:hanging="360"/>
      </w:pPr>
      <w:rPr>
        <w:rFonts w:ascii="Wingdings" w:hAnsi="Wingdings" w:hint="default"/>
      </w:rPr>
    </w:lvl>
  </w:abstractNum>
  <w:abstractNum w:abstractNumId="96">
    <w:nsid w:val="3C3042C9"/>
    <w:multiLevelType w:val="hybridMultilevel"/>
    <w:tmpl w:val="A7CCE4A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7">
    <w:nsid w:val="3C3171F5"/>
    <w:multiLevelType w:val="multilevel"/>
    <w:tmpl w:val="20DCE5CE"/>
    <w:lvl w:ilvl="0">
      <w:start w:val="2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8">
    <w:nsid w:val="3D7325C2"/>
    <w:multiLevelType w:val="hybridMultilevel"/>
    <w:tmpl w:val="8FA08A16"/>
    <w:lvl w:ilvl="0" w:tplc="6CFEBA44">
      <w:start w:val="1"/>
      <w:numFmt w:val="bullet"/>
      <w:lvlText w:val=""/>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9">
    <w:nsid w:val="3DD55297"/>
    <w:multiLevelType w:val="hybridMultilevel"/>
    <w:tmpl w:val="4D90DFC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0">
    <w:nsid w:val="3E255187"/>
    <w:multiLevelType w:val="hybridMultilevel"/>
    <w:tmpl w:val="DD9A0F2C"/>
    <w:lvl w:ilvl="0" w:tplc="040C0003">
      <w:start w:val="1"/>
      <w:numFmt w:val="bullet"/>
      <w:lvlText w:val="o"/>
      <w:lvlJc w:val="left"/>
      <w:pPr>
        <w:ind w:left="1482" w:hanging="360"/>
      </w:pPr>
      <w:rPr>
        <w:rFonts w:ascii="Courier New" w:hAnsi="Courier New" w:cs="Courier New" w:hint="default"/>
      </w:rPr>
    </w:lvl>
    <w:lvl w:ilvl="1" w:tplc="70E69AEC">
      <w:numFmt w:val="bullet"/>
      <w:lvlText w:val="•"/>
      <w:lvlJc w:val="left"/>
      <w:pPr>
        <w:ind w:left="2202" w:hanging="360"/>
      </w:pPr>
      <w:rPr>
        <w:rFonts w:ascii="Arial" w:eastAsiaTheme="minorEastAsia" w:hAnsi="Arial" w:cs="Arial" w:hint="default"/>
      </w:rPr>
    </w:lvl>
    <w:lvl w:ilvl="2" w:tplc="040C0005" w:tentative="1">
      <w:start w:val="1"/>
      <w:numFmt w:val="bullet"/>
      <w:lvlText w:val=""/>
      <w:lvlJc w:val="left"/>
      <w:pPr>
        <w:ind w:left="2922" w:hanging="360"/>
      </w:pPr>
      <w:rPr>
        <w:rFonts w:ascii="Wingdings" w:hAnsi="Wingdings" w:hint="default"/>
      </w:rPr>
    </w:lvl>
    <w:lvl w:ilvl="3" w:tplc="040C0001" w:tentative="1">
      <w:start w:val="1"/>
      <w:numFmt w:val="bullet"/>
      <w:lvlText w:val=""/>
      <w:lvlJc w:val="left"/>
      <w:pPr>
        <w:ind w:left="3642" w:hanging="360"/>
      </w:pPr>
      <w:rPr>
        <w:rFonts w:ascii="Symbol" w:hAnsi="Symbol" w:hint="default"/>
      </w:rPr>
    </w:lvl>
    <w:lvl w:ilvl="4" w:tplc="040C0003" w:tentative="1">
      <w:start w:val="1"/>
      <w:numFmt w:val="bullet"/>
      <w:lvlText w:val="o"/>
      <w:lvlJc w:val="left"/>
      <w:pPr>
        <w:ind w:left="4362" w:hanging="360"/>
      </w:pPr>
      <w:rPr>
        <w:rFonts w:ascii="Courier New" w:hAnsi="Courier New" w:cs="Courier New" w:hint="default"/>
      </w:rPr>
    </w:lvl>
    <w:lvl w:ilvl="5" w:tplc="040C0005" w:tentative="1">
      <w:start w:val="1"/>
      <w:numFmt w:val="bullet"/>
      <w:lvlText w:val=""/>
      <w:lvlJc w:val="left"/>
      <w:pPr>
        <w:ind w:left="5082" w:hanging="360"/>
      </w:pPr>
      <w:rPr>
        <w:rFonts w:ascii="Wingdings" w:hAnsi="Wingdings" w:hint="default"/>
      </w:rPr>
    </w:lvl>
    <w:lvl w:ilvl="6" w:tplc="040C0001" w:tentative="1">
      <w:start w:val="1"/>
      <w:numFmt w:val="bullet"/>
      <w:lvlText w:val=""/>
      <w:lvlJc w:val="left"/>
      <w:pPr>
        <w:ind w:left="5802" w:hanging="360"/>
      </w:pPr>
      <w:rPr>
        <w:rFonts w:ascii="Symbol" w:hAnsi="Symbol" w:hint="default"/>
      </w:rPr>
    </w:lvl>
    <w:lvl w:ilvl="7" w:tplc="040C0003" w:tentative="1">
      <w:start w:val="1"/>
      <w:numFmt w:val="bullet"/>
      <w:lvlText w:val="o"/>
      <w:lvlJc w:val="left"/>
      <w:pPr>
        <w:ind w:left="6522" w:hanging="360"/>
      </w:pPr>
      <w:rPr>
        <w:rFonts w:ascii="Courier New" w:hAnsi="Courier New" w:cs="Courier New" w:hint="default"/>
      </w:rPr>
    </w:lvl>
    <w:lvl w:ilvl="8" w:tplc="040C0005" w:tentative="1">
      <w:start w:val="1"/>
      <w:numFmt w:val="bullet"/>
      <w:lvlText w:val=""/>
      <w:lvlJc w:val="left"/>
      <w:pPr>
        <w:ind w:left="7242" w:hanging="360"/>
      </w:pPr>
      <w:rPr>
        <w:rFonts w:ascii="Wingdings" w:hAnsi="Wingdings" w:hint="default"/>
      </w:rPr>
    </w:lvl>
  </w:abstractNum>
  <w:abstractNum w:abstractNumId="101">
    <w:nsid w:val="3EDB25BE"/>
    <w:multiLevelType w:val="hybridMultilevel"/>
    <w:tmpl w:val="BA82B4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2">
    <w:nsid w:val="3F321855"/>
    <w:multiLevelType w:val="multilevel"/>
    <w:tmpl w:val="54B29C48"/>
    <w:lvl w:ilvl="0">
      <w:start w:val="29"/>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3">
    <w:nsid w:val="401C258D"/>
    <w:multiLevelType w:val="hybridMultilevel"/>
    <w:tmpl w:val="B48E5A3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4">
    <w:nsid w:val="415E661B"/>
    <w:multiLevelType w:val="multilevel"/>
    <w:tmpl w:val="BB1EEAB8"/>
    <w:lvl w:ilvl="0">
      <w:start w:val="9"/>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5">
    <w:nsid w:val="42631C81"/>
    <w:multiLevelType w:val="hybridMultilevel"/>
    <w:tmpl w:val="759EC190"/>
    <w:lvl w:ilvl="0" w:tplc="47528BAC">
      <w:start w:val="1"/>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6">
    <w:nsid w:val="42AC7008"/>
    <w:multiLevelType w:val="singleLevel"/>
    <w:tmpl w:val="AF8033CA"/>
    <w:lvl w:ilvl="0">
      <w:start w:val="1"/>
      <w:numFmt w:val="lowerLetter"/>
      <w:lvlText w:val="(%1)"/>
      <w:lvlJc w:val="left"/>
      <w:pPr>
        <w:ind w:left="720" w:hanging="360"/>
      </w:pPr>
    </w:lvl>
  </w:abstractNum>
  <w:abstractNum w:abstractNumId="107">
    <w:nsid w:val="43153F9B"/>
    <w:multiLevelType w:val="hybridMultilevel"/>
    <w:tmpl w:val="B1E40DB8"/>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8">
    <w:nsid w:val="45836FE4"/>
    <w:multiLevelType w:val="multilevel"/>
    <w:tmpl w:val="F4FC18C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9">
    <w:nsid w:val="461276EB"/>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110">
    <w:nsid w:val="46C0060E"/>
    <w:multiLevelType w:val="multilevel"/>
    <w:tmpl w:val="EFA4276A"/>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nsid w:val="470E3336"/>
    <w:multiLevelType w:val="hybridMultilevel"/>
    <w:tmpl w:val="C576D788"/>
    <w:lvl w:ilvl="0" w:tplc="040C0001">
      <w:start w:val="1"/>
      <w:numFmt w:val="bullet"/>
      <w:lvlText w:val=""/>
      <w:lvlJc w:val="left"/>
      <w:pPr>
        <w:tabs>
          <w:tab w:val="num" w:pos="1571"/>
        </w:tabs>
        <w:ind w:left="1571" w:hanging="360"/>
      </w:pPr>
      <w:rPr>
        <w:rFonts w:ascii="Symbol" w:hAnsi="Symbol" w:hint="default"/>
      </w:rPr>
    </w:lvl>
    <w:lvl w:ilvl="1" w:tplc="040C0003" w:tentative="1">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112">
    <w:nsid w:val="476120E7"/>
    <w:multiLevelType w:val="hybridMultilevel"/>
    <w:tmpl w:val="B3869698"/>
    <w:lvl w:ilvl="0" w:tplc="040C000B">
      <w:start w:val="1"/>
      <w:numFmt w:val="bullet"/>
      <w:lvlText w:val=""/>
      <w:lvlJc w:val="left"/>
      <w:pPr>
        <w:ind w:left="720" w:hanging="360"/>
      </w:pPr>
      <w:rPr>
        <w:rFonts w:ascii="Wingdings" w:hAnsi="Wingdings" w:hint="default"/>
      </w:rPr>
    </w:lvl>
    <w:lvl w:ilvl="1" w:tplc="EB3AD834">
      <w:numFmt w:val="bullet"/>
      <w:lvlText w:val=""/>
      <w:lvlJc w:val="left"/>
      <w:pPr>
        <w:ind w:left="1440" w:hanging="360"/>
      </w:pPr>
      <w:rPr>
        <w:rFonts w:ascii="Times New Roman" w:eastAsiaTheme="minorHAnsi"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3">
    <w:nsid w:val="47763323"/>
    <w:multiLevelType w:val="hybridMultilevel"/>
    <w:tmpl w:val="69E61FAE"/>
    <w:lvl w:ilvl="0" w:tplc="B510AE26">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4">
    <w:nsid w:val="47C51D60"/>
    <w:multiLevelType w:val="multilevel"/>
    <w:tmpl w:val="372852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5">
    <w:nsid w:val="48006257"/>
    <w:multiLevelType w:val="multilevel"/>
    <w:tmpl w:val="E15C4118"/>
    <w:lvl w:ilvl="0">
      <w:start w:val="1"/>
      <w:numFmt w:val="lowerLetter"/>
      <w:lvlText w:val="(%1)"/>
      <w:lvlJc w:val="left"/>
      <w:pPr>
        <w:ind w:left="1008" w:hanging="360"/>
      </w:pPr>
    </w:lvl>
    <w:lvl w:ilvl="1">
      <w:start w:val="1"/>
      <w:numFmt w:val="lowerLetter"/>
      <w:lvlText w:val="%2."/>
      <w:lvlJc w:val="left"/>
      <w:pPr>
        <w:tabs>
          <w:tab w:val="num" w:pos="4320"/>
        </w:tabs>
        <w:ind w:left="4320" w:hanging="360"/>
      </w:pPr>
      <w:rPr>
        <w:rFonts w:cs="Times New Roman"/>
      </w:rPr>
    </w:lvl>
    <w:lvl w:ilvl="2">
      <w:numFmt w:val="bullet"/>
      <w:lvlText w:val="-"/>
      <w:lvlJc w:val="left"/>
      <w:pPr>
        <w:tabs>
          <w:tab w:val="num" w:pos="5040"/>
        </w:tabs>
        <w:ind w:left="5040" w:hanging="180"/>
      </w:pPr>
      <w:rPr>
        <w:rFonts w:ascii="Calibri" w:eastAsia="Calibri" w:hAnsi="Calibri" w:cs="Times New Roman" w:hint="default"/>
      </w:rPr>
    </w:lvl>
    <w:lvl w:ilvl="3">
      <w:start w:val="1"/>
      <w:numFmt w:val="decimal"/>
      <w:lvlText w:val="%4."/>
      <w:lvlJc w:val="left"/>
      <w:pPr>
        <w:tabs>
          <w:tab w:val="num" w:pos="5760"/>
        </w:tabs>
        <w:ind w:left="5760" w:hanging="360"/>
      </w:pPr>
      <w:rPr>
        <w:rFonts w:cs="Times New Roman"/>
      </w:rPr>
    </w:lvl>
    <w:lvl w:ilvl="4">
      <w:start w:val="1"/>
      <w:numFmt w:val="upperLetter"/>
      <w:lvlText w:val="%5-"/>
      <w:lvlJc w:val="left"/>
      <w:pPr>
        <w:ind w:left="6480" w:hanging="360"/>
      </w:pPr>
      <w:rPr>
        <w:rFonts w:hint="default"/>
      </w:rPr>
    </w:lvl>
    <w:lvl w:ilvl="5">
      <w:start w:val="3"/>
      <w:numFmt w:val="decimal"/>
      <w:lvlText w:val="%6"/>
      <w:lvlJc w:val="left"/>
      <w:pPr>
        <w:ind w:left="7380" w:hanging="360"/>
      </w:pPr>
      <w:rPr>
        <w:rFonts w:hint="default"/>
      </w:rPr>
    </w:lvl>
    <w:lvl w:ilvl="6" w:tentative="1">
      <w:start w:val="1"/>
      <w:numFmt w:val="decimal"/>
      <w:lvlText w:val="%7."/>
      <w:lvlJc w:val="left"/>
      <w:pPr>
        <w:tabs>
          <w:tab w:val="num" w:pos="7920"/>
        </w:tabs>
        <w:ind w:left="7920" w:hanging="360"/>
      </w:pPr>
      <w:rPr>
        <w:rFonts w:cs="Times New Roman"/>
      </w:rPr>
    </w:lvl>
    <w:lvl w:ilvl="7" w:tentative="1">
      <w:start w:val="1"/>
      <w:numFmt w:val="lowerLetter"/>
      <w:lvlText w:val="%8."/>
      <w:lvlJc w:val="left"/>
      <w:pPr>
        <w:tabs>
          <w:tab w:val="num" w:pos="8640"/>
        </w:tabs>
        <w:ind w:left="8640" w:hanging="360"/>
      </w:pPr>
      <w:rPr>
        <w:rFonts w:cs="Times New Roman"/>
      </w:rPr>
    </w:lvl>
    <w:lvl w:ilvl="8" w:tentative="1">
      <w:start w:val="1"/>
      <w:numFmt w:val="lowerRoman"/>
      <w:lvlText w:val="%9."/>
      <w:lvlJc w:val="right"/>
      <w:pPr>
        <w:tabs>
          <w:tab w:val="num" w:pos="9360"/>
        </w:tabs>
        <w:ind w:left="9360" w:hanging="180"/>
      </w:pPr>
      <w:rPr>
        <w:rFonts w:cs="Times New Roman"/>
      </w:rPr>
    </w:lvl>
  </w:abstractNum>
  <w:abstractNum w:abstractNumId="116">
    <w:nsid w:val="483C72B7"/>
    <w:multiLevelType w:val="multilevel"/>
    <w:tmpl w:val="A288EC2E"/>
    <w:lvl w:ilvl="0">
      <w:start w:val="18"/>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7">
    <w:nsid w:val="4999247D"/>
    <w:multiLevelType w:val="singleLevel"/>
    <w:tmpl w:val="D68AEE94"/>
    <w:lvl w:ilvl="0">
      <w:start w:val="1"/>
      <w:numFmt w:val="lowerLetter"/>
      <w:lvlText w:val="%1)"/>
      <w:lvlJc w:val="left"/>
      <w:pPr>
        <w:ind w:left="1080" w:hanging="360"/>
      </w:pPr>
      <w:rPr>
        <w:rFonts w:cs="Times New Roman" w:hint="default"/>
      </w:rPr>
    </w:lvl>
  </w:abstractNum>
  <w:abstractNum w:abstractNumId="118">
    <w:nsid w:val="49F2171C"/>
    <w:multiLevelType w:val="hybridMultilevel"/>
    <w:tmpl w:val="CC9E5D4E"/>
    <w:lvl w:ilvl="0" w:tplc="040C000D">
      <w:start w:val="1"/>
      <w:numFmt w:val="bullet"/>
      <w:lvlText w:val=""/>
      <w:lvlJc w:val="left"/>
      <w:pPr>
        <w:ind w:left="1080" w:hanging="360"/>
      </w:pPr>
      <w:rPr>
        <w:rFonts w:ascii="Wingdings" w:hAnsi="Wingdings" w:hint="default"/>
      </w:rPr>
    </w:lvl>
    <w:lvl w:ilvl="1" w:tplc="D33A16E0">
      <w:numFmt w:val="bullet"/>
      <w:lvlText w:val=""/>
      <w:lvlJc w:val="left"/>
      <w:pPr>
        <w:ind w:left="1800" w:hanging="360"/>
      </w:pPr>
      <w:rPr>
        <w:rFonts w:ascii="Times New Roman" w:eastAsiaTheme="minorHAnsi" w:hAnsi="Times New Roman" w:cs="Times New Roman"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9">
    <w:nsid w:val="4AD1754D"/>
    <w:multiLevelType w:val="singleLevel"/>
    <w:tmpl w:val="AF8033CA"/>
    <w:lvl w:ilvl="0">
      <w:start w:val="1"/>
      <w:numFmt w:val="lowerLetter"/>
      <w:lvlText w:val="(%1)"/>
      <w:lvlJc w:val="left"/>
      <w:pPr>
        <w:ind w:left="720" w:hanging="360"/>
      </w:pPr>
      <w:rPr>
        <w:rFonts w:hint="default"/>
        <w:b w:val="0"/>
        <w:i w:val="0"/>
        <w:sz w:val="24"/>
        <w:szCs w:val="24"/>
      </w:rPr>
    </w:lvl>
  </w:abstractNum>
  <w:abstractNum w:abstractNumId="120">
    <w:nsid w:val="4B61143D"/>
    <w:multiLevelType w:val="hybridMultilevel"/>
    <w:tmpl w:val="569AD3BE"/>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1">
    <w:nsid w:val="4B6C42FA"/>
    <w:multiLevelType w:val="singleLevel"/>
    <w:tmpl w:val="AF8033CA"/>
    <w:lvl w:ilvl="0">
      <w:start w:val="1"/>
      <w:numFmt w:val="lowerLetter"/>
      <w:lvlText w:val="(%1)"/>
      <w:lvlJc w:val="left"/>
      <w:pPr>
        <w:ind w:left="1080" w:hanging="360"/>
      </w:pPr>
      <w:rPr>
        <w:rFonts w:hint="default"/>
        <w:b w:val="0"/>
        <w:i w:val="0"/>
        <w:sz w:val="24"/>
        <w:szCs w:val="24"/>
      </w:rPr>
    </w:lvl>
  </w:abstractNum>
  <w:abstractNum w:abstractNumId="122">
    <w:nsid w:val="4CFA5930"/>
    <w:multiLevelType w:val="hybridMultilevel"/>
    <w:tmpl w:val="A65A3F56"/>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3">
    <w:nsid w:val="4DAE59A8"/>
    <w:multiLevelType w:val="hybridMultilevel"/>
    <w:tmpl w:val="7B20DBC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4">
    <w:nsid w:val="4DFE4441"/>
    <w:multiLevelType w:val="hybridMultilevel"/>
    <w:tmpl w:val="6080691E"/>
    <w:lvl w:ilvl="0" w:tplc="CE563680">
      <w:start w:val="10"/>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5">
    <w:nsid w:val="4EBD6A4D"/>
    <w:multiLevelType w:val="multilevel"/>
    <w:tmpl w:val="3C0E302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6">
    <w:nsid w:val="4F194757"/>
    <w:multiLevelType w:val="multilevel"/>
    <w:tmpl w:val="6B3A078E"/>
    <w:lvl w:ilvl="0">
      <w:start w:val="28"/>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7">
    <w:nsid w:val="4F983C45"/>
    <w:multiLevelType w:val="hybridMultilevel"/>
    <w:tmpl w:val="E41A7AB4"/>
    <w:lvl w:ilvl="0" w:tplc="040C0001">
      <w:start w:val="1"/>
      <w:numFmt w:val="bullet"/>
      <w:lvlText w:val=""/>
      <w:lvlJc w:val="left"/>
      <w:pPr>
        <w:ind w:left="720" w:hanging="360"/>
      </w:pPr>
      <w:rPr>
        <w:rFonts w:ascii="Symbol" w:hAnsi="Symbol" w:hint="default"/>
      </w:rPr>
    </w:lvl>
    <w:lvl w:ilvl="1" w:tplc="70E69AEC">
      <w:numFmt w:val="bullet"/>
      <w:lvlText w:val="•"/>
      <w:lvlJc w:val="left"/>
      <w:pPr>
        <w:ind w:left="1440" w:hanging="360"/>
      </w:pPr>
      <w:rPr>
        <w:rFonts w:ascii="Arial" w:eastAsiaTheme="minorEastAsia"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8">
    <w:nsid w:val="4FB04DC4"/>
    <w:multiLevelType w:val="hybridMultilevel"/>
    <w:tmpl w:val="5C88315E"/>
    <w:lvl w:ilvl="0" w:tplc="612A039A">
      <w:start w:val="1"/>
      <w:numFmt w:val="bullet"/>
      <w:pStyle w:val="BulletsR1"/>
      <w:lvlText w:val=""/>
      <w:lvlJc w:val="left"/>
      <w:pPr>
        <w:tabs>
          <w:tab w:val="num" w:pos="1068"/>
        </w:tabs>
        <w:ind w:left="1068" w:hanging="360"/>
      </w:pPr>
      <w:rPr>
        <w:rFonts w:ascii="Symbol" w:hAnsi="Symbol" w:hint="default"/>
      </w:rPr>
    </w:lvl>
    <w:lvl w:ilvl="1" w:tplc="172C7154">
      <w:start w:val="1"/>
      <w:numFmt w:val="decimal"/>
      <w:lvlText w:val="%2."/>
      <w:lvlJc w:val="left"/>
      <w:pPr>
        <w:tabs>
          <w:tab w:val="num" w:pos="1788"/>
        </w:tabs>
        <w:ind w:left="1788" w:hanging="360"/>
      </w:pPr>
      <w:rPr>
        <w:rFonts w:hint="default"/>
      </w:rPr>
    </w:lvl>
    <w:lvl w:ilvl="2" w:tplc="040C0005">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29">
    <w:nsid w:val="4FE4250D"/>
    <w:multiLevelType w:val="hybridMultilevel"/>
    <w:tmpl w:val="2CF2B87C"/>
    <w:lvl w:ilvl="0" w:tplc="93048E0A">
      <w:start w:val="1"/>
      <w:numFmt w:val="low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0">
    <w:nsid w:val="50534620"/>
    <w:multiLevelType w:val="hybridMultilevel"/>
    <w:tmpl w:val="13365AB0"/>
    <w:lvl w:ilvl="0" w:tplc="04090003">
      <w:start w:val="1"/>
      <w:numFmt w:val="bullet"/>
      <w:lvlText w:val="o"/>
      <w:lvlJc w:val="left"/>
      <w:pPr>
        <w:ind w:left="1942" w:hanging="360"/>
      </w:pPr>
      <w:rPr>
        <w:rFonts w:ascii="Courier New" w:hAnsi="Courier New" w:hint="default"/>
      </w:rPr>
    </w:lvl>
    <w:lvl w:ilvl="1" w:tplc="040C0003" w:tentative="1">
      <w:start w:val="1"/>
      <w:numFmt w:val="bullet"/>
      <w:lvlText w:val="o"/>
      <w:lvlJc w:val="left"/>
      <w:pPr>
        <w:ind w:left="2662" w:hanging="360"/>
      </w:pPr>
      <w:rPr>
        <w:rFonts w:ascii="Courier New" w:hAnsi="Courier New" w:cs="Courier New" w:hint="default"/>
      </w:rPr>
    </w:lvl>
    <w:lvl w:ilvl="2" w:tplc="040C0005" w:tentative="1">
      <w:start w:val="1"/>
      <w:numFmt w:val="bullet"/>
      <w:lvlText w:val=""/>
      <w:lvlJc w:val="left"/>
      <w:pPr>
        <w:ind w:left="3382" w:hanging="360"/>
      </w:pPr>
      <w:rPr>
        <w:rFonts w:ascii="Wingdings" w:hAnsi="Wingdings" w:hint="default"/>
      </w:rPr>
    </w:lvl>
    <w:lvl w:ilvl="3" w:tplc="040C0001" w:tentative="1">
      <w:start w:val="1"/>
      <w:numFmt w:val="bullet"/>
      <w:lvlText w:val=""/>
      <w:lvlJc w:val="left"/>
      <w:pPr>
        <w:ind w:left="4102" w:hanging="360"/>
      </w:pPr>
      <w:rPr>
        <w:rFonts w:ascii="Symbol" w:hAnsi="Symbol" w:hint="default"/>
      </w:rPr>
    </w:lvl>
    <w:lvl w:ilvl="4" w:tplc="040C0003" w:tentative="1">
      <w:start w:val="1"/>
      <w:numFmt w:val="bullet"/>
      <w:lvlText w:val="o"/>
      <w:lvlJc w:val="left"/>
      <w:pPr>
        <w:ind w:left="4822" w:hanging="360"/>
      </w:pPr>
      <w:rPr>
        <w:rFonts w:ascii="Courier New" w:hAnsi="Courier New" w:cs="Courier New" w:hint="default"/>
      </w:rPr>
    </w:lvl>
    <w:lvl w:ilvl="5" w:tplc="040C0005" w:tentative="1">
      <w:start w:val="1"/>
      <w:numFmt w:val="bullet"/>
      <w:lvlText w:val=""/>
      <w:lvlJc w:val="left"/>
      <w:pPr>
        <w:ind w:left="5542" w:hanging="360"/>
      </w:pPr>
      <w:rPr>
        <w:rFonts w:ascii="Wingdings" w:hAnsi="Wingdings" w:hint="default"/>
      </w:rPr>
    </w:lvl>
    <w:lvl w:ilvl="6" w:tplc="040C0001" w:tentative="1">
      <w:start w:val="1"/>
      <w:numFmt w:val="bullet"/>
      <w:lvlText w:val=""/>
      <w:lvlJc w:val="left"/>
      <w:pPr>
        <w:ind w:left="6262" w:hanging="360"/>
      </w:pPr>
      <w:rPr>
        <w:rFonts w:ascii="Symbol" w:hAnsi="Symbol" w:hint="default"/>
      </w:rPr>
    </w:lvl>
    <w:lvl w:ilvl="7" w:tplc="040C0003" w:tentative="1">
      <w:start w:val="1"/>
      <w:numFmt w:val="bullet"/>
      <w:lvlText w:val="o"/>
      <w:lvlJc w:val="left"/>
      <w:pPr>
        <w:ind w:left="6982" w:hanging="360"/>
      </w:pPr>
      <w:rPr>
        <w:rFonts w:ascii="Courier New" w:hAnsi="Courier New" w:cs="Courier New" w:hint="default"/>
      </w:rPr>
    </w:lvl>
    <w:lvl w:ilvl="8" w:tplc="040C0005" w:tentative="1">
      <w:start w:val="1"/>
      <w:numFmt w:val="bullet"/>
      <w:lvlText w:val=""/>
      <w:lvlJc w:val="left"/>
      <w:pPr>
        <w:ind w:left="7702" w:hanging="360"/>
      </w:pPr>
      <w:rPr>
        <w:rFonts w:ascii="Wingdings" w:hAnsi="Wingdings" w:hint="default"/>
      </w:rPr>
    </w:lvl>
  </w:abstractNum>
  <w:abstractNum w:abstractNumId="131">
    <w:nsid w:val="50687CA9"/>
    <w:multiLevelType w:val="hybridMultilevel"/>
    <w:tmpl w:val="5178DCE8"/>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2">
    <w:nsid w:val="51323915"/>
    <w:multiLevelType w:val="hybridMultilevel"/>
    <w:tmpl w:val="112643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3">
    <w:nsid w:val="51CC5448"/>
    <w:multiLevelType w:val="multilevel"/>
    <w:tmpl w:val="333A8C8A"/>
    <w:lvl w:ilvl="0">
      <w:start w:val="20"/>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4">
    <w:nsid w:val="52C04DCD"/>
    <w:multiLevelType w:val="hybridMultilevel"/>
    <w:tmpl w:val="D99814E4"/>
    <w:lvl w:ilvl="0" w:tplc="6CFEBA44">
      <w:start w:val="1"/>
      <w:numFmt w:val="bullet"/>
      <w:lvlText w:val=""/>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5">
    <w:nsid w:val="52C928BF"/>
    <w:multiLevelType w:val="multilevel"/>
    <w:tmpl w:val="D50E341A"/>
    <w:lvl w:ilvl="0">
      <w:start w:val="26"/>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nsid w:val="53617A51"/>
    <w:multiLevelType w:val="hybridMultilevel"/>
    <w:tmpl w:val="79262B4A"/>
    <w:lvl w:ilvl="0" w:tplc="AF8033CA">
      <w:start w:val="1"/>
      <w:numFmt w:val="lowerLetter"/>
      <w:lvlText w:val="(%1)"/>
      <w:lvlJc w:val="left"/>
      <w:pPr>
        <w:ind w:left="720" w:hanging="360"/>
      </w:pPr>
      <w:rPr>
        <w:rFonts w:hint="default"/>
        <w:b w:val="0"/>
        <w:i w:val="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7">
    <w:nsid w:val="536E6D64"/>
    <w:multiLevelType w:val="multilevel"/>
    <w:tmpl w:val="FB741D66"/>
    <w:lvl w:ilvl="0">
      <w:start w:val="30"/>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8">
    <w:nsid w:val="5391386A"/>
    <w:multiLevelType w:val="multilevel"/>
    <w:tmpl w:val="CBD2AF0E"/>
    <w:lvl w:ilvl="0">
      <w:start w:val="2"/>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9">
    <w:nsid w:val="54E10431"/>
    <w:multiLevelType w:val="hybridMultilevel"/>
    <w:tmpl w:val="1694A0FE"/>
    <w:lvl w:ilvl="0" w:tplc="678E2080">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0">
    <w:nsid w:val="551E3894"/>
    <w:multiLevelType w:val="hybridMultilevel"/>
    <w:tmpl w:val="BE903DAE"/>
    <w:lvl w:ilvl="0" w:tplc="040C0005">
      <w:start w:val="1"/>
      <w:numFmt w:val="bullet"/>
      <w:lvlText w:val=""/>
      <w:lvlJc w:val="left"/>
      <w:pPr>
        <w:ind w:left="1080" w:hanging="360"/>
      </w:pPr>
      <w:rPr>
        <w:rFonts w:ascii="Wingdings" w:hAnsi="Wingdings" w:hint="default"/>
      </w:rPr>
    </w:lvl>
    <w:lvl w:ilvl="1" w:tplc="9488C0F6">
      <w:numFmt w:val="bullet"/>
      <w:lvlText w:val="-"/>
      <w:lvlJc w:val="left"/>
      <w:pPr>
        <w:ind w:left="1800" w:hanging="360"/>
      </w:pPr>
      <w:rPr>
        <w:rFonts w:ascii="Arial" w:eastAsiaTheme="minorHAnsi" w:hAnsi="Arial" w:cs="Arial"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1">
    <w:nsid w:val="556836BE"/>
    <w:multiLevelType w:val="hybridMultilevel"/>
    <w:tmpl w:val="933CD458"/>
    <w:lvl w:ilvl="0" w:tplc="040C0005">
      <w:start w:val="1"/>
      <w:numFmt w:val="bullet"/>
      <w:lvlText w:val=""/>
      <w:lvlJc w:val="left"/>
      <w:pPr>
        <w:ind w:left="720" w:hanging="360"/>
      </w:pPr>
      <w:rPr>
        <w:rFonts w:ascii="Wingdings" w:hAnsi="Wingdings" w:hint="default"/>
      </w:rPr>
    </w:lvl>
    <w:lvl w:ilvl="1" w:tplc="040C0005">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2">
    <w:nsid w:val="55B724D6"/>
    <w:multiLevelType w:val="hybridMultilevel"/>
    <w:tmpl w:val="297CF1B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3">
    <w:nsid w:val="564E2BB3"/>
    <w:multiLevelType w:val="hybridMultilevel"/>
    <w:tmpl w:val="6DA6F99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4">
    <w:nsid w:val="568E4C2F"/>
    <w:multiLevelType w:val="hybridMultilevel"/>
    <w:tmpl w:val="C30890E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5">
    <w:nsid w:val="56A303CD"/>
    <w:multiLevelType w:val="multilevel"/>
    <w:tmpl w:val="6B14422A"/>
    <w:lvl w:ilvl="0">
      <w:start w:val="3"/>
      <w:numFmt w:val="decimal"/>
      <w:lvlText w:val="%1."/>
      <w:lvlJc w:val="left"/>
      <w:pPr>
        <w:ind w:left="576" w:hanging="576"/>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6">
    <w:nsid w:val="57412FC3"/>
    <w:multiLevelType w:val="hybridMultilevel"/>
    <w:tmpl w:val="19764492"/>
    <w:lvl w:ilvl="0" w:tplc="2632AA10">
      <w:start w:val="1"/>
      <w:numFmt w:val="bullet"/>
      <w:lvlText w:val="-"/>
      <w:lvlJc w:val="left"/>
      <w:pPr>
        <w:ind w:left="720" w:hanging="360"/>
      </w:pPr>
      <w:rPr>
        <w:rFonts w:ascii="Swis721 LtCn BT" w:hAnsi="Swis721 LtCn B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7">
    <w:nsid w:val="57F8004F"/>
    <w:multiLevelType w:val="hybridMultilevel"/>
    <w:tmpl w:val="ECAE903A"/>
    <w:lvl w:ilvl="0" w:tplc="6CFEBA44">
      <w:start w:val="1"/>
      <w:numFmt w:val="bullet"/>
      <w:lvlText w:val=""/>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8">
    <w:nsid w:val="58DF37F4"/>
    <w:multiLevelType w:val="multilevel"/>
    <w:tmpl w:val="93EC5CAE"/>
    <w:lvl w:ilvl="0">
      <w:start w:val="4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9">
    <w:nsid w:val="59D74329"/>
    <w:multiLevelType w:val="singleLevel"/>
    <w:tmpl w:val="6562F184"/>
    <w:lvl w:ilvl="0">
      <w:start w:val="5"/>
      <w:numFmt w:val="bullet"/>
      <w:lvlText w:val="-"/>
      <w:lvlJc w:val="left"/>
      <w:pPr>
        <w:tabs>
          <w:tab w:val="num" w:pos="1770"/>
        </w:tabs>
        <w:ind w:left="1770" w:hanging="360"/>
      </w:pPr>
      <w:rPr>
        <w:rFonts w:hint="default"/>
      </w:rPr>
    </w:lvl>
  </w:abstractNum>
  <w:abstractNum w:abstractNumId="150">
    <w:nsid w:val="5B0B6FDB"/>
    <w:multiLevelType w:val="hybridMultilevel"/>
    <w:tmpl w:val="01789A6C"/>
    <w:lvl w:ilvl="0" w:tplc="040C0001">
      <w:start w:val="1"/>
      <w:numFmt w:val="bullet"/>
      <w:lvlText w:val=""/>
      <w:lvlJc w:val="left"/>
      <w:pPr>
        <w:tabs>
          <w:tab w:val="num" w:pos="1571"/>
        </w:tabs>
        <w:ind w:left="1571" w:hanging="360"/>
      </w:pPr>
      <w:rPr>
        <w:rFonts w:ascii="Symbol" w:hAnsi="Symbol" w:hint="default"/>
      </w:rPr>
    </w:lvl>
    <w:lvl w:ilvl="1" w:tplc="040C0003" w:tentative="1">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151">
    <w:nsid w:val="5C3826F2"/>
    <w:multiLevelType w:val="hybridMultilevel"/>
    <w:tmpl w:val="F0E66B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2">
    <w:nsid w:val="5DA00D42"/>
    <w:multiLevelType w:val="hybridMultilevel"/>
    <w:tmpl w:val="92623264"/>
    <w:lvl w:ilvl="0" w:tplc="AFE8E728">
      <w:numFmt w:val="bullet"/>
      <w:lvlText w:val="-"/>
      <w:lvlJc w:val="left"/>
      <w:pPr>
        <w:ind w:left="720" w:hanging="360"/>
      </w:pPr>
      <w:rPr>
        <w:rFonts w:ascii="Helvetica Neue" w:eastAsia="Helvetica Neue" w:hAnsi="Helvetica Neue" w:cs="Helvetica Neu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3">
    <w:nsid w:val="5DD87D20"/>
    <w:multiLevelType w:val="hybridMultilevel"/>
    <w:tmpl w:val="ECECBA16"/>
    <w:lvl w:ilvl="0" w:tplc="7E0C0B94">
      <w:start w:val="5"/>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4">
    <w:nsid w:val="5E6459C1"/>
    <w:multiLevelType w:val="hybridMultilevel"/>
    <w:tmpl w:val="F29CEDD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5">
    <w:nsid w:val="5EBE713B"/>
    <w:multiLevelType w:val="hybridMultilevel"/>
    <w:tmpl w:val="61D0DEC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6">
    <w:nsid w:val="5FF049B0"/>
    <w:multiLevelType w:val="hybridMultilevel"/>
    <w:tmpl w:val="1C4A819C"/>
    <w:lvl w:ilvl="0" w:tplc="822C70F0">
      <w:start w:val="1"/>
      <w:numFmt w:val="decimal"/>
      <w:lvlText w:val="%1."/>
      <w:lvlJc w:val="left"/>
      <w:pPr>
        <w:ind w:left="717" w:hanging="360"/>
      </w:pPr>
      <w:rPr>
        <w:rFonts w:hint="default"/>
      </w:rPr>
    </w:lvl>
    <w:lvl w:ilvl="1" w:tplc="040C0019" w:tentative="1">
      <w:start w:val="1"/>
      <w:numFmt w:val="lowerLetter"/>
      <w:lvlText w:val="%2."/>
      <w:lvlJc w:val="left"/>
      <w:pPr>
        <w:ind w:left="1437" w:hanging="360"/>
      </w:pPr>
    </w:lvl>
    <w:lvl w:ilvl="2" w:tplc="040C001B" w:tentative="1">
      <w:start w:val="1"/>
      <w:numFmt w:val="lowerRoman"/>
      <w:lvlText w:val="%3."/>
      <w:lvlJc w:val="right"/>
      <w:pPr>
        <w:ind w:left="2157" w:hanging="180"/>
      </w:pPr>
    </w:lvl>
    <w:lvl w:ilvl="3" w:tplc="040C000F" w:tentative="1">
      <w:start w:val="1"/>
      <w:numFmt w:val="decimal"/>
      <w:lvlText w:val="%4."/>
      <w:lvlJc w:val="left"/>
      <w:pPr>
        <w:ind w:left="2877" w:hanging="360"/>
      </w:pPr>
    </w:lvl>
    <w:lvl w:ilvl="4" w:tplc="040C0019" w:tentative="1">
      <w:start w:val="1"/>
      <w:numFmt w:val="lowerLetter"/>
      <w:lvlText w:val="%5."/>
      <w:lvlJc w:val="left"/>
      <w:pPr>
        <w:ind w:left="3597" w:hanging="360"/>
      </w:pPr>
    </w:lvl>
    <w:lvl w:ilvl="5" w:tplc="040C001B" w:tentative="1">
      <w:start w:val="1"/>
      <w:numFmt w:val="lowerRoman"/>
      <w:lvlText w:val="%6."/>
      <w:lvlJc w:val="right"/>
      <w:pPr>
        <w:ind w:left="4317" w:hanging="180"/>
      </w:pPr>
    </w:lvl>
    <w:lvl w:ilvl="6" w:tplc="040C000F" w:tentative="1">
      <w:start w:val="1"/>
      <w:numFmt w:val="decimal"/>
      <w:lvlText w:val="%7."/>
      <w:lvlJc w:val="left"/>
      <w:pPr>
        <w:ind w:left="5037" w:hanging="360"/>
      </w:pPr>
    </w:lvl>
    <w:lvl w:ilvl="7" w:tplc="040C0019" w:tentative="1">
      <w:start w:val="1"/>
      <w:numFmt w:val="lowerLetter"/>
      <w:lvlText w:val="%8."/>
      <w:lvlJc w:val="left"/>
      <w:pPr>
        <w:ind w:left="5757" w:hanging="360"/>
      </w:pPr>
    </w:lvl>
    <w:lvl w:ilvl="8" w:tplc="040C001B" w:tentative="1">
      <w:start w:val="1"/>
      <w:numFmt w:val="lowerRoman"/>
      <w:lvlText w:val="%9."/>
      <w:lvlJc w:val="right"/>
      <w:pPr>
        <w:ind w:left="6477" w:hanging="180"/>
      </w:pPr>
    </w:lvl>
  </w:abstractNum>
  <w:abstractNum w:abstractNumId="157">
    <w:nsid w:val="5FF159D6"/>
    <w:multiLevelType w:val="hybridMultilevel"/>
    <w:tmpl w:val="A4420410"/>
    <w:lvl w:ilvl="0" w:tplc="4E3491AA">
      <w:start w:val="3"/>
      <w:numFmt w:val="bullet"/>
      <w:lvlText w:val="-"/>
      <w:lvlJc w:val="left"/>
      <w:pPr>
        <w:tabs>
          <w:tab w:val="num" w:pos="720"/>
        </w:tabs>
        <w:ind w:left="720" w:hanging="360"/>
      </w:pPr>
      <w:rPr>
        <w:rFonts w:ascii="Times New Roman" w:eastAsia="Times New Roman" w:hAnsi="Times New Roman" w:cs="Times New Roman" w:hint="default"/>
      </w:rPr>
    </w:lvl>
    <w:lvl w:ilvl="1" w:tplc="1F0C994E">
      <w:start w:val="3"/>
      <w:numFmt w:val="bullet"/>
      <w:lvlText w:val=""/>
      <w:lvlJc w:val="left"/>
      <w:pPr>
        <w:tabs>
          <w:tab w:val="num" w:pos="1440"/>
        </w:tabs>
        <w:ind w:left="1440" w:hanging="360"/>
      </w:pPr>
      <w:rPr>
        <w:rFonts w:ascii="Symbol" w:eastAsia="Times New Roman" w:hAnsi="Symbol"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8">
    <w:nsid w:val="60015C0A"/>
    <w:multiLevelType w:val="hybridMultilevel"/>
    <w:tmpl w:val="4CC6AA0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9">
    <w:nsid w:val="61B76A0E"/>
    <w:multiLevelType w:val="singleLevel"/>
    <w:tmpl w:val="AF8033CA"/>
    <w:lvl w:ilvl="0">
      <w:start w:val="1"/>
      <w:numFmt w:val="lowerLetter"/>
      <w:lvlText w:val="(%1)"/>
      <w:lvlJc w:val="left"/>
      <w:pPr>
        <w:ind w:left="720" w:hanging="360"/>
      </w:pPr>
      <w:rPr>
        <w:rFonts w:hint="default"/>
        <w:b w:val="0"/>
        <w:i w:val="0"/>
        <w:sz w:val="24"/>
        <w:szCs w:val="24"/>
      </w:rPr>
    </w:lvl>
  </w:abstractNum>
  <w:abstractNum w:abstractNumId="160">
    <w:nsid w:val="630455DB"/>
    <w:multiLevelType w:val="hybridMultilevel"/>
    <w:tmpl w:val="C1D0DDA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1">
    <w:nsid w:val="644278AD"/>
    <w:multiLevelType w:val="multilevel"/>
    <w:tmpl w:val="064285AC"/>
    <w:lvl w:ilvl="0">
      <w:start w:val="16"/>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2">
    <w:nsid w:val="644566F8"/>
    <w:multiLevelType w:val="hybridMultilevel"/>
    <w:tmpl w:val="19CC0E9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3">
    <w:nsid w:val="64DE6C83"/>
    <w:multiLevelType w:val="hybridMultilevel"/>
    <w:tmpl w:val="3656EBC6"/>
    <w:lvl w:ilvl="0" w:tplc="7E0C0B94">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4">
    <w:nsid w:val="65250EEB"/>
    <w:multiLevelType w:val="hybridMultilevel"/>
    <w:tmpl w:val="10C25438"/>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5">
    <w:nsid w:val="65F76EC8"/>
    <w:multiLevelType w:val="hybridMultilevel"/>
    <w:tmpl w:val="A0266D6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6">
    <w:nsid w:val="65FD6F03"/>
    <w:multiLevelType w:val="hybridMultilevel"/>
    <w:tmpl w:val="1FAA341C"/>
    <w:lvl w:ilvl="0" w:tplc="DE0C235E">
      <w:start w:val="1"/>
      <w:numFmt w:val="lowerRoman"/>
      <w:lvlText w:val="(%1)"/>
      <w:lvlJc w:val="left"/>
      <w:pPr>
        <w:tabs>
          <w:tab w:val="num" w:pos="2160"/>
        </w:tabs>
        <w:ind w:left="2160" w:hanging="720"/>
      </w:pPr>
      <w:rPr>
        <w:rFonts w:cs="Times New Roman" w:hint="default"/>
      </w:rPr>
    </w:lvl>
    <w:lvl w:ilvl="1" w:tplc="2390A04C" w:tentative="1">
      <w:start w:val="1"/>
      <w:numFmt w:val="lowerLetter"/>
      <w:lvlText w:val="%2."/>
      <w:lvlJc w:val="left"/>
      <w:pPr>
        <w:tabs>
          <w:tab w:val="num" w:pos="1440"/>
        </w:tabs>
        <w:ind w:left="1440" w:hanging="360"/>
      </w:pPr>
      <w:rPr>
        <w:rFonts w:cs="Times New Roman"/>
      </w:rPr>
    </w:lvl>
    <w:lvl w:ilvl="2" w:tplc="15E2CC96" w:tentative="1">
      <w:start w:val="1"/>
      <w:numFmt w:val="lowerRoman"/>
      <w:lvlText w:val="%3."/>
      <w:lvlJc w:val="right"/>
      <w:pPr>
        <w:tabs>
          <w:tab w:val="num" w:pos="2160"/>
        </w:tabs>
        <w:ind w:left="2160" w:hanging="180"/>
      </w:pPr>
      <w:rPr>
        <w:rFonts w:cs="Times New Roman"/>
      </w:rPr>
    </w:lvl>
    <w:lvl w:ilvl="3" w:tplc="430C799E" w:tentative="1">
      <w:start w:val="1"/>
      <w:numFmt w:val="decimal"/>
      <w:lvlText w:val="%4."/>
      <w:lvlJc w:val="left"/>
      <w:pPr>
        <w:tabs>
          <w:tab w:val="num" w:pos="2880"/>
        </w:tabs>
        <w:ind w:left="2880" w:hanging="360"/>
      </w:pPr>
      <w:rPr>
        <w:rFonts w:cs="Times New Roman"/>
      </w:rPr>
    </w:lvl>
    <w:lvl w:ilvl="4" w:tplc="19961836" w:tentative="1">
      <w:start w:val="1"/>
      <w:numFmt w:val="lowerLetter"/>
      <w:lvlText w:val="%5."/>
      <w:lvlJc w:val="left"/>
      <w:pPr>
        <w:tabs>
          <w:tab w:val="num" w:pos="3600"/>
        </w:tabs>
        <w:ind w:left="3600" w:hanging="360"/>
      </w:pPr>
      <w:rPr>
        <w:rFonts w:cs="Times New Roman"/>
      </w:rPr>
    </w:lvl>
    <w:lvl w:ilvl="5" w:tplc="3E48C4C6" w:tentative="1">
      <w:start w:val="1"/>
      <w:numFmt w:val="lowerRoman"/>
      <w:lvlText w:val="%6."/>
      <w:lvlJc w:val="right"/>
      <w:pPr>
        <w:tabs>
          <w:tab w:val="num" w:pos="4320"/>
        </w:tabs>
        <w:ind w:left="4320" w:hanging="180"/>
      </w:pPr>
      <w:rPr>
        <w:rFonts w:cs="Times New Roman"/>
      </w:rPr>
    </w:lvl>
    <w:lvl w:ilvl="6" w:tplc="62C6D02E" w:tentative="1">
      <w:start w:val="1"/>
      <w:numFmt w:val="decimal"/>
      <w:lvlText w:val="%7."/>
      <w:lvlJc w:val="left"/>
      <w:pPr>
        <w:tabs>
          <w:tab w:val="num" w:pos="5040"/>
        </w:tabs>
        <w:ind w:left="5040" w:hanging="360"/>
      </w:pPr>
      <w:rPr>
        <w:rFonts w:cs="Times New Roman"/>
      </w:rPr>
    </w:lvl>
    <w:lvl w:ilvl="7" w:tplc="F8E4EEBE" w:tentative="1">
      <w:start w:val="1"/>
      <w:numFmt w:val="lowerLetter"/>
      <w:lvlText w:val="%8."/>
      <w:lvlJc w:val="left"/>
      <w:pPr>
        <w:tabs>
          <w:tab w:val="num" w:pos="5760"/>
        </w:tabs>
        <w:ind w:left="5760" w:hanging="360"/>
      </w:pPr>
      <w:rPr>
        <w:rFonts w:cs="Times New Roman"/>
      </w:rPr>
    </w:lvl>
    <w:lvl w:ilvl="8" w:tplc="B438724A" w:tentative="1">
      <w:start w:val="1"/>
      <w:numFmt w:val="lowerRoman"/>
      <w:lvlText w:val="%9."/>
      <w:lvlJc w:val="right"/>
      <w:pPr>
        <w:tabs>
          <w:tab w:val="num" w:pos="6480"/>
        </w:tabs>
        <w:ind w:left="6480" w:hanging="180"/>
      </w:pPr>
      <w:rPr>
        <w:rFonts w:cs="Times New Roman"/>
      </w:rPr>
    </w:lvl>
  </w:abstractNum>
  <w:abstractNum w:abstractNumId="167">
    <w:nsid w:val="667D146C"/>
    <w:multiLevelType w:val="hybridMultilevel"/>
    <w:tmpl w:val="4BB254E8"/>
    <w:lvl w:ilvl="0" w:tplc="F502DC66">
      <w:start w:val="1"/>
      <w:numFmt w:val="bullet"/>
      <w:lvlText w:val=""/>
      <w:lvlJc w:val="left"/>
      <w:pPr>
        <w:tabs>
          <w:tab w:val="num" w:pos="360"/>
        </w:tabs>
        <w:ind w:left="360" w:hanging="360"/>
      </w:pPr>
      <w:rPr>
        <w:rFonts w:ascii="Symbol" w:hAnsi="Symbol" w:hint="default"/>
      </w:rPr>
    </w:lvl>
    <w:lvl w:ilvl="1" w:tplc="100C0003" w:tentative="1">
      <w:start w:val="1"/>
      <w:numFmt w:val="bullet"/>
      <w:lvlText w:val="o"/>
      <w:lvlJc w:val="left"/>
      <w:pPr>
        <w:tabs>
          <w:tab w:val="num" w:pos="1440"/>
        </w:tabs>
        <w:ind w:left="1440" w:hanging="360"/>
      </w:pPr>
      <w:rPr>
        <w:rFonts w:ascii="Courier New" w:hAnsi="Courier New" w:cs="Courier New" w:hint="default"/>
      </w:rPr>
    </w:lvl>
    <w:lvl w:ilvl="2" w:tplc="100C0005" w:tentative="1">
      <w:start w:val="1"/>
      <w:numFmt w:val="bullet"/>
      <w:lvlText w:val=""/>
      <w:lvlJc w:val="left"/>
      <w:pPr>
        <w:tabs>
          <w:tab w:val="num" w:pos="2160"/>
        </w:tabs>
        <w:ind w:left="2160" w:hanging="360"/>
      </w:pPr>
      <w:rPr>
        <w:rFonts w:ascii="Wingdings" w:hAnsi="Wingdings" w:hint="default"/>
      </w:rPr>
    </w:lvl>
    <w:lvl w:ilvl="3" w:tplc="100C0001" w:tentative="1">
      <w:start w:val="1"/>
      <w:numFmt w:val="bullet"/>
      <w:lvlText w:val=""/>
      <w:lvlJc w:val="left"/>
      <w:pPr>
        <w:tabs>
          <w:tab w:val="num" w:pos="2880"/>
        </w:tabs>
        <w:ind w:left="2880" w:hanging="360"/>
      </w:pPr>
      <w:rPr>
        <w:rFonts w:ascii="Symbol" w:hAnsi="Symbol" w:hint="default"/>
      </w:rPr>
    </w:lvl>
    <w:lvl w:ilvl="4" w:tplc="100C0003" w:tentative="1">
      <w:start w:val="1"/>
      <w:numFmt w:val="bullet"/>
      <w:lvlText w:val="o"/>
      <w:lvlJc w:val="left"/>
      <w:pPr>
        <w:tabs>
          <w:tab w:val="num" w:pos="3600"/>
        </w:tabs>
        <w:ind w:left="3600" w:hanging="360"/>
      </w:pPr>
      <w:rPr>
        <w:rFonts w:ascii="Courier New" w:hAnsi="Courier New" w:cs="Courier New" w:hint="default"/>
      </w:rPr>
    </w:lvl>
    <w:lvl w:ilvl="5" w:tplc="100C0005" w:tentative="1">
      <w:start w:val="1"/>
      <w:numFmt w:val="bullet"/>
      <w:lvlText w:val=""/>
      <w:lvlJc w:val="left"/>
      <w:pPr>
        <w:tabs>
          <w:tab w:val="num" w:pos="4320"/>
        </w:tabs>
        <w:ind w:left="4320" w:hanging="360"/>
      </w:pPr>
      <w:rPr>
        <w:rFonts w:ascii="Wingdings" w:hAnsi="Wingdings" w:hint="default"/>
      </w:rPr>
    </w:lvl>
    <w:lvl w:ilvl="6" w:tplc="100C0001" w:tentative="1">
      <w:start w:val="1"/>
      <w:numFmt w:val="bullet"/>
      <w:lvlText w:val=""/>
      <w:lvlJc w:val="left"/>
      <w:pPr>
        <w:tabs>
          <w:tab w:val="num" w:pos="5040"/>
        </w:tabs>
        <w:ind w:left="5040" w:hanging="360"/>
      </w:pPr>
      <w:rPr>
        <w:rFonts w:ascii="Symbol" w:hAnsi="Symbol" w:hint="default"/>
      </w:rPr>
    </w:lvl>
    <w:lvl w:ilvl="7" w:tplc="100C0003" w:tentative="1">
      <w:start w:val="1"/>
      <w:numFmt w:val="bullet"/>
      <w:lvlText w:val="o"/>
      <w:lvlJc w:val="left"/>
      <w:pPr>
        <w:tabs>
          <w:tab w:val="num" w:pos="5760"/>
        </w:tabs>
        <w:ind w:left="5760" w:hanging="360"/>
      </w:pPr>
      <w:rPr>
        <w:rFonts w:ascii="Courier New" w:hAnsi="Courier New" w:cs="Courier New" w:hint="default"/>
      </w:rPr>
    </w:lvl>
    <w:lvl w:ilvl="8" w:tplc="100C0005" w:tentative="1">
      <w:start w:val="1"/>
      <w:numFmt w:val="bullet"/>
      <w:lvlText w:val=""/>
      <w:lvlJc w:val="left"/>
      <w:pPr>
        <w:tabs>
          <w:tab w:val="num" w:pos="6480"/>
        </w:tabs>
        <w:ind w:left="6480" w:hanging="360"/>
      </w:pPr>
      <w:rPr>
        <w:rFonts w:ascii="Wingdings" w:hAnsi="Wingdings" w:hint="default"/>
      </w:rPr>
    </w:lvl>
  </w:abstractNum>
  <w:abstractNum w:abstractNumId="168">
    <w:nsid w:val="67003C77"/>
    <w:multiLevelType w:val="hybridMultilevel"/>
    <w:tmpl w:val="E94238E4"/>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9">
    <w:nsid w:val="678F32C4"/>
    <w:multiLevelType w:val="hybridMultilevel"/>
    <w:tmpl w:val="825684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0">
    <w:nsid w:val="67E17D9A"/>
    <w:multiLevelType w:val="hybridMultilevel"/>
    <w:tmpl w:val="9B78F0BC"/>
    <w:lvl w:ilvl="0" w:tplc="6B62EC8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1">
    <w:nsid w:val="688D4785"/>
    <w:multiLevelType w:val="hybridMultilevel"/>
    <w:tmpl w:val="0A06095E"/>
    <w:lvl w:ilvl="0" w:tplc="7E0C0B94">
      <w:start w:val="5"/>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2">
    <w:nsid w:val="689910F9"/>
    <w:multiLevelType w:val="hybridMultilevel"/>
    <w:tmpl w:val="AF72593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3">
    <w:nsid w:val="6942658D"/>
    <w:multiLevelType w:val="multilevel"/>
    <w:tmpl w:val="99C463CE"/>
    <w:lvl w:ilvl="0">
      <w:start w:val="35"/>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4">
    <w:nsid w:val="69B22E7F"/>
    <w:multiLevelType w:val="hybridMultilevel"/>
    <w:tmpl w:val="D10AF24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5">
    <w:nsid w:val="6B8A607B"/>
    <w:multiLevelType w:val="hybridMultilevel"/>
    <w:tmpl w:val="23BC53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6">
    <w:nsid w:val="6C14124B"/>
    <w:multiLevelType w:val="hybridMultilevel"/>
    <w:tmpl w:val="DF487C8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7">
    <w:nsid w:val="6D925552"/>
    <w:multiLevelType w:val="hybridMultilevel"/>
    <w:tmpl w:val="5186D268"/>
    <w:lvl w:ilvl="0" w:tplc="4E3491AA">
      <w:start w:val="3"/>
      <w:numFmt w:val="bullet"/>
      <w:lvlText w:val="-"/>
      <w:lvlJc w:val="left"/>
      <w:pPr>
        <w:ind w:left="153" w:hanging="360"/>
      </w:pPr>
      <w:rPr>
        <w:rFonts w:ascii="Times New Roman" w:eastAsia="Times New Roman" w:hAnsi="Times New Roman" w:cs="Times New Roman"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178">
    <w:nsid w:val="6DA360D6"/>
    <w:multiLevelType w:val="hybridMultilevel"/>
    <w:tmpl w:val="7A8A7FC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9">
    <w:nsid w:val="6DEC562C"/>
    <w:multiLevelType w:val="multilevel"/>
    <w:tmpl w:val="F710D878"/>
    <w:lvl w:ilvl="0">
      <w:start w:val="10"/>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0">
    <w:nsid w:val="705F3451"/>
    <w:multiLevelType w:val="hybridMultilevel"/>
    <w:tmpl w:val="9AD45C94"/>
    <w:lvl w:ilvl="0" w:tplc="040C0001">
      <w:start w:val="1"/>
      <w:numFmt w:val="bullet"/>
      <w:lvlText w:val=""/>
      <w:lvlJc w:val="left"/>
      <w:pPr>
        <w:tabs>
          <w:tab w:val="num" w:pos="1620"/>
        </w:tabs>
        <w:ind w:left="1620" w:hanging="360"/>
      </w:pPr>
      <w:rPr>
        <w:rFonts w:ascii="Symbol" w:hAnsi="Symbol" w:hint="default"/>
      </w:rPr>
    </w:lvl>
    <w:lvl w:ilvl="1" w:tplc="040C0003" w:tentative="1">
      <w:start w:val="1"/>
      <w:numFmt w:val="bullet"/>
      <w:lvlText w:val="o"/>
      <w:lvlJc w:val="left"/>
      <w:pPr>
        <w:tabs>
          <w:tab w:val="num" w:pos="2340"/>
        </w:tabs>
        <w:ind w:left="2340" w:hanging="360"/>
      </w:pPr>
      <w:rPr>
        <w:rFonts w:ascii="Courier New" w:hAnsi="Courier New" w:cs="Courier New" w:hint="default"/>
      </w:rPr>
    </w:lvl>
    <w:lvl w:ilvl="2" w:tplc="040C0005" w:tentative="1">
      <w:start w:val="1"/>
      <w:numFmt w:val="bullet"/>
      <w:lvlText w:val=""/>
      <w:lvlJc w:val="left"/>
      <w:pPr>
        <w:tabs>
          <w:tab w:val="num" w:pos="3060"/>
        </w:tabs>
        <w:ind w:left="3060" w:hanging="360"/>
      </w:pPr>
      <w:rPr>
        <w:rFonts w:ascii="Wingdings" w:hAnsi="Wingdings" w:hint="default"/>
      </w:rPr>
    </w:lvl>
    <w:lvl w:ilvl="3" w:tplc="040C0001" w:tentative="1">
      <w:start w:val="1"/>
      <w:numFmt w:val="bullet"/>
      <w:lvlText w:val=""/>
      <w:lvlJc w:val="left"/>
      <w:pPr>
        <w:tabs>
          <w:tab w:val="num" w:pos="3780"/>
        </w:tabs>
        <w:ind w:left="3780" w:hanging="360"/>
      </w:pPr>
      <w:rPr>
        <w:rFonts w:ascii="Symbol" w:hAnsi="Symbol" w:hint="default"/>
      </w:rPr>
    </w:lvl>
    <w:lvl w:ilvl="4" w:tplc="040C0003" w:tentative="1">
      <w:start w:val="1"/>
      <w:numFmt w:val="bullet"/>
      <w:lvlText w:val="o"/>
      <w:lvlJc w:val="left"/>
      <w:pPr>
        <w:tabs>
          <w:tab w:val="num" w:pos="4500"/>
        </w:tabs>
        <w:ind w:left="4500" w:hanging="360"/>
      </w:pPr>
      <w:rPr>
        <w:rFonts w:ascii="Courier New" w:hAnsi="Courier New" w:cs="Courier New" w:hint="default"/>
      </w:rPr>
    </w:lvl>
    <w:lvl w:ilvl="5" w:tplc="040C0005" w:tentative="1">
      <w:start w:val="1"/>
      <w:numFmt w:val="bullet"/>
      <w:lvlText w:val=""/>
      <w:lvlJc w:val="left"/>
      <w:pPr>
        <w:tabs>
          <w:tab w:val="num" w:pos="5220"/>
        </w:tabs>
        <w:ind w:left="5220" w:hanging="360"/>
      </w:pPr>
      <w:rPr>
        <w:rFonts w:ascii="Wingdings" w:hAnsi="Wingdings" w:hint="default"/>
      </w:rPr>
    </w:lvl>
    <w:lvl w:ilvl="6" w:tplc="040C0001" w:tentative="1">
      <w:start w:val="1"/>
      <w:numFmt w:val="bullet"/>
      <w:lvlText w:val=""/>
      <w:lvlJc w:val="left"/>
      <w:pPr>
        <w:tabs>
          <w:tab w:val="num" w:pos="5940"/>
        </w:tabs>
        <w:ind w:left="5940" w:hanging="360"/>
      </w:pPr>
      <w:rPr>
        <w:rFonts w:ascii="Symbol" w:hAnsi="Symbol" w:hint="default"/>
      </w:rPr>
    </w:lvl>
    <w:lvl w:ilvl="7" w:tplc="040C0003" w:tentative="1">
      <w:start w:val="1"/>
      <w:numFmt w:val="bullet"/>
      <w:lvlText w:val="o"/>
      <w:lvlJc w:val="left"/>
      <w:pPr>
        <w:tabs>
          <w:tab w:val="num" w:pos="6660"/>
        </w:tabs>
        <w:ind w:left="6660" w:hanging="360"/>
      </w:pPr>
      <w:rPr>
        <w:rFonts w:ascii="Courier New" w:hAnsi="Courier New" w:cs="Courier New" w:hint="default"/>
      </w:rPr>
    </w:lvl>
    <w:lvl w:ilvl="8" w:tplc="040C0005" w:tentative="1">
      <w:start w:val="1"/>
      <w:numFmt w:val="bullet"/>
      <w:lvlText w:val=""/>
      <w:lvlJc w:val="left"/>
      <w:pPr>
        <w:tabs>
          <w:tab w:val="num" w:pos="7380"/>
        </w:tabs>
        <w:ind w:left="7380" w:hanging="360"/>
      </w:pPr>
      <w:rPr>
        <w:rFonts w:ascii="Wingdings" w:hAnsi="Wingdings" w:hint="default"/>
      </w:rPr>
    </w:lvl>
  </w:abstractNum>
  <w:abstractNum w:abstractNumId="181">
    <w:nsid w:val="724503AA"/>
    <w:multiLevelType w:val="multilevel"/>
    <w:tmpl w:val="98BA9D78"/>
    <w:lvl w:ilvl="0">
      <w:start w:val="32"/>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2">
    <w:nsid w:val="72C65935"/>
    <w:multiLevelType w:val="multilevel"/>
    <w:tmpl w:val="DE1EE984"/>
    <w:lvl w:ilvl="0">
      <w:start w:val="25"/>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3">
    <w:nsid w:val="74CC75EB"/>
    <w:multiLevelType w:val="multilevel"/>
    <w:tmpl w:val="0FD0FBD4"/>
    <w:lvl w:ilvl="0">
      <w:start w:val="4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4">
    <w:nsid w:val="74EA1824"/>
    <w:multiLevelType w:val="hybridMultilevel"/>
    <w:tmpl w:val="E2FC6684"/>
    <w:lvl w:ilvl="0" w:tplc="AF8033CA">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nsid w:val="756E54B1"/>
    <w:multiLevelType w:val="hybridMultilevel"/>
    <w:tmpl w:val="A8623B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6">
    <w:nsid w:val="757A275A"/>
    <w:multiLevelType w:val="hybridMultilevel"/>
    <w:tmpl w:val="CB0E6BB8"/>
    <w:lvl w:ilvl="0" w:tplc="F8B498CE">
      <w:start w:val="1"/>
      <w:numFmt w:val="lowerLetter"/>
      <w:lvlText w:val="%1)"/>
      <w:lvlJc w:val="left"/>
      <w:pPr>
        <w:ind w:left="1080" w:hanging="360"/>
      </w:pPr>
    </w:lvl>
    <w:lvl w:ilvl="1" w:tplc="7D9AEB56" w:tentative="1">
      <w:start w:val="1"/>
      <w:numFmt w:val="lowerLetter"/>
      <w:lvlText w:val="%2."/>
      <w:lvlJc w:val="left"/>
      <w:pPr>
        <w:ind w:left="1800" w:hanging="360"/>
      </w:pPr>
    </w:lvl>
    <w:lvl w:ilvl="2" w:tplc="F4C0F788" w:tentative="1">
      <w:start w:val="1"/>
      <w:numFmt w:val="lowerRoman"/>
      <w:lvlText w:val="%3."/>
      <w:lvlJc w:val="right"/>
      <w:pPr>
        <w:ind w:left="2520" w:hanging="180"/>
      </w:pPr>
    </w:lvl>
    <w:lvl w:ilvl="3" w:tplc="AA0E87F6" w:tentative="1">
      <w:start w:val="1"/>
      <w:numFmt w:val="decimal"/>
      <w:lvlText w:val="%4."/>
      <w:lvlJc w:val="left"/>
      <w:pPr>
        <w:ind w:left="3240" w:hanging="360"/>
      </w:pPr>
    </w:lvl>
    <w:lvl w:ilvl="4" w:tplc="533A50DA" w:tentative="1">
      <w:start w:val="1"/>
      <w:numFmt w:val="lowerLetter"/>
      <w:lvlText w:val="%5."/>
      <w:lvlJc w:val="left"/>
      <w:pPr>
        <w:ind w:left="3960" w:hanging="360"/>
      </w:pPr>
    </w:lvl>
    <w:lvl w:ilvl="5" w:tplc="31DAC496" w:tentative="1">
      <w:start w:val="1"/>
      <w:numFmt w:val="lowerRoman"/>
      <w:lvlText w:val="%6."/>
      <w:lvlJc w:val="right"/>
      <w:pPr>
        <w:ind w:left="4680" w:hanging="180"/>
      </w:pPr>
    </w:lvl>
    <w:lvl w:ilvl="6" w:tplc="4B2A2362" w:tentative="1">
      <w:start w:val="1"/>
      <w:numFmt w:val="decimal"/>
      <w:lvlText w:val="%7."/>
      <w:lvlJc w:val="left"/>
      <w:pPr>
        <w:ind w:left="5400" w:hanging="360"/>
      </w:pPr>
    </w:lvl>
    <w:lvl w:ilvl="7" w:tplc="CFEC379A" w:tentative="1">
      <w:start w:val="1"/>
      <w:numFmt w:val="lowerLetter"/>
      <w:lvlText w:val="%8."/>
      <w:lvlJc w:val="left"/>
      <w:pPr>
        <w:ind w:left="6120" w:hanging="360"/>
      </w:pPr>
    </w:lvl>
    <w:lvl w:ilvl="8" w:tplc="97926472" w:tentative="1">
      <w:start w:val="1"/>
      <w:numFmt w:val="lowerRoman"/>
      <w:lvlText w:val="%9."/>
      <w:lvlJc w:val="right"/>
      <w:pPr>
        <w:ind w:left="6840" w:hanging="180"/>
      </w:pPr>
    </w:lvl>
  </w:abstractNum>
  <w:abstractNum w:abstractNumId="187">
    <w:nsid w:val="75866B04"/>
    <w:multiLevelType w:val="multilevel"/>
    <w:tmpl w:val="FB904518"/>
    <w:lvl w:ilvl="0">
      <w:start w:val="33"/>
      <w:numFmt w:val="decimal"/>
      <w:lvlText w:val="%1."/>
      <w:lvlJc w:val="left"/>
      <w:pPr>
        <w:ind w:left="360" w:hanging="360"/>
      </w:pPr>
      <w:rPr>
        <w:rFonts w:hint="default"/>
      </w:rPr>
    </w:lvl>
    <w:lvl w:ilvl="1">
      <w:start w:val="1"/>
      <w:numFmt w:val="decimal"/>
      <w:lvlText w:val="%1.%2"/>
      <w:lvlJc w:val="left"/>
      <w:pPr>
        <w:ind w:left="576" w:hanging="576"/>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8">
    <w:nsid w:val="760034A6"/>
    <w:multiLevelType w:val="hybridMultilevel"/>
    <w:tmpl w:val="51AED5D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9">
    <w:nsid w:val="76741309"/>
    <w:multiLevelType w:val="hybridMultilevel"/>
    <w:tmpl w:val="CA42F642"/>
    <w:lvl w:ilvl="0" w:tplc="3A24F572">
      <w:start w:val="1"/>
      <w:numFmt w:val="none"/>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0">
    <w:nsid w:val="775A7CF5"/>
    <w:multiLevelType w:val="hybridMultilevel"/>
    <w:tmpl w:val="B778190A"/>
    <w:lvl w:ilvl="0" w:tplc="16E818B4">
      <w:start w:val="1"/>
      <w:numFmt w:val="decimal"/>
      <w:lvlText w:val="%1."/>
      <w:lvlJc w:val="left"/>
      <w:pPr>
        <w:ind w:left="644" w:hanging="360"/>
      </w:pPr>
      <w:rPr>
        <w:rFonts w:hint="default"/>
        <w:i w:val="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1">
    <w:nsid w:val="78150CCB"/>
    <w:multiLevelType w:val="hybridMultilevel"/>
    <w:tmpl w:val="D7E034C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2">
    <w:nsid w:val="7865178E"/>
    <w:multiLevelType w:val="singleLevel"/>
    <w:tmpl w:val="EF728D6C"/>
    <w:lvl w:ilvl="0">
      <w:start w:val="1"/>
      <w:numFmt w:val="lowerRoman"/>
      <w:lvlText w:val="(%1)"/>
      <w:lvlJc w:val="left"/>
      <w:pPr>
        <w:ind w:left="720" w:hanging="360"/>
      </w:pPr>
      <w:rPr>
        <w:rFonts w:hint="default"/>
      </w:rPr>
    </w:lvl>
  </w:abstractNum>
  <w:abstractNum w:abstractNumId="193">
    <w:nsid w:val="7A1D6A40"/>
    <w:multiLevelType w:val="hybridMultilevel"/>
    <w:tmpl w:val="C93808C4"/>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4">
    <w:nsid w:val="7A502980"/>
    <w:multiLevelType w:val="singleLevel"/>
    <w:tmpl w:val="6CA4350C"/>
    <w:lvl w:ilvl="0">
      <w:start w:val="1"/>
      <w:numFmt w:val="decimal"/>
      <w:lvlText w:val="7.%1"/>
      <w:lvlJc w:val="left"/>
      <w:pPr>
        <w:tabs>
          <w:tab w:val="num" w:pos="0"/>
        </w:tabs>
        <w:ind w:left="576" w:hanging="576"/>
      </w:pPr>
      <w:rPr>
        <w:rFonts w:cs="Times New Roman" w:hint="default"/>
      </w:rPr>
    </w:lvl>
  </w:abstractNum>
  <w:abstractNum w:abstractNumId="195">
    <w:nsid w:val="7A5F699C"/>
    <w:multiLevelType w:val="hybridMultilevel"/>
    <w:tmpl w:val="BB3A45BE"/>
    <w:lvl w:ilvl="0" w:tplc="47528BAC">
      <w:start w:val="1"/>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96">
    <w:nsid w:val="7B787646"/>
    <w:multiLevelType w:val="hybridMultilevel"/>
    <w:tmpl w:val="66A07E4C"/>
    <w:lvl w:ilvl="0" w:tplc="AF8033CA">
      <w:start w:val="1"/>
      <w:numFmt w:val="lowerLetter"/>
      <w:lvlText w:val="(%1)"/>
      <w:lvlJc w:val="left"/>
      <w:pPr>
        <w:ind w:left="1080" w:hanging="360"/>
      </w:pPr>
    </w:lvl>
    <w:lvl w:ilvl="1" w:tplc="2C0A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7">
    <w:nsid w:val="7BCB7C86"/>
    <w:multiLevelType w:val="hybridMultilevel"/>
    <w:tmpl w:val="0362171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8">
    <w:nsid w:val="7CBB5536"/>
    <w:multiLevelType w:val="hybridMultilevel"/>
    <w:tmpl w:val="6BF0775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9">
    <w:nsid w:val="7D267D96"/>
    <w:multiLevelType w:val="multilevel"/>
    <w:tmpl w:val="5AE46D2A"/>
    <w:lvl w:ilvl="0">
      <w:start w:val="39"/>
      <w:numFmt w:val="decimal"/>
      <w:lvlText w:val="%1"/>
      <w:lvlJc w:val="left"/>
      <w:pPr>
        <w:ind w:left="420" w:hanging="420"/>
      </w:pPr>
      <w:rPr>
        <w:rFonts w:hint="default"/>
        <w:i w:val="0"/>
        <w:sz w:val="24"/>
      </w:rPr>
    </w:lvl>
    <w:lvl w:ilvl="1">
      <w:start w:val="1"/>
      <w:numFmt w:val="decimal"/>
      <w:lvlText w:val="%1.%2"/>
      <w:lvlJc w:val="left"/>
      <w:pPr>
        <w:ind w:left="420" w:hanging="420"/>
      </w:pPr>
      <w:rPr>
        <w:rFonts w:hint="default"/>
        <w:i w:val="0"/>
        <w:sz w:val="24"/>
      </w:rPr>
    </w:lvl>
    <w:lvl w:ilvl="2">
      <w:start w:val="1"/>
      <w:numFmt w:val="decimal"/>
      <w:lvlText w:val="%1.%2.%3"/>
      <w:lvlJc w:val="left"/>
      <w:pPr>
        <w:ind w:left="720" w:hanging="720"/>
      </w:pPr>
      <w:rPr>
        <w:rFonts w:hint="default"/>
        <w:i w:val="0"/>
        <w:sz w:val="24"/>
      </w:rPr>
    </w:lvl>
    <w:lvl w:ilvl="3">
      <w:start w:val="1"/>
      <w:numFmt w:val="decimal"/>
      <w:lvlText w:val="%1.%2.%3.%4"/>
      <w:lvlJc w:val="left"/>
      <w:pPr>
        <w:ind w:left="720" w:hanging="720"/>
      </w:pPr>
      <w:rPr>
        <w:rFonts w:hint="default"/>
        <w:i w:val="0"/>
        <w:sz w:val="24"/>
      </w:rPr>
    </w:lvl>
    <w:lvl w:ilvl="4">
      <w:start w:val="1"/>
      <w:numFmt w:val="decimal"/>
      <w:lvlText w:val="%1.%2.%3.%4.%5"/>
      <w:lvlJc w:val="left"/>
      <w:pPr>
        <w:ind w:left="1080" w:hanging="1080"/>
      </w:pPr>
      <w:rPr>
        <w:rFonts w:hint="default"/>
        <w:i w:val="0"/>
        <w:sz w:val="24"/>
      </w:rPr>
    </w:lvl>
    <w:lvl w:ilvl="5">
      <w:start w:val="1"/>
      <w:numFmt w:val="decimal"/>
      <w:lvlText w:val="%1.%2.%3.%4.%5.%6"/>
      <w:lvlJc w:val="left"/>
      <w:pPr>
        <w:ind w:left="1080" w:hanging="1080"/>
      </w:pPr>
      <w:rPr>
        <w:rFonts w:hint="default"/>
        <w:i w:val="0"/>
        <w:sz w:val="24"/>
      </w:rPr>
    </w:lvl>
    <w:lvl w:ilvl="6">
      <w:start w:val="1"/>
      <w:numFmt w:val="decimal"/>
      <w:lvlText w:val="%1.%2.%3.%4.%5.%6.%7"/>
      <w:lvlJc w:val="left"/>
      <w:pPr>
        <w:ind w:left="1440" w:hanging="1440"/>
      </w:pPr>
      <w:rPr>
        <w:rFonts w:hint="default"/>
        <w:i w:val="0"/>
        <w:sz w:val="24"/>
      </w:rPr>
    </w:lvl>
    <w:lvl w:ilvl="7">
      <w:start w:val="1"/>
      <w:numFmt w:val="decimal"/>
      <w:lvlText w:val="%1.%2.%3.%4.%5.%6.%7.%8"/>
      <w:lvlJc w:val="left"/>
      <w:pPr>
        <w:ind w:left="1440" w:hanging="1440"/>
      </w:pPr>
      <w:rPr>
        <w:rFonts w:hint="default"/>
        <w:i w:val="0"/>
        <w:sz w:val="24"/>
      </w:rPr>
    </w:lvl>
    <w:lvl w:ilvl="8">
      <w:start w:val="1"/>
      <w:numFmt w:val="decimal"/>
      <w:lvlText w:val="%1.%2.%3.%4.%5.%6.%7.%8.%9"/>
      <w:lvlJc w:val="left"/>
      <w:pPr>
        <w:ind w:left="1440" w:hanging="1440"/>
      </w:pPr>
      <w:rPr>
        <w:rFonts w:hint="default"/>
        <w:i w:val="0"/>
        <w:sz w:val="24"/>
      </w:rPr>
    </w:lvl>
  </w:abstractNum>
  <w:abstractNum w:abstractNumId="200">
    <w:nsid w:val="7D2E2113"/>
    <w:multiLevelType w:val="hybridMultilevel"/>
    <w:tmpl w:val="81622330"/>
    <w:lvl w:ilvl="0" w:tplc="7E0C0B94">
      <w:start w:val="5"/>
      <w:numFmt w:val="bullet"/>
      <w:lvlText w:val="-"/>
      <w:lvlJc w:val="left"/>
      <w:pPr>
        <w:ind w:left="817" w:hanging="360"/>
      </w:pPr>
      <w:rPr>
        <w:rFonts w:ascii="Calibri" w:eastAsiaTheme="minorHAnsi" w:hAnsi="Calibri" w:cs="Calibri" w:hint="default"/>
      </w:rPr>
    </w:lvl>
    <w:lvl w:ilvl="1" w:tplc="040C0003" w:tentative="1">
      <w:start w:val="1"/>
      <w:numFmt w:val="bullet"/>
      <w:lvlText w:val="o"/>
      <w:lvlJc w:val="left"/>
      <w:pPr>
        <w:ind w:left="1537" w:hanging="360"/>
      </w:pPr>
      <w:rPr>
        <w:rFonts w:ascii="Courier New" w:hAnsi="Courier New" w:cs="Courier New" w:hint="default"/>
      </w:rPr>
    </w:lvl>
    <w:lvl w:ilvl="2" w:tplc="040C0005" w:tentative="1">
      <w:start w:val="1"/>
      <w:numFmt w:val="bullet"/>
      <w:lvlText w:val=""/>
      <w:lvlJc w:val="left"/>
      <w:pPr>
        <w:ind w:left="2257" w:hanging="360"/>
      </w:pPr>
      <w:rPr>
        <w:rFonts w:ascii="Wingdings" w:hAnsi="Wingdings" w:hint="default"/>
      </w:rPr>
    </w:lvl>
    <w:lvl w:ilvl="3" w:tplc="040C0001" w:tentative="1">
      <w:start w:val="1"/>
      <w:numFmt w:val="bullet"/>
      <w:lvlText w:val=""/>
      <w:lvlJc w:val="left"/>
      <w:pPr>
        <w:ind w:left="2977" w:hanging="360"/>
      </w:pPr>
      <w:rPr>
        <w:rFonts w:ascii="Symbol" w:hAnsi="Symbol" w:hint="default"/>
      </w:rPr>
    </w:lvl>
    <w:lvl w:ilvl="4" w:tplc="040C0003" w:tentative="1">
      <w:start w:val="1"/>
      <w:numFmt w:val="bullet"/>
      <w:lvlText w:val="o"/>
      <w:lvlJc w:val="left"/>
      <w:pPr>
        <w:ind w:left="3697" w:hanging="360"/>
      </w:pPr>
      <w:rPr>
        <w:rFonts w:ascii="Courier New" w:hAnsi="Courier New" w:cs="Courier New" w:hint="default"/>
      </w:rPr>
    </w:lvl>
    <w:lvl w:ilvl="5" w:tplc="040C0005" w:tentative="1">
      <w:start w:val="1"/>
      <w:numFmt w:val="bullet"/>
      <w:lvlText w:val=""/>
      <w:lvlJc w:val="left"/>
      <w:pPr>
        <w:ind w:left="4417" w:hanging="360"/>
      </w:pPr>
      <w:rPr>
        <w:rFonts w:ascii="Wingdings" w:hAnsi="Wingdings" w:hint="default"/>
      </w:rPr>
    </w:lvl>
    <w:lvl w:ilvl="6" w:tplc="040C0001" w:tentative="1">
      <w:start w:val="1"/>
      <w:numFmt w:val="bullet"/>
      <w:lvlText w:val=""/>
      <w:lvlJc w:val="left"/>
      <w:pPr>
        <w:ind w:left="5137" w:hanging="360"/>
      </w:pPr>
      <w:rPr>
        <w:rFonts w:ascii="Symbol" w:hAnsi="Symbol" w:hint="default"/>
      </w:rPr>
    </w:lvl>
    <w:lvl w:ilvl="7" w:tplc="040C0003" w:tentative="1">
      <w:start w:val="1"/>
      <w:numFmt w:val="bullet"/>
      <w:lvlText w:val="o"/>
      <w:lvlJc w:val="left"/>
      <w:pPr>
        <w:ind w:left="5857" w:hanging="360"/>
      </w:pPr>
      <w:rPr>
        <w:rFonts w:ascii="Courier New" w:hAnsi="Courier New" w:cs="Courier New" w:hint="default"/>
      </w:rPr>
    </w:lvl>
    <w:lvl w:ilvl="8" w:tplc="040C0005" w:tentative="1">
      <w:start w:val="1"/>
      <w:numFmt w:val="bullet"/>
      <w:lvlText w:val=""/>
      <w:lvlJc w:val="left"/>
      <w:pPr>
        <w:ind w:left="6577" w:hanging="360"/>
      </w:pPr>
      <w:rPr>
        <w:rFonts w:ascii="Wingdings" w:hAnsi="Wingdings" w:hint="default"/>
      </w:rPr>
    </w:lvl>
  </w:abstractNum>
  <w:abstractNum w:abstractNumId="201">
    <w:nsid w:val="7F646F81"/>
    <w:multiLevelType w:val="singleLevel"/>
    <w:tmpl w:val="AF8033CA"/>
    <w:lvl w:ilvl="0">
      <w:start w:val="1"/>
      <w:numFmt w:val="lowerLetter"/>
      <w:lvlText w:val="(%1)"/>
      <w:lvlJc w:val="left"/>
      <w:pPr>
        <w:ind w:left="936" w:hanging="360"/>
      </w:pPr>
    </w:lvl>
  </w:abstractNum>
  <w:abstractNum w:abstractNumId="202">
    <w:nsid w:val="7FFD51F6"/>
    <w:multiLevelType w:val="hybridMultilevel"/>
    <w:tmpl w:val="1C2ADDD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01"/>
  </w:num>
  <w:num w:numId="3">
    <w:abstractNumId w:val="194"/>
  </w:num>
  <w:num w:numId="4">
    <w:abstractNumId w:val="66"/>
  </w:num>
  <w:num w:numId="5">
    <w:abstractNumId w:val="26"/>
  </w:num>
  <w:num w:numId="6">
    <w:abstractNumId w:val="106"/>
  </w:num>
  <w:num w:numId="7">
    <w:abstractNumId w:val="59"/>
  </w:num>
  <w:num w:numId="8">
    <w:abstractNumId w:val="40"/>
  </w:num>
  <w:num w:numId="9">
    <w:abstractNumId w:val="69"/>
  </w:num>
  <w:num w:numId="10">
    <w:abstractNumId w:val="115"/>
  </w:num>
  <w:num w:numId="11">
    <w:abstractNumId w:val="192"/>
  </w:num>
  <w:num w:numId="12">
    <w:abstractNumId w:val="121"/>
  </w:num>
  <w:num w:numId="13">
    <w:abstractNumId w:val="10"/>
  </w:num>
  <w:num w:numId="14">
    <w:abstractNumId w:val="31"/>
  </w:num>
  <w:num w:numId="15">
    <w:abstractNumId w:val="12"/>
  </w:num>
  <w:num w:numId="16">
    <w:abstractNumId w:val="125"/>
  </w:num>
  <w:num w:numId="17">
    <w:abstractNumId w:val="14"/>
  </w:num>
  <w:num w:numId="18">
    <w:abstractNumId w:val="37"/>
  </w:num>
  <w:num w:numId="19">
    <w:abstractNumId w:val="19"/>
  </w:num>
  <w:num w:numId="20">
    <w:abstractNumId w:val="84"/>
  </w:num>
  <w:num w:numId="21">
    <w:abstractNumId w:val="119"/>
  </w:num>
  <w:num w:numId="22">
    <w:abstractNumId w:val="18"/>
  </w:num>
  <w:num w:numId="23">
    <w:abstractNumId w:val="32"/>
  </w:num>
  <w:num w:numId="24">
    <w:abstractNumId w:val="184"/>
  </w:num>
  <w:num w:numId="25">
    <w:abstractNumId w:val="129"/>
  </w:num>
  <w:num w:numId="26">
    <w:abstractNumId w:val="8"/>
  </w:num>
  <w:num w:numId="27">
    <w:abstractNumId w:val="71"/>
  </w:num>
  <w:num w:numId="28">
    <w:abstractNumId w:val="138"/>
  </w:num>
  <w:num w:numId="29">
    <w:abstractNumId w:val="145"/>
  </w:num>
  <w:num w:numId="30">
    <w:abstractNumId w:val="24"/>
  </w:num>
  <w:num w:numId="31">
    <w:abstractNumId w:val="80"/>
  </w:num>
  <w:num w:numId="32">
    <w:abstractNumId w:val="67"/>
  </w:num>
  <w:num w:numId="33">
    <w:abstractNumId w:val="104"/>
  </w:num>
  <w:num w:numId="34">
    <w:abstractNumId w:val="179"/>
  </w:num>
  <w:num w:numId="35">
    <w:abstractNumId w:val="36"/>
  </w:num>
  <w:num w:numId="36">
    <w:abstractNumId w:val="47"/>
  </w:num>
  <w:num w:numId="37">
    <w:abstractNumId w:val="2"/>
  </w:num>
  <w:num w:numId="38">
    <w:abstractNumId w:val="93"/>
  </w:num>
  <w:num w:numId="39">
    <w:abstractNumId w:val="161"/>
  </w:num>
  <w:num w:numId="40">
    <w:abstractNumId w:val="116"/>
  </w:num>
  <w:num w:numId="41">
    <w:abstractNumId w:val="85"/>
  </w:num>
  <w:num w:numId="42">
    <w:abstractNumId w:val="133"/>
  </w:num>
  <w:num w:numId="43">
    <w:abstractNumId w:val="97"/>
  </w:num>
  <w:num w:numId="44">
    <w:abstractNumId w:val="5"/>
  </w:num>
  <w:num w:numId="45">
    <w:abstractNumId w:val="182"/>
  </w:num>
  <w:num w:numId="46">
    <w:abstractNumId w:val="135"/>
  </w:num>
  <w:num w:numId="47">
    <w:abstractNumId w:val="34"/>
  </w:num>
  <w:num w:numId="48">
    <w:abstractNumId w:val="126"/>
  </w:num>
  <w:num w:numId="49">
    <w:abstractNumId w:val="102"/>
  </w:num>
  <w:num w:numId="50">
    <w:abstractNumId w:val="137"/>
  </w:num>
  <w:num w:numId="51">
    <w:abstractNumId w:val="38"/>
  </w:num>
  <w:num w:numId="52">
    <w:abstractNumId w:val="181"/>
  </w:num>
  <w:num w:numId="53">
    <w:abstractNumId w:val="187"/>
  </w:num>
  <w:num w:numId="54">
    <w:abstractNumId w:val="13"/>
  </w:num>
  <w:num w:numId="55">
    <w:abstractNumId w:val="173"/>
  </w:num>
  <w:num w:numId="56">
    <w:abstractNumId w:val="159"/>
  </w:num>
  <w:num w:numId="57">
    <w:abstractNumId w:val="46"/>
  </w:num>
  <w:num w:numId="58">
    <w:abstractNumId w:val="136"/>
  </w:num>
  <w:num w:numId="59">
    <w:abstractNumId w:val="151"/>
  </w:num>
  <w:num w:numId="60">
    <w:abstractNumId w:val="89"/>
  </w:num>
  <w:num w:numId="61">
    <w:abstractNumId w:val="188"/>
  </w:num>
  <w:num w:numId="62">
    <w:abstractNumId w:val="189"/>
  </w:num>
  <w:num w:numId="63">
    <w:abstractNumId w:val="20"/>
  </w:num>
  <w:num w:numId="64">
    <w:abstractNumId w:val="41"/>
  </w:num>
  <w:num w:numId="65">
    <w:abstractNumId w:val="45"/>
  </w:num>
  <w:num w:numId="66">
    <w:abstractNumId w:val="110"/>
  </w:num>
  <w:num w:numId="67">
    <w:abstractNumId w:val="199"/>
  </w:num>
  <w:num w:numId="68">
    <w:abstractNumId w:val="148"/>
  </w:num>
  <w:num w:numId="69">
    <w:abstractNumId w:val="183"/>
  </w:num>
  <w:num w:numId="70">
    <w:abstractNumId w:val="0"/>
  </w:num>
  <w:num w:numId="71">
    <w:abstractNumId w:val="196"/>
  </w:num>
  <w:num w:numId="72">
    <w:abstractNumId w:val="98"/>
  </w:num>
  <w:num w:numId="73">
    <w:abstractNumId w:val="134"/>
  </w:num>
  <w:num w:numId="74">
    <w:abstractNumId w:val="22"/>
  </w:num>
  <w:num w:numId="75">
    <w:abstractNumId w:val="147"/>
  </w:num>
  <w:num w:numId="76">
    <w:abstractNumId w:val="64"/>
  </w:num>
  <w:num w:numId="77">
    <w:abstractNumId w:val="75"/>
  </w:num>
  <w:num w:numId="78">
    <w:abstractNumId w:val="86"/>
  </w:num>
  <w:num w:numId="79">
    <w:abstractNumId w:val="200"/>
  </w:num>
  <w:num w:numId="80">
    <w:abstractNumId w:val="53"/>
  </w:num>
  <w:num w:numId="81">
    <w:abstractNumId w:val="30"/>
  </w:num>
  <w:num w:numId="82">
    <w:abstractNumId w:val="171"/>
  </w:num>
  <w:num w:numId="83">
    <w:abstractNumId w:val="118"/>
  </w:num>
  <w:num w:numId="84">
    <w:abstractNumId w:val="27"/>
  </w:num>
  <w:num w:numId="85">
    <w:abstractNumId w:val="162"/>
  </w:num>
  <w:num w:numId="86">
    <w:abstractNumId w:val="60"/>
  </w:num>
  <w:num w:numId="87">
    <w:abstractNumId w:val="112"/>
  </w:num>
  <w:num w:numId="88">
    <w:abstractNumId w:val="191"/>
  </w:num>
  <w:num w:numId="89">
    <w:abstractNumId w:val="107"/>
  </w:num>
  <w:num w:numId="90">
    <w:abstractNumId w:val="17"/>
  </w:num>
  <w:num w:numId="91">
    <w:abstractNumId w:val="21"/>
  </w:num>
  <w:num w:numId="92">
    <w:abstractNumId w:val="158"/>
  </w:num>
  <w:num w:numId="93">
    <w:abstractNumId w:val="101"/>
  </w:num>
  <w:num w:numId="94">
    <w:abstractNumId w:val="130"/>
  </w:num>
  <w:num w:numId="95">
    <w:abstractNumId w:val="83"/>
  </w:num>
  <w:num w:numId="96">
    <w:abstractNumId w:val="54"/>
  </w:num>
  <w:num w:numId="97">
    <w:abstractNumId w:val="52"/>
  </w:num>
  <w:num w:numId="98">
    <w:abstractNumId w:val="163"/>
  </w:num>
  <w:num w:numId="99">
    <w:abstractNumId w:val="28"/>
  </w:num>
  <w:num w:numId="100">
    <w:abstractNumId w:val="78"/>
  </w:num>
  <w:num w:numId="101">
    <w:abstractNumId w:val="153"/>
  </w:num>
  <w:num w:numId="102">
    <w:abstractNumId w:val="50"/>
  </w:num>
  <w:num w:numId="103">
    <w:abstractNumId w:val="108"/>
  </w:num>
  <w:num w:numId="104">
    <w:abstractNumId w:val="142"/>
  </w:num>
  <w:num w:numId="105">
    <w:abstractNumId w:val="91"/>
  </w:num>
  <w:num w:numId="106">
    <w:abstractNumId w:val="25"/>
  </w:num>
  <w:num w:numId="107">
    <w:abstractNumId w:val="63"/>
  </w:num>
  <w:num w:numId="108">
    <w:abstractNumId w:val="157"/>
  </w:num>
  <w:num w:numId="109">
    <w:abstractNumId w:val="9"/>
  </w:num>
  <w:num w:numId="110">
    <w:abstractNumId w:val="113"/>
  </w:num>
  <w:num w:numId="111">
    <w:abstractNumId w:val="11"/>
  </w:num>
  <w:num w:numId="112">
    <w:abstractNumId w:val="149"/>
  </w:num>
  <w:num w:numId="113">
    <w:abstractNumId w:val="44"/>
  </w:num>
  <w:num w:numId="114">
    <w:abstractNumId w:val="87"/>
  </w:num>
  <w:num w:numId="115">
    <w:abstractNumId w:val="186"/>
  </w:num>
  <w:num w:numId="116">
    <w:abstractNumId w:val="73"/>
  </w:num>
  <w:num w:numId="117">
    <w:abstractNumId w:val="166"/>
  </w:num>
  <w:num w:numId="118">
    <w:abstractNumId w:val="117"/>
  </w:num>
  <w:num w:numId="119">
    <w:abstractNumId w:val="23"/>
  </w:num>
  <w:num w:numId="120">
    <w:abstractNumId w:val="177"/>
  </w:num>
  <w:num w:numId="121">
    <w:abstractNumId w:val="72"/>
  </w:num>
  <w:num w:numId="122">
    <w:abstractNumId w:val="43"/>
  </w:num>
  <w:num w:numId="123">
    <w:abstractNumId w:val="92"/>
  </w:num>
  <w:num w:numId="124">
    <w:abstractNumId w:val="190"/>
  </w:num>
  <w:num w:numId="125">
    <w:abstractNumId w:val="88"/>
  </w:num>
  <w:num w:numId="126">
    <w:abstractNumId w:val="79"/>
  </w:num>
  <w:num w:numId="127">
    <w:abstractNumId w:val="146"/>
  </w:num>
  <w:num w:numId="128">
    <w:abstractNumId w:val="143"/>
  </w:num>
  <w:num w:numId="129">
    <w:abstractNumId w:val="120"/>
  </w:num>
  <w:num w:numId="130">
    <w:abstractNumId w:val="94"/>
  </w:num>
  <w:num w:numId="131">
    <w:abstractNumId w:val="174"/>
  </w:num>
  <w:num w:numId="132">
    <w:abstractNumId w:val="140"/>
  </w:num>
  <w:num w:numId="133">
    <w:abstractNumId w:val="74"/>
  </w:num>
  <w:num w:numId="134">
    <w:abstractNumId w:val="178"/>
  </w:num>
  <w:num w:numId="135">
    <w:abstractNumId w:val="141"/>
  </w:num>
  <w:num w:numId="136">
    <w:abstractNumId w:val="164"/>
  </w:num>
  <w:num w:numId="137">
    <w:abstractNumId w:val="55"/>
  </w:num>
  <w:num w:numId="138">
    <w:abstractNumId w:val="4"/>
  </w:num>
  <w:num w:numId="139">
    <w:abstractNumId w:val="90"/>
  </w:num>
  <w:num w:numId="140">
    <w:abstractNumId w:val="35"/>
  </w:num>
  <w:num w:numId="141">
    <w:abstractNumId w:val="103"/>
  </w:num>
  <w:num w:numId="142">
    <w:abstractNumId w:val="48"/>
  </w:num>
  <w:num w:numId="143">
    <w:abstractNumId w:val="170"/>
  </w:num>
  <w:num w:numId="144">
    <w:abstractNumId w:val="81"/>
  </w:num>
  <w:num w:numId="145">
    <w:abstractNumId w:val="6"/>
  </w:num>
  <w:num w:numId="146">
    <w:abstractNumId w:val="57"/>
  </w:num>
  <w:num w:numId="147">
    <w:abstractNumId w:val="139"/>
  </w:num>
  <w:num w:numId="148">
    <w:abstractNumId w:val="15"/>
  </w:num>
  <w:num w:numId="149">
    <w:abstractNumId w:val="109"/>
  </w:num>
  <w:num w:numId="150">
    <w:abstractNumId w:val="160"/>
  </w:num>
  <w:num w:numId="151">
    <w:abstractNumId w:val="152"/>
  </w:num>
  <w:num w:numId="152">
    <w:abstractNumId w:val="124"/>
  </w:num>
  <w:num w:numId="153">
    <w:abstractNumId w:val="29"/>
  </w:num>
  <w:num w:numId="154">
    <w:abstractNumId w:val="167"/>
  </w:num>
  <w:num w:numId="155">
    <w:abstractNumId w:val="180"/>
  </w:num>
  <w:num w:numId="156">
    <w:abstractNumId w:val="150"/>
  </w:num>
  <w:num w:numId="157">
    <w:abstractNumId w:val="111"/>
  </w:num>
  <w:num w:numId="158">
    <w:abstractNumId w:val="156"/>
  </w:num>
  <w:num w:numId="159">
    <w:abstractNumId w:val="197"/>
  </w:num>
  <w:num w:numId="160">
    <w:abstractNumId w:val="128"/>
  </w:num>
  <w:num w:numId="161">
    <w:abstractNumId w:val="185"/>
  </w:num>
  <w:num w:numId="162">
    <w:abstractNumId w:val="7"/>
  </w:num>
  <w:num w:numId="163">
    <w:abstractNumId w:val="105"/>
  </w:num>
  <w:num w:numId="164">
    <w:abstractNumId w:val="132"/>
  </w:num>
  <w:num w:numId="165">
    <w:abstractNumId w:val="195"/>
  </w:num>
  <w:num w:numId="166">
    <w:abstractNumId w:val="76"/>
  </w:num>
  <w:num w:numId="167">
    <w:abstractNumId w:val="16"/>
  </w:num>
  <w:num w:numId="168">
    <w:abstractNumId w:val="169"/>
  </w:num>
  <w:num w:numId="169">
    <w:abstractNumId w:val="100"/>
  </w:num>
  <w:num w:numId="170">
    <w:abstractNumId w:val="56"/>
  </w:num>
  <w:num w:numId="171">
    <w:abstractNumId w:val="70"/>
  </w:num>
  <w:num w:numId="172">
    <w:abstractNumId w:val="193"/>
  </w:num>
  <w:num w:numId="173">
    <w:abstractNumId w:val="165"/>
  </w:num>
  <w:num w:numId="174">
    <w:abstractNumId w:val="39"/>
  </w:num>
  <w:num w:numId="175">
    <w:abstractNumId w:val="123"/>
  </w:num>
  <w:num w:numId="176">
    <w:abstractNumId w:val="65"/>
  </w:num>
  <w:num w:numId="177">
    <w:abstractNumId w:val="99"/>
  </w:num>
  <w:num w:numId="178">
    <w:abstractNumId w:val="144"/>
  </w:num>
  <w:num w:numId="179">
    <w:abstractNumId w:val="58"/>
  </w:num>
  <w:num w:numId="180">
    <w:abstractNumId w:val="49"/>
  </w:num>
  <w:num w:numId="181">
    <w:abstractNumId w:val="96"/>
  </w:num>
  <w:num w:numId="182">
    <w:abstractNumId w:val="172"/>
  </w:num>
  <w:num w:numId="183">
    <w:abstractNumId w:val="176"/>
  </w:num>
  <w:num w:numId="184">
    <w:abstractNumId w:val="3"/>
  </w:num>
  <w:num w:numId="185">
    <w:abstractNumId w:val="202"/>
  </w:num>
  <w:num w:numId="186">
    <w:abstractNumId w:val="198"/>
  </w:num>
  <w:num w:numId="187">
    <w:abstractNumId w:val="131"/>
  </w:num>
  <w:num w:numId="188">
    <w:abstractNumId w:val="154"/>
  </w:num>
  <w:num w:numId="189">
    <w:abstractNumId w:val="82"/>
  </w:num>
  <w:num w:numId="190">
    <w:abstractNumId w:val="155"/>
  </w:num>
  <w:num w:numId="191">
    <w:abstractNumId w:val="127"/>
  </w:num>
  <w:num w:numId="192">
    <w:abstractNumId w:val="95"/>
  </w:num>
  <w:num w:numId="193">
    <w:abstractNumId w:val="42"/>
  </w:num>
  <w:num w:numId="194">
    <w:abstractNumId w:val="68"/>
  </w:num>
  <w:num w:numId="195">
    <w:abstractNumId w:val="168"/>
  </w:num>
  <w:num w:numId="196">
    <w:abstractNumId w:val="33"/>
  </w:num>
  <w:num w:numId="197">
    <w:abstractNumId w:val="77"/>
  </w:num>
  <w:num w:numId="198">
    <w:abstractNumId w:val="122"/>
  </w:num>
  <w:num w:numId="199">
    <w:abstractNumId w:val="61"/>
  </w:num>
  <w:num w:numId="200">
    <w:abstractNumId w:val="175"/>
  </w:num>
  <w:num w:numId="201">
    <w:abstractNumId w:val="62"/>
  </w:num>
  <w:num w:numId="202">
    <w:abstractNumId w:val="114"/>
  </w:num>
  <w:num w:numId="203">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abstractNumId w:val="51"/>
  </w:num>
  <w:numIdMacAtCleanup w:val="2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07"/>
  <w:doNotHyphenateCaps/>
  <w:drawingGridHorizontalSpacing w:val="120"/>
  <w:drawingGridVerticalSpacing w:val="120"/>
  <w:displayHorizontalDrawingGridEvery w:val="2"/>
  <w:displayVerticalDrawingGridEvery w:val="0"/>
  <w:doNotShadeFormData/>
  <w:noPunctuationKerning/>
  <w:characterSpacingControl w:val="doNotCompress"/>
  <w:hdrShapeDefaults>
    <o:shapedefaults v:ext="edit" spidmax="4097"/>
  </w:hdrShapeDefaults>
  <w:footnotePr>
    <w:numRestart w:val="eachPage"/>
    <w:footnote w:id="-1"/>
    <w:footnote w:id="0"/>
    <w:footnote w:id="1"/>
  </w:footnotePr>
  <w:endnotePr>
    <w:numFmt w:val="decimal"/>
    <w:endnote w:id="-1"/>
    <w:endnote w:id="0"/>
    <w:endnote w:id="1"/>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54E"/>
    <w:rsid w:val="00000083"/>
    <w:rsid w:val="00000119"/>
    <w:rsid w:val="00000FF3"/>
    <w:rsid w:val="00001289"/>
    <w:rsid w:val="00001744"/>
    <w:rsid w:val="0000193A"/>
    <w:rsid w:val="00001A29"/>
    <w:rsid w:val="00002053"/>
    <w:rsid w:val="00002180"/>
    <w:rsid w:val="0000296E"/>
    <w:rsid w:val="00003152"/>
    <w:rsid w:val="000040D7"/>
    <w:rsid w:val="00004895"/>
    <w:rsid w:val="000048D3"/>
    <w:rsid w:val="00005AC0"/>
    <w:rsid w:val="00005DA6"/>
    <w:rsid w:val="00006BDF"/>
    <w:rsid w:val="00006E9A"/>
    <w:rsid w:val="0000733A"/>
    <w:rsid w:val="0001056F"/>
    <w:rsid w:val="00010A1F"/>
    <w:rsid w:val="00010C5D"/>
    <w:rsid w:val="00011A34"/>
    <w:rsid w:val="00011C10"/>
    <w:rsid w:val="000120E1"/>
    <w:rsid w:val="0001223B"/>
    <w:rsid w:val="0001267C"/>
    <w:rsid w:val="00012945"/>
    <w:rsid w:val="00013AB1"/>
    <w:rsid w:val="00013DB4"/>
    <w:rsid w:val="0001410C"/>
    <w:rsid w:val="0001477A"/>
    <w:rsid w:val="00014CE5"/>
    <w:rsid w:val="000166F7"/>
    <w:rsid w:val="00016BEB"/>
    <w:rsid w:val="000179A1"/>
    <w:rsid w:val="00020975"/>
    <w:rsid w:val="00020D51"/>
    <w:rsid w:val="00021D8C"/>
    <w:rsid w:val="000224D2"/>
    <w:rsid w:val="00022C80"/>
    <w:rsid w:val="00023B03"/>
    <w:rsid w:val="00024430"/>
    <w:rsid w:val="000248B2"/>
    <w:rsid w:val="00024EA3"/>
    <w:rsid w:val="000251F0"/>
    <w:rsid w:val="000260B5"/>
    <w:rsid w:val="00026E0D"/>
    <w:rsid w:val="00027617"/>
    <w:rsid w:val="000279F9"/>
    <w:rsid w:val="0003044A"/>
    <w:rsid w:val="00030AF4"/>
    <w:rsid w:val="000316D2"/>
    <w:rsid w:val="00031841"/>
    <w:rsid w:val="0003289E"/>
    <w:rsid w:val="0003317C"/>
    <w:rsid w:val="00034B26"/>
    <w:rsid w:val="00034F20"/>
    <w:rsid w:val="000353F9"/>
    <w:rsid w:val="000359E2"/>
    <w:rsid w:val="00036CD6"/>
    <w:rsid w:val="00037168"/>
    <w:rsid w:val="00037573"/>
    <w:rsid w:val="00040172"/>
    <w:rsid w:val="000434D1"/>
    <w:rsid w:val="00043A21"/>
    <w:rsid w:val="00043A84"/>
    <w:rsid w:val="00043C85"/>
    <w:rsid w:val="00043E49"/>
    <w:rsid w:val="0004424A"/>
    <w:rsid w:val="000443D7"/>
    <w:rsid w:val="00045076"/>
    <w:rsid w:val="000464F4"/>
    <w:rsid w:val="000466FB"/>
    <w:rsid w:val="000502FA"/>
    <w:rsid w:val="00050351"/>
    <w:rsid w:val="00051391"/>
    <w:rsid w:val="0005295B"/>
    <w:rsid w:val="00052ED4"/>
    <w:rsid w:val="00053D40"/>
    <w:rsid w:val="00053F32"/>
    <w:rsid w:val="00054CF8"/>
    <w:rsid w:val="00054ED1"/>
    <w:rsid w:val="00055876"/>
    <w:rsid w:val="0005607C"/>
    <w:rsid w:val="00056669"/>
    <w:rsid w:val="00056853"/>
    <w:rsid w:val="00056F87"/>
    <w:rsid w:val="00057EC9"/>
    <w:rsid w:val="0006041E"/>
    <w:rsid w:val="000605B6"/>
    <w:rsid w:val="00060737"/>
    <w:rsid w:val="0006139F"/>
    <w:rsid w:val="00061807"/>
    <w:rsid w:val="0006277A"/>
    <w:rsid w:val="0006406F"/>
    <w:rsid w:val="000646CB"/>
    <w:rsid w:val="00064755"/>
    <w:rsid w:val="00064A0F"/>
    <w:rsid w:val="00064BCC"/>
    <w:rsid w:val="00064CE2"/>
    <w:rsid w:val="00064D22"/>
    <w:rsid w:val="00065741"/>
    <w:rsid w:val="00066524"/>
    <w:rsid w:val="0006673E"/>
    <w:rsid w:val="00066781"/>
    <w:rsid w:val="0006685F"/>
    <w:rsid w:val="00066B70"/>
    <w:rsid w:val="00066CAA"/>
    <w:rsid w:val="000670F9"/>
    <w:rsid w:val="000711C5"/>
    <w:rsid w:val="000719B6"/>
    <w:rsid w:val="00071BA6"/>
    <w:rsid w:val="00071D1A"/>
    <w:rsid w:val="00071DB1"/>
    <w:rsid w:val="0007239D"/>
    <w:rsid w:val="00072D43"/>
    <w:rsid w:val="00073834"/>
    <w:rsid w:val="00073C64"/>
    <w:rsid w:val="00073C66"/>
    <w:rsid w:val="00073D6C"/>
    <w:rsid w:val="00074547"/>
    <w:rsid w:val="000745D4"/>
    <w:rsid w:val="00074AC6"/>
    <w:rsid w:val="00075629"/>
    <w:rsid w:val="000761EC"/>
    <w:rsid w:val="00076CE0"/>
    <w:rsid w:val="000772B1"/>
    <w:rsid w:val="0008053E"/>
    <w:rsid w:val="000809BA"/>
    <w:rsid w:val="00080B61"/>
    <w:rsid w:val="00080C3A"/>
    <w:rsid w:val="000811BF"/>
    <w:rsid w:val="00081433"/>
    <w:rsid w:val="00081DD9"/>
    <w:rsid w:val="00081E26"/>
    <w:rsid w:val="0008205F"/>
    <w:rsid w:val="0008234E"/>
    <w:rsid w:val="00082481"/>
    <w:rsid w:val="000835E9"/>
    <w:rsid w:val="00084254"/>
    <w:rsid w:val="000845BC"/>
    <w:rsid w:val="00084778"/>
    <w:rsid w:val="00085017"/>
    <w:rsid w:val="00085318"/>
    <w:rsid w:val="000854D2"/>
    <w:rsid w:val="00085ABA"/>
    <w:rsid w:val="0008623C"/>
    <w:rsid w:val="0008705D"/>
    <w:rsid w:val="00087086"/>
    <w:rsid w:val="00090752"/>
    <w:rsid w:val="00090BF9"/>
    <w:rsid w:val="00090E0F"/>
    <w:rsid w:val="000917B9"/>
    <w:rsid w:val="000919CF"/>
    <w:rsid w:val="00091B39"/>
    <w:rsid w:val="00091B7B"/>
    <w:rsid w:val="00091E99"/>
    <w:rsid w:val="0009292B"/>
    <w:rsid w:val="000932EF"/>
    <w:rsid w:val="000947E8"/>
    <w:rsid w:val="00094A29"/>
    <w:rsid w:val="00094B65"/>
    <w:rsid w:val="0009538F"/>
    <w:rsid w:val="000956D2"/>
    <w:rsid w:val="00095F3D"/>
    <w:rsid w:val="000977EF"/>
    <w:rsid w:val="00097EA7"/>
    <w:rsid w:val="000A02CB"/>
    <w:rsid w:val="000A0B07"/>
    <w:rsid w:val="000A0F91"/>
    <w:rsid w:val="000A1B04"/>
    <w:rsid w:val="000A1E83"/>
    <w:rsid w:val="000A21B8"/>
    <w:rsid w:val="000A233F"/>
    <w:rsid w:val="000A254E"/>
    <w:rsid w:val="000A305A"/>
    <w:rsid w:val="000A3925"/>
    <w:rsid w:val="000A3C00"/>
    <w:rsid w:val="000A408C"/>
    <w:rsid w:val="000A450A"/>
    <w:rsid w:val="000A61D1"/>
    <w:rsid w:val="000A62AA"/>
    <w:rsid w:val="000A6533"/>
    <w:rsid w:val="000A672A"/>
    <w:rsid w:val="000A68E6"/>
    <w:rsid w:val="000A69AA"/>
    <w:rsid w:val="000A6EAF"/>
    <w:rsid w:val="000A742E"/>
    <w:rsid w:val="000A764C"/>
    <w:rsid w:val="000B0847"/>
    <w:rsid w:val="000B116B"/>
    <w:rsid w:val="000B143A"/>
    <w:rsid w:val="000B19C9"/>
    <w:rsid w:val="000B2E6C"/>
    <w:rsid w:val="000B4127"/>
    <w:rsid w:val="000B4638"/>
    <w:rsid w:val="000B4A2B"/>
    <w:rsid w:val="000B4F97"/>
    <w:rsid w:val="000B52DA"/>
    <w:rsid w:val="000B60F7"/>
    <w:rsid w:val="000B690A"/>
    <w:rsid w:val="000B69A1"/>
    <w:rsid w:val="000B74A2"/>
    <w:rsid w:val="000B766E"/>
    <w:rsid w:val="000B78FC"/>
    <w:rsid w:val="000B7943"/>
    <w:rsid w:val="000C0113"/>
    <w:rsid w:val="000C05B5"/>
    <w:rsid w:val="000C1568"/>
    <w:rsid w:val="000C18CF"/>
    <w:rsid w:val="000C2173"/>
    <w:rsid w:val="000C2331"/>
    <w:rsid w:val="000C28C6"/>
    <w:rsid w:val="000C2ADA"/>
    <w:rsid w:val="000C2CA2"/>
    <w:rsid w:val="000C321F"/>
    <w:rsid w:val="000C3A42"/>
    <w:rsid w:val="000C3DC9"/>
    <w:rsid w:val="000C3EE0"/>
    <w:rsid w:val="000C42CA"/>
    <w:rsid w:val="000C4C25"/>
    <w:rsid w:val="000C4EAD"/>
    <w:rsid w:val="000C523D"/>
    <w:rsid w:val="000C6752"/>
    <w:rsid w:val="000C7A03"/>
    <w:rsid w:val="000D0BDE"/>
    <w:rsid w:val="000D0EA3"/>
    <w:rsid w:val="000D1000"/>
    <w:rsid w:val="000D16F8"/>
    <w:rsid w:val="000D193F"/>
    <w:rsid w:val="000D19A6"/>
    <w:rsid w:val="000D1B55"/>
    <w:rsid w:val="000D3187"/>
    <w:rsid w:val="000D3927"/>
    <w:rsid w:val="000D4501"/>
    <w:rsid w:val="000D4596"/>
    <w:rsid w:val="000D51DF"/>
    <w:rsid w:val="000D5D3D"/>
    <w:rsid w:val="000D6696"/>
    <w:rsid w:val="000D6EAF"/>
    <w:rsid w:val="000D709B"/>
    <w:rsid w:val="000D7951"/>
    <w:rsid w:val="000E16B0"/>
    <w:rsid w:val="000E2198"/>
    <w:rsid w:val="000E22AA"/>
    <w:rsid w:val="000E282C"/>
    <w:rsid w:val="000E3451"/>
    <w:rsid w:val="000E37D3"/>
    <w:rsid w:val="000E46C2"/>
    <w:rsid w:val="000E46C4"/>
    <w:rsid w:val="000E49D4"/>
    <w:rsid w:val="000E52DE"/>
    <w:rsid w:val="000E5473"/>
    <w:rsid w:val="000E5703"/>
    <w:rsid w:val="000E59C6"/>
    <w:rsid w:val="000E6ADA"/>
    <w:rsid w:val="000E6EFF"/>
    <w:rsid w:val="000E755F"/>
    <w:rsid w:val="000E7EDE"/>
    <w:rsid w:val="000F02D3"/>
    <w:rsid w:val="000F0869"/>
    <w:rsid w:val="000F0E70"/>
    <w:rsid w:val="000F1F7C"/>
    <w:rsid w:val="000F2023"/>
    <w:rsid w:val="000F2C64"/>
    <w:rsid w:val="000F38EC"/>
    <w:rsid w:val="000F399E"/>
    <w:rsid w:val="000F3C97"/>
    <w:rsid w:val="000F4EED"/>
    <w:rsid w:val="000F50F9"/>
    <w:rsid w:val="000F62A5"/>
    <w:rsid w:val="000F6B2B"/>
    <w:rsid w:val="000F78BD"/>
    <w:rsid w:val="000F798B"/>
    <w:rsid w:val="00100BD1"/>
    <w:rsid w:val="00100CA7"/>
    <w:rsid w:val="0010175F"/>
    <w:rsid w:val="00101F73"/>
    <w:rsid w:val="00102764"/>
    <w:rsid w:val="00102E09"/>
    <w:rsid w:val="0010302A"/>
    <w:rsid w:val="00103606"/>
    <w:rsid w:val="00104866"/>
    <w:rsid w:val="00104F78"/>
    <w:rsid w:val="00105046"/>
    <w:rsid w:val="001066AF"/>
    <w:rsid w:val="00106B52"/>
    <w:rsid w:val="00106B6A"/>
    <w:rsid w:val="00106EE7"/>
    <w:rsid w:val="00107599"/>
    <w:rsid w:val="00107912"/>
    <w:rsid w:val="00110E7E"/>
    <w:rsid w:val="0011179B"/>
    <w:rsid w:val="001125FC"/>
    <w:rsid w:val="0011417E"/>
    <w:rsid w:val="0011427A"/>
    <w:rsid w:val="0011471F"/>
    <w:rsid w:val="00114B52"/>
    <w:rsid w:val="00115435"/>
    <w:rsid w:val="00115947"/>
    <w:rsid w:val="00115C37"/>
    <w:rsid w:val="00116CCD"/>
    <w:rsid w:val="00117010"/>
    <w:rsid w:val="001175B7"/>
    <w:rsid w:val="001175F2"/>
    <w:rsid w:val="00117B7F"/>
    <w:rsid w:val="00117BE8"/>
    <w:rsid w:val="00120CDA"/>
    <w:rsid w:val="001217A9"/>
    <w:rsid w:val="00121CF2"/>
    <w:rsid w:val="001229AB"/>
    <w:rsid w:val="00122D67"/>
    <w:rsid w:val="00122E2A"/>
    <w:rsid w:val="00122F22"/>
    <w:rsid w:val="001230AA"/>
    <w:rsid w:val="00123676"/>
    <w:rsid w:val="00123D98"/>
    <w:rsid w:val="001245AB"/>
    <w:rsid w:val="00125079"/>
    <w:rsid w:val="00125269"/>
    <w:rsid w:val="00125325"/>
    <w:rsid w:val="00126053"/>
    <w:rsid w:val="001265A7"/>
    <w:rsid w:val="00127345"/>
    <w:rsid w:val="00127A8F"/>
    <w:rsid w:val="00130BD9"/>
    <w:rsid w:val="00131009"/>
    <w:rsid w:val="0013165E"/>
    <w:rsid w:val="00131733"/>
    <w:rsid w:val="00132427"/>
    <w:rsid w:val="001327FB"/>
    <w:rsid w:val="00132A9B"/>
    <w:rsid w:val="00132FA7"/>
    <w:rsid w:val="0013330B"/>
    <w:rsid w:val="001333FB"/>
    <w:rsid w:val="0013352C"/>
    <w:rsid w:val="0013457B"/>
    <w:rsid w:val="0013471B"/>
    <w:rsid w:val="00134B5A"/>
    <w:rsid w:val="0013518C"/>
    <w:rsid w:val="001356AD"/>
    <w:rsid w:val="0013576B"/>
    <w:rsid w:val="00135A0C"/>
    <w:rsid w:val="001363C6"/>
    <w:rsid w:val="001367A3"/>
    <w:rsid w:val="00136839"/>
    <w:rsid w:val="00136D28"/>
    <w:rsid w:val="001402E6"/>
    <w:rsid w:val="00140A17"/>
    <w:rsid w:val="00141261"/>
    <w:rsid w:val="00141A98"/>
    <w:rsid w:val="00142BB6"/>
    <w:rsid w:val="00142CB3"/>
    <w:rsid w:val="00143BA1"/>
    <w:rsid w:val="00144088"/>
    <w:rsid w:val="00144351"/>
    <w:rsid w:val="001446F8"/>
    <w:rsid w:val="001453D6"/>
    <w:rsid w:val="001454CF"/>
    <w:rsid w:val="00145637"/>
    <w:rsid w:val="0014669A"/>
    <w:rsid w:val="00146814"/>
    <w:rsid w:val="001469B3"/>
    <w:rsid w:val="00147827"/>
    <w:rsid w:val="00147ABB"/>
    <w:rsid w:val="00147CCB"/>
    <w:rsid w:val="00150638"/>
    <w:rsid w:val="00151D0B"/>
    <w:rsid w:val="00152408"/>
    <w:rsid w:val="00153088"/>
    <w:rsid w:val="00153355"/>
    <w:rsid w:val="001534F6"/>
    <w:rsid w:val="001535EA"/>
    <w:rsid w:val="001538F3"/>
    <w:rsid w:val="00154B3C"/>
    <w:rsid w:val="00154E4A"/>
    <w:rsid w:val="0015546E"/>
    <w:rsid w:val="0015591B"/>
    <w:rsid w:val="001562A4"/>
    <w:rsid w:val="00156547"/>
    <w:rsid w:val="00156E8A"/>
    <w:rsid w:val="00156E9B"/>
    <w:rsid w:val="00156FA5"/>
    <w:rsid w:val="0015753F"/>
    <w:rsid w:val="00157646"/>
    <w:rsid w:val="0015780C"/>
    <w:rsid w:val="00160015"/>
    <w:rsid w:val="00160856"/>
    <w:rsid w:val="00161C7C"/>
    <w:rsid w:val="00162630"/>
    <w:rsid w:val="001626FA"/>
    <w:rsid w:val="001627D7"/>
    <w:rsid w:val="00162B01"/>
    <w:rsid w:val="00162E47"/>
    <w:rsid w:val="0016307B"/>
    <w:rsid w:val="0016311A"/>
    <w:rsid w:val="00163BE6"/>
    <w:rsid w:val="00164E90"/>
    <w:rsid w:val="001652FE"/>
    <w:rsid w:val="001656B8"/>
    <w:rsid w:val="00165806"/>
    <w:rsid w:val="00165AA0"/>
    <w:rsid w:val="00165E5F"/>
    <w:rsid w:val="00166EA3"/>
    <w:rsid w:val="001676EC"/>
    <w:rsid w:val="00170FDC"/>
    <w:rsid w:val="00171581"/>
    <w:rsid w:val="00171731"/>
    <w:rsid w:val="00171A72"/>
    <w:rsid w:val="001725DF"/>
    <w:rsid w:val="00172736"/>
    <w:rsid w:val="001752BE"/>
    <w:rsid w:val="00175401"/>
    <w:rsid w:val="00175853"/>
    <w:rsid w:val="0017608D"/>
    <w:rsid w:val="001772D6"/>
    <w:rsid w:val="00177619"/>
    <w:rsid w:val="00177AB8"/>
    <w:rsid w:val="00181447"/>
    <w:rsid w:val="00182404"/>
    <w:rsid w:val="00183B77"/>
    <w:rsid w:val="00185238"/>
    <w:rsid w:val="00185346"/>
    <w:rsid w:val="00185F60"/>
    <w:rsid w:val="00187398"/>
    <w:rsid w:val="00187E58"/>
    <w:rsid w:val="00187EB0"/>
    <w:rsid w:val="00190000"/>
    <w:rsid w:val="00190650"/>
    <w:rsid w:val="001926ED"/>
    <w:rsid w:val="00192E9D"/>
    <w:rsid w:val="00192FB0"/>
    <w:rsid w:val="00194E34"/>
    <w:rsid w:val="001950E7"/>
    <w:rsid w:val="001971DE"/>
    <w:rsid w:val="00197DFD"/>
    <w:rsid w:val="001A1639"/>
    <w:rsid w:val="001A1994"/>
    <w:rsid w:val="001A1BE1"/>
    <w:rsid w:val="001A206C"/>
    <w:rsid w:val="001A2357"/>
    <w:rsid w:val="001A24B6"/>
    <w:rsid w:val="001A24CE"/>
    <w:rsid w:val="001A2718"/>
    <w:rsid w:val="001A3227"/>
    <w:rsid w:val="001A32A4"/>
    <w:rsid w:val="001A3C9A"/>
    <w:rsid w:val="001A505E"/>
    <w:rsid w:val="001A50EA"/>
    <w:rsid w:val="001A6507"/>
    <w:rsid w:val="001A7798"/>
    <w:rsid w:val="001A7D97"/>
    <w:rsid w:val="001B0201"/>
    <w:rsid w:val="001B0237"/>
    <w:rsid w:val="001B0C61"/>
    <w:rsid w:val="001B17AC"/>
    <w:rsid w:val="001B2180"/>
    <w:rsid w:val="001B2E4C"/>
    <w:rsid w:val="001B3190"/>
    <w:rsid w:val="001B3600"/>
    <w:rsid w:val="001B3998"/>
    <w:rsid w:val="001B39B8"/>
    <w:rsid w:val="001B50ED"/>
    <w:rsid w:val="001B5103"/>
    <w:rsid w:val="001B6E5F"/>
    <w:rsid w:val="001B78F2"/>
    <w:rsid w:val="001B7997"/>
    <w:rsid w:val="001B7E07"/>
    <w:rsid w:val="001C0EC7"/>
    <w:rsid w:val="001C0F3D"/>
    <w:rsid w:val="001C1491"/>
    <w:rsid w:val="001C1BA4"/>
    <w:rsid w:val="001C23CE"/>
    <w:rsid w:val="001C2C5E"/>
    <w:rsid w:val="001C3A5F"/>
    <w:rsid w:val="001C3D68"/>
    <w:rsid w:val="001C415A"/>
    <w:rsid w:val="001C4587"/>
    <w:rsid w:val="001C47F2"/>
    <w:rsid w:val="001C485C"/>
    <w:rsid w:val="001C4B40"/>
    <w:rsid w:val="001C535B"/>
    <w:rsid w:val="001C5A1D"/>
    <w:rsid w:val="001C5B01"/>
    <w:rsid w:val="001C6B85"/>
    <w:rsid w:val="001C6D8A"/>
    <w:rsid w:val="001C7013"/>
    <w:rsid w:val="001C72F7"/>
    <w:rsid w:val="001C74CC"/>
    <w:rsid w:val="001C7668"/>
    <w:rsid w:val="001C78F2"/>
    <w:rsid w:val="001C7C14"/>
    <w:rsid w:val="001C7DB5"/>
    <w:rsid w:val="001D0A4A"/>
    <w:rsid w:val="001D0FA0"/>
    <w:rsid w:val="001D26F4"/>
    <w:rsid w:val="001D2FF4"/>
    <w:rsid w:val="001D3519"/>
    <w:rsid w:val="001D38D5"/>
    <w:rsid w:val="001D3C14"/>
    <w:rsid w:val="001D3EE8"/>
    <w:rsid w:val="001D3FC4"/>
    <w:rsid w:val="001D407C"/>
    <w:rsid w:val="001D468B"/>
    <w:rsid w:val="001D474A"/>
    <w:rsid w:val="001D53BC"/>
    <w:rsid w:val="001D56A6"/>
    <w:rsid w:val="001D5A5A"/>
    <w:rsid w:val="001D5F5C"/>
    <w:rsid w:val="001D645F"/>
    <w:rsid w:val="001D66B2"/>
    <w:rsid w:val="001D736C"/>
    <w:rsid w:val="001D76CD"/>
    <w:rsid w:val="001D7994"/>
    <w:rsid w:val="001D7C45"/>
    <w:rsid w:val="001E045F"/>
    <w:rsid w:val="001E0C5C"/>
    <w:rsid w:val="001E136A"/>
    <w:rsid w:val="001E155A"/>
    <w:rsid w:val="001E1B46"/>
    <w:rsid w:val="001E22AE"/>
    <w:rsid w:val="001E290B"/>
    <w:rsid w:val="001E31D4"/>
    <w:rsid w:val="001E5231"/>
    <w:rsid w:val="001E53DC"/>
    <w:rsid w:val="001E54EB"/>
    <w:rsid w:val="001E6038"/>
    <w:rsid w:val="001E6587"/>
    <w:rsid w:val="001E6F55"/>
    <w:rsid w:val="001E7455"/>
    <w:rsid w:val="001E76FE"/>
    <w:rsid w:val="001F01C4"/>
    <w:rsid w:val="001F041B"/>
    <w:rsid w:val="001F0E4E"/>
    <w:rsid w:val="001F2740"/>
    <w:rsid w:val="001F34FE"/>
    <w:rsid w:val="001F3D02"/>
    <w:rsid w:val="001F44BA"/>
    <w:rsid w:val="001F4510"/>
    <w:rsid w:val="001F4563"/>
    <w:rsid w:val="001F5090"/>
    <w:rsid w:val="001F6086"/>
    <w:rsid w:val="001F69C9"/>
    <w:rsid w:val="001F6EB6"/>
    <w:rsid w:val="001F7479"/>
    <w:rsid w:val="001F751B"/>
    <w:rsid w:val="001F7AC3"/>
    <w:rsid w:val="001F7BD9"/>
    <w:rsid w:val="0020050F"/>
    <w:rsid w:val="00200AB0"/>
    <w:rsid w:val="0020197F"/>
    <w:rsid w:val="00201A7D"/>
    <w:rsid w:val="00201E72"/>
    <w:rsid w:val="002029E8"/>
    <w:rsid w:val="00202F15"/>
    <w:rsid w:val="00202F73"/>
    <w:rsid w:val="00203157"/>
    <w:rsid w:val="00203EC2"/>
    <w:rsid w:val="002042BD"/>
    <w:rsid w:val="00204557"/>
    <w:rsid w:val="00204ADF"/>
    <w:rsid w:val="00204C6B"/>
    <w:rsid w:val="002064F2"/>
    <w:rsid w:val="00207FEA"/>
    <w:rsid w:val="00210350"/>
    <w:rsid w:val="00210DF9"/>
    <w:rsid w:val="0021125E"/>
    <w:rsid w:val="00213A2E"/>
    <w:rsid w:val="00213AC3"/>
    <w:rsid w:val="00213B24"/>
    <w:rsid w:val="0021404E"/>
    <w:rsid w:val="00214056"/>
    <w:rsid w:val="002142E7"/>
    <w:rsid w:val="00214E42"/>
    <w:rsid w:val="00214FAA"/>
    <w:rsid w:val="00215610"/>
    <w:rsid w:val="002156BA"/>
    <w:rsid w:val="00215860"/>
    <w:rsid w:val="002163A1"/>
    <w:rsid w:val="0021710C"/>
    <w:rsid w:val="00217712"/>
    <w:rsid w:val="00220B03"/>
    <w:rsid w:val="00221544"/>
    <w:rsid w:val="002217F2"/>
    <w:rsid w:val="0022272A"/>
    <w:rsid w:val="00222885"/>
    <w:rsid w:val="00222E0C"/>
    <w:rsid w:val="002231EB"/>
    <w:rsid w:val="00223802"/>
    <w:rsid w:val="00223A67"/>
    <w:rsid w:val="002240A9"/>
    <w:rsid w:val="002241DE"/>
    <w:rsid w:val="00224FA8"/>
    <w:rsid w:val="002260EA"/>
    <w:rsid w:val="002264A3"/>
    <w:rsid w:val="00227344"/>
    <w:rsid w:val="00227ADD"/>
    <w:rsid w:val="00230A5C"/>
    <w:rsid w:val="00231D56"/>
    <w:rsid w:val="00232183"/>
    <w:rsid w:val="00232B0F"/>
    <w:rsid w:val="00232D3C"/>
    <w:rsid w:val="0023307A"/>
    <w:rsid w:val="00233F64"/>
    <w:rsid w:val="00234272"/>
    <w:rsid w:val="00234800"/>
    <w:rsid w:val="0023496A"/>
    <w:rsid w:val="00234B5D"/>
    <w:rsid w:val="00234F6E"/>
    <w:rsid w:val="002352BF"/>
    <w:rsid w:val="002362A6"/>
    <w:rsid w:val="002363E9"/>
    <w:rsid w:val="00236400"/>
    <w:rsid w:val="002368E7"/>
    <w:rsid w:val="00236BDE"/>
    <w:rsid w:val="00236C6F"/>
    <w:rsid w:val="00236FDF"/>
    <w:rsid w:val="0024062C"/>
    <w:rsid w:val="00240B6A"/>
    <w:rsid w:val="002419DF"/>
    <w:rsid w:val="002425A3"/>
    <w:rsid w:val="00244682"/>
    <w:rsid w:val="002449AC"/>
    <w:rsid w:val="002455C2"/>
    <w:rsid w:val="0024560A"/>
    <w:rsid w:val="00245A22"/>
    <w:rsid w:val="00245D60"/>
    <w:rsid w:val="00246854"/>
    <w:rsid w:val="00246AAC"/>
    <w:rsid w:val="00246C13"/>
    <w:rsid w:val="00246E80"/>
    <w:rsid w:val="002476D3"/>
    <w:rsid w:val="0025005E"/>
    <w:rsid w:val="00250454"/>
    <w:rsid w:val="00250A26"/>
    <w:rsid w:val="00250AE4"/>
    <w:rsid w:val="0025145A"/>
    <w:rsid w:val="002516FD"/>
    <w:rsid w:val="00251800"/>
    <w:rsid w:val="002524F0"/>
    <w:rsid w:val="00252684"/>
    <w:rsid w:val="00252F86"/>
    <w:rsid w:val="0025310E"/>
    <w:rsid w:val="00253346"/>
    <w:rsid w:val="00254375"/>
    <w:rsid w:val="00257102"/>
    <w:rsid w:val="002577E4"/>
    <w:rsid w:val="002579E7"/>
    <w:rsid w:val="00257D4F"/>
    <w:rsid w:val="00257DC1"/>
    <w:rsid w:val="00257F69"/>
    <w:rsid w:val="00260CE8"/>
    <w:rsid w:val="002611D9"/>
    <w:rsid w:val="002616C9"/>
    <w:rsid w:val="002616F8"/>
    <w:rsid w:val="0026203C"/>
    <w:rsid w:val="0026246B"/>
    <w:rsid w:val="00262E56"/>
    <w:rsid w:val="002631BC"/>
    <w:rsid w:val="002642FD"/>
    <w:rsid w:val="00264FCE"/>
    <w:rsid w:val="00265122"/>
    <w:rsid w:val="002663F3"/>
    <w:rsid w:val="0026673B"/>
    <w:rsid w:val="00267373"/>
    <w:rsid w:val="00267B17"/>
    <w:rsid w:val="002700FC"/>
    <w:rsid w:val="00270599"/>
    <w:rsid w:val="0027066A"/>
    <w:rsid w:val="002710AA"/>
    <w:rsid w:val="00271D15"/>
    <w:rsid w:val="002725A2"/>
    <w:rsid w:val="002739DF"/>
    <w:rsid w:val="00273E12"/>
    <w:rsid w:val="0027416F"/>
    <w:rsid w:val="0027531D"/>
    <w:rsid w:val="002756FD"/>
    <w:rsid w:val="00275A51"/>
    <w:rsid w:val="00275A83"/>
    <w:rsid w:val="00275F10"/>
    <w:rsid w:val="00275FF8"/>
    <w:rsid w:val="00276067"/>
    <w:rsid w:val="002762E5"/>
    <w:rsid w:val="002766D6"/>
    <w:rsid w:val="00276B6B"/>
    <w:rsid w:val="00277032"/>
    <w:rsid w:val="00277084"/>
    <w:rsid w:val="002770DB"/>
    <w:rsid w:val="00277EFD"/>
    <w:rsid w:val="00280241"/>
    <w:rsid w:val="0028091A"/>
    <w:rsid w:val="00280941"/>
    <w:rsid w:val="00281A4C"/>
    <w:rsid w:val="00281A5A"/>
    <w:rsid w:val="002828AB"/>
    <w:rsid w:val="00282A27"/>
    <w:rsid w:val="00282A67"/>
    <w:rsid w:val="00283227"/>
    <w:rsid w:val="002836F3"/>
    <w:rsid w:val="00284AEA"/>
    <w:rsid w:val="00284E69"/>
    <w:rsid w:val="0028509B"/>
    <w:rsid w:val="00285DA2"/>
    <w:rsid w:val="0028656E"/>
    <w:rsid w:val="002865C6"/>
    <w:rsid w:val="002866F0"/>
    <w:rsid w:val="0028687F"/>
    <w:rsid w:val="00286B9B"/>
    <w:rsid w:val="00287836"/>
    <w:rsid w:val="00291A25"/>
    <w:rsid w:val="00291F0A"/>
    <w:rsid w:val="002922A6"/>
    <w:rsid w:val="0029241A"/>
    <w:rsid w:val="00292862"/>
    <w:rsid w:val="00292992"/>
    <w:rsid w:val="00292F9A"/>
    <w:rsid w:val="0029437D"/>
    <w:rsid w:val="00294BAD"/>
    <w:rsid w:val="0029503E"/>
    <w:rsid w:val="0029595F"/>
    <w:rsid w:val="002959A1"/>
    <w:rsid w:val="00295A36"/>
    <w:rsid w:val="00295F30"/>
    <w:rsid w:val="00296E7E"/>
    <w:rsid w:val="0029729E"/>
    <w:rsid w:val="002979E6"/>
    <w:rsid w:val="00297A53"/>
    <w:rsid w:val="002A145C"/>
    <w:rsid w:val="002A168C"/>
    <w:rsid w:val="002A1811"/>
    <w:rsid w:val="002A1DD0"/>
    <w:rsid w:val="002A1EDE"/>
    <w:rsid w:val="002A1EEB"/>
    <w:rsid w:val="002A207F"/>
    <w:rsid w:val="002A2A29"/>
    <w:rsid w:val="002A2B9E"/>
    <w:rsid w:val="002A3661"/>
    <w:rsid w:val="002A4228"/>
    <w:rsid w:val="002A45C1"/>
    <w:rsid w:val="002A45F7"/>
    <w:rsid w:val="002A4D15"/>
    <w:rsid w:val="002A57B1"/>
    <w:rsid w:val="002A5B08"/>
    <w:rsid w:val="002A6D02"/>
    <w:rsid w:val="002A76ED"/>
    <w:rsid w:val="002A77E8"/>
    <w:rsid w:val="002A7922"/>
    <w:rsid w:val="002A7B00"/>
    <w:rsid w:val="002B0A7C"/>
    <w:rsid w:val="002B0D03"/>
    <w:rsid w:val="002B157F"/>
    <w:rsid w:val="002B1A0F"/>
    <w:rsid w:val="002B1CA9"/>
    <w:rsid w:val="002B2BAB"/>
    <w:rsid w:val="002B49AE"/>
    <w:rsid w:val="002B4A9B"/>
    <w:rsid w:val="002B4C44"/>
    <w:rsid w:val="002B4D0E"/>
    <w:rsid w:val="002B747C"/>
    <w:rsid w:val="002B75D0"/>
    <w:rsid w:val="002B7ED8"/>
    <w:rsid w:val="002C10A6"/>
    <w:rsid w:val="002C1533"/>
    <w:rsid w:val="002C1545"/>
    <w:rsid w:val="002C15D4"/>
    <w:rsid w:val="002C26D0"/>
    <w:rsid w:val="002C2BE7"/>
    <w:rsid w:val="002C2E8A"/>
    <w:rsid w:val="002C2FB9"/>
    <w:rsid w:val="002C3100"/>
    <w:rsid w:val="002C339A"/>
    <w:rsid w:val="002C3997"/>
    <w:rsid w:val="002C555E"/>
    <w:rsid w:val="002C64A8"/>
    <w:rsid w:val="002C67C1"/>
    <w:rsid w:val="002C6827"/>
    <w:rsid w:val="002C785F"/>
    <w:rsid w:val="002C7E8E"/>
    <w:rsid w:val="002C7FF1"/>
    <w:rsid w:val="002D0297"/>
    <w:rsid w:val="002D0933"/>
    <w:rsid w:val="002D0BC7"/>
    <w:rsid w:val="002D0FA2"/>
    <w:rsid w:val="002D1CC4"/>
    <w:rsid w:val="002D1E85"/>
    <w:rsid w:val="002D2AF1"/>
    <w:rsid w:val="002D2DAF"/>
    <w:rsid w:val="002D2FAC"/>
    <w:rsid w:val="002D33C1"/>
    <w:rsid w:val="002D4095"/>
    <w:rsid w:val="002D4695"/>
    <w:rsid w:val="002D4A05"/>
    <w:rsid w:val="002D4F93"/>
    <w:rsid w:val="002D53E7"/>
    <w:rsid w:val="002D5A6F"/>
    <w:rsid w:val="002D5F35"/>
    <w:rsid w:val="002D7034"/>
    <w:rsid w:val="002E1244"/>
    <w:rsid w:val="002E1335"/>
    <w:rsid w:val="002E1542"/>
    <w:rsid w:val="002E1634"/>
    <w:rsid w:val="002E1656"/>
    <w:rsid w:val="002E2F5E"/>
    <w:rsid w:val="002E3305"/>
    <w:rsid w:val="002E3832"/>
    <w:rsid w:val="002E3B8D"/>
    <w:rsid w:val="002E3CC6"/>
    <w:rsid w:val="002E3FF5"/>
    <w:rsid w:val="002E45A8"/>
    <w:rsid w:val="002E4D69"/>
    <w:rsid w:val="002E5699"/>
    <w:rsid w:val="002E5835"/>
    <w:rsid w:val="002E64DA"/>
    <w:rsid w:val="002E6647"/>
    <w:rsid w:val="002E7414"/>
    <w:rsid w:val="002F0521"/>
    <w:rsid w:val="002F09AA"/>
    <w:rsid w:val="002F0AB1"/>
    <w:rsid w:val="002F1077"/>
    <w:rsid w:val="002F1131"/>
    <w:rsid w:val="002F11E7"/>
    <w:rsid w:val="002F1247"/>
    <w:rsid w:val="002F128B"/>
    <w:rsid w:val="002F14DB"/>
    <w:rsid w:val="002F1947"/>
    <w:rsid w:val="002F1AC8"/>
    <w:rsid w:val="002F2454"/>
    <w:rsid w:val="002F2A06"/>
    <w:rsid w:val="002F3228"/>
    <w:rsid w:val="002F33E2"/>
    <w:rsid w:val="002F453A"/>
    <w:rsid w:val="002F45F1"/>
    <w:rsid w:val="002F498A"/>
    <w:rsid w:val="002F4EEE"/>
    <w:rsid w:val="002F53D7"/>
    <w:rsid w:val="002F54F9"/>
    <w:rsid w:val="002F5A7E"/>
    <w:rsid w:val="002F5FCA"/>
    <w:rsid w:val="002F6928"/>
    <w:rsid w:val="002F7076"/>
    <w:rsid w:val="002F7247"/>
    <w:rsid w:val="00300D10"/>
    <w:rsid w:val="003013E7"/>
    <w:rsid w:val="00301532"/>
    <w:rsid w:val="00301714"/>
    <w:rsid w:val="00302215"/>
    <w:rsid w:val="0030261A"/>
    <w:rsid w:val="00302ED7"/>
    <w:rsid w:val="0030334E"/>
    <w:rsid w:val="003037F7"/>
    <w:rsid w:val="00303CE8"/>
    <w:rsid w:val="00304275"/>
    <w:rsid w:val="00304C10"/>
    <w:rsid w:val="00304C67"/>
    <w:rsid w:val="00305343"/>
    <w:rsid w:val="00305382"/>
    <w:rsid w:val="00305F8F"/>
    <w:rsid w:val="003061BE"/>
    <w:rsid w:val="00306BBA"/>
    <w:rsid w:val="00306FDF"/>
    <w:rsid w:val="00307A82"/>
    <w:rsid w:val="00307C03"/>
    <w:rsid w:val="00310A64"/>
    <w:rsid w:val="00311904"/>
    <w:rsid w:val="00312A7C"/>
    <w:rsid w:val="00312CC0"/>
    <w:rsid w:val="00312D33"/>
    <w:rsid w:val="0031361F"/>
    <w:rsid w:val="00313725"/>
    <w:rsid w:val="00313C78"/>
    <w:rsid w:val="00314883"/>
    <w:rsid w:val="00314D5C"/>
    <w:rsid w:val="00315718"/>
    <w:rsid w:val="003157D4"/>
    <w:rsid w:val="00315C42"/>
    <w:rsid w:val="00317066"/>
    <w:rsid w:val="00317889"/>
    <w:rsid w:val="00317CBE"/>
    <w:rsid w:val="00320791"/>
    <w:rsid w:val="00321070"/>
    <w:rsid w:val="00321600"/>
    <w:rsid w:val="00321DCF"/>
    <w:rsid w:val="003224CD"/>
    <w:rsid w:val="003230B4"/>
    <w:rsid w:val="00323BEC"/>
    <w:rsid w:val="00323EA1"/>
    <w:rsid w:val="003242FD"/>
    <w:rsid w:val="00324459"/>
    <w:rsid w:val="003251D7"/>
    <w:rsid w:val="003251DF"/>
    <w:rsid w:val="00325C78"/>
    <w:rsid w:val="00326018"/>
    <w:rsid w:val="0032636C"/>
    <w:rsid w:val="00326FFE"/>
    <w:rsid w:val="003277BC"/>
    <w:rsid w:val="00327FAF"/>
    <w:rsid w:val="0033020E"/>
    <w:rsid w:val="00330639"/>
    <w:rsid w:val="0033065F"/>
    <w:rsid w:val="00331363"/>
    <w:rsid w:val="003314ED"/>
    <w:rsid w:val="00331E5D"/>
    <w:rsid w:val="003332E0"/>
    <w:rsid w:val="00334C2D"/>
    <w:rsid w:val="00335436"/>
    <w:rsid w:val="00335D60"/>
    <w:rsid w:val="003369C2"/>
    <w:rsid w:val="00336BA3"/>
    <w:rsid w:val="00336D45"/>
    <w:rsid w:val="00337031"/>
    <w:rsid w:val="00337164"/>
    <w:rsid w:val="00337184"/>
    <w:rsid w:val="003376D2"/>
    <w:rsid w:val="00337A8E"/>
    <w:rsid w:val="00337B88"/>
    <w:rsid w:val="00340FD4"/>
    <w:rsid w:val="003413F0"/>
    <w:rsid w:val="00341BEF"/>
    <w:rsid w:val="00341D5D"/>
    <w:rsid w:val="00341E5B"/>
    <w:rsid w:val="0034241D"/>
    <w:rsid w:val="003429C4"/>
    <w:rsid w:val="0034359C"/>
    <w:rsid w:val="003459C5"/>
    <w:rsid w:val="00346CA8"/>
    <w:rsid w:val="00346DD5"/>
    <w:rsid w:val="003471EA"/>
    <w:rsid w:val="003475C2"/>
    <w:rsid w:val="00347B54"/>
    <w:rsid w:val="00347DA9"/>
    <w:rsid w:val="00347E6E"/>
    <w:rsid w:val="003504BC"/>
    <w:rsid w:val="0035071A"/>
    <w:rsid w:val="00350A14"/>
    <w:rsid w:val="00350EB7"/>
    <w:rsid w:val="003515F2"/>
    <w:rsid w:val="00351BC0"/>
    <w:rsid w:val="00351D70"/>
    <w:rsid w:val="00351E7E"/>
    <w:rsid w:val="0035226B"/>
    <w:rsid w:val="00352EF9"/>
    <w:rsid w:val="0035374E"/>
    <w:rsid w:val="0035381A"/>
    <w:rsid w:val="00353D32"/>
    <w:rsid w:val="00353E02"/>
    <w:rsid w:val="00353FDC"/>
    <w:rsid w:val="00355DC9"/>
    <w:rsid w:val="003569F6"/>
    <w:rsid w:val="00356CE7"/>
    <w:rsid w:val="0035710E"/>
    <w:rsid w:val="003572FE"/>
    <w:rsid w:val="00357DC1"/>
    <w:rsid w:val="0036015B"/>
    <w:rsid w:val="0036021B"/>
    <w:rsid w:val="003602CB"/>
    <w:rsid w:val="00360772"/>
    <w:rsid w:val="0036096C"/>
    <w:rsid w:val="00361239"/>
    <w:rsid w:val="00361A56"/>
    <w:rsid w:val="00361C82"/>
    <w:rsid w:val="00361DA8"/>
    <w:rsid w:val="003639DF"/>
    <w:rsid w:val="00363DD3"/>
    <w:rsid w:val="00363F54"/>
    <w:rsid w:val="00364247"/>
    <w:rsid w:val="003651A5"/>
    <w:rsid w:val="0036618E"/>
    <w:rsid w:val="003665F8"/>
    <w:rsid w:val="00366670"/>
    <w:rsid w:val="003666C8"/>
    <w:rsid w:val="003667B3"/>
    <w:rsid w:val="00367914"/>
    <w:rsid w:val="003701BC"/>
    <w:rsid w:val="00370C0E"/>
    <w:rsid w:val="00370CE5"/>
    <w:rsid w:val="00371189"/>
    <w:rsid w:val="003711E1"/>
    <w:rsid w:val="00371A00"/>
    <w:rsid w:val="00371D3E"/>
    <w:rsid w:val="003722EE"/>
    <w:rsid w:val="00372B1C"/>
    <w:rsid w:val="00373128"/>
    <w:rsid w:val="0037357C"/>
    <w:rsid w:val="003738FE"/>
    <w:rsid w:val="00373D8C"/>
    <w:rsid w:val="0037420A"/>
    <w:rsid w:val="00374476"/>
    <w:rsid w:val="00374632"/>
    <w:rsid w:val="003749FA"/>
    <w:rsid w:val="00374B9A"/>
    <w:rsid w:val="003756FE"/>
    <w:rsid w:val="00375724"/>
    <w:rsid w:val="00375C51"/>
    <w:rsid w:val="0037619A"/>
    <w:rsid w:val="003766F1"/>
    <w:rsid w:val="0037680B"/>
    <w:rsid w:val="00376BAC"/>
    <w:rsid w:val="0037713E"/>
    <w:rsid w:val="003776F4"/>
    <w:rsid w:val="00377705"/>
    <w:rsid w:val="00377F1D"/>
    <w:rsid w:val="003801DB"/>
    <w:rsid w:val="003816F8"/>
    <w:rsid w:val="003817B3"/>
    <w:rsid w:val="00381820"/>
    <w:rsid w:val="003820C2"/>
    <w:rsid w:val="003823D9"/>
    <w:rsid w:val="003831D3"/>
    <w:rsid w:val="00383365"/>
    <w:rsid w:val="003834B3"/>
    <w:rsid w:val="00383791"/>
    <w:rsid w:val="00383A8B"/>
    <w:rsid w:val="00384051"/>
    <w:rsid w:val="003851D2"/>
    <w:rsid w:val="00385AD9"/>
    <w:rsid w:val="00385E7E"/>
    <w:rsid w:val="00386070"/>
    <w:rsid w:val="00386293"/>
    <w:rsid w:val="00386958"/>
    <w:rsid w:val="00386BCB"/>
    <w:rsid w:val="00386DAB"/>
    <w:rsid w:val="00386E18"/>
    <w:rsid w:val="00386EB3"/>
    <w:rsid w:val="00387540"/>
    <w:rsid w:val="00387674"/>
    <w:rsid w:val="00387FC5"/>
    <w:rsid w:val="00390207"/>
    <w:rsid w:val="00390C21"/>
    <w:rsid w:val="003912CD"/>
    <w:rsid w:val="00391D02"/>
    <w:rsid w:val="00391DFE"/>
    <w:rsid w:val="00393F02"/>
    <w:rsid w:val="003943C7"/>
    <w:rsid w:val="00394B6D"/>
    <w:rsid w:val="00394DA9"/>
    <w:rsid w:val="0039545B"/>
    <w:rsid w:val="003954CA"/>
    <w:rsid w:val="003960A0"/>
    <w:rsid w:val="00397122"/>
    <w:rsid w:val="003A05A9"/>
    <w:rsid w:val="003A0E00"/>
    <w:rsid w:val="003A113B"/>
    <w:rsid w:val="003A126B"/>
    <w:rsid w:val="003A127A"/>
    <w:rsid w:val="003A1343"/>
    <w:rsid w:val="003A1807"/>
    <w:rsid w:val="003A18ED"/>
    <w:rsid w:val="003A19A6"/>
    <w:rsid w:val="003A1FCA"/>
    <w:rsid w:val="003A22F4"/>
    <w:rsid w:val="003A27C6"/>
    <w:rsid w:val="003A3004"/>
    <w:rsid w:val="003A300F"/>
    <w:rsid w:val="003A36B3"/>
    <w:rsid w:val="003A3BB5"/>
    <w:rsid w:val="003A46D0"/>
    <w:rsid w:val="003A5607"/>
    <w:rsid w:val="003A5BA2"/>
    <w:rsid w:val="003A6BF8"/>
    <w:rsid w:val="003A7A79"/>
    <w:rsid w:val="003A7AC3"/>
    <w:rsid w:val="003B02F6"/>
    <w:rsid w:val="003B0470"/>
    <w:rsid w:val="003B091B"/>
    <w:rsid w:val="003B1170"/>
    <w:rsid w:val="003B1EBE"/>
    <w:rsid w:val="003B25E0"/>
    <w:rsid w:val="003B26A5"/>
    <w:rsid w:val="003B2EBB"/>
    <w:rsid w:val="003B3858"/>
    <w:rsid w:val="003B396D"/>
    <w:rsid w:val="003B4782"/>
    <w:rsid w:val="003B4E37"/>
    <w:rsid w:val="003B4EFF"/>
    <w:rsid w:val="003B5542"/>
    <w:rsid w:val="003B65B6"/>
    <w:rsid w:val="003B6FDF"/>
    <w:rsid w:val="003B7926"/>
    <w:rsid w:val="003C0281"/>
    <w:rsid w:val="003C0B30"/>
    <w:rsid w:val="003C0FB6"/>
    <w:rsid w:val="003C1EDD"/>
    <w:rsid w:val="003C4BF4"/>
    <w:rsid w:val="003C4F3B"/>
    <w:rsid w:val="003C5BC8"/>
    <w:rsid w:val="003C606F"/>
    <w:rsid w:val="003C6077"/>
    <w:rsid w:val="003C6746"/>
    <w:rsid w:val="003C6860"/>
    <w:rsid w:val="003C7026"/>
    <w:rsid w:val="003C704F"/>
    <w:rsid w:val="003D1237"/>
    <w:rsid w:val="003D134F"/>
    <w:rsid w:val="003D1652"/>
    <w:rsid w:val="003D399E"/>
    <w:rsid w:val="003D5737"/>
    <w:rsid w:val="003D76F7"/>
    <w:rsid w:val="003D79AF"/>
    <w:rsid w:val="003D7E71"/>
    <w:rsid w:val="003E0411"/>
    <w:rsid w:val="003E1694"/>
    <w:rsid w:val="003E2103"/>
    <w:rsid w:val="003E2489"/>
    <w:rsid w:val="003E2570"/>
    <w:rsid w:val="003E27B8"/>
    <w:rsid w:val="003E6023"/>
    <w:rsid w:val="003E6132"/>
    <w:rsid w:val="003E677D"/>
    <w:rsid w:val="003E7E75"/>
    <w:rsid w:val="003E7F7A"/>
    <w:rsid w:val="003F017D"/>
    <w:rsid w:val="003F105D"/>
    <w:rsid w:val="003F116F"/>
    <w:rsid w:val="003F18BE"/>
    <w:rsid w:val="003F259E"/>
    <w:rsid w:val="003F2FE2"/>
    <w:rsid w:val="003F33AD"/>
    <w:rsid w:val="003F3C40"/>
    <w:rsid w:val="003F3D17"/>
    <w:rsid w:val="003F495D"/>
    <w:rsid w:val="003F5795"/>
    <w:rsid w:val="003F6934"/>
    <w:rsid w:val="003F697F"/>
    <w:rsid w:val="003F6E19"/>
    <w:rsid w:val="003F707D"/>
    <w:rsid w:val="003F7287"/>
    <w:rsid w:val="003F7C7E"/>
    <w:rsid w:val="00400F64"/>
    <w:rsid w:val="00401A75"/>
    <w:rsid w:val="0040216E"/>
    <w:rsid w:val="00402284"/>
    <w:rsid w:val="0040247B"/>
    <w:rsid w:val="00402DC9"/>
    <w:rsid w:val="004031ED"/>
    <w:rsid w:val="00403F30"/>
    <w:rsid w:val="0040572F"/>
    <w:rsid w:val="00405807"/>
    <w:rsid w:val="00405919"/>
    <w:rsid w:val="00406337"/>
    <w:rsid w:val="00406650"/>
    <w:rsid w:val="00406AD5"/>
    <w:rsid w:val="00407934"/>
    <w:rsid w:val="00407A2A"/>
    <w:rsid w:val="00407E7D"/>
    <w:rsid w:val="004101BE"/>
    <w:rsid w:val="00410FCE"/>
    <w:rsid w:val="0041148F"/>
    <w:rsid w:val="004120D9"/>
    <w:rsid w:val="00412177"/>
    <w:rsid w:val="00412BB8"/>
    <w:rsid w:val="004138BA"/>
    <w:rsid w:val="004138CE"/>
    <w:rsid w:val="00413946"/>
    <w:rsid w:val="00413D7C"/>
    <w:rsid w:val="004144EE"/>
    <w:rsid w:val="00414BAC"/>
    <w:rsid w:val="00414FEC"/>
    <w:rsid w:val="0041597A"/>
    <w:rsid w:val="00416509"/>
    <w:rsid w:val="00416729"/>
    <w:rsid w:val="00416B5D"/>
    <w:rsid w:val="00416C6D"/>
    <w:rsid w:val="00416D3B"/>
    <w:rsid w:val="00417106"/>
    <w:rsid w:val="0041713F"/>
    <w:rsid w:val="004200D8"/>
    <w:rsid w:val="004202E1"/>
    <w:rsid w:val="004204F3"/>
    <w:rsid w:val="00421566"/>
    <w:rsid w:val="004231AA"/>
    <w:rsid w:val="00423585"/>
    <w:rsid w:val="00423943"/>
    <w:rsid w:val="00423A9C"/>
    <w:rsid w:val="00423AC6"/>
    <w:rsid w:val="00423C5D"/>
    <w:rsid w:val="00423E74"/>
    <w:rsid w:val="00424B4A"/>
    <w:rsid w:val="00425075"/>
    <w:rsid w:val="004265FF"/>
    <w:rsid w:val="00426642"/>
    <w:rsid w:val="00426B0A"/>
    <w:rsid w:val="00427307"/>
    <w:rsid w:val="004301F3"/>
    <w:rsid w:val="004303A4"/>
    <w:rsid w:val="00430B22"/>
    <w:rsid w:val="00431316"/>
    <w:rsid w:val="00431683"/>
    <w:rsid w:val="0043181B"/>
    <w:rsid w:val="00432349"/>
    <w:rsid w:val="00432428"/>
    <w:rsid w:val="00432732"/>
    <w:rsid w:val="00432C26"/>
    <w:rsid w:val="00432CEF"/>
    <w:rsid w:val="004334F5"/>
    <w:rsid w:val="004335F2"/>
    <w:rsid w:val="00434175"/>
    <w:rsid w:val="00434925"/>
    <w:rsid w:val="004355C9"/>
    <w:rsid w:val="00435C9E"/>
    <w:rsid w:val="0043683B"/>
    <w:rsid w:val="00436A25"/>
    <w:rsid w:val="004372DF"/>
    <w:rsid w:val="0043765B"/>
    <w:rsid w:val="0044007C"/>
    <w:rsid w:val="00440106"/>
    <w:rsid w:val="00440E95"/>
    <w:rsid w:val="0044103D"/>
    <w:rsid w:val="004413C1"/>
    <w:rsid w:val="00441938"/>
    <w:rsid w:val="00442005"/>
    <w:rsid w:val="004423D7"/>
    <w:rsid w:val="0044243F"/>
    <w:rsid w:val="00442531"/>
    <w:rsid w:val="00442586"/>
    <w:rsid w:val="00443067"/>
    <w:rsid w:val="0044378D"/>
    <w:rsid w:val="00443888"/>
    <w:rsid w:val="004438C7"/>
    <w:rsid w:val="0044407F"/>
    <w:rsid w:val="004445A2"/>
    <w:rsid w:val="004446C6"/>
    <w:rsid w:val="00444A32"/>
    <w:rsid w:val="00444B19"/>
    <w:rsid w:val="00444BDD"/>
    <w:rsid w:val="00445CBE"/>
    <w:rsid w:val="00445FC8"/>
    <w:rsid w:val="00446037"/>
    <w:rsid w:val="004460D8"/>
    <w:rsid w:val="00446BF8"/>
    <w:rsid w:val="00446ECF"/>
    <w:rsid w:val="00447232"/>
    <w:rsid w:val="00447405"/>
    <w:rsid w:val="00447611"/>
    <w:rsid w:val="0045063E"/>
    <w:rsid w:val="00450F21"/>
    <w:rsid w:val="00451EAE"/>
    <w:rsid w:val="0045246C"/>
    <w:rsid w:val="00453FEF"/>
    <w:rsid w:val="004544BC"/>
    <w:rsid w:val="004551A0"/>
    <w:rsid w:val="00455276"/>
    <w:rsid w:val="004554B9"/>
    <w:rsid w:val="00455810"/>
    <w:rsid w:val="00455C2A"/>
    <w:rsid w:val="00455C9B"/>
    <w:rsid w:val="00456120"/>
    <w:rsid w:val="00456C43"/>
    <w:rsid w:val="00457054"/>
    <w:rsid w:val="0045769D"/>
    <w:rsid w:val="00457C56"/>
    <w:rsid w:val="00460187"/>
    <w:rsid w:val="00461042"/>
    <w:rsid w:val="004614FF"/>
    <w:rsid w:val="0046193E"/>
    <w:rsid w:val="00461EFD"/>
    <w:rsid w:val="00462284"/>
    <w:rsid w:val="004622DE"/>
    <w:rsid w:val="00462320"/>
    <w:rsid w:val="0046236E"/>
    <w:rsid w:val="004623E2"/>
    <w:rsid w:val="0046390F"/>
    <w:rsid w:val="00464717"/>
    <w:rsid w:val="00464815"/>
    <w:rsid w:val="00464CD4"/>
    <w:rsid w:val="00464F7C"/>
    <w:rsid w:val="004662E1"/>
    <w:rsid w:val="0046659A"/>
    <w:rsid w:val="004668D1"/>
    <w:rsid w:val="00466924"/>
    <w:rsid w:val="0046702A"/>
    <w:rsid w:val="00467939"/>
    <w:rsid w:val="00467A8E"/>
    <w:rsid w:val="0047096E"/>
    <w:rsid w:val="00470AB6"/>
    <w:rsid w:val="00470F7C"/>
    <w:rsid w:val="0047107D"/>
    <w:rsid w:val="0047136E"/>
    <w:rsid w:val="00471444"/>
    <w:rsid w:val="0047158A"/>
    <w:rsid w:val="004715A2"/>
    <w:rsid w:val="00472453"/>
    <w:rsid w:val="004725CE"/>
    <w:rsid w:val="0047281A"/>
    <w:rsid w:val="004730EE"/>
    <w:rsid w:val="00473805"/>
    <w:rsid w:val="00474407"/>
    <w:rsid w:val="004746D4"/>
    <w:rsid w:val="004753E0"/>
    <w:rsid w:val="0047564C"/>
    <w:rsid w:val="00475764"/>
    <w:rsid w:val="00475A3A"/>
    <w:rsid w:val="00475D4E"/>
    <w:rsid w:val="00475D5D"/>
    <w:rsid w:val="0047664D"/>
    <w:rsid w:val="00477410"/>
    <w:rsid w:val="00477B6D"/>
    <w:rsid w:val="0048034F"/>
    <w:rsid w:val="00481315"/>
    <w:rsid w:val="004813C8"/>
    <w:rsid w:val="0048160B"/>
    <w:rsid w:val="00481B36"/>
    <w:rsid w:val="004825D7"/>
    <w:rsid w:val="00482A86"/>
    <w:rsid w:val="00484A97"/>
    <w:rsid w:val="00484B5D"/>
    <w:rsid w:val="004852D8"/>
    <w:rsid w:val="00485E40"/>
    <w:rsid w:val="0048656E"/>
    <w:rsid w:val="00487408"/>
    <w:rsid w:val="00487789"/>
    <w:rsid w:val="00487E56"/>
    <w:rsid w:val="00487F45"/>
    <w:rsid w:val="004908D0"/>
    <w:rsid w:val="004908FB"/>
    <w:rsid w:val="00490BA5"/>
    <w:rsid w:val="00490C96"/>
    <w:rsid w:val="00490D61"/>
    <w:rsid w:val="00490F45"/>
    <w:rsid w:val="004919A5"/>
    <w:rsid w:val="004919B4"/>
    <w:rsid w:val="004919E2"/>
    <w:rsid w:val="0049234D"/>
    <w:rsid w:val="0049253A"/>
    <w:rsid w:val="0049298B"/>
    <w:rsid w:val="00493DEA"/>
    <w:rsid w:val="00495012"/>
    <w:rsid w:val="004950AF"/>
    <w:rsid w:val="00495A83"/>
    <w:rsid w:val="004966C3"/>
    <w:rsid w:val="00497E28"/>
    <w:rsid w:val="00497F4F"/>
    <w:rsid w:val="004A1FF6"/>
    <w:rsid w:val="004A28B3"/>
    <w:rsid w:val="004A311E"/>
    <w:rsid w:val="004A3A02"/>
    <w:rsid w:val="004A495F"/>
    <w:rsid w:val="004A4C3A"/>
    <w:rsid w:val="004A5A8C"/>
    <w:rsid w:val="004A5FBC"/>
    <w:rsid w:val="004A60F5"/>
    <w:rsid w:val="004A63C7"/>
    <w:rsid w:val="004A6D92"/>
    <w:rsid w:val="004A7F6C"/>
    <w:rsid w:val="004B0518"/>
    <w:rsid w:val="004B0723"/>
    <w:rsid w:val="004B089C"/>
    <w:rsid w:val="004B0AEE"/>
    <w:rsid w:val="004B0EE0"/>
    <w:rsid w:val="004B19FD"/>
    <w:rsid w:val="004B1DB5"/>
    <w:rsid w:val="004B211A"/>
    <w:rsid w:val="004B2818"/>
    <w:rsid w:val="004B312D"/>
    <w:rsid w:val="004B35F8"/>
    <w:rsid w:val="004B3B25"/>
    <w:rsid w:val="004B3E07"/>
    <w:rsid w:val="004B4357"/>
    <w:rsid w:val="004B46DD"/>
    <w:rsid w:val="004B56DB"/>
    <w:rsid w:val="004B69CD"/>
    <w:rsid w:val="004B6C0E"/>
    <w:rsid w:val="004B727A"/>
    <w:rsid w:val="004B7D1D"/>
    <w:rsid w:val="004C060E"/>
    <w:rsid w:val="004C0D8F"/>
    <w:rsid w:val="004C0F7C"/>
    <w:rsid w:val="004C1929"/>
    <w:rsid w:val="004C2308"/>
    <w:rsid w:val="004C2D42"/>
    <w:rsid w:val="004C48C8"/>
    <w:rsid w:val="004C76A7"/>
    <w:rsid w:val="004C7C03"/>
    <w:rsid w:val="004D0EE5"/>
    <w:rsid w:val="004D219E"/>
    <w:rsid w:val="004D21AF"/>
    <w:rsid w:val="004D304D"/>
    <w:rsid w:val="004D320E"/>
    <w:rsid w:val="004D377E"/>
    <w:rsid w:val="004D3BA3"/>
    <w:rsid w:val="004D3FEF"/>
    <w:rsid w:val="004D4447"/>
    <w:rsid w:val="004D4C4D"/>
    <w:rsid w:val="004D53F5"/>
    <w:rsid w:val="004D5534"/>
    <w:rsid w:val="004D5CFA"/>
    <w:rsid w:val="004D5F87"/>
    <w:rsid w:val="004D6368"/>
    <w:rsid w:val="004D6450"/>
    <w:rsid w:val="004D691B"/>
    <w:rsid w:val="004D69AE"/>
    <w:rsid w:val="004D72BA"/>
    <w:rsid w:val="004D785D"/>
    <w:rsid w:val="004D7A14"/>
    <w:rsid w:val="004D7E2C"/>
    <w:rsid w:val="004E0156"/>
    <w:rsid w:val="004E0251"/>
    <w:rsid w:val="004E06B9"/>
    <w:rsid w:val="004E2577"/>
    <w:rsid w:val="004E38AA"/>
    <w:rsid w:val="004E4C1D"/>
    <w:rsid w:val="004E5782"/>
    <w:rsid w:val="004E5D60"/>
    <w:rsid w:val="004E5FEC"/>
    <w:rsid w:val="004E6643"/>
    <w:rsid w:val="004E6989"/>
    <w:rsid w:val="004E6D6E"/>
    <w:rsid w:val="004E73E2"/>
    <w:rsid w:val="004E7A7D"/>
    <w:rsid w:val="004F023B"/>
    <w:rsid w:val="004F02F9"/>
    <w:rsid w:val="004F08AB"/>
    <w:rsid w:val="004F08E5"/>
    <w:rsid w:val="004F0DDF"/>
    <w:rsid w:val="004F138D"/>
    <w:rsid w:val="004F1398"/>
    <w:rsid w:val="004F19AE"/>
    <w:rsid w:val="004F258B"/>
    <w:rsid w:val="004F31D7"/>
    <w:rsid w:val="004F3C9A"/>
    <w:rsid w:val="004F3FBF"/>
    <w:rsid w:val="004F40E0"/>
    <w:rsid w:val="004F4443"/>
    <w:rsid w:val="004F4959"/>
    <w:rsid w:val="004F4EFE"/>
    <w:rsid w:val="004F5456"/>
    <w:rsid w:val="004F5661"/>
    <w:rsid w:val="004F572D"/>
    <w:rsid w:val="004F6272"/>
    <w:rsid w:val="004F6302"/>
    <w:rsid w:val="004F67E3"/>
    <w:rsid w:val="004F75DC"/>
    <w:rsid w:val="004F7630"/>
    <w:rsid w:val="004F7A44"/>
    <w:rsid w:val="004F7E2A"/>
    <w:rsid w:val="005001A0"/>
    <w:rsid w:val="005001E0"/>
    <w:rsid w:val="00500314"/>
    <w:rsid w:val="0050032F"/>
    <w:rsid w:val="00500D8A"/>
    <w:rsid w:val="005014D1"/>
    <w:rsid w:val="00501688"/>
    <w:rsid w:val="00501A57"/>
    <w:rsid w:val="00501C1D"/>
    <w:rsid w:val="00501C6D"/>
    <w:rsid w:val="0050262D"/>
    <w:rsid w:val="005029B4"/>
    <w:rsid w:val="0050339B"/>
    <w:rsid w:val="0050348F"/>
    <w:rsid w:val="005047EB"/>
    <w:rsid w:val="005049B7"/>
    <w:rsid w:val="00504FC0"/>
    <w:rsid w:val="00505189"/>
    <w:rsid w:val="00505C13"/>
    <w:rsid w:val="0050603D"/>
    <w:rsid w:val="00506505"/>
    <w:rsid w:val="0050661D"/>
    <w:rsid w:val="00506A94"/>
    <w:rsid w:val="00506F87"/>
    <w:rsid w:val="00507866"/>
    <w:rsid w:val="00507C23"/>
    <w:rsid w:val="0051115E"/>
    <w:rsid w:val="00511232"/>
    <w:rsid w:val="005124E4"/>
    <w:rsid w:val="005129CF"/>
    <w:rsid w:val="0051311A"/>
    <w:rsid w:val="00513451"/>
    <w:rsid w:val="00513689"/>
    <w:rsid w:val="0051373F"/>
    <w:rsid w:val="005146A3"/>
    <w:rsid w:val="0051589D"/>
    <w:rsid w:val="00516935"/>
    <w:rsid w:val="00517803"/>
    <w:rsid w:val="00517FB1"/>
    <w:rsid w:val="00520988"/>
    <w:rsid w:val="00520C96"/>
    <w:rsid w:val="0052126C"/>
    <w:rsid w:val="00521333"/>
    <w:rsid w:val="00521EC7"/>
    <w:rsid w:val="0052273B"/>
    <w:rsid w:val="00523DCD"/>
    <w:rsid w:val="00523E69"/>
    <w:rsid w:val="00523EF6"/>
    <w:rsid w:val="005246E9"/>
    <w:rsid w:val="005247BD"/>
    <w:rsid w:val="00524A24"/>
    <w:rsid w:val="00527C50"/>
    <w:rsid w:val="00527E37"/>
    <w:rsid w:val="005307B7"/>
    <w:rsid w:val="00531145"/>
    <w:rsid w:val="00531337"/>
    <w:rsid w:val="00533AA7"/>
    <w:rsid w:val="00533B04"/>
    <w:rsid w:val="00533D4F"/>
    <w:rsid w:val="00534AA7"/>
    <w:rsid w:val="00535050"/>
    <w:rsid w:val="00535765"/>
    <w:rsid w:val="005358C9"/>
    <w:rsid w:val="005379D3"/>
    <w:rsid w:val="00537B00"/>
    <w:rsid w:val="00537F96"/>
    <w:rsid w:val="00540E9E"/>
    <w:rsid w:val="00540F7E"/>
    <w:rsid w:val="00541532"/>
    <w:rsid w:val="00541A1B"/>
    <w:rsid w:val="00542939"/>
    <w:rsid w:val="00542D8E"/>
    <w:rsid w:val="0054314B"/>
    <w:rsid w:val="0054338F"/>
    <w:rsid w:val="005438EC"/>
    <w:rsid w:val="00543ED0"/>
    <w:rsid w:val="00544FA4"/>
    <w:rsid w:val="00545402"/>
    <w:rsid w:val="00545A08"/>
    <w:rsid w:val="00546145"/>
    <w:rsid w:val="00547306"/>
    <w:rsid w:val="005502D2"/>
    <w:rsid w:val="00550C1C"/>
    <w:rsid w:val="00550D84"/>
    <w:rsid w:val="00550F65"/>
    <w:rsid w:val="00551076"/>
    <w:rsid w:val="005520B0"/>
    <w:rsid w:val="00552458"/>
    <w:rsid w:val="00552CCE"/>
    <w:rsid w:val="00552F3A"/>
    <w:rsid w:val="00553078"/>
    <w:rsid w:val="00553171"/>
    <w:rsid w:val="00553249"/>
    <w:rsid w:val="00553FC4"/>
    <w:rsid w:val="005546E4"/>
    <w:rsid w:val="00555312"/>
    <w:rsid w:val="00555ADE"/>
    <w:rsid w:val="00555F3B"/>
    <w:rsid w:val="005570F5"/>
    <w:rsid w:val="00557527"/>
    <w:rsid w:val="00557539"/>
    <w:rsid w:val="00557A40"/>
    <w:rsid w:val="00560003"/>
    <w:rsid w:val="00560814"/>
    <w:rsid w:val="00560848"/>
    <w:rsid w:val="00560DDD"/>
    <w:rsid w:val="00561315"/>
    <w:rsid w:val="00561809"/>
    <w:rsid w:val="00561B9B"/>
    <w:rsid w:val="0056347F"/>
    <w:rsid w:val="00563E91"/>
    <w:rsid w:val="00564180"/>
    <w:rsid w:val="00566532"/>
    <w:rsid w:val="00566B27"/>
    <w:rsid w:val="00566B51"/>
    <w:rsid w:val="00570580"/>
    <w:rsid w:val="005708D2"/>
    <w:rsid w:val="005713AD"/>
    <w:rsid w:val="005723F6"/>
    <w:rsid w:val="005725AC"/>
    <w:rsid w:val="00572B6A"/>
    <w:rsid w:val="00572F7C"/>
    <w:rsid w:val="005731AE"/>
    <w:rsid w:val="0057370F"/>
    <w:rsid w:val="00573A46"/>
    <w:rsid w:val="00573A54"/>
    <w:rsid w:val="00573A6A"/>
    <w:rsid w:val="00574B9A"/>
    <w:rsid w:val="00574D0B"/>
    <w:rsid w:val="00574E44"/>
    <w:rsid w:val="00576320"/>
    <w:rsid w:val="00577457"/>
    <w:rsid w:val="005776C7"/>
    <w:rsid w:val="00577795"/>
    <w:rsid w:val="0057780D"/>
    <w:rsid w:val="0058087F"/>
    <w:rsid w:val="00580AA7"/>
    <w:rsid w:val="00581D45"/>
    <w:rsid w:val="005822EC"/>
    <w:rsid w:val="00582646"/>
    <w:rsid w:val="00582B47"/>
    <w:rsid w:val="00583812"/>
    <w:rsid w:val="00584300"/>
    <w:rsid w:val="00584563"/>
    <w:rsid w:val="0058524C"/>
    <w:rsid w:val="00585E1E"/>
    <w:rsid w:val="00586AC7"/>
    <w:rsid w:val="005872EE"/>
    <w:rsid w:val="00587F4A"/>
    <w:rsid w:val="00587F78"/>
    <w:rsid w:val="0059063E"/>
    <w:rsid w:val="00590C25"/>
    <w:rsid w:val="00590FD8"/>
    <w:rsid w:val="005910B4"/>
    <w:rsid w:val="00591548"/>
    <w:rsid w:val="00591693"/>
    <w:rsid w:val="00591D9B"/>
    <w:rsid w:val="005932EC"/>
    <w:rsid w:val="0059397A"/>
    <w:rsid w:val="00594521"/>
    <w:rsid w:val="005962E1"/>
    <w:rsid w:val="00596C3D"/>
    <w:rsid w:val="00596CCA"/>
    <w:rsid w:val="00597500"/>
    <w:rsid w:val="00597B7A"/>
    <w:rsid w:val="005A14FC"/>
    <w:rsid w:val="005A1989"/>
    <w:rsid w:val="005A28AA"/>
    <w:rsid w:val="005A28D3"/>
    <w:rsid w:val="005A2C4D"/>
    <w:rsid w:val="005A48F7"/>
    <w:rsid w:val="005A5370"/>
    <w:rsid w:val="005A5605"/>
    <w:rsid w:val="005A6922"/>
    <w:rsid w:val="005A6F8B"/>
    <w:rsid w:val="005A75D2"/>
    <w:rsid w:val="005A7E23"/>
    <w:rsid w:val="005B032D"/>
    <w:rsid w:val="005B0D5F"/>
    <w:rsid w:val="005B16C6"/>
    <w:rsid w:val="005B1984"/>
    <w:rsid w:val="005B1B21"/>
    <w:rsid w:val="005B1C11"/>
    <w:rsid w:val="005B1F3D"/>
    <w:rsid w:val="005B2591"/>
    <w:rsid w:val="005B2775"/>
    <w:rsid w:val="005B2CE5"/>
    <w:rsid w:val="005B517E"/>
    <w:rsid w:val="005B5AB2"/>
    <w:rsid w:val="005B7036"/>
    <w:rsid w:val="005C0207"/>
    <w:rsid w:val="005C0A5F"/>
    <w:rsid w:val="005C1A32"/>
    <w:rsid w:val="005C1C3C"/>
    <w:rsid w:val="005C2269"/>
    <w:rsid w:val="005C237A"/>
    <w:rsid w:val="005C2AB4"/>
    <w:rsid w:val="005C3633"/>
    <w:rsid w:val="005C3681"/>
    <w:rsid w:val="005C3889"/>
    <w:rsid w:val="005C4368"/>
    <w:rsid w:val="005C4A65"/>
    <w:rsid w:val="005C4BD6"/>
    <w:rsid w:val="005C579C"/>
    <w:rsid w:val="005C6F39"/>
    <w:rsid w:val="005C7005"/>
    <w:rsid w:val="005C7475"/>
    <w:rsid w:val="005C76B4"/>
    <w:rsid w:val="005C7715"/>
    <w:rsid w:val="005C774A"/>
    <w:rsid w:val="005C7D0C"/>
    <w:rsid w:val="005C7E71"/>
    <w:rsid w:val="005D001F"/>
    <w:rsid w:val="005D055C"/>
    <w:rsid w:val="005D070B"/>
    <w:rsid w:val="005D0AEC"/>
    <w:rsid w:val="005D0D06"/>
    <w:rsid w:val="005D1F0A"/>
    <w:rsid w:val="005D33F0"/>
    <w:rsid w:val="005D4546"/>
    <w:rsid w:val="005D55BE"/>
    <w:rsid w:val="005D5655"/>
    <w:rsid w:val="005D568F"/>
    <w:rsid w:val="005D6100"/>
    <w:rsid w:val="005D6252"/>
    <w:rsid w:val="005D67B6"/>
    <w:rsid w:val="005D6945"/>
    <w:rsid w:val="005D6D9F"/>
    <w:rsid w:val="005D7330"/>
    <w:rsid w:val="005D790A"/>
    <w:rsid w:val="005D7D36"/>
    <w:rsid w:val="005E0148"/>
    <w:rsid w:val="005E0A3A"/>
    <w:rsid w:val="005E1782"/>
    <w:rsid w:val="005E23E7"/>
    <w:rsid w:val="005E2507"/>
    <w:rsid w:val="005E3867"/>
    <w:rsid w:val="005E4832"/>
    <w:rsid w:val="005E5122"/>
    <w:rsid w:val="005E54FE"/>
    <w:rsid w:val="005E68AD"/>
    <w:rsid w:val="005E6AAC"/>
    <w:rsid w:val="005E6CC8"/>
    <w:rsid w:val="005E6E22"/>
    <w:rsid w:val="005E7569"/>
    <w:rsid w:val="005F074E"/>
    <w:rsid w:val="005F0DE3"/>
    <w:rsid w:val="005F1087"/>
    <w:rsid w:val="005F116C"/>
    <w:rsid w:val="005F1320"/>
    <w:rsid w:val="005F207F"/>
    <w:rsid w:val="005F2189"/>
    <w:rsid w:val="005F253F"/>
    <w:rsid w:val="005F3313"/>
    <w:rsid w:val="005F36DC"/>
    <w:rsid w:val="005F4350"/>
    <w:rsid w:val="005F460F"/>
    <w:rsid w:val="005F464E"/>
    <w:rsid w:val="005F4D29"/>
    <w:rsid w:val="005F549C"/>
    <w:rsid w:val="005F58AD"/>
    <w:rsid w:val="005F58B5"/>
    <w:rsid w:val="005F5AA2"/>
    <w:rsid w:val="005F6646"/>
    <w:rsid w:val="005F67D6"/>
    <w:rsid w:val="005F68EA"/>
    <w:rsid w:val="005F6E56"/>
    <w:rsid w:val="005F7678"/>
    <w:rsid w:val="005F7B8F"/>
    <w:rsid w:val="005F7E0F"/>
    <w:rsid w:val="006003F0"/>
    <w:rsid w:val="00600B43"/>
    <w:rsid w:val="0060188E"/>
    <w:rsid w:val="00601E9F"/>
    <w:rsid w:val="00601F6D"/>
    <w:rsid w:val="006026E3"/>
    <w:rsid w:val="00602D59"/>
    <w:rsid w:val="0060316A"/>
    <w:rsid w:val="006035C0"/>
    <w:rsid w:val="006037DA"/>
    <w:rsid w:val="006038A0"/>
    <w:rsid w:val="00603C16"/>
    <w:rsid w:val="00603D0D"/>
    <w:rsid w:val="00604F68"/>
    <w:rsid w:val="00605AFA"/>
    <w:rsid w:val="00605C79"/>
    <w:rsid w:val="006062F5"/>
    <w:rsid w:val="006068C5"/>
    <w:rsid w:val="00606A49"/>
    <w:rsid w:val="006075BF"/>
    <w:rsid w:val="00607FE6"/>
    <w:rsid w:val="00610DEE"/>
    <w:rsid w:val="006113AA"/>
    <w:rsid w:val="00611A67"/>
    <w:rsid w:val="00611A83"/>
    <w:rsid w:val="00613313"/>
    <w:rsid w:val="006134ED"/>
    <w:rsid w:val="00613B09"/>
    <w:rsid w:val="00613CE0"/>
    <w:rsid w:val="00613E8A"/>
    <w:rsid w:val="0061406B"/>
    <w:rsid w:val="006147BA"/>
    <w:rsid w:val="00615026"/>
    <w:rsid w:val="0061520F"/>
    <w:rsid w:val="0061576B"/>
    <w:rsid w:val="0061619E"/>
    <w:rsid w:val="00616843"/>
    <w:rsid w:val="00616911"/>
    <w:rsid w:val="00616A1D"/>
    <w:rsid w:val="00620245"/>
    <w:rsid w:val="0062050D"/>
    <w:rsid w:val="0062054E"/>
    <w:rsid w:val="00620B80"/>
    <w:rsid w:val="00620CBC"/>
    <w:rsid w:val="0062164D"/>
    <w:rsid w:val="00621D22"/>
    <w:rsid w:val="00624D86"/>
    <w:rsid w:val="006252B5"/>
    <w:rsid w:val="0062601F"/>
    <w:rsid w:val="006268F3"/>
    <w:rsid w:val="0062709E"/>
    <w:rsid w:val="006271EE"/>
    <w:rsid w:val="00627375"/>
    <w:rsid w:val="00627CA8"/>
    <w:rsid w:val="006307C4"/>
    <w:rsid w:val="00631231"/>
    <w:rsid w:val="0063216E"/>
    <w:rsid w:val="0063230F"/>
    <w:rsid w:val="006324EE"/>
    <w:rsid w:val="006336EC"/>
    <w:rsid w:val="00633819"/>
    <w:rsid w:val="00633C54"/>
    <w:rsid w:val="00633FA0"/>
    <w:rsid w:val="006343C0"/>
    <w:rsid w:val="00634729"/>
    <w:rsid w:val="00634971"/>
    <w:rsid w:val="0063533B"/>
    <w:rsid w:val="006354CD"/>
    <w:rsid w:val="00635DF9"/>
    <w:rsid w:val="006366A6"/>
    <w:rsid w:val="006372B7"/>
    <w:rsid w:val="006379FC"/>
    <w:rsid w:val="00637C9C"/>
    <w:rsid w:val="00637ED8"/>
    <w:rsid w:val="00640076"/>
    <w:rsid w:val="00640626"/>
    <w:rsid w:val="00641026"/>
    <w:rsid w:val="0064126B"/>
    <w:rsid w:val="00641A0F"/>
    <w:rsid w:val="00642596"/>
    <w:rsid w:val="00644147"/>
    <w:rsid w:val="00644312"/>
    <w:rsid w:val="00644793"/>
    <w:rsid w:val="00645563"/>
    <w:rsid w:val="0064693C"/>
    <w:rsid w:val="00647888"/>
    <w:rsid w:val="00650AFF"/>
    <w:rsid w:val="00650D54"/>
    <w:rsid w:val="00651D2C"/>
    <w:rsid w:val="00651E90"/>
    <w:rsid w:val="006526C2"/>
    <w:rsid w:val="00652826"/>
    <w:rsid w:val="00652DA4"/>
    <w:rsid w:val="006532E5"/>
    <w:rsid w:val="00653353"/>
    <w:rsid w:val="0065372A"/>
    <w:rsid w:val="0065397B"/>
    <w:rsid w:val="00654457"/>
    <w:rsid w:val="00654868"/>
    <w:rsid w:val="00654A36"/>
    <w:rsid w:val="00654AC6"/>
    <w:rsid w:val="00654BDC"/>
    <w:rsid w:val="0065529E"/>
    <w:rsid w:val="00655472"/>
    <w:rsid w:val="00655EAA"/>
    <w:rsid w:val="00656F5B"/>
    <w:rsid w:val="006573B5"/>
    <w:rsid w:val="00657A74"/>
    <w:rsid w:val="00657EE1"/>
    <w:rsid w:val="006601AB"/>
    <w:rsid w:val="0066025D"/>
    <w:rsid w:val="006608D5"/>
    <w:rsid w:val="00661370"/>
    <w:rsid w:val="0066197E"/>
    <w:rsid w:val="00661992"/>
    <w:rsid w:val="00661A7B"/>
    <w:rsid w:val="006625C2"/>
    <w:rsid w:val="0066311F"/>
    <w:rsid w:val="006636F4"/>
    <w:rsid w:val="00663ED0"/>
    <w:rsid w:val="0066491A"/>
    <w:rsid w:val="006649FD"/>
    <w:rsid w:val="00665811"/>
    <w:rsid w:val="006659C3"/>
    <w:rsid w:val="00666198"/>
    <w:rsid w:val="00666789"/>
    <w:rsid w:val="00666B4C"/>
    <w:rsid w:val="00666C95"/>
    <w:rsid w:val="006671F1"/>
    <w:rsid w:val="006672E4"/>
    <w:rsid w:val="006676D9"/>
    <w:rsid w:val="00667F37"/>
    <w:rsid w:val="00672604"/>
    <w:rsid w:val="0067261C"/>
    <w:rsid w:val="00673BF6"/>
    <w:rsid w:val="00673C9B"/>
    <w:rsid w:val="006742D0"/>
    <w:rsid w:val="0067474C"/>
    <w:rsid w:val="0067522B"/>
    <w:rsid w:val="006759AA"/>
    <w:rsid w:val="00676962"/>
    <w:rsid w:val="00677067"/>
    <w:rsid w:val="006778EA"/>
    <w:rsid w:val="00677A6F"/>
    <w:rsid w:val="00677D2F"/>
    <w:rsid w:val="00677D88"/>
    <w:rsid w:val="00680FAE"/>
    <w:rsid w:val="0068153C"/>
    <w:rsid w:val="00681BCB"/>
    <w:rsid w:val="00681BEB"/>
    <w:rsid w:val="00681EDC"/>
    <w:rsid w:val="00682026"/>
    <w:rsid w:val="00682701"/>
    <w:rsid w:val="0068362F"/>
    <w:rsid w:val="00683AE2"/>
    <w:rsid w:val="0068540A"/>
    <w:rsid w:val="006858F0"/>
    <w:rsid w:val="006860CA"/>
    <w:rsid w:val="006865E6"/>
    <w:rsid w:val="00686816"/>
    <w:rsid w:val="00686A37"/>
    <w:rsid w:val="00686F3D"/>
    <w:rsid w:val="0068713D"/>
    <w:rsid w:val="006875F7"/>
    <w:rsid w:val="0068772E"/>
    <w:rsid w:val="00687ECB"/>
    <w:rsid w:val="00690168"/>
    <w:rsid w:val="0069082D"/>
    <w:rsid w:val="00690C71"/>
    <w:rsid w:val="006911C0"/>
    <w:rsid w:val="00691D11"/>
    <w:rsid w:val="00691D47"/>
    <w:rsid w:val="00691FA6"/>
    <w:rsid w:val="006928F8"/>
    <w:rsid w:val="00693605"/>
    <w:rsid w:val="00693BF5"/>
    <w:rsid w:val="00695264"/>
    <w:rsid w:val="0069545D"/>
    <w:rsid w:val="006956B7"/>
    <w:rsid w:val="0069647C"/>
    <w:rsid w:val="00696F51"/>
    <w:rsid w:val="006971A7"/>
    <w:rsid w:val="006976C0"/>
    <w:rsid w:val="006979FF"/>
    <w:rsid w:val="006A0175"/>
    <w:rsid w:val="006A02C6"/>
    <w:rsid w:val="006A071F"/>
    <w:rsid w:val="006A0FBC"/>
    <w:rsid w:val="006A1317"/>
    <w:rsid w:val="006A186C"/>
    <w:rsid w:val="006A1D32"/>
    <w:rsid w:val="006A272D"/>
    <w:rsid w:val="006A3C1A"/>
    <w:rsid w:val="006A40A8"/>
    <w:rsid w:val="006A4718"/>
    <w:rsid w:val="006A4CF8"/>
    <w:rsid w:val="006A5783"/>
    <w:rsid w:val="006A5785"/>
    <w:rsid w:val="006A57D8"/>
    <w:rsid w:val="006A594A"/>
    <w:rsid w:val="006A65F4"/>
    <w:rsid w:val="006A6D23"/>
    <w:rsid w:val="006A6DF5"/>
    <w:rsid w:val="006A7AEC"/>
    <w:rsid w:val="006B00CD"/>
    <w:rsid w:val="006B03D9"/>
    <w:rsid w:val="006B046E"/>
    <w:rsid w:val="006B1D38"/>
    <w:rsid w:val="006B1EC2"/>
    <w:rsid w:val="006B2CB2"/>
    <w:rsid w:val="006B2E45"/>
    <w:rsid w:val="006B2F06"/>
    <w:rsid w:val="006B3DF6"/>
    <w:rsid w:val="006B3F77"/>
    <w:rsid w:val="006B44B0"/>
    <w:rsid w:val="006B4D71"/>
    <w:rsid w:val="006B5815"/>
    <w:rsid w:val="006B5955"/>
    <w:rsid w:val="006B6066"/>
    <w:rsid w:val="006B6232"/>
    <w:rsid w:val="006B6627"/>
    <w:rsid w:val="006B66E4"/>
    <w:rsid w:val="006B7122"/>
    <w:rsid w:val="006B7262"/>
    <w:rsid w:val="006B75F1"/>
    <w:rsid w:val="006B7AAC"/>
    <w:rsid w:val="006B7B95"/>
    <w:rsid w:val="006C09EA"/>
    <w:rsid w:val="006C0CCC"/>
    <w:rsid w:val="006C0D0E"/>
    <w:rsid w:val="006C135D"/>
    <w:rsid w:val="006C1BBD"/>
    <w:rsid w:val="006C24FE"/>
    <w:rsid w:val="006C307B"/>
    <w:rsid w:val="006C32DC"/>
    <w:rsid w:val="006C3464"/>
    <w:rsid w:val="006C3BF4"/>
    <w:rsid w:val="006C40EE"/>
    <w:rsid w:val="006C41D1"/>
    <w:rsid w:val="006C4316"/>
    <w:rsid w:val="006C43E9"/>
    <w:rsid w:val="006C5222"/>
    <w:rsid w:val="006C5B9E"/>
    <w:rsid w:val="006C64BA"/>
    <w:rsid w:val="006C6D58"/>
    <w:rsid w:val="006D14BE"/>
    <w:rsid w:val="006D1E27"/>
    <w:rsid w:val="006D4950"/>
    <w:rsid w:val="006D4C60"/>
    <w:rsid w:val="006D6DB1"/>
    <w:rsid w:val="006D7379"/>
    <w:rsid w:val="006D7400"/>
    <w:rsid w:val="006D7B5F"/>
    <w:rsid w:val="006E1252"/>
    <w:rsid w:val="006E1D89"/>
    <w:rsid w:val="006E2829"/>
    <w:rsid w:val="006E2DA1"/>
    <w:rsid w:val="006E3082"/>
    <w:rsid w:val="006E311B"/>
    <w:rsid w:val="006E3582"/>
    <w:rsid w:val="006E3ACF"/>
    <w:rsid w:val="006E4483"/>
    <w:rsid w:val="006E4B4A"/>
    <w:rsid w:val="006E5332"/>
    <w:rsid w:val="006E59DC"/>
    <w:rsid w:val="006E5D25"/>
    <w:rsid w:val="006E5E98"/>
    <w:rsid w:val="006E5E9A"/>
    <w:rsid w:val="006E7180"/>
    <w:rsid w:val="006E7FAC"/>
    <w:rsid w:val="006F08FF"/>
    <w:rsid w:val="006F0A7B"/>
    <w:rsid w:val="006F0DC9"/>
    <w:rsid w:val="006F1B18"/>
    <w:rsid w:val="006F1F09"/>
    <w:rsid w:val="006F228E"/>
    <w:rsid w:val="006F2B50"/>
    <w:rsid w:val="006F388D"/>
    <w:rsid w:val="006F4121"/>
    <w:rsid w:val="006F4D08"/>
    <w:rsid w:val="006F7287"/>
    <w:rsid w:val="006F74F3"/>
    <w:rsid w:val="006F7844"/>
    <w:rsid w:val="00700663"/>
    <w:rsid w:val="0070113A"/>
    <w:rsid w:val="007019B9"/>
    <w:rsid w:val="0070213A"/>
    <w:rsid w:val="007022FC"/>
    <w:rsid w:val="007023D1"/>
    <w:rsid w:val="00703408"/>
    <w:rsid w:val="0070424C"/>
    <w:rsid w:val="00704E5D"/>
    <w:rsid w:val="007055CE"/>
    <w:rsid w:val="00705938"/>
    <w:rsid w:val="0070619F"/>
    <w:rsid w:val="0070670B"/>
    <w:rsid w:val="00706DAB"/>
    <w:rsid w:val="00707268"/>
    <w:rsid w:val="0070744E"/>
    <w:rsid w:val="00707A05"/>
    <w:rsid w:val="00712AAA"/>
    <w:rsid w:val="00712C37"/>
    <w:rsid w:val="00713378"/>
    <w:rsid w:val="007135FA"/>
    <w:rsid w:val="00713677"/>
    <w:rsid w:val="00713BF0"/>
    <w:rsid w:val="00713F74"/>
    <w:rsid w:val="00714012"/>
    <w:rsid w:val="0071474E"/>
    <w:rsid w:val="00714BE5"/>
    <w:rsid w:val="0071508F"/>
    <w:rsid w:val="0071517B"/>
    <w:rsid w:val="00715438"/>
    <w:rsid w:val="00715AC7"/>
    <w:rsid w:val="00715B1C"/>
    <w:rsid w:val="00715D8E"/>
    <w:rsid w:val="00715ECC"/>
    <w:rsid w:val="00716672"/>
    <w:rsid w:val="00716EC4"/>
    <w:rsid w:val="00717D27"/>
    <w:rsid w:val="00720E07"/>
    <w:rsid w:val="0072177F"/>
    <w:rsid w:val="007218DF"/>
    <w:rsid w:val="00721DC0"/>
    <w:rsid w:val="00722262"/>
    <w:rsid w:val="00722D9D"/>
    <w:rsid w:val="00723460"/>
    <w:rsid w:val="00723B35"/>
    <w:rsid w:val="00723EF7"/>
    <w:rsid w:val="007243FD"/>
    <w:rsid w:val="00724934"/>
    <w:rsid w:val="00724D55"/>
    <w:rsid w:val="00725149"/>
    <w:rsid w:val="00725659"/>
    <w:rsid w:val="0072633C"/>
    <w:rsid w:val="00726F28"/>
    <w:rsid w:val="007278B4"/>
    <w:rsid w:val="00727BA9"/>
    <w:rsid w:val="00730490"/>
    <w:rsid w:val="007307A0"/>
    <w:rsid w:val="007307CB"/>
    <w:rsid w:val="007318E7"/>
    <w:rsid w:val="0073200B"/>
    <w:rsid w:val="00732AF7"/>
    <w:rsid w:val="00733A1D"/>
    <w:rsid w:val="00734555"/>
    <w:rsid w:val="0073464B"/>
    <w:rsid w:val="007364F2"/>
    <w:rsid w:val="00736656"/>
    <w:rsid w:val="00736D16"/>
    <w:rsid w:val="00736F4E"/>
    <w:rsid w:val="00737BB2"/>
    <w:rsid w:val="00737D08"/>
    <w:rsid w:val="00741946"/>
    <w:rsid w:val="00741BC2"/>
    <w:rsid w:val="00742162"/>
    <w:rsid w:val="00742165"/>
    <w:rsid w:val="007425C3"/>
    <w:rsid w:val="00743764"/>
    <w:rsid w:val="0074387F"/>
    <w:rsid w:val="007439EF"/>
    <w:rsid w:val="00743C56"/>
    <w:rsid w:val="00743C5D"/>
    <w:rsid w:val="00744432"/>
    <w:rsid w:val="0074459E"/>
    <w:rsid w:val="0074586E"/>
    <w:rsid w:val="00745962"/>
    <w:rsid w:val="00745FD7"/>
    <w:rsid w:val="007465E7"/>
    <w:rsid w:val="00746E30"/>
    <w:rsid w:val="00750408"/>
    <w:rsid w:val="00751F5C"/>
    <w:rsid w:val="00752FAA"/>
    <w:rsid w:val="007532C4"/>
    <w:rsid w:val="00753C35"/>
    <w:rsid w:val="00753C91"/>
    <w:rsid w:val="00754ABD"/>
    <w:rsid w:val="007551A4"/>
    <w:rsid w:val="00755961"/>
    <w:rsid w:val="007563DB"/>
    <w:rsid w:val="007606F3"/>
    <w:rsid w:val="0076083C"/>
    <w:rsid w:val="00761E99"/>
    <w:rsid w:val="007652E4"/>
    <w:rsid w:val="0076593B"/>
    <w:rsid w:val="0076753D"/>
    <w:rsid w:val="00767BE1"/>
    <w:rsid w:val="007704E5"/>
    <w:rsid w:val="00770B18"/>
    <w:rsid w:val="00771A88"/>
    <w:rsid w:val="00771B55"/>
    <w:rsid w:val="00773212"/>
    <w:rsid w:val="0077333A"/>
    <w:rsid w:val="00773A4F"/>
    <w:rsid w:val="00774199"/>
    <w:rsid w:val="00774371"/>
    <w:rsid w:val="00774484"/>
    <w:rsid w:val="00774D80"/>
    <w:rsid w:val="00774E09"/>
    <w:rsid w:val="00775400"/>
    <w:rsid w:val="0077563C"/>
    <w:rsid w:val="00775B51"/>
    <w:rsid w:val="007804B0"/>
    <w:rsid w:val="00780501"/>
    <w:rsid w:val="007809E7"/>
    <w:rsid w:val="00780F36"/>
    <w:rsid w:val="00781955"/>
    <w:rsid w:val="00781D4A"/>
    <w:rsid w:val="0078260D"/>
    <w:rsid w:val="00782C79"/>
    <w:rsid w:val="00783031"/>
    <w:rsid w:val="00783124"/>
    <w:rsid w:val="007831C9"/>
    <w:rsid w:val="00783412"/>
    <w:rsid w:val="0078352C"/>
    <w:rsid w:val="007836BD"/>
    <w:rsid w:val="00784058"/>
    <w:rsid w:val="007847C0"/>
    <w:rsid w:val="007852DA"/>
    <w:rsid w:val="007855F0"/>
    <w:rsid w:val="007856F6"/>
    <w:rsid w:val="0079054E"/>
    <w:rsid w:val="00791B66"/>
    <w:rsid w:val="00792071"/>
    <w:rsid w:val="0079225E"/>
    <w:rsid w:val="00792633"/>
    <w:rsid w:val="0079300A"/>
    <w:rsid w:val="007936B7"/>
    <w:rsid w:val="00793794"/>
    <w:rsid w:val="0079393C"/>
    <w:rsid w:val="007940D5"/>
    <w:rsid w:val="00794D45"/>
    <w:rsid w:val="0079587C"/>
    <w:rsid w:val="0079607E"/>
    <w:rsid w:val="00797067"/>
    <w:rsid w:val="0079744B"/>
    <w:rsid w:val="007A0C9C"/>
    <w:rsid w:val="007A0C9D"/>
    <w:rsid w:val="007A0D08"/>
    <w:rsid w:val="007A2219"/>
    <w:rsid w:val="007A24DA"/>
    <w:rsid w:val="007A25D5"/>
    <w:rsid w:val="007A4076"/>
    <w:rsid w:val="007A460F"/>
    <w:rsid w:val="007A56DB"/>
    <w:rsid w:val="007A673D"/>
    <w:rsid w:val="007A6BFC"/>
    <w:rsid w:val="007A6DEF"/>
    <w:rsid w:val="007A71BD"/>
    <w:rsid w:val="007A774E"/>
    <w:rsid w:val="007B044B"/>
    <w:rsid w:val="007B053E"/>
    <w:rsid w:val="007B0BC6"/>
    <w:rsid w:val="007B104D"/>
    <w:rsid w:val="007B1B6E"/>
    <w:rsid w:val="007B1B8C"/>
    <w:rsid w:val="007B20AF"/>
    <w:rsid w:val="007B3393"/>
    <w:rsid w:val="007B3B48"/>
    <w:rsid w:val="007B42B5"/>
    <w:rsid w:val="007B46C9"/>
    <w:rsid w:val="007B470E"/>
    <w:rsid w:val="007B471D"/>
    <w:rsid w:val="007B496B"/>
    <w:rsid w:val="007B4C85"/>
    <w:rsid w:val="007B5C8F"/>
    <w:rsid w:val="007B5D0B"/>
    <w:rsid w:val="007B72A8"/>
    <w:rsid w:val="007B7365"/>
    <w:rsid w:val="007C0F78"/>
    <w:rsid w:val="007C1914"/>
    <w:rsid w:val="007C1BB3"/>
    <w:rsid w:val="007C2335"/>
    <w:rsid w:val="007C3B1C"/>
    <w:rsid w:val="007C3BE1"/>
    <w:rsid w:val="007C3F62"/>
    <w:rsid w:val="007C41B1"/>
    <w:rsid w:val="007C651D"/>
    <w:rsid w:val="007C6A13"/>
    <w:rsid w:val="007C6D26"/>
    <w:rsid w:val="007C7383"/>
    <w:rsid w:val="007D0A39"/>
    <w:rsid w:val="007D0C06"/>
    <w:rsid w:val="007D1340"/>
    <w:rsid w:val="007D1A90"/>
    <w:rsid w:val="007D2167"/>
    <w:rsid w:val="007D356B"/>
    <w:rsid w:val="007D36C3"/>
    <w:rsid w:val="007D3735"/>
    <w:rsid w:val="007D41E4"/>
    <w:rsid w:val="007D44BF"/>
    <w:rsid w:val="007D4E66"/>
    <w:rsid w:val="007D51B2"/>
    <w:rsid w:val="007D6E3B"/>
    <w:rsid w:val="007D724C"/>
    <w:rsid w:val="007E0122"/>
    <w:rsid w:val="007E02AA"/>
    <w:rsid w:val="007E0DA5"/>
    <w:rsid w:val="007E15F3"/>
    <w:rsid w:val="007E2F15"/>
    <w:rsid w:val="007E37E5"/>
    <w:rsid w:val="007E3E69"/>
    <w:rsid w:val="007E4663"/>
    <w:rsid w:val="007E5A4E"/>
    <w:rsid w:val="007E5BA2"/>
    <w:rsid w:val="007E6AD8"/>
    <w:rsid w:val="007E6FF2"/>
    <w:rsid w:val="007E79BC"/>
    <w:rsid w:val="007F0E33"/>
    <w:rsid w:val="007F1115"/>
    <w:rsid w:val="007F1164"/>
    <w:rsid w:val="007F12CC"/>
    <w:rsid w:val="007F1690"/>
    <w:rsid w:val="007F1C94"/>
    <w:rsid w:val="007F23C0"/>
    <w:rsid w:val="007F246C"/>
    <w:rsid w:val="007F2A1F"/>
    <w:rsid w:val="007F32E7"/>
    <w:rsid w:val="007F35D8"/>
    <w:rsid w:val="007F3823"/>
    <w:rsid w:val="007F3D6A"/>
    <w:rsid w:val="007F4A7C"/>
    <w:rsid w:val="007F4AE5"/>
    <w:rsid w:val="007F5B9B"/>
    <w:rsid w:val="007F6B71"/>
    <w:rsid w:val="007F76E6"/>
    <w:rsid w:val="00800059"/>
    <w:rsid w:val="00801052"/>
    <w:rsid w:val="008013F0"/>
    <w:rsid w:val="008025AE"/>
    <w:rsid w:val="008029E9"/>
    <w:rsid w:val="00803049"/>
    <w:rsid w:val="00803276"/>
    <w:rsid w:val="0080473E"/>
    <w:rsid w:val="008051F2"/>
    <w:rsid w:val="008052A4"/>
    <w:rsid w:val="00805F20"/>
    <w:rsid w:val="00806369"/>
    <w:rsid w:val="00806946"/>
    <w:rsid w:val="0080697C"/>
    <w:rsid w:val="008069A4"/>
    <w:rsid w:val="0080710B"/>
    <w:rsid w:val="00807561"/>
    <w:rsid w:val="00807AFD"/>
    <w:rsid w:val="00807C07"/>
    <w:rsid w:val="00810172"/>
    <w:rsid w:val="008108BE"/>
    <w:rsid w:val="008110BD"/>
    <w:rsid w:val="00812553"/>
    <w:rsid w:val="00812947"/>
    <w:rsid w:val="008132C0"/>
    <w:rsid w:val="008136D7"/>
    <w:rsid w:val="00814418"/>
    <w:rsid w:val="00814CF8"/>
    <w:rsid w:val="00814D81"/>
    <w:rsid w:val="00815486"/>
    <w:rsid w:val="0081569F"/>
    <w:rsid w:val="00815B0F"/>
    <w:rsid w:val="00815FF0"/>
    <w:rsid w:val="00816912"/>
    <w:rsid w:val="00820C44"/>
    <w:rsid w:val="00821590"/>
    <w:rsid w:val="008216D6"/>
    <w:rsid w:val="008220B9"/>
    <w:rsid w:val="008225DD"/>
    <w:rsid w:val="00822BFC"/>
    <w:rsid w:val="00822F65"/>
    <w:rsid w:val="0082360F"/>
    <w:rsid w:val="00823C3C"/>
    <w:rsid w:val="00823D6B"/>
    <w:rsid w:val="00824B54"/>
    <w:rsid w:val="00824CB8"/>
    <w:rsid w:val="008253EE"/>
    <w:rsid w:val="008266F3"/>
    <w:rsid w:val="008268EA"/>
    <w:rsid w:val="00826A1B"/>
    <w:rsid w:val="00826ABA"/>
    <w:rsid w:val="0082735D"/>
    <w:rsid w:val="00830798"/>
    <w:rsid w:val="00830BC8"/>
    <w:rsid w:val="00830F7D"/>
    <w:rsid w:val="00831040"/>
    <w:rsid w:val="008314C8"/>
    <w:rsid w:val="0083159F"/>
    <w:rsid w:val="008321CB"/>
    <w:rsid w:val="008324AC"/>
    <w:rsid w:val="008332ED"/>
    <w:rsid w:val="00833965"/>
    <w:rsid w:val="00833B53"/>
    <w:rsid w:val="00833F83"/>
    <w:rsid w:val="008347D5"/>
    <w:rsid w:val="008349D0"/>
    <w:rsid w:val="00834B9B"/>
    <w:rsid w:val="00834DB5"/>
    <w:rsid w:val="00835449"/>
    <w:rsid w:val="008354AE"/>
    <w:rsid w:val="00835DF3"/>
    <w:rsid w:val="00836964"/>
    <w:rsid w:val="00836980"/>
    <w:rsid w:val="00836C4D"/>
    <w:rsid w:val="008375CB"/>
    <w:rsid w:val="00840673"/>
    <w:rsid w:val="0084072D"/>
    <w:rsid w:val="0084075B"/>
    <w:rsid w:val="00840804"/>
    <w:rsid w:val="00840983"/>
    <w:rsid w:val="00840B58"/>
    <w:rsid w:val="00840F2A"/>
    <w:rsid w:val="00841065"/>
    <w:rsid w:val="0084159C"/>
    <w:rsid w:val="00841B1E"/>
    <w:rsid w:val="00841CD3"/>
    <w:rsid w:val="008421B2"/>
    <w:rsid w:val="00842265"/>
    <w:rsid w:val="00842368"/>
    <w:rsid w:val="00842EC2"/>
    <w:rsid w:val="00842FAA"/>
    <w:rsid w:val="008432AC"/>
    <w:rsid w:val="0084349F"/>
    <w:rsid w:val="00843AC8"/>
    <w:rsid w:val="0084432F"/>
    <w:rsid w:val="00844487"/>
    <w:rsid w:val="0084456A"/>
    <w:rsid w:val="008445C2"/>
    <w:rsid w:val="00844D81"/>
    <w:rsid w:val="00844DAD"/>
    <w:rsid w:val="00845BA7"/>
    <w:rsid w:val="008475FD"/>
    <w:rsid w:val="00847AE8"/>
    <w:rsid w:val="00850001"/>
    <w:rsid w:val="00850126"/>
    <w:rsid w:val="00850746"/>
    <w:rsid w:val="00850C17"/>
    <w:rsid w:val="00850C55"/>
    <w:rsid w:val="0085143B"/>
    <w:rsid w:val="00851DCD"/>
    <w:rsid w:val="00853389"/>
    <w:rsid w:val="00853561"/>
    <w:rsid w:val="00853F92"/>
    <w:rsid w:val="00854162"/>
    <w:rsid w:val="00854192"/>
    <w:rsid w:val="00854289"/>
    <w:rsid w:val="00854B11"/>
    <w:rsid w:val="0085632F"/>
    <w:rsid w:val="008565A5"/>
    <w:rsid w:val="00856E00"/>
    <w:rsid w:val="00857082"/>
    <w:rsid w:val="008573D9"/>
    <w:rsid w:val="00857F39"/>
    <w:rsid w:val="008604C2"/>
    <w:rsid w:val="00861FA2"/>
    <w:rsid w:val="008620EC"/>
    <w:rsid w:val="0086222A"/>
    <w:rsid w:val="008625F3"/>
    <w:rsid w:val="00862764"/>
    <w:rsid w:val="00863401"/>
    <w:rsid w:val="0086340E"/>
    <w:rsid w:val="00864419"/>
    <w:rsid w:val="0086534D"/>
    <w:rsid w:val="00865A43"/>
    <w:rsid w:val="00866299"/>
    <w:rsid w:val="00866C43"/>
    <w:rsid w:val="00866E97"/>
    <w:rsid w:val="008677D0"/>
    <w:rsid w:val="008679F0"/>
    <w:rsid w:val="00867C3F"/>
    <w:rsid w:val="008703DE"/>
    <w:rsid w:val="008704B3"/>
    <w:rsid w:val="00870B18"/>
    <w:rsid w:val="00871238"/>
    <w:rsid w:val="0087156B"/>
    <w:rsid w:val="00871723"/>
    <w:rsid w:val="008718E0"/>
    <w:rsid w:val="008725D4"/>
    <w:rsid w:val="00872A49"/>
    <w:rsid w:val="00872BD6"/>
    <w:rsid w:val="00872C38"/>
    <w:rsid w:val="00872C39"/>
    <w:rsid w:val="00872F04"/>
    <w:rsid w:val="0087301D"/>
    <w:rsid w:val="008739FD"/>
    <w:rsid w:val="00874263"/>
    <w:rsid w:val="008749E2"/>
    <w:rsid w:val="00875288"/>
    <w:rsid w:val="00875F16"/>
    <w:rsid w:val="008764EB"/>
    <w:rsid w:val="00876B48"/>
    <w:rsid w:val="00876FE6"/>
    <w:rsid w:val="0087717B"/>
    <w:rsid w:val="00880C8E"/>
    <w:rsid w:val="00881A19"/>
    <w:rsid w:val="008824B0"/>
    <w:rsid w:val="0088257C"/>
    <w:rsid w:val="008832FF"/>
    <w:rsid w:val="008833D4"/>
    <w:rsid w:val="00883CFA"/>
    <w:rsid w:val="008840CB"/>
    <w:rsid w:val="00884AAA"/>
    <w:rsid w:val="00884AB4"/>
    <w:rsid w:val="008852EC"/>
    <w:rsid w:val="0088533F"/>
    <w:rsid w:val="008859CB"/>
    <w:rsid w:val="00885CA4"/>
    <w:rsid w:val="008864E2"/>
    <w:rsid w:val="008867A6"/>
    <w:rsid w:val="008867D9"/>
    <w:rsid w:val="00890455"/>
    <w:rsid w:val="00890A27"/>
    <w:rsid w:val="0089176B"/>
    <w:rsid w:val="00892DB8"/>
    <w:rsid w:val="00892FD6"/>
    <w:rsid w:val="00893877"/>
    <w:rsid w:val="00894099"/>
    <w:rsid w:val="0089496D"/>
    <w:rsid w:val="00894E82"/>
    <w:rsid w:val="00894FF3"/>
    <w:rsid w:val="00895373"/>
    <w:rsid w:val="0089567D"/>
    <w:rsid w:val="00895C80"/>
    <w:rsid w:val="0089635E"/>
    <w:rsid w:val="00896B4C"/>
    <w:rsid w:val="00896EE2"/>
    <w:rsid w:val="008971D7"/>
    <w:rsid w:val="008973EF"/>
    <w:rsid w:val="0089770F"/>
    <w:rsid w:val="008A002F"/>
    <w:rsid w:val="008A0774"/>
    <w:rsid w:val="008A0A77"/>
    <w:rsid w:val="008A1C20"/>
    <w:rsid w:val="008A2234"/>
    <w:rsid w:val="008A249F"/>
    <w:rsid w:val="008A3564"/>
    <w:rsid w:val="008A3754"/>
    <w:rsid w:val="008A3FCB"/>
    <w:rsid w:val="008A5806"/>
    <w:rsid w:val="008A6E79"/>
    <w:rsid w:val="008A744A"/>
    <w:rsid w:val="008B0F56"/>
    <w:rsid w:val="008B0FCB"/>
    <w:rsid w:val="008B10DB"/>
    <w:rsid w:val="008B1EEB"/>
    <w:rsid w:val="008B2139"/>
    <w:rsid w:val="008B23A6"/>
    <w:rsid w:val="008B2633"/>
    <w:rsid w:val="008B26D3"/>
    <w:rsid w:val="008B2DFE"/>
    <w:rsid w:val="008B2E58"/>
    <w:rsid w:val="008B35E7"/>
    <w:rsid w:val="008B3E2F"/>
    <w:rsid w:val="008B3FE6"/>
    <w:rsid w:val="008B4469"/>
    <w:rsid w:val="008B5148"/>
    <w:rsid w:val="008B6383"/>
    <w:rsid w:val="008B7D77"/>
    <w:rsid w:val="008C0DBB"/>
    <w:rsid w:val="008C2246"/>
    <w:rsid w:val="008C2278"/>
    <w:rsid w:val="008C28A6"/>
    <w:rsid w:val="008C3106"/>
    <w:rsid w:val="008C3CFF"/>
    <w:rsid w:val="008C4057"/>
    <w:rsid w:val="008C4CC8"/>
    <w:rsid w:val="008C4D61"/>
    <w:rsid w:val="008C5405"/>
    <w:rsid w:val="008C59F8"/>
    <w:rsid w:val="008C603D"/>
    <w:rsid w:val="008C7722"/>
    <w:rsid w:val="008C7928"/>
    <w:rsid w:val="008D12DF"/>
    <w:rsid w:val="008D1A81"/>
    <w:rsid w:val="008D29D3"/>
    <w:rsid w:val="008D2A71"/>
    <w:rsid w:val="008D2EE3"/>
    <w:rsid w:val="008D2FEC"/>
    <w:rsid w:val="008D34AB"/>
    <w:rsid w:val="008D3760"/>
    <w:rsid w:val="008D3809"/>
    <w:rsid w:val="008D3C4F"/>
    <w:rsid w:val="008D3C98"/>
    <w:rsid w:val="008D3D74"/>
    <w:rsid w:val="008D3FD0"/>
    <w:rsid w:val="008D4A44"/>
    <w:rsid w:val="008D4AAA"/>
    <w:rsid w:val="008D54AB"/>
    <w:rsid w:val="008D5583"/>
    <w:rsid w:val="008D55A2"/>
    <w:rsid w:val="008D56B9"/>
    <w:rsid w:val="008D5B17"/>
    <w:rsid w:val="008D6BC5"/>
    <w:rsid w:val="008D733A"/>
    <w:rsid w:val="008D7D79"/>
    <w:rsid w:val="008E06E0"/>
    <w:rsid w:val="008E11D0"/>
    <w:rsid w:val="008E1AD4"/>
    <w:rsid w:val="008E4C14"/>
    <w:rsid w:val="008E4EFE"/>
    <w:rsid w:val="008E54FB"/>
    <w:rsid w:val="008E5923"/>
    <w:rsid w:val="008E5A6D"/>
    <w:rsid w:val="008E5C39"/>
    <w:rsid w:val="008E682C"/>
    <w:rsid w:val="008E7842"/>
    <w:rsid w:val="008F0A0F"/>
    <w:rsid w:val="008F14BF"/>
    <w:rsid w:val="008F2A36"/>
    <w:rsid w:val="008F3055"/>
    <w:rsid w:val="008F33A4"/>
    <w:rsid w:val="008F3578"/>
    <w:rsid w:val="008F35A3"/>
    <w:rsid w:val="008F3625"/>
    <w:rsid w:val="008F3BEE"/>
    <w:rsid w:val="008F3E5B"/>
    <w:rsid w:val="008F416F"/>
    <w:rsid w:val="008F43F9"/>
    <w:rsid w:val="008F55F3"/>
    <w:rsid w:val="008F5EF1"/>
    <w:rsid w:val="008F6A83"/>
    <w:rsid w:val="008F7773"/>
    <w:rsid w:val="008F7CCB"/>
    <w:rsid w:val="00901975"/>
    <w:rsid w:val="0090265B"/>
    <w:rsid w:val="00902A76"/>
    <w:rsid w:val="00902B06"/>
    <w:rsid w:val="00903672"/>
    <w:rsid w:val="00905190"/>
    <w:rsid w:val="00905247"/>
    <w:rsid w:val="009052DA"/>
    <w:rsid w:val="00905435"/>
    <w:rsid w:val="00905C50"/>
    <w:rsid w:val="00905D66"/>
    <w:rsid w:val="00905FC8"/>
    <w:rsid w:val="00906A40"/>
    <w:rsid w:val="0090710F"/>
    <w:rsid w:val="00907361"/>
    <w:rsid w:val="009073CE"/>
    <w:rsid w:val="009076C3"/>
    <w:rsid w:val="00910DD1"/>
    <w:rsid w:val="00911798"/>
    <w:rsid w:val="009128BE"/>
    <w:rsid w:val="00913904"/>
    <w:rsid w:val="0091404A"/>
    <w:rsid w:val="009140EB"/>
    <w:rsid w:val="009145B0"/>
    <w:rsid w:val="00914CFC"/>
    <w:rsid w:val="009153A3"/>
    <w:rsid w:val="00915E36"/>
    <w:rsid w:val="00915F43"/>
    <w:rsid w:val="00916F94"/>
    <w:rsid w:val="0091721F"/>
    <w:rsid w:val="00917685"/>
    <w:rsid w:val="00920320"/>
    <w:rsid w:val="00920783"/>
    <w:rsid w:val="00920C92"/>
    <w:rsid w:val="00920D51"/>
    <w:rsid w:val="00920E1D"/>
    <w:rsid w:val="00921681"/>
    <w:rsid w:val="009219B8"/>
    <w:rsid w:val="00921C13"/>
    <w:rsid w:val="00922966"/>
    <w:rsid w:val="00922E36"/>
    <w:rsid w:val="0092313C"/>
    <w:rsid w:val="009233EA"/>
    <w:rsid w:val="00923B3C"/>
    <w:rsid w:val="00924AE3"/>
    <w:rsid w:val="0092508F"/>
    <w:rsid w:val="00925482"/>
    <w:rsid w:val="0092588D"/>
    <w:rsid w:val="00925B34"/>
    <w:rsid w:val="00926B94"/>
    <w:rsid w:val="00927288"/>
    <w:rsid w:val="009278E5"/>
    <w:rsid w:val="00930840"/>
    <w:rsid w:val="00930BE9"/>
    <w:rsid w:val="00930E50"/>
    <w:rsid w:val="00931C94"/>
    <w:rsid w:val="00931EB8"/>
    <w:rsid w:val="009340A7"/>
    <w:rsid w:val="009342F8"/>
    <w:rsid w:val="00934B83"/>
    <w:rsid w:val="00934D61"/>
    <w:rsid w:val="00935A0B"/>
    <w:rsid w:val="00935A10"/>
    <w:rsid w:val="0093633E"/>
    <w:rsid w:val="00936D87"/>
    <w:rsid w:val="00937323"/>
    <w:rsid w:val="00937355"/>
    <w:rsid w:val="009373EC"/>
    <w:rsid w:val="00937423"/>
    <w:rsid w:val="0094158B"/>
    <w:rsid w:val="0094199B"/>
    <w:rsid w:val="00941B44"/>
    <w:rsid w:val="00942182"/>
    <w:rsid w:val="0094232A"/>
    <w:rsid w:val="009423AB"/>
    <w:rsid w:val="00942F17"/>
    <w:rsid w:val="00943D01"/>
    <w:rsid w:val="0094550B"/>
    <w:rsid w:val="00945661"/>
    <w:rsid w:val="009460FF"/>
    <w:rsid w:val="0094624E"/>
    <w:rsid w:val="00946414"/>
    <w:rsid w:val="00946F14"/>
    <w:rsid w:val="00947098"/>
    <w:rsid w:val="0094712E"/>
    <w:rsid w:val="00947372"/>
    <w:rsid w:val="00947EE5"/>
    <w:rsid w:val="00947FBE"/>
    <w:rsid w:val="0095003D"/>
    <w:rsid w:val="00950204"/>
    <w:rsid w:val="00950A87"/>
    <w:rsid w:val="00951CDE"/>
    <w:rsid w:val="00951DC3"/>
    <w:rsid w:val="00952C3C"/>
    <w:rsid w:val="00953715"/>
    <w:rsid w:val="009537D1"/>
    <w:rsid w:val="00953A23"/>
    <w:rsid w:val="009544F1"/>
    <w:rsid w:val="00954B7A"/>
    <w:rsid w:val="00954F17"/>
    <w:rsid w:val="00956352"/>
    <w:rsid w:val="0095787F"/>
    <w:rsid w:val="00957D4F"/>
    <w:rsid w:val="00957E93"/>
    <w:rsid w:val="00957F10"/>
    <w:rsid w:val="0096009D"/>
    <w:rsid w:val="00960482"/>
    <w:rsid w:val="00961428"/>
    <w:rsid w:val="00961D92"/>
    <w:rsid w:val="00962889"/>
    <w:rsid w:val="009633A0"/>
    <w:rsid w:val="00963616"/>
    <w:rsid w:val="00963A97"/>
    <w:rsid w:val="0096490C"/>
    <w:rsid w:val="00965C6D"/>
    <w:rsid w:val="00966AAA"/>
    <w:rsid w:val="00967773"/>
    <w:rsid w:val="0097013C"/>
    <w:rsid w:val="009709EF"/>
    <w:rsid w:val="00971A5B"/>
    <w:rsid w:val="0097311D"/>
    <w:rsid w:val="00973AF7"/>
    <w:rsid w:val="009748FC"/>
    <w:rsid w:val="00975066"/>
    <w:rsid w:val="00975418"/>
    <w:rsid w:val="00975638"/>
    <w:rsid w:val="009758EF"/>
    <w:rsid w:val="009759DB"/>
    <w:rsid w:val="009761DC"/>
    <w:rsid w:val="009762E4"/>
    <w:rsid w:val="0097715F"/>
    <w:rsid w:val="00977EF0"/>
    <w:rsid w:val="00980E9D"/>
    <w:rsid w:val="0098139D"/>
    <w:rsid w:val="009814CD"/>
    <w:rsid w:val="00981555"/>
    <w:rsid w:val="00981B03"/>
    <w:rsid w:val="00981D88"/>
    <w:rsid w:val="0098296B"/>
    <w:rsid w:val="00982FE1"/>
    <w:rsid w:val="0098623F"/>
    <w:rsid w:val="00986E71"/>
    <w:rsid w:val="0098788B"/>
    <w:rsid w:val="00990D5F"/>
    <w:rsid w:val="00991074"/>
    <w:rsid w:val="00992792"/>
    <w:rsid w:val="009935BF"/>
    <w:rsid w:val="00993BA9"/>
    <w:rsid w:val="00993ED6"/>
    <w:rsid w:val="00994464"/>
    <w:rsid w:val="00994494"/>
    <w:rsid w:val="00994CED"/>
    <w:rsid w:val="00994F19"/>
    <w:rsid w:val="009951C5"/>
    <w:rsid w:val="00995278"/>
    <w:rsid w:val="00995304"/>
    <w:rsid w:val="00995688"/>
    <w:rsid w:val="00996314"/>
    <w:rsid w:val="00996420"/>
    <w:rsid w:val="00996546"/>
    <w:rsid w:val="0099752B"/>
    <w:rsid w:val="00997A89"/>
    <w:rsid w:val="009A0EA1"/>
    <w:rsid w:val="009A1341"/>
    <w:rsid w:val="009A1A05"/>
    <w:rsid w:val="009A1C55"/>
    <w:rsid w:val="009A20F6"/>
    <w:rsid w:val="009A263C"/>
    <w:rsid w:val="009A35BB"/>
    <w:rsid w:val="009A372E"/>
    <w:rsid w:val="009A3814"/>
    <w:rsid w:val="009A3D7A"/>
    <w:rsid w:val="009A4665"/>
    <w:rsid w:val="009A5FA9"/>
    <w:rsid w:val="009A6423"/>
    <w:rsid w:val="009A6697"/>
    <w:rsid w:val="009A7083"/>
    <w:rsid w:val="009A71E5"/>
    <w:rsid w:val="009A75B8"/>
    <w:rsid w:val="009A7794"/>
    <w:rsid w:val="009A79D6"/>
    <w:rsid w:val="009A7A7A"/>
    <w:rsid w:val="009A7DE1"/>
    <w:rsid w:val="009B091F"/>
    <w:rsid w:val="009B0975"/>
    <w:rsid w:val="009B1DAD"/>
    <w:rsid w:val="009B2302"/>
    <w:rsid w:val="009B25DD"/>
    <w:rsid w:val="009B27EB"/>
    <w:rsid w:val="009B2D42"/>
    <w:rsid w:val="009B33AA"/>
    <w:rsid w:val="009B3741"/>
    <w:rsid w:val="009B3BE1"/>
    <w:rsid w:val="009B41DB"/>
    <w:rsid w:val="009B4D01"/>
    <w:rsid w:val="009B4DB2"/>
    <w:rsid w:val="009B57B5"/>
    <w:rsid w:val="009B6B8C"/>
    <w:rsid w:val="009C07C8"/>
    <w:rsid w:val="009C0A23"/>
    <w:rsid w:val="009C1258"/>
    <w:rsid w:val="009C1418"/>
    <w:rsid w:val="009C185B"/>
    <w:rsid w:val="009C1D7D"/>
    <w:rsid w:val="009C2019"/>
    <w:rsid w:val="009C24B1"/>
    <w:rsid w:val="009C4B11"/>
    <w:rsid w:val="009C616A"/>
    <w:rsid w:val="009C6546"/>
    <w:rsid w:val="009C6D42"/>
    <w:rsid w:val="009C7143"/>
    <w:rsid w:val="009C7247"/>
    <w:rsid w:val="009C7B88"/>
    <w:rsid w:val="009C7C3E"/>
    <w:rsid w:val="009D01ED"/>
    <w:rsid w:val="009D026C"/>
    <w:rsid w:val="009D03BB"/>
    <w:rsid w:val="009D1095"/>
    <w:rsid w:val="009D2112"/>
    <w:rsid w:val="009D23A0"/>
    <w:rsid w:val="009D2799"/>
    <w:rsid w:val="009D2E8A"/>
    <w:rsid w:val="009D33A5"/>
    <w:rsid w:val="009D3BB5"/>
    <w:rsid w:val="009D4724"/>
    <w:rsid w:val="009D58B9"/>
    <w:rsid w:val="009D5F9E"/>
    <w:rsid w:val="009D650F"/>
    <w:rsid w:val="009D6B45"/>
    <w:rsid w:val="009D6F83"/>
    <w:rsid w:val="009E0B83"/>
    <w:rsid w:val="009E0C41"/>
    <w:rsid w:val="009E0F8C"/>
    <w:rsid w:val="009E1F87"/>
    <w:rsid w:val="009E25D1"/>
    <w:rsid w:val="009E285E"/>
    <w:rsid w:val="009E2895"/>
    <w:rsid w:val="009E296F"/>
    <w:rsid w:val="009E2DB1"/>
    <w:rsid w:val="009E3377"/>
    <w:rsid w:val="009E4261"/>
    <w:rsid w:val="009E4C4E"/>
    <w:rsid w:val="009E4C6E"/>
    <w:rsid w:val="009E4D14"/>
    <w:rsid w:val="009E5DC6"/>
    <w:rsid w:val="009E5FE9"/>
    <w:rsid w:val="009E64E8"/>
    <w:rsid w:val="009E65EF"/>
    <w:rsid w:val="009E67F7"/>
    <w:rsid w:val="009E6EF9"/>
    <w:rsid w:val="009E7274"/>
    <w:rsid w:val="009F11A5"/>
    <w:rsid w:val="009F12EF"/>
    <w:rsid w:val="009F1EB1"/>
    <w:rsid w:val="009F20D8"/>
    <w:rsid w:val="009F2D69"/>
    <w:rsid w:val="009F4756"/>
    <w:rsid w:val="009F4978"/>
    <w:rsid w:val="009F52FB"/>
    <w:rsid w:val="009F5C4F"/>
    <w:rsid w:val="009F6666"/>
    <w:rsid w:val="009F6E4B"/>
    <w:rsid w:val="009F6F1F"/>
    <w:rsid w:val="009F7380"/>
    <w:rsid w:val="009F74E6"/>
    <w:rsid w:val="00A00B01"/>
    <w:rsid w:val="00A00C03"/>
    <w:rsid w:val="00A01932"/>
    <w:rsid w:val="00A01ECF"/>
    <w:rsid w:val="00A02040"/>
    <w:rsid w:val="00A02C4A"/>
    <w:rsid w:val="00A02E15"/>
    <w:rsid w:val="00A03173"/>
    <w:rsid w:val="00A03E74"/>
    <w:rsid w:val="00A04375"/>
    <w:rsid w:val="00A04AAC"/>
    <w:rsid w:val="00A04D78"/>
    <w:rsid w:val="00A05C0B"/>
    <w:rsid w:val="00A065FA"/>
    <w:rsid w:val="00A06DB3"/>
    <w:rsid w:val="00A07278"/>
    <w:rsid w:val="00A072E9"/>
    <w:rsid w:val="00A07445"/>
    <w:rsid w:val="00A075B9"/>
    <w:rsid w:val="00A07648"/>
    <w:rsid w:val="00A079E0"/>
    <w:rsid w:val="00A079E6"/>
    <w:rsid w:val="00A07F2D"/>
    <w:rsid w:val="00A07F59"/>
    <w:rsid w:val="00A10664"/>
    <w:rsid w:val="00A117D6"/>
    <w:rsid w:val="00A118B6"/>
    <w:rsid w:val="00A11B52"/>
    <w:rsid w:val="00A11C07"/>
    <w:rsid w:val="00A127CF"/>
    <w:rsid w:val="00A12DA7"/>
    <w:rsid w:val="00A12EA8"/>
    <w:rsid w:val="00A137F4"/>
    <w:rsid w:val="00A139F6"/>
    <w:rsid w:val="00A13A4C"/>
    <w:rsid w:val="00A13BAF"/>
    <w:rsid w:val="00A13C0F"/>
    <w:rsid w:val="00A14B74"/>
    <w:rsid w:val="00A151B6"/>
    <w:rsid w:val="00A16452"/>
    <w:rsid w:val="00A16DBA"/>
    <w:rsid w:val="00A17344"/>
    <w:rsid w:val="00A1741D"/>
    <w:rsid w:val="00A177B7"/>
    <w:rsid w:val="00A17AE2"/>
    <w:rsid w:val="00A17CA8"/>
    <w:rsid w:val="00A17D46"/>
    <w:rsid w:val="00A17EF3"/>
    <w:rsid w:val="00A20594"/>
    <w:rsid w:val="00A205D0"/>
    <w:rsid w:val="00A20646"/>
    <w:rsid w:val="00A210A1"/>
    <w:rsid w:val="00A21182"/>
    <w:rsid w:val="00A21205"/>
    <w:rsid w:val="00A214D0"/>
    <w:rsid w:val="00A2268D"/>
    <w:rsid w:val="00A22F90"/>
    <w:rsid w:val="00A23ACE"/>
    <w:rsid w:val="00A23B4E"/>
    <w:rsid w:val="00A24053"/>
    <w:rsid w:val="00A24563"/>
    <w:rsid w:val="00A24AFA"/>
    <w:rsid w:val="00A25380"/>
    <w:rsid w:val="00A256A1"/>
    <w:rsid w:val="00A264AD"/>
    <w:rsid w:val="00A26A34"/>
    <w:rsid w:val="00A274B0"/>
    <w:rsid w:val="00A2761B"/>
    <w:rsid w:val="00A2775D"/>
    <w:rsid w:val="00A27D26"/>
    <w:rsid w:val="00A30131"/>
    <w:rsid w:val="00A310E4"/>
    <w:rsid w:val="00A323E4"/>
    <w:rsid w:val="00A3251A"/>
    <w:rsid w:val="00A32921"/>
    <w:rsid w:val="00A329DC"/>
    <w:rsid w:val="00A32B95"/>
    <w:rsid w:val="00A33AB5"/>
    <w:rsid w:val="00A35681"/>
    <w:rsid w:val="00A359A9"/>
    <w:rsid w:val="00A36015"/>
    <w:rsid w:val="00A36232"/>
    <w:rsid w:val="00A36589"/>
    <w:rsid w:val="00A36912"/>
    <w:rsid w:val="00A36F3A"/>
    <w:rsid w:val="00A37BB6"/>
    <w:rsid w:val="00A37BF0"/>
    <w:rsid w:val="00A37D6F"/>
    <w:rsid w:val="00A40663"/>
    <w:rsid w:val="00A40880"/>
    <w:rsid w:val="00A40D69"/>
    <w:rsid w:val="00A4228D"/>
    <w:rsid w:val="00A42A98"/>
    <w:rsid w:val="00A42B81"/>
    <w:rsid w:val="00A43193"/>
    <w:rsid w:val="00A43895"/>
    <w:rsid w:val="00A43D69"/>
    <w:rsid w:val="00A43F3A"/>
    <w:rsid w:val="00A440A7"/>
    <w:rsid w:val="00A459B1"/>
    <w:rsid w:val="00A46057"/>
    <w:rsid w:val="00A507E5"/>
    <w:rsid w:val="00A50916"/>
    <w:rsid w:val="00A51203"/>
    <w:rsid w:val="00A516D7"/>
    <w:rsid w:val="00A520AB"/>
    <w:rsid w:val="00A5233A"/>
    <w:rsid w:val="00A526FA"/>
    <w:rsid w:val="00A52E3B"/>
    <w:rsid w:val="00A53835"/>
    <w:rsid w:val="00A53A49"/>
    <w:rsid w:val="00A54D16"/>
    <w:rsid w:val="00A557CC"/>
    <w:rsid w:val="00A55884"/>
    <w:rsid w:val="00A55E6A"/>
    <w:rsid w:val="00A568B2"/>
    <w:rsid w:val="00A56B32"/>
    <w:rsid w:val="00A56D15"/>
    <w:rsid w:val="00A57177"/>
    <w:rsid w:val="00A57B39"/>
    <w:rsid w:val="00A57DCC"/>
    <w:rsid w:val="00A57E43"/>
    <w:rsid w:val="00A600C1"/>
    <w:rsid w:val="00A616BE"/>
    <w:rsid w:val="00A618F0"/>
    <w:rsid w:val="00A61F1A"/>
    <w:rsid w:val="00A61F95"/>
    <w:rsid w:val="00A623BB"/>
    <w:rsid w:val="00A62660"/>
    <w:rsid w:val="00A62ADC"/>
    <w:rsid w:val="00A63BB3"/>
    <w:rsid w:val="00A643FD"/>
    <w:rsid w:val="00A6531F"/>
    <w:rsid w:val="00A65494"/>
    <w:rsid w:val="00A65501"/>
    <w:rsid w:val="00A67B6C"/>
    <w:rsid w:val="00A67F27"/>
    <w:rsid w:val="00A70068"/>
    <w:rsid w:val="00A705DA"/>
    <w:rsid w:val="00A7071A"/>
    <w:rsid w:val="00A716B4"/>
    <w:rsid w:val="00A71CD7"/>
    <w:rsid w:val="00A72001"/>
    <w:rsid w:val="00A72C63"/>
    <w:rsid w:val="00A7320B"/>
    <w:rsid w:val="00A733CC"/>
    <w:rsid w:val="00A73407"/>
    <w:rsid w:val="00A73482"/>
    <w:rsid w:val="00A736A8"/>
    <w:rsid w:val="00A745B5"/>
    <w:rsid w:val="00A75FB3"/>
    <w:rsid w:val="00A77936"/>
    <w:rsid w:val="00A8074C"/>
    <w:rsid w:val="00A8090D"/>
    <w:rsid w:val="00A8114B"/>
    <w:rsid w:val="00A81956"/>
    <w:rsid w:val="00A819B2"/>
    <w:rsid w:val="00A81DD4"/>
    <w:rsid w:val="00A81F28"/>
    <w:rsid w:val="00A822A0"/>
    <w:rsid w:val="00A825B0"/>
    <w:rsid w:val="00A82BF8"/>
    <w:rsid w:val="00A83A47"/>
    <w:rsid w:val="00A842DD"/>
    <w:rsid w:val="00A85064"/>
    <w:rsid w:val="00A852E6"/>
    <w:rsid w:val="00A857BA"/>
    <w:rsid w:val="00A85B96"/>
    <w:rsid w:val="00A85F31"/>
    <w:rsid w:val="00A86F2B"/>
    <w:rsid w:val="00A874BA"/>
    <w:rsid w:val="00A90190"/>
    <w:rsid w:val="00A905C6"/>
    <w:rsid w:val="00A90C46"/>
    <w:rsid w:val="00A9103D"/>
    <w:rsid w:val="00A912A4"/>
    <w:rsid w:val="00A913D4"/>
    <w:rsid w:val="00A91694"/>
    <w:rsid w:val="00A91C84"/>
    <w:rsid w:val="00A92297"/>
    <w:rsid w:val="00A9290A"/>
    <w:rsid w:val="00A93699"/>
    <w:rsid w:val="00A94374"/>
    <w:rsid w:val="00A94552"/>
    <w:rsid w:val="00A94889"/>
    <w:rsid w:val="00A948CC"/>
    <w:rsid w:val="00A954A1"/>
    <w:rsid w:val="00A95B1B"/>
    <w:rsid w:val="00A95B73"/>
    <w:rsid w:val="00A962FD"/>
    <w:rsid w:val="00A96E27"/>
    <w:rsid w:val="00A96FEB"/>
    <w:rsid w:val="00A97356"/>
    <w:rsid w:val="00A97C1C"/>
    <w:rsid w:val="00AA00AE"/>
    <w:rsid w:val="00AA0274"/>
    <w:rsid w:val="00AA0570"/>
    <w:rsid w:val="00AA11C2"/>
    <w:rsid w:val="00AA1390"/>
    <w:rsid w:val="00AA1394"/>
    <w:rsid w:val="00AA1790"/>
    <w:rsid w:val="00AA18B1"/>
    <w:rsid w:val="00AA1D6F"/>
    <w:rsid w:val="00AA2455"/>
    <w:rsid w:val="00AA254A"/>
    <w:rsid w:val="00AA293F"/>
    <w:rsid w:val="00AA2ECD"/>
    <w:rsid w:val="00AA5553"/>
    <w:rsid w:val="00AA7290"/>
    <w:rsid w:val="00AA729C"/>
    <w:rsid w:val="00AB19E6"/>
    <w:rsid w:val="00AB1A40"/>
    <w:rsid w:val="00AB290F"/>
    <w:rsid w:val="00AB33C3"/>
    <w:rsid w:val="00AB36B5"/>
    <w:rsid w:val="00AB4349"/>
    <w:rsid w:val="00AB550E"/>
    <w:rsid w:val="00AB5776"/>
    <w:rsid w:val="00AB58F8"/>
    <w:rsid w:val="00AB609D"/>
    <w:rsid w:val="00AB60A2"/>
    <w:rsid w:val="00AB61F2"/>
    <w:rsid w:val="00AB62E7"/>
    <w:rsid w:val="00AB6AEF"/>
    <w:rsid w:val="00AB72E2"/>
    <w:rsid w:val="00AB7314"/>
    <w:rsid w:val="00AB735F"/>
    <w:rsid w:val="00AB75D3"/>
    <w:rsid w:val="00AC0945"/>
    <w:rsid w:val="00AC0DF5"/>
    <w:rsid w:val="00AC1428"/>
    <w:rsid w:val="00AC1576"/>
    <w:rsid w:val="00AC33ED"/>
    <w:rsid w:val="00AC3566"/>
    <w:rsid w:val="00AC5F05"/>
    <w:rsid w:val="00AC67AE"/>
    <w:rsid w:val="00AC6ADF"/>
    <w:rsid w:val="00AC7043"/>
    <w:rsid w:val="00AD0F2F"/>
    <w:rsid w:val="00AD134E"/>
    <w:rsid w:val="00AD1B8B"/>
    <w:rsid w:val="00AD1D5C"/>
    <w:rsid w:val="00AD2A90"/>
    <w:rsid w:val="00AD2E00"/>
    <w:rsid w:val="00AD2F51"/>
    <w:rsid w:val="00AD33F4"/>
    <w:rsid w:val="00AD34A3"/>
    <w:rsid w:val="00AD3EBB"/>
    <w:rsid w:val="00AD3F5D"/>
    <w:rsid w:val="00AD41E9"/>
    <w:rsid w:val="00AD4E5F"/>
    <w:rsid w:val="00AD5186"/>
    <w:rsid w:val="00AD6291"/>
    <w:rsid w:val="00AD73FD"/>
    <w:rsid w:val="00AE07CA"/>
    <w:rsid w:val="00AE15EC"/>
    <w:rsid w:val="00AE17C0"/>
    <w:rsid w:val="00AE1923"/>
    <w:rsid w:val="00AE1D46"/>
    <w:rsid w:val="00AE22CB"/>
    <w:rsid w:val="00AE2659"/>
    <w:rsid w:val="00AE2E35"/>
    <w:rsid w:val="00AE3131"/>
    <w:rsid w:val="00AE327B"/>
    <w:rsid w:val="00AE407D"/>
    <w:rsid w:val="00AE44BE"/>
    <w:rsid w:val="00AE4EED"/>
    <w:rsid w:val="00AE5101"/>
    <w:rsid w:val="00AE51C9"/>
    <w:rsid w:val="00AE534B"/>
    <w:rsid w:val="00AE591A"/>
    <w:rsid w:val="00AE6ADC"/>
    <w:rsid w:val="00AE790C"/>
    <w:rsid w:val="00AF020B"/>
    <w:rsid w:val="00AF04A6"/>
    <w:rsid w:val="00AF0A14"/>
    <w:rsid w:val="00AF0BBC"/>
    <w:rsid w:val="00AF12F7"/>
    <w:rsid w:val="00AF1983"/>
    <w:rsid w:val="00AF2175"/>
    <w:rsid w:val="00AF43D6"/>
    <w:rsid w:val="00AF4797"/>
    <w:rsid w:val="00AF60E9"/>
    <w:rsid w:val="00AF636F"/>
    <w:rsid w:val="00AF74F7"/>
    <w:rsid w:val="00B002FF"/>
    <w:rsid w:val="00B011F0"/>
    <w:rsid w:val="00B01648"/>
    <w:rsid w:val="00B01CE4"/>
    <w:rsid w:val="00B01D34"/>
    <w:rsid w:val="00B01DA0"/>
    <w:rsid w:val="00B0222D"/>
    <w:rsid w:val="00B025CC"/>
    <w:rsid w:val="00B025DB"/>
    <w:rsid w:val="00B02F05"/>
    <w:rsid w:val="00B0351C"/>
    <w:rsid w:val="00B03C6C"/>
    <w:rsid w:val="00B042BA"/>
    <w:rsid w:val="00B05580"/>
    <w:rsid w:val="00B059F4"/>
    <w:rsid w:val="00B0601F"/>
    <w:rsid w:val="00B06B6E"/>
    <w:rsid w:val="00B07019"/>
    <w:rsid w:val="00B07FE5"/>
    <w:rsid w:val="00B1001C"/>
    <w:rsid w:val="00B100DF"/>
    <w:rsid w:val="00B10378"/>
    <w:rsid w:val="00B10B8C"/>
    <w:rsid w:val="00B10DFF"/>
    <w:rsid w:val="00B1149F"/>
    <w:rsid w:val="00B114B4"/>
    <w:rsid w:val="00B1235A"/>
    <w:rsid w:val="00B125FF"/>
    <w:rsid w:val="00B134C1"/>
    <w:rsid w:val="00B13641"/>
    <w:rsid w:val="00B1444F"/>
    <w:rsid w:val="00B14E19"/>
    <w:rsid w:val="00B14F81"/>
    <w:rsid w:val="00B14FAD"/>
    <w:rsid w:val="00B151F1"/>
    <w:rsid w:val="00B1568B"/>
    <w:rsid w:val="00B15D95"/>
    <w:rsid w:val="00B15EF8"/>
    <w:rsid w:val="00B167B3"/>
    <w:rsid w:val="00B1681C"/>
    <w:rsid w:val="00B178E0"/>
    <w:rsid w:val="00B2076E"/>
    <w:rsid w:val="00B2089E"/>
    <w:rsid w:val="00B20958"/>
    <w:rsid w:val="00B209B6"/>
    <w:rsid w:val="00B209CC"/>
    <w:rsid w:val="00B20B99"/>
    <w:rsid w:val="00B21718"/>
    <w:rsid w:val="00B22D0B"/>
    <w:rsid w:val="00B22E74"/>
    <w:rsid w:val="00B22F16"/>
    <w:rsid w:val="00B2470B"/>
    <w:rsid w:val="00B24750"/>
    <w:rsid w:val="00B24B83"/>
    <w:rsid w:val="00B26B6C"/>
    <w:rsid w:val="00B26E4A"/>
    <w:rsid w:val="00B27412"/>
    <w:rsid w:val="00B27555"/>
    <w:rsid w:val="00B27D9C"/>
    <w:rsid w:val="00B27ED1"/>
    <w:rsid w:val="00B303FD"/>
    <w:rsid w:val="00B30975"/>
    <w:rsid w:val="00B310E4"/>
    <w:rsid w:val="00B31353"/>
    <w:rsid w:val="00B331FF"/>
    <w:rsid w:val="00B3397D"/>
    <w:rsid w:val="00B339D0"/>
    <w:rsid w:val="00B3424A"/>
    <w:rsid w:val="00B34A6B"/>
    <w:rsid w:val="00B34DC7"/>
    <w:rsid w:val="00B35101"/>
    <w:rsid w:val="00B35A7D"/>
    <w:rsid w:val="00B35BEC"/>
    <w:rsid w:val="00B36508"/>
    <w:rsid w:val="00B36535"/>
    <w:rsid w:val="00B36AC7"/>
    <w:rsid w:val="00B36CDE"/>
    <w:rsid w:val="00B37541"/>
    <w:rsid w:val="00B37629"/>
    <w:rsid w:val="00B40B2A"/>
    <w:rsid w:val="00B40CBA"/>
    <w:rsid w:val="00B413C8"/>
    <w:rsid w:val="00B42BD7"/>
    <w:rsid w:val="00B4319E"/>
    <w:rsid w:val="00B43779"/>
    <w:rsid w:val="00B44825"/>
    <w:rsid w:val="00B44897"/>
    <w:rsid w:val="00B45B24"/>
    <w:rsid w:val="00B46A03"/>
    <w:rsid w:val="00B46F9B"/>
    <w:rsid w:val="00B478F5"/>
    <w:rsid w:val="00B51308"/>
    <w:rsid w:val="00B5258E"/>
    <w:rsid w:val="00B527D8"/>
    <w:rsid w:val="00B52A75"/>
    <w:rsid w:val="00B53CEF"/>
    <w:rsid w:val="00B5416C"/>
    <w:rsid w:val="00B549C6"/>
    <w:rsid w:val="00B5523D"/>
    <w:rsid w:val="00B5575C"/>
    <w:rsid w:val="00B56A40"/>
    <w:rsid w:val="00B5723D"/>
    <w:rsid w:val="00B57420"/>
    <w:rsid w:val="00B57C79"/>
    <w:rsid w:val="00B57C97"/>
    <w:rsid w:val="00B60247"/>
    <w:rsid w:val="00B6074F"/>
    <w:rsid w:val="00B60804"/>
    <w:rsid w:val="00B60B01"/>
    <w:rsid w:val="00B60DD9"/>
    <w:rsid w:val="00B61F81"/>
    <w:rsid w:val="00B6272D"/>
    <w:rsid w:val="00B62D96"/>
    <w:rsid w:val="00B63E74"/>
    <w:rsid w:val="00B6444A"/>
    <w:rsid w:val="00B6629A"/>
    <w:rsid w:val="00B66E58"/>
    <w:rsid w:val="00B678C6"/>
    <w:rsid w:val="00B67C1A"/>
    <w:rsid w:val="00B67F80"/>
    <w:rsid w:val="00B70120"/>
    <w:rsid w:val="00B7012A"/>
    <w:rsid w:val="00B70596"/>
    <w:rsid w:val="00B70C49"/>
    <w:rsid w:val="00B71450"/>
    <w:rsid w:val="00B71550"/>
    <w:rsid w:val="00B71BFB"/>
    <w:rsid w:val="00B724A6"/>
    <w:rsid w:val="00B72915"/>
    <w:rsid w:val="00B73EB4"/>
    <w:rsid w:val="00B73F29"/>
    <w:rsid w:val="00B74310"/>
    <w:rsid w:val="00B75AEC"/>
    <w:rsid w:val="00B75CA9"/>
    <w:rsid w:val="00B7660A"/>
    <w:rsid w:val="00B76DF1"/>
    <w:rsid w:val="00B7725C"/>
    <w:rsid w:val="00B77B61"/>
    <w:rsid w:val="00B80485"/>
    <w:rsid w:val="00B81B9C"/>
    <w:rsid w:val="00B81FC7"/>
    <w:rsid w:val="00B82F6D"/>
    <w:rsid w:val="00B83BA8"/>
    <w:rsid w:val="00B84387"/>
    <w:rsid w:val="00B85146"/>
    <w:rsid w:val="00B85305"/>
    <w:rsid w:val="00B85909"/>
    <w:rsid w:val="00B85C2B"/>
    <w:rsid w:val="00B86235"/>
    <w:rsid w:val="00B875D1"/>
    <w:rsid w:val="00B87791"/>
    <w:rsid w:val="00B90445"/>
    <w:rsid w:val="00B90676"/>
    <w:rsid w:val="00B90C41"/>
    <w:rsid w:val="00B91342"/>
    <w:rsid w:val="00B9179C"/>
    <w:rsid w:val="00B923FF"/>
    <w:rsid w:val="00B925BF"/>
    <w:rsid w:val="00B9363F"/>
    <w:rsid w:val="00B93703"/>
    <w:rsid w:val="00B93A54"/>
    <w:rsid w:val="00B93A98"/>
    <w:rsid w:val="00B941D1"/>
    <w:rsid w:val="00B94775"/>
    <w:rsid w:val="00B95FB8"/>
    <w:rsid w:val="00B96501"/>
    <w:rsid w:val="00B9743A"/>
    <w:rsid w:val="00B975CB"/>
    <w:rsid w:val="00BA01B9"/>
    <w:rsid w:val="00BA09C8"/>
    <w:rsid w:val="00BA107A"/>
    <w:rsid w:val="00BA25EF"/>
    <w:rsid w:val="00BA2935"/>
    <w:rsid w:val="00BA2B08"/>
    <w:rsid w:val="00BA43AD"/>
    <w:rsid w:val="00BA452B"/>
    <w:rsid w:val="00BA4883"/>
    <w:rsid w:val="00BA4EDC"/>
    <w:rsid w:val="00BA5775"/>
    <w:rsid w:val="00BA6BDE"/>
    <w:rsid w:val="00BA6C41"/>
    <w:rsid w:val="00BA6D4C"/>
    <w:rsid w:val="00BA75DF"/>
    <w:rsid w:val="00BA7745"/>
    <w:rsid w:val="00BA7A53"/>
    <w:rsid w:val="00BB081B"/>
    <w:rsid w:val="00BB139C"/>
    <w:rsid w:val="00BB1ECB"/>
    <w:rsid w:val="00BB2C09"/>
    <w:rsid w:val="00BB2D12"/>
    <w:rsid w:val="00BB4084"/>
    <w:rsid w:val="00BB4F08"/>
    <w:rsid w:val="00BB5222"/>
    <w:rsid w:val="00BB5B65"/>
    <w:rsid w:val="00BB5F04"/>
    <w:rsid w:val="00BB6969"/>
    <w:rsid w:val="00BB6BA7"/>
    <w:rsid w:val="00BB6CCD"/>
    <w:rsid w:val="00BB6DDB"/>
    <w:rsid w:val="00BB767B"/>
    <w:rsid w:val="00BB7B3B"/>
    <w:rsid w:val="00BC0190"/>
    <w:rsid w:val="00BC12B8"/>
    <w:rsid w:val="00BC181E"/>
    <w:rsid w:val="00BC1B40"/>
    <w:rsid w:val="00BC1BA1"/>
    <w:rsid w:val="00BC280A"/>
    <w:rsid w:val="00BC2F05"/>
    <w:rsid w:val="00BC3144"/>
    <w:rsid w:val="00BC3208"/>
    <w:rsid w:val="00BC3C8C"/>
    <w:rsid w:val="00BC3F09"/>
    <w:rsid w:val="00BC461D"/>
    <w:rsid w:val="00BC4B15"/>
    <w:rsid w:val="00BC5D5C"/>
    <w:rsid w:val="00BC5EDC"/>
    <w:rsid w:val="00BC6174"/>
    <w:rsid w:val="00BC6792"/>
    <w:rsid w:val="00BC68F0"/>
    <w:rsid w:val="00BC693B"/>
    <w:rsid w:val="00BC6FEE"/>
    <w:rsid w:val="00BC740A"/>
    <w:rsid w:val="00BC7757"/>
    <w:rsid w:val="00BC7885"/>
    <w:rsid w:val="00BC7BC9"/>
    <w:rsid w:val="00BD07C2"/>
    <w:rsid w:val="00BD1650"/>
    <w:rsid w:val="00BD174B"/>
    <w:rsid w:val="00BD2486"/>
    <w:rsid w:val="00BD2BAC"/>
    <w:rsid w:val="00BD2E35"/>
    <w:rsid w:val="00BD306B"/>
    <w:rsid w:val="00BD3777"/>
    <w:rsid w:val="00BD3E04"/>
    <w:rsid w:val="00BD3FEC"/>
    <w:rsid w:val="00BD4587"/>
    <w:rsid w:val="00BD46CB"/>
    <w:rsid w:val="00BD47B1"/>
    <w:rsid w:val="00BD4C22"/>
    <w:rsid w:val="00BD54DC"/>
    <w:rsid w:val="00BD5927"/>
    <w:rsid w:val="00BD60C3"/>
    <w:rsid w:val="00BD6D38"/>
    <w:rsid w:val="00BD6E21"/>
    <w:rsid w:val="00BD729D"/>
    <w:rsid w:val="00BD7EA0"/>
    <w:rsid w:val="00BE04A2"/>
    <w:rsid w:val="00BE0E78"/>
    <w:rsid w:val="00BE1746"/>
    <w:rsid w:val="00BE191E"/>
    <w:rsid w:val="00BE3042"/>
    <w:rsid w:val="00BE3924"/>
    <w:rsid w:val="00BE40AD"/>
    <w:rsid w:val="00BE44D0"/>
    <w:rsid w:val="00BE476D"/>
    <w:rsid w:val="00BE497B"/>
    <w:rsid w:val="00BE4B6F"/>
    <w:rsid w:val="00BE5856"/>
    <w:rsid w:val="00BE6104"/>
    <w:rsid w:val="00BE655C"/>
    <w:rsid w:val="00BE6728"/>
    <w:rsid w:val="00BE6D61"/>
    <w:rsid w:val="00BE7649"/>
    <w:rsid w:val="00BE76AC"/>
    <w:rsid w:val="00BE777F"/>
    <w:rsid w:val="00BE7A35"/>
    <w:rsid w:val="00BE7BAE"/>
    <w:rsid w:val="00BE7D2A"/>
    <w:rsid w:val="00BF133C"/>
    <w:rsid w:val="00BF19CF"/>
    <w:rsid w:val="00BF1F8F"/>
    <w:rsid w:val="00BF21E6"/>
    <w:rsid w:val="00BF2F64"/>
    <w:rsid w:val="00BF3450"/>
    <w:rsid w:val="00BF37A4"/>
    <w:rsid w:val="00BF3804"/>
    <w:rsid w:val="00BF4219"/>
    <w:rsid w:val="00BF4782"/>
    <w:rsid w:val="00BF4AFC"/>
    <w:rsid w:val="00BF4E88"/>
    <w:rsid w:val="00BF5816"/>
    <w:rsid w:val="00BF59B9"/>
    <w:rsid w:val="00BF617C"/>
    <w:rsid w:val="00BF6DAA"/>
    <w:rsid w:val="00BF6F93"/>
    <w:rsid w:val="00BF7082"/>
    <w:rsid w:val="00BF7A56"/>
    <w:rsid w:val="00BF7FE1"/>
    <w:rsid w:val="00C0005D"/>
    <w:rsid w:val="00C00D69"/>
    <w:rsid w:val="00C00EBD"/>
    <w:rsid w:val="00C01398"/>
    <w:rsid w:val="00C0179E"/>
    <w:rsid w:val="00C02331"/>
    <w:rsid w:val="00C024BD"/>
    <w:rsid w:val="00C024EB"/>
    <w:rsid w:val="00C03B1C"/>
    <w:rsid w:val="00C03E1C"/>
    <w:rsid w:val="00C043B6"/>
    <w:rsid w:val="00C046D4"/>
    <w:rsid w:val="00C054A8"/>
    <w:rsid w:val="00C05821"/>
    <w:rsid w:val="00C05849"/>
    <w:rsid w:val="00C062F6"/>
    <w:rsid w:val="00C067E3"/>
    <w:rsid w:val="00C07023"/>
    <w:rsid w:val="00C0734F"/>
    <w:rsid w:val="00C07783"/>
    <w:rsid w:val="00C078DD"/>
    <w:rsid w:val="00C07F03"/>
    <w:rsid w:val="00C1054E"/>
    <w:rsid w:val="00C10C50"/>
    <w:rsid w:val="00C11174"/>
    <w:rsid w:val="00C116C2"/>
    <w:rsid w:val="00C11974"/>
    <w:rsid w:val="00C119A5"/>
    <w:rsid w:val="00C11F01"/>
    <w:rsid w:val="00C12A6B"/>
    <w:rsid w:val="00C12C97"/>
    <w:rsid w:val="00C13237"/>
    <w:rsid w:val="00C14798"/>
    <w:rsid w:val="00C147BA"/>
    <w:rsid w:val="00C15AC0"/>
    <w:rsid w:val="00C16B8A"/>
    <w:rsid w:val="00C16E2E"/>
    <w:rsid w:val="00C17084"/>
    <w:rsid w:val="00C171A1"/>
    <w:rsid w:val="00C17AA0"/>
    <w:rsid w:val="00C2136D"/>
    <w:rsid w:val="00C217F7"/>
    <w:rsid w:val="00C21A5C"/>
    <w:rsid w:val="00C21AD7"/>
    <w:rsid w:val="00C21E25"/>
    <w:rsid w:val="00C2287E"/>
    <w:rsid w:val="00C22B1C"/>
    <w:rsid w:val="00C231B6"/>
    <w:rsid w:val="00C23D98"/>
    <w:rsid w:val="00C240AC"/>
    <w:rsid w:val="00C242BB"/>
    <w:rsid w:val="00C25A5B"/>
    <w:rsid w:val="00C25D1C"/>
    <w:rsid w:val="00C25DA4"/>
    <w:rsid w:val="00C267B9"/>
    <w:rsid w:val="00C278BD"/>
    <w:rsid w:val="00C30133"/>
    <w:rsid w:val="00C30551"/>
    <w:rsid w:val="00C30877"/>
    <w:rsid w:val="00C308A1"/>
    <w:rsid w:val="00C309D2"/>
    <w:rsid w:val="00C31078"/>
    <w:rsid w:val="00C312CF"/>
    <w:rsid w:val="00C312F3"/>
    <w:rsid w:val="00C317CD"/>
    <w:rsid w:val="00C32015"/>
    <w:rsid w:val="00C330F4"/>
    <w:rsid w:val="00C339DB"/>
    <w:rsid w:val="00C34247"/>
    <w:rsid w:val="00C344BC"/>
    <w:rsid w:val="00C3533D"/>
    <w:rsid w:val="00C3597B"/>
    <w:rsid w:val="00C35A05"/>
    <w:rsid w:val="00C35DE7"/>
    <w:rsid w:val="00C367E2"/>
    <w:rsid w:val="00C36822"/>
    <w:rsid w:val="00C36848"/>
    <w:rsid w:val="00C37A1D"/>
    <w:rsid w:val="00C40508"/>
    <w:rsid w:val="00C40CA6"/>
    <w:rsid w:val="00C42452"/>
    <w:rsid w:val="00C42763"/>
    <w:rsid w:val="00C44561"/>
    <w:rsid w:val="00C44B62"/>
    <w:rsid w:val="00C45B5C"/>
    <w:rsid w:val="00C46B80"/>
    <w:rsid w:val="00C46CC6"/>
    <w:rsid w:val="00C46F34"/>
    <w:rsid w:val="00C47001"/>
    <w:rsid w:val="00C470AB"/>
    <w:rsid w:val="00C47131"/>
    <w:rsid w:val="00C50CB5"/>
    <w:rsid w:val="00C50D3A"/>
    <w:rsid w:val="00C51873"/>
    <w:rsid w:val="00C51AC8"/>
    <w:rsid w:val="00C52297"/>
    <w:rsid w:val="00C5489D"/>
    <w:rsid w:val="00C54A94"/>
    <w:rsid w:val="00C54E46"/>
    <w:rsid w:val="00C558BB"/>
    <w:rsid w:val="00C558EB"/>
    <w:rsid w:val="00C559A3"/>
    <w:rsid w:val="00C55C64"/>
    <w:rsid w:val="00C55F8D"/>
    <w:rsid w:val="00C561B9"/>
    <w:rsid w:val="00C562AE"/>
    <w:rsid w:val="00C563B1"/>
    <w:rsid w:val="00C5762B"/>
    <w:rsid w:val="00C57712"/>
    <w:rsid w:val="00C600A5"/>
    <w:rsid w:val="00C60558"/>
    <w:rsid w:val="00C60E5F"/>
    <w:rsid w:val="00C60F8D"/>
    <w:rsid w:val="00C62080"/>
    <w:rsid w:val="00C6276D"/>
    <w:rsid w:val="00C63181"/>
    <w:rsid w:val="00C6366F"/>
    <w:rsid w:val="00C63A63"/>
    <w:rsid w:val="00C640D0"/>
    <w:rsid w:val="00C64B04"/>
    <w:rsid w:val="00C64CFF"/>
    <w:rsid w:val="00C6500F"/>
    <w:rsid w:val="00C664A7"/>
    <w:rsid w:val="00C66510"/>
    <w:rsid w:val="00C66A03"/>
    <w:rsid w:val="00C66B44"/>
    <w:rsid w:val="00C6729A"/>
    <w:rsid w:val="00C674A0"/>
    <w:rsid w:val="00C678F3"/>
    <w:rsid w:val="00C67987"/>
    <w:rsid w:val="00C70F4B"/>
    <w:rsid w:val="00C71374"/>
    <w:rsid w:val="00C717BB"/>
    <w:rsid w:val="00C71A25"/>
    <w:rsid w:val="00C71AFF"/>
    <w:rsid w:val="00C72E05"/>
    <w:rsid w:val="00C72F23"/>
    <w:rsid w:val="00C73044"/>
    <w:rsid w:val="00C7317D"/>
    <w:rsid w:val="00C73E31"/>
    <w:rsid w:val="00C742FC"/>
    <w:rsid w:val="00C7522E"/>
    <w:rsid w:val="00C753BD"/>
    <w:rsid w:val="00C7544F"/>
    <w:rsid w:val="00C760AF"/>
    <w:rsid w:val="00C763DE"/>
    <w:rsid w:val="00C76804"/>
    <w:rsid w:val="00C7774C"/>
    <w:rsid w:val="00C777C0"/>
    <w:rsid w:val="00C77D4A"/>
    <w:rsid w:val="00C80AEE"/>
    <w:rsid w:val="00C80DA7"/>
    <w:rsid w:val="00C80ED9"/>
    <w:rsid w:val="00C81BC1"/>
    <w:rsid w:val="00C81C9C"/>
    <w:rsid w:val="00C822F3"/>
    <w:rsid w:val="00C828C5"/>
    <w:rsid w:val="00C82EAE"/>
    <w:rsid w:val="00C83285"/>
    <w:rsid w:val="00C83A15"/>
    <w:rsid w:val="00C83D57"/>
    <w:rsid w:val="00C8482C"/>
    <w:rsid w:val="00C84A3E"/>
    <w:rsid w:val="00C84B74"/>
    <w:rsid w:val="00C84ED9"/>
    <w:rsid w:val="00C86179"/>
    <w:rsid w:val="00C866F3"/>
    <w:rsid w:val="00C86E74"/>
    <w:rsid w:val="00C878B1"/>
    <w:rsid w:val="00C878EC"/>
    <w:rsid w:val="00C9024B"/>
    <w:rsid w:val="00C9098F"/>
    <w:rsid w:val="00C90B1E"/>
    <w:rsid w:val="00C915D9"/>
    <w:rsid w:val="00C919F7"/>
    <w:rsid w:val="00C91AFF"/>
    <w:rsid w:val="00C92946"/>
    <w:rsid w:val="00C932FA"/>
    <w:rsid w:val="00C93A1E"/>
    <w:rsid w:val="00C94873"/>
    <w:rsid w:val="00C94F98"/>
    <w:rsid w:val="00C95529"/>
    <w:rsid w:val="00C959A3"/>
    <w:rsid w:val="00C96D62"/>
    <w:rsid w:val="00C97021"/>
    <w:rsid w:val="00C97102"/>
    <w:rsid w:val="00C973AB"/>
    <w:rsid w:val="00C97825"/>
    <w:rsid w:val="00C97B35"/>
    <w:rsid w:val="00C97EB4"/>
    <w:rsid w:val="00CA13E2"/>
    <w:rsid w:val="00CA1D30"/>
    <w:rsid w:val="00CA1DCA"/>
    <w:rsid w:val="00CA2FAE"/>
    <w:rsid w:val="00CA3635"/>
    <w:rsid w:val="00CA3688"/>
    <w:rsid w:val="00CA4214"/>
    <w:rsid w:val="00CA4CED"/>
    <w:rsid w:val="00CA54FF"/>
    <w:rsid w:val="00CA551F"/>
    <w:rsid w:val="00CA5623"/>
    <w:rsid w:val="00CA5713"/>
    <w:rsid w:val="00CA5DE6"/>
    <w:rsid w:val="00CA629E"/>
    <w:rsid w:val="00CA7312"/>
    <w:rsid w:val="00CA7963"/>
    <w:rsid w:val="00CA7D70"/>
    <w:rsid w:val="00CA7D8B"/>
    <w:rsid w:val="00CB0E8E"/>
    <w:rsid w:val="00CB1E73"/>
    <w:rsid w:val="00CB1E81"/>
    <w:rsid w:val="00CB267B"/>
    <w:rsid w:val="00CB2D66"/>
    <w:rsid w:val="00CB3BF9"/>
    <w:rsid w:val="00CB3DF1"/>
    <w:rsid w:val="00CB4931"/>
    <w:rsid w:val="00CB4A7B"/>
    <w:rsid w:val="00CB4DC2"/>
    <w:rsid w:val="00CB50D1"/>
    <w:rsid w:val="00CB5EA7"/>
    <w:rsid w:val="00CB5F85"/>
    <w:rsid w:val="00CB65BC"/>
    <w:rsid w:val="00CB6B02"/>
    <w:rsid w:val="00CB6D58"/>
    <w:rsid w:val="00CB6EB6"/>
    <w:rsid w:val="00CB738D"/>
    <w:rsid w:val="00CB773E"/>
    <w:rsid w:val="00CB7E40"/>
    <w:rsid w:val="00CB7ECB"/>
    <w:rsid w:val="00CC058B"/>
    <w:rsid w:val="00CC1612"/>
    <w:rsid w:val="00CC1A34"/>
    <w:rsid w:val="00CC221B"/>
    <w:rsid w:val="00CC27F8"/>
    <w:rsid w:val="00CC3FA7"/>
    <w:rsid w:val="00CC40EA"/>
    <w:rsid w:val="00CC4210"/>
    <w:rsid w:val="00CC459A"/>
    <w:rsid w:val="00CC45AE"/>
    <w:rsid w:val="00CC4B14"/>
    <w:rsid w:val="00CC502B"/>
    <w:rsid w:val="00CC5167"/>
    <w:rsid w:val="00CC58C4"/>
    <w:rsid w:val="00CC6244"/>
    <w:rsid w:val="00CC6CDC"/>
    <w:rsid w:val="00CC73F1"/>
    <w:rsid w:val="00CC7524"/>
    <w:rsid w:val="00CD178C"/>
    <w:rsid w:val="00CD207E"/>
    <w:rsid w:val="00CD2677"/>
    <w:rsid w:val="00CD26C7"/>
    <w:rsid w:val="00CD29C4"/>
    <w:rsid w:val="00CD2B82"/>
    <w:rsid w:val="00CD2FD0"/>
    <w:rsid w:val="00CD354D"/>
    <w:rsid w:val="00CD357B"/>
    <w:rsid w:val="00CD40CC"/>
    <w:rsid w:val="00CD5AB8"/>
    <w:rsid w:val="00CD5BA1"/>
    <w:rsid w:val="00CD5F77"/>
    <w:rsid w:val="00CD67BE"/>
    <w:rsid w:val="00CD6FB4"/>
    <w:rsid w:val="00CD7455"/>
    <w:rsid w:val="00CE2307"/>
    <w:rsid w:val="00CE2E08"/>
    <w:rsid w:val="00CE2E15"/>
    <w:rsid w:val="00CE327B"/>
    <w:rsid w:val="00CE3425"/>
    <w:rsid w:val="00CE4302"/>
    <w:rsid w:val="00CE467C"/>
    <w:rsid w:val="00CE5CF9"/>
    <w:rsid w:val="00CE67F2"/>
    <w:rsid w:val="00CE6A7D"/>
    <w:rsid w:val="00CE7865"/>
    <w:rsid w:val="00CF026F"/>
    <w:rsid w:val="00CF0702"/>
    <w:rsid w:val="00CF0A09"/>
    <w:rsid w:val="00CF0B70"/>
    <w:rsid w:val="00CF1696"/>
    <w:rsid w:val="00CF1968"/>
    <w:rsid w:val="00CF1FB1"/>
    <w:rsid w:val="00CF2036"/>
    <w:rsid w:val="00CF279F"/>
    <w:rsid w:val="00CF2D03"/>
    <w:rsid w:val="00CF2ED3"/>
    <w:rsid w:val="00CF37B5"/>
    <w:rsid w:val="00CF3B26"/>
    <w:rsid w:val="00CF3C17"/>
    <w:rsid w:val="00CF3D2F"/>
    <w:rsid w:val="00CF45D1"/>
    <w:rsid w:val="00CF4E6E"/>
    <w:rsid w:val="00CF4FFA"/>
    <w:rsid w:val="00CF50DE"/>
    <w:rsid w:val="00CF5FCB"/>
    <w:rsid w:val="00CF663D"/>
    <w:rsid w:val="00CF6646"/>
    <w:rsid w:val="00CF68B6"/>
    <w:rsid w:val="00CF6BEB"/>
    <w:rsid w:val="00CF6F26"/>
    <w:rsid w:val="00CF7155"/>
    <w:rsid w:val="00CF7235"/>
    <w:rsid w:val="00CF77C2"/>
    <w:rsid w:val="00CF7934"/>
    <w:rsid w:val="00D00D04"/>
    <w:rsid w:val="00D01401"/>
    <w:rsid w:val="00D02222"/>
    <w:rsid w:val="00D02DF0"/>
    <w:rsid w:val="00D02E3B"/>
    <w:rsid w:val="00D0345B"/>
    <w:rsid w:val="00D037A7"/>
    <w:rsid w:val="00D03DB0"/>
    <w:rsid w:val="00D04578"/>
    <w:rsid w:val="00D04738"/>
    <w:rsid w:val="00D048AA"/>
    <w:rsid w:val="00D04A4F"/>
    <w:rsid w:val="00D04C0A"/>
    <w:rsid w:val="00D050B1"/>
    <w:rsid w:val="00D056F9"/>
    <w:rsid w:val="00D05939"/>
    <w:rsid w:val="00D059A3"/>
    <w:rsid w:val="00D067CD"/>
    <w:rsid w:val="00D06C3A"/>
    <w:rsid w:val="00D07548"/>
    <w:rsid w:val="00D1078A"/>
    <w:rsid w:val="00D11575"/>
    <w:rsid w:val="00D11767"/>
    <w:rsid w:val="00D11AC6"/>
    <w:rsid w:val="00D120A7"/>
    <w:rsid w:val="00D1210C"/>
    <w:rsid w:val="00D128E2"/>
    <w:rsid w:val="00D12E04"/>
    <w:rsid w:val="00D131C7"/>
    <w:rsid w:val="00D13A95"/>
    <w:rsid w:val="00D13B37"/>
    <w:rsid w:val="00D147E5"/>
    <w:rsid w:val="00D14D58"/>
    <w:rsid w:val="00D14E35"/>
    <w:rsid w:val="00D158AD"/>
    <w:rsid w:val="00D1636A"/>
    <w:rsid w:val="00D165DF"/>
    <w:rsid w:val="00D16E86"/>
    <w:rsid w:val="00D17F68"/>
    <w:rsid w:val="00D20305"/>
    <w:rsid w:val="00D2033B"/>
    <w:rsid w:val="00D2106E"/>
    <w:rsid w:val="00D2242C"/>
    <w:rsid w:val="00D2311F"/>
    <w:rsid w:val="00D23129"/>
    <w:rsid w:val="00D2349D"/>
    <w:rsid w:val="00D2425F"/>
    <w:rsid w:val="00D243D2"/>
    <w:rsid w:val="00D2471A"/>
    <w:rsid w:val="00D253F1"/>
    <w:rsid w:val="00D2587B"/>
    <w:rsid w:val="00D25A2F"/>
    <w:rsid w:val="00D25CE3"/>
    <w:rsid w:val="00D25E18"/>
    <w:rsid w:val="00D26562"/>
    <w:rsid w:val="00D26757"/>
    <w:rsid w:val="00D26D28"/>
    <w:rsid w:val="00D2756B"/>
    <w:rsid w:val="00D3014C"/>
    <w:rsid w:val="00D3198B"/>
    <w:rsid w:val="00D319DB"/>
    <w:rsid w:val="00D32348"/>
    <w:rsid w:val="00D327B3"/>
    <w:rsid w:val="00D345FB"/>
    <w:rsid w:val="00D3481D"/>
    <w:rsid w:val="00D35E75"/>
    <w:rsid w:val="00D36341"/>
    <w:rsid w:val="00D36493"/>
    <w:rsid w:val="00D369AE"/>
    <w:rsid w:val="00D37336"/>
    <w:rsid w:val="00D40381"/>
    <w:rsid w:val="00D40D53"/>
    <w:rsid w:val="00D41A66"/>
    <w:rsid w:val="00D41D68"/>
    <w:rsid w:val="00D42529"/>
    <w:rsid w:val="00D426B5"/>
    <w:rsid w:val="00D433A5"/>
    <w:rsid w:val="00D43E7C"/>
    <w:rsid w:val="00D441A5"/>
    <w:rsid w:val="00D453B5"/>
    <w:rsid w:val="00D45B48"/>
    <w:rsid w:val="00D45FC8"/>
    <w:rsid w:val="00D46856"/>
    <w:rsid w:val="00D46D27"/>
    <w:rsid w:val="00D476B5"/>
    <w:rsid w:val="00D508D7"/>
    <w:rsid w:val="00D50990"/>
    <w:rsid w:val="00D50FB2"/>
    <w:rsid w:val="00D510E8"/>
    <w:rsid w:val="00D51435"/>
    <w:rsid w:val="00D51CCD"/>
    <w:rsid w:val="00D51DDE"/>
    <w:rsid w:val="00D52800"/>
    <w:rsid w:val="00D52A4E"/>
    <w:rsid w:val="00D53866"/>
    <w:rsid w:val="00D53AAC"/>
    <w:rsid w:val="00D5412E"/>
    <w:rsid w:val="00D5429F"/>
    <w:rsid w:val="00D546A5"/>
    <w:rsid w:val="00D549F9"/>
    <w:rsid w:val="00D55904"/>
    <w:rsid w:val="00D5629B"/>
    <w:rsid w:val="00D57F04"/>
    <w:rsid w:val="00D57F50"/>
    <w:rsid w:val="00D60CA9"/>
    <w:rsid w:val="00D60E14"/>
    <w:rsid w:val="00D60F1D"/>
    <w:rsid w:val="00D6153A"/>
    <w:rsid w:val="00D61C4D"/>
    <w:rsid w:val="00D6273D"/>
    <w:rsid w:val="00D62C56"/>
    <w:rsid w:val="00D63441"/>
    <w:rsid w:val="00D63C81"/>
    <w:rsid w:val="00D64471"/>
    <w:rsid w:val="00D64AA1"/>
    <w:rsid w:val="00D64CCA"/>
    <w:rsid w:val="00D65CAD"/>
    <w:rsid w:val="00D66EF5"/>
    <w:rsid w:val="00D6752B"/>
    <w:rsid w:val="00D67D5C"/>
    <w:rsid w:val="00D70359"/>
    <w:rsid w:val="00D70817"/>
    <w:rsid w:val="00D7149F"/>
    <w:rsid w:val="00D714DA"/>
    <w:rsid w:val="00D71CE5"/>
    <w:rsid w:val="00D72218"/>
    <w:rsid w:val="00D72B06"/>
    <w:rsid w:val="00D73ACD"/>
    <w:rsid w:val="00D73B05"/>
    <w:rsid w:val="00D75174"/>
    <w:rsid w:val="00D752EB"/>
    <w:rsid w:val="00D7539E"/>
    <w:rsid w:val="00D75A7F"/>
    <w:rsid w:val="00D75EDD"/>
    <w:rsid w:val="00D76B04"/>
    <w:rsid w:val="00D7705E"/>
    <w:rsid w:val="00D772C8"/>
    <w:rsid w:val="00D779FE"/>
    <w:rsid w:val="00D77A0E"/>
    <w:rsid w:val="00D77BC6"/>
    <w:rsid w:val="00D77D64"/>
    <w:rsid w:val="00D802EC"/>
    <w:rsid w:val="00D808DD"/>
    <w:rsid w:val="00D80BCD"/>
    <w:rsid w:val="00D81F42"/>
    <w:rsid w:val="00D8235A"/>
    <w:rsid w:val="00D8450D"/>
    <w:rsid w:val="00D84685"/>
    <w:rsid w:val="00D849B4"/>
    <w:rsid w:val="00D84D3A"/>
    <w:rsid w:val="00D84E4D"/>
    <w:rsid w:val="00D85FEF"/>
    <w:rsid w:val="00D8684B"/>
    <w:rsid w:val="00D86EDA"/>
    <w:rsid w:val="00D86FD6"/>
    <w:rsid w:val="00D87D49"/>
    <w:rsid w:val="00D902A1"/>
    <w:rsid w:val="00D904ED"/>
    <w:rsid w:val="00D90CB4"/>
    <w:rsid w:val="00D9127A"/>
    <w:rsid w:val="00D91958"/>
    <w:rsid w:val="00D933DA"/>
    <w:rsid w:val="00D93B60"/>
    <w:rsid w:val="00D93E68"/>
    <w:rsid w:val="00D94010"/>
    <w:rsid w:val="00D94114"/>
    <w:rsid w:val="00D94195"/>
    <w:rsid w:val="00D9428E"/>
    <w:rsid w:val="00D9436F"/>
    <w:rsid w:val="00D944C0"/>
    <w:rsid w:val="00D94927"/>
    <w:rsid w:val="00D94CE7"/>
    <w:rsid w:val="00D95287"/>
    <w:rsid w:val="00D954E2"/>
    <w:rsid w:val="00D955F3"/>
    <w:rsid w:val="00D95654"/>
    <w:rsid w:val="00D95B8B"/>
    <w:rsid w:val="00D95D0B"/>
    <w:rsid w:val="00D96458"/>
    <w:rsid w:val="00D96891"/>
    <w:rsid w:val="00D96D1B"/>
    <w:rsid w:val="00D9767A"/>
    <w:rsid w:val="00D97936"/>
    <w:rsid w:val="00D97DD4"/>
    <w:rsid w:val="00DA010C"/>
    <w:rsid w:val="00DA0D9D"/>
    <w:rsid w:val="00DA0E5E"/>
    <w:rsid w:val="00DA134A"/>
    <w:rsid w:val="00DA141A"/>
    <w:rsid w:val="00DA1FA8"/>
    <w:rsid w:val="00DA27B5"/>
    <w:rsid w:val="00DA280D"/>
    <w:rsid w:val="00DA2E19"/>
    <w:rsid w:val="00DA344A"/>
    <w:rsid w:val="00DA3CEA"/>
    <w:rsid w:val="00DA3F1E"/>
    <w:rsid w:val="00DA4627"/>
    <w:rsid w:val="00DA4996"/>
    <w:rsid w:val="00DA4CE8"/>
    <w:rsid w:val="00DA514A"/>
    <w:rsid w:val="00DA57ED"/>
    <w:rsid w:val="00DA57F5"/>
    <w:rsid w:val="00DA5B0B"/>
    <w:rsid w:val="00DA5B7C"/>
    <w:rsid w:val="00DA6180"/>
    <w:rsid w:val="00DA6914"/>
    <w:rsid w:val="00DA790F"/>
    <w:rsid w:val="00DB0C27"/>
    <w:rsid w:val="00DB19E8"/>
    <w:rsid w:val="00DB22CD"/>
    <w:rsid w:val="00DB26D4"/>
    <w:rsid w:val="00DB2F4B"/>
    <w:rsid w:val="00DB3570"/>
    <w:rsid w:val="00DB44A9"/>
    <w:rsid w:val="00DB4911"/>
    <w:rsid w:val="00DB4BF0"/>
    <w:rsid w:val="00DB4BF5"/>
    <w:rsid w:val="00DB4EF5"/>
    <w:rsid w:val="00DB513A"/>
    <w:rsid w:val="00DB54EF"/>
    <w:rsid w:val="00DB5682"/>
    <w:rsid w:val="00DB6566"/>
    <w:rsid w:val="00DB67F5"/>
    <w:rsid w:val="00DB6F08"/>
    <w:rsid w:val="00DB7238"/>
    <w:rsid w:val="00DB7808"/>
    <w:rsid w:val="00DB7A3A"/>
    <w:rsid w:val="00DB7DEE"/>
    <w:rsid w:val="00DC0700"/>
    <w:rsid w:val="00DC2033"/>
    <w:rsid w:val="00DC2151"/>
    <w:rsid w:val="00DC3A2E"/>
    <w:rsid w:val="00DC3FAD"/>
    <w:rsid w:val="00DC42A1"/>
    <w:rsid w:val="00DC4598"/>
    <w:rsid w:val="00DC4973"/>
    <w:rsid w:val="00DC5165"/>
    <w:rsid w:val="00DC53F0"/>
    <w:rsid w:val="00DC5688"/>
    <w:rsid w:val="00DC57DA"/>
    <w:rsid w:val="00DC5E5C"/>
    <w:rsid w:val="00DC602E"/>
    <w:rsid w:val="00DC740E"/>
    <w:rsid w:val="00DC75D2"/>
    <w:rsid w:val="00DC7EC7"/>
    <w:rsid w:val="00DD0C04"/>
    <w:rsid w:val="00DD13B8"/>
    <w:rsid w:val="00DD21B3"/>
    <w:rsid w:val="00DD2C66"/>
    <w:rsid w:val="00DD2DA6"/>
    <w:rsid w:val="00DD2E71"/>
    <w:rsid w:val="00DD34E0"/>
    <w:rsid w:val="00DD35E8"/>
    <w:rsid w:val="00DD3649"/>
    <w:rsid w:val="00DD43E0"/>
    <w:rsid w:val="00DD4CFA"/>
    <w:rsid w:val="00DD5C53"/>
    <w:rsid w:val="00DD616F"/>
    <w:rsid w:val="00DD662C"/>
    <w:rsid w:val="00DD6F80"/>
    <w:rsid w:val="00DD77D2"/>
    <w:rsid w:val="00DD7AAB"/>
    <w:rsid w:val="00DE039D"/>
    <w:rsid w:val="00DE123D"/>
    <w:rsid w:val="00DE2B0A"/>
    <w:rsid w:val="00DE2D3D"/>
    <w:rsid w:val="00DE2F75"/>
    <w:rsid w:val="00DE3C95"/>
    <w:rsid w:val="00DE3D0C"/>
    <w:rsid w:val="00DE4B50"/>
    <w:rsid w:val="00DE5025"/>
    <w:rsid w:val="00DE597C"/>
    <w:rsid w:val="00DE59A5"/>
    <w:rsid w:val="00DE5C38"/>
    <w:rsid w:val="00DE6C88"/>
    <w:rsid w:val="00DF0496"/>
    <w:rsid w:val="00DF1002"/>
    <w:rsid w:val="00DF1D88"/>
    <w:rsid w:val="00DF3DF1"/>
    <w:rsid w:val="00DF4924"/>
    <w:rsid w:val="00DF511B"/>
    <w:rsid w:val="00DF52A2"/>
    <w:rsid w:val="00DF588B"/>
    <w:rsid w:val="00DF61DC"/>
    <w:rsid w:val="00DF667A"/>
    <w:rsid w:val="00DF74D7"/>
    <w:rsid w:val="00DF7BF8"/>
    <w:rsid w:val="00E00164"/>
    <w:rsid w:val="00E00414"/>
    <w:rsid w:val="00E0051B"/>
    <w:rsid w:val="00E0084F"/>
    <w:rsid w:val="00E00AD1"/>
    <w:rsid w:val="00E012F8"/>
    <w:rsid w:val="00E015BE"/>
    <w:rsid w:val="00E01760"/>
    <w:rsid w:val="00E0193C"/>
    <w:rsid w:val="00E0199C"/>
    <w:rsid w:val="00E01A6D"/>
    <w:rsid w:val="00E0230D"/>
    <w:rsid w:val="00E02367"/>
    <w:rsid w:val="00E02574"/>
    <w:rsid w:val="00E02F19"/>
    <w:rsid w:val="00E03C52"/>
    <w:rsid w:val="00E04AE0"/>
    <w:rsid w:val="00E0503E"/>
    <w:rsid w:val="00E05449"/>
    <w:rsid w:val="00E05669"/>
    <w:rsid w:val="00E06489"/>
    <w:rsid w:val="00E071C6"/>
    <w:rsid w:val="00E07774"/>
    <w:rsid w:val="00E07988"/>
    <w:rsid w:val="00E07CF0"/>
    <w:rsid w:val="00E10964"/>
    <w:rsid w:val="00E10B10"/>
    <w:rsid w:val="00E10CAE"/>
    <w:rsid w:val="00E11388"/>
    <w:rsid w:val="00E11C52"/>
    <w:rsid w:val="00E14206"/>
    <w:rsid w:val="00E1444D"/>
    <w:rsid w:val="00E14C94"/>
    <w:rsid w:val="00E16ADD"/>
    <w:rsid w:val="00E16CC2"/>
    <w:rsid w:val="00E170D6"/>
    <w:rsid w:val="00E171C1"/>
    <w:rsid w:val="00E17229"/>
    <w:rsid w:val="00E17DD4"/>
    <w:rsid w:val="00E21797"/>
    <w:rsid w:val="00E223D0"/>
    <w:rsid w:val="00E2286C"/>
    <w:rsid w:val="00E228E6"/>
    <w:rsid w:val="00E22E4B"/>
    <w:rsid w:val="00E230E7"/>
    <w:rsid w:val="00E233A4"/>
    <w:rsid w:val="00E24AAF"/>
    <w:rsid w:val="00E2505C"/>
    <w:rsid w:val="00E254E2"/>
    <w:rsid w:val="00E25635"/>
    <w:rsid w:val="00E25B08"/>
    <w:rsid w:val="00E310E3"/>
    <w:rsid w:val="00E3115F"/>
    <w:rsid w:val="00E31E69"/>
    <w:rsid w:val="00E32038"/>
    <w:rsid w:val="00E33019"/>
    <w:rsid w:val="00E332F2"/>
    <w:rsid w:val="00E33E8B"/>
    <w:rsid w:val="00E34011"/>
    <w:rsid w:val="00E35DE1"/>
    <w:rsid w:val="00E362FF"/>
    <w:rsid w:val="00E366F2"/>
    <w:rsid w:val="00E368A2"/>
    <w:rsid w:val="00E37545"/>
    <w:rsid w:val="00E37D04"/>
    <w:rsid w:val="00E41399"/>
    <w:rsid w:val="00E41879"/>
    <w:rsid w:val="00E4205C"/>
    <w:rsid w:val="00E42705"/>
    <w:rsid w:val="00E428D8"/>
    <w:rsid w:val="00E42953"/>
    <w:rsid w:val="00E42BEB"/>
    <w:rsid w:val="00E42E0E"/>
    <w:rsid w:val="00E43122"/>
    <w:rsid w:val="00E43360"/>
    <w:rsid w:val="00E433D6"/>
    <w:rsid w:val="00E4353C"/>
    <w:rsid w:val="00E43B3B"/>
    <w:rsid w:val="00E43CD3"/>
    <w:rsid w:val="00E43E90"/>
    <w:rsid w:val="00E44048"/>
    <w:rsid w:val="00E44121"/>
    <w:rsid w:val="00E44597"/>
    <w:rsid w:val="00E45634"/>
    <w:rsid w:val="00E46188"/>
    <w:rsid w:val="00E469A7"/>
    <w:rsid w:val="00E46F32"/>
    <w:rsid w:val="00E47340"/>
    <w:rsid w:val="00E47BAA"/>
    <w:rsid w:val="00E47EA7"/>
    <w:rsid w:val="00E50081"/>
    <w:rsid w:val="00E50287"/>
    <w:rsid w:val="00E50551"/>
    <w:rsid w:val="00E519FA"/>
    <w:rsid w:val="00E51FEE"/>
    <w:rsid w:val="00E527DE"/>
    <w:rsid w:val="00E52F66"/>
    <w:rsid w:val="00E537A8"/>
    <w:rsid w:val="00E543E5"/>
    <w:rsid w:val="00E546B3"/>
    <w:rsid w:val="00E54E92"/>
    <w:rsid w:val="00E54FB0"/>
    <w:rsid w:val="00E550A0"/>
    <w:rsid w:val="00E55B46"/>
    <w:rsid w:val="00E56068"/>
    <w:rsid w:val="00E56438"/>
    <w:rsid w:val="00E566E1"/>
    <w:rsid w:val="00E579E1"/>
    <w:rsid w:val="00E60820"/>
    <w:rsid w:val="00E63626"/>
    <w:rsid w:val="00E638A0"/>
    <w:rsid w:val="00E64486"/>
    <w:rsid w:val="00E64EF9"/>
    <w:rsid w:val="00E65690"/>
    <w:rsid w:val="00E65CF2"/>
    <w:rsid w:val="00E65E87"/>
    <w:rsid w:val="00E6699C"/>
    <w:rsid w:val="00E6768B"/>
    <w:rsid w:val="00E67F16"/>
    <w:rsid w:val="00E7000C"/>
    <w:rsid w:val="00E70810"/>
    <w:rsid w:val="00E70E86"/>
    <w:rsid w:val="00E70F04"/>
    <w:rsid w:val="00E713DD"/>
    <w:rsid w:val="00E71452"/>
    <w:rsid w:val="00E71E12"/>
    <w:rsid w:val="00E72218"/>
    <w:rsid w:val="00E7267C"/>
    <w:rsid w:val="00E72B84"/>
    <w:rsid w:val="00E72BF0"/>
    <w:rsid w:val="00E72D45"/>
    <w:rsid w:val="00E74960"/>
    <w:rsid w:val="00E7496A"/>
    <w:rsid w:val="00E74D07"/>
    <w:rsid w:val="00E761FF"/>
    <w:rsid w:val="00E763E0"/>
    <w:rsid w:val="00E76ABB"/>
    <w:rsid w:val="00E76EDA"/>
    <w:rsid w:val="00E77309"/>
    <w:rsid w:val="00E7739D"/>
    <w:rsid w:val="00E77576"/>
    <w:rsid w:val="00E776D1"/>
    <w:rsid w:val="00E77910"/>
    <w:rsid w:val="00E77967"/>
    <w:rsid w:val="00E80451"/>
    <w:rsid w:val="00E80CE2"/>
    <w:rsid w:val="00E81077"/>
    <w:rsid w:val="00E81372"/>
    <w:rsid w:val="00E816A5"/>
    <w:rsid w:val="00E81BD3"/>
    <w:rsid w:val="00E81D2D"/>
    <w:rsid w:val="00E823E0"/>
    <w:rsid w:val="00E84102"/>
    <w:rsid w:val="00E8426D"/>
    <w:rsid w:val="00E84947"/>
    <w:rsid w:val="00E849A0"/>
    <w:rsid w:val="00E85418"/>
    <w:rsid w:val="00E8568B"/>
    <w:rsid w:val="00E857C8"/>
    <w:rsid w:val="00E85C27"/>
    <w:rsid w:val="00E86099"/>
    <w:rsid w:val="00E8687D"/>
    <w:rsid w:val="00E86892"/>
    <w:rsid w:val="00E86F41"/>
    <w:rsid w:val="00E87250"/>
    <w:rsid w:val="00E877C4"/>
    <w:rsid w:val="00E902DB"/>
    <w:rsid w:val="00E9043B"/>
    <w:rsid w:val="00E90552"/>
    <w:rsid w:val="00E90557"/>
    <w:rsid w:val="00E9084B"/>
    <w:rsid w:val="00E920E5"/>
    <w:rsid w:val="00E9282C"/>
    <w:rsid w:val="00E9283C"/>
    <w:rsid w:val="00E92984"/>
    <w:rsid w:val="00E93710"/>
    <w:rsid w:val="00E938A9"/>
    <w:rsid w:val="00E93C85"/>
    <w:rsid w:val="00E94DC1"/>
    <w:rsid w:val="00E95C59"/>
    <w:rsid w:val="00E961AE"/>
    <w:rsid w:val="00E96BE7"/>
    <w:rsid w:val="00E96DBB"/>
    <w:rsid w:val="00E970B8"/>
    <w:rsid w:val="00E976CB"/>
    <w:rsid w:val="00EA00B3"/>
    <w:rsid w:val="00EA048E"/>
    <w:rsid w:val="00EA054C"/>
    <w:rsid w:val="00EA06F6"/>
    <w:rsid w:val="00EA09BF"/>
    <w:rsid w:val="00EA0D1C"/>
    <w:rsid w:val="00EA12AA"/>
    <w:rsid w:val="00EA1717"/>
    <w:rsid w:val="00EA2A43"/>
    <w:rsid w:val="00EA30D4"/>
    <w:rsid w:val="00EA32E3"/>
    <w:rsid w:val="00EA3318"/>
    <w:rsid w:val="00EA3472"/>
    <w:rsid w:val="00EA4226"/>
    <w:rsid w:val="00EA46BF"/>
    <w:rsid w:val="00EA503E"/>
    <w:rsid w:val="00EA538E"/>
    <w:rsid w:val="00EA602D"/>
    <w:rsid w:val="00EA698F"/>
    <w:rsid w:val="00EA6A94"/>
    <w:rsid w:val="00EA6AA8"/>
    <w:rsid w:val="00EA76A9"/>
    <w:rsid w:val="00EA77A4"/>
    <w:rsid w:val="00EA77D6"/>
    <w:rsid w:val="00EA7829"/>
    <w:rsid w:val="00EA7A02"/>
    <w:rsid w:val="00EA7A0A"/>
    <w:rsid w:val="00EB0780"/>
    <w:rsid w:val="00EB0782"/>
    <w:rsid w:val="00EB0940"/>
    <w:rsid w:val="00EB0A8E"/>
    <w:rsid w:val="00EB0B09"/>
    <w:rsid w:val="00EB0BD8"/>
    <w:rsid w:val="00EB0C01"/>
    <w:rsid w:val="00EB148D"/>
    <w:rsid w:val="00EB1D19"/>
    <w:rsid w:val="00EB1DF6"/>
    <w:rsid w:val="00EB236E"/>
    <w:rsid w:val="00EB238E"/>
    <w:rsid w:val="00EB2724"/>
    <w:rsid w:val="00EB3915"/>
    <w:rsid w:val="00EB3A65"/>
    <w:rsid w:val="00EB4FEC"/>
    <w:rsid w:val="00EB51BB"/>
    <w:rsid w:val="00EB51C9"/>
    <w:rsid w:val="00EB5202"/>
    <w:rsid w:val="00EB5348"/>
    <w:rsid w:val="00EB537F"/>
    <w:rsid w:val="00EB592E"/>
    <w:rsid w:val="00EB5CD2"/>
    <w:rsid w:val="00EB6135"/>
    <w:rsid w:val="00EB632D"/>
    <w:rsid w:val="00EB64FE"/>
    <w:rsid w:val="00EB6970"/>
    <w:rsid w:val="00EB6B48"/>
    <w:rsid w:val="00EB6E6C"/>
    <w:rsid w:val="00EC1F9B"/>
    <w:rsid w:val="00EC2413"/>
    <w:rsid w:val="00EC45FB"/>
    <w:rsid w:val="00EC4A98"/>
    <w:rsid w:val="00EC4ABE"/>
    <w:rsid w:val="00EC4CEF"/>
    <w:rsid w:val="00EC5B7D"/>
    <w:rsid w:val="00EC5BDA"/>
    <w:rsid w:val="00EC6055"/>
    <w:rsid w:val="00EC61E3"/>
    <w:rsid w:val="00EC71C2"/>
    <w:rsid w:val="00EC7865"/>
    <w:rsid w:val="00ED0B24"/>
    <w:rsid w:val="00ED1413"/>
    <w:rsid w:val="00ED154B"/>
    <w:rsid w:val="00ED16A7"/>
    <w:rsid w:val="00ED1895"/>
    <w:rsid w:val="00ED1EF5"/>
    <w:rsid w:val="00ED3B37"/>
    <w:rsid w:val="00ED3BFF"/>
    <w:rsid w:val="00ED3DC9"/>
    <w:rsid w:val="00ED40DD"/>
    <w:rsid w:val="00ED483D"/>
    <w:rsid w:val="00ED4BBA"/>
    <w:rsid w:val="00ED4EAD"/>
    <w:rsid w:val="00ED5302"/>
    <w:rsid w:val="00ED5496"/>
    <w:rsid w:val="00ED555C"/>
    <w:rsid w:val="00ED652C"/>
    <w:rsid w:val="00ED655A"/>
    <w:rsid w:val="00ED6A24"/>
    <w:rsid w:val="00ED6C8E"/>
    <w:rsid w:val="00ED6DFD"/>
    <w:rsid w:val="00ED7903"/>
    <w:rsid w:val="00EE056E"/>
    <w:rsid w:val="00EE089C"/>
    <w:rsid w:val="00EE0ACC"/>
    <w:rsid w:val="00EE10C5"/>
    <w:rsid w:val="00EE1F2A"/>
    <w:rsid w:val="00EE2003"/>
    <w:rsid w:val="00EE225B"/>
    <w:rsid w:val="00EE3604"/>
    <w:rsid w:val="00EE3C3E"/>
    <w:rsid w:val="00EE4B4D"/>
    <w:rsid w:val="00EE51EF"/>
    <w:rsid w:val="00EE5326"/>
    <w:rsid w:val="00EE556A"/>
    <w:rsid w:val="00EE5601"/>
    <w:rsid w:val="00EE5A0D"/>
    <w:rsid w:val="00EE5B81"/>
    <w:rsid w:val="00EE7279"/>
    <w:rsid w:val="00EE7453"/>
    <w:rsid w:val="00EE7FD9"/>
    <w:rsid w:val="00EF00B1"/>
    <w:rsid w:val="00EF02C7"/>
    <w:rsid w:val="00EF08B6"/>
    <w:rsid w:val="00EF0D19"/>
    <w:rsid w:val="00EF0EB6"/>
    <w:rsid w:val="00EF126E"/>
    <w:rsid w:val="00EF12A9"/>
    <w:rsid w:val="00EF1C1D"/>
    <w:rsid w:val="00EF27AE"/>
    <w:rsid w:val="00EF2A68"/>
    <w:rsid w:val="00EF2AFB"/>
    <w:rsid w:val="00EF426D"/>
    <w:rsid w:val="00EF43A0"/>
    <w:rsid w:val="00EF59D9"/>
    <w:rsid w:val="00EF5AF6"/>
    <w:rsid w:val="00EF62FD"/>
    <w:rsid w:val="00EF6B71"/>
    <w:rsid w:val="00EF6B9C"/>
    <w:rsid w:val="00F00C50"/>
    <w:rsid w:val="00F0123A"/>
    <w:rsid w:val="00F0150C"/>
    <w:rsid w:val="00F023F3"/>
    <w:rsid w:val="00F024B6"/>
    <w:rsid w:val="00F02FCF"/>
    <w:rsid w:val="00F047D6"/>
    <w:rsid w:val="00F04805"/>
    <w:rsid w:val="00F04EF3"/>
    <w:rsid w:val="00F051A1"/>
    <w:rsid w:val="00F051BE"/>
    <w:rsid w:val="00F05A71"/>
    <w:rsid w:val="00F05D77"/>
    <w:rsid w:val="00F063D7"/>
    <w:rsid w:val="00F06AEA"/>
    <w:rsid w:val="00F07354"/>
    <w:rsid w:val="00F075E9"/>
    <w:rsid w:val="00F10A41"/>
    <w:rsid w:val="00F10C5D"/>
    <w:rsid w:val="00F10F55"/>
    <w:rsid w:val="00F1176D"/>
    <w:rsid w:val="00F12BF9"/>
    <w:rsid w:val="00F12F62"/>
    <w:rsid w:val="00F13381"/>
    <w:rsid w:val="00F14380"/>
    <w:rsid w:val="00F14B74"/>
    <w:rsid w:val="00F1569D"/>
    <w:rsid w:val="00F15F48"/>
    <w:rsid w:val="00F173C3"/>
    <w:rsid w:val="00F219DD"/>
    <w:rsid w:val="00F226BC"/>
    <w:rsid w:val="00F22F2B"/>
    <w:rsid w:val="00F23AF6"/>
    <w:rsid w:val="00F23E12"/>
    <w:rsid w:val="00F244FD"/>
    <w:rsid w:val="00F24C4F"/>
    <w:rsid w:val="00F24CFC"/>
    <w:rsid w:val="00F25013"/>
    <w:rsid w:val="00F2548A"/>
    <w:rsid w:val="00F257FF"/>
    <w:rsid w:val="00F26027"/>
    <w:rsid w:val="00F2637E"/>
    <w:rsid w:val="00F266E6"/>
    <w:rsid w:val="00F26C5E"/>
    <w:rsid w:val="00F26F2A"/>
    <w:rsid w:val="00F2727A"/>
    <w:rsid w:val="00F27908"/>
    <w:rsid w:val="00F30060"/>
    <w:rsid w:val="00F30159"/>
    <w:rsid w:val="00F30E3B"/>
    <w:rsid w:val="00F3155A"/>
    <w:rsid w:val="00F31983"/>
    <w:rsid w:val="00F31C5E"/>
    <w:rsid w:val="00F31FD5"/>
    <w:rsid w:val="00F32601"/>
    <w:rsid w:val="00F327D7"/>
    <w:rsid w:val="00F328A2"/>
    <w:rsid w:val="00F32F1F"/>
    <w:rsid w:val="00F332FB"/>
    <w:rsid w:val="00F33655"/>
    <w:rsid w:val="00F33953"/>
    <w:rsid w:val="00F346CB"/>
    <w:rsid w:val="00F34F2B"/>
    <w:rsid w:val="00F3560C"/>
    <w:rsid w:val="00F358D4"/>
    <w:rsid w:val="00F36186"/>
    <w:rsid w:val="00F3746A"/>
    <w:rsid w:val="00F40C45"/>
    <w:rsid w:val="00F41195"/>
    <w:rsid w:val="00F425F6"/>
    <w:rsid w:val="00F42900"/>
    <w:rsid w:val="00F42969"/>
    <w:rsid w:val="00F44290"/>
    <w:rsid w:val="00F44F5D"/>
    <w:rsid w:val="00F453EF"/>
    <w:rsid w:val="00F45873"/>
    <w:rsid w:val="00F45CB5"/>
    <w:rsid w:val="00F47D6D"/>
    <w:rsid w:val="00F50784"/>
    <w:rsid w:val="00F50EF6"/>
    <w:rsid w:val="00F513E3"/>
    <w:rsid w:val="00F51623"/>
    <w:rsid w:val="00F51FA7"/>
    <w:rsid w:val="00F520D2"/>
    <w:rsid w:val="00F53413"/>
    <w:rsid w:val="00F53531"/>
    <w:rsid w:val="00F54035"/>
    <w:rsid w:val="00F5493E"/>
    <w:rsid w:val="00F54FD9"/>
    <w:rsid w:val="00F5505B"/>
    <w:rsid w:val="00F5533A"/>
    <w:rsid w:val="00F5540F"/>
    <w:rsid w:val="00F5565B"/>
    <w:rsid w:val="00F56698"/>
    <w:rsid w:val="00F56E15"/>
    <w:rsid w:val="00F579DB"/>
    <w:rsid w:val="00F57D78"/>
    <w:rsid w:val="00F6021D"/>
    <w:rsid w:val="00F60A44"/>
    <w:rsid w:val="00F60B3D"/>
    <w:rsid w:val="00F60E29"/>
    <w:rsid w:val="00F615E9"/>
    <w:rsid w:val="00F62058"/>
    <w:rsid w:val="00F620A0"/>
    <w:rsid w:val="00F623FE"/>
    <w:rsid w:val="00F62CBF"/>
    <w:rsid w:val="00F637A0"/>
    <w:rsid w:val="00F63953"/>
    <w:rsid w:val="00F6417E"/>
    <w:rsid w:val="00F6605F"/>
    <w:rsid w:val="00F66299"/>
    <w:rsid w:val="00F664CA"/>
    <w:rsid w:val="00F66F6C"/>
    <w:rsid w:val="00F670D2"/>
    <w:rsid w:val="00F706C9"/>
    <w:rsid w:val="00F707C1"/>
    <w:rsid w:val="00F707F4"/>
    <w:rsid w:val="00F710A5"/>
    <w:rsid w:val="00F71F2F"/>
    <w:rsid w:val="00F72E50"/>
    <w:rsid w:val="00F73A54"/>
    <w:rsid w:val="00F73AA0"/>
    <w:rsid w:val="00F73ADB"/>
    <w:rsid w:val="00F73E63"/>
    <w:rsid w:val="00F73F91"/>
    <w:rsid w:val="00F74954"/>
    <w:rsid w:val="00F7500C"/>
    <w:rsid w:val="00F75033"/>
    <w:rsid w:val="00F7505E"/>
    <w:rsid w:val="00F75C0F"/>
    <w:rsid w:val="00F773D9"/>
    <w:rsid w:val="00F7770C"/>
    <w:rsid w:val="00F77C5B"/>
    <w:rsid w:val="00F80760"/>
    <w:rsid w:val="00F8156C"/>
    <w:rsid w:val="00F82382"/>
    <w:rsid w:val="00F823B0"/>
    <w:rsid w:val="00F827DB"/>
    <w:rsid w:val="00F82AAD"/>
    <w:rsid w:val="00F82F3C"/>
    <w:rsid w:val="00F83018"/>
    <w:rsid w:val="00F83306"/>
    <w:rsid w:val="00F8364B"/>
    <w:rsid w:val="00F838C1"/>
    <w:rsid w:val="00F83B93"/>
    <w:rsid w:val="00F84253"/>
    <w:rsid w:val="00F84F3F"/>
    <w:rsid w:val="00F8556A"/>
    <w:rsid w:val="00F855C3"/>
    <w:rsid w:val="00F856B6"/>
    <w:rsid w:val="00F85FD9"/>
    <w:rsid w:val="00F87BA8"/>
    <w:rsid w:val="00F909AB"/>
    <w:rsid w:val="00F90A63"/>
    <w:rsid w:val="00F90AA0"/>
    <w:rsid w:val="00F910DE"/>
    <w:rsid w:val="00F9139B"/>
    <w:rsid w:val="00F914F0"/>
    <w:rsid w:val="00F915A4"/>
    <w:rsid w:val="00F920FE"/>
    <w:rsid w:val="00F924EC"/>
    <w:rsid w:val="00F93733"/>
    <w:rsid w:val="00F938E1"/>
    <w:rsid w:val="00F97806"/>
    <w:rsid w:val="00F978BA"/>
    <w:rsid w:val="00FA0169"/>
    <w:rsid w:val="00FA067C"/>
    <w:rsid w:val="00FA0AC4"/>
    <w:rsid w:val="00FA20BB"/>
    <w:rsid w:val="00FA25B0"/>
    <w:rsid w:val="00FA2905"/>
    <w:rsid w:val="00FA3627"/>
    <w:rsid w:val="00FA37EC"/>
    <w:rsid w:val="00FA39B8"/>
    <w:rsid w:val="00FA3CB3"/>
    <w:rsid w:val="00FA4370"/>
    <w:rsid w:val="00FA4FF1"/>
    <w:rsid w:val="00FA5D74"/>
    <w:rsid w:val="00FA65A5"/>
    <w:rsid w:val="00FA698A"/>
    <w:rsid w:val="00FB0142"/>
    <w:rsid w:val="00FB0423"/>
    <w:rsid w:val="00FB0818"/>
    <w:rsid w:val="00FB12E1"/>
    <w:rsid w:val="00FB288C"/>
    <w:rsid w:val="00FB3609"/>
    <w:rsid w:val="00FB3DE5"/>
    <w:rsid w:val="00FB40E8"/>
    <w:rsid w:val="00FB4E61"/>
    <w:rsid w:val="00FB502C"/>
    <w:rsid w:val="00FB58B6"/>
    <w:rsid w:val="00FB5DF2"/>
    <w:rsid w:val="00FB6860"/>
    <w:rsid w:val="00FB7D5D"/>
    <w:rsid w:val="00FC0107"/>
    <w:rsid w:val="00FC059E"/>
    <w:rsid w:val="00FC05D4"/>
    <w:rsid w:val="00FC06D7"/>
    <w:rsid w:val="00FC16B5"/>
    <w:rsid w:val="00FC2A71"/>
    <w:rsid w:val="00FC2EE5"/>
    <w:rsid w:val="00FC3A00"/>
    <w:rsid w:val="00FC3C42"/>
    <w:rsid w:val="00FC4D7F"/>
    <w:rsid w:val="00FC51CD"/>
    <w:rsid w:val="00FC51DE"/>
    <w:rsid w:val="00FC56FE"/>
    <w:rsid w:val="00FC604E"/>
    <w:rsid w:val="00FC66C0"/>
    <w:rsid w:val="00FC6792"/>
    <w:rsid w:val="00FC69AB"/>
    <w:rsid w:val="00FC70C4"/>
    <w:rsid w:val="00FC7301"/>
    <w:rsid w:val="00FC74AE"/>
    <w:rsid w:val="00FC7721"/>
    <w:rsid w:val="00FC79F6"/>
    <w:rsid w:val="00FC7AA0"/>
    <w:rsid w:val="00FC7D23"/>
    <w:rsid w:val="00FD08FA"/>
    <w:rsid w:val="00FD1871"/>
    <w:rsid w:val="00FD1B9B"/>
    <w:rsid w:val="00FD2830"/>
    <w:rsid w:val="00FD2DB7"/>
    <w:rsid w:val="00FD3449"/>
    <w:rsid w:val="00FD3627"/>
    <w:rsid w:val="00FD4ED5"/>
    <w:rsid w:val="00FD4F09"/>
    <w:rsid w:val="00FD5C4C"/>
    <w:rsid w:val="00FD6675"/>
    <w:rsid w:val="00FD7F97"/>
    <w:rsid w:val="00FE01E9"/>
    <w:rsid w:val="00FE050B"/>
    <w:rsid w:val="00FE0A6C"/>
    <w:rsid w:val="00FE0C56"/>
    <w:rsid w:val="00FE1148"/>
    <w:rsid w:val="00FE11FA"/>
    <w:rsid w:val="00FE191C"/>
    <w:rsid w:val="00FE1F70"/>
    <w:rsid w:val="00FE27A3"/>
    <w:rsid w:val="00FE280A"/>
    <w:rsid w:val="00FE2952"/>
    <w:rsid w:val="00FE376E"/>
    <w:rsid w:val="00FE45F1"/>
    <w:rsid w:val="00FE52DC"/>
    <w:rsid w:val="00FE5802"/>
    <w:rsid w:val="00FE5C18"/>
    <w:rsid w:val="00FE5CDB"/>
    <w:rsid w:val="00FE6452"/>
    <w:rsid w:val="00FE661D"/>
    <w:rsid w:val="00FE6A46"/>
    <w:rsid w:val="00FE7393"/>
    <w:rsid w:val="00FE7B52"/>
    <w:rsid w:val="00FE7EA1"/>
    <w:rsid w:val="00FF020B"/>
    <w:rsid w:val="00FF02DE"/>
    <w:rsid w:val="00FF0C52"/>
    <w:rsid w:val="00FF0F73"/>
    <w:rsid w:val="00FF130F"/>
    <w:rsid w:val="00FF1F8F"/>
    <w:rsid w:val="00FF2388"/>
    <w:rsid w:val="00FF2AB0"/>
    <w:rsid w:val="00FF2BE5"/>
    <w:rsid w:val="00FF2EE4"/>
    <w:rsid w:val="00FF396E"/>
    <w:rsid w:val="00FF4857"/>
    <w:rsid w:val="00FF535B"/>
    <w:rsid w:val="00FF5E79"/>
    <w:rsid w:val="00FF6044"/>
    <w:rsid w:val="00FF6378"/>
    <w:rsid w:val="00FF6D58"/>
    <w:rsid w:val="00FF6D89"/>
    <w:rsid w:val="00FF71FF"/>
    <w:rsid w:val="00FF777C"/>
    <w:rsid w:val="00FF7B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4097"/>
    <o:shapelayout v:ext="edit">
      <o:idmap v:ext="edit" data="1"/>
    </o:shapelayout>
  </w:shapeDefaults>
  <w:decimalSymbol w:val=","/>
  <w:listSeparator w:val=";"/>
  <w14:docId w14:val="40B6C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pPr>
        <w:spacing w:after="200"/>
        <w:ind w:left="576" w:hanging="576"/>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qFormat="1"/>
    <w:lsdException w:name="annotation text" w:uiPriority="0"/>
    <w:lsdException w:name="caption" w:semiHidden="0" w:uiPriority="35" w:unhideWhenUsed="0" w:qFormat="1"/>
    <w:lsdException w:name="footnote reference" w:qFormat="1"/>
    <w:lsdException w:name="page number" w:uiPriority="0"/>
    <w:lsdException w:name="endnote reference" w:uiPriority="0"/>
    <w:lsdException w:name="endnote text" w:uiPriority="0"/>
    <w:lsdException w:name="toa heading" w:uiPriority="0"/>
    <w:lsdException w:name="List" w:uiPriority="0"/>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A46"/>
    <w:rPr>
      <w:sz w:val="24"/>
    </w:rPr>
  </w:style>
  <w:style w:type="paragraph" w:styleId="Titre1">
    <w:name w:val="heading 1"/>
    <w:aliases w:val="Document Header1"/>
    <w:basedOn w:val="Normal"/>
    <w:next w:val="Normal"/>
    <w:link w:val="Titre1Car"/>
    <w:qFormat/>
    <w:rsid w:val="00573A46"/>
    <w:pPr>
      <w:jc w:val="center"/>
      <w:outlineLvl w:val="0"/>
    </w:pPr>
    <w:rPr>
      <w:b/>
      <w:sz w:val="36"/>
    </w:rPr>
  </w:style>
  <w:style w:type="paragraph" w:styleId="Titre2">
    <w:name w:val="heading 2"/>
    <w:aliases w:val="Title Header2,Section-Title,Titre 22,an_Über 2,h2,head2,A Head,Chapter Title,OG Heading 2,Level 2,DNV-H2,RSKH2,Heading 2 AGT ESIA,Major Heading,carter ecological heading 2,H2,Heading 2 URS,.1,L2,ËÑÇ¢éÍ 2,2,hseHeading 2,- 1.1,Title3,EIA H2"/>
    <w:basedOn w:val="Normal"/>
    <w:next w:val="Normal"/>
    <w:link w:val="Titre2Car"/>
    <w:qFormat/>
    <w:rsid w:val="00573A46"/>
    <w:pPr>
      <w:jc w:val="center"/>
      <w:outlineLvl w:val="1"/>
    </w:pPr>
    <w:rPr>
      <w:b/>
      <w:sz w:val="28"/>
    </w:rPr>
  </w:style>
  <w:style w:type="paragraph" w:styleId="Titre3">
    <w:name w:val="heading 3"/>
    <w:aliases w:val="Section Header3"/>
    <w:basedOn w:val="Normal"/>
    <w:next w:val="Normal"/>
    <w:link w:val="Titre3Car"/>
    <w:qFormat/>
    <w:rsid w:val="00573A46"/>
    <w:pPr>
      <w:tabs>
        <w:tab w:val="left" w:pos="864"/>
      </w:tabs>
      <w:ind w:left="864" w:hanging="432"/>
      <w:outlineLvl w:val="2"/>
    </w:pPr>
    <w:rPr>
      <w:lang w:val="en-US"/>
    </w:rPr>
  </w:style>
  <w:style w:type="paragraph" w:styleId="Titre4">
    <w:name w:val="heading 4"/>
    <w:aliases w:val="Sub-Clause Sub-paragraph,ClauseSubSub_No&amp;Name"/>
    <w:basedOn w:val="Normal"/>
    <w:next w:val="Normal"/>
    <w:link w:val="Titre4Car"/>
    <w:qFormat/>
    <w:rsid w:val="00573A46"/>
    <w:pPr>
      <w:numPr>
        <w:ilvl w:val="3"/>
        <w:numId w:val="1"/>
      </w:numPr>
      <w:tabs>
        <w:tab w:val="left" w:pos="1512"/>
      </w:tabs>
      <w:outlineLvl w:val="3"/>
    </w:pPr>
    <w:rPr>
      <w:lang w:val="en-US"/>
    </w:rPr>
  </w:style>
  <w:style w:type="paragraph" w:styleId="Titre5">
    <w:name w:val="heading 5"/>
    <w:basedOn w:val="Normal"/>
    <w:next w:val="Normal"/>
    <w:link w:val="Titre5Car"/>
    <w:qFormat/>
    <w:rsid w:val="00573A46"/>
    <w:pPr>
      <w:spacing w:before="240" w:after="60"/>
      <w:jc w:val="center"/>
      <w:outlineLvl w:val="4"/>
    </w:pPr>
    <w:rPr>
      <w:b/>
      <w:sz w:val="28"/>
      <w:lang w:val="es-ES_tradnl"/>
    </w:rPr>
  </w:style>
  <w:style w:type="paragraph" w:styleId="Titre6">
    <w:name w:val="heading 6"/>
    <w:basedOn w:val="Normal"/>
    <w:next w:val="Normal"/>
    <w:link w:val="Titre6Car"/>
    <w:qFormat/>
    <w:rsid w:val="00573A46"/>
    <w:pPr>
      <w:numPr>
        <w:ilvl w:val="5"/>
        <w:numId w:val="1"/>
      </w:numPr>
      <w:tabs>
        <w:tab w:val="left" w:pos="1152"/>
      </w:tabs>
      <w:spacing w:before="240" w:after="60"/>
      <w:outlineLvl w:val="5"/>
    </w:pPr>
    <w:rPr>
      <w:i/>
      <w:sz w:val="22"/>
      <w:lang w:val="es-ES_tradnl"/>
    </w:rPr>
  </w:style>
  <w:style w:type="paragraph" w:styleId="Titre7">
    <w:name w:val="heading 7"/>
    <w:basedOn w:val="Normal"/>
    <w:next w:val="Normal"/>
    <w:link w:val="Titre7Car"/>
    <w:qFormat/>
    <w:rsid w:val="00573A46"/>
    <w:pPr>
      <w:numPr>
        <w:ilvl w:val="6"/>
        <w:numId w:val="1"/>
      </w:numPr>
      <w:tabs>
        <w:tab w:val="left" w:pos="1296"/>
      </w:tabs>
      <w:spacing w:before="240" w:after="60"/>
      <w:outlineLvl w:val="6"/>
    </w:pPr>
    <w:rPr>
      <w:rFonts w:ascii="Arial" w:hAnsi="Arial"/>
      <w:sz w:val="20"/>
      <w:lang w:val="es-ES_tradnl"/>
    </w:rPr>
  </w:style>
  <w:style w:type="paragraph" w:styleId="Titre8">
    <w:name w:val="heading 8"/>
    <w:basedOn w:val="Normal"/>
    <w:next w:val="Normal"/>
    <w:link w:val="Titre8Car"/>
    <w:qFormat/>
    <w:rsid w:val="00573A46"/>
    <w:pPr>
      <w:numPr>
        <w:ilvl w:val="7"/>
        <w:numId w:val="1"/>
      </w:numPr>
      <w:tabs>
        <w:tab w:val="left" w:pos="1440"/>
      </w:tabs>
      <w:spacing w:before="240" w:after="60"/>
      <w:outlineLvl w:val="7"/>
    </w:pPr>
    <w:rPr>
      <w:rFonts w:ascii="Arial" w:hAnsi="Arial"/>
      <w:i/>
      <w:sz w:val="20"/>
      <w:lang w:val="es-ES_tradnl"/>
    </w:rPr>
  </w:style>
  <w:style w:type="paragraph" w:styleId="Titre9">
    <w:name w:val="heading 9"/>
    <w:basedOn w:val="Normal"/>
    <w:next w:val="Normal"/>
    <w:link w:val="Titre9Car"/>
    <w:qFormat/>
    <w:rsid w:val="00573A46"/>
    <w:pPr>
      <w:numPr>
        <w:ilvl w:val="8"/>
        <w:numId w:val="1"/>
      </w:numPr>
      <w:tabs>
        <w:tab w:val="left" w:pos="1584"/>
      </w:tabs>
      <w:spacing w:before="240" w:after="60"/>
      <w:outlineLvl w:val="8"/>
    </w:pPr>
    <w:rPr>
      <w:rFonts w:ascii="Arial" w:hAnsi="Arial"/>
      <w:b/>
      <w:i/>
      <w:sz w:val="18"/>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rsid w:val="006469DC"/>
    <w:rPr>
      <w:rFonts w:ascii="Cambria" w:eastAsia="Times New Roman" w:hAnsi="Cambria" w:cs="Times New Roman"/>
      <w:b/>
      <w:bCs/>
      <w:kern w:val="32"/>
      <w:sz w:val="32"/>
      <w:szCs w:val="32"/>
    </w:rPr>
  </w:style>
  <w:style w:type="character" w:customStyle="1" w:styleId="Titre2Car">
    <w:name w:val="Titre 2 Car"/>
    <w:aliases w:val="Title Header2 Car,Section-Title Car,Titre 22 Car,an_Über 2 Car,h2 Car,head2 Car,A Head Car,Chapter Title Car,OG Heading 2 Car,Level 2 Car,DNV-H2 Car,RSKH2 Car,Heading 2 AGT ESIA Car,Major Heading Car,carter ecological heading 2 Car,H2 Car"/>
    <w:basedOn w:val="Policepardfaut"/>
    <w:link w:val="Titre2"/>
    <w:rsid w:val="006469DC"/>
    <w:rPr>
      <w:rFonts w:ascii="Cambria" w:eastAsia="Times New Roman" w:hAnsi="Cambria" w:cs="Times New Roman"/>
      <w:b/>
      <w:bCs/>
      <w:i/>
      <w:iCs/>
      <w:sz w:val="28"/>
      <w:szCs w:val="28"/>
    </w:rPr>
  </w:style>
  <w:style w:type="character" w:customStyle="1" w:styleId="Titre3Car">
    <w:name w:val="Titre 3 Car"/>
    <w:aliases w:val="Section Header3 Car"/>
    <w:basedOn w:val="Policepardfaut"/>
    <w:link w:val="Titre3"/>
    <w:rsid w:val="006469DC"/>
    <w:rPr>
      <w:rFonts w:ascii="Cambria" w:eastAsia="Times New Roman" w:hAnsi="Cambria" w:cs="Times New Roman"/>
      <w:b/>
      <w:bCs/>
      <w:sz w:val="26"/>
      <w:szCs w:val="26"/>
    </w:rPr>
  </w:style>
  <w:style w:type="character" w:customStyle="1" w:styleId="Titre4Car">
    <w:name w:val="Titre 4 Car"/>
    <w:aliases w:val="Sub-Clause Sub-paragraph Car,ClauseSubSub_No&amp;Name Car"/>
    <w:basedOn w:val="Policepardfaut"/>
    <w:link w:val="Titre4"/>
    <w:rsid w:val="006469DC"/>
    <w:rPr>
      <w:sz w:val="24"/>
      <w:lang w:val="en-US"/>
    </w:rPr>
  </w:style>
  <w:style w:type="character" w:customStyle="1" w:styleId="Titre5Car">
    <w:name w:val="Titre 5 Car"/>
    <w:basedOn w:val="Policepardfaut"/>
    <w:link w:val="Titre5"/>
    <w:rsid w:val="006469DC"/>
    <w:rPr>
      <w:rFonts w:ascii="Calibri" w:eastAsia="Times New Roman" w:hAnsi="Calibri" w:cs="Times New Roman"/>
      <w:b/>
      <w:bCs/>
      <w:i/>
      <w:iCs/>
      <w:sz w:val="26"/>
      <w:szCs w:val="26"/>
    </w:rPr>
  </w:style>
  <w:style w:type="character" w:customStyle="1" w:styleId="Titre6Car">
    <w:name w:val="Titre 6 Car"/>
    <w:basedOn w:val="Policepardfaut"/>
    <w:link w:val="Titre6"/>
    <w:rsid w:val="006469DC"/>
    <w:rPr>
      <w:i/>
      <w:sz w:val="22"/>
      <w:lang w:val="es-ES_tradnl"/>
    </w:rPr>
  </w:style>
  <w:style w:type="character" w:customStyle="1" w:styleId="Titre7Car">
    <w:name w:val="Titre 7 Car"/>
    <w:basedOn w:val="Policepardfaut"/>
    <w:link w:val="Titre7"/>
    <w:rsid w:val="006469DC"/>
    <w:rPr>
      <w:rFonts w:ascii="Arial" w:hAnsi="Arial"/>
      <w:lang w:val="es-ES_tradnl"/>
    </w:rPr>
  </w:style>
  <w:style w:type="character" w:customStyle="1" w:styleId="Titre8Car">
    <w:name w:val="Titre 8 Car"/>
    <w:basedOn w:val="Policepardfaut"/>
    <w:link w:val="Titre8"/>
    <w:rsid w:val="006469DC"/>
    <w:rPr>
      <w:rFonts w:ascii="Arial" w:hAnsi="Arial"/>
      <w:i/>
      <w:lang w:val="es-ES_tradnl"/>
    </w:rPr>
  </w:style>
  <w:style w:type="character" w:customStyle="1" w:styleId="Titre9Car">
    <w:name w:val="Titre 9 Car"/>
    <w:basedOn w:val="Policepardfaut"/>
    <w:link w:val="Titre9"/>
    <w:rsid w:val="006469DC"/>
    <w:rPr>
      <w:rFonts w:ascii="Arial" w:hAnsi="Arial"/>
      <w:b/>
      <w:i/>
      <w:sz w:val="18"/>
      <w:lang w:val="es-ES_tradnl"/>
    </w:rPr>
  </w:style>
  <w:style w:type="character" w:customStyle="1" w:styleId="a1">
    <w:name w:val="a1"/>
    <w:basedOn w:val="Policepardfaut"/>
    <w:rsid w:val="00573A46"/>
    <w:rPr>
      <w:rFonts w:ascii="Courier" w:hAnsi="Courier" w:cs="Times New Roman"/>
      <w:sz w:val="20"/>
      <w:lang w:val="en-US"/>
    </w:rPr>
  </w:style>
  <w:style w:type="paragraph" w:styleId="TM1">
    <w:name w:val="toc 1"/>
    <w:basedOn w:val="Normal"/>
    <w:next w:val="Normal"/>
    <w:uiPriority w:val="39"/>
    <w:rsid w:val="00573A46"/>
    <w:pPr>
      <w:tabs>
        <w:tab w:val="right" w:leader="dot" w:pos="9000"/>
      </w:tabs>
      <w:spacing w:before="240"/>
      <w:ind w:left="720" w:right="720" w:hanging="720"/>
      <w:jc w:val="left"/>
    </w:pPr>
    <w:rPr>
      <w:rFonts w:ascii="Times New Roman Bold" w:hAnsi="Times New Roman Bold"/>
      <w:b/>
    </w:rPr>
  </w:style>
  <w:style w:type="paragraph" w:styleId="TM2">
    <w:name w:val="toc 2"/>
    <w:basedOn w:val="Normal"/>
    <w:next w:val="Normal"/>
    <w:uiPriority w:val="39"/>
    <w:rsid w:val="008718E0"/>
    <w:pPr>
      <w:tabs>
        <w:tab w:val="right" w:leader="dot" w:pos="9000"/>
      </w:tabs>
      <w:spacing w:after="0"/>
      <w:ind w:left="1440" w:right="720" w:hanging="720"/>
      <w:jc w:val="left"/>
    </w:pPr>
  </w:style>
  <w:style w:type="paragraph" w:styleId="TM3">
    <w:name w:val="toc 3"/>
    <w:basedOn w:val="Normal"/>
    <w:next w:val="Normal"/>
    <w:uiPriority w:val="39"/>
    <w:rsid w:val="00573A46"/>
    <w:pPr>
      <w:tabs>
        <w:tab w:val="left" w:leader="dot" w:pos="9000"/>
      </w:tabs>
      <w:ind w:left="2160" w:right="720" w:hanging="720"/>
      <w:jc w:val="left"/>
    </w:pPr>
  </w:style>
  <w:style w:type="paragraph" w:styleId="TM4">
    <w:name w:val="toc 4"/>
    <w:basedOn w:val="Normal"/>
    <w:next w:val="Normal"/>
    <w:uiPriority w:val="39"/>
    <w:rsid w:val="00573A46"/>
    <w:pPr>
      <w:tabs>
        <w:tab w:val="left" w:leader="dot" w:pos="8640"/>
        <w:tab w:val="right" w:pos="9000"/>
      </w:tabs>
      <w:ind w:left="2880" w:right="720" w:hanging="720"/>
    </w:pPr>
  </w:style>
  <w:style w:type="paragraph" w:styleId="TM5">
    <w:name w:val="toc 5"/>
    <w:basedOn w:val="Normal"/>
    <w:next w:val="Normal"/>
    <w:uiPriority w:val="39"/>
    <w:rsid w:val="00573A46"/>
    <w:pPr>
      <w:tabs>
        <w:tab w:val="left" w:leader="dot" w:pos="8640"/>
        <w:tab w:val="right" w:pos="9000"/>
      </w:tabs>
      <w:ind w:left="3600" w:right="720" w:hanging="720"/>
    </w:pPr>
  </w:style>
  <w:style w:type="paragraph" w:styleId="TM6">
    <w:name w:val="toc 6"/>
    <w:basedOn w:val="Normal"/>
    <w:next w:val="Normal"/>
    <w:uiPriority w:val="39"/>
    <w:rsid w:val="00573A46"/>
    <w:pPr>
      <w:tabs>
        <w:tab w:val="left" w:pos="8640"/>
        <w:tab w:val="right" w:pos="9000"/>
      </w:tabs>
      <w:ind w:left="720" w:hanging="720"/>
    </w:pPr>
  </w:style>
  <w:style w:type="paragraph" w:styleId="TM7">
    <w:name w:val="toc 7"/>
    <w:basedOn w:val="Normal"/>
    <w:next w:val="Normal"/>
    <w:uiPriority w:val="39"/>
    <w:rsid w:val="00573A46"/>
    <w:pPr>
      <w:ind w:left="720" w:hanging="720"/>
    </w:pPr>
  </w:style>
  <w:style w:type="paragraph" w:styleId="TM8">
    <w:name w:val="toc 8"/>
    <w:basedOn w:val="Normal"/>
    <w:next w:val="Normal"/>
    <w:uiPriority w:val="39"/>
    <w:rsid w:val="00573A46"/>
    <w:pPr>
      <w:tabs>
        <w:tab w:val="left" w:pos="8640"/>
        <w:tab w:val="right" w:pos="9000"/>
      </w:tabs>
      <w:ind w:left="720" w:hanging="720"/>
    </w:pPr>
  </w:style>
  <w:style w:type="paragraph" w:styleId="TM9">
    <w:name w:val="toc 9"/>
    <w:basedOn w:val="Normal"/>
    <w:next w:val="Normal"/>
    <w:uiPriority w:val="39"/>
    <w:rsid w:val="00573A46"/>
    <w:pPr>
      <w:tabs>
        <w:tab w:val="left" w:leader="dot" w:pos="8640"/>
        <w:tab w:val="right" w:pos="9000"/>
      </w:tabs>
      <w:ind w:left="720" w:hanging="720"/>
    </w:pPr>
  </w:style>
  <w:style w:type="paragraph" w:styleId="Index1">
    <w:name w:val="index 1"/>
    <w:basedOn w:val="Normal"/>
    <w:next w:val="Normal"/>
    <w:semiHidden/>
    <w:rsid w:val="00573A46"/>
    <w:pPr>
      <w:tabs>
        <w:tab w:val="left" w:leader="dot" w:pos="9000"/>
        <w:tab w:val="right" w:pos="9360"/>
      </w:tabs>
      <w:ind w:left="1440" w:right="720" w:hanging="1440"/>
    </w:pPr>
  </w:style>
  <w:style w:type="paragraph" w:styleId="Index2">
    <w:name w:val="index 2"/>
    <w:basedOn w:val="Normal"/>
    <w:next w:val="Normal"/>
    <w:semiHidden/>
    <w:rsid w:val="00573A46"/>
    <w:pPr>
      <w:tabs>
        <w:tab w:val="left" w:leader="dot" w:pos="9000"/>
        <w:tab w:val="right" w:pos="9360"/>
      </w:tabs>
      <w:ind w:left="1440" w:right="720" w:hanging="720"/>
    </w:pPr>
  </w:style>
  <w:style w:type="paragraph" w:styleId="TitreTR">
    <w:name w:val="toa heading"/>
    <w:basedOn w:val="Normal"/>
    <w:next w:val="Normal"/>
    <w:semiHidden/>
    <w:rsid w:val="00573A46"/>
    <w:pPr>
      <w:tabs>
        <w:tab w:val="left" w:pos="9000"/>
        <w:tab w:val="right" w:pos="9360"/>
      </w:tabs>
    </w:pPr>
  </w:style>
  <w:style w:type="paragraph" w:styleId="Lgende">
    <w:name w:val="caption"/>
    <w:aliases w:val="LégendeFigure,Car Car Car,Car Car Car Car Car Car,Car Car,Car,AGT ESIA,Table/Figure Heading,Caption- Figure,Caption- Figure1,Caption- Figure2,Figure Headings,Caption Char,Caption Char Char Char Char,Caption Char Char Char,headings,Map,Annexe Car"/>
    <w:basedOn w:val="Normal"/>
    <w:next w:val="Normal"/>
    <w:link w:val="LgendeCar"/>
    <w:uiPriority w:val="35"/>
    <w:qFormat/>
    <w:rsid w:val="00573A46"/>
  </w:style>
  <w:style w:type="character" w:customStyle="1" w:styleId="LgendeCar">
    <w:name w:val="Légende Car"/>
    <w:aliases w:val="LégendeFigure Car,Car Car Car Car,Car Car Car Car Car Car Car,Car Car Car1,Car Car1,AGT ESIA Car,Table/Figure Heading Car,Caption- Figure Car,Caption- Figure1 Car,Caption- Figure2 Car,Figure Headings Car,Caption Char Car,headings Car,Map Car"/>
    <w:link w:val="Lgende"/>
    <w:uiPriority w:val="35"/>
    <w:qFormat/>
    <w:rsid w:val="00691FA6"/>
    <w:rPr>
      <w:sz w:val="24"/>
    </w:rPr>
  </w:style>
  <w:style w:type="character" w:customStyle="1" w:styleId="EquationCaption">
    <w:name w:val="_Equation Caption"/>
    <w:rsid w:val="00573A46"/>
  </w:style>
  <w:style w:type="character" w:styleId="Appeldenotedefin">
    <w:name w:val="endnote reference"/>
    <w:basedOn w:val="Policepardfaut"/>
    <w:semiHidden/>
    <w:rsid w:val="00573A46"/>
    <w:rPr>
      <w:rFonts w:cs="Times New Roman"/>
      <w:vertAlign w:val="superscript"/>
    </w:rPr>
  </w:style>
  <w:style w:type="character" w:styleId="Appelnotedebasdep">
    <w:name w:val="footnote reference"/>
    <w:aliases w:val="ftref,16 Point,Superscript 6 Point,BVI fnr,Normal + Font:9 Point,Superscript 3 Point Times,Footnote Reference Number,Ref,de nota al pie,note bp,Car Car Char Car Char Car Car Char Car Char Char,16 Point Char Char,fr,R"/>
    <w:basedOn w:val="Policepardfaut"/>
    <w:link w:val="16PointChar"/>
    <w:uiPriority w:val="99"/>
    <w:qFormat/>
    <w:rsid w:val="00573A46"/>
    <w:rPr>
      <w:rFonts w:cs="Times New Roman"/>
      <w:vertAlign w:val="superscript"/>
    </w:rPr>
  </w:style>
  <w:style w:type="paragraph" w:customStyle="1" w:styleId="16PointChar">
    <w:name w:val="16 Point Char"/>
    <w:aliases w:val="Superscript 6 Point Char,ftref Char,BVI fnr Char,Footnote Reference Number Char,Normal + Font:9 Point Char,Superscript 3 Point Times Char"/>
    <w:basedOn w:val="Normal"/>
    <w:next w:val="Normal"/>
    <w:link w:val="Appelnotedebasdep"/>
    <w:uiPriority w:val="99"/>
    <w:rsid w:val="00F90A63"/>
    <w:pPr>
      <w:spacing w:after="160" w:line="240" w:lineRule="exact"/>
      <w:ind w:left="0" w:firstLine="0"/>
      <w:jc w:val="left"/>
    </w:pPr>
    <w:rPr>
      <w:sz w:val="20"/>
      <w:vertAlign w:val="superscript"/>
    </w:rPr>
  </w:style>
  <w:style w:type="paragraph" w:styleId="En-tte">
    <w:name w:val="header"/>
    <w:aliases w:val="heading 3 after h2,h,h3+,ContentsHeader,hd Car,Kopfzeile Char Char, Char Char Char"/>
    <w:basedOn w:val="Normal"/>
    <w:link w:val="En-tteCar"/>
    <w:uiPriority w:val="99"/>
    <w:rsid w:val="00573A46"/>
    <w:pPr>
      <w:jc w:val="left"/>
    </w:pPr>
    <w:rPr>
      <w:sz w:val="20"/>
    </w:rPr>
  </w:style>
  <w:style w:type="character" w:customStyle="1" w:styleId="En-tteCar">
    <w:name w:val="En-tête Car"/>
    <w:aliases w:val="heading 3 after h2 Car,h Car,h3+ Car,ContentsHeader Car,hd Car Car,Kopfzeile Char Char Car, Char Char Char Car"/>
    <w:basedOn w:val="Policepardfaut"/>
    <w:link w:val="En-tte"/>
    <w:uiPriority w:val="99"/>
    <w:rsid w:val="006469DC"/>
    <w:rPr>
      <w:sz w:val="24"/>
    </w:rPr>
  </w:style>
  <w:style w:type="paragraph" w:styleId="Pieddepage">
    <w:name w:val="footer"/>
    <w:basedOn w:val="Normal"/>
    <w:link w:val="PieddepageCar"/>
    <w:uiPriority w:val="99"/>
    <w:rsid w:val="00573A46"/>
    <w:pPr>
      <w:jc w:val="left"/>
    </w:pPr>
    <w:rPr>
      <w:sz w:val="20"/>
    </w:rPr>
  </w:style>
  <w:style w:type="character" w:customStyle="1" w:styleId="PieddepageCar">
    <w:name w:val="Pied de page Car"/>
    <w:basedOn w:val="Policepardfaut"/>
    <w:link w:val="Pieddepage"/>
    <w:uiPriority w:val="99"/>
    <w:rsid w:val="006469DC"/>
    <w:rPr>
      <w:sz w:val="24"/>
    </w:rPr>
  </w:style>
  <w:style w:type="character" w:styleId="Numrodepage">
    <w:name w:val="page number"/>
    <w:basedOn w:val="Policepardfaut"/>
    <w:rsid w:val="00573A46"/>
    <w:rPr>
      <w:rFonts w:cs="Times New Roman"/>
    </w:rPr>
  </w:style>
  <w:style w:type="paragraph" w:styleId="Notedebasdepage">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NotedebasdepageCar"/>
    <w:uiPriority w:val="99"/>
    <w:qFormat/>
    <w:rsid w:val="00116CCD"/>
    <w:pPr>
      <w:spacing w:after="120"/>
      <w:ind w:left="360" w:hanging="360"/>
    </w:pPr>
    <w:rPr>
      <w:sz w:val="20"/>
    </w:rPr>
  </w:style>
  <w:style w:type="character" w:customStyle="1" w:styleId="NotedebasdepageCar">
    <w:name w:val="Note de bas de page Car"/>
    <w:aliases w:val="Footnote Car,Footnote Text Char2 Char Car,Footnote Text Char Char1 Char1 Car,Footnote Text Char1 Char Char Char1 Car,Footnote Text Char Char Char Char Char Car,Footnote Text Char1 Char1 Char Car,single space Car,footnote text Car"/>
    <w:basedOn w:val="Policepardfaut"/>
    <w:link w:val="Notedebasdepage"/>
    <w:uiPriority w:val="99"/>
    <w:locked/>
    <w:rsid w:val="00116CCD"/>
  </w:style>
  <w:style w:type="paragraph" w:customStyle="1" w:styleId="Head21">
    <w:name w:val="Head 2.1"/>
    <w:basedOn w:val="Normal"/>
    <w:rsid w:val="00573A46"/>
    <w:pPr>
      <w:jc w:val="center"/>
    </w:pPr>
    <w:rPr>
      <w:b/>
      <w:sz w:val="28"/>
    </w:rPr>
  </w:style>
  <w:style w:type="paragraph" w:customStyle="1" w:styleId="Head22">
    <w:name w:val="Head 2.2"/>
    <w:basedOn w:val="Normal"/>
    <w:rsid w:val="00573A46"/>
    <w:pPr>
      <w:tabs>
        <w:tab w:val="left" w:pos="360"/>
      </w:tabs>
      <w:ind w:left="360" w:hanging="360"/>
      <w:jc w:val="left"/>
    </w:pPr>
    <w:rPr>
      <w:b/>
    </w:rPr>
  </w:style>
  <w:style w:type="paragraph" w:customStyle="1" w:styleId="Head32">
    <w:name w:val="Head 3.2"/>
    <w:basedOn w:val="Normal"/>
    <w:rsid w:val="00573A46"/>
    <w:pPr>
      <w:tabs>
        <w:tab w:val="left" w:pos="360"/>
      </w:tabs>
      <w:ind w:left="360" w:hanging="360"/>
      <w:jc w:val="left"/>
    </w:pPr>
    <w:rPr>
      <w:b/>
    </w:rPr>
  </w:style>
  <w:style w:type="paragraph" w:customStyle="1" w:styleId="Head31">
    <w:name w:val="Head 3.1"/>
    <w:basedOn w:val="Normal"/>
    <w:rsid w:val="00573A46"/>
    <w:pPr>
      <w:jc w:val="center"/>
    </w:pPr>
    <w:rPr>
      <w:b/>
      <w:sz w:val="28"/>
    </w:rPr>
  </w:style>
  <w:style w:type="paragraph" w:customStyle="1" w:styleId="Head81">
    <w:name w:val="Head 8.1"/>
    <w:basedOn w:val="Normal"/>
    <w:link w:val="Head81Char"/>
    <w:rsid w:val="00573A46"/>
    <w:pPr>
      <w:jc w:val="center"/>
    </w:pPr>
    <w:rPr>
      <w:b/>
      <w:sz w:val="28"/>
    </w:rPr>
  </w:style>
  <w:style w:type="character" w:customStyle="1" w:styleId="Head81Char">
    <w:name w:val="Head 8.1 Char"/>
    <w:basedOn w:val="Policepardfaut"/>
    <w:link w:val="Head81"/>
    <w:rsid w:val="00E33019"/>
    <w:rPr>
      <w:b/>
      <w:sz w:val="28"/>
    </w:rPr>
  </w:style>
  <w:style w:type="paragraph" w:customStyle="1" w:styleId="Head41">
    <w:name w:val="Head 4.1"/>
    <w:basedOn w:val="Normal"/>
    <w:rsid w:val="00573A46"/>
    <w:pPr>
      <w:jc w:val="center"/>
    </w:pPr>
    <w:rPr>
      <w:b/>
      <w:sz w:val="28"/>
    </w:rPr>
  </w:style>
  <w:style w:type="paragraph" w:customStyle="1" w:styleId="Head42">
    <w:name w:val="Head 4.2"/>
    <w:basedOn w:val="Normal"/>
    <w:rsid w:val="00573A46"/>
    <w:pPr>
      <w:tabs>
        <w:tab w:val="left" w:pos="360"/>
      </w:tabs>
      <w:ind w:left="360" w:hanging="360"/>
      <w:jc w:val="left"/>
    </w:pPr>
    <w:rPr>
      <w:b/>
    </w:rPr>
  </w:style>
  <w:style w:type="paragraph" w:customStyle="1" w:styleId="i">
    <w:name w:val="(i)"/>
    <w:basedOn w:val="Normal"/>
    <w:rsid w:val="00573A46"/>
    <w:rPr>
      <w:rFonts w:ascii="Tms Rmn" w:hAnsi="Tms Rmn"/>
      <w:lang w:val="en-US"/>
    </w:rPr>
  </w:style>
  <w:style w:type="paragraph" w:customStyle="1" w:styleId="explanatoryclause">
    <w:name w:val="explanatory_clause"/>
    <w:basedOn w:val="Normal"/>
    <w:rsid w:val="00573A46"/>
    <w:pPr>
      <w:spacing w:after="240"/>
      <w:ind w:left="738" w:right="-14" w:hanging="738"/>
      <w:jc w:val="left"/>
    </w:pPr>
    <w:rPr>
      <w:rFonts w:ascii="Arial" w:hAnsi="Arial"/>
      <w:sz w:val="22"/>
      <w:lang w:val="en-US"/>
    </w:rPr>
  </w:style>
  <w:style w:type="character" w:styleId="Lienhypertexte">
    <w:name w:val="Hyperlink"/>
    <w:basedOn w:val="Policepardfaut"/>
    <w:uiPriority w:val="99"/>
    <w:rsid w:val="00573A46"/>
    <w:rPr>
      <w:rFonts w:cs="Times New Roman"/>
      <w:color w:val="0000FF"/>
      <w:u w:val="single"/>
    </w:rPr>
  </w:style>
  <w:style w:type="paragraph" w:customStyle="1" w:styleId="Outline">
    <w:name w:val="Outline"/>
    <w:basedOn w:val="Normal"/>
    <w:rsid w:val="00573A46"/>
    <w:pPr>
      <w:spacing w:before="240"/>
      <w:jc w:val="left"/>
    </w:pPr>
    <w:rPr>
      <w:kern w:val="28"/>
    </w:rPr>
  </w:style>
  <w:style w:type="paragraph" w:styleId="Titre">
    <w:name w:val="Title"/>
    <w:basedOn w:val="Normal"/>
    <w:link w:val="TitreCar"/>
    <w:uiPriority w:val="10"/>
    <w:qFormat/>
    <w:rsid w:val="00573A46"/>
    <w:pPr>
      <w:jc w:val="center"/>
    </w:pPr>
    <w:rPr>
      <w:b/>
      <w:sz w:val="48"/>
      <w:lang w:val="es-ES_tradnl"/>
    </w:rPr>
  </w:style>
  <w:style w:type="character" w:customStyle="1" w:styleId="TitreCar">
    <w:name w:val="Titre Car"/>
    <w:basedOn w:val="Policepardfaut"/>
    <w:link w:val="Titre"/>
    <w:uiPriority w:val="10"/>
    <w:rsid w:val="006469DC"/>
    <w:rPr>
      <w:rFonts w:ascii="Cambria" w:eastAsia="Times New Roman" w:hAnsi="Cambria" w:cs="Times New Roman"/>
      <w:b/>
      <w:bCs/>
      <w:kern w:val="28"/>
      <w:sz w:val="32"/>
      <w:szCs w:val="32"/>
    </w:rPr>
  </w:style>
  <w:style w:type="paragraph" w:customStyle="1" w:styleId="Subtitle2">
    <w:name w:val="Subtitle 2"/>
    <w:basedOn w:val="Pieddepage"/>
    <w:rsid w:val="00573A46"/>
    <w:pPr>
      <w:spacing w:before="120"/>
      <w:jc w:val="center"/>
    </w:pPr>
    <w:rPr>
      <w:b/>
      <w:sz w:val="32"/>
    </w:rPr>
  </w:style>
  <w:style w:type="paragraph" w:styleId="Liste">
    <w:name w:val="List"/>
    <w:aliases w:val="1. List"/>
    <w:basedOn w:val="Normal"/>
    <w:rsid w:val="00573A46"/>
    <w:pPr>
      <w:spacing w:before="120" w:after="120"/>
      <w:ind w:left="1440"/>
    </w:pPr>
    <w:rPr>
      <w:lang w:val="en-US"/>
    </w:rPr>
  </w:style>
  <w:style w:type="paragraph" w:customStyle="1" w:styleId="Outline1">
    <w:name w:val="Outline1"/>
    <w:basedOn w:val="Outline"/>
    <w:next w:val="Outline2"/>
    <w:rsid w:val="00573A46"/>
    <w:pPr>
      <w:keepNext/>
      <w:tabs>
        <w:tab w:val="left" w:pos="432"/>
      </w:tabs>
      <w:ind w:left="432" w:hanging="432"/>
    </w:pPr>
  </w:style>
  <w:style w:type="paragraph" w:customStyle="1" w:styleId="Outline2">
    <w:name w:val="Outline2"/>
    <w:basedOn w:val="Normal"/>
    <w:rsid w:val="00573A46"/>
    <w:pPr>
      <w:tabs>
        <w:tab w:val="left" w:pos="864"/>
      </w:tabs>
      <w:spacing w:before="240"/>
      <w:ind w:left="864" w:hanging="504"/>
      <w:jc w:val="left"/>
    </w:pPr>
    <w:rPr>
      <w:kern w:val="28"/>
    </w:rPr>
  </w:style>
  <w:style w:type="paragraph" w:customStyle="1" w:styleId="Outline3">
    <w:name w:val="Outline3"/>
    <w:basedOn w:val="Normal"/>
    <w:rsid w:val="00573A46"/>
    <w:pPr>
      <w:tabs>
        <w:tab w:val="left" w:pos="1368"/>
      </w:tabs>
      <w:spacing w:before="240"/>
      <w:ind w:left="1368" w:hanging="504"/>
      <w:jc w:val="left"/>
    </w:pPr>
    <w:rPr>
      <w:kern w:val="28"/>
    </w:rPr>
  </w:style>
  <w:style w:type="paragraph" w:customStyle="1" w:styleId="Outline4">
    <w:name w:val="Outline4"/>
    <w:basedOn w:val="Normal"/>
    <w:rsid w:val="00573A46"/>
    <w:pPr>
      <w:tabs>
        <w:tab w:val="left" w:pos="1872"/>
      </w:tabs>
      <w:spacing w:before="240"/>
      <w:ind w:left="1872" w:hanging="504"/>
      <w:jc w:val="left"/>
    </w:pPr>
    <w:rPr>
      <w:kern w:val="28"/>
    </w:rPr>
  </w:style>
  <w:style w:type="paragraph" w:customStyle="1" w:styleId="outlinebullet">
    <w:name w:val="outlinebullet"/>
    <w:basedOn w:val="Normal"/>
    <w:rsid w:val="00573A46"/>
    <w:pPr>
      <w:tabs>
        <w:tab w:val="left" w:pos="1440"/>
      </w:tabs>
      <w:spacing w:before="120"/>
      <w:ind w:left="1440" w:hanging="450"/>
      <w:jc w:val="left"/>
    </w:pPr>
  </w:style>
  <w:style w:type="paragraph" w:customStyle="1" w:styleId="BodyText21">
    <w:name w:val="Body Text 21"/>
    <w:basedOn w:val="Normal"/>
    <w:link w:val="BodyText21Char"/>
    <w:rsid w:val="00573A46"/>
    <w:pPr>
      <w:spacing w:before="120" w:after="120"/>
      <w:jc w:val="center"/>
    </w:pPr>
    <w:rPr>
      <w:b/>
      <w:sz w:val="28"/>
      <w:lang w:val="es-ES_tradnl"/>
    </w:rPr>
  </w:style>
  <w:style w:type="character" w:customStyle="1" w:styleId="BodyText21Char">
    <w:name w:val="Body Text 21 Char"/>
    <w:basedOn w:val="Policepardfaut"/>
    <w:link w:val="BodyText21"/>
    <w:rsid w:val="00AD134E"/>
    <w:rPr>
      <w:b/>
      <w:sz w:val="28"/>
      <w:lang w:val="es-ES_tradnl"/>
    </w:rPr>
  </w:style>
  <w:style w:type="paragraph" w:customStyle="1" w:styleId="SectionVIIHeader2">
    <w:name w:val="Section VII Header2"/>
    <w:basedOn w:val="Titre1"/>
    <w:rsid w:val="00573A46"/>
    <w:pPr>
      <w:tabs>
        <w:tab w:val="left" w:pos="360"/>
      </w:tabs>
      <w:ind w:left="360" w:hanging="360"/>
      <w:outlineLvl w:val="9"/>
    </w:pPr>
    <w:rPr>
      <w:kern w:val="28"/>
      <w:sz w:val="32"/>
    </w:rPr>
  </w:style>
  <w:style w:type="paragraph" w:customStyle="1" w:styleId="2AutoList1">
    <w:name w:val="2AutoList1"/>
    <w:basedOn w:val="Normal"/>
    <w:rsid w:val="00573A46"/>
    <w:pPr>
      <w:tabs>
        <w:tab w:val="left" w:pos="504"/>
      </w:tabs>
      <w:ind w:left="504" w:hanging="504"/>
    </w:pPr>
    <w:rPr>
      <w:lang w:val="es-ES_tradnl"/>
    </w:rPr>
  </w:style>
  <w:style w:type="paragraph" w:customStyle="1" w:styleId="Header3-Paragraph">
    <w:name w:val="Header 3 - Paragraph"/>
    <w:basedOn w:val="Normal"/>
    <w:rsid w:val="00573A46"/>
    <w:pPr>
      <w:tabs>
        <w:tab w:val="left" w:pos="504"/>
      </w:tabs>
      <w:ind w:left="504" w:hanging="504"/>
    </w:pPr>
    <w:rPr>
      <w:lang w:val="en-US"/>
    </w:rPr>
  </w:style>
  <w:style w:type="paragraph" w:customStyle="1" w:styleId="P3Header1-Clauses">
    <w:name w:val="P3 Header1-Clauses"/>
    <w:basedOn w:val="Header1-Clauses"/>
    <w:rsid w:val="00573A46"/>
    <w:pPr>
      <w:tabs>
        <w:tab w:val="left" w:pos="864"/>
      </w:tabs>
      <w:ind w:left="864"/>
    </w:pPr>
  </w:style>
  <w:style w:type="paragraph" w:customStyle="1" w:styleId="Header1-Clauses">
    <w:name w:val="Header 1 - Clauses"/>
    <w:basedOn w:val="Normal"/>
    <w:link w:val="Header1-ClausesChar"/>
    <w:rsid w:val="004E0251"/>
    <w:pPr>
      <w:tabs>
        <w:tab w:val="left" w:pos="432"/>
      </w:tabs>
      <w:ind w:left="432" w:hanging="432"/>
      <w:jc w:val="left"/>
    </w:pPr>
    <w:rPr>
      <w:b/>
      <w:lang w:val="es-ES_tradnl"/>
    </w:rPr>
  </w:style>
  <w:style w:type="character" w:customStyle="1" w:styleId="Header1-ClausesChar">
    <w:name w:val="Header 1 - Clauses Char"/>
    <w:basedOn w:val="Policepardfaut"/>
    <w:link w:val="Header1-Clauses"/>
    <w:rsid w:val="00AD134E"/>
    <w:rPr>
      <w:b/>
      <w:sz w:val="24"/>
      <w:lang w:val="es-ES_tradnl"/>
    </w:rPr>
  </w:style>
  <w:style w:type="paragraph" w:customStyle="1" w:styleId="SectionXHeader3">
    <w:name w:val="Section X Header 3"/>
    <w:basedOn w:val="Titre1"/>
    <w:rsid w:val="00573A46"/>
    <w:pPr>
      <w:outlineLvl w:val="9"/>
    </w:pPr>
    <w:rPr>
      <w:sz w:val="40"/>
    </w:rPr>
  </w:style>
  <w:style w:type="paragraph" w:styleId="Sous-titre">
    <w:name w:val="Subtitle"/>
    <w:basedOn w:val="Normal"/>
    <w:link w:val="Sous-titreCar"/>
    <w:qFormat/>
    <w:rsid w:val="00573A46"/>
    <w:pPr>
      <w:jc w:val="center"/>
    </w:pPr>
    <w:rPr>
      <w:b/>
      <w:sz w:val="44"/>
      <w:lang w:val="es-ES_tradnl"/>
    </w:rPr>
  </w:style>
  <w:style w:type="character" w:customStyle="1" w:styleId="Sous-titreCar">
    <w:name w:val="Sous-titre Car"/>
    <w:basedOn w:val="Policepardfaut"/>
    <w:link w:val="Sous-titre"/>
    <w:rsid w:val="006469DC"/>
    <w:rPr>
      <w:rFonts w:ascii="Cambria" w:eastAsia="Times New Roman" w:hAnsi="Cambria" w:cs="Times New Roman"/>
      <w:sz w:val="24"/>
      <w:szCs w:val="24"/>
    </w:rPr>
  </w:style>
  <w:style w:type="paragraph" w:customStyle="1" w:styleId="Header2-SubClauses">
    <w:name w:val="Header 2 - SubClauses"/>
    <w:basedOn w:val="Normal"/>
    <w:rsid w:val="00573A46"/>
    <w:pPr>
      <w:tabs>
        <w:tab w:val="left" w:pos="619"/>
      </w:tabs>
    </w:pPr>
    <w:rPr>
      <w:lang w:val="es-ES_tradnl"/>
    </w:rPr>
  </w:style>
  <w:style w:type="paragraph" w:styleId="Retraitcorpsdetexte3">
    <w:name w:val="Body Text Indent 3"/>
    <w:basedOn w:val="Normal"/>
    <w:link w:val="Retraitcorpsdetexte3Car"/>
    <w:rsid w:val="00573A46"/>
    <w:pPr>
      <w:spacing w:before="240"/>
    </w:pPr>
    <w:rPr>
      <w:lang w:val="en-US"/>
    </w:rPr>
  </w:style>
  <w:style w:type="character" w:customStyle="1" w:styleId="Retraitcorpsdetexte3Car">
    <w:name w:val="Retrait corps de texte 3 Car"/>
    <w:basedOn w:val="Policepardfaut"/>
    <w:link w:val="Retraitcorpsdetexte3"/>
    <w:rsid w:val="006469DC"/>
    <w:rPr>
      <w:sz w:val="16"/>
      <w:szCs w:val="16"/>
    </w:rPr>
  </w:style>
  <w:style w:type="paragraph" w:styleId="Retraitcorpsdetexte2">
    <w:name w:val="Body Text Indent 2"/>
    <w:basedOn w:val="Normal"/>
    <w:link w:val="Retraitcorpsdetexte2Car"/>
    <w:rsid w:val="00573A46"/>
    <w:pPr>
      <w:ind w:left="360" w:firstLine="360"/>
    </w:pPr>
    <w:rPr>
      <w:lang w:val="es-ES_tradnl"/>
    </w:rPr>
  </w:style>
  <w:style w:type="character" w:customStyle="1" w:styleId="Retraitcorpsdetexte2Car">
    <w:name w:val="Retrait corps de texte 2 Car"/>
    <w:basedOn w:val="Policepardfaut"/>
    <w:link w:val="Retraitcorpsdetexte2"/>
    <w:rsid w:val="006469DC"/>
    <w:rPr>
      <w:sz w:val="24"/>
    </w:rPr>
  </w:style>
  <w:style w:type="paragraph" w:styleId="Corpsdetexte2">
    <w:name w:val="Body Text 2"/>
    <w:basedOn w:val="Normal"/>
    <w:link w:val="Corpsdetexte2Car"/>
    <w:rsid w:val="00573A46"/>
    <w:pPr>
      <w:ind w:left="720"/>
    </w:pPr>
    <w:rPr>
      <w:lang w:val="es-ES_tradnl"/>
    </w:rPr>
  </w:style>
  <w:style w:type="character" w:customStyle="1" w:styleId="Corpsdetexte2Car">
    <w:name w:val="Corps de texte 2 Car"/>
    <w:basedOn w:val="Policepardfaut"/>
    <w:link w:val="Corpsdetexte2"/>
    <w:rsid w:val="006469DC"/>
    <w:rPr>
      <w:sz w:val="24"/>
    </w:rPr>
  </w:style>
  <w:style w:type="paragraph" w:customStyle="1" w:styleId="SectionVHeader">
    <w:name w:val="Section V. Header"/>
    <w:basedOn w:val="Normal"/>
    <w:link w:val="SectionVHeaderChar"/>
    <w:rsid w:val="00573A46"/>
    <w:pPr>
      <w:jc w:val="center"/>
    </w:pPr>
    <w:rPr>
      <w:b/>
      <w:sz w:val="36"/>
      <w:lang w:val="es-ES_tradnl"/>
    </w:rPr>
  </w:style>
  <w:style w:type="character" w:customStyle="1" w:styleId="SectionVHeaderChar">
    <w:name w:val="Section V. Header Char"/>
    <w:basedOn w:val="Policepardfaut"/>
    <w:link w:val="SectionVHeader"/>
    <w:rsid w:val="00E33019"/>
    <w:rPr>
      <w:b/>
      <w:sz w:val="36"/>
      <w:lang w:val="es-ES_tradnl"/>
    </w:rPr>
  </w:style>
  <w:style w:type="paragraph" w:customStyle="1" w:styleId="BankNormal">
    <w:name w:val="BankNormal"/>
    <w:basedOn w:val="Normal"/>
    <w:rsid w:val="00573A46"/>
    <w:pPr>
      <w:spacing w:after="240"/>
      <w:jc w:val="left"/>
    </w:pPr>
    <w:rPr>
      <w:lang w:val="en-US"/>
    </w:rPr>
  </w:style>
  <w:style w:type="paragraph" w:styleId="Corpsdetexte">
    <w:name w:val="Body Text"/>
    <w:basedOn w:val="Normal"/>
    <w:link w:val="CorpsdetexteCar"/>
    <w:qFormat/>
    <w:rsid w:val="00573A46"/>
    <w:rPr>
      <w:lang w:val="es-ES_tradnl"/>
    </w:rPr>
  </w:style>
  <w:style w:type="character" w:customStyle="1" w:styleId="CorpsdetexteCar">
    <w:name w:val="Corps de texte Car"/>
    <w:basedOn w:val="Policepardfaut"/>
    <w:link w:val="Corpsdetexte"/>
    <w:rsid w:val="006469DC"/>
    <w:rPr>
      <w:sz w:val="24"/>
    </w:rPr>
  </w:style>
  <w:style w:type="paragraph" w:customStyle="1" w:styleId="TOCNumber1">
    <w:name w:val="TOC Number1"/>
    <w:basedOn w:val="Titre4"/>
    <w:rsid w:val="00573A46"/>
    <w:pPr>
      <w:numPr>
        <w:ilvl w:val="0"/>
        <w:numId w:val="0"/>
      </w:numPr>
      <w:tabs>
        <w:tab w:val="clear" w:pos="1512"/>
      </w:tabs>
      <w:spacing w:after="0"/>
      <w:jc w:val="left"/>
      <w:outlineLvl w:val="9"/>
    </w:pPr>
    <w:rPr>
      <w:b/>
      <w:lang w:val="fr-FR"/>
    </w:rPr>
  </w:style>
  <w:style w:type="paragraph" w:styleId="Corpsdetexte3">
    <w:name w:val="Body Text 3"/>
    <w:basedOn w:val="Normal"/>
    <w:link w:val="Corpsdetexte3Car"/>
    <w:rsid w:val="00573A46"/>
    <w:pPr>
      <w:jc w:val="center"/>
    </w:pPr>
    <w:rPr>
      <w:rFonts w:ascii="Times New Roman Bold" w:hAnsi="Times New Roman Bold"/>
      <w:spacing w:val="80"/>
      <w:sz w:val="40"/>
    </w:rPr>
  </w:style>
  <w:style w:type="character" w:customStyle="1" w:styleId="Corpsdetexte3Car">
    <w:name w:val="Corps de texte 3 Car"/>
    <w:basedOn w:val="Policepardfaut"/>
    <w:link w:val="Corpsdetexte3"/>
    <w:rsid w:val="006469DC"/>
    <w:rPr>
      <w:sz w:val="16"/>
      <w:szCs w:val="16"/>
    </w:rPr>
  </w:style>
  <w:style w:type="paragraph" w:styleId="Explorateurdedocuments">
    <w:name w:val="Document Map"/>
    <w:basedOn w:val="Normal"/>
    <w:link w:val="ExplorateurdedocumentsCar"/>
    <w:rsid w:val="00573A46"/>
    <w:pPr>
      <w:shd w:val="clear" w:color="auto" w:fill="000080"/>
      <w:jc w:val="left"/>
    </w:pPr>
    <w:rPr>
      <w:rFonts w:ascii="Tahoma" w:hAnsi="Tahoma"/>
    </w:rPr>
  </w:style>
  <w:style w:type="character" w:customStyle="1" w:styleId="ExplorateurdedocumentsCar">
    <w:name w:val="Explorateur de documents Car"/>
    <w:basedOn w:val="Policepardfaut"/>
    <w:link w:val="Explorateurdedocuments"/>
    <w:rsid w:val="006469DC"/>
    <w:rPr>
      <w:sz w:val="0"/>
      <w:szCs w:val="0"/>
    </w:rPr>
  </w:style>
  <w:style w:type="paragraph" w:customStyle="1" w:styleId="explanatorynotes">
    <w:name w:val="explanatory_notes"/>
    <w:basedOn w:val="Normal"/>
    <w:rsid w:val="00573A46"/>
    <w:pPr>
      <w:spacing w:after="120" w:line="360" w:lineRule="exact"/>
    </w:pPr>
    <w:rPr>
      <w:rFonts w:ascii="Arial" w:hAnsi="Arial"/>
      <w:sz w:val="22"/>
      <w:lang w:val="en-US"/>
    </w:rPr>
  </w:style>
  <w:style w:type="paragraph" w:customStyle="1" w:styleId="Sub-ClauseText">
    <w:name w:val="Sub-Clause Text"/>
    <w:basedOn w:val="Normal"/>
    <w:rsid w:val="00573A46"/>
    <w:pPr>
      <w:spacing w:before="120" w:after="120"/>
    </w:pPr>
    <w:rPr>
      <w:spacing w:val="-4"/>
      <w:lang w:val="en-US"/>
    </w:rPr>
  </w:style>
  <w:style w:type="paragraph" w:customStyle="1" w:styleId="SectionVIHeader">
    <w:name w:val="Section VI. Header"/>
    <w:basedOn w:val="SectionVHeader"/>
    <w:rsid w:val="00573A46"/>
    <w:rPr>
      <w:lang w:val="en-US"/>
    </w:rPr>
  </w:style>
  <w:style w:type="paragraph" w:styleId="Textedebulles">
    <w:name w:val="Balloon Text"/>
    <w:basedOn w:val="Normal"/>
    <w:link w:val="TextedebullesCar"/>
    <w:uiPriority w:val="99"/>
    <w:rsid w:val="00573A46"/>
    <w:pPr>
      <w:jc w:val="left"/>
    </w:pPr>
    <w:rPr>
      <w:rFonts w:ascii="Tahoma" w:hAnsi="Tahoma"/>
      <w:sz w:val="16"/>
    </w:rPr>
  </w:style>
  <w:style w:type="character" w:customStyle="1" w:styleId="TextedebullesCar">
    <w:name w:val="Texte de bulles Car"/>
    <w:basedOn w:val="Policepardfaut"/>
    <w:link w:val="Textedebulles"/>
    <w:uiPriority w:val="99"/>
    <w:rsid w:val="006469DC"/>
    <w:rPr>
      <w:sz w:val="0"/>
      <w:szCs w:val="0"/>
    </w:rPr>
  </w:style>
  <w:style w:type="character" w:customStyle="1" w:styleId="Table">
    <w:name w:val="Table"/>
    <w:basedOn w:val="Policepardfaut"/>
    <w:rsid w:val="00573A46"/>
    <w:rPr>
      <w:rFonts w:ascii="Arial" w:hAnsi="Arial" w:cs="Times New Roman"/>
      <w:sz w:val="20"/>
    </w:rPr>
  </w:style>
  <w:style w:type="paragraph" w:customStyle="1" w:styleId="Head2">
    <w:name w:val="Head 2"/>
    <w:basedOn w:val="Titre9"/>
    <w:rsid w:val="00573A46"/>
    <w:pPr>
      <w:keepNext/>
      <w:widowControl w:val="0"/>
      <w:numPr>
        <w:ilvl w:val="0"/>
        <w:numId w:val="0"/>
      </w:numPr>
      <w:tabs>
        <w:tab w:val="clear" w:pos="1584"/>
      </w:tabs>
      <w:suppressAutoHyphens/>
      <w:spacing w:before="0" w:after="0"/>
      <w:outlineLvl w:val="9"/>
    </w:pPr>
    <w:rPr>
      <w:rFonts w:ascii="Times New Roman Bold" w:hAnsi="Times New Roman Bold"/>
      <w:b w:val="0"/>
      <w:i w:val="0"/>
      <w:spacing w:val="-4"/>
      <w:sz w:val="32"/>
      <w:lang w:val="en-US"/>
    </w:rPr>
  </w:style>
  <w:style w:type="character" w:customStyle="1" w:styleId="Parahead">
    <w:name w:val="Para head"/>
    <w:basedOn w:val="Policepardfaut"/>
    <w:rsid w:val="00573A46"/>
    <w:rPr>
      <w:rFonts w:cs="Times New Roman"/>
      <w:sz w:val="20"/>
    </w:rPr>
  </w:style>
  <w:style w:type="paragraph" w:customStyle="1" w:styleId="sectionIIIheader">
    <w:name w:val="section III header"/>
    <w:basedOn w:val="Normal"/>
    <w:rsid w:val="00573A46"/>
    <w:pPr>
      <w:spacing w:before="240"/>
      <w:jc w:val="left"/>
    </w:pPr>
    <w:rPr>
      <w:rFonts w:ascii="Arial Black" w:hAnsi="Arial Black"/>
      <w:lang w:val="en-US"/>
    </w:rPr>
  </w:style>
  <w:style w:type="paragraph" w:customStyle="1" w:styleId="titulo">
    <w:name w:val="titulo"/>
    <w:basedOn w:val="Titre5"/>
    <w:rsid w:val="00573A46"/>
    <w:pPr>
      <w:spacing w:before="0" w:after="240"/>
      <w:outlineLvl w:val="9"/>
    </w:pPr>
    <w:rPr>
      <w:rFonts w:ascii="Times New Roman Bold" w:hAnsi="Times New Roman Bold"/>
      <w:sz w:val="24"/>
      <w:lang w:val="en-US"/>
    </w:rPr>
  </w:style>
  <w:style w:type="paragraph" w:customStyle="1" w:styleId="Part">
    <w:name w:val="Part"/>
    <w:basedOn w:val="Normal"/>
    <w:next w:val="Normal"/>
    <w:link w:val="PartChar"/>
    <w:rsid w:val="00D369AE"/>
    <w:pPr>
      <w:spacing w:before="1200"/>
      <w:jc w:val="center"/>
    </w:pPr>
    <w:rPr>
      <w:b/>
      <w:sz w:val="56"/>
    </w:rPr>
  </w:style>
  <w:style w:type="character" w:customStyle="1" w:styleId="PartChar">
    <w:name w:val="Part Char"/>
    <w:basedOn w:val="Policepardfaut"/>
    <w:link w:val="Part"/>
    <w:rsid w:val="00AD134E"/>
    <w:rPr>
      <w:b/>
      <w:sz w:val="56"/>
    </w:rPr>
  </w:style>
  <w:style w:type="paragraph" w:customStyle="1" w:styleId="StyleHeader1-ClausesLeft0Firstline0">
    <w:name w:val="Style Header 1 - Clauses + Left:  0&quot; First line:  0&quot;"/>
    <w:basedOn w:val="Header1-Clauses"/>
    <w:rsid w:val="004E0251"/>
    <w:rPr>
      <w:bCs/>
    </w:rPr>
  </w:style>
  <w:style w:type="paragraph" w:customStyle="1" w:styleId="SectionIVHeader">
    <w:name w:val="Section IV Header"/>
    <w:basedOn w:val="SectionVHeader"/>
    <w:link w:val="SectionIVHeaderChar"/>
    <w:rsid w:val="00246C13"/>
    <w:rPr>
      <w:lang w:val="fr-FR"/>
    </w:rPr>
  </w:style>
  <w:style w:type="character" w:customStyle="1" w:styleId="SectionIVHeaderChar">
    <w:name w:val="Section IV Header Char"/>
    <w:basedOn w:val="SectionVHeaderChar"/>
    <w:link w:val="SectionIVHeader"/>
    <w:rsid w:val="00E33019"/>
    <w:rPr>
      <w:b/>
      <w:sz w:val="36"/>
      <w:lang w:val="es-ES_tradnl"/>
    </w:rPr>
  </w:style>
  <w:style w:type="paragraph" w:customStyle="1" w:styleId="SectionIVHeader-2">
    <w:name w:val="Section IV Header - 2"/>
    <w:basedOn w:val="Head81"/>
    <w:link w:val="SectionIVHeader-2Char"/>
    <w:rsid w:val="00246C13"/>
  </w:style>
  <w:style w:type="character" w:customStyle="1" w:styleId="SectionIVHeader-2Char">
    <w:name w:val="Section IV Header - 2 Char"/>
    <w:basedOn w:val="Head81Char"/>
    <w:link w:val="SectionIVHeader-2"/>
    <w:rsid w:val="00E33019"/>
    <w:rPr>
      <w:b/>
      <w:sz w:val="28"/>
    </w:rPr>
  </w:style>
  <w:style w:type="paragraph" w:customStyle="1" w:styleId="StyleSectionIVHeader-2Centered">
    <w:name w:val="Style Section IV Header - 2 + Centered"/>
    <w:basedOn w:val="SectionIVHeader-2"/>
    <w:rsid w:val="00246C13"/>
    <w:rPr>
      <w:bCs/>
    </w:rPr>
  </w:style>
  <w:style w:type="table" w:styleId="Grilledutableau">
    <w:name w:val="Table Grid"/>
    <w:basedOn w:val="TableauNormal"/>
    <w:uiPriority w:val="39"/>
    <w:rsid w:val="00246C13"/>
    <w:pPr>
      <w:suppressAutoHyphens/>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IXHeading">
    <w:name w:val="Section IX Heading"/>
    <w:basedOn w:val="Head81"/>
    <w:rsid w:val="004F08AB"/>
    <w:pPr>
      <w:spacing w:before="240" w:after="240"/>
    </w:pPr>
    <w:rPr>
      <w:sz w:val="32"/>
    </w:rPr>
  </w:style>
  <w:style w:type="paragraph" w:customStyle="1" w:styleId="Section1Header1">
    <w:name w:val="Section 1 Header 1"/>
    <w:basedOn w:val="BodyText21"/>
    <w:link w:val="Section1Header1Char"/>
    <w:rsid w:val="000F0869"/>
    <w:rPr>
      <w:lang w:val="fr-FR"/>
    </w:rPr>
  </w:style>
  <w:style w:type="character" w:customStyle="1" w:styleId="Section1Header1Char">
    <w:name w:val="Section 1 Header 1 Char"/>
    <w:basedOn w:val="BodyText21Char"/>
    <w:link w:val="Section1Header1"/>
    <w:rsid w:val="00AD134E"/>
    <w:rPr>
      <w:b/>
      <w:sz w:val="28"/>
      <w:lang w:val="es-ES_tradnl"/>
    </w:rPr>
  </w:style>
  <w:style w:type="paragraph" w:styleId="Retraitcorpsdetexte">
    <w:name w:val="Body Text Indent"/>
    <w:basedOn w:val="Normal"/>
    <w:link w:val="RetraitcorpsdetexteCar"/>
    <w:rsid w:val="00663ED0"/>
    <w:pPr>
      <w:ind w:left="720"/>
    </w:pPr>
    <w:rPr>
      <w:lang w:val="es-ES_tradnl"/>
    </w:rPr>
  </w:style>
  <w:style w:type="character" w:customStyle="1" w:styleId="RetraitcorpsdetexteCar">
    <w:name w:val="Retrait corps de texte Car"/>
    <w:basedOn w:val="Policepardfaut"/>
    <w:link w:val="Retraitcorpsdetexte"/>
    <w:rsid w:val="006469DC"/>
    <w:rPr>
      <w:sz w:val="24"/>
    </w:rPr>
  </w:style>
  <w:style w:type="paragraph" w:styleId="NormalWeb">
    <w:name w:val="Normal (Web)"/>
    <w:basedOn w:val="Normal"/>
    <w:uiPriority w:val="99"/>
    <w:rsid w:val="00663ED0"/>
    <w:pPr>
      <w:spacing w:before="100" w:beforeAutospacing="1" w:after="100" w:afterAutospacing="1"/>
      <w:jc w:val="left"/>
    </w:pPr>
    <w:rPr>
      <w:szCs w:val="24"/>
    </w:rPr>
  </w:style>
  <w:style w:type="paragraph" w:customStyle="1" w:styleId="UG-Heading1">
    <w:name w:val="UG - Heading 1"/>
    <w:basedOn w:val="Titre1"/>
    <w:rsid w:val="00663ED0"/>
    <w:pPr>
      <w:keepNext/>
    </w:pPr>
    <w:rPr>
      <w:kern w:val="28"/>
    </w:rPr>
  </w:style>
  <w:style w:type="paragraph" w:customStyle="1" w:styleId="UG-Heading2">
    <w:name w:val="UG - Heading 2"/>
    <w:basedOn w:val="Titre2"/>
    <w:rsid w:val="00663ED0"/>
    <w:pPr>
      <w:tabs>
        <w:tab w:val="left" w:pos="619"/>
      </w:tabs>
    </w:pPr>
    <w:rPr>
      <w:rFonts w:ascii="Times New Roman Bold" w:hAnsi="Times New Roman Bold"/>
      <w:szCs w:val="28"/>
    </w:rPr>
  </w:style>
  <w:style w:type="paragraph" w:customStyle="1" w:styleId="UG-Header">
    <w:name w:val="UG - Header"/>
    <w:basedOn w:val="Normal"/>
    <w:rsid w:val="005520B0"/>
    <w:pPr>
      <w:jc w:val="center"/>
    </w:pPr>
    <w:rPr>
      <w:b/>
      <w:sz w:val="72"/>
    </w:rPr>
  </w:style>
  <w:style w:type="character" w:styleId="Marquedecommentaire">
    <w:name w:val="annotation reference"/>
    <w:basedOn w:val="Policepardfaut"/>
    <w:uiPriority w:val="99"/>
    <w:rsid w:val="008F33A4"/>
    <w:rPr>
      <w:rFonts w:cs="Times New Roman"/>
      <w:sz w:val="16"/>
      <w:szCs w:val="16"/>
    </w:rPr>
  </w:style>
  <w:style w:type="paragraph" w:styleId="Commentaire">
    <w:name w:val="annotation text"/>
    <w:basedOn w:val="Normal"/>
    <w:link w:val="CommentaireCar"/>
    <w:rsid w:val="008F33A4"/>
    <w:rPr>
      <w:sz w:val="20"/>
    </w:rPr>
  </w:style>
  <w:style w:type="character" w:customStyle="1" w:styleId="CommentaireCar">
    <w:name w:val="Commentaire Car"/>
    <w:basedOn w:val="Policepardfaut"/>
    <w:link w:val="Commentaire"/>
    <w:locked/>
    <w:rsid w:val="006E7180"/>
    <w:rPr>
      <w:rFonts w:cs="Times New Roman"/>
      <w:lang w:val="fr-FR" w:eastAsia="fr-FR"/>
    </w:rPr>
  </w:style>
  <w:style w:type="paragraph" w:styleId="Objetducommentaire">
    <w:name w:val="annotation subject"/>
    <w:basedOn w:val="Commentaire"/>
    <w:next w:val="Commentaire"/>
    <w:link w:val="ObjetducommentaireCar"/>
    <w:uiPriority w:val="99"/>
    <w:rsid w:val="008F33A4"/>
    <w:rPr>
      <w:b/>
      <w:bCs/>
    </w:rPr>
  </w:style>
  <w:style w:type="character" w:customStyle="1" w:styleId="ObjetducommentaireCar">
    <w:name w:val="Objet du commentaire Car"/>
    <w:basedOn w:val="CommentaireCar"/>
    <w:link w:val="Objetducommentaire"/>
    <w:uiPriority w:val="99"/>
    <w:rsid w:val="006469DC"/>
    <w:rPr>
      <w:rFonts w:cs="Times New Roman"/>
      <w:b/>
      <w:bCs/>
      <w:lang w:val="fr-FR" w:eastAsia="fr-FR"/>
    </w:rPr>
  </w:style>
  <w:style w:type="paragraph" w:styleId="Titreindex">
    <w:name w:val="index heading"/>
    <w:basedOn w:val="Normal"/>
    <w:next w:val="Index1"/>
    <w:uiPriority w:val="99"/>
    <w:semiHidden/>
    <w:rsid w:val="00447232"/>
    <w:pPr>
      <w:jc w:val="left"/>
    </w:pPr>
    <w:rPr>
      <w:sz w:val="20"/>
      <w:lang w:val="en-US" w:eastAsia="en-US"/>
    </w:rPr>
  </w:style>
  <w:style w:type="paragraph" w:customStyle="1" w:styleId="Technical4">
    <w:name w:val="Technical 4"/>
    <w:rsid w:val="00447232"/>
    <w:pPr>
      <w:tabs>
        <w:tab w:val="left" w:pos="-720"/>
      </w:tabs>
      <w:suppressAutoHyphens/>
    </w:pPr>
    <w:rPr>
      <w:rFonts w:ascii="Times" w:hAnsi="Times"/>
      <w:b/>
      <w:sz w:val="24"/>
      <w:lang w:val="en-US" w:eastAsia="en-US"/>
    </w:rPr>
  </w:style>
  <w:style w:type="paragraph" w:styleId="PrformatHTML">
    <w:name w:val="HTML Preformatted"/>
    <w:basedOn w:val="Normal"/>
    <w:link w:val="PrformatHTMLCar"/>
    <w:rsid w:val="00E72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val="en-US" w:eastAsia="en-US"/>
    </w:rPr>
  </w:style>
  <w:style w:type="character" w:customStyle="1" w:styleId="PrformatHTMLCar">
    <w:name w:val="Préformaté HTML Car"/>
    <w:basedOn w:val="Policepardfaut"/>
    <w:link w:val="PrformatHTML"/>
    <w:rsid w:val="006469DC"/>
    <w:rPr>
      <w:rFonts w:ascii="Courier New" w:hAnsi="Courier New" w:cs="Courier New"/>
    </w:rPr>
  </w:style>
  <w:style w:type="paragraph" w:customStyle="1" w:styleId="ClauseSubPara">
    <w:name w:val="ClauseSub_Para"/>
    <w:rsid w:val="00275FF8"/>
    <w:pPr>
      <w:spacing w:before="60" w:after="60"/>
      <w:ind w:left="2268"/>
    </w:pPr>
    <w:rPr>
      <w:sz w:val="22"/>
      <w:szCs w:val="22"/>
      <w:lang w:val="en-GB" w:eastAsia="en-US"/>
    </w:rPr>
  </w:style>
  <w:style w:type="paragraph" w:customStyle="1" w:styleId="SectionVHeading2">
    <w:name w:val="Section V. Heading 2"/>
    <w:basedOn w:val="SectionVHeader"/>
    <w:rsid w:val="00DF0496"/>
    <w:pPr>
      <w:spacing w:before="120"/>
    </w:pPr>
    <w:rPr>
      <w:sz w:val="28"/>
      <w:lang w:eastAsia="en-US"/>
    </w:rPr>
  </w:style>
  <w:style w:type="paragraph" w:customStyle="1" w:styleId="UGHeader1">
    <w:name w:val="UG Header 1"/>
    <w:basedOn w:val="Titre1"/>
    <w:next w:val="Normal"/>
    <w:rsid w:val="008268EA"/>
    <w:pPr>
      <w:spacing w:before="240" w:after="240"/>
    </w:pPr>
    <w:rPr>
      <w:rFonts w:ascii="Times New Roman Bold" w:hAnsi="Times New Roman Bold"/>
      <w:lang w:val="en-US" w:eastAsia="en-US"/>
    </w:rPr>
  </w:style>
  <w:style w:type="paragraph" w:customStyle="1" w:styleId="Rvision1">
    <w:name w:val="Révision1"/>
    <w:hidden/>
    <w:uiPriority w:val="99"/>
    <w:semiHidden/>
    <w:rsid w:val="00120CDA"/>
    <w:rPr>
      <w:sz w:val="24"/>
    </w:rPr>
  </w:style>
  <w:style w:type="paragraph" w:customStyle="1" w:styleId="En-ttedetabledesmatires1">
    <w:name w:val="En-tête de table des matières1"/>
    <w:basedOn w:val="Titre1"/>
    <w:next w:val="Normal"/>
    <w:uiPriority w:val="39"/>
    <w:semiHidden/>
    <w:unhideWhenUsed/>
    <w:qFormat/>
    <w:rsid w:val="00642596"/>
    <w:pPr>
      <w:keepNext/>
      <w:keepLines/>
      <w:spacing w:before="480" w:line="276" w:lineRule="auto"/>
      <w:jc w:val="left"/>
      <w:outlineLvl w:val="9"/>
    </w:pPr>
    <w:rPr>
      <w:rFonts w:ascii="Cambria" w:hAnsi="Cambria"/>
      <w:bCs/>
      <w:color w:val="365F91"/>
      <w:sz w:val="28"/>
      <w:szCs w:val="28"/>
      <w:lang w:val="en-US" w:eastAsia="en-US"/>
    </w:rPr>
  </w:style>
  <w:style w:type="paragraph" w:styleId="Paragraphedeliste">
    <w:name w:val="List Paragraph"/>
    <w:aliases w:val="Citation List,본문(내용),List Paragraph (numbered (a)),Colorful List - Accent 11,Bullets,Paragraphe  revu,Paragraphe de liste1,References,Bullet L1,Liste 1,List Paragraph1,Lapis Bulleted List,Tableau Adere,Numbered paragraph,RM1,l,Puces"/>
    <w:basedOn w:val="Normal"/>
    <w:link w:val="ParagraphedelisteCar"/>
    <w:uiPriority w:val="34"/>
    <w:qFormat/>
    <w:rsid w:val="00884AAA"/>
    <w:pPr>
      <w:ind w:left="720"/>
      <w:contextualSpacing/>
    </w:pPr>
  </w:style>
  <w:style w:type="character" w:customStyle="1" w:styleId="ParagraphedelisteCar">
    <w:name w:val="Paragraphe de liste Car"/>
    <w:aliases w:val="Citation List Car,본문(내용) Car,List Paragraph (numbered (a)) Car,Colorful List - Accent 11 Car,Bullets Car,Paragraphe  revu Car,Paragraphe de liste1 Car,References Car,Bullet L1 Car,Liste 1 Car,List Paragraph1 Car,Tableau Adere Car"/>
    <w:basedOn w:val="Policepardfaut"/>
    <w:link w:val="Paragraphedeliste"/>
    <w:uiPriority w:val="34"/>
    <w:qFormat/>
    <w:locked/>
    <w:rsid w:val="00302215"/>
    <w:rPr>
      <w:sz w:val="24"/>
    </w:rPr>
  </w:style>
  <w:style w:type="paragraph" w:styleId="Rvision">
    <w:name w:val="Revision"/>
    <w:hidden/>
    <w:uiPriority w:val="99"/>
    <w:semiHidden/>
    <w:rsid w:val="00432428"/>
    <w:rPr>
      <w:sz w:val="24"/>
    </w:rPr>
  </w:style>
  <w:style w:type="paragraph" w:styleId="Notedefin">
    <w:name w:val="endnote text"/>
    <w:basedOn w:val="Normal"/>
    <w:link w:val="NotedefinCar"/>
    <w:semiHidden/>
    <w:unhideWhenUsed/>
    <w:rsid w:val="00DB4EF5"/>
    <w:rPr>
      <w:sz w:val="20"/>
    </w:rPr>
  </w:style>
  <w:style w:type="character" w:customStyle="1" w:styleId="NotedefinCar">
    <w:name w:val="Note de fin Car"/>
    <w:basedOn w:val="Policepardfaut"/>
    <w:link w:val="Notedefin"/>
    <w:semiHidden/>
    <w:rsid w:val="00DB4EF5"/>
  </w:style>
  <w:style w:type="paragraph" w:customStyle="1" w:styleId="UG-Title">
    <w:name w:val="UG-Title"/>
    <w:basedOn w:val="Sous-titre"/>
    <w:qFormat/>
    <w:rsid w:val="00CC1A34"/>
  </w:style>
  <w:style w:type="paragraph" w:customStyle="1" w:styleId="UG-SectionIVHeader">
    <w:name w:val="UG-Section IV Header"/>
    <w:basedOn w:val="SectionIVHeader"/>
    <w:qFormat/>
    <w:rsid w:val="008F3578"/>
  </w:style>
  <w:style w:type="paragraph" w:customStyle="1" w:styleId="UG-SectionIVHeader-2">
    <w:name w:val="UG-Section IV Header - 2"/>
    <w:basedOn w:val="SectionIVHeader-2"/>
    <w:qFormat/>
    <w:rsid w:val="008F3578"/>
  </w:style>
  <w:style w:type="paragraph" w:customStyle="1" w:styleId="Style2">
    <w:name w:val="Style2"/>
    <w:basedOn w:val="Normal"/>
    <w:link w:val="Style2Char"/>
    <w:qFormat/>
    <w:rsid w:val="00A139F6"/>
    <w:pPr>
      <w:tabs>
        <w:tab w:val="left" w:pos="1962"/>
        <w:tab w:val="left" w:pos="2322"/>
      </w:tabs>
      <w:jc w:val="center"/>
    </w:pPr>
    <w:rPr>
      <w:b/>
      <w:sz w:val="36"/>
    </w:rPr>
  </w:style>
  <w:style w:type="character" w:customStyle="1" w:styleId="Style2Char">
    <w:name w:val="Style2 Char"/>
    <w:link w:val="Style2"/>
    <w:rsid w:val="00A139F6"/>
    <w:rPr>
      <w:b/>
      <w:sz w:val="36"/>
    </w:rPr>
  </w:style>
  <w:style w:type="character" w:customStyle="1" w:styleId="BodyTextIndentChar">
    <w:name w:val="Body Text Indent Char"/>
    <w:rsid w:val="004F75DC"/>
    <w:rPr>
      <w:sz w:val="24"/>
      <w:lang w:val="es-ES_tradnl"/>
    </w:rPr>
  </w:style>
  <w:style w:type="character" w:customStyle="1" w:styleId="FooterChar">
    <w:name w:val="Footer Char"/>
    <w:uiPriority w:val="99"/>
    <w:rsid w:val="004F75DC"/>
    <w:rPr>
      <w:sz w:val="24"/>
      <w:lang w:val="es-ES_tradnl"/>
    </w:rPr>
  </w:style>
  <w:style w:type="paragraph" w:customStyle="1" w:styleId="Style5">
    <w:name w:val="Style5"/>
    <w:basedOn w:val="SectionVHeader"/>
    <w:link w:val="Style5Char"/>
    <w:uiPriority w:val="99"/>
    <w:qFormat/>
    <w:rsid w:val="004F75DC"/>
    <w:rPr>
      <w:lang w:val="fr-FR"/>
    </w:rPr>
  </w:style>
  <w:style w:type="character" w:customStyle="1" w:styleId="Style5Char">
    <w:name w:val="Style5 Char"/>
    <w:basedOn w:val="Policepardfaut"/>
    <w:link w:val="Style5"/>
    <w:rsid w:val="004F75DC"/>
    <w:rPr>
      <w:b/>
      <w:sz w:val="36"/>
    </w:rPr>
  </w:style>
  <w:style w:type="character" w:customStyle="1" w:styleId="FootnoteTextChar1">
    <w:name w:val="Footnote Text Char1"/>
    <w:rsid w:val="004B1DB5"/>
    <w:rPr>
      <w:lang w:val="fr-FR" w:eastAsia="fr-FR" w:bidi="ar-SA"/>
    </w:rPr>
  </w:style>
  <w:style w:type="character" w:customStyle="1" w:styleId="HeaderChar">
    <w:name w:val="Header Char"/>
    <w:basedOn w:val="Policepardfaut"/>
    <w:uiPriority w:val="99"/>
    <w:rsid w:val="00AD1B8B"/>
    <w:rPr>
      <w:sz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Policepardfaut"/>
    <w:locked/>
    <w:rsid w:val="00AD1B8B"/>
    <w:rPr>
      <w:rFonts w:cs="Times New Roman"/>
      <w:lang w:val="fr-FR" w:eastAsia="fr-FR"/>
    </w:rPr>
  </w:style>
  <w:style w:type="paragraph" w:customStyle="1" w:styleId="Style1">
    <w:name w:val="Style1"/>
    <w:basedOn w:val="Part"/>
    <w:link w:val="Style1Char"/>
    <w:qFormat/>
    <w:rsid w:val="00AD134E"/>
  </w:style>
  <w:style w:type="character" w:customStyle="1" w:styleId="Style1Char">
    <w:name w:val="Style1 Char"/>
    <w:basedOn w:val="PartChar"/>
    <w:link w:val="Style1"/>
    <w:rsid w:val="00AD134E"/>
    <w:rPr>
      <w:b/>
      <w:sz w:val="56"/>
    </w:rPr>
  </w:style>
  <w:style w:type="paragraph" w:customStyle="1" w:styleId="Style3">
    <w:name w:val="Style3"/>
    <w:basedOn w:val="Sous-titre"/>
    <w:link w:val="Style3Char"/>
    <w:qFormat/>
    <w:rsid w:val="00AD134E"/>
    <w:rPr>
      <w:lang w:val="fr-FR"/>
    </w:rPr>
  </w:style>
  <w:style w:type="character" w:customStyle="1" w:styleId="Style3Char">
    <w:name w:val="Style3 Char"/>
    <w:basedOn w:val="Sous-titreCar"/>
    <w:link w:val="Style3"/>
    <w:rsid w:val="00AD134E"/>
    <w:rPr>
      <w:rFonts w:ascii="Cambria" w:eastAsia="Times New Roman" w:hAnsi="Cambria" w:cs="Times New Roman"/>
      <w:b/>
      <w:sz w:val="44"/>
      <w:szCs w:val="24"/>
    </w:rPr>
  </w:style>
  <w:style w:type="paragraph" w:customStyle="1" w:styleId="Style4">
    <w:name w:val="Style4"/>
    <w:basedOn w:val="Section1Header1"/>
    <w:link w:val="Style4Char"/>
    <w:qFormat/>
    <w:rsid w:val="00AD134E"/>
  </w:style>
  <w:style w:type="character" w:customStyle="1" w:styleId="Style4Char">
    <w:name w:val="Style4 Char"/>
    <w:basedOn w:val="Section1Header1Char"/>
    <w:link w:val="Style4"/>
    <w:rsid w:val="00AD134E"/>
    <w:rPr>
      <w:b/>
      <w:sz w:val="28"/>
      <w:lang w:val="es-ES_tradnl"/>
    </w:rPr>
  </w:style>
  <w:style w:type="paragraph" w:customStyle="1" w:styleId="Style6">
    <w:name w:val="Style6"/>
    <w:basedOn w:val="Header1-Clauses"/>
    <w:link w:val="Style6Char"/>
    <w:qFormat/>
    <w:rsid w:val="00AD134E"/>
    <w:rPr>
      <w:lang w:val="fr-FR"/>
    </w:rPr>
  </w:style>
  <w:style w:type="character" w:customStyle="1" w:styleId="Style6Char">
    <w:name w:val="Style6 Char"/>
    <w:basedOn w:val="Header1-ClausesChar"/>
    <w:link w:val="Style6"/>
    <w:rsid w:val="00AD134E"/>
    <w:rPr>
      <w:b/>
      <w:sz w:val="24"/>
      <w:lang w:val="es-ES_tradnl"/>
    </w:rPr>
  </w:style>
  <w:style w:type="paragraph" w:customStyle="1" w:styleId="Style7">
    <w:name w:val="Style7"/>
    <w:basedOn w:val="SectionIVHeader"/>
    <w:link w:val="Style7Char"/>
    <w:qFormat/>
    <w:rsid w:val="00E33019"/>
  </w:style>
  <w:style w:type="character" w:customStyle="1" w:styleId="Style7Char">
    <w:name w:val="Style7 Char"/>
    <w:basedOn w:val="SectionIVHeaderChar"/>
    <w:link w:val="Style7"/>
    <w:rsid w:val="00E33019"/>
    <w:rPr>
      <w:b/>
      <w:sz w:val="36"/>
      <w:lang w:val="es-ES_tradnl"/>
    </w:rPr>
  </w:style>
  <w:style w:type="paragraph" w:customStyle="1" w:styleId="Style8">
    <w:name w:val="Style8"/>
    <w:basedOn w:val="SectionIVHeader-2"/>
    <w:link w:val="Style8Char"/>
    <w:qFormat/>
    <w:rsid w:val="00E33019"/>
  </w:style>
  <w:style w:type="character" w:customStyle="1" w:styleId="Style8Char">
    <w:name w:val="Style8 Char"/>
    <w:basedOn w:val="SectionIVHeader-2Char"/>
    <w:link w:val="Style8"/>
    <w:rsid w:val="00E33019"/>
    <w:rPr>
      <w:b/>
      <w:sz w:val="28"/>
    </w:rPr>
  </w:style>
  <w:style w:type="paragraph" w:customStyle="1" w:styleId="FrenchHeading">
    <w:name w:val="French Heading"/>
    <w:basedOn w:val="Normal"/>
    <w:qFormat/>
    <w:rsid w:val="00323EA1"/>
    <w:pPr>
      <w:spacing w:before="240" w:after="240"/>
      <w:ind w:left="0" w:firstLine="0"/>
      <w:jc w:val="center"/>
    </w:pPr>
    <w:rPr>
      <w:b/>
      <w:sz w:val="48"/>
    </w:rPr>
  </w:style>
  <w:style w:type="paragraph" w:customStyle="1" w:styleId="plane">
    <w:name w:val="plane"/>
    <w:basedOn w:val="Normal"/>
    <w:rsid w:val="00CB7ECB"/>
    <w:pPr>
      <w:suppressAutoHyphens/>
      <w:spacing w:after="0"/>
      <w:ind w:left="0" w:firstLine="0"/>
    </w:pPr>
    <w:rPr>
      <w:rFonts w:ascii="Tms Rmn" w:hAnsi="Tms Rmn"/>
      <w:lang w:val="en-US" w:eastAsia="en-US"/>
    </w:rPr>
  </w:style>
  <w:style w:type="paragraph" w:customStyle="1" w:styleId="Style11">
    <w:name w:val="Style11"/>
    <w:basedOn w:val="Style7"/>
    <w:link w:val="Style11Char"/>
    <w:qFormat/>
    <w:rsid w:val="00DE5C38"/>
    <w:rPr>
      <w:lang w:val="es-ES_tradnl"/>
    </w:rPr>
  </w:style>
  <w:style w:type="character" w:customStyle="1" w:styleId="Style11Char">
    <w:name w:val="Style11 Char"/>
    <w:basedOn w:val="Style7Char"/>
    <w:link w:val="Style11"/>
    <w:rsid w:val="00DE5C38"/>
    <w:rPr>
      <w:b/>
      <w:sz w:val="36"/>
      <w:lang w:val="es-ES_tradnl"/>
    </w:rPr>
  </w:style>
  <w:style w:type="paragraph" w:styleId="Retraitnormal">
    <w:name w:val="Normal Indent"/>
    <w:basedOn w:val="Normal"/>
    <w:rsid w:val="00656F5B"/>
    <w:pPr>
      <w:spacing w:after="0"/>
      <w:ind w:left="708" w:firstLine="0"/>
    </w:pPr>
    <w:rPr>
      <w:lang w:val="en-US" w:eastAsia="en-US"/>
    </w:rPr>
  </w:style>
  <w:style w:type="paragraph" w:styleId="Date">
    <w:name w:val="Date"/>
    <w:basedOn w:val="Normal"/>
    <w:next w:val="Normal"/>
    <w:link w:val="DateCar"/>
    <w:uiPriority w:val="99"/>
    <w:semiHidden/>
    <w:unhideWhenUsed/>
    <w:rsid w:val="00C80AEE"/>
  </w:style>
  <w:style w:type="character" w:customStyle="1" w:styleId="DateCar">
    <w:name w:val="Date Car"/>
    <w:basedOn w:val="Policepardfaut"/>
    <w:link w:val="Date"/>
    <w:uiPriority w:val="99"/>
    <w:semiHidden/>
    <w:rsid w:val="00C80AEE"/>
    <w:rPr>
      <w:sz w:val="24"/>
    </w:rPr>
  </w:style>
  <w:style w:type="paragraph" w:styleId="Listepuces5">
    <w:name w:val="List Bullet 5"/>
    <w:basedOn w:val="Normal"/>
    <w:uiPriority w:val="99"/>
    <w:semiHidden/>
    <w:unhideWhenUsed/>
    <w:rsid w:val="00736F4E"/>
    <w:pPr>
      <w:numPr>
        <w:numId w:val="70"/>
      </w:numPr>
      <w:contextualSpacing/>
    </w:pPr>
  </w:style>
  <w:style w:type="paragraph" w:customStyle="1" w:styleId="StyleStyleS1-Header1TimesNewRoman14pt1">
    <w:name w:val="Style Style S1-Header1 + Times New Roman 14 pt +1"/>
    <w:basedOn w:val="Normal"/>
    <w:rsid w:val="005D6945"/>
    <w:pPr>
      <w:tabs>
        <w:tab w:val="num" w:pos="648"/>
      </w:tabs>
      <w:spacing w:before="240" w:after="240"/>
      <w:ind w:left="360" w:hanging="72"/>
      <w:jc w:val="center"/>
    </w:pPr>
    <w:rPr>
      <w:b/>
      <w:bCs/>
      <w:sz w:val="28"/>
      <w:szCs w:val="24"/>
      <w:lang w:val="en-US" w:eastAsia="en-US"/>
    </w:rPr>
  </w:style>
  <w:style w:type="paragraph" w:customStyle="1" w:styleId="S1-Header2">
    <w:name w:val="S1-Header2"/>
    <w:basedOn w:val="Normal"/>
    <w:rsid w:val="005D6945"/>
    <w:pPr>
      <w:numPr>
        <w:numId w:val="20"/>
      </w:numPr>
      <w:jc w:val="left"/>
    </w:pPr>
    <w:rPr>
      <w:b/>
      <w:szCs w:val="24"/>
      <w:lang w:val="en-US" w:eastAsia="en-US"/>
    </w:rPr>
  </w:style>
  <w:style w:type="paragraph" w:customStyle="1" w:styleId="S3-Header1">
    <w:name w:val="S3-Header 1"/>
    <w:basedOn w:val="Normal"/>
    <w:rsid w:val="00402284"/>
    <w:pPr>
      <w:spacing w:before="120"/>
      <w:ind w:left="1080" w:hanging="720"/>
    </w:pPr>
    <w:rPr>
      <w:b/>
      <w:bCs/>
      <w:noProof/>
      <w:sz w:val="28"/>
      <w:lang w:val="en-US" w:eastAsia="en-US"/>
    </w:rPr>
  </w:style>
  <w:style w:type="paragraph" w:customStyle="1" w:styleId="S3-Heading2">
    <w:name w:val="S3-Heading 2"/>
    <w:basedOn w:val="Normal"/>
    <w:rsid w:val="002F0AB1"/>
    <w:pPr>
      <w:ind w:left="1080" w:right="288" w:hanging="720"/>
    </w:pPr>
    <w:rPr>
      <w:b/>
      <w:bCs/>
      <w:szCs w:val="24"/>
      <w:lang w:val="en-US" w:eastAsia="en-US"/>
    </w:rPr>
  </w:style>
  <w:style w:type="paragraph" w:customStyle="1" w:styleId="Style110">
    <w:name w:val="Style 11"/>
    <w:basedOn w:val="Normal"/>
    <w:rsid w:val="00C062F6"/>
    <w:pPr>
      <w:widowControl w:val="0"/>
      <w:autoSpaceDE w:val="0"/>
      <w:autoSpaceDN w:val="0"/>
      <w:spacing w:after="0" w:line="384" w:lineRule="atLeast"/>
      <w:ind w:left="0" w:firstLine="0"/>
      <w:jc w:val="left"/>
    </w:pPr>
    <w:rPr>
      <w:szCs w:val="24"/>
      <w:lang w:val="en-US" w:eastAsia="en-US"/>
    </w:rPr>
  </w:style>
  <w:style w:type="paragraph" w:customStyle="1" w:styleId="RightPar4">
    <w:name w:val="Right Par[4]"/>
    <w:rsid w:val="00D45FC8"/>
    <w:pPr>
      <w:tabs>
        <w:tab w:val="left" w:pos="-720"/>
        <w:tab w:val="left" w:pos="0"/>
        <w:tab w:val="left" w:pos="720"/>
        <w:tab w:val="left" w:pos="1440"/>
        <w:tab w:val="left" w:pos="2160"/>
        <w:tab w:val="decimal" w:pos="2880"/>
      </w:tabs>
      <w:suppressAutoHyphens/>
      <w:overflowPunct w:val="0"/>
      <w:autoSpaceDE w:val="0"/>
      <w:autoSpaceDN w:val="0"/>
      <w:adjustRightInd w:val="0"/>
      <w:spacing w:after="0"/>
      <w:ind w:left="0" w:firstLine="2880"/>
      <w:jc w:val="left"/>
      <w:textAlignment w:val="baseline"/>
    </w:pPr>
    <w:rPr>
      <w:rFonts w:ascii="CG Times" w:hAnsi="CG Times"/>
      <w:b/>
      <w:i/>
      <w:sz w:val="24"/>
      <w:lang w:val="en-US" w:eastAsia="en-US"/>
    </w:rPr>
  </w:style>
  <w:style w:type="paragraph" w:customStyle="1" w:styleId="SecNoHe">
    <w:name w:val="Sec No. &amp; He"/>
    <w:rsid w:val="00E223D0"/>
    <w:pPr>
      <w:tabs>
        <w:tab w:val="left" w:pos="-720"/>
      </w:tabs>
      <w:suppressAutoHyphens/>
      <w:overflowPunct w:val="0"/>
      <w:autoSpaceDE w:val="0"/>
      <w:autoSpaceDN w:val="0"/>
      <w:adjustRightInd w:val="0"/>
      <w:spacing w:after="0"/>
      <w:ind w:left="0" w:firstLine="0"/>
      <w:jc w:val="left"/>
      <w:textAlignment w:val="baseline"/>
    </w:pPr>
    <w:rPr>
      <w:lang w:val="en-US" w:eastAsia="en-US"/>
    </w:rPr>
  </w:style>
  <w:style w:type="paragraph" w:customStyle="1" w:styleId="S4-header1">
    <w:name w:val="S4-header1"/>
    <w:basedOn w:val="Normal"/>
    <w:rsid w:val="004D5CFA"/>
    <w:pPr>
      <w:spacing w:before="120" w:after="240"/>
      <w:ind w:left="0" w:firstLine="0"/>
      <w:jc w:val="center"/>
    </w:pPr>
    <w:rPr>
      <w:b/>
      <w:sz w:val="36"/>
      <w:lang w:val="en-US" w:eastAsia="en-US"/>
    </w:rPr>
  </w:style>
  <w:style w:type="paragraph" w:customStyle="1" w:styleId="S4-Header2">
    <w:name w:val="S4-Header 2"/>
    <w:basedOn w:val="Normal"/>
    <w:rsid w:val="004D5CFA"/>
    <w:pPr>
      <w:spacing w:before="120" w:after="240"/>
      <w:ind w:left="0" w:firstLine="0"/>
      <w:jc w:val="center"/>
    </w:pPr>
    <w:rPr>
      <w:b/>
      <w:sz w:val="32"/>
      <w:szCs w:val="24"/>
      <w:lang w:val="en-US" w:eastAsia="en-US"/>
    </w:rPr>
  </w:style>
  <w:style w:type="paragraph" w:customStyle="1" w:styleId="StyleS1-Header1TimesNewRoman14pt">
    <w:name w:val="Style S1-Header1 + Times New Roman 14 pt"/>
    <w:basedOn w:val="Normal"/>
    <w:rsid w:val="002D0FA2"/>
    <w:pPr>
      <w:spacing w:before="240" w:after="240"/>
      <w:ind w:left="0" w:firstLine="0"/>
      <w:jc w:val="center"/>
    </w:pPr>
    <w:rPr>
      <w:b/>
      <w:bCs/>
      <w:sz w:val="28"/>
      <w:szCs w:val="24"/>
      <w:lang w:val="en-US" w:eastAsia="en-US"/>
    </w:rPr>
  </w:style>
  <w:style w:type="paragraph" w:customStyle="1" w:styleId="Header1">
    <w:name w:val="Header1"/>
    <w:basedOn w:val="Normal"/>
    <w:rsid w:val="009761DC"/>
    <w:pPr>
      <w:widowControl w:val="0"/>
      <w:autoSpaceDE w:val="0"/>
      <w:autoSpaceDN w:val="0"/>
      <w:spacing w:before="240" w:after="480"/>
      <w:ind w:left="0" w:firstLine="0"/>
      <w:jc w:val="center"/>
    </w:pPr>
    <w:rPr>
      <w:b/>
      <w:bCs/>
      <w:spacing w:val="4"/>
      <w:sz w:val="44"/>
      <w:szCs w:val="46"/>
      <w:lang w:val="en-US" w:eastAsia="en-US"/>
    </w:rPr>
  </w:style>
  <w:style w:type="paragraph" w:customStyle="1" w:styleId="S6-Header1">
    <w:name w:val="S6-Header 1"/>
    <w:basedOn w:val="Normal"/>
    <w:next w:val="Normal"/>
    <w:rsid w:val="00E938A9"/>
    <w:pPr>
      <w:spacing w:before="120" w:after="240"/>
      <w:ind w:left="0" w:firstLine="0"/>
      <w:jc w:val="center"/>
    </w:pPr>
    <w:rPr>
      <w:rFonts w:cs="Arial"/>
      <w:b/>
      <w:sz w:val="32"/>
      <w:szCs w:val="24"/>
      <w:lang w:val="en-US" w:eastAsia="en-US"/>
    </w:rPr>
  </w:style>
  <w:style w:type="paragraph" w:customStyle="1" w:styleId="Style50">
    <w:name w:val="Style 5"/>
    <w:basedOn w:val="Normal"/>
    <w:rsid w:val="00AD2A90"/>
    <w:pPr>
      <w:widowControl w:val="0"/>
      <w:autoSpaceDE w:val="0"/>
      <w:autoSpaceDN w:val="0"/>
      <w:spacing w:after="0" w:line="480" w:lineRule="exact"/>
      <w:ind w:left="0" w:firstLine="0"/>
      <w:jc w:val="center"/>
    </w:pPr>
    <w:rPr>
      <w:szCs w:val="24"/>
      <w:lang w:val="en-US" w:eastAsia="en-US"/>
    </w:rPr>
  </w:style>
  <w:style w:type="paragraph" w:customStyle="1" w:styleId="S9Header1">
    <w:name w:val="S9 Header 1"/>
    <w:basedOn w:val="Normal"/>
    <w:next w:val="Normal"/>
    <w:rsid w:val="0024062C"/>
    <w:pPr>
      <w:spacing w:before="120" w:after="240"/>
      <w:ind w:left="0" w:firstLine="0"/>
      <w:jc w:val="center"/>
    </w:pPr>
    <w:rPr>
      <w:b/>
      <w:sz w:val="36"/>
      <w:szCs w:val="24"/>
      <w:lang w:val="en-US" w:eastAsia="en-US"/>
    </w:rPr>
  </w:style>
  <w:style w:type="paragraph" w:styleId="Normalcentr">
    <w:name w:val="Block Text"/>
    <w:basedOn w:val="Normal"/>
    <w:rsid w:val="00716EC4"/>
    <w:pPr>
      <w:spacing w:after="0"/>
      <w:ind w:left="180" w:right="108" w:firstLine="0"/>
    </w:pPr>
    <w:rPr>
      <w:rFonts w:ascii="Comic Sans MS" w:hAnsi="Comic Sans MS" w:cs="Arial"/>
      <w:b/>
      <w:bCs/>
      <w:i/>
      <w:iCs/>
      <w:sz w:val="16"/>
      <w:szCs w:val="24"/>
      <w:lang w:val="en-US" w:eastAsia="en-US"/>
    </w:rPr>
  </w:style>
  <w:style w:type="paragraph" w:customStyle="1" w:styleId="Heading1a">
    <w:name w:val="Heading 1a"/>
    <w:rsid w:val="00934D61"/>
    <w:pPr>
      <w:keepNext/>
      <w:keepLines/>
      <w:tabs>
        <w:tab w:val="left" w:pos="-720"/>
      </w:tabs>
      <w:suppressAutoHyphens/>
      <w:spacing w:after="0"/>
      <w:ind w:left="0" w:firstLine="0"/>
      <w:jc w:val="center"/>
    </w:pPr>
    <w:rPr>
      <w:b/>
      <w:smallCaps/>
      <w:sz w:val="32"/>
      <w:lang w:val="en-US" w:eastAsia="en-US"/>
    </w:rPr>
  </w:style>
  <w:style w:type="paragraph" w:customStyle="1" w:styleId="TextBox">
    <w:name w:val="Text Box"/>
    <w:rsid w:val="005B032D"/>
    <w:pPr>
      <w:keepNext/>
      <w:keepLines/>
      <w:tabs>
        <w:tab w:val="left" w:pos="-720"/>
      </w:tabs>
      <w:suppressAutoHyphens/>
      <w:spacing w:after="0"/>
      <w:ind w:left="0" w:firstLine="0"/>
    </w:pPr>
    <w:rPr>
      <w:spacing w:val="-2"/>
      <w:sz w:val="22"/>
      <w:lang w:val="en-US" w:eastAsia="en-US"/>
    </w:rPr>
  </w:style>
  <w:style w:type="paragraph" w:customStyle="1" w:styleId="Style10">
    <w:name w:val="Style10"/>
    <w:basedOn w:val="Head41"/>
    <w:link w:val="Style10Char"/>
    <w:qFormat/>
    <w:rsid w:val="008867D9"/>
    <w:pPr>
      <w:spacing w:before="120" w:after="120"/>
    </w:pPr>
  </w:style>
  <w:style w:type="character" w:customStyle="1" w:styleId="Style10Char">
    <w:name w:val="Style10 Char"/>
    <w:basedOn w:val="Policepardfaut"/>
    <w:link w:val="Style10"/>
    <w:rsid w:val="008867D9"/>
    <w:rPr>
      <w:b/>
      <w:sz w:val="28"/>
    </w:rPr>
  </w:style>
  <w:style w:type="paragraph" w:customStyle="1" w:styleId="00SectionIVSubtitle">
    <w:name w:val="00_Section IV_Subtitle"/>
    <w:basedOn w:val="Normal"/>
    <w:qFormat/>
    <w:rsid w:val="0036021B"/>
    <w:pPr>
      <w:ind w:left="0" w:firstLine="0"/>
      <w:jc w:val="center"/>
    </w:pPr>
    <w:rPr>
      <w:b/>
      <w:sz w:val="32"/>
      <w:szCs w:val="24"/>
      <w:lang w:val="en-US" w:eastAsia="en-US"/>
    </w:rPr>
  </w:style>
  <w:style w:type="paragraph" w:customStyle="1" w:styleId="Style9">
    <w:name w:val="Style9"/>
    <w:basedOn w:val="SectionVIHeader"/>
    <w:link w:val="Style9Char"/>
    <w:qFormat/>
    <w:rsid w:val="00FB3DE5"/>
    <w:rPr>
      <w:lang w:val="fr-FR"/>
    </w:rPr>
  </w:style>
  <w:style w:type="character" w:customStyle="1" w:styleId="Style9Char">
    <w:name w:val="Style9 Char"/>
    <w:basedOn w:val="Policepardfaut"/>
    <w:link w:val="Style9"/>
    <w:rsid w:val="00FB3DE5"/>
    <w:rPr>
      <w:b/>
      <w:sz w:val="36"/>
    </w:rPr>
  </w:style>
  <w:style w:type="paragraph" w:customStyle="1" w:styleId="Enclosure">
    <w:name w:val="Enclosure"/>
    <w:basedOn w:val="Normal"/>
    <w:rsid w:val="00BF617C"/>
    <w:pPr>
      <w:spacing w:after="0"/>
      <w:ind w:left="0" w:firstLine="0"/>
      <w:jc w:val="left"/>
    </w:pPr>
    <w:rPr>
      <w:szCs w:val="24"/>
      <w:lang w:val="en-US" w:eastAsia="en-US"/>
    </w:rPr>
  </w:style>
  <w:style w:type="paragraph" w:customStyle="1" w:styleId="00SectionXTitle">
    <w:name w:val="00_Section X_Title"/>
    <w:basedOn w:val="Normal"/>
    <w:qFormat/>
    <w:rsid w:val="00BF617C"/>
    <w:pPr>
      <w:spacing w:before="240" w:after="0"/>
      <w:ind w:left="0" w:firstLine="0"/>
      <w:jc w:val="center"/>
    </w:pPr>
    <w:rPr>
      <w:b/>
      <w:noProof/>
      <w:sz w:val="36"/>
      <w:szCs w:val="32"/>
      <w:lang w:val="en-US" w:eastAsia="en-US"/>
    </w:rPr>
  </w:style>
  <w:style w:type="paragraph" w:styleId="Sansinterligne">
    <w:name w:val="No Spacing"/>
    <w:uiPriority w:val="1"/>
    <w:qFormat/>
    <w:rsid w:val="006A4718"/>
    <w:pPr>
      <w:spacing w:after="0"/>
    </w:pPr>
    <w:rPr>
      <w:sz w:val="24"/>
    </w:rPr>
  </w:style>
  <w:style w:type="paragraph" w:customStyle="1" w:styleId="xl65">
    <w:name w:val="xl65"/>
    <w:basedOn w:val="Normal"/>
    <w:rsid w:val="00F90A63"/>
    <w:pPr>
      <w:pBdr>
        <w:left w:val="single" w:sz="4" w:space="0" w:color="auto"/>
        <w:right w:val="single" w:sz="4" w:space="0" w:color="auto"/>
      </w:pBdr>
      <w:spacing w:before="100" w:beforeAutospacing="1" w:after="100" w:afterAutospacing="1"/>
      <w:ind w:left="0" w:firstLine="0"/>
      <w:jc w:val="left"/>
      <w:textAlignment w:val="top"/>
    </w:pPr>
    <w:rPr>
      <w:rFonts w:ascii="Arial" w:hAnsi="Arial" w:cs="Arial"/>
      <w:sz w:val="18"/>
      <w:szCs w:val="18"/>
    </w:rPr>
  </w:style>
  <w:style w:type="paragraph" w:customStyle="1" w:styleId="xl66">
    <w:name w:val="xl66"/>
    <w:basedOn w:val="Normal"/>
    <w:rsid w:val="00F90A63"/>
    <w:pPr>
      <w:pBdr>
        <w:left w:val="single" w:sz="4" w:space="0" w:color="auto"/>
        <w:right w:val="single" w:sz="4" w:space="0" w:color="auto"/>
      </w:pBdr>
      <w:spacing w:before="100" w:beforeAutospacing="1" w:after="100" w:afterAutospacing="1"/>
      <w:ind w:left="0" w:firstLine="0"/>
      <w:jc w:val="center"/>
      <w:textAlignment w:val="top"/>
    </w:pPr>
    <w:rPr>
      <w:rFonts w:ascii="Arial" w:hAnsi="Arial" w:cs="Arial"/>
      <w:sz w:val="18"/>
      <w:szCs w:val="18"/>
    </w:rPr>
  </w:style>
  <w:style w:type="paragraph" w:customStyle="1" w:styleId="xl67">
    <w:name w:val="xl67"/>
    <w:basedOn w:val="Normal"/>
    <w:rsid w:val="00F90A63"/>
    <w:pPr>
      <w:pBdr>
        <w:left w:val="single" w:sz="4" w:space="0" w:color="auto"/>
        <w:right w:val="single" w:sz="4" w:space="0" w:color="auto"/>
      </w:pBdr>
      <w:spacing w:before="100" w:beforeAutospacing="1" w:after="100" w:afterAutospacing="1"/>
      <w:ind w:left="0" w:firstLine="0"/>
      <w:jc w:val="center"/>
      <w:textAlignment w:val="top"/>
    </w:pPr>
    <w:rPr>
      <w:rFonts w:ascii="Arial" w:hAnsi="Arial" w:cs="Arial"/>
      <w:sz w:val="18"/>
      <w:szCs w:val="18"/>
    </w:rPr>
  </w:style>
  <w:style w:type="paragraph" w:customStyle="1" w:styleId="xl68">
    <w:name w:val="xl68"/>
    <w:basedOn w:val="Normal"/>
    <w:rsid w:val="00F90A63"/>
    <w:pPr>
      <w:pBdr>
        <w:left w:val="single" w:sz="4" w:space="0" w:color="auto"/>
        <w:right w:val="single" w:sz="4" w:space="0" w:color="auto"/>
      </w:pBdr>
      <w:spacing w:before="100" w:beforeAutospacing="1" w:after="100" w:afterAutospacing="1"/>
      <w:ind w:left="0" w:firstLine="0"/>
      <w:textAlignment w:val="top"/>
    </w:pPr>
    <w:rPr>
      <w:rFonts w:ascii="Arial" w:hAnsi="Arial" w:cs="Arial"/>
      <w:sz w:val="18"/>
      <w:szCs w:val="18"/>
    </w:rPr>
  </w:style>
  <w:style w:type="paragraph" w:customStyle="1" w:styleId="xl69">
    <w:name w:val="xl69"/>
    <w:basedOn w:val="Normal"/>
    <w:rsid w:val="00F90A63"/>
    <w:pPr>
      <w:pBdr>
        <w:left w:val="single" w:sz="4" w:space="0" w:color="auto"/>
        <w:right w:val="single" w:sz="4" w:space="0" w:color="auto"/>
      </w:pBdr>
      <w:spacing w:before="100" w:beforeAutospacing="1" w:after="100" w:afterAutospacing="1"/>
      <w:ind w:left="0" w:firstLine="0"/>
      <w:jc w:val="center"/>
      <w:textAlignment w:val="top"/>
    </w:pPr>
    <w:rPr>
      <w:rFonts w:ascii="Arial" w:hAnsi="Arial" w:cs="Arial"/>
      <w:sz w:val="18"/>
      <w:szCs w:val="18"/>
    </w:rPr>
  </w:style>
  <w:style w:type="paragraph" w:customStyle="1" w:styleId="xl70">
    <w:name w:val="xl70"/>
    <w:basedOn w:val="Normal"/>
    <w:rsid w:val="00F90A63"/>
    <w:pPr>
      <w:pBdr>
        <w:left w:val="single" w:sz="4" w:space="0" w:color="auto"/>
        <w:right w:val="single" w:sz="4" w:space="0" w:color="auto"/>
      </w:pBdr>
      <w:spacing w:before="100" w:beforeAutospacing="1" w:after="100" w:afterAutospacing="1"/>
      <w:ind w:left="0" w:firstLine="0"/>
      <w:jc w:val="center"/>
      <w:textAlignment w:val="top"/>
    </w:pPr>
    <w:rPr>
      <w:rFonts w:ascii="Arial" w:hAnsi="Arial" w:cs="Arial"/>
      <w:sz w:val="18"/>
      <w:szCs w:val="18"/>
    </w:rPr>
  </w:style>
  <w:style w:type="paragraph" w:customStyle="1" w:styleId="xl71">
    <w:name w:val="xl71"/>
    <w:basedOn w:val="Normal"/>
    <w:rsid w:val="00F90A63"/>
    <w:pPr>
      <w:pBdr>
        <w:top w:val="single" w:sz="4" w:space="0" w:color="auto"/>
        <w:left w:val="single" w:sz="4" w:space="0" w:color="auto"/>
        <w:right w:val="single" w:sz="4" w:space="0" w:color="auto"/>
      </w:pBdr>
      <w:spacing w:before="100" w:beforeAutospacing="1" w:after="100" w:afterAutospacing="1"/>
      <w:ind w:left="0" w:firstLine="0"/>
      <w:jc w:val="center"/>
      <w:textAlignment w:val="top"/>
    </w:pPr>
    <w:rPr>
      <w:rFonts w:ascii="Arial" w:hAnsi="Arial" w:cs="Arial"/>
      <w:sz w:val="18"/>
      <w:szCs w:val="18"/>
    </w:rPr>
  </w:style>
  <w:style w:type="paragraph" w:customStyle="1" w:styleId="xl72">
    <w:name w:val="xl72"/>
    <w:basedOn w:val="Normal"/>
    <w:rsid w:val="00F90A63"/>
    <w:pPr>
      <w:pBdr>
        <w:top w:val="single" w:sz="4" w:space="0" w:color="auto"/>
        <w:left w:val="single" w:sz="4" w:space="0" w:color="auto"/>
        <w:right w:val="single" w:sz="4" w:space="0" w:color="auto"/>
      </w:pBdr>
      <w:spacing w:before="100" w:beforeAutospacing="1" w:after="100" w:afterAutospacing="1"/>
      <w:ind w:left="0" w:firstLine="0"/>
      <w:jc w:val="center"/>
      <w:textAlignment w:val="top"/>
    </w:pPr>
    <w:rPr>
      <w:rFonts w:ascii="Arial" w:hAnsi="Arial" w:cs="Arial"/>
      <w:sz w:val="18"/>
      <w:szCs w:val="18"/>
    </w:rPr>
  </w:style>
  <w:style w:type="paragraph" w:customStyle="1" w:styleId="xl73">
    <w:name w:val="xl73"/>
    <w:basedOn w:val="Normal"/>
    <w:rsid w:val="00F90A63"/>
    <w:pPr>
      <w:pBdr>
        <w:left w:val="single" w:sz="4" w:space="0" w:color="auto"/>
        <w:bottom w:val="single" w:sz="4" w:space="0" w:color="auto"/>
        <w:right w:val="single" w:sz="4" w:space="0" w:color="auto"/>
      </w:pBdr>
      <w:spacing w:before="100" w:beforeAutospacing="1" w:after="100" w:afterAutospacing="1"/>
      <w:ind w:left="0" w:firstLine="0"/>
      <w:jc w:val="center"/>
      <w:textAlignment w:val="top"/>
    </w:pPr>
    <w:rPr>
      <w:rFonts w:ascii="Arial" w:hAnsi="Arial" w:cs="Arial"/>
      <w:sz w:val="18"/>
      <w:szCs w:val="18"/>
    </w:rPr>
  </w:style>
  <w:style w:type="paragraph" w:customStyle="1" w:styleId="xl74">
    <w:name w:val="xl74"/>
    <w:basedOn w:val="Normal"/>
    <w:rsid w:val="00F90A63"/>
    <w:pPr>
      <w:pBdr>
        <w:left w:val="single" w:sz="4" w:space="0" w:color="auto"/>
        <w:bottom w:val="single" w:sz="4" w:space="0" w:color="auto"/>
        <w:right w:val="single" w:sz="4" w:space="0" w:color="auto"/>
      </w:pBdr>
      <w:spacing w:before="100" w:beforeAutospacing="1" w:after="100" w:afterAutospacing="1"/>
      <w:ind w:left="0" w:firstLine="0"/>
      <w:jc w:val="center"/>
      <w:textAlignment w:val="top"/>
    </w:pPr>
    <w:rPr>
      <w:rFonts w:ascii="Arial" w:hAnsi="Arial" w:cs="Arial"/>
      <w:sz w:val="18"/>
      <w:szCs w:val="18"/>
    </w:rPr>
  </w:style>
  <w:style w:type="paragraph" w:customStyle="1" w:styleId="xl75">
    <w:name w:val="xl75"/>
    <w:basedOn w:val="Normal"/>
    <w:rsid w:val="00F90A63"/>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top"/>
    </w:pPr>
    <w:rPr>
      <w:rFonts w:ascii="Arial" w:hAnsi="Arial" w:cs="Arial"/>
      <w:b/>
      <w:bCs/>
      <w:sz w:val="18"/>
      <w:szCs w:val="18"/>
    </w:rPr>
  </w:style>
  <w:style w:type="paragraph" w:customStyle="1" w:styleId="xl76">
    <w:name w:val="xl76"/>
    <w:basedOn w:val="Normal"/>
    <w:rsid w:val="00F90A63"/>
    <w:pPr>
      <w:pBdr>
        <w:left w:val="single" w:sz="4" w:space="0" w:color="auto"/>
        <w:right w:val="single" w:sz="4" w:space="0" w:color="auto"/>
      </w:pBdr>
      <w:spacing w:before="100" w:beforeAutospacing="1" w:after="100" w:afterAutospacing="1"/>
      <w:ind w:left="0" w:firstLine="0"/>
      <w:textAlignment w:val="top"/>
    </w:pPr>
    <w:rPr>
      <w:rFonts w:ascii="Arial" w:hAnsi="Arial" w:cs="Arial"/>
      <w:sz w:val="18"/>
      <w:szCs w:val="18"/>
    </w:rPr>
  </w:style>
  <w:style w:type="paragraph" w:customStyle="1" w:styleId="xl77">
    <w:name w:val="xl77"/>
    <w:basedOn w:val="Normal"/>
    <w:rsid w:val="00F90A63"/>
    <w:pPr>
      <w:pBdr>
        <w:left w:val="single" w:sz="4" w:space="0" w:color="auto"/>
        <w:right w:val="single" w:sz="4" w:space="0" w:color="auto"/>
      </w:pBdr>
      <w:spacing w:before="100" w:beforeAutospacing="1" w:after="100" w:afterAutospacing="1"/>
      <w:ind w:left="0" w:firstLine="0"/>
      <w:jc w:val="left"/>
      <w:textAlignment w:val="top"/>
    </w:pPr>
    <w:rPr>
      <w:rFonts w:ascii="Arial" w:hAnsi="Arial" w:cs="Arial"/>
      <w:sz w:val="18"/>
      <w:szCs w:val="18"/>
    </w:rPr>
  </w:style>
  <w:style w:type="paragraph" w:customStyle="1" w:styleId="xl78">
    <w:name w:val="xl78"/>
    <w:basedOn w:val="Normal"/>
    <w:rsid w:val="00F90A63"/>
    <w:pPr>
      <w:pBdr>
        <w:top w:val="single" w:sz="4" w:space="0" w:color="auto"/>
        <w:left w:val="single" w:sz="4" w:space="0" w:color="auto"/>
        <w:right w:val="single" w:sz="4" w:space="0" w:color="auto"/>
      </w:pBdr>
      <w:spacing w:before="100" w:beforeAutospacing="1" w:after="100" w:afterAutospacing="1"/>
      <w:ind w:left="0" w:firstLine="0"/>
      <w:jc w:val="left"/>
      <w:textAlignment w:val="top"/>
    </w:pPr>
    <w:rPr>
      <w:rFonts w:ascii="Arial" w:hAnsi="Arial" w:cs="Arial"/>
      <w:b/>
      <w:bCs/>
      <w:sz w:val="18"/>
      <w:szCs w:val="18"/>
    </w:rPr>
  </w:style>
  <w:style w:type="paragraph" w:customStyle="1" w:styleId="xl79">
    <w:name w:val="xl79"/>
    <w:basedOn w:val="Normal"/>
    <w:rsid w:val="00F90A63"/>
    <w:pPr>
      <w:pBdr>
        <w:top w:val="single" w:sz="4" w:space="0" w:color="auto"/>
        <w:left w:val="single" w:sz="4" w:space="0" w:color="auto"/>
        <w:right w:val="single" w:sz="4" w:space="0" w:color="auto"/>
      </w:pBdr>
      <w:spacing w:before="100" w:beforeAutospacing="1" w:after="100" w:afterAutospacing="1"/>
      <w:ind w:left="0" w:firstLine="0"/>
      <w:jc w:val="left"/>
      <w:textAlignment w:val="top"/>
    </w:pPr>
    <w:rPr>
      <w:rFonts w:ascii="Arial" w:hAnsi="Arial" w:cs="Arial"/>
      <w:sz w:val="18"/>
      <w:szCs w:val="18"/>
    </w:rPr>
  </w:style>
  <w:style w:type="paragraph" w:customStyle="1" w:styleId="xl80">
    <w:name w:val="xl80"/>
    <w:basedOn w:val="Normal"/>
    <w:rsid w:val="00F90A63"/>
    <w:pPr>
      <w:pBdr>
        <w:left w:val="single" w:sz="4" w:space="0" w:color="auto"/>
        <w:right w:val="single" w:sz="4" w:space="0" w:color="auto"/>
      </w:pBdr>
      <w:spacing w:before="100" w:beforeAutospacing="1" w:after="100" w:afterAutospacing="1"/>
      <w:ind w:left="0" w:firstLine="0"/>
      <w:jc w:val="left"/>
      <w:textAlignment w:val="top"/>
    </w:pPr>
    <w:rPr>
      <w:rFonts w:ascii="Arial" w:hAnsi="Arial" w:cs="Arial"/>
      <w:b/>
      <w:bCs/>
      <w:sz w:val="18"/>
      <w:szCs w:val="18"/>
    </w:rPr>
  </w:style>
  <w:style w:type="paragraph" w:customStyle="1" w:styleId="xl81">
    <w:name w:val="xl81"/>
    <w:basedOn w:val="Normal"/>
    <w:rsid w:val="00F90A63"/>
    <w:pPr>
      <w:pBdr>
        <w:top w:val="single" w:sz="4" w:space="0" w:color="auto"/>
        <w:left w:val="single" w:sz="4" w:space="0" w:color="auto"/>
        <w:right w:val="single" w:sz="4" w:space="0" w:color="auto"/>
      </w:pBdr>
      <w:spacing w:before="100" w:beforeAutospacing="1" w:after="100" w:afterAutospacing="1"/>
      <w:ind w:left="0" w:firstLine="0"/>
      <w:jc w:val="left"/>
      <w:textAlignment w:val="top"/>
    </w:pPr>
    <w:rPr>
      <w:rFonts w:ascii="Arial" w:hAnsi="Arial" w:cs="Arial"/>
      <w:b/>
      <w:bCs/>
      <w:sz w:val="18"/>
      <w:szCs w:val="18"/>
    </w:rPr>
  </w:style>
  <w:style w:type="paragraph" w:customStyle="1" w:styleId="xl82">
    <w:name w:val="xl82"/>
    <w:basedOn w:val="Normal"/>
    <w:rsid w:val="00F90A63"/>
    <w:pPr>
      <w:pBdr>
        <w:top w:val="single" w:sz="4" w:space="0" w:color="auto"/>
        <w:left w:val="single" w:sz="4" w:space="0" w:color="auto"/>
        <w:right w:val="single" w:sz="4" w:space="0" w:color="auto"/>
      </w:pBdr>
      <w:spacing w:before="100" w:beforeAutospacing="1" w:after="100" w:afterAutospacing="1"/>
      <w:ind w:left="0" w:firstLine="0"/>
      <w:jc w:val="center"/>
      <w:textAlignment w:val="top"/>
    </w:pPr>
    <w:rPr>
      <w:rFonts w:ascii="Arial" w:hAnsi="Arial" w:cs="Arial"/>
      <w:b/>
      <w:bCs/>
      <w:sz w:val="18"/>
      <w:szCs w:val="18"/>
    </w:rPr>
  </w:style>
  <w:style w:type="paragraph" w:customStyle="1" w:styleId="xl83">
    <w:name w:val="xl83"/>
    <w:basedOn w:val="Normal"/>
    <w:rsid w:val="00F90A63"/>
    <w:pPr>
      <w:pBdr>
        <w:top w:val="single" w:sz="4" w:space="0" w:color="auto"/>
        <w:left w:val="single" w:sz="4" w:space="0" w:color="auto"/>
        <w:right w:val="single" w:sz="4" w:space="0" w:color="auto"/>
      </w:pBdr>
      <w:spacing w:before="100" w:beforeAutospacing="1" w:after="100" w:afterAutospacing="1"/>
      <w:ind w:left="0" w:firstLine="0"/>
      <w:textAlignment w:val="top"/>
    </w:pPr>
    <w:rPr>
      <w:rFonts w:ascii="Arial" w:hAnsi="Arial" w:cs="Arial"/>
      <w:b/>
      <w:bCs/>
      <w:sz w:val="18"/>
      <w:szCs w:val="18"/>
    </w:rPr>
  </w:style>
  <w:style w:type="paragraph" w:customStyle="1" w:styleId="xl84">
    <w:name w:val="xl84"/>
    <w:basedOn w:val="Normal"/>
    <w:rsid w:val="00F90A63"/>
    <w:pPr>
      <w:pBdr>
        <w:top w:val="single" w:sz="4" w:space="0" w:color="auto"/>
        <w:left w:val="single" w:sz="4" w:space="0" w:color="auto"/>
        <w:right w:val="single" w:sz="4" w:space="0" w:color="auto"/>
      </w:pBdr>
      <w:spacing w:before="100" w:beforeAutospacing="1" w:after="100" w:afterAutospacing="1"/>
      <w:ind w:left="0" w:firstLine="0"/>
      <w:jc w:val="center"/>
      <w:textAlignment w:val="top"/>
    </w:pPr>
    <w:rPr>
      <w:rFonts w:ascii="Arial" w:hAnsi="Arial" w:cs="Arial"/>
      <w:b/>
      <w:bCs/>
      <w:sz w:val="18"/>
      <w:szCs w:val="18"/>
    </w:rPr>
  </w:style>
  <w:style w:type="paragraph" w:customStyle="1" w:styleId="xl85">
    <w:name w:val="xl85"/>
    <w:basedOn w:val="Normal"/>
    <w:rsid w:val="00F90A63"/>
    <w:pPr>
      <w:pBdr>
        <w:left w:val="single" w:sz="4" w:space="0" w:color="auto"/>
        <w:right w:val="single" w:sz="4" w:space="0" w:color="auto"/>
      </w:pBdr>
      <w:spacing w:before="100" w:beforeAutospacing="1" w:after="100" w:afterAutospacing="1"/>
      <w:ind w:left="0" w:firstLine="0"/>
      <w:jc w:val="left"/>
      <w:textAlignment w:val="top"/>
    </w:pPr>
    <w:rPr>
      <w:rFonts w:ascii="Arial" w:hAnsi="Arial" w:cs="Arial"/>
      <w:sz w:val="18"/>
      <w:szCs w:val="18"/>
    </w:rPr>
  </w:style>
  <w:style w:type="paragraph" w:customStyle="1" w:styleId="xl86">
    <w:name w:val="xl86"/>
    <w:basedOn w:val="Normal"/>
    <w:rsid w:val="00F90A63"/>
    <w:pPr>
      <w:pBdr>
        <w:left w:val="single" w:sz="4" w:space="0" w:color="auto"/>
        <w:right w:val="single" w:sz="4" w:space="0" w:color="auto"/>
      </w:pBdr>
      <w:spacing w:before="100" w:beforeAutospacing="1" w:after="100" w:afterAutospacing="1"/>
      <w:ind w:left="0" w:firstLine="0"/>
      <w:jc w:val="left"/>
      <w:textAlignment w:val="top"/>
    </w:pPr>
    <w:rPr>
      <w:rFonts w:ascii="Arial" w:hAnsi="Arial" w:cs="Arial"/>
      <w:sz w:val="18"/>
      <w:szCs w:val="18"/>
    </w:rPr>
  </w:style>
  <w:style w:type="paragraph" w:customStyle="1" w:styleId="xl87">
    <w:name w:val="xl87"/>
    <w:basedOn w:val="Normal"/>
    <w:rsid w:val="00F90A63"/>
    <w:pPr>
      <w:pBdr>
        <w:top w:val="single" w:sz="4" w:space="0" w:color="auto"/>
        <w:left w:val="single" w:sz="4" w:space="0" w:color="auto"/>
        <w:right w:val="single" w:sz="4" w:space="0" w:color="auto"/>
      </w:pBdr>
      <w:spacing w:before="100" w:beforeAutospacing="1" w:after="100" w:afterAutospacing="1"/>
      <w:ind w:left="0" w:firstLine="0"/>
      <w:jc w:val="left"/>
      <w:textAlignment w:val="top"/>
    </w:pPr>
    <w:rPr>
      <w:rFonts w:ascii="Arial" w:hAnsi="Arial" w:cs="Arial"/>
      <w:sz w:val="18"/>
      <w:szCs w:val="18"/>
    </w:rPr>
  </w:style>
  <w:style w:type="paragraph" w:customStyle="1" w:styleId="xl88">
    <w:name w:val="xl88"/>
    <w:basedOn w:val="Normal"/>
    <w:rsid w:val="00F90A63"/>
    <w:pPr>
      <w:pBdr>
        <w:left w:val="single" w:sz="4" w:space="0" w:color="auto"/>
        <w:bottom w:val="single" w:sz="4" w:space="0" w:color="auto"/>
        <w:right w:val="single" w:sz="4" w:space="0" w:color="auto"/>
      </w:pBdr>
      <w:spacing w:before="100" w:beforeAutospacing="1" w:after="100" w:afterAutospacing="1"/>
      <w:ind w:left="0" w:firstLine="0"/>
      <w:jc w:val="left"/>
      <w:textAlignment w:val="top"/>
    </w:pPr>
    <w:rPr>
      <w:rFonts w:ascii="Arial" w:hAnsi="Arial" w:cs="Arial"/>
      <w:sz w:val="18"/>
      <w:szCs w:val="18"/>
    </w:rPr>
  </w:style>
  <w:style w:type="paragraph" w:customStyle="1" w:styleId="xl89">
    <w:name w:val="xl89"/>
    <w:basedOn w:val="Normal"/>
    <w:rsid w:val="00F90A63"/>
    <w:pPr>
      <w:pBdr>
        <w:left w:val="single" w:sz="4" w:space="0" w:color="auto"/>
        <w:bottom w:val="single" w:sz="4" w:space="0" w:color="auto"/>
        <w:right w:val="single" w:sz="4" w:space="0" w:color="auto"/>
      </w:pBdr>
      <w:spacing w:before="100" w:beforeAutospacing="1" w:after="100" w:afterAutospacing="1"/>
      <w:ind w:left="0" w:firstLine="0"/>
      <w:jc w:val="center"/>
      <w:textAlignment w:val="top"/>
    </w:pPr>
    <w:rPr>
      <w:rFonts w:ascii="Arial" w:hAnsi="Arial" w:cs="Arial"/>
      <w:sz w:val="18"/>
      <w:szCs w:val="18"/>
    </w:rPr>
  </w:style>
  <w:style w:type="paragraph" w:customStyle="1" w:styleId="xl90">
    <w:name w:val="xl90"/>
    <w:basedOn w:val="Normal"/>
    <w:rsid w:val="00F90A63"/>
    <w:pPr>
      <w:pBdr>
        <w:left w:val="single" w:sz="4" w:space="0" w:color="auto"/>
        <w:right w:val="single" w:sz="4" w:space="0" w:color="auto"/>
      </w:pBdr>
      <w:spacing w:before="100" w:beforeAutospacing="1" w:after="100" w:afterAutospacing="1"/>
      <w:ind w:left="0" w:firstLine="0"/>
      <w:jc w:val="left"/>
      <w:textAlignment w:val="top"/>
    </w:pPr>
    <w:rPr>
      <w:rFonts w:ascii="Arial" w:hAnsi="Arial" w:cs="Arial"/>
      <w:sz w:val="18"/>
      <w:szCs w:val="18"/>
    </w:rPr>
  </w:style>
  <w:style w:type="paragraph" w:customStyle="1" w:styleId="xl91">
    <w:name w:val="xl91"/>
    <w:basedOn w:val="Normal"/>
    <w:rsid w:val="00F90A63"/>
    <w:pPr>
      <w:pBdr>
        <w:left w:val="single" w:sz="4" w:space="0" w:color="auto"/>
        <w:right w:val="single" w:sz="4" w:space="0" w:color="auto"/>
      </w:pBdr>
      <w:spacing w:before="100" w:beforeAutospacing="1" w:after="100" w:afterAutospacing="1"/>
      <w:ind w:left="0" w:firstLine="0"/>
      <w:jc w:val="center"/>
      <w:textAlignment w:val="top"/>
    </w:pPr>
    <w:rPr>
      <w:rFonts w:ascii="Arial" w:hAnsi="Arial" w:cs="Arial"/>
      <w:b/>
      <w:bCs/>
      <w:sz w:val="18"/>
      <w:szCs w:val="18"/>
    </w:rPr>
  </w:style>
  <w:style w:type="paragraph" w:customStyle="1" w:styleId="xl92">
    <w:name w:val="xl92"/>
    <w:basedOn w:val="Normal"/>
    <w:rsid w:val="00F90A63"/>
    <w:pPr>
      <w:pBdr>
        <w:left w:val="single" w:sz="4" w:space="0" w:color="auto"/>
        <w:right w:val="single" w:sz="4" w:space="0" w:color="auto"/>
      </w:pBdr>
      <w:spacing w:before="100" w:beforeAutospacing="1" w:after="100" w:afterAutospacing="1"/>
      <w:ind w:left="0" w:firstLine="0"/>
      <w:jc w:val="left"/>
      <w:textAlignment w:val="top"/>
    </w:pPr>
    <w:rPr>
      <w:rFonts w:ascii="Arial" w:hAnsi="Arial" w:cs="Arial"/>
      <w:sz w:val="18"/>
      <w:szCs w:val="18"/>
    </w:rPr>
  </w:style>
  <w:style w:type="paragraph" w:customStyle="1" w:styleId="xl93">
    <w:name w:val="xl93"/>
    <w:basedOn w:val="Normal"/>
    <w:rsid w:val="00F90A63"/>
    <w:pPr>
      <w:spacing w:before="100" w:beforeAutospacing="1" w:after="100" w:afterAutospacing="1"/>
      <w:ind w:left="0" w:firstLine="0"/>
      <w:jc w:val="center"/>
      <w:textAlignment w:val="top"/>
    </w:pPr>
    <w:rPr>
      <w:rFonts w:ascii="Arial" w:hAnsi="Arial" w:cs="Arial"/>
      <w:b/>
      <w:bCs/>
      <w:sz w:val="18"/>
      <w:szCs w:val="18"/>
    </w:rPr>
  </w:style>
  <w:style w:type="paragraph" w:customStyle="1" w:styleId="xl94">
    <w:name w:val="xl94"/>
    <w:basedOn w:val="Normal"/>
    <w:rsid w:val="00F90A63"/>
    <w:pPr>
      <w:spacing w:before="100" w:beforeAutospacing="1" w:after="100" w:afterAutospacing="1"/>
      <w:ind w:left="0" w:firstLine="0"/>
      <w:jc w:val="left"/>
      <w:textAlignment w:val="top"/>
    </w:pPr>
    <w:rPr>
      <w:rFonts w:ascii="Arial" w:hAnsi="Arial" w:cs="Arial"/>
      <w:sz w:val="18"/>
      <w:szCs w:val="18"/>
    </w:rPr>
  </w:style>
  <w:style w:type="paragraph" w:customStyle="1" w:styleId="xl95">
    <w:name w:val="xl95"/>
    <w:basedOn w:val="Normal"/>
    <w:rsid w:val="00F90A63"/>
    <w:pPr>
      <w:spacing w:before="100" w:beforeAutospacing="1" w:after="100" w:afterAutospacing="1"/>
      <w:ind w:left="0" w:firstLine="0"/>
      <w:jc w:val="center"/>
      <w:textAlignment w:val="top"/>
    </w:pPr>
    <w:rPr>
      <w:rFonts w:ascii="Arial" w:hAnsi="Arial" w:cs="Arial"/>
      <w:sz w:val="18"/>
      <w:szCs w:val="18"/>
    </w:rPr>
  </w:style>
  <w:style w:type="paragraph" w:customStyle="1" w:styleId="xl96">
    <w:name w:val="xl96"/>
    <w:basedOn w:val="Normal"/>
    <w:rsid w:val="00F90A63"/>
    <w:pPr>
      <w:spacing w:before="100" w:beforeAutospacing="1" w:after="100" w:afterAutospacing="1"/>
      <w:ind w:left="0" w:firstLine="0"/>
      <w:jc w:val="center"/>
      <w:textAlignment w:val="top"/>
    </w:pPr>
    <w:rPr>
      <w:rFonts w:ascii="Arial" w:hAnsi="Arial" w:cs="Arial"/>
      <w:sz w:val="18"/>
      <w:szCs w:val="18"/>
    </w:rPr>
  </w:style>
  <w:style w:type="paragraph" w:customStyle="1" w:styleId="xl97">
    <w:name w:val="xl97"/>
    <w:basedOn w:val="Normal"/>
    <w:rsid w:val="00F90A63"/>
    <w:pPr>
      <w:spacing w:before="100" w:beforeAutospacing="1" w:after="100" w:afterAutospacing="1"/>
      <w:ind w:left="0" w:firstLine="0"/>
      <w:jc w:val="center"/>
      <w:textAlignment w:val="top"/>
    </w:pPr>
    <w:rPr>
      <w:rFonts w:ascii="Arial" w:hAnsi="Arial" w:cs="Arial"/>
      <w:b/>
      <w:bCs/>
      <w:szCs w:val="24"/>
    </w:rPr>
  </w:style>
  <w:style w:type="paragraph" w:customStyle="1" w:styleId="xl98">
    <w:name w:val="xl98"/>
    <w:basedOn w:val="Normal"/>
    <w:rsid w:val="00F90A63"/>
    <w:pPr>
      <w:spacing w:before="100" w:beforeAutospacing="1" w:after="100" w:afterAutospacing="1"/>
      <w:ind w:left="0" w:firstLine="0"/>
      <w:jc w:val="left"/>
      <w:textAlignment w:val="top"/>
    </w:pPr>
    <w:rPr>
      <w:rFonts w:ascii="Arial" w:hAnsi="Arial" w:cs="Arial"/>
      <w:szCs w:val="24"/>
    </w:rPr>
  </w:style>
  <w:style w:type="paragraph" w:customStyle="1" w:styleId="xl99">
    <w:name w:val="xl99"/>
    <w:basedOn w:val="Normal"/>
    <w:rsid w:val="00F90A63"/>
    <w:pPr>
      <w:spacing w:before="100" w:beforeAutospacing="1" w:after="100" w:afterAutospacing="1"/>
      <w:ind w:left="0" w:firstLine="0"/>
      <w:jc w:val="center"/>
      <w:textAlignment w:val="top"/>
    </w:pPr>
    <w:rPr>
      <w:rFonts w:ascii="Arial" w:hAnsi="Arial" w:cs="Arial"/>
      <w:b/>
      <w:bCs/>
      <w:sz w:val="18"/>
      <w:szCs w:val="18"/>
    </w:rPr>
  </w:style>
  <w:style w:type="paragraph" w:customStyle="1" w:styleId="xl100">
    <w:name w:val="xl100"/>
    <w:basedOn w:val="Normal"/>
    <w:rsid w:val="00F90A63"/>
    <w:pPr>
      <w:pBdr>
        <w:top w:val="single" w:sz="4" w:space="0" w:color="auto"/>
        <w:left w:val="single" w:sz="4" w:space="0" w:color="auto"/>
        <w:right w:val="single" w:sz="4" w:space="0" w:color="auto"/>
      </w:pBdr>
      <w:spacing w:before="100" w:beforeAutospacing="1" w:after="100" w:afterAutospacing="1"/>
      <w:ind w:left="0" w:firstLine="0"/>
      <w:jc w:val="center"/>
      <w:textAlignment w:val="top"/>
    </w:pPr>
    <w:rPr>
      <w:rFonts w:ascii="Arial" w:hAnsi="Arial" w:cs="Arial"/>
      <w:b/>
      <w:bCs/>
      <w:sz w:val="18"/>
      <w:szCs w:val="18"/>
    </w:rPr>
  </w:style>
  <w:style w:type="paragraph" w:customStyle="1" w:styleId="xl101">
    <w:name w:val="xl101"/>
    <w:basedOn w:val="Normal"/>
    <w:rsid w:val="00F90A63"/>
    <w:pPr>
      <w:pBdr>
        <w:top w:val="single" w:sz="4" w:space="0" w:color="auto"/>
        <w:left w:val="single" w:sz="4" w:space="0" w:color="auto"/>
        <w:right w:val="single" w:sz="4" w:space="0" w:color="auto"/>
      </w:pBdr>
      <w:spacing w:before="100" w:beforeAutospacing="1" w:after="100" w:afterAutospacing="1"/>
      <w:ind w:left="0" w:firstLine="0"/>
      <w:jc w:val="center"/>
      <w:textAlignment w:val="top"/>
    </w:pPr>
    <w:rPr>
      <w:rFonts w:ascii="Arial" w:hAnsi="Arial" w:cs="Arial"/>
      <w:b/>
      <w:bCs/>
      <w:sz w:val="18"/>
      <w:szCs w:val="18"/>
    </w:rPr>
  </w:style>
  <w:style w:type="paragraph" w:customStyle="1" w:styleId="xl102">
    <w:name w:val="xl102"/>
    <w:basedOn w:val="Normal"/>
    <w:rsid w:val="00F90A63"/>
    <w:pPr>
      <w:pBdr>
        <w:left w:val="single" w:sz="4" w:space="0" w:color="auto"/>
        <w:bottom w:val="single" w:sz="4" w:space="0" w:color="auto"/>
        <w:right w:val="single" w:sz="4" w:space="0" w:color="auto"/>
      </w:pBdr>
      <w:spacing w:before="100" w:beforeAutospacing="1" w:after="100" w:afterAutospacing="1"/>
      <w:ind w:left="0" w:firstLine="0"/>
      <w:jc w:val="center"/>
      <w:textAlignment w:val="top"/>
    </w:pPr>
    <w:rPr>
      <w:rFonts w:ascii="Arial" w:hAnsi="Arial" w:cs="Arial"/>
      <w:b/>
      <w:bCs/>
      <w:sz w:val="18"/>
      <w:szCs w:val="18"/>
    </w:rPr>
  </w:style>
  <w:style w:type="paragraph" w:customStyle="1" w:styleId="xl103">
    <w:name w:val="xl103"/>
    <w:basedOn w:val="Normal"/>
    <w:rsid w:val="00F90A63"/>
    <w:pPr>
      <w:pBdr>
        <w:left w:val="single" w:sz="4" w:space="0" w:color="auto"/>
        <w:bottom w:val="single" w:sz="4" w:space="0" w:color="auto"/>
        <w:right w:val="single" w:sz="4" w:space="0" w:color="auto"/>
      </w:pBdr>
      <w:spacing w:before="100" w:beforeAutospacing="1" w:after="100" w:afterAutospacing="1"/>
      <w:ind w:left="0" w:firstLine="0"/>
      <w:jc w:val="center"/>
      <w:textAlignment w:val="top"/>
    </w:pPr>
    <w:rPr>
      <w:rFonts w:ascii="Arial" w:hAnsi="Arial" w:cs="Arial"/>
      <w:sz w:val="18"/>
      <w:szCs w:val="18"/>
    </w:rPr>
  </w:style>
  <w:style w:type="paragraph" w:customStyle="1" w:styleId="xl104">
    <w:name w:val="xl104"/>
    <w:basedOn w:val="Normal"/>
    <w:rsid w:val="00F90A63"/>
    <w:pPr>
      <w:pBdr>
        <w:left w:val="single" w:sz="4" w:space="0" w:color="auto"/>
        <w:bottom w:val="single" w:sz="4" w:space="0" w:color="auto"/>
        <w:right w:val="single" w:sz="4" w:space="0" w:color="auto"/>
      </w:pBdr>
      <w:spacing w:before="100" w:beforeAutospacing="1" w:after="100" w:afterAutospacing="1"/>
      <w:ind w:left="0" w:firstLine="0"/>
      <w:jc w:val="center"/>
      <w:textAlignment w:val="top"/>
    </w:pPr>
    <w:rPr>
      <w:rFonts w:ascii="Arial" w:hAnsi="Arial" w:cs="Arial"/>
      <w:b/>
      <w:bCs/>
      <w:sz w:val="18"/>
      <w:szCs w:val="18"/>
    </w:rPr>
  </w:style>
  <w:style w:type="paragraph" w:customStyle="1" w:styleId="xl105">
    <w:name w:val="xl105"/>
    <w:basedOn w:val="Normal"/>
    <w:rsid w:val="00F90A63"/>
    <w:pPr>
      <w:pBdr>
        <w:left w:val="single" w:sz="4" w:space="0" w:color="auto"/>
        <w:right w:val="single" w:sz="4" w:space="0" w:color="auto"/>
      </w:pBdr>
      <w:spacing w:before="100" w:beforeAutospacing="1" w:after="100" w:afterAutospacing="1"/>
      <w:ind w:left="0" w:firstLine="0"/>
      <w:jc w:val="left"/>
      <w:textAlignment w:val="top"/>
    </w:pPr>
    <w:rPr>
      <w:rFonts w:ascii="Arial" w:hAnsi="Arial" w:cs="Arial"/>
      <w:b/>
      <w:bCs/>
      <w:sz w:val="18"/>
      <w:szCs w:val="18"/>
      <w:u w:val="single"/>
    </w:rPr>
  </w:style>
  <w:style w:type="paragraph" w:customStyle="1" w:styleId="xl106">
    <w:name w:val="xl106"/>
    <w:basedOn w:val="Normal"/>
    <w:rsid w:val="00F90A63"/>
    <w:pPr>
      <w:pBdr>
        <w:left w:val="single" w:sz="4" w:space="0" w:color="auto"/>
        <w:right w:val="single" w:sz="4" w:space="0" w:color="auto"/>
      </w:pBdr>
      <w:spacing w:before="100" w:beforeAutospacing="1" w:after="100" w:afterAutospacing="1"/>
      <w:ind w:left="0" w:firstLine="0"/>
      <w:jc w:val="center"/>
      <w:textAlignment w:val="top"/>
    </w:pPr>
    <w:rPr>
      <w:rFonts w:ascii="Arial" w:hAnsi="Arial" w:cs="Arial"/>
      <w:sz w:val="18"/>
      <w:szCs w:val="18"/>
    </w:rPr>
  </w:style>
  <w:style w:type="paragraph" w:customStyle="1" w:styleId="xl107">
    <w:name w:val="xl107"/>
    <w:basedOn w:val="Normal"/>
    <w:rsid w:val="00F90A63"/>
    <w:pPr>
      <w:pBdr>
        <w:left w:val="single" w:sz="4" w:space="0" w:color="auto"/>
        <w:right w:val="single" w:sz="4" w:space="0" w:color="auto"/>
      </w:pBdr>
      <w:spacing w:before="100" w:beforeAutospacing="1" w:after="100" w:afterAutospacing="1"/>
      <w:ind w:left="0" w:firstLine="0"/>
      <w:jc w:val="center"/>
      <w:textAlignment w:val="top"/>
    </w:pPr>
    <w:rPr>
      <w:rFonts w:ascii="Arial" w:hAnsi="Arial" w:cs="Arial"/>
      <w:b/>
      <w:bCs/>
      <w:sz w:val="18"/>
      <w:szCs w:val="18"/>
      <w:u w:val="single"/>
    </w:rPr>
  </w:style>
  <w:style w:type="paragraph" w:customStyle="1" w:styleId="xl108">
    <w:name w:val="xl108"/>
    <w:basedOn w:val="Normal"/>
    <w:rsid w:val="00F90A63"/>
    <w:pPr>
      <w:pBdr>
        <w:left w:val="single" w:sz="4" w:space="0" w:color="auto"/>
        <w:right w:val="single" w:sz="4" w:space="0" w:color="auto"/>
      </w:pBdr>
      <w:spacing w:before="100" w:beforeAutospacing="1" w:after="100" w:afterAutospacing="1"/>
      <w:ind w:left="0" w:firstLine="0"/>
      <w:textAlignment w:val="top"/>
    </w:pPr>
    <w:rPr>
      <w:rFonts w:ascii="Arial" w:hAnsi="Arial" w:cs="Arial"/>
      <w:sz w:val="18"/>
      <w:szCs w:val="18"/>
    </w:rPr>
  </w:style>
  <w:style w:type="paragraph" w:customStyle="1" w:styleId="xl109">
    <w:name w:val="xl109"/>
    <w:basedOn w:val="Normal"/>
    <w:rsid w:val="00F90A63"/>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left"/>
      <w:textAlignment w:val="top"/>
    </w:pPr>
    <w:rPr>
      <w:rFonts w:ascii="Arial" w:hAnsi="Arial" w:cs="Arial"/>
      <w:sz w:val="18"/>
      <w:szCs w:val="18"/>
    </w:rPr>
  </w:style>
  <w:style w:type="paragraph" w:customStyle="1" w:styleId="xl110">
    <w:name w:val="xl110"/>
    <w:basedOn w:val="Normal"/>
    <w:rsid w:val="00F90A63"/>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left"/>
      <w:textAlignment w:val="top"/>
    </w:pPr>
    <w:rPr>
      <w:rFonts w:ascii="Arial" w:hAnsi="Arial" w:cs="Arial"/>
      <w:sz w:val="18"/>
      <w:szCs w:val="18"/>
    </w:rPr>
  </w:style>
  <w:style w:type="paragraph" w:customStyle="1" w:styleId="xl111">
    <w:name w:val="xl111"/>
    <w:basedOn w:val="Normal"/>
    <w:rsid w:val="00F90A63"/>
    <w:pPr>
      <w:pBdr>
        <w:left w:val="single" w:sz="4" w:space="0" w:color="auto"/>
        <w:bottom w:val="single" w:sz="4" w:space="0" w:color="auto"/>
        <w:right w:val="single" w:sz="4" w:space="0" w:color="auto"/>
      </w:pBdr>
      <w:spacing w:before="100" w:beforeAutospacing="1" w:after="100" w:afterAutospacing="1"/>
      <w:ind w:left="0" w:firstLine="0"/>
      <w:jc w:val="left"/>
      <w:textAlignment w:val="top"/>
    </w:pPr>
    <w:rPr>
      <w:rFonts w:ascii="Arial" w:hAnsi="Arial" w:cs="Arial"/>
      <w:sz w:val="18"/>
      <w:szCs w:val="18"/>
    </w:rPr>
  </w:style>
  <w:style w:type="paragraph" w:customStyle="1" w:styleId="xl112">
    <w:name w:val="xl112"/>
    <w:basedOn w:val="Normal"/>
    <w:rsid w:val="00F90A63"/>
    <w:pPr>
      <w:spacing w:before="100" w:beforeAutospacing="1" w:after="100" w:afterAutospacing="1"/>
      <w:ind w:left="0" w:firstLine="0"/>
      <w:jc w:val="center"/>
      <w:textAlignment w:val="top"/>
    </w:pPr>
    <w:rPr>
      <w:rFonts w:ascii="Arial" w:hAnsi="Arial" w:cs="Arial"/>
      <w:b/>
      <w:bCs/>
      <w:szCs w:val="24"/>
    </w:rPr>
  </w:style>
  <w:style w:type="paragraph" w:customStyle="1" w:styleId="xl113">
    <w:name w:val="xl113"/>
    <w:basedOn w:val="Normal"/>
    <w:rsid w:val="00F90A63"/>
    <w:pPr>
      <w:spacing w:before="100" w:beforeAutospacing="1" w:after="100" w:afterAutospacing="1"/>
      <w:ind w:left="0" w:firstLine="0"/>
      <w:jc w:val="center"/>
      <w:textAlignment w:val="top"/>
    </w:pPr>
    <w:rPr>
      <w:rFonts w:ascii="Arial" w:hAnsi="Arial" w:cs="Arial"/>
      <w:sz w:val="18"/>
      <w:szCs w:val="18"/>
    </w:rPr>
  </w:style>
  <w:style w:type="paragraph" w:customStyle="1" w:styleId="xl114">
    <w:name w:val="xl114"/>
    <w:basedOn w:val="Normal"/>
    <w:rsid w:val="00F90A63"/>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top"/>
    </w:pPr>
    <w:rPr>
      <w:rFonts w:ascii="Arial" w:hAnsi="Arial" w:cs="Arial"/>
      <w:sz w:val="18"/>
      <w:szCs w:val="18"/>
    </w:rPr>
  </w:style>
  <w:style w:type="paragraph" w:customStyle="1" w:styleId="xl115">
    <w:name w:val="xl115"/>
    <w:basedOn w:val="Normal"/>
    <w:rsid w:val="00F90A63"/>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top"/>
    </w:pPr>
    <w:rPr>
      <w:rFonts w:ascii="Arial" w:hAnsi="Arial" w:cs="Arial"/>
      <w:b/>
      <w:bCs/>
      <w:sz w:val="18"/>
      <w:szCs w:val="18"/>
    </w:rPr>
  </w:style>
  <w:style w:type="paragraph" w:customStyle="1" w:styleId="xl116">
    <w:name w:val="xl116"/>
    <w:basedOn w:val="Normal"/>
    <w:rsid w:val="00F90A63"/>
    <w:pPr>
      <w:spacing w:before="100" w:beforeAutospacing="1" w:after="100" w:afterAutospacing="1"/>
      <w:ind w:left="0" w:firstLine="0"/>
      <w:jc w:val="center"/>
      <w:textAlignment w:val="top"/>
    </w:pPr>
    <w:rPr>
      <w:rFonts w:ascii="Arial" w:hAnsi="Arial" w:cs="Arial"/>
      <w:b/>
      <w:bCs/>
      <w:szCs w:val="24"/>
    </w:rPr>
  </w:style>
  <w:style w:type="paragraph" w:customStyle="1" w:styleId="xl117">
    <w:name w:val="xl117"/>
    <w:basedOn w:val="Normal"/>
    <w:rsid w:val="00F90A63"/>
    <w:pPr>
      <w:spacing w:before="100" w:beforeAutospacing="1" w:after="100" w:afterAutospacing="1"/>
      <w:ind w:left="0" w:firstLine="0"/>
      <w:jc w:val="left"/>
      <w:textAlignment w:val="top"/>
    </w:pPr>
    <w:rPr>
      <w:rFonts w:ascii="Arial" w:hAnsi="Arial" w:cs="Arial"/>
      <w:szCs w:val="24"/>
    </w:rPr>
  </w:style>
  <w:style w:type="paragraph" w:customStyle="1" w:styleId="xl118">
    <w:name w:val="xl118"/>
    <w:basedOn w:val="Normal"/>
    <w:rsid w:val="00F90A63"/>
    <w:pPr>
      <w:spacing w:before="100" w:beforeAutospacing="1" w:after="100" w:afterAutospacing="1"/>
      <w:ind w:left="0" w:firstLine="0"/>
      <w:jc w:val="center"/>
      <w:textAlignment w:val="top"/>
    </w:pPr>
    <w:rPr>
      <w:rFonts w:ascii="Arial" w:hAnsi="Arial" w:cs="Arial"/>
      <w:b/>
      <w:bCs/>
      <w:szCs w:val="24"/>
    </w:rPr>
  </w:style>
  <w:style w:type="paragraph" w:customStyle="1" w:styleId="xl119">
    <w:name w:val="xl119"/>
    <w:basedOn w:val="Normal"/>
    <w:rsid w:val="00F90A63"/>
    <w:pPr>
      <w:pBdr>
        <w:left w:val="single" w:sz="4" w:space="0" w:color="auto"/>
        <w:right w:val="single" w:sz="4" w:space="0" w:color="auto"/>
      </w:pBdr>
      <w:spacing w:before="100" w:beforeAutospacing="1" w:after="100" w:afterAutospacing="1"/>
      <w:ind w:left="0" w:firstLine="0"/>
      <w:jc w:val="center"/>
      <w:textAlignment w:val="top"/>
    </w:pPr>
    <w:rPr>
      <w:rFonts w:ascii="Arial" w:hAnsi="Arial" w:cs="Arial"/>
      <w:b/>
      <w:bCs/>
      <w:sz w:val="18"/>
      <w:szCs w:val="18"/>
    </w:rPr>
  </w:style>
  <w:style w:type="paragraph" w:customStyle="1" w:styleId="xl120">
    <w:name w:val="xl120"/>
    <w:basedOn w:val="Normal"/>
    <w:rsid w:val="00F90A63"/>
    <w:pPr>
      <w:spacing w:before="100" w:beforeAutospacing="1" w:after="100" w:afterAutospacing="1"/>
      <w:ind w:left="0" w:firstLine="0"/>
      <w:jc w:val="left"/>
      <w:textAlignment w:val="top"/>
    </w:pPr>
    <w:rPr>
      <w:rFonts w:ascii="Arial" w:hAnsi="Arial" w:cs="Arial"/>
      <w:b/>
      <w:bCs/>
      <w:sz w:val="18"/>
      <w:szCs w:val="18"/>
    </w:rPr>
  </w:style>
  <w:style w:type="paragraph" w:customStyle="1" w:styleId="xl121">
    <w:name w:val="xl121"/>
    <w:basedOn w:val="Normal"/>
    <w:rsid w:val="00F90A63"/>
    <w:pPr>
      <w:spacing w:before="100" w:beforeAutospacing="1" w:after="100" w:afterAutospacing="1"/>
      <w:ind w:left="0" w:firstLine="0"/>
      <w:jc w:val="center"/>
      <w:textAlignment w:val="top"/>
    </w:pPr>
    <w:rPr>
      <w:rFonts w:ascii="Arial" w:hAnsi="Arial" w:cs="Arial"/>
      <w:b/>
      <w:bCs/>
      <w:sz w:val="18"/>
      <w:szCs w:val="18"/>
    </w:rPr>
  </w:style>
  <w:style w:type="paragraph" w:customStyle="1" w:styleId="xl122">
    <w:name w:val="xl122"/>
    <w:basedOn w:val="Normal"/>
    <w:rsid w:val="00F90A63"/>
    <w:pPr>
      <w:spacing w:before="100" w:beforeAutospacing="1" w:after="100" w:afterAutospacing="1"/>
      <w:ind w:left="0" w:firstLine="0"/>
      <w:jc w:val="center"/>
      <w:textAlignment w:val="top"/>
    </w:pPr>
    <w:rPr>
      <w:rFonts w:ascii="Arial" w:hAnsi="Arial" w:cs="Arial"/>
      <w:b/>
      <w:bCs/>
      <w:sz w:val="18"/>
      <w:szCs w:val="18"/>
    </w:rPr>
  </w:style>
  <w:style w:type="paragraph" w:customStyle="1" w:styleId="xl123">
    <w:name w:val="xl123"/>
    <w:basedOn w:val="Normal"/>
    <w:rsid w:val="00F90A63"/>
    <w:pPr>
      <w:spacing w:before="100" w:beforeAutospacing="1" w:after="100" w:afterAutospacing="1"/>
      <w:ind w:left="0" w:firstLine="0"/>
      <w:jc w:val="left"/>
      <w:textAlignment w:val="top"/>
    </w:pPr>
    <w:rPr>
      <w:rFonts w:ascii="Arial" w:hAnsi="Arial" w:cs="Arial"/>
      <w:sz w:val="18"/>
      <w:szCs w:val="18"/>
    </w:rPr>
  </w:style>
  <w:style w:type="paragraph" w:customStyle="1" w:styleId="xl124">
    <w:name w:val="xl124"/>
    <w:basedOn w:val="Normal"/>
    <w:rsid w:val="00F90A63"/>
    <w:pPr>
      <w:spacing w:before="100" w:beforeAutospacing="1" w:after="100" w:afterAutospacing="1"/>
      <w:ind w:left="0" w:firstLine="0"/>
      <w:jc w:val="left"/>
      <w:textAlignment w:val="top"/>
    </w:pPr>
    <w:rPr>
      <w:rFonts w:ascii="Arial" w:hAnsi="Arial" w:cs="Arial"/>
      <w:sz w:val="18"/>
      <w:szCs w:val="18"/>
    </w:rPr>
  </w:style>
  <w:style w:type="paragraph" w:customStyle="1" w:styleId="xl125">
    <w:name w:val="xl125"/>
    <w:basedOn w:val="Normal"/>
    <w:rsid w:val="00F90A63"/>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top"/>
    </w:pPr>
    <w:rPr>
      <w:rFonts w:ascii="Arial" w:hAnsi="Arial" w:cs="Arial"/>
      <w:b/>
      <w:bCs/>
      <w:sz w:val="18"/>
      <w:szCs w:val="18"/>
    </w:rPr>
  </w:style>
  <w:style w:type="paragraph" w:customStyle="1" w:styleId="xl126">
    <w:name w:val="xl126"/>
    <w:basedOn w:val="Normal"/>
    <w:rsid w:val="00F90A63"/>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top"/>
    </w:pPr>
    <w:rPr>
      <w:rFonts w:ascii="Arial" w:hAnsi="Arial" w:cs="Arial"/>
      <w:b/>
      <w:bCs/>
      <w:sz w:val="18"/>
      <w:szCs w:val="18"/>
    </w:rPr>
  </w:style>
  <w:style w:type="paragraph" w:customStyle="1" w:styleId="xl127">
    <w:name w:val="xl127"/>
    <w:basedOn w:val="Normal"/>
    <w:rsid w:val="00F90A63"/>
    <w:pPr>
      <w:pBdr>
        <w:top w:val="single" w:sz="4" w:space="0" w:color="auto"/>
        <w:left w:val="single" w:sz="4" w:space="0" w:color="auto"/>
        <w:right w:val="single" w:sz="4" w:space="0" w:color="auto"/>
      </w:pBdr>
      <w:spacing w:before="100" w:beforeAutospacing="1" w:after="100" w:afterAutospacing="1"/>
      <w:ind w:left="0" w:firstLine="0"/>
      <w:jc w:val="left"/>
      <w:textAlignment w:val="top"/>
    </w:pPr>
    <w:rPr>
      <w:rFonts w:ascii="Arial" w:hAnsi="Arial" w:cs="Arial"/>
      <w:sz w:val="18"/>
      <w:szCs w:val="18"/>
    </w:rPr>
  </w:style>
  <w:style w:type="paragraph" w:customStyle="1" w:styleId="xl128">
    <w:name w:val="xl128"/>
    <w:basedOn w:val="Normal"/>
    <w:rsid w:val="00F90A63"/>
    <w:pPr>
      <w:pBdr>
        <w:top w:val="single" w:sz="4" w:space="0" w:color="auto"/>
        <w:left w:val="single" w:sz="4" w:space="0" w:color="auto"/>
        <w:right w:val="single" w:sz="4" w:space="0" w:color="auto"/>
      </w:pBdr>
      <w:spacing w:before="100" w:beforeAutospacing="1" w:after="100" w:afterAutospacing="1"/>
      <w:ind w:left="0" w:firstLine="0"/>
      <w:textAlignment w:val="top"/>
    </w:pPr>
    <w:rPr>
      <w:rFonts w:ascii="Arial" w:hAnsi="Arial" w:cs="Arial"/>
      <w:color w:val="000000"/>
      <w:sz w:val="18"/>
      <w:szCs w:val="18"/>
    </w:rPr>
  </w:style>
  <w:style w:type="paragraph" w:customStyle="1" w:styleId="xl129">
    <w:name w:val="xl129"/>
    <w:basedOn w:val="Normal"/>
    <w:rsid w:val="00F90A63"/>
    <w:pPr>
      <w:pBdr>
        <w:top w:val="single" w:sz="4" w:space="0" w:color="auto"/>
        <w:left w:val="single" w:sz="4" w:space="0" w:color="auto"/>
        <w:right w:val="single" w:sz="4" w:space="0" w:color="auto"/>
      </w:pBdr>
      <w:spacing w:before="100" w:beforeAutospacing="1" w:after="100" w:afterAutospacing="1"/>
      <w:ind w:left="0" w:firstLine="0"/>
      <w:jc w:val="center"/>
      <w:textAlignment w:val="top"/>
    </w:pPr>
    <w:rPr>
      <w:rFonts w:ascii="Arial" w:hAnsi="Arial" w:cs="Arial"/>
      <w:sz w:val="18"/>
      <w:szCs w:val="18"/>
    </w:rPr>
  </w:style>
  <w:style w:type="paragraph" w:customStyle="1" w:styleId="xl130">
    <w:name w:val="xl130"/>
    <w:basedOn w:val="Normal"/>
    <w:rsid w:val="00F90A63"/>
    <w:pPr>
      <w:pBdr>
        <w:left w:val="single" w:sz="4" w:space="0" w:color="auto"/>
        <w:right w:val="single" w:sz="4" w:space="0" w:color="auto"/>
      </w:pBdr>
      <w:spacing w:before="100" w:beforeAutospacing="1" w:after="100" w:afterAutospacing="1"/>
      <w:ind w:left="0" w:firstLine="0"/>
      <w:textAlignment w:val="top"/>
    </w:pPr>
    <w:rPr>
      <w:rFonts w:ascii="Arial" w:hAnsi="Arial" w:cs="Arial"/>
      <w:color w:val="000000"/>
      <w:sz w:val="18"/>
      <w:szCs w:val="18"/>
    </w:rPr>
  </w:style>
  <w:style w:type="paragraph" w:customStyle="1" w:styleId="xl131">
    <w:name w:val="xl131"/>
    <w:basedOn w:val="Normal"/>
    <w:rsid w:val="00F90A63"/>
    <w:pPr>
      <w:pBdr>
        <w:left w:val="single" w:sz="4" w:space="0" w:color="auto"/>
        <w:bottom w:val="single" w:sz="4" w:space="0" w:color="auto"/>
        <w:right w:val="single" w:sz="4" w:space="0" w:color="auto"/>
      </w:pBdr>
      <w:spacing w:before="100" w:beforeAutospacing="1" w:after="100" w:afterAutospacing="1"/>
      <w:ind w:left="0" w:firstLine="0"/>
      <w:textAlignment w:val="top"/>
    </w:pPr>
    <w:rPr>
      <w:rFonts w:ascii="Arial" w:hAnsi="Arial" w:cs="Arial"/>
      <w:color w:val="000000"/>
      <w:sz w:val="18"/>
      <w:szCs w:val="18"/>
    </w:rPr>
  </w:style>
  <w:style w:type="paragraph" w:customStyle="1" w:styleId="xl132">
    <w:name w:val="xl132"/>
    <w:basedOn w:val="Normal"/>
    <w:rsid w:val="00F90A63"/>
    <w:pPr>
      <w:pBdr>
        <w:left w:val="single" w:sz="4" w:space="0" w:color="auto"/>
        <w:right w:val="single" w:sz="4" w:space="0" w:color="auto"/>
      </w:pBdr>
      <w:shd w:val="clear" w:color="000000" w:fill="FFFFFF"/>
      <w:spacing w:before="100" w:beforeAutospacing="1" w:after="100" w:afterAutospacing="1"/>
      <w:ind w:left="0" w:firstLine="0"/>
      <w:jc w:val="center"/>
      <w:textAlignment w:val="top"/>
    </w:pPr>
    <w:rPr>
      <w:rFonts w:ascii="Arial" w:hAnsi="Arial" w:cs="Arial"/>
      <w:color w:val="FFFFFF"/>
      <w:sz w:val="18"/>
      <w:szCs w:val="18"/>
    </w:rPr>
  </w:style>
  <w:style w:type="paragraph" w:customStyle="1" w:styleId="xl133">
    <w:name w:val="xl133"/>
    <w:basedOn w:val="Normal"/>
    <w:rsid w:val="00F90A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top"/>
    </w:pPr>
    <w:rPr>
      <w:rFonts w:ascii="Arial" w:hAnsi="Arial" w:cs="Arial"/>
      <w:color w:val="FFFFFF"/>
      <w:sz w:val="18"/>
      <w:szCs w:val="18"/>
    </w:rPr>
  </w:style>
  <w:style w:type="paragraph" w:customStyle="1" w:styleId="xl134">
    <w:name w:val="xl134"/>
    <w:basedOn w:val="Normal"/>
    <w:rsid w:val="00F90A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top"/>
    </w:pPr>
    <w:rPr>
      <w:rFonts w:ascii="Arial" w:hAnsi="Arial" w:cs="Arial"/>
      <w:b/>
      <w:bCs/>
      <w:color w:val="FFFFFF"/>
      <w:sz w:val="18"/>
      <w:szCs w:val="18"/>
    </w:rPr>
  </w:style>
  <w:style w:type="paragraph" w:customStyle="1" w:styleId="xl135">
    <w:name w:val="xl135"/>
    <w:basedOn w:val="Normal"/>
    <w:rsid w:val="00F90A63"/>
    <w:pPr>
      <w:pBdr>
        <w:top w:val="single" w:sz="4" w:space="0" w:color="auto"/>
        <w:left w:val="single" w:sz="4" w:space="0" w:color="auto"/>
        <w:right w:val="single" w:sz="4" w:space="0" w:color="auto"/>
      </w:pBdr>
      <w:spacing w:before="100" w:beforeAutospacing="1" w:after="100" w:afterAutospacing="1"/>
      <w:ind w:left="0" w:firstLine="0"/>
      <w:jc w:val="center"/>
      <w:textAlignment w:val="top"/>
    </w:pPr>
    <w:rPr>
      <w:rFonts w:ascii="Arial" w:hAnsi="Arial" w:cs="Arial"/>
      <w:b/>
      <w:bCs/>
      <w:color w:val="FFFFFF"/>
      <w:sz w:val="18"/>
      <w:szCs w:val="18"/>
    </w:rPr>
  </w:style>
  <w:style w:type="paragraph" w:customStyle="1" w:styleId="xl136">
    <w:name w:val="xl136"/>
    <w:basedOn w:val="Normal"/>
    <w:rsid w:val="00F90A63"/>
    <w:pPr>
      <w:pBdr>
        <w:left w:val="single" w:sz="4" w:space="0" w:color="auto"/>
        <w:right w:val="single" w:sz="4" w:space="0" w:color="auto"/>
      </w:pBdr>
      <w:spacing w:before="100" w:beforeAutospacing="1" w:after="100" w:afterAutospacing="1"/>
      <w:ind w:left="0" w:firstLine="0"/>
      <w:jc w:val="center"/>
      <w:textAlignment w:val="top"/>
    </w:pPr>
    <w:rPr>
      <w:rFonts w:ascii="Arial" w:hAnsi="Arial" w:cs="Arial"/>
      <w:color w:val="FFFFFF"/>
      <w:sz w:val="18"/>
      <w:szCs w:val="18"/>
    </w:rPr>
  </w:style>
  <w:style w:type="paragraph" w:customStyle="1" w:styleId="xl137">
    <w:name w:val="xl137"/>
    <w:basedOn w:val="Normal"/>
    <w:rsid w:val="00F90A63"/>
    <w:pPr>
      <w:pBdr>
        <w:left w:val="single" w:sz="4" w:space="0" w:color="auto"/>
        <w:right w:val="single" w:sz="4" w:space="0" w:color="auto"/>
      </w:pBdr>
      <w:spacing w:before="100" w:beforeAutospacing="1" w:after="100" w:afterAutospacing="1"/>
      <w:ind w:left="0" w:firstLine="0"/>
      <w:jc w:val="center"/>
      <w:textAlignment w:val="top"/>
    </w:pPr>
    <w:rPr>
      <w:rFonts w:ascii="Arial" w:hAnsi="Arial" w:cs="Arial"/>
      <w:color w:val="FFFFFF"/>
      <w:sz w:val="18"/>
      <w:szCs w:val="18"/>
    </w:rPr>
  </w:style>
  <w:style w:type="paragraph" w:customStyle="1" w:styleId="xl138">
    <w:name w:val="xl138"/>
    <w:basedOn w:val="Normal"/>
    <w:rsid w:val="00F90A63"/>
    <w:pPr>
      <w:pBdr>
        <w:left w:val="single" w:sz="4" w:space="0" w:color="auto"/>
        <w:bottom w:val="single" w:sz="4" w:space="0" w:color="auto"/>
        <w:right w:val="single" w:sz="4" w:space="0" w:color="auto"/>
      </w:pBdr>
      <w:spacing w:before="100" w:beforeAutospacing="1" w:after="100" w:afterAutospacing="1"/>
      <w:ind w:left="0" w:firstLine="0"/>
      <w:jc w:val="center"/>
      <w:textAlignment w:val="top"/>
    </w:pPr>
    <w:rPr>
      <w:rFonts w:ascii="Arial" w:hAnsi="Arial" w:cs="Arial"/>
      <w:color w:val="FFFFFF"/>
      <w:sz w:val="18"/>
      <w:szCs w:val="18"/>
    </w:rPr>
  </w:style>
  <w:style w:type="paragraph" w:customStyle="1" w:styleId="xl139">
    <w:name w:val="xl139"/>
    <w:basedOn w:val="Normal"/>
    <w:rsid w:val="00F90A63"/>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top"/>
    </w:pPr>
    <w:rPr>
      <w:rFonts w:ascii="Arial" w:hAnsi="Arial" w:cs="Arial"/>
      <w:color w:val="FFFFFF"/>
      <w:sz w:val="18"/>
      <w:szCs w:val="18"/>
    </w:rPr>
  </w:style>
  <w:style w:type="paragraph" w:customStyle="1" w:styleId="xl140">
    <w:name w:val="xl140"/>
    <w:basedOn w:val="Normal"/>
    <w:rsid w:val="00F90A63"/>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top"/>
    </w:pPr>
    <w:rPr>
      <w:rFonts w:ascii="Arial" w:hAnsi="Arial" w:cs="Arial"/>
      <w:b/>
      <w:bCs/>
      <w:color w:val="FFFFFF"/>
      <w:sz w:val="18"/>
      <w:szCs w:val="18"/>
    </w:rPr>
  </w:style>
  <w:style w:type="paragraph" w:customStyle="1" w:styleId="xl141">
    <w:name w:val="xl141"/>
    <w:basedOn w:val="Normal"/>
    <w:rsid w:val="00F90A63"/>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top"/>
    </w:pPr>
    <w:rPr>
      <w:rFonts w:ascii="Arial" w:hAnsi="Arial" w:cs="Arial"/>
      <w:b/>
      <w:bCs/>
      <w:sz w:val="18"/>
      <w:szCs w:val="18"/>
    </w:rPr>
  </w:style>
  <w:style w:type="paragraph" w:customStyle="1" w:styleId="xl142">
    <w:name w:val="xl142"/>
    <w:basedOn w:val="Normal"/>
    <w:rsid w:val="00F90A63"/>
    <w:pPr>
      <w:pBdr>
        <w:top w:val="single" w:sz="4" w:space="0" w:color="auto"/>
        <w:left w:val="single" w:sz="4" w:space="0" w:color="auto"/>
        <w:right w:val="single" w:sz="4" w:space="0" w:color="auto"/>
      </w:pBdr>
      <w:spacing w:before="100" w:beforeAutospacing="1" w:after="100" w:afterAutospacing="1"/>
      <w:ind w:left="0" w:firstLine="0"/>
      <w:jc w:val="center"/>
      <w:textAlignment w:val="top"/>
    </w:pPr>
    <w:rPr>
      <w:rFonts w:ascii="Arial" w:hAnsi="Arial" w:cs="Arial"/>
      <w:sz w:val="18"/>
      <w:szCs w:val="18"/>
    </w:rPr>
  </w:style>
  <w:style w:type="paragraph" w:customStyle="1" w:styleId="xl143">
    <w:name w:val="xl143"/>
    <w:basedOn w:val="Normal"/>
    <w:rsid w:val="00F90A63"/>
    <w:pPr>
      <w:pBdr>
        <w:top w:val="single" w:sz="4" w:space="0" w:color="auto"/>
        <w:left w:val="single" w:sz="4" w:space="0" w:color="auto"/>
        <w:right w:val="single" w:sz="4" w:space="0" w:color="auto"/>
      </w:pBdr>
      <w:spacing w:before="100" w:beforeAutospacing="1" w:after="100" w:afterAutospacing="1"/>
      <w:ind w:left="0" w:firstLine="0"/>
      <w:textAlignment w:val="top"/>
    </w:pPr>
    <w:rPr>
      <w:rFonts w:ascii="Arial" w:hAnsi="Arial" w:cs="Arial"/>
      <w:sz w:val="18"/>
      <w:szCs w:val="18"/>
    </w:rPr>
  </w:style>
  <w:style w:type="paragraph" w:customStyle="1" w:styleId="xl144">
    <w:name w:val="xl144"/>
    <w:basedOn w:val="Normal"/>
    <w:rsid w:val="00F90A63"/>
    <w:pPr>
      <w:pBdr>
        <w:left w:val="single" w:sz="4" w:space="0" w:color="auto"/>
        <w:bottom w:val="single" w:sz="4" w:space="0" w:color="auto"/>
        <w:right w:val="single" w:sz="4" w:space="0" w:color="auto"/>
      </w:pBdr>
      <w:spacing w:before="100" w:beforeAutospacing="1" w:after="100" w:afterAutospacing="1"/>
      <w:ind w:left="0" w:firstLine="0"/>
      <w:jc w:val="center"/>
      <w:textAlignment w:val="top"/>
    </w:pPr>
    <w:rPr>
      <w:rFonts w:ascii="Arial" w:hAnsi="Arial" w:cs="Arial"/>
      <w:sz w:val="18"/>
      <w:szCs w:val="18"/>
    </w:rPr>
  </w:style>
  <w:style w:type="paragraph" w:customStyle="1" w:styleId="xl145">
    <w:name w:val="xl145"/>
    <w:basedOn w:val="Normal"/>
    <w:rsid w:val="00F90A63"/>
    <w:pPr>
      <w:pBdr>
        <w:top w:val="single" w:sz="4" w:space="0" w:color="auto"/>
        <w:left w:val="single" w:sz="4" w:space="0" w:color="auto"/>
        <w:right w:val="single" w:sz="4" w:space="0" w:color="auto"/>
      </w:pBdr>
      <w:spacing w:before="100" w:beforeAutospacing="1" w:after="100" w:afterAutospacing="1"/>
      <w:ind w:left="0" w:firstLine="0"/>
      <w:jc w:val="center"/>
      <w:textAlignment w:val="top"/>
    </w:pPr>
    <w:rPr>
      <w:rFonts w:ascii="Arial" w:hAnsi="Arial" w:cs="Arial"/>
      <w:b/>
      <w:bCs/>
      <w:sz w:val="18"/>
      <w:szCs w:val="18"/>
    </w:rPr>
  </w:style>
  <w:style w:type="paragraph" w:customStyle="1" w:styleId="PS">
    <w:name w:val="PS"/>
    <w:basedOn w:val="Normal"/>
    <w:autoRedefine/>
    <w:rsid w:val="00D426B5"/>
    <w:pPr>
      <w:spacing w:after="0"/>
      <w:ind w:left="57" w:firstLine="0"/>
    </w:pPr>
    <w:rPr>
      <w:rFonts w:asciiTheme="majorBidi" w:hAnsiTheme="majorBidi" w:cstheme="majorBidi"/>
      <w:b/>
      <w:szCs w:val="24"/>
    </w:rPr>
  </w:style>
  <w:style w:type="paragraph" w:customStyle="1" w:styleId="EA">
    <w:name w:val="EA"/>
    <w:basedOn w:val="Normal"/>
    <w:autoRedefine/>
    <w:rsid w:val="00D426B5"/>
    <w:pPr>
      <w:spacing w:after="0"/>
      <w:ind w:left="57" w:firstLine="0"/>
    </w:pPr>
    <w:rPr>
      <w:szCs w:val="24"/>
    </w:rPr>
  </w:style>
  <w:style w:type="paragraph" w:customStyle="1" w:styleId="EB">
    <w:name w:val="EB"/>
    <w:basedOn w:val="EA"/>
    <w:autoRedefine/>
    <w:rsid w:val="00F90A63"/>
  </w:style>
  <w:style w:type="paragraph" w:styleId="Textebrut">
    <w:name w:val="Plain Text"/>
    <w:basedOn w:val="Normal"/>
    <w:link w:val="TextebrutCar"/>
    <w:rsid w:val="00F90A63"/>
    <w:pPr>
      <w:suppressAutoHyphens/>
      <w:overflowPunct w:val="0"/>
      <w:autoSpaceDE w:val="0"/>
      <w:autoSpaceDN w:val="0"/>
      <w:adjustRightInd w:val="0"/>
      <w:spacing w:after="0"/>
      <w:ind w:left="0" w:firstLine="0"/>
      <w:textAlignment w:val="baseline"/>
    </w:pPr>
    <w:rPr>
      <w:rFonts w:ascii="Courier New" w:hAnsi="Courier New"/>
      <w:sz w:val="20"/>
      <w:lang w:val="en-US" w:eastAsia="en-US"/>
    </w:rPr>
  </w:style>
  <w:style w:type="character" w:customStyle="1" w:styleId="TextebrutCar">
    <w:name w:val="Texte brut Car"/>
    <w:basedOn w:val="Policepardfaut"/>
    <w:link w:val="Textebrut"/>
    <w:rsid w:val="00F90A63"/>
    <w:rPr>
      <w:rFonts w:ascii="Courier New" w:hAnsi="Courier New"/>
      <w:lang w:val="en-US" w:eastAsia="en-US"/>
    </w:rPr>
  </w:style>
  <w:style w:type="paragraph" w:customStyle="1" w:styleId="Normal10">
    <w:name w:val="Normal 10"/>
    <w:basedOn w:val="Normal"/>
    <w:rsid w:val="00F90A63"/>
    <w:pPr>
      <w:spacing w:after="0"/>
      <w:ind w:left="0" w:firstLine="0"/>
    </w:pPr>
    <w:rPr>
      <w:sz w:val="20"/>
    </w:rPr>
  </w:style>
  <w:style w:type="paragraph" w:customStyle="1" w:styleId="Normal1">
    <w:name w:val="Normal1"/>
    <w:basedOn w:val="Normal"/>
    <w:link w:val="normalCar"/>
    <w:rsid w:val="00F90A63"/>
    <w:pPr>
      <w:tabs>
        <w:tab w:val="left" w:pos="1134"/>
      </w:tabs>
      <w:spacing w:after="0"/>
      <w:ind w:left="0" w:firstLine="0"/>
    </w:pPr>
    <w:rPr>
      <w:sz w:val="23"/>
      <w:lang w:val="x-none" w:eastAsia="en-US"/>
    </w:rPr>
  </w:style>
  <w:style w:type="character" w:customStyle="1" w:styleId="normalCar">
    <w:name w:val="normal Car"/>
    <w:link w:val="Normal1"/>
    <w:rsid w:val="00F90A63"/>
    <w:rPr>
      <w:sz w:val="23"/>
      <w:lang w:val="x-none" w:eastAsia="en-US"/>
    </w:rPr>
  </w:style>
  <w:style w:type="paragraph" w:customStyle="1" w:styleId="ps0">
    <w:name w:val="ps"/>
    <w:basedOn w:val="Normal"/>
    <w:rsid w:val="00F90A63"/>
    <w:pPr>
      <w:keepLines/>
      <w:spacing w:before="240" w:after="0"/>
      <w:ind w:left="0" w:firstLine="0"/>
    </w:pPr>
    <w:rPr>
      <w:szCs w:val="24"/>
    </w:rPr>
  </w:style>
  <w:style w:type="table" w:customStyle="1" w:styleId="TableNormal1">
    <w:name w:val="Table Normal1"/>
    <w:uiPriority w:val="2"/>
    <w:semiHidden/>
    <w:unhideWhenUsed/>
    <w:qFormat/>
    <w:rsid w:val="00F90A63"/>
    <w:pPr>
      <w:widowControl w:val="0"/>
      <w:spacing w:after="0"/>
      <w:ind w:left="0" w:firstLine="0"/>
      <w:jc w:val="left"/>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90A63"/>
    <w:pPr>
      <w:widowControl w:val="0"/>
      <w:spacing w:after="0"/>
      <w:ind w:left="0" w:firstLine="0"/>
      <w:jc w:val="left"/>
    </w:pPr>
    <w:rPr>
      <w:rFonts w:ascii="Calibri" w:eastAsia="Calibri" w:hAnsi="Calibri"/>
      <w:sz w:val="22"/>
      <w:szCs w:val="22"/>
      <w:lang w:val="en-US" w:eastAsia="en-US"/>
    </w:rPr>
  </w:style>
  <w:style w:type="paragraph" w:customStyle="1" w:styleId="Titre51">
    <w:name w:val="Titre 51"/>
    <w:basedOn w:val="Normal"/>
    <w:uiPriority w:val="1"/>
    <w:qFormat/>
    <w:rsid w:val="00F90A63"/>
    <w:pPr>
      <w:widowControl w:val="0"/>
      <w:spacing w:before="8" w:after="0"/>
      <w:ind w:left="349" w:firstLine="0"/>
      <w:jc w:val="left"/>
      <w:outlineLvl w:val="5"/>
    </w:pPr>
    <w:rPr>
      <w:rFonts w:ascii="Arial" w:eastAsia="Arial" w:hAnsi="Arial"/>
      <w:b/>
      <w:bCs/>
      <w:sz w:val="51"/>
      <w:szCs w:val="51"/>
      <w:lang w:val="en-US" w:eastAsia="en-US"/>
    </w:rPr>
  </w:style>
  <w:style w:type="character" w:customStyle="1" w:styleId="apple-converted-space">
    <w:name w:val="apple-converted-space"/>
    <w:basedOn w:val="Policepardfaut"/>
    <w:rsid w:val="00F90A63"/>
  </w:style>
  <w:style w:type="paragraph" w:customStyle="1" w:styleId="Default">
    <w:name w:val="Default"/>
    <w:rsid w:val="00F90A63"/>
    <w:pPr>
      <w:autoSpaceDE w:val="0"/>
      <w:autoSpaceDN w:val="0"/>
      <w:adjustRightInd w:val="0"/>
      <w:spacing w:after="0"/>
      <w:ind w:left="0" w:firstLine="0"/>
      <w:jc w:val="left"/>
    </w:pPr>
    <w:rPr>
      <w:rFonts w:ascii="Cambria" w:eastAsia="Calibri" w:hAnsi="Cambria" w:cs="Cambria"/>
      <w:color w:val="000000"/>
      <w:sz w:val="24"/>
      <w:szCs w:val="24"/>
      <w:lang w:eastAsia="en-US"/>
    </w:rPr>
  </w:style>
  <w:style w:type="paragraph" w:customStyle="1" w:styleId="Style">
    <w:name w:val="Style"/>
    <w:rsid w:val="00F90A63"/>
    <w:pPr>
      <w:widowControl w:val="0"/>
      <w:autoSpaceDE w:val="0"/>
      <w:autoSpaceDN w:val="0"/>
      <w:adjustRightInd w:val="0"/>
      <w:spacing w:after="0"/>
      <w:ind w:left="0" w:firstLine="0"/>
      <w:jc w:val="left"/>
    </w:pPr>
    <w:rPr>
      <w:rFonts w:ascii="Arial" w:hAnsi="Arial" w:cs="Arial"/>
      <w:sz w:val="24"/>
      <w:szCs w:val="24"/>
    </w:rPr>
  </w:style>
  <w:style w:type="paragraph" w:customStyle="1" w:styleId="TM11">
    <w:name w:val="TM 11"/>
    <w:basedOn w:val="Normal"/>
    <w:uiPriority w:val="1"/>
    <w:qFormat/>
    <w:rsid w:val="00F90A63"/>
    <w:pPr>
      <w:widowControl w:val="0"/>
      <w:spacing w:before="71" w:after="0"/>
      <w:ind w:left="28" w:firstLine="0"/>
      <w:jc w:val="left"/>
    </w:pPr>
    <w:rPr>
      <w:rFonts w:ascii="Arial" w:eastAsia="Arial" w:hAnsi="Arial"/>
      <w:b/>
      <w:bCs/>
      <w:i/>
      <w:sz w:val="22"/>
      <w:szCs w:val="22"/>
      <w:lang w:val="en-US" w:eastAsia="en-US"/>
    </w:rPr>
  </w:style>
  <w:style w:type="paragraph" w:customStyle="1" w:styleId="TM21">
    <w:name w:val="TM 21"/>
    <w:basedOn w:val="Normal"/>
    <w:uiPriority w:val="1"/>
    <w:qFormat/>
    <w:rsid w:val="00F90A63"/>
    <w:pPr>
      <w:widowControl w:val="0"/>
      <w:spacing w:before="118" w:after="0"/>
      <w:ind w:left="112" w:firstLine="0"/>
      <w:jc w:val="left"/>
    </w:pPr>
    <w:rPr>
      <w:b/>
      <w:bCs/>
      <w:i/>
      <w:sz w:val="22"/>
      <w:szCs w:val="22"/>
      <w:lang w:val="en-US" w:eastAsia="en-US"/>
    </w:rPr>
  </w:style>
  <w:style w:type="paragraph" w:customStyle="1" w:styleId="TM31">
    <w:name w:val="TM 31"/>
    <w:basedOn w:val="Normal"/>
    <w:uiPriority w:val="1"/>
    <w:qFormat/>
    <w:rsid w:val="00F90A63"/>
    <w:pPr>
      <w:widowControl w:val="0"/>
      <w:spacing w:before="121" w:after="0"/>
      <w:ind w:left="346" w:hanging="200"/>
      <w:jc w:val="left"/>
    </w:pPr>
    <w:rPr>
      <w:b/>
      <w:bCs/>
      <w:sz w:val="20"/>
      <w:lang w:val="en-US" w:eastAsia="en-US"/>
    </w:rPr>
  </w:style>
  <w:style w:type="paragraph" w:customStyle="1" w:styleId="TM41">
    <w:name w:val="TM 41"/>
    <w:basedOn w:val="Normal"/>
    <w:uiPriority w:val="1"/>
    <w:qFormat/>
    <w:rsid w:val="00F90A63"/>
    <w:pPr>
      <w:widowControl w:val="0"/>
      <w:spacing w:after="0"/>
      <w:ind w:left="637" w:hanging="290"/>
      <w:jc w:val="left"/>
    </w:pPr>
    <w:rPr>
      <w:sz w:val="16"/>
      <w:szCs w:val="16"/>
      <w:lang w:val="en-US" w:eastAsia="en-US"/>
    </w:rPr>
  </w:style>
  <w:style w:type="paragraph" w:customStyle="1" w:styleId="TM51">
    <w:name w:val="TM 51"/>
    <w:basedOn w:val="Normal"/>
    <w:uiPriority w:val="1"/>
    <w:qFormat/>
    <w:rsid w:val="00F90A63"/>
    <w:pPr>
      <w:widowControl w:val="0"/>
      <w:spacing w:after="0"/>
      <w:ind w:left="637" w:hanging="290"/>
      <w:jc w:val="left"/>
    </w:pPr>
    <w:rPr>
      <w:b/>
      <w:bCs/>
      <w:i/>
      <w:sz w:val="22"/>
      <w:szCs w:val="22"/>
      <w:lang w:val="en-US" w:eastAsia="en-US"/>
    </w:rPr>
  </w:style>
  <w:style w:type="paragraph" w:customStyle="1" w:styleId="TM61">
    <w:name w:val="TM 61"/>
    <w:basedOn w:val="Normal"/>
    <w:uiPriority w:val="1"/>
    <w:qFormat/>
    <w:rsid w:val="00F90A63"/>
    <w:pPr>
      <w:widowControl w:val="0"/>
      <w:spacing w:after="0"/>
      <w:ind w:left="996" w:hanging="450"/>
      <w:jc w:val="left"/>
    </w:pPr>
    <w:rPr>
      <w:i/>
      <w:sz w:val="20"/>
      <w:lang w:val="en-US" w:eastAsia="en-US"/>
    </w:rPr>
  </w:style>
  <w:style w:type="paragraph" w:customStyle="1" w:styleId="TM71">
    <w:name w:val="TM 71"/>
    <w:basedOn w:val="Normal"/>
    <w:uiPriority w:val="1"/>
    <w:qFormat/>
    <w:rsid w:val="00F90A63"/>
    <w:pPr>
      <w:widowControl w:val="0"/>
      <w:spacing w:after="0"/>
      <w:ind w:left="1287" w:hanging="541"/>
      <w:jc w:val="left"/>
    </w:pPr>
    <w:rPr>
      <w:sz w:val="18"/>
      <w:szCs w:val="18"/>
      <w:lang w:val="en-US" w:eastAsia="en-US"/>
    </w:rPr>
  </w:style>
  <w:style w:type="paragraph" w:customStyle="1" w:styleId="TM81">
    <w:name w:val="TM 81"/>
    <w:basedOn w:val="Normal"/>
    <w:uiPriority w:val="1"/>
    <w:qFormat/>
    <w:rsid w:val="00F90A63"/>
    <w:pPr>
      <w:widowControl w:val="0"/>
      <w:spacing w:before="64" w:after="0"/>
      <w:ind w:left="3984" w:hanging="2367"/>
      <w:jc w:val="left"/>
    </w:pPr>
    <w:rPr>
      <w:rFonts w:ascii="Arial" w:eastAsia="Arial" w:hAnsi="Arial"/>
      <w:b/>
      <w:bCs/>
      <w:sz w:val="14"/>
      <w:szCs w:val="14"/>
      <w:lang w:val="en-US" w:eastAsia="en-US"/>
    </w:rPr>
  </w:style>
  <w:style w:type="paragraph" w:customStyle="1" w:styleId="Titre11">
    <w:name w:val="Titre 11"/>
    <w:basedOn w:val="Normal"/>
    <w:uiPriority w:val="1"/>
    <w:qFormat/>
    <w:rsid w:val="00F90A63"/>
    <w:pPr>
      <w:widowControl w:val="0"/>
      <w:spacing w:before="25" w:after="0"/>
      <w:ind w:left="0" w:firstLine="0"/>
      <w:jc w:val="left"/>
      <w:outlineLvl w:val="1"/>
    </w:pPr>
    <w:rPr>
      <w:rFonts w:ascii="Courier New" w:eastAsia="Courier New" w:hAnsi="Courier New"/>
      <w:b/>
      <w:bCs/>
      <w:sz w:val="77"/>
      <w:szCs w:val="77"/>
      <w:lang w:val="en-US" w:eastAsia="en-US"/>
    </w:rPr>
  </w:style>
  <w:style w:type="paragraph" w:customStyle="1" w:styleId="Titre21">
    <w:name w:val="Titre 21"/>
    <w:basedOn w:val="Normal"/>
    <w:uiPriority w:val="1"/>
    <w:qFormat/>
    <w:rsid w:val="00F90A63"/>
    <w:pPr>
      <w:widowControl w:val="0"/>
      <w:spacing w:after="0"/>
      <w:ind w:left="0" w:firstLine="0"/>
      <w:jc w:val="left"/>
      <w:outlineLvl w:val="2"/>
    </w:pPr>
    <w:rPr>
      <w:rFonts w:ascii="Courier New" w:eastAsia="Courier New" w:hAnsi="Courier New"/>
      <w:b/>
      <w:bCs/>
      <w:sz w:val="76"/>
      <w:szCs w:val="76"/>
      <w:lang w:val="en-US" w:eastAsia="en-US"/>
    </w:rPr>
  </w:style>
  <w:style w:type="paragraph" w:customStyle="1" w:styleId="Titre31">
    <w:name w:val="Titre 31"/>
    <w:basedOn w:val="Normal"/>
    <w:uiPriority w:val="1"/>
    <w:qFormat/>
    <w:rsid w:val="00F90A63"/>
    <w:pPr>
      <w:widowControl w:val="0"/>
      <w:spacing w:after="0"/>
      <w:ind w:left="0" w:firstLine="0"/>
      <w:jc w:val="left"/>
      <w:outlineLvl w:val="3"/>
    </w:pPr>
    <w:rPr>
      <w:rFonts w:ascii="Arial" w:eastAsia="Arial" w:hAnsi="Arial"/>
      <w:sz w:val="57"/>
      <w:szCs w:val="57"/>
      <w:lang w:val="en-US" w:eastAsia="en-US"/>
    </w:rPr>
  </w:style>
  <w:style w:type="paragraph" w:customStyle="1" w:styleId="Titre41">
    <w:name w:val="Titre 41"/>
    <w:basedOn w:val="Normal"/>
    <w:uiPriority w:val="1"/>
    <w:qFormat/>
    <w:rsid w:val="00F90A63"/>
    <w:pPr>
      <w:widowControl w:val="0"/>
      <w:spacing w:after="0"/>
      <w:ind w:left="0" w:firstLine="0"/>
      <w:jc w:val="left"/>
      <w:outlineLvl w:val="4"/>
    </w:pPr>
    <w:rPr>
      <w:rFonts w:ascii="Arial" w:eastAsia="Arial" w:hAnsi="Arial"/>
      <w:sz w:val="55"/>
      <w:szCs w:val="55"/>
      <w:lang w:val="en-US" w:eastAsia="en-US"/>
    </w:rPr>
  </w:style>
  <w:style w:type="paragraph" w:customStyle="1" w:styleId="Titre61">
    <w:name w:val="Titre 61"/>
    <w:basedOn w:val="Normal"/>
    <w:uiPriority w:val="1"/>
    <w:qFormat/>
    <w:rsid w:val="00F90A63"/>
    <w:pPr>
      <w:widowControl w:val="0"/>
      <w:spacing w:after="0"/>
      <w:ind w:left="0" w:firstLine="0"/>
      <w:jc w:val="left"/>
      <w:outlineLvl w:val="6"/>
    </w:pPr>
    <w:rPr>
      <w:sz w:val="50"/>
      <w:szCs w:val="50"/>
      <w:lang w:val="en-US" w:eastAsia="en-US"/>
    </w:rPr>
  </w:style>
  <w:style w:type="paragraph" w:customStyle="1" w:styleId="Titre71">
    <w:name w:val="Titre 71"/>
    <w:basedOn w:val="Normal"/>
    <w:uiPriority w:val="1"/>
    <w:qFormat/>
    <w:rsid w:val="00F90A63"/>
    <w:pPr>
      <w:widowControl w:val="0"/>
      <w:spacing w:after="0"/>
      <w:ind w:left="0" w:firstLine="0"/>
      <w:jc w:val="left"/>
      <w:outlineLvl w:val="7"/>
    </w:pPr>
    <w:rPr>
      <w:rFonts w:ascii="Arial" w:eastAsia="Arial" w:hAnsi="Arial"/>
      <w:sz w:val="49"/>
      <w:szCs w:val="49"/>
      <w:lang w:val="en-US" w:eastAsia="en-US"/>
    </w:rPr>
  </w:style>
  <w:style w:type="paragraph" w:customStyle="1" w:styleId="Titre81">
    <w:name w:val="Titre 81"/>
    <w:basedOn w:val="Normal"/>
    <w:uiPriority w:val="1"/>
    <w:qFormat/>
    <w:rsid w:val="00F90A63"/>
    <w:pPr>
      <w:widowControl w:val="0"/>
      <w:spacing w:after="0"/>
      <w:ind w:left="378" w:firstLine="0"/>
      <w:jc w:val="left"/>
      <w:outlineLvl w:val="8"/>
    </w:pPr>
    <w:rPr>
      <w:sz w:val="47"/>
      <w:szCs w:val="47"/>
      <w:lang w:val="en-US" w:eastAsia="en-US"/>
    </w:rPr>
  </w:style>
  <w:style w:type="paragraph" w:customStyle="1" w:styleId="Titre91">
    <w:name w:val="Titre 91"/>
    <w:basedOn w:val="Normal"/>
    <w:uiPriority w:val="1"/>
    <w:qFormat/>
    <w:rsid w:val="00F90A63"/>
    <w:pPr>
      <w:widowControl w:val="0"/>
      <w:spacing w:after="0"/>
      <w:ind w:left="300" w:firstLine="0"/>
      <w:jc w:val="left"/>
    </w:pPr>
    <w:rPr>
      <w:rFonts w:ascii="Arial" w:eastAsia="Arial" w:hAnsi="Arial"/>
      <w:sz w:val="45"/>
      <w:szCs w:val="45"/>
      <w:lang w:val="en-US" w:eastAsia="en-US"/>
    </w:rPr>
  </w:style>
  <w:style w:type="paragraph" w:customStyle="1" w:styleId="Titre52">
    <w:name w:val="Titre 52"/>
    <w:basedOn w:val="Normal"/>
    <w:uiPriority w:val="1"/>
    <w:qFormat/>
    <w:rsid w:val="00555ADE"/>
    <w:pPr>
      <w:widowControl w:val="0"/>
      <w:spacing w:before="8" w:after="0"/>
      <w:ind w:left="349" w:firstLine="0"/>
      <w:jc w:val="left"/>
      <w:outlineLvl w:val="5"/>
    </w:pPr>
    <w:rPr>
      <w:rFonts w:ascii="Arial" w:eastAsia="Arial" w:hAnsi="Arial"/>
      <w:b/>
      <w:bCs/>
      <w:sz w:val="51"/>
      <w:szCs w:val="51"/>
      <w:lang w:val="en-US" w:eastAsia="en-US"/>
    </w:rPr>
  </w:style>
  <w:style w:type="paragraph" w:customStyle="1" w:styleId="TM12">
    <w:name w:val="TM 12"/>
    <w:basedOn w:val="Normal"/>
    <w:uiPriority w:val="1"/>
    <w:qFormat/>
    <w:rsid w:val="00555ADE"/>
    <w:pPr>
      <w:widowControl w:val="0"/>
      <w:spacing w:before="71" w:after="0"/>
      <w:ind w:left="28" w:firstLine="0"/>
      <w:jc w:val="left"/>
    </w:pPr>
    <w:rPr>
      <w:rFonts w:ascii="Arial" w:eastAsia="Arial" w:hAnsi="Arial"/>
      <w:b/>
      <w:bCs/>
      <w:i/>
      <w:sz w:val="22"/>
      <w:szCs w:val="22"/>
      <w:lang w:val="en-US" w:eastAsia="en-US"/>
    </w:rPr>
  </w:style>
  <w:style w:type="paragraph" w:customStyle="1" w:styleId="TM22">
    <w:name w:val="TM 22"/>
    <w:basedOn w:val="Normal"/>
    <w:uiPriority w:val="1"/>
    <w:qFormat/>
    <w:rsid w:val="00555ADE"/>
    <w:pPr>
      <w:widowControl w:val="0"/>
      <w:spacing w:before="118" w:after="0"/>
      <w:ind w:left="112" w:firstLine="0"/>
      <w:jc w:val="left"/>
    </w:pPr>
    <w:rPr>
      <w:b/>
      <w:bCs/>
      <w:i/>
      <w:sz w:val="22"/>
      <w:szCs w:val="22"/>
      <w:lang w:val="en-US" w:eastAsia="en-US"/>
    </w:rPr>
  </w:style>
  <w:style w:type="paragraph" w:customStyle="1" w:styleId="TM32">
    <w:name w:val="TM 32"/>
    <w:basedOn w:val="Normal"/>
    <w:uiPriority w:val="1"/>
    <w:qFormat/>
    <w:rsid w:val="00555ADE"/>
    <w:pPr>
      <w:widowControl w:val="0"/>
      <w:spacing w:before="121" w:after="0"/>
      <w:ind w:left="346" w:hanging="200"/>
      <w:jc w:val="left"/>
    </w:pPr>
    <w:rPr>
      <w:b/>
      <w:bCs/>
      <w:sz w:val="20"/>
      <w:lang w:val="en-US" w:eastAsia="en-US"/>
    </w:rPr>
  </w:style>
  <w:style w:type="paragraph" w:customStyle="1" w:styleId="TM42">
    <w:name w:val="TM 42"/>
    <w:basedOn w:val="Normal"/>
    <w:uiPriority w:val="1"/>
    <w:qFormat/>
    <w:rsid w:val="00555ADE"/>
    <w:pPr>
      <w:widowControl w:val="0"/>
      <w:spacing w:after="0"/>
      <w:ind w:left="637" w:hanging="290"/>
      <w:jc w:val="left"/>
    </w:pPr>
    <w:rPr>
      <w:sz w:val="16"/>
      <w:szCs w:val="16"/>
      <w:lang w:val="en-US" w:eastAsia="en-US"/>
    </w:rPr>
  </w:style>
  <w:style w:type="paragraph" w:customStyle="1" w:styleId="TM52">
    <w:name w:val="TM 52"/>
    <w:basedOn w:val="Normal"/>
    <w:uiPriority w:val="1"/>
    <w:qFormat/>
    <w:rsid w:val="00555ADE"/>
    <w:pPr>
      <w:widowControl w:val="0"/>
      <w:spacing w:after="0"/>
      <w:ind w:left="637" w:hanging="290"/>
      <w:jc w:val="left"/>
    </w:pPr>
    <w:rPr>
      <w:b/>
      <w:bCs/>
      <w:i/>
      <w:sz w:val="22"/>
      <w:szCs w:val="22"/>
      <w:lang w:val="en-US" w:eastAsia="en-US"/>
    </w:rPr>
  </w:style>
  <w:style w:type="paragraph" w:customStyle="1" w:styleId="TM62">
    <w:name w:val="TM 62"/>
    <w:basedOn w:val="Normal"/>
    <w:uiPriority w:val="1"/>
    <w:qFormat/>
    <w:rsid w:val="00555ADE"/>
    <w:pPr>
      <w:widowControl w:val="0"/>
      <w:spacing w:after="0"/>
      <w:ind w:left="996" w:hanging="450"/>
      <w:jc w:val="left"/>
    </w:pPr>
    <w:rPr>
      <w:i/>
      <w:sz w:val="20"/>
      <w:lang w:val="en-US" w:eastAsia="en-US"/>
    </w:rPr>
  </w:style>
  <w:style w:type="paragraph" w:customStyle="1" w:styleId="TM72">
    <w:name w:val="TM 72"/>
    <w:basedOn w:val="Normal"/>
    <w:uiPriority w:val="1"/>
    <w:qFormat/>
    <w:rsid w:val="00555ADE"/>
    <w:pPr>
      <w:widowControl w:val="0"/>
      <w:spacing w:after="0"/>
      <w:ind w:left="1287" w:hanging="541"/>
      <w:jc w:val="left"/>
    </w:pPr>
    <w:rPr>
      <w:sz w:val="18"/>
      <w:szCs w:val="18"/>
      <w:lang w:val="en-US" w:eastAsia="en-US"/>
    </w:rPr>
  </w:style>
  <w:style w:type="paragraph" w:customStyle="1" w:styleId="TM82">
    <w:name w:val="TM 82"/>
    <w:basedOn w:val="Normal"/>
    <w:uiPriority w:val="1"/>
    <w:qFormat/>
    <w:rsid w:val="00555ADE"/>
    <w:pPr>
      <w:widowControl w:val="0"/>
      <w:spacing w:before="64" w:after="0"/>
      <w:ind w:left="3984" w:hanging="2367"/>
      <w:jc w:val="left"/>
    </w:pPr>
    <w:rPr>
      <w:rFonts w:ascii="Arial" w:eastAsia="Arial" w:hAnsi="Arial"/>
      <w:b/>
      <w:bCs/>
      <w:sz w:val="14"/>
      <w:szCs w:val="14"/>
      <w:lang w:val="en-US" w:eastAsia="en-US"/>
    </w:rPr>
  </w:style>
  <w:style w:type="paragraph" w:customStyle="1" w:styleId="Titre12">
    <w:name w:val="Titre 12"/>
    <w:basedOn w:val="Normal"/>
    <w:uiPriority w:val="1"/>
    <w:qFormat/>
    <w:rsid w:val="00555ADE"/>
    <w:pPr>
      <w:widowControl w:val="0"/>
      <w:spacing w:before="25" w:after="0"/>
      <w:ind w:left="0" w:firstLine="0"/>
      <w:jc w:val="left"/>
      <w:outlineLvl w:val="1"/>
    </w:pPr>
    <w:rPr>
      <w:rFonts w:ascii="Courier New" w:eastAsia="Courier New" w:hAnsi="Courier New"/>
      <w:b/>
      <w:bCs/>
      <w:sz w:val="77"/>
      <w:szCs w:val="77"/>
      <w:lang w:val="en-US" w:eastAsia="en-US"/>
    </w:rPr>
  </w:style>
  <w:style w:type="paragraph" w:customStyle="1" w:styleId="Titre23">
    <w:name w:val="Titre 23"/>
    <w:basedOn w:val="Normal"/>
    <w:uiPriority w:val="1"/>
    <w:qFormat/>
    <w:rsid w:val="00555ADE"/>
    <w:pPr>
      <w:widowControl w:val="0"/>
      <w:spacing w:after="0"/>
      <w:ind w:left="0" w:firstLine="0"/>
      <w:jc w:val="left"/>
      <w:outlineLvl w:val="2"/>
    </w:pPr>
    <w:rPr>
      <w:rFonts w:ascii="Courier New" w:eastAsia="Courier New" w:hAnsi="Courier New"/>
      <w:b/>
      <w:bCs/>
      <w:sz w:val="76"/>
      <w:szCs w:val="76"/>
      <w:lang w:val="en-US" w:eastAsia="en-US"/>
    </w:rPr>
  </w:style>
  <w:style w:type="paragraph" w:customStyle="1" w:styleId="Titre32">
    <w:name w:val="Titre 32"/>
    <w:basedOn w:val="Normal"/>
    <w:uiPriority w:val="1"/>
    <w:qFormat/>
    <w:rsid w:val="00555ADE"/>
    <w:pPr>
      <w:widowControl w:val="0"/>
      <w:spacing w:after="0"/>
      <w:ind w:left="0" w:firstLine="0"/>
      <w:jc w:val="left"/>
      <w:outlineLvl w:val="3"/>
    </w:pPr>
    <w:rPr>
      <w:rFonts w:ascii="Arial" w:eastAsia="Arial" w:hAnsi="Arial"/>
      <w:sz w:val="57"/>
      <w:szCs w:val="57"/>
      <w:lang w:val="en-US" w:eastAsia="en-US"/>
    </w:rPr>
  </w:style>
  <w:style w:type="paragraph" w:customStyle="1" w:styleId="Titre42">
    <w:name w:val="Titre 42"/>
    <w:basedOn w:val="Normal"/>
    <w:uiPriority w:val="1"/>
    <w:qFormat/>
    <w:rsid w:val="00555ADE"/>
    <w:pPr>
      <w:widowControl w:val="0"/>
      <w:spacing w:after="0"/>
      <w:ind w:left="0" w:firstLine="0"/>
      <w:jc w:val="left"/>
      <w:outlineLvl w:val="4"/>
    </w:pPr>
    <w:rPr>
      <w:rFonts w:ascii="Arial" w:eastAsia="Arial" w:hAnsi="Arial"/>
      <w:sz w:val="55"/>
      <w:szCs w:val="55"/>
      <w:lang w:val="en-US" w:eastAsia="en-US"/>
    </w:rPr>
  </w:style>
  <w:style w:type="paragraph" w:customStyle="1" w:styleId="Titre62">
    <w:name w:val="Titre 62"/>
    <w:basedOn w:val="Normal"/>
    <w:uiPriority w:val="1"/>
    <w:qFormat/>
    <w:rsid w:val="00555ADE"/>
    <w:pPr>
      <w:widowControl w:val="0"/>
      <w:spacing w:after="0"/>
      <w:ind w:left="0" w:firstLine="0"/>
      <w:jc w:val="left"/>
      <w:outlineLvl w:val="6"/>
    </w:pPr>
    <w:rPr>
      <w:sz w:val="50"/>
      <w:szCs w:val="50"/>
      <w:lang w:val="en-US" w:eastAsia="en-US"/>
    </w:rPr>
  </w:style>
  <w:style w:type="paragraph" w:customStyle="1" w:styleId="Titre72">
    <w:name w:val="Titre 72"/>
    <w:basedOn w:val="Normal"/>
    <w:uiPriority w:val="1"/>
    <w:qFormat/>
    <w:rsid w:val="00555ADE"/>
    <w:pPr>
      <w:widowControl w:val="0"/>
      <w:spacing w:after="0"/>
      <w:ind w:left="0" w:firstLine="0"/>
      <w:jc w:val="left"/>
      <w:outlineLvl w:val="7"/>
    </w:pPr>
    <w:rPr>
      <w:rFonts w:ascii="Arial" w:eastAsia="Arial" w:hAnsi="Arial"/>
      <w:sz w:val="49"/>
      <w:szCs w:val="49"/>
      <w:lang w:val="en-US" w:eastAsia="en-US"/>
    </w:rPr>
  </w:style>
  <w:style w:type="paragraph" w:customStyle="1" w:styleId="Titre82">
    <w:name w:val="Titre 82"/>
    <w:basedOn w:val="Normal"/>
    <w:uiPriority w:val="1"/>
    <w:qFormat/>
    <w:rsid w:val="00555ADE"/>
    <w:pPr>
      <w:widowControl w:val="0"/>
      <w:spacing w:after="0"/>
      <w:ind w:left="378" w:firstLine="0"/>
      <w:jc w:val="left"/>
      <w:outlineLvl w:val="8"/>
    </w:pPr>
    <w:rPr>
      <w:sz w:val="47"/>
      <w:szCs w:val="47"/>
      <w:lang w:val="en-US" w:eastAsia="en-US"/>
    </w:rPr>
  </w:style>
  <w:style w:type="paragraph" w:customStyle="1" w:styleId="Titre92">
    <w:name w:val="Titre 92"/>
    <w:basedOn w:val="Normal"/>
    <w:uiPriority w:val="1"/>
    <w:qFormat/>
    <w:rsid w:val="00555ADE"/>
    <w:pPr>
      <w:widowControl w:val="0"/>
      <w:spacing w:after="0"/>
      <w:ind w:left="300" w:firstLine="0"/>
      <w:jc w:val="left"/>
    </w:pPr>
    <w:rPr>
      <w:rFonts w:ascii="Arial" w:eastAsia="Arial" w:hAnsi="Arial"/>
      <w:sz w:val="45"/>
      <w:szCs w:val="45"/>
      <w:lang w:val="en-US" w:eastAsia="en-US"/>
    </w:rPr>
  </w:style>
  <w:style w:type="paragraph" w:customStyle="1" w:styleId="Paragraphe">
    <w:name w:val="Paragraphe"/>
    <w:basedOn w:val="Normal"/>
    <w:rsid w:val="00561B9B"/>
    <w:pPr>
      <w:spacing w:before="120" w:after="120" w:line="288" w:lineRule="auto"/>
      <w:ind w:left="425" w:hanging="425"/>
    </w:pPr>
    <w:rPr>
      <w:rFonts w:ascii="Arial" w:hAnsi="Arial"/>
      <w:spacing w:val="-2"/>
      <w:sz w:val="22"/>
      <w:lang w:val="fr-CA"/>
    </w:rPr>
  </w:style>
  <w:style w:type="paragraph" w:customStyle="1" w:styleId="Option">
    <w:name w:val="Option"/>
    <w:basedOn w:val="Titre1"/>
    <w:link w:val="OptionCar"/>
    <w:rsid w:val="001656B8"/>
    <w:pPr>
      <w:spacing w:before="360"/>
      <w:ind w:left="0" w:firstLine="0"/>
    </w:pPr>
    <w:rPr>
      <w:kern w:val="28"/>
    </w:rPr>
  </w:style>
  <w:style w:type="character" w:customStyle="1" w:styleId="OptionCar">
    <w:name w:val="Option Car"/>
    <w:link w:val="Option"/>
    <w:rsid w:val="001656B8"/>
    <w:rPr>
      <w:b/>
      <w:kern w:val="28"/>
      <w:sz w:val="36"/>
    </w:rPr>
  </w:style>
  <w:style w:type="paragraph" w:customStyle="1" w:styleId="Titre2CarCarCarCarCar1">
    <w:name w:val="Titre 2 Car Car Car Car Car1"/>
    <w:basedOn w:val="Normal"/>
    <w:next w:val="Normal"/>
    <w:unhideWhenUsed/>
    <w:qFormat/>
    <w:rsid w:val="00E07774"/>
    <w:pPr>
      <w:keepNext/>
      <w:keepLines/>
      <w:spacing w:before="40" w:after="0" w:line="276" w:lineRule="auto"/>
      <w:ind w:left="0" w:firstLine="0"/>
      <w:jc w:val="left"/>
      <w:outlineLvl w:val="1"/>
    </w:pPr>
    <w:rPr>
      <w:rFonts w:ascii="Arial" w:hAnsi="Arial"/>
      <w:color w:val="365F91"/>
      <w:sz w:val="26"/>
      <w:szCs w:val="26"/>
    </w:rPr>
  </w:style>
  <w:style w:type="table" w:customStyle="1" w:styleId="Grilledutableau1">
    <w:name w:val="Grille du tableau1"/>
    <w:basedOn w:val="TableauNormal"/>
    <w:next w:val="Grilledutableau"/>
    <w:uiPriority w:val="59"/>
    <w:rsid w:val="00BD729D"/>
    <w:pPr>
      <w:spacing w:after="0"/>
      <w:ind w:left="0" w:firstLine="0"/>
      <w:jc w:val="left"/>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ial">
    <w:name w:val="Arial"/>
    <w:basedOn w:val="Normal"/>
    <w:uiPriority w:val="99"/>
    <w:rsid w:val="003B26A5"/>
    <w:pPr>
      <w:spacing w:after="0"/>
      <w:ind w:left="0" w:firstLine="0"/>
      <w:jc w:val="left"/>
    </w:pPr>
    <w:rPr>
      <w:rFonts w:ascii="Arial" w:hAnsi="Arial"/>
      <w:sz w:val="21"/>
      <w:szCs w:val="21"/>
    </w:rPr>
  </w:style>
  <w:style w:type="paragraph" w:customStyle="1" w:styleId="BVIfnrCarCarCarCarChar">
    <w:name w:val="BVI fnr Car Car Car Car Char"/>
    <w:basedOn w:val="Normal"/>
    <w:rsid w:val="00836964"/>
    <w:pPr>
      <w:spacing w:after="160" w:line="240" w:lineRule="exact"/>
      <w:ind w:left="0" w:firstLine="0"/>
      <w:jc w:val="left"/>
    </w:pPr>
    <w:rPr>
      <w:rFonts w:asciiTheme="minorHAnsi" w:eastAsiaTheme="minorHAnsi" w:hAnsiTheme="minorHAnsi" w:cstheme="minorBidi"/>
      <w:szCs w:val="22"/>
      <w:vertAlign w:val="superscript"/>
      <w:lang w:eastAsia="en-US"/>
    </w:rPr>
  </w:style>
  <w:style w:type="paragraph" w:customStyle="1" w:styleId="Body1">
    <w:name w:val="Body 1"/>
    <w:rsid w:val="00836964"/>
    <w:pPr>
      <w:spacing w:after="0"/>
      <w:ind w:left="0" w:firstLine="0"/>
      <w:jc w:val="left"/>
    </w:pPr>
    <w:rPr>
      <w:rFonts w:ascii="Helvetica" w:eastAsia="Arial Unicode MS" w:hAnsi="Helvetica"/>
      <w:color w:val="000000"/>
      <w:sz w:val="24"/>
      <w:lang w:val="en-GB" w:eastAsia="en-GB"/>
    </w:rPr>
  </w:style>
  <w:style w:type="paragraph" w:styleId="En-ttedetabledesmatires">
    <w:name w:val="TOC Heading"/>
    <w:basedOn w:val="Titre1"/>
    <w:next w:val="Normal"/>
    <w:uiPriority w:val="39"/>
    <w:unhideWhenUsed/>
    <w:qFormat/>
    <w:rsid w:val="00836964"/>
    <w:pPr>
      <w:keepNext/>
      <w:keepLines/>
      <w:spacing w:before="120" w:after="0" w:line="276" w:lineRule="auto"/>
      <w:ind w:left="0" w:firstLine="0"/>
      <w:jc w:val="left"/>
      <w:outlineLvl w:val="9"/>
    </w:pPr>
    <w:rPr>
      <w:rFonts w:ascii="Arial" w:eastAsiaTheme="majorEastAsia" w:hAnsi="Arial" w:cstheme="majorBidi"/>
      <w:bCs/>
      <w:caps/>
      <w:color w:val="002060"/>
      <w:sz w:val="28"/>
      <w:szCs w:val="28"/>
      <w:lang w:eastAsia="en-US"/>
    </w:rPr>
  </w:style>
  <w:style w:type="paragraph" w:styleId="Tabledesillustrations">
    <w:name w:val="table of figures"/>
    <w:basedOn w:val="Normal"/>
    <w:next w:val="Normal"/>
    <w:uiPriority w:val="99"/>
    <w:unhideWhenUsed/>
    <w:rsid w:val="00836964"/>
    <w:pPr>
      <w:spacing w:after="0"/>
      <w:ind w:left="0" w:firstLine="0"/>
    </w:pPr>
    <w:rPr>
      <w:rFonts w:ascii="Arial" w:hAnsi="Arial"/>
      <w:sz w:val="22"/>
      <w:szCs w:val="24"/>
      <w:lang w:val="fr-CA"/>
    </w:rPr>
  </w:style>
  <w:style w:type="paragraph" w:customStyle="1" w:styleId="Puce1">
    <w:name w:val="Puce 1"/>
    <w:basedOn w:val="Normal"/>
    <w:link w:val="Puce1Car"/>
    <w:qFormat/>
    <w:rsid w:val="00836964"/>
    <w:pPr>
      <w:numPr>
        <w:numId w:val="15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120"/>
    </w:pPr>
    <w:rPr>
      <w:rFonts w:ascii="Arial" w:eastAsia="ヒラギノ角ゴ Pro W3" w:hAnsi="Arial"/>
      <w:color w:val="000000"/>
      <w:sz w:val="22"/>
      <w:szCs w:val="22"/>
      <w:lang w:eastAsia="en-US"/>
    </w:rPr>
  </w:style>
  <w:style w:type="character" w:customStyle="1" w:styleId="Puce1Car">
    <w:name w:val="Puce 1 Car"/>
    <w:link w:val="Puce1"/>
    <w:rsid w:val="00836964"/>
    <w:rPr>
      <w:rFonts w:ascii="Arial" w:eastAsia="ヒラギノ角ゴ Pro W3" w:hAnsi="Arial"/>
      <w:color w:val="000000"/>
      <w:sz w:val="22"/>
      <w:szCs w:val="22"/>
      <w:lang w:eastAsia="en-US"/>
    </w:rPr>
  </w:style>
  <w:style w:type="paragraph" w:customStyle="1" w:styleId="Puce3">
    <w:name w:val="Puce 3"/>
    <w:basedOn w:val="Normal"/>
    <w:qFormat/>
    <w:rsid w:val="00836964"/>
    <w:pPr>
      <w:numPr>
        <w:ilvl w:val="2"/>
        <w:numId w:val="15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220" w:after="220"/>
    </w:pPr>
    <w:rPr>
      <w:rFonts w:ascii="Arial" w:eastAsia="ヒラギノ角ゴ Pro W3" w:hAnsi="Arial" w:cs="Arial"/>
      <w:color w:val="000000"/>
      <w:sz w:val="22"/>
      <w:szCs w:val="22"/>
      <w:lang w:eastAsia="en-US"/>
    </w:rPr>
  </w:style>
  <w:style w:type="character" w:customStyle="1" w:styleId="PieddepageCar1">
    <w:name w:val="Pied de page Car1"/>
    <w:uiPriority w:val="99"/>
    <w:rsid w:val="00836964"/>
    <w:rPr>
      <w:rFonts w:ascii="Times New Roman" w:eastAsia="Times New Roman" w:hAnsi="Times New Roman" w:cs="Times New Roman"/>
      <w:sz w:val="24"/>
      <w:szCs w:val="20"/>
      <w:lang w:val="en-US"/>
    </w:rPr>
  </w:style>
  <w:style w:type="character" w:customStyle="1" w:styleId="tgc">
    <w:name w:val="_tgc"/>
    <w:rsid w:val="00836964"/>
  </w:style>
  <w:style w:type="character" w:customStyle="1" w:styleId="LgendeCar1">
    <w:name w:val="Légende Car1"/>
    <w:aliases w:val="Légende Car Car"/>
    <w:basedOn w:val="Policepardfaut"/>
    <w:locked/>
    <w:rsid w:val="00836964"/>
    <w:rPr>
      <w:rFonts w:ascii="Arial Narrow" w:eastAsia="Times New Roman" w:hAnsi="Arial Narrow" w:cs="Times New Roman"/>
      <w:b/>
      <w:bCs/>
      <w:sz w:val="20"/>
      <w:szCs w:val="20"/>
      <w:lang w:val="fr-FR" w:eastAsia="fr-FR"/>
    </w:rPr>
  </w:style>
  <w:style w:type="character" w:customStyle="1" w:styleId="NotedebasdepageCar1">
    <w:name w:val="Note de bas de page Car1"/>
    <w:aliases w:val="single space Car1,footnote text Car1,fn Car1,FOOTNOTES Car1,ft Car1,f Car1,Char Car1,Footnote Text Char1 Car1,Footnote Text Char2 Char Car1,Footnote Text Char1 Char Char Car1,Footnote Text Char2 Char Char Char Car1,DSE note Car1"/>
    <w:uiPriority w:val="99"/>
    <w:rsid w:val="00836964"/>
    <w:rPr>
      <w:lang w:val="en-US" w:eastAsia="en-US"/>
    </w:rPr>
  </w:style>
  <w:style w:type="paragraph" w:styleId="Listepuces">
    <w:name w:val="List Bullet"/>
    <w:basedOn w:val="Normal"/>
    <w:rsid w:val="00836964"/>
    <w:pPr>
      <w:spacing w:after="0"/>
      <w:ind w:left="283" w:hanging="283"/>
      <w:jc w:val="left"/>
    </w:pPr>
    <w:rPr>
      <w:rFonts w:ascii="Arial" w:hAnsi="Arial"/>
      <w:sz w:val="20"/>
    </w:rPr>
  </w:style>
  <w:style w:type="paragraph" w:customStyle="1" w:styleId="msonormal0">
    <w:name w:val="msonormal"/>
    <w:basedOn w:val="Normal"/>
    <w:rsid w:val="00836964"/>
    <w:pPr>
      <w:spacing w:before="100" w:beforeAutospacing="1" w:after="100" w:afterAutospacing="1"/>
      <w:ind w:left="0" w:firstLine="0"/>
      <w:jc w:val="left"/>
    </w:pPr>
    <w:rPr>
      <w:szCs w:val="24"/>
    </w:rPr>
  </w:style>
  <w:style w:type="paragraph" w:customStyle="1" w:styleId="font5">
    <w:name w:val="font5"/>
    <w:basedOn w:val="Normal"/>
    <w:rsid w:val="00836964"/>
    <w:pPr>
      <w:spacing w:before="100" w:beforeAutospacing="1" w:after="100" w:afterAutospacing="1"/>
      <w:ind w:left="0" w:firstLine="0"/>
      <w:jc w:val="left"/>
    </w:pPr>
    <w:rPr>
      <w:rFonts w:ascii="Arial" w:hAnsi="Arial" w:cs="Arial"/>
      <w:sz w:val="20"/>
    </w:rPr>
  </w:style>
  <w:style w:type="paragraph" w:customStyle="1" w:styleId="font6">
    <w:name w:val="font6"/>
    <w:basedOn w:val="Normal"/>
    <w:rsid w:val="00836964"/>
    <w:pPr>
      <w:spacing w:before="100" w:beforeAutospacing="1" w:after="100" w:afterAutospacing="1"/>
      <w:ind w:left="0" w:firstLine="0"/>
      <w:jc w:val="left"/>
    </w:pPr>
    <w:rPr>
      <w:rFonts w:ascii="Arial" w:hAnsi="Arial" w:cs="Arial"/>
      <w:sz w:val="20"/>
    </w:rPr>
  </w:style>
  <w:style w:type="paragraph" w:customStyle="1" w:styleId="xl64">
    <w:name w:val="xl64"/>
    <w:basedOn w:val="Normal"/>
    <w:rsid w:val="00836964"/>
    <w:pPr>
      <w:pBdr>
        <w:top w:val="double" w:sz="6" w:space="0" w:color="auto"/>
        <w:left w:val="double" w:sz="6" w:space="0" w:color="auto"/>
        <w:bottom w:val="single" w:sz="4" w:space="0" w:color="auto"/>
        <w:right w:val="single" w:sz="4" w:space="0" w:color="auto"/>
      </w:pBdr>
      <w:shd w:val="clear" w:color="000000" w:fill="C0C0C0"/>
      <w:spacing w:before="100" w:beforeAutospacing="1" w:after="100" w:afterAutospacing="1"/>
      <w:ind w:left="0" w:firstLine="0"/>
      <w:jc w:val="center"/>
      <w:textAlignment w:val="center"/>
    </w:pPr>
    <w:rPr>
      <w:rFonts w:ascii="Arial" w:hAnsi="Arial" w:cs="Arial"/>
      <w:b/>
      <w:bCs/>
      <w:sz w:val="20"/>
    </w:rPr>
  </w:style>
  <w:style w:type="paragraph" w:customStyle="1" w:styleId="BulletsR1">
    <w:name w:val="BulletsR1"/>
    <w:basedOn w:val="Normal"/>
    <w:rsid w:val="00836964"/>
    <w:pPr>
      <w:widowControl w:val="0"/>
      <w:numPr>
        <w:numId w:val="160"/>
      </w:numPr>
      <w:spacing w:before="80" w:after="0"/>
    </w:pPr>
    <w:rPr>
      <w:rFonts w:ascii="Arial" w:hAnsi="Arial"/>
      <w:sz w:val="22"/>
      <w:szCs w:val="24"/>
      <w:lang w:val="fr-BE"/>
    </w:rPr>
  </w:style>
  <w:style w:type="character" w:customStyle="1" w:styleId="FontStyle32">
    <w:name w:val="Font Style32"/>
    <w:basedOn w:val="Policepardfaut"/>
    <w:uiPriority w:val="99"/>
    <w:rsid w:val="00836964"/>
    <w:rPr>
      <w:rFonts w:ascii="Cambria" w:hAnsi="Cambria" w:cs="Cambria"/>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pPr>
        <w:spacing w:after="200"/>
        <w:ind w:left="576" w:hanging="576"/>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qFormat="1"/>
    <w:lsdException w:name="annotation text" w:uiPriority="0"/>
    <w:lsdException w:name="caption" w:semiHidden="0" w:uiPriority="35" w:unhideWhenUsed="0" w:qFormat="1"/>
    <w:lsdException w:name="footnote reference" w:qFormat="1"/>
    <w:lsdException w:name="page number" w:uiPriority="0"/>
    <w:lsdException w:name="endnote reference" w:uiPriority="0"/>
    <w:lsdException w:name="endnote text" w:uiPriority="0"/>
    <w:lsdException w:name="toa heading" w:uiPriority="0"/>
    <w:lsdException w:name="List" w:uiPriority="0"/>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A46"/>
    <w:rPr>
      <w:sz w:val="24"/>
    </w:rPr>
  </w:style>
  <w:style w:type="paragraph" w:styleId="Titre1">
    <w:name w:val="heading 1"/>
    <w:aliases w:val="Document Header1"/>
    <w:basedOn w:val="Normal"/>
    <w:next w:val="Normal"/>
    <w:link w:val="Titre1Car"/>
    <w:qFormat/>
    <w:rsid w:val="00573A46"/>
    <w:pPr>
      <w:jc w:val="center"/>
      <w:outlineLvl w:val="0"/>
    </w:pPr>
    <w:rPr>
      <w:b/>
      <w:sz w:val="36"/>
    </w:rPr>
  </w:style>
  <w:style w:type="paragraph" w:styleId="Titre2">
    <w:name w:val="heading 2"/>
    <w:aliases w:val="Title Header2,Section-Title,Titre 22,an_Über 2,h2,head2,A Head,Chapter Title,OG Heading 2,Level 2,DNV-H2,RSKH2,Heading 2 AGT ESIA,Major Heading,carter ecological heading 2,H2,Heading 2 URS,.1,L2,ËÑÇ¢éÍ 2,2,hseHeading 2,- 1.1,Title3,EIA H2"/>
    <w:basedOn w:val="Normal"/>
    <w:next w:val="Normal"/>
    <w:link w:val="Titre2Car"/>
    <w:qFormat/>
    <w:rsid w:val="00573A46"/>
    <w:pPr>
      <w:jc w:val="center"/>
      <w:outlineLvl w:val="1"/>
    </w:pPr>
    <w:rPr>
      <w:b/>
      <w:sz w:val="28"/>
    </w:rPr>
  </w:style>
  <w:style w:type="paragraph" w:styleId="Titre3">
    <w:name w:val="heading 3"/>
    <w:aliases w:val="Section Header3"/>
    <w:basedOn w:val="Normal"/>
    <w:next w:val="Normal"/>
    <w:link w:val="Titre3Car"/>
    <w:qFormat/>
    <w:rsid w:val="00573A46"/>
    <w:pPr>
      <w:tabs>
        <w:tab w:val="left" w:pos="864"/>
      </w:tabs>
      <w:ind w:left="864" w:hanging="432"/>
      <w:outlineLvl w:val="2"/>
    </w:pPr>
    <w:rPr>
      <w:lang w:val="en-US"/>
    </w:rPr>
  </w:style>
  <w:style w:type="paragraph" w:styleId="Titre4">
    <w:name w:val="heading 4"/>
    <w:aliases w:val="Sub-Clause Sub-paragraph,ClauseSubSub_No&amp;Name"/>
    <w:basedOn w:val="Normal"/>
    <w:next w:val="Normal"/>
    <w:link w:val="Titre4Car"/>
    <w:qFormat/>
    <w:rsid w:val="00573A46"/>
    <w:pPr>
      <w:numPr>
        <w:ilvl w:val="3"/>
        <w:numId w:val="1"/>
      </w:numPr>
      <w:tabs>
        <w:tab w:val="left" w:pos="1512"/>
      </w:tabs>
      <w:outlineLvl w:val="3"/>
    </w:pPr>
    <w:rPr>
      <w:lang w:val="en-US"/>
    </w:rPr>
  </w:style>
  <w:style w:type="paragraph" w:styleId="Titre5">
    <w:name w:val="heading 5"/>
    <w:basedOn w:val="Normal"/>
    <w:next w:val="Normal"/>
    <w:link w:val="Titre5Car"/>
    <w:qFormat/>
    <w:rsid w:val="00573A46"/>
    <w:pPr>
      <w:spacing w:before="240" w:after="60"/>
      <w:jc w:val="center"/>
      <w:outlineLvl w:val="4"/>
    </w:pPr>
    <w:rPr>
      <w:b/>
      <w:sz w:val="28"/>
      <w:lang w:val="es-ES_tradnl"/>
    </w:rPr>
  </w:style>
  <w:style w:type="paragraph" w:styleId="Titre6">
    <w:name w:val="heading 6"/>
    <w:basedOn w:val="Normal"/>
    <w:next w:val="Normal"/>
    <w:link w:val="Titre6Car"/>
    <w:qFormat/>
    <w:rsid w:val="00573A46"/>
    <w:pPr>
      <w:numPr>
        <w:ilvl w:val="5"/>
        <w:numId w:val="1"/>
      </w:numPr>
      <w:tabs>
        <w:tab w:val="left" w:pos="1152"/>
      </w:tabs>
      <w:spacing w:before="240" w:after="60"/>
      <w:outlineLvl w:val="5"/>
    </w:pPr>
    <w:rPr>
      <w:i/>
      <w:sz w:val="22"/>
      <w:lang w:val="es-ES_tradnl"/>
    </w:rPr>
  </w:style>
  <w:style w:type="paragraph" w:styleId="Titre7">
    <w:name w:val="heading 7"/>
    <w:basedOn w:val="Normal"/>
    <w:next w:val="Normal"/>
    <w:link w:val="Titre7Car"/>
    <w:qFormat/>
    <w:rsid w:val="00573A46"/>
    <w:pPr>
      <w:numPr>
        <w:ilvl w:val="6"/>
        <w:numId w:val="1"/>
      </w:numPr>
      <w:tabs>
        <w:tab w:val="left" w:pos="1296"/>
      </w:tabs>
      <w:spacing w:before="240" w:after="60"/>
      <w:outlineLvl w:val="6"/>
    </w:pPr>
    <w:rPr>
      <w:rFonts w:ascii="Arial" w:hAnsi="Arial"/>
      <w:sz w:val="20"/>
      <w:lang w:val="es-ES_tradnl"/>
    </w:rPr>
  </w:style>
  <w:style w:type="paragraph" w:styleId="Titre8">
    <w:name w:val="heading 8"/>
    <w:basedOn w:val="Normal"/>
    <w:next w:val="Normal"/>
    <w:link w:val="Titre8Car"/>
    <w:qFormat/>
    <w:rsid w:val="00573A46"/>
    <w:pPr>
      <w:numPr>
        <w:ilvl w:val="7"/>
        <w:numId w:val="1"/>
      </w:numPr>
      <w:tabs>
        <w:tab w:val="left" w:pos="1440"/>
      </w:tabs>
      <w:spacing w:before="240" w:after="60"/>
      <w:outlineLvl w:val="7"/>
    </w:pPr>
    <w:rPr>
      <w:rFonts w:ascii="Arial" w:hAnsi="Arial"/>
      <w:i/>
      <w:sz w:val="20"/>
      <w:lang w:val="es-ES_tradnl"/>
    </w:rPr>
  </w:style>
  <w:style w:type="paragraph" w:styleId="Titre9">
    <w:name w:val="heading 9"/>
    <w:basedOn w:val="Normal"/>
    <w:next w:val="Normal"/>
    <w:link w:val="Titre9Car"/>
    <w:qFormat/>
    <w:rsid w:val="00573A46"/>
    <w:pPr>
      <w:numPr>
        <w:ilvl w:val="8"/>
        <w:numId w:val="1"/>
      </w:numPr>
      <w:tabs>
        <w:tab w:val="left" w:pos="1584"/>
      </w:tabs>
      <w:spacing w:before="240" w:after="60"/>
      <w:outlineLvl w:val="8"/>
    </w:pPr>
    <w:rPr>
      <w:rFonts w:ascii="Arial" w:hAnsi="Arial"/>
      <w:b/>
      <w:i/>
      <w:sz w:val="18"/>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rsid w:val="006469DC"/>
    <w:rPr>
      <w:rFonts w:ascii="Cambria" w:eastAsia="Times New Roman" w:hAnsi="Cambria" w:cs="Times New Roman"/>
      <w:b/>
      <w:bCs/>
      <w:kern w:val="32"/>
      <w:sz w:val="32"/>
      <w:szCs w:val="32"/>
    </w:rPr>
  </w:style>
  <w:style w:type="character" w:customStyle="1" w:styleId="Titre2Car">
    <w:name w:val="Titre 2 Car"/>
    <w:aliases w:val="Title Header2 Car,Section-Title Car,Titre 22 Car,an_Über 2 Car,h2 Car,head2 Car,A Head Car,Chapter Title Car,OG Heading 2 Car,Level 2 Car,DNV-H2 Car,RSKH2 Car,Heading 2 AGT ESIA Car,Major Heading Car,carter ecological heading 2 Car,H2 Car"/>
    <w:basedOn w:val="Policepardfaut"/>
    <w:link w:val="Titre2"/>
    <w:rsid w:val="006469DC"/>
    <w:rPr>
      <w:rFonts w:ascii="Cambria" w:eastAsia="Times New Roman" w:hAnsi="Cambria" w:cs="Times New Roman"/>
      <w:b/>
      <w:bCs/>
      <w:i/>
      <w:iCs/>
      <w:sz w:val="28"/>
      <w:szCs w:val="28"/>
    </w:rPr>
  </w:style>
  <w:style w:type="character" w:customStyle="1" w:styleId="Titre3Car">
    <w:name w:val="Titre 3 Car"/>
    <w:aliases w:val="Section Header3 Car"/>
    <w:basedOn w:val="Policepardfaut"/>
    <w:link w:val="Titre3"/>
    <w:rsid w:val="006469DC"/>
    <w:rPr>
      <w:rFonts w:ascii="Cambria" w:eastAsia="Times New Roman" w:hAnsi="Cambria" w:cs="Times New Roman"/>
      <w:b/>
      <w:bCs/>
      <w:sz w:val="26"/>
      <w:szCs w:val="26"/>
    </w:rPr>
  </w:style>
  <w:style w:type="character" w:customStyle="1" w:styleId="Titre4Car">
    <w:name w:val="Titre 4 Car"/>
    <w:aliases w:val="Sub-Clause Sub-paragraph Car,ClauseSubSub_No&amp;Name Car"/>
    <w:basedOn w:val="Policepardfaut"/>
    <w:link w:val="Titre4"/>
    <w:rsid w:val="006469DC"/>
    <w:rPr>
      <w:sz w:val="24"/>
      <w:lang w:val="en-US"/>
    </w:rPr>
  </w:style>
  <w:style w:type="character" w:customStyle="1" w:styleId="Titre5Car">
    <w:name w:val="Titre 5 Car"/>
    <w:basedOn w:val="Policepardfaut"/>
    <w:link w:val="Titre5"/>
    <w:rsid w:val="006469DC"/>
    <w:rPr>
      <w:rFonts w:ascii="Calibri" w:eastAsia="Times New Roman" w:hAnsi="Calibri" w:cs="Times New Roman"/>
      <w:b/>
      <w:bCs/>
      <w:i/>
      <w:iCs/>
      <w:sz w:val="26"/>
      <w:szCs w:val="26"/>
    </w:rPr>
  </w:style>
  <w:style w:type="character" w:customStyle="1" w:styleId="Titre6Car">
    <w:name w:val="Titre 6 Car"/>
    <w:basedOn w:val="Policepardfaut"/>
    <w:link w:val="Titre6"/>
    <w:rsid w:val="006469DC"/>
    <w:rPr>
      <w:i/>
      <w:sz w:val="22"/>
      <w:lang w:val="es-ES_tradnl"/>
    </w:rPr>
  </w:style>
  <w:style w:type="character" w:customStyle="1" w:styleId="Titre7Car">
    <w:name w:val="Titre 7 Car"/>
    <w:basedOn w:val="Policepardfaut"/>
    <w:link w:val="Titre7"/>
    <w:rsid w:val="006469DC"/>
    <w:rPr>
      <w:rFonts w:ascii="Arial" w:hAnsi="Arial"/>
      <w:lang w:val="es-ES_tradnl"/>
    </w:rPr>
  </w:style>
  <w:style w:type="character" w:customStyle="1" w:styleId="Titre8Car">
    <w:name w:val="Titre 8 Car"/>
    <w:basedOn w:val="Policepardfaut"/>
    <w:link w:val="Titre8"/>
    <w:rsid w:val="006469DC"/>
    <w:rPr>
      <w:rFonts w:ascii="Arial" w:hAnsi="Arial"/>
      <w:i/>
      <w:lang w:val="es-ES_tradnl"/>
    </w:rPr>
  </w:style>
  <w:style w:type="character" w:customStyle="1" w:styleId="Titre9Car">
    <w:name w:val="Titre 9 Car"/>
    <w:basedOn w:val="Policepardfaut"/>
    <w:link w:val="Titre9"/>
    <w:rsid w:val="006469DC"/>
    <w:rPr>
      <w:rFonts w:ascii="Arial" w:hAnsi="Arial"/>
      <w:b/>
      <w:i/>
      <w:sz w:val="18"/>
      <w:lang w:val="es-ES_tradnl"/>
    </w:rPr>
  </w:style>
  <w:style w:type="character" w:customStyle="1" w:styleId="a1">
    <w:name w:val="a1"/>
    <w:basedOn w:val="Policepardfaut"/>
    <w:rsid w:val="00573A46"/>
    <w:rPr>
      <w:rFonts w:ascii="Courier" w:hAnsi="Courier" w:cs="Times New Roman"/>
      <w:sz w:val="20"/>
      <w:lang w:val="en-US"/>
    </w:rPr>
  </w:style>
  <w:style w:type="paragraph" w:styleId="TM1">
    <w:name w:val="toc 1"/>
    <w:basedOn w:val="Normal"/>
    <w:next w:val="Normal"/>
    <w:uiPriority w:val="39"/>
    <w:rsid w:val="00573A46"/>
    <w:pPr>
      <w:tabs>
        <w:tab w:val="right" w:leader="dot" w:pos="9000"/>
      </w:tabs>
      <w:spacing w:before="240"/>
      <w:ind w:left="720" w:right="720" w:hanging="720"/>
      <w:jc w:val="left"/>
    </w:pPr>
    <w:rPr>
      <w:rFonts w:ascii="Times New Roman Bold" w:hAnsi="Times New Roman Bold"/>
      <w:b/>
    </w:rPr>
  </w:style>
  <w:style w:type="paragraph" w:styleId="TM2">
    <w:name w:val="toc 2"/>
    <w:basedOn w:val="Normal"/>
    <w:next w:val="Normal"/>
    <w:uiPriority w:val="39"/>
    <w:rsid w:val="008718E0"/>
    <w:pPr>
      <w:tabs>
        <w:tab w:val="right" w:leader="dot" w:pos="9000"/>
      </w:tabs>
      <w:spacing w:after="0"/>
      <w:ind w:left="1440" w:right="720" w:hanging="720"/>
      <w:jc w:val="left"/>
    </w:pPr>
  </w:style>
  <w:style w:type="paragraph" w:styleId="TM3">
    <w:name w:val="toc 3"/>
    <w:basedOn w:val="Normal"/>
    <w:next w:val="Normal"/>
    <w:uiPriority w:val="39"/>
    <w:rsid w:val="00573A46"/>
    <w:pPr>
      <w:tabs>
        <w:tab w:val="left" w:leader="dot" w:pos="9000"/>
      </w:tabs>
      <w:ind w:left="2160" w:right="720" w:hanging="720"/>
      <w:jc w:val="left"/>
    </w:pPr>
  </w:style>
  <w:style w:type="paragraph" w:styleId="TM4">
    <w:name w:val="toc 4"/>
    <w:basedOn w:val="Normal"/>
    <w:next w:val="Normal"/>
    <w:uiPriority w:val="39"/>
    <w:rsid w:val="00573A46"/>
    <w:pPr>
      <w:tabs>
        <w:tab w:val="left" w:leader="dot" w:pos="8640"/>
        <w:tab w:val="right" w:pos="9000"/>
      </w:tabs>
      <w:ind w:left="2880" w:right="720" w:hanging="720"/>
    </w:pPr>
  </w:style>
  <w:style w:type="paragraph" w:styleId="TM5">
    <w:name w:val="toc 5"/>
    <w:basedOn w:val="Normal"/>
    <w:next w:val="Normal"/>
    <w:uiPriority w:val="39"/>
    <w:rsid w:val="00573A46"/>
    <w:pPr>
      <w:tabs>
        <w:tab w:val="left" w:leader="dot" w:pos="8640"/>
        <w:tab w:val="right" w:pos="9000"/>
      </w:tabs>
      <w:ind w:left="3600" w:right="720" w:hanging="720"/>
    </w:pPr>
  </w:style>
  <w:style w:type="paragraph" w:styleId="TM6">
    <w:name w:val="toc 6"/>
    <w:basedOn w:val="Normal"/>
    <w:next w:val="Normal"/>
    <w:uiPriority w:val="39"/>
    <w:rsid w:val="00573A46"/>
    <w:pPr>
      <w:tabs>
        <w:tab w:val="left" w:pos="8640"/>
        <w:tab w:val="right" w:pos="9000"/>
      </w:tabs>
      <w:ind w:left="720" w:hanging="720"/>
    </w:pPr>
  </w:style>
  <w:style w:type="paragraph" w:styleId="TM7">
    <w:name w:val="toc 7"/>
    <w:basedOn w:val="Normal"/>
    <w:next w:val="Normal"/>
    <w:uiPriority w:val="39"/>
    <w:rsid w:val="00573A46"/>
    <w:pPr>
      <w:ind w:left="720" w:hanging="720"/>
    </w:pPr>
  </w:style>
  <w:style w:type="paragraph" w:styleId="TM8">
    <w:name w:val="toc 8"/>
    <w:basedOn w:val="Normal"/>
    <w:next w:val="Normal"/>
    <w:uiPriority w:val="39"/>
    <w:rsid w:val="00573A46"/>
    <w:pPr>
      <w:tabs>
        <w:tab w:val="left" w:pos="8640"/>
        <w:tab w:val="right" w:pos="9000"/>
      </w:tabs>
      <w:ind w:left="720" w:hanging="720"/>
    </w:pPr>
  </w:style>
  <w:style w:type="paragraph" w:styleId="TM9">
    <w:name w:val="toc 9"/>
    <w:basedOn w:val="Normal"/>
    <w:next w:val="Normal"/>
    <w:uiPriority w:val="39"/>
    <w:rsid w:val="00573A46"/>
    <w:pPr>
      <w:tabs>
        <w:tab w:val="left" w:leader="dot" w:pos="8640"/>
        <w:tab w:val="right" w:pos="9000"/>
      </w:tabs>
      <w:ind w:left="720" w:hanging="720"/>
    </w:pPr>
  </w:style>
  <w:style w:type="paragraph" w:styleId="Index1">
    <w:name w:val="index 1"/>
    <w:basedOn w:val="Normal"/>
    <w:next w:val="Normal"/>
    <w:semiHidden/>
    <w:rsid w:val="00573A46"/>
    <w:pPr>
      <w:tabs>
        <w:tab w:val="left" w:leader="dot" w:pos="9000"/>
        <w:tab w:val="right" w:pos="9360"/>
      </w:tabs>
      <w:ind w:left="1440" w:right="720" w:hanging="1440"/>
    </w:pPr>
  </w:style>
  <w:style w:type="paragraph" w:styleId="Index2">
    <w:name w:val="index 2"/>
    <w:basedOn w:val="Normal"/>
    <w:next w:val="Normal"/>
    <w:semiHidden/>
    <w:rsid w:val="00573A46"/>
    <w:pPr>
      <w:tabs>
        <w:tab w:val="left" w:leader="dot" w:pos="9000"/>
        <w:tab w:val="right" w:pos="9360"/>
      </w:tabs>
      <w:ind w:left="1440" w:right="720" w:hanging="720"/>
    </w:pPr>
  </w:style>
  <w:style w:type="paragraph" w:styleId="TitreTR">
    <w:name w:val="toa heading"/>
    <w:basedOn w:val="Normal"/>
    <w:next w:val="Normal"/>
    <w:semiHidden/>
    <w:rsid w:val="00573A46"/>
    <w:pPr>
      <w:tabs>
        <w:tab w:val="left" w:pos="9000"/>
        <w:tab w:val="right" w:pos="9360"/>
      </w:tabs>
    </w:pPr>
  </w:style>
  <w:style w:type="paragraph" w:styleId="Lgende">
    <w:name w:val="caption"/>
    <w:aliases w:val="LégendeFigure,Car Car Car,Car Car Car Car Car Car,Car Car,Car,AGT ESIA,Table/Figure Heading,Caption- Figure,Caption- Figure1,Caption- Figure2,Figure Headings,Caption Char,Caption Char Char Char Char,Caption Char Char Char,headings,Map,Annexe Car"/>
    <w:basedOn w:val="Normal"/>
    <w:next w:val="Normal"/>
    <w:link w:val="LgendeCar"/>
    <w:uiPriority w:val="35"/>
    <w:qFormat/>
    <w:rsid w:val="00573A46"/>
  </w:style>
  <w:style w:type="character" w:customStyle="1" w:styleId="LgendeCar">
    <w:name w:val="Légende Car"/>
    <w:aliases w:val="LégendeFigure Car,Car Car Car Car,Car Car Car Car Car Car Car,Car Car Car1,Car Car1,AGT ESIA Car,Table/Figure Heading Car,Caption- Figure Car,Caption- Figure1 Car,Caption- Figure2 Car,Figure Headings Car,Caption Char Car,headings Car,Map Car"/>
    <w:link w:val="Lgende"/>
    <w:uiPriority w:val="35"/>
    <w:qFormat/>
    <w:rsid w:val="00691FA6"/>
    <w:rPr>
      <w:sz w:val="24"/>
    </w:rPr>
  </w:style>
  <w:style w:type="character" w:customStyle="1" w:styleId="EquationCaption">
    <w:name w:val="_Equation Caption"/>
    <w:rsid w:val="00573A46"/>
  </w:style>
  <w:style w:type="character" w:styleId="Appeldenotedefin">
    <w:name w:val="endnote reference"/>
    <w:basedOn w:val="Policepardfaut"/>
    <w:semiHidden/>
    <w:rsid w:val="00573A46"/>
    <w:rPr>
      <w:rFonts w:cs="Times New Roman"/>
      <w:vertAlign w:val="superscript"/>
    </w:rPr>
  </w:style>
  <w:style w:type="character" w:styleId="Appelnotedebasdep">
    <w:name w:val="footnote reference"/>
    <w:aliases w:val="ftref,16 Point,Superscript 6 Point,BVI fnr,Normal + Font:9 Point,Superscript 3 Point Times,Footnote Reference Number,Ref,de nota al pie,note bp,Car Car Char Car Char Car Car Char Car Char Char,16 Point Char Char,fr,R"/>
    <w:basedOn w:val="Policepardfaut"/>
    <w:link w:val="16PointChar"/>
    <w:uiPriority w:val="99"/>
    <w:qFormat/>
    <w:rsid w:val="00573A46"/>
    <w:rPr>
      <w:rFonts w:cs="Times New Roman"/>
      <w:vertAlign w:val="superscript"/>
    </w:rPr>
  </w:style>
  <w:style w:type="paragraph" w:customStyle="1" w:styleId="16PointChar">
    <w:name w:val="16 Point Char"/>
    <w:aliases w:val="Superscript 6 Point Char,ftref Char,BVI fnr Char,Footnote Reference Number Char,Normal + Font:9 Point Char,Superscript 3 Point Times Char"/>
    <w:basedOn w:val="Normal"/>
    <w:next w:val="Normal"/>
    <w:link w:val="Appelnotedebasdep"/>
    <w:uiPriority w:val="99"/>
    <w:rsid w:val="00F90A63"/>
    <w:pPr>
      <w:spacing w:after="160" w:line="240" w:lineRule="exact"/>
      <w:ind w:left="0" w:firstLine="0"/>
      <w:jc w:val="left"/>
    </w:pPr>
    <w:rPr>
      <w:sz w:val="20"/>
      <w:vertAlign w:val="superscript"/>
    </w:rPr>
  </w:style>
  <w:style w:type="paragraph" w:styleId="En-tte">
    <w:name w:val="header"/>
    <w:aliases w:val="heading 3 after h2,h,h3+,ContentsHeader,hd Car,Kopfzeile Char Char, Char Char Char"/>
    <w:basedOn w:val="Normal"/>
    <w:link w:val="En-tteCar"/>
    <w:uiPriority w:val="99"/>
    <w:rsid w:val="00573A46"/>
    <w:pPr>
      <w:jc w:val="left"/>
    </w:pPr>
    <w:rPr>
      <w:sz w:val="20"/>
    </w:rPr>
  </w:style>
  <w:style w:type="character" w:customStyle="1" w:styleId="En-tteCar">
    <w:name w:val="En-tête Car"/>
    <w:aliases w:val="heading 3 after h2 Car,h Car,h3+ Car,ContentsHeader Car,hd Car Car,Kopfzeile Char Char Car, Char Char Char Car"/>
    <w:basedOn w:val="Policepardfaut"/>
    <w:link w:val="En-tte"/>
    <w:uiPriority w:val="99"/>
    <w:rsid w:val="006469DC"/>
    <w:rPr>
      <w:sz w:val="24"/>
    </w:rPr>
  </w:style>
  <w:style w:type="paragraph" w:styleId="Pieddepage">
    <w:name w:val="footer"/>
    <w:basedOn w:val="Normal"/>
    <w:link w:val="PieddepageCar"/>
    <w:uiPriority w:val="99"/>
    <w:rsid w:val="00573A46"/>
    <w:pPr>
      <w:jc w:val="left"/>
    </w:pPr>
    <w:rPr>
      <w:sz w:val="20"/>
    </w:rPr>
  </w:style>
  <w:style w:type="character" w:customStyle="1" w:styleId="PieddepageCar">
    <w:name w:val="Pied de page Car"/>
    <w:basedOn w:val="Policepardfaut"/>
    <w:link w:val="Pieddepage"/>
    <w:uiPriority w:val="99"/>
    <w:rsid w:val="006469DC"/>
    <w:rPr>
      <w:sz w:val="24"/>
    </w:rPr>
  </w:style>
  <w:style w:type="character" w:styleId="Numrodepage">
    <w:name w:val="page number"/>
    <w:basedOn w:val="Policepardfaut"/>
    <w:rsid w:val="00573A46"/>
    <w:rPr>
      <w:rFonts w:cs="Times New Roman"/>
    </w:rPr>
  </w:style>
  <w:style w:type="paragraph" w:styleId="Notedebasdepage">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NotedebasdepageCar"/>
    <w:uiPriority w:val="99"/>
    <w:qFormat/>
    <w:rsid w:val="00116CCD"/>
    <w:pPr>
      <w:spacing w:after="120"/>
      <w:ind w:left="360" w:hanging="360"/>
    </w:pPr>
    <w:rPr>
      <w:sz w:val="20"/>
    </w:rPr>
  </w:style>
  <w:style w:type="character" w:customStyle="1" w:styleId="NotedebasdepageCar">
    <w:name w:val="Note de bas de page Car"/>
    <w:aliases w:val="Footnote Car,Footnote Text Char2 Char Car,Footnote Text Char Char1 Char1 Car,Footnote Text Char1 Char Char Char1 Car,Footnote Text Char Char Char Char Char Car,Footnote Text Char1 Char1 Char Car,single space Car,footnote text Car"/>
    <w:basedOn w:val="Policepardfaut"/>
    <w:link w:val="Notedebasdepage"/>
    <w:uiPriority w:val="99"/>
    <w:locked/>
    <w:rsid w:val="00116CCD"/>
  </w:style>
  <w:style w:type="paragraph" w:customStyle="1" w:styleId="Head21">
    <w:name w:val="Head 2.1"/>
    <w:basedOn w:val="Normal"/>
    <w:rsid w:val="00573A46"/>
    <w:pPr>
      <w:jc w:val="center"/>
    </w:pPr>
    <w:rPr>
      <w:b/>
      <w:sz w:val="28"/>
    </w:rPr>
  </w:style>
  <w:style w:type="paragraph" w:customStyle="1" w:styleId="Head22">
    <w:name w:val="Head 2.2"/>
    <w:basedOn w:val="Normal"/>
    <w:rsid w:val="00573A46"/>
    <w:pPr>
      <w:tabs>
        <w:tab w:val="left" w:pos="360"/>
      </w:tabs>
      <w:ind w:left="360" w:hanging="360"/>
      <w:jc w:val="left"/>
    </w:pPr>
    <w:rPr>
      <w:b/>
    </w:rPr>
  </w:style>
  <w:style w:type="paragraph" w:customStyle="1" w:styleId="Head32">
    <w:name w:val="Head 3.2"/>
    <w:basedOn w:val="Normal"/>
    <w:rsid w:val="00573A46"/>
    <w:pPr>
      <w:tabs>
        <w:tab w:val="left" w:pos="360"/>
      </w:tabs>
      <w:ind w:left="360" w:hanging="360"/>
      <w:jc w:val="left"/>
    </w:pPr>
    <w:rPr>
      <w:b/>
    </w:rPr>
  </w:style>
  <w:style w:type="paragraph" w:customStyle="1" w:styleId="Head31">
    <w:name w:val="Head 3.1"/>
    <w:basedOn w:val="Normal"/>
    <w:rsid w:val="00573A46"/>
    <w:pPr>
      <w:jc w:val="center"/>
    </w:pPr>
    <w:rPr>
      <w:b/>
      <w:sz w:val="28"/>
    </w:rPr>
  </w:style>
  <w:style w:type="paragraph" w:customStyle="1" w:styleId="Head81">
    <w:name w:val="Head 8.1"/>
    <w:basedOn w:val="Normal"/>
    <w:link w:val="Head81Char"/>
    <w:rsid w:val="00573A46"/>
    <w:pPr>
      <w:jc w:val="center"/>
    </w:pPr>
    <w:rPr>
      <w:b/>
      <w:sz w:val="28"/>
    </w:rPr>
  </w:style>
  <w:style w:type="character" w:customStyle="1" w:styleId="Head81Char">
    <w:name w:val="Head 8.1 Char"/>
    <w:basedOn w:val="Policepardfaut"/>
    <w:link w:val="Head81"/>
    <w:rsid w:val="00E33019"/>
    <w:rPr>
      <w:b/>
      <w:sz w:val="28"/>
    </w:rPr>
  </w:style>
  <w:style w:type="paragraph" w:customStyle="1" w:styleId="Head41">
    <w:name w:val="Head 4.1"/>
    <w:basedOn w:val="Normal"/>
    <w:rsid w:val="00573A46"/>
    <w:pPr>
      <w:jc w:val="center"/>
    </w:pPr>
    <w:rPr>
      <w:b/>
      <w:sz w:val="28"/>
    </w:rPr>
  </w:style>
  <w:style w:type="paragraph" w:customStyle="1" w:styleId="Head42">
    <w:name w:val="Head 4.2"/>
    <w:basedOn w:val="Normal"/>
    <w:rsid w:val="00573A46"/>
    <w:pPr>
      <w:tabs>
        <w:tab w:val="left" w:pos="360"/>
      </w:tabs>
      <w:ind w:left="360" w:hanging="360"/>
      <w:jc w:val="left"/>
    </w:pPr>
    <w:rPr>
      <w:b/>
    </w:rPr>
  </w:style>
  <w:style w:type="paragraph" w:customStyle="1" w:styleId="i">
    <w:name w:val="(i)"/>
    <w:basedOn w:val="Normal"/>
    <w:rsid w:val="00573A46"/>
    <w:rPr>
      <w:rFonts w:ascii="Tms Rmn" w:hAnsi="Tms Rmn"/>
      <w:lang w:val="en-US"/>
    </w:rPr>
  </w:style>
  <w:style w:type="paragraph" w:customStyle="1" w:styleId="explanatoryclause">
    <w:name w:val="explanatory_clause"/>
    <w:basedOn w:val="Normal"/>
    <w:rsid w:val="00573A46"/>
    <w:pPr>
      <w:spacing w:after="240"/>
      <w:ind w:left="738" w:right="-14" w:hanging="738"/>
      <w:jc w:val="left"/>
    </w:pPr>
    <w:rPr>
      <w:rFonts w:ascii="Arial" w:hAnsi="Arial"/>
      <w:sz w:val="22"/>
      <w:lang w:val="en-US"/>
    </w:rPr>
  </w:style>
  <w:style w:type="character" w:styleId="Lienhypertexte">
    <w:name w:val="Hyperlink"/>
    <w:basedOn w:val="Policepardfaut"/>
    <w:uiPriority w:val="99"/>
    <w:rsid w:val="00573A46"/>
    <w:rPr>
      <w:rFonts w:cs="Times New Roman"/>
      <w:color w:val="0000FF"/>
      <w:u w:val="single"/>
    </w:rPr>
  </w:style>
  <w:style w:type="paragraph" w:customStyle="1" w:styleId="Outline">
    <w:name w:val="Outline"/>
    <w:basedOn w:val="Normal"/>
    <w:rsid w:val="00573A46"/>
    <w:pPr>
      <w:spacing w:before="240"/>
      <w:jc w:val="left"/>
    </w:pPr>
    <w:rPr>
      <w:kern w:val="28"/>
    </w:rPr>
  </w:style>
  <w:style w:type="paragraph" w:styleId="Titre">
    <w:name w:val="Title"/>
    <w:basedOn w:val="Normal"/>
    <w:link w:val="TitreCar"/>
    <w:uiPriority w:val="10"/>
    <w:qFormat/>
    <w:rsid w:val="00573A46"/>
    <w:pPr>
      <w:jc w:val="center"/>
    </w:pPr>
    <w:rPr>
      <w:b/>
      <w:sz w:val="48"/>
      <w:lang w:val="es-ES_tradnl"/>
    </w:rPr>
  </w:style>
  <w:style w:type="character" w:customStyle="1" w:styleId="TitreCar">
    <w:name w:val="Titre Car"/>
    <w:basedOn w:val="Policepardfaut"/>
    <w:link w:val="Titre"/>
    <w:uiPriority w:val="10"/>
    <w:rsid w:val="006469DC"/>
    <w:rPr>
      <w:rFonts w:ascii="Cambria" w:eastAsia="Times New Roman" w:hAnsi="Cambria" w:cs="Times New Roman"/>
      <w:b/>
      <w:bCs/>
      <w:kern w:val="28"/>
      <w:sz w:val="32"/>
      <w:szCs w:val="32"/>
    </w:rPr>
  </w:style>
  <w:style w:type="paragraph" w:customStyle="1" w:styleId="Subtitle2">
    <w:name w:val="Subtitle 2"/>
    <w:basedOn w:val="Pieddepage"/>
    <w:rsid w:val="00573A46"/>
    <w:pPr>
      <w:spacing w:before="120"/>
      <w:jc w:val="center"/>
    </w:pPr>
    <w:rPr>
      <w:b/>
      <w:sz w:val="32"/>
    </w:rPr>
  </w:style>
  <w:style w:type="paragraph" w:styleId="Liste">
    <w:name w:val="List"/>
    <w:aliases w:val="1. List"/>
    <w:basedOn w:val="Normal"/>
    <w:rsid w:val="00573A46"/>
    <w:pPr>
      <w:spacing w:before="120" w:after="120"/>
      <w:ind w:left="1440"/>
    </w:pPr>
    <w:rPr>
      <w:lang w:val="en-US"/>
    </w:rPr>
  </w:style>
  <w:style w:type="paragraph" w:customStyle="1" w:styleId="Outline1">
    <w:name w:val="Outline1"/>
    <w:basedOn w:val="Outline"/>
    <w:next w:val="Outline2"/>
    <w:rsid w:val="00573A46"/>
    <w:pPr>
      <w:keepNext/>
      <w:tabs>
        <w:tab w:val="left" w:pos="432"/>
      </w:tabs>
      <w:ind w:left="432" w:hanging="432"/>
    </w:pPr>
  </w:style>
  <w:style w:type="paragraph" w:customStyle="1" w:styleId="Outline2">
    <w:name w:val="Outline2"/>
    <w:basedOn w:val="Normal"/>
    <w:rsid w:val="00573A46"/>
    <w:pPr>
      <w:tabs>
        <w:tab w:val="left" w:pos="864"/>
      </w:tabs>
      <w:spacing w:before="240"/>
      <w:ind w:left="864" w:hanging="504"/>
      <w:jc w:val="left"/>
    </w:pPr>
    <w:rPr>
      <w:kern w:val="28"/>
    </w:rPr>
  </w:style>
  <w:style w:type="paragraph" w:customStyle="1" w:styleId="Outline3">
    <w:name w:val="Outline3"/>
    <w:basedOn w:val="Normal"/>
    <w:rsid w:val="00573A46"/>
    <w:pPr>
      <w:tabs>
        <w:tab w:val="left" w:pos="1368"/>
      </w:tabs>
      <w:spacing w:before="240"/>
      <w:ind w:left="1368" w:hanging="504"/>
      <w:jc w:val="left"/>
    </w:pPr>
    <w:rPr>
      <w:kern w:val="28"/>
    </w:rPr>
  </w:style>
  <w:style w:type="paragraph" w:customStyle="1" w:styleId="Outline4">
    <w:name w:val="Outline4"/>
    <w:basedOn w:val="Normal"/>
    <w:rsid w:val="00573A46"/>
    <w:pPr>
      <w:tabs>
        <w:tab w:val="left" w:pos="1872"/>
      </w:tabs>
      <w:spacing w:before="240"/>
      <w:ind w:left="1872" w:hanging="504"/>
      <w:jc w:val="left"/>
    </w:pPr>
    <w:rPr>
      <w:kern w:val="28"/>
    </w:rPr>
  </w:style>
  <w:style w:type="paragraph" w:customStyle="1" w:styleId="outlinebullet">
    <w:name w:val="outlinebullet"/>
    <w:basedOn w:val="Normal"/>
    <w:rsid w:val="00573A46"/>
    <w:pPr>
      <w:tabs>
        <w:tab w:val="left" w:pos="1440"/>
      </w:tabs>
      <w:spacing w:before="120"/>
      <w:ind w:left="1440" w:hanging="450"/>
      <w:jc w:val="left"/>
    </w:pPr>
  </w:style>
  <w:style w:type="paragraph" w:customStyle="1" w:styleId="BodyText21">
    <w:name w:val="Body Text 21"/>
    <w:basedOn w:val="Normal"/>
    <w:link w:val="BodyText21Char"/>
    <w:rsid w:val="00573A46"/>
    <w:pPr>
      <w:spacing w:before="120" w:after="120"/>
      <w:jc w:val="center"/>
    </w:pPr>
    <w:rPr>
      <w:b/>
      <w:sz w:val="28"/>
      <w:lang w:val="es-ES_tradnl"/>
    </w:rPr>
  </w:style>
  <w:style w:type="character" w:customStyle="1" w:styleId="BodyText21Char">
    <w:name w:val="Body Text 21 Char"/>
    <w:basedOn w:val="Policepardfaut"/>
    <w:link w:val="BodyText21"/>
    <w:rsid w:val="00AD134E"/>
    <w:rPr>
      <w:b/>
      <w:sz w:val="28"/>
      <w:lang w:val="es-ES_tradnl"/>
    </w:rPr>
  </w:style>
  <w:style w:type="paragraph" w:customStyle="1" w:styleId="SectionVIIHeader2">
    <w:name w:val="Section VII Header2"/>
    <w:basedOn w:val="Titre1"/>
    <w:rsid w:val="00573A46"/>
    <w:pPr>
      <w:tabs>
        <w:tab w:val="left" w:pos="360"/>
      </w:tabs>
      <w:ind w:left="360" w:hanging="360"/>
      <w:outlineLvl w:val="9"/>
    </w:pPr>
    <w:rPr>
      <w:kern w:val="28"/>
      <w:sz w:val="32"/>
    </w:rPr>
  </w:style>
  <w:style w:type="paragraph" w:customStyle="1" w:styleId="2AutoList1">
    <w:name w:val="2AutoList1"/>
    <w:basedOn w:val="Normal"/>
    <w:rsid w:val="00573A46"/>
    <w:pPr>
      <w:tabs>
        <w:tab w:val="left" w:pos="504"/>
      </w:tabs>
      <w:ind w:left="504" w:hanging="504"/>
    </w:pPr>
    <w:rPr>
      <w:lang w:val="es-ES_tradnl"/>
    </w:rPr>
  </w:style>
  <w:style w:type="paragraph" w:customStyle="1" w:styleId="Header3-Paragraph">
    <w:name w:val="Header 3 - Paragraph"/>
    <w:basedOn w:val="Normal"/>
    <w:rsid w:val="00573A46"/>
    <w:pPr>
      <w:tabs>
        <w:tab w:val="left" w:pos="504"/>
      </w:tabs>
      <w:ind w:left="504" w:hanging="504"/>
    </w:pPr>
    <w:rPr>
      <w:lang w:val="en-US"/>
    </w:rPr>
  </w:style>
  <w:style w:type="paragraph" w:customStyle="1" w:styleId="P3Header1-Clauses">
    <w:name w:val="P3 Header1-Clauses"/>
    <w:basedOn w:val="Header1-Clauses"/>
    <w:rsid w:val="00573A46"/>
    <w:pPr>
      <w:tabs>
        <w:tab w:val="left" w:pos="864"/>
      </w:tabs>
      <w:ind w:left="864"/>
    </w:pPr>
  </w:style>
  <w:style w:type="paragraph" w:customStyle="1" w:styleId="Header1-Clauses">
    <w:name w:val="Header 1 - Clauses"/>
    <w:basedOn w:val="Normal"/>
    <w:link w:val="Header1-ClausesChar"/>
    <w:rsid w:val="004E0251"/>
    <w:pPr>
      <w:tabs>
        <w:tab w:val="left" w:pos="432"/>
      </w:tabs>
      <w:ind w:left="432" w:hanging="432"/>
      <w:jc w:val="left"/>
    </w:pPr>
    <w:rPr>
      <w:b/>
      <w:lang w:val="es-ES_tradnl"/>
    </w:rPr>
  </w:style>
  <w:style w:type="character" w:customStyle="1" w:styleId="Header1-ClausesChar">
    <w:name w:val="Header 1 - Clauses Char"/>
    <w:basedOn w:val="Policepardfaut"/>
    <w:link w:val="Header1-Clauses"/>
    <w:rsid w:val="00AD134E"/>
    <w:rPr>
      <w:b/>
      <w:sz w:val="24"/>
      <w:lang w:val="es-ES_tradnl"/>
    </w:rPr>
  </w:style>
  <w:style w:type="paragraph" w:customStyle="1" w:styleId="SectionXHeader3">
    <w:name w:val="Section X Header 3"/>
    <w:basedOn w:val="Titre1"/>
    <w:rsid w:val="00573A46"/>
    <w:pPr>
      <w:outlineLvl w:val="9"/>
    </w:pPr>
    <w:rPr>
      <w:sz w:val="40"/>
    </w:rPr>
  </w:style>
  <w:style w:type="paragraph" w:styleId="Sous-titre">
    <w:name w:val="Subtitle"/>
    <w:basedOn w:val="Normal"/>
    <w:link w:val="Sous-titreCar"/>
    <w:qFormat/>
    <w:rsid w:val="00573A46"/>
    <w:pPr>
      <w:jc w:val="center"/>
    </w:pPr>
    <w:rPr>
      <w:b/>
      <w:sz w:val="44"/>
      <w:lang w:val="es-ES_tradnl"/>
    </w:rPr>
  </w:style>
  <w:style w:type="character" w:customStyle="1" w:styleId="Sous-titreCar">
    <w:name w:val="Sous-titre Car"/>
    <w:basedOn w:val="Policepardfaut"/>
    <w:link w:val="Sous-titre"/>
    <w:rsid w:val="006469DC"/>
    <w:rPr>
      <w:rFonts w:ascii="Cambria" w:eastAsia="Times New Roman" w:hAnsi="Cambria" w:cs="Times New Roman"/>
      <w:sz w:val="24"/>
      <w:szCs w:val="24"/>
    </w:rPr>
  </w:style>
  <w:style w:type="paragraph" w:customStyle="1" w:styleId="Header2-SubClauses">
    <w:name w:val="Header 2 - SubClauses"/>
    <w:basedOn w:val="Normal"/>
    <w:rsid w:val="00573A46"/>
    <w:pPr>
      <w:tabs>
        <w:tab w:val="left" w:pos="619"/>
      </w:tabs>
    </w:pPr>
    <w:rPr>
      <w:lang w:val="es-ES_tradnl"/>
    </w:rPr>
  </w:style>
  <w:style w:type="paragraph" w:styleId="Retraitcorpsdetexte3">
    <w:name w:val="Body Text Indent 3"/>
    <w:basedOn w:val="Normal"/>
    <w:link w:val="Retraitcorpsdetexte3Car"/>
    <w:rsid w:val="00573A46"/>
    <w:pPr>
      <w:spacing w:before="240"/>
    </w:pPr>
    <w:rPr>
      <w:lang w:val="en-US"/>
    </w:rPr>
  </w:style>
  <w:style w:type="character" w:customStyle="1" w:styleId="Retraitcorpsdetexte3Car">
    <w:name w:val="Retrait corps de texte 3 Car"/>
    <w:basedOn w:val="Policepardfaut"/>
    <w:link w:val="Retraitcorpsdetexte3"/>
    <w:rsid w:val="006469DC"/>
    <w:rPr>
      <w:sz w:val="16"/>
      <w:szCs w:val="16"/>
    </w:rPr>
  </w:style>
  <w:style w:type="paragraph" w:styleId="Retraitcorpsdetexte2">
    <w:name w:val="Body Text Indent 2"/>
    <w:basedOn w:val="Normal"/>
    <w:link w:val="Retraitcorpsdetexte2Car"/>
    <w:rsid w:val="00573A46"/>
    <w:pPr>
      <w:ind w:left="360" w:firstLine="360"/>
    </w:pPr>
    <w:rPr>
      <w:lang w:val="es-ES_tradnl"/>
    </w:rPr>
  </w:style>
  <w:style w:type="character" w:customStyle="1" w:styleId="Retraitcorpsdetexte2Car">
    <w:name w:val="Retrait corps de texte 2 Car"/>
    <w:basedOn w:val="Policepardfaut"/>
    <w:link w:val="Retraitcorpsdetexte2"/>
    <w:rsid w:val="006469DC"/>
    <w:rPr>
      <w:sz w:val="24"/>
    </w:rPr>
  </w:style>
  <w:style w:type="paragraph" w:styleId="Corpsdetexte2">
    <w:name w:val="Body Text 2"/>
    <w:basedOn w:val="Normal"/>
    <w:link w:val="Corpsdetexte2Car"/>
    <w:rsid w:val="00573A46"/>
    <w:pPr>
      <w:ind w:left="720"/>
    </w:pPr>
    <w:rPr>
      <w:lang w:val="es-ES_tradnl"/>
    </w:rPr>
  </w:style>
  <w:style w:type="character" w:customStyle="1" w:styleId="Corpsdetexte2Car">
    <w:name w:val="Corps de texte 2 Car"/>
    <w:basedOn w:val="Policepardfaut"/>
    <w:link w:val="Corpsdetexte2"/>
    <w:rsid w:val="006469DC"/>
    <w:rPr>
      <w:sz w:val="24"/>
    </w:rPr>
  </w:style>
  <w:style w:type="paragraph" w:customStyle="1" w:styleId="SectionVHeader">
    <w:name w:val="Section V. Header"/>
    <w:basedOn w:val="Normal"/>
    <w:link w:val="SectionVHeaderChar"/>
    <w:rsid w:val="00573A46"/>
    <w:pPr>
      <w:jc w:val="center"/>
    </w:pPr>
    <w:rPr>
      <w:b/>
      <w:sz w:val="36"/>
      <w:lang w:val="es-ES_tradnl"/>
    </w:rPr>
  </w:style>
  <w:style w:type="character" w:customStyle="1" w:styleId="SectionVHeaderChar">
    <w:name w:val="Section V. Header Char"/>
    <w:basedOn w:val="Policepardfaut"/>
    <w:link w:val="SectionVHeader"/>
    <w:rsid w:val="00E33019"/>
    <w:rPr>
      <w:b/>
      <w:sz w:val="36"/>
      <w:lang w:val="es-ES_tradnl"/>
    </w:rPr>
  </w:style>
  <w:style w:type="paragraph" w:customStyle="1" w:styleId="BankNormal">
    <w:name w:val="BankNormal"/>
    <w:basedOn w:val="Normal"/>
    <w:rsid w:val="00573A46"/>
    <w:pPr>
      <w:spacing w:after="240"/>
      <w:jc w:val="left"/>
    </w:pPr>
    <w:rPr>
      <w:lang w:val="en-US"/>
    </w:rPr>
  </w:style>
  <w:style w:type="paragraph" w:styleId="Corpsdetexte">
    <w:name w:val="Body Text"/>
    <w:basedOn w:val="Normal"/>
    <w:link w:val="CorpsdetexteCar"/>
    <w:qFormat/>
    <w:rsid w:val="00573A46"/>
    <w:rPr>
      <w:lang w:val="es-ES_tradnl"/>
    </w:rPr>
  </w:style>
  <w:style w:type="character" w:customStyle="1" w:styleId="CorpsdetexteCar">
    <w:name w:val="Corps de texte Car"/>
    <w:basedOn w:val="Policepardfaut"/>
    <w:link w:val="Corpsdetexte"/>
    <w:rsid w:val="006469DC"/>
    <w:rPr>
      <w:sz w:val="24"/>
    </w:rPr>
  </w:style>
  <w:style w:type="paragraph" w:customStyle="1" w:styleId="TOCNumber1">
    <w:name w:val="TOC Number1"/>
    <w:basedOn w:val="Titre4"/>
    <w:rsid w:val="00573A46"/>
    <w:pPr>
      <w:numPr>
        <w:ilvl w:val="0"/>
        <w:numId w:val="0"/>
      </w:numPr>
      <w:tabs>
        <w:tab w:val="clear" w:pos="1512"/>
      </w:tabs>
      <w:spacing w:after="0"/>
      <w:jc w:val="left"/>
      <w:outlineLvl w:val="9"/>
    </w:pPr>
    <w:rPr>
      <w:b/>
      <w:lang w:val="fr-FR"/>
    </w:rPr>
  </w:style>
  <w:style w:type="paragraph" w:styleId="Corpsdetexte3">
    <w:name w:val="Body Text 3"/>
    <w:basedOn w:val="Normal"/>
    <w:link w:val="Corpsdetexte3Car"/>
    <w:rsid w:val="00573A46"/>
    <w:pPr>
      <w:jc w:val="center"/>
    </w:pPr>
    <w:rPr>
      <w:rFonts w:ascii="Times New Roman Bold" w:hAnsi="Times New Roman Bold"/>
      <w:spacing w:val="80"/>
      <w:sz w:val="40"/>
    </w:rPr>
  </w:style>
  <w:style w:type="character" w:customStyle="1" w:styleId="Corpsdetexte3Car">
    <w:name w:val="Corps de texte 3 Car"/>
    <w:basedOn w:val="Policepardfaut"/>
    <w:link w:val="Corpsdetexte3"/>
    <w:rsid w:val="006469DC"/>
    <w:rPr>
      <w:sz w:val="16"/>
      <w:szCs w:val="16"/>
    </w:rPr>
  </w:style>
  <w:style w:type="paragraph" w:styleId="Explorateurdedocuments">
    <w:name w:val="Document Map"/>
    <w:basedOn w:val="Normal"/>
    <w:link w:val="ExplorateurdedocumentsCar"/>
    <w:rsid w:val="00573A46"/>
    <w:pPr>
      <w:shd w:val="clear" w:color="auto" w:fill="000080"/>
      <w:jc w:val="left"/>
    </w:pPr>
    <w:rPr>
      <w:rFonts w:ascii="Tahoma" w:hAnsi="Tahoma"/>
    </w:rPr>
  </w:style>
  <w:style w:type="character" w:customStyle="1" w:styleId="ExplorateurdedocumentsCar">
    <w:name w:val="Explorateur de documents Car"/>
    <w:basedOn w:val="Policepardfaut"/>
    <w:link w:val="Explorateurdedocuments"/>
    <w:rsid w:val="006469DC"/>
    <w:rPr>
      <w:sz w:val="0"/>
      <w:szCs w:val="0"/>
    </w:rPr>
  </w:style>
  <w:style w:type="paragraph" w:customStyle="1" w:styleId="explanatorynotes">
    <w:name w:val="explanatory_notes"/>
    <w:basedOn w:val="Normal"/>
    <w:rsid w:val="00573A46"/>
    <w:pPr>
      <w:spacing w:after="120" w:line="360" w:lineRule="exact"/>
    </w:pPr>
    <w:rPr>
      <w:rFonts w:ascii="Arial" w:hAnsi="Arial"/>
      <w:sz w:val="22"/>
      <w:lang w:val="en-US"/>
    </w:rPr>
  </w:style>
  <w:style w:type="paragraph" w:customStyle="1" w:styleId="Sub-ClauseText">
    <w:name w:val="Sub-Clause Text"/>
    <w:basedOn w:val="Normal"/>
    <w:rsid w:val="00573A46"/>
    <w:pPr>
      <w:spacing w:before="120" w:after="120"/>
    </w:pPr>
    <w:rPr>
      <w:spacing w:val="-4"/>
      <w:lang w:val="en-US"/>
    </w:rPr>
  </w:style>
  <w:style w:type="paragraph" w:customStyle="1" w:styleId="SectionVIHeader">
    <w:name w:val="Section VI. Header"/>
    <w:basedOn w:val="SectionVHeader"/>
    <w:rsid w:val="00573A46"/>
    <w:rPr>
      <w:lang w:val="en-US"/>
    </w:rPr>
  </w:style>
  <w:style w:type="paragraph" w:styleId="Textedebulles">
    <w:name w:val="Balloon Text"/>
    <w:basedOn w:val="Normal"/>
    <w:link w:val="TextedebullesCar"/>
    <w:uiPriority w:val="99"/>
    <w:rsid w:val="00573A46"/>
    <w:pPr>
      <w:jc w:val="left"/>
    </w:pPr>
    <w:rPr>
      <w:rFonts w:ascii="Tahoma" w:hAnsi="Tahoma"/>
      <w:sz w:val="16"/>
    </w:rPr>
  </w:style>
  <w:style w:type="character" w:customStyle="1" w:styleId="TextedebullesCar">
    <w:name w:val="Texte de bulles Car"/>
    <w:basedOn w:val="Policepardfaut"/>
    <w:link w:val="Textedebulles"/>
    <w:uiPriority w:val="99"/>
    <w:rsid w:val="006469DC"/>
    <w:rPr>
      <w:sz w:val="0"/>
      <w:szCs w:val="0"/>
    </w:rPr>
  </w:style>
  <w:style w:type="character" w:customStyle="1" w:styleId="Table">
    <w:name w:val="Table"/>
    <w:basedOn w:val="Policepardfaut"/>
    <w:rsid w:val="00573A46"/>
    <w:rPr>
      <w:rFonts w:ascii="Arial" w:hAnsi="Arial" w:cs="Times New Roman"/>
      <w:sz w:val="20"/>
    </w:rPr>
  </w:style>
  <w:style w:type="paragraph" w:customStyle="1" w:styleId="Head2">
    <w:name w:val="Head 2"/>
    <w:basedOn w:val="Titre9"/>
    <w:rsid w:val="00573A46"/>
    <w:pPr>
      <w:keepNext/>
      <w:widowControl w:val="0"/>
      <w:numPr>
        <w:ilvl w:val="0"/>
        <w:numId w:val="0"/>
      </w:numPr>
      <w:tabs>
        <w:tab w:val="clear" w:pos="1584"/>
      </w:tabs>
      <w:suppressAutoHyphens/>
      <w:spacing w:before="0" w:after="0"/>
      <w:outlineLvl w:val="9"/>
    </w:pPr>
    <w:rPr>
      <w:rFonts w:ascii="Times New Roman Bold" w:hAnsi="Times New Roman Bold"/>
      <w:b w:val="0"/>
      <w:i w:val="0"/>
      <w:spacing w:val="-4"/>
      <w:sz w:val="32"/>
      <w:lang w:val="en-US"/>
    </w:rPr>
  </w:style>
  <w:style w:type="character" w:customStyle="1" w:styleId="Parahead">
    <w:name w:val="Para head"/>
    <w:basedOn w:val="Policepardfaut"/>
    <w:rsid w:val="00573A46"/>
    <w:rPr>
      <w:rFonts w:cs="Times New Roman"/>
      <w:sz w:val="20"/>
    </w:rPr>
  </w:style>
  <w:style w:type="paragraph" w:customStyle="1" w:styleId="sectionIIIheader">
    <w:name w:val="section III header"/>
    <w:basedOn w:val="Normal"/>
    <w:rsid w:val="00573A46"/>
    <w:pPr>
      <w:spacing w:before="240"/>
      <w:jc w:val="left"/>
    </w:pPr>
    <w:rPr>
      <w:rFonts w:ascii="Arial Black" w:hAnsi="Arial Black"/>
      <w:lang w:val="en-US"/>
    </w:rPr>
  </w:style>
  <w:style w:type="paragraph" w:customStyle="1" w:styleId="titulo">
    <w:name w:val="titulo"/>
    <w:basedOn w:val="Titre5"/>
    <w:rsid w:val="00573A46"/>
    <w:pPr>
      <w:spacing w:before="0" w:after="240"/>
      <w:outlineLvl w:val="9"/>
    </w:pPr>
    <w:rPr>
      <w:rFonts w:ascii="Times New Roman Bold" w:hAnsi="Times New Roman Bold"/>
      <w:sz w:val="24"/>
      <w:lang w:val="en-US"/>
    </w:rPr>
  </w:style>
  <w:style w:type="paragraph" w:customStyle="1" w:styleId="Part">
    <w:name w:val="Part"/>
    <w:basedOn w:val="Normal"/>
    <w:next w:val="Normal"/>
    <w:link w:val="PartChar"/>
    <w:rsid w:val="00D369AE"/>
    <w:pPr>
      <w:spacing w:before="1200"/>
      <w:jc w:val="center"/>
    </w:pPr>
    <w:rPr>
      <w:b/>
      <w:sz w:val="56"/>
    </w:rPr>
  </w:style>
  <w:style w:type="character" w:customStyle="1" w:styleId="PartChar">
    <w:name w:val="Part Char"/>
    <w:basedOn w:val="Policepardfaut"/>
    <w:link w:val="Part"/>
    <w:rsid w:val="00AD134E"/>
    <w:rPr>
      <w:b/>
      <w:sz w:val="56"/>
    </w:rPr>
  </w:style>
  <w:style w:type="paragraph" w:customStyle="1" w:styleId="StyleHeader1-ClausesLeft0Firstline0">
    <w:name w:val="Style Header 1 - Clauses + Left:  0&quot; First line:  0&quot;"/>
    <w:basedOn w:val="Header1-Clauses"/>
    <w:rsid w:val="004E0251"/>
    <w:rPr>
      <w:bCs/>
    </w:rPr>
  </w:style>
  <w:style w:type="paragraph" w:customStyle="1" w:styleId="SectionIVHeader">
    <w:name w:val="Section IV Header"/>
    <w:basedOn w:val="SectionVHeader"/>
    <w:link w:val="SectionIVHeaderChar"/>
    <w:rsid w:val="00246C13"/>
    <w:rPr>
      <w:lang w:val="fr-FR"/>
    </w:rPr>
  </w:style>
  <w:style w:type="character" w:customStyle="1" w:styleId="SectionIVHeaderChar">
    <w:name w:val="Section IV Header Char"/>
    <w:basedOn w:val="SectionVHeaderChar"/>
    <w:link w:val="SectionIVHeader"/>
    <w:rsid w:val="00E33019"/>
    <w:rPr>
      <w:b/>
      <w:sz w:val="36"/>
      <w:lang w:val="es-ES_tradnl"/>
    </w:rPr>
  </w:style>
  <w:style w:type="paragraph" w:customStyle="1" w:styleId="SectionIVHeader-2">
    <w:name w:val="Section IV Header - 2"/>
    <w:basedOn w:val="Head81"/>
    <w:link w:val="SectionIVHeader-2Char"/>
    <w:rsid w:val="00246C13"/>
  </w:style>
  <w:style w:type="character" w:customStyle="1" w:styleId="SectionIVHeader-2Char">
    <w:name w:val="Section IV Header - 2 Char"/>
    <w:basedOn w:val="Head81Char"/>
    <w:link w:val="SectionIVHeader-2"/>
    <w:rsid w:val="00E33019"/>
    <w:rPr>
      <w:b/>
      <w:sz w:val="28"/>
    </w:rPr>
  </w:style>
  <w:style w:type="paragraph" w:customStyle="1" w:styleId="StyleSectionIVHeader-2Centered">
    <w:name w:val="Style Section IV Header - 2 + Centered"/>
    <w:basedOn w:val="SectionIVHeader-2"/>
    <w:rsid w:val="00246C13"/>
    <w:rPr>
      <w:bCs/>
    </w:rPr>
  </w:style>
  <w:style w:type="table" w:styleId="Grilledutableau">
    <w:name w:val="Table Grid"/>
    <w:basedOn w:val="TableauNormal"/>
    <w:uiPriority w:val="39"/>
    <w:rsid w:val="00246C13"/>
    <w:pPr>
      <w:suppressAutoHyphens/>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IXHeading">
    <w:name w:val="Section IX Heading"/>
    <w:basedOn w:val="Head81"/>
    <w:rsid w:val="004F08AB"/>
    <w:pPr>
      <w:spacing w:before="240" w:after="240"/>
    </w:pPr>
    <w:rPr>
      <w:sz w:val="32"/>
    </w:rPr>
  </w:style>
  <w:style w:type="paragraph" w:customStyle="1" w:styleId="Section1Header1">
    <w:name w:val="Section 1 Header 1"/>
    <w:basedOn w:val="BodyText21"/>
    <w:link w:val="Section1Header1Char"/>
    <w:rsid w:val="000F0869"/>
    <w:rPr>
      <w:lang w:val="fr-FR"/>
    </w:rPr>
  </w:style>
  <w:style w:type="character" w:customStyle="1" w:styleId="Section1Header1Char">
    <w:name w:val="Section 1 Header 1 Char"/>
    <w:basedOn w:val="BodyText21Char"/>
    <w:link w:val="Section1Header1"/>
    <w:rsid w:val="00AD134E"/>
    <w:rPr>
      <w:b/>
      <w:sz w:val="28"/>
      <w:lang w:val="es-ES_tradnl"/>
    </w:rPr>
  </w:style>
  <w:style w:type="paragraph" w:styleId="Retraitcorpsdetexte">
    <w:name w:val="Body Text Indent"/>
    <w:basedOn w:val="Normal"/>
    <w:link w:val="RetraitcorpsdetexteCar"/>
    <w:rsid w:val="00663ED0"/>
    <w:pPr>
      <w:ind w:left="720"/>
    </w:pPr>
    <w:rPr>
      <w:lang w:val="es-ES_tradnl"/>
    </w:rPr>
  </w:style>
  <w:style w:type="character" w:customStyle="1" w:styleId="RetraitcorpsdetexteCar">
    <w:name w:val="Retrait corps de texte Car"/>
    <w:basedOn w:val="Policepardfaut"/>
    <w:link w:val="Retraitcorpsdetexte"/>
    <w:rsid w:val="006469DC"/>
    <w:rPr>
      <w:sz w:val="24"/>
    </w:rPr>
  </w:style>
  <w:style w:type="paragraph" w:styleId="NormalWeb">
    <w:name w:val="Normal (Web)"/>
    <w:basedOn w:val="Normal"/>
    <w:uiPriority w:val="99"/>
    <w:rsid w:val="00663ED0"/>
    <w:pPr>
      <w:spacing w:before="100" w:beforeAutospacing="1" w:after="100" w:afterAutospacing="1"/>
      <w:jc w:val="left"/>
    </w:pPr>
    <w:rPr>
      <w:szCs w:val="24"/>
    </w:rPr>
  </w:style>
  <w:style w:type="paragraph" w:customStyle="1" w:styleId="UG-Heading1">
    <w:name w:val="UG - Heading 1"/>
    <w:basedOn w:val="Titre1"/>
    <w:rsid w:val="00663ED0"/>
    <w:pPr>
      <w:keepNext/>
    </w:pPr>
    <w:rPr>
      <w:kern w:val="28"/>
    </w:rPr>
  </w:style>
  <w:style w:type="paragraph" w:customStyle="1" w:styleId="UG-Heading2">
    <w:name w:val="UG - Heading 2"/>
    <w:basedOn w:val="Titre2"/>
    <w:rsid w:val="00663ED0"/>
    <w:pPr>
      <w:tabs>
        <w:tab w:val="left" w:pos="619"/>
      </w:tabs>
    </w:pPr>
    <w:rPr>
      <w:rFonts w:ascii="Times New Roman Bold" w:hAnsi="Times New Roman Bold"/>
      <w:szCs w:val="28"/>
    </w:rPr>
  </w:style>
  <w:style w:type="paragraph" w:customStyle="1" w:styleId="UG-Header">
    <w:name w:val="UG - Header"/>
    <w:basedOn w:val="Normal"/>
    <w:rsid w:val="005520B0"/>
    <w:pPr>
      <w:jc w:val="center"/>
    </w:pPr>
    <w:rPr>
      <w:b/>
      <w:sz w:val="72"/>
    </w:rPr>
  </w:style>
  <w:style w:type="character" w:styleId="Marquedecommentaire">
    <w:name w:val="annotation reference"/>
    <w:basedOn w:val="Policepardfaut"/>
    <w:uiPriority w:val="99"/>
    <w:rsid w:val="008F33A4"/>
    <w:rPr>
      <w:rFonts w:cs="Times New Roman"/>
      <w:sz w:val="16"/>
      <w:szCs w:val="16"/>
    </w:rPr>
  </w:style>
  <w:style w:type="paragraph" w:styleId="Commentaire">
    <w:name w:val="annotation text"/>
    <w:basedOn w:val="Normal"/>
    <w:link w:val="CommentaireCar"/>
    <w:rsid w:val="008F33A4"/>
    <w:rPr>
      <w:sz w:val="20"/>
    </w:rPr>
  </w:style>
  <w:style w:type="character" w:customStyle="1" w:styleId="CommentaireCar">
    <w:name w:val="Commentaire Car"/>
    <w:basedOn w:val="Policepardfaut"/>
    <w:link w:val="Commentaire"/>
    <w:locked/>
    <w:rsid w:val="006E7180"/>
    <w:rPr>
      <w:rFonts w:cs="Times New Roman"/>
      <w:lang w:val="fr-FR" w:eastAsia="fr-FR"/>
    </w:rPr>
  </w:style>
  <w:style w:type="paragraph" w:styleId="Objetducommentaire">
    <w:name w:val="annotation subject"/>
    <w:basedOn w:val="Commentaire"/>
    <w:next w:val="Commentaire"/>
    <w:link w:val="ObjetducommentaireCar"/>
    <w:uiPriority w:val="99"/>
    <w:rsid w:val="008F33A4"/>
    <w:rPr>
      <w:b/>
      <w:bCs/>
    </w:rPr>
  </w:style>
  <w:style w:type="character" w:customStyle="1" w:styleId="ObjetducommentaireCar">
    <w:name w:val="Objet du commentaire Car"/>
    <w:basedOn w:val="CommentaireCar"/>
    <w:link w:val="Objetducommentaire"/>
    <w:uiPriority w:val="99"/>
    <w:rsid w:val="006469DC"/>
    <w:rPr>
      <w:rFonts w:cs="Times New Roman"/>
      <w:b/>
      <w:bCs/>
      <w:lang w:val="fr-FR" w:eastAsia="fr-FR"/>
    </w:rPr>
  </w:style>
  <w:style w:type="paragraph" w:styleId="Titreindex">
    <w:name w:val="index heading"/>
    <w:basedOn w:val="Normal"/>
    <w:next w:val="Index1"/>
    <w:uiPriority w:val="99"/>
    <w:semiHidden/>
    <w:rsid w:val="00447232"/>
    <w:pPr>
      <w:jc w:val="left"/>
    </w:pPr>
    <w:rPr>
      <w:sz w:val="20"/>
      <w:lang w:val="en-US" w:eastAsia="en-US"/>
    </w:rPr>
  </w:style>
  <w:style w:type="paragraph" w:customStyle="1" w:styleId="Technical4">
    <w:name w:val="Technical 4"/>
    <w:rsid w:val="00447232"/>
    <w:pPr>
      <w:tabs>
        <w:tab w:val="left" w:pos="-720"/>
      </w:tabs>
      <w:suppressAutoHyphens/>
    </w:pPr>
    <w:rPr>
      <w:rFonts w:ascii="Times" w:hAnsi="Times"/>
      <w:b/>
      <w:sz w:val="24"/>
      <w:lang w:val="en-US" w:eastAsia="en-US"/>
    </w:rPr>
  </w:style>
  <w:style w:type="paragraph" w:styleId="PrformatHTML">
    <w:name w:val="HTML Preformatted"/>
    <w:basedOn w:val="Normal"/>
    <w:link w:val="PrformatHTMLCar"/>
    <w:rsid w:val="00E72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val="en-US" w:eastAsia="en-US"/>
    </w:rPr>
  </w:style>
  <w:style w:type="character" w:customStyle="1" w:styleId="PrformatHTMLCar">
    <w:name w:val="Préformaté HTML Car"/>
    <w:basedOn w:val="Policepardfaut"/>
    <w:link w:val="PrformatHTML"/>
    <w:rsid w:val="006469DC"/>
    <w:rPr>
      <w:rFonts w:ascii="Courier New" w:hAnsi="Courier New" w:cs="Courier New"/>
    </w:rPr>
  </w:style>
  <w:style w:type="paragraph" w:customStyle="1" w:styleId="ClauseSubPara">
    <w:name w:val="ClauseSub_Para"/>
    <w:rsid w:val="00275FF8"/>
    <w:pPr>
      <w:spacing w:before="60" w:after="60"/>
      <w:ind w:left="2268"/>
    </w:pPr>
    <w:rPr>
      <w:sz w:val="22"/>
      <w:szCs w:val="22"/>
      <w:lang w:val="en-GB" w:eastAsia="en-US"/>
    </w:rPr>
  </w:style>
  <w:style w:type="paragraph" w:customStyle="1" w:styleId="SectionVHeading2">
    <w:name w:val="Section V. Heading 2"/>
    <w:basedOn w:val="SectionVHeader"/>
    <w:rsid w:val="00DF0496"/>
    <w:pPr>
      <w:spacing w:before="120"/>
    </w:pPr>
    <w:rPr>
      <w:sz w:val="28"/>
      <w:lang w:eastAsia="en-US"/>
    </w:rPr>
  </w:style>
  <w:style w:type="paragraph" w:customStyle="1" w:styleId="UGHeader1">
    <w:name w:val="UG Header 1"/>
    <w:basedOn w:val="Titre1"/>
    <w:next w:val="Normal"/>
    <w:rsid w:val="008268EA"/>
    <w:pPr>
      <w:spacing w:before="240" w:after="240"/>
    </w:pPr>
    <w:rPr>
      <w:rFonts w:ascii="Times New Roman Bold" w:hAnsi="Times New Roman Bold"/>
      <w:lang w:val="en-US" w:eastAsia="en-US"/>
    </w:rPr>
  </w:style>
  <w:style w:type="paragraph" w:customStyle="1" w:styleId="Rvision1">
    <w:name w:val="Révision1"/>
    <w:hidden/>
    <w:uiPriority w:val="99"/>
    <w:semiHidden/>
    <w:rsid w:val="00120CDA"/>
    <w:rPr>
      <w:sz w:val="24"/>
    </w:rPr>
  </w:style>
  <w:style w:type="paragraph" w:customStyle="1" w:styleId="En-ttedetabledesmatires1">
    <w:name w:val="En-tête de table des matières1"/>
    <w:basedOn w:val="Titre1"/>
    <w:next w:val="Normal"/>
    <w:uiPriority w:val="39"/>
    <w:semiHidden/>
    <w:unhideWhenUsed/>
    <w:qFormat/>
    <w:rsid w:val="00642596"/>
    <w:pPr>
      <w:keepNext/>
      <w:keepLines/>
      <w:spacing w:before="480" w:line="276" w:lineRule="auto"/>
      <w:jc w:val="left"/>
      <w:outlineLvl w:val="9"/>
    </w:pPr>
    <w:rPr>
      <w:rFonts w:ascii="Cambria" w:hAnsi="Cambria"/>
      <w:bCs/>
      <w:color w:val="365F91"/>
      <w:sz w:val="28"/>
      <w:szCs w:val="28"/>
      <w:lang w:val="en-US" w:eastAsia="en-US"/>
    </w:rPr>
  </w:style>
  <w:style w:type="paragraph" w:styleId="Paragraphedeliste">
    <w:name w:val="List Paragraph"/>
    <w:aliases w:val="Citation List,본문(내용),List Paragraph (numbered (a)),Colorful List - Accent 11,Bullets,Paragraphe  revu,Paragraphe de liste1,References,Bullet L1,Liste 1,List Paragraph1,Lapis Bulleted List,Tableau Adere,Numbered paragraph,RM1,l,Puces"/>
    <w:basedOn w:val="Normal"/>
    <w:link w:val="ParagraphedelisteCar"/>
    <w:uiPriority w:val="34"/>
    <w:qFormat/>
    <w:rsid w:val="00884AAA"/>
    <w:pPr>
      <w:ind w:left="720"/>
      <w:contextualSpacing/>
    </w:pPr>
  </w:style>
  <w:style w:type="character" w:customStyle="1" w:styleId="ParagraphedelisteCar">
    <w:name w:val="Paragraphe de liste Car"/>
    <w:aliases w:val="Citation List Car,본문(내용) Car,List Paragraph (numbered (a)) Car,Colorful List - Accent 11 Car,Bullets Car,Paragraphe  revu Car,Paragraphe de liste1 Car,References Car,Bullet L1 Car,Liste 1 Car,List Paragraph1 Car,Tableau Adere Car"/>
    <w:basedOn w:val="Policepardfaut"/>
    <w:link w:val="Paragraphedeliste"/>
    <w:uiPriority w:val="34"/>
    <w:qFormat/>
    <w:locked/>
    <w:rsid w:val="00302215"/>
    <w:rPr>
      <w:sz w:val="24"/>
    </w:rPr>
  </w:style>
  <w:style w:type="paragraph" w:styleId="Rvision">
    <w:name w:val="Revision"/>
    <w:hidden/>
    <w:uiPriority w:val="99"/>
    <w:semiHidden/>
    <w:rsid w:val="00432428"/>
    <w:rPr>
      <w:sz w:val="24"/>
    </w:rPr>
  </w:style>
  <w:style w:type="paragraph" w:styleId="Notedefin">
    <w:name w:val="endnote text"/>
    <w:basedOn w:val="Normal"/>
    <w:link w:val="NotedefinCar"/>
    <w:semiHidden/>
    <w:unhideWhenUsed/>
    <w:rsid w:val="00DB4EF5"/>
    <w:rPr>
      <w:sz w:val="20"/>
    </w:rPr>
  </w:style>
  <w:style w:type="character" w:customStyle="1" w:styleId="NotedefinCar">
    <w:name w:val="Note de fin Car"/>
    <w:basedOn w:val="Policepardfaut"/>
    <w:link w:val="Notedefin"/>
    <w:semiHidden/>
    <w:rsid w:val="00DB4EF5"/>
  </w:style>
  <w:style w:type="paragraph" w:customStyle="1" w:styleId="UG-Title">
    <w:name w:val="UG-Title"/>
    <w:basedOn w:val="Sous-titre"/>
    <w:qFormat/>
    <w:rsid w:val="00CC1A34"/>
  </w:style>
  <w:style w:type="paragraph" w:customStyle="1" w:styleId="UG-SectionIVHeader">
    <w:name w:val="UG-Section IV Header"/>
    <w:basedOn w:val="SectionIVHeader"/>
    <w:qFormat/>
    <w:rsid w:val="008F3578"/>
  </w:style>
  <w:style w:type="paragraph" w:customStyle="1" w:styleId="UG-SectionIVHeader-2">
    <w:name w:val="UG-Section IV Header - 2"/>
    <w:basedOn w:val="SectionIVHeader-2"/>
    <w:qFormat/>
    <w:rsid w:val="008F3578"/>
  </w:style>
  <w:style w:type="paragraph" w:customStyle="1" w:styleId="Style2">
    <w:name w:val="Style2"/>
    <w:basedOn w:val="Normal"/>
    <w:link w:val="Style2Char"/>
    <w:qFormat/>
    <w:rsid w:val="00A139F6"/>
    <w:pPr>
      <w:tabs>
        <w:tab w:val="left" w:pos="1962"/>
        <w:tab w:val="left" w:pos="2322"/>
      </w:tabs>
      <w:jc w:val="center"/>
    </w:pPr>
    <w:rPr>
      <w:b/>
      <w:sz w:val="36"/>
    </w:rPr>
  </w:style>
  <w:style w:type="character" w:customStyle="1" w:styleId="Style2Char">
    <w:name w:val="Style2 Char"/>
    <w:link w:val="Style2"/>
    <w:rsid w:val="00A139F6"/>
    <w:rPr>
      <w:b/>
      <w:sz w:val="36"/>
    </w:rPr>
  </w:style>
  <w:style w:type="character" w:customStyle="1" w:styleId="BodyTextIndentChar">
    <w:name w:val="Body Text Indent Char"/>
    <w:rsid w:val="004F75DC"/>
    <w:rPr>
      <w:sz w:val="24"/>
      <w:lang w:val="es-ES_tradnl"/>
    </w:rPr>
  </w:style>
  <w:style w:type="character" w:customStyle="1" w:styleId="FooterChar">
    <w:name w:val="Footer Char"/>
    <w:uiPriority w:val="99"/>
    <w:rsid w:val="004F75DC"/>
    <w:rPr>
      <w:sz w:val="24"/>
      <w:lang w:val="es-ES_tradnl"/>
    </w:rPr>
  </w:style>
  <w:style w:type="paragraph" w:customStyle="1" w:styleId="Style5">
    <w:name w:val="Style5"/>
    <w:basedOn w:val="SectionVHeader"/>
    <w:link w:val="Style5Char"/>
    <w:uiPriority w:val="99"/>
    <w:qFormat/>
    <w:rsid w:val="004F75DC"/>
    <w:rPr>
      <w:lang w:val="fr-FR"/>
    </w:rPr>
  </w:style>
  <w:style w:type="character" w:customStyle="1" w:styleId="Style5Char">
    <w:name w:val="Style5 Char"/>
    <w:basedOn w:val="Policepardfaut"/>
    <w:link w:val="Style5"/>
    <w:rsid w:val="004F75DC"/>
    <w:rPr>
      <w:b/>
      <w:sz w:val="36"/>
    </w:rPr>
  </w:style>
  <w:style w:type="character" w:customStyle="1" w:styleId="FootnoteTextChar1">
    <w:name w:val="Footnote Text Char1"/>
    <w:rsid w:val="004B1DB5"/>
    <w:rPr>
      <w:lang w:val="fr-FR" w:eastAsia="fr-FR" w:bidi="ar-SA"/>
    </w:rPr>
  </w:style>
  <w:style w:type="character" w:customStyle="1" w:styleId="HeaderChar">
    <w:name w:val="Header Char"/>
    <w:basedOn w:val="Policepardfaut"/>
    <w:uiPriority w:val="99"/>
    <w:rsid w:val="00AD1B8B"/>
    <w:rPr>
      <w:sz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Policepardfaut"/>
    <w:locked/>
    <w:rsid w:val="00AD1B8B"/>
    <w:rPr>
      <w:rFonts w:cs="Times New Roman"/>
      <w:lang w:val="fr-FR" w:eastAsia="fr-FR"/>
    </w:rPr>
  </w:style>
  <w:style w:type="paragraph" w:customStyle="1" w:styleId="Style1">
    <w:name w:val="Style1"/>
    <w:basedOn w:val="Part"/>
    <w:link w:val="Style1Char"/>
    <w:qFormat/>
    <w:rsid w:val="00AD134E"/>
  </w:style>
  <w:style w:type="character" w:customStyle="1" w:styleId="Style1Char">
    <w:name w:val="Style1 Char"/>
    <w:basedOn w:val="PartChar"/>
    <w:link w:val="Style1"/>
    <w:rsid w:val="00AD134E"/>
    <w:rPr>
      <w:b/>
      <w:sz w:val="56"/>
    </w:rPr>
  </w:style>
  <w:style w:type="paragraph" w:customStyle="1" w:styleId="Style3">
    <w:name w:val="Style3"/>
    <w:basedOn w:val="Sous-titre"/>
    <w:link w:val="Style3Char"/>
    <w:qFormat/>
    <w:rsid w:val="00AD134E"/>
    <w:rPr>
      <w:lang w:val="fr-FR"/>
    </w:rPr>
  </w:style>
  <w:style w:type="character" w:customStyle="1" w:styleId="Style3Char">
    <w:name w:val="Style3 Char"/>
    <w:basedOn w:val="Sous-titreCar"/>
    <w:link w:val="Style3"/>
    <w:rsid w:val="00AD134E"/>
    <w:rPr>
      <w:rFonts w:ascii="Cambria" w:eastAsia="Times New Roman" w:hAnsi="Cambria" w:cs="Times New Roman"/>
      <w:b/>
      <w:sz w:val="44"/>
      <w:szCs w:val="24"/>
    </w:rPr>
  </w:style>
  <w:style w:type="paragraph" w:customStyle="1" w:styleId="Style4">
    <w:name w:val="Style4"/>
    <w:basedOn w:val="Section1Header1"/>
    <w:link w:val="Style4Char"/>
    <w:qFormat/>
    <w:rsid w:val="00AD134E"/>
  </w:style>
  <w:style w:type="character" w:customStyle="1" w:styleId="Style4Char">
    <w:name w:val="Style4 Char"/>
    <w:basedOn w:val="Section1Header1Char"/>
    <w:link w:val="Style4"/>
    <w:rsid w:val="00AD134E"/>
    <w:rPr>
      <w:b/>
      <w:sz w:val="28"/>
      <w:lang w:val="es-ES_tradnl"/>
    </w:rPr>
  </w:style>
  <w:style w:type="paragraph" w:customStyle="1" w:styleId="Style6">
    <w:name w:val="Style6"/>
    <w:basedOn w:val="Header1-Clauses"/>
    <w:link w:val="Style6Char"/>
    <w:qFormat/>
    <w:rsid w:val="00AD134E"/>
    <w:rPr>
      <w:lang w:val="fr-FR"/>
    </w:rPr>
  </w:style>
  <w:style w:type="character" w:customStyle="1" w:styleId="Style6Char">
    <w:name w:val="Style6 Char"/>
    <w:basedOn w:val="Header1-ClausesChar"/>
    <w:link w:val="Style6"/>
    <w:rsid w:val="00AD134E"/>
    <w:rPr>
      <w:b/>
      <w:sz w:val="24"/>
      <w:lang w:val="es-ES_tradnl"/>
    </w:rPr>
  </w:style>
  <w:style w:type="paragraph" w:customStyle="1" w:styleId="Style7">
    <w:name w:val="Style7"/>
    <w:basedOn w:val="SectionIVHeader"/>
    <w:link w:val="Style7Char"/>
    <w:qFormat/>
    <w:rsid w:val="00E33019"/>
  </w:style>
  <w:style w:type="character" w:customStyle="1" w:styleId="Style7Char">
    <w:name w:val="Style7 Char"/>
    <w:basedOn w:val="SectionIVHeaderChar"/>
    <w:link w:val="Style7"/>
    <w:rsid w:val="00E33019"/>
    <w:rPr>
      <w:b/>
      <w:sz w:val="36"/>
      <w:lang w:val="es-ES_tradnl"/>
    </w:rPr>
  </w:style>
  <w:style w:type="paragraph" w:customStyle="1" w:styleId="Style8">
    <w:name w:val="Style8"/>
    <w:basedOn w:val="SectionIVHeader-2"/>
    <w:link w:val="Style8Char"/>
    <w:qFormat/>
    <w:rsid w:val="00E33019"/>
  </w:style>
  <w:style w:type="character" w:customStyle="1" w:styleId="Style8Char">
    <w:name w:val="Style8 Char"/>
    <w:basedOn w:val="SectionIVHeader-2Char"/>
    <w:link w:val="Style8"/>
    <w:rsid w:val="00E33019"/>
    <w:rPr>
      <w:b/>
      <w:sz w:val="28"/>
    </w:rPr>
  </w:style>
  <w:style w:type="paragraph" w:customStyle="1" w:styleId="FrenchHeading">
    <w:name w:val="French Heading"/>
    <w:basedOn w:val="Normal"/>
    <w:qFormat/>
    <w:rsid w:val="00323EA1"/>
    <w:pPr>
      <w:spacing w:before="240" w:after="240"/>
      <w:ind w:left="0" w:firstLine="0"/>
      <w:jc w:val="center"/>
    </w:pPr>
    <w:rPr>
      <w:b/>
      <w:sz w:val="48"/>
    </w:rPr>
  </w:style>
  <w:style w:type="paragraph" w:customStyle="1" w:styleId="plane">
    <w:name w:val="plane"/>
    <w:basedOn w:val="Normal"/>
    <w:rsid w:val="00CB7ECB"/>
    <w:pPr>
      <w:suppressAutoHyphens/>
      <w:spacing w:after="0"/>
      <w:ind w:left="0" w:firstLine="0"/>
    </w:pPr>
    <w:rPr>
      <w:rFonts w:ascii="Tms Rmn" w:hAnsi="Tms Rmn"/>
      <w:lang w:val="en-US" w:eastAsia="en-US"/>
    </w:rPr>
  </w:style>
  <w:style w:type="paragraph" w:customStyle="1" w:styleId="Style11">
    <w:name w:val="Style11"/>
    <w:basedOn w:val="Style7"/>
    <w:link w:val="Style11Char"/>
    <w:qFormat/>
    <w:rsid w:val="00DE5C38"/>
    <w:rPr>
      <w:lang w:val="es-ES_tradnl"/>
    </w:rPr>
  </w:style>
  <w:style w:type="character" w:customStyle="1" w:styleId="Style11Char">
    <w:name w:val="Style11 Char"/>
    <w:basedOn w:val="Style7Char"/>
    <w:link w:val="Style11"/>
    <w:rsid w:val="00DE5C38"/>
    <w:rPr>
      <w:b/>
      <w:sz w:val="36"/>
      <w:lang w:val="es-ES_tradnl"/>
    </w:rPr>
  </w:style>
  <w:style w:type="paragraph" w:styleId="Retraitnormal">
    <w:name w:val="Normal Indent"/>
    <w:basedOn w:val="Normal"/>
    <w:rsid w:val="00656F5B"/>
    <w:pPr>
      <w:spacing w:after="0"/>
      <w:ind w:left="708" w:firstLine="0"/>
    </w:pPr>
    <w:rPr>
      <w:lang w:val="en-US" w:eastAsia="en-US"/>
    </w:rPr>
  </w:style>
  <w:style w:type="paragraph" w:styleId="Date">
    <w:name w:val="Date"/>
    <w:basedOn w:val="Normal"/>
    <w:next w:val="Normal"/>
    <w:link w:val="DateCar"/>
    <w:uiPriority w:val="99"/>
    <w:semiHidden/>
    <w:unhideWhenUsed/>
    <w:rsid w:val="00C80AEE"/>
  </w:style>
  <w:style w:type="character" w:customStyle="1" w:styleId="DateCar">
    <w:name w:val="Date Car"/>
    <w:basedOn w:val="Policepardfaut"/>
    <w:link w:val="Date"/>
    <w:uiPriority w:val="99"/>
    <w:semiHidden/>
    <w:rsid w:val="00C80AEE"/>
    <w:rPr>
      <w:sz w:val="24"/>
    </w:rPr>
  </w:style>
  <w:style w:type="paragraph" w:styleId="Listepuces5">
    <w:name w:val="List Bullet 5"/>
    <w:basedOn w:val="Normal"/>
    <w:uiPriority w:val="99"/>
    <w:semiHidden/>
    <w:unhideWhenUsed/>
    <w:rsid w:val="00736F4E"/>
    <w:pPr>
      <w:numPr>
        <w:numId w:val="70"/>
      </w:numPr>
      <w:contextualSpacing/>
    </w:pPr>
  </w:style>
  <w:style w:type="paragraph" w:customStyle="1" w:styleId="StyleStyleS1-Header1TimesNewRoman14pt1">
    <w:name w:val="Style Style S1-Header1 + Times New Roman 14 pt +1"/>
    <w:basedOn w:val="Normal"/>
    <w:rsid w:val="005D6945"/>
    <w:pPr>
      <w:tabs>
        <w:tab w:val="num" w:pos="648"/>
      </w:tabs>
      <w:spacing w:before="240" w:after="240"/>
      <w:ind w:left="360" w:hanging="72"/>
      <w:jc w:val="center"/>
    </w:pPr>
    <w:rPr>
      <w:b/>
      <w:bCs/>
      <w:sz w:val="28"/>
      <w:szCs w:val="24"/>
      <w:lang w:val="en-US" w:eastAsia="en-US"/>
    </w:rPr>
  </w:style>
  <w:style w:type="paragraph" w:customStyle="1" w:styleId="S1-Header2">
    <w:name w:val="S1-Header2"/>
    <w:basedOn w:val="Normal"/>
    <w:rsid w:val="005D6945"/>
    <w:pPr>
      <w:numPr>
        <w:numId w:val="20"/>
      </w:numPr>
      <w:jc w:val="left"/>
    </w:pPr>
    <w:rPr>
      <w:b/>
      <w:szCs w:val="24"/>
      <w:lang w:val="en-US" w:eastAsia="en-US"/>
    </w:rPr>
  </w:style>
  <w:style w:type="paragraph" w:customStyle="1" w:styleId="S3-Header1">
    <w:name w:val="S3-Header 1"/>
    <w:basedOn w:val="Normal"/>
    <w:rsid w:val="00402284"/>
    <w:pPr>
      <w:spacing w:before="120"/>
      <w:ind w:left="1080" w:hanging="720"/>
    </w:pPr>
    <w:rPr>
      <w:b/>
      <w:bCs/>
      <w:noProof/>
      <w:sz w:val="28"/>
      <w:lang w:val="en-US" w:eastAsia="en-US"/>
    </w:rPr>
  </w:style>
  <w:style w:type="paragraph" w:customStyle="1" w:styleId="S3-Heading2">
    <w:name w:val="S3-Heading 2"/>
    <w:basedOn w:val="Normal"/>
    <w:rsid w:val="002F0AB1"/>
    <w:pPr>
      <w:ind w:left="1080" w:right="288" w:hanging="720"/>
    </w:pPr>
    <w:rPr>
      <w:b/>
      <w:bCs/>
      <w:szCs w:val="24"/>
      <w:lang w:val="en-US" w:eastAsia="en-US"/>
    </w:rPr>
  </w:style>
  <w:style w:type="paragraph" w:customStyle="1" w:styleId="Style110">
    <w:name w:val="Style 11"/>
    <w:basedOn w:val="Normal"/>
    <w:rsid w:val="00C062F6"/>
    <w:pPr>
      <w:widowControl w:val="0"/>
      <w:autoSpaceDE w:val="0"/>
      <w:autoSpaceDN w:val="0"/>
      <w:spacing w:after="0" w:line="384" w:lineRule="atLeast"/>
      <w:ind w:left="0" w:firstLine="0"/>
      <w:jc w:val="left"/>
    </w:pPr>
    <w:rPr>
      <w:szCs w:val="24"/>
      <w:lang w:val="en-US" w:eastAsia="en-US"/>
    </w:rPr>
  </w:style>
  <w:style w:type="paragraph" w:customStyle="1" w:styleId="RightPar4">
    <w:name w:val="Right Par[4]"/>
    <w:rsid w:val="00D45FC8"/>
    <w:pPr>
      <w:tabs>
        <w:tab w:val="left" w:pos="-720"/>
        <w:tab w:val="left" w:pos="0"/>
        <w:tab w:val="left" w:pos="720"/>
        <w:tab w:val="left" w:pos="1440"/>
        <w:tab w:val="left" w:pos="2160"/>
        <w:tab w:val="decimal" w:pos="2880"/>
      </w:tabs>
      <w:suppressAutoHyphens/>
      <w:overflowPunct w:val="0"/>
      <w:autoSpaceDE w:val="0"/>
      <w:autoSpaceDN w:val="0"/>
      <w:adjustRightInd w:val="0"/>
      <w:spacing w:after="0"/>
      <w:ind w:left="0" w:firstLine="2880"/>
      <w:jc w:val="left"/>
      <w:textAlignment w:val="baseline"/>
    </w:pPr>
    <w:rPr>
      <w:rFonts w:ascii="CG Times" w:hAnsi="CG Times"/>
      <w:b/>
      <w:i/>
      <w:sz w:val="24"/>
      <w:lang w:val="en-US" w:eastAsia="en-US"/>
    </w:rPr>
  </w:style>
  <w:style w:type="paragraph" w:customStyle="1" w:styleId="SecNoHe">
    <w:name w:val="Sec No. &amp; He"/>
    <w:rsid w:val="00E223D0"/>
    <w:pPr>
      <w:tabs>
        <w:tab w:val="left" w:pos="-720"/>
      </w:tabs>
      <w:suppressAutoHyphens/>
      <w:overflowPunct w:val="0"/>
      <w:autoSpaceDE w:val="0"/>
      <w:autoSpaceDN w:val="0"/>
      <w:adjustRightInd w:val="0"/>
      <w:spacing w:after="0"/>
      <w:ind w:left="0" w:firstLine="0"/>
      <w:jc w:val="left"/>
      <w:textAlignment w:val="baseline"/>
    </w:pPr>
    <w:rPr>
      <w:lang w:val="en-US" w:eastAsia="en-US"/>
    </w:rPr>
  </w:style>
  <w:style w:type="paragraph" w:customStyle="1" w:styleId="S4-header1">
    <w:name w:val="S4-header1"/>
    <w:basedOn w:val="Normal"/>
    <w:rsid w:val="004D5CFA"/>
    <w:pPr>
      <w:spacing w:before="120" w:after="240"/>
      <w:ind w:left="0" w:firstLine="0"/>
      <w:jc w:val="center"/>
    </w:pPr>
    <w:rPr>
      <w:b/>
      <w:sz w:val="36"/>
      <w:lang w:val="en-US" w:eastAsia="en-US"/>
    </w:rPr>
  </w:style>
  <w:style w:type="paragraph" w:customStyle="1" w:styleId="S4-Header2">
    <w:name w:val="S4-Header 2"/>
    <w:basedOn w:val="Normal"/>
    <w:rsid w:val="004D5CFA"/>
    <w:pPr>
      <w:spacing w:before="120" w:after="240"/>
      <w:ind w:left="0" w:firstLine="0"/>
      <w:jc w:val="center"/>
    </w:pPr>
    <w:rPr>
      <w:b/>
      <w:sz w:val="32"/>
      <w:szCs w:val="24"/>
      <w:lang w:val="en-US" w:eastAsia="en-US"/>
    </w:rPr>
  </w:style>
  <w:style w:type="paragraph" w:customStyle="1" w:styleId="StyleS1-Header1TimesNewRoman14pt">
    <w:name w:val="Style S1-Header1 + Times New Roman 14 pt"/>
    <w:basedOn w:val="Normal"/>
    <w:rsid w:val="002D0FA2"/>
    <w:pPr>
      <w:spacing w:before="240" w:after="240"/>
      <w:ind w:left="0" w:firstLine="0"/>
      <w:jc w:val="center"/>
    </w:pPr>
    <w:rPr>
      <w:b/>
      <w:bCs/>
      <w:sz w:val="28"/>
      <w:szCs w:val="24"/>
      <w:lang w:val="en-US" w:eastAsia="en-US"/>
    </w:rPr>
  </w:style>
  <w:style w:type="paragraph" w:customStyle="1" w:styleId="Header1">
    <w:name w:val="Header1"/>
    <w:basedOn w:val="Normal"/>
    <w:rsid w:val="009761DC"/>
    <w:pPr>
      <w:widowControl w:val="0"/>
      <w:autoSpaceDE w:val="0"/>
      <w:autoSpaceDN w:val="0"/>
      <w:spacing w:before="240" w:after="480"/>
      <w:ind w:left="0" w:firstLine="0"/>
      <w:jc w:val="center"/>
    </w:pPr>
    <w:rPr>
      <w:b/>
      <w:bCs/>
      <w:spacing w:val="4"/>
      <w:sz w:val="44"/>
      <w:szCs w:val="46"/>
      <w:lang w:val="en-US" w:eastAsia="en-US"/>
    </w:rPr>
  </w:style>
  <w:style w:type="paragraph" w:customStyle="1" w:styleId="S6-Header1">
    <w:name w:val="S6-Header 1"/>
    <w:basedOn w:val="Normal"/>
    <w:next w:val="Normal"/>
    <w:rsid w:val="00E938A9"/>
    <w:pPr>
      <w:spacing w:before="120" w:after="240"/>
      <w:ind w:left="0" w:firstLine="0"/>
      <w:jc w:val="center"/>
    </w:pPr>
    <w:rPr>
      <w:rFonts w:cs="Arial"/>
      <w:b/>
      <w:sz w:val="32"/>
      <w:szCs w:val="24"/>
      <w:lang w:val="en-US" w:eastAsia="en-US"/>
    </w:rPr>
  </w:style>
  <w:style w:type="paragraph" w:customStyle="1" w:styleId="Style50">
    <w:name w:val="Style 5"/>
    <w:basedOn w:val="Normal"/>
    <w:rsid w:val="00AD2A90"/>
    <w:pPr>
      <w:widowControl w:val="0"/>
      <w:autoSpaceDE w:val="0"/>
      <w:autoSpaceDN w:val="0"/>
      <w:spacing w:after="0" w:line="480" w:lineRule="exact"/>
      <w:ind w:left="0" w:firstLine="0"/>
      <w:jc w:val="center"/>
    </w:pPr>
    <w:rPr>
      <w:szCs w:val="24"/>
      <w:lang w:val="en-US" w:eastAsia="en-US"/>
    </w:rPr>
  </w:style>
  <w:style w:type="paragraph" w:customStyle="1" w:styleId="S9Header1">
    <w:name w:val="S9 Header 1"/>
    <w:basedOn w:val="Normal"/>
    <w:next w:val="Normal"/>
    <w:rsid w:val="0024062C"/>
    <w:pPr>
      <w:spacing w:before="120" w:after="240"/>
      <w:ind w:left="0" w:firstLine="0"/>
      <w:jc w:val="center"/>
    </w:pPr>
    <w:rPr>
      <w:b/>
      <w:sz w:val="36"/>
      <w:szCs w:val="24"/>
      <w:lang w:val="en-US" w:eastAsia="en-US"/>
    </w:rPr>
  </w:style>
  <w:style w:type="paragraph" w:styleId="Normalcentr">
    <w:name w:val="Block Text"/>
    <w:basedOn w:val="Normal"/>
    <w:rsid w:val="00716EC4"/>
    <w:pPr>
      <w:spacing w:after="0"/>
      <w:ind w:left="180" w:right="108" w:firstLine="0"/>
    </w:pPr>
    <w:rPr>
      <w:rFonts w:ascii="Comic Sans MS" w:hAnsi="Comic Sans MS" w:cs="Arial"/>
      <w:b/>
      <w:bCs/>
      <w:i/>
      <w:iCs/>
      <w:sz w:val="16"/>
      <w:szCs w:val="24"/>
      <w:lang w:val="en-US" w:eastAsia="en-US"/>
    </w:rPr>
  </w:style>
  <w:style w:type="paragraph" w:customStyle="1" w:styleId="Heading1a">
    <w:name w:val="Heading 1a"/>
    <w:rsid w:val="00934D61"/>
    <w:pPr>
      <w:keepNext/>
      <w:keepLines/>
      <w:tabs>
        <w:tab w:val="left" w:pos="-720"/>
      </w:tabs>
      <w:suppressAutoHyphens/>
      <w:spacing w:after="0"/>
      <w:ind w:left="0" w:firstLine="0"/>
      <w:jc w:val="center"/>
    </w:pPr>
    <w:rPr>
      <w:b/>
      <w:smallCaps/>
      <w:sz w:val="32"/>
      <w:lang w:val="en-US" w:eastAsia="en-US"/>
    </w:rPr>
  </w:style>
  <w:style w:type="paragraph" w:customStyle="1" w:styleId="TextBox">
    <w:name w:val="Text Box"/>
    <w:rsid w:val="005B032D"/>
    <w:pPr>
      <w:keepNext/>
      <w:keepLines/>
      <w:tabs>
        <w:tab w:val="left" w:pos="-720"/>
      </w:tabs>
      <w:suppressAutoHyphens/>
      <w:spacing w:after="0"/>
      <w:ind w:left="0" w:firstLine="0"/>
    </w:pPr>
    <w:rPr>
      <w:spacing w:val="-2"/>
      <w:sz w:val="22"/>
      <w:lang w:val="en-US" w:eastAsia="en-US"/>
    </w:rPr>
  </w:style>
  <w:style w:type="paragraph" w:customStyle="1" w:styleId="Style10">
    <w:name w:val="Style10"/>
    <w:basedOn w:val="Head41"/>
    <w:link w:val="Style10Char"/>
    <w:qFormat/>
    <w:rsid w:val="008867D9"/>
    <w:pPr>
      <w:spacing w:before="120" w:after="120"/>
    </w:pPr>
  </w:style>
  <w:style w:type="character" w:customStyle="1" w:styleId="Style10Char">
    <w:name w:val="Style10 Char"/>
    <w:basedOn w:val="Policepardfaut"/>
    <w:link w:val="Style10"/>
    <w:rsid w:val="008867D9"/>
    <w:rPr>
      <w:b/>
      <w:sz w:val="28"/>
    </w:rPr>
  </w:style>
  <w:style w:type="paragraph" w:customStyle="1" w:styleId="00SectionIVSubtitle">
    <w:name w:val="00_Section IV_Subtitle"/>
    <w:basedOn w:val="Normal"/>
    <w:qFormat/>
    <w:rsid w:val="0036021B"/>
    <w:pPr>
      <w:ind w:left="0" w:firstLine="0"/>
      <w:jc w:val="center"/>
    </w:pPr>
    <w:rPr>
      <w:b/>
      <w:sz w:val="32"/>
      <w:szCs w:val="24"/>
      <w:lang w:val="en-US" w:eastAsia="en-US"/>
    </w:rPr>
  </w:style>
  <w:style w:type="paragraph" w:customStyle="1" w:styleId="Style9">
    <w:name w:val="Style9"/>
    <w:basedOn w:val="SectionVIHeader"/>
    <w:link w:val="Style9Char"/>
    <w:qFormat/>
    <w:rsid w:val="00FB3DE5"/>
    <w:rPr>
      <w:lang w:val="fr-FR"/>
    </w:rPr>
  </w:style>
  <w:style w:type="character" w:customStyle="1" w:styleId="Style9Char">
    <w:name w:val="Style9 Char"/>
    <w:basedOn w:val="Policepardfaut"/>
    <w:link w:val="Style9"/>
    <w:rsid w:val="00FB3DE5"/>
    <w:rPr>
      <w:b/>
      <w:sz w:val="36"/>
    </w:rPr>
  </w:style>
  <w:style w:type="paragraph" w:customStyle="1" w:styleId="Enclosure">
    <w:name w:val="Enclosure"/>
    <w:basedOn w:val="Normal"/>
    <w:rsid w:val="00BF617C"/>
    <w:pPr>
      <w:spacing w:after="0"/>
      <w:ind w:left="0" w:firstLine="0"/>
      <w:jc w:val="left"/>
    </w:pPr>
    <w:rPr>
      <w:szCs w:val="24"/>
      <w:lang w:val="en-US" w:eastAsia="en-US"/>
    </w:rPr>
  </w:style>
  <w:style w:type="paragraph" w:customStyle="1" w:styleId="00SectionXTitle">
    <w:name w:val="00_Section X_Title"/>
    <w:basedOn w:val="Normal"/>
    <w:qFormat/>
    <w:rsid w:val="00BF617C"/>
    <w:pPr>
      <w:spacing w:before="240" w:after="0"/>
      <w:ind w:left="0" w:firstLine="0"/>
      <w:jc w:val="center"/>
    </w:pPr>
    <w:rPr>
      <w:b/>
      <w:noProof/>
      <w:sz w:val="36"/>
      <w:szCs w:val="32"/>
      <w:lang w:val="en-US" w:eastAsia="en-US"/>
    </w:rPr>
  </w:style>
  <w:style w:type="paragraph" w:styleId="Sansinterligne">
    <w:name w:val="No Spacing"/>
    <w:uiPriority w:val="1"/>
    <w:qFormat/>
    <w:rsid w:val="006A4718"/>
    <w:pPr>
      <w:spacing w:after="0"/>
    </w:pPr>
    <w:rPr>
      <w:sz w:val="24"/>
    </w:rPr>
  </w:style>
  <w:style w:type="paragraph" w:customStyle="1" w:styleId="xl65">
    <w:name w:val="xl65"/>
    <w:basedOn w:val="Normal"/>
    <w:rsid w:val="00F90A63"/>
    <w:pPr>
      <w:pBdr>
        <w:left w:val="single" w:sz="4" w:space="0" w:color="auto"/>
        <w:right w:val="single" w:sz="4" w:space="0" w:color="auto"/>
      </w:pBdr>
      <w:spacing w:before="100" w:beforeAutospacing="1" w:after="100" w:afterAutospacing="1"/>
      <w:ind w:left="0" w:firstLine="0"/>
      <w:jc w:val="left"/>
      <w:textAlignment w:val="top"/>
    </w:pPr>
    <w:rPr>
      <w:rFonts w:ascii="Arial" w:hAnsi="Arial" w:cs="Arial"/>
      <w:sz w:val="18"/>
      <w:szCs w:val="18"/>
    </w:rPr>
  </w:style>
  <w:style w:type="paragraph" w:customStyle="1" w:styleId="xl66">
    <w:name w:val="xl66"/>
    <w:basedOn w:val="Normal"/>
    <w:rsid w:val="00F90A63"/>
    <w:pPr>
      <w:pBdr>
        <w:left w:val="single" w:sz="4" w:space="0" w:color="auto"/>
        <w:right w:val="single" w:sz="4" w:space="0" w:color="auto"/>
      </w:pBdr>
      <w:spacing w:before="100" w:beforeAutospacing="1" w:after="100" w:afterAutospacing="1"/>
      <w:ind w:left="0" w:firstLine="0"/>
      <w:jc w:val="center"/>
      <w:textAlignment w:val="top"/>
    </w:pPr>
    <w:rPr>
      <w:rFonts w:ascii="Arial" w:hAnsi="Arial" w:cs="Arial"/>
      <w:sz w:val="18"/>
      <w:szCs w:val="18"/>
    </w:rPr>
  </w:style>
  <w:style w:type="paragraph" w:customStyle="1" w:styleId="xl67">
    <w:name w:val="xl67"/>
    <w:basedOn w:val="Normal"/>
    <w:rsid w:val="00F90A63"/>
    <w:pPr>
      <w:pBdr>
        <w:left w:val="single" w:sz="4" w:space="0" w:color="auto"/>
        <w:right w:val="single" w:sz="4" w:space="0" w:color="auto"/>
      </w:pBdr>
      <w:spacing w:before="100" w:beforeAutospacing="1" w:after="100" w:afterAutospacing="1"/>
      <w:ind w:left="0" w:firstLine="0"/>
      <w:jc w:val="center"/>
      <w:textAlignment w:val="top"/>
    </w:pPr>
    <w:rPr>
      <w:rFonts w:ascii="Arial" w:hAnsi="Arial" w:cs="Arial"/>
      <w:sz w:val="18"/>
      <w:szCs w:val="18"/>
    </w:rPr>
  </w:style>
  <w:style w:type="paragraph" w:customStyle="1" w:styleId="xl68">
    <w:name w:val="xl68"/>
    <w:basedOn w:val="Normal"/>
    <w:rsid w:val="00F90A63"/>
    <w:pPr>
      <w:pBdr>
        <w:left w:val="single" w:sz="4" w:space="0" w:color="auto"/>
        <w:right w:val="single" w:sz="4" w:space="0" w:color="auto"/>
      </w:pBdr>
      <w:spacing w:before="100" w:beforeAutospacing="1" w:after="100" w:afterAutospacing="1"/>
      <w:ind w:left="0" w:firstLine="0"/>
      <w:textAlignment w:val="top"/>
    </w:pPr>
    <w:rPr>
      <w:rFonts w:ascii="Arial" w:hAnsi="Arial" w:cs="Arial"/>
      <w:sz w:val="18"/>
      <w:szCs w:val="18"/>
    </w:rPr>
  </w:style>
  <w:style w:type="paragraph" w:customStyle="1" w:styleId="xl69">
    <w:name w:val="xl69"/>
    <w:basedOn w:val="Normal"/>
    <w:rsid w:val="00F90A63"/>
    <w:pPr>
      <w:pBdr>
        <w:left w:val="single" w:sz="4" w:space="0" w:color="auto"/>
        <w:right w:val="single" w:sz="4" w:space="0" w:color="auto"/>
      </w:pBdr>
      <w:spacing w:before="100" w:beforeAutospacing="1" w:after="100" w:afterAutospacing="1"/>
      <w:ind w:left="0" w:firstLine="0"/>
      <w:jc w:val="center"/>
      <w:textAlignment w:val="top"/>
    </w:pPr>
    <w:rPr>
      <w:rFonts w:ascii="Arial" w:hAnsi="Arial" w:cs="Arial"/>
      <w:sz w:val="18"/>
      <w:szCs w:val="18"/>
    </w:rPr>
  </w:style>
  <w:style w:type="paragraph" w:customStyle="1" w:styleId="xl70">
    <w:name w:val="xl70"/>
    <w:basedOn w:val="Normal"/>
    <w:rsid w:val="00F90A63"/>
    <w:pPr>
      <w:pBdr>
        <w:left w:val="single" w:sz="4" w:space="0" w:color="auto"/>
        <w:right w:val="single" w:sz="4" w:space="0" w:color="auto"/>
      </w:pBdr>
      <w:spacing w:before="100" w:beforeAutospacing="1" w:after="100" w:afterAutospacing="1"/>
      <w:ind w:left="0" w:firstLine="0"/>
      <w:jc w:val="center"/>
      <w:textAlignment w:val="top"/>
    </w:pPr>
    <w:rPr>
      <w:rFonts w:ascii="Arial" w:hAnsi="Arial" w:cs="Arial"/>
      <w:sz w:val="18"/>
      <w:szCs w:val="18"/>
    </w:rPr>
  </w:style>
  <w:style w:type="paragraph" w:customStyle="1" w:styleId="xl71">
    <w:name w:val="xl71"/>
    <w:basedOn w:val="Normal"/>
    <w:rsid w:val="00F90A63"/>
    <w:pPr>
      <w:pBdr>
        <w:top w:val="single" w:sz="4" w:space="0" w:color="auto"/>
        <w:left w:val="single" w:sz="4" w:space="0" w:color="auto"/>
        <w:right w:val="single" w:sz="4" w:space="0" w:color="auto"/>
      </w:pBdr>
      <w:spacing w:before="100" w:beforeAutospacing="1" w:after="100" w:afterAutospacing="1"/>
      <w:ind w:left="0" w:firstLine="0"/>
      <w:jc w:val="center"/>
      <w:textAlignment w:val="top"/>
    </w:pPr>
    <w:rPr>
      <w:rFonts w:ascii="Arial" w:hAnsi="Arial" w:cs="Arial"/>
      <w:sz w:val="18"/>
      <w:szCs w:val="18"/>
    </w:rPr>
  </w:style>
  <w:style w:type="paragraph" w:customStyle="1" w:styleId="xl72">
    <w:name w:val="xl72"/>
    <w:basedOn w:val="Normal"/>
    <w:rsid w:val="00F90A63"/>
    <w:pPr>
      <w:pBdr>
        <w:top w:val="single" w:sz="4" w:space="0" w:color="auto"/>
        <w:left w:val="single" w:sz="4" w:space="0" w:color="auto"/>
        <w:right w:val="single" w:sz="4" w:space="0" w:color="auto"/>
      </w:pBdr>
      <w:spacing w:before="100" w:beforeAutospacing="1" w:after="100" w:afterAutospacing="1"/>
      <w:ind w:left="0" w:firstLine="0"/>
      <w:jc w:val="center"/>
      <w:textAlignment w:val="top"/>
    </w:pPr>
    <w:rPr>
      <w:rFonts w:ascii="Arial" w:hAnsi="Arial" w:cs="Arial"/>
      <w:sz w:val="18"/>
      <w:szCs w:val="18"/>
    </w:rPr>
  </w:style>
  <w:style w:type="paragraph" w:customStyle="1" w:styleId="xl73">
    <w:name w:val="xl73"/>
    <w:basedOn w:val="Normal"/>
    <w:rsid w:val="00F90A63"/>
    <w:pPr>
      <w:pBdr>
        <w:left w:val="single" w:sz="4" w:space="0" w:color="auto"/>
        <w:bottom w:val="single" w:sz="4" w:space="0" w:color="auto"/>
        <w:right w:val="single" w:sz="4" w:space="0" w:color="auto"/>
      </w:pBdr>
      <w:spacing w:before="100" w:beforeAutospacing="1" w:after="100" w:afterAutospacing="1"/>
      <w:ind w:left="0" w:firstLine="0"/>
      <w:jc w:val="center"/>
      <w:textAlignment w:val="top"/>
    </w:pPr>
    <w:rPr>
      <w:rFonts w:ascii="Arial" w:hAnsi="Arial" w:cs="Arial"/>
      <w:sz w:val="18"/>
      <w:szCs w:val="18"/>
    </w:rPr>
  </w:style>
  <w:style w:type="paragraph" w:customStyle="1" w:styleId="xl74">
    <w:name w:val="xl74"/>
    <w:basedOn w:val="Normal"/>
    <w:rsid w:val="00F90A63"/>
    <w:pPr>
      <w:pBdr>
        <w:left w:val="single" w:sz="4" w:space="0" w:color="auto"/>
        <w:bottom w:val="single" w:sz="4" w:space="0" w:color="auto"/>
        <w:right w:val="single" w:sz="4" w:space="0" w:color="auto"/>
      </w:pBdr>
      <w:spacing w:before="100" w:beforeAutospacing="1" w:after="100" w:afterAutospacing="1"/>
      <w:ind w:left="0" w:firstLine="0"/>
      <w:jc w:val="center"/>
      <w:textAlignment w:val="top"/>
    </w:pPr>
    <w:rPr>
      <w:rFonts w:ascii="Arial" w:hAnsi="Arial" w:cs="Arial"/>
      <w:sz w:val="18"/>
      <w:szCs w:val="18"/>
    </w:rPr>
  </w:style>
  <w:style w:type="paragraph" w:customStyle="1" w:styleId="xl75">
    <w:name w:val="xl75"/>
    <w:basedOn w:val="Normal"/>
    <w:rsid w:val="00F90A63"/>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top"/>
    </w:pPr>
    <w:rPr>
      <w:rFonts w:ascii="Arial" w:hAnsi="Arial" w:cs="Arial"/>
      <w:b/>
      <w:bCs/>
      <w:sz w:val="18"/>
      <w:szCs w:val="18"/>
    </w:rPr>
  </w:style>
  <w:style w:type="paragraph" w:customStyle="1" w:styleId="xl76">
    <w:name w:val="xl76"/>
    <w:basedOn w:val="Normal"/>
    <w:rsid w:val="00F90A63"/>
    <w:pPr>
      <w:pBdr>
        <w:left w:val="single" w:sz="4" w:space="0" w:color="auto"/>
        <w:right w:val="single" w:sz="4" w:space="0" w:color="auto"/>
      </w:pBdr>
      <w:spacing w:before="100" w:beforeAutospacing="1" w:after="100" w:afterAutospacing="1"/>
      <w:ind w:left="0" w:firstLine="0"/>
      <w:textAlignment w:val="top"/>
    </w:pPr>
    <w:rPr>
      <w:rFonts w:ascii="Arial" w:hAnsi="Arial" w:cs="Arial"/>
      <w:sz w:val="18"/>
      <w:szCs w:val="18"/>
    </w:rPr>
  </w:style>
  <w:style w:type="paragraph" w:customStyle="1" w:styleId="xl77">
    <w:name w:val="xl77"/>
    <w:basedOn w:val="Normal"/>
    <w:rsid w:val="00F90A63"/>
    <w:pPr>
      <w:pBdr>
        <w:left w:val="single" w:sz="4" w:space="0" w:color="auto"/>
        <w:right w:val="single" w:sz="4" w:space="0" w:color="auto"/>
      </w:pBdr>
      <w:spacing w:before="100" w:beforeAutospacing="1" w:after="100" w:afterAutospacing="1"/>
      <w:ind w:left="0" w:firstLine="0"/>
      <w:jc w:val="left"/>
      <w:textAlignment w:val="top"/>
    </w:pPr>
    <w:rPr>
      <w:rFonts w:ascii="Arial" w:hAnsi="Arial" w:cs="Arial"/>
      <w:sz w:val="18"/>
      <w:szCs w:val="18"/>
    </w:rPr>
  </w:style>
  <w:style w:type="paragraph" w:customStyle="1" w:styleId="xl78">
    <w:name w:val="xl78"/>
    <w:basedOn w:val="Normal"/>
    <w:rsid w:val="00F90A63"/>
    <w:pPr>
      <w:pBdr>
        <w:top w:val="single" w:sz="4" w:space="0" w:color="auto"/>
        <w:left w:val="single" w:sz="4" w:space="0" w:color="auto"/>
        <w:right w:val="single" w:sz="4" w:space="0" w:color="auto"/>
      </w:pBdr>
      <w:spacing w:before="100" w:beforeAutospacing="1" w:after="100" w:afterAutospacing="1"/>
      <w:ind w:left="0" w:firstLine="0"/>
      <w:jc w:val="left"/>
      <w:textAlignment w:val="top"/>
    </w:pPr>
    <w:rPr>
      <w:rFonts w:ascii="Arial" w:hAnsi="Arial" w:cs="Arial"/>
      <w:b/>
      <w:bCs/>
      <w:sz w:val="18"/>
      <w:szCs w:val="18"/>
    </w:rPr>
  </w:style>
  <w:style w:type="paragraph" w:customStyle="1" w:styleId="xl79">
    <w:name w:val="xl79"/>
    <w:basedOn w:val="Normal"/>
    <w:rsid w:val="00F90A63"/>
    <w:pPr>
      <w:pBdr>
        <w:top w:val="single" w:sz="4" w:space="0" w:color="auto"/>
        <w:left w:val="single" w:sz="4" w:space="0" w:color="auto"/>
        <w:right w:val="single" w:sz="4" w:space="0" w:color="auto"/>
      </w:pBdr>
      <w:spacing w:before="100" w:beforeAutospacing="1" w:after="100" w:afterAutospacing="1"/>
      <w:ind w:left="0" w:firstLine="0"/>
      <w:jc w:val="left"/>
      <w:textAlignment w:val="top"/>
    </w:pPr>
    <w:rPr>
      <w:rFonts w:ascii="Arial" w:hAnsi="Arial" w:cs="Arial"/>
      <w:sz w:val="18"/>
      <w:szCs w:val="18"/>
    </w:rPr>
  </w:style>
  <w:style w:type="paragraph" w:customStyle="1" w:styleId="xl80">
    <w:name w:val="xl80"/>
    <w:basedOn w:val="Normal"/>
    <w:rsid w:val="00F90A63"/>
    <w:pPr>
      <w:pBdr>
        <w:left w:val="single" w:sz="4" w:space="0" w:color="auto"/>
        <w:right w:val="single" w:sz="4" w:space="0" w:color="auto"/>
      </w:pBdr>
      <w:spacing w:before="100" w:beforeAutospacing="1" w:after="100" w:afterAutospacing="1"/>
      <w:ind w:left="0" w:firstLine="0"/>
      <w:jc w:val="left"/>
      <w:textAlignment w:val="top"/>
    </w:pPr>
    <w:rPr>
      <w:rFonts w:ascii="Arial" w:hAnsi="Arial" w:cs="Arial"/>
      <w:b/>
      <w:bCs/>
      <w:sz w:val="18"/>
      <w:szCs w:val="18"/>
    </w:rPr>
  </w:style>
  <w:style w:type="paragraph" w:customStyle="1" w:styleId="xl81">
    <w:name w:val="xl81"/>
    <w:basedOn w:val="Normal"/>
    <w:rsid w:val="00F90A63"/>
    <w:pPr>
      <w:pBdr>
        <w:top w:val="single" w:sz="4" w:space="0" w:color="auto"/>
        <w:left w:val="single" w:sz="4" w:space="0" w:color="auto"/>
        <w:right w:val="single" w:sz="4" w:space="0" w:color="auto"/>
      </w:pBdr>
      <w:spacing w:before="100" w:beforeAutospacing="1" w:after="100" w:afterAutospacing="1"/>
      <w:ind w:left="0" w:firstLine="0"/>
      <w:jc w:val="left"/>
      <w:textAlignment w:val="top"/>
    </w:pPr>
    <w:rPr>
      <w:rFonts w:ascii="Arial" w:hAnsi="Arial" w:cs="Arial"/>
      <w:b/>
      <w:bCs/>
      <w:sz w:val="18"/>
      <w:szCs w:val="18"/>
    </w:rPr>
  </w:style>
  <w:style w:type="paragraph" w:customStyle="1" w:styleId="xl82">
    <w:name w:val="xl82"/>
    <w:basedOn w:val="Normal"/>
    <w:rsid w:val="00F90A63"/>
    <w:pPr>
      <w:pBdr>
        <w:top w:val="single" w:sz="4" w:space="0" w:color="auto"/>
        <w:left w:val="single" w:sz="4" w:space="0" w:color="auto"/>
        <w:right w:val="single" w:sz="4" w:space="0" w:color="auto"/>
      </w:pBdr>
      <w:spacing w:before="100" w:beforeAutospacing="1" w:after="100" w:afterAutospacing="1"/>
      <w:ind w:left="0" w:firstLine="0"/>
      <w:jc w:val="center"/>
      <w:textAlignment w:val="top"/>
    </w:pPr>
    <w:rPr>
      <w:rFonts w:ascii="Arial" w:hAnsi="Arial" w:cs="Arial"/>
      <w:b/>
      <w:bCs/>
      <w:sz w:val="18"/>
      <w:szCs w:val="18"/>
    </w:rPr>
  </w:style>
  <w:style w:type="paragraph" w:customStyle="1" w:styleId="xl83">
    <w:name w:val="xl83"/>
    <w:basedOn w:val="Normal"/>
    <w:rsid w:val="00F90A63"/>
    <w:pPr>
      <w:pBdr>
        <w:top w:val="single" w:sz="4" w:space="0" w:color="auto"/>
        <w:left w:val="single" w:sz="4" w:space="0" w:color="auto"/>
        <w:right w:val="single" w:sz="4" w:space="0" w:color="auto"/>
      </w:pBdr>
      <w:spacing w:before="100" w:beforeAutospacing="1" w:after="100" w:afterAutospacing="1"/>
      <w:ind w:left="0" w:firstLine="0"/>
      <w:textAlignment w:val="top"/>
    </w:pPr>
    <w:rPr>
      <w:rFonts w:ascii="Arial" w:hAnsi="Arial" w:cs="Arial"/>
      <w:b/>
      <w:bCs/>
      <w:sz w:val="18"/>
      <w:szCs w:val="18"/>
    </w:rPr>
  </w:style>
  <w:style w:type="paragraph" w:customStyle="1" w:styleId="xl84">
    <w:name w:val="xl84"/>
    <w:basedOn w:val="Normal"/>
    <w:rsid w:val="00F90A63"/>
    <w:pPr>
      <w:pBdr>
        <w:top w:val="single" w:sz="4" w:space="0" w:color="auto"/>
        <w:left w:val="single" w:sz="4" w:space="0" w:color="auto"/>
        <w:right w:val="single" w:sz="4" w:space="0" w:color="auto"/>
      </w:pBdr>
      <w:spacing w:before="100" w:beforeAutospacing="1" w:after="100" w:afterAutospacing="1"/>
      <w:ind w:left="0" w:firstLine="0"/>
      <w:jc w:val="center"/>
      <w:textAlignment w:val="top"/>
    </w:pPr>
    <w:rPr>
      <w:rFonts w:ascii="Arial" w:hAnsi="Arial" w:cs="Arial"/>
      <w:b/>
      <w:bCs/>
      <w:sz w:val="18"/>
      <w:szCs w:val="18"/>
    </w:rPr>
  </w:style>
  <w:style w:type="paragraph" w:customStyle="1" w:styleId="xl85">
    <w:name w:val="xl85"/>
    <w:basedOn w:val="Normal"/>
    <w:rsid w:val="00F90A63"/>
    <w:pPr>
      <w:pBdr>
        <w:left w:val="single" w:sz="4" w:space="0" w:color="auto"/>
        <w:right w:val="single" w:sz="4" w:space="0" w:color="auto"/>
      </w:pBdr>
      <w:spacing w:before="100" w:beforeAutospacing="1" w:after="100" w:afterAutospacing="1"/>
      <w:ind w:left="0" w:firstLine="0"/>
      <w:jc w:val="left"/>
      <w:textAlignment w:val="top"/>
    </w:pPr>
    <w:rPr>
      <w:rFonts w:ascii="Arial" w:hAnsi="Arial" w:cs="Arial"/>
      <w:sz w:val="18"/>
      <w:szCs w:val="18"/>
    </w:rPr>
  </w:style>
  <w:style w:type="paragraph" w:customStyle="1" w:styleId="xl86">
    <w:name w:val="xl86"/>
    <w:basedOn w:val="Normal"/>
    <w:rsid w:val="00F90A63"/>
    <w:pPr>
      <w:pBdr>
        <w:left w:val="single" w:sz="4" w:space="0" w:color="auto"/>
        <w:right w:val="single" w:sz="4" w:space="0" w:color="auto"/>
      </w:pBdr>
      <w:spacing w:before="100" w:beforeAutospacing="1" w:after="100" w:afterAutospacing="1"/>
      <w:ind w:left="0" w:firstLine="0"/>
      <w:jc w:val="left"/>
      <w:textAlignment w:val="top"/>
    </w:pPr>
    <w:rPr>
      <w:rFonts w:ascii="Arial" w:hAnsi="Arial" w:cs="Arial"/>
      <w:sz w:val="18"/>
      <w:szCs w:val="18"/>
    </w:rPr>
  </w:style>
  <w:style w:type="paragraph" w:customStyle="1" w:styleId="xl87">
    <w:name w:val="xl87"/>
    <w:basedOn w:val="Normal"/>
    <w:rsid w:val="00F90A63"/>
    <w:pPr>
      <w:pBdr>
        <w:top w:val="single" w:sz="4" w:space="0" w:color="auto"/>
        <w:left w:val="single" w:sz="4" w:space="0" w:color="auto"/>
        <w:right w:val="single" w:sz="4" w:space="0" w:color="auto"/>
      </w:pBdr>
      <w:spacing w:before="100" w:beforeAutospacing="1" w:after="100" w:afterAutospacing="1"/>
      <w:ind w:left="0" w:firstLine="0"/>
      <w:jc w:val="left"/>
      <w:textAlignment w:val="top"/>
    </w:pPr>
    <w:rPr>
      <w:rFonts w:ascii="Arial" w:hAnsi="Arial" w:cs="Arial"/>
      <w:sz w:val="18"/>
      <w:szCs w:val="18"/>
    </w:rPr>
  </w:style>
  <w:style w:type="paragraph" w:customStyle="1" w:styleId="xl88">
    <w:name w:val="xl88"/>
    <w:basedOn w:val="Normal"/>
    <w:rsid w:val="00F90A63"/>
    <w:pPr>
      <w:pBdr>
        <w:left w:val="single" w:sz="4" w:space="0" w:color="auto"/>
        <w:bottom w:val="single" w:sz="4" w:space="0" w:color="auto"/>
        <w:right w:val="single" w:sz="4" w:space="0" w:color="auto"/>
      </w:pBdr>
      <w:spacing w:before="100" w:beforeAutospacing="1" w:after="100" w:afterAutospacing="1"/>
      <w:ind w:left="0" w:firstLine="0"/>
      <w:jc w:val="left"/>
      <w:textAlignment w:val="top"/>
    </w:pPr>
    <w:rPr>
      <w:rFonts w:ascii="Arial" w:hAnsi="Arial" w:cs="Arial"/>
      <w:sz w:val="18"/>
      <w:szCs w:val="18"/>
    </w:rPr>
  </w:style>
  <w:style w:type="paragraph" w:customStyle="1" w:styleId="xl89">
    <w:name w:val="xl89"/>
    <w:basedOn w:val="Normal"/>
    <w:rsid w:val="00F90A63"/>
    <w:pPr>
      <w:pBdr>
        <w:left w:val="single" w:sz="4" w:space="0" w:color="auto"/>
        <w:bottom w:val="single" w:sz="4" w:space="0" w:color="auto"/>
        <w:right w:val="single" w:sz="4" w:space="0" w:color="auto"/>
      </w:pBdr>
      <w:spacing w:before="100" w:beforeAutospacing="1" w:after="100" w:afterAutospacing="1"/>
      <w:ind w:left="0" w:firstLine="0"/>
      <w:jc w:val="center"/>
      <w:textAlignment w:val="top"/>
    </w:pPr>
    <w:rPr>
      <w:rFonts w:ascii="Arial" w:hAnsi="Arial" w:cs="Arial"/>
      <w:sz w:val="18"/>
      <w:szCs w:val="18"/>
    </w:rPr>
  </w:style>
  <w:style w:type="paragraph" w:customStyle="1" w:styleId="xl90">
    <w:name w:val="xl90"/>
    <w:basedOn w:val="Normal"/>
    <w:rsid w:val="00F90A63"/>
    <w:pPr>
      <w:pBdr>
        <w:left w:val="single" w:sz="4" w:space="0" w:color="auto"/>
        <w:right w:val="single" w:sz="4" w:space="0" w:color="auto"/>
      </w:pBdr>
      <w:spacing w:before="100" w:beforeAutospacing="1" w:after="100" w:afterAutospacing="1"/>
      <w:ind w:left="0" w:firstLine="0"/>
      <w:jc w:val="left"/>
      <w:textAlignment w:val="top"/>
    </w:pPr>
    <w:rPr>
      <w:rFonts w:ascii="Arial" w:hAnsi="Arial" w:cs="Arial"/>
      <w:sz w:val="18"/>
      <w:szCs w:val="18"/>
    </w:rPr>
  </w:style>
  <w:style w:type="paragraph" w:customStyle="1" w:styleId="xl91">
    <w:name w:val="xl91"/>
    <w:basedOn w:val="Normal"/>
    <w:rsid w:val="00F90A63"/>
    <w:pPr>
      <w:pBdr>
        <w:left w:val="single" w:sz="4" w:space="0" w:color="auto"/>
        <w:right w:val="single" w:sz="4" w:space="0" w:color="auto"/>
      </w:pBdr>
      <w:spacing w:before="100" w:beforeAutospacing="1" w:after="100" w:afterAutospacing="1"/>
      <w:ind w:left="0" w:firstLine="0"/>
      <w:jc w:val="center"/>
      <w:textAlignment w:val="top"/>
    </w:pPr>
    <w:rPr>
      <w:rFonts w:ascii="Arial" w:hAnsi="Arial" w:cs="Arial"/>
      <w:b/>
      <w:bCs/>
      <w:sz w:val="18"/>
      <w:szCs w:val="18"/>
    </w:rPr>
  </w:style>
  <w:style w:type="paragraph" w:customStyle="1" w:styleId="xl92">
    <w:name w:val="xl92"/>
    <w:basedOn w:val="Normal"/>
    <w:rsid w:val="00F90A63"/>
    <w:pPr>
      <w:pBdr>
        <w:left w:val="single" w:sz="4" w:space="0" w:color="auto"/>
        <w:right w:val="single" w:sz="4" w:space="0" w:color="auto"/>
      </w:pBdr>
      <w:spacing w:before="100" w:beforeAutospacing="1" w:after="100" w:afterAutospacing="1"/>
      <w:ind w:left="0" w:firstLine="0"/>
      <w:jc w:val="left"/>
      <w:textAlignment w:val="top"/>
    </w:pPr>
    <w:rPr>
      <w:rFonts w:ascii="Arial" w:hAnsi="Arial" w:cs="Arial"/>
      <w:sz w:val="18"/>
      <w:szCs w:val="18"/>
    </w:rPr>
  </w:style>
  <w:style w:type="paragraph" w:customStyle="1" w:styleId="xl93">
    <w:name w:val="xl93"/>
    <w:basedOn w:val="Normal"/>
    <w:rsid w:val="00F90A63"/>
    <w:pPr>
      <w:spacing w:before="100" w:beforeAutospacing="1" w:after="100" w:afterAutospacing="1"/>
      <w:ind w:left="0" w:firstLine="0"/>
      <w:jc w:val="center"/>
      <w:textAlignment w:val="top"/>
    </w:pPr>
    <w:rPr>
      <w:rFonts w:ascii="Arial" w:hAnsi="Arial" w:cs="Arial"/>
      <w:b/>
      <w:bCs/>
      <w:sz w:val="18"/>
      <w:szCs w:val="18"/>
    </w:rPr>
  </w:style>
  <w:style w:type="paragraph" w:customStyle="1" w:styleId="xl94">
    <w:name w:val="xl94"/>
    <w:basedOn w:val="Normal"/>
    <w:rsid w:val="00F90A63"/>
    <w:pPr>
      <w:spacing w:before="100" w:beforeAutospacing="1" w:after="100" w:afterAutospacing="1"/>
      <w:ind w:left="0" w:firstLine="0"/>
      <w:jc w:val="left"/>
      <w:textAlignment w:val="top"/>
    </w:pPr>
    <w:rPr>
      <w:rFonts w:ascii="Arial" w:hAnsi="Arial" w:cs="Arial"/>
      <w:sz w:val="18"/>
      <w:szCs w:val="18"/>
    </w:rPr>
  </w:style>
  <w:style w:type="paragraph" w:customStyle="1" w:styleId="xl95">
    <w:name w:val="xl95"/>
    <w:basedOn w:val="Normal"/>
    <w:rsid w:val="00F90A63"/>
    <w:pPr>
      <w:spacing w:before="100" w:beforeAutospacing="1" w:after="100" w:afterAutospacing="1"/>
      <w:ind w:left="0" w:firstLine="0"/>
      <w:jc w:val="center"/>
      <w:textAlignment w:val="top"/>
    </w:pPr>
    <w:rPr>
      <w:rFonts w:ascii="Arial" w:hAnsi="Arial" w:cs="Arial"/>
      <w:sz w:val="18"/>
      <w:szCs w:val="18"/>
    </w:rPr>
  </w:style>
  <w:style w:type="paragraph" w:customStyle="1" w:styleId="xl96">
    <w:name w:val="xl96"/>
    <w:basedOn w:val="Normal"/>
    <w:rsid w:val="00F90A63"/>
    <w:pPr>
      <w:spacing w:before="100" w:beforeAutospacing="1" w:after="100" w:afterAutospacing="1"/>
      <w:ind w:left="0" w:firstLine="0"/>
      <w:jc w:val="center"/>
      <w:textAlignment w:val="top"/>
    </w:pPr>
    <w:rPr>
      <w:rFonts w:ascii="Arial" w:hAnsi="Arial" w:cs="Arial"/>
      <w:sz w:val="18"/>
      <w:szCs w:val="18"/>
    </w:rPr>
  </w:style>
  <w:style w:type="paragraph" w:customStyle="1" w:styleId="xl97">
    <w:name w:val="xl97"/>
    <w:basedOn w:val="Normal"/>
    <w:rsid w:val="00F90A63"/>
    <w:pPr>
      <w:spacing w:before="100" w:beforeAutospacing="1" w:after="100" w:afterAutospacing="1"/>
      <w:ind w:left="0" w:firstLine="0"/>
      <w:jc w:val="center"/>
      <w:textAlignment w:val="top"/>
    </w:pPr>
    <w:rPr>
      <w:rFonts w:ascii="Arial" w:hAnsi="Arial" w:cs="Arial"/>
      <w:b/>
      <w:bCs/>
      <w:szCs w:val="24"/>
    </w:rPr>
  </w:style>
  <w:style w:type="paragraph" w:customStyle="1" w:styleId="xl98">
    <w:name w:val="xl98"/>
    <w:basedOn w:val="Normal"/>
    <w:rsid w:val="00F90A63"/>
    <w:pPr>
      <w:spacing w:before="100" w:beforeAutospacing="1" w:after="100" w:afterAutospacing="1"/>
      <w:ind w:left="0" w:firstLine="0"/>
      <w:jc w:val="left"/>
      <w:textAlignment w:val="top"/>
    </w:pPr>
    <w:rPr>
      <w:rFonts w:ascii="Arial" w:hAnsi="Arial" w:cs="Arial"/>
      <w:szCs w:val="24"/>
    </w:rPr>
  </w:style>
  <w:style w:type="paragraph" w:customStyle="1" w:styleId="xl99">
    <w:name w:val="xl99"/>
    <w:basedOn w:val="Normal"/>
    <w:rsid w:val="00F90A63"/>
    <w:pPr>
      <w:spacing w:before="100" w:beforeAutospacing="1" w:after="100" w:afterAutospacing="1"/>
      <w:ind w:left="0" w:firstLine="0"/>
      <w:jc w:val="center"/>
      <w:textAlignment w:val="top"/>
    </w:pPr>
    <w:rPr>
      <w:rFonts w:ascii="Arial" w:hAnsi="Arial" w:cs="Arial"/>
      <w:b/>
      <w:bCs/>
      <w:sz w:val="18"/>
      <w:szCs w:val="18"/>
    </w:rPr>
  </w:style>
  <w:style w:type="paragraph" w:customStyle="1" w:styleId="xl100">
    <w:name w:val="xl100"/>
    <w:basedOn w:val="Normal"/>
    <w:rsid w:val="00F90A63"/>
    <w:pPr>
      <w:pBdr>
        <w:top w:val="single" w:sz="4" w:space="0" w:color="auto"/>
        <w:left w:val="single" w:sz="4" w:space="0" w:color="auto"/>
        <w:right w:val="single" w:sz="4" w:space="0" w:color="auto"/>
      </w:pBdr>
      <w:spacing w:before="100" w:beforeAutospacing="1" w:after="100" w:afterAutospacing="1"/>
      <w:ind w:left="0" w:firstLine="0"/>
      <w:jc w:val="center"/>
      <w:textAlignment w:val="top"/>
    </w:pPr>
    <w:rPr>
      <w:rFonts w:ascii="Arial" w:hAnsi="Arial" w:cs="Arial"/>
      <w:b/>
      <w:bCs/>
      <w:sz w:val="18"/>
      <w:szCs w:val="18"/>
    </w:rPr>
  </w:style>
  <w:style w:type="paragraph" w:customStyle="1" w:styleId="xl101">
    <w:name w:val="xl101"/>
    <w:basedOn w:val="Normal"/>
    <w:rsid w:val="00F90A63"/>
    <w:pPr>
      <w:pBdr>
        <w:top w:val="single" w:sz="4" w:space="0" w:color="auto"/>
        <w:left w:val="single" w:sz="4" w:space="0" w:color="auto"/>
        <w:right w:val="single" w:sz="4" w:space="0" w:color="auto"/>
      </w:pBdr>
      <w:spacing w:before="100" w:beforeAutospacing="1" w:after="100" w:afterAutospacing="1"/>
      <w:ind w:left="0" w:firstLine="0"/>
      <w:jc w:val="center"/>
      <w:textAlignment w:val="top"/>
    </w:pPr>
    <w:rPr>
      <w:rFonts w:ascii="Arial" w:hAnsi="Arial" w:cs="Arial"/>
      <w:b/>
      <w:bCs/>
      <w:sz w:val="18"/>
      <w:szCs w:val="18"/>
    </w:rPr>
  </w:style>
  <w:style w:type="paragraph" w:customStyle="1" w:styleId="xl102">
    <w:name w:val="xl102"/>
    <w:basedOn w:val="Normal"/>
    <w:rsid w:val="00F90A63"/>
    <w:pPr>
      <w:pBdr>
        <w:left w:val="single" w:sz="4" w:space="0" w:color="auto"/>
        <w:bottom w:val="single" w:sz="4" w:space="0" w:color="auto"/>
        <w:right w:val="single" w:sz="4" w:space="0" w:color="auto"/>
      </w:pBdr>
      <w:spacing w:before="100" w:beforeAutospacing="1" w:after="100" w:afterAutospacing="1"/>
      <w:ind w:left="0" w:firstLine="0"/>
      <w:jc w:val="center"/>
      <w:textAlignment w:val="top"/>
    </w:pPr>
    <w:rPr>
      <w:rFonts w:ascii="Arial" w:hAnsi="Arial" w:cs="Arial"/>
      <w:b/>
      <w:bCs/>
      <w:sz w:val="18"/>
      <w:szCs w:val="18"/>
    </w:rPr>
  </w:style>
  <w:style w:type="paragraph" w:customStyle="1" w:styleId="xl103">
    <w:name w:val="xl103"/>
    <w:basedOn w:val="Normal"/>
    <w:rsid w:val="00F90A63"/>
    <w:pPr>
      <w:pBdr>
        <w:left w:val="single" w:sz="4" w:space="0" w:color="auto"/>
        <w:bottom w:val="single" w:sz="4" w:space="0" w:color="auto"/>
        <w:right w:val="single" w:sz="4" w:space="0" w:color="auto"/>
      </w:pBdr>
      <w:spacing w:before="100" w:beforeAutospacing="1" w:after="100" w:afterAutospacing="1"/>
      <w:ind w:left="0" w:firstLine="0"/>
      <w:jc w:val="center"/>
      <w:textAlignment w:val="top"/>
    </w:pPr>
    <w:rPr>
      <w:rFonts w:ascii="Arial" w:hAnsi="Arial" w:cs="Arial"/>
      <w:sz w:val="18"/>
      <w:szCs w:val="18"/>
    </w:rPr>
  </w:style>
  <w:style w:type="paragraph" w:customStyle="1" w:styleId="xl104">
    <w:name w:val="xl104"/>
    <w:basedOn w:val="Normal"/>
    <w:rsid w:val="00F90A63"/>
    <w:pPr>
      <w:pBdr>
        <w:left w:val="single" w:sz="4" w:space="0" w:color="auto"/>
        <w:bottom w:val="single" w:sz="4" w:space="0" w:color="auto"/>
        <w:right w:val="single" w:sz="4" w:space="0" w:color="auto"/>
      </w:pBdr>
      <w:spacing w:before="100" w:beforeAutospacing="1" w:after="100" w:afterAutospacing="1"/>
      <w:ind w:left="0" w:firstLine="0"/>
      <w:jc w:val="center"/>
      <w:textAlignment w:val="top"/>
    </w:pPr>
    <w:rPr>
      <w:rFonts w:ascii="Arial" w:hAnsi="Arial" w:cs="Arial"/>
      <w:b/>
      <w:bCs/>
      <w:sz w:val="18"/>
      <w:szCs w:val="18"/>
    </w:rPr>
  </w:style>
  <w:style w:type="paragraph" w:customStyle="1" w:styleId="xl105">
    <w:name w:val="xl105"/>
    <w:basedOn w:val="Normal"/>
    <w:rsid w:val="00F90A63"/>
    <w:pPr>
      <w:pBdr>
        <w:left w:val="single" w:sz="4" w:space="0" w:color="auto"/>
        <w:right w:val="single" w:sz="4" w:space="0" w:color="auto"/>
      </w:pBdr>
      <w:spacing w:before="100" w:beforeAutospacing="1" w:after="100" w:afterAutospacing="1"/>
      <w:ind w:left="0" w:firstLine="0"/>
      <w:jc w:val="left"/>
      <w:textAlignment w:val="top"/>
    </w:pPr>
    <w:rPr>
      <w:rFonts w:ascii="Arial" w:hAnsi="Arial" w:cs="Arial"/>
      <w:b/>
      <w:bCs/>
      <w:sz w:val="18"/>
      <w:szCs w:val="18"/>
      <w:u w:val="single"/>
    </w:rPr>
  </w:style>
  <w:style w:type="paragraph" w:customStyle="1" w:styleId="xl106">
    <w:name w:val="xl106"/>
    <w:basedOn w:val="Normal"/>
    <w:rsid w:val="00F90A63"/>
    <w:pPr>
      <w:pBdr>
        <w:left w:val="single" w:sz="4" w:space="0" w:color="auto"/>
        <w:right w:val="single" w:sz="4" w:space="0" w:color="auto"/>
      </w:pBdr>
      <w:spacing w:before="100" w:beforeAutospacing="1" w:after="100" w:afterAutospacing="1"/>
      <w:ind w:left="0" w:firstLine="0"/>
      <w:jc w:val="center"/>
      <w:textAlignment w:val="top"/>
    </w:pPr>
    <w:rPr>
      <w:rFonts w:ascii="Arial" w:hAnsi="Arial" w:cs="Arial"/>
      <w:sz w:val="18"/>
      <w:szCs w:val="18"/>
    </w:rPr>
  </w:style>
  <w:style w:type="paragraph" w:customStyle="1" w:styleId="xl107">
    <w:name w:val="xl107"/>
    <w:basedOn w:val="Normal"/>
    <w:rsid w:val="00F90A63"/>
    <w:pPr>
      <w:pBdr>
        <w:left w:val="single" w:sz="4" w:space="0" w:color="auto"/>
        <w:right w:val="single" w:sz="4" w:space="0" w:color="auto"/>
      </w:pBdr>
      <w:spacing w:before="100" w:beforeAutospacing="1" w:after="100" w:afterAutospacing="1"/>
      <w:ind w:left="0" w:firstLine="0"/>
      <w:jc w:val="center"/>
      <w:textAlignment w:val="top"/>
    </w:pPr>
    <w:rPr>
      <w:rFonts w:ascii="Arial" w:hAnsi="Arial" w:cs="Arial"/>
      <w:b/>
      <w:bCs/>
      <w:sz w:val="18"/>
      <w:szCs w:val="18"/>
      <w:u w:val="single"/>
    </w:rPr>
  </w:style>
  <w:style w:type="paragraph" w:customStyle="1" w:styleId="xl108">
    <w:name w:val="xl108"/>
    <w:basedOn w:val="Normal"/>
    <w:rsid w:val="00F90A63"/>
    <w:pPr>
      <w:pBdr>
        <w:left w:val="single" w:sz="4" w:space="0" w:color="auto"/>
        <w:right w:val="single" w:sz="4" w:space="0" w:color="auto"/>
      </w:pBdr>
      <w:spacing w:before="100" w:beforeAutospacing="1" w:after="100" w:afterAutospacing="1"/>
      <w:ind w:left="0" w:firstLine="0"/>
      <w:textAlignment w:val="top"/>
    </w:pPr>
    <w:rPr>
      <w:rFonts w:ascii="Arial" w:hAnsi="Arial" w:cs="Arial"/>
      <w:sz w:val="18"/>
      <w:szCs w:val="18"/>
    </w:rPr>
  </w:style>
  <w:style w:type="paragraph" w:customStyle="1" w:styleId="xl109">
    <w:name w:val="xl109"/>
    <w:basedOn w:val="Normal"/>
    <w:rsid w:val="00F90A63"/>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left"/>
      <w:textAlignment w:val="top"/>
    </w:pPr>
    <w:rPr>
      <w:rFonts w:ascii="Arial" w:hAnsi="Arial" w:cs="Arial"/>
      <w:sz w:val="18"/>
      <w:szCs w:val="18"/>
    </w:rPr>
  </w:style>
  <w:style w:type="paragraph" w:customStyle="1" w:styleId="xl110">
    <w:name w:val="xl110"/>
    <w:basedOn w:val="Normal"/>
    <w:rsid w:val="00F90A63"/>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left"/>
      <w:textAlignment w:val="top"/>
    </w:pPr>
    <w:rPr>
      <w:rFonts w:ascii="Arial" w:hAnsi="Arial" w:cs="Arial"/>
      <w:sz w:val="18"/>
      <w:szCs w:val="18"/>
    </w:rPr>
  </w:style>
  <w:style w:type="paragraph" w:customStyle="1" w:styleId="xl111">
    <w:name w:val="xl111"/>
    <w:basedOn w:val="Normal"/>
    <w:rsid w:val="00F90A63"/>
    <w:pPr>
      <w:pBdr>
        <w:left w:val="single" w:sz="4" w:space="0" w:color="auto"/>
        <w:bottom w:val="single" w:sz="4" w:space="0" w:color="auto"/>
        <w:right w:val="single" w:sz="4" w:space="0" w:color="auto"/>
      </w:pBdr>
      <w:spacing w:before="100" w:beforeAutospacing="1" w:after="100" w:afterAutospacing="1"/>
      <w:ind w:left="0" w:firstLine="0"/>
      <w:jc w:val="left"/>
      <w:textAlignment w:val="top"/>
    </w:pPr>
    <w:rPr>
      <w:rFonts w:ascii="Arial" w:hAnsi="Arial" w:cs="Arial"/>
      <w:sz w:val="18"/>
      <w:szCs w:val="18"/>
    </w:rPr>
  </w:style>
  <w:style w:type="paragraph" w:customStyle="1" w:styleId="xl112">
    <w:name w:val="xl112"/>
    <w:basedOn w:val="Normal"/>
    <w:rsid w:val="00F90A63"/>
    <w:pPr>
      <w:spacing w:before="100" w:beforeAutospacing="1" w:after="100" w:afterAutospacing="1"/>
      <w:ind w:left="0" w:firstLine="0"/>
      <w:jc w:val="center"/>
      <w:textAlignment w:val="top"/>
    </w:pPr>
    <w:rPr>
      <w:rFonts w:ascii="Arial" w:hAnsi="Arial" w:cs="Arial"/>
      <w:b/>
      <w:bCs/>
      <w:szCs w:val="24"/>
    </w:rPr>
  </w:style>
  <w:style w:type="paragraph" w:customStyle="1" w:styleId="xl113">
    <w:name w:val="xl113"/>
    <w:basedOn w:val="Normal"/>
    <w:rsid w:val="00F90A63"/>
    <w:pPr>
      <w:spacing w:before="100" w:beforeAutospacing="1" w:after="100" w:afterAutospacing="1"/>
      <w:ind w:left="0" w:firstLine="0"/>
      <w:jc w:val="center"/>
      <w:textAlignment w:val="top"/>
    </w:pPr>
    <w:rPr>
      <w:rFonts w:ascii="Arial" w:hAnsi="Arial" w:cs="Arial"/>
      <w:sz w:val="18"/>
      <w:szCs w:val="18"/>
    </w:rPr>
  </w:style>
  <w:style w:type="paragraph" w:customStyle="1" w:styleId="xl114">
    <w:name w:val="xl114"/>
    <w:basedOn w:val="Normal"/>
    <w:rsid w:val="00F90A63"/>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top"/>
    </w:pPr>
    <w:rPr>
      <w:rFonts w:ascii="Arial" w:hAnsi="Arial" w:cs="Arial"/>
      <w:sz w:val="18"/>
      <w:szCs w:val="18"/>
    </w:rPr>
  </w:style>
  <w:style w:type="paragraph" w:customStyle="1" w:styleId="xl115">
    <w:name w:val="xl115"/>
    <w:basedOn w:val="Normal"/>
    <w:rsid w:val="00F90A63"/>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top"/>
    </w:pPr>
    <w:rPr>
      <w:rFonts w:ascii="Arial" w:hAnsi="Arial" w:cs="Arial"/>
      <w:b/>
      <w:bCs/>
      <w:sz w:val="18"/>
      <w:szCs w:val="18"/>
    </w:rPr>
  </w:style>
  <w:style w:type="paragraph" w:customStyle="1" w:styleId="xl116">
    <w:name w:val="xl116"/>
    <w:basedOn w:val="Normal"/>
    <w:rsid w:val="00F90A63"/>
    <w:pPr>
      <w:spacing w:before="100" w:beforeAutospacing="1" w:after="100" w:afterAutospacing="1"/>
      <w:ind w:left="0" w:firstLine="0"/>
      <w:jc w:val="center"/>
      <w:textAlignment w:val="top"/>
    </w:pPr>
    <w:rPr>
      <w:rFonts w:ascii="Arial" w:hAnsi="Arial" w:cs="Arial"/>
      <w:b/>
      <w:bCs/>
      <w:szCs w:val="24"/>
    </w:rPr>
  </w:style>
  <w:style w:type="paragraph" w:customStyle="1" w:styleId="xl117">
    <w:name w:val="xl117"/>
    <w:basedOn w:val="Normal"/>
    <w:rsid w:val="00F90A63"/>
    <w:pPr>
      <w:spacing w:before="100" w:beforeAutospacing="1" w:after="100" w:afterAutospacing="1"/>
      <w:ind w:left="0" w:firstLine="0"/>
      <w:jc w:val="left"/>
      <w:textAlignment w:val="top"/>
    </w:pPr>
    <w:rPr>
      <w:rFonts w:ascii="Arial" w:hAnsi="Arial" w:cs="Arial"/>
      <w:szCs w:val="24"/>
    </w:rPr>
  </w:style>
  <w:style w:type="paragraph" w:customStyle="1" w:styleId="xl118">
    <w:name w:val="xl118"/>
    <w:basedOn w:val="Normal"/>
    <w:rsid w:val="00F90A63"/>
    <w:pPr>
      <w:spacing w:before="100" w:beforeAutospacing="1" w:after="100" w:afterAutospacing="1"/>
      <w:ind w:left="0" w:firstLine="0"/>
      <w:jc w:val="center"/>
      <w:textAlignment w:val="top"/>
    </w:pPr>
    <w:rPr>
      <w:rFonts w:ascii="Arial" w:hAnsi="Arial" w:cs="Arial"/>
      <w:b/>
      <w:bCs/>
      <w:szCs w:val="24"/>
    </w:rPr>
  </w:style>
  <w:style w:type="paragraph" w:customStyle="1" w:styleId="xl119">
    <w:name w:val="xl119"/>
    <w:basedOn w:val="Normal"/>
    <w:rsid w:val="00F90A63"/>
    <w:pPr>
      <w:pBdr>
        <w:left w:val="single" w:sz="4" w:space="0" w:color="auto"/>
        <w:right w:val="single" w:sz="4" w:space="0" w:color="auto"/>
      </w:pBdr>
      <w:spacing w:before="100" w:beforeAutospacing="1" w:after="100" w:afterAutospacing="1"/>
      <w:ind w:left="0" w:firstLine="0"/>
      <w:jc w:val="center"/>
      <w:textAlignment w:val="top"/>
    </w:pPr>
    <w:rPr>
      <w:rFonts w:ascii="Arial" w:hAnsi="Arial" w:cs="Arial"/>
      <w:b/>
      <w:bCs/>
      <w:sz w:val="18"/>
      <w:szCs w:val="18"/>
    </w:rPr>
  </w:style>
  <w:style w:type="paragraph" w:customStyle="1" w:styleId="xl120">
    <w:name w:val="xl120"/>
    <w:basedOn w:val="Normal"/>
    <w:rsid w:val="00F90A63"/>
    <w:pPr>
      <w:spacing w:before="100" w:beforeAutospacing="1" w:after="100" w:afterAutospacing="1"/>
      <w:ind w:left="0" w:firstLine="0"/>
      <w:jc w:val="left"/>
      <w:textAlignment w:val="top"/>
    </w:pPr>
    <w:rPr>
      <w:rFonts w:ascii="Arial" w:hAnsi="Arial" w:cs="Arial"/>
      <w:b/>
      <w:bCs/>
      <w:sz w:val="18"/>
      <w:szCs w:val="18"/>
    </w:rPr>
  </w:style>
  <w:style w:type="paragraph" w:customStyle="1" w:styleId="xl121">
    <w:name w:val="xl121"/>
    <w:basedOn w:val="Normal"/>
    <w:rsid w:val="00F90A63"/>
    <w:pPr>
      <w:spacing w:before="100" w:beforeAutospacing="1" w:after="100" w:afterAutospacing="1"/>
      <w:ind w:left="0" w:firstLine="0"/>
      <w:jc w:val="center"/>
      <w:textAlignment w:val="top"/>
    </w:pPr>
    <w:rPr>
      <w:rFonts w:ascii="Arial" w:hAnsi="Arial" w:cs="Arial"/>
      <w:b/>
      <w:bCs/>
      <w:sz w:val="18"/>
      <w:szCs w:val="18"/>
    </w:rPr>
  </w:style>
  <w:style w:type="paragraph" w:customStyle="1" w:styleId="xl122">
    <w:name w:val="xl122"/>
    <w:basedOn w:val="Normal"/>
    <w:rsid w:val="00F90A63"/>
    <w:pPr>
      <w:spacing w:before="100" w:beforeAutospacing="1" w:after="100" w:afterAutospacing="1"/>
      <w:ind w:left="0" w:firstLine="0"/>
      <w:jc w:val="center"/>
      <w:textAlignment w:val="top"/>
    </w:pPr>
    <w:rPr>
      <w:rFonts w:ascii="Arial" w:hAnsi="Arial" w:cs="Arial"/>
      <w:b/>
      <w:bCs/>
      <w:sz w:val="18"/>
      <w:szCs w:val="18"/>
    </w:rPr>
  </w:style>
  <w:style w:type="paragraph" w:customStyle="1" w:styleId="xl123">
    <w:name w:val="xl123"/>
    <w:basedOn w:val="Normal"/>
    <w:rsid w:val="00F90A63"/>
    <w:pPr>
      <w:spacing w:before="100" w:beforeAutospacing="1" w:after="100" w:afterAutospacing="1"/>
      <w:ind w:left="0" w:firstLine="0"/>
      <w:jc w:val="left"/>
      <w:textAlignment w:val="top"/>
    </w:pPr>
    <w:rPr>
      <w:rFonts w:ascii="Arial" w:hAnsi="Arial" w:cs="Arial"/>
      <w:sz w:val="18"/>
      <w:szCs w:val="18"/>
    </w:rPr>
  </w:style>
  <w:style w:type="paragraph" w:customStyle="1" w:styleId="xl124">
    <w:name w:val="xl124"/>
    <w:basedOn w:val="Normal"/>
    <w:rsid w:val="00F90A63"/>
    <w:pPr>
      <w:spacing w:before="100" w:beforeAutospacing="1" w:after="100" w:afterAutospacing="1"/>
      <w:ind w:left="0" w:firstLine="0"/>
      <w:jc w:val="left"/>
      <w:textAlignment w:val="top"/>
    </w:pPr>
    <w:rPr>
      <w:rFonts w:ascii="Arial" w:hAnsi="Arial" w:cs="Arial"/>
      <w:sz w:val="18"/>
      <w:szCs w:val="18"/>
    </w:rPr>
  </w:style>
  <w:style w:type="paragraph" w:customStyle="1" w:styleId="xl125">
    <w:name w:val="xl125"/>
    <w:basedOn w:val="Normal"/>
    <w:rsid w:val="00F90A63"/>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top"/>
    </w:pPr>
    <w:rPr>
      <w:rFonts w:ascii="Arial" w:hAnsi="Arial" w:cs="Arial"/>
      <w:b/>
      <w:bCs/>
      <w:sz w:val="18"/>
      <w:szCs w:val="18"/>
    </w:rPr>
  </w:style>
  <w:style w:type="paragraph" w:customStyle="1" w:styleId="xl126">
    <w:name w:val="xl126"/>
    <w:basedOn w:val="Normal"/>
    <w:rsid w:val="00F90A63"/>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top"/>
    </w:pPr>
    <w:rPr>
      <w:rFonts w:ascii="Arial" w:hAnsi="Arial" w:cs="Arial"/>
      <w:b/>
      <w:bCs/>
      <w:sz w:val="18"/>
      <w:szCs w:val="18"/>
    </w:rPr>
  </w:style>
  <w:style w:type="paragraph" w:customStyle="1" w:styleId="xl127">
    <w:name w:val="xl127"/>
    <w:basedOn w:val="Normal"/>
    <w:rsid w:val="00F90A63"/>
    <w:pPr>
      <w:pBdr>
        <w:top w:val="single" w:sz="4" w:space="0" w:color="auto"/>
        <w:left w:val="single" w:sz="4" w:space="0" w:color="auto"/>
        <w:right w:val="single" w:sz="4" w:space="0" w:color="auto"/>
      </w:pBdr>
      <w:spacing w:before="100" w:beforeAutospacing="1" w:after="100" w:afterAutospacing="1"/>
      <w:ind w:left="0" w:firstLine="0"/>
      <w:jc w:val="left"/>
      <w:textAlignment w:val="top"/>
    </w:pPr>
    <w:rPr>
      <w:rFonts w:ascii="Arial" w:hAnsi="Arial" w:cs="Arial"/>
      <w:sz w:val="18"/>
      <w:szCs w:val="18"/>
    </w:rPr>
  </w:style>
  <w:style w:type="paragraph" w:customStyle="1" w:styleId="xl128">
    <w:name w:val="xl128"/>
    <w:basedOn w:val="Normal"/>
    <w:rsid w:val="00F90A63"/>
    <w:pPr>
      <w:pBdr>
        <w:top w:val="single" w:sz="4" w:space="0" w:color="auto"/>
        <w:left w:val="single" w:sz="4" w:space="0" w:color="auto"/>
        <w:right w:val="single" w:sz="4" w:space="0" w:color="auto"/>
      </w:pBdr>
      <w:spacing w:before="100" w:beforeAutospacing="1" w:after="100" w:afterAutospacing="1"/>
      <w:ind w:left="0" w:firstLine="0"/>
      <w:textAlignment w:val="top"/>
    </w:pPr>
    <w:rPr>
      <w:rFonts w:ascii="Arial" w:hAnsi="Arial" w:cs="Arial"/>
      <w:color w:val="000000"/>
      <w:sz w:val="18"/>
      <w:szCs w:val="18"/>
    </w:rPr>
  </w:style>
  <w:style w:type="paragraph" w:customStyle="1" w:styleId="xl129">
    <w:name w:val="xl129"/>
    <w:basedOn w:val="Normal"/>
    <w:rsid w:val="00F90A63"/>
    <w:pPr>
      <w:pBdr>
        <w:top w:val="single" w:sz="4" w:space="0" w:color="auto"/>
        <w:left w:val="single" w:sz="4" w:space="0" w:color="auto"/>
        <w:right w:val="single" w:sz="4" w:space="0" w:color="auto"/>
      </w:pBdr>
      <w:spacing w:before="100" w:beforeAutospacing="1" w:after="100" w:afterAutospacing="1"/>
      <w:ind w:left="0" w:firstLine="0"/>
      <w:jc w:val="center"/>
      <w:textAlignment w:val="top"/>
    </w:pPr>
    <w:rPr>
      <w:rFonts w:ascii="Arial" w:hAnsi="Arial" w:cs="Arial"/>
      <w:sz w:val="18"/>
      <w:szCs w:val="18"/>
    </w:rPr>
  </w:style>
  <w:style w:type="paragraph" w:customStyle="1" w:styleId="xl130">
    <w:name w:val="xl130"/>
    <w:basedOn w:val="Normal"/>
    <w:rsid w:val="00F90A63"/>
    <w:pPr>
      <w:pBdr>
        <w:left w:val="single" w:sz="4" w:space="0" w:color="auto"/>
        <w:right w:val="single" w:sz="4" w:space="0" w:color="auto"/>
      </w:pBdr>
      <w:spacing w:before="100" w:beforeAutospacing="1" w:after="100" w:afterAutospacing="1"/>
      <w:ind w:left="0" w:firstLine="0"/>
      <w:textAlignment w:val="top"/>
    </w:pPr>
    <w:rPr>
      <w:rFonts w:ascii="Arial" w:hAnsi="Arial" w:cs="Arial"/>
      <w:color w:val="000000"/>
      <w:sz w:val="18"/>
      <w:szCs w:val="18"/>
    </w:rPr>
  </w:style>
  <w:style w:type="paragraph" w:customStyle="1" w:styleId="xl131">
    <w:name w:val="xl131"/>
    <w:basedOn w:val="Normal"/>
    <w:rsid w:val="00F90A63"/>
    <w:pPr>
      <w:pBdr>
        <w:left w:val="single" w:sz="4" w:space="0" w:color="auto"/>
        <w:bottom w:val="single" w:sz="4" w:space="0" w:color="auto"/>
        <w:right w:val="single" w:sz="4" w:space="0" w:color="auto"/>
      </w:pBdr>
      <w:spacing w:before="100" w:beforeAutospacing="1" w:after="100" w:afterAutospacing="1"/>
      <w:ind w:left="0" w:firstLine="0"/>
      <w:textAlignment w:val="top"/>
    </w:pPr>
    <w:rPr>
      <w:rFonts w:ascii="Arial" w:hAnsi="Arial" w:cs="Arial"/>
      <w:color w:val="000000"/>
      <w:sz w:val="18"/>
      <w:szCs w:val="18"/>
    </w:rPr>
  </w:style>
  <w:style w:type="paragraph" w:customStyle="1" w:styleId="xl132">
    <w:name w:val="xl132"/>
    <w:basedOn w:val="Normal"/>
    <w:rsid w:val="00F90A63"/>
    <w:pPr>
      <w:pBdr>
        <w:left w:val="single" w:sz="4" w:space="0" w:color="auto"/>
        <w:right w:val="single" w:sz="4" w:space="0" w:color="auto"/>
      </w:pBdr>
      <w:shd w:val="clear" w:color="000000" w:fill="FFFFFF"/>
      <w:spacing w:before="100" w:beforeAutospacing="1" w:after="100" w:afterAutospacing="1"/>
      <w:ind w:left="0" w:firstLine="0"/>
      <w:jc w:val="center"/>
      <w:textAlignment w:val="top"/>
    </w:pPr>
    <w:rPr>
      <w:rFonts w:ascii="Arial" w:hAnsi="Arial" w:cs="Arial"/>
      <w:color w:val="FFFFFF"/>
      <w:sz w:val="18"/>
      <w:szCs w:val="18"/>
    </w:rPr>
  </w:style>
  <w:style w:type="paragraph" w:customStyle="1" w:styleId="xl133">
    <w:name w:val="xl133"/>
    <w:basedOn w:val="Normal"/>
    <w:rsid w:val="00F90A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top"/>
    </w:pPr>
    <w:rPr>
      <w:rFonts w:ascii="Arial" w:hAnsi="Arial" w:cs="Arial"/>
      <w:color w:val="FFFFFF"/>
      <w:sz w:val="18"/>
      <w:szCs w:val="18"/>
    </w:rPr>
  </w:style>
  <w:style w:type="paragraph" w:customStyle="1" w:styleId="xl134">
    <w:name w:val="xl134"/>
    <w:basedOn w:val="Normal"/>
    <w:rsid w:val="00F90A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top"/>
    </w:pPr>
    <w:rPr>
      <w:rFonts w:ascii="Arial" w:hAnsi="Arial" w:cs="Arial"/>
      <w:b/>
      <w:bCs/>
      <w:color w:val="FFFFFF"/>
      <w:sz w:val="18"/>
      <w:szCs w:val="18"/>
    </w:rPr>
  </w:style>
  <w:style w:type="paragraph" w:customStyle="1" w:styleId="xl135">
    <w:name w:val="xl135"/>
    <w:basedOn w:val="Normal"/>
    <w:rsid w:val="00F90A63"/>
    <w:pPr>
      <w:pBdr>
        <w:top w:val="single" w:sz="4" w:space="0" w:color="auto"/>
        <w:left w:val="single" w:sz="4" w:space="0" w:color="auto"/>
        <w:right w:val="single" w:sz="4" w:space="0" w:color="auto"/>
      </w:pBdr>
      <w:spacing w:before="100" w:beforeAutospacing="1" w:after="100" w:afterAutospacing="1"/>
      <w:ind w:left="0" w:firstLine="0"/>
      <w:jc w:val="center"/>
      <w:textAlignment w:val="top"/>
    </w:pPr>
    <w:rPr>
      <w:rFonts w:ascii="Arial" w:hAnsi="Arial" w:cs="Arial"/>
      <w:b/>
      <w:bCs/>
      <w:color w:val="FFFFFF"/>
      <w:sz w:val="18"/>
      <w:szCs w:val="18"/>
    </w:rPr>
  </w:style>
  <w:style w:type="paragraph" w:customStyle="1" w:styleId="xl136">
    <w:name w:val="xl136"/>
    <w:basedOn w:val="Normal"/>
    <w:rsid w:val="00F90A63"/>
    <w:pPr>
      <w:pBdr>
        <w:left w:val="single" w:sz="4" w:space="0" w:color="auto"/>
        <w:right w:val="single" w:sz="4" w:space="0" w:color="auto"/>
      </w:pBdr>
      <w:spacing w:before="100" w:beforeAutospacing="1" w:after="100" w:afterAutospacing="1"/>
      <w:ind w:left="0" w:firstLine="0"/>
      <w:jc w:val="center"/>
      <w:textAlignment w:val="top"/>
    </w:pPr>
    <w:rPr>
      <w:rFonts w:ascii="Arial" w:hAnsi="Arial" w:cs="Arial"/>
      <w:color w:val="FFFFFF"/>
      <w:sz w:val="18"/>
      <w:szCs w:val="18"/>
    </w:rPr>
  </w:style>
  <w:style w:type="paragraph" w:customStyle="1" w:styleId="xl137">
    <w:name w:val="xl137"/>
    <w:basedOn w:val="Normal"/>
    <w:rsid w:val="00F90A63"/>
    <w:pPr>
      <w:pBdr>
        <w:left w:val="single" w:sz="4" w:space="0" w:color="auto"/>
        <w:right w:val="single" w:sz="4" w:space="0" w:color="auto"/>
      </w:pBdr>
      <w:spacing w:before="100" w:beforeAutospacing="1" w:after="100" w:afterAutospacing="1"/>
      <w:ind w:left="0" w:firstLine="0"/>
      <w:jc w:val="center"/>
      <w:textAlignment w:val="top"/>
    </w:pPr>
    <w:rPr>
      <w:rFonts w:ascii="Arial" w:hAnsi="Arial" w:cs="Arial"/>
      <w:color w:val="FFFFFF"/>
      <w:sz w:val="18"/>
      <w:szCs w:val="18"/>
    </w:rPr>
  </w:style>
  <w:style w:type="paragraph" w:customStyle="1" w:styleId="xl138">
    <w:name w:val="xl138"/>
    <w:basedOn w:val="Normal"/>
    <w:rsid w:val="00F90A63"/>
    <w:pPr>
      <w:pBdr>
        <w:left w:val="single" w:sz="4" w:space="0" w:color="auto"/>
        <w:bottom w:val="single" w:sz="4" w:space="0" w:color="auto"/>
        <w:right w:val="single" w:sz="4" w:space="0" w:color="auto"/>
      </w:pBdr>
      <w:spacing w:before="100" w:beforeAutospacing="1" w:after="100" w:afterAutospacing="1"/>
      <w:ind w:left="0" w:firstLine="0"/>
      <w:jc w:val="center"/>
      <w:textAlignment w:val="top"/>
    </w:pPr>
    <w:rPr>
      <w:rFonts w:ascii="Arial" w:hAnsi="Arial" w:cs="Arial"/>
      <w:color w:val="FFFFFF"/>
      <w:sz w:val="18"/>
      <w:szCs w:val="18"/>
    </w:rPr>
  </w:style>
  <w:style w:type="paragraph" w:customStyle="1" w:styleId="xl139">
    <w:name w:val="xl139"/>
    <w:basedOn w:val="Normal"/>
    <w:rsid w:val="00F90A63"/>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top"/>
    </w:pPr>
    <w:rPr>
      <w:rFonts w:ascii="Arial" w:hAnsi="Arial" w:cs="Arial"/>
      <w:color w:val="FFFFFF"/>
      <w:sz w:val="18"/>
      <w:szCs w:val="18"/>
    </w:rPr>
  </w:style>
  <w:style w:type="paragraph" w:customStyle="1" w:styleId="xl140">
    <w:name w:val="xl140"/>
    <w:basedOn w:val="Normal"/>
    <w:rsid w:val="00F90A63"/>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top"/>
    </w:pPr>
    <w:rPr>
      <w:rFonts w:ascii="Arial" w:hAnsi="Arial" w:cs="Arial"/>
      <w:b/>
      <w:bCs/>
      <w:color w:val="FFFFFF"/>
      <w:sz w:val="18"/>
      <w:szCs w:val="18"/>
    </w:rPr>
  </w:style>
  <w:style w:type="paragraph" w:customStyle="1" w:styleId="xl141">
    <w:name w:val="xl141"/>
    <w:basedOn w:val="Normal"/>
    <w:rsid w:val="00F90A63"/>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top"/>
    </w:pPr>
    <w:rPr>
      <w:rFonts w:ascii="Arial" w:hAnsi="Arial" w:cs="Arial"/>
      <w:b/>
      <w:bCs/>
      <w:sz w:val="18"/>
      <w:szCs w:val="18"/>
    </w:rPr>
  </w:style>
  <w:style w:type="paragraph" w:customStyle="1" w:styleId="xl142">
    <w:name w:val="xl142"/>
    <w:basedOn w:val="Normal"/>
    <w:rsid w:val="00F90A63"/>
    <w:pPr>
      <w:pBdr>
        <w:top w:val="single" w:sz="4" w:space="0" w:color="auto"/>
        <w:left w:val="single" w:sz="4" w:space="0" w:color="auto"/>
        <w:right w:val="single" w:sz="4" w:space="0" w:color="auto"/>
      </w:pBdr>
      <w:spacing w:before="100" w:beforeAutospacing="1" w:after="100" w:afterAutospacing="1"/>
      <w:ind w:left="0" w:firstLine="0"/>
      <w:jc w:val="center"/>
      <w:textAlignment w:val="top"/>
    </w:pPr>
    <w:rPr>
      <w:rFonts w:ascii="Arial" w:hAnsi="Arial" w:cs="Arial"/>
      <w:sz w:val="18"/>
      <w:szCs w:val="18"/>
    </w:rPr>
  </w:style>
  <w:style w:type="paragraph" w:customStyle="1" w:styleId="xl143">
    <w:name w:val="xl143"/>
    <w:basedOn w:val="Normal"/>
    <w:rsid w:val="00F90A63"/>
    <w:pPr>
      <w:pBdr>
        <w:top w:val="single" w:sz="4" w:space="0" w:color="auto"/>
        <w:left w:val="single" w:sz="4" w:space="0" w:color="auto"/>
        <w:right w:val="single" w:sz="4" w:space="0" w:color="auto"/>
      </w:pBdr>
      <w:spacing w:before="100" w:beforeAutospacing="1" w:after="100" w:afterAutospacing="1"/>
      <w:ind w:left="0" w:firstLine="0"/>
      <w:textAlignment w:val="top"/>
    </w:pPr>
    <w:rPr>
      <w:rFonts w:ascii="Arial" w:hAnsi="Arial" w:cs="Arial"/>
      <w:sz w:val="18"/>
      <w:szCs w:val="18"/>
    </w:rPr>
  </w:style>
  <w:style w:type="paragraph" w:customStyle="1" w:styleId="xl144">
    <w:name w:val="xl144"/>
    <w:basedOn w:val="Normal"/>
    <w:rsid w:val="00F90A63"/>
    <w:pPr>
      <w:pBdr>
        <w:left w:val="single" w:sz="4" w:space="0" w:color="auto"/>
        <w:bottom w:val="single" w:sz="4" w:space="0" w:color="auto"/>
        <w:right w:val="single" w:sz="4" w:space="0" w:color="auto"/>
      </w:pBdr>
      <w:spacing w:before="100" w:beforeAutospacing="1" w:after="100" w:afterAutospacing="1"/>
      <w:ind w:left="0" w:firstLine="0"/>
      <w:jc w:val="center"/>
      <w:textAlignment w:val="top"/>
    </w:pPr>
    <w:rPr>
      <w:rFonts w:ascii="Arial" w:hAnsi="Arial" w:cs="Arial"/>
      <w:sz w:val="18"/>
      <w:szCs w:val="18"/>
    </w:rPr>
  </w:style>
  <w:style w:type="paragraph" w:customStyle="1" w:styleId="xl145">
    <w:name w:val="xl145"/>
    <w:basedOn w:val="Normal"/>
    <w:rsid w:val="00F90A63"/>
    <w:pPr>
      <w:pBdr>
        <w:top w:val="single" w:sz="4" w:space="0" w:color="auto"/>
        <w:left w:val="single" w:sz="4" w:space="0" w:color="auto"/>
        <w:right w:val="single" w:sz="4" w:space="0" w:color="auto"/>
      </w:pBdr>
      <w:spacing w:before="100" w:beforeAutospacing="1" w:after="100" w:afterAutospacing="1"/>
      <w:ind w:left="0" w:firstLine="0"/>
      <w:jc w:val="center"/>
      <w:textAlignment w:val="top"/>
    </w:pPr>
    <w:rPr>
      <w:rFonts w:ascii="Arial" w:hAnsi="Arial" w:cs="Arial"/>
      <w:b/>
      <w:bCs/>
      <w:sz w:val="18"/>
      <w:szCs w:val="18"/>
    </w:rPr>
  </w:style>
  <w:style w:type="paragraph" w:customStyle="1" w:styleId="PS">
    <w:name w:val="PS"/>
    <w:basedOn w:val="Normal"/>
    <w:autoRedefine/>
    <w:rsid w:val="00D426B5"/>
    <w:pPr>
      <w:spacing w:after="0"/>
      <w:ind w:left="57" w:firstLine="0"/>
    </w:pPr>
    <w:rPr>
      <w:rFonts w:asciiTheme="majorBidi" w:hAnsiTheme="majorBidi" w:cstheme="majorBidi"/>
      <w:b/>
      <w:szCs w:val="24"/>
    </w:rPr>
  </w:style>
  <w:style w:type="paragraph" w:customStyle="1" w:styleId="EA">
    <w:name w:val="EA"/>
    <w:basedOn w:val="Normal"/>
    <w:autoRedefine/>
    <w:rsid w:val="00D426B5"/>
    <w:pPr>
      <w:spacing w:after="0"/>
      <w:ind w:left="57" w:firstLine="0"/>
    </w:pPr>
    <w:rPr>
      <w:szCs w:val="24"/>
    </w:rPr>
  </w:style>
  <w:style w:type="paragraph" w:customStyle="1" w:styleId="EB">
    <w:name w:val="EB"/>
    <w:basedOn w:val="EA"/>
    <w:autoRedefine/>
    <w:rsid w:val="00F90A63"/>
  </w:style>
  <w:style w:type="paragraph" w:styleId="Textebrut">
    <w:name w:val="Plain Text"/>
    <w:basedOn w:val="Normal"/>
    <w:link w:val="TextebrutCar"/>
    <w:rsid w:val="00F90A63"/>
    <w:pPr>
      <w:suppressAutoHyphens/>
      <w:overflowPunct w:val="0"/>
      <w:autoSpaceDE w:val="0"/>
      <w:autoSpaceDN w:val="0"/>
      <w:adjustRightInd w:val="0"/>
      <w:spacing w:after="0"/>
      <w:ind w:left="0" w:firstLine="0"/>
      <w:textAlignment w:val="baseline"/>
    </w:pPr>
    <w:rPr>
      <w:rFonts w:ascii="Courier New" w:hAnsi="Courier New"/>
      <w:sz w:val="20"/>
      <w:lang w:val="en-US" w:eastAsia="en-US"/>
    </w:rPr>
  </w:style>
  <w:style w:type="character" w:customStyle="1" w:styleId="TextebrutCar">
    <w:name w:val="Texte brut Car"/>
    <w:basedOn w:val="Policepardfaut"/>
    <w:link w:val="Textebrut"/>
    <w:rsid w:val="00F90A63"/>
    <w:rPr>
      <w:rFonts w:ascii="Courier New" w:hAnsi="Courier New"/>
      <w:lang w:val="en-US" w:eastAsia="en-US"/>
    </w:rPr>
  </w:style>
  <w:style w:type="paragraph" w:customStyle="1" w:styleId="Normal10">
    <w:name w:val="Normal 10"/>
    <w:basedOn w:val="Normal"/>
    <w:rsid w:val="00F90A63"/>
    <w:pPr>
      <w:spacing w:after="0"/>
      <w:ind w:left="0" w:firstLine="0"/>
    </w:pPr>
    <w:rPr>
      <w:sz w:val="20"/>
    </w:rPr>
  </w:style>
  <w:style w:type="paragraph" w:customStyle="1" w:styleId="Normal1">
    <w:name w:val="Normal1"/>
    <w:basedOn w:val="Normal"/>
    <w:link w:val="normalCar"/>
    <w:rsid w:val="00F90A63"/>
    <w:pPr>
      <w:tabs>
        <w:tab w:val="left" w:pos="1134"/>
      </w:tabs>
      <w:spacing w:after="0"/>
      <w:ind w:left="0" w:firstLine="0"/>
    </w:pPr>
    <w:rPr>
      <w:sz w:val="23"/>
      <w:lang w:val="x-none" w:eastAsia="en-US"/>
    </w:rPr>
  </w:style>
  <w:style w:type="character" w:customStyle="1" w:styleId="normalCar">
    <w:name w:val="normal Car"/>
    <w:link w:val="Normal1"/>
    <w:rsid w:val="00F90A63"/>
    <w:rPr>
      <w:sz w:val="23"/>
      <w:lang w:val="x-none" w:eastAsia="en-US"/>
    </w:rPr>
  </w:style>
  <w:style w:type="paragraph" w:customStyle="1" w:styleId="ps0">
    <w:name w:val="ps"/>
    <w:basedOn w:val="Normal"/>
    <w:rsid w:val="00F90A63"/>
    <w:pPr>
      <w:keepLines/>
      <w:spacing w:before="240" w:after="0"/>
      <w:ind w:left="0" w:firstLine="0"/>
    </w:pPr>
    <w:rPr>
      <w:szCs w:val="24"/>
    </w:rPr>
  </w:style>
  <w:style w:type="table" w:customStyle="1" w:styleId="TableNormal1">
    <w:name w:val="Table Normal1"/>
    <w:uiPriority w:val="2"/>
    <w:semiHidden/>
    <w:unhideWhenUsed/>
    <w:qFormat/>
    <w:rsid w:val="00F90A63"/>
    <w:pPr>
      <w:widowControl w:val="0"/>
      <w:spacing w:after="0"/>
      <w:ind w:left="0" w:firstLine="0"/>
      <w:jc w:val="left"/>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90A63"/>
    <w:pPr>
      <w:widowControl w:val="0"/>
      <w:spacing w:after="0"/>
      <w:ind w:left="0" w:firstLine="0"/>
      <w:jc w:val="left"/>
    </w:pPr>
    <w:rPr>
      <w:rFonts w:ascii="Calibri" w:eastAsia="Calibri" w:hAnsi="Calibri"/>
      <w:sz w:val="22"/>
      <w:szCs w:val="22"/>
      <w:lang w:val="en-US" w:eastAsia="en-US"/>
    </w:rPr>
  </w:style>
  <w:style w:type="paragraph" w:customStyle="1" w:styleId="Titre51">
    <w:name w:val="Titre 51"/>
    <w:basedOn w:val="Normal"/>
    <w:uiPriority w:val="1"/>
    <w:qFormat/>
    <w:rsid w:val="00F90A63"/>
    <w:pPr>
      <w:widowControl w:val="0"/>
      <w:spacing w:before="8" w:after="0"/>
      <w:ind w:left="349" w:firstLine="0"/>
      <w:jc w:val="left"/>
      <w:outlineLvl w:val="5"/>
    </w:pPr>
    <w:rPr>
      <w:rFonts w:ascii="Arial" w:eastAsia="Arial" w:hAnsi="Arial"/>
      <w:b/>
      <w:bCs/>
      <w:sz w:val="51"/>
      <w:szCs w:val="51"/>
      <w:lang w:val="en-US" w:eastAsia="en-US"/>
    </w:rPr>
  </w:style>
  <w:style w:type="character" w:customStyle="1" w:styleId="apple-converted-space">
    <w:name w:val="apple-converted-space"/>
    <w:basedOn w:val="Policepardfaut"/>
    <w:rsid w:val="00F90A63"/>
  </w:style>
  <w:style w:type="paragraph" w:customStyle="1" w:styleId="Default">
    <w:name w:val="Default"/>
    <w:rsid w:val="00F90A63"/>
    <w:pPr>
      <w:autoSpaceDE w:val="0"/>
      <w:autoSpaceDN w:val="0"/>
      <w:adjustRightInd w:val="0"/>
      <w:spacing w:after="0"/>
      <w:ind w:left="0" w:firstLine="0"/>
      <w:jc w:val="left"/>
    </w:pPr>
    <w:rPr>
      <w:rFonts w:ascii="Cambria" w:eastAsia="Calibri" w:hAnsi="Cambria" w:cs="Cambria"/>
      <w:color w:val="000000"/>
      <w:sz w:val="24"/>
      <w:szCs w:val="24"/>
      <w:lang w:eastAsia="en-US"/>
    </w:rPr>
  </w:style>
  <w:style w:type="paragraph" w:customStyle="1" w:styleId="Style">
    <w:name w:val="Style"/>
    <w:rsid w:val="00F90A63"/>
    <w:pPr>
      <w:widowControl w:val="0"/>
      <w:autoSpaceDE w:val="0"/>
      <w:autoSpaceDN w:val="0"/>
      <w:adjustRightInd w:val="0"/>
      <w:spacing w:after="0"/>
      <w:ind w:left="0" w:firstLine="0"/>
      <w:jc w:val="left"/>
    </w:pPr>
    <w:rPr>
      <w:rFonts w:ascii="Arial" w:hAnsi="Arial" w:cs="Arial"/>
      <w:sz w:val="24"/>
      <w:szCs w:val="24"/>
    </w:rPr>
  </w:style>
  <w:style w:type="paragraph" w:customStyle="1" w:styleId="TM11">
    <w:name w:val="TM 11"/>
    <w:basedOn w:val="Normal"/>
    <w:uiPriority w:val="1"/>
    <w:qFormat/>
    <w:rsid w:val="00F90A63"/>
    <w:pPr>
      <w:widowControl w:val="0"/>
      <w:spacing w:before="71" w:after="0"/>
      <w:ind w:left="28" w:firstLine="0"/>
      <w:jc w:val="left"/>
    </w:pPr>
    <w:rPr>
      <w:rFonts w:ascii="Arial" w:eastAsia="Arial" w:hAnsi="Arial"/>
      <w:b/>
      <w:bCs/>
      <w:i/>
      <w:sz w:val="22"/>
      <w:szCs w:val="22"/>
      <w:lang w:val="en-US" w:eastAsia="en-US"/>
    </w:rPr>
  </w:style>
  <w:style w:type="paragraph" w:customStyle="1" w:styleId="TM21">
    <w:name w:val="TM 21"/>
    <w:basedOn w:val="Normal"/>
    <w:uiPriority w:val="1"/>
    <w:qFormat/>
    <w:rsid w:val="00F90A63"/>
    <w:pPr>
      <w:widowControl w:val="0"/>
      <w:spacing w:before="118" w:after="0"/>
      <w:ind w:left="112" w:firstLine="0"/>
      <w:jc w:val="left"/>
    </w:pPr>
    <w:rPr>
      <w:b/>
      <w:bCs/>
      <w:i/>
      <w:sz w:val="22"/>
      <w:szCs w:val="22"/>
      <w:lang w:val="en-US" w:eastAsia="en-US"/>
    </w:rPr>
  </w:style>
  <w:style w:type="paragraph" w:customStyle="1" w:styleId="TM31">
    <w:name w:val="TM 31"/>
    <w:basedOn w:val="Normal"/>
    <w:uiPriority w:val="1"/>
    <w:qFormat/>
    <w:rsid w:val="00F90A63"/>
    <w:pPr>
      <w:widowControl w:val="0"/>
      <w:spacing w:before="121" w:after="0"/>
      <w:ind w:left="346" w:hanging="200"/>
      <w:jc w:val="left"/>
    </w:pPr>
    <w:rPr>
      <w:b/>
      <w:bCs/>
      <w:sz w:val="20"/>
      <w:lang w:val="en-US" w:eastAsia="en-US"/>
    </w:rPr>
  </w:style>
  <w:style w:type="paragraph" w:customStyle="1" w:styleId="TM41">
    <w:name w:val="TM 41"/>
    <w:basedOn w:val="Normal"/>
    <w:uiPriority w:val="1"/>
    <w:qFormat/>
    <w:rsid w:val="00F90A63"/>
    <w:pPr>
      <w:widowControl w:val="0"/>
      <w:spacing w:after="0"/>
      <w:ind w:left="637" w:hanging="290"/>
      <w:jc w:val="left"/>
    </w:pPr>
    <w:rPr>
      <w:sz w:val="16"/>
      <w:szCs w:val="16"/>
      <w:lang w:val="en-US" w:eastAsia="en-US"/>
    </w:rPr>
  </w:style>
  <w:style w:type="paragraph" w:customStyle="1" w:styleId="TM51">
    <w:name w:val="TM 51"/>
    <w:basedOn w:val="Normal"/>
    <w:uiPriority w:val="1"/>
    <w:qFormat/>
    <w:rsid w:val="00F90A63"/>
    <w:pPr>
      <w:widowControl w:val="0"/>
      <w:spacing w:after="0"/>
      <w:ind w:left="637" w:hanging="290"/>
      <w:jc w:val="left"/>
    </w:pPr>
    <w:rPr>
      <w:b/>
      <w:bCs/>
      <w:i/>
      <w:sz w:val="22"/>
      <w:szCs w:val="22"/>
      <w:lang w:val="en-US" w:eastAsia="en-US"/>
    </w:rPr>
  </w:style>
  <w:style w:type="paragraph" w:customStyle="1" w:styleId="TM61">
    <w:name w:val="TM 61"/>
    <w:basedOn w:val="Normal"/>
    <w:uiPriority w:val="1"/>
    <w:qFormat/>
    <w:rsid w:val="00F90A63"/>
    <w:pPr>
      <w:widowControl w:val="0"/>
      <w:spacing w:after="0"/>
      <w:ind w:left="996" w:hanging="450"/>
      <w:jc w:val="left"/>
    </w:pPr>
    <w:rPr>
      <w:i/>
      <w:sz w:val="20"/>
      <w:lang w:val="en-US" w:eastAsia="en-US"/>
    </w:rPr>
  </w:style>
  <w:style w:type="paragraph" w:customStyle="1" w:styleId="TM71">
    <w:name w:val="TM 71"/>
    <w:basedOn w:val="Normal"/>
    <w:uiPriority w:val="1"/>
    <w:qFormat/>
    <w:rsid w:val="00F90A63"/>
    <w:pPr>
      <w:widowControl w:val="0"/>
      <w:spacing w:after="0"/>
      <w:ind w:left="1287" w:hanging="541"/>
      <w:jc w:val="left"/>
    </w:pPr>
    <w:rPr>
      <w:sz w:val="18"/>
      <w:szCs w:val="18"/>
      <w:lang w:val="en-US" w:eastAsia="en-US"/>
    </w:rPr>
  </w:style>
  <w:style w:type="paragraph" w:customStyle="1" w:styleId="TM81">
    <w:name w:val="TM 81"/>
    <w:basedOn w:val="Normal"/>
    <w:uiPriority w:val="1"/>
    <w:qFormat/>
    <w:rsid w:val="00F90A63"/>
    <w:pPr>
      <w:widowControl w:val="0"/>
      <w:spacing w:before="64" w:after="0"/>
      <w:ind w:left="3984" w:hanging="2367"/>
      <w:jc w:val="left"/>
    </w:pPr>
    <w:rPr>
      <w:rFonts w:ascii="Arial" w:eastAsia="Arial" w:hAnsi="Arial"/>
      <w:b/>
      <w:bCs/>
      <w:sz w:val="14"/>
      <w:szCs w:val="14"/>
      <w:lang w:val="en-US" w:eastAsia="en-US"/>
    </w:rPr>
  </w:style>
  <w:style w:type="paragraph" w:customStyle="1" w:styleId="Titre11">
    <w:name w:val="Titre 11"/>
    <w:basedOn w:val="Normal"/>
    <w:uiPriority w:val="1"/>
    <w:qFormat/>
    <w:rsid w:val="00F90A63"/>
    <w:pPr>
      <w:widowControl w:val="0"/>
      <w:spacing w:before="25" w:after="0"/>
      <w:ind w:left="0" w:firstLine="0"/>
      <w:jc w:val="left"/>
      <w:outlineLvl w:val="1"/>
    </w:pPr>
    <w:rPr>
      <w:rFonts w:ascii="Courier New" w:eastAsia="Courier New" w:hAnsi="Courier New"/>
      <w:b/>
      <w:bCs/>
      <w:sz w:val="77"/>
      <w:szCs w:val="77"/>
      <w:lang w:val="en-US" w:eastAsia="en-US"/>
    </w:rPr>
  </w:style>
  <w:style w:type="paragraph" w:customStyle="1" w:styleId="Titre21">
    <w:name w:val="Titre 21"/>
    <w:basedOn w:val="Normal"/>
    <w:uiPriority w:val="1"/>
    <w:qFormat/>
    <w:rsid w:val="00F90A63"/>
    <w:pPr>
      <w:widowControl w:val="0"/>
      <w:spacing w:after="0"/>
      <w:ind w:left="0" w:firstLine="0"/>
      <w:jc w:val="left"/>
      <w:outlineLvl w:val="2"/>
    </w:pPr>
    <w:rPr>
      <w:rFonts w:ascii="Courier New" w:eastAsia="Courier New" w:hAnsi="Courier New"/>
      <w:b/>
      <w:bCs/>
      <w:sz w:val="76"/>
      <w:szCs w:val="76"/>
      <w:lang w:val="en-US" w:eastAsia="en-US"/>
    </w:rPr>
  </w:style>
  <w:style w:type="paragraph" w:customStyle="1" w:styleId="Titre31">
    <w:name w:val="Titre 31"/>
    <w:basedOn w:val="Normal"/>
    <w:uiPriority w:val="1"/>
    <w:qFormat/>
    <w:rsid w:val="00F90A63"/>
    <w:pPr>
      <w:widowControl w:val="0"/>
      <w:spacing w:after="0"/>
      <w:ind w:left="0" w:firstLine="0"/>
      <w:jc w:val="left"/>
      <w:outlineLvl w:val="3"/>
    </w:pPr>
    <w:rPr>
      <w:rFonts w:ascii="Arial" w:eastAsia="Arial" w:hAnsi="Arial"/>
      <w:sz w:val="57"/>
      <w:szCs w:val="57"/>
      <w:lang w:val="en-US" w:eastAsia="en-US"/>
    </w:rPr>
  </w:style>
  <w:style w:type="paragraph" w:customStyle="1" w:styleId="Titre41">
    <w:name w:val="Titre 41"/>
    <w:basedOn w:val="Normal"/>
    <w:uiPriority w:val="1"/>
    <w:qFormat/>
    <w:rsid w:val="00F90A63"/>
    <w:pPr>
      <w:widowControl w:val="0"/>
      <w:spacing w:after="0"/>
      <w:ind w:left="0" w:firstLine="0"/>
      <w:jc w:val="left"/>
      <w:outlineLvl w:val="4"/>
    </w:pPr>
    <w:rPr>
      <w:rFonts w:ascii="Arial" w:eastAsia="Arial" w:hAnsi="Arial"/>
      <w:sz w:val="55"/>
      <w:szCs w:val="55"/>
      <w:lang w:val="en-US" w:eastAsia="en-US"/>
    </w:rPr>
  </w:style>
  <w:style w:type="paragraph" w:customStyle="1" w:styleId="Titre61">
    <w:name w:val="Titre 61"/>
    <w:basedOn w:val="Normal"/>
    <w:uiPriority w:val="1"/>
    <w:qFormat/>
    <w:rsid w:val="00F90A63"/>
    <w:pPr>
      <w:widowControl w:val="0"/>
      <w:spacing w:after="0"/>
      <w:ind w:left="0" w:firstLine="0"/>
      <w:jc w:val="left"/>
      <w:outlineLvl w:val="6"/>
    </w:pPr>
    <w:rPr>
      <w:sz w:val="50"/>
      <w:szCs w:val="50"/>
      <w:lang w:val="en-US" w:eastAsia="en-US"/>
    </w:rPr>
  </w:style>
  <w:style w:type="paragraph" w:customStyle="1" w:styleId="Titre71">
    <w:name w:val="Titre 71"/>
    <w:basedOn w:val="Normal"/>
    <w:uiPriority w:val="1"/>
    <w:qFormat/>
    <w:rsid w:val="00F90A63"/>
    <w:pPr>
      <w:widowControl w:val="0"/>
      <w:spacing w:after="0"/>
      <w:ind w:left="0" w:firstLine="0"/>
      <w:jc w:val="left"/>
      <w:outlineLvl w:val="7"/>
    </w:pPr>
    <w:rPr>
      <w:rFonts w:ascii="Arial" w:eastAsia="Arial" w:hAnsi="Arial"/>
      <w:sz w:val="49"/>
      <w:szCs w:val="49"/>
      <w:lang w:val="en-US" w:eastAsia="en-US"/>
    </w:rPr>
  </w:style>
  <w:style w:type="paragraph" w:customStyle="1" w:styleId="Titre81">
    <w:name w:val="Titre 81"/>
    <w:basedOn w:val="Normal"/>
    <w:uiPriority w:val="1"/>
    <w:qFormat/>
    <w:rsid w:val="00F90A63"/>
    <w:pPr>
      <w:widowControl w:val="0"/>
      <w:spacing w:after="0"/>
      <w:ind w:left="378" w:firstLine="0"/>
      <w:jc w:val="left"/>
      <w:outlineLvl w:val="8"/>
    </w:pPr>
    <w:rPr>
      <w:sz w:val="47"/>
      <w:szCs w:val="47"/>
      <w:lang w:val="en-US" w:eastAsia="en-US"/>
    </w:rPr>
  </w:style>
  <w:style w:type="paragraph" w:customStyle="1" w:styleId="Titre91">
    <w:name w:val="Titre 91"/>
    <w:basedOn w:val="Normal"/>
    <w:uiPriority w:val="1"/>
    <w:qFormat/>
    <w:rsid w:val="00F90A63"/>
    <w:pPr>
      <w:widowControl w:val="0"/>
      <w:spacing w:after="0"/>
      <w:ind w:left="300" w:firstLine="0"/>
      <w:jc w:val="left"/>
    </w:pPr>
    <w:rPr>
      <w:rFonts w:ascii="Arial" w:eastAsia="Arial" w:hAnsi="Arial"/>
      <w:sz w:val="45"/>
      <w:szCs w:val="45"/>
      <w:lang w:val="en-US" w:eastAsia="en-US"/>
    </w:rPr>
  </w:style>
  <w:style w:type="paragraph" w:customStyle="1" w:styleId="Titre52">
    <w:name w:val="Titre 52"/>
    <w:basedOn w:val="Normal"/>
    <w:uiPriority w:val="1"/>
    <w:qFormat/>
    <w:rsid w:val="00555ADE"/>
    <w:pPr>
      <w:widowControl w:val="0"/>
      <w:spacing w:before="8" w:after="0"/>
      <w:ind w:left="349" w:firstLine="0"/>
      <w:jc w:val="left"/>
      <w:outlineLvl w:val="5"/>
    </w:pPr>
    <w:rPr>
      <w:rFonts w:ascii="Arial" w:eastAsia="Arial" w:hAnsi="Arial"/>
      <w:b/>
      <w:bCs/>
      <w:sz w:val="51"/>
      <w:szCs w:val="51"/>
      <w:lang w:val="en-US" w:eastAsia="en-US"/>
    </w:rPr>
  </w:style>
  <w:style w:type="paragraph" w:customStyle="1" w:styleId="TM12">
    <w:name w:val="TM 12"/>
    <w:basedOn w:val="Normal"/>
    <w:uiPriority w:val="1"/>
    <w:qFormat/>
    <w:rsid w:val="00555ADE"/>
    <w:pPr>
      <w:widowControl w:val="0"/>
      <w:spacing w:before="71" w:after="0"/>
      <w:ind w:left="28" w:firstLine="0"/>
      <w:jc w:val="left"/>
    </w:pPr>
    <w:rPr>
      <w:rFonts w:ascii="Arial" w:eastAsia="Arial" w:hAnsi="Arial"/>
      <w:b/>
      <w:bCs/>
      <w:i/>
      <w:sz w:val="22"/>
      <w:szCs w:val="22"/>
      <w:lang w:val="en-US" w:eastAsia="en-US"/>
    </w:rPr>
  </w:style>
  <w:style w:type="paragraph" w:customStyle="1" w:styleId="TM22">
    <w:name w:val="TM 22"/>
    <w:basedOn w:val="Normal"/>
    <w:uiPriority w:val="1"/>
    <w:qFormat/>
    <w:rsid w:val="00555ADE"/>
    <w:pPr>
      <w:widowControl w:val="0"/>
      <w:spacing w:before="118" w:after="0"/>
      <w:ind w:left="112" w:firstLine="0"/>
      <w:jc w:val="left"/>
    </w:pPr>
    <w:rPr>
      <w:b/>
      <w:bCs/>
      <w:i/>
      <w:sz w:val="22"/>
      <w:szCs w:val="22"/>
      <w:lang w:val="en-US" w:eastAsia="en-US"/>
    </w:rPr>
  </w:style>
  <w:style w:type="paragraph" w:customStyle="1" w:styleId="TM32">
    <w:name w:val="TM 32"/>
    <w:basedOn w:val="Normal"/>
    <w:uiPriority w:val="1"/>
    <w:qFormat/>
    <w:rsid w:val="00555ADE"/>
    <w:pPr>
      <w:widowControl w:val="0"/>
      <w:spacing w:before="121" w:after="0"/>
      <w:ind w:left="346" w:hanging="200"/>
      <w:jc w:val="left"/>
    </w:pPr>
    <w:rPr>
      <w:b/>
      <w:bCs/>
      <w:sz w:val="20"/>
      <w:lang w:val="en-US" w:eastAsia="en-US"/>
    </w:rPr>
  </w:style>
  <w:style w:type="paragraph" w:customStyle="1" w:styleId="TM42">
    <w:name w:val="TM 42"/>
    <w:basedOn w:val="Normal"/>
    <w:uiPriority w:val="1"/>
    <w:qFormat/>
    <w:rsid w:val="00555ADE"/>
    <w:pPr>
      <w:widowControl w:val="0"/>
      <w:spacing w:after="0"/>
      <w:ind w:left="637" w:hanging="290"/>
      <w:jc w:val="left"/>
    </w:pPr>
    <w:rPr>
      <w:sz w:val="16"/>
      <w:szCs w:val="16"/>
      <w:lang w:val="en-US" w:eastAsia="en-US"/>
    </w:rPr>
  </w:style>
  <w:style w:type="paragraph" w:customStyle="1" w:styleId="TM52">
    <w:name w:val="TM 52"/>
    <w:basedOn w:val="Normal"/>
    <w:uiPriority w:val="1"/>
    <w:qFormat/>
    <w:rsid w:val="00555ADE"/>
    <w:pPr>
      <w:widowControl w:val="0"/>
      <w:spacing w:after="0"/>
      <w:ind w:left="637" w:hanging="290"/>
      <w:jc w:val="left"/>
    </w:pPr>
    <w:rPr>
      <w:b/>
      <w:bCs/>
      <w:i/>
      <w:sz w:val="22"/>
      <w:szCs w:val="22"/>
      <w:lang w:val="en-US" w:eastAsia="en-US"/>
    </w:rPr>
  </w:style>
  <w:style w:type="paragraph" w:customStyle="1" w:styleId="TM62">
    <w:name w:val="TM 62"/>
    <w:basedOn w:val="Normal"/>
    <w:uiPriority w:val="1"/>
    <w:qFormat/>
    <w:rsid w:val="00555ADE"/>
    <w:pPr>
      <w:widowControl w:val="0"/>
      <w:spacing w:after="0"/>
      <w:ind w:left="996" w:hanging="450"/>
      <w:jc w:val="left"/>
    </w:pPr>
    <w:rPr>
      <w:i/>
      <w:sz w:val="20"/>
      <w:lang w:val="en-US" w:eastAsia="en-US"/>
    </w:rPr>
  </w:style>
  <w:style w:type="paragraph" w:customStyle="1" w:styleId="TM72">
    <w:name w:val="TM 72"/>
    <w:basedOn w:val="Normal"/>
    <w:uiPriority w:val="1"/>
    <w:qFormat/>
    <w:rsid w:val="00555ADE"/>
    <w:pPr>
      <w:widowControl w:val="0"/>
      <w:spacing w:after="0"/>
      <w:ind w:left="1287" w:hanging="541"/>
      <w:jc w:val="left"/>
    </w:pPr>
    <w:rPr>
      <w:sz w:val="18"/>
      <w:szCs w:val="18"/>
      <w:lang w:val="en-US" w:eastAsia="en-US"/>
    </w:rPr>
  </w:style>
  <w:style w:type="paragraph" w:customStyle="1" w:styleId="TM82">
    <w:name w:val="TM 82"/>
    <w:basedOn w:val="Normal"/>
    <w:uiPriority w:val="1"/>
    <w:qFormat/>
    <w:rsid w:val="00555ADE"/>
    <w:pPr>
      <w:widowControl w:val="0"/>
      <w:spacing w:before="64" w:after="0"/>
      <w:ind w:left="3984" w:hanging="2367"/>
      <w:jc w:val="left"/>
    </w:pPr>
    <w:rPr>
      <w:rFonts w:ascii="Arial" w:eastAsia="Arial" w:hAnsi="Arial"/>
      <w:b/>
      <w:bCs/>
      <w:sz w:val="14"/>
      <w:szCs w:val="14"/>
      <w:lang w:val="en-US" w:eastAsia="en-US"/>
    </w:rPr>
  </w:style>
  <w:style w:type="paragraph" w:customStyle="1" w:styleId="Titre12">
    <w:name w:val="Titre 12"/>
    <w:basedOn w:val="Normal"/>
    <w:uiPriority w:val="1"/>
    <w:qFormat/>
    <w:rsid w:val="00555ADE"/>
    <w:pPr>
      <w:widowControl w:val="0"/>
      <w:spacing w:before="25" w:after="0"/>
      <w:ind w:left="0" w:firstLine="0"/>
      <w:jc w:val="left"/>
      <w:outlineLvl w:val="1"/>
    </w:pPr>
    <w:rPr>
      <w:rFonts w:ascii="Courier New" w:eastAsia="Courier New" w:hAnsi="Courier New"/>
      <w:b/>
      <w:bCs/>
      <w:sz w:val="77"/>
      <w:szCs w:val="77"/>
      <w:lang w:val="en-US" w:eastAsia="en-US"/>
    </w:rPr>
  </w:style>
  <w:style w:type="paragraph" w:customStyle="1" w:styleId="Titre23">
    <w:name w:val="Titre 23"/>
    <w:basedOn w:val="Normal"/>
    <w:uiPriority w:val="1"/>
    <w:qFormat/>
    <w:rsid w:val="00555ADE"/>
    <w:pPr>
      <w:widowControl w:val="0"/>
      <w:spacing w:after="0"/>
      <w:ind w:left="0" w:firstLine="0"/>
      <w:jc w:val="left"/>
      <w:outlineLvl w:val="2"/>
    </w:pPr>
    <w:rPr>
      <w:rFonts w:ascii="Courier New" w:eastAsia="Courier New" w:hAnsi="Courier New"/>
      <w:b/>
      <w:bCs/>
      <w:sz w:val="76"/>
      <w:szCs w:val="76"/>
      <w:lang w:val="en-US" w:eastAsia="en-US"/>
    </w:rPr>
  </w:style>
  <w:style w:type="paragraph" w:customStyle="1" w:styleId="Titre32">
    <w:name w:val="Titre 32"/>
    <w:basedOn w:val="Normal"/>
    <w:uiPriority w:val="1"/>
    <w:qFormat/>
    <w:rsid w:val="00555ADE"/>
    <w:pPr>
      <w:widowControl w:val="0"/>
      <w:spacing w:after="0"/>
      <w:ind w:left="0" w:firstLine="0"/>
      <w:jc w:val="left"/>
      <w:outlineLvl w:val="3"/>
    </w:pPr>
    <w:rPr>
      <w:rFonts w:ascii="Arial" w:eastAsia="Arial" w:hAnsi="Arial"/>
      <w:sz w:val="57"/>
      <w:szCs w:val="57"/>
      <w:lang w:val="en-US" w:eastAsia="en-US"/>
    </w:rPr>
  </w:style>
  <w:style w:type="paragraph" w:customStyle="1" w:styleId="Titre42">
    <w:name w:val="Titre 42"/>
    <w:basedOn w:val="Normal"/>
    <w:uiPriority w:val="1"/>
    <w:qFormat/>
    <w:rsid w:val="00555ADE"/>
    <w:pPr>
      <w:widowControl w:val="0"/>
      <w:spacing w:after="0"/>
      <w:ind w:left="0" w:firstLine="0"/>
      <w:jc w:val="left"/>
      <w:outlineLvl w:val="4"/>
    </w:pPr>
    <w:rPr>
      <w:rFonts w:ascii="Arial" w:eastAsia="Arial" w:hAnsi="Arial"/>
      <w:sz w:val="55"/>
      <w:szCs w:val="55"/>
      <w:lang w:val="en-US" w:eastAsia="en-US"/>
    </w:rPr>
  </w:style>
  <w:style w:type="paragraph" w:customStyle="1" w:styleId="Titre62">
    <w:name w:val="Titre 62"/>
    <w:basedOn w:val="Normal"/>
    <w:uiPriority w:val="1"/>
    <w:qFormat/>
    <w:rsid w:val="00555ADE"/>
    <w:pPr>
      <w:widowControl w:val="0"/>
      <w:spacing w:after="0"/>
      <w:ind w:left="0" w:firstLine="0"/>
      <w:jc w:val="left"/>
      <w:outlineLvl w:val="6"/>
    </w:pPr>
    <w:rPr>
      <w:sz w:val="50"/>
      <w:szCs w:val="50"/>
      <w:lang w:val="en-US" w:eastAsia="en-US"/>
    </w:rPr>
  </w:style>
  <w:style w:type="paragraph" w:customStyle="1" w:styleId="Titre72">
    <w:name w:val="Titre 72"/>
    <w:basedOn w:val="Normal"/>
    <w:uiPriority w:val="1"/>
    <w:qFormat/>
    <w:rsid w:val="00555ADE"/>
    <w:pPr>
      <w:widowControl w:val="0"/>
      <w:spacing w:after="0"/>
      <w:ind w:left="0" w:firstLine="0"/>
      <w:jc w:val="left"/>
      <w:outlineLvl w:val="7"/>
    </w:pPr>
    <w:rPr>
      <w:rFonts w:ascii="Arial" w:eastAsia="Arial" w:hAnsi="Arial"/>
      <w:sz w:val="49"/>
      <w:szCs w:val="49"/>
      <w:lang w:val="en-US" w:eastAsia="en-US"/>
    </w:rPr>
  </w:style>
  <w:style w:type="paragraph" w:customStyle="1" w:styleId="Titre82">
    <w:name w:val="Titre 82"/>
    <w:basedOn w:val="Normal"/>
    <w:uiPriority w:val="1"/>
    <w:qFormat/>
    <w:rsid w:val="00555ADE"/>
    <w:pPr>
      <w:widowControl w:val="0"/>
      <w:spacing w:after="0"/>
      <w:ind w:left="378" w:firstLine="0"/>
      <w:jc w:val="left"/>
      <w:outlineLvl w:val="8"/>
    </w:pPr>
    <w:rPr>
      <w:sz w:val="47"/>
      <w:szCs w:val="47"/>
      <w:lang w:val="en-US" w:eastAsia="en-US"/>
    </w:rPr>
  </w:style>
  <w:style w:type="paragraph" w:customStyle="1" w:styleId="Titre92">
    <w:name w:val="Titre 92"/>
    <w:basedOn w:val="Normal"/>
    <w:uiPriority w:val="1"/>
    <w:qFormat/>
    <w:rsid w:val="00555ADE"/>
    <w:pPr>
      <w:widowControl w:val="0"/>
      <w:spacing w:after="0"/>
      <w:ind w:left="300" w:firstLine="0"/>
      <w:jc w:val="left"/>
    </w:pPr>
    <w:rPr>
      <w:rFonts w:ascii="Arial" w:eastAsia="Arial" w:hAnsi="Arial"/>
      <w:sz w:val="45"/>
      <w:szCs w:val="45"/>
      <w:lang w:val="en-US" w:eastAsia="en-US"/>
    </w:rPr>
  </w:style>
  <w:style w:type="paragraph" w:customStyle="1" w:styleId="Paragraphe">
    <w:name w:val="Paragraphe"/>
    <w:basedOn w:val="Normal"/>
    <w:rsid w:val="00561B9B"/>
    <w:pPr>
      <w:spacing w:before="120" w:after="120" w:line="288" w:lineRule="auto"/>
      <w:ind w:left="425" w:hanging="425"/>
    </w:pPr>
    <w:rPr>
      <w:rFonts w:ascii="Arial" w:hAnsi="Arial"/>
      <w:spacing w:val="-2"/>
      <w:sz w:val="22"/>
      <w:lang w:val="fr-CA"/>
    </w:rPr>
  </w:style>
  <w:style w:type="paragraph" w:customStyle="1" w:styleId="Option">
    <w:name w:val="Option"/>
    <w:basedOn w:val="Titre1"/>
    <w:link w:val="OptionCar"/>
    <w:rsid w:val="001656B8"/>
    <w:pPr>
      <w:spacing w:before="360"/>
      <w:ind w:left="0" w:firstLine="0"/>
    </w:pPr>
    <w:rPr>
      <w:kern w:val="28"/>
    </w:rPr>
  </w:style>
  <w:style w:type="character" w:customStyle="1" w:styleId="OptionCar">
    <w:name w:val="Option Car"/>
    <w:link w:val="Option"/>
    <w:rsid w:val="001656B8"/>
    <w:rPr>
      <w:b/>
      <w:kern w:val="28"/>
      <w:sz w:val="36"/>
    </w:rPr>
  </w:style>
  <w:style w:type="paragraph" w:customStyle="1" w:styleId="Titre2CarCarCarCarCar1">
    <w:name w:val="Titre 2 Car Car Car Car Car1"/>
    <w:basedOn w:val="Normal"/>
    <w:next w:val="Normal"/>
    <w:unhideWhenUsed/>
    <w:qFormat/>
    <w:rsid w:val="00E07774"/>
    <w:pPr>
      <w:keepNext/>
      <w:keepLines/>
      <w:spacing w:before="40" w:after="0" w:line="276" w:lineRule="auto"/>
      <w:ind w:left="0" w:firstLine="0"/>
      <w:jc w:val="left"/>
      <w:outlineLvl w:val="1"/>
    </w:pPr>
    <w:rPr>
      <w:rFonts w:ascii="Arial" w:hAnsi="Arial"/>
      <w:color w:val="365F91"/>
      <w:sz w:val="26"/>
      <w:szCs w:val="26"/>
    </w:rPr>
  </w:style>
  <w:style w:type="table" w:customStyle="1" w:styleId="Grilledutableau1">
    <w:name w:val="Grille du tableau1"/>
    <w:basedOn w:val="TableauNormal"/>
    <w:next w:val="Grilledutableau"/>
    <w:uiPriority w:val="59"/>
    <w:rsid w:val="00BD729D"/>
    <w:pPr>
      <w:spacing w:after="0"/>
      <w:ind w:left="0" w:firstLine="0"/>
      <w:jc w:val="left"/>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ial">
    <w:name w:val="Arial"/>
    <w:basedOn w:val="Normal"/>
    <w:uiPriority w:val="99"/>
    <w:rsid w:val="003B26A5"/>
    <w:pPr>
      <w:spacing w:after="0"/>
      <w:ind w:left="0" w:firstLine="0"/>
      <w:jc w:val="left"/>
    </w:pPr>
    <w:rPr>
      <w:rFonts w:ascii="Arial" w:hAnsi="Arial"/>
      <w:sz w:val="21"/>
      <w:szCs w:val="21"/>
    </w:rPr>
  </w:style>
  <w:style w:type="paragraph" w:customStyle="1" w:styleId="BVIfnrCarCarCarCarChar">
    <w:name w:val="BVI fnr Car Car Car Car Char"/>
    <w:basedOn w:val="Normal"/>
    <w:rsid w:val="00836964"/>
    <w:pPr>
      <w:spacing w:after="160" w:line="240" w:lineRule="exact"/>
      <w:ind w:left="0" w:firstLine="0"/>
      <w:jc w:val="left"/>
    </w:pPr>
    <w:rPr>
      <w:rFonts w:asciiTheme="minorHAnsi" w:eastAsiaTheme="minorHAnsi" w:hAnsiTheme="minorHAnsi" w:cstheme="minorBidi"/>
      <w:szCs w:val="22"/>
      <w:vertAlign w:val="superscript"/>
      <w:lang w:eastAsia="en-US"/>
    </w:rPr>
  </w:style>
  <w:style w:type="paragraph" w:customStyle="1" w:styleId="Body1">
    <w:name w:val="Body 1"/>
    <w:rsid w:val="00836964"/>
    <w:pPr>
      <w:spacing w:after="0"/>
      <w:ind w:left="0" w:firstLine="0"/>
      <w:jc w:val="left"/>
    </w:pPr>
    <w:rPr>
      <w:rFonts w:ascii="Helvetica" w:eastAsia="Arial Unicode MS" w:hAnsi="Helvetica"/>
      <w:color w:val="000000"/>
      <w:sz w:val="24"/>
      <w:lang w:val="en-GB" w:eastAsia="en-GB"/>
    </w:rPr>
  </w:style>
  <w:style w:type="paragraph" w:styleId="En-ttedetabledesmatires">
    <w:name w:val="TOC Heading"/>
    <w:basedOn w:val="Titre1"/>
    <w:next w:val="Normal"/>
    <w:uiPriority w:val="39"/>
    <w:unhideWhenUsed/>
    <w:qFormat/>
    <w:rsid w:val="00836964"/>
    <w:pPr>
      <w:keepNext/>
      <w:keepLines/>
      <w:spacing w:before="120" w:after="0" w:line="276" w:lineRule="auto"/>
      <w:ind w:left="0" w:firstLine="0"/>
      <w:jc w:val="left"/>
      <w:outlineLvl w:val="9"/>
    </w:pPr>
    <w:rPr>
      <w:rFonts w:ascii="Arial" w:eastAsiaTheme="majorEastAsia" w:hAnsi="Arial" w:cstheme="majorBidi"/>
      <w:bCs/>
      <w:caps/>
      <w:color w:val="002060"/>
      <w:sz w:val="28"/>
      <w:szCs w:val="28"/>
      <w:lang w:eastAsia="en-US"/>
    </w:rPr>
  </w:style>
  <w:style w:type="paragraph" w:styleId="Tabledesillustrations">
    <w:name w:val="table of figures"/>
    <w:basedOn w:val="Normal"/>
    <w:next w:val="Normal"/>
    <w:uiPriority w:val="99"/>
    <w:unhideWhenUsed/>
    <w:rsid w:val="00836964"/>
    <w:pPr>
      <w:spacing w:after="0"/>
      <w:ind w:left="0" w:firstLine="0"/>
    </w:pPr>
    <w:rPr>
      <w:rFonts w:ascii="Arial" w:hAnsi="Arial"/>
      <w:sz w:val="22"/>
      <w:szCs w:val="24"/>
      <w:lang w:val="fr-CA"/>
    </w:rPr>
  </w:style>
  <w:style w:type="paragraph" w:customStyle="1" w:styleId="Puce1">
    <w:name w:val="Puce 1"/>
    <w:basedOn w:val="Normal"/>
    <w:link w:val="Puce1Car"/>
    <w:qFormat/>
    <w:rsid w:val="00836964"/>
    <w:pPr>
      <w:numPr>
        <w:numId w:val="15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120"/>
    </w:pPr>
    <w:rPr>
      <w:rFonts w:ascii="Arial" w:eastAsia="ヒラギノ角ゴ Pro W3" w:hAnsi="Arial"/>
      <w:color w:val="000000"/>
      <w:sz w:val="22"/>
      <w:szCs w:val="22"/>
      <w:lang w:eastAsia="en-US"/>
    </w:rPr>
  </w:style>
  <w:style w:type="character" w:customStyle="1" w:styleId="Puce1Car">
    <w:name w:val="Puce 1 Car"/>
    <w:link w:val="Puce1"/>
    <w:rsid w:val="00836964"/>
    <w:rPr>
      <w:rFonts w:ascii="Arial" w:eastAsia="ヒラギノ角ゴ Pro W3" w:hAnsi="Arial"/>
      <w:color w:val="000000"/>
      <w:sz w:val="22"/>
      <w:szCs w:val="22"/>
      <w:lang w:eastAsia="en-US"/>
    </w:rPr>
  </w:style>
  <w:style w:type="paragraph" w:customStyle="1" w:styleId="Puce3">
    <w:name w:val="Puce 3"/>
    <w:basedOn w:val="Normal"/>
    <w:qFormat/>
    <w:rsid w:val="00836964"/>
    <w:pPr>
      <w:numPr>
        <w:ilvl w:val="2"/>
        <w:numId w:val="15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220" w:after="220"/>
    </w:pPr>
    <w:rPr>
      <w:rFonts w:ascii="Arial" w:eastAsia="ヒラギノ角ゴ Pro W3" w:hAnsi="Arial" w:cs="Arial"/>
      <w:color w:val="000000"/>
      <w:sz w:val="22"/>
      <w:szCs w:val="22"/>
      <w:lang w:eastAsia="en-US"/>
    </w:rPr>
  </w:style>
  <w:style w:type="character" w:customStyle="1" w:styleId="PieddepageCar1">
    <w:name w:val="Pied de page Car1"/>
    <w:uiPriority w:val="99"/>
    <w:rsid w:val="00836964"/>
    <w:rPr>
      <w:rFonts w:ascii="Times New Roman" w:eastAsia="Times New Roman" w:hAnsi="Times New Roman" w:cs="Times New Roman"/>
      <w:sz w:val="24"/>
      <w:szCs w:val="20"/>
      <w:lang w:val="en-US"/>
    </w:rPr>
  </w:style>
  <w:style w:type="character" w:customStyle="1" w:styleId="tgc">
    <w:name w:val="_tgc"/>
    <w:rsid w:val="00836964"/>
  </w:style>
  <w:style w:type="character" w:customStyle="1" w:styleId="LgendeCar1">
    <w:name w:val="Légende Car1"/>
    <w:aliases w:val="Légende Car Car"/>
    <w:basedOn w:val="Policepardfaut"/>
    <w:locked/>
    <w:rsid w:val="00836964"/>
    <w:rPr>
      <w:rFonts w:ascii="Arial Narrow" w:eastAsia="Times New Roman" w:hAnsi="Arial Narrow" w:cs="Times New Roman"/>
      <w:b/>
      <w:bCs/>
      <w:sz w:val="20"/>
      <w:szCs w:val="20"/>
      <w:lang w:val="fr-FR" w:eastAsia="fr-FR"/>
    </w:rPr>
  </w:style>
  <w:style w:type="character" w:customStyle="1" w:styleId="NotedebasdepageCar1">
    <w:name w:val="Note de bas de page Car1"/>
    <w:aliases w:val="single space Car1,footnote text Car1,fn Car1,FOOTNOTES Car1,ft Car1,f Car1,Char Car1,Footnote Text Char1 Car1,Footnote Text Char2 Char Car1,Footnote Text Char1 Char Char Car1,Footnote Text Char2 Char Char Char Car1,DSE note Car1"/>
    <w:uiPriority w:val="99"/>
    <w:rsid w:val="00836964"/>
    <w:rPr>
      <w:lang w:val="en-US" w:eastAsia="en-US"/>
    </w:rPr>
  </w:style>
  <w:style w:type="paragraph" w:styleId="Listepuces">
    <w:name w:val="List Bullet"/>
    <w:basedOn w:val="Normal"/>
    <w:rsid w:val="00836964"/>
    <w:pPr>
      <w:spacing w:after="0"/>
      <w:ind w:left="283" w:hanging="283"/>
      <w:jc w:val="left"/>
    </w:pPr>
    <w:rPr>
      <w:rFonts w:ascii="Arial" w:hAnsi="Arial"/>
      <w:sz w:val="20"/>
    </w:rPr>
  </w:style>
  <w:style w:type="paragraph" w:customStyle="1" w:styleId="msonormal0">
    <w:name w:val="msonormal"/>
    <w:basedOn w:val="Normal"/>
    <w:rsid w:val="00836964"/>
    <w:pPr>
      <w:spacing w:before="100" w:beforeAutospacing="1" w:after="100" w:afterAutospacing="1"/>
      <w:ind w:left="0" w:firstLine="0"/>
      <w:jc w:val="left"/>
    </w:pPr>
    <w:rPr>
      <w:szCs w:val="24"/>
    </w:rPr>
  </w:style>
  <w:style w:type="paragraph" w:customStyle="1" w:styleId="font5">
    <w:name w:val="font5"/>
    <w:basedOn w:val="Normal"/>
    <w:rsid w:val="00836964"/>
    <w:pPr>
      <w:spacing w:before="100" w:beforeAutospacing="1" w:after="100" w:afterAutospacing="1"/>
      <w:ind w:left="0" w:firstLine="0"/>
      <w:jc w:val="left"/>
    </w:pPr>
    <w:rPr>
      <w:rFonts w:ascii="Arial" w:hAnsi="Arial" w:cs="Arial"/>
      <w:sz w:val="20"/>
    </w:rPr>
  </w:style>
  <w:style w:type="paragraph" w:customStyle="1" w:styleId="font6">
    <w:name w:val="font6"/>
    <w:basedOn w:val="Normal"/>
    <w:rsid w:val="00836964"/>
    <w:pPr>
      <w:spacing w:before="100" w:beforeAutospacing="1" w:after="100" w:afterAutospacing="1"/>
      <w:ind w:left="0" w:firstLine="0"/>
      <w:jc w:val="left"/>
    </w:pPr>
    <w:rPr>
      <w:rFonts w:ascii="Arial" w:hAnsi="Arial" w:cs="Arial"/>
      <w:sz w:val="20"/>
    </w:rPr>
  </w:style>
  <w:style w:type="paragraph" w:customStyle="1" w:styleId="xl64">
    <w:name w:val="xl64"/>
    <w:basedOn w:val="Normal"/>
    <w:rsid w:val="00836964"/>
    <w:pPr>
      <w:pBdr>
        <w:top w:val="double" w:sz="6" w:space="0" w:color="auto"/>
        <w:left w:val="double" w:sz="6" w:space="0" w:color="auto"/>
        <w:bottom w:val="single" w:sz="4" w:space="0" w:color="auto"/>
        <w:right w:val="single" w:sz="4" w:space="0" w:color="auto"/>
      </w:pBdr>
      <w:shd w:val="clear" w:color="000000" w:fill="C0C0C0"/>
      <w:spacing w:before="100" w:beforeAutospacing="1" w:after="100" w:afterAutospacing="1"/>
      <w:ind w:left="0" w:firstLine="0"/>
      <w:jc w:val="center"/>
      <w:textAlignment w:val="center"/>
    </w:pPr>
    <w:rPr>
      <w:rFonts w:ascii="Arial" w:hAnsi="Arial" w:cs="Arial"/>
      <w:b/>
      <w:bCs/>
      <w:sz w:val="20"/>
    </w:rPr>
  </w:style>
  <w:style w:type="paragraph" w:customStyle="1" w:styleId="BulletsR1">
    <w:name w:val="BulletsR1"/>
    <w:basedOn w:val="Normal"/>
    <w:rsid w:val="00836964"/>
    <w:pPr>
      <w:widowControl w:val="0"/>
      <w:numPr>
        <w:numId w:val="160"/>
      </w:numPr>
      <w:spacing w:before="80" w:after="0"/>
    </w:pPr>
    <w:rPr>
      <w:rFonts w:ascii="Arial" w:hAnsi="Arial"/>
      <w:sz w:val="22"/>
      <w:szCs w:val="24"/>
      <w:lang w:val="fr-BE"/>
    </w:rPr>
  </w:style>
  <w:style w:type="character" w:customStyle="1" w:styleId="FontStyle32">
    <w:name w:val="Font Style32"/>
    <w:basedOn w:val="Policepardfaut"/>
    <w:uiPriority w:val="99"/>
    <w:rsid w:val="00836964"/>
    <w:rPr>
      <w:rFonts w:ascii="Cambria" w:hAnsi="Cambria" w:cs="Cambria"/>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26429">
      <w:bodyDiv w:val="1"/>
      <w:marLeft w:val="0"/>
      <w:marRight w:val="0"/>
      <w:marTop w:val="0"/>
      <w:marBottom w:val="0"/>
      <w:divBdr>
        <w:top w:val="none" w:sz="0" w:space="0" w:color="auto"/>
        <w:left w:val="none" w:sz="0" w:space="0" w:color="auto"/>
        <w:bottom w:val="none" w:sz="0" w:space="0" w:color="auto"/>
        <w:right w:val="none" w:sz="0" w:space="0" w:color="auto"/>
      </w:divBdr>
    </w:div>
    <w:div w:id="103817399">
      <w:bodyDiv w:val="1"/>
      <w:marLeft w:val="0"/>
      <w:marRight w:val="0"/>
      <w:marTop w:val="0"/>
      <w:marBottom w:val="0"/>
      <w:divBdr>
        <w:top w:val="none" w:sz="0" w:space="0" w:color="auto"/>
        <w:left w:val="none" w:sz="0" w:space="0" w:color="auto"/>
        <w:bottom w:val="none" w:sz="0" w:space="0" w:color="auto"/>
        <w:right w:val="none" w:sz="0" w:space="0" w:color="auto"/>
      </w:divBdr>
    </w:div>
    <w:div w:id="298385921">
      <w:bodyDiv w:val="1"/>
      <w:marLeft w:val="0"/>
      <w:marRight w:val="0"/>
      <w:marTop w:val="0"/>
      <w:marBottom w:val="0"/>
      <w:divBdr>
        <w:top w:val="none" w:sz="0" w:space="0" w:color="auto"/>
        <w:left w:val="none" w:sz="0" w:space="0" w:color="auto"/>
        <w:bottom w:val="none" w:sz="0" w:space="0" w:color="auto"/>
        <w:right w:val="none" w:sz="0" w:space="0" w:color="auto"/>
      </w:divBdr>
    </w:div>
    <w:div w:id="467086133">
      <w:bodyDiv w:val="1"/>
      <w:marLeft w:val="0"/>
      <w:marRight w:val="0"/>
      <w:marTop w:val="0"/>
      <w:marBottom w:val="0"/>
      <w:divBdr>
        <w:top w:val="none" w:sz="0" w:space="0" w:color="auto"/>
        <w:left w:val="none" w:sz="0" w:space="0" w:color="auto"/>
        <w:bottom w:val="none" w:sz="0" w:space="0" w:color="auto"/>
        <w:right w:val="none" w:sz="0" w:space="0" w:color="auto"/>
      </w:divBdr>
    </w:div>
    <w:div w:id="510876709">
      <w:bodyDiv w:val="1"/>
      <w:marLeft w:val="0"/>
      <w:marRight w:val="0"/>
      <w:marTop w:val="0"/>
      <w:marBottom w:val="0"/>
      <w:divBdr>
        <w:top w:val="none" w:sz="0" w:space="0" w:color="auto"/>
        <w:left w:val="none" w:sz="0" w:space="0" w:color="auto"/>
        <w:bottom w:val="none" w:sz="0" w:space="0" w:color="auto"/>
        <w:right w:val="none" w:sz="0" w:space="0" w:color="auto"/>
      </w:divBdr>
    </w:div>
    <w:div w:id="571353689">
      <w:bodyDiv w:val="1"/>
      <w:marLeft w:val="0"/>
      <w:marRight w:val="0"/>
      <w:marTop w:val="0"/>
      <w:marBottom w:val="0"/>
      <w:divBdr>
        <w:top w:val="none" w:sz="0" w:space="0" w:color="auto"/>
        <w:left w:val="none" w:sz="0" w:space="0" w:color="auto"/>
        <w:bottom w:val="none" w:sz="0" w:space="0" w:color="auto"/>
        <w:right w:val="none" w:sz="0" w:space="0" w:color="auto"/>
      </w:divBdr>
    </w:div>
    <w:div w:id="734164112">
      <w:bodyDiv w:val="1"/>
      <w:marLeft w:val="0"/>
      <w:marRight w:val="0"/>
      <w:marTop w:val="0"/>
      <w:marBottom w:val="0"/>
      <w:divBdr>
        <w:top w:val="none" w:sz="0" w:space="0" w:color="auto"/>
        <w:left w:val="none" w:sz="0" w:space="0" w:color="auto"/>
        <w:bottom w:val="none" w:sz="0" w:space="0" w:color="auto"/>
        <w:right w:val="none" w:sz="0" w:space="0" w:color="auto"/>
      </w:divBdr>
    </w:div>
    <w:div w:id="750808595">
      <w:bodyDiv w:val="1"/>
      <w:marLeft w:val="0"/>
      <w:marRight w:val="0"/>
      <w:marTop w:val="0"/>
      <w:marBottom w:val="0"/>
      <w:divBdr>
        <w:top w:val="none" w:sz="0" w:space="0" w:color="auto"/>
        <w:left w:val="none" w:sz="0" w:space="0" w:color="auto"/>
        <w:bottom w:val="none" w:sz="0" w:space="0" w:color="auto"/>
        <w:right w:val="none" w:sz="0" w:space="0" w:color="auto"/>
      </w:divBdr>
    </w:div>
    <w:div w:id="780952566">
      <w:bodyDiv w:val="1"/>
      <w:marLeft w:val="0"/>
      <w:marRight w:val="0"/>
      <w:marTop w:val="0"/>
      <w:marBottom w:val="0"/>
      <w:divBdr>
        <w:top w:val="none" w:sz="0" w:space="0" w:color="auto"/>
        <w:left w:val="none" w:sz="0" w:space="0" w:color="auto"/>
        <w:bottom w:val="none" w:sz="0" w:space="0" w:color="auto"/>
        <w:right w:val="none" w:sz="0" w:space="0" w:color="auto"/>
      </w:divBdr>
    </w:div>
    <w:div w:id="988173469">
      <w:bodyDiv w:val="1"/>
      <w:marLeft w:val="0"/>
      <w:marRight w:val="0"/>
      <w:marTop w:val="0"/>
      <w:marBottom w:val="0"/>
      <w:divBdr>
        <w:top w:val="none" w:sz="0" w:space="0" w:color="auto"/>
        <w:left w:val="none" w:sz="0" w:space="0" w:color="auto"/>
        <w:bottom w:val="none" w:sz="0" w:space="0" w:color="auto"/>
        <w:right w:val="none" w:sz="0" w:space="0" w:color="auto"/>
      </w:divBdr>
    </w:div>
    <w:div w:id="1086221030">
      <w:bodyDiv w:val="1"/>
      <w:marLeft w:val="0"/>
      <w:marRight w:val="0"/>
      <w:marTop w:val="0"/>
      <w:marBottom w:val="0"/>
      <w:divBdr>
        <w:top w:val="none" w:sz="0" w:space="0" w:color="auto"/>
        <w:left w:val="none" w:sz="0" w:space="0" w:color="auto"/>
        <w:bottom w:val="none" w:sz="0" w:space="0" w:color="auto"/>
        <w:right w:val="none" w:sz="0" w:space="0" w:color="auto"/>
      </w:divBdr>
    </w:div>
    <w:div w:id="1100681832">
      <w:bodyDiv w:val="1"/>
      <w:marLeft w:val="0"/>
      <w:marRight w:val="0"/>
      <w:marTop w:val="0"/>
      <w:marBottom w:val="0"/>
      <w:divBdr>
        <w:top w:val="none" w:sz="0" w:space="0" w:color="auto"/>
        <w:left w:val="none" w:sz="0" w:space="0" w:color="auto"/>
        <w:bottom w:val="none" w:sz="0" w:space="0" w:color="auto"/>
        <w:right w:val="none" w:sz="0" w:space="0" w:color="auto"/>
      </w:divBdr>
    </w:div>
    <w:div w:id="1261376381">
      <w:bodyDiv w:val="1"/>
      <w:marLeft w:val="0"/>
      <w:marRight w:val="0"/>
      <w:marTop w:val="0"/>
      <w:marBottom w:val="0"/>
      <w:divBdr>
        <w:top w:val="none" w:sz="0" w:space="0" w:color="auto"/>
        <w:left w:val="none" w:sz="0" w:space="0" w:color="auto"/>
        <w:bottom w:val="none" w:sz="0" w:space="0" w:color="auto"/>
        <w:right w:val="none" w:sz="0" w:space="0" w:color="auto"/>
      </w:divBdr>
    </w:div>
    <w:div w:id="1439910011">
      <w:bodyDiv w:val="1"/>
      <w:marLeft w:val="0"/>
      <w:marRight w:val="0"/>
      <w:marTop w:val="0"/>
      <w:marBottom w:val="0"/>
      <w:divBdr>
        <w:top w:val="none" w:sz="0" w:space="0" w:color="auto"/>
        <w:left w:val="none" w:sz="0" w:space="0" w:color="auto"/>
        <w:bottom w:val="none" w:sz="0" w:space="0" w:color="auto"/>
        <w:right w:val="none" w:sz="0" w:space="0" w:color="auto"/>
      </w:divBdr>
    </w:div>
    <w:div w:id="1464041381">
      <w:bodyDiv w:val="1"/>
      <w:marLeft w:val="0"/>
      <w:marRight w:val="0"/>
      <w:marTop w:val="0"/>
      <w:marBottom w:val="0"/>
      <w:divBdr>
        <w:top w:val="none" w:sz="0" w:space="0" w:color="auto"/>
        <w:left w:val="none" w:sz="0" w:space="0" w:color="auto"/>
        <w:bottom w:val="none" w:sz="0" w:space="0" w:color="auto"/>
        <w:right w:val="none" w:sz="0" w:space="0" w:color="auto"/>
      </w:divBdr>
    </w:div>
    <w:div w:id="1559590136">
      <w:bodyDiv w:val="1"/>
      <w:marLeft w:val="0"/>
      <w:marRight w:val="0"/>
      <w:marTop w:val="0"/>
      <w:marBottom w:val="0"/>
      <w:divBdr>
        <w:top w:val="none" w:sz="0" w:space="0" w:color="auto"/>
        <w:left w:val="none" w:sz="0" w:space="0" w:color="auto"/>
        <w:bottom w:val="none" w:sz="0" w:space="0" w:color="auto"/>
        <w:right w:val="none" w:sz="0" w:space="0" w:color="auto"/>
      </w:divBdr>
    </w:div>
    <w:div w:id="1644119034">
      <w:bodyDiv w:val="1"/>
      <w:marLeft w:val="0"/>
      <w:marRight w:val="0"/>
      <w:marTop w:val="0"/>
      <w:marBottom w:val="0"/>
      <w:divBdr>
        <w:top w:val="none" w:sz="0" w:space="0" w:color="auto"/>
        <w:left w:val="none" w:sz="0" w:space="0" w:color="auto"/>
        <w:bottom w:val="none" w:sz="0" w:space="0" w:color="auto"/>
        <w:right w:val="none" w:sz="0" w:space="0" w:color="auto"/>
      </w:divBdr>
    </w:div>
    <w:div w:id="1661998957">
      <w:bodyDiv w:val="1"/>
      <w:marLeft w:val="0"/>
      <w:marRight w:val="0"/>
      <w:marTop w:val="0"/>
      <w:marBottom w:val="0"/>
      <w:divBdr>
        <w:top w:val="none" w:sz="0" w:space="0" w:color="auto"/>
        <w:left w:val="none" w:sz="0" w:space="0" w:color="auto"/>
        <w:bottom w:val="none" w:sz="0" w:space="0" w:color="auto"/>
        <w:right w:val="none" w:sz="0" w:space="0" w:color="auto"/>
      </w:divBdr>
    </w:div>
    <w:div w:id="1750038678">
      <w:marLeft w:val="0"/>
      <w:marRight w:val="0"/>
      <w:marTop w:val="0"/>
      <w:marBottom w:val="0"/>
      <w:divBdr>
        <w:top w:val="none" w:sz="0" w:space="0" w:color="auto"/>
        <w:left w:val="none" w:sz="0" w:space="0" w:color="auto"/>
        <w:bottom w:val="none" w:sz="0" w:space="0" w:color="auto"/>
        <w:right w:val="none" w:sz="0" w:space="0" w:color="auto"/>
      </w:divBdr>
    </w:div>
    <w:div w:id="1912353551">
      <w:bodyDiv w:val="1"/>
      <w:marLeft w:val="0"/>
      <w:marRight w:val="0"/>
      <w:marTop w:val="0"/>
      <w:marBottom w:val="0"/>
      <w:divBdr>
        <w:top w:val="none" w:sz="0" w:space="0" w:color="auto"/>
        <w:left w:val="none" w:sz="0" w:space="0" w:color="auto"/>
        <w:bottom w:val="none" w:sz="0" w:space="0" w:color="auto"/>
        <w:right w:val="none" w:sz="0" w:space="0" w:color="auto"/>
      </w:divBdr>
    </w:div>
    <w:div w:id="209840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worldbank.org/html/opr/procure/guidelin.html" TargetMode="External"/><Relationship Id="rId18" Type="http://schemas.openxmlformats.org/officeDocument/2006/relationships/hyperlink" Target="http://www.pariis-mali" TargetMode="External"/><Relationship Id="rId26" Type="http://schemas.openxmlformats.org/officeDocument/2006/relationships/header" Target="header9.xml"/><Relationship Id="rId39" Type="http://schemas.openxmlformats.org/officeDocument/2006/relationships/header" Target="header19.xm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header" Target="header15.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yperlink" Target="http://www.worldbank.org/debarr" TargetMode="External"/><Relationship Id="rId25" Type="http://schemas.openxmlformats.org/officeDocument/2006/relationships/header" Target="header8.xml"/><Relationship Id="rId33" Type="http://schemas.openxmlformats.org/officeDocument/2006/relationships/header" Target="header14.xm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header" Target="header12.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1.xml"/><Relationship Id="rId32" Type="http://schemas.openxmlformats.org/officeDocument/2006/relationships/image" Target="media/image3.png"/><Relationship Id="rId37" Type="http://schemas.openxmlformats.org/officeDocument/2006/relationships/header" Target="header18.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7.xml"/><Relationship Id="rId28" Type="http://schemas.openxmlformats.org/officeDocument/2006/relationships/header" Target="header11.xml"/><Relationship Id="rId36" Type="http://schemas.openxmlformats.org/officeDocument/2006/relationships/header" Target="header17.xml"/><Relationship Id="rId10" Type="http://schemas.openxmlformats.org/officeDocument/2006/relationships/footnotes" Target="footnotes.xml"/><Relationship Id="rId19" Type="http://schemas.openxmlformats.org/officeDocument/2006/relationships/hyperlink" Target="mailto:bdembele@pariis.org/" TargetMode="External"/><Relationship Id="rId31"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6.xml"/><Relationship Id="rId27" Type="http://schemas.openxmlformats.org/officeDocument/2006/relationships/header" Target="header10.xml"/><Relationship Id="rId30" Type="http://schemas.openxmlformats.org/officeDocument/2006/relationships/header" Target="header13.xml"/><Relationship Id="rId35" Type="http://schemas.openxmlformats.org/officeDocument/2006/relationships/header" Target="header16.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3" ma:contentTypeDescription="Create a new document." ma:contentTypeScope="" ma:versionID="a75da0ccb82e05083301405a4183d38b">
  <xsd:schema xmlns:xsd="http://www.w3.org/2001/XMLSchema" xmlns:xs="http://www.w3.org/2001/XMLSchema" xmlns:p="http://schemas.microsoft.com/office/2006/metadata/properties" xmlns:ns3="eda4fd43-f936-4ced-9b4a-46c1ef7d5473" xmlns:ns4="aa3449fd-d373-417f-9c8d-cf261ce8b785" targetNamespace="http://schemas.microsoft.com/office/2006/metadata/properties" ma:root="true" ma:fieldsID="5490453b91bdd292e226e4f8aab8fe3c" ns3:_="" ns4:_="">
    <xsd:import namespace="eda4fd43-f936-4ced-9b4a-46c1ef7d5473"/>
    <xsd:import namespace="aa3449fd-d373-417f-9c8d-cf261ce8b7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78926-38E1-47E9-B207-D569485119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a4fd43-f936-4ced-9b4a-46c1ef7d5473"/>
    <ds:schemaRef ds:uri="aa3449fd-d373-417f-9c8d-cf261ce8b7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CD8D6C-652F-49F5-A0C9-7E3A6E1BEE0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a3449fd-d373-417f-9c8d-cf261ce8b785"/>
    <ds:schemaRef ds:uri="eda4fd43-f936-4ced-9b4a-46c1ef7d5473"/>
    <ds:schemaRef ds:uri="http://www.w3.org/XML/1998/namespace"/>
    <ds:schemaRef ds:uri="http://purl.org/dc/dcmitype/"/>
  </ds:schemaRefs>
</ds:datastoreItem>
</file>

<file path=customXml/itemProps3.xml><?xml version="1.0" encoding="utf-8"?>
<ds:datastoreItem xmlns:ds="http://schemas.openxmlformats.org/officeDocument/2006/customXml" ds:itemID="{A0A20619-8C26-4180-BE18-CD69E802983A}">
  <ds:schemaRefs>
    <ds:schemaRef ds:uri="http://schemas.microsoft.com/sharepoint/v3/contenttype/forms"/>
  </ds:schemaRefs>
</ds:datastoreItem>
</file>

<file path=customXml/itemProps4.xml><?xml version="1.0" encoding="utf-8"?>
<ds:datastoreItem xmlns:ds="http://schemas.openxmlformats.org/officeDocument/2006/customXml" ds:itemID="{706B8267-89A4-467B-87E3-1E75F6013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143</Pages>
  <Words>122218</Words>
  <Characters>672200</Characters>
  <Application>Microsoft Office Word</Application>
  <DocSecurity>0</DocSecurity>
  <Lines>5601</Lines>
  <Paragraphs>1585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LinksUpToDate>false</LinksUpToDate>
  <CharactersWithSpaces>792833</CharactersWithSpaces>
  <SharedDoc>false</SharedDoc>
  <HLinks>
    <vt:vector size="570" baseType="variant">
      <vt:variant>
        <vt:i4>1966132</vt:i4>
      </vt:variant>
      <vt:variant>
        <vt:i4>788</vt:i4>
      </vt:variant>
      <vt:variant>
        <vt:i4>0</vt:i4>
      </vt:variant>
      <vt:variant>
        <vt:i4>5</vt:i4>
      </vt:variant>
      <vt:variant>
        <vt:lpwstr/>
      </vt:variant>
      <vt:variant>
        <vt:lpwstr>_Toc303333797</vt:lpwstr>
      </vt:variant>
      <vt:variant>
        <vt:i4>1966132</vt:i4>
      </vt:variant>
      <vt:variant>
        <vt:i4>782</vt:i4>
      </vt:variant>
      <vt:variant>
        <vt:i4>0</vt:i4>
      </vt:variant>
      <vt:variant>
        <vt:i4>5</vt:i4>
      </vt:variant>
      <vt:variant>
        <vt:lpwstr/>
      </vt:variant>
      <vt:variant>
        <vt:lpwstr>_Toc303333796</vt:lpwstr>
      </vt:variant>
      <vt:variant>
        <vt:i4>1966132</vt:i4>
      </vt:variant>
      <vt:variant>
        <vt:i4>776</vt:i4>
      </vt:variant>
      <vt:variant>
        <vt:i4>0</vt:i4>
      </vt:variant>
      <vt:variant>
        <vt:i4>5</vt:i4>
      </vt:variant>
      <vt:variant>
        <vt:lpwstr/>
      </vt:variant>
      <vt:variant>
        <vt:lpwstr>_Toc303333795</vt:lpwstr>
      </vt:variant>
      <vt:variant>
        <vt:i4>1966132</vt:i4>
      </vt:variant>
      <vt:variant>
        <vt:i4>770</vt:i4>
      </vt:variant>
      <vt:variant>
        <vt:i4>0</vt:i4>
      </vt:variant>
      <vt:variant>
        <vt:i4>5</vt:i4>
      </vt:variant>
      <vt:variant>
        <vt:lpwstr/>
      </vt:variant>
      <vt:variant>
        <vt:lpwstr>_Toc303333794</vt:lpwstr>
      </vt:variant>
      <vt:variant>
        <vt:i4>1966132</vt:i4>
      </vt:variant>
      <vt:variant>
        <vt:i4>764</vt:i4>
      </vt:variant>
      <vt:variant>
        <vt:i4>0</vt:i4>
      </vt:variant>
      <vt:variant>
        <vt:i4>5</vt:i4>
      </vt:variant>
      <vt:variant>
        <vt:lpwstr/>
      </vt:variant>
      <vt:variant>
        <vt:lpwstr>_Toc303333793</vt:lpwstr>
      </vt:variant>
      <vt:variant>
        <vt:i4>1966132</vt:i4>
      </vt:variant>
      <vt:variant>
        <vt:i4>758</vt:i4>
      </vt:variant>
      <vt:variant>
        <vt:i4>0</vt:i4>
      </vt:variant>
      <vt:variant>
        <vt:i4>5</vt:i4>
      </vt:variant>
      <vt:variant>
        <vt:lpwstr/>
      </vt:variant>
      <vt:variant>
        <vt:lpwstr>_Toc303333792</vt:lpwstr>
      </vt:variant>
      <vt:variant>
        <vt:i4>1966132</vt:i4>
      </vt:variant>
      <vt:variant>
        <vt:i4>752</vt:i4>
      </vt:variant>
      <vt:variant>
        <vt:i4>0</vt:i4>
      </vt:variant>
      <vt:variant>
        <vt:i4>5</vt:i4>
      </vt:variant>
      <vt:variant>
        <vt:lpwstr/>
      </vt:variant>
      <vt:variant>
        <vt:lpwstr>_Toc303333791</vt:lpwstr>
      </vt:variant>
      <vt:variant>
        <vt:i4>1966132</vt:i4>
      </vt:variant>
      <vt:variant>
        <vt:i4>746</vt:i4>
      </vt:variant>
      <vt:variant>
        <vt:i4>0</vt:i4>
      </vt:variant>
      <vt:variant>
        <vt:i4>5</vt:i4>
      </vt:variant>
      <vt:variant>
        <vt:lpwstr/>
      </vt:variant>
      <vt:variant>
        <vt:lpwstr>_Toc303333790</vt:lpwstr>
      </vt:variant>
      <vt:variant>
        <vt:i4>1179706</vt:i4>
      </vt:variant>
      <vt:variant>
        <vt:i4>524</vt:i4>
      </vt:variant>
      <vt:variant>
        <vt:i4>0</vt:i4>
      </vt:variant>
      <vt:variant>
        <vt:i4>5</vt:i4>
      </vt:variant>
      <vt:variant>
        <vt:lpwstr/>
      </vt:variant>
      <vt:variant>
        <vt:lpwstr>_Toc303332940</vt:lpwstr>
      </vt:variant>
      <vt:variant>
        <vt:i4>1376314</vt:i4>
      </vt:variant>
      <vt:variant>
        <vt:i4>518</vt:i4>
      </vt:variant>
      <vt:variant>
        <vt:i4>0</vt:i4>
      </vt:variant>
      <vt:variant>
        <vt:i4>5</vt:i4>
      </vt:variant>
      <vt:variant>
        <vt:lpwstr/>
      </vt:variant>
      <vt:variant>
        <vt:lpwstr>_Toc303332939</vt:lpwstr>
      </vt:variant>
      <vt:variant>
        <vt:i4>1376314</vt:i4>
      </vt:variant>
      <vt:variant>
        <vt:i4>512</vt:i4>
      </vt:variant>
      <vt:variant>
        <vt:i4>0</vt:i4>
      </vt:variant>
      <vt:variant>
        <vt:i4>5</vt:i4>
      </vt:variant>
      <vt:variant>
        <vt:lpwstr/>
      </vt:variant>
      <vt:variant>
        <vt:lpwstr>_Toc303332938</vt:lpwstr>
      </vt:variant>
      <vt:variant>
        <vt:i4>1376314</vt:i4>
      </vt:variant>
      <vt:variant>
        <vt:i4>506</vt:i4>
      </vt:variant>
      <vt:variant>
        <vt:i4>0</vt:i4>
      </vt:variant>
      <vt:variant>
        <vt:i4>5</vt:i4>
      </vt:variant>
      <vt:variant>
        <vt:lpwstr/>
      </vt:variant>
      <vt:variant>
        <vt:lpwstr>_Toc303332937</vt:lpwstr>
      </vt:variant>
      <vt:variant>
        <vt:i4>1376314</vt:i4>
      </vt:variant>
      <vt:variant>
        <vt:i4>500</vt:i4>
      </vt:variant>
      <vt:variant>
        <vt:i4>0</vt:i4>
      </vt:variant>
      <vt:variant>
        <vt:i4>5</vt:i4>
      </vt:variant>
      <vt:variant>
        <vt:lpwstr/>
      </vt:variant>
      <vt:variant>
        <vt:lpwstr>_Toc303332936</vt:lpwstr>
      </vt:variant>
      <vt:variant>
        <vt:i4>1376314</vt:i4>
      </vt:variant>
      <vt:variant>
        <vt:i4>494</vt:i4>
      </vt:variant>
      <vt:variant>
        <vt:i4>0</vt:i4>
      </vt:variant>
      <vt:variant>
        <vt:i4>5</vt:i4>
      </vt:variant>
      <vt:variant>
        <vt:lpwstr/>
      </vt:variant>
      <vt:variant>
        <vt:lpwstr>_Toc303332935</vt:lpwstr>
      </vt:variant>
      <vt:variant>
        <vt:i4>1376314</vt:i4>
      </vt:variant>
      <vt:variant>
        <vt:i4>488</vt:i4>
      </vt:variant>
      <vt:variant>
        <vt:i4>0</vt:i4>
      </vt:variant>
      <vt:variant>
        <vt:i4>5</vt:i4>
      </vt:variant>
      <vt:variant>
        <vt:lpwstr/>
      </vt:variant>
      <vt:variant>
        <vt:lpwstr>_Toc303332934</vt:lpwstr>
      </vt:variant>
      <vt:variant>
        <vt:i4>1376314</vt:i4>
      </vt:variant>
      <vt:variant>
        <vt:i4>482</vt:i4>
      </vt:variant>
      <vt:variant>
        <vt:i4>0</vt:i4>
      </vt:variant>
      <vt:variant>
        <vt:i4>5</vt:i4>
      </vt:variant>
      <vt:variant>
        <vt:lpwstr/>
      </vt:variant>
      <vt:variant>
        <vt:lpwstr>_Toc303332933</vt:lpwstr>
      </vt:variant>
      <vt:variant>
        <vt:i4>1376314</vt:i4>
      </vt:variant>
      <vt:variant>
        <vt:i4>476</vt:i4>
      </vt:variant>
      <vt:variant>
        <vt:i4>0</vt:i4>
      </vt:variant>
      <vt:variant>
        <vt:i4>5</vt:i4>
      </vt:variant>
      <vt:variant>
        <vt:lpwstr/>
      </vt:variant>
      <vt:variant>
        <vt:lpwstr>_Toc303332932</vt:lpwstr>
      </vt:variant>
      <vt:variant>
        <vt:i4>1376314</vt:i4>
      </vt:variant>
      <vt:variant>
        <vt:i4>470</vt:i4>
      </vt:variant>
      <vt:variant>
        <vt:i4>0</vt:i4>
      </vt:variant>
      <vt:variant>
        <vt:i4>5</vt:i4>
      </vt:variant>
      <vt:variant>
        <vt:lpwstr/>
      </vt:variant>
      <vt:variant>
        <vt:lpwstr>_Toc303332931</vt:lpwstr>
      </vt:variant>
      <vt:variant>
        <vt:i4>1376314</vt:i4>
      </vt:variant>
      <vt:variant>
        <vt:i4>464</vt:i4>
      </vt:variant>
      <vt:variant>
        <vt:i4>0</vt:i4>
      </vt:variant>
      <vt:variant>
        <vt:i4>5</vt:i4>
      </vt:variant>
      <vt:variant>
        <vt:lpwstr/>
      </vt:variant>
      <vt:variant>
        <vt:lpwstr>_Toc303332930</vt:lpwstr>
      </vt:variant>
      <vt:variant>
        <vt:i4>1310778</vt:i4>
      </vt:variant>
      <vt:variant>
        <vt:i4>458</vt:i4>
      </vt:variant>
      <vt:variant>
        <vt:i4>0</vt:i4>
      </vt:variant>
      <vt:variant>
        <vt:i4>5</vt:i4>
      </vt:variant>
      <vt:variant>
        <vt:lpwstr/>
      </vt:variant>
      <vt:variant>
        <vt:lpwstr>_Toc303332929</vt:lpwstr>
      </vt:variant>
      <vt:variant>
        <vt:i4>1310778</vt:i4>
      </vt:variant>
      <vt:variant>
        <vt:i4>452</vt:i4>
      </vt:variant>
      <vt:variant>
        <vt:i4>0</vt:i4>
      </vt:variant>
      <vt:variant>
        <vt:i4>5</vt:i4>
      </vt:variant>
      <vt:variant>
        <vt:lpwstr/>
      </vt:variant>
      <vt:variant>
        <vt:lpwstr>_Toc303332928</vt:lpwstr>
      </vt:variant>
      <vt:variant>
        <vt:i4>1310778</vt:i4>
      </vt:variant>
      <vt:variant>
        <vt:i4>446</vt:i4>
      </vt:variant>
      <vt:variant>
        <vt:i4>0</vt:i4>
      </vt:variant>
      <vt:variant>
        <vt:i4>5</vt:i4>
      </vt:variant>
      <vt:variant>
        <vt:lpwstr/>
      </vt:variant>
      <vt:variant>
        <vt:lpwstr>_Toc303332927</vt:lpwstr>
      </vt:variant>
      <vt:variant>
        <vt:i4>1310778</vt:i4>
      </vt:variant>
      <vt:variant>
        <vt:i4>440</vt:i4>
      </vt:variant>
      <vt:variant>
        <vt:i4>0</vt:i4>
      </vt:variant>
      <vt:variant>
        <vt:i4>5</vt:i4>
      </vt:variant>
      <vt:variant>
        <vt:lpwstr/>
      </vt:variant>
      <vt:variant>
        <vt:lpwstr>_Toc303332926</vt:lpwstr>
      </vt:variant>
      <vt:variant>
        <vt:i4>1310778</vt:i4>
      </vt:variant>
      <vt:variant>
        <vt:i4>434</vt:i4>
      </vt:variant>
      <vt:variant>
        <vt:i4>0</vt:i4>
      </vt:variant>
      <vt:variant>
        <vt:i4>5</vt:i4>
      </vt:variant>
      <vt:variant>
        <vt:lpwstr/>
      </vt:variant>
      <vt:variant>
        <vt:lpwstr>_Toc303332925</vt:lpwstr>
      </vt:variant>
      <vt:variant>
        <vt:i4>1310778</vt:i4>
      </vt:variant>
      <vt:variant>
        <vt:i4>428</vt:i4>
      </vt:variant>
      <vt:variant>
        <vt:i4>0</vt:i4>
      </vt:variant>
      <vt:variant>
        <vt:i4>5</vt:i4>
      </vt:variant>
      <vt:variant>
        <vt:lpwstr/>
      </vt:variant>
      <vt:variant>
        <vt:lpwstr>_Toc303332924</vt:lpwstr>
      </vt:variant>
      <vt:variant>
        <vt:i4>1310778</vt:i4>
      </vt:variant>
      <vt:variant>
        <vt:i4>422</vt:i4>
      </vt:variant>
      <vt:variant>
        <vt:i4>0</vt:i4>
      </vt:variant>
      <vt:variant>
        <vt:i4>5</vt:i4>
      </vt:variant>
      <vt:variant>
        <vt:lpwstr/>
      </vt:variant>
      <vt:variant>
        <vt:lpwstr>_Toc303332923</vt:lpwstr>
      </vt:variant>
      <vt:variant>
        <vt:i4>1310778</vt:i4>
      </vt:variant>
      <vt:variant>
        <vt:i4>416</vt:i4>
      </vt:variant>
      <vt:variant>
        <vt:i4>0</vt:i4>
      </vt:variant>
      <vt:variant>
        <vt:i4>5</vt:i4>
      </vt:variant>
      <vt:variant>
        <vt:lpwstr/>
      </vt:variant>
      <vt:variant>
        <vt:lpwstr>_Toc303332922</vt:lpwstr>
      </vt:variant>
      <vt:variant>
        <vt:i4>1310778</vt:i4>
      </vt:variant>
      <vt:variant>
        <vt:i4>410</vt:i4>
      </vt:variant>
      <vt:variant>
        <vt:i4>0</vt:i4>
      </vt:variant>
      <vt:variant>
        <vt:i4>5</vt:i4>
      </vt:variant>
      <vt:variant>
        <vt:lpwstr/>
      </vt:variant>
      <vt:variant>
        <vt:lpwstr>_Toc303332921</vt:lpwstr>
      </vt:variant>
      <vt:variant>
        <vt:i4>1310778</vt:i4>
      </vt:variant>
      <vt:variant>
        <vt:i4>404</vt:i4>
      </vt:variant>
      <vt:variant>
        <vt:i4>0</vt:i4>
      </vt:variant>
      <vt:variant>
        <vt:i4>5</vt:i4>
      </vt:variant>
      <vt:variant>
        <vt:lpwstr/>
      </vt:variant>
      <vt:variant>
        <vt:lpwstr>_Toc303332920</vt:lpwstr>
      </vt:variant>
      <vt:variant>
        <vt:i4>1507386</vt:i4>
      </vt:variant>
      <vt:variant>
        <vt:i4>398</vt:i4>
      </vt:variant>
      <vt:variant>
        <vt:i4>0</vt:i4>
      </vt:variant>
      <vt:variant>
        <vt:i4>5</vt:i4>
      </vt:variant>
      <vt:variant>
        <vt:lpwstr/>
      </vt:variant>
      <vt:variant>
        <vt:lpwstr>_Toc303332919</vt:lpwstr>
      </vt:variant>
      <vt:variant>
        <vt:i4>1507386</vt:i4>
      </vt:variant>
      <vt:variant>
        <vt:i4>392</vt:i4>
      </vt:variant>
      <vt:variant>
        <vt:i4>0</vt:i4>
      </vt:variant>
      <vt:variant>
        <vt:i4>5</vt:i4>
      </vt:variant>
      <vt:variant>
        <vt:lpwstr/>
      </vt:variant>
      <vt:variant>
        <vt:lpwstr>_Toc303332918</vt:lpwstr>
      </vt:variant>
      <vt:variant>
        <vt:i4>1507386</vt:i4>
      </vt:variant>
      <vt:variant>
        <vt:i4>386</vt:i4>
      </vt:variant>
      <vt:variant>
        <vt:i4>0</vt:i4>
      </vt:variant>
      <vt:variant>
        <vt:i4>5</vt:i4>
      </vt:variant>
      <vt:variant>
        <vt:lpwstr/>
      </vt:variant>
      <vt:variant>
        <vt:lpwstr>_Toc303332917</vt:lpwstr>
      </vt:variant>
      <vt:variant>
        <vt:i4>1507386</vt:i4>
      </vt:variant>
      <vt:variant>
        <vt:i4>380</vt:i4>
      </vt:variant>
      <vt:variant>
        <vt:i4>0</vt:i4>
      </vt:variant>
      <vt:variant>
        <vt:i4>5</vt:i4>
      </vt:variant>
      <vt:variant>
        <vt:lpwstr/>
      </vt:variant>
      <vt:variant>
        <vt:lpwstr>_Toc303332916</vt:lpwstr>
      </vt:variant>
      <vt:variant>
        <vt:i4>1507386</vt:i4>
      </vt:variant>
      <vt:variant>
        <vt:i4>374</vt:i4>
      </vt:variant>
      <vt:variant>
        <vt:i4>0</vt:i4>
      </vt:variant>
      <vt:variant>
        <vt:i4>5</vt:i4>
      </vt:variant>
      <vt:variant>
        <vt:lpwstr/>
      </vt:variant>
      <vt:variant>
        <vt:lpwstr>_Toc303332915</vt:lpwstr>
      </vt:variant>
      <vt:variant>
        <vt:i4>1507386</vt:i4>
      </vt:variant>
      <vt:variant>
        <vt:i4>368</vt:i4>
      </vt:variant>
      <vt:variant>
        <vt:i4>0</vt:i4>
      </vt:variant>
      <vt:variant>
        <vt:i4>5</vt:i4>
      </vt:variant>
      <vt:variant>
        <vt:lpwstr/>
      </vt:variant>
      <vt:variant>
        <vt:lpwstr>_Toc303332914</vt:lpwstr>
      </vt:variant>
      <vt:variant>
        <vt:i4>1769520</vt:i4>
      </vt:variant>
      <vt:variant>
        <vt:i4>359</vt:i4>
      </vt:variant>
      <vt:variant>
        <vt:i4>0</vt:i4>
      </vt:variant>
      <vt:variant>
        <vt:i4>5</vt:i4>
      </vt:variant>
      <vt:variant>
        <vt:lpwstr/>
      </vt:variant>
      <vt:variant>
        <vt:lpwstr>_Toc303329267</vt:lpwstr>
      </vt:variant>
      <vt:variant>
        <vt:i4>1769520</vt:i4>
      </vt:variant>
      <vt:variant>
        <vt:i4>353</vt:i4>
      </vt:variant>
      <vt:variant>
        <vt:i4>0</vt:i4>
      </vt:variant>
      <vt:variant>
        <vt:i4>5</vt:i4>
      </vt:variant>
      <vt:variant>
        <vt:lpwstr/>
      </vt:variant>
      <vt:variant>
        <vt:lpwstr>_Toc303329266</vt:lpwstr>
      </vt:variant>
      <vt:variant>
        <vt:i4>1769520</vt:i4>
      </vt:variant>
      <vt:variant>
        <vt:i4>347</vt:i4>
      </vt:variant>
      <vt:variant>
        <vt:i4>0</vt:i4>
      </vt:variant>
      <vt:variant>
        <vt:i4>5</vt:i4>
      </vt:variant>
      <vt:variant>
        <vt:lpwstr/>
      </vt:variant>
      <vt:variant>
        <vt:lpwstr>_Toc303329265</vt:lpwstr>
      </vt:variant>
      <vt:variant>
        <vt:i4>1769520</vt:i4>
      </vt:variant>
      <vt:variant>
        <vt:i4>341</vt:i4>
      </vt:variant>
      <vt:variant>
        <vt:i4>0</vt:i4>
      </vt:variant>
      <vt:variant>
        <vt:i4>5</vt:i4>
      </vt:variant>
      <vt:variant>
        <vt:lpwstr/>
      </vt:variant>
      <vt:variant>
        <vt:lpwstr>_Toc303329264</vt:lpwstr>
      </vt:variant>
      <vt:variant>
        <vt:i4>1769520</vt:i4>
      </vt:variant>
      <vt:variant>
        <vt:i4>335</vt:i4>
      </vt:variant>
      <vt:variant>
        <vt:i4>0</vt:i4>
      </vt:variant>
      <vt:variant>
        <vt:i4>5</vt:i4>
      </vt:variant>
      <vt:variant>
        <vt:lpwstr/>
      </vt:variant>
      <vt:variant>
        <vt:lpwstr>_Toc303329263</vt:lpwstr>
      </vt:variant>
      <vt:variant>
        <vt:i4>1769520</vt:i4>
      </vt:variant>
      <vt:variant>
        <vt:i4>329</vt:i4>
      </vt:variant>
      <vt:variant>
        <vt:i4>0</vt:i4>
      </vt:variant>
      <vt:variant>
        <vt:i4>5</vt:i4>
      </vt:variant>
      <vt:variant>
        <vt:lpwstr/>
      </vt:variant>
      <vt:variant>
        <vt:lpwstr>_Toc303329262</vt:lpwstr>
      </vt:variant>
      <vt:variant>
        <vt:i4>1769520</vt:i4>
      </vt:variant>
      <vt:variant>
        <vt:i4>323</vt:i4>
      </vt:variant>
      <vt:variant>
        <vt:i4>0</vt:i4>
      </vt:variant>
      <vt:variant>
        <vt:i4>5</vt:i4>
      </vt:variant>
      <vt:variant>
        <vt:lpwstr/>
      </vt:variant>
      <vt:variant>
        <vt:lpwstr>_Toc303329261</vt:lpwstr>
      </vt:variant>
      <vt:variant>
        <vt:i4>1769520</vt:i4>
      </vt:variant>
      <vt:variant>
        <vt:i4>317</vt:i4>
      </vt:variant>
      <vt:variant>
        <vt:i4>0</vt:i4>
      </vt:variant>
      <vt:variant>
        <vt:i4>5</vt:i4>
      </vt:variant>
      <vt:variant>
        <vt:lpwstr/>
      </vt:variant>
      <vt:variant>
        <vt:lpwstr>_Toc303329260</vt:lpwstr>
      </vt:variant>
      <vt:variant>
        <vt:i4>1572912</vt:i4>
      </vt:variant>
      <vt:variant>
        <vt:i4>311</vt:i4>
      </vt:variant>
      <vt:variant>
        <vt:i4>0</vt:i4>
      </vt:variant>
      <vt:variant>
        <vt:i4>5</vt:i4>
      </vt:variant>
      <vt:variant>
        <vt:lpwstr/>
      </vt:variant>
      <vt:variant>
        <vt:lpwstr>_Toc303329259</vt:lpwstr>
      </vt:variant>
      <vt:variant>
        <vt:i4>1572912</vt:i4>
      </vt:variant>
      <vt:variant>
        <vt:i4>305</vt:i4>
      </vt:variant>
      <vt:variant>
        <vt:i4>0</vt:i4>
      </vt:variant>
      <vt:variant>
        <vt:i4>5</vt:i4>
      </vt:variant>
      <vt:variant>
        <vt:lpwstr/>
      </vt:variant>
      <vt:variant>
        <vt:lpwstr>_Toc303329258</vt:lpwstr>
      </vt:variant>
      <vt:variant>
        <vt:i4>1572912</vt:i4>
      </vt:variant>
      <vt:variant>
        <vt:i4>299</vt:i4>
      </vt:variant>
      <vt:variant>
        <vt:i4>0</vt:i4>
      </vt:variant>
      <vt:variant>
        <vt:i4>5</vt:i4>
      </vt:variant>
      <vt:variant>
        <vt:lpwstr/>
      </vt:variant>
      <vt:variant>
        <vt:lpwstr>_Toc303329257</vt:lpwstr>
      </vt:variant>
      <vt:variant>
        <vt:i4>1572912</vt:i4>
      </vt:variant>
      <vt:variant>
        <vt:i4>293</vt:i4>
      </vt:variant>
      <vt:variant>
        <vt:i4>0</vt:i4>
      </vt:variant>
      <vt:variant>
        <vt:i4>5</vt:i4>
      </vt:variant>
      <vt:variant>
        <vt:lpwstr/>
      </vt:variant>
      <vt:variant>
        <vt:lpwstr>_Toc303329256</vt:lpwstr>
      </vt:variant>
      <vt:variant>
        <vt:i4>1572912</vt:i4>
      </vt:variant>
      <vt:variant>
        <vt:i4>287</vt:i4>
      </vt:variant>
      <vt:variant>
        <vt:i4>0</vt:i4>
      </vt:variant>
      <vt:variant>
        <vt:i4>5</vt:i4>
      </vt:variant>
      <vt:variant>
        <vt:lpwstr/>
      </vt:variant>
      <vt:variant>
        <vt:lpwstr>_Toc303329255</vt:lpwstr>
      </vt:variant>
      <vt:variant>
        <vt:i4>1572912</vt:i4>
      </vt:variant>
      <vt:variant>
        <vt:i4>281</vt:i4>
      </vt:variant>
      <vt:variant>
        <vt:i4>0</vt:i4>
      </vt:variant>
      <vt:variant>
        <vt:i4>5</vt:i4>
      </vt:variant>
      <vt:variant>
        <vt:lpwstr/>
      </vt:variant>
      <vt:variant>
        <vt:lpwstr>_Toc303329254</vt:lpwstr>
      </vt:variant>
      <vt:variant>
        <vt:i4>1572912</vt:i4>
      </vt:variant>
      <vt:variant>
        <vt:i4>275</vt:i4>
      </vt:variant>
      <vt:variant>
        <vt:i4>0</vt:i4>
      </vt:variant>
      <vt:variant>
        <vt:i4>5</vt:i4>
      </vt:variant>
      <vt:variant>
        <vt:lpwstr/>
      </vt:variant>
      <vt:variant>
        <vt:lpwstr>_Toc303329253</vt:lpwstr>
      </vt:variant>
      <vt:variant>
        <vt:i4>1572912</vt:i4>
      </vt:variant>
      <vt:variant>
        <vt:i4>269</vt:i4>
      </vt:variant>
      <vt:variant>
        <vt:i4>0</vt:i4>
      </vt:variant>
      <vt:variant>
        <vt:i4>5</vt:i4>
      </vt:variant>
      <vt:variant>
        <vt:lpwstr/>
      </vt:variant>
      <vt:variant>
        <vt:lpwstr>_Toc303329252</vt:lpwstr>
      </vt:variant>
      <vt:variant>
        <vt:i4>1572912</vt:i4>
      </vt:variant>
      <vt:variant>
        <vt:i4>263</vt:i4>
      </vt:variant>
      <vt:variant>
        <vt:i4>0</vt:i4>
      </vt:variant>
      <vt:variant>
        <vt:i4>5</vt:i4>
      </vt:variant>
      <vt:variant>
        <vt:lpwstr/>
      </vt:variant>
      <vt:variant>
        <vt:lpwstr>_Toc303329251</vt:lpwstr>
      </vt:variant>
      <vt:variant>
        <vt:i4>1572912</vt:i4>
      </vt:variant>
      <vt:variant>
        <vt:i4>257</vt:i4>
      </vt:variant>
      <vt:variant>
        <vt:i4>0</vt:i4>
      </vt:variant>
      <vt:variant>
        <vt:i4>5</vt:i4>
      </vt:variant>
      <vt:variant>
        <vt:lpwstr/>
      </vt:variant>
      <vt:variant>
        <vt:lpwstr>_Toc303329250</vt:lpwstr>
      </vt:variant>
      <vt:variant>
        <vt:i4>1638448</vt:i4>
      </vt:variant>
      <vt:variant>
        <vt:i4>251</vt:i4>
      </vt:variant>
      <vt:variant>
        <vt:i4>0</vt:i4>
      </vt:variant>
      <vt:variant>
        <vt:i4>5</vt:i4>
      </vt:variant>
      <vt:variant>
        <vt:lpwstr/>
      </vt:variant>
      <vt:variant>
        <vt:lpwstr>_Toc303329249</vt:lpwstr>
      </vt:variant>
      <vt:variant>
        <vt:i4>1638448</vt:i4>
      </vt:variant>
      <vt:variant>
        <vt:i4>245</vt:i4>
      </vt:variant>
      <vt:variant>
        <vt:i4>0</vt:i4>
      </vt:variant>
      <vt:variant>
        <vt:i4>5</vt:i4>
      </vt:variant>
      <vt:variant>
        <vt:lpwstr/>
      </vt:variant>
      <vt:variant>
        <vt:lpwstr>_Toc303329248</vt:lpwstr>
      </vt:variant>
      <vt:variant>
        <vt:i4>1638448</vt:i4>
      </vt:variant>
      <vt:variant>
        <vt:i4>239</vt:i4>
      </vt:variant>
      <vt:variant>
        <vt:i4>0</vt:i4>
      </vt:variant>
      <vt:variant>
        <vt:i4>5</vt:i4>
      </vt:variant>
      <vt:variant>
        <vt:lpwstr/>
      </vt:variant>
      <vt:variant>
        <vt:lpwstr>_Toc303329247</vt:lpwstr>
      </vt:variant>
      <vt:variant>
        <vt:i4>1638448</vt:i4>
      </vt:variant>
      <vt:variant>
        <vt:i4>233</vt:i4>
      </vt:variant>
      <vt:variant>
        <vt:i4>0</vt:i4>
      </vt:variant>
      <vt:variant>
        <vt:i4>5</vt:i4>
      </vt:variant>
      <vt:variant>
        <vt:lpwstr/>
      </vt:variant>
      <vt:variant>
        <vt:lpwstr>_Toc303329246</vt:lpwstr>
      </vt:variant>
      <vt:variant>
        <vt:i4>1638448</vt:i4>
      </vt:variant>
      <vt:variant>
        <vt:i4>227</vt:i4>
      </vt:variant>
      <vt:variant>
        <vt:i4>0</vt:i4>
      </vt:variant>
      <vt:variant>
        <vt:i4>5</vt:i4>
      </vt:variant>
      <vt:variant>
        <vt:lpwstr/>
      </vt:variant>
      <vt:variant>
        <vt:lpwstr>_Toc303329245</vt:lpwstr>
      </vt:variant>
      <vt:variant>
        <vt:i4>1638448</vt:i4>
      </vt:variant>
      <vt:variant>
        <vt:i4>221</vt:i4>
      </vt:variant>
      <vt:variant>
        <vt:i4>0</vt:i4>
      </vt:variant>
      <vt:variant>
        <vt:i4>5</vt:i4>
      </vt:variant>
      <vt:variant>
        <vt:lpwstr/>
      </vt:variant>
      <vt:variant>
        <vt:lpwstr>_Toc303329244</vt:lpwstr>
      </vt:variant>
      <vt:variant>
        <vt:i4>1638448</vt:i4>
      </vt:variant>
      <vt:variant>
        <vt:i4>215</vt:i4>
      </vt:variant>
      <vt:variant>
        <vt:i4>0</vt:i4>
      </vt:variant>
      <vt:variant>
        <vt:i4>5</vt:i4>
      </vt:variant>
      <vt:variant>
        <vt:lpwstr/>
      </vt:variant>
      <vt:variant>
        <vt:lpwstr>_Toc303329243</vt:lpwstr>
      </vt:variant>
      <vt:variant>
        <vt:i4>1638448</vt:i4>
      </vt:variant>
      <vt:variant>
        <vt:i4>209</vt:i4>
      </vt:variant>
      <vt:variant>
        <vt:i4>0</vt:i4>
      </vt:variant>
      <vt:variant>
        <vt:i4>5</vt:i4>
      </vt:variant>
      <vt:variant>
        <vt:lpwstr/>
      </vt:variant>
      <vt:variant>
        <vt:lpwstr>_Toc303329242</vt:lpwstr>
      </vt:variant>
      <vt:variant>
        <vt:i4>1638448</vt:i4>
      </vt:variant>
      <vt:variant>
        <vt:i4>203</vt:i4>
      </vt:variant>
      <vt:variant>
        <vt:i4>0</vt:i4>
      </vt:variant>
      <vt:variant>
        <vt:i4>5</vt:i4>
      </vt:variant>
      <vt:variant>
        <vt:lpwstr/>
      </vt:variant>
      <vt:variant>
        <vt:lpwstr>_Toc303329241</vt:lpwstr>
      </vt:variant>
      <vt:variant>
        <vt:i4>1638448</vt:i4>
      </vt:variant>
      <vt:variant>
        <vt:i4>197</vt:i4>
      </vt:variant>
      <vt:variant>
        <vt:i4>0</vt:i4>
      </vt:variant>
      <vt:variant>
        <vt:i4>5</vt:i4>
      </vt:variant>
      <vt:variant>
        <vt:lpwstr/>
      </vt:variant>
      <vt:variant>
        <vt:lpwstr>_Toc303329240</vt:lpwstr>
      </vt:variant>
      <vt:variant>
        <vt:i4>1966128</vt:i4>
      </vt:variant>
      <vt:variant>
        <vt:i4>191</vt:i4>
      </vt:variant>
      <vt:variant>
        <vt:i4>0</vt:i4>
      </vt:variant>
      <vt:variant>
        <vt:i4>5</vt:i4>
      </vt:variant>
      <vt:variant>
        <vt:lpwstr/>
      </vt:variant>
      <vt:variant>
        <vt:lpwstr>_Toc303329239</vt:lpwstr>
      </vt:variant>
      <vt:variant>
        <vt:i4>1966128</vt:i4>
      </vt:variant>
      <vt:variant>
        <vt:i4>185</vt:i4>
      </vt:variant>
      <vt:variant>
        <vt:i4>0</vt:i4>
      </vt:variant>
      <vt:variant>
        <vt:i4>5</vt:i4>
      </vt:variant>
      <vt:variant>
        <vt:lpwstr/>
      </vt:variant>
      <vt:variant>
        <vt:lpwstr>_Toc303329238</vt:lpwstr>
      </vt:variant>
      <vt:variant>
        <vt:i4>1966128</vt:i4>
      </vt:variant>
      <vt:variant>
        <vt:i4>179</vt:i4>
      </vt:variant>
      <vt:variant>
        <vt:i4>0</vt:i4>
      </vt:variant>
      <vt:variant>
        <vt:i4>5</vt:i4>
      </vt:variant>
      <vt:variant>
        <vt:lpwstr/>
      </vt:variant>
      <vt:variant>
        <vt:lpwstr>_Toc303329237</vt:lpwstr>
      </vt:variant>
      <vt:variant>
        <vt:i4>1966128</vt:i4>
      </vt:variant>
      <vt:variant>
        <vt:i4>173</vt:i4>
      </vt:variant>
      <vt:variant>
        <vt:i4>0</vt:i4>
      </vt:variant>
      <vt:variant>
        <vt:i4>5</vt:i4>
      </vt:variant>
      <vt:variant>
        <vt:lpwstr/>
      </vt:variant>
      <vt:variant>
        <vt:lpwstr>_Toc303329236</vt:lpwstr>
      </vt:variant>
      <vt:variant>
        <vt:i4>1966128</vt:i4>
      </vt:variant>
      <vt:variant>
        <vt:i4>167</vt:i4>
      </vt:variant>
      <vt:variant>
        <vt:i4>0</vt:i4>
      </vt:variant>
      <vt:variant>
        <vt:i4>5</vt:i4>
      </vt:variant>
      <vt:variant>
        <vt:lpwstr/>
      </vt:variant>
      <vt:variant>
        <vt:lpwstr>_Toc303329235</vt:lpwstr>
      </vt:variant>
      <vt:variant>
        <vt:i4>1966128</vt:i4>
      </vt:variant>
      <vt:variant>
        <vt:i4>161</vt:i4>
      </vt:variant>
      <vt:variant>
        <vt:i4>0</vt:i4>
      </vt:variant>
      <vt:variant>
        <vt:i4>5</vt:i4>
      </vt:variant>
      <vt:variant>
        <vt:lpwstr/>
      </vt:variant>
      <vt:variant>
        <vt:lpwstr>_Toc303329234</vt:lpwstr>
      </vt:variant>
      <vt:variant>
        <vt:i4>1966128</vt:i4>
      </vt:variant>
      <vt:variant>
        <vt:i4>155</vt:i4>
      </vt:variant>
      <vt:variant>
        <vt:i4>0</vt:i4>
      </vt:variant>
      <vt:variant>
        <vt:i4>5</vt:i4>
      </vt:variant>
      <vt:variant>
        <vt:lpwstr/>
      </vt:variant>
      <vt:variant>
        <vt:lpwstr>_Toc303329233</vt:lpwstr>
      </vt:variant>
      <vt:variant>
        <vt:i4>1966128</vt:i4>
      </vt:variant>
      <vt:variant>
        <vt:i4>149</vt:i4>
      </vt:variant>
      <vt:variant>
        <vt:i4>0</vt:i4>
      </vt:variant>
      <vt:variant>
        <vt:i4>5</vt:i4>
      </vt:variant>
      <vt:variant>
        <vt:lpwstr/>
      </vt:variant>
      <vt:variant>
        <vt:lpwstr>_Toc303329232</vt:lpwstr>
      </vt:variant>
      <vt:variant>
        <vt:i4>1966128</vt:i4>
      </vt:variant>
      <vt:variant>
        <vt:i4>143</vt:i4>
      </vt:variant>
      <vt:variant>
        <vt:i4>0</vt:i4>
      </vt:variant>
      <vt:variant>
        <vt:i4>5</vt:i4>
      </vt:variant>
      <vt:variant>
        <vt:lpwstr/>
      </vt:variant>
      <vt:variant>
        <vt:lpwstr>_Toc303329231</vt:lpwstr>
      </vt:variant>
      <vt:variant>
        <vt:i4>1966128</vt:i4>
      </vt:variant>
      <vt:variant>
        <vt:i4>137</vt:i4>
      </vt:variant>
      <vt:variant>
        <vt:i4>0</vt:i4>
      </vt:variant>
      <vt:variant>
        <vt:i4>5</vt:i4>
      </vt:variant>
      <vt:variant>
        <vt:lpwstr/>
      </vt:variant>
      <vt:variant>
        <vt:lpwstr>_Toc303329230</vt:lpwstr>
      </vt:variant>
      <vt:variant>
        <vt:i4>2031664</vt:i4>
      </vt:variant>
      <vt:variant>
        <vt:i4>131</vt:i4>
      </vt:variant>
      <vt:variant>
        <vt:i4>0</vt:i4>
      </vt:variant>
      <vt:variant>
        <vt:i4>5</vt:i4>
      </vt:variant>
      <vt:variant>
        <vt:lpwstr/>
      </vt:variant>
      <vt:variant>
        <vt:lpwstr>_Toc303329229</vt:lpwstr>
      </vt:variant>
      <vt:variant>
        <vt:i4>2031664</vt:i4>
      </vt:variant>
      <vt:variant>
        <vt:i4>125</vt:i4>
      </vt:variant>
      <vt:variant>
        <vt:i4>0</vt:i4>
      </vt:variant>
      <vt:variant>
        <vt:i4>5</vt:i4>
      </vt:variant>
      <vt:variant>
        <vt:lpwstr/>
      </vt:variant>
      <vt:variant>
        <vt:lpwstr>_Toc303329228</vt:lpwstr>
      </vt:variant>
      <vt:variant>
        <vt:i4>2031664</vt:i4>
      </vt:variant>
      <vt:variant>
        <vt:i4>119</vt:i4>
      </vt:variant>
      <vt:variant>
        <vt:i4>0</vt:i4>
      </vt:variant>
      <vt:variant>
        <vt:i4>5</vt:i4>
      </vt:variant>
      <vt:variant>
        <vt:lpwstr/>
      </vt:variant>
      <vt:variant>
        <vt:lpwstr>_Toc303329227</vt:lpwstr>
      </vt:variant>
      <vt:variant>
        <vt:i4>2031664</vt:i4>
      </vt:variant>
      <vt:variant>
        <vt:i4>113</vt:i4>
      </vt:variant>
      <vt:variant>
        <vt:i4>0</vt:i4>
      </vt:variant>
      <vt:variant>
        <vt:i4>5</vt:i4>
      </vt:variant>
      <vt:variant>
        <vt:lpwstr/>
      </vt:variant>
      <vt:variant>
        <vt:lpwstr>_Toc303329226</vt:lpwstr>
      </vt:variant>
      <vt:variant>
        <vt:i4>2031664</vt:i4>
      </vt:variant>
      <vt:variant>
        <vt:i4>107</vt:i4>
      </vt:variant>
      <vt:variant>
        <vt:i4>0</vt:i4>
      </vt:variant>
      <vt:variant>
        <vt:i4>5</vt:i4>
      </vt:variant>
      <vt:variant>
        <vt:lpwstr/>
      </vt:variant>
      <vt:variant>
        <vt:lpwstr>_Toc303329225</vt:lpwstr>
      </vt:variant>
      <vt:variant>
        <vt:i4>2031664</vt:i4>
      </vt:variant>
      <vt:variant>
        <vt:i4>101</vt:i4>
      </vt:variant>
      <vt:variant>
        <vt:i4>0</vt:i4>
      </vt:variant>
      <vt:variant>
        <vt:i4>5</vt:i4>
      </vt:variant>
      <vt:variant>
        <vt:lpwstr/>
      </vt:variant>
      <vt:variant>
        <vt:lpwstr>_Toc303329224</vt:lpwstr>
      </vt:variant>
      <vt:variant>
        <vt:i4>2031664</vt:i4>
      </vt:variant>
      <vt:variant>
        <vt:i4>95</vt:i4>
      </vt:variant>
      <vt:variant>
        <vt:i4>0</vt:i4>
      </vt:variant>
      <vt:variant>
        <vt:i4>5</vt:i4>
      </vt:variant>
      <vt:variant>
        <vt:lpwstr/>
      </vt:variant>
      <vt:variant>
        <vt:lpwstr>_Toc303329223</vt:lpwstr>
      </vt:variant>
      <vt:variant>
        <vt:i4>2031664</vt:i4>
      </vt:variant>
      <vt:variant>
        <vt:i4>89</vt:i4>
      </vt:variant>
      <vt:variant>
        <vt:i4>0</vt:i4>
      </vt:variant>
      <vt:variant>
        <vt:i4>5</vt:i4>
      </vt:variant>
      <vt:variant>
        <vt:lpwstr/>
      </vt:variant>
      <vt:variant>
        <vt:lpwstr>_Toc303329222</vt:lpwstr>
      </vt:variant>
      <vt:variant>
        <vt:i4>2031664</vt:i4>
      </vt:variant>
      <vt:variant>
        <vt:i4>83</vt:i4>
      </vt:variant>
      <vt:variant>
        <vt:i4>0</vt:i4>
      </vt:variant>
      <vt:variant>
        <vt:i4>5</vt:i4>
      </vt:variant>
      <vt:variant>
        <vt:lpwstr/>
      </vt:variant>
      <vt:variant>
        <vt:lpwstr>_Toc303329221</vt:lpwstr>
      </vt:variant>
      <vt:variant>
        <vt:i4>2031664</vt:i4>
      </vt:variant>
      <vt:variant>
        <vt:i4>77</vt:i4>
      </vt:variant>
      <vt:variant>
        <vt:i4>0</vt:i4>
      </vt:variant>
      <vt:variant>
        <vt:i4>5</vt:i4>
      </vt:variant>
      <vt:variant>
        <vt:lpwstr/>
      </vt:variant>
      <vt:variant>
        <vt:lpwstr>_Toc303329220</vt:lpwstr>
      </vt:variant>
      <vt:variant>
        <vt:i4>1572915</vt:i4>
      </vt:variant>
      <vt:variant>
        <vt:i4>68</vt:i4>
      </vt:variant>
      <vt:variant>
        <vt:i4>0</vt:i4>
      </vt:variant>
      <vt:variant>
        <vt:i4>5</vt:i4>
      </vt:variant>
      <vt:variant>
        <vt:lpwstr/>
      </vt:variant>
      <vt:variant>
        <vt:lpwstr>_Toc303329155</vt:lpwstr>
      </vt:variant>
      <vt:variant>
        <vt:i4>1572915</vt:i4>
      </vt:variant>
      <vt:variant>
        <vt:i4>62</vt:i4>
      </vt:variant>
      <vt:variant>
        <vt:i4>0</vt:i4>
      </vt:variant>
      <vt:variant>
        <vt:i4>5</vt:i4>
      </vt:variant>
      <vt:variant>
        <vt:lpwstr/>
      </vt:variant>
      <vt:variant>
        <vt:lpwstr>_Toc303329154</vt:lpwstr>
      </vt:variant>
      <vt:variant>
        <vt:i4>1572915</vt:i4>
      </vt:variant>
      <vt:variant>
        <vt:i4>56</vt:i4>
      </vt:variant>
      <vt:variant>
        <vt:i4>0</vt:i4>
      </vt:variant>
      <vt:variant>
        <vt:i4>5</vt:i4>
      </vt:variant>
      <vt:variant>
        <vt:lpwstr/>
      </vt:variant>
      <vt:variant>
        <vt:lpwstr>_Toc303329153</vt:lpwstr>
      </vt:variant>
      <vt:variant>
        <vt:i4>1572915</vt:i4>
      </vt:variant>
      <vt:variant>
        <vt:i4>50</vt:i4>
      </vt:variant>
      <vt:variant>
        <vt:i4>0</vt:i4>
      </vt:variant>
      <vt:variant>
        <vt:i4>5</vt:i4>
      </vt:variant>
      <vt:variant>
        <vt:lpwstr/>
      </vt:variant>
      <vt:variant>
        <vt:lpwstr>_Toc303329152</vt:lpwstr>
      </vt:variant>
      <vt:variant>
        <vt:i4>1572915</vt:i4>
      </vt:variant>
      <vt:variant>
        <vt:i4>44</vt:i4>
      </vt:variant>
      <vt:variant>
        <vt:i4>0</vt:i4>
      </vt:variant>
      <vt:variant>
        <vt:i4>5</vt:i4>
      </vt:variant>
      <vt:variant>
        <vt:lpwstr/>
      </vt:variant>
      <vt:variant>
        <vt:lpwstr>_Toc303329151</vt:lpwstr>
      </vt:variant>
      <vt:variant>
        <vt:i4>1572915</vt:i4>
      </vt:variant>
      <vt:variant>
        <vt:i4>38</vt:i4>
      </vt:variant>
      <vt:variant>
        <vt:i4>0</vt:i4>
      </vt:variant>
      <vt:variant>
        <vt:i4>5</vt:i4>
      </vt:variant>
      <vt:variant>
        <vt:lpwstr/>
      </vt:variant>
      <vt:variant>
        <vt:lpwstr>_Toc303329150</vt:lpwstr>
      </vt:variant>
      <vt:variant>
        <vt:i4>1638451</vt:i4>
      </vt:variant>
      <vt:variant>
        <vt:i4>32</vt:i4>
      </vt:variant>
      <vt:variant>
        <vt:i4>0</vt:i4>
      </vt:variant>
      <vt:variant>
        <vt:i4>5</vt:i4>
      </vt:variant>
      <vt:variant>
        <vt:lpwstr/>
      </vt:variant>
      <vt:variant>
        <vt:lpwstr>_Toc303329149</vt:lpwstr>
      </vt:variant>
      <vt:variant>
        <vt:i4>1638451</vt:i4>
      </vt:variant>
      <vt:variant>
        <vt:i4>26</vt:i4>
      </vt:variant>
      <vt:variant>
        <vt:i4>0</vt:i4>
      </vt:variant>
      <vt:variant>
        <vt:i4>5</vt:i4>
      </vt:variant>
      <vt:variant>
        <vt:lpwstr/>
      </vt:variant>
      <vt:variant>
        <vt:lpwstr>_Toc303329148</vt:lpwstr>
      </vt:variant>
      <vt:variant>
        <vt:i4>1638451</vt:i4>
      </vt:variant>
      <vt:variant>
        <vt:i4>20</vt:i4>
      </vt:variant>
      <vt:variant>
        <vt:i4>0</vt:i4>
      </vt:variant>
      <vt:variant>
        <vt:i4>5</vt:i4>
      </vt:variant>
      <vt:variant>
        <vt:lpwstr/>
      </vt:variant>
      <vt:variant>
        <vt:lpwstr>_Toc303329147</vt:lpwstr>
      </vt:variant>
      <vt:variant>
        <vt:i4>1638451</vt:i4>
      </vt:variant>
      <vt:variant>
        <vt:i4>14</vt:i4>
      </vt:variant>
      <vt:variant>
        <vt:i4>0</vt:i4>
      </vt:variant>
      <vt:variant>
        <vt:i4>5</vt:i4>
      </vt:variant>
      <vt:variant>
        <vt:lpwstr/>
      </vt:variant>
      <vt:variant>
        <vt:lpwstr>_Toc303329146</vt:lpwstr>
      </vt:variant>
      <vt:variant>
        <vt:i4>1638451</vt:i4>
      </vt:variant>
      <vt:variant>
        <vt:i4>8</vt:i4>
      </vt:variant>
      <vt:variant>
        <vt:i4>0</vt:i4>
      </vt:variant>
      <vt:variant>
        <vt:i4>5</vt:i4>
      </vt:variant>
      <vt:variant>
        <vt:lpwstr/>
      </vt:variant>
      <vt:variant>
        <vt:lpwstr>_Toc303329145</vt:lpwstr>
      </vt:variant>
      <vt:variant>
        <vt:i4>1638451</vt:i4>
      </vt:variant>
      <vt:variant>
        <vt:i4>2</vt:i4>
      </vt:variant>
      <vt:variant>
        <vt:i4>0</vt:i4>
      </vt:variant>
      <vt:variant>
        <vt:i4>5</vt:i4>
      </vt:variant>
      <vt:variant>
        <vt:lpwstr/>
      </vt:variant>
      <vt:variant>
        <vt:lpwstr>_Toc303329144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2021-09-24T10:32:00Z</dcterms:created>
  <dcterms:modified xsi:type="dcterms:W3CDTF">2021-09-24T10:32:00Z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